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4484" w:rsidRPr="00120EB3" w:rsidP="00315FA0" w14:paraId="212A8D12" w14:textId="34726F8B">
      <w:pPr>
        <w:numPr>
          <w:ilvl w:val="12"/>
          <w:numId w:val="0"/>
        </w:numPr>
        <w:spacing w:line="480" w:lineRule="auto"/>
        <w:jc w:val="center"/>
        <w:outlineLvl w:val="0"/>
        <w:rPr>
          <w:rFonts w:ascii="Times New Roman" w:hAnsi="Times New Roman"/>
          <w:sz w:val="32"/>
          <w:szCs w:val="24"/>
        </w:rPr>
      </w:pPr>
      <w:r w:rsidRPr="00120EB3">
        <w:rPr>
          <w:rFonts w:ascii="Times New Roman" w:hAnsi="Times New Roman"/>
          <w:sz w:val="32"/>
          <w:szCs w:val="24"/>
        </w:rPr>
        <w:t>SUPPORTING STATEMENT</w:t>
      </w:r>
      <w:r w:rsidRPr="00120EB3">
        <w:rPr>
          <w:rFonts w:ascii="Times New Roman" w:hAnsi="Times New Roman"/>
          <w:sz w:val="32"/>
          <w:szCs w:val="24"/>
        </w:rPr>
        <w:t xml:space="preserve"> A For:</w:t>
      </w:r>
    </w:p>
    <w:p w:rsidR="00793A1B" w:rsidRPr="00120EB3" w:rsidP="00120EB3" w14:paraId="6472BE46" w14:textId="77777777">
      <w:pPr>
        <w:numPr>
          <w:ilvl w:val="12"/>
          <w:numId w:val="0"/>
        </w:numPr>
        <w:spacing w:line="480" w:lineRule="auto"/>
        <w:outlineLvl w:val="0"/>
        <w:rPr>
          <w:rFonts w:ascii="Times New Roman" w:hAnsi="Times New Roman"/>
          <w:sz w:val="32"/>
          <w:szCs w:val="24"/>
        </w:rPr>
      </w:pPr>
    </w:p>
    <w:p w:rsidR="00793A1B" w:rsidRPr="00120EB3" w:rsidP="0060144C" w14:paraId="20FA6690" w14:textId="6ED0573E">
      <w:pPr>
        <w:numPr>
          <w:ilvl w:val="12"/>
          <w:numId w:val="0"/>
        </w:numPr>
        <w:spacing w:line="480" w:lineRule="auto"/>
        <w:jc w:val="center"/>
        <w:outlineLvl w:val="0"/>
        <w:rPr>
          <w:rFonts w:ascii="Times New Roman" w:hAnsi="Times New Roman"/>
          <w:sz w:val="32"/>
          <w:szCs w:val="32"/>
        </w:rPr>
      </w:pPr>
      <w:r w:rsidRPr="00120EB3">
        <w:rPr>
          <w:rFonts w:ascii="Times New Roman" w:hAnsi="Times New Roman"/>
          <w:sz w:val="32"/>
          <w:szCs w:val="32"/>
        </w:rPr>
        <w:t xml:space="preserve">A Generic Submission for </w:t>
      </w:r>
      <w:r w:rsidRPr="00120EB3" w:rsidR="000842FD">
        <w:rPr>
          <w:rFonts w:ascii="Times New Roman" w:hAnsi="Times New Roman"/>
          <w:sz w:val="32"/>
          <w:szCs w:val="32"/>
        </w:rPr>
        <w:t xml:space="preserve">Formative Research, </w:t>
      </w:r>
      <w:r w:rsidRPr="00126ACA" w:rsidR="000842FD">
        <w:rPr>
          <w:rFonts w:ascii="Times New Roman" w:hAnsi="Times New Roman"/>
          <w:sz w:val="32"/>
          <w:szCs w:val="32"/>
          <w:highlight w:val="yellow"/>
        </w:rPr>
        <w:t>P</w:t>
      </w:r>
      <w:r w:rsidR="000B283F">
        <w:rPr>
          <w:rFonts w:ascii="Times New Roman" w:hAnsi="Times New Roman"/>
          <w:sz w:val="32"/>
          <w:szCs w:val="32"/>
          <w:highlight w:val="yellow"/>
        </w:rPr>
        <w:t xml:space="preserve">ilot Testing, </w:t>
      </w:r>
      <w:r w:rsidRPr="003E4954" w:rsidR="000B283F">
        <w:rPr>
          <w:rFonts w:ascii="Times New Roman" w:hAnsi="Times New Roman"/>
          <w:sz w:val="32"/>
          <w:szCs w:val="32"/>
        </w:rPr>
        <w:t>Pretesting</w:t>
      </w:r>
      <w:r w:rsidRPr="00120EB3" w:rsidR="000842FD">
        <w:rPr>
          <w:rFonts w:ascii="Times New Roman" w:hAnsi="Times New Roman"/>
          <w:sz w:val="32"/>
          <w:szCs w:val="32"/>
        </w:rPr>
        <w:t xml:space="preserve"> and Customer Satisfaction of </w:t>
      </w:r>
    </w:p>
    <w:p w:rsidR="00A005FC" w:rsidP="00E7301C" w14:paraId="413D61B4" w14:textId="6A07D46D">
      <w:pPr>
        <w:numPr>
          <w:ilvl w:val="12"/>
          <w:numId w:val="0"/>
        </w:numPr>
        <w:spacing w:line="480" w:lineRule="auto"/>
        <w:jc w:val="center"/>
        <w:outlineLvl w:val="0"/>
        <w:rPr>
          <w:rFonts w:ascii="Times New Roman" w:hAnsi="Times New Roman"/>
          <w:sz w:val="32"/>
          <w:szCs w:val="32"/>
        </w:rPr>
      </w:pPr>
      <w:r w:rsidRPr="00120EB3">
        <w:rPr>
          <w:rFonts w:ascii="Times New Roman" w:hAnsi="Times New Roman"/>
          <w:sz w:val="32"/>
          <w:szCs w:val="32"/>
        </w:rPr>
        <w:t>N</w:t>
      </w:r>
      <w:r w:rsidRPr="00120EB3" w:rsidR="004220FB">
        <w:rPr>
          <w:rFonts w:ascii="Times New Roman" w:hAnsi="Times New Roman"/>
          <w:sz w:val="32"/>
          <w:szCs w:val="32"/>
        </w:rPr>
        <w:t xml:space="preserve">ational </w:t>
      </w:r>
      <w:r w:rsidR="00127A82">
        <w:rPr>
          <w:rFonts w:ascii="Times New Roman" w:hAnsi="Times New Roman"/>
          <w:sz w:val="32"/>
          <w:szCs w:val="32"/>
        </w:rPr>
        <w:t xml:space="preserve">Institutes of Health </w:t>
      </w:r>
      <w:r w:rsidRPr="00120EB3" w:rsidR="004220FB">
        <w:rPr>
          <w:rFonts w:ascii="Times New Roman" w:hAnsi="Times New Roman"/>
          <w:sz w:val="32"/>
          <w:szCs w:val="32"/>
        </w:rPr>
        <w:t>(N</w:t>
      </w:r>
      <w:r w:rsidR="00127A82">
        <w:rPr>
          <w:rFonts w:ascii="Times New Roman" w:hAnsi="Times New Roman"/>
          <w:sz w:val="32"/>
          <w:szCs w:val="32"/>
        </w:rPr>
        <w:t>IH</w:t>
      </w:r>
      <w:r w:rsidRPr="00120EB3" w:rsidR="004220FB">
        <w:rPr>
          <w:rFonts w:ascii="Times New Roman" w:hAnsi="Times New Roman"/>
          <w:sz w:val="32"/>
          <w:szCs w:val="32"/>
        </w:rPr>
        <w:t xml:space="preserve">) </w:t>
      </w:r>
      <w:r w:rsidRPr="00120EB3">
        <w:rPr>
          <w:rFonts w:ascii="Times New Roman" w:hAnsi="Times New Roman"/>
          <w:sz w:val="32"/>
          <w:szCs w:val="32"/>
        </w:rPr>
        <w:t>Communication and Education Resources</w:t>
      </w:r>
      <w:r w:rsidRPr="00120EB3" w:rsidR="0054350E">
        <w:rPr>
          <w:rFonts w:ascii="Times New Roman" w:hAnsi="Times New Roman"/>
          <w:sz w:val="32"/>
          <w:szCs w:val="32"/>
        </w:rPr>
        <w:t xml:space="preserve"> </w:t>
      </w:r>
      <w:r w:rsidR="00127A82">
        <w:rPr>
          <w:rFonts w:ascii="Times New Roman" w:hAnsi="Times New Roman"/>
          <w:sz w:val="32"/>
          <w:szCs w:val="32"/>
        </w:rPr>
        <w:t>(OD/OER)</w:t>
      </w:r>
    </w:p>
    <w:p w:rsidR="00120EB3" w:rsidRPr="00120EB3" w:rsidP="00E7301C" w14:paraId="7F4E8C66" w14:textId="374D2413">
      <w:pPr>
        <w:numPr>
          <w:ilvl w:val="12"/>
          <w:numId w:val="0"/>
        </w:numPr>
        <w:spacing w:line="480" w:lineRule="auto"/>
        <w:jc w:val="center"/>
        <w:outlineLvl w:val="0"/>
        <w:rPr>
          <w:rFonts w:ascii="Times New Roman" w:hAnsi="Times New Roman"/>
          <w:sz w:val="32"/>
          <w:szCs w:val="24"/>
        </w:rPr>
      </w:pPr>
      <w:r w:rsidRPr="00127A82">
        <w:rPr>
          <w:rFonts w:ascii="Times New Roman" w:hAnsi="Times New Roman"/>
          <w:sz w:val="32"/>
          <w:szCs w:val="32"/>
        </w:rPr>
        <w:t>February</w:t>
      </w:r>
      <w:r w:rsidRPr="00127A82" w:rsidR="006B2171">
        <w:rPr>
          <w:rFonts w:ascii="Times New Roman" w:hAnsi="Times New Roman"/>
          <w:sz w:val="32"/>
          <w:szCs w:val="32"/>
        </w:rPr>
        <w:t xml:space="preserve"> 17</w:t>
      </w:r>
      <w:r w:rsidRPr="00127A82" w:rsidR="00C841C6">
        <w:rPr>
          <w:rFonts w:ascii="Times New Roman" w:hAnsi="Times New Roman"/>
          <w:sz w:val="32"/>
          <w:szCs w:val="32"/>
        </w:rPr>
        <w:t>, 202</w:t>
      </w:r>
      <w:r w:rsidRPr="00127A82">
        <w:rPr>
          <w:rFonts w:ascii="Times New Roman" w:hAnsi="Times New Roman"/>
          <w:sz w:val="32"/>
          <w:szCs w:val="32"/>
        </w:rPr>
        <w:t>6</w:t>
      </w:r>
    </w:p>
    <w:p w:rsidR="00A005FC" w:rsidRPr="00127A82" w:rsidP="00127A82" w14:paraId="414988C9" w14:textId="730E5BF0">
      <w:pPr>
        <w:numPr>
          <w:ilvl w:val="12"/>
          <w:numId w:val="0"/>
        </w:numPr>
        <w:spacing w:line="480" w:lineRule="auto"/>
        <w:jc w:val="center"/>
        <w:outlineLvl w:val="0"/>
        <w:rPr>
          <w:rFonts w:ascii="Times New Roman" w:hAnsi="Times New Roman"/>
          <w:sz w:val="32"/>
          <w:szCs w:val="32"/>
          <w:u w:val="single"/>
        </w:rPr>
      </w:pPr>
      <w:r w:rsidRPr="00120EB3">
        <w:rPr>
          <w:rFonts w:ascii="Times New Roman" w:hAnsi="Times New Roman"/>
          <w:sz w:val="32"/>
          <w:szCs w:val="32"/>
        </w:rPr>
        <w:t xml:space="preserve">OMB No. 0925-0046, Expiration </w:t>
      </w:r>
      <w:r w:rsidRPr="00127A82">
        <w:rPr>
          <w:rFonts w:ascii="Times New Roman" w:hAnsi="Times New Roman"/>
          <w:sz w:val="32"/>
          <w:szCs w:val="32"/>
        </w:rPr>
        <w:t xml:space="preserve">Date </w:t>
      </w:r>
      <w:r w:rsidRPr="00127A82" w:rsidR="00127A82">
        <w:rPr>
          <w:rFonts w:ascii="Times New Roman" w:hAnsi="Times New Roman"/>
          <w:sz w:val="32"/>
          <w:szCs w:val="32"/>
        </w:rPr>
        <w:t>2</w:t>
      </w:r>
      <w:r w:rsidRPr="00127A82" w:rsidR="00120EB3">
        <w:rPr>
          <w:rFonts w:ascii="Times New Roman" w:hAnsi="Times New Roman"/>
          <w:sz w:val="32"/>
          <w:szCs w:val="32"/>
        </w:rPr>
        <w:t>/</w:t>
      </w:r>
      <w:r w:rsidRPr="00127A82" w:rsidR="00127A82">
        <w:rPr>
          <w:rFonts w:ascii="Times New Roman" w:hAnsi="Times New Roman"/>
          <w:sz w:val="32"/>
          <w:szCs w:val="32"/>
        </w:rPr>
        <w:t>28</w:t>
      </w:r>
      <w:r w:rsidRPr="00127A82" w:rsidR="00120EB3">
        <w:rPr>
          <w:rFonts w:ascii="Times New Roman" w:hAnsi="Times New Roman"/>
          <w:sz w:val="32"/>
          <w:szCs w:val="32"/>
        </w:rPr>
        <w:t>/202</w:t>
      </w:r>
      <w:r w:rsidR="00127A82">
        <w:rPr>
          <w:rFonts w:ascii="Times New Roman" w:hAnsi="Times New Roman"/>
          <w:sz w:val="32"/>
          <w:szCs w:val="32"/>
        </w:rPr>
        <w:t>8</w:t>
      </w:r>
    </w:p>
    <w:p w:rsidR="00A005FC" w:rsidP="000842FD" w14:paraId="5EF44723" w14:textId="77777777">
      <w:pPr>
        <w:numPr>
          <w:ilvl w:val="12"/>
          <w:numId w:val="0"/>
        </w:numPr>
        <w:outlineLvl w:val="0"/>
        <w:rPr>
          <w:rFonts w:ascii="Times New Roman" w:hAnsi="Times New Roman"/>
          <w:b/>
          <w:bCs/>
          <w:sz w:val="24"/>
          <w:szCs w:val="24"/>
        </w:rPr>
      </w:pPr>
    </w:p>
    <w:p w:rsidR="00120EB3" w:rsidP="00127A82" w14:paraId="34FA3954" w14:textId="0D667FF5">
      <w:pPr>
        <w:autoSpaceDE/>
        <w:autoSpaceDN/>
        <w:adjustRightInd/>
        <w:spacing w:line="276" w:lineRule="auto"/>
        <w:rPr>
          <w:rFonts w:asciiTheme="minorHAnsi" w:hAnsiTheme="minorHAnsi"/>
          <w:sz w:val="22"/>
          <w:szCs w:val="22"/>
        </w:rPr>
      </w:pPr>
    </w:p>
    <w:p w:rsidR="0054350E" w:rsidRPr="00120EB3" w:rsidP="00127A82" w14:paraId="287B431B" w14:textId="603C2A44">
      <w:pPr>
        <w:autoSpaceDE/>
        <w:autoSpaceDN/>
        <w:adjustRightInd/>
        <w:spacing w:line="276" w:lineRule="auto"/>
        <w:ind w:left="360"/>
        <w:rPr>
          <w:rFonts w:asciiTheme="minorHAnsi" w:hAnsiTheme="minorHAnsi"/>
          <w:sz w:val="22"/>
          <w:szCs w:val="22"/>
        </w:rPr>
      </w:pPr>
      <w:r>
        <w:rPr>
          <w:rFonts w:asciiTheme="minorHAnsi" w:hAnsiTheme="minorHAnsi"/>
          <w:sz w:val="22"/>
          <w:szCs w:val="22"/>
        </w:rPr>
        <w:t xml:space="preserve">X </w:t>
      </w:r>
      <w:r w:rsidR="00120EB3">
        <w:rPr>
          <w:rFonts w:asciiTheme="minorHAnsi" w:hAnsiTheme="minorHAnsi"/>
          <w:sz w:val="22"/>
          <w:szCs w:val="22"/>
        </w:rPr>
        <w:t>Revision</w:t>
      </w:r>
      <w:r w:rsidRPr="00270914">
        <w:rPr>
          <w:rFonts w:asciiTheme="minorHAnsi" w:hAnsiTheme="minorHAnsi"/>
          <w:sz w:val="22"/>
          <w:szCs w:val="22"/>
        </w:rPr>
        <w:t xml:space="preserve"> </w:t>
      </w:r>
      <w:r w:rsidRPr="00120EB3">
        <w:rPr>
          <w:rFonts w:asciiTheme="minorHAnsi" w:hAnsiTheme="minorHAnsi"/>
          <w:sz w:val="22"/>
          <w:szCs w:val="22"/>
        </w:rPr>
        <w:tab/>
      </w:r>
      <w:r w:rsidRPr="00120EB3">
        <w:rPr>
          <w:rFonts w:asciiTheme="minorHAnsi" w:hAnsiTheme="minorHAnsi"/>
          <w:sz w:val="22"/>
          <w:szCs w:val="22"/>
        </w:rPr>
        <w:tab/>
      </w:r>
      <w:r w:rsidRPr="00120EB3">
        <w:rPr>
          <w:rFonts w:asciiTheme="minorHAnsi" w:hAnsiTheme="minorHAnsi"/>
          <w:sz w:val="22"/>
          <w:szCs w:val="22"/>
        </w:rPr>
        <w:tab/>
      </w:r>
    </w:p>
    <w:p w:rsidR="005160AB" w:rsidP="000842FD" w14:paraId="5F996A34" w14:textId="720E77C8">
      <w:pPr>
        <w:tabs>
          <w:tab w:val="left" w:pos="3510"/>
        </w:tabs>
        <w:jc w:val="center"/>
        <w:outlineLvl w:val="0"/>
        <w:rPr>
          <w:rFonts w:ascii="Times New Roman" w:hAnsi="Times New Roman"/>
          <w:b/>
          <w:bCs/>
          <w:sz w:val="24"/>
          <w:szCs w:val="24"/>
          <w:highlight w:val="yellow"/>
        </w:rPr>
      </w:pPr>
    </w:p>
    <w:p w:rsidR="005160AB" w:rsidP="000842FD" w14:paraId="301630CA" w14:textId="5E5A760B">
      <w:pPr>
        <w:tabs>
          <w:tab w:val="left" w:pos="3510"/>
        </w:tabs>
        <w:jc w:val="center"/>
        <w:outlineLvl w:val="0"/>
        <w:rPr>
          <w:rFonts w:ascii="Times New Roman" w:hAnsi="Times New Roman"/>
          <w:sz w:val="24"/>
          <w:szCs w:val="24"/>
          <w:highlight w:val="yellow"/>
        </w:rPr>
      </w:pPr>
    </w:p>
    <w:p w:rsidR="005160AB" w:rsidRPr="0054350E" w:rsidP="005160AB" w14:paraId="5A3E8173" w14:textId="2C25D443">
      <w:pPr>
        <w:numPr>
          <w:ilvl w:val="12"/>
          <w:numId w:val="0"/>
        </w:numPr>
        <w:outlineLvl w:val="0"/>
        <w:rPr>
          <w:rFonts w:asciiTheme="minorHAnsi" w:hAnsiTheme="minorHAnsi"/>
          <w:bCs/>
          <w:sz w:val="22"/>
          <w:szCs w:val="22"/>
        </w:rPr>
      </w:pPr>
      <w:r w:rsidRPr="0054350E">
        <w:rPr>
          <w:rFonts w:asciiTheme="minorHAnsi" w:hAnsiTheme="minorHAnsi"/>
          <w:bCs/>
          <w:sz w:val="22"/>
          <w:szCs w:val="22"/>
        </w:rPr>
        <w:t xml:space="preserve">Federal </w:t>
      </w:r>
      <w:r>
        <w:rPr>
          <w:rFonts w:asciiTheme="minorHAnsi" w:hAnsiTheme="minorHAnsi"/>
          <w:bCs/>
          <w:sz w:val="22"/>
          <w:szCs w:val="22"/>
        </w:rPr>
        <w:t xml:space="preserve">Government </w:t>
      </w:r>
      <w:r w:rsidRPr="00B63DD7">
        <w:rPr>
          <w:rFonts w:asciiTheme="minorHAnsi" w:hAnsiTheme="minorHAnsi"/>
          <w:bCs/>
          <w:noProof/>
          <w:sz w:val="22"/>
          <w:szCs w:val="22"/>
        </w:rPr>
        <w:t>Employee</w:t>
      </w:r>
      <w:r>
        <w:rPr>
          <w:rFonts w:asciiTheme="minorHAnsi" w:hAnsiTheme="minorHAnsi"/>
          <w:bCs/>
          <w:noProof/>
          <w:sz w:val="22"/>
          <w:szCs w:val="22"/>
        </w:rPr>
        <w:t xml:space="preserve"> Information</w:t>
      </w:r>
      <w:r w:rsidRPr="00B63DD7">
        <w:rPr>
          <w:rFonts w:asciiTheme="minorHAnsi" w:hAnsiTheme="minorHAnsi"/>
          <w:bCs/>
          <w:noProof/>
          <w:sz w:val="22"/>
          <w:szCs w:val="22"/>
        </w:rPr>
        <w:t xml:space="preserve"> :</w:t>
      </w:r>
    </w:p>
    <w:p w:rsidR="005160AB" w:rsidRPr="0054350E" w:rsidP="005160AB" w14:paraId="2AF9020E" w14:textId="77777777">
      <w:pPr>
        <w:numPr>
          <w:ilvl w:val="12"/>
          <w:numId w:val="0"/>
        </w:numPr>
        <w:outlineLvl w:val="0"/>
        <w:rPr>
          <w:rFonts w:asciiTheme="minorHAnsi" w:hAnsiTheme="minorHAnsi"/>
          <w:bCs/>
          <w:sz w:val="22"/>
          <w:szCs w:val="22"/>
        </w:rPr>
      </w:pPr>
    </w:p>
    <w:p w:rsidR="005160AB" w:rsidRPr="00120EB3" w:rsidP="005160AB" w14:paraId="2DD099E5" w14:textId="19027310">
      <w:pPr>
        <w:numPr>
          <w:ilvl w:val="12"/>
          <w:numId w:val="0"/>
        </w:numPr>
        <w:outlineLvl w:val="0"/>
        <w:rPr>
          <w:rFonts w:asciiTheme="minorHAnsi" w:hAnsiTheme="minorHAnsi"/>
          <w:bCs/>
          <w:sz w:val="22"/>
          <w:szCs w:val="22"/>
        </w:rPr>
      </w:pPr>
      <w:bookmarkStart w:id="0" w:name="_Hlk4410853"/>
      <w:r w:rsidRPr="00120EB3">
        <w:rPr>
          <w:rFonts w:asciiTheme="minorHAnsi" w:hAnsiTheme="minorHAnsi"/>
          <w:bCs/>
          <w:sz w:val="22"/>
          <w:szCs w:val="22"/>
        </w:rPr>
        <w:t xml:space="preserve">Name: </w:t>
      </w:r>
      <w:r w:rsidR="00127A82">
        <w:rPr>
          <w:rFonts w:asciiTheme="minorHAnsi" w:hAnsiTheme="minorHAnsi"/>
          <w:bCs/>
          <w:sz w:val="22"/>
          <w:szCs w:val="22"/>
        </w:rPr>
        <w:t>Mikia P. Currie</w:t>
      </w:r>
    </w:p>
    <w:p w:rsidR="005160AB" w:rsidRPr="00120EB3" w:rsidP="00127A82" w14:paraId="1A4D3BBB" w14:textId="3F98B213">
      <w:pPr>
        <w:numPr>
          <w:ilvl w:val="12"/>
          <w:numId w:val="0"/>
        </w:numPr>
        <w:outlineLvl w:val="0"/>
        <w:rPr>
          <w:rFonts w:asciiTheme="minorHAnsi" w:hAnsiTheme="minorHAnsi"/>
          <w:bCs/>
          <w:sz w:val="22"/>
          <w:szCs w:val="22"/>
        </w:rPr>
      </w:pPr>
      <w:r w:rsidRPr="00127A82">
        <w:rPr>
          <w:rFonts w:asciiTheme="minorHAnsi" w:hAnsiTheme="minorHAnsi"/>
          <w:bCs/>
          <w:sz w:val="22"/>
          <w:szCs w:val="22"/>
        </w:rPr>
        <w:t>Office of Policy for Extramural Research Administration</w:t>
      </w:r>
      <w:r>
        <w:rPr>
          <w:rFonts w:asciiTheme="minorHAnsi" w:hAnsiTheme="minorHAnsi"/>
          <w:bCs/>
          <w:sz w:val="22"/>
          <w:szCs w:val="22"/>
        </w:rPr>
        <w:t xml:space="preserve"> (OPERA)</w:t>
      </w:r>
    </w:p>
    <w:p w:rsidR="005160AB" w:rsidRPr="00120EB3" w:rsidP="005160AB" w14:paraId="1FF930BB" w14:textId="14C0B18E">
      <w:pPr>
        <w:numPr>
          <w:ilvl w:val="12"/>
          <w:numId w:val="0"/>
        </w:numPr>
        <w:rPr>
          <w:rFonts w:asciiTheme="minorHAnsi" w:hAnsiTheme="minorHAnsi"/>
          <w:bCs/>
          <w:sz w:val="22"/>
          <w:szCs w:val="22"/>
        </w:rPr>
      </w:pPr>
      <w:r w:rsidRPr="00120EB3">
        <w:rPr>
          <w:rFonts w:asciiTheme="minorHAnsi" w:hAnsiTheme="minorHAnsi"/>
          <w:bCs/>
          <w:sz w:val="22"/>
          <w:szCs w:val="22"/>
        </w:rPr>
        <w:t>Phone: (</w:t>
      </w:r>
      <w:r w:rsidR="00127A82">
        <w:rPr>
          <w:rFonts w:asciiTheme="minorHAnsi" w:hAnsiTheme="minorHAnsi"/>
          <w:bCs/>
          <w:sz w:val="22"/>
          <w:szCs w:val="22"/>
        </w:rPr>
        <w:t xml:space="preserve">301) 435-0941 </w:t>
      </w:r>
    </w:p>
    <w:p w:rsidR="005160AB" w:rsidP="005160AB" w14:paraId="35CF2776" w14:textId="77777777">
      <w:pPr>
        <w:numPr>
          <w:ilvl w:val="12"/>
          <w:numId w:val="0"/>
        </w:numPr>
        <w:rPr>
          <w:rFonts w:asciiTheme="minorHAnsi" w:hAnsiTheme="minorHAnsi"/>
          <w:bCs/>
          <w:sz w:val="22"/>
          <w:szCs w:val="22"/>
        </w:rPr>
      </w:pPr>
      <w:r w:rsidRPr="00120EB3">
        <w:rPr>
          <w:rFonts w:asciiTheme="minorHAnsi" w:hAnsiTheme="minorHAnsi"/>
          <w:bCs/>
          <w:sz w:val="22"/>
          <w:szCs w:val="22"/>
        </w:rPr>
        <w:t>Fax: N/A</w:t>
      </w:r>
    </w:p>
    <w:p w:rsidR="005160AB" w:rsidP="005160AB" w14:paraId="00817888" w14:textId="010E3452">
      <w:pPr>
        <w:numPr>
          <w:ilvl w:val="12"/>
          <w:numId w:val="0"/>
        </w:numPr>
        <w:rPr>
          <w:rFonts w:asciiTheme="minorHAnsi" w:hAnsiTheme="minorHAnsi"/>
          <w:bCs/>
          <w:sz w:val="22"/>
          <w:szCs w:val="22"/>
        </w:rPr>
      </w:pPr>
      <w:r>
        <w:rPr>
          <w:rFonts w:asciiTheme="minorHAnsi" w:hAnsiTheme="minorHAnsi"/>
          <w:bCs/>
          <w:sz w:val="22"/>
          <w:szCs w:val="22"/>
        </w:rPr>
        <w:t>Emai</w:t>
      </w:r>
      <w:r w:rsidRPr="0054350E">
        <w:rPr>
          <w:rFonts w:asciiTheme="minorHAnsi" w:hAnsiTheme="minorHAnsi"/>
          <w:bCs/>
          <w:sz w:val="22"/>
          <w:szCs w:val="22"/>
        </w:rPr>
        <w:t>l:</w:t>
      </w:r>
      <w:bookmarkEnd w:id="0"/>
      <w:r w:rsidR="00127A82">
        <w:rPr>
          <w:rFonts w:asciiTheme="minorHAnsi" w:hAnsiTheme="minorHAnsi"/>
          <w:bCs/>
          <w:sz w:val="22"/>
          <w:szCs w:val="22"/>
        </w:rPr>
        <w:t xml:space="preserve"> </w:t>
      </w:r>
      <w:hyperlink r:id="rId5" w:history="1">
        <w:r w:rsidRPr="007F0552" w:rsidR="00127A82">
          <w:rPr>
            <w:rStyle w:val="Hyperlink"/>
            <w:rFonts w:asciiTheme="minorHAnsi" w:hAnsiTheme="minorHAnsi"/>
            <w:bCs/>
            <w:sz w:val="22"/>
            <w:szCs w:val="22"/>
          </w:rPr>
          <w:t>curriem@od.nih.gov</w:t>
        </w:r>
      </w:hyperlink>
    </w:p>
    <w:p w:rsidR="00127A82" w:rsidRPr="005160AB" w:rsidP="005160AB" w14:paraId="28BD4158" w14:textId="77777777">
      <w:pPr>
        <w:numPr>
          <w:ilvl w:val="12"/>
          <w:numId w:val="0"/>
        </w:numPr>
        <w:rPr>
          <w:rFonts w:asciiTheme="minorHAnsi" w:hAnsiTheme="minorHAnsi"/>
          <w:bCs/>
          <w:sz w:val="22"/>
          <w:szCs w:val="22"/>
        </w:rPr>
      </w:pPr>
    </w:p>
    <w:p w:rsidR="0047226E" w:rsidRPr="00734203" w:rsidP="000842FD" w14:paraId="613C595A" w14:textId="77777777">
      <w:pPr>
        <w:tabs>
          <w:tab w:val="left" w:pos="3510"/>
        </w:tabs>
        <w:jc w:val="center"/>
        <w:outlineLvl w:val="0"/>
        <w:rPr>
          <w:rFonts w:ascii="Times New Roman" w:hAnsi="Times New Roman"/>
          <w:sz w:val="24"/>
          <w:szCs w:val="24"/>
        </w:rPr>
      </w:pPr>
      <w:r w:rsidRPr="005160AB">
        <w:rPr>
          <w:rFonts w:ascii="Times New Roman" w:hAnsi="Times New Roman"/>
          <w:sz w:val="24"/>
          <w:szCs w:val="24"/>
          <w:highlight w:val="yellow"/>
        </w:rPr>
        <w:br w:type="page"/>
      </w:r>
      <w:r w:rsidRPr="00734203">
        <w:rPr>
          <w:rFonts w:ascii="Times New Roman" w:hAnsi="Times New Roman"/>
          <w:sz w:val="24"/>
          <w:szCs w:val="24"/>
        </w:rPr>
        <w:t>Table of Contents</w:t>
      </w:r>
    </w:p>
    <w:p w:rsidR="0047226E" w:rsidRPr="00734203" w:rsidP="00635B38" w14:paraId="1B8C4946" w14:textId="5B2F245E">
      <w:pPr>
        <w:pStyle w:val="TOC1"/>
        <w:spacing w:before="0" w:after="0"/>
        <w:rPr>
          <w:b w:val="0"/>
        </w:rPr>
      </w:pPr>
      <w:r w:rsidRPr="00734203">
        <w:rPr>
          <w:b w:val="0"/>
        </w:rPr>
        <w:fldChar w:fldCharType="begin"/>
      </w:r>
      <w:r w:rsidRPr="00734203">
        <w:rPr>
          <w:b w:val="0"/>
        </w:rPr>
        <w:instrText xml:space="preserve"> TOC \o "1-2" \u </w:instrText>
      </w:r>
      <w:r w:rsidRPr="00734203">
        <w:rPr>
          <w:b w:val="0"/>
        </w:rPr>
        <w:fldChar w:fldCharType="separate"/>
      </w:r>
      <w:r w:rsidRPr="00734203">
        <w:rPr>
          <w:b w:val="0"/>
        </w:rPr>
        <w:t>A.</w:t>
      </w:r>
      <w:r w:rsidRPr="00734203">
        <w:rPr>
          <w:b w:val="0"/>
        </w:rPr>
        <w:tab/>
      </w:r>
      <w:r w:rsidRPr="00734203">
        <w:rPr>
          <w:b w:val="0"/>
          <w:caps w:val="0"/>
          <w:smallCaps/>
        </w:rPr>
        <w:t>Justification</w:t>
      </w:r>
      <w:r w:rsidRPr="00734203">
        <w:rPr>
          <w:b w:val="0"/>
        </w:rPr>
        <w:tab/>
      </w:r>
      <w:r w:rsidRPr="00734203" w:rsidR="00A13B99">
        <w:rPr>
          <w:b w:val="0"/>
        </w:rPr>
        <w:t>4</w:t>
      </w:r>
    </w:p>
    <w:p w:rsidR="004D4207" w:rsidRPr="00734203" w:rsidP="00635B38" w14:paraId="6FE3C9FC" w14:textId="31DD0505">
      <w:pPr>
        <w:pStyle w:val="TOC2"/>
        <w:spacing w:before="0" w:after="0" w:line="480" w:lineRule="auto"/>
        <w:rPr>
          <w:noProof/>
          <w:sz w:val="24"/>
          <w:szCs w:val="24"/>
        </w:rPr>
      </w:pPr>
      <w:r w:rsidRPr="00734203">
        <w:rPr>
          <w:noProof/>
          <w:sz w:val="24"/>
          <w:szCs w:val="24"/>
        </w:rPr>
        <w:t>A.1</w:t>
      </w:r>
      <w:r w:rsidRPr="00734203">
        <w:rPr>
          <w:noProof/>
          <w:sz w:val="24"/>
          <w:szCs w:val="24"/>
        </w:rPr>
        <w:tab/>
      </w:r>
      <w:r w:rsidR="006B3F8C">
        <w:rPr>
          <w:noProof/>
          <w:sz w:val="24"/>
          <w:szCs w:val="24"/>
        </w:rPr>
        <w:t>Circumstance</w:t>
      </w:r>
      <w:r w:rsidRPr="00734203">
        <w:rPr>
          <w:noProof/>
          <w:sz w:val="24"/>
          <w:szCs w:val="24"/>
        </w:rPr>
        <w:t xml:space="preserve"> Making the Collection of Information Necessary</w:t>
      </w:r>
      <w:r w:rsidRPr="00734203">
        <w:rPr>
          <w:noProof/>
          <w:sz w:val="24"/>
          <w:szCs w:val="24"/>
        </w:rPr>
        <w:tab/>
      </w:r>
      <w:r w:rsidRPr="00734203" w:rsidR="00A13B99">
        <w:rPr>
          <w:noProof/>
          <w:sz w:val="24"/>
          <w:szCs w:val="24"/>
        </w:rPr>
        <w:t>4</w:t>
      </w:r>
    </w:p>
    <w:p w:rsidR="0047226E" w:rsidRPr="00734203" w:rsidP="00635B38" w14:paraId="10C8B44C" w14:textId="40871008">
      <w:pPr>
        <w:pStyle w:val="TOC2"/>
        <w:spacing w:before="0" w:after="0" w:line="480" w:lineRule="auto"/>
        <w:rPr>
          <w:noProof/>
          <w:sz w:val="24"/>
          <w:szCs w:val="24"/>
        </w:rPr>
      </w:pPr>
      <w:r w:rsidRPr="00734203">
        <w:rPr>
          <w:noProof/>
          <w:sz w:val="24"/>
          <w:szCs w:val="24"/>
        </w:rPr>
        <w:t>A.2.</w:t>
      </w:r>
      <w:r w:rsidRPr="00734203">
        <w:rPr>
          <w:noProof/>
          <w:sz w:val="24"/>
          <w:szCs w:val="24"/>
        </w:rPr>
        <w:tab/>
        <w:t>Purpose and Use of the Information</w:t>
      </w:r>
      <w:r w:rsidRPr="00734203" w:rsidR="00635B38">
        <w:rPr>
          <w:noProof/>
          <w:sz w:val="24"/>
          <w:szCs w:val="24"/>
        </w:rPr>
        <w:t xml:space="preserve"> Collection</w:t>
      </w:r>
      <w:r w:rsidRPr="00734203">
        <w:rPr>
          <w:noProof/>
          <w:sz w:val="24"/>
          <w:szCs w:val="24"/>
        </w:rPr>
        <w:tab/>
      </w:r>
      <w:r w:rsidRPr="00734203" w:rsidR="00A13B99">
        <w:rPr>
          <w:noProof/>
          <w:sz w:val="24"/>
          <w:szCs w:val="24"/>
        </w:rPr>
        <w:t>7</w:t>
      </w:r>
    </w:p>
    <w:p w:rsidR="0047226E" w:rsidRPr="00734203" w:rsidP="00635B38" w14:paraId="7EB982E0" w14:textId="492357B2">
      <w:pPr>
        <w:pStyle w:val="TOC2"/>
        <w:spacing w:before="0" w:after="0" w:line="480" w:lineRule="auto"/>
        <w:rPr>
          <w:noProof/>
          <w:sz w:val="24"/>
          <w:szCs w:val="24"/>
        </w:rPr>
      </w:pPr>
      <w:r w:rsidRPr="00734203">
        <w:rPr>
          <w:noProof/>
          <w:sz w:val="24"/>
          <w:szCs w:val="24"/>
        </w:rPr>
        <w:t>A.3</w:t>
      </w:r>
      <w:r w:rsidRPr="00734203">
        <w:rPr>
          <w:noProof/>
          <w:sz w:val="24"/>
          <w:szCs w:val="24"/>
        </w:rPr>
        <w:tab/>
        <w:t>Use of Information T</w:t>
      </w:r>
      <w:r w:rsidRPr="00734203" w:rsidR="00C56D85">
        <w:rPr>
          <w:noProof/>
          <w:sz w:val="24"/>
          <w:szCs w:val="24"/>
        </w:rPr>
        <w:t>echnology and Burden Reduction</w:t>
      </w:r>
      <w:r w:rsidRPr="00734203" w:rsidR="00C56D85">
        <w:rPr>
          <w:noProof/>
          <w:sz w:val="24"/>
          <w:szCs w:val="24"/>
        </w:rPr>
        <w:tab/>
      </w:r>
      <w:r w:rsidR="00984C98">
        <w:rPr>
          <w:noProof/>
          <w:sz w:val="24"/>
          <w:szCs w:val="24"/>
        </w:rPr>
        <w:t>9</w:t>
      </w:r>
    </w:p>
    <w:p w:rsidR="0047226E" w:rsidRPr="00734203" w:rsidP="00635B38" w14:paraId="2DDEBF37" w14:textId="25585EE5">
      <w:pPr>
        <w:pStyle w:val="TOC2"/>
        <w:spacing w:before="0" w:after="0" w:line="480" w:lineRule="auto"/>
        <w:rPr>
          <w:noProof/>
          <w:sz w:val="24"/>
          <w:szCs w:val="24"/>
        </w:rPr>
      </w:pPr>
      <w:r w:rsidRPr="00734203">
        <w:rPr>
          <w:noProof/>
          <w:sz w:val="24"/>
          <w:szCs w:val="24"/>
        </w:rPr>
        <w:t>A.4</w:t>
      </w:r>
      <w:r w:rsidRPr="00734203">
        <w:rPr>
          <w:noProof/>
          <w:sz w:val="24"/>
          <w:szCs w:val="24"/>
        </w:rPr>
        <w:tab/>
        <w:t xml:space="preserve">Efforts to Identify Duplication </w:t>
      </w:r>
      <w:r w:rsidRPr="00734203" w:rsidR="00C56D85">
        <w:rPr>
          <w:noProof/>
          <w:sz w:val="24"/>
          <w:szCs w:val="24"/>
        </w:rPr>
        <w:t>and Use of Similar Information</w:t>
      </w:r>
      <w:r w:rsidRPr="00734203" w:rsidR="00C56D85">
        <w:rPr>
          <w:noProof/>
          <w:sz w:val="24"/>
          <w:szCs w:val="24"/>
        </w:rPr>
        <w:tab/>
      </w:r>
      <w:r w:rsidRPr="00734203" w:rsidR="00CD4C1A">
        <w:rPr>
          <w:noProof/>
          <w:sz w:val="24"/>
          <w:szCs w:val="24"/>
        </w:rPr>
        <w:t>1</w:t>
      </w:r>
      <w:r w:rsidRPr="00734203" w:rsidR="00A13B99">
        <w:rPr>
          <w:noProof/>
          <w:sz w:val="24"/>
          <w:szCs w:val="24"/>
        </w:rPr>
        <w:t>2</w:t>
      </w:r>
    </w:p>
    <w:p w:rsidR="0047226E" w:rsidRPr="00734203" w:rsidP="00635B38" w14:paraId="555A73ED" w14:textId="287AE9B5">
      <w:pPr>
        <w:pStyle w:val="TOC2"/>
        <w:spacing w:before="0" w:after="0" w:line="480" w:lineRule="auto"/>
        <w:rPr>
          <w:noProof/>
          <w:sz w:val="24"/>
          <w:szCs w:val="24"/>
        </w:rPr>
      </w:pPr>
      <w:r w:rsidRPr="00734203">
        <w:rPr>
          <w:noProof/>
          <w:sz w:val="24"/>
          <w:szCs w:val="24"/>
        </w:rPr>
        <w:t>A.5</w:t>
      </w:r>
      <w:r w:rsidRPr="00734203">
        <w:rPr>
          <w:noProof/>
          <w:sz w:val="24"/>
          <w:szCs w:val="24"/>
        </w:rPr>
        <w:tab/>
        <w:t>Impact on Small Busi</w:t>
      </w:r>
      <w:r w:rsidRPr="00734203" w:rsidR="00C56D85">
        <w:rPr>
          <w:noProof/>
          <w:sz w:val="24"/>
          <w:szCs w:val="24"/>
        </w:rPr>
        <w:t>nesses or Other Small Entities</w:t>
      </w:r>
      <w:r w:rsidRPr="00734203" w:rsidR="00C56D85">
        <w:rPr>
          <w:noProof/>
          <w:sz w:val="24"/>
          <w:szCs w:val="24"/>
        </w:rPr>
        <w:tab/>
        <w:t>1</w:t>
      </w:r>
      <w:r w:rsidRPr="00734203" w:rsidR="00A13B99">
        <w:rPr>
          <w:noProof/>
          <w:sz w:val="24"/>
          <w:szCs w:val="24"/>
        </w:rPr>
        <w:t>3</w:t>
      </w:r>
    </w:p>
    <w:p w:rsidR="0047226E" w:rsidRPr="00734203" w:rsidP="00635B38" w14:paraId="0A1E27DD" w14:textId="42E618C2">
      <w:pPr>
        <w:pStyle w:val="TOC2"/>
        <w:spacing w:before="0" w:after="0" w:line="480" w:lineRule="auto"/>
        <w:rPr>
          <w:noProof/>
          <w:sz w:val="24"/>
          <w:szCs w:val="24"/>
        </w:rPr>
      </w:pPr>
      <w:r w:rsidRPr="00734203">
        <w:rPr>
          <w:noProof/>
          <w:sz w:val="24"/>
          <w:szCs w:val="24"/>
        </w:rPr>
        <w:t>A.6</w:t>
      </w:r>
      <w:r w:rsidRPr="00734203">
        <w:rPr>
          <w:noProof/>
          <w:sz w:val="24"/>
          <w:szCs w:val="24"/>
        </w:rPr>
        <w:tab/>
        <w:t>Consequences of Collecting t</w:t>
      </w:r>
      <w:r w:rsidRPr="00734203" w:rsidR="00C56D85">
        <w:rPr>
          <w:noProof/>
          <w:sz w:val="24"/>
          <w:szCs w:val="24"/>
        </w:rPr>
        <w:t>he Information Less Frequently</w:t>
      </w:r>
      <w:r w:rsidRPr="00734203" w:rsidR="00C56D85">
        <w:rPr>
          <w:noProof/>
          <w:sz w:val="24"/>
          <w:szCs w:val="24"/>
        </w:rPr>
        <w:tab/>
        <w:t>1</w:t>
      </w:r>
      <w:r w:rsidRPr="00734203" w:rsidR="00A13B99">
        <w:rPr>
          <w:noProof/>
          <w:sz w:val="24"/>
          <w:szCs w:val="24"/>
        </w:rPr>
        <w:t>3</w:t>
      </w:r>
    </w:p>
    <w:p w:rsidR="0047226E" w:rsidRPr="00734203" w:rsidP="00635B38" w14:paraId="41EBF7D1" w14:textId="459909AC">
      <w:pPr>
        <w:pStyle w:val="TOC2"/>
        <w:spacing w:before="0" w:after="0" w:line="480" w:lineRule="auto"/>
        <w:rPr>
          <w:noProof/>
          <w:sz w:val="24"/>
          <w:szCs w:val="24"/>
        </w:rPr>
      </w:pPr>
      <w:r w:rsidRPr="00734203">
        <w:rPr>
          <w:noProof/>
          <w:sz w:val="24"/>
          <w:szCs w:val="24"/>
        </w:rPr>
        <w:t>A.7</w:t>
      </w:r>
      <w:r w:rsidRPr="00734203">
        <w:rPr>
          <w:noProof/>
          <w:sz w:val="24"/>
          <w:szCs w:val="24"/>
        </w:rPr>
        <w:tab/>
        <w:t>Special Circumstances Relating to the Guidelines of 5 CFR 1320.5</w:t>
      </w:r>
      <w:r w:rsidRPr="00734203">
        <w:rPr>
          <w:noProof/>
          <w:sz w:val="24"/>
          <w:szCs w:val="24"/>
        </w:rPr>
        <w:tab/>
      </w:r>
      <w:r w:rsidRPr="00734203" w:rsidR="0030000C">
        <w:rPr>
          <w:noProof/>
          <w:sz w:val="24"/>
          <w:szCs w:val="24"/>
        </w:rPr>
        <w:t>1</w:t>
      </w:r>
      <w:r w:rsidR="00984C98">
        <w:rPr>
          <w:noProof/>
          <w:sz w:val="24"/>
          <w:szCs w:val="24"/>
        </w:rPr>
        <w:t>3</w:t>
      </w:r>
    </w:p>
    <w:p w:rsidR="0047226E" w:rsidRPr="00734203" w:rsidP="00635B38" w14:paraId="148EDF0D" w14:textId="77777777">
      <w:pPr>
        <w:pStyle w:val="TOC2"/>
        <w:spacing w:before="0" w:after="0" w:line="480" w:lineRule="auto"/>
        <w:rPr>
          <w:noProof/>
          <w:sz w:val="24"/>
          <w:szCs w:val="24"/>
        </w:rPr>
      </w:pPr>
      <w:r w:rsidRPr="00734203">
        <w:rPr>
          <w:noProof/>
          <w:sz w:val="24"/>
          <w:szCs w:val="24"/>
        </w:rPr>
        <w:t>A.8</w:t>
      </w:r>
      <w:r w:rsidRPr="00734203">
        <w:rPr>
          <w:noProof/>
          <w:sz w:val="24"/>
          <w:szCs w:val="24"/>
        </w:rPr>
        <w:tab/>
        <w:t>Comments in Response to the Federal Register Notice and Efforts to Consult Outside the Agency</w:t>
      </w:r>
      <w:r w:rsidRPr="00734203">
        <w:rPr>
          <w:noProof/>
          <w:sz w:val="24"/>
          <w:szCs w:val="24"/>
        </w:rPr>
        <w:tab/>
      </w:r>
      <w:r w:rsidRPr="00734203" w:rsidR="00C56D85">
        <w:rPr>
          <w:noProof/>
          <w:sz w:val="24"/>
          <w:szCs w:val="24"/>
        </w:rPr>
        <w:t>1</w:t>
      </w:r>
      <w:r w:rsidRPr="00734203" w:rsidR="00CD4C1A">
        <w:rPr>
          <w:noProof/>
          <w:sz w:val="24"/>
          <w:szCs w:val="24"/>
        </w:rPr>
        <w:t>4</w:t>
      </w:r>
    </w:p>
    <w:p w:rsidR="0047226E" w:rsidRPr="00734203" w:rsidP="00635B38" w14:paraId="480FAC32" w14:textId="77777777">
      <w:pPr>
        <w:pStyle w:val="TOC2"/>
        <w:spacing w:before="0" w:after="0" w:line="480" w:lineRule="auto"/>
        <w:rPr>
          <w:noProof/>
          <w:sz w:val="24"/>
          <w:szCs w:val="24"/>
        </w:rPr>
      </w:pPr>
      <w:r w:rsidRPr="00734203">
        <w:rPr>
          <w:noProof/>
          <w:sz w:val="24"/>
          <w:szCs w:val="24"/>
        </w:rPr>
        <w:t>A.9</w:t>
      </w:r>
      <w:r w:rsidRPr="00734203">
        <w:rPr>
          <w:noProof/>
          <w:sz w:val="24"/>
          <w:szCs w:val="24"/>
        </w:rPr>
        <w:tab/>
        <w:t>Explanation of Any Payment or Gift to Respondents</w:t>
      </w:r>
      <w:r w:rsidRPr="00734203">
        <w:rPr>
          <w:noProof/>
          <w:sz w:val="24"/>
          <w:szCs w:val="24"/>
        </w:rPr>
        <w:tab/>
      </w:r>
      <w:r w:rsidRPr="00734203" w:rsidR="00C56D85">
        <w:rPr>
          <w:noProof/>
          <w:sz w:val="24"/>
          <w:szCs w:val="24"/>
        </w:rPr>
        <w:t>1</w:t>
      </w:r>
      <w:r w:rsidRPr="00734203" w:rsidR="00CD4C1A">
        <w:rPr>
          <w:noProof/>
          <w:sz w:val="24"/>
          <w:szCs w:val="24"/>
        </w:rPr>
        <w:t>5</w:t>
      </w:r>
    </w:p>
    <w:p w:rsidR="0047226E" w:rsidRPr="00734203" w:rsidP="00635B38" w14:paraId="1C4DD607" w14:textId="08DA136B">
      <w:pPr>
        <w:pStyle w:val="TOC2"/>
        <w:spacing w:before="0" w:after="0" w:line="480" w:lineRule="auto"/>
        <w:rPr>
          <w:noProof/>
          <w:sz w:val="24"/>
          <w:szCs w:val="24"/>
        </w:rPr>
      </w:pPr>
      <w:r w:rsidRPr="00734203">
        <w:rPr>
          <w:noProof/>
          <w:sz w:val="24"/>
          <w:szCs w:val="24"/>
        </w:rPr>
        <w:t>A.10</w:t>
      </w:r>
      <w:r w:rsidRPr="00734203">
        <w:rPr>
          <w:noProof/>
          <w:sz w:val="24"/>
          <w:szCs w:val="24"/>
        </w:rPr>
        <w:tab/>
        <w:t>Assurance of Confidentiality Provided to Respondents</w:t>
      </w:r>
      <w:r w:rsidRPr="00734203">
        <w:rPr>
          <w:noProof/>
          <w:sz w:val="24"/>
          <w:szCs w:val="24"/>
        </w:rPr>
        <w:tab/>
      </w:r>
      <w:r w:rsidRPr="00734203" w:rsidR="00C56D85">
        <w:rPr>
          <w:noProof/>
          <w:sz w:val="24"/>
          <w:szCs w:val="24"/>
        </w:rPr>
        <w:t>1</w:t>
      </w:r>
      <w:r w:rsidR="00984C98">
        <w:rPr>
          <w:noProof/>
          <w:sz w:val="24"/>
          <w:szCs w:val="24"/>
        </w:rPr>
        <w:t>7</w:t>
      </w:r>
    </w:p>
    <w:p w:rsidR="0047226E" w:rsidRPr="00734203" w:rsidP="00635B38" w14:paraId="7118988A" w14:textId="59089B1F">
      <w:pPr>
        <w:pStyle w:val="TOC2"/>
        <w:spacing w:before="0" w:after="0" w:line="480" w:lineRule="auto"/>
        <w:rPr>
          <w:noProof/>
          <w:sz w:val="24"/>
          <w:szCs w:val="24"/>
        </w:rPr>
      </w:pPr>
      <w:r w:rsidRPr="00734203">
        <w:rPr>
          <w:noProof/>
          <w:sz w:val="24"/>
          <w:szCs w:val="24"/>
        </w:rPr>
        <w:t>A.11</w:t>
      </w:r>
      <w:r w:rsidRPr="00734203">
        <w:rPr>
          <w:noProof/>
          <w:sz w:val="24"/>
          <w:szCs w:val="24"/>
        </w:rPr>
        <w:tab/>
        <w:t>Justification for Sensitive Questions</w:t>
      </w:r>
      <w:r w:rsidRPr="00734203">
        <w:rPr>
          <w:noProof/>
          <w:sz w:val="24"/>
          <w:szCs w:val="24"/>
        </w:rPr>
        <w:tab/>
      </w:r>
      <w:r w:rsidRPr="00734203" w:rsidR="00C56D85">
        <w:rPr>
          <w:noProof/>
          <w:sz w:val="24"/>
          <w:szCs w:val="24"/>
        </w:rPr>
        <w:t>1</w:t>
      </w:r>
      <w:r w:rsidR="00984C98">
        <w:rPr>
          <w:noProof/>
          <w:sz w:val="24"/>
          <w:szCs w:val="24"/>
        </w:rPr>
        <w:t>8</w:t>
      </w:r>
    </w:p>
    <w:p w:rsidR="0047226E" w:rsidRPr="00734203" w:rsidP="00635B38" w14:paraId="57A0E9B5" w14:textId="45389829">
      <w:pPr>
        <w:pStyle w:val="TOC2"/>
        <w:spacing w:before="0" w:after="0" w:line="480" w:lineRule="auto"/>
        <w:rPr>
          <w:noProof/>
          <w:sz w:val="24"/>
          <w:szCs w:val="24"/>
        </w:rPr>
      </w:pPr>
      <w:r w:rsidRPr="00734203">
        <w:rPr>
          <w:noProof/>
          <w:sz w:val="24"/>
          <w:szCs w:val="24"/>
        </w:rPr>
        <w:t>A.12</w:t>
      </w:r>
      <w:r w:rsidRPr="00734203">
        <w:rPr>
          <w:noProof/>
          <w:sz w:val="24"/>
          <w:szCs w:val="24"/>
        </w:rPr>
        <w:tab/>
        <w:t xml:space="preserve">Estimates of </w:t>
      </w:r>
      <w:r w:rsidRPr="00734203" w:rsidR="00217B92">
        <w:rPr>
          <w:noProof/>
          <w:sz w:val="24"/>
          <w:szCs w:val="24"/>
        </w:rPr>
        <w:t xml:space="preserve">Hour Burden Including </w:t>
      </w:r>
      <w:r w:rsidRPr="00734203">
        <w:rPr>
          <w:noProof/>
          <w:sz w:val="24"/>
          <w:szCs w:val="24"/>
        </w:rPr>
        <w:t xml:space="preserve">Annualized </w:t>
      </w:r>
      <w:r w:rsidRPr="00734203" w:rsidR="00217B92">
        <w:rPr>
          <w:noProof/>
          <w:sz w:val="24"/>
          <w:szCs w:val="24"/>
        </w:rPr>
        <w:t>Hourly</w:t>
      </w:r>
      <w:r w:rsidRPr="00734203">
        <w:rPr>
          <w:noProof/>
          <w:sz w:val="24"/>
          <w:szCs w:val="24"/>
        </w:rPr>
        <w:t xml:space="preserve"> Costs</w:t>
      </w:r>
      <w:r w:rsidRPr="00734203">
        <w:rPr>
          <w:noProof/>
          <w:sz w:val="24"/>
          <w:szCs w:val="24"/>
        </w:rPr>
        <w:tab/>
      </w:r>
      <w:r w:rsidRPr="00734203" w:rsidR="00A13B99">
        <w:rPr>
          <w:noProof/>
          <w:sz w:val="24"/>
          <w:szCs w:val="24"/>
        </w:rPr>
        <w:t>1</w:t>
      </w:r>
      <w:r w:rsidR="00984C98">
        <w:rPr>
          <w:noProof/>
          <w:sz w:val="24"/>
          <w:szCs w:val="24"/>
        </w:rPr>
        <w:t>9</w:t>
      </w:r>
    </w:p>
    <w:p w:rsidR="0047226E" w:rsidRPr="00734203" w:rsidP="00635B38" w14:paraId="53329D18" w14:textId="0D645F57">
      <w:pPr>
        <w:pStyle w:val="TOC2"/>
        <w:spacing w:before="0" w:after="0" w:line="480" w:lineRule="auto"/>
        <w:rPr>
          <w:noProof/>
          <w:sz w:val="24"/>
          <w:szCs w:val="24"/>
        </w:rPr>
      </w:pPr>
      <w:r w:rsidRPr="00734203">
        <w:rPr>
          <w:noProof/>
          <w:sz w:val="24"/>
          <w:szCs w:val="24"/>
        </w:rPr>
        <w:t>A.13</w:t>
      </w:r>
      <w:r w:rsidRPr="00734203">
        <w:rPr>
          <w:noProof/>
          <w:sz w:val="24"/>
          <w:szCs w:val="24"/>
        </w:rPr>
        <w:tab/>
        <w:t xml:space="preserve">Estimates of Other Total Annual Cost Burden to Respondents </w:t>
      </w:r>
      <w:r w:rsidRPr="00734203" w:rsidR="00E46270">
        <w:rPr>
          <w:noProof/>
          <w:sz w:val="24"/>
          <w:szCs w:val="24"/>
        </w:rPr>
        <w:t xml:space="preserve">or </w:t>
      </w:r>
    </w:p>
    <w:p w:rsidR="0047226E" w:rsidRPr="00734203" w:rsidP="00635B38" w14:paraId="57C1817A" w14:textId="4DB80CF7">
      <w:pPr>
        <w:pStyle w:val="TOC2"/>
        <w:spacing w:before="0" w:after="0" w:line="480" w:lineRule="auto"/>
        <w:rPr>
          <w:noProof/>
          <w:sz w:val="24"/>
          <w:szCs w:val="24"/>
        </w:rPr>
      </w:pPr>
      <w:r w:rsidRPr="00734203">
        <w:rPr>
          <w:noProof/>
          <w:sz w:val="24"/>
          <w:szCs w:val="24"/>
        </w:rPr>
        <w:tab/>
        <w:t>Record Keepers</w:t>
      </w:r>
      <w:r w:rsidRPr="00734203">
        <w:rPr>
          <w:noProof/>
          <w:sz w:val="24"/>
          <w:szCs w:val="24"/>
        </w:rPr>
        <w:tab/>
      </w:r>
      <w:r w:rsidRPr="00734203" w:rsidR="00A13B99">
        <w:rPr>
          <w:noProof/>
          <w:sz w:val="24"/>
          <w:szCs w:val="24"/>
        </w:rPr>
        <w:t>2</w:t>
      </w:r>
      <w:r w:rsidR="00984C98">
        <w:rPr>
          <w:noProof/>
          <w:sz w:val="24"/>
          <w:szCs w:val="24"/>
        </w:rPr>
        <w:t>1</w:t>
      </w:r>
    </w:p>
    <w:p w:rsidR="0047226E" w:rsidRPr="00734203" w:rsidP="00635B38" w14:paraId="35910468" w14:textId="407384CB">
      <w:pPr>
        <w:pStyle w:val="TOC2"/>
        <w:spacing w:before="0" w:after="0" w:line="480" w:lineRule="auto"/>
        <w:rPr>
          <w:noProof/>
          <w:sz w:val="24"/>
          <w:szCs w:val="24"/>
        </w:rPr>
      </w:pPr>
      <w:r w:rsidRPr="00734203">
        <w:rPr>
          <w:noProof/>
          <w:sz w:val="24"/>
          <w:szCs w:val="24"/>
        </w:rPr>
        <w:t>A.14</w:t>
      </w:r>
      <w:r w:rsidRPr="00734203">
        <w:rPr>
          <w:noProof/>
          <w:sz w:val="24"/>
          <w:szCs w:val="24"/>
        </w:rPr>
        <w:tab/>
        <w:t>Annualized Cost to the Federal Government</w:t>
      </w:r>
      <w:r w:rsidRPr="00734203">
        <w:rPr>
          <w:noProof/>
          <w:sz w:val="24"/>
          <w:szCs w:val="24"/>
        </w:rPr>
        <w:tab/>
      </w:r>
      <w:r w:rsidRPr="00734203" w:rsidR="00CD4C1A">
        <w:rPr>
          <w:noProof/>
          <w:sz w:val="24"/>
          <w:szCs w:val="24"/>
        </w:rPr>
        <w:t>2</w:t>
      </w:r>
      <w:r w:rsidR="00984C98">
        <w:rPr>
          <w:noProof/>
          <w:sz w:val="24"/>
          <w:szCs w:val="24"/>
        </w:rPr>
        <w:t>1</w:t>
      </w:r>
    </w:p>
    <w:p w:rsidR="0047226E" w:rsidRPr="00734203" w:rsidP="00635B38" w14:paraId="1762D084" w14:textId="45290233">
      <w:pPr>
        <w:pStyle w:val="TOC2"/>
        <w:spacing w:before="0" w:after="0" w:line="480" w:lineRule="auto"/>
        <w:rPr>
          <w:noProof/>
          <w:sz w:val="24"/>
          <w:szCs w:val="24"/>
        </w:rPr>
      </w:pPr>
      <w:r w:rsidRPr="00734203">
        <w:rPr>
          <w:noProof/>
          <w:sz w:val="24"/>
          <w:szCs w:val="24"/>
        </w:rPr>
        <w:t>A.15</w:t>
      </w:r>
      <w:r w:rsidRPr="00734203">
        <w:rPr>
          <w:noProof/>
          <w:sz w:val="24"/>
          <w:szCs w:val="24"/>
        </w:rPr>
        <w:tab/>
        <w:t>Explanation for Program Changes or Adjustments</w:t>
      </w:r>
      <w:r w:rsidRPr="00734203">
        <w:rPr>
          <w:noProof/>
          <w:sz w:val="24"/>
          <w:szCs w:val="24"/>
        </w:rPr>
        <w:tab/>
      </w:r>
      <w:r w:rsidRPr="00734203" w:rsidR="00C56D85">
        <w:rPr>
          <w:noProof/>
          <w:sz w:val="24"/>
          <w:szCs w:val="24"/>
        </w:rPr>
        <w:t>2</w:t>
      </w:r>
      <w:r w:rsidR="00984C98">
        <w:rPr>
          <w:noProof/>
          <w:sz w:val="24"/>
          <w:szCs w:val="24"/>
        </w:rPr>
        <w:t>2</w:t>
      </w:r>
    </w:p>
    <w:p w:rsidR="0047226E" w:rsidRPr="00734203" w:rsidP="00635B38" w14:paraId="44E61D69" w14:textId="0D0D09E9">
      <w:pPr>
        <w:pStyle w:val="TOC2"/>
        <w:spacing w:before="0" w:after="0" w:line="480" w:lineRule="auto"/>
        <w:rPr>
          <w:noProof/>
          <w:sz w:val="24"/>
          <w:szCs w:val="24"/>
        </w:rPr>
      </w:pPr>
      <w:r w:rsidRPr="00734203">
        <w:rPr>
          <w:noProof/>
          <w:sz w:val="24"/>
          <w:szCs w:val="24"/>
        </w:rPr>
        <w:t>A.16</w:t>
      </w:r>
      <w:r w:rsidRPr="00734203">
        <w:rPr>
          <w:noProof/>
          <w:sz w:val="24"/>
          <w:szCs w:val="24"/>
        </w:rPr>
        <w:tab/>
        <w:t>Plans for Tabulation and Publication and Project Time Schedule</w:t>
      </w:r>
      <w:r w:rsidRPr="00734203">
        <w:rPr>
          <w:noProof/>
          <w:sz w:val="24"/>
          <w:szCs w:val="24"/>
        </w:rPr>
        <w:tab/>
      </w:r>
      <w:r w:rsidRPr="00734203" w:rsidR="00C56D85">
        <w:rPr>
          <w:noProof/>
          <w:sz w:val="24"/>
          <w:szCs w:val="24"/>
        </w:rPr>
        <w:t>2</w:t>
      </w:r>
      <w:r w:rsidR="00984C98">
        <w:rPr>
          <w:noProof/>
          <w:sz w:val="24"/>
          <w:szCs w:val="24"/>
        </w:rPr>
        <w:t>2</w:t>
      </w:r>
    </w:p>
    <w:p w:rsidR="0047226E" w:rsidRPr="00734203" w:rsidP="00635B38" w14:paraId="4B032D98" w14:textId="2BCBD534">
      <w:pPr>
        <w:pStyle w:val="TOC2"/>
        <w:spacing w:before="0" w:after="0" w:line="480" w:lineRule="auto"/>
        <w:rPr>
          <w:noProof/>
          <w:sz w:val="24"/>
          <w:szCs w:val="24"/>
        </w:rPr>
      </w:pPr>
      <w:r w:rsidRPr="00734203">
        <w:rPr>
          <w:noProof/>
          <w:sz w:val="24"/>
          <w:szCs w:val="24"/>
        </w:rPr>
        <w:t>A.17</w:t>
      </w:r>
      <w:r w:rsidRPr="00734203">
        <w:rPr>
          <w:noProof/>
          <w:sz w:val="24"/>
          <w:szCs w:val="24"/>
        </w:rPr>
        <w:tab/>
        <w:t xml:space="preserve">Reason(s) Display of OMB Expiration Date </w:t>
      </w:r>
      <w:r w:rsidR="006B3F8C">
        <w:rPr>
          <w:noProof/>
          <w:sz w:val="24"/>
          <w:szCs w:val="24"/>
        </w:rPr>
        <w:t>as</w:t>
      </w:r>
      <w:r w:rsidRPr="00734203">
        <w:rPr>
          <w:noProof/>
          <w:sz w:val="24"/>
          <w:szCs w:val="24"/>
        </w:rPr>
        <w:t xml:space="preserve"> Inappropriate</w:t>
      </w:r>
      <w:r w:rsidRPr="00734203">
        <w:rPr>
          <w:noProof/>
          <w:sz w:val="24"/>
          <w:szCs w:val="24"/>
        </w:rPr>
        <w:tab/>
      </w:r>
      <w:r w:rsidRPr="00734203" w:rsidR="00C56D85">
        <w:rPr>
          <w:noProof/>
          <w:sz w:val="24"/>
          <w:szCs w:val="24"/>
        </w:rPr>
        <w:t>2</w:t>
      </w:r>
      <w:r w:rsidRPr="00734203" w:rsidR="00A13B99">
        <w:rPr>
          <w:noProof/>
          <w:sz w:val="24"/>
          <w:szCs w:val="24"/>
        </w:rPr>
        <w:t>3</w:t>
      </w:r>
    </w:p>
    <w:p w:rsidR="0047226E" w:rsidRPr="00734203" w:rsidP="00635B38" w14:paraId="53F90200" w14:textId="1C364467">
      <w:pPr>
        <w:pStyle w:val="TOC2"/>
        <w:spacing w:before="0" w:after="0" w:line="480" w:lineRule="auto"/>
        <w:rPr>
          <w:noProof/>
          <w:sz w:val="24"/>
          <w:szCs w:val="24"/>
        </w:rPr>
      </w:pPr>
      <w:r w:rsidRPr="00734203">
        <w:rPr>
          <w:noProof/>
          <w:sz w:val="24"/>
          <w:szCs w:val="24"/>
        </w:rPr>
        <w:t>A.18</w:t>
      </w:r>
      <w:r w:rsidRPr="00734203">
        <w:rPr>
          <w:noProof/>
          <w:sz w:val="24"/>
          <w:szCs w:val="24"/>
        </w:rPr>
        <w:tab/>
        <w:t>Exceptions to Certification for Paperwork Reduction Act Submissions</w:t>
      </w:r>
      <w:r w:rsidRPr="00734203">
        <w:rPr>
          <w:noProof/>
          <w:sz w:val="24"/>
          <w:szCs w:val="24"/>
        </w:rPr>
        <w:tab/>
      </w:r>
      <w:r w:rsidRPr="00734203" w:rsidR="00C56D85">
        <w:rPr>
          <w:noProof/>
          <w:sz w:val="24"/>
          <w:szCs w:val="24"/>
        </w:rPr>
        <w:t>2</w:t>
      </w:r>
      <w:r w:rsidRPr="00734203" w:rsidR="00A13B99">
        <w:rPr>
          <w:noProof/>
          <w:sz w:val="24"/>
          <w:szCs w:val="24"/>
        </w:rPr>
        <w:t>3</w:t>
      </w:r>
    </w:p>
    <w:p w:rsidR="0047226E" w:rsidP="0047226E" w14:paraId="12CE956A" w14:textId="77777777">
      <w:pPr>
        <w:numPr>
          <w:ilvl w:val="12"/>
          <w:numId w:val="0"/>
        </w:numPr>
        <w:rPr>
          <w:rFonts w:ascii="Times New Roman" w:hAnsi="Times New Roman"/>
          <w:caps/>
          <w:noProof/>
          <w:sz w:val="24"/>
          <w:szCs w:val="24"/>
        </w:rPr>
      </w:pPr>
      <w:r w:rsidRPr="00734203">
        <w:rPr>
          <w:rFonts w:ascii="Times New Roman" w:hAnsi="Times New Roman"/>
          <w:caps/>
          <w:noProof/>
          <w:sz w:val="24"/>
          <w:szCs w:val="24"/>
        </w:rPr>
        <w:fldChar w:fldCharType="end"/>
      </w:r>
    </w:p>
    <w:p w:rsidR="0047226E" w:rsidRPr="004D19C6" w:rsidP="000842FD" w14:paraId="1A46CE10" w14:textId="77777777">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Pr="004D19C6">
        <w:rPr>
          <w:rFonts w:ascii="Times New Roman" w:hAnsi="Times New Roman"/>
          <w:caps/>
          <w:noProof/>
          <w:sz w:val="24"/>
          <w:szCs w:val="24"/>
        </w:rPr>
        <w:t>Attachments</w:t>
      </w:r>
    </w:p>
    <w:p w:rsidR="0047226E" w:rsidRPr="004D19C6" w:rsidP="0047226E" w14:paraId="295C0B63" w14:textId="77777777">
      <w:pPr>
        <w:numPr>
          <w:ilvl w:val="12"/>
          <w:numId w:val="0"/>
        </w:numPr>
        <w:jc w:val="center"/>
        <w:rPr>
          <w:rFonts w:ascii="Times New Roman" w:hAnsi="Times New Roman"/>
          <w:caps/>
          <w:noProof/>
          <w:sz w:val="24"/>
          <w:szCs w:val="24"/>
        </w:rPr>
      </w:pPr>
    </w:p>
    <w:p w:rsidR="0098558F" w:rsidRPr="0003588A" w:rsidP="0047226E" w14:paraId="4B2DAB0F" w14:textId="77777777">
      <w:pPr>
        <w:numPr>
          <w:ilvl w:val="12"/>
          <w:numId w:val="0"/>
        </w:numPr>
        <w:rPr>
          <w:rFonts w:ascii="Times New Roman" w:hAnsi="Times New Roman"/>
          <w:noProof/>
          <w:sz w:val="24"/>
          <w:szCs w:val="24"/>
        </w:rPr>
      </w:pPr>
    </w:p>
    <w:p w:rsidR="001C0CDE" w:rsidP="00A14772" w14:paraId="07FFD6F4" w14:textId="54CF464F">
      <w:pPr>
        <w:numPr>
          <w:ilvl w:val="12"/>
          <w:numId w:val="0"/>
        </w:numPr>
        <w:ind w:left="2160" w:hanging="2160"/>
        <w:rPr>
          <w:rFonts w:ascii="Times New Roman" w:hAnsi="Times New Roman"/>
          <w:noProof/>
          <w:sz w:val="24"/>
          <w:szCs w:val="24"/>
          <w:highlight w:val="yellow"/>
        </w:rPr>
      </w:pPr>
      <w:bookmarkStart w:id="1" w:name="_Hlk4410924"/>
      <w:bookmarkStart w:id="2" w:name="_Hlk4408061"/>
      <w:r w:rsidRPr="001378CC">
        <w:rPr>
          <w:rFonts w:ascii="Times New Roman" w:hAnsi="Times New Roman"/>
          <w:caps/>
          <w:noProof/>
          <w:sz w:val="24"/>
          <w:szCs w:val="24"/>
        </w:rPr>
        <w:t>Attachment</w:t>
      </w:r>
      <w:r w:rsidRPr="001378CC" w:rsidR="00F20B62">
        <w:rPr>
          <w:rFonts w:ascii="Times New Roman" w:hAnsi="Times New Roman"/>
          <w:caps/>
          <w:noProof/>
          <w:sz w:val="24"/>
          <w:szCs w:val="24"/>
        </w:rPr>
        <w:t xml:space="preserve"> </w:t>
      </w:r>
      <w:r w:rsidR="001D147E">
        <w:rPr>
          <w:rFonts w:ascii="Times New Roman" w:hAnsi="Times New Roman"/>
          <w:caps/>
          <w:noProof/>
          <w:sz w:val="24"/>
          <w:szCs w:val="24"/>
        </w:rPr>
        <w:t>1</w:t>
      </w:r>
      <w:r w:rsidRPr="001378CC">
        <w:rPr>
          <w:rFonts w:ascii="Times New Roman" w:hAnsi="Times New Roman"/>
          <w:caps/>
          <w:noProof/>
          <w:sz w:val="24"/>
          <w:szCs w:val="24"/>
        </w:rPr>
        <w:t>:</w:t>
      </w:r>
      <w:r w:rsidRPr="001378CC" w:rsidR="0098558F">
        <w:rPr>
          <w:rFonts w:ascii="Times New Roman" w:hAnsi="Times New Roman"/>
          <w:caps/>
          <w:noProof/>
          <w:sz w:val="24"/>
          <w:szCs w:val="24"/>
        </w:rPr>
        <w:t xml:space="preserve"> </w:t>
      </w:r>
      <w:r w:rsidRPr="001378CC" w:rsidR="00723E7A">
        <w:rPr>
          <w:rFonts w:ascii="Times New Roman" w:hAnsi="Times New Roman"/>
          <w:caps/>
          <w:noProof/>
          <w:sz w:val="24"/>
          <w:szCs w:val="24"/>
        </w:rPr>
        <w:tab/>
      </w:r>
      <w:bookmarkStart w:id="3" w:name="_Hlk103152459"/>
      <w:r w:rsidR="00922A1E">
        <w:rPr>
          <w:rFonts w:ascii="Times New Roman" w:hAnsi="Times New Roman"/>
          <w:caps/>
          <w:noProof/>
          <w:sz w:val="24"/>
          <w:szCs w:val="24"/>
        </w:rPr>
        <w:t xml:space="preserve"> </w:t>
      </w:r>
      <w:r>
        <w:rPr>
          <w:rFonts w:ascii="Times New Roman" w:hAnsi="Times New Roman"/>
          <w:noProof/>
          <w:sz w:val="24"/>
          <w:szCs w:val="24"/>
        </w:rPr>
        <w:t>Mini Supporting Statement</w:t>
      </w:r>
    </w:p>
    <w:p w:rsidR="006B2171" w:rsidP="008562E5" w14:paraId="327FE318" w14:textId="7CE5FFCA">
      <w:pPr>
        <w:numPr>
          <w:ilvl w:val="12"/>
          <w:numId w:val="0"/>
        </w:numPr>
        <w:ind w:left="2160" w:hanging="2160"/>
        <w:rPr>
          <w:rFonts w:ascii="Times New Roman" w:hAnsi="Times New Roman"/>
          <w:noProof/>
          <w:sz w:val="24"/>
          <w:szCs w:val="24"/>
        </w:rPr>
      </w:pPr>
    </w:p>
    <w:p w:rsidR="006B2171" w:rsidP="008562E5" w14:paraId="4BFFC78A" w14:textId="24B6A226">
      <w:pPr>
        <w:numPr>
          <w:ilvl w:val="12"/>
          <w:numId w:val="0"/>
        </w:numPr>
        <w:ind w:left="2160" w:hanging="2160"/>
        <w:rPr>
          <w:rFonts w:ascii="Times New Roman" w:hAnsi="Times New Roman"/>
          <w:noProof/>
          <w:sz w:val="24"/>
          <w:szCs w:val="24"/>
        </w:rPr>
      </w:pPr>
      <w:r w:rsidRPr="00127A82">
        <w:rPr>
          <w:rFonts w:ascii="Times New Roman" w:hAnsi="Times New Roman"/>
          <w:noProof/>
          <w:sz w:val="24"/>
          <w:szCs w:val="24"/>
        </w:rPr>
        <w:t xml:space="preserve"> </w:t>
      </w:r>
    </w:p>
    <w:p w:rsidR="00A341C3" w:rsidP="008562E5" w14:paraId="7949A440" w14:textId="43FBB055">
      <w:pPr>
        <w:numPr>
          <w:ilvl w:val="12"/>
          <w:numId w:val="0"/>
        </w:numPr>
        <w:ind w:left="2160" w:hanging="2160"/>
        <w:rPr>
          <w:rFonts w:ascii="Times New Roman" w:hAnsi="Times New Roman"/>
          <w:noProof/>
          <w:sz w:val="24"/>
          <w:szCs w:val="24"/>
        </w:rPr>
      </w:pPr>
    </w:p>
    <w:bookmarkEnd w:id="3"/>
    <w:p w:rsidR="00A341C3" w:rsidRPr="00EE0379" w:rsidP="008562E5" w14:paraId="5A9B151D" w14:textId="77777777">
      <w:pPr>
        <w:numPr>
          <w:ilvl w:val="12"/>
          <w:numId w:val="0"/>
        </w:numPr>
        <w:ind w:left="2160" w:hanging="2160"/>
        <w:rPr>
          <w:rFonts w:ascii="Times New Roman" w:hAnsi="Times New Roman"/>
          <w:noProof/>
          <w:sz w:val="24"/>
          <w:szCs w:val="24"/>
        </w:rPr>
      </w:pPr>
    </w:p>
    <w:p w:rsidR="003D54E9" w:rsidRPr="00B552FB" w:rsidP="008562E5" w14:paraId="1D1805F0" w14:textId="3DA88B2D">
      <w:pPr>
        <w:numPr>
          <w:ilvl w:val="12"/>
          <w:numId w:val="0"/>
        </w:numPr>
        <w:ind w:left="2160" w:hanging="2160"/>
        <w:rPr>
          <w:rFonts w:ascii="Times New Roman" w:hAnsi="Times New Roman"/>
          <w:caps/>
          <w:noProof/>
          <w:sz w:val="24"/>
          <w:szCs w:val="24"/>
        </w:rPr>
      </w:pPr>
    </w:p>
    <w:p w:rsidR="003D54E9" w:rsidRPr="00EE0379" w:rsidP="002E51BC" w14:paraId="394911F5" w14:textId="00D714AE">
      <w:pPr>
        <w:numPr>
          <w:ilvl w:val="12"/>
          <w:numId w:val="0"/>
        </w:numPr>
        <w:ind w:left="2160" w:hanging="2160"/>
        <w:rPr>
          <w:rFonts w:ascii="Times New Roman" w:hAnsi="Times New Roman"/>
          <w:noProof/>
          <w:sz w:val="24"/>
          <w:szCs w:val="24"/>
        </w:rPr>
      </w:pPr>
      <w:bookmarkStart w:id="4" w:name="_Hlk4134871"/>
      <w:r w:rsidRPr="00B552FB">
        <w:rPr>
          <w:rFonts w:ascii="Times New Roman" w:hAnsi="Times New Roman"/>
          <w:caps/>
          <w:noProof/>
          <w:sz w:val="24"/>
          <w:szCs w:val="24"/>
        </w:rPr>
        <w:t xml:space="preserve">  </w:t>
      </w:r>
    </w:p>
    <w:bookmarkEnd w:id="4"/>
    <w:p w:rsidR="003D54E9" w:rsidRPr="0003588A" w:rsidP="00A66B64" w14:paraId="05EFFFAA" w14:textId="52D5046E">
      <w:pPr>
        <w:numPr>
          <w:ilvl w:val="12"/>
          <w:numId w:val="0"/>
        </w:numPr>
        <w:rPr>
          <w:rFonts w:ascii="Times New Roman" w:hAnsi="Times New Roman"/>
          <w:caps/>
          <w:noProof/>
          <w:sz w:val="24"/>
          <w:szCs w:val="24"/>
        </w:rPr>
      </w:pPr>
    </w:p>
    <w:p w:rsidR="00593EEE" w:rsidP="00593EEE" w14:paraId="2BBBE327" w14:textId="5EF2073F">
      <w:pPr>
        <w:numPr>
          <w:ilvl w:val="12"/>
          <w:numId w:val="0"/>
        </w:numPr>
        <w:ind w:left="2160" w:hanging="2160"/>
        <w:rPr>
          <w:rFonts w:ascii="Times New Roman" w:hAnsi="Times New Roman"/>
          <w:noProof/>
          <w:sz w:val="24"/>
          <w:szCs w:val="24"/>
          <w:highlight w:val="yellow"/>
        </w:rPr>
      </w:pPr>
      <w:bookmarkStart w:id="5" w:name="_Hlk4135258"/>
      <w:bookmarkEnd w:id="1"/>
    </w:p>
    <w:bookmarkEnd w:id="2"/>
    <w:bookmarkEnd w:id="5"/>
    <w:p w:rsidR="00CD160E" w:rsidP="000842FD" w14:paraId="274AD694" w14:textId="77777777">
      <w:pPr>
        <w:numPr>
          <w:ilvl w:val="12"/>
          <w:numId w:val="0"/>
        </w:numPr>
        <w:outlineLvl w:val="0"/>
        <w:rPr>
          <w:rFonts w:ascii="Times New Roman" w:hAnsi="Times New Roman"/>
          <w:noProof/>
          <w:sz w:val="24"/>
          <w:szCs w:val="24"/>
        </w:rPr>
      </w:pPr>
    </w:p>
    <w:p w:rsidR="00A66B64" w:rsidP="000842FD" w14:paraId="1D6DEF49" w14:textId="1D8193EC">
      <w:pPr>
        <w:numPr>
          <w:ilvl w:val="12"/>
          <w:numId w:val="0"/>
        </w:numPr>
        <w:outlineLvl w:val="0"/>
        <w:rPr>
          <w:rFonts w:ascii="Times New Roman" w:hAnsi="Times New Roman"/>
          <w:noProof/>
          <w:sz w:val="24"/>
          <w:szCs w:val="24"/>
        </w:rPr>
      </w:pPr>
    </w:p>
    <w:p w:rsidR="00A66B64" w:rsidP="000842FD" w14:paraId="0F147464" w14:textId="1EC1E7E3">
      <w:pPr>
        <w:numPr>
          <w:ilvl w:val="12"/>
          <w:numId w:val="0"/>
        </w:numPr>
        <w:outlineLvl w:val="0"/>
        <w:rPr>
          <w:rFonts w:ascii="Times New Roman" w:hAnsi="Times New Roman"/>
          <w:noProof/>
          <w:sz w:val="24"/>
          <w:szCs w:val="24"/>
        </w:rPr>
      </w:pPr>
    </w:p>
    <w:p w:rsidR="00A66B64" w:rsidP="000842FD" w14:paraId="0FE9B4DA" w14:textId="13CBCA51">
      <w:pPr>
        <w:numPr>
          <w:ilvl w:val="12"/>
          <w:numId w:val="0"/>
        </w:numPr>
        <w:outlineLvl w:val="0"/>
        <w:rPr>
          <w:rFonts w:ascii="Times New Roman" w:hAnsi="Times New Roman"/>
          <w:noProof/>
          <w:sz w:val="24"/>
          <w:szCs w:val="24"/>
        </w:rPr>
      </w:pPr>
    </w:p>
    <w:p w:rsidR="00A66B64" w:rsidP="000842FD" w14:paraId="0C1D44F8" w14:textId="59EB92C4">
      <w:pPr>
        <w:numPr>
          <w:ilvl w:val="12"/>
          <w:numId w:val="0"/>
        </w:numPr>
        <w:outlineLvl w:val="0"/>
        <w:rPr>
          <w:rFonts w:ascii="Times New Roman" w:hAnsi="Times New Roman"/>
          <w:noProof/>
          <w:sz w:val="24"/>
          <w:szCs w:val="24"/>
        </w:rPr>
      </w:pPr>
    </w:p>
    <w:p w:rsidR="00A66B64" w:rsidP="000842FD" w14:paraId="3D6A5DA4" w14:textId="349740C2">
      <w:pPr>
        <w:numPr>
          <w:ilvl w:val="12"/>
          <w:numId w:val="0"/>
        </w:numPr>
        <w:outlineLvl w:val="0"/>
        <w:rPr>
          <w:rFonts w:ascii="Times New Roman" w:hAnsi="Times New Roman"/>
          <w:noProof/>
          <w:sz w:val="24"/>
          <w:szCs w:val="24"/>
        </w:rPr>
      </w:pPr>
    </w:p>
    <w:p w:rsidR="00A66B64" w:rsidP="000842FD" w14:paraId="299C26B3" w14:textId="66855ACC">
      <w:pPr>
        <w:numPr>
          <w:ilvl w:val="12"/>
          <w:numId w:val="0"/>
        </w:numPr>
        <w:outlineLvl w:val="0"/>
        <w:rPr>
          <w:rFonts w:ascii="Times New Roman" w:hAnsi="Times New Roman"/>
          <w:noProof/>
          <w:sz w:val="24"/>
          <w:szCs w:val="24"/>
        </w:rPr>
      </w:pPr>
    </w:p>
    <w:p w:rsidR="00A66B64" w:rsidP="000842FD" w14:paraId="24F91FAC" w14:textId="0440E1FB">
      <w:pPr>
        <w:numPr>
          <w:ilvl w:val="12"/>
          <w:numId w:val="0"/>
        </w:numPr>
        <w:outlineLvl w:val="0"/>
        <w:rPr>
          <w:rFonts w:ascii="Times New Roman" w:hAnsi="Times New Roman"/>
          <w:noProof/>
          <w:sz w:val="24"/>
          <w:szCs w:val="24"/>
        </w:rPr>
      </w:pPr>
    </w:p>
    <w:p w:rsidR="00A66B64" w:rsidP="000842FD" w14:paraId="4829FB27" w14:textId="0D94DE03">
      <w:pPr>
        <w:numPr>
          <w:ilvl w:val="12"/>
          <w:numId w:val="0"/>
        </w:numPr>
        <w:outlineLvl w:val="0"/>
        <w:rPr>
          <w:rFonts w:ascii="Times New Roman" w:hAnsi="Times New Roman"/>
          <w:noProof/>
          <w:sz w:val="24"/>
          <w:szCs w:val="24"/>
        </w:rPr>
      </w:pPr>
    </w:p>
    <w:p w:rsidR="00A66B64" w:rsidP="00A66B64" w14:paraId="4A41A9AE" w14:textId="77777777">
      <w:pPr>
        <w:numPr>
          <w:ilvl w:val="12"/>
          <w:numId w:val="0"/>
        </w:numPr>
        <w:outlineLvl w:val="0"/>
        <w:rPr>
          <w:rFonts w:ascii="Times New Roman" w:hAnsi="Times New Roman"/>
          <w:noProof/>
          <w:sz w:val="24"/>
          <w:szCs w:val="24"/>
        </w:rPr>
      </w:pPr>
    </w:p>
    <w:p w:rsidR="00A66B64" w:rsidP="00A66B64" w14:paraId="38CCDFFC" w14:textId="77777777">
      <w:pPr>
        <w:numPr>
          <w:ilvl w:val="12"/>
          <w:numId w:val="0"/>
        </w:numPr>
        <w:outlineLvl w:val="0"/>
        <w:rPr>
          <w:rFonts w:ascii="Times New Roman" w:hAnsi="Times New Roman"/>
          <w:noProof/>
          <w:sz w:val="24"/>
          <w:szCs w:val="24"/>
        </w:rPr>
      </w:pPr>
    </w:p>
    <w:p w:rsidR="00A66B64" w:rsidP="000842FD" w14:paraId="2315E093" w14:textId="195525D2">
      <w:pPr>
        <w:numPr>
          <w:ilvl w:val="12"/>
          <w:numId w:val="0"/>
        </w:numPr>
        <w:outlineLvl w:val="0"/>
        <w:rPr>
          <w:rFonts w:ascii="Times New Roman" w:hAnsi="Times New Roman"/>
          <w:noProof/>
          <w:sz w:val="24"/>
          <w:szCs w:val="24"/>
        </w:rPr>
      </w:pPr>
    </w:p>
    <w:p w:rsidR="00A66B64" w:rsidP="000842FD" w14:paraId="7298A887" w14:textId="65862892">
      <w:pPr>
        <w:numPr>
          <w:ilvl w:val="12"/>
          <w:numId w:val="0"/>
        </w:numPr>
        <w:outlineLvl w:val="0"/>
        <w:rPr>
          <w:rFonts w:ascii="Times New Roman" w:hAnsi="Times New Roman"/>
          <w:noProof/>
          <w:sz w:val="24"/>
          <w:szCs w:val="24"/>
        </w:rPr>
      </w:pPr>
    </w:p>
    <w:p w:rsidR="00A66B64" w:rsidP="000842FD" w14:paraId="66CF47AC" w14:textId="38FD7B22">
      <w:pPr>
        <w:numPr>
          <w:ilvl w:val="12"/>
          <w:numId w:val="0"/>
        </w:numPr>
        <w:outlineLvl w:val="0"/>
        <w:rPr>
          <w:rFonts w:ascii="Times New Roman" w:hAnsi="Times New Roman"/>
          <w:noProof/>
          <w:sz w:val="24"/>
          <w:szCs w:val="24"/>
        </w:rPr>
      </w:pPr>
    </w:p>
    <w:p w:rsidR="00A66B64" w:rsidP="000842FD" w14:paraId="6F69A589" w14:textId="43005EF9">
      <w:pPr>
        <w:numPr>
          <w:ilvl w:val="12"/>
          <w:numId w:val="0"/>
        </w:numPr>
        <w:outlineLvl w:val="0"/>
        <w:rPr>
          <w:rFonts w:ascii="Times New Roman" w:hAnsi="Times New Roman"/>
          <w:noProof/>
          <w:sz w:val="24"/>
          <w:szCs w:val="24"/>
        </w:rPr>
      </w:pPr>
    </w:p>
    <w:p w:rsidR="00A66B64" w:rsidP="000842FD" w14:paraId="00484702" w14:textId="6FD8D551">
      <w:pPr>
        <w:numPr>
          <w:ilvl w:val="12"/>
          <w:numId w:val="0"/>
        </w:numPr>
        <w:outlineLvl w:val="0"/>
        <w:rPr>
          <w:rFonts w:ascii="Times New Roman" w:hAnsi="Times New Roman"/>
          <w:noProof/>
          <w:sz w:val="24"/>
          <w:szCs w:val="24"/>
        </w:rPr>
      </w:pPr>
    </w:p>
    <w:p w:rsidR="00A66B64" w:rsidP="000842FD" w14:paraId="6C7C6A1A" w14:textId="7BFF6266">
      <w:pPr>
        <w:numPr>
          <w:ilvl w:val="12"/>
          <w:numId w:val="0"/>
        </w:numPr>
        <w:outlineLvl w:val="0"/>
        <w:rPr>
          <w:rFonts w:ascii="Times New Roman" w:hAnsi="Times New Roman"/>
          <w:noProof/>
          <w:sz w:val="24"/>
          <w:szCs w:val="24"/>
        </w:rPr>
      </w:pPr>
    </w:p>
    <w:p w:rsidR="00A66B64" w:rsidP="000842FD" w14:paraId="0F6EE61C" w14:textId="2C7E67CF">
      <w:pPr>
        <w:numPr>
          <w:ilvl w:val="12"/>
          <w:numId w:val="0"/>
        </w:numPr>
        <w:outlineLvl w:val="0"/>
        <w:rPr>
          <w:rFonts w:ascii="Times New Roman" w:hAnsi="Times New Roman"/>
          <w:noProof/>
          <w:sz w:val="24"/>
          <w:szCs w:val="24"/>
        </w:rPr>
      </w:pPr>
    </w:p>
    <w:p w:rsidR="00A66B64" w:rsidP="000842FD" w14:paraId="08614D6A" w14:textId="17E38D7D">
      <w:pPr>
        <w:numPr>
          <w:ilvl w:val="12"/>
          <w:numId w:val="0"/>
        </w:numPr>
        <w:outlineLvl w:val="0"/>
        <w:rPr>
          <w:rFonts w:ascii="Times New Roman" w:hAnsi="Times New Roman"/>
          <w:noProof/>
          <w:sz w:val="24"/>
          <w:szCs w:val="24"/>
        </w:rPr>
      </w:pPr>
    </w:p>
    <w:p w:rsidR="00A66B64" w:rsidP="000842FD" w14:paraId="0FB7ADCF" w14:textId="149396EC">
      <w:pPr>
        <w:numPr>
          <w:ilvl w:val="12"/>
          <w:numId w:val="0"/>
        </w:numPr>
        <w:outlineLvl w:val="0"/>
        <w:rPr>
          <w:rFonts w:ascii="Times New Roman" w:hAnsi="Times New Roman"/>
          <w:noProof/>
          <w:sz w:val="24"/>
          <w:szCs w:val="24"/>
        </w:rPr>
      </w:pPr>
    </w:p>
    <w:p w:rsidR="00A66B64" w:rsidP="000842FD" w14:paraId="7D11A277" w14:textId="28929B0E">
      <w:pPr>
        <w:numPr>
          <w:ilvl w:val="12"/>
          <w:numId w:val="0"/>
        </w:numPr>
        <w:outlineLvl w:val="0"/>
        <w:rPr>
          <w:rFonts w:ascii="Times New Roman" w:hAnsi="Times New Roman"/>
          <w:noProof/>
          <w:sz w:val="24"/>
          <w:szCs w:val="24"/>
        </w:rPr>
      </w:pPr>
    </w:p>
    <w:p w:rsidR="00A66B64" w:rsidP="000842FD" w14:paraId="1B532A40" w14:textId="60889BA3">
      <w:pPr>
        <w:numPr>
          <w:ilvl w:val="12"/>
          <w:numId w:val="0"/>
        </w:numPr>
        <w:outlineLvl w:val="0"/>
        <w:rPr>
          <w:rFonts w:ascii="Times New Roman" w:hAnsi="Times New Roman"/>
          <w:noProof/>
          <w:sz w:val="24"/>
          <w:szCs w:val="24"/>
        </w:rPr>
      </w:pPr>
    </w:p>
    <w:p w:rsidR="00A66B64" w:rsidP="000842FD" w14:paraId="73C79381" w14:textId="4A72AD28">
      <w:pPr>
        <w:numPr>
          <w:ilvl w:val="12"/>
          <w:numId w:val="0"/>
        </w:numPr>
        <w:outlineLvl w:val="0"/>
        <w:rPr>
          <w:rFonts w:ascii="Times New Roman" w:hAnsi="Times New Roman"/>
          <w:noProof/>
          <w:sz w:val="24"/>
          <w:szCs w:val="24"/>
        </w:rPr>
      </w:pPr>
    </w:p>
    <w:p w:rsidR="00A66B64" w:rsidP="000842FD" w14:paraId="2C69A396" w14:textId="6BB572FA">
      <w:pPr>
        <w:numPr>
          <w:ilvl w:val="12"/>
          <w:numId w:val="0"/>
        </w:numPr>
        <w:outlineLvl w:val="0"/>
        <w:rPr>
          <w:rFonts w:ascii="Times New Roman" w:hAnsi="Times New Roman"/>
          <w:noProof/>
          <w:sz w:val="24"/>
          <w:szCs w:val="24"/>
        </w:rPr>
      </w:pPr>
    </w:p>
    <w:p w:rsidR="00A66B64" w:rsidP="000842FD" w14:paraId="2B08D795" w14:textId="0D43453A">
      <w:pPr>
        <w:numPr>
          <w:ilvl w:val="12"/>
          <w:numId w:val="0"/>
        </w:numPr>
        <w:outlineLvl w:val="0"/>
        <w:rPr>
          <w:rFonts w:ascii="Times New Roman" w:hAnsi="Times New Roman"/>
          <w:noProof/>
          <w:sz w:val="24"/>
          <w:szCs w:val="24"/>
        </w:rPr>
      </w:pPr>
    </w:p>
    <w:p w:rsidR="00A66B64" w:rsidP="000842FD" w14:paraId="68C36A3B" w14:textId="2BCF4110">
      <w:pPr>
        <w:numPr>
          <w:ilvl w:val="12"/>
          <w:numId w:val="0"/>
        </w:numPr>
        <w:outlineLvl w:val="0"/>
        <w:rPr>
          <w:rFonts w:ascii="Times New Roman" w:hAnsi="Times New Roman"/>
          <w:noProof/>
          <w:sz w:val="24"/>
          <w:szCs w:val="24"/>
        </w:rPr>
      </w:pPr>
    </w:p>
    <w:p w:rsidR="00A66B64" w:rsidP="000842FD" w14:paraId="48FFBE4E" w14:textId="163498B8">
      <w:pPr>
        <w:numPr>
          <w:ilvl w:val="12"/>
          <w:numId w:val="0"/>
        </w:numPr>
        <w:outlineLvl w:val="0"/>
        <w:rPr>
          <w:rFonts w:ascii="Times New Roman" w:hAnsi="Times New Roman"/>
          <w:noProof/>
          <w:sz w:val="24"/>
          <w:szCs w:val="24"/>
        </w:rPr>
      </w:pPr>
    </w:p>
    <w:p w:rsidR="00A66B64" w:rsidP="000842FD" w14:paraId="7AD39146" w14:textId="217920BE">
      <w:pPr>
        <w:numPr>
          <w:ilvl w:val="12"/>
          <w:numId w:val="0"/>
        </w:numPr>
        <w:outlineLvl w:val="0"/>
        <w:rPr>
          <w:rFonts w:ascii="Times New Roman" w:hAnsi="Times New Roman"/>
          <w:noProof/>
          <w:sz w:val="24"/>
          <w:szCs w:val="24"/>
        </w:rPr>
      </w:pPr>
    </w:p>
    <w:p w:rsidR="00A66B64" w:rsidP="000842FD" w14:paraId="3EE9EBAB" w14:textId="2F02E660">
      <w:pPr>
        <w:numPr>
          <w:ilvl w:val="12"/>
          <w:numId w:val="0"/>
        </w:numPr>
        <w:outlineLvl w:val="0"/>
        <w:rPr>
          <w:rFonts w:ascii="Times New Roman" w:hAnsi="Times New Roman"/>
          <w:noProof/>
          <w:sz w:val="24"/>
          <w:szCs w:val="24"/>
        </w:rPr>
      </w:pPr>
    </w:p>
    <w:p w:rsidR="00A66B64" w:rsidP="000842FD" w14:paraId="1D4CAFE4" w14:textId="22048E74">
      <w:pPr>
        <w:numPr>
          <w:ilvl w:val="12"/>
          <w:numId w:val="0"/>
        </w:numPr>
        <w:outlineLvl w:val="0"/>
        <w:rPr>
          <w:rFonts w:ascii="Times New Roman" w:hAnsi="Times New Roman"/>
          <w:noProof/>
          <w:sz w:val="24"/>
          <w:szCs w:val="24"/>
        </w:rPr>
      </w:pPr>
    </w:p>
    <w:p w:rsidR="00A66B64" w:rsidP="000842FD" w14:paraId="23D9BCB4" w14:textId="73290095">
      <w:pPr>
        <w:numPr>
          <w:ilvl w:val="12"/>
          <w:numId w:val="0"/>
        </w:numPr>
        <w:outlineLvl w:val="0"/>
        <w:rPr>
          <w:rFonts w:ascii="Times New Roman" w:hAnsi="Times New Roman"/>
          <w:noProof/>
          <w:sz w:val="24"/>
          <w:szCs w:val="24"/>
        </w:rPr>
      </w:pPr>
    </w:p>
    <w:p w:rsidR="00AB0BCF" w14:paraId="07084101" w14:textId="48477EF3">
      <w:pPr>
        <w:autoSpaceDE/>
        <w:autoSpaceDN/>
        <w:adjustRightInd/>
        <w:rPr>
          <w:rFonts w:ascii="Times New Roman" w:hAnsi="Times New Roman"/>
          <w:noProof/>
          <w:sz w:val="24"/>
          <w:szCs w:val="24"/>
        </w:rPr>
      </w:pPr>
      <w:r>
        <w:rPr>
          <w:rFonts w:ascii="Times New Roman" w:hAnsi="Times New Roman"/>
          <w:noProof/>
          <w:sz w:val="24"/>
          <w:szCs w:val="24"/>
        </w:rPr>
        <w:br w:type="page"/>
      </w:r>
    </w:p>
    <w:p w:rsidR="00DF3C42" w:rsidRPr="00020165" w:rsidP="0047226E" w14:paraId="02A3DC76" w14:textId="77777777">
      <w:pPr>
        <w:numPr>
          <w:ilvl w:val="12"/>
          <w:numId w:val="0"/>
        </w:numPr>
        <w:rPr>
          <w:rFonts w:ascii="Times New Roman" w:hAnsi="Times New Roman"/>
          <w:noProof/>
          <w:sz w:val="24"/>
          <w:szCs w:val="24"/>
        </w:rPr>
        <w:sectPr w:rsidSect="00120EB3">
          <w:footerReference w:type="default" r:id="rId6"/>
          <w:pgSz w:w="12240" w:h="15840"/>
          <w:pgMar w:top="1170" w:right="1440" w:bottom="1440" w:left="1440" w:header="1440" w:footer="1440" w:gutter="0"/>
          <w:pgNumType w:start="1"/>
          <w:cols w:space="720"/>
          <w:noEndnote/>
          <w:titlePg/>
          <w:docGrid w:linePitch="272"/>
        </w:sectPr>
      </w:pPr>
    </w:p>
    <w:p w:rsidR="00300DDD" w:rsidP="00CC7AE0" w14:paraId="76BC7634" w14:textId="77777777">
      <w:pPr>
        <w:numPr>
          <w:ilvl w:val="0"/>
          <w:numId w:val="14"/>
        </w:numPr>
        <w:spacing w:line="360" w:lineRule="auto"/>
        <w:ind w:left="720" w:hanging="720"/>
        <w:rPr>
          <w:rFonts w:ascii="Times New Roman" w:hAnsi="Times New Roman"/>
          <w:b/>
          <w:bCs/>
          <w:sz w:val="24"/>
          <w:szCs w:val="24"/>
        </w:rPr>
      </w:pPr>
      <w:r w:rsidRPr="00085760">
        <w:rPr>
          <w:rFonts w:ascii="Times New Roman" w:hAnsi="Times New Roman"/>
          <w:b/>
          <w:bCs/>
          <w:sz w:val="24"/>
          <w:szCs w:val="24"/>
        </w:rPr>
        <w:t>JUSTIFICATION</w:t>
      </w:r>
    </w:p>
    <w:p w:rsidR="00300DDD" w:rsidP="00CC7AE0" w14:paraId="1AE9FB54" w14:textId="77777777">
      <w:pPr>
        <w:spacing w:line="360" w:lineRule="auto"/>
        <w:rPr>
          <w:rFonts w:ascii="Times New Roman" w:hAnsi="Times New Roman"/>
          <w:sz w:val="24"/>
          <w:szCs w:val="24"/>
        </w:rPr>
      </w:pPr>
    </w:p>
    <w:p w:rsidR="00300DDD" w:rsidRPr="00300DDD" w:rsidP="00CC7AE0" w14:paraId="5951621B" w14:textId="109AF634">
      <w:pPr>
        <w:spacing w:line="360" w:lineRule="auto"/>
        <w:rPr>
          <w:rFonts w:ascii="Times New Roman" w:hAnsi="Times New Roman"/>
          <w:b/>
          <w:bCs/>
          <w:sz w:val="24"/>
          <w:szCs w:val="24"/>
        </w:rPr>
      </w:pPr>
      <w:r w:rsidRPr="00EB44A8">
        <w:rPr>
          <w:rFonts w:ascii="Times New Roman" w:hAnsi="Times New Roman"/>
          <w:sz w:val="24"/>
          <w:szCs w:val="24"/>
          <w:highlight w:val="yellow"/>
        </w:rPr>
        <w:t xml:space="preserve">This </w:t>
      </w:r>
      <w:r w:rsidR="0032563B">
        <w:rPr>
          <w:rFonts w:ascii="Times New Roman" w:hAnsi="Times New Roman"/>
          <w:sz w:val="24"/>
          <w:szCs w:val="24"/>
          <w:highlight w:val="yellow"/>
        </w:rPr>
        <w:t xml:space="preserve">revision </w:t>
      </w:r>
      <w:bookmarkStart w:id="6" w:name="_Hlk116647484"/>
      <w:r w:rsidR="0032563B">
        <w:rPr>
          <w:rFonts w:ascii="Times New Roman" w:hAnsi="Times New Roman"/>
          <w:sz w:val="24"/>
          <w:szCs w:val="24"/>
          <w:highlight w:val="yellow"/>
        </w:rPr>
        <w:t>request</w:t>
      </w:r>
      <w:r w:rsidRPr="00EB44A8" w:rsidR="00F51D0A">
        <w:rPr>
          <w:rFonts w:ascii="Times New Roman" w:hAnsi="Times New Roman"/>
          <w:sz w:val="24"/>
          <w:szCs w:val="24"/>
          <w:highlight w:val="yellow"/>
        </w:rPr>
        <w:t xml:space="preserve"> explores t</w:t>
      </w:r>
      <w:r w:rsidRPr="00EB44A8">
        <w:rPr>
          <w:rFonts w:ascii="Times New Roman" w:hAnsi="Times New Roman"/>
          <w:sz w:val="24"/>
          <w:szCs w:val="24"/>
          <w:highlight w:val="yellow"/>
        </w:rPr>
        <w:t>esting messages</w:t>
      </w:r>
      <w:r w:rsidRPr="00EB44A8" w:rsidR="00DB7ECB">
        <w:rPr>
          <w:rFonts w:ascii="Times New Roman" w:hAnsi="Times New Roman"/>
          <w:sz w:val="24"/>
          <w:szCs w:val="24"/>
          <w:highlight w:val="yellow"/>
        </w:rPr>
        <w:t xml:space="preserve">, forms, applications and </w:t>
      </w:r>
      <w:r w:rsidRPr="00EB44A8">
        <w:rPr>
          <w:rFonts w:ascii="Times New Roman" w:hAnsi="Times New Roman"/>
          <w:sz w:val="24"/>
          <w:szCs w:val="24"/>
          <w:highlight w:val="yellow"/>
        </w:rPr>
        <w:t>materials</w:t>
      </w:r>
      <w:r w:rsidRPr="00EB44A8" w:rsidR="00DB7ECB">
        <w:rPr>
          <w:rFonts w:ascii="Times New Roman" w:hAnsi="Times New Roman"/>
          <w:sz w:val="24"/>
          <w:szCs w:val="24"/>
          <w:highlight w:val="yellow"/>
        </w:rPr>
        <w:t xml:space="preserve"> to</w:t>
      </w:r>
      <w:r w:rsidRPr="00EB44A8">
        <w:rPr>
          <w:rFonts w:ascii="Times New Roman" w:hAnsi="Times New Roman"/>
          <w:sz w:val="24"/>
          <w:szCs w:val="24"/>
          <w:highlight w:val="yellow"/>
        </w:rPr>
        <w:t xml:space="preserve"> assess their potential effectiveness in reaching and communicating with their intended audience while they are still in the developmental stage.  The formative research</w:t>
      </w:r>
      <w:r w:rsidR="000B283F">
        <w:rPr>
          <w:rFonts w:ascii="Times New Roman" w:hAnsi="Times New Roman"/>
          <w:sz w:val="24"/>
          <w:szCs w:val="24"/>
          <w:highlight w:val="yellow"/>
        </w:rPr>
        <w:t>, pilot testing</w:t>
      </w:r>
      <w:r w:rsidRPr="00EB44A8">
        <w:rPr>
          <w:rFonts w:ascii="Times New Roman" w:hAnsi="Times New Roman"/>
          <w:sz w:val="24"/>
          <w:szCs w:val="24"/>
          <w:highlight w:val="yellow"/>
        </w:rPr>
        <w:t xml:space="preserve"> and pretesting process must ensure the relevance, utility, and appropriateness of the many</w:t>
      </w:r>
      <w:r w:rsidR="000B283F">
        <w:rPr>
          <w:rFonts w:ascii="Times New Roman" w:hAnsi="Times New Roman"/>
          <w:sz w:val="24"/>
          <w:szCs w:val="24"/>
          <w:highlight w:val="yellow"/>
        </w:rPr>
        <w:t xml:space="preserve"> mediums used for forms/applications,</w:t>
      </w:r>
      <w:r w:rsidRPr="00EB44A8">
        <w:rPr>
          <w:rFonts w:ascii="Times New Roman" w:hAnsi="Times New Roman"/>
          <w:sz w:val="24"/>
          <w:szCs w:val="24"/>
          <w:highlight w:val="yellow"/>
        </w:rPr>
        <w:t xml:space="preserve"> educational programs and products that the </w:t>
      </w:r>
      <w:r w:rsidRPr="00EB44A8" w:rsidR="00F51D0A">
        <w:rPr>
          <w:rFonts w:ascii="Times New Roman" w:hAnsi="Times New Roman"/>
          <w:sz w:val="24"/>
          <w:szCs w:val="24"/>
          <w:highlight w:val="yellow"/>
        </w:rPr>
        <w:t>agency</w:t>
      </w:r>
      <w:r w:rsidRPr="00EB44A8">
        <w:rPr>
          <w:rFonts w:ascii="Times New Roman" w:hAnsi="Times New Roman"/>
          <w:sz w:val="24"/>
          <w:szCs w:val="24"/>
          <w:highlight w:val="yellow"/>
        </w:rPr>
        <w:t xml:space="preserve"> produces. Customer satisfaction studies help identify modifications necessary to meet the needs of various target audiences.  Approval is </w:t>
      </w:r>
      <w:r w:rsidRPr="00EB44A8">
        <w:rPr>
          <w:rFonts w:ascii="Times New Roman" w:hAnsi="Times New Roman"/>
          <w:noProof/>
          <w:sz w:val="24"/>
          <w:szCs w:val="24"/>
          <w:highlight w:val="yellow"/>
        </w:rPr>
        <w:t>requested</w:t>
      </w:r>
      <w:r w:rsidRPr="00EB44A8">
        <w:rPr>
          <w:rFonts w:ascii="Times New Roman" w:hAnsi="Times New Roman"/>
          <w:sz w:val="24"/>
          <w:szCs w:val="24"/>
          <w:highlight w:val="yellow"/>
        </w:rPr>
        <w:t xml:space="preserve"> for the conduct of multiple studies annually using such methods as interviews, focus groups, and various types of surveys</w:t>
      </w:r>
      <w:r w:rsidRPr="00EB44A8" w:rsidR="00F51D0A">
        <w:rPr>
          <w:rFonts w:ascii="Times New Roman" w:hAnsi="Times New Roman"/>
          <w:sz w:val="24"/>
          <w:szCs w:val="24"/>
          <w:highlight w:val="yellow"/>
        </w:rPr>
        <w:t>, forms or applications</w:t>
      </w:r>
      <w:r w:rsidRPr="00EB44A8">
        <w:rPr>
          <w:rFonts w:ascii="Times New Roman" w:hAnsi="Times New Roman"/>
          <w:sz w:val="24"/>
          <w:szCs w:val="24"/>
          <w:highlight w:val="yellow"/>
        </w:rPr>
        <w:t xml:space="preserve">.  The content, timing, and respondents included in each sub-study will vary depending on the nature of the message/material/program </w:t>
      </w:r>
      <w:r w:rsidRPr="00EB44A8">
        <w:rPr>
          <w:rFonts w:ascii="Times New Roman" w:hAnsi="Times New Roman"/>
          <w:noProof/>
          <w:sz w:val="24"/>
          <w:szCs w:val="24"/>
          <w:highlight w:val="yellow"/>
        </w:rPr>
        <w:t>being assessed</w:t>
      </w:r>
      <w:r w:rsidRPr="00EB44A8">
        <w:rPr>
          <w:rFonts w:ascii="Times New Roman" w:hAnsi="Times New Roman"/>
          <w:sz w:val="24"/>
          <w:szCs w:val="24"/>
          <w:highlight w:val="yellow"/>
        </w:rPr>
        <w:t>, the methodology selected, and the target audiences.</w:t>
      </w:r>
      <w:r w:rsidRPr="00300DDD">
        <w:rPr>
          <w:rFonts w:ascii="Times New Roman" w:hAnsi="Times New Roman"/>
          <w:sz w:val="24"/>
          <w:szCs w:val="24"/>
        </w:rPr>
        <w:t xml:space="preserve">  </w:t>
      </w:r>
    </w:p>
    <w:bookmarkEnd w:id="6"/>
    <w:p w:rsidR="00F85ECB" w:rsidP="00CC7AE0" w14:paraId="2A2A7BF8" w14:textId="77777777">
      <w:pPr>
        <w:numPr>
          <w:ilvl w:val="12"/>
          <w:numId w:val="0"/>
        </w:numPr>
        <w:spacing w:line="360" w:lineRule="auto"/>
        <w:rPr>
          <w:rFonts w:ascii="Times New Roman" w:hAnsi="Times New Roman"/>
          <w:b/>
          <w:bCs/>
          <w:sz w:val="24"/>
          <w:szCs w:val="24"/>
        </w:rPr>
      </w:pPr>
    </w:p>
    <w:p w:rsidR="00085760" w:rsidRPr="00085760" w:rsidP="00CC7AE0" w14:paraId="3AE2A393" w14:textId="77777777">
      <w:pPr>
        <w:numPr>
          <w:ilvl w:val="12"/>
          <w:numId w:val="0"/>
        </w:numPr>
        <w:tabs>
          <w:tab w:val="left" w:pos="72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Pr="00085760">
        <w:rPr>
          <w:rFonts w:ascii="Times New Roman" w:hAnsi="Times New Roman"/>
          <w:b/>
          <w:bCs/>
          <w:sz w:val="24"/>
          <w:szCs w:val="24"/>
          <w:u w:val="single"/>
        </w:rPr>
        <w:t>Circumstances Making the Collection of Information Necessary</w:t>
      </w:r>
    </w:p>
    <w:p w:rsidR="008471D8" w:rsidP="00CC7AE0" w14:paraId="40D962E8" w14:textId="77777777">
      <w:pPr>
        <w:spacing w:line="360" w:lineRule="auto"/>
        <w:ind w:right="-180"/>
        <w:rPr>
          <w:rFonts w:ascii="Times New Roman" w:hAnsi="Times New Roman"/>
          <w:sz w:val="24"/>
        </w:rPr>
      </w:pPr>
      <w:r>
        <w:rPr>
          <w:rFonts w:ascii="Times New Roman" w:hAnsi="Times New Roman"/>
          <w:sz w:val="24"/>
        </w:rPr>
        <w:tab/>
      </w:r>
    </w:p>
    <w:p w:rsidR="00085760" w:rsidRPr="000D4441" w:rsidP="000D4441" w14:paraId="5487AF7F" w14:textId="681FDB38">
      <w:pPr>
        <w:spacing w:line="360" w:lineRule="auto"/>
        <w:ind w:right="-180"/>
        <w:rPr>
          <w:rFonts w:ascii="Times New Roman" w:hAnsi="Times New Roman"/>
          <w:sz w:val="24"/>
        </w:rPr>
      </w:pPr>
      <w:r>
        <w:rPr>
          <w:rFonts w:ascii="Times New Roman" w:hAnsi="Times New Roman"/>
          <w:sz w:val="24"/>
        </w:rPr>
        <w:t>NIH</w:t>
      </w:r>
      <w:r w:rsidRPr="00EB44A8">
        <w:rPr>
          <w:rFonts w:ascii="Times New Roman" w:hAnsi="Times New Roman"/>
          <w:sz w:val="24"/>
        </w:rPr>
        <w:t xml:space="preserve"> is requesting</w:t>
      </w:r>
      <w:r>
        <w:rPr>
          <w:rFonts w:ascii="Times New Roman" w:hAnsi="Times New Roman"/>
          <w:sz w:val="24"/>
        </w:rPr>
        <w:t xml:space="preserve"> </w:t>
      </w:r>
      <w:r w:rsidRPr="00EB44A8">
        <w:rPr>
          <w:rFonts w:ascii="Times New Roman" w:hAnsi="Times New Roman"/>
          <w:sz w:val="24"/>
        </w:rPr>
        <w:t xml:space="preserve">this generic clearance to test new or proposed methodologies for surveys and </w:t>
      </w:r>
      <w:r>
        <w:rPr>
          <w:rFonts w:ascii="Times New Roman" w:hAnsi="Times New Roman"/>
          <w:sz w:val="24"/>
        </w:rPr>
        <w:t xml:space="preserve">other </w:t>
      </w:r>
      <w:r w:rsidRPr="00EB44A8">
        <w:rPr>
          <w:rFonts w:ascii="Times New Roman" w:hAnsi="Times New Roman"/>
          <w:sz w:val="24"/>
        </w:rPr>
        <w:t xml:space="preserve">data collection activities. </w:t>
      </w:r>
      <w:r w:rsidR="00126ACA">
        <w:rPr>
          <w:rFonts w:ascii="Times New Roman" w:hAnsi="Times New Roman"/>
          <w:sz w:val="24"/>
        </w:rPr>
        <w:t>This</w:t>
      </w:r>
      <w:r w:rsidRPr="00EB44A8">
        <w:rPr>
          <w:rFonts w:ascii="Times New Roman" w:hAnsi="Times New Roman"/>
          <w:sz w:val="24"/>
        </w:rPr>
        <w:t xml:space="preserve"> clearance </w:t>
      </w:r>
      <w:r w:rsidR="00126ACA">
        <w:rPr>
          <w:rFonts w:ascii="Times New Roman" w:hAnsi="Times New Roman"/>
          <w:sz w:val="24"/>
        </w:rPr>
        <w:t xml:space="preserve">will be a </w:t>
      </w:r>
      <w:r w:rsidRPr="00EB44A8">
        <w:rPr>
          <w:rFonts w:ascii="Times New Roman" w:hAnsi="Times New Roman"/>
          <w:sz w:val="24"/>
        </w:rPr>
        <w:t xml:space="preserve">helpful vehicle for </w:t>
      </w:r>
      <w:r w:rsidRPr="00EB44A8" w:rsidR="00126ACA">
        <w:rPr>
          <w:rFonts w:ascii="Times New Roman" w:hAnsi="Times New Roman"/>
          <w:sz w:val="24"/>
        </w:rPr>
        <w:t>assessing</w:t>
      </w:r>
      <w:r w:rsidRPr="00EB44A8">
        <w:rPr>
          <w:rFonts w:ascii="Times New Roman" w:hAnsi="Times New Roman"/>
          <w:sz w:val="24"/>
        </w:rPr>
        <w:t xml:space="preserve"> </w:t>
      </w:r>
      <w:r w:rsidR="00126ACA">
        <w:rPr>
          <w:rFonts w:ascii="Times New Roman" w:hAnsi="Times New Roman"/>
          <w:sz w:val="24"/>
        </w:rPr>
        <w:t xml:space="preserve">applications, forms, </w:t>
      </w:r>
      <w:r w:rsidRPr="00EB44A8">
        <w:rPr>
          <w:rFonts w:ascii="Times New Roman" w:hAnsi="Times New Roman"/>
          <w:sz w:val="24"/>
        </w:rPr>
        <w:t xml:space="preserve">questionnaires and various other data collection procedures related to data collections. </w:t>
      </w:r>
      <w:r w:rsidRPr="00126ACA" w:rsidR="00126ACA">
        <w:rPr>
          <w:rFonts w:ascii="Times New Roman" w:hAnsi="Times New Roman"/>
          <w:sz w:val="24"/>
        </w:rPr>
        <w:t xml:space="preserve">Section 413 (b) (3) of the Public Health Service Act, 42 U.S. Code § 285 gives NIH the authority to collect this information.  </w:t>
      </w:r>
      <w:r w:rsidRPr="0003588A" w:rsidR="004464E3">
        <w:rPr>
          <w:rFonts w:ascii="Times New Roman" w:hAnsi="Times New Roman"/>
          <w:sz w:val="24"/>
        </w:rPr>
        <w:t xml:space="preserve">The research conducted </w:t>
      </w:r>
      <w:r w:rsidR="00126ACA">
        <w:rPr>
          <w:rFonts w:ascii="Times New Roman" w:hAnsi="Times New Roman"/>
          <w:sz w:val="24"/>
        </w:rPr>
        <w:t xml:space="preserve">at NIH </w:t>
      </w:r>
      <w:r w:rsidRPr="0003588A" w:rsidR="004464E3">
        <w:rPr>
          <w:rFonts w:ascii="Times New Roman" w:hAnsi="Times New Roman"/>
          <w:sz w:val="24"/>
        </w:rPr>
        <w:t>help</w:t>
      </w:r>
      <w:r w:rsidR="001965E9">
        <w:rPr>
          <w:rFonts w:ascii="Times New Roman" w:hAnsi="Times New Roman"/>
          <w:sz w:val="24"/>
        </w:rPr>
        <w:t>s</w:t>
      </w:r>
      <w:r w:rsidRPr="0003588A" w:rsidR="004464E3">
        <w:rPr>
          <w:rFonts w:ascii="Times New Roman" w:hAnsi="Times New Roman"/>
          <w:sz w:val="24"/>
        </w:rPr>
        <w:t xml:space="preserve"> ensure communication and education resources are appropriate, useful, and effective</w:t>
      </w:r>
      <w:r w:rsidRPr="00120EB3" w:rsidR="004464E3">
        <w:rPr>
          <w:rFonts w:ascii="Times New Roman" w:hAnsi="Times New Roman"/>
          <w:sz w:val="24"/>
        </w:rPr>
        <w:t>.</w:t>
      </w:r>
      <w:r w:rsidRPr="00120EB3">
        <w:rPr>
          <w:rFonts w:ascii="Times New Roman" w:hAnsi="Times New Roman"/>
          <w:i/>
          <w:sz w:val="24"/>
        </w:rPr>
        <w:t xml:space="preserve"> </w:t>
      </w:r>
      <w:r w:rsidRPr="00120EB3" w:rsidR="00BB043E">
        <w:rPr>
          <w:rFonts w:ascii="Times New Roman" w:hAnsi="Times New Roman"/>
          <w:bCs/>
          <w:sz w:val="24"/>
        </w:rPr>
        <w:t>Purpose, use, methodology</w:t>
      </w:r>
      <w:r w:rsidRPr="00120EB3" w:rsidR="00182416">
        <w:rPr>
          <w:rFonts w:ascii="Times New Roman" w:hAnsi="Times New Roman"/>
          <w:bCs/>
          <w:sz w:val="24"/>
        </w:rPr>
        <w:t>,</w:t>
      </w:r>
      <w:r w:rsidRPr="00120EB3" w:rsidR="00BB043E">
        <w:rPr>
          <w:rFonts w:ascii="Times New Roman" w:hAnsi="Times New Roman"/>
          <w:bCs/>
          <w:sz w:val="24"/>
        </w:rPr>
        <w:t xml:space="preserve"> and design remain the same as the previously approved submission</w:t>
      </w:r>
      <w:r w:rsidR="001965E9">
        <w:rPr>
          <w:rFonts w:ascii="Times New Roman" w:hAnsi="Times New Roman"/>
          <w:bCs/>
          <w:sz w:val="24"/>
        </w:rPr>
        <w:t xml:space="preserve"> with the addition of pilot testing</w:t>
      </w:r>
      <w:r w:rsidRPr="00120EB3" w:rsidR="00BB043E">
        <w:rPr>
          <w:rFonts w:ascii="Times New Roman" w:hAnsi="Times New Roman"/>
          <w:bCs/>
          <w:sz w:val="24"/>
        </w:rPr>
        <w:t>.</w:t>
      </w:r>
      <w:r w:rsidR="0032563B">
        <w:rPr>
          <w:rFonts w:ascii="Times New Roman" w:hAnsi="Times New Roman"/>
          <w:bCs/>
          <w:sz w:val="24"/>
        </w:rPr>
        <w:t xml:space="preserve"> </w:t>
      </w:r>
      <w:r w:rsidRPr="0032563B" w:rsidR="0032563B">
        <w:rPr>
          <w:rFonts w:ascii="Times New Roman" w:hAnsi="Times New Roman"/>
          <w:bCs/>
          <w:sz w:val="24"/>
        </w:rPr>
        <w:t>The procedures utilized to this effect include, but are not limited to, tests of various types of survey and data collection operations through focus groups, cognitive laboratory activities, pilot testing, field testing, exploratory interviews, experiments with questionnaire design, and usability testing of electronic data collection instruments.</w:t>
      </w:r>
      <w:r w:rsidR="000D4441">
        <w:rPr>
          <w:rFonts w:ascii="Times New Roman" w:hAnsi="Times New Roman"/>
          <w:sz w:val="24"/>
        </w:rPr>
        <w:t xml:space="preserve"> </w:t>
      </w:r>
      <w:r w:rsidR="00EB4F4A">
        <w:rPr>
          <w:rFonts w:ascii="Times New Roman" w:hAnsi="Times New Roman"/>
          <w:sz w:val="24"/>
          <w:szCs w:val="24"/>
        </w:rPr>
        <w:t>Many of our Institutes and Centers</w:t>
      </w:r>
      <w:r w:rsidRPr="00085760">
        <w:rPr>
          <w:rFonts w:ascii="Times New Roman" w:hAnsi="Times New Roman"/>
          <w:sz w:val="24"/>
        </w:rPr>
        <w:t xml:space="preserve"> </w:t>
      </w:r>
      <w:r w:rsidR="00EB4F4A">
        <w:rPr>
          <w:rFonts w:ascii="Times New Roman" w:hAnsi="Times New Roman"/>
          <w:sz w:val="24"/>
          <w:szCs w:val="24"/>
        </w:rPr>
        <w:t xml:space="preserve">conduct </w:t>
      </w:r>
      <w:r w:rsidRPr="00085760">
        <w:rPr>
          <w:rFonts w:ascii="Times New Roman" w:hAnsi="Times New Roman"/>
          <w:sz w:val="24"/>
          <w:szCs w:val="24"/>
        </w:rPr>
        <w:t xml:space="preserve">research on </w:t>
      </w:r>
      <w:r w:rsidR="00EB4F4A">
        <w:rPr>
          <w:rFonts w:ascii="Times New Roman" w:hAnsi="Times New Roman"/>
          <w:sz w:val="24"/>
          <w:szCs w:val="24"/>
        </w:rPr>
        <w:t>various health related diseases</w:t>
      </w:r>
      <w:r w:rsidRPr="00085760">
        <w:rPr>
          <w:rFonts w:ascii="Times New Roman" w:hAnsi="Times New Roman"/>
          <w:sz w:val="24"/>
          <w:szCs w:val="24"/>
        </w:rPr>
        <w:t xml:space="preserve">, prevention, detection, diagnosis, treatment, and rehabilitation, and </w:t>
      </w:r>
      <w:r w:rsidR="00EB4F4A">
        <w:rPr>
          <w:rFonts w:ascii="Times New Roman" w:hAnsi="Times New Roman"/>
          <w:sz w:val="24"/>
          <w:szCs w:val="24"/>
        </w:rPr>
        <w:t>dissemination</w:t>
      </w:r>
      <w:r w:rsidRPr="00085760">
        <w:rPr>
          <w:rFonts w:ascii="Times New Roman" w:hAnsi="Times New Roman"/>
          <w:sz w:val="24"/>
          <w:szCs w:val="24"/>
        </w:rPr>
        <w:t xml:space="preserve"> </w:t>
      </w:r>
      <w:r w:rsidR="006B2171">
        <w:rPr>
          <w:rFonts w:ascii="Times New Roman" w:hAnsi="Times New Roman"/>
          <w:sz w:val="24"/>
          <w:szCs w:val="24"/>
        </w:rPr>
        <w:t xml:space="preserve">of </w:t>
      </w:r>
      <w:r w:rsidRPr="00085760">
        <w:rPr>
          <w:rFonts w:ascii="Times New Roman" w:hAnsi="Times New Roman"/>
          <w:sz w:val="24"/>
          <w:szCs w:val="24"/>
        </w:rPr>
        <w:t>information</w:t>
      </w:r>
      <w:r w:rsidR="00122864">
        <w:rPr>
          <w:rFonts w:ascii="Times New Roman" w:hAnsi="Times New Roman"/>
          <w:sz w:val="24"/>
          <w:szCs w:val="24"/>
        </w:rPr>
        <w:t xml:space="preserve"> </w:t>
      </w:r>
      <w:r w:rsidRPr="00085760">
        <w:rPr>
          <w:rFonts w:ascii="Times New Roman" w:hAnsi="Times New Roman"/>
          <w:sz w:val="24"/>
          <w:szCs w:val="24"/>
        </w:rPr>
        <w:t>that provide</w:t>
      </w:r>
      <w:r w:rsidR="004D19C6">
        <w:rPr>
          <w:rFonts w:ascii="Times New Roman" w:hAnsi="Times New Roman"/>
          <w:sz w:val="24"/>
          <w:szCs w:val="24"/>
        </w:rPr>
        <w:t>s</w:t>
      </w:r>
      <w:r w:rsidRPr="00085760">
        <w:rPr>
          <w:rFonts w:ascii="Times New Roman" w:hAnsi="Times New Roman"/>
          <w:sz w:val="24"/>
          <w:szCs w:val="24"/>
        </w:rPr>
        <w:t xml:space="preserve"> communications expertise within a variety of organizations and audiences, including Congress, other executive agencies, state and local </w:t>
      </w:r>
      <w:r w:rsidRPr="00085760">
        <w:rPr>
          <w:rFonts w:ascii="Times New Roman" w:hAnsi="Times New Roman"/>
          <w:sz w:val="24"/>
          <w:szCs w:val="24"/>
        </w:rPr>
        <w:t xml:space="preserve">governments, scientific and medical communities and institutions, voluntary groups, the press, the </w:t>
      </w:r>
      <w:r w:rsidRPr="00085760">
        <w:rPr>
          <w:rFonts w:ascii="Times New Roman" w:hAnsi="Times New Roman"/>
          <w:sz w:val="24"/>
          <w:szCs w:val="24"/>
        </w:rPr>
        <w:t>general public</w:t>
      </w:r>
      <w:r w:rsidRPr="00085760">
        <w:rPr>
          <w:rFonts w:ascii="Times New Roman" w:hAnsi="Times New Roman"/>
          <w:sz w:val="24"/>
          <w:szCs w:val="24"/>
        </w:rPr>
        <w:t xml:space="preserve">. </w:t>
      </w:r>
    </w:p>
    <w:p w:rsidR="00122864" w:rsidRPr="00122864" w:rsidP="00122864" w14:paraId="0B3B2FCC" w14:textId="77777777">
      <w:pPr>
        <w:numPr>
          <w:ilvl w:val="12"/>
          <w:numId w:val="0"/>
        </w:numPr>
        <w:spacing w:line="360" w:lineRule="auto"/>
        <w:ind w:firstLine="720"/>
        <w:rPr>
          <w:rFonts w:ascii="Times New Roman" w:hAnsi="Times New Roman"/>
          <w:sz w:val="24"/>
          <w:szCs w:val="24"/>
        </w:rPr>
      </w:pPr>
    </w:p>
    <w:p w:rsidR="00085760" w:rsidRPr="00883B0E" w:rsidP="00300DDD" w14:paraId="74646F21" w14:textId="0BAF4ABB">
      <w:pPr>
        <w:numPr>
          <w:ilvl w:val="12"/>
          <w:numId w:val="0"/>
        </w:numPr>
        <w:spacing w:line="360" w:lineRule="auto"/>
        <w:rPr>
          <w:rFonts w:ascii="Times New Roman" w:hAnsi="Times New Roman"/>
          <w:sz w:val="24"/>
        </w:rPr>
      </w:pPr>
      <w:r w:rsidRPr="00883B0E">
        <w:rPr>
          <w:rFonts w:ascii="Times New Roman" w:hAnsi="Times New Roman"/>
          <w:sz w:val="24"/>
        </w:rPr>
        <w:tab/>
      </w:r>
      <w:r w:rsidR="001378CC">
        <w:rPr>
          <w:rFonts w:ascii="Times New Roman" w:hAnsi="Times New Roman"/>
          <w:sz w:val="24"/>
        </w:rPr>
        <w:t xml:space="preserve">The </w:t>
      </w:r>
      <w:r w:rsidR="00122864">
        <w:rPr>
          <w:rFonts w:ascii="Times New Roman" w:hAnsi="Times New Roman"/>
          <w:sz w:val="24"/>
        </w:rPr>
        <w:t xml:space="preserve">clearance </w:t>
      </w:r>
      <w:r w:rsidRPr="00883B0E" w:rsidR="002D7A7B">
        <w:rPr>
          <w:rFonts w:ascii="Times New Roman" w:hAnsi="Times New Roman"/>
          <w:sz w:val="24"/>
        </w:rPr>
        <w:t xml:space="preserve">ensures </w:t>
      </w:r>
      <w:r w:rsidR="00122864">
        <w:rPr>
          <w:rFonts w:ascii="Times New Roman" w:hAnsi="Times New Roman"/>
          <w:sz w:val="24"/>
        </w:rPr>
        <w:t>NIH</w:t>
      </w:r>
      <w:r w:rsidRPr="00883B0E" w:rsidR="002D7A7B">
        <w:rPr>
          <w:rFonts w:ascii="Times New Roman" w:hAnsi="Times New Roman"/>
          <w:sz w:val="24"/>
        </w:rPr>
        <w:t xml:space="preserve"> communication and education resources are appropriate, useful, and effective. </w:t>
      </w:r>
      <w:r w:rsidR="00122864">
        <w:rPr>
          <w:rFonts w:ascii="Times New Roman" w:hAnsi="Times New Roman"/>
          <w:sz w:val="24"/>
        </w:rPr>
        <w:t xml:space="preserve">Programs </w:t>
      </w:r>
      <w:r w:rsidRPr="00883B0E" w:rsidR="002D7A7B">
        <w:rPr>
          <w:rFonts w:ascii="Times New Roman" w:hAnsi="Times New Roman"/>
          <w:sz w:val="24"/>
        </w:rPr>
        <w:t xml:space="preserve">use scientific methods to identify the </w:t>
      </w:r>
      <w:r w:rsidR="00122864">
        <w:rPr>
          <w:rFonts w:ascii="Times New Roman" w:hAnsi="Times New Roman"/>
          <w:sz w:val="24"/>
        </w:rPr>
        <w:t>health</w:t>
      </w:r>
      <w:r w:rsidRPr="00883B0E" w:rsidR="002D7A7B">
        <w:rPr>
          <w:rFonts w:ascii="Times New Roman" w:hAnsi="Times New Roman"/>
          <w:sz w:val="24"/>
        </w:rPr>
        <w:t xml:space="preserve">-related needs of </w:t>
      </w:r>
      <w:r w:rsidRPr="00883B0E" w:rsidR="00122864">
        <w:rPr>
          <w:rFonts w:ascii="Times New Roman" w:hAnsi="Times New Roman"/>
          <w:sz w:val="24"/>
        </w:rPr>
        <w:t>varied</w:t>
      </w:r>
      <w:r w:rsidRPr="00883B0E" w:rsidR="002D7A7B">
        <w:rPr>
          <w:rFonts w:ascii="Times New Roman" w:hAnsi="Times New Roman"/>
          <w:sz w:val="24"/>
        </w:rPr>
        <w:t xml:space="preserve"> audiences; inform the design and development of </w:t>
      </w:r>
      <w:r w:rsidR="00122864">
        <w:rPr>
          <w:rFonts w:ascii="Times New Roman" w:hAnsi="Times New Roman"/>
          <w:sz w:val="24"/>
        </w:rPr>
        <w:t>NIH</w:t>
      </w:r>
      <w:r w:rsidRPr="00883B0E" w:rsidR="002D7A7B">
        <w:rPr>
          <w:rFonts w:ascii="Times New Roman" w:hAnsi="Times New Roman"/>
          <w:sz w:val="24"/>
        </w:rPr>
        <w:t xml:space="preserve"> resources</w:t>
      </w:r>
      <w:r w:rsidR="00C841C6">
        <w:rPr>
          <w:rFonts w:ascii="Times New Roman" w:hAnsi="Times New Roman"/>
          <w:sz w:val="24"/>
        </w:rPr>
        <w:t>,</w:t>
      </w:r>
      <w:r w:rsidRPr="00883B0E" w:rsidR="002D7A7B">
        <w:rPr>
          <w:rFonts w:ascii="Times New Roman" w:hAnsi="Times New Roman"/>
          <w:sz w:val="24"/>
        </w:rPr>
        <w:t xml:space="preserve"> monitor audience trends; </w:t>
      </w:r>
      <w:r w:rsidRPr="00883B0E" w:rsidR="00120EB3">
        <w:rPr>
          <w:rFonts w:ascii="Times New Roman" w:hAnsi="Times New Roman"/>
          <w:sz w:val="24"/>
        </w:rPr>
        <w:t>and</w:t>
      </w:r>
      <w:r w:rsidRPr="00883B0E" w:rsidR="002D7A7B">
        <w:rPr>
          <w:rFonts w:ascii="Times New Roman" w:hAnsi="Times New Roman"/>
          <w:sz w:val="24"/>
        </w:rPr>
        <w:t xml:space="preserve"> assess the impact of resources and activities. </w:t>
      </w:r>
    </w:p>
    <w:p w:rsidR="00BF1984" w:rsidP="00300DDD" w14:paraId="4C083694" w14:textId="474EE3D3">
      <w:pPr>
        <w:numPr>
          <w:ilvl w:val="12"/>
          <w:numId w:val="0"/>
        </w:numPr>
        <w:tabs>
          <w:tab w:val="left" w:pos="720"/>
          <w:tab w:val="right" w:pos="10800"/>
        </w:tabs>
        <w:spacing w:line="360" w:lineRule="auto"/>
        <w:rPr>
          <w:rFonts w:ascii="Times New Roman" w:hAnsi="Times New Roman"/>
          <w:sz w:val="24"/>
          <w:szCs w:val="24"/>
        </w:rPr>
      </w:pPr>
      <w:r w:rsidRPr="00085760">
        <w:rPr>
          <w:rFonts w:ascii="Times New Roman" w:hAnsi="Times New Roman"/>
          <w:sz w:val="24"/>
          <w:szCs w:val="24"/>
        </w:rPr>
        <w:tab/>
        <w:t>Information programs</w:t>
      </w:r>
      <w:r w:rsidR="00651696">
        <w:rPr>
          <w:rFonts w:ascii="Times New Roman" w:hAnsi="Times New Roman"/>
          <w:sz w:val="24"/>
          <w:szCs w:val="24"/>
        </w:rPr>
        <w:t xml:space="preserve"> and campaigns</w:t>
      </w:r>
      <w:r w:rsidRPr="00085760">
        <w:rPr>
          <w:rFonts w:ascii="Times New Roman" w:hAnsi="Times New Roman"/>
          <w:sz w:val="24"/>
          <w:szCs w:val="24"/>
        </w:rPr>
        <w:t xml:space="preserve"> within N</w:t>
      </w:r>
      <w:r w:rsidR="00122864">
        <w:rPr>
          <w:rFonts w:ascii="Times New Roman" w:hAnsi="Times New Roman"/>
          <w:sz w:val="24"/>
          <w:szCs w:val="24"/>
        </w:rPr>
        <w:t>HI</w:t>
      </w:r>
      <w:r w:rsidRPr="00085760">
        <w:rPr>
          <w:rFonts w:ascii="Times New Roman" w:hAnsi="Times New Roman"/>
          <w:sz w:val="24"/>
          <w:szCs w:val="24"/>
        </w:rPr>
        <w:t xml:space="preserve"> create and use a variety of media</w:t>
      </w:r>
      <w:r w:rsidR="00C841C6">
        <w:rPr>
          <w:rFonts w:ascii="Times New Roman" w:hAnsi="Times New Roman"/>
          <w:sz w:val="24"/>
          <w:szCs w:val="24"/>
        </w:rPr>
        <w:t>,</w:t>
      </w:r>
      <w:r w:rsidRPr="00085760">
        <w:rPr>
          <w:rFonts w:ascii="Times New Roman" w:hAnsi="Times New Roman"/>
          <w:sz w:val="24"/>
          <w:szCs w:val="24"/>
        </w:rPr>
        <w:t xml:space="preserve"> including print (e.g., brochures, posters, fact sheets, information kits), broadcast (e.g., public service announcements, video news releases), and </w:t>
      </w:r>
      <w:r w:rsidRPr="00883B0E">
        <w:rPr>
          <w:rFonts w:ascii="Times New Roman" w:hAnsi="Times New Roman"/>
          <w:sz w:val="24"/>
          <w:szCs w:val="24"/>
        </w:rPr>
        <w:t>electronic formats (e.</w:t>
      </w:r>
      <w:r w:rsidRPr="00883B0E" w:rsidR="0025145C">
        <w:rPr>
          <w:rFonts w:ascii="Times New Roman" w:hAnsi="Times New Roman"/>
          <w:sz w:val="24"/>
          <w:szCs w:val="24"/>
        </w:rPr>
        <w:t>g., Internet, listservs</w:t>
      </w:r>
      <w:r w:rsidRPr="00883B0E">
        <w:rPr>
          <w:rFonts w:ascii="Times New Roman" w:hAnsi="Times New Roman"/>
          <w:sz w:val="24"/>
          <w:szCs w:val="24"/>
        </w:rPr>
        <w:t xml:space="preserve">), as well as </w:t>
      </w:r>
      <w:r w:rsidR="00C841C6">
        <w:rPr>
          <w:rFonts w:ascii="Times New Roman" w:hAnsi="Times New Roman"/>
          <w:sz w:val="24"/>
          <w:szCs w:val="24"/>
        </w:rPr>
        <w:t xml:space="preserve">a </w:t>
      </w:r>
      <w:r w:rsidRPr="00883B0E" w:rsidR="00122864">
        <w:rPr>
          <w:rFonts w:ascii="Times New Roman" w:hAnsi="Times New Roman"/>
          <w:sz w:val="24"/>
          <w:szCs w:val="24"/>
        </w:rPr>
        <w:t>direct response</w:t>
      </w:r>
      <w:r w:rsidR="00122864">
        <w:rPr>
          <w:rFonts w:ascii="Times New Roman" w:hAnsi="Times New Roman"/>
          <w:sz w:val="24"/>
          <w:szCs w:val="24"/>
        </w:rPr>
        <w:t xml:space="preserve"> </w:t>
      </w:r>
      <w:r w:rsidRPr="00883B0E">
        <w:rPr>
          <w:rFonts w:ascii="Times New Roman" w:hAnsi="Times New Roman"/>
          <w:sz w:val="24"/>
          <w:szCs w:val="24"/>
        </w:rPr>
        <w:t>to inform and educate the public and health profes</w:t>
      </w:r>
      <w:r w:rsidRPr="00883B0E">
        <w:rPr>
          <w:rFonts w:ascii="Times New Roman" w:hAnsi="Times New Roman"/>
          <w:sz w:val="24"/>
          <w:szCs w:val="24"/>
        </w:rPr>
        <w:softHyphen/>
        <w:t xml:space="preserve">sionals about </w:t>
      </w:r>
      <w:r w:rsidR="00122864">
        <w:rPr>
          <w:rFonts w:ascii="Times New Roman" w:hAnsi="Times New Roman"/>
          <w:sz w:val="24"/>
          <w:szCs w:val="24"/>
        </w:rPr>
        <w:t>diseases</w:t>
      </w:r>
      <w:r w:rsidRPr="00883B0E">
        <w:rPr>
          <w:rFonts w:ascii="Times New Roman" w:hAnsi="Times New Roman"/>
          <w:sz w:val="24"/>
          <w:szCs w:val="24"/>
        </w:rPr>
        <w:t xml:space="preserve">.  Production of these materials is the major way </w:t>
      </w:r>
      <w:r w:rsidR="00122864">
        <w:rPr>
          <w:rFonts w:ascii="Times New Roman" w:hAnsi="Times New Roman"/>
          <w:sz w:val="24"/>
          <w:szCs w:val="24"/>
        </w:rPr>
        <w:t>NIH</w:t>
      </w:r>
      <w:r w:rsidRPr="00883B0E">
        <w:rPr>
          <w:rFonts w:ascii="Times New Roman" w:hAnsi="Times New Roman"/>
          <w:sz w:val="24"/>
          <w:szCs w:val="24"/>
        </w:rPr>
        <w:t xml:space="preserve"> relays messages to the </w:t>
      </w:r>
      <w:r w:rsidRPr="00883B0E" w:rsidR="000D4441">
        <w:rPr>
          <w:rFonts w:ascii="Times New Roman" w:hAnsi="Times New Roman"/>
          <w:sz w:val="24"/>
          <w:szCs w:val="24"/>
        </w:rPr>
        <w:t>audience</w:t>
      </w:r>
      <w:r w:rsidRPr="00883B0E">
        <w:rPr>
          <w:rFonts w:ascii="Times New Roman" w:hAnsi="Times New Roman"/>
          <w:sz w:val="24"/>
          <w:szCs w:val="24"/>
        </w:rPr>
        <w:t xml:space="preserve"> it is mandated to reach. </w:t>
      </w:r>
      <w:r w:rsidRPr="00883B0E" w:rsidR="00482AC5">
        <w:rPr>
          <w:rFonts w:ascii="Times New Roman" w:hAnsi="Times New Roman"/>
          <w:sz w:val="24"/>
          <w:szCs w:val="24"/>
        </w:rPr>
        <w:t xml:space="preserve"> </w:t>
      </w:r>
    </w:p>
    <w:p w:rsidR="000D4441" w:rsidP="00300DDD" w14:paraId="4F46EED1" w14:textId="77777777">
      <w:pPr>
        <w:numPr>
          <w:ilvl w:val="12"/>
          <w:numId w:val="0"/>
        </w:numPr>
        <w:tabs>
          <w:tab w:val="left" w:pos="720"/>
          <w:tab w:val="right" w:pos="10800"/>
        </w:tabs>
        <w:spacing w:line="360" w:lineRule="auto"/>
        <w:rPr>
          <w:rFonts w:ascii="Times New Roman" w:hAnsi="Times New Roman"/>
          <w:sz w:val="24"/>
          <w:szCs w:val="24"/>
        </w:rPr>
      </w:pPr>
    </w:p>
    <w:p w:rsidR="000D4441" w:rsidRPr="000D4441" w:rsidP="000D4441" w14:paraId="50BB2F90" w14:textId="7999A465">
      <w:pPr>
        <w:numPr>
          <w:ilvl w:val="12"/>
          <w:numId w:val="0"/>
        </w:numPr>
        <w:tabs>
          <w:tab w:val="left" w:pos="720"/>
          <w:tab w:val="right" w:pos="10800"/>
        </w:tabs>
        <w:spacing w:line="360" w:lineRule="auto"/>
        <w:rPr>
          <w:rFonts w:ascii="Times New Roman" w:hAnsi="Times New Roman"/>
          <w:sz w:val="24"/>
          <w:szCs w:val="24"/>
          <w:highlight w:val="yellow"/>
        </w:rPr>
      </w:pPr>
      <w:r w:rsidRPr="000D4441">
        <w:rPr>
          <w:rFonts w:ascii="Times New Roman" w:hAnsi="Times New Roman"/>
          <w:sz w:val="24"/>
          <w:szCs w:val="24"/>
          <w:highlight w:val="yellow"/>
        </w:rPr>
        <w:t xml:space="preserve">In the past, NIH has approached design and testing either through projects that obtained full OMB clearance for data collection or relied on convenience samples of nine or fewer persons to provide input and feedback on survey design and data collection methodologies. Neither of these approaches meets NIH’s needs to develop and implement more rigorous testing procedures. Seeking full OMB clearance prior to testing instruments causes delays to NIH achieving its timeliness objectives for collections. Reliance on nine or fewer </w:t>
      </w:r>
      <w:r w:rsidRPr="000D4441">
        <w:rPr>
          <w:rFonts w:ascii="Times New Roman" w:hAnsi="Times New Roman"/>
          <w:sz w:val="24"/>
          <w:szCs w:val="24"/>
          <w:highlight w:val="yellow"/>
        </w:rPr>
        <w:t>persons</w:t>
      </w:r>
      <w:r w:rsidRPr="000D4441">
        <w:rPr>
          <w:rFonts w:ascii="Times New Roman" w:hAnsi="Times New Roman"/>
          <w:sz w:val="24"/>
          <w:szCs w:val="24"/>
          <w:highlight w:val="yellow"/>
        </w:rPr>
        <w:t xml:space="preserve"> does not provide a basis for conducting any type of test and the data from nine or fewer have no generalizability. </w:t>
      </w:r>
    </w:p>
    <w:p w:rsidR="000D4441" w:rsidRPr="000D4441" w:rsidP="000D4441" w14:paraId="381C7D42" w14:textId="77777777">
      <w:pPr>
        <w:numPr>
          <w:ilvl w:val="12"/>
          <w:numId w:val="0"/>
        </w:numPr>
        <w:tabs>
          <w:tab w:val="left" w:pos="720"/>
          <w:tab w:val="right" w:pos="10800"/>
        </w:tabs>
        <w:spacing w:line="360" w:lineRule="auto"/>
        <w:rPr>
          <w:rFonts w:ascii="Times New Roman" w:hAnsi="Times New Roman"/>
          <w:sz w:val="24"/>
          <w:szCs w:val="24"/>
          <w:highlight w:val="yellow"/>
        </w:rPr>
      </w:pPr>
    </w:p>
    <w:p w:rsidR="000D4441" w:rsidP="000D4441" w14:paraId="2ED657E8" w14:textId="65B262EF">
      <w:pPr>
        <w:numPr>
          <w:ilvl w:val="12"/>
          <w:numId w:val="0"/>
        </w:numPr>
        <w:tabs>
          <w:tab w:val="left" w:pos="720"/>
          <w:tab w:val="right" w:pos="10800"/>
        </w:tabs>
        <w:spacing w:line="360" w:lineRule="auto"/>
        <w:rPr>
          <w:rFonts w:ascii="Times New Roman" w:hAnsi="Times New Roman"/>
          <w:sz w:val="24"/>
          <w:szCs w:val="24"/>
        </w:rPr>
      </w:pPr>
      <w:r w:rsidRPr="000D4441">
        <w:rPr>
          <w:rFonts w:ascii="Times New Roman" w:hAnsi="Times New Roman"/>
          <w:sz w:val="24"/>
          <w:szCs w:val="24"/>
          <w:highlight w:val="yellow"/>
        </w:rPr>
        <w:t xml:space="preserve">The information collected via these mechanisms, while still helpful, was nonetheless somewhat limited in its ability to detect and diagnose problems with the instruments and the procedures being tested. The generic testing clearance will allow NIH to take advantage of a variety of methods that are useful for identifying questionnaire/assessment and procedural problems, suggesting solutions, and measuring the relative effectiveness of alternative solutions. </w:t>
      </w:r>
      <w:r w:rsidRPr="000D4441">
        <w:rPr>
          <w:rFonts w:ascii="Times New Roman" w:hAnsi="Times New Roman"/>
          <w:sz w:val="24"/>
          <w:szCs w:val="24"/>
          <w:highlight w:val="yellow"/>
        </w:rPr>
        <w:t>Through the use of</w:t>
      </w:r>
      <w:r w:rsidRPr="000D4441">
        <w:rPr>
          <w:rFonts w:ascii="Times New Roman" w:hAnsi="Times New Roman"/>
          <w:sz w:val="24"/>
          <w:szCs w:val="24"/>
          <w:highlight w:val="yellow"/>
        </w:rPr>
        <w:t xml:space="preserve"> these techniques, when employed routinely in the testing phase of NIH data collections, questionnaires and assessments can be simplified for respondents, respondent burden can be reduced, procedures for the collection of administrative data can be streamlined, and the quality of the questionnaires and assessments used in continuing and one-time surveys and </w:t>
      </w:r>
      <w:r w:rsidRPr="000D4441">
        <w:rPr>
          <w:rFonts w:ascii="Times New Roman" w:hAnsi="Times New Roman"/>
          <w:sz w:val="24"/>
          <w:szCs w:val="24"/>
          <w:highlight w:val="yellow"/>
        </w:rPr>
        <w:t>assessments can be improved. Thus, an increase in the quality of the data collected can be achieved as well.</w:t>
      </w:r>
    </w:p>
    <w:p w:rsidR="000D4441" w:rsidRPr="00883B0E" w:rsidP="00300DDD" w14:paraId="760D1D55" w14:textId="77777777">
      <w:pPr>
        <w:numPr>
          <w:ilvl w:val="12"/>
          <w:numId w:val="0"/>
        </w:numPr>
        <w:tabs>
          <w:tab w:val="left" w:pos="720"/>
          <w:tab w:val="right" w:pos="10800"/>
        </w:tabs>
        <w:spacing w:line="360" w:lineRule="auto"/>
        <w:rPr>
          <w:rFonts w:ascii="Times New Roman" w:hAnsi="Times New Roman"/>
          <w:sz w:val="24"/>
          <w:szCs w:val="24"/>
        </w:rPr>
      </w:pPr>
    </w:p>
    <w:p w:rsidR="00A7604A" w:rsidRPr="00C34AA7" w:rsidP="00300DDD" w14:paraId="7222B3B0" w14:textId="6F972AC1">
      <w:pPr>
        <w:numPr>
          <w:ilvl w:val="12"/>
          <w:numId w:val="0"/>
        </w:numPr>
        <w:tabs>
          <w:tab w:val="left" w:pos="720"/>
          <w:tab w:val="right" w:pos="10800"/>
        </w:tabs>
        <w:spacing w:line="360" w:lineRule="auto"/>
        <w:rPr>
          <w:rFonts w:ascii="Times New Roman" w:hAnsi="Times New Roman"/>
          <w:sz w:val="24"/>
          <w:szCs w:val="24"/>
        </w:rPr>
      </w:pPr>
      <w:r>
        <w:rPr>
          <w:rFonts w:ascii="Times New Roman" w:hAnsi="Times New Roman"/>
          <w:sz w:val="24"/>
          <w:szCs w:val="24"/>
        </w:rPr>
        <w:t>In contrast,</w:t>
      </w:r>
      <w:r w:rsidR="002C72E2">
        <w:rPr>
          <w:rFonts w:ascii="Times New Roman" w:hAnsi="Times New Roman"/>
          <w:sz w:val="24"/>
          <w:szCs w:val="24"/>
        </w:rPr>
        <w:t xml:space="preserve"> t</w:t>
      </w:r>
      <w:r w:rsidR="00BF1984">
        <w:rPr>
          <w:rFonts w:ascii="Times New Roman" w:hAnsi="Times New Roman"/>
          <w:sz w:val="24"/>
          <w:szCs w:val="24"/>
        </w:rPr>
        <w:t xml:space="preserve">he customer satisfaction research </w:t>
      </w:r>
      <w:r w:rsidRPr="00BF1984" w:rsidR="00BF1984">
        <w:rPr>
          <w:rFonts w:ascii="Times New Roman" w:hAnsi="Times New Roman"/>
          <w:sz w:val="24"/>
          <w:szCs w:val="24"/>
        </w:rPr>
        <w:t>helps N</w:t>
      </w:r>
      <w:r w:rsidR="000D4441">
        <w:rPr>
          <w:rFonts w:ascii="Times New Roman" w:hAnsi="Times New Roman"/>
          <w:sz w:val="24"/>
          <w:szCs w:val="24"/>
        </w:rPr>
        <w:t>IH</w:t>
      </w:r>
      <w:r w:rsidRPr="00BF1984" w:rsidR="00BF1984">
        <w:rPr>
          <w:rFonts w:ascii="Times New Roman" w:hAnsi="Times New Roman"/>
          <w:sz w:val="24"/>
          <w:szCs w:val="24"/>
        </w:rPr>
        <w:t xml:space="preserve"> ensure the </w:t>
      </w:r>
      <w:r w:rsidRPr="002C72E2" w:rsidR="00BF1984">
        <w:rPr>
          <w:rFonts w:ascii="Times New Roman" w:hAnsi="Times New Roman"/>
          <w:sz w:val="24"/>
          <w:szCs w:val="24"/>
        </w:rPr>
        <w:t xml:space="preserve">relevance, utility, and appropriateness of the many educational programs and products that the </w:t>
      </w:r>
      <w:r w:rsidR="000D4441">
        <w:rPr>
          <w:rFonts w:ascii="Times New Roman" w:hAnsi="Times New Roman"/>
          <w:sz w:val="24"/>
          <w:szCs w:val="24"/>
        </w:rPr>
        <w:t>agency</w:t>
      </w:r>
      <w:r w:rsidRPr="002C72E2" w:rsidR="00BF1984">
        <w:rPr>
          <w:rFonts w:ascii="Times New Roman" w:hAnsi="Times New Roman"/>
          <w:sz w:val="24"/>
          <w:szCs w:val="24"/>
        </w:rPr>
        <w:t xml:space="preserve"> produces</w:t>
      </w:r>
      <w:r w:rsidRPr="00883B0E" w:rsidR="00BF1984">
        <w:rPr>
          <w:rFonts w:ascii="Times New Roman" w:hAnsi="Times New Roman"/>
          <w:sz w:val="24"/>
          <w:szCs w:val="24"/>
        </w:rPr>
        <w:t>.</w:t>
      </w:r>
      <w:r>
        <w:rPr>
          <w:rFonts w:ascii="Times New Roman" w:hAnsi="Times New Roman"/>
          <w:sz w:val="24"/>
          <w:szCs w:val="24"/>
        </w:rPr>
        <w:t xml:space="preserve"> </w:t>
      </w:r>
      <w:r w:rsidRPr="00412796">
        <w:rPr>
          <w:rFonts w:ascii="Times New Roman" w:hAnsi="Times New Roman"/>
          <w:sz w:val="24"/>
          <w:szCs w:val="24"/>
        </w:rPr>
        <w:t>The types of research that are typically employed under this clearance include:</w:t>
      </w:r>
    </w:p>
    <w:p w:rsidR="00A7604A" w:rsidRPr="00412796" w:rsidP="00300DDD" w14:paraId="385464AB" w14:textId="03484B66">
      <w:pPr>
        <w:numPr>
          <w:ilvl w:val="12"/>
          <w:numId w:val="0"/>
        </w:numPr>
        <w:spacing w:line="360" w:lineRule="auto"/>
        <w:outlineLvl w:val="0"/>
        <w:rPr>
          <w:rFonts w:ascii="Times New Roman" w:hAnsi="Times New Roman"/>
          <w:sz w:val="24"/>
          <w:szCs w:val="24"/>
          <w:u w:val="single"/>
        </w:rPr>
      </w:pPr>
      <w:r w:rsidRPr="00412796">
        <w:rPr>
          <w:rFonts w:ascii="Times New Roman" w:hAnsi="Times New Roman"/>
          <w:sz w:val="24"/>
          <w:szCs w:val="24"/>
          <w:u w:val="single"/>
        </w:rPr>
        <w:t>Formative Research and Pre-testi</w:t>
      </w:r>
      <w:r w:rsidR="00122864">
        <w:rPr>
          <w:rFonts w:ascii="Times New Roman" w:hAnsi="Times New Roman"/>
          <w:sz w:val="24"/>
          <w:szCs w:val="24"/>
          <w:u w:val="single"/>
        </w:rPr>
        <w:t>ng</w:t>
      </w:r>
    </w:p>
    <w:p w:rsidR="000D4441" w:rsidP="000D4441" w14:paraId="4249ED2A" w14:textId="77777777">
      <w:pPr>
        <w:numPr>
          <w:ilvl w:val="12"/>
          <w:numId w:val="0"/>
        </w:numPr>
        <w:spacing w:line="360" w:lineRule="auto"/>
        <w:ind w:firstLine="720"/>
        <w:rPr>
          <w:rFonts w:ascii="Times New Roman" w:hAnsi="Times New Roman"/>
          <w:sz w:val="24"/>
          <w:szCs w:val="24"/>
        </w:rPr>
      </w:pPr>
      <w:r w:rsidRPr="00412796">
        <w:rPr>
          <w:rFonts w:ascii="Times New Roman" w:hAnsi="Times New Roman"/>
          <w:sz w:val="24"/>
          <w:szCs w:val="24"/>
        </w:rPr>
        <w:t>To ensure that health messages have the potential to be received</w:t>
      </w:r>
      <w:r w:rsidRPr="00412796">
        <w:rPr>
          <w:rFonts w:ascii="Times New Roman" w:hAnsi="Times New Roman"/>
          <w:sz w:val="24"/>
          <w:szCs w:val="24"/>
        </w:rPr>
        <w:t>,</w:t>
      </w:r>
      <w:r>
        <w:rPr>
          <w:rFonts w:ascii="Times New Roman" w:hAnsi="Times New Roman"/>
          <w:sz w:val="24"/>
          <w:szCs w:val="24"/>
        </w:rPr>
        <w:t xml:space="preserve"> </w:t>
      </w:r>
      <w:r w:rsidRPr="00412796">
        <w:rPr>
          <w:rFonts w:ascii="Times New Roman" w:hAnsi="Times New Roman"/>
          <w:sz w:val="24"/>
          <w:szCs w:val="24"/>
        </w:rPr>
        <w:t>under</w:t>
      </w:r>
      <w:r w:rsidRPr="00412796">
        <w:rPr>
          <w:rFonts w:ascii="Times New Roman" w:hAnsi="Times New Roman"/>
          <w:sz w:val="24"/>
          <w:szCs w:val="24"/>
        </w:rPr>
        <w:softHyphen/>
      </w:r>
      <w:r w:rsidRPr="00412796">
        <w:rPr>
          <w:rFonts w:ascii="Times New Roman" w:hAnsi="Times New Roman"/>
          <w:sz w:val="24"/>
          <w:szCs w:val="24"/>
        </w:rPr>
        <w:t>stood, and accepted by those for whom they are intended. Specifically, these types of research involve: 1) assessing audience knowledge, attitudes, behaviors</w:t>
      </w:r>
      <w:r w:rsidR="00C841C6">
        <w:rPr>
          <w:rFonts w:ascii="Times New Roman" w:hAnsi="Times New Roman"/>
          <w:sz w:val="24"/>
          <w:szCs w:val="24"/>
        </w:rPr>
        <w:t>,</w:t>
      </w:r>
      <w:r w:rsidRPr="00412796">
        <w:rPr>
          <w:rFonts w:ascii="Times New Roman" w:hAnsi="Times New Roman"/>
          <w:sz w:val="24"/>
          <w:szCs w:val="24"/>
        </w:rPr>
        <w:t xml:space="preserve"> and other characteristics for the plann</w:t>
      </w:r>
      <w:r w:rsidRPr="00412796">
        <w:rPr>
          <w:rFonts w:ascii="Times New Roman" w:hAnsi="Times New Roman"/>
          <w:sz w:val="24"/>
          <w:szCs w:val="24"/>
        </w:rPr>
        <w:softHyphen/>
        <w:t>ing/development of health messages, education products, communication strategies, and public information programs; and 2) pretesting these health messages, products, strategies, and program components while they are in developmental form to assess audience comprehen</w:t>
      </w:r>
      <w:r w:rsidRPr="00412796">
        <w:rPr>
          <w:rFonts w:ascii="Times New Roman" w:hAnsi="Times New Roman"/>
          <w:sz w:val="24"/>
          <w:szCs w:val="24"/>
        </w:rPr>
        <w:softHyphen/>
        <w:t>sion, reactions, and perceptions.  The informa</w:t>
      </w:r>
      <w:r w:rsidRPr="00412796">
        <w:rPr>
          <w:rFonts w:ascii="Times New Roman" w:hAnsi="Times New Roman"/>
          <w:sz w:val="24"/>
          <w:szCs w:val="24"/>
        </w:rPr>
        <w:softHyphen/>
        <w:t>tion obtained from audience research and pretesting can lead to improve</w:t>
      </w:r>
      <w:r w:rsidRPr="00412796">
        <w:rPr>
          <w:rFonts w:ascii="Times New Roman" w:hAnsi="Times New Roman"/>
          <w:sz w:val="24"/>
          <w:szCs w:val="24"/>
        </w:rPr>
        <w:softHyphen/>
        <w:t>ments in materi</w:t>
      </w:r>
      <w:r w:rsidRPr="00412796">
        <w:rPr>
          <w:rFonts w:ascii="Times New Roman" w:hAnsi="Times New Roman"/>
          <w:sz w:val="24"/>
          <w:szCs w:val="24"/>
        </w:rPr>
        <w:softHyphen/>
        <w:t>als and strategies while revisions are still affordable and possi</w:t>
      </w:r>
      <w:r w:rsidRPr="00412796">
        <w:rPr>
          <w:rFonts w:ascii="Times New Roman" w:hAnsi="Times New Roman"/>
          <w:sz w:val="24"/>
          <w:szCs w:val="24"/>
        </w:rPr>
        <w:softHyphen/>
        <w:t>ble.  By maximiz</w:t>
      </w:r>
      <w:r w:rsidRPr="00412796">
        <w:rPr>
          <w:rFonts w:ascii="Times New Roman" w:hAnsi="Times New Roman"/>
          <w:sz w:val="24"/>
          <w:szCs w:val="24"/>
        </w:rPr>
        <w:softHyphen/>
        <w:t xml:space="preserve">ing the </w:t>
      </w:r>
      <w:r w:rsidRPr="00412796">
        <w:rPr>
          <w:rFonts w:ascii="Times New Roman" w:hAnsi="Times New Roman"/>
          <w:sz w:val="24"/>
          <w:szCs w:val="24"/>
        </w:rPr>
        <w:t>effective</w:t>
      </w:r>
      <w:r w:rsidRPr="00412796">
        <w:rPr>
          <w:rFonts w:ascii="Times New Roman" w:hAnsi="Times New Roman"/>
          <w:sz w:val="24"/>
          <w:szCs w:val="24"/>
        </w:rPr>
        <w:softHyphen/>
        <w:t>ness</w:t>
      </w:r>
      <w:r w:rsidRPr="00412796">
        <w:rPr>
          <w:rFonts w:ascii="Times New Roman" w:hAnsi="Times New Roman"/>
          <w:sz w:val="24"/>
          <w:szCs w:val="24"/>
        </w:rPr>
        <w:t xml:space="preserve"> of these messages and strategies for reaching targeted audienc</w:t>
      </w:r>
      <w:r w:rsidRPr="00412796">
        <w:rPr>
          <w:rFonts w:ascii="Times New Roman" w:hAnsi="Times New Roman"/>
          <w:sz w:val="24"/>
          <w:szCs w:val="24"/>
        </w:rPr>
        <w:softHyphen/>
        <w:t>es, the frequen</w:t>
      </w:r>
      <w:r w:rsidRPr="00412796">
        <w:rPr>
          <w:rFonts w:ascii="Times New Roman" w:hAnsi="Times New Roman"/>
          <w:sz w:val="24"/>
          <w:szCs w:val="24"/>
        </w:rPr>
        <w:softHyphen/>
        <w:t>cy with which publica</w:t>
      </w:r>
      <w:r w:rsidRPr="00412796">
        <w:rPr>
          <w:rFonts w:ascii="Times New Roman" w:hAnsi="Times New Roman"/>
          <w:sz w:val="24"/>
          <w:szCs w:val="24"/>
        </w:rPr>
        <w:softHyphen/>
        <w:t>tions, products, and programs need to be modified is reduced.</w:t>
      </w:r>
    </w:p>
    <w:p w:rsidR="00A7604A" w:rsidRPr="00C34AA7" w:rsidP="000D4441" w14:paraId="02C9DC66" w14:textId="77D505BC">
      <w:pPr>
        <w:numPr>
          <w:ilvl w:val="12"/>
          <w:numId w:val="0"/>
        </w:numPr>
        <w:spacing w:line="360" w:lineRule="auto"/>
        <w:ind w:firstLine="720"/>
        <w:rPr>
          <w:rFonts w:ascii="Times New Roman" w:hAnsi="Times New Roman"/>
          <w:sz w:val="24"/>
          <w:szCs w:val="24"/>
        </w:rPr>
      </w:pPr>
      <w:r w:rsidRPr="00412796">
        <w:rPr>
          <w:rFonts w:ascii="Times New Roman" w:hAnsi="Times New Roman"/>
          <w:sz w:val="24"/>
          <w:szCs w:val="24"/>
        </w:rPr>
        <w:t xml:space="preserve"> </w:t>
      </w:r>
    </w:p>
    <w:p w:rsidR="00A7604A" w:rsidRPr="00412796" w:rsidP="00300DDD" w14:paraId="1518D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u w:val="single"/>
        </w:rPr>
      </w:pPr>
      <w:r w:rsidRPr="00412796">
        <w:rPr>
          <w:rFonts w:ascii="Times New Roman" w:hAnsi="Times New Roman"/>
          <w:sz w:val="24"/>
          <w:szCs w:val="24"/>
          <w:u w:val="single"/>
        </w:rPr>
        <w:t>Customer Satisfaction</w:t>
      </w:r>
    </w:p>
    <w:p w:rsidR="00085760" w:rsidP="00122864" w14:paraId="7A4398E2" w14:textId="21E24AF5">
      <w:pPr>
        <w:numPr>
          <w:ilvl w:val="12"/>
          <w:numId w:val="0"/>
        </w:numPr>
        <w:tabs>
          <w:tab w:val="left" w:pos="720"/>
          <w:tab w:val="right" w:pos="10800"/>
        </w:tabs>
        <w:spacing w:line="360" w:lineRule="auto"/>
        <w:rPr>
          <w:rFonts w:ascii="Times New Roman" w:hAnsi="Times New Roman"/>
          <w:sz w:val="24"/>
          <w:szCs w:val="24"/>
        </w:rPr>
      </w:pPr>
      <w:r w:rsidRPr="00412796">
        <w:rPr>
          <w:rFonts w:ascii="Times New Roman" w:hAnsi="Times New Roman"/>
          <w:sz w:val="24"/>
          <w:szCs w:val="24"/>
        </w:rPr>
        <w:tab/>
      </w:r>
      <w:r w:rsidR="000D4441">
        <w:rPr>
          <w:rFonts w:ascii="Times New Roman" w:hAnsi="Times New Roman"/>
          <w:sz w:val="24"/>
          <w:szCs w:val="24"/>
        </w:rPr>
        <w:t>NIH</w:t>
      </w:r>
      <w:r w:rsidRPr="00412796">
        <w:rPr>
          <w:rFonts w:ascii="Times New Roman" w:hAnsi="Times New Roman"/>
          <w:sz w:val="24"/>
          <w:szCs w:val="24"/>
        </w:rPr>
        <w:t xml:space="preserve"> is also responsible for ensuring the relevance, utility, and appropriateness of the many educational programs and products that the </w:t>
      </w:r>
      <w:r w:rsidR="000D4441">
        <w:rPr>
          <w:rFonts w:ascii="Times New Roman" w:hAnsi="Times New Roman"/>
          <w:sz w:val="24"/>
          <w:szCs w:val="24"/>
        </w:rPr>
        <w:t xml:space="preserve">agency </w:t>
      </w:r>
      <w:r w:rsidRPr="00412796">
        <w:rPr>
          <w:rFonts w:ascii="Times New Roman" w:hAnsi="Times New Roman"/>
          <w:sz w:val="24"/>
          <w:szCs w:val="24"/>
        </w:rPr>
        <w:t xml:space="preserve">produces through </w:t>
      </w:r>
      <w:r w:rsidR="00C841C6">
        <w:rPr>
          <w:rFonts w:ascii="Times New Roman" w:hAnsi="Times New Roman"/>
          <w:sz w:val="24"/>
          <w:szCs w:val="24"/>
        </w:rPr>
        <w:t xml:space="preserve">the </w:t>
      </w:r>
      <w:r w:rsidRPr="00412796">
        <w:rPr>
          <w:rFonts w:ascii="Times New Roman" w:hAnsi="Times New Roman"/>
          <w:sz w:val="24"/>
          <w:szCs w:val="24"/>
        </w:rPr>
        <w:t xml:space="preserve">implementation of customer satisfaction research.  By obtaining information from intended audiences </w:t>
      </w:r>
      <w:r w:rsidRPr="00412796">
        <w:rPr>
          <w:rFonts w:ascii="Times New Roman" w:hAnsi="Times New Roman"/>
          <w:sz w:val="24"/>
          <w:szCs w:val="24"/>
        </w:rPr>
        <w:t>on</w:t>
      </w:r>
      <w:r w:rsidRPr="00412796">
        <w:rPr>
          <w:rFonts w:ascii="Times New Roman" w:hAnsi="Times New Roman"/>
          <w:sz w:val="24"/>
          <w:szCs w:val="24"/>
        </w:rPr>
        <w:t xml:space="preserve"> the extent to which materials satisfy their needs, </w:t>
      </w:r>
      <w:r w:rsidR="000D4441">
        <w:rPr>
          <w:rFonts w:ascii="Times New Roman" w:hAnsi="Times New Roman"/>
          <w:sz w:val="24"/>
          <w:szCs w:val="24"/>
        </w:rPr>
        <w:t xml:space="preserve">NIH </w:t>
      </w:r>
      <w:r w:rsidR="00BF4DF0">
        <w:rPr>
          <w:rFonts w:ascii="Times New Roman" w:hAnsi="Times New Roman"/>
          <w:sz w:val="24"/>
          <w:szCs w:val="24"/>
        </w:rPr>
        <w:t>can</w:t>
      </w:r>
      <w:r w:rsidRPr="00412796">
        <w:rPr>
          <w:rFonts w:ascii="Times New Roman" w:hAnsi="Times New Roman"/>
          <w:sz w:val="24"/>
          <w:szCs w:val="24"/>
        </w:rPr>
        <w:t xml:space="preserve"> systematically establish and follow a feedback loop that </w:t>
      </w:r>
      <w:r w:rsidR="006B2171">
        <w:rPr>
          <w:rFonts w:ascii="Times New Roman" w:hAnsi="Times New Roman"/>
          <w:sz w:val="24"/>
          <w:szCs w:val="24"/>
        </w:rPr>
        <w:t>immediately provides</w:t>
      </w:r>
      <w:r w:rsidRPr="00412796">
        <w:rPr>
          <w:rFonts w:ascii="Times New Roman" w:hAnsi="Times New Roman"/>
          <w:sz w:val="24"/>
          <w:szCs w:val="24"/>
        </w:rPr>
        <w:t xml:space="preserve"> </w:t>
      </w:r>
      <w:r w:rsidR="00C841C6">
        <w:rPr>
          <w:rFonts w:ascii="Times New Roman" w:hAnsi="Times New Roman"/>
          <w:sz w:val="24"/>
          <w:szCs w:val="24"/>
        </w:rPr>
        <w:t>helpful</w:t>
      </w:r>
      <w:r w:rsidRPr="00412796">
        <w:rPr>
          <w:rFonts w:ascii="Times New Roman" w:hAnsi="Times New Roman"/>
          <w:sz w:val="24"/>
          <w:szCs w:val="24"/>
        </w:rPr>
        <w:t xml:space="preserve"> information to revise and enhance educational programs and products </w:t>
      </w:r>
      <w:r w:rsidR="00C841C6">
        <w:rPr>
          <w:rFonts w:ascii="Times New Roman" w:hAnsi="Times New Roman"/>
          <w:sz w:val="24"/>
          <w:szCs w:val="24"/>
        </w:rPr>
        <w:t>to</w:t>
      </w:r>
      <w:r w:rsidRPr="00412796">
        <w:rPr>
          <w:rFonts w:ascii="Times New Roman" w:hAnsi="Times New Roman"/>
          <w:sz w:val="24"/>
          <w:szCs w:val="24"/>
        </w:rPr>
        <w:t xml:space="preserve"> attain maximum relevance, utility, appropriateness, and </w:t>
      </w:r>
      <w:r w:rsidRPr="00616191">
        <w:rPr>
          <w:rFonts w:ascii="Times New Roman" w:hAnsi="Times New Roman"/>
          <w:sz w:val="24"/>
          <w:szCs w:val="24"/>
        </w:rPr>
        <w:t xml:space="preserve">impact.  </w:t>
      </w:r>
    </w:p>
    <w:p w:rsidR="00BB043E" w:rsidP="00300DDD" w14:paraId="0E4D194E" w14:textId="77777777">
      <w:pPr>
        <w:numPr>
          <w:ilvl w:val="12"/>
          <w:numId w:val="0"/>
        </w:numPr>
        <w:spacing w:line="360" w:lineRule="auto"/>
        <w:rPr>
          <w:rFonts w:ascii="Times New Roman" w:hAnsi="Times New Roman"/>
          <w:sz w:val="24"/>
          <w:szCs w:val="24"/>
        </w:rPr>
      </w:pPr>
    </w:p>
    <w:p w:rsidR="00085760" w:rsidRPr="00085760" w:rsidP="00300DDD" w14:paraId="3ED07AE9" w14:textId="77777777">
      <w:pPr>
        <w:spacing w:line="360" w:lineRule="auto"/>
        <w:outlineLvl w:val="0"/>
        <w:rPr>
          <w:rFonts w:ascii="Times New Roman" w:hAnsi="Times New Roman"/>
          <w:sz w:val="24"/>
          <w:szCs w:val="24"/>
        </w:rPr>
      </w:pPr>
      <w:r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Pr="00085760">
        <w:rPr>
          <w:rFonts w:ascii="Times New Roman" w:hAnsi="Times New Roman"/>
          <w:b/>
          <w:bCs/>
          <w:sz w:val="24"/>
          <w:szCs w:val="24"/>
          <w:u w:val="single"/>
        </w:rPr>
        <w:t>Purpose and Use of the Information</w:t>
      </w:r>
    </w:p>
    <w:p w:rsidR="008471D8" w:rsidP="00300DDD" w14:paraId="10056F87" w14:textId="77777777">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r>
    </w:p>
    <w:p w:rsidR="00E02923" w:rsidRPr="00085760" w:rsidP="00300DDD" w14:paraId="5F08119D" w14:textId="046C6925">
      <w:pPr>
        <w:numPr>
          <w:ilvl w:val="12"/>
          <w:numId w:val="0"/>
        </w:numPr>
        <w:spacing w:line="360" w:lineRule="auto"/>
        <w:rPr>
          <w:rFonts w:ascii="Times New Roman" w:hAnsi="Times New Roman"/>
          <w:sz w:val="24"/>
          <w:szCs w:val="24"/>
        </w:rPr>
      </w:pPr>
      <w:r>
        <w:rPr>
          <w:rFonts w:ascii="Times New Roman" w:hAnsi="Times New Roman"/>
          <w:sz w:val="24"/>
          <w:szCs w:val="24"/>
        </w:rPr>
        <w:t>Formative research, pretesting, and the assessment of customer satisfaction</w:t>
      </w:r>
      <w:r w:rsidRPr="00085760">
        <w:rPr>
          <w:rFonts w:ascii="Times New Roman" w:hAnsi="Times New Roman"/>
          <w:sz w:val="24"/>
          <w:szCs w:val="24"/>
        </w:rPr>
        <w:t xml:space="preserve"> </w:t>
      </w:r>
      <w:r>
        <w:rPr>
          <w:rFonts w:ascii="Times New Roman" w:hAnsi="Times New Roman"/>
          <w:sz w:val="24"/>
          <w:szCs w:val="24"/>
        </w:rPr>
        <w:t xml:space="preserve">are </w:t>
      </w:r>
      <w:r w:rsidRPr="00085760">
        <w:rPr>
          <w:rFonts w:ascii="Times New Roman" w:hAnsi="Times New Roman"/>
          <w:sz w:val="24"/>
          <w:szCs w:val="24"/>
        </w:rPr>
        <w:t>integral part</w:t>
      </w:r>
      <w:r>
        <w:rPr>
          <w:rFonts w:ascii="Times New Roman" w:hAnsi="Times New Roman"/>
          <w:sz w:val="24"/>
          <w:szCs w:val="24"/>
        </w:rPr>
        <w:t>s</w:t>
      </w:r>
      <w:r w:rsidRPr="00085760">
        <w:rPr>
          <w:rFonts w:ascii="Times New Roman" w:hAnsi="Times New Roman"/>
          <w:sz w:val="24"/>
          <w:szCs w:val="24"/>
        </w:rPr>
        <w:t xml:space="preserve"> of N</w:t>
      </w:r>
      <w:r w:rsidR="001965E9">
        <w:rPr>
          <w:rFonts w:ascii="Times New Roman" w:hAnsi="Times New Roman"/>
          <w:sz w:val="24"/>
          <w:szCs w:val="24"/>
        </w:rPr>
        <w:t xml:space="preserve">IH’s </w:t>
      </w:r>
      <w:r w:rsidRPr="00085760">
        <w:rPr>
          <w:rFonts w:ascii="Times New Roman" w:hAnsi="Times New Roman"/>
          <w:sz w:val="24"/>
          <w:szCs w:val="24"/>
        </w:rPr>
        <w:t>communications strategies.  Pretesting print</w:t>
      </w:r>
      <w:r w:rsidR="00525C15">
        <w:rPr>
          <w:rFonts w:ascii="Times New Roman" w:hAnsi="Times New Roman"/>
          <w:sz w:val="24"/>
          <w:szCs w:val="24"/>
        </w:rPr>
        <w:t>,</w:t>
      </w:r>
      <w:r w:rsidRPr="00085760">
        <w:rPr>
          <w:rFonts w:ascii="Times New Roman" w:hAnsi="Times New Roman"/>
          <w:sz w:val="24"/>
          <w:szCs w:val="24"/>
        </w:rPr>
        <w:t xml:space="preserve"> broad</w:t>
      </w:r>
      <w:r w:rsidRPr="00085760">
        <w:rPr>
          <w:rFonts w:ascii="Times New Roman" w:hAnsi="Times New Roman"/>
          <w:sz w:val="24"/>
          <w:szCs w:val="24"/>
        </w:rPr>
        <w:softHyphen/>
        <w:t>cast</w:t>
      </w:r>
      <w:r w:rsidR="00525C15">
        <w:rPr>
          <w:rFonts w:ascii="Times New Roman" w:hAnsi="Times New Roman"/>
          <w:sz w:val="24"/>
          <w:szCs w:val="24"/>
        </w:rPr>
        <w:t>, and web</w:t>
      </w:r>
      <w:r w:rsidRPr="00085760">
        <w:rPr>
          <w:rFonts w:ascii="Times New Roman" w:hAnsi="Times New Roman"/>
          <w:sz w:val="24"/>
          <w:szCs w:val="24"/>
        </w:rPr>
        <w:t xml:space="preserve"> products and information services </w:t>
      </w:r>
      <w:r w:rsidR="006B3F8C">
        <w:rPr>
          <w:rFonts w:ascii="Times New Roman" w:hAnsi="Times New Roman"/>
          <w:sz w:val="24"/>
          <w:szCs w:val="24"/>
        </w:rPr>
        <w:t>assess</w:t>
      </w:r>
      <w:r w:rsidRPr="00085760">
        <w:rPr>
          <w:rFonts w:ascii="Times New Roman" w:hAnsi="Times New Roman"/>
          <w:sz w:val="24"/>
          <w:szCs w:val="24"/>
        </w:rPr>
        <w:t xml:space="preserve"> the potential effectiveness of these products while they are still in the </w:t>
      </w:r>
      <w:r w:rsidRPr="00085760">
        <w:rPr>
          <w:rFonts w:ascii="Times New Roman" w:hAnsi="Times New Roman"/>
          <w:sz w:val="24"/>
          <w:szCs w:val="24"/>
        </w:rPr>
        <w:t xml:space="preserve">developmental stage.  </w:t>
      </w:r>
      <w:r w:rsidRPr="00CC42EA">
        <w:rPr>
          <w:rFonts w:ascii="Times New Roman" w:hAnsi="Times New Roman"/>
          <w:sz w:val="24"/>
          <w:szCs w:val="24"/>
        </w:rPr>
        <w:t xml:space="preserve">Given the large number and </w:t>
      </w:r>
      <w:r w:rsidR="00C841C6">
        <w:rPr>
          <w:rFonts w:ascii="Times New Roman" w:hAnsi="Times New Roman"/>
          <w:sz w:val="24"/>
          <w:szCs w:val="24"/>
        </w:rPr>
        <w:t>broad</w:t>
      </w:r>
      <w:r w:rsidRPr="00CC42EA">
        <w:rPr>
          <w:rFonts w:ascii="Times New Roman" w:hAnsi="Times New Roman"/>
          <w:sz w:val="24"/>
          <w:szCs w:val="24"/>
        </w:rPr>
        <w:t xml:space="preserve"> spectrum of education programs and products</w:t>
      </w:r>
      <w:r w:rsidR="001965E9">
        <w:rPr>
          <w:rFonts w:ascii="Times New Roman" w:hAnsi="Times New Roman"/>
          <w:sz w:val="24"/>
          <w:szCs w:val="24"/>
        </w:rPr>
        <w:t xml:space="preserve"> at one of our Institutes where they </w:t>
      </w:r>
      <w:r w:rsidRPr="00CC42EA">
        <w:rPr>
          <w:rFonts w:ascii="Times New Roman" w:hAnsi="Times New Roman"/>
          <w:sz w:val="24"/>
          <w:szCs w:val="24"/>
        </w:rPr>
        <w:t>develop and disseminate</w:t>
      </w:r>
      <w:r w:rsidR="000D4441">
        <w:rPr>
          <w:rFonts w:ascii="Times New Roman" w:hAnsi="Times New Roman"/>
          <w:sz w:val="24"/>
          <w:szCs w:val="24"/>
        </w:rPr>
        <w:t xml:space="preserve"> information</w:t>
      </w:r>
      <w:r w:rsidR="001965E9">
        <w:rPr>
          <w:rFonts w:ascii="Times New Roman" w:hAnsi="Times New Roman"/>
          <w:sz w:val="24"/>
          <w:szCs w:val="24"/>
        </w:rPr>
        <w:t xml:space="preserve"> </w:t>
      </w:r>
      <w:r w:rsidRPr="00CC42EA">
        <w:rPr>
          <w:rFonts w:ascii="Times New Roman" w:hAnsi="Times New Roman"/>
          <w:sz w:val="24"/>
          <w:szCs w:val="24"/>
        </w:rPr>
        <w:t xml:space="preserve">requires accurate, timely, and </w:t>
      </w:r>
      <w:r w:rsidR="00C841C6">
        <w:rPr>
          <w:rFonts w:ascii="Times New Roman" w:hAnsi="Times New Roman"/>
          <w:sz w:val="24"/>
          <w:szCs w:val="24"/>
        </w:rPr>
        <w:t>helpful</w:t>
      </w:r>
      <w:r w:rsidRPr="00CC42EA">
        <w:rPr>
          <w:rFonts w:ascii="Times New Roman" w:hAnsi="Times New Roman"/>
          <w:sz w:val="24"/>
          <w:szCs w:val="24"/>
        </w:rPr>
        <w:t xml:space="preserve"> information about the relevance, usefulness, and appropriateness of these products to its customers.</w:t>
      </w:r>
      <w:r>
        <w:rPr>
          <w:rFonts w:ascii="Times New Roman" w:hAnsi="Times New Roman"/>
          <w:sz w:val="24"/>
          <w:szCs w:val="24"/>
        </w:rPr>
        <w:t xml:space="preserve">   </w:t>
      </w:r>
    </w:p>
    <w:p w:rsidR="00E02923" w:rsidRPr="00085760" w:rsidP="00300DDD" w14:paraId="53988D20" w14:textId="14487F6F">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t xml:space="preserve">The formative </w:t>
      </w:r>
      <w:r>
        <w:rPr>
          <w:rFonts w:ascii="Times New Roman" w:hAnsi="Times New Roman"/>
          <w:sz w:val="24"/>
          <w:szCs w:val="24"/>
        </w:rPr>
        <w:t>research</w:t>
      </w:r>
      <w:r w:rsidRPr="00085760">
        <w:rPr>
          <w:rFonts w:ascii="Times New Roman" w:hAnsi="Times New Roman"/>
          <w:sz w:val="24"/>
          <w:szCs w:val="24"/>
        </w:rPr>
        <w:t xml:space="preserve"> </w:t>
      </w:r>
      <w:r w:rsidR="00332976">
        <w:rPr>
          <w:rFonts w:ascii="Times New Roman" w:hAnsi="Times New Roman"/>
          <w:sz w:val="24"/>
          <w:szCs w:val="24"/>
        </w:rPr>
        <w:t>process</w:t>
      </w:r>
      <w:r w:rsidRPr="00085760">
        <w:rPr>
          <w:rFonts w:ascii="Times New Roman" w:hAnsi="Times New Roman"/>
          <w:sz w:val="24"/>
          <w:szCs w:val="24"/>
        </w:rPr>
        <w:t xml:space="preserve"> is used to determine whether </w:t>
      </w:r>
      <w:r>
        <w:rPr>
          <w:rFonts w:ascii="Times New Roman" w:hAnsi="Times New Roman"/>
          <w:sz w:val="24"/>
          <w:szCs w:val="24"/>
        </w:rPr>
        <w:t xml:space="preserve">or not </w:t>
      </w:r>
      <w:r w:rsidRPr="00085760">
        <w:rPr>
          <w:rFonts w:ascii="Times New Roman" w:hAnsi="Times New Roman"/>
          <w:sz w:val="24"/>
          <w:szCs w:val="24"/>
        </w:rPr>
        <w:t xml:space="preserve">a draft message or message concept </w:t>
      </w:r>
      <w:r w:rsidR="00C841C6">
        <w:rPr>
          <w:rFonts w:ascii="Times New Roman" w:hAnsi="Times New Roman"/>
          <w:sz w:val="24"/>
          <w:szCs w:val="24"/>
        </w:rPr>
        <w:t>effectively reaches and communicates</w:t>
      </w:r>
      <w:r w:rsidRPr="00085760">
        <w:rPr>
          <w:rFonts w:ascii="Times New Roman" w:hAnsi="Times New Roman"/>
          <w:sz w:val="24"/>
          <w:szCs w:val="24"/>
        </w:rPr>
        <w:t xml:space="preserve"> with its audience.  Pretest</w:t>
      </w:r>
      <w:r w:rsidRPr="00085760">
        <w:rPr>
          <w:rFonts w:ascii="Times New Roman" w:hAnsi="Times New Roman"/>
          <w:sz w:val="24"/>
          <w:szCs w:val="24"/>
        </w:rPr>
        <w:softHyphen/>
        <w:t xml:space="preserve">ing involves </w:t>
      </w:r>
      <w:r w:rsidR="00C841C6">
        <w:rPr>
          <w:rFonts w:ascii="Times New Roman" w:hAnsi="Times New Roman"/>
          <w:sz w:val="24"/>
          <w:szCs w:val="24"/>
        </w:rPr>
        <w:t xml:space="preserve">the </w:t>
      </w:r>
      <w:r w:rsidRPr="00085760">
        <w:rPr>
          <w:rFonts w:ascii="Times New Roman" w:hAnsi="Times New Roman"/>
          <w:sz w:val="24"/>
          <w:szCs w:val="24"/>
        </w:rPr>
        <w:t>presentation of draft messages designed to convey specific information to a sample of the audience for whom the materi</w:t>
      </w:r>
      <w:r w:rsidRPr="00085760">
        <w:rPr>
          <w:rFonts w:ascii="Times New Roman" w:hAnsi="Times New Roman"/>
          <w:sz w:val="24"/>
          <w:szCs w:val="24"/>
        </w:rPr>
        <w:softHyphen/>
        <w:t>als are intended.  These respon</w:t>
      </w:r>
      <w:r w:rsidRPr="00085760">
        <w:rPr>
          <w:rFonts w:ascii="Times New Roman" w:hAnsi="Times New Roman"/>
          <w:sz w:val="24"/>
          <w:szCs w:val="24"/>
        </w:rPr>
        <w:softHyphen/>
        <w:t>dents are asked to give their reaction to the messages through either individu</w:t>
      </w:r>
      <w:r w:rsidRPr="00085760">
        <w:rPr>
          <w:rFonts w:ascii="Times New Roman" w:hAnsi="Times New Roman"/>
          <w:sz w:val="24"/>
          <w:szCs w:val="24"/>
        </w:rPr>
        <w:softHyphen/>
        <w:t xml:space="preserve">al or group interviews.  </w:t>
      </w:r>
      <w:r>
        <w:rPr>
          <w:rFonts w:ascii="Times New Roman" w:hAnsi="Times New Roman"/>
          <w:sz w:val="24"/>
          <w:szCs w:val="24"/>
        </w:rPr>
        <w:t>I</w:t>
      </w:r>
      <w:r w:rsidRPr="00085760">
        <w:rPr>
          <w:rFonts w:ascii="Times New Roman" w:hAnsi="Times New Roman"/>
          <w:sz w:val="24"/>
          <w:szCs w:val="24"/>
        </w:rPr>
        <w:t xml:space="preserve">nformation collected </w:t>
      </w:r>
      <w:r>
        <w:rPr>
          <w:rFonts w:ascii="Times New Roman" w:hAnsi="Times New Roman"/>
          <w:sz w:val="24"/>
          <w:szCs w:val="24"/>
        </w:rPr>
        <w:t>to</w:t>
      </w:r>
      <w:r w:rsidRPr="00085760">
        <w:rPr>
          <w:rFonts w:ascii="Times New Roman" w:hAnsi="Times New Roman"/>
          <w:sz w:val="24"/>
          <w:szCs w:val="24"/>
        </w:rPr>
        <w:t xml:space="preserve"> determine the level of customer satisfaction with products </w:t>
      </w:r>
      <w:r>
        <w:rPr>
          <w:rFonts w:ascii="Times New Roman" w:hAnsi="Times New Roman"/>
          <w:sz w:val="24"/>
          <w:szCs w:val="24"/>
        </w:rPr>
        <w:t>helps N</w:t>
      </w:r>
      <w:r w:rsidR="001965E9">
        <w:rPr>
          <w:rFonts w:ascii="Times New Roman" w:hAnsi="Times New Roman"/>
          <w:sz w:val="24"/>
          <w:szCs w:val="24"/>
        </w:rPr>
        <w:t>IH</w:t>
      </w:r>
      <w:r w:rsidRPr="00085760">
        <w:rPr>
          <w:rFonts w:ascii="Times New Roman" w:hAnsi="Times New Roman"/>
          <w:sz w:val="24"/>
          <w:szCs w:val="24"/>
        </w:rPr>
        <w:t xml:space="preserve"> identify strategies for improving the</w:t>
      </w:r>
      <w:r>
        <w:rPr>
          <w:rFonts w:ascii="Times New Roman" w:hAnsi="Times New Roman"/>
          <w:sz w:val="24"/>
          <w:szCs w:val="24"/>
        </w:rPr>
        <w:t xml:space="preserve"> </w:t>
      </w:r>
      <w:r w:rsidRPr="00085760">
        <w:rPr>
          <w:rFonts w:ascii="Times New Roman" w:hAnsi="Times New Roman"/>
          <w:sz w:val="24"/>
          <w:szCs w:val="24"/>
        </w:rPr>
        <w:t>accessibility</w:t>
      </w:r>
      <w:r>
        <w:rPr>
          <w:rFonts w:ascii="Times New Roman" w:hAnsi="Times New Roman"/>
          <w:sz w:val="24"/>
          <w:szCs w:val="24"/>
        </w:rPr>
        <w:t xml:space="preserve"> of materials/programs</w:t>
      </w:r>
      <w:r w:rsidRPr="00085760">
        <w:rPr>
          <w:rFonts w:ascii="Times New Roman" w:hAnsi="Times New Roman"/>
          <w:sz w:val="24"/>
          <w:szCs w:val="24"/>
        </w:rPr>
        <w:t xml:space="preserve">, </w:t>
      </w:r>
      <w:r>
        <w:rPr>
          <w:rFonts w:ascii="Times New Roman" w:hAnsi="Times New Roman"/>
          <w:sz w:val="24"/>
          <w:szCs w:val="24"/>
        </w:rPr>
        <w:t xml:space="preserve">their </w:t>
      </w:r>
      <w:r w:rsidRPr="00085760">
        <w:rPr>
          <w:rFonts w:ascii="Times New Roman" w:hAnsi="Times New Roman"/>
          <w:sz w:val="24"/>
          <w:szCs w:val="24"/>
        </w:rPr>
        <w:t xml:space="preserve">user-friendliness, and </w:t>
      </w:r>
      <w:r>
        <w:rPr>
          <w:rFonts w:ascii="Times New Roman" w:hAnsi="Times New Roman"/>
          <w:sz w:val="24"/>
          <w:szCs w:val="24"/>
        </w:rPr>
        <w:t xml:space="preserve">their </w:t>
      </w:r>
      <w:r w:rsidRPr="00085760">
        <w:rPr>
          <w:rFonts w:ascii="Times New Roman" w:hAnsi="Times New Roman"/>
          <w:sz w:val="24"/>
          <w:szCs w:val="24"/>
        </w:rPr>
        <w:t>relevance to the needs of cancer patients</w:t>
      </w:r>
      <w:r>
        <w:rPr>
          <w:rFonts w:ascii="Times New Roman" w:hAnsi="Times New Roman"/>
          <w:sz w:val="24"/>
          <w:szCs w:val="24"/>
        </w:rPr>
        <w:t xml:space="preserve"> and </w:t>
      </w:r>
      <w:r w:rsidRPr="00085760">
        <w:rPr>
          <w:rFonts w:ascii="Times New Roman" w:hAnsi="Times New Roman"/>
          <w:sz w:val="24"/>
          <w:szCs w:val="24"/>
        </w:rPr>
        <w:t>the</w:t>
      </w:r>
      <w:r>
        <w:rPr>
          <w:rFonts w:ascii="Times New Roman" w:hAnsi="Times New Roman"/>
          <w:sz w:val="24"/>
          <w:szCs w:val="24"/>
        </w:rPr>
        <w:t>ir</w:t>
      </w:r>
      <w:r w:rsidRPr="00085760">
        <w:rPr>
          <w:rFonts w:ascii="Times New Roman" w:hAnsi="Times New Roman"/>
          <w:sz w:val="24"/>
          <w:szCs w:val="24"/>
        </w:rPr>
        <w:t xml:space="preserve"> families, health educators and interventionists, cancer advocates, cancer information specialists, and health care professionals</w:t>
      </w:r>
      <w:r>
        <w:rPr>
          <w:rFonts w:ascii="Times New Roman" w:hAnsi="Times New Roman"/>
          <w:sz w:val="24"/>
          <w:szCs w:val="24"/>
        </w:rPr>
        <w:t>.  Research explores various domains</w:t>
      </w:r>
      <w:r w:rsidR="00723E7A">
        <w:rPr>
          <w:rFonts w:ascii="Times New Roman" w:hAnsi="Times New Roman"/>
          <w:sz w:val="24"/>
          <w:szCs w:val="24"/>
        </w:rPr>
        <w:t xml:space="preserve"> shown in the table below.</w:t>
      </w:r>
    </w:p>
    <w:p w:rsidR="00723E7A" w14:paraId="1E6ADD58" w14:textId="77777777"/>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8"/>
        <w:gridCol w:w="6914"/>
      </w:tblGrid>
      <w:tr w14:paraId="2AACD8E2" w14:textId="77777777" w:rsidTr="00A13B99">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38" w:type="dxa"/>
          </w:tcPr>
          <w:p w:rsidR="00E02923" w:rsidRPr="00A13B99" w:rsidP="00E02923" w14:paraId="04BA2ED9" w14:textId="77777777">
            <w:pPr>
              <w:tabs>
                <w:tab w:val="left" w:pos="1440"/>
              </w:tabs>
              <w:rPr>
                <w:rFonts w:ascii="Times New Roman" w:hAnsi="Times New Roman"/>
                <w:b/>
                <w:sz w:val="23"/>
                <w:szCs w:val="23"/>
              </w:rPr>
            </w:pPr>
            <w:r w:rsidRPr="00A13B99">
              <w:rPr>
                <w:rFonts w:ascii="Times New Roman" w:hAnsi="Times New Roman"/>
                <w:b/>
                <w:sz w:val="23"/>
                <w:szCs w:val="23"/>
              </w:rPr>
              <w:t>Factors assessed</w:t>
            </w:r>
          </w:p>
        </w:tc>
        <w:tc>
          <w:tcPr>
            <w:tcW w:w="6914" w:type="dxa"/>
          </w:tcPr>
          <w:p w:rsidR="00E02923" w:rsidRPr="00A13B99" w:rsidP="00E02923" w14:paraId="75A3DEF2" w14:textId="77777777">
            <w:pPr>
              <w:tabs>
                <w:tab w:val="left" w:pos="1440"/>
              </w:tabs>
              <w:rPr>
                <w:rFonts w:ascii="Times New Roman" w:hAnsi="Times New Roman"/>
                <w:b/>
                <w:sz w:val="23"/>
                <w:szCs w:val="23"/>
              </w:rPr>
            </w:pPr>
            <w:r w:rsidRPr="00A13B99">
              <w:rPr>
                <w:rFonts w:ascii="Times New Roman" w:hAnsi="Times New Roman"/>
                <w:b/>
                <w:sz w:val="23"/>
                <w:szCs w:val="23"/>
              </w:rPr>
              <w:t>Research questions</w:t>
            </w:r>
          </w:p>
        </w:tc>
      </w:tr>
      <w:tr w14:paraId="18E59971" w14:textId="77777777" w:rsidTr="00A13B99">
        <w:tblPrEx>
          <w:tblW w:w="0" w:type="auto"/>
          <w:tblInd w:w="198" w:type="dxa"/>
          <w:tblLook w:val="04A0"/>
        </w:tblPrEx>
        <w:tc>
          <w:tcPr>
            <w:tcW w:w="2238" w:type="dxa"/>
          </w:tcPr>
          <w:p w:rsidR="00E02923" w:rsidRPr="00A13B99" w:rsidP="00E02923" w14:paraId="44093064" w14:textId="77777777">
            <w:pPr>
              <w:tabs>
                <w:tab w:val="left" w:pos="1440"/>
              </w:tabs>
              <w:rPr>
                <w:rFonts w:ascii="Times New Roman" w:hAnsi="Times New Roman"/>
                <w:sz w:val="23"/>
                <w:szCs w:val="23"/>
              </w:rPr>
            </w:pPr>
            <w:r w:rsidRPr="00A13B99">
              <w:rPr>
                <w:rFonts w:ascii="Times New Roman" w:hAnsi="Times New Roman"/>
                <w:sz w:val="23"/>
                <w:szCs w:val="23"/>
              </w:rPr>
              <w:t>Attention</w:t>
            </w:r>
          </w:p>
        </w:tc>
        <w:tc>
          <w:tcPr>
            <w:tcW w:w="6914" w:type="dxa"/>
          </w:tcPr>
          <w:p w:rsidR="00E02923" w:rsidRPr="00A13B99" w:rsidP="00E02923" w14:paraId="2F924173" w14:textId="7F3DF432">
            <w:pPr>
              <w:tabs>
                <w:tab w:val="left" w:pos="1440"/>
              </w:tabs>
              <w:rPr>
                <w:rFonts w:ascii="Times New Roman" w:hAnsi="Times New Roman"/>
                <w:sz w:val="23"/>
                <w:szCs w:val="23"/>
              </w:rPr>
            </w:pPr>
            <w:r w:rsidRPr="00A13B99">
              <w:rPr>
                <w:rFonts w:ascii="Times New Roman" w:hAnsi="Times New Roman"/>
                <w:sz w:val="23"/>
                <w:szCs w:val="23"/>
              </w:rPr>
              <w:t xml:space="preserve">Do the messages attract </w:t>
            </w:r>
            <w:r w:rsidR="00C841C6">
              <w:rPr>
                <w:rFonts w:ascii="Times New Roman" w:hAnsi="Times New Roman"/>
                <w:sz w:val="23"/>
                <w:szCs w:val="23"/>
              </w:rPr>
              <w:t>and</w:t>
            </w:r>
            <w:r w:rsidRPr="00A13B99">
              <w:rPr>
                <w:rFonts w:ascii="Times New Roman" w:hAnsi="Times New Roman"/>
                <w:sz w:val="23"/>
                <w:szCs w:val="23"/>
              </w:rPr>
              <w:t xml:space="preserve"> hold the audience's attention? </w:t>
            </w:r>
          </w:p>
        </w:tc>
      </w:tr>
      <w:tr w14:paraId="1245E48F" w14:textId="77777777" w:rsidTr="00A13B99">
        <w:tblPrEx>
          <w:tblW w:w="0" w:type="auto"/>
          <w:tblInd w:w="198" w:type="dxa"/>
          <w:tblLook w:val="04A0"/>
        </w:tblPrEx>
        <w:tc>
          <w:tcPr>
            <w:tcW w:w="2238" w:type="dxa"/>
          </w:tcPr>
          <w:p w:rsidR="00E02923" w:rsidRPr="00A13B99" w:rsidP="00E02923" w14:paraId="3B3C5486" w14:textId="77777777">
            <w:pPr>
              <w:tabs>
                <w:tab w:val="left" w:pos="1440"/>
              </w:tabs>
              <w:spacing w:line="480" w:lineRule="auto"/>
              <w:rPr>
                <w:rFonts w:ascii="Times New Roman" w:hAnsi="Times New Roman"/>
                <w:sz w:val="23"/>
                <w:szCs w:val="23"/>
              </w:rPr>
            </w:pPr>
            <w:r w:rsidRPr="00A13B99">
              <w:rPr>
                <w:rFonts w:ascii="Times New Roman" w:hAnsi="Times New Roman"/>
                <w:sz w:val="23"/>
                <w:szCs w:val="23"/>
              </w:rPr>
              <w:t>Comprehension</w:t>
            </w:r>
          </w:p>
        </w:tc>
        <w:tc>
          <w:tcPr>
            <w:tcW w:w="6914" w:type="dxa"/>
          </w:tcPr>
          <w:p w:rsidR="00E02923" w:rsidRPr="00A13B99" w:rsidP="00E02923" w14:paraId="148375AB" w14:textId="31EBEBBA">
            <w:pPr>
              <w:tabs>
                <w:tab w:val="left" w:pos="1440"/>
              </w:tabs>
              <w:rPr>
                <w:rFonts w:ascii="Times New Roman" w:hAnsi="Times New Roman"/>
                <w:sz w:val="23"/>
                <w:szCs w:val="23"/>
              </w:rPr>
            </w:pPr>
            <w:r w:rsidRPr="00A13B99">
              <w:rPr>
                <w:rFonts w:ascii="Times New Roman" w:hAnsi="Times New Roman"/>
                <w:sz w:val="23"/>
                <w:szCs w:val="23"/>
              </w:rPr>
              <w:t xml:space="preserve">Are the messages and language clearly understood, and does the </w:t>
            </w:r>
            <w:r w:rsidR="00C841C6">
              <w:rPr>
                <w:rFonts w:ascii="Times New Roman" w:hAnsi="Times New Roman"/>
                <w:sz w:val="23"/>
                <w:szCs w:val="23"/>
              </w:rPr>
              <w:t>central</w:t>
            </w:r>
            <w:r w:rsidRPr="00A13B99">
              <w:rPr>
                <w:rFonts w:ascii="Times New Roman" w:hAnsi="Times New Roman"/>
                <w:sz w:val="23"/>
                <w:szCs w:val="23"/>
              </w:rPr>
              <w:t xml:space="preserve"> theme of the message resonate with the audience? </w:t>
            </w:r>
          </w:p>
        </w:tc>
      </w:tr>
      <w:tr w14:paraId="643BA5C7" w14:textId="77777777" w:rsidTr="00A13B99">
        <w:tblPrEx>
          <w:tblW w:w="0" w:type="auto"/>
          <w:tblInd w:w="198" w:type="dxa"/>
          <w:tblLook w:val="04A0"/>
        </w:tblPrEx>
        <w:tc>
          <w:tcPr>
            <w:tcW w:w="2238" w:type="dxa"/>
          </w:tcPr>
          <w:p w:rsidR="00E02923" w:rsidRPr="00A13B99" w:rsidP="00E02923" w14:paraId="1E5E07B6" w14:textId="77777777">
            <w:pPr>
              <w:tabs>
                <w:tab w:val="left" w:pos="1440"/>
              </w:tabs>
              <w:rPr>
                <w:rFonts w:ascii="Times New Roman" w:hAnsi="Times New Roman"/>
                <w:sz w:val="23"/>
                <w:szCs w:val="23"/>
              </w:rPr>
            </w:pPr>
            <w:r w:rsidRPr="00A13B99">
              <w:rPr>
                <w:rFonts w:ascii="Times New Roman" w:hAnsi="Times New Roman"/>
                <w:sz w:val="23"/>
                <w:szCs w:val="23"/>
              </w:rPr>
              <w:t>Personal relevance and Self-efficacy</w:t>
            </w:r>
          </w:p>
        </w:tc>
        <w:tc>
          <w:tcPr>
            <w:tcW w:w="6914" w:type="dxa"/>
          </w:tcPr>
          <w:p w:rsidR="00E02923" w:rsidRPr="00A13B99" w:rsidP="00E02923" w14:paraId="185A88B7" w14:textId="7E025795">
            <w:pPr>
              <w:tabs>
                <w:tab w:val="left" w:pos="1440"/>
              </w:tabs>
              <w:rPr>
                <w:rFonts w:ascii="Times New Roman" w:hAnsi="Times New Roman"/>
                <w:sz w:val="23"/>
                <w:szCs w:val="23"/>
              </w:rPr>
            </w:pPr>
            <w:r w:rsidRPr="00A13B99">
              <w:rPr>
                <w:rFonts w:ascii="Times New Roman" w:hAnsi="Times New Roman"/>
                <w:sz w:val="23"/>
                <w:szCs w:val="23"/>
              </w:rPr>
              <w:t xml:space="preserve">Do members of the target audience perceive the message as personally relevant, and do they see themselves capable of acting on the </w:t>
            </w:r>
            <w:r w:rsidR="00C841C6">
              <w:rPr>
                <w:rFonts w:ascii="Times New Roman" w:hAnsi="Times New Roman"/>
                <w:sz w:val="23"/>
                <w:szCs w:val="23"/>
              </w:rPr>
              <w:t>statement</w:t>
            </w:r>
            <w:r w:rsidRPr="00A13B99">
              <w:rPr>
                <w:rFonts w:ascii="Times New Roman" w:hAnsi="Times New Roman"/>
                <w:sz w:val="23"/>
                <w:szCs w:val="23"/>
              </w:rPr>
              <w:t xml:space="preserve"> provided? </w:t>
            </w:r>
          </w:p>
        </w:tc>
      </w:tr>
      <w:tr w14:paraId="7921FC15" w14:textId="77777777" w:rsidTr="00A13B99">
        <w:tblPrEx>
          <w:tblW w:w="0" w:type="auto"/>
          <w:tblInd w:w="198" w:type="dxa"/>
          <w:tblLook w:val="04A0"/>
        </w:tblPrEx>
        <w:tc>
          <w:tcPr>
            <w:tcW w:w="2238" w:type="dxa"/>
          </w:tcPr>
          <w:p w:rsidR="00E02923" w:rsidRPr="00A13B99" w:rsidP="00E02923" w14:paraId="5F53A034" w14:textId="77777777">
            <w:pPr>
              <w:tabs>
                <w:tab w:val="left" w:pos="1440"/>
              </w:tabs>
              <w:rPr>
                <w:rFonts w:ascii="Times New Roman" w:hAnsi="Times New Roman"/>
                <w:sz w:val="23"/>
                <w:szCs w:val="23"/>
              </w:rPr>
            </w:pPr>
            <w:r w:rsidRPr="00A13B99">
              <w:rPr>
                <w:rFonts w:ascii="Times New Roman" w:hAnsi="Times New Roman"/>
                <w:sz w:val="23"/>
                <w:szCs w:val="23"/>
              </w:rPr>
              <w:t>Believability</w:t>
            </w:r>
          </w:p>
        </w:tc>
        <w:tc>
          <w:tcPr>
            <w:tcW w:w="6914" w:type="dxa"/>
          </w:tcPr>
          <w:p w:rsidR="00E02923" w:rsidRPr="00A13B99" w:rsidP="00E02923" w14:paraId="2635CDB9" w14:textId="130AE82A">
            <w:pPr>
              <w:tabs>
                <w:tab w:val="left" w:pos="1440"/>
              </w:tabs>
              <w:rPr>
                <w:rFonts w:ascii="Times New Roman" w:hAnsi="Times New Roman"/>
                <w:sz w:val="23"/>
                <w:szCs w:val="23"/>
              </w:rPr>
            </w:pPr>
            <w:r>
              <w:rPr>
                <w:rFonts w:ascii="Times New Roman" w:hAnsi="Times New Roman"/>
                <w:sz w:val="23"/>
                <w:szCs w:val="23"/>
              </w:rPr>
              <w:t>Are</w:t>
            </w:r>
            <w:r w:rsidRPr="00A13B99">
              <w:rPr>
                <w:rFonts w:ascii="Times New Roman" w:hAnsi="Times New Roman"/>
                <w:sz w:val="23"/>
                <w:szCs w:val="23"/>
              </w:rPr>
              <w:t xml:space="preserve"> the message </w:t>
            </w:r>
            <w:r w:rsidR="00C841C6">
              <w:rPr>
                <w:rFonts w:ascii="Times New Roman" w:hAnsi="Times New Roman"/>
                <w:sz w:val="23"/>
                <w:szCs w:val="23"/>
              </w:rPr>
              <w:t>and</w:t>
            </w:r>
            <w:r w:rsidRPr="00A13B99">
              <w:rPr>
                <w:rFonts w:ascii="Times New Roman" w:hAnsi="Times New Roman"/>
                <w:sz w:val="23"/>
                <w:szCs w:val="23"/>
              </w:rPr>
              <w:t xml:space="preserve"> its source perceived as credible? </w:t>
            </w:r>
          </w:p>
        </w:tc>
      </w:tr>
      <w:tr w14:paraId="0CA8FC85" w14:textId="77777777" w:rsidTr="00A13B99">
        <w:tblPrEx>
          <w:tblW w:w="0" w:type="auto"/>
          <w:tblInd w:w="198" w:type="dxa"/>
          <w:tblLook w:val="04A0"/>
        </w:tblPrEx>
        <w:trPr>
          <w:trHeight w:val="647"/>
        </w:trPr>
        <w:tc>
          <w:tcPr>
            <w:tcW w:w="2238" w:type="dxa"/>
          </w:tcPr>
          <w:p w:rsidR="00E02923" w:rsidRPr="00A13B99" w:rsidP="00E02923" w14:paraId="27D0B594" w14:textId="77777777">
            <w:pPr>
              <w:tabs>
                <w:tab w:val="left" w:pos="1440"/>
              </w:tabs>
              <w:rPr>
                <w:rFonts w:ascii="Times New Roman" w:hAnsi="Times New Roman"/>
                <w:sz w:val="23"/>
                <w:szCs w:val="23"/>
              </w:rPr>
            </w:pPr>
            <w:r w:rsidRPr="00A13B99">
              <w:rPr>
                <w:rFonts w:ascii="Times New Roman" w:hAnsi="Times New Roman"/>
                <w:sz w:val="23"/>
                <w:szCs w:val="23"/>
              </w:rPr>
              <w:t>Acceptability</w:t>
            </w:r>
          </w:p>
        </w:tc>
        <w:tc>
          <w:tcPr>
            <w:tcW w:w="6914" w:type="dxa"/>
          </w:tcPr>
          <w:p w:rsidR="00E02923" w:rsidRPr="00A13B99" w:rsidP="00E02923" w14:paraId="0CD2C3AA" w14:textId="77777777">
            <w:pPr>
              <w:tabs>
                <w:tab w:val="left" w:pos="1440"/>
              </w:tabs>
              <w:rPr>
                <w:rFonts w:ascii="Times New Roman" w:hAnsi="Times New Roman"/>
                <w:sz w:val="23"/>
                <w:szCs w:val="23"/>
              </w:rPr>
            </w:pPr>
            <w:r w:rsidRPr="00A13B99">
              <w:rPr>
                <w:rFonts w:ascii="Times New Roman" w:hAnsi="Times New Roman"/>
                <w:sz w:val="23"/>
                <w:szCs w:val="23"/>
              </w:rPr>
              <w:t xml:space="preserve"> Is there any</w:t>
            </w:r>
            <w:r w:rsidRPr="00A13B99">
              <w:rPr>
                <w:rFonts w:ascii="Times New Roman" w:hAnsi="Times New Roman"/>
                <w:sz w:val="23"/>
                <w:szCs w:val="23"/>
              </w:rPr>
              <w:softHyphen/>
              <w:t xml:space="preserve">thing in the message that may be offensive or unacceptable to the target audience, and is the piece culturally sensitive?  </w:t>
            </w:r>
          </w:p>
        </w:tc>
      </w:tr>
      <w:tr w14:paraId="1A88EBE4" w14:textId="77777777" w:rsidTr="00A13B99">
        <w:tblPrEx>
          <w:tblW w:w="0" w:type="auto"/>
          <w:tblInd w:w="198" w:type="dxa"/>
          <w:tblLook w:val="04A0"/>
        </w:tblPrEx>
        <w:tc>
          <w:tcPr>
            <w:tcW w:w="2238" w:type="dxa"/>
          </w:tcPr>
          <w:p w:rsidR="00E02923" w:rsidRPr="00A13B99" w:rsidP="00E02923" w14:paraId="49EC30CA" w14:textId="77777777">
            <w:pPr>
              <w:tabs>
                <w:tab w:val="left" w:pos="1440"/>
              </w:tabs>
              <w:rPr>
                <w:rFonts w:ascii="Times New Roman" w:hAnsi="Times New Roman"/>
                <w:sz w:val="23"/>
                <w:szCs w:val="23"/>
              </w:rPr>
            </w:pPr>
            <w:r w:rsidRPr="00A13B99">
              <w:rPr>
                <w:rFonts w:ascii="Times New Roman" w:hAnsi="Times New Roman"/>
                <w:sz w:val="23"/>
                <w:szCs w:val="23"/>
              </w:rPr>
              <w:t xml:space="preserve">Accessibility </w:t>
            </w:r>
          </w:p>
        </w:tc>
        <w:tc>
          <w:tcPr>
            <w:tcW w:w="6914" w:type="dxa"/>
          </w:tcPr>
          <w:p w:rsidR="00E02923" w:rsidRPr="00A13B99" w:rsidP="00E02923" w14:paraId="05189140" w14:textId="4AEA7466">
            <w:pPr>
              <w:tabs>
                <w:tab w:val="left" w:pos="1440"/>
              </w:tabs>
              <w:rPr>
                <w:rFonts w:ascii="Times New Roman" w:hAnsi="Times New Roman"/>
                <w:sz w:val="23"/>
                <w:szCs w:val="23"/>
              </w:rPr>
            </w:pPr>
            <w:r w:rsidRPr="00A13B99">
              <w:rPr>
                <w:rFonts w:ascii="Times New Roman" w:hAnsi="Times New Roman"/>
                <w:sz w:val="23"/>
                <w:szCs w:val="23"/>
              </w:rPr>
              <w:t xml:space="preserve">Will members of the target audience be able to find the information or message with relative ease, considering factors such as the availability of products in multiple formats (e.g., print materials, videos, online documents, CDs, audio tapes) and in a variety of settings (e.g., clinics, hospitals, </w:t>
            </w:r>
            <w:r w:rsidR="00C841C6">
              <w:rPr>
                <w:rFonts w:ascii="Times New Roman" w:hAnsi="Times New Roman"/>
                <w:sz w:val="23"/>
                <w:szCs w:val="23"/>
              </w:rPr>
              <w:t>doctor’s</w:t>
            </w:r>
            <w:r w:rsidRPr="00A13B99">
              <w:rPr>
                <w:rFonts w:ascii="Times New Roman" w:hAnsi="Times New Roman"/>
                <w:sz w:val="23"/>
                <w:szCs w:val="23"/>
              </w:rPr>
              <w:t xml:space="preserve"> offices, community organizations, libraries)?</w:t>
            </w:r>
          </w:p>
        </w:tc>
      </w:tr>
      <w:tr w14:paraId="3997E232" w14:textId="77777777" w:rsidTr="00A13B99">
        <w:tblPrEx>
          <w:tblW w:w="0" w:type="auto"/>
          <w:tblInd w:w="198" w:type="dxa"/>
          <w:tblLook w:val="04A0"/>
        </w:tblPrEx>
        <w:tc>
          <w:tcPr>
            <w:tcW w:w="2238" w:type="dxa"/>
          </w:tcPr>
          <w:p w:rsidR="00E02923" w:rsidRPr="00A13B99" w:rsidP="00E02923" w14:paraId="11CE40AE" w14:textId="77777777">
            <w:pPr>
              <w:tabs>
                <w:tab w:val="left" w:pos="1440"/>
              </w:tabs>
              <w:rPr>
                <w:rFonts w:ascii="Times New Roman" w:hAnsi="Times New Roman"/>
                <w:sz w:val="23"/>
                <w:szCs w:val="23"/>
              </w:rPr>
            </w:pPr>
            <w:r w:rsidRPr="00A13B99">
              <w:rPr>
                <w:rFonts w:ascii="Times New Roman" w:hAnsi="Times New Roman"/>
                <w:sz w:val="23"/>
                <w:szCs w:val="23"/>
              </w:rPr>
              <w:t>Usability</w:t>
            </w:r>
          </w:p>
        </w:tc>
        <w:tc>
          <w:tcPr>
            <w:tcW w:w="6914" w:type="dxa"/>
          </w:tcPr>
          <w:p w:rsidR="00E02923" w:rsidRPr="00A13B99" w:rsidP="00E02923" w14:paraId="30940530" w14:textId="3BE9C03C">
            <w:pPr>
              <w:tabs>
                <w:tab w:val="left" w:pos="1440"/>
              </w:tabs>
              <w:rPr>
                <w:rFonts w:ascii="Times New Roman" w:hAnsi="Times New Roman"/>
                <w:sz w:val="23"/>
                <w:szCs w:val="23"/>
              </w:rPr>
            </w:pPr>
            <w:r w:rsidRPr="00A13B99">
              <w:rPr>
                <w:rFonts w:ascii="Times New Roman" w:hAnsi="Times New Roman"/>
                <w:sz w:val="23"/>
                <w:szCs w:val="23"/>
              </w:rPr>
              <w:t xml:space="preserve">How likely is the respondent to use the information in the format provided, and is the content provided </w:t>
            </w:r>
            <w:r w:rsidR="00C841C6">
              <w:rPr>
                <w:rFonts w:ascii="Times New Roman" w:hAnsi="Times New Roman"/>
                <w:sz w:val="23"/>
                <w:szCs w:val="23"/>
              </w:rPr>
              <w:t>logically</w:t>
            </w:r>
            <w:r w:rsidRPr="00A13B99">
              <w:rPr>
                <w:rFonts w:ascii="Times New Roman" w:hAnsi="Times New Roman"/>
                <w:sz w:val="23"/>
                <w:szCs w:val="23"/>
              </w:rPr>
              <w:t>, organized</w:t>
            </w:r>
            <w:r w:rsidR="00C841C6">
              <w:rPr>
                <w:rFonts w:ascii="Times New Roman" w:hAnsi="Times New Roman"/>
                <w:sz w:val="23"/>
                <w:szCs w:val="23"/>
              </w:rPr>
              <w:t>,</w:t>
            </w:r>
            <w:r w:rsidRPr="00A13B99">
              <w:rPr>
                <w:rFonts w:ascii="Times New Roman" w:hAnsi="Times New Roman"/>
                <w:sz w:val="23"/>
                <w:szCs w:val="23"/>
              </w:rPr>
              <w:t xml:space="preserve"> and user-friendly?  </w:t>
            </w:r>
            <w:r w:rsidRPr="00A13B99" w:rsidR="00120EB3">
              <w:rPr>
                <w:rFonts w:ascii="Times New Roman" w:hAnsi="Times New Roman"/>
                <w:sz w:val="23"/>
                <w:szCs w:val="23"/>
              </w:rPr>
              <w:t>And</w:t>
            </w:r>
            <w:r w:rsidRPr="00A13B99">
              <w:rPr>
                <w:rFonts w:ascii="Times New Roman" w:hAnsi="Times New Roman"/>
                <w:sz w:val="23"/>
                <w:szCs w:val="23"/>
              </w:rPr>
              <w:t xml:space="preserve"> do the topics addressed by NCI and </w:t>
            </w:r>
            <w:r w:rsidRPr="00A13B99" w:rsidR="00A96F2F">
              <w:rPr>
                <w:rFonts w:ascii="Times New Roman" w:hAnsi="Times New Roman"/>
                <w:sz w:val="23"/>
                <w:szCs w:val="23"/>
              </w:rPr>
              <w:t>OCPL</w:t>
            </w:r>
            <w:r w:rsidRPr="00A13B99">
              <w:rPr>
                <w:rFonts w:ascii="Times New Roman" w:hAnsi="Times New Roman"/>
                <w:sz w:val="23"/>
                <w:szCs w:val="23"/>
              </w:rPr>
              <w:t xml:space="preserve"> products meet the needs, concerns</w:t>
            </w:r>
            <w:r w:rsidR="00C841C6">
              <w:rPr>
                <w:rFonts w:ascii="Times New Roman" w:hAnsi="Times New Roman"/>
                <w:sz w:val="23"/>
                <w:szCs w:val="23"/>
              </w:rPr>
              <w:t>,</w:t>
            </w:r>
            <w:r w:rsidRPr="00A13B99">
              <w:rPr>
                <w:rFonts w:ascii="Times New Roman" w:hAnsi="Times New Roman"/>
                <w:sz w:val="23"/>
                <w:szCs w:val="23"/>
              </w:rPr>
              <w:t xml:space="preserve"> and interests of its customers?  </w:t>
            </w:r>
          </w:p>
        </w:tc>
      </w:tr>
      <w:tr w14:paraId="014DC102" w14:textId="77777777" w:rsidTr="00A13B99">
        <w:tblPrEx>
          <w:tblW w:w="0" w:type="auto"/>
          <w:tblInd w:w="198" w:type="dxa"/>
          <w:tblLook w:val="04A0"/>
        </w:tblPrEx>
        <w:tc>
          <w:tcPr>
            <w:tcW w:w="2238" w:type="dxa"/>
          </w:tcPr>
          <w:p w:rsidR="00E02923" w:rsidRPr="00A13B99" w:rsidP="00E02923" w14:paraId="12CD7740" w14:textId="77777777">
            <w:pPr>
              <w:tabs>
                <w:tab w:val="left" w:pos="1440"/>
              </w:tabs>
              <w:rPr>
                <w:rFonts w:ascii="Times New Roman" w:hAnsi="Times New Roman"/>
                <w:sz w:val="23"/>
                <w:szCs w:val="23"/>
              </w:rPr>
            </w:pPr>
            <w:r w:rsidRPr="00A13B99">
              <w:rPr>
                <w:rFonts w:ascii="Times New Roman" w:hAnsi="Times New Roman"/>
                <w:sz w:val="23"/>
                <w:szCs w:val="23"/>
              </w:rPr>
              <w:t>Behavioral intent</w:t>
            </w:r>
          </w:p>
        </w:tc>
        <w:tc>
          <w:tcPr>
            <w:tcW w:w="6914" w:type="dxa"/>
          </w:tcPr>
          <w:p w:rsidR="00E02923" w:rsidRPr="00A13B99" w:rsidP="00E02923" w14:paraId="6F6498FB" w14:textId="77777777">
            <w:pPr>
              <w:tabs>
                <w:tab w:val="left" w:pos="1440"/>
              </w:tabs>
              <w:rPr>
                <w:rFonts w:ascii="Times New Roman" w:hAnsi="Times New Roman"/>
                <w:sz w:val="23"/>
                <w:szCs w:val="23"/>
              </w:rPr>
            </w:pPr>
            <w:r w:rsidRPr="00A13B99">
              <w:rPr>
                <w:rFonts w:ascii="Times New Roman" w:hAnsi="Times New Roman"/>
                <w:sz w:val="23"/>
                <w:szCs w:val="23"/>
              </w:rPr>
              <w:t xml:space="preserve">Do respondents think they will </w:t>
            </w:r>
            <w:r w:rsidRPr="00A13B99">
              <w:rPr>
                <w:rFonts w:ascii="Times New Roman" w:hAnsi="Times New Roman"/>
                <w:sz w:val="23"/>
                <w:szCs w:val="23"/>
              </w:rPr>
              <w:t>take action</w:t>
            </w:r>
            <w:r w:rsidRPr="00A13B99">
              <w:rPr>
                <w:rFonts w:ascii="Times New Roman" w:hAnsi="Times New Roman"/>
                <w:sz w:val="23"/>
                <w:szCs w:val="23"/>
              </w:rPr>
              <w:t xml:space="preserve"> as a result of seeing/hearing the message?  </w:t>
            </w:r>
          </w:p>
        </w:tc>
      </w:tr>
      <w:tr w14:paraId="1D31FCC7" w14:textId="77777777" w:rsidTr="00A13B99">
        <w:tblPrEx>
          <w:tblW w:w="0" w:type="auto"/>
          <w:tblInd w:w="198" w:type="dxa"/>
          <w:tblLook w:val="04A0"/>
        </w:tblPrEx>
        <w:tc>
          <w:tcPr>
            <w:tcW w:w="2238" w:type="dxa"/>
          </w:tcPr>
          <w:p w:rsidR="00E02923" w:rsidRPr="00A13B99" w:rsidP="00E02923" w14:paraId="1EF22BE4" w14:textId="77777777">
            <w:pPr>
              <w:tabs>
                <w:tab w:val="left" w:pos="1440"/>
              </w:tabs>
              <w:rPr>
                <w:rFonts w:ascii="Times New Roman" w:hAnsi="Times New Roman"/>
                <w:sz w:val="23"/>
                <w:szCs w:val="23"/>
              </w:rPr>
            </w:pPr>
            <w:r w:rsidRPr="00A13B99">
              <w:rPr>
                <w:rFonts w:ascii="Times New Roman" w:hAnsi="Times New Roman"/>
                <w:sz w:val="23"/>
                <w:szCs w:val="23"/>
              </w:rPr>
              <w:t>Readability and clarity</w:t>
            </w:r>
          </w:p>
        </w:tc>
        <w:tc>
          <w:tcPr>
            <w:tcW w:w="6914" w:type="dxa"/>
          </w:tcPr>
          <w:p w:rsidR="00E02923" w:rsidRPr="00A13B99" w:rsidP="00E02923" w14:paraId="4B8A8C37" w14:textId="5704D1B7">
            <w:pPr>
              <w:tabs>
                <w:tab w:val="left" w:pos="1440"/>
              </w:tabs>
              <w:rPr>
                <w:rFonts w:ascii="Times New Roman" w:hAnsi="Times New Roman"/>
                <w:sz w:val="23"/>
                <w:szCs w:val="23"/>
              </w:rPr>
            </w:pPr>
            <w:r w:rsidRPr="00A13B99">
              <w:rPr>
                <w:rFonts w:ascii="Times New Roman" w:hAnsi="Times New Roman"/>
                <w:sz w:val="23"/>
                <w:szCs w:val="23"/>
              </w:rPr>
              <w:t xml:space="preserve">Can the reader understand publications and educational materials in terms of the needs of low-literacy audiences and </w:t>
            </w:r>
            <w:r w:rsidR="006B3F8C">
              <w:rPr>
                <w:rFonts w:ascii="Times New Roman" w:hAnsi="Times New Roman"/>
                <w:sz w:val="23"/>
                <w:szCs w:val="23"/>
              </w:rPr>
              <w:t>concerning</w:t>
            </w:r>
            <w:r w:rsidRPr="00A13B99">
              <w:rPr>
                <w:rFonts w:ascii="Times New Roman" w:hAnsi="Times New Roman"/>
                <w:sz w:val="23"/>
                <w:szCs w:val="23"/>
              </w:rPr>
              <w:t xml:space="preserve"> plain language principles and design?</w:t>
            </w:r>
          </w:p>
        </w:tc>
      </w:tr>
      <w:tr w14:paraId="3DFBB3E1" w14:textId="77777777" w:rsidTr="00A13B99">
        <w:tblPrEx>
          <w:tblW w:w="0" w:type="auto"/>
          <w:tblInd w:w="198" w:type="dxa"/>
          <w:tblLook w:val="04A0"/>
        </w:tblPrEx>
        <w:tc>
          <w:tcPr>
            <w:tcW w:w="2238" w:type="dxa"/>
          </w:tcPr>
          <w:p w:rsidR="00E02923" w:rsidRPr="00A13B99" w:rsidP="00E02923" w14:paraId="21BB118C" w14:textId="77777777">
            <w:pPr>
              <w:tabs>
                <w:tab w:val="left" w:pos="1440"/>
              </w:tabs>
              <w:rPr>
                <w:rFonts w:ascii="Times New Roman" w:hAnsi="Times New Roman"/>
                <w:sz w:val="23"/>
                <w:szCs w:val="23"/>
              </w:rPr>
            </w:pPr>
            <w:r w:rsidRPr="00A13B99">
              <w:rPr>
                <w:rFonts w:ascii="Times New Roman" w:hAnsi="Times New Roman"/>
                <w:sz w:val="23"/>
                <w:szCs w:val="23"/>
              </w:rPr>
              <w:t>Availability</w:t>
            </w:r>
          </w:p>
        </w:tc>
        <w:tc>
          <w:tcPr>
            <w:tcW w:w="6914" w:type="dxa"/>
          </w:tcPr>
          <w:p w:rsidR="00E02923" w:rsidRPr="00A13B99" w:rsidP="00E02923" w14:paraId="209CE4A1" w14:textId="77777777">
            <w:pPr>
              <w:tabs>
                <w:tab w:val="left" w:pos="1440"/>
              </w:tabs>
              <w:rPr>
                <w:rFonts w:ascii="Times New Roman" w:hAnsi="Times New Roman"/>
                <w:sz w:val="23"/>
                <w:szCs w:val="23"/>
              </w:rPr>
            </w:pPr>
            <w:r w:rsidRPr="00A13B99">
              <w:rPr>
                <w:rFonts w:ascii="Times New Roman" w:hAnsi="Times New Roman"/>
                <w:sz w:val="23"/>
                <w:szCs w:val="23"/>
              </w:rPr>
              <w:t xml:space="preserve">Are NCI and </w:t>
            </w:r>
            <w:r w:rsidRPr="00A13B99" w:rsidR="00A96F2F">
              <w:rPr>
                <w:rFonts w:ascii="Times New Roman" w:hAnsi="Times New Roman"/>
                <w:sz w:val="23"/>
                <w:szCs w:val="23"/>
              </w:rPr>
              <w:t>OCPL</w:t>
            </w:r>
            <w:r w:rsidRPr="00A13B99">
              <w:rPr>
                <w:rFonts w:ascii="Times New Roman" w:hAnsi="Times New Roman"/>
                <w:sz w:val="23"/>
                <w:szCs w:val="23"/>
              </w:rPr>
              <w:t xml:space="preserve"> products present for low-English fluency audiences?</w:t>
            </w:r>
          </w:p>
        </w:tc>
      </w:tr>
      <w:tr w14:paraId="384B4BAA" w14:textId="77777777" w:rsidTr="00A13B99">
        <w:tblPrEx>
          <w:tblW w:w="0" w:type="auto"/>
          <w:tblInd w:w="198" w:type="dxa"/>
          <w:tblLook w:val="04A0"/>
        </w:tblPrEx>
        <w:tc>
          <w:tcPr>
            <w:tcW w:w="2238" w:type="dxa"/>
          </w:tcPr>
          <w:p w:rsidR="00E02923" w:rsidRPr="00A13B99" w:rsidP="00E02923" w14:paraId="7C308BD6" w14:textId="77777777">
            <w:pPr>
              <w:tabs>
                <w:tab w:val="left" w:pos="1440"/>
              </w:tabs>
              <w:rPr>
                <w:rFonts w:ascii="Times New Roman" w:hAnsi="Times New Roman"/>
                <w:sz w:val="23"/>
                <w:szCs w:val="23"/>
              </w:rPr>
            </w:pPr>
            <w:r w:rsidRPr="00A13B99">
              <w:rPr>
                <w:rFonts w:ascii="Times New Roman" w:hAnsi="Times New Roman"/>
                <w:sz w:val="23"/>
                <w:szCs w:val="23"/>
              </w:rPr>
              <w:t>Cultural appropriateness</w:t>
            </w:r>
          </w:p>
        </w:tc>
        <w:tc>
          <w:tcPr>
            <w:tcW w:w="6914" w:type="dxa"/>
          </w:tcPr>
          <w:p w:rsidR="00E02923" w:rsidRPr="00A13B99" w:rsidP="00E02923" w14:paraId="6D718D6C" w14:textId="77777777">
            <w:pPr>
              <w:tabs>
                <w:tab w:val="left" w:pos="1440"/>
              </w:tabs>
              <w:rPr>
                <w:rFonts w:ascii="Times New Roman" w:hAnsi="Times New Roman"/>
                <w:sz w:val="23"/>
                <w:szCs w:val="23"/>
              </w:rPr>
            </w:pPr>
            <w:r w:rsidRPr="00A13B99">
              <w:rPr>
                <w:rFonts w:ascii="Times New Roman" w:hAnsi="Times New Roman"/>
                <w:sz w:val="23"/>
                <w:szCs w:val="23"/>
              </w:rPr>
              <w:t>Are foreign-language translations or adaptations of products accurate and available for customers?</w:t>
            </w:r>
          </w:p>
        </w:tc>
      </w:tr>
    </w:tbl>
    <w:p w:rsidR="00E02923" w:rsidP="00E02923" w14:paraId="3BA29419" w14:textId="77777777">
      <w:pPr>
        <w:numPr>
          <w:ilvl w:val="12"/>
          <w:numId w:val="0"/>
        </w:numPr>
        <w:spacing w:line="480" w:lineRule="auto"/>
        <w:rPr>
          <w:rFonts w:ascii="Times New Roman" w:hAnsi="Times New Roman"/>
          <w:sz w:val="24"/>
          <w:szCs w:val="24"/>
        </w:rPr>
      </w:pPr>
      <w:r w:rsidRPr="00085760">
        <w:rPr>
          <w:rFonts w:ascii="Times New Roman" w:hAnsi="Times New Roman"/>
          <w:sz w:val="24"/>
          <w:szCs w:val="24"/>
        </w:rPr>
        <w:tab/>
      </w:r>
    </w:p>
    <w:p w:rsidR="00E02923" w:rsidRPr="00085760" w:rsidP="00300DDD" w14:paraId="671846AA" w14:textId="6EEE400E">
      <w:pPr>
        <w:numPr>
          <w:ilvl w:val="12"/>
          <w:numId w:val="0"/>
        </w:numPr>
        <w:spacing w:line="360" w:lineRule="auto"/>
        <w:rPr>
          <w:rFonts w:ascii="Times New Roman" w:hAnsi="Times New Roman"/>
          <w:sz w:val="24"/>
          <w:szCs w:val="24"/>
        </w:rPr>
      </w:pPr>
      <w:r w:rsidRPr="00085760">
        <w:rPr>
          <w:rFonts w:ascii="Times New Roman" w:hAnsi="Times New Roman"/>
          <w:sz w:val="24"/>
          <w:szCs w:val="24"/>
        </w:rPr>
        <w:t>Respondents' input and reactions to each of these areas provide insight into how the audiences for these messages may react</w:t>
      </w:r>
      <w:r>
        <w:rPr>
          <w:rFonts w:ascii="Times New Roman" w:hAnsi="Times New Roman"/>
          <w:sz w:val="24"/>
          <w:szCs w:val="24"/>
        </w:rPr>
        <w:t xml:space="preserve">, </w:t>
      </w:r>
      <w:r w:rsidRPr="00085760">
        <w:rPr>
          <w:rFonts w:ascii="Times New Roman" w:hAnsi="Times New Roman"/>
          <w:sz w:val="24"/>
          <w:szCs w:val="24"/>
        </w:rPr>
        <w:t>how the messages should be formulated or revised to communicate most effectively</w:t>
      </w:r>
      <w:r w:rsidRPr="00085760">
        <w:rPr>
          <w:rFonts w:ascii="Times New Roman" w:hAnsi="Times New Roman"/>
          <w:sz w:val="24"/>
          <w:szCs w:val="24"/>
        </w:rPr>
        <w:softHyphen/>
      </w:r>
      <w:r w:rsidR="006B3F8C">
        <w:rPr>
          <w:rFonts w:ascii="Times New Roman" w:hAnsi="Times New Roman"/>
          <w:sz w:val="24"/>
          <w:szCs w:val="24"/>
        </w:rPr>
        <w:t>,</w:t>
      </w:r>
      <w:r>
        <w:rPr>
          <w:rFonts w:ascii="Times New Roman" w:hAnsi="Times New Roman"/>
          <w:sz w:val="24"/>
          <w:szCs w:val="24"/>
        </w:rPr>
        <w:t xml:space="preserve"> and the </w:t>
      </w:r>
      <w:r w:rsidRPr="00085760">
        <w:rPr>
          <w:rFonts w:ascii="Times New Roman" w:hAnsi="Times New Roman"/>
          <w:sz w:val="24"/>
          <w:szCs w:val="24"/>
        </w:rPr>
        <w:t xml:space="preserve">usefulness, </w:t>
      </w:r>
      <w:r>
        <w:rPr>
          <w:rFonts w:ascii="Times New Roman" w:hAnsi="Times New Roman"/>
          <w:sz w:val="24"/>
          <w:szCs w:val="24"/>
        </w:rPr>
        <w:t>relevance</w:t>
      </w:r>
      <w:r w:rsidR="00C841C6">
        <w:rPr>
          <w:rFonts w:ascii="Times New Roman" w:hAnsi="Times New Roman"/>
          <w:sz w:val="24"/>
          <w:szCs w:val="24"/>
        </w:rPr>
        <w:t>,</w:t>
      </w:r>
      <w:r>
        <w:rPr>
          <w:rFonts w:ascii="Times New Roman" w:hAnsi="Times New Roman"/>
          <w:sz w:val="24"/>
          <w:szCs w:val="24"/>
        </w:rPr>
        <w:t xml:space="preserve"> </w:t>
      </w:r>
      <w:r w:rsidRPr="00085760">
        <w:rPr>
          <w:rFonts w:ascii="Times New Roman" w:hAnsi="Times New Roman"/>
          <w:sz w:val="24"/>
          <w:szCs w:val="24"/>
        </w:rPr>
        <w:t xml:space="preserve">and appropriateness of these products to </w:t>
      </w:r>
      <w:r w:rsidR="00C841C6">
        <w:rPr>
          <w:rFonts w:ascii="Times New Roman" w:hAnsi="Times New Roman"/>
          <w:sz w:val="24"/>
          <w:szCs w:val="24"/>
        </w:rPr>
        <w:t>their</w:t>
      </w:r>
      <w:r w:rsidRPr="00085760">
        <w:rPr>
          <w:rFonts w:ascii="Times New Roman" w:hAnsi="Times New Roman"/>
          <w:sz w:val="24"/>
          <w:szCs w:val="24"/>
        </w:rPr>
        <w:t xml:space="preserve"> customers.</w:t>
      </w:r>
    </w:p>
    <w:p w:rsidR="00E02923" w:rsidRPr="00085760" w:rsidP="00300DDD" w14:paraId="295BE1D1" w14:textId="0C225B18">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t xml:space="preserve">Other information </w:t>
      </w:r>
      <w:r>
        <w:rPr>
          <w:rFonts w:ascii="Times New Roman" w:hAnsi="Times New Roman"/>
          <w:sz w:val="24"/>
          <w:szCs w:val="24"/>
        </w:rPr>
        <w:t xml:space="preserve">that may be </w:t>
      </w:r>
      <w:r w:rsidRPr="00085760">
        <w:rPr>
          <w:rFonts w:ascii="Times New Roman" w:hAnsi="Times New Roman"/>
          <w:sz w:val="24"/>
          <w:szCs w:val="24"/>
        </w:rPr>
        <w:t xml:space="preserve">gathered on respondents regarding </w:t>
      </w:r>
      <w:r w:rsidR="000D4441">
        <w:rPr>
          <w:rFonts w:ascii="Times New Roman" w:hAnsi="Times New Roman"/>
          <w:sz w:val="24"/>
          <w:szCs w:val="24"/>
        </w:rPr>
        <w:t>sex</w:t>
      </w:r>
      <w:r w:rsidRPr="00085760">
        <w:rPr>
          <w:rFonts w:ascii="Times New Roman" w:hAnsi="Times New Roman"/>
          <w:sz w:val="24"/>
          <w:szCs w:val="24"/>
        </w:rPr>
        <w:t xml:space="preserve">, age, socioeconomic level, race/ethnicity, and family medical history provides a basis for evaluating whether the messages may be perceived differently by different </w:t>
      </w:r>
      <w:r w:rsidR="00C841C6">
        <w:rPr>
          <w:rFonts w:ascii="Times New Roman" w:hAnsi="Times New Roman"/>
          <w:sz w:val="24"/>
          <w:szCs w:val="24"/>
        </w:rPr>
        <w:t>audience segments</w:t>
      </w:r>
      <w:r w:rsidRPr="00085760">
        <w:rPr>
          <w:rFonts w:ascii="Times New Roman" w:hAnsi="Times New Roman"/>
          <w:sz w:val="24"/>
          <w:szCs w:val="24"/>
        </w:rPr>
        <w:t xml:space="preserve">.  For example, selected age groups may find a particular brochure or message on </w:t>
      </w:r>
      <w:r w:rsidR="000D4441">
        <w:rPr>
          <w:rFonts w:ascii="Times New Roman" w:hAnsi="Times New Roman"/>
          <w:sz w:val="24"/>
          <w:szCs w:val="24"/>
        </w:rPr>
        <w:t>disease</w:t>
      </w:r>
      <w:r w:rsidRPr="00085760">
        <w:rPr>
          <w:rFonts w:ascii="Times New Roman" w:hAnsi="Times New Roman"/>
          <w:sz w:val="24"/>
          <w:szCs w:val="24"/>
        </w:rPr>
        <w:t xml:space="preserve"> prevention more relevant than other age groups.</w:t>
      </w:r>
    </w:p>
    <w:p w:rsidR="00E539F9" w:rsidP="000D4441" w14:paraId="143CED6C" w14:textId="1D0D5C2C">
      <w:pPr>
        <w:numPr>
          <w:ilvl w:val="12"/>
          <w:numId w:val="0"/>
        </w:numPr>
        <w:spacing w:line="360" w:lineRule="auto"/>
        <w:rPr>
          <w:rFonts w:ascii="Times New Roman" w:hAnsi="Times New Roman"/>
          <w:sz w:val="24"/>
          <w:szCs w:val="24"/>
        </w:rPr>
      </w:pPr>
      <w:r w:rsidRPr="00085760">
        <w:rPr>
          <w:rFonts w:ascii="Times New Roman" w:hAnsi="Times New Roman"/>
          <w:sz w:val="24"/>
          <w:szCs w:val="24"/>
        </w:rPr>
        <w:tab/>
      </w:r>
    </w:p>
    <w:p w:rsidR="00107634" w:rsidP="00E46270" w14:paraId="66985F7B" w14:textId="5FDAB9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Pr>
          <w:rFonts w:ascii="Times New Roman" w:hAnsi="Times New Roman"/>
          <w:sz w:val="24"/>
          <w:szCs w:val="24"/>
        </w:rPr>
        <w:t xml:space="preserve">          </w:t>
      </w:r>
      <w:r w:rsidRPr="00616191" w:rsidR="003B3AB7">
        <w:rPr>
          <w:rFonts w:ascii="Times New Roman" w:hAnsi="Times New Roman"/>
          <w:sz w:val="24"/>
          <w:szCs w:val="24"/>
        </w:rPr>
        <w:t>In</w:t>
      </w:r>
      <w:r w:rsidRPr="002F62AB" w:rsidR="003B3AB7">
        <w:rPr>
          <w:rFonts w:ascii="Times New Roman" w:hAnsi="Times New Roman"/>
          <w:sz w:val="24"/>
          <w:szCs w:val="24"/>
        </w:rPr>
        <w:t xml:space="preserve"> the past three years, i</w:t>
      </w:r>
      <w:r w:rsidRPr="00624E2D" w:rsidR="003B3AB7">
        <w:rPr>
          <w:rFonts w:ascii="Times New Roman" w:hAnsi="Times New Roman"/>
          <w:sz w:val="24"/>
          <w:szCs w:val="24"/>
        </w:rPr>
        <w:t xml:space="preserve">nformation was collected to gain insights on topics such as clinical trials, tobacco education, cancer training, and </w:t>
      </w:r>
      <w:r w:rsidR="00C841C6">
        <w:rPr>
          <w:rFonts w:ascii="Times New Roman" w:hAnsi="Times New Roman"/>
          <w:sz w:val="24"/>
          <w:szCs w:val="24"/>
        </w:rPr>
        <w:t xml:space="preserve">the </w:t>
      </w:r>
      <w:r w:rsidRPr="00624E2D" w:rsidR="003B3AB7">
        <w:rPr>
          <w:rFonts w:ascii="Times New Roman" w:hAnsi="Times New Roman"/>
          <w:sz w:val="24"/>
          <w:szCs w:val="24"/>
        </w:rPr>
        <w:t>use of N</w:t>
      </w:r>
      <w:r>
        <w:rPr>
          <w:rFonts w:ascii="Times New Roman" w:hAnsi="Times New Roman"/>
          <w:sz w:val="24"/>
          <w:szCs w:val="24"/>
        </w:rPr>
        <w:t>IH</w:t>
      </w:r>
      <w:r w:rsidRPr="00624E2D" w:rsidR="003B3AB7">
        <w:rPr>
          <w:rFonts w:ascii="Times New Roman" w:hAnsi="Times New Roman"/>
          <w:sz w:val="24"/>
          <w:szCs w:val="24"/>
        </w:rPr>
        <w:t xml:space="preserve"> programs such as the </w:t>
      </w:r>
      <w:r w:rsidRPr="00624E2D" w:rsidR="002F62AB">
        <w:rPr>
          <w:rFonts w:ascii="Times New Roman" w:hAnsi="Times New Roman"/>
          <w:sz w:val="24"/>
          <w:szCs w:val="24"/>
        </w:rPr>
        <w:t xml:space="preserve">NCI Cohort Consortium, Center for Cancer Training, and Communications Fellowship Program. </w:t>
      </w:r>
      <w:r w:rsidRPr="002F62AB" w:rsidR="003B3AB7">
        <w:rPr>
          <w:rFonts w:ascii="Times New Roman" w:hAnsi="Times New Roman"/>
          <w:sz w:val="24"/>
          <w:szCs w:val="24"/>
        </w:rPr>
        <w:t xml:space="preserve">The information collected in the sub-studies </w:t>
      </w:r>
      <w:r w:rsidRPr="002F62AB" w:rsidR="00BF7282">
        <w:rPr>
          <w:rFonts w:ascii="Times New Roman" w:hAnsi="Times New Roman"/>
          <w:sz w:val="24"/>
          <w:szCs w:val="24"/>
        </w:rPr>
        <w:t>helps N</w:t>
      </w:r>
      <w:r>
        <w:rPr>
          <w:rFonts w:ascii="Times New Roman" w:hAnsi="Times New Roman"/>
          <w:sz w:val="24"/>
          <w:szCs w:val="24"/>
        </w:rPr>
        <w:t>IH</w:t>
      </w:r>
      <w:r w:rsidRPr="002F62AB" w:rsidR="00BF7282">
        <w:rPr>
          <w:rFonts w:ascii="Times New Roman" w:hAnsi="Times New Roman"/>
          <w:sz w:val="24"/>
          <w:szCs w:val="24"/>
        </w:rPr>
        <w:t xml:space="preserve"> </w:t>
      </w:r>
      <w:r w:rsidR="00C841C6">
        <w:rPr>
          <w:rFonts w:ascii="Times New Roman" w:hAnsi="Times New Roman"/>
          <w:sz w:val="24"/>
          <w:szCs w:val="24"/>
        </w:rPr>
        <w:t>to understand best</w:t>
      </w:r>
      <w:r w:rsidRPr="002F62AB" w:rsidR="00BF7282">
        <w:rPr>
          <w:rFonts w:ascii="Times New Roman" w:hAnsi="Times New Roman"/>
          <w:sz w:val="24"/>
          <w:szCs w:val="24"/>
        </w:rPr>
        <w:t xml:space="preserve"> the needs of the audiences it is trying </w:t>
      </w:r>
      <w:r w:rsidR="000878D3">
        <w:rPr>
          <w:rFonts w:ascii="Times New Roman" w:hAnsi="Times New Roman"/>
          <w:sz w:val="24"/>
          <w:szCs w:val="24"/>
        </w:rPr>
        <w:t>to</w:t>
      </w:r>
      <w:r w:rsidRPr="002F62AB" w:rsidR="00BF7282">
        <w:rPr>
          <w:rFonts w:ascii="Times New Roman" w:hAnsi="Times New Roman"/>
          <w:sz w:val="24"/>
          <w:szCs w:val="24"/>
        </w:rPr>
        <w:t xml:space="preserve"> reach to ensure informed and </w:t>
      </w:r>
      <w:r w:rsidR="00C841C6">
        <w:rPr>
          <w:rFonts w:ascii="Times New Roman" w:hAnsi="Times New Roman"/>
          <w:sz w:val="24"/>
          <w:szCs w:val="24"/>
        </w:rPr>
        <w:t>responsible</w:t>
      </w:r>
      <w:r w:rsidRPr="002F62AB" w:rsidR="00BF7282">
        <w:rPr>
          <w:rFonts w:ascii="Times New Roman" w:hAnsi="Times New Roman"/>
          <w:sz w:val="24"/>
          <w:szCs w:val="24"/>
        </w:rPr>
        <w:t xml:space="preserve"> program planning.</w:t>
      </w:r>
    </w:p>
    <w:p w:rsidR="001B39BA" w:rsidP="00E46270" w14:paraId="06217E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p>
    <w:p w:rsidR="001B39BA" w:rsidRPr="00874C9A" w:rsidP="001B39BA" w14:paraId="5AAD17D6" w14:textId="5BBE3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highlight w:val="yellow"/>
        </w:rPr>
      </w:pPr>
      <w:r w:rsidRPr="00874C9A">
        <w:rPr>
          <w:rFonts w:ascii="Times New Roman" w:hAnsi="Times New Roman"/>
          <w:sz w:val="24"/>
          <w:szCs w:val="24"/>
          <w:highlight w:val="yellow"/>
        </w:rPr>
        <w:t>Pilot testing for the purposes of th</w:t>
      </w:r>
      <w:r w:rsidRPr="00874C9A" w:rsidR="00874C9A">
        <w:rPr>
          <w:rFonts w:ascii="Times New Roman" w:hAnsi="Times New Roman"/>
          <w:sz w:val="24"/>
          <w:szCs w:val="24"/>
          <w:highlight w:val="yellow"/>
        </w:rPr>
        <w:t>e added scope to this</w:t>
      </w:r>
      <w:r w:rsidRPr="00874C9A">
        <w:rPr>
          <w:rFonts w:ascii="Times New Roman" w:hAnsi="Times New Roman"/>
          <w:sz w:val="24"/>
          <w:szCs w:val="24"/>
          <w:highlight w:val="yellow"/>
        </w:rPr>
        <w:t xml:space="preserve"> clearance details small-scale data collection efforts conducted among either purposive or representative samples, for which evaluation of the questionnaire and/or procedures is the main objective. NIH will only publish research and development (R&amp;D) and methodological reports on the results of these pilot tests but will not publish statistical reports or data sets based on the substantive findings when applicable. </w:t>
      </w:r>
    </w:p>
    <w:p w:rsidR="001B39BA" w:rsidRPr="00874C9A" w:rsidP="001B39BA" w14:paraId="3D7852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highlight w:val="yellow"/>
        </w:rPr>
      </w:pPr>
    </w:p>
    <w:p w:rsidR="001B39BA" w:rsidRPr="00874C9A" w:rsidP="001B39BA" w14:paraId="4BF8FFA0" w14:textId="6CD8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highlight w:val="yellow"/>
        </w:rPr>
      </w:pPr>
      <w:r w:rsidRPr="00874C9A">
        <w:rPr>
          <w:rFonts w:ascii="Times New Roman" w:hAnsi="Times New Roman"/>
          <w:sz w:val="24"/>
          <w:szCs w:val="24"/>
          <w:highlight w:val="yellow"/>
        </w:rPr>
        <w:t xml:space="preserve">Pilot tests are an essential component of this clearance package because they serve as the vehicle for investigating basic item properties for new or redesigned data collection efforts, such as reliability, validity, and difficulty, as well as feasibility of methods for standardized </w:t>
      </w:r>
      <w:r w:rsidRPr="00874C9A">
        <w:rPr>
          <w:rFonts w:ascii="Times New Roman" w:hAnsi="Times New Roman"/>
          <w:sz w:val="24"/>
          <w:szCs w:val="24"/>
          <w:highlight w:val="yellow"/>
        </w:rPr>
        <w:t xml:space="preserve">administration of forms. Under this clearance a variety of </w:t>
      </w:r>
      <w:r w:rsidR="007318FB">
        <w:rPr>
          <w:rFonts w:ascii="Times New Roman" w:hAnsi="Times New Roman"/>
          <w:sz w:val="24"/>
          <w:szCs w:val="24"/>
          <w:highlight w:val="yellow"/>
        </w:rPr>
        <w:t>data collection instruments</w:t>
      </w:r>
      <w:r w:rsidRPr="00874C9A">
        <w:rPr>
          <w:rFonts w:ascii="Times New Roman" w:hAnsi="Times New Roman"/>
          <w:sz w:val="24"/>
          <w:szCs w:val="24"/>
          <w:highlight w:val="yellow"/>
        </w:rPr>
        <w:t xml:space="preserve"> will be pretested, and the exact nature of the surveys and the samples is undetermined at present. </w:t>
      </w:r>
    </w:p>
    <w:p w:rsidR="001B39BA" w:rsidRPr="00874C9A" w:rsidP="001B39BA" w14:paraId="2A737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highlight w:val="yellow"/>
        </w:rPr>
      </w:pPr>
    </w:p>
    <w:p w:rsidR="001B39BA" w:rsidP="001B39BA" w14:paraId="2390333B" w14:textId="4BD3D1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874C9A">
        <w:rPr>
          <w:rFonts w:ascii="Times New Roman" w:hAnsi="Times New Roman"/>
          <w:sz w:val="24"/>
          <w:szCs w:val="24"/>
          <w:highlight w:val="yellow"/>
        </w:rPr>
        <w:t>However, due to the smaller nature of the tests, we expect that some will not involve representative samples. In these cases, samples will basically be convenience samples, which could be limited to specific geographic locations, specific NIH programs, may involve expired rotation groups of a current survey, are known to have specific aggregate demographic characteristics, etc. The needs of the various samples will vary based on the content of the survey being tested, but the selection of sample cases will not be completely arbitrary in any instance.</w:t>
      </w:r>
    </w:p>
    <w:p w:rsidR="001B39BA" w:rsidP="00E46270" w14:paraId="15DEEC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DB3079" w14:paraId="752D9A86" w14:textId="016500FE">
      <w:pPr>
        <w:autoSpaceDE/>
        <w:autoSpaceDN/>
        <w:adjustRightInd/>
        <w:rPr>
          <w:rFonts w:ascii="Times New Roman" w:hAnsi="Times New Roman"/>
          <w:b/>
          <w:bCs/>
          <w:sz w:val="24"/>
          <w:szCs w:val="24"/>
        </w:rPr>
      </w:pPr>
    </w:p>
    <w:p w:rsidR="00085760" w:rsidRPr="00B11797" w:rsidP="00E46270" w14:paraId="17DEFA30" w14:textId="593F87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B11797">
        <w:rPr>
          <w:rFonts w:ascii="Times New Roman" w:hAnsi="Times New Roman"/>
          <w:b/>
          <w:bCs/>
          <w:sz w:val="24"/>
          <w:szCs w:val="24"/>
        </w:rPr>
        <w:t xml:space="preserve">A.3.  </w:t>
      </w:r>
      <w:r w:rsidRPr="00B11797" w:rsidR="00917E65">
        <w:rPr>
          <w:rFonts w:ascii="Times New Roman" w:hAnsi="Times New Roman"/>
          <w:b/>
          <w:bCs/>
          <w:sz w:val="24"/>
          <w:szCs w:val="24"/>
        </w:rPr>
        <w:t xml:space="preserve"> </w:t>
      </w:r>
      <w:r w:rsidRPr="00B11797">
        <w:rPr>
          <w:rFonts w:ascii="Times New Roman" w:hAnsi="Times New Roman"/>
          <w:b/>
          <w:bCs/>
          <w:sz w:val="24"/>
          <w:szCs w:val="24"/>
          <w:u w:val="single"/>
        </w:rPr>
        <w:t>Use of Information Technology and Burden Reduction</w:t>
      </w:r>
    </w:p>
    <w:p w:rsidR="008471D8" w:rsidP="00E46270" w14:paraId="41FE5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ab/>
      </w:r>
    </w:p>
    <w:p w:rsidR="00EB1359" w:rsidRPr="00B11797" w:rsidP="00E46270" w14:paraId="6030CCF1" w14:textId="3B944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 xml:space="preserve">Information collection may be conducted using a variety of </w:t>
      </w:r>
      <w:r w:rsidRPr="00B11797" w:rsidR="00525C15">
        <w:rPr>
          <w:rFonts w:ascii="Times New Roman" w:hAnsi="Times New Roman"/>
          <w:sz w:val="24"/>
          <w:szCs w:val="24"/>
        </w:rPr>
        <w:t xml:space="preserve">methodologies and </w:t>
      </w:r>
      <w:r w:rsidRPr="00B11797">
        <w:rPr>
          <w:rFonts w:ascii="Times New Roman" w:hAnsi="Times New Roman"/>
          <w:sz w:val="24"/>
          <w:szCs w:val="24"/>
        </w:rPr>
        <w:t>technologies, such as one-on-one interviews, group interviews, or self</w:t>
      </w:r>
      <w:r w:rsidR="00332976">
        <w:rPr>
          <w:rFonts w:ascii="Times New Roman" w:hAnsi="Times New Roman"/>
          <w:sz w:val="24"/>
          <w:szCs w:val="24"/>
        </w:rPr>
        <w:t>-</w:t>
      </w:r>
      <w:r w:rsidRPr="00B11797">
        <w:rPr>
          <w:rFonts w:ascii="Times New Roman" w:hAnsi="Times New Roman"/>
          <w:sz w:val="24"/>
          <w:szCs w:val="24"/>
        </w:rPr>
        <w:t xml:space="preserve">administered questionnaires, depending upon the target audience being questioned and the subject matter being addressed.  </w:t>
      </w:r>
    </w:p>
    <w:p w:rsidR="00874C9A" w:rsidP="00300DDD" w14:paraId="08B46676" w14:textId="22883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ab/>
      </w:r>
      <w:r w:rsidRPr="00B11797" w:rsidR="00085760">
        <w:rPr>
          <w:rFonts w:ascii="Times New Roman" w:hAnsi="Times New Roman"/>
          <w:sz w:val="24"/>
          <w:szCs w:val="24"/>
        </w:rPr>
        <w:t xml:space="preserve">As computer technology has continued to improve and become more widespread, opportunities to pretest messages on the Internet using either Web site questionnaires or </w:t>
      </w:r>
      <w:r w:rsidR="00C841C6">
        <w:rPr>
          <w:rFonts w:ascii="Times New Roman" w:hAnsi="Times New Roman"/>
          <w:sz w:val="24"/>
          <w:szCs w:val="24"/>
        </w:rPr>
        <w:t>online</w:t>
      </w:r>
      <w:r w:rsidRPr="00B11797" w:rsidR="00085760">
        <w:rPr>
          <w:rFonts w:ascii="Times New Roman" w:hAnsi="Times New Roman"/>
          <w:sz w:val="24"/>
          <w:szCs w:val="24"/>
        </w:rPr>
        <w:t xml:space="preserve"> focus groups with Internet users have increased.  Improved </w:t>
      </w:r>
      <w:r w:rsidRPr="006B3F8C" w:rsidR="006B3F8C">
        <w:rPr>
          <w:rFonts w:ascii="Times New Roman" w:hAnsi="Times New Roman"/>
          <w:sz w:val="24"/>
          <w:szCs w:val="24"/>
        </w:rPr>
        <w:t xml:space="preserve">data collection and processing technology </w:t>
      </w:r>
      <w:r w:rsidRPr="00C841C6" w:rsidR="00C841C6">
        <w:rPr>
          <w:rFonts w:ascii="Times New Roman" w:hAnsi="Times New Roman"/>
          <w:sz w:val="24"/>
          <w:szCs w:val="24"/>
        </w:rPr>
        <w:t>can potentially</w:t>
      </w:r>
      <w:r w:rsidRPr="00B11797" w:rsidR="00085760">
        <w:rPr>
          <w:rFonts w:ascii="Times New Roman" w:hAnsi="Times New Roman"/>
          <w:sz w:val="24"/>
          <w:szCs w:val="24"/>
        </w:rPr>
        <w:t xml:space="preserve"> reduce the time burden for respondents and data collectors.  For example, respondents can access and respond to data collection requests at a time and place that is convenient to them, eliminating the need to travel for in-person or group interviews.  Wherever possible, N</w:t>
      </w:r>
      <w:r>
        <w:rPr>
          <w:rFonts w:ascii="Times New Roman" w:hAnsi="Times New Roman"/>
          <w:sz w:val="24"/>
          <w:szCs w:val="24"/>
        </w:rPr>
        <w:t>IH</w:t>
      </w:r>
      <w:r w:rsidRPr="00B11797" w:rsidR="00085760">
        <w:rPr>
          <w:rFonts w:ascii="Times New Roman" w:hAnsi="Times New Roman"/>
          <w:sz w:val="24"/>
          <w:szCs w:val="24"/>
        </w:rPr>
        <w:t xml:space="preserve"> will </w:t>
      </w:r>
      <w:r w:rsidR="00C841C6">
        <w:rPr>
          <w:rFonts w:ascii="Times New Roman" w:hAnsi="Times New Roman"/>
          <w:sz w:val="24"/>
          <w:szCs w:val="24"/>
        </w:rPr>
        <w:t>use</w:t>
      </w:r>
      <w:r w:rsidRPr="00B11797" w:rsidR="00085760">
        <w:rPr>
          <w:rFonts w:ascii="Times New Roman" w:hAnsi="Times New Roman"/>
          <w:sz w:val="24"/>
          <w:szCs w:val="24"/>
        </w:rPr>
        <w:t xml:space="preserve"> Web- or computer-based data collection methods. Transmission of data collection instruments and responses by electronic mail or facsimile will be utilized as appropriate. </w:t>
      </w:r>
      <w:r w:rsidRPr="00B11797" w:rsidR="00323E2B">
        <w:rPr>
          <w:rFonts w:ascii="Times New Roman" w:hAnsi="Times New Roman"/>
          <w:sz w:val="24"/>
          <w:szCs w:val="24"/>
        </w:rPr>
        <w:t>N</w:t>
      </w:r>
      <w:r>
        <w:rPr>
          <w:rFonts w:ascii="Times New Roman" w:hAnsi="Times New Roman"/>
          <w:sz w:val="24"/>
          <w:szCs w:val="24"/>
        </w:rPr>
        <w:t>IH</w:t>
      </w:r>
      <w:r w:rsidRPr="00B11797" w:rsidR="00323E2B">
        <w:rPr>
          <w:rFonts w:ascii="Times New Roman" w:hAnsi="Times New Roman"/>
          <w:sz w:val="24"/>
          <w:szCs w:val="24"/>
        </w:rPr>
        <w:t xml:space="preserve"> anticipates that </w:t>
      </w:r>
      <w:r w:rsidRPr="00B11797" w:rsidR="004D19C6">
        <w:rPr>
          <w:rFonts w:ascii="Times New Roman" w:hAnsi="Times New Roman"/>
          <w:sz w:val="24"/>
          <w:szCs w:val="24"/>
        </w:rPr>
        <w:t>the majority of</w:t>
      </w:r>
      <w:r w:rsidRPr="00B11797" w:rsidR="00323E2B">
        <w:rPr>
          <w:rFonts w:ascii="Times New Roman" w:hAnsi="Times New Roman"/>
          <w:sz w:val="24"/>
          <w:szCs w:val="24"/>
        </w:rPr>
        <w:t xml:space="preserve"> data </w:t>
      </w:r>
      <w:r w:rsidRPr="00B11797" w:rsidR="004D19C6">
        <w:rPr>
          <w:rFonts w:ascii="Times New Roman" w:hAnsi="Times New Roman"/>
          <w:sz w:val="24"/>
          <w:szCs w:val="24"/>
        </w:rPr>
        <w:t>will be</w:t>
      </w:r>
      <w:r w:rsidRPr="00B11797" w:rsidR="00323E2B">
        <w:rPr>
          <w:rFonts w:ascii="Times New Roman" w:hAnsi="Times New Roman"/>
          <w:sz w:val="24"/>
          <w:szCs w:val="24"/>
        </w:rPr>
        <w:t xml:space="preserve"> collected electronically. </w:t>
      </w:r>
    </w:p>
    <w:p w:rsidR="0000107C" w:rsidRPr="00B11797" w:rsidP="00300DDD" w14:paraId="4B331AA8" w14:textId="43896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B11797">
        <w:rPr>
          <w:rFonts w:ascii="Times New Roman" w:hAnsi="Times New Roman"/>
          <w:sz w:val="24"/>
          <w:szCs w:val="24"/>
        </w:rPr>
        <w:t xml:space="preserve"> </w:t>
      </w:r>
      <w:r w:rsidRPr="00B11797" w:rsidR="000216D0">
        <w:rPr>
          <w:rFonts w:ascii="Times New Roman" w:hAnsi="Times New Roman"/>
          <w:sz w:val="24"/>
          <w:szCs w:val="24"/>
        </w:rPr>
        <w:tab/>
      </w:r>
    </w:p>
    <w:p w:rsidR="00085760" w:rsidRPr="00B11797" w:rsidP="00300DDD" w14:paraId="02928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rFonts w:ascii="Times New Roman" w:hAnsi="Times New Roman"/>
          <w:sz w:val="24"/>
          <w:szCs w:val="24"/>
        </w:rPr>
      </w:pPr>
      <w:r w:rsidRPr="00B11797">
        <w:rPr>
          <w:rFonts w:ascii="Times New Roman" w:hAnsi="Times New Roman"/>
          <w:sz w:val="24"/>
          <w:szCs w:val="24"/>
        </w:rPr>
        <w:t xml:space="preserve">Possible information technologies to assess customer satisfaction include </w:t>
      </w:r>
    </w:p>
    <w:p w:rsidR="003669AD" w:rsidRPr="00B11797" w:rsidP="00300DDD" w14:paraId="4A89B9C9" w14:textId="104E9521">
      <w:pPr>
        <w:pStyle w:val="H4"/>
        <w:spacing w:line="360" w:lineRule="auto"/>
        <w:rPr>
          <w:b w:val="0"/>
          <w:szCs w:val="24"/>
        </w:rPr>
      </w:pPr>
      <w:r w:rsidRPr="00B11797">
        <w:rPr>
          <w:b w:val="0"/>
          <w:bCs/>
          <w:szCs w:val="24"/>
        </w:rPr>
        <w:t>c</w:t>
      </w:r>
      <w:r w:rsidRPr="00B11797" w:rsidR="00085760">
        <w:rPr>
          <w:b w:val="0"/>
          <w:bCs/>
          <w:szCs w:val="24"/>
        </w:rPr>
        <w:t>omputer-</w:t>
      </w:r>
      <w:r w:rsidRPr="00B11797">
        <w:rPr>
          <w:b w:val="0"/>
          <w:bCs/>
          <w:szCs w:val="24"/>
        </w:rPr>
        <w:t>a</w:t>
      </w:r>
      <w:r w:rsidRPr="00B11797" w:rsidR="00085760">
        <w:rPr>
          <w:b w:val="0"/>
          <w:bCs/>
          <w:szCs w:val="24"/>
        </w:rPr>
        <w:t xml:space="preserve">ssisted </w:t>
      </w:r>
      <w:r w:rsidRPr="00B11797">
        <w:rPr>
          <w:b w:val="0"/>
          <w:bCs/>
          <w:szCs w:val="24"/>
        </w:rPr>
        <w:t>t</w:t>
      </w:r>
      <w:r w:rsidRPr="00B11797" w:rsidR="00085760">
        <w:rPr>
          <w:b w:val="0"/>
          <w:bCs/>
          <w:szCs w:val="24"/>
        </w:rPr>
        <w:t xml:space="preserve">elephone </w:t>
      </w:r>
      <w:r w:rsidRPr="00B11797">
        <w:rPr>
          <w:b w:val="0"/>
          <w:bCs/>
          <w:szCs w:val="24"/>
        </w:rPr>
        <w:t>i</w:t>
      </w:r>
      <w:r w:rsidRPr="00B11797" w:rsidR="00085760">
        <w:rPr>
          <w:b w:val="0"/>
          <w:bCs/>
          <w:szCs w:val="24"/>
        </w:rPr>
        <w:t>nterviewing (CATI)</w:t>
      </w:r>
      <w:r w:rsidRPr="00B11797">
        <w:rPr>
          <w:b w:val="0"/>
          <w:bCs/>
          <w:szCs w:val="24"/>
        </w:rPr>
        <w:t xml:space="preserve">, computer-assisted personal interviewing (CAPI), audio and computer-assisted self-interviewing (ACASI), </w:t>
      </w:r>
      <w:r w:rsidR="00C841C6">
        <w:rPr>
          <w:b w:val="0"/>
          <w:bCs/>
          <w:szCs w:val="24"/>
        </w:rPr>
        <w:t>online</w:t>
      </w:r>
      <w:r w:rsidRPr="00B11797">
        <w:rPr>
          <w:b w:val="0"/>
          <w:bCs/>
          <w:szCs w:val="24"/>
        </w:rPr>
        <w:t xml:space="preserve"> surveys, and focus groups.</w:t>
      </w:r>
      <w:r w:rsidRPr="00B11797" w:rsidR="000216D0">
        <w:rPr>
          <w:szCs w:val="24"/>
        </w:rPr>
        <w:tab/>
      </w:r>
      <w:r w:rsidRPr="00B11797">
        <w:rPr>
          <w:b w:val="0"/>
          <w:szCs w:val="24"/>
        </w:rPr>
        <w:t xml:space="preserve">  </w:t>
      </w:r>
      <w:r w:rsidRPr="00B11797">
        <w:rPr>
          <w:b w:val="0"/>
          <w:szCs w:val="24"/>
        </w:rPr>
        <w:t>Each technology</w:t>
      </w:r>
      <w:r w:rsidRPr="00B11797" w:rsidR="00F20B62">
        <w:rPr>
          <w:b w:val="0"/>
          <w:szCs w:val="24"/>
        </w:rPr>
        <w:t>/method</w:t>
      </w:r>
      <w:r w:rsidRPr="00B11797">
        <w:rPr>
          <w:b w:val="0"/>
          <w:szCs w:val="24"/>
        </w:rPr>
        <w:t xml:space="preserve"> is briefly described below:</w:t>
      </w:r>
    </w:p>
    <w:p w:rsidR="003669AD" w:rsidRPr="00B11797" w:rsidP="00300DDD" w14:paraId="20A9203A" w14:textId="01F9CA25">
      <w:pPr>
        <w:pStyle w:val="H4"/>
        <w:numPr>
          <w:ilvl w:val="0"/>
          <w:numId w:val="21"/>
        </w:numPr>
        <w:tabs>
          <w:tab w:val="num" w:pos="720"/>
          <w:tab w:val="clear" w:pos="1440"/>
        </w:tabs>
        <w:spacing w:line="360" w:lineRule="auto"/>
        <w:ind w:left="720"/>
        <w:rPr>
          <w:b w:val="0"/>
          <w:szCs w:val="24"/>
        </w:rPr>
      </w:pPr>
      <w:r w:rsidRPr="00B11797">
        <w:rPr>
          <w:b w:val="0"/>
          <w:szCs w:val="24"/>
        </w:rPr>
        <w:t xml:space="preserve">CATI’s technological capabilities include automated dialing, scheduling unanswered </w:t>
      </w:r>
      <w:r w:rsidRPr="00B11797">
        <w:rPr>
          <w:b w:val="0"/>
          <w:szCs w:val="24"/>
        </w:rPr>
        <w:t xml:space="preserve">calls or interrupted interviews for efficient callbacks, </w:t>
      </w:r>
      <w:r w:rsidR="00C841C6">
        <w:rPr>
          <w:b w:val="0"/>
          <w:szCs w:val="24"/>
        </w:rPr>
        <w:t xml:space="preserve">a </w:t>
      </w:r>
      <w:r w:rsidRPr="00B11797">
        <w:rPr>
          <w:b w:val="0"/>
          <w:szCs w:val="24"/>
        </w:rPr>
        <w:t xml:space="preserve">random selection of respondents, automated skip patterns, instantaneous out-of-range checks, insertion of information from one question to guide a subsequent question, and the automated generation of databases for subsequent analysis.  CATI will be utilized when geographic diversity is </w:t>
      </w:r>
      <w:r w:rsidR="006B2171">
        <w:rPr>
          <w:b w:val="0"/>
          <w:szCs w:val="24"/>
        </w:rPr>
        <w:t>essential,</w:t>
      </w:r>
      <w:r w:rsidRPr="00B11797">
        <w:rPr>
          <w:b w:val="0"/>
          <w:szCs w:val="24"/>
        </w:rPr>
        <w:t xml:space="preserve"> and participants come from hard-to-recruit populations, such as physicians or Native Americans.</w:t>
      </w:r>
      <w:r w:rsidRPr="00B11797" w:rsidR="00F7277F">
        <w:rPr>
          <w:b w:val="0"/>
          <w:szCs w:val="24"/>
        </w:rPr>
        <w:t xml:space="preserve">  CA</w:t>
      </w:r>
      <w:r w:rsidRPr="00B11797">
        <w:rPr>
          <w:b w:val="0"/>
          <w:szCs w:val="24"/>
        </w:rPr>
        <w:t xml:space="preserve">PI technology allows interviewers to ask questions of a respondent using a computer to enter data.  ACASI software technology offers many advantages </w:t>
      </w:r>
      <w:r w:rsidR="00C841C6">
        <w:rPr>
          <w:b w:val="0"/>
          <w:szCs w:val="24"/>
        </w:rPr>
        <w:t>to</w:t>
      </w:r>
      <w:r w:rsidRPr="00B11797">
        <w:rPr>
          <w:b w:val="0"/>
          <w:szCs w:val="24"/>
        </w:rPr>
        <w:t xml:space="preserve"> CAPI </w:t>
      </w:r>
      <w:r w:rsidRPr="00B11797" w:rsidR="00120EB3">
        <w:rPr>
          <w:b w:val="0"/>
          <w:szCs w:val="24"/>
        </w:rPr>
        <w:t>technology but</w:t>
      </w:r>
      <w:r w:rsidRPr="00B11797">
        <w:rPr>
          <w:b w:val="0"/>
          <w:szCs w:val="24"/>
        </w:rPr>
        <w:t xml:space="preserve"> removes the need to have a person administer an interview.  Instead, survey questions are pre-recorded and played back through </w:t>
      </w:r>
      <w:r w:rsidR="00C841C6">
        <w:rPr>
          <w:b w:val="0"/>
          <w:szCs w:val="24"/>
        </w:rPr>
        <w:t>a computer’s sound system</w:t>
      </w:r>
      <w:r w:rsidRPr="00B11797">
        <w:rPr>
          <w:b w:val="0"/>
          <w:szCs w:val="24"/>
        </w:rPr>
        <w:t xml:space="preserve">, which the respondent can listen to privately using headphones.  Respondents select an answer by pressing a key </w:t>
      </w:r>
      <w:r w:rsidR="00C841C6">
        <w:rPr>
          <w:b w:val="0"/>
          <w:szCs w:val="24"/>
        </w:rPr>
        <w:t>corresponding</w:t>
      </w:r>
      <w:r w:rsidRPr="00B11797">
        <w:rPr>
          <w:b w:val="0"/>
          <w:szCs w:val="24"/>
        </w:rPr>
        <w:t xml:space="preserve"> to one choice shown on the screen, after which answers are fed directly into a computer database.  </w:t>
      </w:r>
    </w:p>
    <w:p w:rsidR="00085760" w:rsidRPr="00B11797" w:rsidP="00300DDD" w14:paraId="13461123" w14:textId="0853A7AF">
      <w:pPr>
        <w:pStyle w:val="H4"/>
        <w:numPr>
          <w:ilvl w:val="0"/>
          <w:numId w:val="16"/>
        </w:numPr>
        <w:spacing w:line="360" w:lineRule="auto"/>
        <w:rPr>
          <w:b w:val="0"/>
        </w:rPr>
      </w:pPr>
      <w:r w:rsidRPr="00B11797">
        <w:rPr>
          <w:b w:val="0"/>
          <w:szCs w:val="24"/>
        </w:rPr>
        <w:t xml:space="preserve">ACASI surveys can also be administered over </w:t>
      </w:r>
      <w:r w:rsidR="006B2171">
        <w:rPr>
          <w:b w:val="0"/>
          <w:szCs w:val="24"/>
        </w:rPr>
        <w:t>the</w:t>
      </w:r>
      <w:r w:rsidRPr="00B11797">
        <w:rPr>
          <w:b w:val="0"/>
          <w:szCs w:val="24"/>
        </w:rPr>
        <w:t xml:space="preserve"> telephone by entering the</w:t>
      </w:r>
      <w:r w:rsidRPr="00B11797">
        <w:rPr>
          <w:b w:val="0"/>
        </w:rPr>
        <w:t xml:space="preserve"> response on the telephone keypad.  ACASI technology is particularly useful in administering surveys to low-literacy populations or when addressing sensitive topics that respondents may not feel comfortable discussing in the presence of someone else.</w:t>
      </w:r>
    </w:p>
    <w:p w:rsidR="00085760" w:rsidRPr="003669AD" w:rsidP="00300DDD" w14:paraId="020C2ACF" w14:textId="3FC61C28">
      <w:pPr>
        <w:pStyle w:val="H4"/>
        <w:numPr>
          <w:ilvl w:val="0"/>
          <w:numId w:val="16"/>
        </w:numPr>
        <w:spacing w:line="360" w:lineRule="auto"/>
        <w:rPr>
          <w:b w:val="0"/>
        </w:rPr>
      </w:pPr>
      <w:r>
        <w:rPr>
          <w:b w:val="0"/>
        </w:rPr>
        <w:t>Online</w:t>
      </w:r>
      <w:r w:rsidRPr="00B11797">
        <w:rPr>
          <w:b w:val="0"/>
        </w:rPr>
        <w:t xml:space="preserve"> surveys represent an </w:t>
      </w:r>
      <w:r w:rsidR="00C841C6">
        <w:rPr>
          <w:b w:val="0"/>
        </w:rPr>
        <w:t>incredibly</w:t>
      </w:r>
      <w:r w:rsidRPr="00B11797">
        <w:rPr>
          <w:b w:val="0"/>
        </w:rPr>
        <w:t xml:space="preserve"> convenient option for eliciting </w:t>
      </w:r>
      <w:r>
        <w:rPr>
          <w:b w:val="0"/>
        </w:rPr>
        <w:t>consumer feedback</w:t>
      </w:r>
      <w:r w:rsidRPr="00B11797">
        <w:rPr>
          <w:b w:val="0"/>
        </w:rPr>
        <w:t xml:space="preserve"> </w:t>
      </w:r>
      <w:r>
        <w:rPr>
          <w:b w:val="0"/>
        </w:rPr>
        <w:t>on</w:t>
      </w:r>
      <w:r w:rsidRPr="00B11797">
        <w:rPr>
          <w:b w:val="0"/>
        </w:rPr>
        <w:t xml:space="preserve"> Web-based products.  </w:t>
      </w:r>
      <w:r w:rsidR="00C841C6">
        <w:rPr>
          <w:b w:val="0"/>
        </w:rPr>
        <w:t>Respondents</w:t>
      </w:r>
      <w:r w:rsidRPr="00B11797">
        <w:rPr>
          <w:b w:val="0"/>
        </w:rPr>
        <w:t xml:space="preserve"> complete online surveys regarding a product and then submit the data electronically over the Internet.  With online surveys, respondents can easily submit feedback during or immediately after using a Web-based product.  They also allow participation from international audiences with virtually no additional cos</w:t>
      </w:r>
      <w:r w:rsidRPr="003669AD">
        <w:rPr>
          <w:b w:val="0"/>
        </w:rPr>
        <w:t>ts.</w:t>
      </w:r>
    </w:p>
    <w:p w:rsidR="000216D0" w:rsidRPr="00753CFF" w:rsidP="00300DDD" w14:paraId="27D2F86E" w14:textId="6DFCC714">
      <w:pPr>
        <w:pStyle w:val="H4"/>
        <w:numPr>
          <w:ilvl w:val="0"/>
          <w:numId w:val="16"/>
        </w:numPr>
        <w:spacing w:line="360" w:lineRule="auto"/>
        <w:rPr>
          <w:b w:val="0"/>
          <w:szCs w:val="24"/>
        </w:rPr>
      </w:pPr>
      <w:r w:rsidRPr="00753CFF">
        <w:rPr>
          <w:b w:val="0"/>
          <w:szCs w:val="24"/>
        </w:rPr>
        <w:t xml:space="preserve">Technology now enables the conduct of focus groups, which traditionally take place </w:t>
      </w:r>
      <w:r w:rsidR="00C841C6">
        <w:rPr>
          <w:b w:val="0"/>
          <w:szCs w:val="24"/>
        </w:rPr>
        <w:t>in person</w:t>
      </w:r>
      <w:r w:rsidRPr="00753CFF">
        <w:rPr>
          <w:b w:val="0"/>
          <w:szCs w:val="24"/>
        </w:rPr>
        <w:t xml:space="preserve"> with a moderator facilitating a discussion regarding a product, issue, or program with a small group of individuals in a designated physical location.  Depending on factors such as geographic distribution and schedules of N</w:t>
      </w:r>
      <w:r w:rsidR="00874C9A">
        <w:rPr>
          <w:b w:val="0"/>
          <w:szCs w:val="24"/>
        </w:rPr>
        <w:t>IH</w:t>
      </w:r>
      <w:r w:rsidRPr="00753CFF">
        <w:rPr>
          <w:b w:val="0"/>
          <w:szCs w:val="24"/>
        </w:rPr>
        <w:t xml:space="preserve"> customers and on the nature of the products and services under investigation, focus groups</w:t>
      </w:r>
      <w:r w:rsidRPr="00753CFF" w:rsidR="004D19C6">
        <w:rPr>
          <w:b w:val="0"/>
          <w:szCs w:val="24"/>
        </w:rPr>
        <w:t>, when appropriate,</w:t>
      </w:r>
      <w:r w:rsidRPr="00753CFF">
        <w:rPr>
          <w:b w:val="0"/>
          <w:szCs w:val="24"/>
        </w:rPr>
        <w:t xml:space="preserve"> may be implemented using a variety of technology-based formats:</w:t>
      </w:r>
    </w:p>
    <w:p w:rsidR="00085760" w:rsidRPr="00753CFF" w:rsidP="00300DDD" w14:paraId="63915466" w14:textId="77777777">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Videoconferencing</w:t>
      </w:r>
      <w:r w:rsidRPr="00753CFF">
        <w:rPr>
          <w:rFonts w:ascii="Times New Roman" w:hAnsi="Times New Roman"/>
          <w:sz w:val="24"/>
          <w:szCs w:val="24"/>
        </w:rPr>
        <w:t xml:space="preserve"> uses video and satellite technology to allow a group of participants located in multiple geographic locations to interact with one another </w:t>
      </w:r>
      <w:r w:rsidRPr="00753CFF">
        <w:rPr>
          <w:rFonts w:ascii="Times New Roman" w:hAnsi="Times New Roman"/>
          <w:sz w:val="24"/>
          <w:szCs w:val="24"/>
        </w:rPr>
        <w:t>both visually and aurally.  A facilitator and a technical team located in a hub site maintain the video and audio connections among participating sites.</w:t>
      </w:r>
    </w:p>
    <w:p w:rsidR="00085760" w:rsidRPr="00753CFF" w:rsidP="00300DDD" w14:paraId="595FC5FD" w14:textId="0C54A9D0">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Internet</w:t>
      </w:r>
      <w:r w:rsidRPr="00753CFF">
        <w:rPr>
          <w:rFonts w:ascii="Times New Roman" w:hAnsi="Times New Roman"/>
          <w:sz w:val="24"/>
          <w:szCs w:val="24"/>
        </w:rPr>
        <w:t xml:space="preserve"> or online conferencing is especially useful for discussions with specific individuals or international participants.  This format functions as a “chat room” in which a moderator intercepts and distributes e-mail transmissions from participants who have logged onto a specially designated Web site.</w:t>
      </w:r>
    </w:p>
    <w:p w:rsidR="00085760" w:rsidRPr="00753CFF" w:rsidP="00300DDD" w14:paraId="4A3B5B31" w14:textId="11BE5B3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u w:val="single"/>
        </w:rPr>
        <w:t>Teleconferencing</w:t>
      </w:r>
      <w:r w:rsidRPr="00753CFF">
        <w:rPr>
          <w:rFonts w:ascii="Times New Roman" w:hAnsi="Times New Roman"/>
          <w:sz w:val="24"/>
          <w:szCs w:val="24"/>
        </w:rPr>
        <w:t xml:space="preserve"> uses telephone technology to facilitate an exchange among participants in multiple geographic locations.  Participants dial into a specially designated phone number or “bridge line” moderated by a focus group facilitator.</w:t>
      </w:r>
    </w:p>
    <w:p w:rsidR="00DE081E" w:rsidP="00300DDD" w14:paraId="6226504C" w14:textId="4EBE0879">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Cs/>
          <w:sz w:val="24"/>
          <w:szCs w:val="24"/>
        </w:rPr>
      </w:pPr>
      <w:r w:rsidRPr="00753CFF">
        <w:rPr>
          <w:rFonts w:ascii="Times New Roman" w:hAnsi="Times New Roman"/>
          <w:sz w:val="24"/>
          <w:szCs w:val="24"/>
          <w:u w:val="single"/>
        </w:rPr>
        <w:t xml:space="preserve">Advanced Strategies Lab (ASL) </w:t>
      </w:r>
      <w:r w:rsidRPr="00753CFF">
        <w:rPr>
          <w:rFonts w:ascii="Times New Roman" w:hAnsi="Times New Roman"/>
          <w:sz w:val="24"/>
          <w:szCs w:val="24"/>
        </w:rPr>
        <w:t xml:space="preserve">is a qualitative research </w:t>
      </w:r>
      <w:r w:rsidR="00D82092">
        <w:rPr>
          <w:rFonts w:ascii="Times New Roman" w:hAnsi="Times New Roman"/>
          <w:sz w:val="24"/>
          <w:szCs w:val="24"/>
        </w:rPr>
        <w:t>process</w:t>
      </w:r>
      <w:r w:rsidRPr="00753CFF">
        <w:rPr>
          <w:rFonts w:ascii="Times New Roman" w:hAnsi="Times New Roman"/>
          <w:sz w:val="24"/>
          <w:szCs w:val="24"/>
        </w:rPr>
        <w:t xml:space="preserve"> that uses an online interactive discussion.</w:t>
      </w:r>
      <w:r w:rsidRPr="00753CFF">
        <w:rPr>
          <w:rFonts w:ascii="Times New Roman" w:hAnsi="Times New Roman"/>
          <w:bCs/>
          <w:sz w:val="24"/>
          <w:szCs w:val="24"/>
        </w:rPr>
        <w:t xml:space="preserve">  In the 90-minute online ASL sessions, participants receive instructions and are asked questions from the moderator over the phone on a conference call.  Participants’ answers are typed into their designated dialogue box (which hides their identity from the other participants to ensure </w:t>
      </w:r>
      <w:r w:rsidR="00DB4B14">
        <w:rPr>
          <w:rFonts w:ascii="Times New Roman" w:hAnsi="Times New Roman"/>
          <w:bCs/>
          <w:sz w:val="24"/>
          <w:szCs w:val="24"/>
        </w:rPr>
        <w:t>privacy</w:t>
      </w:r>
      <w:r w:rsidRPr="00753CFF">
        <w:rPr>
          <w:rFonts w:ascii="Times New Roman" w:hAnsi="Times New Roman"/>
          <w:bCs/>
          <w:sz w:val="24"/>
          <w:szCs w:val="24"/>
        </w:rPr>
        <w:t xml:space="preserve">).  The facilitator then guides the group through online brainstorming, discussion, and assessment exercises.  The ASL’s software automatically formats and tabulates data as the session </w:t>
      </w:r>
      <w:r w:rsidR="00D82092">
        <w:rPr>
          <w:rFonts w:ascii="Times New Roman" w:hAnsi="Times New Roman"/>
          <w:bCs/>
          <w:sz w:val="24"/>
          <w:szCs w:val="24"/>
        </w:rPr>
        <w:t>proceeds</w:t>
      </w:r>
      <w:r w:rsidRPr="00753CFF">
        <w:rPr>
          <w:rFonts w:ascii="Times New Roman" w:hAnsi="Times New Roman"/>
          <w:bCs/>
          <w:sz w:val="24"/>
          <w:szCs w:val="24"/>
        </w:rPr>
        <w:t xml:space="preserve">. Summaries of survey results are available seconds after respondents complete a question, and full verbatim reports are available </w:t>
      </w:r>
      <w:bookmarkStart w:id="7" w:name="_Hlk4141352"/>
      <w:r w:rsidRPr="00753CFF">
        <w:rPr>
          <w:rFonts w:ascii="Times New Roman" w:hAnsi="Times New Roman"/>
          <w:bCs/>
          <w:sz w:val="24"/>
          <w:szCs w:val="24"/>
        </w:rPr>
        <w:t xml:space="preserve">within hours after a session. </w:t>
      </w:r>
    </w:p>
    <w:p w:rsidR="006178BB" w:rsidP="008471D8" w14:paraId="4E7BBB39" w14:textId="214E2377">
      <w:pPr>
        <w:spacing w:line="360" w:lineRule="auto"/>
        <w:rPr>
          <w:rFonts w:ascii="Calibri" w:hAnsi="Calibri"/>
        </w:rPr>
      </w:pPr>
      <w:r>
        <w:rPr>
          <w:rFonts w:ascii="Times New Roman" w:hAnsi="Times New Roman"/>
          <w:bCs/>
          <w:sz w:val="24"/>
          <w:szCs w:val="24"/>
        </w:rPr>
        <w:tab/>
      </w:r>
      <w:bookmarkEnd w:id="7"/>
      <w:r w:rsidR="00874C9A">
        <w:rPr>
          <w:rFonts w:ascii="Times New Roman" w:hAnsi="Times New Roman"/>
          <w:bCs/>
          <w:sz w:val="24"/>
          <w:szCs w:val="24"/>
        </w:rPr>
        <w:t xml:space="preserve">In the </w:t>
      </w:r>
      <w:r>
        <w:rPr>
          <w:rFonts w:ascii="Times New Roman" w:hAnsi="Times New Roman"/>
          <w:sz w:val="24"/>
          <w:szCs w:val="24"/>
        </w:rPr>
        <w:t>rare instances</w:t>
      </w:r>
      <w:r w:rsidR="00874C9A">
        <w:rPr>
          <w:rFonts w:ascii="Times New Roman" w:hAnsi="Times New Roman"/>
          <w:sz w:val="24"/>
          <w:szCs w:val="24"/>
        </w:rPr>
        <w:t xml:space="preserve"> </w:t>
      </w:r>
      <w:r w:rsidRPr="00E00400">
        <w:rPr>
          <w:rFonts w:ascii="Times New Roman" w:hAnsi="Times New Roman"/>
          <w:color w:val="000000" w:themeColor="text1"/>
          <w:sz w:val="24"/>
          <w:szCs w:val="24"/>
        </w:rPr>
        <w:t>when</w:t>
      </w:r>
      <w:r>
        <w:rPr>
          <w:rFonts w:ascii="Times New Roman" w:hAnsi="Times New Roman"/>
          <w:sz w:val="24"/>
          <w:szCs w:val="24"/>
        </w:rPr>
        <w:t xml:space="preserve"> PII is collected to gather and retain respondent names and contact information (such as addresses, telephone numbers, or email addresses), this information would be used to measure customer satisfaction information regarding a</w:t>
      </w:r>
      <w:r w:rsidR="00874C9A">
        <w:rPr>
          <w:rFonts w:ascii="Times New Roman" w:hAnsi="Times New Roman"/>
          <w:sz w:val="24"/>
          <w:szCs w:val="24"/>
        </w:rPr>
        <w:t xml:space="preserve"> NIH</w:t>
      </w:r>
      <w:r>
        <w:rPr>
          <w:rFonts w:ascii="Times New Roman" w:hAnsi="Times New Roman"/>
          <w:sz w:val="24"/>
          <w:szCs w:val="24"/>
        </w:rPr>
        <w:t xml:space="preserve"> product at one time and then at some point later (for example, to learn whether customers have gone back to the product for additional review or information).  </w:t>
      </w:r>
      <w:r w:rsidRPr="006B2171" w:rsidR="006B2171">
        <w:rPr>
          <w:rFonts w:ascii="Times New Roman" w:hAnsi="Times New Roman"/>
          <w:sz w:val="24"/>
          <w:szCs w:val="24"/>
        </w:rPr>
        <w:t>Personal identifiers will not retrieve data</w:t>
      </w:r>
      <w:r>
        <w:rPr>
          <w:rFonts w:ascii="Times New Roman" w:hAnsi="Times New Roman"/>
          <w:sz w:val="24"/>
          <w:szCs w:val="24"/>
        </w:rPr>
        <w:t xml:space="preserve"> unless the respondent voluntarily agrees to provide the information</w:t>
      </w:r>
      <w:r w:rsidR="006B3F8C">
        <w:rPr>
          <w:rFonts w:ascii="Times New Roman" w:hAnsi="Times New Roman"/>
          <w:sz w:val="24"/>
          <w:szCs w:val="24"/>
        </w:rPr>
        <w:t xml:space="preserve"> so </w:t>
      </w:r>
      <w:r w:rsidR="00C841C6">
        <w:rPr>
          <w:rFonts w:ascii="Times New Roman" w:hAnsi="Times New Roman"/>
          <w:sz w:val="24"/>
          <w:szCs w:val="24"/>
        </w:rPr>
        <w:t>they</w:t>
      </w:r>
      <w:r>
        <w:rPr>
          <w:rFonts w:ascii="Times New Roman" w:hAnsi="Times New Roman"/>
          <w:sz w:val="24"/>
          <w:szCs w:val="24"/>
        </w:rPr>
        <w:t xml:space="preserve"> can be contacted for a follow-up. </w:t>
      </w:r>
    </w:p>
    <w:p w:rsidR="008A3934" w:rsidRPr="00753CFF" w:rsidP="008471D8" w14:paraId="196ED4CA" w14:textId="5500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Cs/>
          <w:sz w:val="24"/>
          <w:szCs w:val="24"/>
        </w:rPr>
      </w:pPr>
    </w:p>
    <w:p w:rsidR="00085760" w:rsidRPr="00085760" w:rsidP="008471D8" w14:paraId="4BE619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u w:val="single"/>
        </w:rPr>
      </w:pPr>
      <w:r w:rsidRPr="00085760">
        <w:rPr>
          <w:rFonts w:ascii="Times New Roman" w:hAnsi="Times New Roman"/>
          <w:b/>
          <w:bCs/>
          <w:sz w:val="24"/>
          <w:szCs w:val="24"/>
        </w:rPr>
        <w:t xml:space="preserve">A.4.  </w:t>
      </w:r>
      <w:r w:rsidR="00917E65">
        <w:rPr>
          <w:rFonts w:ascii="Times New Roman" w:hAnsi="Times New Roman"/>
          <w:b/>
          <w:bCs/>
          <w:sz w:val="24"/>
          <w:szCs w:val="24"/>
        </w:rPr>
        <w:t xml:space="preserve"> </w:t>
      </w:r>
      <w:r w:rsidRPr="00085760">
        <w:rPr>
          <w:rFonts w:ascii="Times New Roman" w:hAnsi="Times New Roman"/>
          <w:b/>
          <w:bCs/>
          <w:sz w:val="24"/>
          <w:szCs w:val="24"/>
          <w:u w:val="single"/>
        </w:rPr>
        <w:t>Efforts to Identify Duplication and Use of Similar Information</w:t>
      </w:r>
    </w:p>
    <w:p w:rsidR="008471D8" w:rsidP="008471D8" w14:paraId="796B71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p>
    <w:p w:rsidR="00085760" w:rsidRPr="00085760" w:rsidP="008471D8" w14:paraId="5566A473" w14:textId="278F73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The areas in which information needs to be gathered (as described in A.2. above - attention, comprehension, etc.) to pretest effective messages (brochures, PSAs, media campaigns, </w:t>
      </w:r>
      <w:r w:rsidR="00716E9B">
        <w:rPr>
          <w:rFonts w:ascii="Times New Roman" w:hAnsi="Times New Roman"/>
          <w:sz w:val="24"/>
          <w:szCs w:val="24"/>
        </w:rPr>
        <w:t xml:space="preserve">website, </w:t>
      </w:r>
      <w:r w:rsidRPr="00085760">
        <w:rPr>
          <w:rFonts w:ascii="Times New Roman" w:hAnsi="Times New Roman"/>
          <w:sz w:val="24"/>
          <w:szCs w:val="24"/>
        </w:rPr>
        <w:t xml:space="preserve">etc.) </w:t>
      </w:r>
      <w:r w:rsidR="00874C9A">
        <w:rPr>
          <w:rFonts w:ascii="Times New Roman" w:hAnsi="Times New Roman"/>
          <w:sz w:val="24"/>
          <w:szCs w:val="24"/>
        </w:rPr>
        <w:t xml:space="preserve">applications or forms </w:t>
      </w:r>
      <w:r w:rsidRPr="00085760">
        <w:rPr>
          <w:rFonts w:ascii="Times New Roman" w:hAnsi="Times New Roman"/>
          <w:sz w:val="24"/>
          <w:szCs w:val="24"/>
        </w:rPr>
        <w:t>are generally similar from pretest to pretest</w:t>
      </w:r>
      <w:r w:rsidR="00874C9A">
        <w:rPr>
          <w:rFonts w:ascii="Times New Roman" w:hAnsi="Times New Roman"/>
          <w:sz w:val="24"/>
          <w:szCs w:val="24"/>
        </w:rPr>
        <w:t xml:space="preserve"> h</w:t>
      </w:r>
      <w:r w:rsidRPr="00085760">
        <w:rPr>
          <w:rFonts w:ascii="Times New Roman" w:hAnsi="Times New Roman"/>
          <w:sz w:val="24"/>
          <w:szCs w:val="24"/>
        </w:rPr>
        <w:t xml:space="preserve">owever, since </w:t>
      </w:r>
      <w:r w:rsidR="00BE69FA">
        <w:rPr>
          <w:rFonts w:ascii="Times New Roman" w:hAnsi="Times New Roman"/>
          <w:sz w:val="24"/>
          <w:szCs w:val="24"/>
        </w:rPr>
        <w:t xml:space="preserve">NIH </w:t>
      </w:r>
      <w:r w:rsidRPr="00085760">
        <w:rPr>
          <w:rFonts w:ascii="Times New Roman" w:hAnsi="Times New Roman"/>
          <w:sz w:val="24"/>
          <w:szCs w:val="24"/>
        </w:rPr>
        <w:t xml:space="preserve"> is</w:t>
      </w:r>
      <w:r w:rsidRPr="00085760">
        <w:rPr>
          <w:rFonts w:ascii="Times New Roman" w:hAnsi="Times New Roman"/>
          <w:sz w:val="24"/>
          <w:szCs w:val="24"/>
        </w:rPr>
        <w:t xml:space="preserve"> so diverse and complex, and each message is essentially different, new data collection instruments generally must be prepared for each pretest. As each new message, strategy, or product is developed, N</w:t>
      </w:r>
      <w:r w:rsidR="00BE69FA">
        <w:rPr>
          <w:rFonts w:ascii="Times New Roman" w:hAnsi="Times New Roman"/>
          <w:sz w:val="24"/>
          <w:szCs w:val="24"/>
        </w:rPr>
        <w:t>IH will</w:t>
      </w:r>
      <w:r w:rsidRPr="00085760">
        <w:rPr>
          <w:rFonts w:ascii="Times New Roman" w:hAnsi="Times New Roman"/>
          <w:sz w:val="24"/>
          <w:szCs w:val="24"/>
        </w:rPr>
        <w:t xml:space="preserve"> review existing litera</w:t>
      </w:r>
      <w:r w:rsidRPr="00085760">
        <w:rPr>
          <w:rFonts w:ascii="Times New Roman" w:hAnsi="Times New Roman"/>
          <w:sz w:val="24"/>
          <w:szCs w:val="24"/>
        </w:rPr>
        <w:softHyphen/>
        <w:t xml:space="preserve">ture and </w:t>
      </w:r>
      <w:r w:rsidR="006D1764">
        <w:rPr>
          <w:rFonts w:ascii="Times New Roman" w:hAnsi="Times New Roman"/>
          <w:sz w:val="24"/>
          <w:szCs w:val="24"/>
        </w:rPr>
        <w:t>databases</w:t>
      </w:r>
      <w:r w:rsidRPr="00085760">
        <w:rPr>
          <w:rFonts w:ascii="Times New Roman" w:hAnsi="Times New Roman"/>
          <w:sz w:val="24"/>
          <w:szCs w:val="24"/>
        </w:rPr>
        <w:t>, including pretesting reports on existing messages and materials</w:t>
      </w:r>
      <w:r w:rsidR="006B2171">
        <w:rPr>
          <w:rFonts w:ascii="Times New Roman" w:hAnsi="Times New Roman"/>
          <w:sz w:val="24"/>
          <w:szCs w:val="24"/>
        </w:rPr>
        <w:t>,</w:t>
      </w:r>
      <w:r w:rsidRPr="00085760">
        <w:rPr>
          <w:rFonts w:ascii="Times New Roman" w:hAnsi="Times New Roman"/>
          <w:sz w:val="24"/>
          <w:szCs w:val="24"/>
        </w:rPr>
        <w:t xml:space="preserve"> and consults with outside experts to evaluate available informa</w:t>
      </w:r>
      <w:r w:rsidRPr="00085760">
        <w:rPr>
          <w:rFonts w:ascii="Times New Roman" w:hAnsi="Times New Roman"/>
          <w:sz w:val="24"/>
          <w:szCs w:val="24"/>
        </w:rPr>
        <w:softHyphen/>
        <w:t xml:space="preserve">tion on similar messages with comparable </w:t>
      </w:r>
      <w:r w:rsidRPr="00085760">
        <w:rPr>
          <w:rFonts w:ascii="Times New Roman" w:hAnsi="Times New Roman"/>
          <w:sz w:val="24"/>
          <w:szCs w:val="24"/>
        </w:rPr>
        <w:t>audienc</w:t>
      </w:r>
      <w:r w:rsidRPr="00085760">
        <w:rPr>
          <w:rFonts w:ascii="Times New Roman" w:hAnsi="Times New Roman"/>
          <w:sz w:val="24"/>
          <w:szCs w:val="24"/>
        </w:rPr>
        <w:softHyphen/>
        <w:t>es</w:t>
      </w:r>
      <w:r w:rsidRPr="00085760">
        <w:rPr>
          <w:rFonts w:ascii="Times New Roman" w:hAnsi="Times New Roman"/>
          <w:sz w:val="24"/>
          <w:szCs w:val="24"/>
        </w:rPr>
        <w:t xml:space="preserve">.  </w:t>
      </w:r>
    </w:p>
    <w:p w:rsidR="00085760" w:rsidRPr="00085760" w:rsidP="008471D8" w14:paraId="5DBFB00F" w14:textId="45E541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r w:rsidRPr="00753CFF">
        <w:rPr>
          <w:rFonts w:ascii="Times New Roman" w:hAnsi="Times New Roman"/>
          <w:sz w:val="24"/>
          <w:szCs w:val="24"/>
        </w:rPr>
        <w:t>N</w:t>
      </w:r>
      <w:r w:rsidR="00BE69FA">
        <w:rPr>
          <w:rFonts w:ascii="Times New Roman" w:hAnsi="Times New Roman"/>
          <w:sz w:val="24"/>
          <w:szCs w:val="24"/>
        </w:rPr>
        <w:t>IH</w:t>
      </w:r>
      <w:r w:rsidRPr="00753CFF">
        <w:rPr>
          <w:rFonts w:ascii="Times New Roman" w:hAnsi="Times New Roman"/>
          <w:sz w:val="24"/>
          <w:szCs w:val="24"/>
        </w:rPr>
        <w:t xml:space="preserve"> will </w:t>
      </w:r>
      <w:r w:rsidRPr="00753CFF" w:rsidR="00310DC8">
        <w:rPr>
          <w:rFonts w:ascii="Times New Roman" w:hAnsi="Times New Roman"/>
          <w:sz w:val="24"/>
          <w:szCs w:val="24"/>
        </w:rPr>
        <w:t xml:space="preserve">continue to </w:t>
      </w:r>
      <w:r w:rsidRPr="00753CFF">
        <w:rPr>
          <w:rFonts w:ascii="Times New Roman" w:hAnsi="Times New Roman"/>
          <w:sz w:val="24"/>
          <w:szCs w:val="24"/>
        </w:rPr>
        <w:t xml:space="preserve">assess other </w:t>
      </w:r>
      <w:r w:rsidR="006D1764">
        <w:rPr>
          <w:rFonts w:ascii="Times New Roman" w:hAnsi="Times New Roman"/>
          <w:sz w:val="24"/>
          <w:szCs w:val="24"/>
        </w:rPr>
        <w:t>NIH-active</w:t>
      </w:r>
      <w:r w:rsidRPr="00753CFF">
        <w:rPr>
          <w:rFonts w:ascii="Times New Roman" w:hAnsi="Times New Roman"/>
          <w:sz w:val="24"/>
          <w:szCs w:val="24"/>
        </w:rPr>
        <w:t xml:space="preserve"> generic submission</w:t>
      </w:r>
      <w:r w:rsidR="00BE69FA">
        <w:rPr>
          <w:rFonts w:ascii="Times New Roman" w:hAnsi="Times New Roman"/>
          <w:sz w:val="24"/>
          <w:szCs w:val="24"/>
        </w:rPr>
        <w:t>s</w:t>
      </w:r>
      <w:r w:rsidRPr="00753CFF">
        <w:rPr>
          <w:rFonts w:ascii="Times New Roman" w:hAnsi="Times New Roman"/>
          <w:sz w:val="24"/>
          <w:szCs w:val="24"/>
        </w:rPr>
        <w:t xml:space="preserve"> of applications to conduct each sub-study</w:t>
      </w:r>
      <w:r w:rsidR="00BE69FA">
        <w:rPr>
          <w:rFonts w:ascii="Times New Roman" w:hAnsi="Times New Roman"/>
          <w:sz w:val="24"/>
          <w:szCs w:val="24"/>
        </w:rPr>
        <w:t xml:space="preserve"> and leverage </w:t>
      </w:r>
      <w:r w:rsidRPr="00753CFF" w:rsidR="00BE69FA">
        <w:rPr>
          <w:rFonts w:ascii="Times New Roman" w:hAnsi="Times New Roman"/>
          <w:sz w:val="24"/>
          <w:szCs w:val="24"/>
        </w:rPr>
        <w:t>an</w:t>
      </w:r>
      <w:r w:rsidRPr="00753CFF">
        <w:rPr>
          <w:rFonts w:ascii="Times New Roman" w:hAnsi="Times New Roman"/>
          <w:sz w:val="24"/>
          <w:szCs w:val="24"/>
        </w:rPr>
        <w:t xml:space="preserve"> internal review </w:t>
      </w:r>
      <w:r w:rsidR="00EE3D09">
        <w:rPr>
          <w:rFonts w:ascii="Times New Roman" w:hAnsi="Times New Roman"/>
          <w:sz w:val="24"/>
          <w:szCs w:val="24"/>
        </w:rPr>
        <w:t>process</w:t>
      </w:r>
      <w:r w:rsidRPr="00753CFF">
        <w:rPr>
          <w:rFonts w:ascii="Times New Roman" w:hAnsi="Times New Roman"/>
          <w:sz w:val="24"/>
          <w:szCs w:val="24"/>
        </w:rPr>
        <w:t xml:space="preserve"> for surveys that will be used by this generic to assess the quality of each survey </w:t>
      </w:r>
      <w:r w:rsidR="006D1764">
        <w:rPr>
          <w:rFonts w:ascii="Times New Roman" w:hAnsi="Times New Roman"/>
          <w:sz w:val="24"/>
          <w:szCs w:val="24"/>
        </w:rPr>
        <w:t>before</w:t>
      </w:r>
      <w:r w:rsidRPr="00753CFF">
        <w:rPr>
          <w:rFonts w:ascii="Times New Roman" w:hAnsi="Times New Roman"/>
          <w:sz w:val="24"/>
          <w:szCs w:val="24"/>
        </w:rPr>
        <w:t xml:space="preserve"> its use.  </w:t>
      </w:r>
      <w:r w:rsidR="00BE69FA">
        <w:rPr>
          <w:rFonts w:ascii="Times New Roman" w:hAnsi="Times New Roman"/>
          <w:sz w:val="24"/>
          <w:szCs w:val="24"/>
        </w:rPr>
        <w:t xml:space="preserve">NIH </w:t>
      </w:r>
      <w:r w:rsidRPr="00753CFF">
        <w:rPr>
          <w:rFonts w:ascii="Times New Roman" w:hAnsi="Times New Roman"/>
          <w:sz w:val="24"/>
          <w:szCs w:val="24"/>
        </w:rPr>
        <w:t xml:space="preserve">will provide direct oversight </w:t>
      </w:r>
      <w:r w:rsidRPr="00753CFF">
        <w:rPr>
          <w:rFonts w:ascii="Times New Roman" w:hAnsi="Times New Roman"/>
          <w:sz w:val="24"/>
          <w:szCs w:val="24"/>
        </w:rPr>
        <w:t>for</w:t>
      </w:r>
      <w:r w:rsidRPr="00753CFF">
        <w:rPr>
          <w:rFonts w:ascii="Times New Roman" w:hAnsi="Times New Roman"/>
          <w:sz w:val="24"/>
          <w:szCs w:val="24"/>
        </w:rPr>
        <w:t xml:space="preserve"> </w:t>
      </w:r>
      <w:r w:rsidR="006D1764">
        <w:rPr>
          <w:rFonts w:ascii="Times New Roman" w:hAnsi="Times New Roman"/>
          <w:sz w:val="24"/>
          <w:szCs w:val="24"/>
        </w:rPr>
        <w:t>any</w:t>
      </w:r>
      <w:r w:rsidRPr="00753CFF">
        <w:rPr>
          <w:rFonts w:ascii="Times New Roman" w:hAnsi="Times New Roman"/>
          <w:sz w:val="24"/>
          <w:szCs w:val="24"/>
        </w:rPr>
        <w:t xml:space="preserve"> surveys conducted under th</w:t>
      </w:r>
      <w:r w:rsidRPr="00753CFF" w:rsidR="00310DC8">
        <w:rPr>
          <w:rFonts w:ascii="Times New Roman" w:hAnsi="Times New Roman"/>
          <w:sz w:val="24"/>
          <w:szCs w:val="24"/>
        </w:rPr>
        <w:t xml:space="preserve">is </w:t>
      </w:r>
      <w:r w:rsidRPr="00753CFF">
        <w:rPr>
          <w:rFonts w:ascii="Times New Roman" w:hAnsi="Times New Roman"/>
          <w:sz w:val="24"/>
          <w:szCs w:val="24"/>
        </w:rPr>
        <w:t>generic clearance to avoid duplication of effort and information collected.</w:t>
      </w:r>
    </w:p>
    <w:p w:rsidR="00C34AA7" w:rsidP="008471D8" w14:paraId="1DD218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085760" w:rsidRPr="00511104" w:rsidP="00511104" w14:paraId="2013F287" w14:textId="1FB503ED">
      <w:pPr>
        <w:autoSpaceDE/>
        <w:autoSpaceDN/>
        <w:adjustRightInd/>
        <w:rPr>
          <w:rFonts w:ascii="Times New Roman" w:hAnsi="Times New Roman"/>
          <w:b/>
          <w:bCs/>
          <w:sz w:val="24"/>
          <w:szCs w:val="24"/>
        </w:rPr>
      </w:pPr>
      <w:r w:rsidRPr="00085760">
        <w:rPr>
          <w:rFonts w:ascii="Times New Roman" w:hAnsi="Times New Roman"/>
          <w:b/>
          <w:bCs/>
          <w:sz w:val="24"/>
          <w:szCs w:val="24"/>
        </w:rPr>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rsidR="008471D8" w:rsidP="008471D8" w14:paraId="3FE8A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p>
    <w:p w:rsidR="00AB4D48" w:rsidP="008471D8" w14:paraId="2750E563" w14:textId="76DDB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9B7498">
        <w:rPr>
          <w:rFonts w:ascii="Times New Roman" w:hAnsi="Times New Roman"/>
          <w:sz w:val="24"/>
        </w:rPr>
        <w:t xml:space="preserve">Small business or other small entities may be involved in these efforts, but the agency will minimize the burden on them by sampling, asking for readily available information, and using short, easy-to-complete information collection instruments.  </w:t>
      </w:r>
    </w:p>
    <w:p w:rsidR="009B7498" w:rsidRPr="00085760" w:rsidP="008471D8" w14:paraId="2F024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p>
    <w:p w:rsidR="00085760" w:rsidRPr="00085760" w:rsidP="008471D8" w14:paraId="53D4B4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rsidR="008471D8" w:rsidP="008471D8" w14:paraId="5D0D9F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b/>
          <w:i/>
          <w:sz w:val="24"/>
          <w:szCs w:val="24"/>
        </w:rPr>
      </w:pPr>
      <w:r w:rsidRPr="00085760">
        <w:rPr>
          <w:rFonts w:ascii="Times New Roman" w:hAnsi="Times New Roman"/>
          <w:b/>
          <w:i/>
          <w:sz w:val="24"/>
          <w:szCs w:val="24"/>
        </w:rPr>
        <w:tab/>
      </w:r>
    </w:p>
    <w:p w:rsidR="00085760" w:rsidP="008471D8" w14:paraId="221A7E3C" w14:textId="00526A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753CFF">
        <w:rPr>
          <w:rFonts w:ascii="Times New Roman" w:hAnsi="Times New Roman"/>
          <w:sz w:val="24"/>
          <w:szCs w:val="24"/>
        </w:rPr>
        <w:t xml:space="preserve">For the most part, </w:t>
      </w:r>
      <w:r w:rsidRPr="00753CFF" w:rsidR="00592897">
        <w:rPr>
          <w:rFonts w:ascii="Times New Roman" w:hAnsi="Times New Roman"/>
          <w:sz w:val="24"/>
          <w:szCs w:val="24"/>
        </w:rPr>
        <w:t xml:space="preserve">formative research, </w:t>
      </w:r>
      <w:r w:rsidR="009B7498">
        <w:rPr>
          <w:rFonts w:ascii="Times New Roman" w:hAnsi="Times New Roman"/>
          <w:sz w:val="24"/>
          <w:szCs w:val="24"/>
        </w:rPr>
        <w:t xml:space="preserve">piloting testing, </w:t>
      </w:r>
      <w:r w:rsidRPr="00753CFF">
        <w:rPr>
          <w:rFonts w:ascii="Times New Roman" w:hAnsi="Times New Roman"/>
          <w:sz w:val="24"/>
          <w:szCs w:val="24"/>
        </w:rPr>
        <w:t>p</w:t>
      </w:r>
      <w:r w:rsidRPr="00753CFF">
        <w:rPr>
          <w:rFonts w:ascii="Times New Roman" w:hAnsi="Times New Roman"/>
          <w:sz w:val="24"/>
          <w:szCs w:val="24"/>
        </w:rPr>
        <w:t>retesting</w:t>
      </w:r>
      <w:r w:rsidRPr="00753CFF" w:rsidR="00592897">
        <w:rPr>
          <w:rFonts w:ascii="Times New Roman" w:hAnsi="Times New Roman"/>
          <w:sz w:val="24"/>
          <w:szCs w:val="24"/>
        </w:rPr>
        <w:t>,</w:t>
      </w:r>
      <w:r w:rsidRPr="00753CFF">
        <w:rPr>
          <w:rFonts w:ascii="Times New Roman" w:hAnsi="Times New Roman"/>
          <w:sz w:val="24"/>
          <w:szCs w:val="24"/>
        </w:rPr>
        <w:t xml:space="preserve"> </w:t>
      </w:r>
      <w:r w:rsidRPr="00753CFF" w:rsidR="00F20B62">
        <w:rPr>
          <w:rFonts w:ascii="Times New Roman" w:hAnsi="Times New Roman"/>
          <w:sz w:val="24"/>
          <w:szCs w:val="24"/>
        </w:rPr>
        <w:t>and</w:t>
      </w:r>
      <w:r w:rsidRPr="00753CFF">
        <w:rPr>
          <w:rFonts w:ascii="Times New Roman" w:hAnsi="Times New Roman"/>
          <w:sz w:val="24"/>
          <w:szCs w:val="24"/>
        </w:rPr>
        <w:t xml:space="preserve"> customer satisfaction information will be collected only </w:t>
      </w:r>
      <w:r w:rsidR="006D1764">
        <w:rPr>
          <w:rFonts w:ascii="Times New Roman" w:hAnsi="Times New Roman"/>
          <w:sz w:val="24"/>
          <w:szCs w:val="24"/>
        </w:rPr>
        <w:t>once</w:t>
      </w:r>
      <w:r w:rsidR="009B7498">
        <w:rPr>
          <w:rFonts w:ascii="Times New Roman" w:hAnsi="Times New Roman"/>
          <w:sz w:val="24"/>
          <w:szCs w:val="24"/>
        </w:rPr>
        <w:t>.</w:t>
      </w:r>
      <w:r w:rsidRPr="00753CFF">
        <w:rPr>
          <w:rFonts w:ascii="Times New Roman" w:hAnsi="Times New Roman"/>
          <w:sz w:val="24"/>
          <w:szCs w:val="24"/>
        </w:rPr>
        <w:t xml:space="preserve"> </w:t>
      </w:r>
      <w:r w:rsidRPr="00753CFF">
        <w:rPr>
          <w:rFonts w:ascii="Times New Roman" w:hAnsi="Times New Roman"/>
          <w:sz w:val="24"/>
          <w:szCs w:val="24"/>
        </w:rPr>
        <w:t xml:space="preserve">However, there may be </w:t>
      </w:r>
      <w:r w:rsidR="006D1764">
        <w:rPr>
          <w:rFonts w:ascii="Times New Roman" w:hAnsi="Times New Roman"/>
          <w:sz w:val="24"/>
          <w:szCs w:val="24"/>
        </w:rPr>
        <w:t>occasions</w:t>
      </w:r>
      <w:r w:rsidRPr="00753CFF">
        <w:rPr>
          <w:rFonts w:ascii="Times New Roman" w:hAnsi="Times New Roman"/>
          <w:sz w:val="24"/>
          <w:szCs w:val="24"/>
        </w:rPr>
        <w:t xml:space="preserve"> where a </w:t>
      </w:r>
      <w:r w:rsidR="006D1764">
        <w:rPr>
          <w:rFonts w:ascii="Times New Roman" w:hAnsi="Times New Roman"/>
          <w:sz w:val="24"/>
          <w:szCs w:val="24"/>
        </w:rPr>
        <w:t>pre-and</w:t>
      </w:r>
      <w:r w:rsidRPr="00753CFF">
        <w:rPr>
          <w:rFonts w:ascii="Times New Roman" w:hAnsi="Times New Roman"/>
          <w:sz w:val="24"/>
          <w:szCs w:val="24"/>
        </w:rPr>
        <w:t xml:space="preserve"> post</w:t>
      </w:r>
      <w:r w:rsidRPr="00753CFF" w:rsidR="00BD3781">
        <w:rPr>
          <w:rFonts w:ascii="Times New Roman" w:hAnsi="Times New Roman"/>
          <w:sz w:val="24"/>
          <w:szCs w:val="24"/>
        </w:rPr>
        <w:t>-</w:t>
      </w:r>
      <w:r w:rsidRPr="00753CFF">
        <w:rPr>
          <w:rFonts w:ascii="Times New Roman" w:hAnsi="Times New Roman"/>
          <w:sz w:val="24"/>
          <w:szCs w:val="24"/>
        </w:rPr>
        <w:t xml:space="preserve">test to assess differences in communication </w:t>
      </w:r>
      <w:r w:rsidR="006B2171">
        <w:rPr>
          <w:rFonts w:ascii="Times New Roman" w:hAnsi="Times New Roman"/>
          <w:sz w:val="24"/>
          <w:szCs w:val="24"/>
        </w:rPr>
        <w:t>and</w:t>
      </w:r>
      <w:r w:rsidRPr="00753CFF">
        <w:rPr>
          <w:rFonts w:ascii="Times New Roman" w:hAnsi="Times New Roman"/>
          <w:sz w:val="24"/>
          <w:szCs w:val="24"/>
        </w:rPr>
        <w:t xml:space="preserve"> satisfaction messages may be </w:t>
      </w:r>
      <w:r w:rsidR="006D1764">
        <w:rPr>
          <w:rFonts w:ascii="Times New Roman" w:hAnsi="Times New Roman"/>
          <w:sz w:val="24"/>
          <w:szCs w:val="24"/>
        </w:rPr>
        <w:t>helpful for</w:t>
      </w:r>
      <w:r w:rsidRPr="00753CFF">
        <w:rPr>
          <w:rFonts w:ascii="Times New Roman" w:hAnsi="Times New Roman"/>
          <w:sz w:val="24"/>
          <w:szCs w:val="24"/>
        </w:rPr>
        <w:t xml:space="preserve"> a particular sub-study.  Additionally, </w:t>
      </w:r>
      <w:r w:rsidRPr="00753CFF" w:rsidR="004C7FB8">
        <w:rPr>
          <w:rFonts w:ascii="Times New Roman" w:hAnsi="Times New Roman"/>
          <w:sz w:val="24"/>
          <w:szCs w:val="24"/>
        </w:rPr>
        <w:t xml:space="preserve">previous </w:t>
      </w:r>
      <w:r w:rsidRPr="00753CFF">
        <w:rPr>
          <w:rFonts w:ascii="Times New Roman" w:hAnsi="Times New Roman"/>
          <w:sz w:val="24"/>
          <w:szCs w:val="24"/>
        </w:rPr>
        <w:t xml:space="preserve">respondents </w:t>
      </w:r>
      <w:r w:rsidRPr="00753CFF">
        <w:rPr>
          <w:rFonts w:ascii="Times New Roman" w:hAnsi="Times New Roman"/>
          <w:sz w:val="24"/>
          <w:szCs w:val="24"/>
        </w:rPr>
        <w:t xml:space="preserve">may be </w:t>
      </w:r>
      <w:r w:rsidRPr="00753CFF">
        <w:rPr>
          <w:rFonts w:ascii="Times New Roman" w:hAnsi="Times New Roman"/>
          <w:sz w:val="24"/>
          <w:szCs w:val="24"/>
        </w:rPr>
        <w:t>contacted to participate in follow-up studies</w:t>
      </w:r>
      <w:r w:rsidRPr="00753CFF">
        <w:rPr>
          <w:rFonts w:ascii="Times New Roman" w:hAnsi="Times New Roman"/>
          <w:sz w:val="24"/>
          <w:szCs w:val="24"/>
        </w:rPr>
        <w:t xml:space="preserve"> if they have </w:t>
      </w:r>
      <w:r w:rsidR="006D1764">
        <w:rPr>
          <w:rFonts w:ascii="Times New Roman" w:hAnsi="Times New Roman"/>
          <w:sz w:val="24"/>
          <w:szCs w:val="24"/>
        </w:rPr>
        <w:t>initially granted</w:t>
      </w:r>
      <w:r w:rsidRPr="00753CFF">
        <w:rPr>
          <w:rFonts w:ascii="Times New Roman" w:hAnsi="Times New Roman"/>
          <w:sz w:val="24"/>
          <w:szCs w:val="24"/>
        </w:rPr>
        <w:t xml:space="preserve"> consent for such and if the subsequent stud</w:t>
      </w:r>
      <w:r w:rsidRPr="00753CFF" w:rsidR="00C3129F">
        <w:rPr>
          <w:rFonts w:ascii="Times New Roman" w:hAnsi="Times New Roman"/>
          <w:sz w:val="24"/>
          <w:szCs w:val="24"/>
        </w:rPr>
        <w:t>y</w:t>
      </w:r>
      <w:r w:rsidRPr="00753CFF">
        <w:rPr>
          <w:rFonts w:ascii="Times New Roman" w:hAnsi="Times New Roman"/>
          <w:sz w:val="24"/>
          <w:szCs w:val="24"/>
        </w:rPr>
        <w:t xml:space="preserve"> uses that population</w:t>
      </w:r>
      <w:r w:rsidRPr="00753CFF" w:rsidR="00A877E7">
        <w:rPr>
          <w:rFonts w:ascii="Times New Roman" w:hAnsi="Times New Roman"/>
          <w:sz w:val="24"/>
          <w:szCs w:val="24"/>
        </w:rPr>
        <w:t>.</w:t>
      </w:r>
      <w:r w:rsidRPr="00753CFF" w:rsidR="00BD3781">
        <w:rPr>
          <w:rFonts w:ascii="Times New Roman" w:hAnsi="Times New Roman"/>
          <w:sz w:val="24"/>
          <w:szCs w:val="24"/>
        </w:rPr>
        <w:t xml:space="preserve"> </w:t>
      </w:r>
    </w:p>
    <w:p w:rsidR="00C34AA7" w:rsidP="008471D8" w14:paraId="6D698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085760" w:rsidRPr="00085760" w:rsidP="008471D8" w14:paraId="0444F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rsidR="009B7498" w:rsidP="008471D8" w14:paraId="63E21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085760">
        <w:rPr>
          <w:rFonts w:ascii="Times New Roman" w:hAnsi="Times New Roman"/>
          <w:sz w:val="24"/>
        </w:rPr>
        <w:tab/>
      </w:r>
    </w:p>
    <w:p w:rsidR="008471D8" w:rsidP="008471D8" w14:paraId="5FFAB133" w14:textId="7D208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sidRPr="009B7498">
        <w:rPr>
          <w:rFonts w:ascii="Times New Roman" w:hAnsi="Times New Roman"/>
          <w:sz w:val="24"/>
        </w:rPr>
        <w:t>There are no special circumstances. The information collected will be voluntary and will not be used for statistical purposes.</w:t>
      </w:r>
    </w:p>
    <w:p w:rsidR="00C34AA7" w:rsidP="008471D8" w14:paraId="2F7BC4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917E65" w:rsidRPr="00085760" w:rsidP="008471D8" w14:paraId="413A0034" w14:textId="150C3B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A.8.</w:t>
      </w:r>
      <w:r w:rsidR="008471D8">
        <w:rPr>
          <w:rFonts w:ascii="Times New Roman" w:hAnsi="Times New Roman"/>
          <w:b/>
          <w:bCs/>
          <w:sz w:val="24"/>
          <w:szCs w:val="24"/>
        </w:rPr>
        <w:t>1</w:t>
      </w:r>
      <w:r w:rsidRPr="00085760">
        <w:rPr>
          <w:rFonts w:ascii="Times New Roman" w:hAnsi="Times New Roman"/>
          <w:b/>
          <w:bCs/>
          <w:sz w:val="24"/>
          <w:szCs w:val="24"/>
        </w:rPr>
        <w:t xml:space="preserve">  </w:t>
      </w:r>
      <w:r w:rsidR="00F2356A">
        <w:rPr>
          <w:rFonts w:ascii="Times New Roman" w:hAnsi="Times New Roman"/>
          <w:b/>
          <w:bCs/>
          <w:sz w:val="24"/>
          <w:szCs w:val="24"/>
        </w:rPr>
        <w:t xml:space="preserve"> </w:t>
      </w:r>
      <w:r w:rsidRPr="00085760">
        <w:rPr>
          <w:rFonts w:ascii="Times New Roman" w:hAnsi="Times New Roman"/>
          <w:b/>
          <w:bCs/>
          <w:sz w:val="24"/>
          <w:szCs w:val="24"/>
          <w:u w:val="single"/>
        </w:rPr>
        <w:t xml:space="preserve">Comments in Response to the Federal Register Notice </w:t>
      </w:r>
    </w:p>
    <w:p w:rsidR="008471D8" w:rsidP="008471D8" w14:paraId="7BF0A4BF" w14:textId="77777777">
      <w:pPr>
        <w:pStyle w:val="BodyTextIndent"/>
        <w:tabs>
          <w:tab w:val="left" w:pos="0"/>
        </w:tabs>
        <w:spacing w:before="0" w:after="0" w:line="360" w:lineRule="auto"/>
        <w:rPr>
          <w:color w:val="000000" w:themeColor="text1"/>
          <w:sz w:val="24"/>
          <w:szCs w:val="24"/>
        </w:rPr>
      </w:pPr>
    </w:p>
    <w:p w:rsidR="00351C2B" w:rsidP="008471D8" w14:paraId="6926966B" w14:textId="03ECE58E">
      <w:pPr>
        <w:pStyle w:val="BodyTextIndent"/>
        <w:tabs>
          <w:tab w:val="left" w:pos="0"/>
        </w:tabs>
        <w:spacing w:before="0" w:after="0" w:line="360" w:lineRule="auto"/>
        <w:ind w:firstLine="0"/>
        <w:rPr>
          <w:color w:val="000000" w:themeColor="text1"/>
          <w:sz w:val="24"/>
          <w:szCs w:val="24"/>
        </w:rPr>
      </w:pPr>
      <w:r w:rsidRPr="00313C48">
        <w:rPr>
          <w:color w:val="000000" w:themeColor="text1"/>
          <w:sz w:val="24"/>
          <w:szCs w:val="24"/>
        </w:rPr>
        <w:t xml:space="preserve">The 60-Day Federal Register notice soliciting comments on this study </w:t>
      </w:r>
      <w:r w:rsidR="006D1764">
        <w:rPr>
          <w:color w:val="000000" w:themeColor="text1"/>
          <w:sz w:val="24"/>
          <w:szCs w:val="24"/>
        </w:rPr>
        <w:t>before</w:t>
      </w:r>
      <w:r w:rsidRPr="00313C48">
        <w:rPr>
          <w:color w:val="000000" w:themeColor="text1"/>
          <w:sz w:val="24"/>
          <w:szCs w:val="24"/>
        </w:rPr>
        <w:t xml:space="preserve"> initial submission to OMB was published </w:t>
      </w:r>
      <w:r w:rsidRPr="00412796">
        <w:rPr>
          <w:color w:val="000000" w:themeColor="text1"/>
          <w:sz w:val="24"/>
          <w:szCs w:val="24"/>
        </w:rPr>
        <w:t>on</w:t>
      </w:r>
      <w:r w:rsidR="009B7498">
        <w:rPr>
          <w:color w:val="000000" w:themeColor="text1"/>
          <w:sz w:val="24"/>
          <w:szCs w:val="24"/>
        </w:rPr>
        <w:t xml:space="preserve"> December</w:t>
      </w:r>
      <w:r w:rsidR="006B2171">
        <w:rPr>
          <w:color w:val="000000" w:themeColor="text1"/>
          <w:sz w:val="24"/>
          <w:szCs w:val="24"/>
        </w:rPr>
        <w:t xml:space="preserve"> 1</w:t>
      </w:r>
      <w:r w:rsidR="009B7498">
        <w:rPr>
          <w:color w:val="000000" w:themeColor="text1"/>
          <w:sz w:val="24"/>
          <w:szCs w:val="24"/>
        </w:rPr>
        <w:t>5</w:t>
      </w:r>
      <w:r w:rsidR="006B2171">
        <w:rPr>
          <w:color w:val="000000" w:themeColor="text1"/>
          <w:sz w:val="24"/>
          <w:szCs w:val="24"/>
        </w:rPr>
        <w:t>, 202</w:t>
      </w:r>
      <w:r w:rsidR="009B7498">
        <w:rPr>
          <w:color w:val="000000" w:themeColor="text1"/>
          <w:sz w:val="24"/>
          <w:szCs w:val="24"/>
        </w:rPr>
        <w:t>5</w:t>
      </w:r>
      <w:r w:rsidRPr="00412796" w:rsidR="00C05C89">
        <w:rPr>
          <w:color w:val="000000" w:themeColor="text1"/>
          <w:sz w:val="24"/>
          <w:szCs w:val="24"/>
        </w:rPr>
        <w:t xml:space="preserve"> </w:t>
      </w:r>
      <w:r w:rsidRPr="00412796" w:rsidR="00816D04">
        <w:rPr>
          <w:color w:val="000000" w:themeColor="text1"/>
          <w:sz w:val="24"/>
          <w:szCs w:val="24"/>
        </w:rPr>
        <w:t xml:space="preserve">(Volume </w:t>
      </w:r>
      <w:r w:rsidR="00D5216D">
        <w:rPr>
          <w:color w:val="000000" w:themeColor="text1"/>
          <w:sz w:val="24"/>
          <w:szCs w:val="24"/>
        </w:rPr>
        <w:t>90</w:t>
      </w:r>
      <w:r w:rsidR="00D36152">
        <w:rPr>
          <w:color w:val="000000" w:themeColor="text1"/>
          <w:sz w:val="24"/>
          <w:szCs w:val="24"/>
        </w:rPr>
        <w:t xml:space="preserve">, No. </w:t>
      </w:r>
      <w:r w:rsidR="006B2171">
        <w:rPr>
          <w:color w:val="000000" w:themeColor="text1"/>
          <w:sz w:val="24"/>
          <w:szCs w:val="24"/>
        </w:rPr>
        <w:t>157</w:t>
      </w:r>
      <w:r w:rsidRPr="00412796" w:rsidR="00816D04">
        <w:rPr>
          <w:color w:val="000000" w:themeColor="text1"/>
          <w:sz w:val="24"/>
          <w:szCs w:val="24"/>
        </w:rPr>
        <w:t xml:space="preserve">, Page </w:t>
      </w:r>
      <w:r w:rsidR="006B2171">
        <w:rPr>
          <w:color w:val="000000" w:themeColor="text1"/>
          <w:sz w:val="24"/>
          <w:szCs w:val="24"/>
        </w:rPr>
        <w:t>50340</w:t>
      </w:r>
      <w:r w:rsidRPr="009B7498" w:rsidR="00816D04">
        <w:rPr>
          <w:color w:val="000000" w:themeColor="text1"/>
          <w:sz w:val="24"/>
          <w:szCs w:val="24"/>
        </w:rPr>
        <w:t>)</w:t>
      </w:r>
      <w:r w:rsidRPr="009B7498">
        <w:rPr>
          <w:color w:val="000000" w:themeColor="text1"/>
          <w:sz w:val="24"/>
          <w:szCs w:val="24"/>
        </w:rPr>
        <w:t xml:space="preserve">.  </w:t>
      </w:r>
      <w:r w:rsidR="009B7498">
        <w:rPr>
          <w:color w:val="000000" w:themeColor="text1"/>
          <w:sz w:val="24"/>
          <w:szCs w:val="24"/>
        </w:rPr>
        <w:t xml:space="preserve">No </w:t>
      </w:r>
      <w:r w:rsidRPr="009B7498" w:rsidR="00C05C89">
        <w:rPr>
          <w:color w:val="000000" w:themeColor="text1"/>
          <w:sz w:val="24"/>
          <w:szCs w:val="24"/>
        </w:rPr>
        <w:t xml:space="preserve">public </w:t>
      </w:r>
      <w:r w:rsidRPr="009B7498" w:rsidR="006B2171">
        <w:rPr>
          <w:color w:val="000000" w:themeColor="text1"/>
          <w:sz w:val="24"/>
          <w:szCs w:val="24"/>
        </w:rPr>
        <w:t>comment</w:t>
      </w:r>
      <w:r w:rsidR="009B7498">
        <w:rPr>
          <w:color w:val="000000" w:themeColor="text1"/>
          <w:sz w:val="24"/>
          <w:szCs w:val="24"/>
        </w:rPr>
        <w:t>s</w:t>
      </w:r>
      <w:r w:rsidRPr="009B7498" w:rsidR="00C05C89">
        <w:rPr>
          <w:color w:val="000000" w:themeColor="text1"/>
          <w:sz w:val="24"/>
          <w:szCs w:val="24"/>
        </w:rPr>
        <w:t xml:space="preserve"> </w:t>
      </w:r>
      <w:r w:rsidRPr="009B7498" w:rsidR="006B2171">
        <w:rPr>
          <w:color w:val="000000" w:themeColor="text1"/>
          <w:sz w:val="24"/>
          <w:szCs w:val="24"/>
        </w:rPr>
        <w:t>w</w:t>
      </w:r>
      <w:r w:rsidR="009B7498">
        <w:rPr>
          <w:color w:val="000000" w:themeColor="text1"/>
          <w:sz w:val="24"/>
          <w:szCs w:val="24"/>
        </w:rPr>
        <w:t>ere</w:t>
      </w:r>
      <w:r w:rsidRPr="009B7498" w:rsidR="00C05C89">
        <w:rPr>
          <w:color w:val="000000" w:themeColor="text1"/>
          <w:sz w:val="24"/>
          <w:szCs w:val="24"/>
        </w:rPr>
        <w:t xml:space="preserve"> received.</w:t>
      </w:r>
    </w:p>
    <w:p w:rsidR="008471D8" w:rsidP="008471D8" w14:paraId="63EA40EA" w14:textId="2CC93005">
      <w:pPr>
        <w:pStyle w:val="BodyTextIndent"/>
        <w:tabs>
          <w:tab w:val="left" w:pos="0"/>
        </w:tabs>
        <w:spacing w:before="0" w:after="0" w:line="360" w:lineRule="auto"/>
        <w:rPr>
          <w:color w:val="000000" w:themeColor="text1"/>
          <w:sz w:val="24"/>
          <w:szCs w:val="24"/>
        </w:rPr>
      </w:pPr>
    </w:p>
    <w:p w:rsidR="008471D8" w:rsidRPr="008471D8" w:rsidP="008471D8" w14:paraId="4DD07DD2" w14:textId="77777777">
      <w:pPr>
        <w:pStyle w:val="BodyTextIndent"/>
        <w:tabs>
          <w:tab w:val="left" w:pos="0"/>
        </w:tabs>
        <w:spacing w:before="0" w:after="0" w:line="360" w:lineRule="auto"/>
        <w:ind w:firstLine="90"/>
        <w:rPr>
          <w:b/>
          <w:color w:val="000000" w:themeColor="text1"/>
          <w:sz w:val="24"/>
          <w:szCs w:val="24"/>
        </w:rPr>
      </w:pPr>
      <w:r w:rsidRPr="008471D8">
        <w:rPr>
          <w:b/>
          <w:color w:val="000000" w:themeColor="text1"/>
          <w:sz w:val="24"/>
          <w:szCs w:val="24"/>
        </w:rPr>
        <w:t>A.8.2</w:t>
      </w:r>
      <w:r w:rsidRPr="008471D8">
        <w:rPr>
          <w:b/>
          <w:color w:val="000000" w:themeColor="text1"/>
          <w:sz w:val="24"/>
          <w:szCs w:val="24"/>
        </w:rPr>
        <w:tab/>
        <w:t>Efforts to Consult Outside Agency</w:t>
      </w:r>
    </w:p>
    <w:p w:rsidR="008471D8" w:rsidRPr="00816D04" w:rsidP="008471D8" w14:paraId="3D43EF95" w14:textId="77777777">
      <w:pPr>
        <w:pStyle w:val="BodyTextIndent"/>
        <w:tabs>
          <w:tab w:val="left" w:pos="0"/>
        </w:tabs>
        <w:spacing w:before="0" w:after="0" w:line="360" w:lineRule="auto"/>
        <w:rPr>
          <w:color w:val="000000" w:themeColor="text1"/>
          <w:sz w:val="24"/>
          <w:szCs w:val="24"/>
        </w:rPr>
      </w:pPr>
    </w:p>
    <w:p w:rsidR="00C34AA7" w:rsidP="00C71BEE" w14:paraId="28D1B487" w14:textId="322F2EC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1378CC">
        <w:rPr>
          <w:rFonts w:ascii="Times New Roman" w:hAnsi="Times New Roman"/>
          <w:sz w:val="24"/>
          <w:szCs w:val="24"/>
        </w:rPr>
        <w:t xml:space="preserve">Any collaborations and consultations for </w:t>
      </w:r>
      <w:r w:rsidRPr="001378CC" w:rsidR="0067767B">
        <w:rPr>
          <w:rFonts w:ascii="Times New Roman" w:hAnsi="Times New Roman"/>
          <w:sz w:val="24"/>
          <w:szCs w:val="24"/>
        </w:rPr>
        <w:t>s</w:t>
      </w:r>
      <w:r w:rsidRPr="001378CC">
        <w:rPr>
          <w:rFonts w:ascii="Times New Roman" w:hAnsi="Times New Roman"/>
          <w:sz w:val="24"/>
          <w:szCs w:val="24"/>
        </w:rPr>
        <w:t>pecific sub-stud</w:t>
      </w:r>
      <w:r w:rsidRPr="001378CC" w:rsidR="00275F13">
        <w:rPr>
          <w:rFonts w:ascii="Times New Roman" w:hAnsi="Times New Roman"/>
          <w:sz w:val="24"/>
          <w:szCs w:val="24"/>
        </w:rPr>
        <w:t>ies</w:t>
      </w:r>
      <w:r w:rsidRPr="001378CC">
        <w:rPr>
          <w:rFonts w:ascii="Times New Roman" w:hAnsi="Times New Roman"/>
          <w:sz w:val="24"/>
          <w:szCs w:val="24"/>
        </w:rPr>
        <w:t xml:space="preserve"> will be mentioned as part of the request for approval in the sub-study.</w:t>
      </w:r>
    </w:p>
    <w:p w:rsidR="00C71BEE" w:rsidRPr="00C71BEE" w:rsidP="00C71BEE" w14:paraId="108B32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p>
    <w:p w:rsidR="008471D8" w:rsidRPr="00C71BEE" w:rsidP="00C71BEE" w14:paraId="7C6B54F7" w14:textId="3F19FABC">
      <w:pPr>
        <w:pStyle w:val="Header"/>
        <w:tabs>
          <w:tab w:val="clear" w:pos="4320"/>
          <w:tab w:val="clear" w:pos="864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rsidR="005B0D55" w:rsidP="00EA63D7" w14:paraId="11818BB3" w14:textId="672BDCBB">
      <w:pPr>
        <w:spacing w:line="360" w:lineRule="auto"/>
        <w:rPr>
          <w:rFonts w:ascii="Times New Roman" w:hAnsi="Times New Roman"/>
          <w:sz w:val="24"/>
        </w:rPr>
      </w:pPr>
      <w:r w:rsidRPr="006D1764">
        <w:rPr>
          <w:rFonts w:ascii="Times New Roman" w:hAnsi="Times New Roman"/>
          <w:sz w:val="24"/>
        </w:rPr>
        <w:t>Some information collection activities may</w:t>
      </w:r>
      <w:r w:rsidRPr="00085760" w:rsidR="00085760">
        <w:rPr>
          <w:rFonts w:ascii="Times New Roman" w:hAnsi="Times New Roman"/>
          <w:sz w:val="24"/>
        </w:rPr>
        <w:t xml:space="preserve"> entail </w:t>
      </w:r>
      <w:r w:rsidR="003756D2">
        <w:rPr>
          <w:rFonts w:ascii="Times New Roman" w:hAnsi="Times New Roman"/>
          <w:sz w:val="24"/>
        </w:rPr>
        <w:t xml:space="preserve">a </w:t>
      </w:r>
      <w:r>
        <w:rPr>
          <w:rFonts w:ascii="Times New Roman" w:hAnsi="Times New Roman"/>
          <w:sz w:val="24"/>
        </w:rPr>
        <w:t xml:space="preserve">small payment </w:t>
      </w:r>
      <w:r w:rsidRPr="00085760" w:rsidR="00085760">
        <w:rPr>
          <w:rFonts w:ascii="Times New Roman" w:hAnsi="Times New Roman"/>
          <w:sz w:val="24"/>
        </w:rPr>
        <w:t xml:space="preserve">or gifts to respondents.  </w:t>
      </w:r>
      <w:r>
        <w:rPr>
          <w:rFonts w:ascii="Times New Roman" w:hAnsi="Times New Roman"/>
          <w:sz w:val="24"/>
        </w:rPr>
        <w:t>Small amounts of money, a</w:t>
      </w:r>
      <w:r w:rsidRPr="00085760" w:rsidR="00085760">
        <w:rPr>
          <w:rFonts w:ascii="Times New Roman" w:hAnsi="Times New Roman"/>
          <w:sz w:val="24"/>
        </w:rPr>
        <w:t xml:space="preserve"> free meal or snack scheduled around the time of the pretest, </w:t>
      </w:r>
      <w:r w:rsidR="006B2171">
        <w:rPr>
          <w:rFonts w:ascii="Times New Roman" w:hAnsi="Times New Roman"/>
          <w:sz w:val="24"/>
        </w:rPr>
        <w:t>and</w:t>
      </w:r>
      <w:r w:rsidRPr="00085760" w:rsidR="00085760">
        <w:rPr>
          <w:rFonts w:ascii="Times New Roman" w:hAnsi="Times New Roman"/>
          <w:sz w:val="24"/>
        </w:rPr>
        <w:t xml:space="preserve"> </w:t>
      </w:r>
      <w:r>
        <w:rPr>
          <w:rFonts w:ascii="Times New Roman" w:hAnsi="Times New Roman"/>
          <w:sz w:val="24"/>
        </w:rPr>
        <w:t>incentives</w:t>
      </w:r>
      <w:r w:rsidRPr="00085760" w:rsidR="00085760">
        <w:rPr>
          <w:rFonts w:ascii="Times New Roman" w:hAnsi="Times New Roman"/>
          <w:sz w:val="24"/>
        </w:rPr>
        <w:t xml:space="preserve"> for parking and/or transportation are most often used, </w:t>
      </w:r>
      <w:r>
        <w:rPr>
          <w:rFonts w:ascii="Times New Roman" w:hAnsi="Times New Roman"/>
          <w:sz w:val="24"/>
        </w:rPr>
        <w:t>mainly</w:t>
      </w:r>
      <w:r w:rsidRPr="00085760" w:rsidR="00085760">
        <w:rPr>
          <w:rFonts w:ascii="Times New Roman" w:hAnsi="Times New Roman"/>
          <w:sz w:val="24"/>
        </w:rPr>
        <w:t xml:space="preserve"> when recruiting hard-to-reach and minority respondents. </w:t>
      </w:r>
      <w:r w:rsidR="009E6F63">
        <w:rPr>
          <w:rFonts w:ascii="Times New Roman" w:hAnsi="Times New Roman"/>
          <w:sz w:val="24"/>
        </w:rPr>
        <w:t>Incentive</w:t>
      </w:r>
      <w:r>
        <w:rPr>
          <w:rFonts w:ascii="Times New Roman" w:hAnsi="Times New Roman"/>
          <w:sz w:val="24"/>
        </w:rPr>
        <w:t>s</w:t>
      </w:r>
      <w:r w:rsidRPr="00753CFF" w:rsidR="00085760">
        <w:rPr>
          <w:rFonts w:ascii="Times New Roman" w:hAnsi="Times New Roman"/>
          <w:sz w:val="24"/>
        </w:rPr>
        <w:t xml:space="preserve"> may also be necessary </w:t>
      </w:r>
      <w:r>
        <w:rPr>
          <w:rFonts w:ascii="Times New Roman" w:hAnsi="Times New Roman"/>
          <w:sz w:val="24"/>
        </w:rPr>
        <w:t>for</w:t>
      </w:r>
      <w:r w:rsidRPr="00753CFF" w:rsidR="00085760">
        <w:rPr>
          <w:rFonts w:ascii="Times New Roman" w:hAnsi="Times New Roman"/>
          <w:sz w:val="24"/>
        </w:rPr>
        <w:t xml:space="preserve"> some sub-studies where highly specialized individuals are invited to participate in a </w:t>
      </w:r>
      <w:r w:rsidRPr="00753CFF" w:rsidR="00CC7AE0">
        <w:rPr>
          <w:rFonts w:ascii="Times New Roman" w:hAnsi="Times New Roman"/>
          <w:sz w:val="24"/>
        </w:rPr>
        <w:t>survey and</w:t>
      </w:r>
      <w:r w:rsidRPr="00753CFF" w:rsidR="00085760">
        <w:rPr>
          <w:rFonts w:ascii="Times New Roman" w:hAnsi="Times New Roman"/>
          <w:sz w:val="24"/>
        </w:rPr>
        <w:t xml:space="preserve"> will cover the cost of transportation and other types of local expenses.</w:t>
      </w:r>
      <w:r w:rsidRPr="00085760" w:rsidR="00085760">
        <w:rPr>
          <w:rFonts w:ascii="Times New Roman" w:hAnsi="Times New Roman"/>
          <w:sz w:val="24"/>
        </w:rPr>
        <w:t xml:space="preserve">  </w:t>
      </w:r>
      <w:r w:rsidR="00D5216D">
        <w:rPr>
          <w:rFonts w:ascii="Times New Roman" w:hAnsi="Times New Roman"/>
          <w:sz w:val="24"/>
        </w:rPr>
        <w:t>Specifics of monetary payments will be explained and details with supporting information in the individual sub-studies.</w:t>
      </w:r>
    </w:p>
    <w:p w:rsidR="00D5216D" w:rsidP="00EA63D7" w14:paraId="133542DE" w14:textId="77777777">
      <w:pPr>
        <w:spacing w:line="360" w:lineRule="auto"/>
        <w:rPr>
          <w:rFonts w:ascii="Times New Roman" w:hAnsi="Times New Roman"/>
          <w:sz w:val="24"/>
        </w:rPr>
      </w:pPr>
    </w:p>
    <w:p w:rsidR="00085760" w:rsidRPr="00085760" w:rsidP="00CC7AE0" w14:paraId="2BAF4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 xml:space="preserve">A.10.  </w:t>
      </w:r>
      <w:r w:rsidRPr="00085760">
        <w:rPr>
          <w:rFonts w:ascii="Times New Roman" w:hAnsi="Times New Roman"/>
          <w:b/>
          <w:bCs/>
          <w:sz w:val="24"/>
          <w:szCs w:val="24"/>
          <w:u w:val="single"/>
        </w:rPr>
        <w:t>Assurance of Confidentiality Provided to Respondents</w:t>
      </w:r>
    </w:p>
    <w:p w:rsidR="00720ADB" w:rsidP="00526F59" w14:paraId="2E381551" w14:textId="57162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Information provided by respondents will be kept private </w:t>
      </w:r>
      <w:r w:rsidR="00DB4B14">
        <w:rPr>
          <w:rFonts w:ascii="Times New Roman" w:hAnsi="Times New Roman"/>
          <w:sz w:val="24"/>
          <w:szCs w:val="24"/>
        </w:rPr>
        <w:t>to the extent provided by law</w:t>
      </w:r>
      <w:r w:rsidRPr="00085760">
        <w:rPr>
          <w:rFonts w:ascii="Times New Roman" w:hAnsi="Times New Roman"/>
          <w:sz w:val="24"/>
          <w:szCs w:val="24"/>
        </w:rPr>
        <w:t xml:space="preserve">.  This will be communicated to respondents </w:t>
      </w:r>
      <w:r w:rsidR="006D1764">
        <w:rPr>
          <w:rFonts w:ascii="Times New Roman" w:hAnsi="Times New Roman"/>
          <w:sz w:val="24"/>
          <w:szCs w:val="24"/>
        </w:rPr>
        <w:t>using</w:t>
      </w:r>
      <w:r w:rsidRPr="00085760">
        <w:rPr>
          <w:rFonts w:ascii="Times New Roman" w:hAnsi="Times New Roman"/>
          <w:sz w:val="24"/>
          <w:szCs w:val="24"/>
        </w:rPr>
        <w:t xml:space="preserve"> introductory letters, explanatory texts on the cover pages of question</w:t>
      </w:r>
      <w:r w:rsidRPr="00085760">
        <w:rPr>
          <w:rFonts w:ascii="Times New Roman" w:hAnsi="Times New Roman"/>
          <w:sz w:val="24"/>
          <w:szCs w:val="24"/>
        </w:rPr>
        <w:softHyphen/>
        <w:t xml:space="preserve">naires, scripts read </w:t>
      </w:r>
      <w:r w:rsidR="006D1764">
        <w:rPr>
          <w:rFonts w:ascii="Times New Roman" w:hAnsi="Times New Roman"/>
          <w:sz w:val="24"/>
          <w:szCs w:val="24"/>
        </w:rPr>
        <w:t>before</w:t>
      </w:r>
      <w:r w:rsidRPr="00085760">
        <w:rPr>
          <w:rFonts w:ascii="Times New Roman" w:hAnsi="Times New Roman"/>
          <w:sz w:val="24"/>
          <w:szCs w:val="24"/>
        </w:rPr>
        <w:t xml:space="preserve"> focus groups or telephone interviews, and consent forms.  Respondents will also be advised of the following:  </w:t>
      </w:r>
    </w:p>
    <w:p w:rsidR="00962ECC" w:rsidRPr="00962ECC" w:rsidP="00962ECC" w14:paraId="60EFECA4" w14:textId="0773AE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Pr>
          <w:rFonts w:ascii="Times New Roman" w:hAnsi="Times New Roman"/>
          <w:sz w:val="24"/>
          <w:szCs w:val="24"/>
        </w:rPr>
        <w:tab/>
      </w:r>
      <w:bookmarkStart w:id="8" w:name="_Hlk4141034"/>
      <w:r w:rsidRPr="00753CFF" w:rsidR="00085760">
        <w:rPr>
          <w:rFonts w:ascii="Times New Roman" w:hAnsi="Times New Roman"/>
          <w:sz w:val="24"/>
          <w:szCs w:val="24"/>
        </w:rPr>
        <w:t xml:space="preserve">Although some </w:t>
      </w:r>
      <w:r w:rsidRPr="00753CFF" w:rsidR="00085760">
        <w:rPr>
          <w:rFonts w:ascii="Times New Roman" w:hAnsi="Times New Roman"/>
          <w:sz w:val="24"/>
          <w:szCs w:val="24"/>
        </w:rPr>
        <w:t>personal</w:t>
      </w:r>
      <w:r w:rsidRPr="00753CFF">
        <w:rPr>
          <w:rFonts w:ascii="Times New Roman" w:hAnsi="Times New Roman"/>
          <w:sz w:val="24"/>
          <w:szCs w:val="24"/>
        </w:rPr>
        <w:t>ly</w:t>
      </w:r>
      <w:r w:rsidRPr="00753CFF">
        <w:rPr>
          <w:rFonts w:ascii="Times New Roman" w:hAnsi="Times New Roman"/>
          <w:sz w:val="24"/>
          <w:szCs w:val="24"/>
        </w:rPr>
        <w:t xml:space="preserve"> identifiable</w:t>
      </w:r>
      <w:r w:rsidRPr="00753CFF" w:rsidR="00085760">
        <w:rPr>
          <w:rFonts w:ascii="Times New Roman" w:hAnsi="Times New Roman"/>
          <w:sz w:val="24"/>
          <w:szCs w:val="24"/>
        </w:rPr>
        <w:t xml:space="preserve"> information will be collected, data will not be retrieved by personal identifiers unless the respondent voluntarily agrees to provide the information</w:t>
      </w:r>
      <w:r w:rsidR="00BF4DF0">
        <w:rPr>
          <w:rFonts w:ascii="Times New Roman" w:hAnsi="Times New Roman"/>
          <w:sz w:val="24"/>
          <w:szCs w:val="24"/>
        </w:rPr>
        <w:t xml:space="preserve"> so that</w:t>
      </w:r>
      <w:r w:rsidRPr="00753CFF" w:rsidR="00085760">
        <w:rPr>
          <w:rFonts w:ascii="Times New Roman" w:hAnsi="Times New Roman"/>
          <w:sz w:val="24"/>
          <w:szCs w:val="24"/>
        </w:rPr>
        <w:t xml:space="preserve"> </w:t>
      </w:r>
      <w:r w:rsidR="00262712">
        <w:rPr>
          <w:rFonts w:ascii="Times New Roman" w:hAnsi="Times New Roman"/>
          <w:sz w:val="24"/>
          <w:szCs w:val="24"/>
        </w:rPr>
        <w:t>they</w:t>
      </w:r>
      <w:r w:rsidRPr="00753CFF" w:rsidR="00085760">
        <w:rPr>
          <w:rFonts w:ascii="Times New Roman" w:hAnsi="Times New Roman"/>
          <w:sz w:val="24"/>
          <w:szCs w:val="24"/>
        </w:rPr>
        <w:t xml:space="preserve"> can be contacted for follow-up</w:t>
      </w:r>
      <w:r w:rsidRPr="00753CFF" w:rsidR="00F07D47">
        <w:rPr>
          <w:rFonts w:ascii="Times New Roman" w:hAnsi="Times New Roman"/>
          <w:sz w:val="24"/>
          <w:szCs w:val="24"/>
        </w:rPr>
        <w:t xml:space="preserve"> (in rare situations)</w:t>
      </w:r>
      <w:r w:rsidRPr="00753CFF" w:rsidR="00085760">
        <w:rPr>
          <w:rFonts w:ascii="Times New Roman" w:hAnsi="Times New Roman"/>
          <w:sz w:val="24"/>
          <w:szCs w:val="24"/>
        </w:rPr>
        <w:t xml:space="preserve">. </w:t>
      </w:r>
    </w:p>
    <w:p w:rsidR="00962ECC" w:rsidRPr="00962ECC" w:rsidP="00962ECC" w14:paraId="06BBCF7F" w14:textId="7D198F8A">
      <w:pPr>
        <w:autoSpaceDE/>
        <w:autoSpaceDN/>
        <w:adjustRightInd/>
        <w:spacing w:line="360" w:lineRule="auto"/>
        <w:ind w:firstLine="720"/>
        <w:rPr>
          <w:rFonts w:ascii="Times New Roman" w:hAnsi="Times New Roman"/>
          <w:sz w:val="24"/>
          <w:szCs w:val="24"/>
        </w:rPr>
      </w:pPr>
      <w:r>
        <w:rPr>
          <w:rFonts w:ascii="Times New Roman" w:hAnsi="Times New Roman"/>
          <w:sz w:val="24"/>
          <w:szCs w:val="24"/>
        </w:rPr>
        <w:t xml:space="preserve">If the </w:t>
      </w:r>
      <w:r w:rsidRPr="00962ECC">
        <w:rPr>
          <w:rFonts w:ascii="Times New Roman" w:hAnsi="Times New Roman"/>
          <w:sz w:val="24"/>
          <w:szCs w:val="24"/>
        </w:rPr>
        <w:t>Privacy</w:t>
      </w:r>
      <w:r w:rsidRPr="00962ECC">
        <w:rPr>
          <w:rFonts w:ascii="Times New Roman" w:hAnsi="Times New Roman"/>
          <w:sz w:val="24"/>
          <w:szCs w:val="24"/>
        </w:rPr>
        <w:t xml:space="preserve"> Act is applicable as determined by the NIH Privacy Officer</w:t>
      </w:r>
      <w:r>
        <w:rPr>
          <w:rFonts w:ascii="Times New Roman" w:hAnsi="Times New Roman"/>
          <w:sz w:val="24"/>
          <w:szCs w:val="24"/>
        </w:rPr>
        <w:t>, one will be obtained by submission.</w:t>
      </w:r>
      <w:r w:rsidRPr="00962ECC">
        <w:rPr>
          <w:rFonts w:ascii="Times New Roman" w:hAnsi="Times New Roman"/>
          <w:sz w:val="24"/>
          <w:szCs w:val="24"/>
        </w:rPr>
        <w:t xml:space="preserve"> The applicable SORN </w:t>
      </w:r>
      <w:r>
        <w:rPr>
          <w:rFonts w:ascii="Times New Roman" w:hAnsi="Times New Roman"/>
          <w:sz w:val="24"/>
          <w:szCs w:val="24"/>
        </w:rPr>
        <w:t xml:space="preserve">generally used is </w:t>
      </w:r>
      <w:r w:rsidRPr="00962ECC">
        <w:rPr>
          <w:rFonts w:ascii="Times New Roman" w:hAnsi="Times New Roman"/>
          <w:sz w:val="24"/>
          <w:szCs w:val="24"/>
        </w:rPr>
        <w:t xml:space="preserve">NIH Privacy Act Systems of </w:t>
      </w:r>
      <w:r w:rsidRPr="00962ECC">
        <w:rPr>
          <w:rFonts w:ascii="Times New Roman" w:hAnsi="Times New Roman"/>
          <w:sz w:val="24"/>
          <w:szCs w:val="24"/>
        </w:rPr>
        <w:t>Record 09-25-0156; “Records of Participants in Programs and Respondents in Surveys Used to Evaluate Programs of the Public Health Service, HHS/PHS/NIH/OD.”</w:t>
      </w:r>
    </w:p>
    <w:bookmarkEnd w:id="8"/>
    <w:p w:rsidR="00CF5120" w:rsidRPr="006A7044" w:rsidP="00300DDD" w14:paraId="03459F45" w14:textId="7BEBA9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Style w:val="Hyperlink"/>
          <w:rFonts w:ascii="Times New Roman" w:hAnsi="Times New Roman"/>
          <w:color w:val="auto"/>
          <w:sz w:val="24"/>
          <w:szCs w:val="24"/>
          <w:u w:val="none"/>
        </w:rPr>
      </w:pPr>
      <w:r w:rsidRPr="00753CFF">
        <w:rPr>
          <w:rFonts w:ascii="Times New Roman" w:hAnsi="Times New Roman"/>
          <w:sz w:val="24"/>
          <w:szCs w:val="24"/>
        </w:rPr>
        <w:tab/>
      </w:r>
      <w:r w:rsidRPr="006A7044" w:rsidR="00C048DA">
        <w:rPr>
          <w:rFonts w:ascii="Times New Roman" w:hAnsi="Times New Roman"/>
          <w:sz w:val="24"/>
          <w:szCs w:val="24"/>
        </w:rPr>
        <w:t xml:space="preserve"> </w:t>
      </w:r>
    </w:p>
    <w:p w:rsidR="00085760" w:rsidRPr="00565F8B" w:rsidP="0023769C" w14:paraId="20FBCD9F" w14:textId="76E598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85760" w:rsidRPr="00085760" w:rsidP="000842FD" w14:paraId="770BFF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A.11.  </w:t>
      </w:r>
      <w:r w:rsidR="009541D8">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rsidR="00085760" w:rsidRPr="00085760" w:rsidP="00300DDD" w14:paraId="22440EE8" w14:textId="3425C9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 xml:space="preserve">As mentioned in sections A.2. and A.10. </w:t>
      </w:r>
      <w:r w:rsidRPr="00085760">
        <w:rPr>
          <w:rFonts w:ascii="Times New Roman" w:hAnsi="Times New Roman"/>
          <w:sz w:val="24"/>
          <w:szCs w:val="24"/>
        </w:rPr>
        <w:t>above</w:t>
      </w:r>
      <w:r w:rsidRPr="00085760">
        <w:rPr>
          <w:rFonts w:ascii="Times New Roman" w:hAnsi="Times New Roman"/>
          <w:sz w:val="24"/>
          <w:szCs w:val="24"/>
        </w:rPr>
        <w:t xml:space="preserve">, some studies require </w:t>
      </w:r>
      <w:r w:rsidR="00BF4DF0">
        <w:rPr>
          <w:rFonts w:ascii="Times New Roman" w:hAnsi="Times New Roman"/>
          <w:sz w:val="24"/>
          <w:szCs w:val="24"/>
        </w:rPr>
        <w:t>including</w:t>
      </w:r>
      <w:r w:rsidRPr="00085760">
        <w:rPr>
          <w:rFonts w:ascii="Times New Roman" w:hAnsi="Times New Roman"/>
          <w:sz w:val="24"/>
          <w:szCs w:val="24"/>
        </w:rPr>
        <w:t xml:space="preserve"> people who match </w:t>
      </w:r>
      <w:r w:rsidR="00262712">
        <w:rPr>
          <w:rFonts w:ascii="Times New Roman" w:hAnsi="Times New Roman"/>
          <w:sz w:val="24"/>
          <w:szCs w:val="24"/>
        </w:rPr>
        <w:t xml:space="preserve">the </w:t>
      </w:r>
      <w:r w:rsidRPr="00085760">
        <w:rPr>
          <w:rFonts w:ascii="Times New Roman" w:hAnsi="Times New Roman"/>
          <w:sz w:val="24"/>
          <w:szCs w:val="24"/>
        </w:rPr>
        <w:t>selected characteristics of the target audience that N</w:t>
      </w:r>
      <w:r w:rsidR="00526F59">
        <w:rPr>
          <w:rFonts w:ascii="Times New Roman" w:hAnsi="Times New Roman"/>
          <w:sz w:val="24"/>
          <w:szCs w:val="24"/>
        </w:rPr>
        <w:t>IH</w:t>
      </w:r>
      <w:r w:rsidRPr="00085760">
        <w:rPr>
          <w:rFonts w:ascii="Times New Roman" w:hAnsi="Times New Roman"/>
          <w:sz w:val="24"/>
          <w:szCs w:val="24"/>
        </w:rPr>
        <w:t xml:space="preserve"> is trying to reach.  </w:t>
      </w:r>
      <w:r w:rsidRPr="0018691E" w:rsidR="00EE3A40">
        <w:rPr>
          <w:rFonts w:ascii="Times New Roman" w:hAnsi="Times New Roman"/>
          <w:sz w:val="24"/>
          <w:szCs w:val="24"/>
        </w:rPr>
        <w:t xml:space="preserve">Therefore, personally identifiable information (PII) such as </w:t>
      </w:r>
      <w:r w:rsidRPr="0018691E">
        <w:rPr>
          <w:rFonts w:ascii="Times New Roman" w:hAnsi="Times New Roman"/>
          <w:sz w:val="24"/>
          <w:szCs w:val="24"/>
        </w:rPr>
        <w:t>race/ethnicity, income, education</w:t>
      </w:r>
      <w:r w:rsidR="00262712">
        <w:rPr>
          <w:rFonts w:ascii="Times New Roman" w:hAnsi="Times New Roman"/>
          <w:sz w:val="24"/>
          <w:szCs w:val="24"/>
        </w:rPr>
        <w:t>,</w:t>
      </w:r>
      <w:r w:rsidRPr="0018691E">
        <w:rPr>
          <w:rFonts w:ascii="Times New Roman" w:hAnsi="Times New Roman"/>
          <w:sz w:val="24"/>
          <w:szCs w:val="24"/>
        </w:rPr>
        <w:t xml:space="preserve"> </w:t>
      </w:r>
      <w:r w:rsidR="00BF4DF0">
        <w:rPr>
          <w:rFonts w:ascii="Times New Roman" w:hAnsi="Times New Roman"/>
          <w:sz w:val="24"/>
          <w:szCs w:val="24"/>
        </w:rPr>
        <w:t>and</w:t>
      </w:r>
      <w:r w:rsidRPr="0018691E">
        <w:rPr>
          <w:rFonts w:ascii="Times New Roman" w:hAnsi="Times New Roman"/>
          <w:sz w:val="24"/>
          <w:szCs w:val="24"/>
        </w:rPr>
        <w:t xml:space="preserve"> </w:t>
      </w:r>
      <w:r w:rsidRPr="0018691E" w:rsidR="00EE3A40">
        <w:rPr>
          <w:rFonts w:ascii="Times New Roman" w:hAnsi="Times New Roman"/>
          <w:sz w:val="24"/>
          <w:szCs w:val="24"/>
        </w:rPr>
        <w:t>medical/</w:t>
      </w:r>
      <w:r w:rsidRPr="0018691E">
        <w:rPr>
          <w:rFonts w:ascii="Times New Roman" w:hAnsi="Times New Roman"/>
          <w:sz w:val="24"/>
          <w:szCs w:val="24"/>
        </w:rPr>
        <w:t xml:space="preserve">health status </w:t>
      </w:r>
      <w:r w:rsidR="00BF4DF0">
        <w:rPr>
          <w:rFonts w:ascii="Times New Roman" w:hAnsi="Times New Roman"/>
          <w:sz w:val="24"/>
          <w:szCs w:val="24"/>
        </w:rPr>
        <w:t>must</w:t>
      </w:r>
      <w:r w:rsidRPr="0018691E" w:rsidR="00EE3A40">
        <w:rPr>
          <w:rFonts w:ascii="Times New Roman" w:hAnsi="Times New Roman"/>
          <w:sz w:val="24"/>
          <w:szCs w:val="24"/>
        </w:rPr>
        <w:t xml:space="preserve"> be asked </w:t>
      </w:r>
      <w:r w:rsidRPr="0018691E">
        <w:rPr>
          <w:rFonts w:ascii="Times New Roman" w:hAnsi="Times New Roman"/>
          <w:sz w:val="24"/>
          <w:szCs w:val="24"/>
        </w:rPr>
        <w:t>on the initial screening question</w:t>
      </w:r>
      <w:r w:rsidRPr="0018691E">
        <w:rPr>
          <w:rFonts w:ascii="Times New Roman" w:hAnsi="Times New Roman"/>
          <w:sz w:val="24"/>
          <w:szCs w:val="24"/>
        </w:rPr>
        <w:softHyphen/>
        <w:t>naire used for recruiting.</w:t>
      </w:r>
      <w:r w:rsidRPr="00085760">
        <w:rPr>
          <w:rFonts w:ascii="Times New Roman" w:hAnsi="Times New Roman"/>
          <w:sz w:val="24"/>
          <w:szCs w:val="24"/>
        </w:rPr>
        <w:t xml:space="preserve">  Potential participants are informed that this is being done to </w:t>
      </w:r>
      <w:r w:rsidR="00262712">
        <w:rPr>
          <w:rFonts w:ascii="Times New Roman" w:hAnsi="Times New Roman"/>
          <w:sz w:val="24"/>
          <w:szCs w:val="24"/>
        </w:rPr>
        <w:t>ensure</w:t>
      </w:r>
      <w:r w:rsidRPr="00085760">
        <w:rPr>
          <w:rFonts w:ascii="Times New Roman" w:hAnsi="Times New Roman"/>
          <w:sz w:val="24"/>
          <w:szCs w:val="24"/>
        </w:rPr>
        <w:t xml:space="preserve"> that N</w:t>
      </w:r>
      <w:r w:rsidR="00526F59">
        <w:rPr>
          <w:rFonts w:ascii="Times New Roman" w:hAnsi="Times New Roman"/>
          <w:sz w:val="24"/>
          <w:szCs w:val="24"/>
        </w:rPr>
        <w:t>IH</w:t>
      </w:r>
      <w:r w:rsidRPr="00085760">
        <w:rPr>
          <w:rFonts w:ascii="Times New Roman" w:hAnsi="Times New Roman"/>
          <w:sz w:val="24"/>
          <w:szCs w:val="24"/>
        </w:rPr>
        <w:t xml:space="preserve"> speaks with the kinds of people for whom its messages are intended.  Again, respondents are assured that the informa</w:t>
      </w:r>
      <w:r w:rsidRPr="00085760">
        <w:rPr>
          <w:rFonts w:ascii="Times New Roman" w:hAnsi="Times New Roman"/>
          <w:sz w:val="24"/>
          <w:szCs w:val="24"/>
        </w:rPr>
        <w:softHyphen/>
        <w:t xml:space="preserve">tion is voluntary and will be treated as </w:t>
      </w:r>
      <w:r w:rsidR="00DB4B14">
        <w:rPr>
          <w:rFonts w:ascii="Times New Roman" w:hAnsi="Times New Roman"/>
          <w:sz w:val="24"/>
          <w:szCs w:val="24"/>
        </w:rPr>
        <w:t>private</w:t>
      </w:r>
      <w:r w:rsidRPr="00085760">
        <w:rPr>
          <w:rFonts w:ascii="Times New Roman" w:hAnsi="Times New Roman"/>
          <w:sz w:val="24"/>
          <w:szCs w:val="24"/>
        </w:rPr>
        <w:t xml:space="preserve">.  </w:t>
      </w:r>
      <w:r w:rsidRPr="00526F59">
        <w:rPr>
          <w:rFonts w:ascii="Times New Roman" w:hAnsi="Times New Roman"/>
          <w:sz w:val="24"/>
          <w:szCs w:val="24"/>
          <w:highlight w:val="yellow"/>
        </w:rPr>
        <w:t xml:space="preserve">All information on race/ethnicity will comply fully with the standards of OMB Statistical Policy Directive No. 15, </w:t>
      </w:r>
      <w:r w:rsidRPr="00526F59" w:rsidR="00526F59">
        <w:rPr>
          <w:rFonts w:ascii="Times New Roman" w:hAnsi="Times New Roman"/>
          <w:sz w:val="24"/>
          <w:szCs w:val="24"/>
          <w:highlight w:val="yellow"/>
        </w:rPr>
        <w:t>March</w:t>
      </w:r>
      <w:r w:rsidRPr="00526F59">
        <w:rPr>
          <w:rFonts w:ascii="Times New Roman" w:hAnsi="Times New Roman"/>
          <w:sz w:val="24"/>
          <w:szCs w:val="24"/>
          <w:highlight w:val="yellow"/>
        </w:rPr>
        <w:t xml:space="preserve"> </w:t>
      </w:r>
      <w:r w:rsidRPr="00526F59" w:rsidR="00526F59">
        <w:rPr>
          <w:rFonts w:ascii="Times New Roman" w:hAnsi="Times New Roman"/>
          <w:sz w:val="24"/>
          <w:szCs w:val="24"/>
          <w:highlight w:val="yellow"/>
        </w:rPr>
        <w:t>2024 and Executive Order 14168</w:t>
      </w:r>
      <w:r w:rsidRPr="00526F59" w:rsidR="00944A6A">
        <w:rPr>
          <w:rFonts w:ascii="Times New Roman" w:hAnsi="Times New Roman"/>
          <w:sz w:val="24"/>
          <w:szCs w:val="24"/>
          <w:highlight w:val="yellow"/>
        </w:rPr>
        <w:t>.</w:t>
      </w:r>
      <w:hyperlink w:history="1"/>
    </w:p>
    <w:p w:rsidR="00CF5120" w:rsidRPr="00085760" w:rsidP="00526F59" w14:paraId="7C162DBB" w14:textId="44E4E2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ab/>
      </w:r>
    </w:p>
    <w:p w:rsidR="00825285" w:rsidRPr="005B6349" w:rsidP="000842FD" w14:paraId="79E56175" w14:textId="08B258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 xml:space="preserve">A.12. </w:t>
      </w:r>
      <w:r w:rsidR="009541D8">
        <w:rPr>
          <w:rFonts w:ascii="Times New Roman" w:hAnsi="Times New Roman"/>
          <w:b/>
          <w:bCs/>
          <w:sz w:val="24"/>
          <w:szCs w:val="24"/>
        </w:rPr>
        <w:tab/>
      </w:r>
      <w:r w:rsidR="00842A6C">
        <w:rPr>
          <w:rFonts w:ascii="Times New Roman" w:hAnsi="Times New Roman"/>
          <w:b/>
          <w:bCs/>
          <w:sz w:val="24"/>
          <w:szCs w:val="24"/>
          <w:u w:val="single"/>
        </w:rPr>
        <w:t>Estimates</w:t>
      </w:r>
      <w:r w:rsidRPr="005B6349">
        <w:rPr>
          <w:rFonts w:ascii="Times New Roman" w:hAnsi="Times New Roman"/>
          <w:b/>
          <w:bCs/>
          <w:sz w:val="24"/>
          <w:szCs w:val="24"/>
          <w:u w:val="single"/>
        </w:rPr>
        <w:t xml:space="preserve"> </w:t>
      </w:r>
      <w:r w:rsidRPr="005B6349" w:rsidR="005160AB">
        <w:rPr>
          <w:rFonts w:ascii="Times New Roman" w:hAnsi="Times New Roman"/>
          <w:b/>
          <w:bCs/>
          <w:sz w:val="24"/>
          <w:szCs w:val="24"/>
          <w:u w:val="single"/>
        </w:rPr>
        <w:t xml:space="preserve">of </w:t>
      </w:r>
      <w:r w:rsidR="005160AB">
        <w:rPr>
          <w:rFonts w:ascii="Times New Roman" w:hAnsi="Times New Roman"/>
          <w:b/>
          <w:bCs/>
          <w:sz w:val="24"/>
          <w:szCs w:val="24"/>
          <w:u w:val="single"/>
        </w:rPr>
        <w:t xml:space="preserve">Hour Burden Including </w:t>
      </w:r>
      <w:r w:rsidR="00842A6C">
        <w:rPr>
          <w:rFonts w:ascii="Times New Roman" w:hAnsi="Times New Roman"/>
          <w:b/>
          <w:bCs/>
          <w:sz w:val="24"/>
          <w:szCs w:val="24"/>
          <w:u w:val="single"/>
        </w:rPr>
        <w:t>A</w:t>
      </w:r>
      <w:r w:rsidRPr="005B6349">
        <w:rPr>
          <w:rFonts w:ascii="Times New Roman" w:hAnsi="Times New Roman"/>
          <w:b/>
          <w:bCs/>
          <w:sz w:val="24"/>
          <w:szCs w:val="24"/>
          <w:u w:val="single"/>
        </w:rPr>
        <w:t xml:space="preserve">nnualized </w:t>
      </w:r>
      <w:r w:rsidR="005160AB">
        <w:rPr>
          <w:rFonts w:ascii="Times New Roman" w:hAnsi="Times New Roman"/>
          <w:b/>
          <w:bCs/>
          <w:sz w:val="24"/>
          <w:szCs w:val="24"/>
          <w:u w:val="single"/>
        </w:rPr>
        <w:t>Hourly Costs</w:t>
      </w:r>
    </w:p>
    <w:p w:rsidR="00C71BEE" w:rsidP="00FD0DA3" w14:paraId="004750E7" w14:textId="42C71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407F1B">
        <w:rPr>
          <w:rFonts w:ascii="Times New Roman" w:hAnsi="Times New Roman"/>
          <w:sz w:val="24"/>
          <w:szCs w:val="24"/>
        </w:rPr>
        <w:t xml:space="preserve">It is estimated that on an annual basis, the total number of respondents is </w:t>
      </w:r>
      <w:r w:rsidRPr="00407F1B" w:rsidR="002415F5">
        <w:rPr>
          <w:rFonts w:ascii="Times New Roman" w:hAnsi="Times New Roman"/>
          <w:sz w:val="24"/>
          <w:szCs w:val="24"/>
        </w:rPr>
        <w:t>18</w:t>
      </w:r>
      <w:r w:rsidRPr="00407F1B" w:rsidR="00716808">
        <w:rPr>
          <w:rFonts w:ascii="Times New Roman" w:hAnsi="Times New Roman"/>
          <w:sz w:val="24"/>
          <w:szCs w:val="24"/>
        </w:rPr>
        <w:t>,000</w:t>
      </w:r>
      <w:r w:rsidRPr="00407F1B" w:rsidR="00601FE9">
        <w:rPr>
          <w:rFonts w:ascii="Times New Roman" w:hAnsi="Times New Roman"/>
          <w:sz w:val="24"/>
          <w:szCs w:val="24"/>
        </w:rPr>
        <w:t xml:space="preserve">, </w:t>
      </w:r>
      <w:r w:rsidRPr="00407F1B">
        <w:rPr>
          <w:rFonts w:ascii="Times New Roman" w:hAnsi="Times New Roman"/>
          <w:sz w:val="24"/>
          <w:szCs w:val="24"/>
        </w:rPr>
        <w:t xml:space="preserve">and the </w:t>
      </w:r>
      <w:r w:rsidR="00262712">
        <w:rPr>
          <w:rFonts w:ascii="Times New Roman" w:hAnsi="Times New Roman"/>
          <w:sz w:val="24"/>
          <w:szCs w:val="24"/>
        </w:rPr>
        <w:t>yearly</w:t>
      </w:r>
      <w:r w:rsidRPr="00407F1B">
        <w:rPr>
          <w:rFonts w:ascii="Times New Roman" w:hAnsi="Times New Roman"/>
          <w:sz w:val="24"/>
          <w:szCs w:val="24"/>
        </w:rPr>
        <w:t xml:space="preserve"> estimated burden </w:t>
      </w:r>
      <w:r w:rsidRPr="00407F1B" w:rsidR="00407F1B">
        <w:rPr>
          <w:rFonts w:ascii="Times New Roman" w:hAnsi="Times New Roman"/>
          <w:sz w:val="24"/>
          <w:szCs w:val="24"/>
        </w:rPr>
        <w:t>is</w:t>
      </w:r>
      <w:r w:rsidRPr="00407F1B">
        <w:rPr>
          <w:rFonts w:ascii="Times New Roman" w:hAnsi="Times New Roman"/>
          <w:sz w:val="24"/>
          <w:szCs w:val="24"/>
        </w:rPr>
        <w:t xml:space="preserve"> </w:t>
      </w:r>
      <w:r w:rsidRPr="00407F1B" w:rsidR="00601FE9">
        <w:rPr>
          <w:rFonts w:ascii="Times New Roman" w:hAnsi="Times New Roman"/>
          <w:sz w:val="24"/>
          <w:szCs w:val="24"/>
        </w:rPr>
        <w:t xml:space="preserve">13,500 </w:t>
      </w:r>
      <w:r w:rsidRPr="00407F1B">
        <w:rPr>
          <w:rFonts w:ascii="Times New Roman" w:hAnsi="Times New Roman"/>
          <w:sz w:val="24"/>
          <w:szCs w:val="24"/>
        </w:rPr>
        <w:t xml:space="preserve">hours. </w:t>
      </w:r>
      <w:r w:rsidRPr="00407F1B" w:rsidR="0067767B">
        <w:rPr>
          <w:rFonts w:ascii="Times New Roman" w:hAnsi="Times New Roman"/>
          <w:sz w:val="24"/>
          <w:szCs w:val="24"/>
        </w:rPr>
        <w:t xml:space="preserve">The types of respondents may </w:t>
      </w:r>
      <w:r w:rsidRPr="00407F1B" w:rsidR="0054787C">
        <w:rPr>
          <w:rFonts w:ascii="Times New Roman" w:hAnsi="Times New Roman"/>
          <w:sz w:val="24"/>
          <w:szCs w:val="24"/>
        </w:rPr>
        <w:t>include b</w:t>
      </w:r>
      <w:r w:rsidR="0054787C">
        <w:rPr>
          <w:rFonts w:ascii="Times New Roman" w:hAnsi="Times New Roman"/>
          <w:sz w:val="24"/>
          <w:szCs w:val="24"/>
        </w:rPr>
        <w:t>ut</w:t>
      </w:r>
      <w:r w:rsidR="0067767B">
        <w:rPr>
          <w:rFonts w:ascii="Times New Roman" w:hAnsi="Times New Roman"/>
          <w:sz w:val="24"/>
          <w:szCs w:val="24"/>
        </w:rPr>
        <w:t xml:space="preserve"> are not limited to the </w:t>
      </w:r>
      <w:r w:rsidR="0067767B">
        <w:rPr>
          <w:rFonts w:ascii="Times New Roman" w:hAnsi="Times New Roman"/>
          <w:sz w:val="24"/>
          <w:szCs w:val="24"/>
        </w:rPr>
        <w:t>g</w:t>
      </w:r>
      <w:r w:rsidRPr="0067767B" w:rsidR="0067767B">
        <w:rPr>
          <w:rFonts w:ascii="Times New Roman" w:hAnsi="Times New Roman"/>
          <w:sz w:val="24"/>
          <w:szCs w:val="24"/>
        </w:rPr>
        <w:t xml:space="preserve">eneral </w:t>
      </w:r>
      <w:r w:rsidR="0067767B">
        <w:rPr>
          <w:rFonts w:ascii="Times New Roman" w:hAnsi="Times New Roman"/>
          <w:sz w:val="24"/>
          <w:szCs w:val="24"/>
        </w:rPr>
        <w:t>p</w:t>
      </w:r>
      <w:r w:rsidRPr="0067767B" w:rsidR="0067767B">
        <w:rPr>
          <w:rFonts w:ascii="Times New Roman" w:hAnsi="Times New Roman"/>
          <w:sz w:val="24"/>
          <w:szCs w:val="24"/>
        </w:rPr>
        <w:t>ublic</w:t>
      </w:r>
      <w:r w:rsidRPr="0067767B" w:rsidR="0067767B">
        <w:rPr>
          <w:rFonts w:ascii="Times New Roman" w:hAnsi="Times New Roman"/>
          <w:sz w:val="24"/>
          <w:szCs w:val="24"/>
        </w:rPr>
        <w:t xml:space="preserve"> (</w:t>
      </w:r>
      <w:r w:rsidR="00526F59">
        <w:rPr>
          <w:rFonts w:ascii="Times New Roman" w:hAnsi="Times New Roman"/>
          <w:sz w:val="24"/>
          <w:szCs w:val="24"/>
        </w:rPr>
        <w:t xml:space="preserve">grantees, organizations, </w:t>
      </w:r>
      <w:r w:rsidRPr="0067767B" w:rsidR="0067767B">
        <w:rPr>
          <w:rFonts w:ascii="Times New Roman" w:hAnsi="Times New Roman"/>
          <w:sz w:val="24"/>
          <w:szCs w:val="24"/>
        </w:rPr>
        <w:t xml:space="preserve">patients, survivors, </w:t>
      </w:r>
      <w:r w:rsidR="0067767B">
        <w:rPr>
          <w:rFonts w:ascii="Times New Roman" w:hAnsi="Times New Roman"/>
          <w:sz w:val="24"/>
          <w:szCs w:val="24"/>
        </w:rPr>
        <w:t xml:space="preserve">family </w:t>
      </w:r>
      <w:r w:rsidRPr="0067767B" w:rsidR="0067767B">
        <w:rPr>
          <w:rFonts w:ascii="Times New Roman" w:hAnsi="Times New Roman"/>
          <w:sz w:val="24"/>
          <w:szCs w:val="24"/>
        </w:rPr>
        <w:t xml:space="preserve">members), </w:t>
      </w:r>
      <w:r w:rsidR="0067767B">
        <w:rPr>
          <w:rFonts w:ascii="Times New Roman" w:hAnsi="Times New Roman"/>
          <w:sz w:val="24"/>
          <w:szCs w:val="24"/>
        </w:rPr>
        <w:t>p</w:t>
      </w:r>
      <w:r w:rsidRPr="0067767B" w:rsidR="0067767B">
        <w:rPr>
          <w:rFonts w:ascii="Times New Roman" w:hAnsi="Times New Roman"/>
          <w:sz w:val="24"/>
          <w:szCs w:val="24"/>
        </w:rPr>
        <w:t xml:space="preserve">hysicians, </w:t>
      </w:r>
      <w:r w:rsidR="0067767B">
        <w:rPr>
          <w:rFonts w:ascii="Times New Roman" w:hAnsi="Times New Roman"/>
          <w:sz w:val="24"/>
          <w:szCs w:val="24"/>
        </w:rPr>
        <w:t>o</w:t>
      </w:r>
      <w:r w:rsidRPr="0067767B" w:rsidR="0067767B">
        <w:rPr>
          <w:rFonts w:ascii="Times New Roman" w:hAnsi="Times New Roman"/>
          <w:sz w:val="24"/>
          <w:szCs w:val="24"/>
        </w:rPr>
        <w:t xml:space="preserve">ther </w:t>
      </w:r>
      <w:r w:rsidR="0067767B">
        <w:rPr>
          <w:rFonts w:ascii="Times New Roman" w:hAnsi="Times New Roman"/>
          <w:sz w:val="24"/>
          <w:szCs w:val="24"/>
        </w:rPr>
        <w:t>h</w:t>
      </w:r>
      <w:r w:rsidRPr="0067767B" w:rsidR="0067767B">
        <w:rPr>
          <w:rFonts w:ascii="Times New Roman" w:hAnsi="Times New Roman"/>
          <w:sz w:val="24"/>
          <w:szCs w:val="24"/>
        </w:rPr>
        <w:t xml:space="preserve">ealth </w:t>
      </w:r>
      <w:r w:rsidR="0067767B">
        <w:rPr>
          <w:rFonts w:ascii="Times New Roman" w:hAnsi="Times New Roman"/>
          <w:sz w:val="24"/>
          <w:szCs w:val="24"/>
        </w:rPr>
        <w:t>p</w:t>
      </w:r>
      <w:r w:rsidRPr="0067767B" w:rsidR="0067767B">
        <w:rPr>
          <w:rFonts w:ascii="Times New Roman" w:hAnsi="Times New Roman"/>
          <w:sz w:val="24"/>
          <w:szCs w:val="24"/>
        </w:rPr>
        <w:t xml:space="preserve">rofessionals, </w:t>
      </w:r>
      <w:r w:rsidRPr="00DA410E" w:rsidR="0067767B">
        <w:rPr>
          <w:rFonts w:ascii="Times New Roman" w:hAnsi="Times New Roman"/>
          <w:sz w:val="24"/>
          <w:szCs w:val="24"/>
        </w:rPr>
        <w:t xml:space="preserve">and researchers.  The Category of Respondents will primarily be Individuals and Households, but at times may include Local, State, or Federal Government and the Private Sector.  </w:t>
      </w:r>
      <w:r w:rsidRPr="00DA410E" w:rsidR="00825285">
        <w:rPr>
          <w:rFonts w:ascii="Times New Roman" w:hAnsi="Times New Roman"/>
          <w:sz w:val="24"/>
          <w:szCs w:val="24"/>
        </w:rPr>
        <w:t>The number of</w:t>
      </w:r>
      <w:r w:rsidRPr="005B6349" w:rsidR="00825285">
        <w:rPr>
          <w:rFonts w:ascii="Times New Roman" w:hAnsi="Times New Roman"/>
          <w:sz w:val="24"/>
          <w:szCs w:val="24"/>
        </w:rPr>
        <w:t xml:space="preserve"> respondents included in each </w:t>
      </w:r>
      <w:r w:rsidRPr="0018691E" w:rsidR="00893C48">
        <w:rPr>
          <w:rFonts w:ascii="Times New Roman" w:hAnsi="Times New Roman"/>
          <w:sz w:val="24"/>
          <w:szCs w:val="24"/>
        </w:rPr>
        <w:t>sub-study</w:t>
      </w:r>
      <w:r w:rsidRPr="005B6349" w:rsidR="00825285">
        <w:rPr>
          <w:rFonts w:ascii="Times New Roman" w:hAnsi="Times New Roman"/>
          <w:sz w:val="24"/>
          <w:szCs w:val="24"/>
        </w:rPr>
        <w:t xml:space="preserve"> will vary depending o</w:t>
      </w:r>
      <w:r w:rsidR="00893C48">
        <w:rPr>
          <w:rFonts w:ascii="Times New Roman" w:hAnsi="Times New Roman"/>
          <w:sz w:val="24"/>
          <w:szCs w:val="24"/>
        </w:rPr>
        <w:t xml:space="preserve">n the </w:t>
      </w:r>
      <w:r w:rsidR="009B1419">
        <w:rPr>
          <w:rFonts w:ascii="Times New Roman" w:hAnsi="Times New Roman"/>
          <w:sz w:val="24"/>
          <w:szCs w:val="24"/>
        </w:rPr>
        <w:t xml:space="preserve">target audience and the </w:t>
      </w:r>
      <w:r w:rsidR="00893C48">
        <w:rPr>
          <w:rFonts w:ascii="Times New Roman" w:hAnsi="Times New Roman"/>
          <w:sz w:val="24"/>
          <w:szCs w:val="24"/>
        </w:rPr>
        <w:t xml:space="preserve">nature of the </w:t>
      </w:r>
      <w:r w:rsidRPr="005B6349" w:rsidR="00825285">
        <w:rPr>
          <w:rFonts w:ascii="Times New Roman" w:hAnsi="Times New Roman"/>
          <w:sz w:val="24"/>
          <w:szCs w:val="24"/>
        </w:rPr>
        <w:t>message</w:t>
      </w:r>
      <w:r w:rsidR="00893C48">
        <w:rPr>
          <w:rFonts w:ascii="Times New Roman" w:hAnsi="Times New Roman"/>
          <w:sz w:val="24"/>
          <w:szCs w:val="24"/>
        </w:rPr>
        <w:t>/material</w:t>
      </w:r>
      <w:r w:rsidR="00773CF6">
        <w:rPr>
          <w:rFonts w:ascii="Times New Roman" w:hAnsi="Times New Roman"/>
          <w:sz w:val="24"/>
          <w:szCs w:val="24"/>
        </w:rPr>
        <w:t>s</w:t>
      </w:r>
      <w:r w:rsidR="00893C48">
        <w:rPr>
          <w:rFonts w:ascii="Times New Roman" w:hAnsi="Times New Roman"/>
          <w:sz w:val="24"/>
          <w:szCs w:val="24"/>
        </w:rPr>
        <w:t>/program</w:t>
      </w:r>
      <w:r w:rsidR="009B1419">
        <w:rPr>
          <w:rFonts w:ascii="Times New Roman" w:hAnsi="Times New Roman"/>
          <w:sz w:val="24"/>
          <w:szCs w:val="24"/>
        </w:rPr>
        <w:t xml:space="preserve"> being </w:t>
      </w:r>
      <w:r w:rsidR="00893C48">
        <w:rPr>
          <w:rFonts w:ascii="Times New Roman" w:hAnsi="Times New Roman"/>
          <w:sz w:val="24"/>
          <w:szCs w:val="24"/>
        </w:rPr>
        <w:t>assessed</w:t>
      </w:r>
      <w:r w:rsidR="004A5021">
        <w:rPr>
          <w:rFonts w:ascii="Times New Roman" w:hAnsi="Times New Roman"/>
          <w:sz w:val="24"/>
          <w:szCs w:val="24"/>
        </w:rPr>
        <w:t xml:space="preserve">.  </w:t>
      </w:r>
      <w:r w:rsidR="00B77D9D">
        <w:rPr>
          <w:rFonts w:ascii="Times New Roman" w:hAnsi="Times New Roman"/>
          <w:sz w:val="24"/>
          <w:szCs w:val="24"/>
        </w:rPr>
        <w:t xml:space="preserve">Typically, the frequency of responses per </w:t>
      </w:r>
      <w:r w:rsidR="00262712">
        <w:rPr>
          <w:rFonts w:ascii="Times New Roman" w:hAnsi="Times New Roman"/>
          <w:sz w:val="24"/>
          <w:szCs w:val="24"/>
        </w:rPr>
        <w:t>respondent</w:t>
      </w:r>
      <w:r w:rsidR="00B77D9D">
        <w:rPr>
          <w:rFonts w:ascii="Times New Roman" w:hAnsi="Times New Roman"/>
          <w:sz w:val="24"/>
          <w:szCs w:val="24"/>
        </w:rPr>
        <w:t xml:space="preserve"> would be once.  However</w:t>
      </w:r>
      <w:r w:rsidR="00262712">
        <w:rPr>
          <w:rFonts w:ascii="Times New Roman" w:hAnsi="Times New Roman"/>
          <w:sz w:val="24"/>
          <w:szCs w:val="24"/>
        </w:rPr>
        <w:t>,</w:t>
      </w:r>
      <w:r w:rsidR="00B77D9D">
        <w:rPr>
          <w:rFonts w:ascii="Times New Roman" w:hAnsi="Times New Roman"/>
          <w:sz w:val="24"/>
          <w:szCs w:val="24"/>
        </w:rPr>
        <w:t xml:space="preserve"> </w:t>
      </w:r>
      <w:r w:rsidR="006B2171">
        <w:rPr>
          <w:rFonts w:ascii="Times New Roman" w:hAnsi="Times New Roman"/>
          <w:sz w:val="24"/>
          <w:szCs w:val="24"/>
        </w:rPr>
        <w:t>respondents may occasionally</w:t>
      </w:r>
      <w:r w:rsidRPr="001F6C90" w:rsidR="00B77D9D">
        <w:rPr>
          <w:rFonts w:ascii="Times New Roman" w:hAnsi="Times New Roman"/>
          <w:sz w:val="24"/>
          <w:szCs w:val="24"/>
        </w:rPr>
        <w:t xml:space="preserve"> give permission for a follow-up survey or int</w:t>
      </w:r>
      <w:r w:rsidR="00B77D9D">
        <w:rPr>
          <w:rFonts w:ascii="Times New Roman" w:hAnsi="Times New Roman"/>
          <w:sz w:val="24"/>
          <w:szCs w:val="24"/>
        </w:rPr>
        <w:t>erview</w:t>
      </w:r>
      <w:r w:rsidR="00262712">
        <w:rPr>
          <w:rFonts w:ascii="Times New Roman" w:hAnsi="Times New Roman"/>
          <w:sz w:val="24"/>
          <w:szCs w:val="24"/>
        </w:rPr>
        <w:t>,</w:t>
      </w:r>
      <w:r w:rsidR="00B77D9D">
        <w:rPr>
          <w:rFonts w:ascii="Times New Roman" w:hAnsi="Times New Roman"/>
          <w:sz w:val="24"/>
          <w:szCs w:val="24"/>
        </w:rPr>
        <w:t xml:space="preserve"> and </w:t>
      </w:r>
      <w:r w:rsidRPr="001F6C90" w:rsidR="00B77D9D">
        <w:rPr>
          <w:rFonts w:ascii="Times New Roman" w:hAnsi="Times New Roman"/>
          <w:sz w:val="24"/>
          <w:szCs w:val="24"/>
        </w:rPr>
        <w:t>s</w:t>
      </w:r>
      <w:r w:rsidR="00B77D9D">
        <w:rPr>
          <w:rFonts w:ascii="Times New Roman" w:hAnsi="Times New Roman"/>
          <w:sz w:val="24"/>
          <w:szCs w:val="24"/>
        </w:rPr>
        <w:t>ince this</w:t>
      </w:r>
      <w:r w:rsidRPr="001F6C90" w:rsidR="00B77D9D">
        <w:rPr>
          <w:rFonts w:ascii="Times New Roman" w:hAnsi="Times New Roman"/>
          <w:sz w:val="24"/>
          <w:szCs w:val="24"/>
        </w:rPr>
        <w:t xml:space="preserve"> happens </w:t>
      </w:r>
      <w:r w:rsidR="00BF4DF0">
        <w:rPr>
          <w:rFonts w:ascii="Times New Roman" w:hAnsi="Times New Roman"/>
          <w:sz w:val="24"/>
          <w:szCs w:val="24"/>
        </w:rPr>
        <w:t>infrequently,</w:t>
      </w:r>
      <w:r w:rsidR="00024350">
        <w:rPr>
          <w:rFonts w:ascii="Times New Roman" w:hAnsi="Times New Roman"/>
          <w:sz w:val="24"/>
          <w:szCs w:val="24"/>
        </w:rPr>
        <w:t xml:space="preserve"> it is not accounted for in Table A.12-1.  </w:t>
      </w:r>
      <w:r w:rsidRPr="001F6C90" w:rsidR="00B77D9D">
        <w:rPr>
          <w:rFonts w:ascii="Times New Roman" w:hAnsi="Times New Roman"/>
          <w:sz w:val="24"/>
          <w:szCs w:val="24"/>
        </w:rPr>
        <w:t>Sub-study submissions will indicate when N</w:t>
      </w:r>
      <w:r w:rsidR="00526F59">
        <w:rPr>
          <w:rFonts w:ascii="Times New Roman" w:hAnsi="Times New Roman"/>
          <w:sz w:val="24"/>
          <w:szCs w:val="24"/>
        </w:rPr>
        <w:t>IH</w:t>
      </w:r>
      <w:r w:rsidRPr="001F6C90" w:rsidR="00B77D9D">
        <w:rPr>
          <w:rFonts w:ascii="Times New Roman" w:hAnsi="Times New Roman"/>
          <w:sz w:val="24"/>
          <w:szCs w:val="24"/>
        </w:rPr>
        <w:t xml:space="preserve"> anticipates follow-up surveys/interviews with a given number of respondents.  </w:t>
      </w:r>
      <w:r w:rsidRPr="00407F1B" w:rsidR="00B77D9D">
        <w:rPr>
          <w:rFonts w:ascii="Times New Roman" w:hAnsi="Times New Roman"/>
          <w:sz w:val="24"/>
          <w:szCs w:val="24"/>
        </w:rPr>
        <w:t xml:space="preserve">The average time, or </w:t>
      </w:r>
      <w:r w:rsidRPr="00407F1B" w:rsidR="004A5021">
        <w:rPr>
          <w:rFonts w:ascii="Times New Roman" w:hAnsi="Times New Roman"/>
          <w:sz w:val="24"/>
          <w:szCs w:val="24"/>
        </w:rPr>
        <w:t>burden per respondent</w:t>
      </w:r>
      <w:r w:rsidRPr="00407F1B" w:rsidR="00B77D9D">
        <w:rPr>
          <w:rFonts w:ascii="Times New Roman" w:hAnsi="Times New Roman"/>
          <w:sz w:val="24"/>
          <w:szCs w:val="24"/>
        </w:rPr>
        <w:t>,</w:t>
      </w:r>
      <w:r w:rsidRPr="00407F1B" w:rsidR="004A5021">
        <w:rPr>
          <w:rFonts w:ascii="Times New Roman" w:hAnsi="Times New Roman"/>
          <w:sz w:val="24"/>
          <w:szCs w:val="24"/>
        </w:rPr>
        <w:t xml:space="preserve"> can range from </w:t>
      </w:r>
      <w:r w:rsidRPr="00407F1B" w:rsidR="00B77D9D">
        <w:rPr>
          <w:rFonts w:ascii="Times New Roman" w:hAnsi="Times New Roman"/>
          <w:sz w:val="24"/>
          <w:szCs w:val="24"/>
        </w:rPr>
        <w:t xml:space="preserve">five </w:t>
      </w:r>
      <w:r w:rsidRPr="00407F1B" w:rsidR="004A5021">
        <w:rPr>
          <w:rFonts w:ascii="Times New Roman" w:hAnsi="Times New Roman"/>
          <w:sz w:val="24"/>
          <w:szCs w:val="24"/>
        </w:rPr>
        <w:t>minutes to 90 minutes</w:t>
      </w:r>
      <w:r w:rsidRPr="00407F1B" w:rsidR="00716808">
        <w:rPr>
          <w:rFonts w:ascii="Times New Roman" w:hAnsi="Times New Roman"/>
          <w:sz w:val="24"/>
          <w:szCs w:val="24"/>
        </w:rPr>
        <w:t>, with the average being around 45 minutes.</w:t>
      </w:r>
      <w:r w:rsidRPr="00407F1B" w:rsidR="00825285">
        <w:rPr>
          <w:rFonts w:ascii="Times New Roman" w:hAnsi="Times New Roman"/>
          <w:sz w:val="24"/>
          <w:szCs w:val="24"/>
        </w:rPr>
        <w:t xml:space="preserve">  </w:t>
      </w:r>
      <w:r w:rsidRPr="00407F1B" w:rsidR="004A5021">
        <w:rPr>
          <w:rFonts w:ascii="Times New Roman" w:hAnsi="Times New Roman"/>
          <w:sz w:val="24"/>
          <w:szCs w:val="24"/>
        </w:rPr>
        <w:t xml:space="preserve">It is also difficult to pinpoint the actual number of studies required during the next three years; we can only anticipate </w:t>
      </w:r>
      <w:r w:rsidR="00262712">
        <w:rPr>
          <w:rFonts w:ascii="Times New Roman" w:hAnsi="Times New Roman"/>
          <w:sz w:val="24"/>
          <w:szCs w:val="24"/>
        </w:rPr>
        <w:t>needs</w:t>
      </w:r>
      <w:r w:rsidRPr="00407F1B" w:rsidR="004A5021">
        <w:rPr>
          <w:rFonts w:ascii="Times New Roman" w:hAnsi="Times New Roman"/>
          <w:sz w:val="24"/>
          <w:szCs w:val="24"/>
        </w:rPr>
        <w:t xml:space="preserve"> based on past studies.</w:t>
      </w:r>
      <w:r w:rsidRPr="0018691E" w:rsidR="004A5021">
        <w:rPr>
          <w:rFonts w:ascii="Times New Roman" w:hAnsi="Times New Roman"/>
          <w:sz w:val="24"/>
          <w:szCs w:val="24"/>
        </w:rPr>
        <w:t xml:space="preserve"> </w:t>
      </w:r>
    </w:p>
    <w:p w:rsidR="006A55C5" w:rsidRPr="00C71BEE" w:rsidP="00EA3462" w14:paraId="716DF504" w14:textId="7E6453F7">
      <w:pPr>
        <w:autoSpaceDE/>
        <w:autoSpaceDN/>
        <w:adjustRightInd/>
        <w:rPr>
          <w:rFonts w:ascii="Times New Roman" w:hAnsi="Times New Roman"/>
          <w:sz w:val="24"/>
          <w:szCs w:val="24"/>
        </w:rPr>
      </w:pPr>
    </w:p>
    <w:p w:rsidR="00773CF6" w:rsidP="005160AB" w14:paraId="78933F56" w14:textId="4AF75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Times New Roman" w:hAnsi="Times New Roman"/>
          <w:b/>
          <w:sz w:val="24"/>
          <w:szCs w:val="24"/>
        </w:rPr>
      </w:pPr>
      <w:r>
        <w:rPr>
          <w:rFonts w:ascii="Times New Roman" w:hAnsi="Times New Roman"/>
          <w:b/>
          <w:sz w:val="24"/>
          <w:szCs w:val="24"/>
        </w:rPr>
        <w:t>Table A.12-</w:t>
      </w:r>
      <w:r w:rsidR="0053657A">
        <w:rPr>
          <w:rFonts w:ascii="Times New Roman" w:hAnsi="Times New Roman"/>
          <w:b/>
          <w:sz w:val="24"/>
          <w:szCs w:val="24"/>
        </w:rPr>
        <w:t xml:space="preserve">1 </w:t>
      </w:r>
      <w:r w:rsidR="005160AB">
        <w:rPr>
          <w:rFonts w:ascii="Times New Roman" w:hAnsi="Times New Roman"/>
          <w:b/>
          <w:sz w:val="24"/>
          <w:szCs w:val="24"/>
        </w:rPr>
        <w:t>Estimated Annualized Burden Hours</w:t>
      </w:r>
    </w:p>
    <w:tbl>
      <w:tblPr>
        <w:tblW w:w="9180" w:type="dxa"/>
        <w:tblInd w:w="-10" w:type="dxa"/>
        <w:tblLayout w:type="fixed"/>
        <w:tblCellMar>
          <w:left w:w="0" w:type="dxa"/>
          <w:right w:w="0" w:type="dxa"/>
        </w:tblCellMar>
        <w:tblLook w:val="0000"/>
      </w:tblPr>
      <w:tblGrid>
        <w:gridCol w:w="1800"/>
        <w:gridCol w:w="1620"/>
        <w:gridCol w:w="1530"/>
        <w:gridCol w:w="1440"/>
        <w:gridCol w:w="1260"/>
        <w:gridCol w:w="1530"/>
      </w:tblGrid>
      <w:tr w14:paraId="7854A824" w14:textId="77777777" w:rsidTr="00407F1B">
        <w:tblPrEx>
          <w:tblW w:w="9180" w:type="dxa"/>
          <w:tblInd w:w="-10" w:type="dxa"/>
          <w:tblLayout w:type="fixed"/>
          <w:tblCellMar>
            <w:left w:w="0" w:type="dxa"/>
            <w:right w:w="0" w:type="dxa"/>
          </w:tblCellMar>
          <w:tblLook w:val="0000"/>
        </w:tblPrEx>
        <w:trPr>
          <w:trHeight w:val="789"/>
        </w:trPr>
        <w:tc>
          <w:tcPr>
            <w:tcW w:w="1800" w:type="dxa"/>
            <w:tcBorders>
              <w:top w:val="single" w:sz="8" w:space="0" w:color="auto"/>
              <w:left w:val="single" w:sz="8" w:space="0" w:color="auto"/>
              <w:bottom w:val="single" w:sz="8" w:space="0" w:color="auto"/>
              <w:right w:val="single" w:sz="4" w:space="0" w:color="auto"/>
            </w:tcBorders>
            <w:vAlign w:val="center"/>
          </w:tcPr>
          <w:p w:rsidR="00CF198A" w:rsidRPr="00407F1B" w:rsidP="00275E84" w14:paraId="5D92DDBB" w14:textId="7C0486CB">
            <w:pPr>
              <w:autoSpaceDE/>
              <w:autoSpaceDN/>
              <w:adjustRightInd/>
              <w:jc w:val="center"/>
              <w:rPr>
                <w:rFonts w:ascii="Times New Roman" w:hAnsi="Times New Roman"/>
                <w:b/>
                <w:bCs/>
                <w:sz w:val="24"/>
                <w:szCs w:val="24"/>
              </w:rPr>
            </w:pPr>
            <w:r w:rsidRPr="00407F1B">
              <w:rPr>
                <w:rFonts w:ascii="Times New Roman" w:hAnsi="Times New Roman"/>
                <w:b/>
                <w:bCs/>
                <w:sz w:val="24"/>
                <w:szCs w:val="24"/>
              </w:rPr>
              <w:t>Form Name</w:t>
            </w:r>
          </w:p>
        </w:tc>
        <w:tc>
          <w:tcPr>
            <w:tcW w:w="162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CF198A" w:rsidRPr="00407F1B" w:rsidP="00275E84" w14:paraId="43F1B4E9" w14:textId="05B721A8">
            <w:pPr>
              <w:autoSpaceDE/>
              <w:autoSpaceDN/>
              <w:adjustRightInd/>
              <w:jc w:val="center"/>
              <w:rPr>
                <w:rFonts w:ascii="Times New Roman" w:hAnsi="Times New Roman"/>
                <w:b/>
                <w:bCs/>
                <w:sz w:val="24"/>
                <w:szCs w:val="24"/>
              </w:rPr>
            </w:pPr>
            <w:r w:rsidRPr="00407F1B">
              <w:rPr>
                <w:rFonts w:ascii="Times New Roman" w:hAnsi="Times New Roman"/>
                <w:b/>
                <w:bCs/>
                <w:sz w:val="24"/>
                <w:szCs w:val="24"/>
              </w:rPr>
              <w:t>Type of Respondents</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F198A" w:rsidRPr="00407F1B" w:rsidP="00275E84" w14:paraId="2AB6336D"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98A" w:rsidRPr="00407F1B" w:rsidP="00275E84" w14:paraId="2ADF9BD7"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Number of Responses per Respondent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98A" w:rsidRPr="00407F1B" w:rsidP="00275E84" w14:paraId="5F6A4645" w14:textId="77777777">
            <w:pPr>
              <w:autoSpaceDE/>
              <w:autoSpaceDN/>
              <w:adjustRightInd/>
              <w:jc w:val="center"/>
              <w:rPr>
                <w:rFonts w:ascii="Times New Roman" w:hAnsi="Times New Roman"/>
                <w:b/>
                <w:bCs/>
                <w:sz w:val="24"/>
                <w:szCs w:val="24"/>
              </w:rPr>
            </w:pPr>
            <w:bookmarkStart w:id="9" w:name="_Hlk13568550"/>
            <w:r w:rsidRPr="00407F1B">
              <w:rPr>
                <w:rFonts w:ascii="Times New Roman" w:hAnsi="Times New Roman"/>
                <w:b/>
                <w:bCs/>
                <w:sz w:val="24"/>
                <w:szCs w:val="24"/>
              </w:rPr>
              <w:t>Average Time Per Response</w:t>
            </w:r>
          </w:p>
          <w:p w:rsidR="00CF198A" w:rsidRPr="00407F1B" w:rsidP="00275E84" w14:paraId="0B16A3A1"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(in hours)</w:t>
            </w:r>
            <w:bookmarkEnd w:id="9"/>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98A" w:rsidRPr="00407F1B" w:rsidP="00275E84" w14:paraId="7E9013CD"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Total Annual Burden Hours</w:t>
            </w:r>
          </w:p>
        </w:tc>
      </w:tr>
      <w:tr w14:paraId="40D84B1C" w14:textId="77777777" w:rsidTr="00407F1B">
        <w:tblPrEx>
          <w:tblW w:w="9180" w:type="dxa"/>
          <w:tblInd w:w="-10" w:type="dxa"/>
          <w:tblLayout w:type="fixed"/>
          <w:tblCellMar>
            <w:left w:w="0" w:type="dxa"/>
            <w:right w:w="0" w:type="dxa"/>
          </w:tblCellMar>
          <w:tblLook w:val="0000"/>
        </w:tblPrEx>
        <w:trPr>
          <w:trHeight w:val="682"/>
        </w:trPr>
        <w:tc>
          <w:tcPr>
            <w:tcW w:w="1800" w:type="dxa"/>
            <w:tcBorders>
              <w:top w:val="nil"/>
              <w:left w:val="single" w:sz="8" w:space="0" w:color="auto"/>
              <w:bottom w:val="single" w:sz="8" w:space="0" w:color="auto"/>
              <w:right w:val="single" w:sz="4" w:space="0" w:color="auto"/>
            </w:tcBorders>
            <w:vAlign w:val="center"/>
          </w:tcPr>
          <w:p w:rsidR="00CF198A" w:rsidP="00412796" w14:paraId="547EAF9D" w14:textId="082BAE92">
            <w:pPr>
              <w:autoSpaceDE/>
              <w:autoSpaceDN/>
              <w:adjustRightInd/>
              <w:jc w:val="center"/>
              <w:rPr>
                <w:rFonts w:ascii="Times New Roman" w:hAnsi="Times New Roman"/>
                <w:sz w:val="24"/>
                <w:szCs w:val="24"/>
              </w:rPr>
            </w:pPr>
            <w:r w:rsidRPr="00E5081C">
              <w:rPr>
                <w:rFonts w:ascii="Times New Roman" w:hAnsi="Times New Roman"/>
                <w:sz w:val="24"/>
                <w:szCs w:val="24"/>
              </w:rPr>
              <w:t>Focus Groups, Individual In-Depth Interviews, Brief Interviews, Surveys, Website Usability Testing</w:t>
            </w:r>
            <w:r w:rsidR="006549E4">
              <w:rPr>
                <w:rFonts w:ascii="Times New Roman" w:hAnsi="Times New Roman"/>
                <w:sz w:val="24"/>
                <w:szCs w:val="24"/>
              </w:rPr>
              <w:t>, Applications, Forms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F198A" w:rsidP="00412796" w14:paraId="62C352E7" w14:textId="66513582">
            <w:pPr>
              <w:autoSpaceDE/>
              <w:autoSpaceDN/>
              <w:adjustRightInd/>
              <w:jc w:val="center"/>
              <w:rPr>
                <w:rFonts w:ascii="Times New Roman" w:hAnsi="Times New Roman"/>
                <w:sz w:val="24"/>
                <w:szCs w:val="24"/>
              </w:rPr>
            </w:pPr>
            <w:r>
              <w:rPr>
                <w:rFonts w:ascii="Times New Roman" w:hAnsi="Times New Roman"/>
                <w:sz w:val="24"/>
                <w:szCs w:val="24"/>
              </w:rPr>
              <w:t xml:space="preserve">Individuals </w:t>
            </w:r>
          </w:p>
          <w:p w:rsidR="00CF198A" w:rsidRPr="00706490" w:rsidP="00412796" w14:paraId="7A50626C" w14:textId="77777777">
            <w:pPr>
              <w:autoSpaceDE/>
              <w:autoSpaceDN/>
              <w:adjustRightInd/>
              <w:jc w:val="center"/>
              <w:rPr>
                <w:rFonts w:ascii="Times New Roman" w:hAnsi="Times New Roman"/>
                <w:sz w:val="24"/>
                <w:szCs w:val="24"/>
              </w:rPr>
            </w:pPr>
            <w:r>
              <w:rPr>
                <w:rFonts w:ascii="Times New Roman" w:hAnsi="Times New Roman"/>
                <w:sz w:val="24"/>
                <w:szCs w:val="24"/>
              </w:rPr>
              <w:t>(General Public)</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F198A" w:rsidRPr="00EA3462" w:rsidP="00F14C55" w14:paraId="78DCC8C2" w14:textId="6A6AE0C2">
            <w:pPr>
              <w:autoSpaceDE/>
              <w:autoSpaceDN/>
              <w:adjustRightInd/>
              <w:jc w:val="center"/>
              <w:rPr>
                <w:rFonts w:ascii="Times New Roman" w:hAnsi="Times New Roman"/>
                <w:sz w:val="24"/>
                <w:szCs w:val="24"/>
              </w:rPr>
            </w:pPr>
            <w:r w:rsidRPr="00EA3462">
              <w:rPr>
                <w:rFonts w:ascii="Times New Roman" w:hAnsi="Times New Roman"/>
                <w:sz w:val="24"/>
                <w:szCs w:val="24"/>
              </w:rPr>
              <w:t>9,000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rsidP="00F14C55" w14:paraId="490EC0AC" w14:textId="77777777">
            <w:pPr>
              <w:autoSpaceDE/>
              <w:autoSpaceDN/>
              <w:adjustRightInd/>
              <w:jc w:val="center"/>
              <w:rPr>
                <w:rFonts w:ascii="Times New Roman" w:hAnsi="Times New Roman"/>
                <w:sz w:val="24"/>
                <w:szCs w:val="24"/>
              </w:rPr>
            </w:pPr>
            <w:r w:rsidRPr="00EA3462">
              <w:rPr>
                <w:rFonts w:ascii="Times New Roman" w:hAnsi="Times New Roman"/>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14:paraId="56026C9C" w14:textId="213D6D96">
            <w:pPr>
              <w:autoSpaceDE/>
              <w:autoSpaceDN/>
              <w:adjustRightInd/>
              <w:jc w:val="center"/>
              <w:rPr>
                <w:rFonts w:ascii="Times New Roman" w:hAnsi="Times New Roman"/>
                <w:sz w:val="24"/>
                <w:szCs w:val="24"/>
              </w:rPr>
            </w:pPr>
            <w:r w:rsidRPr="00EA3462">
              <w:rPr>
                <w:rFonts w:ascii="Times New Roman" w:hAnsi="Times New Roman"/>
                <w:sz w:val="24"/>
                <w:szCs w:val="24"/>
              </w:rPr>
              <w:t>45/60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14:paraId="360D8C9E" w14:textId="36A9BBA9">
            <w:pPr>
              <w:autoSpaceDE/>
              <w:autoSpaceDN/>
              <w:adjustRightInd/>
              <w:jc w:val="center"/>
              <w:rPr>
                <w:rFonts w:ascii="Times New Roman" w:hAnsi="Times New Roman"/>
                <w:sz w:val="24"/>
                <w:szCs w:val="24"/>
              </w:rPr>
            </w:pPr>
            <w:r w:rsidRPr="00EA3462">
              <w:rPr>
                <w:rFonts w:ascii="Times New Roman" w:hAnsi="Times New Roman"/>
                <w:sz w:val="24"/>
                <w:szCs w:val="24"/>
              </w:rPr>
              <w:t>6,750</w:t>
            </w:r>
          </w:p>
        </w:tc>
      </w:tr>
      <w:tr w14:paraId="6C18A32B" w14:textId="77777777" w:rsidTr="00407F1B">
        <w:tblPrEx>
          <w:tblW w:w="9180" w:type="dxa"/>
          <w:tblInd w:w="-10" w:type="dxa"/>
          <w:tblLayout w:type="fixed"/>
          <w:tblCellMar>
            <w:left w:w="0" w:type="dxa"/>
            <w:right w:w="0" w:type="dxa"/>
          </w:tblCellMar>
          <w:tblLook w:val="0000"/>
        </w:tblPrEx>
        <w:trPr>
          <w:trHeight w:val="538"/>
        </w:trPr>
        <w:tc>
          <w:tcPr>
            <w:tcW w:w="1800" w:type="dxa"/>
            <w:tcBorders>
              <w:top w:val="nil"/>
              <w:left w:val="single" w:sz="8" w:space="0" w:color="auto"/>
              <w:bottom w:val="single" w:sz="8" w:space="0" w:color="auto"/>
              <w:right w:val="single" w:sz="4" w:space="0" w:color="auto"/>
            </w:tcBorders>
            <w:vAlign w:val="center"/>
          </w:tcPr>
          <w:p w:rsidR="00CF198A" w:rsidP="00412796" w14:paraId="517CF9F0" w14:textId="10CC020A">
            <w:pPr>
              <w:autoSpaceDE/>
              <w:autoSpaceDN/>
              <w:adjustRightInd/>
              <w:jc w:val="center"/>
              <w:rPr>
                <w:rFonts w:ascii="Times New Roman" w:hAnsi="Times New Roman"/>
                <w:sz w:val="24"/>
                <w:szCs w:val="24"/>
              </w:rPr>
            </w:pPr>
            <w:r w:rsidRPr="00E5081C">
              <w:rPr>
                <w:rFonts w:ascii="Times New Roman" w:hAnsi="Times New Roman"/>
                <w:sz w:val="24"/>
                <w:szCs w:val="24"/>
              </w:rPr>
              <w:t>Focus Groups, Individual In-Depth Interviews, Brief Interviews, Surveys, Website Usability Testing</w:t>
            </w:r>
            <w:r w:rsidR="006549E4">
              <w:rPr>
                <w:rFonts w:ascii="Times New Roman" w:hAnsi="Times New Roman"/>
                <w:sz w:val="24"/>
                <w:szCs w:val="24"/>
              </w:rPr>
              <w:t>, Applications, Forms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F198A" w:rsidP="00412796" w14:paraId="44C6567A" w14:textId="1B240FC0">
            <w:pPr>
              <w:autoSpaceDE/>
              <w:autoSpaceDN/>
              <w:adjustRightInd/>
              <w:jc w:val="center"/>
              <w:rPr>
                <w:rFonts w:ascii="Times New Roman" w:hAnsi="Times New Roman"/>
                <w:sz w:val="24"/>
                <w:szCs w:val="24"/>
              </w:rPr>
            </w:pPr>
            <w:r>
              <w:rPr>
                <w:rFonts w:ascii="Times New Roman" w:hAnsi="Times New Roman"/>
                <w:sz w:val="24"/>
                <w:szCs w:val="24"/>
              </w:rPr>
              <w:t xml:space="preserve">Individuals </w:t>
            </w:r>
          </w:p>
          <w:p w:rsidR="00CF198A" w:rsidRPr="00313C48" w:rsidP="00412796" w14:paraId="07F04FFB" w14:textId="77777777">
            <w:pPr>
              <w:autoSpaceDE/>
              <w:autoSpaceDN/>
              <w:adjustRightInd/>
              <w:jc w:val="center"/>
              <w:rPr>
                <w:rFonts w:ascii="Times New Roman" w:hAnsi="Times New Roman"/>
                <w:sz w:val="24"/>
                <w:szCs w:val="24"/>
              </w:rPr>
            </w:pPr>
            <w:r>
              <w:rPr>
                <w:rFonts w:ascii="Times New Roman" w:hAnsi="Times New Roman"/>
                <w:sz w:val="24"/>
                <w:szCs w:val="24"/>
              </w:rPr>
              <w:t>(Health Care Professionals)</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F198A" w:rsidRPr="00EA3462" w:rsidP="008B6F1F" w14:paraId="2938F281" w14:textId="28912274">
            <w:pPr>
              <w:autoSpaceDE/>
              <w:autoSpaceDN/>
              <w:adjustRightInd/>
              <w:jc w:val="center"/>
              <w:rPr>
                <w:rFonts w:ascii="Times New Roman" w:hAnsi="Times New Roman"/>
                <w:sz w:val="24"/>
                <w:szCs w:val="24"/>
              </w:rPr>
            </w:pPr>
            <w:r w:rsidRPr="00EA3462">
              <w:rPr>
                <w:rFonts w:ascii="Times New Roman" w:hAnsi="Times New Roman"/>
                <w:sz w:val="24"/>
                <w:szCs w:val="24"/>
              </w:rPr>
              <w:t>9,000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rsidP="00F14C55" w14:paraId="08BBF9B0" w14:textId="77777777">
            <w:pPr>
              <w:autoSpaceDE/>
              <w:autoSpaceDN/>
              <w:adjustRightInd/>
              <w:jc w:val="center"/>
              <w:rPr>
                <w:rFonts w:ascii="Times New Roman" w:hAnsi="Times New Roman"/>
                <w:sz w:val="24"/>
                <w:szCs w:val="24"/>
              </w:rPr>
            </w:pPr>
            <w:r w:rsidRPr="00EA3462">
              <w:rPr>
                <w:rFonts w:ascii="Times New Roman" w:hAnsi="Times New Roman"/>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14:paraId="2E66789B" w14:textId="62E390BC">
            <w:pPr>
              <w:autoSpaceDE/>
              <w:autoSpaceDN/>
              <w:adjustRightInd/>
              <w:jc w:val="center"/>
              <w:rPr>
                <w:rFonts w:ascii="Times New Roman" w:hAnsi="Times New Roman"/>
                <w:sz w:val="24"/>
                <w:szCs w:val="24"/>
              </w:rPr>
            </w:pPr>
            <w:r w:rsidRPr="00EA3462">
              <w:rPr>
                <w:rFonts w:ascii="Times New Roman" w:hAnsi="Times New Roman"/>
                <w:sz w:val="24"/>
                <w:szCs w:val="24"/>
              </w:rPr>
              <w:t>45/60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14:paraId="2C2D9778" w14:textId="2643A99B">
            <w:pPr>
              <w:autoSpaceDE/>
              <w:autoSpaceDN/>
              <w:adjustRightInd/>
              <w:jc w:val="center"/>
              <w:rPr>
                <w:rFonts w:ascii="Times New Roman" w:hAnsi="Times New Roman"/>
                <w:sz w:val="24"/>
                <w:szCs w:val="24"/>
              </w:rPr>
            </w:pPr>
            <w:r w:rsidRPr="00EA3462">
              <w:rPr>
                <w:rFonts w:ascii="Times New Roman" w:hAnsi="Times New Roman"/>
                <w:sz w:val="24"/>
                <w:szCs w:val="24"/>
              </w:rPr>
              <w:t>6,750</w:t>
            </w:r>
          </w:p>
        </w:tc>
      </w:tr>
      <w:tr w14:paraId="54896F1D" w14:textId="77777777" w:rsidTr="00407F1B">
        <w:tblPrEx>
          <w:tblW w:w="9180" w:type="dxa"/>
          <w:tblInd w:w="-10" w:type="dxa"/>
          <w:tblLayout w:type="fixed"/>
          <w:tblCellMar>
            <w:left w:w="0" w:type="dxa"/>
            <w:right w:w="0" w:type="dxa"/>
          </w:tblCellMar>
          <w:tblLook w:val="0000"/>
        </w:tblPrEx>
        <w:trPr>
          <w:trHeight w:val="484"/>
        </w:trPr>
        <w:tc>
          <w:tcPr>
            <w:tcW w:w="1800" w:type="dxa"/>
            <w:tcBorders>
              <w:top w:val="nil"/>
              <w:left w:val="single" w:sz="8" w:space="0" w:color="auto"/>
              <w:bottom w:val="single" w:sz="8" w:space="0" w:color="auto"/>
              <w:right w:val="single" w:sz="4" w:space="0" w:color="auto"/>
            </w:tcBorders>
            <w:vAlign w:val="center"/>
          </w:tcPr>
          <w:p w:rsidR="00CF198A" w:rsidRPr="00EA3462" w:rsidP="00C23778" w14:paraId="40EC8A68" w14:textId="78233D78">
            <w:pPr>
              <w:autoSpaceDE/>
              <w:autoSpaceDN/>
              <w:adjustRightInd/>
              <w:jc w:val="center"/>
              <w:rPr>
                <w:rFonts w:ascii="Times New Roman" w:hAnsi="Times New Roman"/>
                <w:b/>
                <w:bCs/>
                <w:sz w:val="24"/>
                <w:szCs w:val="24"/>
              </w:rPr>
            </w:pPr>
            <w:r w:rsidRPr="00EA3462">
              <w:rPr>
                <w:rFonts w:ascii="Times New Roman" w:hAnsi="Times New Roman"/>
                <w:b/>
                <w:bCs/>
                <w:sz w:val="24"/>
                <w:szCs w:val="24"/>
              </w:rPr>
              <w:t>Total</w:t>
            </w:r>
            <w:r w:rsidRPr="00EA3462" w:rsidR="00EA3462">
              <w:rPr>
                <w:rFonts w:ascii="Times New Roman" w:hAnsi="Times New Roman"/>
                <w:b/>
                <w:bCs/>
                <w:sz w:val="24"/>
                <w:szCs w:val="24"/>
              </w:rPr>
              <w:t>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CF198A" w:rsidRPr="00EA3462" w:rsidP="00C23778" w14:paraId="08389AE4" w14:textId="7AD4A2DF">
            <w:pPr>
              <w:autoSpaceDE/>
              <w:autoSpaceDN/>
              <w:adjustRightInd/>
              <w:jc w:val="center"/>
              <w:rPr>
                <w:rFonts w:ascii="Times New Roman" w:hAnsi="Times New Roman"/>
                <w:b/>
                <w:bCs/>
                <w:sz w:val="24"/>
                <w:szCs w:val="24"/>
                <w:highlight w:val="yellow"/>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CF198A" w:rsidRPr="00EA3462" w:rsidP="00C23778" w14:paraId="7E9AD073" w14:textId="300C881D">
            <w:pPr>
              <w:autoSpaceDE/>
              <w:autoSpaceDN/>
              <w:adjustRightInd/>
              <w:jc w:val="center"/>
              <w:rPr>
                <w:rFonts w:ascii="Times New Roman" w:hAnsi="Times New Roman"/>
                <w:b/>
                <w:bCs/>
                <w:sz w:val="24"/>
                <w:szCs w:val="24"/>
              </w:rPr>
            </w:pPr>
            <w:r w:rsidRPr="00EA3462">
              <w:rPr>
                <w:rFonts w:ascii="Times New Roman" w:hAnsi="Times New Roman"/>
                <w:b/>
                <w:bCs/>
                <w:sz w:val="24"/>
                <w:szCs w:val="24"/>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rsidP="00C23778" w14:paraId="143BD1C1" w14:textId="0CCE5350">
            <w:pPr>
              <w:autoSpaceDE/>
              <w:autoSpaceDN/>
              <w:adjustRightInd/>
              <w:jc w:val="center"/>
              <w:rPr>
                <w:rFonts w:ascii="Times New Roman" w:hAnsi="Times New Roman"/>
                <w:b/>
                <w:bCs/>
                <w:sz w:val="24"/>
                <w:szCs w:val="24"/>
              </w:rPr>
            </w:pPr>
            <w:r w:rsidRPr="00EA3462">
              <w:rPr>
                <w:rFonts w:ascii="Times New Roman" w:hAnsi="Times New Roman"/>
                <w:b/>
                <w:bCs/>
                <w:sz w:val="24"/>
                <w:szCs w:val="24"/>
              </w:rPr>
              <w:t>18,000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rsidP="00C23778" w14:paraId="55EA83E5" w14:textId="77777777">
            <w:pPr>
              <w:autoSpaceDE/>
              <w:autoSpaceDN/>
              <w:adjustRightInd/>
              <w:jc w:val="center"/>
              <w:rPr>
                <w:rFonts w:ascii="Times New Roman" w:hAnsi="Times New Roman"/>
                <w:b/>
                <w:bCs/>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CF198A" w:rsidRPr="00EA3462" w:rsidP="00C23778" w14:paraId="20D2DD88" w14:textId="6BD5D6EC">
            <w:pPr>
              <w:autoSpaceDE/>
              <w:autoSpaceDN/>
              <w:adjustRightInd/>
              <w:jc w:val="center"/>
              <w:rPr>
                <w:rFonts w:ascii="Times New Roman" w:hAnsi="Times New Roman"/>
                <w:b/>
                <w:bCs/>
                <w:sz w:val="24"/>
                <w:szCs w:val="24"/>
              </w:rPr>
            </w:pPr>
            <w:r w:rsidRPr="00EA3462">
              <w:rPr>
                <w:rFonts w:ascii="Times New Roman" w:hAnsi="Times New Roman"/>
                <w:b/>
                <w:bCs/>
                <w:sz w:val="24"/>
                <w:szCs w:val="24"/>
              </w:rPr>
              <w:t>13,500</w:t>
            </w:r>
          </w:p>
        </w:tc>
      </w:tr>
    </w:tbl>
    <w:p w:rsidR="00C23778" w:rsidRPr="00624E2D" w:rsidP="00624E2D" w14:paraId="37789B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highlight w:val="yellow"/>
        </w:rPr>
      </w:pPr>
    </w:p>
    <w:p w:rsidR="00825285" w:rsidP="000842FD" w14:paraId="28E040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C63826">
        <w:rPr>
          <w:rFonts w:ascii="Times New Roman" w:hAnsi="Times New Roman"/>
          <w:b/>
          <w:sz w:val="24"/>
          <w:szCs w:val="24"/>
        </w:rPr>
        <w:t xml:space="preserve">A.12-2 </w:t>
      </w:r>
      <w:r w:rsidR="00E32CFD">
        <w:rPr>
          <w:rFonts w:ascii="Times New Roman" w:hAnsi="Times New Roman"/>
          <w:b/>
          <w:sz w:val="24"/>
          <w:szCs w:val="24"/>
        </w:rPr>
        <w:t xml:space="preserve">Annualized </w:t>
      </w:r>
      <w:r w:rsidRPr="00C63826">
        <w:rPr>
          <w:rFonts w:ascii="Times New Roman" w:hAnsi="Times New Roman"/>
          <w:b/>
          <w:sz w:val="24"/>
          <w:szCs w:val="24"/>
        </w:rPr>
        <w:t>Cost to Respondents</w:t>
      </w:r>
      <w:r w:rsidRPr="00096040" w:rsidR="00096040">
        <w:rPr>
          <w:rFonts w:ascii="Times New Roman" w:hAnsi="Times New Roman"/>
          <w:b/>
          <w:sz w:val="24"/>
          <w:szCs w:val="24"/>
        </w:rPr>
        <w:t xml:space="preserve"> </w:t>
      </w:r>
    </w:p>
    <w:p w:rsidR="00E46270" w:rsidP="00AB0BCF" w14:paraId="3F8F492E" w14:textId="737BA946">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rPr>
          <w:rFonts w:ascii="Times New Roman" w:hAnsi="Times New Roman"/>
          <w:sz w:val="24"/>
          <w:szCs w:val="24"/>
        </w:rPr>
      </w:pPr>
      <w:r>
        <w:rPr>
          <w:rFonts w:ascii="Times New Roman" w:hAnsi="Times New Roman"/>
          <w:sz w:val="24"/>
          <w:szCs w:val="24"/>
        </w:rPr>
        <w:t xml:space="preserve">The annual cost to respondents </w:t>
      </w:r>
      <w:r w:rsidRPr="00412796">
        <w:rPr>
          <w:rFonts w:ascii="Times New Roman" w:hAnsi="Times New Roman"/>
          <w:sz w:val="24"/>
          <w:szCs w:val="24"/>
          <w:highlight w:val="yellow"/>
        </w:rPr>
        <w:t>is $</w:t>
      </w:r>
      <w:r w:rsidR="00407F1B">
        <w:rPr>
          <w:rFonts w:ascii="Times New Roman" w:hAnsi="Times New Roman"/>
          <w:sz w:val="24"/>
          <w:szCs w:val="24"/>
          <w:highlight w:val="yellow"/>
        </w:rPr>
        <w:t>484,717.50</w:t>
      </w:r>
      <w:r w:rsidRPr="00412796">
        <w:rPr>
          <w:rFonts w:ascii="Times New Roman" w:hAnsi="Times New Roman"/>
          <w:sz w:val="24"/>
          <w:szCs w:val="24"/>
          <w:highlight w:val="yellow"/>
        </w:rPr>
        <w:t>.</w:t>
      </w:r>
      <w:r>
        <w:rPr>
          <w:rFonts w:ascii="Times New Roman" w:hAnsi="Times New Roman"/>
          <w:sz w:val="24"/>
          <w:szCs w:val="24"/>
        </w:rPr>
        <w:t xml:space="preserve"> </w:t>
      </w:r>
      <w:r w:rsidRPr="00064B59">
        <w:rPr>
          <w:rFonts w:ascii="Times New Roman" w:hAnsi="Times New Roman"/>
          <w:sz w:val="24"/>
          <w:szCs w:val="24"/>
        </w:rPr>
        <w:t>Table A.12-2 presents the</w:t>
      </w:r>
      <w:r>
        <w:rPr>
          <w:rFonts w:ascii="Times New Roman" w:hAnsi="Times New Roman"/>
          <w:sz w:val="24"/>
          <w:szCs w:val="24"/>
        </w:rPr>
        <w:t xml:space="preserve"> annualized</w:t>
      </w:r>
      <w:r w:rsidRPr="00064B59">
        <w:rPr>
          <w:rFonts w:ascii="Times New Roman" w:hAnsi="Times New Roman"/>
          <w:sz w:val="24"/>
          <w:szCs w:val="24"/>
        </w:rPr>
        <w:t xml:space="preserve"> </w:t>
      </w:r>
      <w:r>
        <w:rPr>
          <w:rFonts w:ascii="Times New Roman" w:hAnsi="Times New Roman"/>
          <w:sz w:val="24"/>
          <w:szCs w:val="24"/>
        </w:rPr>
        <w:t xml:space="preserve">approximate </w:t>
      </w:r>
      <w:r w:rsidRPr="00064B59">
        <w:rPr>
          <w:rFonts w:ascii="Times New Roman" w:hAnsi="Times New Roman"/>
          <w:sz w:val="24"/>
          <w:szCs w:val="24"/>
        </w:rPr>
        <w:t>cost to respondents</w:t>
      </w:r>
      <w:r>
        <w:rPr>
          <w:rFonts w:ascii="Times New Roman" w:hAnsi="Times New Roman"/>
          <w:sz w:val="24"/>
          <w:szCs w:val="24"/>
        </w:rPr>
        <w:t xml:space="preserve">. </w:t>
      </w:r>
    </w:p>
    <w:p w:rsidR="00624E2D" w:rsidRPr="00AB0BCF" w:rsidP="000355A4" w14:paraId="3B016113" w14:textId="1635A07D">
      <w:pPr>
        <w:autoSpaceDE/>
        <w:autoSpaceDN/>
        <w:adjustRightInd/>
        <w:jc w:val="center"/>
        <w:rPr>
          <w:rFonts w:ascii="Times New Roman" w:hAnsi="Times New Roman"/>
          <w:b/>
          <w:sz w:val="24"/>
          <w:szCs w:val="24"/>
        </w:rPr>
      </w:pPr>
      <w:r w:rsidRPr="00AB0BCF">
        <w:rPr>
          <w:rFonts w:ascii="Times New Roman" w:hAnsi="Times New Roman"/>
          <w:b/>
          <w:sz w:val="24"/>
          <w:szCs w:val="24"/>
        </w:rPr>
        <w:t>A12.2. Annualized Cost to the Respondents</w:t>
      </w:r>
    </w:p>
    <w:p w:rsidR="000355A4" w:rsidRPr="00AB0BCF" w:rsidP="000355A4" w14:paraId="3EF5F3B7" w14:textId="77777777">
      <w:pPr>
        <w:autoSpaceDE/>
        <w:autoSpaceDN/>
        <w:adjustRightInd/>
        <w:jc w:val="center"/>
        <w:rPr>
          <w:rFonts w:ascii="Times New Roman" w:hAnsi="Times New Roman"/>
          <w:b/>
          <w:sz w:val="24"/>
          <w:szCs w:val="24"/>
        </w:rPr>
      </w:pPr>
    </w:p>
    <w:tbl>
      <w:tblPr>
        <w:tblW w:w="9170" w:type="dxa"/>
        <w:tblCellMar>
          <w:left w:w="0" w:type="dxa"/>
          <w:right w:w="0" w:type="dxa"/>
        </w:tblCellMar>
        <w:tblLook w:val="0000"/>
      </w:tblPr>
      <w:tblGrid>
        <w:gridCol w:w="3050"/>
        <w:gridCol w:w="1890"/>
        <w:gridCol w:w="1710"/>
        <w:gridCol w:w="2520"/>
      </w:tblGrid>
      <w:tr w14:paraId="4DF71DBA" w14:textId="77777777" w:rsidTr="00707A37">
        <w:tblPrEx>
          <w:tblW w:w="9170" w:type="dxa"/>
          <w:tblCellMar>
            <w:left w:w="0" w:type="dxa"/>
            <w:right w:w="0" w:type="dxa"/>
          </w:tblCellMar>
          <w:tblLook w:val="0000"/>
        </w:tblPrEx>
        <w:tc>
          <w:tcPr>
            <w:tcW w:w="30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32CFD" w:rsidRPr="00407F1B" w:rsidP="00CF0055" w14:paraId="7C9376D6" w14:textId="07513658">
            <w:pPr>
              <w:autoSpaceDE/>
              <w:autoSpaceDN/>
              <w:adjustRightInd/>
              <w:jc w:val="center"/>
              <w:rPr>
                <w:rFonts w:ascii="Times New Roman" w:hAnsi="Times New Roman"/>
                <w:b/>
                <w:bCs/>
                <w:sz w:val="24"/>
                <w:szCs w:val="24"/>
              </w:rPr>
            </w:pPr>
            <w:r w:rsidRPr="00407F1B">
              <w:rPr>
                <w:rFonts w:ascii="Times New Roman" w:hAnsi="Times New Roman"/>
                <w:b/>
                <w:bCs/>
                <w:sz w:val="24"/>
                <w:szCs w:val="24"/>
              </w:rPr>
              <w:t>Type of Respondent</w:t>
            </w:r>
            <w:r w:rsidRPr="00407F1B" w:rsidR="005160AB">
              <w:rPr>
                <w:rFonts w:ascii="Times New Roman" w:hAnsi="Times New Roman"/>
                <w:b/>
                <w:bCs/>
                <w:sz w:val="24"/>
                <w:szCs w:val="24"/>
              </w:rPr>
              <w:t>s</w:t>
            </w:r>
          </w:p>
        </w:tc>
        <w:tc>
          <w:tcPr>
            <w:tcW w:w="189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32CFD" w:rsidRPr="00407F1B" w:rsidP="00CF0055" w14:paraId="4042FB42"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 xml:space="preserve">Total </w:t>
            </w:r>
            <w:r w:rsidRPr="00407F1B" w:rsidR="000355A4">
              <w:rPr>
                <w:rFonts w:ascii="Times New Roman" w:hAnsi="Times New Roman"/>
                <w:b/>
                <w:bCs/>
                <w:sz w:val="24"/>
                <w:szCs w:val="24"/>
              </w:rPr>
              <w:t xml:space="preserve">Annual </w:t>
            </w:r>
            <w:r w:rsidRPr="00407F1B">
              <w:rPr>
                <w:rFonts w:ascii="Times New Roman" w:hAnsi="Times New Roman"/>
                <w:b/>
                <w:bCs/>
                <w:sz w:val="24"/>
                <w:szCs w:val="24"/>
              </w:rPr>
              <w:t>Burden 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2CFD" w:rsidRPr="00407F1B" w:rsidP="00CF0055" w14:paraId="64ADF535"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 xml:space="preserve">Hourly </w:t>
            </w:r>
            <w:r w:rsidRPr="00407F1B" w:rsidR="000355A4">
              <w:rPr>
                <w:rFonts w:ascii="Times New Roman" w:hAnsi="Times New Roman"/>
                <w:b/>
                <w:bCs/>
                <w:sz w:val="24"/>
                <w:szCs w:val="24"/>
              </w:rPr>
              <w:t xml:space="preserve">Wage </w:t>
            </w:r>
            <w:r w:rsidRPr="00407F1B">
              <w:rPr>
                <w:rFonts w:ascii="Times New Roman" w:hAnsi="Times New Roman"/>
                <w:b/>
                <w:bCs/>
                <w:sz w:val="24"/>
                <w:szCs w:val="24"/>
              </w:rPr>
              <w:t>Rate</w:t>
            </w:r>
            <w:r w:rsidRPr="00407F1B" w:rsidR="000355A4">
              <w:rPr>
                <w:rFonts w:ascii="Times New Roman" w:hAnsi="Times New Roman"/>
                <w:b/>
                <w:bCs/>
                <w:sz w:val="24"/>
                <w:szCs w:val="24"/>
              </w:rPr>
              <w:t>*</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2CFD" w:rsidRPr="00407F1B" w:rsidP="00CF0055" w14:paraId="00A4D11E" w14:textId="77777777">
            <w:pPr>
              <w:autoSpaceDE/>
              <w:autoSpaceDN/>
              <w:adjustRightInd/>
              <w:jc w:val="center"/>
              <w:rPr>
                <w:rFonts w:ascii="Times New Roman" w:hAnsi="Times New Roman"/>
                <w:b/>
                <w:bCs/>
                <w:sz w:val="24"/>
                <w:szCs w:val="24"/>
              </w:rPr>
            </w:pPr>
            <w:r w:rsidRPr="00407F1B">
              <w:rPr>
                <w:rFonts w:ascii="Times New Roman" w:hAnsi="Times New Roman"/>
                <w:b/>
                <w:bCs/>
                <w:sz w:val="24"/>
                <w:szCs w:val="24"/>
              </w:rPr>
              <w:t>Respondent</w:t>
            </w:r>
            <w:r w:rsidRPr="00407F1B">
              <w:rPr>
                <w:rFonts w:ascii="Times New Roman" w:hAnsi="Times New Roman"/>
                <w:b/>
                <w:bCs/>
                <w:sz w:val="24"/>
                <w:szCs w:val="24"/>
              </w:rPr>
              <w:t xml:space="preserve"> Cost </w:t>
            </w:r>
          </w:p>
        </w:tc>
      </w:tr>
      <w:tr w14:paraId="7940AFF6" w14:textId="77777777" w:rsidTr="00707A37">
        <w:tblPrEx>
          <w:tblW w:w="9170" w:type="dxa"/>
          <w:tblCellMar>
            <w:left w:w="0" w:type="dxa"/>
            <w:right w:w="0" w:type="dxa"/>
          </w:tblCellMar>
          <w:tblLook w:val="0000"/>
        </w:tblPrEx>
        <w:trPr>
          <w:trHeight w:val="268"/>
        </w:trPr>
        <w:tc>
          <w:tcPr>
            <w:tcW w:w="3050" w:type="dxa"/>
            <w:tcBorders>
              <w:top w:val="nil"/>
              <w:left w:val="single" w:sz="8" w:space="0" w:color="auto"/>
              <w:right w:val="single" w:sz="4" w:space="0" w:color="auto"/>
            </w:tcBorders>
            <w:tcMar>
              <w:top w:w="0" w:type="dxa"/>
              <w:left w:w="108" w:type="dxa"/>
              <w:bottom w:w="0" w:type="dxa"/>
              <w:right w:w="108" w:type="dxa"/>
            </w:tcMar>
          </w:tcPr>
          <w:p w:rsidR="00E32CFD" w:rsidRPr="009D2DE7" w:rsidP="009D2DE7" w14:paraId="1C3C3A65" w14:textId="77777777">
            <w:pPr>
              <w:autoSpaceDE/>
              <w:autoSpaceDN/>
              <w:adjustRightInd/>
              <w:jc w:val="center"/>
              <w:rPr>
                <w:rFonts w:ascii="Times New Roman" w:hAnsi="Times New Roman"/>
                <w:sz w:val="24"/>
                <w:szCs w:val="24"/>
                <w:highlight w:val="yellow"/>
              </w:rPr>
            </w:pPr>
            <w:r>
              <w:rPr>
                <w:rFonts w:ascii="Times New Roman" w:hAnsi="Times New Roman"/>
                <w:sz w:val="24"/>
                <w:szCs w:val="24"/>
              </w:rPr>
              <w:t>Individuals</w:t>
            </w:r>
            <w:r w:rsidR="00C23778">
              <w:rPr>
                <w:rFonts w:ascii="Times New Roman" w:hAnsi="Times New Roman"/>
                <w:sz w:val="24"/>
                <w:szCs w:val="24"/>
              </w:rPr>
              <w:t xml:space="preserve"> (General Public)</w:t>
            </w:r>
          </w:p>
        </w:tc>
        <w:tc>
          <w:tcPr>
            <w:tcW w:w="1890" w:type="dxa"/>
            <w:tcBorders>
              <w:top w:val="nil"/>
              <w:left w:val="single" w:sz="4" w:space="0" w:color="auto"/>
              <w:right w:val="single" w:sz="8" w:space="0" w:color="auto"/>
            </w:tcBorders>
            <w:tcMar>
              <w:top w:w="0" w:type="dxa"/>
              <w:left w:w="108" w:type="dxa"/>
              <w:bottom w:w="0" w:type="dxa"/>
              <w:right w:w="108" w:type="dxa"/>
            </w:tcMar>
            <w:vAlign w:val="center"/>
          </w:tcPr>
          <w:p w:rsidR="00E32CFD" w:rsidRPr="00EA3462" w:rsidP="00F14C55" w14:paraId="4D99011E" w14:textId="0596E94E">
            <w:pPr>
              <w:autoSpaceDE/>
              <w:autoSpaceDN/>
              <w:adjustRightInd/>
              <w:jc w:val="center"/>
              <w:rPr>
                <w:rFonts w:ascii="Times New Roman" w:hAnsi="Times New Roman"/>
                <w:sz w:val="24"/>
                <w:szCs w:val="24"/>
              </w:rPr>
            </w:pPr>
            <w:r w:rsidRPr="00EA3462">
              <w:rPr>
                <w:rFonts w:ascii="Times New Roman" w:hAnsi="Times New Roman"/>
                <w:sz w:val="24"/>
                <w:szCs w:val="24"/>
              </w:rPr>
              <w:t>6,750</w:t>
            </w:r>
          </w:p>
        </w:tc>
        <w:tc>
          <w:tcPr>
            <w:tcW w:w="1710" w:type="dxa"/>
            <w:tcBorders>
              <w:top w:val="nil"/>
              <w:left w:val="nil"/>
              <w:right w:val="single" w:sz="8" w:space="0" w:color="auto"/>
            </w:tcBorders>
            <w:vAlign w:val="center"/>
          </w:tcPr>
          <w:p w:rsidR="00E32CFD" w:rsidRPr="00B73715" w:rsidP="00F14C55" w14:paraId="01CCC03B" w14:textId="1A8BE36E">
            <w:pPr>
              <w:jc w:val="center"/>
              <w:rPr>
                <w:rFonts w:ascii="Times New Roman" w:hAnsi="Times New Roman"/>
                <w:sz w:val="24"/>
                <w:szCs w:val="24"/>
                <w:highlight w:val="yellow"/>
              </w:rPr>
            </w:pPr>
            <w:r w:rsidRPr="00B73715">
              <w:rPr>
                <w:rFonts w:ascii="Times New Roman" w:hAnsi="Times New Roman"/>
                <w:sz w:val="24"/>
                <w:szCs w:val="24"/>
                <w:highlight w:val="yellow"/>
              </w:rPr>
              <w:t>$</w:t>
            </w:r>
            <w:r w:rsidR="00464A54">
              <w:rPr>
                <w:rFonts w:ascii="Times New Roman" w:hAnsi="Times New Roman"/>
                <w:sz w:val="24"/>
                <w:szCs w:val="24"/>
                <w:highlight w:val="yellow"/>
              </w:rPr>
              <w:t>31</w:t>
            </w:r>
            <w:r w:rsidR="00EA3462">
              <w:rPr>
                <w:rFonts w:ascii="Times New Roman" w:hAnsi="Times New Roman"/>
                <w:sz w:val="24"/>
                <w:szCs w:val="24"/>
                <w:highlight w:val="yellow"/>
              </w:rPr>
              <w:t>.</w:t>
            </w:r>
            <w:r w:rsidR="00464A54">
              <w:rPr>
                <w:rFonts w:ascii="Times New Roman" w:hAnsi="Times New Roman"/>
                <w:sz w:val="24"/>
                <w:szCs w:val="24"/>
                <w:highlight w:val="yellow"/>
              </w:rPr>
              <w:t>48</w:t>
            </w:r>
          </w:p>
        </w:tc>
        <w:tc>
          <w:tcPr>
            <w:tcW w:w="2520" w:type="dxa"/>
            <w:tcBorders>
              <w:top w:val="nil"/>
              <w:left w:val="nil"/>
              <w:right w:val="single" w:sz="8" w:space="0" w:color="auto"/>
            </w:tcBorders>
            <w:vAlign w:val="center"/>
          </w:tcPr>
          <w:p w:rsidR="00E32CFD" w:rsidRPr="00B73715" w:rsidP="00047EAE" w14:paraId="26F7533A" w14:textId="082F8182">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3B24DC">
              <w:rPr>
                <w:rFonts w:ascii="Times New Roman" w:hAnsi="Times New Roman"/>
                <w:sz w:val="24"/>
                <w:szCs w:val="24"/>
                <w:highlight w:val="yellow"/>
              </w:rPr>
              <w:t>212</w:t>
            </w:r>
            <w:r w:rsidR="00EA3462">
              <w:rPr>
                <w:rFonts w:ascii="Times New Roman" w:hAnsi="Times New Roman"/>
                <w:sz w:val="24"/>
                <w:szCs w:val="24"/>
                <w:highlight w:val="yellow"/>
              </w:rPr>
              <w:t>,</w:t>
            </w:r>
            <w:r w:rsidR="003B24DC">
              <w:rPr>
                <w:rFonts w:ascii="Times New Roman" w:hAnsi="Times New Roman"/>
                <w:sz w:val="24"/>
                <w:szCs w:val="24"/>
                <w:highlight w:val="yellow"/>
              </w:rPr>
              <w:t>490</w:t>
            </w:r>
            <w:r w:rsidR="00EA3462">
              <w:rPr>
                <w:rFonts w:ascii="Times New Roman" w:hAnsi="Times New Roman"/>
                <w:sz w:val="24"/>
                <w:szCs w:val="24"/>
                <w:highlight w:val="yellow"/>
              </w:rPr>
              <w:t>.</w:t>
            </w:r>
            <w:r w:rsidR="003B24DC">
              <w:rPr>
                <w:rFonts w:ascii="Times New Roman" w:hAnsi="Times New Roman"/>
                <w:sz w:val="24"/>
                <w:szCs w:val="24"/>
                <w:highlight w:val="yellow"/>
              </w:rPr>
              <w:t>0</w:t>
            </w:r>
            <w:r w:rsidR="00EA3462">
              <w:rPr>
                <w:rFonts w:ascii="Times New Roman" w:hAnsi="Times New Roman"/>
                <w:sz w:val="24"/>
                <w:szCs w:val="24"/>
                <w:highlight w:val="yellow"/>
              </w:rPr>
              <w:t>0</w:t>
            </w:r>
          </w:p>
        </w:tc>
      </w:tr>
      <w:tr w14:paraId="521190A1" w14:textId="77777777" w:rsidTr="00707A37">
        <w:tblPrEx>
          <w:tblW w:w="9170" w:type="dxa"/>
          <w:tblCellMar>
            <w:left w:w="0" w:type="dxa"/>
            <w:right w:w="0" w:type="dxa"/>
          </w:tblCellMar>
          <w:tblLook w:val="0000"/>
        </w:tblPrEx>
        <w:tc>
          <w:tcPr>
            <w:tcW w:w="305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E32CFD" w:rsidRPr="00E32CFD" w:rsidP="00CF0055" w14:paraId="41AB63AF" w14:textId="0A4138E0">
            <w:pPr>
              <w:autoSpaceDE/>
              <w:autoSpaceDN/>
              <w:adjustRightInd/>
              <w:jc w:val="center"/>
              <w:rPr>
                <w:rFonts w:ascii="Times New Roman" w:hAnsi="Times New Roman"/>
                <w:sz w:val="24"/>
                <w:szCs w:val="24"/>
              </w:rPr>
            </w:pPr>
            <w:r>
              <w:rPr>
                <w:rFonts w:ascii="Times New Roman" w:hAnsi="Times New Roman"/>
                <w:sz w:val="24"/>
                <w:szCs w:val="24"/>
              </w:rPr>
              <w:t>Individuals</w:t>
            </w:r>
            <w:r w:rsidR="00C23778">
              <w:rPr>
                <w:rFonts w:ascii="Times New Roman" w:hAnsi="Times New Roman"/>
                <w:sz w:val="24"/>
                <w:szCs w:val="24"/>
              </w:rPr>
              <w:t xml:space="preserve"> (Health Care </w:t>
            </w:r>
            <w:r w:rsidRPr="00EA3462" w:rsidR="00EA3462">
              <w:rPr>
                <w:rFonts w:ascii="Times New Roman" w:hAnsi="Times New Roman"/>
                <w:sz w:val="24"/>
                <w:szCs w:val="24"/>
              </w:rPr>
              <w:t>Practitioners and Technical Occupations</w:t>
            </w:r>
            <w:r w:rsidR="00C23778">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32CFD" w:rsidRPr="00EA3462" w:rsidP="00F14C55" w14:paraId="671BF907" w14:textId="59AC3979">
            <w:pPr>
              <w:autoSpaceDE/>
              <w:autoSpaceDN/>
              <w:adjustRightInd/>
              <w:jc w:val="center"/>
              <w:rPr>
                <w:rFonts w:ascii="Times New Roman" w:hAnsi="Times New Roman"/>
                <w:sz w:val="24"/>
                <w:szCs w:val="24"/>
              </w:rPr>
            </w:pPr>
            <w:r w:rsidRPr="00EA3462">
              <w:rPr>
                <w:rFonts w:ascii="Times New Roman" w:hAnsi="Times New Roman"/>
                <w:sz w:val="24"/>
                <w:szCs w:val="24"/>
              </w:rPr>
              <w:t>6,750</w:t>
            </w:r>
          </w:p>
        </w:tc>
        <w:tc>
          <w:tcPr>
            <w:tcW w:w="17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32CFD" w:rsidRPr="00B73715" w:rsidP="00F14C55" w14:paraId="372D742F" w14:textId="18DCB7D6">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464A54">
              <w:rPr>
                <w:rFonts w:ascii="Times New Roman" w:hAnsi="Times New Roman"/>
                <w:sz w:val="24"/>
                <w:szCs w:val="24"/>
                <w:highlight w:val="yellow"/>
              </w:rPr>
              <w:t>53</w:t>
            </w:r>
            <w:r w:rsidR="00EA3462">
              <w:rPr>
                <w:rFonts w:ascii="Times New Roman" w:hAnsi="Times New Roman"/>
                <w:sz w:val="24"/>
                <w:szCs w:val="24"/>
                <w:highlight w:val="yellow"/>
              </w:rPr>
              <w:t>.</w:t>
            </w:r>
            <w:r w:rsidR="00464A54">
              <w:rPr>
                <w:rFonts w:ascii="Times New Roman" w:hAnsi="Times New Roman"/>
                <w:sz w:val="24"/>
                <w:szCs w:val="24"/>
                <w:highlight w:val="yellow"/>
              </w:rPr>
              <w:t>57</w:t>
            </w:r>
          </w:p>
        </w:tc>
        <w:tc>
          <w:tcPr>
            <w:tcW w:w="25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32CFD" w:rsidRPr="00B73715" w:rsidP="00047EAE" w14:paraId="65CF0577" w14:textId="1BF93E34">
            <w:pPr>
              <w:autoSpaceDE/>
              <w:autoSpaceDN/>
              <w:adjustRightInd/>
              <w:jc w:val="center"/>
              <w:rPr>
                <w:rFonts w:ascii="Times New Roman" w:hAnsi="Times New Roman"/>
                <w:sz w:val="24"/>
                <w:szCs w:val="24"/>
                <w:highlight w:val="yellow"/>
              </w:rPr>
            </w:pPr>
            <w:r w:rsidRPr="00B73715">
              <w:rPr>
                <w:rFonts w:ascii="Times New Roman" w:hAnsi="Times New Roman"/>
                <w:sz w:val="24"/>
                <w:szCs w:val="24"/>
                <w:highlight w:val="yellow"/>
              </w:rPr>
              <w:t>$</w:t>
            </w:r>
            <w:r w:rsidR="003B24DC">
              <w:rPr>
                <w:rFonts w:ascii="Times New Roman" w:hAnsi="Times New Roman"/>
                <w:sz w:val="24"/>
                <w:szCs w:val="24"/>
                <w:highlight w:val="yellow"/>
              </w:rPr>
              <w:t>361</w:t>
            </w:r>
            <w:r w:rsidR="00EA3462">
              <w:rPr>
                <w:rFonts w:ascii="Times New Roman" w:hAnsi="Times New Roman"/>
                <w:sz w:val="24"/>
                <w:szCs w:val="24"/>
                <w:highlight w:val="yellow"/>
              </w:rPr>
              <w:t>,</w:t>
            </w:r>
            <w:r w:rsidR="003B24DC">
              <w:rPr>
                <w:rFonts w:ascii="Times New Roman" w:hAnsi="Times New Roman"/>
                <w:sz w:val="24"/>
                <w:szCs w:val="24"/>
                <w:highlight w:val="yellow"/>
              </w:rPr>
              <w:t>597</w:t>
            </w:r>
            <w:r w:rsidR="00EA3462">
              <w:rPr>
                <w:rFonts w:ascii="Times New Roman" w:hAnsi="Times New Roman"/>
                <w:sz w:val="24"/>
                <w:szCs w:val="24"/>
                <w:highlight w:val="yellow"/>
              </w:rPr>
              <w:t>.</w:t>
            </w:r>
            <w:r w:rsidR="003B24DC">
              <w:rPr>
                <w:rFonts w:ascii="Times New Roman" w:hAnsi="Times New Roman"/>
                <w:sz w:val="24"/>
                <w:szCs w:val="24"/>
                <w:highlight w:val="yellow"/>
              </w:rPr>
              <w:t>5</w:t>
            </w:r>
            <w:r w:rsidR="00EA3462">
              <w:rPr>
                <w:rFonts w:ascii="Times New Roman" w:hAnsi="Times New Roman"/>
                <w:sz w:val="24"/>
                <w:szCs w:val="24"/>
                <w:highlight w:val="yellow"/>
              </w:rPr>
              <w:t>0</w:t>
            </w:r>
          </w:p>
        </w:tc>
      </w:tr>
      <w:tr w14:paraId="50207FFE" w14:textId="77777777" w:rsidTr="00707A37">
        <w:tblPrEx>
          <w:tblW w:w="9170" w:type="dxa"/>
          <w:tblCellMar>
            <w:left w:w="0" w:type="dxa"/>
            <w:right w:w="0" w:type="dxa"/>
          </w:tblCellMar>
          <w:tblLook w:val="0000"/>
        </w:tblPrEx>
        <w:tc>
          <w:tcPr>
            <w:tcW w:w="305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E32CFD" w:rsidRPr="00407F1B" w:rsidP="00407F1B" w14:paraId="06E647A2" w14:textId="77777777">
            <w:pPr>
              <w:autoSpaceDE/>
              <w:autoSpaceDN/>
              <w:adjustRightInd/>
              <w:rPr>
                <w:rFonts w:ascii="Times New Roman" w:hAnsi="Times New Roman"/>
                <w:b/>
                <w:bCs/>
                <w:sz w:val="24"/>
                <w:szCs w:val="24"/>
              </w:rPr>
            </w:pPr>
            <w:r w:rsidRPr="00407F1B">
              <w:rPr>
                <w:rFonts w:ascii="Times New Roman" w:hAnsi="Times New Roman"/>
                <w:b/>
                <w:bCs/>
                <w:sz w:val="24"/>
                <w:szCs w:val="24"/>
              </w:rPr>
              <w:t>Total</w:t>
            </w:r>
          </w:p>
        </w:tc>
        <w:tc>
          <w:tcPr>
            <w:tcW w:w="189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32CFD" w:rsidRPr="00EA3462" w:rsidP="00F14C55" w14:paraId="4B56CED8" w14:textId="37D5BC22">
            <w:pPr>
              <w:autoSpaceDE/>
              <w:autoSpaceDN/>
              <w:adjustRightInd/>
              <w:jc w:val="center"/>
              <w:rPr>
                <w:rFonts w:ascii="Times New Roman" w:hAnsi="Times New Roman"/>
                <w:sz w:val="24"/>
                <w:szCs w:val="24"/>
              </w:rPr>
            </w:pPr>
            <w:r>
              <w:rPr>
                <w:rFonts w:ascii="Times New Roman" w:hAnsi="Times New Roman"/>
                <w:sz w:val="24"/>
                <w:szCs w:val="24"/>
              </w:rPr>
              <w:t xml:space="preserve"> </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32CFD" w:rsidRPr="00B73715" w:rsidP="00F14C55" w14:paraId="5C4A08C3" w14:textId="77777777">
            <w:pPr>
              <w:autoSpaceDE/>
              <w:autoSpaceDN/>
              <w:adjustRightInd/>
              <w:jc w:val="center"/>
              <w:rPr>
                <w:rFonts w:ascii="Times New Roman" w:hAnsi="Times New Roman"/>
                <w:sz w:val="24"/>
                <w:szCs w:val="24"/>
                <w:highlight w:val="yellow"/>
              </w:rPr>
            </w:pP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32CFD" w:rsidRPr="00407F1B" w:rsidP="00047EAE" w14:paraId="1F3F07F2" w14:textId="0DC91292">
            <w:pPr>
              <w:autoSpaceDE/>
              <w:autoSpaceDN/>
              <w:adjustRightInd/>
              <w:jc w:val="center"/>
              <w:rPr>
                <w:rFonts w:ascii="Times New Roman" w:hAnsi="Times New Roman"/>
                <w:b/>
                <w:bCs/>
                <w:sz w:val="24"/>
                <w:szCs w:val="24"/>
                <w:highlight w:val="yellow"/>
              </w:rPr>
            </w:pPr>
            <w:r w:rsidRPr="00407F1B">
              <w:rPr>
                <w:rFonts w:ascii="Times New Roman" w:hAnsi="Times New Roman"/>
                <w:b/>
                <w:bCs/>
                <w:sz w:val="24"/>
                <w:szCs w:val="24"/>
                <w:highlight w:val="yellow"/>
              </w:rPr>
              <w:t>$</w:t>
            </w:r>
            <w:r w:rsidR="003B24DC">
              <w:rPr>
                <w:rFonts w:ascii="Times New Roman" w:hAnsi="Times New Roman"/>
                <w:b/>
                <w:bCs/>
                <w:sz w:val="24"/>
                <w:szCs w:val="24"/>
                <w:highlight w:val="yellow"/>
              </w:rPr>
              <w:t>574</w:t>
            </w:r>
            <w:r w:rsidRPr="00407F1B" w:rsidR="00EA3462">
              <w:rPr>
                <w:rFonts w:ascii="Times New Roman" w:hAnsi="Times New Roman"/>
                <w:b/>
                <w:bCs/>
                <w:sz w:val="24"/>
                <w:szCs w:val="24"/>
                <w:highlight w:val="yellow"/>
              </w:rPr>
              <w:t>,</w:t>
            </w:r>
            <w:r w:rsidR="003B24DC">
              <w:rPr>
                <w:rFonts w:ascii="Times New Roman" w:hAnsi="Times New Roman"/>
                <w:b/>
                <w:bCs/>
                <w:sz w:val="24"/>
                <w:szCs w:val="24"/>
                <w:highlight w:val="yellow"/>
              </w:rPr>
              <w:t>087</w:t>
            </w:r>
            <w:r w:rsidRPr="00407F1B" w:rsidR="00EA3462">
              <w:rPr>
                <w:rFonts w:ascii="Times New Roman" w:hAnsi="Times New Roman"/>
                <w:b/>
                <w:bCs/>
                <w:sz w:val="24"/>
                <w:szCs w:val="24"/>
                <w:highlight w:val="yellow"/>
              </w:rPr>
              <w:t>.50</w:t>
            </w:r>
          </w:p>
        </w:tc>
      </w:tr>
    </w:tbl>
    <w:p w:rsidR="008471D8" w:rsidRPr="00EE0379" w:rsidP="00AB0BCF" w14:paraId="52C1F027" w14:textId="7F3DE9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E0379">
        <w:rPr>
          <w:rFonts w:ascii="Times New Roman" w:hAnsi="Times New Roman"/>
        </w:rPr>
        <w:t>*</w:t>
      </w:r>
      <w:r w:rsidRPr="00EE0379" w:rsidR="00624E2D">
        <w:rPr>
          <w:rFonts w:ascii="Times New Roman" w:hAnsi="Times New Roman"/>
        </w:rPr>
        <w:t xml:space="preserve">The </w:t>
      </w:r>
      <w:r w:rsidRPr="00EE0379">
        <w:rPr>
          <w:rFonts w:ascii="Times New Roman" w:hAnsi="Times New Roman"/>
        </w:rPr>
        <w:t>source of the Mean H</w:t>
      </w:r>
      <w:r w:rsidRPr="00EE0379" w:rsidR="00624E2D">
        <w:rPr>
          <w:rFonts w:ascii="Times New Roman" w:hAnsi="Times New Roman"/>
        </w:rPr>
        <w:t xml:space="preserve">ourly </w:t>
      </w:r>
      <w:r w:rsidRPr="00EE0379">
        <w:rPr>
          <w:rFonts w:ascii="Times New Roman" w:hAnsi="Times New Roman"/>
        </w:rPr>
        <w:t>W</w:t>
      </w:r>
      <w:r w:rsidRPr="00EE0379" w:rsidR="00624E2D">
        <w:rPr>
          <w:rFonts w:ascii="Times New Roman" w:hAnsi="Times New Roman"/>
        </w:rPr>
        <w:t xml:space="preserve">age </w:t>
      </w:r>
      <w:r w:rsidRPr="00EE0379">
        <w:rPr>
          <w:rFonts w:ascii="Times New Roman" w:hAnsi="Times New Roman"/>
        </w:rPr>
        <w:t>R</w:t>
      </w:r>
      <w:r w:rsidRPr="00EE0379" w:rsidR="00624E2D">
        <w:rPr>
          <w:rFonts w:ascii="Times New Roman" w:hAnsi="Times New Roman"/>
        </w:rPr>
        <w:t xml:space="preserve">ate </w:t>
      </w:r>
      <w:r w:rsidRPr="00EE0379">
        <w:rPr>
          <w:rFonts w:ascii="Times New Roman" w:hAnsi="Times New Roman"/>
        </w:rPr>
        <w:t xml:space="preserve">is </w:t>
      </w:r>
      <w:r w:rsidRPr="00EE0379" w:rsidR="00624E2D">
        <w:rPr>
          <w:rFonts w:ascii="Times New Roman" w:hAnsi="Times New Roman"/>
        </w:rPr>
        <w:t xml:space="preserve">for </w:t>
      </w:r>
      <w:r w:rsidR="00464A54">
        <w:rPr>
          <w:rFonts w:ascii="Times New Roman" w:hAnsi="Times New Roman"/>
        </w:rPr>
        <w:t xml:space="preserve">Medical Scientist </w:t>
      </w:r>
      <w:r w:rsidRPr="00464A54">
        <w:rPr>
          <w:rFonts w:ascii="Times New Roman" w:hAnsi="Times New Roman"/>
        </w:rPr>
        <w:t xml:space="preserve">Health Care </w:t>
      </w:r>
      <w:r w:rsidRPr="00464A54" w:rsidR="00EA3462">
        <w:rPr>
          <w:rFonts w:ascii="Times New Roman" w:hAnsi="Times New Roman"/>
        </w:rPr>
        <w:t>Practitioners and Technical Occupations</w:t>
      </w:r>
      <w:r w:rsidRPr="00464A54">
        <w:rPr>
          <w:rFonts w:ascii="Times New Roman" w:hAnsi="Times New Roman"/>
        </w:rPr>
        <w:t xml:space="preserve"> (</w:t>
      </w:r>
      <w:r w:rsidRPr="00464A54">
        <w:rPr>
          <w:rFonts w:ascii="Times New Roman" w:hAnsi="Times New Roman"/>
          <w:noProof/>
        </w:rPr>
        <w:t>29-</w:t>
      </w:r>
      <w:r w:rsidRPr="00464A54" w:rsidR="00EA3462">
        <w:rPr>
          <w:rFonts w:ascii="Times New Roman" w:hAnsi="Times New Roman"/>
          <w:noProof/>
        </w:rPr>
        <w:t>0000</w:t>
      </w:r>
      <w:r w:rsidRPr="00EA3462">
        <w:rPr>
          <w:rFonts w:ascii="Times New Roman" w:hAnsi="Times New Roman"/>
          <w:noProof/>
          <w:highlight w:val="yellow"/>
        </w:rPr>
        <w:t>)</w:t>
      </w:r>
      <w:r w:rsidRPr="00EE0379">
        <w:rPr>
          <w:rFonts w:ascii="Times New Roman" w:hAnsi="Times New Roman"/>
          <w:noProof/>
        </w:rPr>
        <w:t xml:space="preserve"> and </w:t>
      </w:r>
      <w:r w:rsidR="006B2171">
        <w:rPr>
          <w:rFonts w:ascii="Times New Roman" w:hAnsi="Times New Roman"/>
          <w:noProof/>
        </w:rPr>
        <w:t xml:space="preserve">the </w:t>
      </w:r>
      <w:r w:rsidRPr="00EE0379">
        <w:rPr>
          <w:rFonts w:ascii="Times New Roman" w:hAnsi="Times New Roman"/>
        </w:rPr>
        <w:t>General Public (</w:t>
      </w:r>
      <w:r w:rsidRPr="00EE0379">
        <w:rPr>
          <w:rFonts w:ascii="Times New Roman" w:hAnsi="Times New Roman"/>
          <w:noProof/>
        </w:rPr>
        <w:t xml:space="preserve">All occupations, 00-0000) </w:t>
      </w:r>
      <w:r w:rsidRPr="00EE0379" w:rsidR="00624E2D">
        <w:rPr>
          <w:rFonts w:ascii="Times New Roman" w:hAnsi="Times New Roman"/>
          <w:noProof/>
        </w:rPr>
        <w:t>from the Bureau of Labor Statistics</w:t>
      </w:r>
      <w:r w:rsidRPr="00EE0379">
        <w:rPr>
          <w:rFonts w:ascii="Times New Roman" w:hAnsi="Times New Roman"/>
          <w:noProof/>
        </w:rPr>
        <w:t xml:space="preserve"> (</w:t>
      </w:r>
      <w:hyperlink r:id="rId7" w:anchor="29-0000" w:history="1">
        <w:r w:rsidRPr="00672976" w:rsidR="00464A54">
          <w:rPr>
            <w:rStyle w:val="Hyperlink"/>
            <w:rFonts w:ascii="Times New Roman" w:hAnsi="Times New Roman"/>
            <w:noProof/>
          </w:rPr>
          <w:t>https://www.bls.gov/oes/2024/May/oes_nat.htm#29-0000</w:t>
        </w:r>
      </w:hyperlink>
      <w:r w:rsidRPr="00EE0379">
        <w:rPr>
          <w:rFonts w:ascii="Times New Roman" w:hAnsi="Times New Roman"/>
          <w:noProof/>
        </w:rPr>
        <w:t>)</w:t>
      </w:r>
      <w:r w:rsidRPr="00EE0379" w:rsidR="00825285">
        <w:rPr>
          <w:rFonts w:ascii="Times New Roman" w:hAnsi="Times New Roman"/>
        </w:rPr>
        <w:tab/>
      </w:r>
    </w:p>
    <w:p w:rsidR="00984C98" w:rsidP="00300DDD" w14:paraId="74DD5A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984C98" w:rsidP="00300DDD" w14:paraId="167D61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825285" w:rsidRPr="002A1152" w:rsidP="00300DDD" w14:paraId="0B8FE111" w14:textId="6AE2B6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2A1152">
        <w:rPr>
          <w:rFonts w:ascii="Times New Roman" w:hAnsi="Times New Roman"/>
          <w:b/>
          <w:bCs/>
          <w:sz w:val="24"/>
          <w:szCs w:val="24"/>
        </w:rPr>
        <w:t>A.13.</w:t>
      </w:r>
      <w:r w:rsidR="000D1493">
        <w:rPr>
          <w:rFonts w:ascii="Times New Roman" w:hAnsi="Times New Roman"/>
          <w:b/>
          <w:bCs/>
          <w:sz w:val="24"/>
          <w:szCs w:val="24"/>
        </w:rPr>
        <w:tab/>
      </w:r>
      <w:r w:rsidRPr="002A1152">
        <w:rPr>
          <w:rFonts w:ascii="Times New Roman" w:hAnsi="Times New Roman"/>
          <w:b/>
          <w:bCs/>
          <w:sz w:val="24"/>
          <w:szCs w:val="24"/>
          <w:u w:val="single"/>
        </w:rPr>
        <w:t xml:space="preserve">Estimate of Other Total Annual Cost Burden to Respondents </w:t>
      </w:r>
      <w:r w:rsidR="00E46270">
        <w:rPr>
          <w:rFonts w:ascii="Times New Roman" w:hAnsi="Times New Roman"/>
          <w:b/>
          <w:bCs/>
          <w:sz w:val="24"/>
          <w:szCs w:val="24"/>
          <w:u w:val="single"/>
        </w:rPr>
        <w:t>or</w:t>
      </w:r>
      <w:r w:rsidRPr="002A1152" w:rsidR="00E46270">
        <w:rPr>
          <w:rFonts w:ascii="Times New Roman" w:hAnsi="Times New Roman"/>
          <w:b/>
          <w:bCs/>
          <w:sz w:val="24"/>
          <w:szCs w:val="24"/>
          <w:u w:val="single"/>
        </w:rPr>
        <w:t xml:space="preserve"> </w:t>
      </w:r>
      <w:r w:rsidRPr="002A1152">
        <w:rPr>
          <w:rFonts w:ascii="Times New Roman" w:hAnsi="Times New Roman"/>
          <w:b/>
          <w:bCs/>
          <w:sz w:val="24"/>
          <w:szCs w:val="24"/>
          <w:u w:val="single"/>
        </w:rPr>
        <w:t>Recordkeepers</w:t>
      </w:r>
    </w:p>
    <w:p w:rsidR="00C34AA7" w:rsidP="008471D8" w14:paraId="6265BE93" w14:textId="374B02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2A1152">
        <w:rPr>
          <w:rFonts w:ascii="Times New Roman" w:hAnsi="Times New Roman"/>
          <w:sz w:val="24"/>
          <w:szCs w:val="24"/>
        </w:rPr>
        <w:t>There are no capital or start-up costs to the data collection efforts requested</w:t>
      </w:r>
      <w:r w:rsidR="00262712">
        <w:rPr>
          <w:rFonts w:ascii="Times New Roman" w:hAnsi="Times New Roman"/>
          <w:sz w:val="24"/>
          <w:szCs w:val="24"/>
        </w:rPr>
        <w:t>,</w:t>
      </w:r>
      <w:r w:rsidRPr="002A1152">
        <w:rPr>
          <w:rFonts w:ascii="Times New Roman" w:hAnsi="Times New Roman"/>
          <w:sz w:val="24"/>
          <w:szCs w:val="24"/>
        </w:rPr>
        <w:t xml:space="preserve"> nor are any costs associated with </w:t>
      </w:r>
      <w:r w:rsidR="006B3F8C">
        <w:rPr>
          <w:rFonts w:ascii="Times New Roman" w:hAnsi="Times New Roman"/>
          <w:sz w:val="24"/>
          <w:szCs w:val="24"/>
        </w:rPr>
        <w:t xml:space="preserve">the </w:t>
      </w:r>
      <w:r w:rsidRPr="002A1152">
        <w:rPr>
          <w:rFonts w:ascii="Times New Roman" w:hAnsi="Times New Roman"/>
          <w:sz w:val="24"/>
          <w:szCs w:val="24"/>
        </w:rPr>
        <w:t>operation, maintenance</w:t>
      </w:r>
      <w:r w:rsidR="006B3F8C">
        <w:rPr>
          <w:rFonts w:ascii="Times New Roman" w:hAnsi="Times New Roman"/>
          <w:sz w:val="24"/>
          <w:szCs w:val="24"/>
        </w:rPr>
        <w:t>,</w:t>
      </w:r>
      <w:r w:rsidRPr="002A1152">
        <w:rPr>
          <w:rFonts w:ascii="Times New Roman" w:hAnsi="Times New Roman"/>
          <w:sz w:val="24"/>
          <w:szCs w:val="24"/>
        </w:rPr>
        <w:t xml:space="preserve"> or purchase of services.</w:t>
      </w:r>
    </w:p>
    <w:p w:rsidR="006A55C5" w:rsidP="00300DDD" w14:paraId="267C71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825285" w:rsidRPr="002A1152" w:rsidP="00300DDD" w14:paraId="744CFF11" w14:textId="32E216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2A1152">
        <w:rPr>
          <w:rFonts w:ascii="Times New Roman" w:hAnsi="Times New Roman"/>
          <w:b/>
          <w:bCs/>
          <w:sz w:val="24"/>
          <w:szCs w:val="24"/>
        </w:rPr>
        <w:t>A.14.</w:t>
      </w:r>
      <w:r w:rsidR="000D1493">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rsidR="00E46270" w:rsidRPr="00AB0BCF" w:rsidP="00AB0BCF" w14:paraId="4BFB27F4" w14:textId="6F6E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2A1152">
        <w:rPr>
          <w:rFonts w:ascii="Times New Roman" w:hAnsi="Times New Roman"/>
          <w:sz w:val="24"/>
          <w:szCs w:val="24"/>
        </w:rPr>
        <w:t xml:space="preserve">The estimated annualized cost to the federal government is </w:t>
      </w:r>
      <w:r w:rsidRPr="00407F1B">
        <w:rPr>
          <w:rFonts w:ascii="Times New Roman" w:hAnsi="Times New Roman"/>
          <w:sz w:val="24"/>
          <w:szCs w:val="24"/>
          <w:highlight w:val="yellow"/>
        </w:rPr>
        <w:t xml:space="preserve">approximately </w:t>
      </w:r>
      <w:r w:rsidRPr="00407F1B" w:rsidR="00C34AA7">
        <w:rPr>
          <w:rFonts w:ascii="Times New Roman" w:hAnsi="Times New Roman"/>
          <w:sz w:val="24"/>
          <w:szCs w:val="24"/>
          <w:highlight w:val="yellow"/>
        </w:rPr>
        <w:t>$</w:t>
      </w:r>
      <w:r w:rsidR="0020074F">
        <w:rPr>
          <w:rFonts w:ascii="Times New Roman" w:hAnsi="Times New Roman"/>
          <w:sz w:val="24"/>
          <w:szCs w:val="24"/>
          <w:highlight w:val="yellow"/>
        </w:rPr>
        <w:t>11</w:t>
      </w:r>
      <w:r w:rsidRPr="00407F1B" w:rsidR="00407F1B">
        <w:rPr>
          <w:rFonts w:ascii="Times New Roman" w:hAnsi="Times New Roman"/>
          <w:sz w:val="24"/>
          <w:szCs w:val="24"/>
          <w:highlight w:val="yellow"/>
        </w:rPr>
        <w:t>,</w:t>
      </w:r>
      <w:r w:rsidR="0020074F">
        <w:rPr>
          <w:rFonts w:ascii="Times New Roman" w:hAnsi="Times New Roman"/>
          <w:sz w:val="24"/>
          <w:szCs w:val="24"/>
          <w:highlight w:val="yellow"/>
        </w:rPr>
        <w:t>285</w:t>
      </w:r>
      <w:r w:rsidRPr="00407F1B" w:rsidR="00407F1B">
        <w:rPr>
          <w:rFonts w:ascii="Times New Roman" w:hAnsi="Times New Roman"/>
          <w:sz w:val="24"/>
          <w:szCs w:val="24"/>
          <w:highlight w:val="yellow"/>
        </w:rPr>
        <w:t>.</w:t>
      </w:r>
      <w:r w:rsidRPr="0020074F" w:rsidR="0020074F">
        <w:rPr>
          <w:rFonts w:ascii="Times New Roman" w:hAnsi="Times New Roman"/>
          <w:sz w:val="24"/>
          <w:szCs w:val="24"/>
          <w:highlight w:val="yellow"/>
        </w:rPr>
        <w:t>58</w:t>
      </w:r>
      <w:r w:rsidRPr="0020074F">
        <w:rPr>
          <w:rFonts w:ascii="Times New Roman" w:hAnsi="Times New Roman"/>
          <w:sz w:val="24"/>
          <w:szCs w:val="24"/>
          <w:highlight w:val="yellow"/>
        </w:rPr>
        <w:t>.</w:t>
      </w:r>
      <w:r w:rsidRPr="002A1152">
        <w:rPr>
          <w:rFonts w:ascii="Times New Roman" w:hAnsi="Times New Roman"/>
          <w:sz w:val="24"/>
          <w:szCs w:val="24"/>
        </w:rPr>
        <w:t xml:space="preserve">  </w:t>
      </w:r>
    </w:p>
    <w:p w:rsidR="00E46270" w:rsidP="000842FD" w14:paraId="2F6213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p>
    <w:p w:rsidR="007B16D3" w:rsidP="000842FD" w14:paraId="493BD04A" w14:textId="71B106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r w:rsidRPr="002A1152">
        <w:rPr>
          <w:rFonts w:ascii="Times New Roman" w:hAnsi="Times New Roman"/>
          <w:b/>
          <w:sz w:val="24"/>
          <w:szCs w:val="24"/>
        </w:rPr>
        <w:t>Table A.14-</w:t>
      </w:r>
      <w:r w:rsidRPr="002A1152" w:rsidR="00EA35C5">
        <w:rPr>
          <w:rFonts w:ascii="Times New Roman" w:hAnsi="Times New Roman"/>
          <w:b/>
          <w:sz w:val="24"/>
          <w:szCs w:val="24"/>
        </w:rPr>
        <w:t>1 Annualized</w:t>
      </w:r>
      <w:r w:rsidRPr="002A1152">
        <w:rPr>
          <w:rFonts w:ascii="Times New Roman" w:hAnsi="Times New Roman"/>
          <w:b/>
          <w:sz w:val="24"/>
          <w:szCs w:val="24"/>
        </w:rPr>
        <w:t xml:space="preserve"> Costs to the Federal Government</w:t>
      </w:r>
    </w:p>
    <w:tbl>
      <w:tblPr>
        <w:tblW w:w="9522" w:type="dxa"/>
        <w:tblInd w:w="-465" w:type="dxa"/>
        <w:tblCellMar>
          <w:left w:w="0" w:type="dxa"/>
          <w:right w:w="0" w:type="dxa"/>
        </w:tblCellMar>
        <w:tblLook w:val="04A0"/>
      </w:tblPr>
      <w:tblGrid>
        <w:gridCol w:w="2733"/>
        <w:gridCol w:w="1582"/>
        <w:gridCol w:w="1128"/>
        <w:gridCol w:w="1363"/>
        <w:gridCol w:w="1358"/>
        <w:gridCol w:w="1358"/>
      </w:tblGrid>
      <w:tr w14:paraId="4E465035" w14:textId="77777777" w:rsidTr="004A2CA5">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0074F" w:rsidRPr="0020074F" w:rsidP="0020074F" w14:paraId="61679712" w14:textId="77777777">
            <w:pPr>
              <w:autoSpaceDE/>
              <w:autoSpaceDN/>
              <w:adjustRightInd/>
              <w:jc w:val="center"/>
              <w:rPr>
                <w:rFonts w:ascii="Calibri" w:eastAsia="Calibri" w:hAnsi="Calibri" w:cs="Calibri"/>
                <w:b/>
                <w:bCs/>
                <w:color w:val="000000"/>
                <w:sz w:val="24"/>
                <w:szCs w:val="24"/>
              </w:rPr>
            </w:pPr>
            <w:r w:rsidRPr="0020074F">
              <w:rPr>
                <w:rFonts w:ascii="Calibri" w:hAnsi="Calibri" w:cs="Calibri"/>
                <w:b/>
                <w:bCs/>
                <w:color w:val="000000"/>
                <w:sz w:val="24"/>
                <w:szCs w:val="24"/>
              </w:rPr>
              <w:t>Cost Descriptions</w:t>
            </w:r>
          </w:p>
        </w:tc>
        <w:tc>
          <w:tcPr>
            <w:tcW w:w="1592" w:type="dxa"/>
            <w:tcBorders>
              <w:top w:val="single" w:sz="8" w:space="0" w:color="auto"/>
              <w:left w:val="nil"/>
              <w:bottom w:val="single" w:sz="8" w:space="0" w:color="auto"/>
              <w:right w:val="single" w:sz="8" w:space="0" w:color="auto"/>
            </w:tcBorders>
            <w:shd w:val="clear" w:color="auto" w:fill="auto"/>
            <w:vAlign w:val="bottom"/>
          </w:tcPr>
          <w:p w:rsidR="0020074F" w:rsidRPr="0020074F" w:rsidP="0020074F" w14:paraId="5E1B75E0" w14:textId="77777777">
            <w:pPr>
              <w:autoSpaceDE/>
              <w:autoSpaceDN/>
              <w:adjustRightInd/>
              <w:jc w:val="center"/>
              <w:rPr>
                <w:rFonts w:ascii="Calibri" w:eastAsia="Calibri" w:hAnsi="Calibri" w:cs="Calibri"/>
                <w:b/>
                <w:bCs/>
                <w:color w:val="1F497D"/>
                <w:sz w:val="24"/>
                <w:szCs w:val="24"/>
              </w:rPr>
            </w:pPr>
          </w:p>
          <w:p w:rsidR="0020074F" w:rsidRPr="0020074F" w:rsidP="0020074F" w14:paraId="5E85FCEC" w14:textId="77777777">
            <w:pPr>
              <w:autoSpaceDE/>
              <w:autoSpaceDN/>
              <w:adjustRightInd/>
              <w:jc w:val="center"/>
              <w:rPr>
                <w:rFonts w:ascii="Calibri" w:eastAsia="Calibri" w:hAnsi="Calibri" w:cs="Calibri"/>
                <w:b/>
                <w:bCs/>
                <w:color w:val="000000"/>
                <w:sz w:val="24"/>
                <w:szCs w:val="24"/>
              </w:rPr>
            </w:pPr>
            <w:r w:rsidRPr="0020074F">
              <w:rPr>
                <w:rFonts w:ascii="Calibri" w:hAnsi="Calibri" w:cs="Calibri"/>
                <w:b/>
                <w:bCs/>
                <w:color w:val="000000"/>
                <w:sz w:val="24"/>
                <w:szCs w:val="24"/>
              </w:rPr>
              <w:t>Grade/Step</w:t>
            </w:r>
          </w:p>
        </w:tc>
        <w:tc>
          <w:tcPr>
            <w:tcW w:w="11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0074F" w:rsidRPr="0020074F" w:rsidP="0020074F" w14:paraId="5544CED0" w14:textId="77777777">
            <w:pPr>
              <w:autoSpaceDE/>
              <w:autoSpaceDN/>
              <w:adjustRightInd/>
              <w:jc w:val="center"/>
              <w:rPr>
                <w:rFonts w:ascii="Calibri" w:eastAsia="Calibri" w:hAnsi="Calibri" w:cs="Calibri"/>
                <w:b/>
                <w:bCs/>
                <w:sz w:val="24"/>
                <w:szCs w:val="24"/>
              </w:rPr>
            </w:pPr>
            <w:r w:rsidRPr="0020074F">
              <w:rPr>
                <w:rFonts w:ascii="Calibri" w:hAnsi="Calibri" w:cs="Calibri"/>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0074F" w:rsidRPr="0020074F" w:rsidP="0020074F" w14:paraId="4BBEDCAD" w14:textId="77777777">
            <w:pPr>
              <w:autoSpaceDE/>
              <w:autoSpaceDN/>
              <w:adjustRightInd/>
              <w:jc w:val="center"/>
              <w:rPr>
                <w:rFonts w:ascii="Calibri" w:eastAsia="Calibri" w:hAnsi="Calibri" w:cs="Calibri"/>
                <w:b/>
                <w:bCs/>
                <w:sz w:val="24"/>
                <w:szCs w:val="24"/>
              </w:rPr>
            </w:pPr>
            <w:r w:rsidRPr="0020074F">
              <w:rPr>
                <w:rFonts w:ascii="Calibri" w:hAnsi="Calibri" w:cs="Calibri"/>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rsidR="0020074F" w:rsidRPr="0020074F" w:rsidP="0020074F" w14:paraId="7424ADE3" w14:textId="77777777">
            <w:pPr>
              <w:autoSpaceDE/>
              <w:autoSpaceDN/>
              <w:adjustRightInd/>
              <w:jc w:val="center"/>
              <w:rPr>
                <w:rFonts w:ascii="Calibri" w:hAnsi="Calibri" w:cs="Calibri"/>
                <w:b/>
                <w:bCs/>
                <w:sz w:val="24"/>
                <w:szCs w:val="24"/>
              </w:rPr>
            </w:pPr>
            <w:r w:rsidRPr="0020074F">
              <w:rPr>
                <w:rFonts w:ascii="Calibri" w:hAnsi="Calibri" w:cs="Calibri"/>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20074F" w:rsidRPr="0020074F" w:rsidP="0020074F" w14:paraId="3E2FE3E3" w14:textId="77777777">
            <w:pPr>
              <w:autoSpaceDE/>
              <w:autoSpaceDN/>
              <w:adjustRightInd/>
              <w:jc w:val="center"/>
              <w:rPr>
                <w:rFonts w:ascii="Calibri" w:hAnsi="Calibri" w:cs="Calibri"/>
                <w:b/>
                <w:bCs/>
                <w:sz w:val="24"/>
                <w:szCs w:val="24"/>
              </w:rPr>
            </w:pPr>
            <w:r w:rsidRPr="0020074F">
              <w:rPr>
                <w:rFonts w:ascii="Calibri" w:hAnsi="Calibri" w:cs="Calibri"/>
                <w:b/>
                <w:bCs/>
                <w:sz w:val="24"/>
                <w:szCs w:val="24"/>
              </w:rPr>
              <w:t>Total Cost to Gov’t</w:t>
            </w:r>
          </w:p>
        </w:tc>
      </w:tr>
      <w:tr w14:paraId="357F278E"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7A7FEBCC" w14:textId="77777777">
            <w:pPr>
              <w:autoSpaceDE/>
              <w:autoSpaceDN/>
              <w:adjustRightInd/>
              <w:rPr>
                <w:rFonts w:ascii="Calibri" w:eastAsia="Calibri" w:hAnsi="Calibri" w:cs="Calibri"/>
                <w:b/>
                <w:color w:val="000000"/>
                <w:sz w:val="24"/>
                <w:szCs w:val="24"/>
                <w:highlight w:val="yellow"/>
              </w:rPr>
            </w:pPr>
            <w:r w:rsidRPr="0020074F">
              <w:rPr>
                <w:rFonts w:ascii="Calibri" w:eastAsia="Calibri" w:hAnsi="Calibri" w:cs="Calibri"/>
                <w:b/>
                <w:color w:val="000000"/>
                <w:sz w:val="24"/>
                <w:szCs w:val="24"/>
              </w:rPr>
              <w:t>Federal Oversight</w:t>
            </w:r>
          </w:p>
        </w:tc>
        <w:tc>
          <w:tcPr>
            <w:tcW w:w="1592" w:type="dxa"/>
            <w:tcBorders>
              <w:top w:val="nil"/>
              <w:left w:val="nil"/>
              <w:bottom w:val="single" w:sz="8" w:space="0" w:color="auto"/>
              <w:right w:val="single" w:sz="8" w:space="0" w:color="auto"/>
            </w:tcBorders>
            <w:shd w:val="pct20" w:color="auto" w:fill="auto"/>
          </w:tcPr>
          <w:p w:rsidR="0020074F" w:rsidRPr="0020074F" w:rsidP="0020074F" w14:paraId="1885FC8E" w14:textId="77777777">
            <w:pPr>
              <w:autoSpaceDE/>
              <w:autoSpaceDN/>
              <w:adjustRightInd/>
              <w:jc w:val="right"/>
              <w:rPr>
                <w:rFonts w:ascii="Calibri" w:eastAsia="Calibri" w:hAnsi="Calibri" w:cs="Calibri"/>
                <w:color w:val="000000"/>
                <w:sz w:val="24"/>
                <w:szCs w:val="24"/>
                <w:highlight w:val="yellow"/>
              </w:rPr>
            </w:pPr>
          </w:p>
        </w:tc>
        <w:tc>
          <w:tcPr>
            <w:tcW w:w="1108"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0074F" w:rsidRPr="0020074F" w:rsidP="0020074F" w14:paraId="67368869"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0074F" w:rsidRPr="0020074F" w:rsidP="0020074F" w14:paraId="321C0028"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773EDA77"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shd w:val="pct20" w:color="auto" w:fill="auto"/>
          </w:tcPr>
          <w:p w:rsidR="0020074F" w:rsidRPr="0020074F" w:rsidP="0020074F" w14:paraId="41500290" w14:textId="77777777">
            <w:pPr>
              <w:autoSpaceDE/>
              <w:autoSpaceDN/>
              <w:adjustRightInd/>
              <w:rPr>
                <w:rFonts w:ascii="Calibri" w:hAnsi="Calibri" w:cs="Calibri"/>
                <w:sz w:val="24"/>
                <w:szCs w:val="24"/>
              </w:rPr>
            </w:pPr>
          </w:p>
        </w:tc>
      </w:tr>
      <w:tr w14:paraId="74C525B8"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6A1D32DF" w14:textId="77777777">
            <w:pPr>
              <w:autoSpaceDE/>
              <w:autoSpaceDN/>
              <w:adjustRightInd/>
              <w:rPr>
                <w:rFonts w:ascii="Calibri" w:eastAsia="Calibri" w:hAnsi="Calibri" w:cs="Calibri"/>
                <w:sz w:val="24"/>
                <w:szCs w:val="24"/>
              </w:rPr>
            </w:pPr>
            <w:r w:rsidRPr="0020074F">
              <w:rPr>
                <w:rFonts w:ascii="Calibri" w:eastAsia="Calibri" w:hAnsi="Calibri" w:cs="Calibri"/>
                <w:sz w:val="24"/>
                <w:szCs w:val="24"/>
              </w:rPr>
              <w:t>Chief Program Analyst</w:t>
            </w:r>
          </w:p>
        </w:tc>
        <w:tc>
          <w:tcPr>
            <w:tcW w:w="1592" w:type="dxa"/>
            <w:tcBorders>
              <w:top w:val="nil"/>
              <w:left w:val="nil"/>
              <w:bottom w:val="single" w:sz="8" w:space="0" w:color="auto"/>
              <w:right w:val="single" w:sz="8" w:space="0" w:color="auto"/>
            </w:tcBorders>
          </w:tcPr>
          <w:p w:rsidR="0020074F" w:rsidRPr="0020074F" w:rsidP="0020074F" w14:paraId="7D358F5E" w14:textId="77777777">
            <w:pPr>
              <w:autoSpaceDE/>
              <w:autoSpaceDN/>
              <w:adjustRightInd/>
              <w:rPr>
                <w:rFonts w:ascii="Calibri" w:eastAsia="Calibri" w:hAnsi="Calibri" w:cs="Calibri"/>
                <w:sz w:val="24"/>
                <w:szCs w:val="24"/>
              </w:rPr>
            </w:pPr>
            <w:r w:rsidRPr="0020074F">
              <w:rPr>
                <w:rFonts w:ascii="Calibri" w:eastAsia="Calibri" w:hAnsi="Calibri" w:cs="Calibri"/>
                <w:sz w:val="24"/>
                <w:szCs w:val="24"/>
              </w:rPr>
              <w:t>GS-14, Step 10</w:t>
            </w: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0AC9FABE" w14:textId="64544578">
            <w:pPr>
              <w:autoSpaceDE/>
              <w:autoSpaceDN/>
              <w:adjustRightInd/>
              <w:rPr>
                <w:rFonts w:ascii="Calibri" w:eastAsia="Calibri" w:hAnsi="Calibri" w:cs="Calibri"/>
                <w:sz w:val="24"/>
                <w:szCs w:val="24"/>
              </w:rPr>
            </w:pPr>
            <w:r w:rsidRPr="0020074F">
              <w:rPr>
                <w:rFonts w:ascii="Calibri" w:eastAsia="Calibri" w:hAnsi="Calibri" w:cs="Calibri"/>
                <w:sz w:val="24"/>
                <w:szCs w:val="24"/>
              </w:rPr>
              <w:t>$18</w:t>
            </w:r>
            <w:r>
              <w:rPr>
                <w:rFonts w:ascii="Calibri" w:eastAsia="Calibri" w:hAnsi="Calibri" w:cs="Calibri"/>
                <w:sz w:val="24"/>
                <w:szCs w:val="24"/>
              </w:rPr>
              <w:t>7</w:t>
            </w:r>
            <w:r w:rsidRPr="0020074F">
              <w:rPr>
                <w:rFonts w:ascii="Calibri" w:eastAsia="Calibri" w:hAnsi="Calibri" w:cs="Calibri"/>
                <w:sz w:val="24"/>
                <w:szCs w:val="24"/>
              </w:rPr>
              <w:t>,</w:t>
            </w:r>
            <w:r>
              <w:rPr>
                <w:rFonts w:ascii="Calibri" w:eastAsia="Calibri" w:hAnsi="Calibri" w:cs="Calibri"/>
                <w:sz w:val="24"/>
                <w:szCs w:val="24"/>
              </w:rPr>
              <w:t>093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01A50C97" w14:textId="77777777">
            <w:pPr>
              <w:autoSpaceDE/>
              <w:autoSpaceDN/>
              <w:adjustRightInd/>
              <w:rPr>
                <w:rFonts w:ascii="Calibri" w:eastAsia="Calibri" w:hAnsi="Calibri" w:cs="Calibri"/>
                <w:sz w:val="24"/>
                <w:szCs w:val="24"/>
              </w:rPr>
            </w:pPr>
            <w:r w:rsidRPr="0020074F">
              <w:rPr>
                <w:rFonts w:ascii="Calibri" w:eastAsia="Calibri" w:hAnsi="Calibri" w:cs="Calibri"/>
                <w:sz w:val="24"/>
                <w:szCs w:val="24"/>
              </w:rPr>
              <w:t>5%</w:t>
            </w:r>
          </w:p>
        </w:tc>
        <w:tc>
          <w:tcPr>
            <w:tcW w:w="1363" w:type="dxa"/>
            <w:tcBorders>
              <w:top w:val="nil"/>
              <w:left w:val="nil"/>
              <w:bottom w:val="single" w:sz="8" w:space="0" w:color="auto"/>
              <w:right w:val="single" w:sz="8" w:space="0" w:color="auto"/>
            </w:tcBorders>
            <w:shd w:val="clear" w:color="auto" w:fill="BFBFBF"/>
          </w:tcPr>
          <w:p w:rsidR="0020074F" w:rsidRPr="0020074F" w:rsidP="0020074F" w14:paraId="33E0ADDC"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4D7AA2D2" w14:textId="1108B602">
            <w:pPr>
              <w:autoSpaceDE/>
              <w:autoSpaceDN/>
              <w:adjustRightInd/>
              <w:rPr>
                <w:rFonts w:ascii="Calibri" w:hAnsi="Calibri" w:cs="Calibri"/>
                <w:sz w:val="24"/>
                <w:szCs w:val="24"/>
              </w:rPr>
            </w:pPr>
            <w:r w:rsidRPr="0020074F">
              <w:rPr>
                <w:rFonts w:ascii="Calibri" w:hAnsi="Calibri" w:cs="Calibri"/>
                <w:sz w:val="24"/>
                <w:szCs w:val="24"/>
              </w:rPr>
              <w:t xml:space="preserve"> $</w:t>
            </w:r>
            <w:r>
              <w:rPr>
                <w:rFonts w:ascii="Calibri" w:hAnsi="Calibri" w:cs="Calibri"/>
                <w:sz w:val="24"/>
                <w:szCs w:val="24"/>
              </w:rPr>
              <w:t>11</w:t>
            </w:r>
            <w:r w:rsidRPr="0020074F">
              <w:rPr>
                <w:rFonts w:ascii="Calibri" w:hAnsi="Calibri" w:cs="Calibri"/>
                <w:sz w:val="24"/>
                <w:szCs w:val="24"/>
              </w:rPr>
              <w:t>,</w:t>
            </w:r>
            <w:r>
              <w:rPr>
                <w:rFonts w:ascii="Calibri" w:hAnsi="Calibri" w:cs="Calibri"/>
                <w:sz w:val="24"/>
                <w:szCs w:val="24"/>
              </w:rPr>
              <w:t>285</w:t>
            </w:r>
            <w:r w:rsidRPr="0020074F">
              <w:rPr>
                <w:rFonts w:ascii="Calibri" w:hAnsi="Calibri" w:cs="Calibri"/>
                <w:sz w:val="24"/>
                <w:szCs w:val="24"/>
              </w:rPr>
              <w:t>.</w:t>
            </w:r>
            <w:r>
              <w:rPr>
                <w:rFonts w:ascii="Calibri" w:hAnsi="Calibri" w:cs="Calibri"/>
                <w:sz w:val="24"/>
                <w:szCs w:val="24"/>
              </w:rPr>
              <w:t>58</w:t>
            </w:r>
          </w:p>
        </w:tc>
      </w:tr>
      <w:tr w14:paraId="2533585F"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4A44FAAE" w14:textId="77777777">
            <w:pPr>
              <w:autoSpaceDE/>
              <w:autoSpaceDN/>
              <w:adjustRightInd/>
              <w:rPr>
                <w:rFonts w:ascii="Calibri" w:eastAsia="Calibri" w:hAnsi="Calibri" w:cs="Calibri"/>
                <w:sz w:val="24"/>
                <w:szCs w:val="24"/>
              </w:rPr>
            </w:pPr>
          </w:p>
        </w:tc>
        <w:tc>
          <w:tcPr>
            <w:tcW w:w="1592" w:type="dxa"/>
            <w:tcBorders>
              <w:top w:val="nil"/>
              <w:left w:val="nil"/>
              <w:bottom w:val="single" w:sz="8" w:space="0" w:color="auto"/>
              <w:right w:val="single" w:sz="8" w:space="0" w:color="auto"/>
            </w:tcBorders>
          </w:tcPr>
          <w:p w:rsidR="0020074F" w:rsidRPr="0020074F" w:rsidP="0020074F" w14:paraId="5351C259"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0299A1B5" w14:textId="77777777">
            <w:pPr>
              <w:autoSpaceDE/>
              <w:autoSpaceDN/>
              <w:adjustRightInd/>
              <w:jc w:val="both"/>
              <w:rPr>
                <w:rFonts w:ascii="Calibri" w:eastAsia="Calibri" w:hAnsi="Calibri" w:cs="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5ADD5A45"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78DCE7C6"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4DB49E8D" w14:textId="77777777">
            <w:pPr>
              <w:autoSpaceDE/>
              <w:autoSpaceDN/>
              <w:adjustRightInd/>
              <w:rPr>
                <w:rFonts w:ascii="Calibri" w:hAnsi="Calibri" w:cs="Calibri"/>
                <w:sz w:val="24"/>
                <w:szCs w:val="24"/>
              </w:rPr>
            </w:pPr>
          </w:p>
        </w:tc>
      </w:tr>
      <w:tr w14:paraId="45472287"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DD2037D" w14:textId="77777777">
            <w:pPr>
              <w:autoSpaceDE/>
              <w:autoSpaceDN/>
              <w:adjustRightInd/>
              <w:rPr>
                <w:rFonts w:ascii="Calibri" w:eastAsia="Calibri" w:hAnsi="Calibri" w:cs="Calibri"/>
                <w:sz w:val="24"/>
                <w:szCs w:val="24"/>
              </w:rPr>
            </w:pPr>
          </w:p>
        </w:tc>
        <w:tc>
          <w:tcPr>
            <w:tcW w:w="1592" w:type="dxa"/>
            <w:tcBorders>
              <w:top w:val="nil"/>
              <w:left w:val="nil"/>
              <w:bottom w:val="single" w:sz="8" w:space="0" w:color="auto"/>
              <w:right w:val="single" w:sz="8" w:space="0" w:color="auto"/>
            </w:tcBorders>
          </w:tcPr>
          <w:p w:rsidR="0020074F" w:rsidRPr="0020074F" w:rsidP="0020074F" w14:paraId="3CDC971F"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759E4964"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547265F5"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43BE3FBF"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74A050C2" w14:textId="77777777">
            <w:pPr>
              <w:autoSpaceDE/>
              <w:autoSpaceDN/>
              <w:adjustRightInd/>
              <w:rPr>
                <w:rFonts w:ascii="Calibri" w:hAnsi="Calibri" w:cs="Calibri"/>
                <w:sz w:val="24"/>
                <w:szCs w:val="24"/>
              </w:rPr>
            </w:pPr>
          </w:p>
        </w:tc>
      </w:tr>
      <w:tr w14:paraId="166F1DFE"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55047F37" w14:textId="77777777">
            <w:pPr>
              <w:autoSpaceDE/>
              <w:autoSpaceDN/>
              <w:adjustRightInd/>
              <w:rPr>
                <w:rFonts w:ascii="Calibri" w:eastAsia="Calibri" w:hAnsi="Calibri" w:cs="Calibri"/>
                <w:b/>
                <w:sz w:val="24"/>
                <w:szCs w:val="24"/>
              </w:rPr>
            </w:pPr>
            <w:r w:rsidRPr="0020074F">
              <w:rPr>
                <w:rFonts w:ascii="Calibri" w:eastAsia="Calibri" w:hAnsi="Calibri" w:cs="Calibri"/>
                <w:b/>
                <w:sz w:val="24"/>
                <w:szCs w:val="24"/>
              </w:rPr>
              <w:t>Contractor Cost</w:t>
            </w:r>
          </w:p>
        </w:tc>
        <w:tc>
          <w:tcPr>
            <w:tcW w:w="1592" w:type="dxa"/>
            <w:tcBorders>
              <w:top w:val="nil"/>
              <w:left w:val="nil"/>
              <w:bottom w:val="single" w:sz="8" w:space="0" w:color="auto"/>
              <w:right w:val="single" w:sz="8" w:space="0" w:color="auto"/>
            </w:tcBorders>
            <w:shd w:val="clear" w:color="auto" w:fill="BFBFBF"/>
          </w:tcPr>
          <w:p w:rsidR="0020074F" w:rsidRPr="0020074F" w:rsidP="0020074F" w14:paraId="28914995"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68C0A27B"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41264238"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73C729A5"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3A958DD6" w14:textId="77777777">
            <w:pPr>
              <w:autoSpaceDE/>
              <w:autoSpaceDN/>
              <w:adjustRightInd/>
              <w:rPr>
                <w:rFonts w:ascii="Calibri" w:hAnsi="Calibri" w:cs="Calibri"/>
                <w:sz w:val="24"/>
                <w:szCs w:val="24"/>
              </w:rPr>
            </w:pPr>
          </w:p>
        </w:tc>
      </w:tr>
      <w:tr w14:paraId="5774B765" w14:textId="77777777" w:rsidTr="004A2CA5">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FDE452F" w14:textId="77777777">
            <w:pPr>
              <w:autoSpaceDE/>
              <w:autoSpaceDN/>
              <w:adjustRightInd/>
              <w:rPr>
                <w:rFonts w:ascii="Calibri" w:eastAsia="Calibri" w:hAnsi="Calibri" w:cs="Calibri"/>
                <w:sz w:val="24"/>
                <w:szCs w:val="24"/>
              </w:rPr>
            </w:pPr>
          </w:p>
        </w:tc>
        <w:tc>
          <w:tcPr>
            <w:tcW w:w="1592" w:type="dxa"/>
            <w:tcBorders>
              <w:top w:val="nil"/>
              <w:left w:val="nil"/>
              <w:bottom w:val="single" w:sz="8" w:space="0" w:color="auto"/>
              <w:right w:val="single" w:sz="8" w:space="0" w:color="auto"/>
            </w:tcBorders>
          </w:tcPr>
          <w:p w:rsidR="0020074F" w:rsidRPr="0020074F" w:rsidP="0020074F" w14:paraId="4D10E07C"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1B80C8AB"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69F16DF"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103D3F2F"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18AD9D35" w14:textId="77777777">
            <w:pPr>
              <w:autoSpaceDE/>
              <w:autoSpaceDN/>
              <w:adjustRightInd/>
              <w:rPr>
                <w:rFonts w:ascii="Calibri" w:hAnsi="Calibri" w:cs="Calibri"/>
                <w:sz w:val="24"/>
                <w:szCs w:val="24"/>
              </w:rPr>
            </w:pPr>
          </w:p>
        </w:tc>
      </w:tr>
      <w:tr w14:paraId="2ED19608"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3AC7FEC" w14:textId="77777777">
            <w:pPr>
              <w:autoSpaceDE/>
              <w:autoSpaceDN/>
              <w:adjustRightInd/>
              <w:rPr>
                <w:rFonts w:ascii="Calibri" w:eastAsia="Calibri" w:hAnsi="Calibri" w:cs="Calibri"/>
                <w:sz w:val="24"/>
                <w:szCs w:val="24"/>
              </w:rPr>
            </w:pPr>
            <w:r w:rsidRPr="0020074F">
              <w:rPr>
                <w:rFonts w:ascii="Calibri" w:eastAsia="Calibri" w:hAnsi="Calibri" w:cs="Calibri"/>
                <w:sz w:val="24"/>
                <w:szCs w:val="24"/>
              </w:rPr>
              <w:t>Overhead/Supplies</w:t>
            </w:r>
          </w:p>
        </w:tc>
        <w:tc>
          <w:tcPr>
            <w:tcW w:w="1592" w:type="dxa"/>
            <w:tcBorders>
              <w:top w:val="nil"/>
              <w:left w:val="nil"/>
              <w:bottom w:val="single" w:sz="8" w:space="0" w:color="auto"/>
              <w:right w:val="single" w:sz="8" w:space="0" w:color="auto"/>
            </w:tcBorders>
            <w:shd w:val="clear" w:color="auto" w:fill="BFBFBF"/>
          </w:tcPr>
          <w:p w:rsidR="0020074F" w:rsidRPr="0020074F" w:rsidP="0020074F" w14:paraId="7BB45F97"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0074F" w:rsidRPr="0020074F" w:rsidP="0020074F" w14:paraId="51C42269"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0074F" w:rsidRPr="0020074F" w:rsidP="0020074F" w14:paraId="6C68E80A"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0F9AB5EE"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3D422D53" w14:textId="77777777">
            <w:pPr>
              <w:autoSpaceDE/>
              <w:autoSpaceDN/>
              <w:adjustRightInd/>
              <w:rPr>
                <w:rFonts w:ascii="Calibri" w:hAnsi="Calibri" w:cs="Calibri"/>
                <w:sz w:val="24"/>
                <w:szCs w:val="24"/>
              </w:rPr>
            </w:pPr>
          </w:p>
        </w:tc>
      </w:tr>
      <w:tr w14:paraId="55D7128C"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9757252" w14:textId="77777777">
            <w:pPr>
              <w:autoSpaceDE/>
              <w:autoSpaceDN/>
              <w:adjustRightInd/>
              <w:rPr>
                <w:rFonts w:ascii="Calibri" w:eastAsia="Calibri" w:hAnsi="Calibri" w:cs="Calibri"/>
                <w:color w:val="1F497D"/>
                <w:sz w:val="24"/>
                <w:szCs w:val="24"/>
                <w:highlight w:val="yellow"/>
              </w:rPr>
            </w:pPr>
            <w:r w:rsidRPr="0020074F">
              <w:rPr>
                <w:rFonts w:ascii="Calibri" w:eastAsia="Calibri" w:hAnsi="Calibri" w:cs="Calibri"/>
                <w:sz w:val="24"/>
                <w:szCs w:val="24"/>
              </w:rPr>
              <w:t>Other Cost</w:t>
            </w:r>
          </w:p>
        </w:tc>
        <w:tc>
          <w:tcPr>
            <w:tcW w:w="1592" w:type="dxa"/>
            <w:tcBorders>
              <w:top w:val="nil"/>
              <w:left w:val="nil"/>
              <w:bottom w:val="single" w:sz="8" w:space="0" w:color="auto"/>
              <w:right w:val="single" w:sz="8" w:space="0" w:color="auto"/>
            </w:tcBorders>
            <w:shd w:val="clear" w:color="auto" w:fill="BFBFBF"/>
          </w:tcPr>
          <w:p w:rsidR="0020074F" w:rsidRPr="0020074F" w:rsidP="0020074F" w14:paraId="69AF7D37" w14:textId="77777777">
            <w:pPr>
              <w:autoSpaceDE/>
              <w:autoSpaceDN/>
              <w:adjustRightInd/>
              <w:rPr>
                <w:rFonts w:ascii="Calibri" w:eastAsia="Calibri" w:hAnsi="Calibri" w:cs="Calibri"/>
                <w:color w:val="000000"/>
                <w:sz w:val="24"/>
                <w:szCs w:val="24"/>
              </w:rPr>
            </w:pPr>
          </w:p>
        </w:tc>
        <w:tc>
          <w:tcPr>
            <w:tcW w:w="110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0074F" w:rsidRPr="0020074F" w:rsidP="0020074F" w14:paraId="0C63A77C"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0074F" w:rsidRPr="0020074F" w:rsidP="0020074F" w14:paraId="661D073A"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02AB2B58" w14:textId="77777777">
            <w:pPr>
              <w:autoSpaceDE/>
              <w:autoSpaceDN/>
              <w:adjustRightInd/>
              <w:rPr>
                <w:rFonts w:ascii="Calibri" w:eastAsia="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7BAA7853" w14:textId="77777777">
            <w:pPr>
              <w:autoSpaceDE/>
              <w:autoSpaceDN/>
              <w:adjustRightInd/>
              <w:rPr>
                <w:rFonts w:ascii="Calibri" w:eastAsia="Calibri" w:hAnsi="Calibri" w:cs="Calibri"/>
                <w:sz w:val="24"/>
                <w:szCs w:val="24"/>
              </w:rPr>
            </w:pPr>
          </w:p>
        </w:tc>
      </w:tr>
      <w:tr w14:paraId="7AE11EC6" w14:textId="77777777" w:rsidTr="0020074F">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074F" w:rsidRPr="0020074F" w:rsidP="0020074F" w14:paraId="36EF6225" w14:textId="77777777">
            <w:pPr>
              <w:autoSpaceDE/>
              <w:autoSpaceDN/>
              <w:adjustRightInd/>
              <w:rPr>
                <w:rFonts w:ascii="Calibri" w:eastAsia="Calibri" w:hAnsi="Calibri" w:cs="Calibri"/>
                <w:bCs/>
                <w:color w:val="000000"/>
                <w:sz w:val="24"/>
                <w:szCs w:val="24"/>
              </w:rPr>
            </w:pPr>
          </w:p>
        </w:tc>
        <w:tc>
          <w:tcPr>
            <w:tcW w:w="1592" w:type="dxa"/>
            <w:tcBorders>
              <w:top w:val="nil"/>
              <w:left w:val="nil"/>
              <w:bottom w:val="single" w:sz="8" w:space="0" w:color="auto"/>
              <w:right w:val="single" w:sz="8" w:space="0" w:color="auto"/>
            </w:tcBorders>
            <w:shd w:val="clear" w:color="auto" w:fill="BFBFBF"/>
          </w:tcPr>
          <w:p w:rsidR="0020074F" w:rsidRPr="0020074F" w:rsidP="0020074F" w14:paraId="189504C1"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20074F" w:rsidRPr="0020074F" w:rsidP="0020074F" w14:paraId="27E41564"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0074F" w:rsidRPr="0020074F" w:rsidP="0020074F" w14:paraId="7415566C" w14:textId="77777777">
            <w:pPr>
              <w:autoSpaceDE/>
              <w:autoSpaceDN/>
              <w:adjustRightInd/>
              <w:rPr>
                <w:rFonts w:ascii="Calibri" w:eastAsia="Calibri" w:hAnsi="Calibri" w:cs="Calibri"/>
                <w:b/>
                <w:sz w:val="24"/>
                <w:szCs w:val="24"/>
              </w:rPr>
            </w:pPr>
          </w:p>
        </w:tc>
        <w:tc>
          <w:tcPr>
            <w:tcW w:w="1363" w:type="dxa"/>
            <w:tcBorders>
              <w:top w:val="nil"/>
              <w:left w:val="nil"/>
              <w:bottom w:val="single" w:sz="8" w:space="0" w:color="auto"/>
              <w:right w:val="single" w:sz="8" w:space="0" w:color="auto"/>
            </w:tcBorders>
            <w:shd w:val="clear" w:color="auto" w:fill="BFBFBF"/>
          </w:tcPr>
          <w:p w:rsidR="0020074F" w:rsidRPr="0020074F" w:rsidP="0020074F" w14:paraId="71A156CE" w14:textId="77777777">
            <w:pPr>
              <w:autoSpaceDE/>
              <w:autoSpaceDN/>
              <w:adjustRightInd/>
              <w:rPr>
                <w:rFonts w:ascii="Calibri" w:hAnsi="Calibri" w:cs="Calibri"/>
                <w:b/>
                <w:sz w:val="24"/>
                <w:szCs w:val="24"/>
              </w:rPr>
            </w:pPr>
          </w:p>
        </w:tc>
        <w:tc>
          <w:tcPr>
            <w:tcW w:w="1363" w:type="dxa"/>
            <w:tcBorders>
              <w:top w:val="nil"/>
              <w:left w:val="nil"/>
              <w:bottom w:val="single" w:sz="8" w:space="0" w:color="auto"/>
              <w:right w:val="single" w:sz="8" w:space="0" w:color="auto"/>
            </w:tcBorders>
          </w:tcPr>
          <w:p w:rsidR="0020074F" w:rsidRPr="0020074F" w:rsidP="0020074F" w14:paraId="558C1A7D" w14:textId="77777777">
            <w:pPr>
              <w:autoSpaceDE/>
              <w:autoSpaceDN/>
              <w:adjustRightInd/>
              <w:rPr>
                <w:rFonts w:ascii="Calibri" w:hAnsi="Calibri" w:cs="Calibri"/>
                <w:b/>
                <w:sz w:val="24"/>
                <w:szCs w:val="24"/>
              </w:rPr>
            </w:pPr>
          </w:p>
        </w:tc>
      </w:tr>
      <w:tr w14:paraId="50DC9F82" w14:textId="77777777" w:rsidTr="004A2CA5">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20074F" w:rsidRPr="0020074F" w:rsidP="0020074F" w14:paraId="29668B51" w14:textId="77777777">
            <w:pPr>
              <w:autoSpaceDE/>
              <w:autoSpaceDN/>
              <w:adjustRightInd/>
              <w:rPr>
                <w:rFonts w:ascii="Calibri" w:hAnsi="Calibri" w:cs="Calibri"/>
                <w:b/>
                <w:sz w:val="24"/>
                <w:szCs w:val="24"/>
              </w:rPr>
            </w:pPr>
            <w:r w:rsidRPr="0020074F">
              <w:rPr>
                <w:rFonts w:ascii="Calibri" w:hAnsi="Calibri" w:cs="Calibri"/>
                <w:b/>
                <w:sz w:val="24"/>
                <w:szCs w:val="24"/>
              </w:rPr>
              <w:t>Total</w:t>
            </w:r>
          </w:p>
        </w:tc>
        <w:tc>
          <w:tcPr>
            <w:tcW w:w="1592" w:type="dxa"/>
            <w:tcBorders>
              <w:top w:val="nil"/>
              <w:left w:val="nil"/>
              <w:bottom w:val="nil"/>
              <w:right w:val="single" w:sz="8" w:space="0" w:color="auto"/>
            </w:tcBorders>
          </w:tcPr>
          <w:p w:rsidR="0020074F" w:rsidRPr="0020074F" w:rsidP="0020074F" w14:paraId="5DFB5FCA" w14:textId="77777777">
            <w:pPr>
              <w:autoSpaceDE/>
              <w:autoSpaceDN/>
              <w:adjustRightInd/>
              <w:rPr>
                <w:rFonts w:ascii="Calibri" w:eastAsia="Calibri" w:hAnsi="Calibri" w:cs="Calibri"/>
                <w:sz w:val="24"/>
                <w:szCs w:val="24"/>
              </w:rPr>
            </w:pPr>
          </w:p>
        </w:tc>
        <w:tc>
          <w:tcPr>
            <w:tcW w:w="1108" w:type="dxa"/>
            <w:tcBorders>
              <w:top w:val="nil"/>
              <w:left w:val="nil"/>
              <w:bottom w:val="nil"/>
              <w:right w:val="single" w:sz="8" w:space="0" w:color="auto"/>
            </w:tcBorders>
            <w:noWrap/>
            <w:tcMar>
              <w:top w:w="0" w:type="dxa"/>
              <w:left w:w="108" w:type="dxa"/>
              <w:bottom w:w="0" w:type="dxa"/>
              <w:right w:w="108" w:type="dxa"/>
            </w:tcMar>
            <w:vAlign w:val="bottom"/>
            <w:hideMark/>
          </w:tcPr>
          <w:p w:rsidR="0020074F" w:rsidRPr="0020074F" w:rsidP="0020074F" w14:paraId="0F96BF86" w14:textId="77777777">
            <w:pPr>
              <w:autoSpaceDE/>
              <w:autoSpaceDN/>
              <w:adjustRightInd/>
              <w:rPr>
                <w:rFonts w:ascii="Calibri" w:hAnsi="Calibri" w:cs="Calibri"/>
                <w:sz w:val="24"/>
                <w:szCs w:val="24"/>
              </w:rPr>
            </w:pPr>
          </w:p>
        </w:tc>
        <w:tc>
          <w:tcPr>
            <w:tcW w:w="1363" w:type="dxa"/>
            <w:tcBorders>
              <w:top w:val="nil"/>
              <w:left w:val="nil"/>
              <w:bottom w:val="nil"/>
              <w:right w:val="single" w:sz="8" w:space="0" w:color="auto"/>
            </w:tcBorders>
            <w:noWrap/>
            <w:tcMar>
              <w:top w:w="0" w:type="dxa"/>
              <w:left w:w="108" w:type="dxa"/>
              <w:bottom w:w="0" w:type="dxa"/>
              <w:right w:w="108" w:type="dxa"/>
            </w:tcMar>
            <w:vAlign w:val="bottom"/>
            <w:hideMark/>
          </w:tcPr>
          <w:p w:rsidR="0020074F" w:rsidRPr="0020074F" w:rsidP="0020074F" w14:paraId="253E23D0" w14:textId="77777777">
            <w:pPr>
              <w:autoSpaceDE/>
              <w:autoSpaceDN/>
              <w:adjustRightInd/>
              <w:rPr>
                <w:rFonts w:ascii="Calibri" w:hAnsi="Calibri" w:cs="Calibri"/>
                <w:sz w:val="24"/>
                <w:szCs w:val="24"/>
              </w:rPr>
            </w:pPr>
          </w:p>
        </w:tc>
        <w:tc>
          <w:tcPr>
            <w:tcW w:w="1363" w:type="dxa"/>
            <w:tcBorders>
              <w:top w:val="nil"/>
              <w:left w:val="nil"/>
              <w:bottom w:val="nil"/>
              <w:right w:val="single" w:sz="8" w:space="0" w:color="auto"/>
            </w:tcBorders>
          </w:tcPr>
          <w:p w:rsidR="0020074F" w:rsidRPr="0020074F" w:rsidP="0020074F" w14:paraId="5BF0BBE0" w14:textId="77777777">
            <w:pPr>
              <w:autoSpaceDE/>
              <w:autoSpaceDN/>
              <w:adjustRightInd/>
              <w:rPr>
                <w:rFonts w:ascii="Calibri" w:hAnsi="Calibri" w:cs="Calibri"/>
                <w:sz w:val="24"/>
                <w:szCs w:val="24"/>
              </w:rPr>
            </w:pPr>
          </w:p>
        </w:tc>
        <w:tc>
          <w:tcPr>
            <w:tcW w:w="1363" w:type="dxa"/>
            <w:tcBorders>
              <w:top w:val="nil"/>
              <w:left w:val="nil"/>
              <w:bottom w:val="nil"/>
              <w:right w:val="single" w:sz="8" w:space="0" w:color="auto"/>
            </w:tcBorders>
          </w:tcPr>
          <w:p w:rsidR="0020074F" w:rsidRPr="0020074F" w:rsidP="0020074F" w14:paraId="3D646DFF" w14:textId="526CB2AF">
            <w:pPr>
              <w:autoSpaceDE/>
              <w:autoSpaceDN/>
              <w:adjustRightInd/>
              <w:rPr>
                <w:rFonts w:ascii="Calibri" w:hAnsi="Calibri" w:cs="Calibri"/>
                <w:sz w:val="24"/>
                <w:szCs w:val="24"/>
              </w:rPr>
            </w:pPr>
            <w:r w:rsidRPr="0020074F">
              <w:rPr>
                <w:rFonts w:ascii="Calibri" w:hAnsi="Calibri" w:cs="Calibri"/>
                <w:sz w:val="24"/>
                <w:szCs w:val="24"/>
              </w:rPr>
              <w:t xml:space="preserve">   $</w:t>
            </w:r>
            <w:r>
              <w:rPr>
                <w:rFonts w:ascii="Calibri" w:hAnsi="Calibri" w:cs="Calibri"/>
                <w:sz w:val="24"/>
                <w:szCs w:val="24"/>
              </w:rPr>
              <w:t>11</w:t>
            </w:r>
            <w:r w:rsidRPr="0020074F">
              <w:rPr>
                <w:rFonts w:ascii="Calibri" w:hAnsi="Calibri" w:cs="Calibri"/>
                <w:sz w:val="24"/>
                <w:szCs w:val="24"/>
              </w:rPr>
              <w:t>,2</w:t>
            </w:r>
            <w:r>
              <w:rPr>
                <w:rFonts w:ascii="Calibri" w:hAnsi="Calibri" w:cs="Calibri"/>
                <w:sz w:val="24"/>
                <w:szCs w:val="24"/>
              </w:rPr>
              <w:t>85</w:t>
            </w:r>
            <w:r w:rsidRPr="0020074F">
              <w:rPr>
                <w:rFonts w:ascii="Calibri" w:hAnsi="Calibri" w:cs="Calibri"/>
                <w:sz w:val="24"/>
                <w:szCs w:val="24"/>
              </w:rPr>
              <w:t>.</w:t>
            </w:r>
            <w:r>
              <w:rPr>
                <w:rFonts w:ascii="Calibri" w:hAnsi="Calibri" w:cs="Calibri"/>
                <w:sz w:val="24"/>
                <w:szCs w:val="24"/>
              </w:rPr>
              <w:t>58</w:t>
            </w:r>
          </w:p>
        </w:tc>
      </w:tr>
      <w:tr w14:paraId="38BEB76C" w14:textId="77777777" w:rsidTr="004A2CA5">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3AE03031" w14:textId="77777777">
            <w:pPr>
              <w:autoSpaceDE/>
              <w:autoSpaceDN/>
              <w:adjustRightInd/>
              <w:rPr>
                <w:rFonts w:ascii="Calibri" w:hAnsi="Calibri" w:cs="Calibri"/>
                <w:b/>
                <w:sz w:val="24"/>
                <w:szCs w:val="24"/>
              </w:rPr>
            </w:pPr>
          </w:p>
        </w:tc>
        <w:tc>
          <w:tcPr>
            <w:tcW w:w="1592" w:type="dxa"/>
            <w:tcBorders>
              <w:top w:val="nil"/>
              <w:left w:val="nil"/>
              <w:bottom w:val="single" w:sz="8" w:space="0" w:color="auto"/>
              <w:right w:val="single" w:sz="8" w:space="0" w:color="auto"/>
            </w:tcBorders>
          </w:tcPr>
          <w:p w:rsidR="0020074F" w:rsidRPr="0020074F" w:rsidP="0020074F" w14:paraId="45A5AC34" w14:textId="77777777">
            <w:pPr>
              <w:autoSpaceDE/>
              <w:autoSpaceDN/>
              <w:adjustRightInd/>
              <w:rPr>
                <w:rFonts w:ascii="Calibri" w:eastAsia="Calibri" w:hAnsi="Calibri" w:cs="Calibri"/>
                <w:sz w:val="24"/>
                <w:szCs w:val="24"/>
              </w:rPr>
            </w:pPr>
          </w:p>
        </w:tc>
        <w:tc>
          <w:tcPr>
            <w:tcW w:w="110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7FCC3003"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0074F" w:rsidRPr="0020074F" w:rsidP="0020074F" w14:paraId="575ADD39"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53E5B08B" w14:textId="77777777">
            <w:pPr>
              <w:autoSpaceDE/>
              <w:autoSpaceDN/>
              <w:adjustRightInd/>
              <w:rPr>
                <w:rFonts w:ascii="Calibri" w:hAnsi="Calibri" w:cs="Calibri"/>
                <w:sz w:val="24"/>
                <w:szCs w:val="24"/>
              </w:rPr>
            </w:pPr>
          </w:p>
        </w:tc>
        <w:tc>
          <w:tcPr>
            <w:tcW w:w="1363" w:type="dxa"/>
            <w:tcBorders>
              <w:top w:val="nil"/>
              <w:left w:val="nil"/>
              <w:bottom w:val="single" w:sz="8" w:space="0" w:color="auto"/>
              <w:right w:val="single" w:sz="8" w:space="0" w:color="auto"/>
            </w:tcBorders>
          </w:tcPr>
          <w:p w:rsidR="0020074F" w:rsidRPr="0020074F" w:rsidP="0020074F" w14:paraId="2DB2A05C" w14:textId="77777777">
            <w:pPr>
              <w:autoSpaceDE/>
              <w:autoSpaceDN/>
              <w:adjustRightInd/>
              <w:rPr>
                <w:rFonts w:ascii="Calibri" w:hAnsi="Calibri" w:cs="Calibri"/>
                <w:sz w:val="24"/>
                <w:szCs w:val="24"/>
              </w:rPr>
            </w:pPr>
          </w:p>
        </w:tc>
      </w:tr>
    </w:tbl>
    <w:p w:rsidR="008A4CC3" w:rsidP="000842FD" w14:paraId="3FE7F0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p>
    <w:p w:rsidR="008A4CC3" w:rsidP="000842FD" w14:paraId="7A522B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p>
    <w:p w:rsidR="008A4CC3" w:rsidRPr="002A1152" w:rsidP="000842FD" w14:paraId="2E087A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sz w:val="24"/>
          <w:szCs w:val="24"/>
        </w:rPr>
      </w:pPr>
    </w:p>
    <w:p w:rsidR="00AB0BCF" w:rsidP="00EE0379" w14:paraId="68DCB62E" w14:textId="746E7F76">
      <w:pPr>
        <w:autoSpaceDE/>
        <w:autoSpaceDN/>
        <w:adjustRightInd/>
        <w:spacing w:after="200" w:line="276" w:lineRule="auto"/>
        <w:rPr>
          <w:rFonts w:ascii="Times New Roman" w:hAnsi="Times New Roman"/>
          <w:b/>
          <w:bCs/>
          <w:sz w:val="24"/>
          <w:szCs w:val="24"/>
        </w:rPr>
      </w:pPr>
      <w:r w:rsidRPr="00C34AA7">
        <w:rPr>
          <w:rFonts w:ascii="Calibri" w:eastAsia="Calibri" w:hAnsi="Calibri"/>
          <w:sz w:val="22"/>
          <w:szCs w:val="22"/>
        </w:rPr>
        <w:t xml:space="preserve">** </w:t>
      </w:r>
      <w:r w:rsidR="006B3F8C">
        <w:rPr>
          <w:rFonts w:ascii="Calibri" w:eastAsia="Calibri" w:hAnsi="Calibri"/>
          <w:sz w:val="22"/>
          <w:szCs w:val="22"/>
        </w:rPr>
        <w:t>The</w:t>
      </w:r>
      <w:r w:rsidR="00CC7AE0">
        <w:rPr>
          <w:rFonts w:ascii="Calibri" w:eastAsia="Calibri" w:hAnsi="Calibri"/>
          <w:sz w:val="22"/>
          <w:szCs w:val="22"/>
        </w:rPr>
        <w:t xml:space="preserve"> salary table above is cited from </w:t>
      </w:r>
      <w:hyperlink r:id="rId8" w:history="1">
        <w:r w:rsidRPr="00B05145" w:rsidR="00CC7AE0">
          <w:rPr>
            <w:rStyle w:val="Hyperlink"/>
            <w:rFonts w:ascii="Calibri" w:eastAsia="Calibri" w:hAnsi="Calibri"/>
            <w:sz w:val="22"/>
            <w:lang w:eastAsia="zh-CN"/>
          </w:rPr>
          <w:t>https://www.opm.gov/policy-data-oversight/pay-leave/salaries-wages/salary-tables/</w:t>
        </w:r>
        <w:r w:rsidR="00407F1B">
          <w:rPr>
            <w:rStyle w:val="Hyperlink"/>
            <w:rFonts w:ascii="Calibri" w:eastAsia="Calibri" w:hAnsi="Calibri"/>
            <w:sz w:val="22"/>
            <w:lang w:eastAsia="zh-CN"/>
          </w:rPr>
          <w:t>2</w:t>
        </w:r>
        <w:r w:rsidR="00FA410D">
          <w:rPr>
            <w:rStyle w:val="Hyperlink"/>
            <w:rFonts w:ascii="Calibri" w:eastAsia="Calibri" w:hAnsi="Calibri"/>
            <w:sz w:val="22"/>
            <w:lang w:eastAsia="zh-CN"/>
          </w:rPr>
          <w:t>6</w:t>
        </w:r>
        <w:r w:rsidRPr="00B05145" w:rsidR="00CC7AE0">
          <w:rPr>
            <w:rStyle w:val="Hyperlink"/>
            <w:rFonts w:ascii="Calibri" w:eastAsia="Calibri" w:hAnsi="Calibri"/>
            <w:sz w:val="22"/>
            <w:lang w:eastAsia="zh-CN"/>
          </w:rPr>
          <w:t>Tables/html/DCB.aspx</w:t>
        </w:r>
      </w:hyperlink>
      <w:r>
        <w:rPr>
          <w:rFonts w:ascii="Times New Roman" w:hAnsi="Times New Roman"/>
          <w:b/>
          <w:bCs/>
          <w:sz w:val="24"/>
          <w:szCs w:val="24"/>
        </w:rPr>
        <w:br w:type="page"/>
      </w:r>
    </w:p>
    <w:p w:rsidR="00085760" w:rsidRPr="00085760" w:rsidP="00115D8D" w14:paraId="3F07CA63" w14:textId="0DD614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rsidR="008471D8" w:rsidP="00115D8D" w14:paraId="3E0E7C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Pr>
          <w:rFonts w:ascii="Times New Roman" w:hAnsi="Times New Roman"/>
          <w:sz w:val="24"/>
          <w:szCs w:val="24"/>
        </w:rPr>
        <w:tab/>
      </w:r>
    </w:p>
    <w:p w:rsidR="008471D8" w:rsidP="00115D8D" w14:paraId="01B85B3A" w14:textId="080F02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r w:rsidRPr="0005291D">
        <w:rPr>
          <w:rFonts w:ascii="Times New Roman" w:hAnsi="Times New Roman"/>
          <w:sz w:val="24"/>
          <w:szCs w:val="24"/>
          <w:highlight w:val="yellow"/>
        </w:rPr>
        <w:t xml:space="preserve">This is a </w:t>
      </w:r>
      <w:r w:rsidRPr="0005291D" w:rsidR="003D74E4">
        <w:rPr>
          <w:rFonts w:ascii="Times New Roman" w:hAnsi="Times New Roman"/>
          <w:sz w:val="24"/>
          <w:szCs w:val="24"/>
          <w:highlight w:val="yellow"/>
        </w:rPr>
        <w:t>Revision</w:t>
      </w:r>
      <w:r w:rsidRPr="0005291D">
        <w:rPr>
          <w:rFonts w:ascii="Times New Roman" w:hAnsi="Times New Roman"/>
          <w:sz w:val="24"/>
          <w:szCs w:val="24"/>
          <w:highlight w:val="yellow"/>
        </w:rPr>
        <w:t xml:space="preserve"> of a currently approved submission</w:t>
      </w:r>
      <w:r w:rsidRPr="0005291D" w:rsidR="003D74E4">
        <w:rPr>
          <w:rFonts w:ascii="Times New Roman" w:hAnsi="Times New Roman"/>
          <w:sz w:val="24"/>
          <w:szCs w:val="24"/>
          <w:highlight w:val="yellow"/>
        </w:rPr>
        <w:t xml:space="preserve"> </w:t>
      </w:r>
      <w:r w:rsidRPr="0005291D" w:rsidR="0005291D">
        <w:rPr>
          <w:rFonts w:ascii="Times New Roman" w:hAnsi="Times New Roman"/>
          <w:sz w:val="24"/>
          <w:szCs w:val="24"/>
          <w:highlight w:val="yellow"/>
        </w:rPr>
        <w:t>result</w:t>
      </w:r>
      <w:r w:rsidR="0005291D">
        <w:rPr>
          <w:rFonts w:ascii="Times New Roman" w:hAnsi="Times New Roman"/>
          <w:sz w:val="24"/>
          <w:szCs w:val="24"/>
          <w:highlight w:val="yellow"/>
        </w:rPr>
        <w:t xml:space="preserve">ing in </w:t>
      </w:r>
      <w:r w:rsidRPr="0005291D" w:rsidR="0005291D">
        <w:rPr>
          <w:rFonts w:ascii="Times New Roman" w:hAnsi="Times New Roman"/>
          <w:sz w:val="24"/>
          <w:szCs w:val="24"/>
          <w:highlight w:val="yellow"/>
        </w:rPr>
        <w:t xml:space="preserve">a program change due to agency discretion to ensure that </w:t>
      </w:r>
      <w:r w:rsidR="0005291D">
        <w:rPr>
          <w:rFonts w:ascii="Times New Roman" w:hAnsi="Times New Roman"/>
          <w:sz w:val="24"/>
          <w:szCs w:val="24"/>
          <w:highlight w:val="yellow"/>
        </w:rPr>
        <w:t>the agency</w:t>
      </w:r>
      <w:r w:rsidRPr="0005291D" w:rsidR="0005291D">
        <w:rPr>
          <w:rFonts w:ascii="Times New Roman" w:hAnsi="Times New Roman"/>
          <w:sz w:val="24"/>
          <w:szCs w:val="24"/>
          <w:highlight w:val="yellow"/>
        </w:rPr>
        <w:t xml:space="preserve"> can accommodate future needs for pilot testing.</w:t>
      </w:r>
    </w:p>
    <w:p w:rsidR="00961AFC" w:rsidP="00115D8D" w14:paraId="1B1B66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rPr>
      </w:pPr>
    </w:p>
    <w:p w:rsidR="00085760" w:rsidP="00115D8D" w14:paraId="43B5F206" w14:textId="189081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b/>
          <w:bCs/>
          <w:sz w:val="24"/>
          <w:szCs w:val="24"/>
          <w:u w:val="single"/>
        </w:rPr>
      </w:pPr>
      <w:r w:rsidRPr="00085760">
        <w:rPr>
          <w:rFonts w:ascii="Times New Roman" w:hAnsi="Times New Roman"/>
          <w:b/>
          <w:bCs/>
          <w:sz w:val="24"/>
          <w:szCs w:val="24"/>
        </w:rPr>
        <w:t>A.16.</w:t>
      </w:r>
      <w:r w:rsidR="00F55875">
        <w:rPr>
          <w:rFonts w:ascii="Times New Roman" w:hAnsi="Times New Roman"/>
          <w:sz w:val="24"/>
          <w:szCs w:val="24"/>
        </w:rPr>
        <w:tab/>
      </w:r>
      <w:r w:rsidRPr="00085760">
        <w:rPr>
          <w:rFonts w:ascii="Times New Roman" w:hAnsi="Times New Roman"/>
          <w:sz w:val="24"/>
          <w:szCs w:val="24"/>
        </w:rPr>
        <w:t xml:space="preserve"> </w:t>
      </w:r>
      <w:r w:rsidRPr="00085760">
        <w:rPr>
          <w:rFonts w:ascii="Times New Roman" w:hAnsi="Times New Roman"/>
          <w:b/>
          <w:bCs/>
          <w:sz w:val="24"/>
          <w:szCs w:val="24"/>
          <w:u w:val="single"/>
        </w:rPr>
        <w:t>Plans for Tabulation and Publication and Project Time Schedule</w:t>
      </w:r>
    </w:p>
    <w:p w:rsidR="008471D8" w:rsidRPr="00085760" w:rsidP="00115D8D" w14:paraId="7AC9FB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rPr>
          <w:rFonts w:ascii="Times New Roman" w:hAnsi="Times New Roman"/>
          <w:sz w:val="24"/>
          <w:szCs w:val="24"/>
        </w:rPr>
      </w:pPr>
    </w:p>
    <w:p w:rsidR="00F642A3" w:rsidRPr="00085760" w:rsidP="00115D8D" w14:paraId="3612B662" w14:textId="577DB2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rPr>
      </w:pPr>
      <w:r>
        <w:rPr>
          <w:rFonts w:ascii="Times New Roman" w:hAnsi="Times New Roman"/>
          <w:sz w:val="24"/>
          <w:szCs w:val="24"/>
        </w:rPr>
        <w:t>Program, e</w:t>
      </w:r>
      <w:r w:rsidRPr="00085760">
        <w:rPr>
          <w:rFonts w:ascii="Times New Roman" w:hAnsi="Times New Roman"/>
          <w:sz w:val="24"/>
          <w:szCs w:val="24"/>
        </w:rPr>
        <w:t>valuation</w:t>
      </w:r>
      <w:r>
        <w:rPr>
          <w:rFonts w:ascii="Times New Roman" w:hAnsi="Times New Roman"/>
          <w:sz w:val="24"/>
          <w:szCs w:val="24"/>
        </w:rPr>
        <w:t xml:space="preserve"> and </w:t>
      </w:r>
      <w:r>
        <w:rPr>
          <w:rFonts w:ascii="Times New Roman" w:hAnsi="Times New Roman"/>
          <w:sz w:val="24"/>
          <w:szCs w:val="24"/>
        </w:rPr>
        <w:t>research</w:t>
      </w:r>
      <w:r w:rsidRPr="00085760">
        <w:rPr>
          <w:rFonts w:ascii="Times New Roman" w:hAnsi="Times New Roman"/>
          <w:sz w:val="24"/>
          <w:szCs w:val="24"/>
        </w:rPr>
        <w:t xml:space="preserve"> staff will review the material to be tested</w:t>
      </w:r>
      <w:r w:rsidR="006B3F8C">
        <w:rPr>
          <w:rFonts w:ascii="Times New Roman" w:hAnsi="Times New Roman"/>
          <w:sz w:val="24"/>
          <w:szCs w:val="24"/>
        </w:rPr>
        <w:t>,</w:t>
      </w:r>
      <w:r w:rsidRPr="00085760">
        <w:rPr>
          <w:rFonts w:ascii="Times New Roman" w:hAnsi="Times New Roman"/>
          <w:sz w:val="24"/>
          <w:szCs w:val="24"/>
        </w:rPr>
        <w:t xml:space="preserve"> discuss the objectives with the individuals responsible for devel</w:t>
      </w:r>
      <w:r>
        <w:rPr>
          <w:rFonts w:ascii="Times New Roman" w:hAnsi="Times New Roman"/>
          <w:sz w:val="24"/>
          <w:szCs w:val="24"/>
        </w:rPr>
        <w:t>opment</w:t>
      </w:r>
      <w:r w:rsidRPr="00085760">
        <w:rPr>
          <w:rFonts w:ascii="Times New Roman" w:hAnsi="Times New Roman"/>
          <w:sz w:val="24"/>
          <w:szCs w:val="24"/>
        </w:rPr>
        <w:t xml:space="preserve">; determine the analytic questions to be addressed; and then prepare the </w:t>
      </w:r>
      <w:r>
        <w:rPr>
          <w:rFonts w:ascii="Times New Roman" w:hAnsi="Times New Roman"/>
          <w:sz w:val="24"/>
          <w:szCs w:val="24"/>
        </w:rPr>
        <w:t>research</w:t>
      </w:r>
      <w:r w:rsidRPr="00085760">
        <w:rPr>
          <w:rFonts w:ascii="Times New Roman" w:hAnsi="Times New Roman"/>
          <w:sz w:val="24"/>
          <w:szCs w:val="24"/>
        </w:rPr>
        <w:t xml:space="preserve"> </w:t>
      </w:r>
      <w:r w:rsidR="006E285F">
        <w:rPr>
          <w:rFonts w:ascii="Times New Roman" w:hAnsi="Times New Roman"/>
          <w:sz w:val="24"/>
          <w:szCs w:val="24"/>
        </w:rPr>
        <w:t>procedures</w:t>
      </w:r>
      <w:r w:rsidRPr="00085760">
        <w:rPr>
          <w:rFonts w:ascii="Times New Roman" w:hAnsi="Times New Roman"/>
          <w:sz w:val="24"/>
          <w:szCs w:val="24"/>
        </w:rPr>
        <w:t>, instruments, and data analysis plan.  The analys</w:t>
      </w:r>
      <w:r>
        <w:rPr>
          <w:rFonts w:ascii="Times New Roman" w:hAnsi="Times New Roman"/>
          <w:sz w:val="24"/>
          <w:szCs w:val="24"/>
        </w:rPr>
        <w:t>i</w:t>
      </w:r>
      <w:r w:rsidRPr="00085760">
        <w:rPr>
          <w:rFonts w:ascii="Times New Roman" w:hAnsi="Times New Roman"/>
          <w:sz w:val="24"/>
          <w:szCs w:val="24"/>
        </w:rPr>
        <w:t xml:space="preserve">s conducted for each </w:t>
      </w:r>
      <w:r>
        <w:rPr>
          <w:rFonts w:ascii="Times New Roman" w:hAnsi="Times New Roman"/>
          <w:sz w:val="24"/>
          <w:szCs w:val="24"/>
        </w:rPr>
        <w:t xml:space="preserve">study </w:t>
      </w:r>
      <w:r w:rsidRPr="00085760">
        <w:rPr>
          <w:rFonts w:ascii="Times New Roman" w:hAnsi="Times New Roman"/>
          <w:sz w:val="24"/>
          <w:szCs w:val="24"/>
        </w:rPr>
        <w:t xml:space="preserve">will be determined by the </w:t>
      </w:r>
      <w:r w:rsidR="00BF4DF0">
        <w:rPr>
          <w:rFonts w:ascii="Times New Roman" w:hAnsi="Times New Roman"/>
          <w:sz w:val="24"/>
          <w:szCs w:val="24"/>
        </w:rPr>
        <w:t>research objectives</w:t>
      </w:r>
      <w:r w:rsidRPr="00085760">
        <w:rPr>
          <w:rFonts w:ascii="Times New Roman" w:hAnsi="Times New Roman"/>
          <w:sz w:val="24"/>
          <w:szCs w:val="24"/>
        </w:rPr>
        <w:t xml:space="preserve">, the messages being tested, and the audience for the messages.  Specifics of </w:t>
      </w:r>
      <w:r>
        <w:rPr>
          <w:rFonts w:ascii="Times New Roman" w:hAnsi="Times New Roman"/>
          <w:sz w:val="24"/>
          <w:szCs w:val="24"/>
        </w:rPr>
        <w:t>each</w:t>
      </w:r>
      <w:r w:rsidRPr="00085760">
        <w:rPr>
          <w:rFonts w:ascii="Times New Roman" w:hAnsi="Times New Roman"/>
          <w:sz w:val="24"/>
          <w:szCs w:val="24"/>
        </w:rPr>
        <w:t xml:space="preserve"> analys</w:t>
      </w:r>
      <w:r>
        <w:rPr>
          <w:rFonts w:ascii="Times New Roman" w:hAnsi="Times New Roman"/>
          <w:sz w:val="24"/>
          <w:szCs w:val="24"/>
        </w:rPr>
        <w:t>i</w:t>
      </w:r>
      <w:r w:rsidRPr="00085760">
        <w:rPr>
          <w:rFonts w:ascii="Times New Roman" w:hAnsi="Times New Roman"/>
          <w:sz w:val="24"/>
          <w:szCs w:val="24"/>
        </w:rPr>
        <w:t>s cannot be determined until the messages to be</w:t>
      </w:r>
      <w:r>
        <w:rPr>
          <w:rFonts w:ascii="Times New Roman" w:hAnsi="Times New Roman"/>
          <w:sz w:val="24"/>
          <w:szCs w:val="24"/>
        </w:rPr>
        <w:t xml:space="preserve"> </w:t>
      </w:r>
      <w:r w:rsidRPr="00085760">
        <w:rPr>
          <w:rFonts w:ascii="Times New Roman" w:hAnsi="Times New Roman"/>
          <w:sz w:val="24"/>
          <w:szCs w:val="24"/>
        </w:rPr>
        <w:t>tested are prepared.</w:t>
      </w:r>
      <w:r w:rsidR="00CF7C2A">
        <w:rPr>
          <w:rFonts w:ascii="Times New Roman" w:hAnsi="Times New Roman"/>
          <w:sz w:val="24"/>
          <w:szCs w:val="24"/>
        </w:rPr>
        <w:t xml:space="preserve">  </w:t>
      </w:r>
    </w:p>
    <w:p w:rsidR="00E46270" w:rsidRPr="0005291D" w:rsidP="0005291D" w14:paraId="687913A7" w14:textId="4820DD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A65AFB">
        <w:rPr>
          <w:rFonts w:ascii="Times New Roman" w:hAnsi="Times New Roman"/>
          <w:sz w:val="24"/>
          <w:szCs w:val="24"/>
        </w:rPr>
        <w:tab/>
      </w:r>
    </w:p>
    <w:p w:rsidR="00085760" w:rsidRPr="00085760" w:rsidP="000842FD" w14:paraId="3608BD01" w14:textId="39756A3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A.17. </w:t>
      </w:r>
      <w:r w:rsidRPr="00085760">
        <w:rPr>
          <w:rFonts w:ascii="Times New Roman" w:hAnsi="Times New Roman"/>
          <w:b/>
          <w:bCs/>
          <w:sz w:val="24"/>
          <w:szCs w:val="24"/>
          <w:u w:val="single"/>
        </w:rPr>
        <w:t>Reason(s) Display of OMB Expiration Date is Inappropriate</w:t>
      </w:r>
    </w:p>
    <w:p w:rsidR="00085760" w:rsidRPr="00085760" w:rsidP="00115D8D" w14:paraId="08479786" w14:textId="2CCA3B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 w:val="24"/>
          <w:szCs w:val="24"/>
        </w:rPr>
      </w:pPr>
      <w:r w:rsidRPr="00085760">
        <w:rPr>
          <w:rFonts w:ascii="Times New Roman" w:hAnsi="Times New Roman"/>
          <w:sz w:val="24"/>
          <w:szCs w:val="24"/>
        </w:rPr>
        <w:t>N</w:t>
      </w:r>
      <w:r w:rsidR="0005291D">
        <w:rPr>
          <w:rFonts w:ascii="Times New Roman" w:hAnsi="Times New Roman"/>
          <w:sz w:val="24"/>
          <w:szCs w:val="24"/>
        </w:rPr>
        <w:t>IH</w:t>
      </w:r>
      <w:r w:rsidRPr="00085760">
        <w:rPr>
          <w:rFonts w:ascii="Times New Roman" w:hAnsi="Times New Roman"/>
          <w:sz w:val="24"/>
          <w:szCs w:val="24"/>
        </w:rPr>
        <w:t xml:space="preserve"> will continue displaying the OMB control number and expiration date in the upper right-hand corner of all data collection instruments.</w:t>
      </w:r>
    </w:p>
    <w:p w:rsidR="00C34AA7" w:rsidP="000842FD" w14:paraId="3D8CA01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P="000842FD" w14:paraId="574639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A.18. </w:t>
      </w:r>
      <w:r w:rsidRPr="00085760">
        <w:rPr>
          <w:rFonts w:ascii="Times New Roman" w:hAnsi="Times New Roman"/>
          <w:b/>
          <w:bCs/>
          <w:sz w:val="24"/>
          <w:szCs w:val="24"/>
          <w:u w:val="single"/>
        </w:rPr>
        <w:t>Exceptions to Certification for Paperwork Reduction Act Submissions</w:t>
      </w:r>
    </w:p>
    <w:p w:rsidR="00947F9F" w:rsidP="00115D8D" w14:paraId="3C22D312" w14:textId="0D445A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85760">
        <w:rPr>
          <w:rFonts w:ascii="Times New Roman" w:hAnsi="Times New Roman"/>
          <w:sz w:val="24"/>
          <w:szCs w:val="24"/>
        </w:rPr>
        <w:t>N</w:t>
      </w:r>
      <w:r w:rsidR="0005291D">
        <w:rPr>
          <w:rFonts w:ascii="Times New Roman" w:hAnsi="Times New Roman"/>
          <w:sz w:val="24"/>
          <w:szCs w:val="24"/>
        </w:rPr>
        <w:t>I</w:t>
      </w:r>
      <w:r w:rsidR="00603A07">
        <w:rPr>
          <w:rFonts w:ascii="Times New Roman" w:hAnsi="Times New Roman"/>
          <w:sz w:val="24"/>
          <w:szCs w:val="24"/>
        </w:rPr>
        <w:t>H</w:t>
      </w:r>
      <w:r w:rsidRPr="00085760">
        <w:rPr>
          <w:rFonts w:ascii="Times New Roman" w:hAnsi="Times New Roman"/>
          <w:sz w:val="24"/>
          <w:szCs w:val="24"/>
        </w:rPr>
        <w:t xml:space="preserve"> is in full compliance with the provisions contained within the Certification for Paperwork Reduction Act.</w:t>
      </w:r>
      <w:r w:rsidRPr="00085760">
        <w:rPr>
          <w:rFonts w:ascii="Times New Roman" w:hAnsi="Times New Roman"/>
          <w:b/>
          <w:bCs/>
          <w:sz w:val="24"/>
          <w:szCs w:val="24"/>
        </w:rPr>
        <w:t xml:space="preserve"> </w:t>
      </w:r>
    </w:p>
    <w:sectPr w:rsidSect="00EE0379">
      <w:type w:val="continuous"/>
      <w:pgSz w:w="12240" w:h="15840" w:code="1"/>
      <w:pgMar w:top="108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1D8" w:rsidRPr="00196F07" w14:paraId="5BD0F6E4" w14:textId="77777777">
    <w:pPr>
      <w:pStyle w:val="Footer"/>
      <w:jc w:val="center"/>
      <w:rPr>
        <w:rFonts w:ascii="Times New Roman" w:hAnsi="Times New Roman"/>
        <w:sz w:val="24"/>
        <w:szCs w:val="24"/>
      </w:rPr>
    </w:pPr>
    <w:r w:rsidRPr="00196F07">
      <w:rPr>
        <w:rFonts w:ascii="Times New Roman" w:hAnsi="Times New Roman"/>
        <w:sz w:val="24"/>
        <w:szCs w:val="24"/>
      </w:rPr>
      <w:fldChar w:fldCharType="begin"/>
    </w:r>
    <w:r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D52AB6">
      <w:rPr>
        <w:rFonts w:ascii="Times New Roman" w:hAnsi="Times New Roman"/>
        <w:noProof/>
        <w:sz w:val="24"/>
        <w:szCs w:val="24"/>
      </w:rPr>
      <w:t>2</w:t>
    </w:r>
    <w:r w:rsidRPr="00196F07">
      <w:rPr>
        <w:rFonts w:ascii="Times New Roman" w:hAnsi="Times New Roman"/>
        <w:sz w:val="24"/>
        <w:szCs w:val="24"/>
      </w:rPr>
      <w:fldChar w:fldCharType="end"/>
    </w:r>
  </w:p>
  <w:p w:rsidR="009541D8" w14:paraId="7A9C61C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40992"/>
    <w:multiLevelType w:val="hybridMultilevel"/>
    <w:tmpl w:val="5CA6B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BD4D6E"/>
    <w:multiLevelType w:val="hybridMultilevel"/>
    <w:tmpl w:val="59C8D0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BD15C9"/>
    <w:multiLevelType w:val="hybridMultilevel"/>
    <w:tmpl w:val="0A8290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D94B13"/>
    <w:multiLevelType w:val="hybridMultilevel"/>
    <w:tmpl w:val="B61A77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E525C53"/>
    <w:multiLevelType w:val="hybridMultilevel"/>
    <w:tmpl w:val="6D3AB63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3E96AA0"/>
    <w:multiLevelType w:val="hybridMultilevel"/>
    <w:tmpl w:val="844E21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3BF597F"/>
    <w:multiLevelType w:val="hybridMultilevel"/>
    <w:tmpl w:val="603446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95A7A0B"/>
    <w:multiLevelType w:val="hybridMultilevel"/>
    <w:tmpl w:val="D8780E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7B48E8"/>
    <w:multiLevelType w:val="hybridMultilevel"/>
    <w:tmpl w:val="E558F8FC"/>
    <w:lvl w:ilvl="0">
      <w:start w:val="1"/>
      <w:numFmt w:val="upperLetter"/>
      <w:lvlText w:val="%1."/>
      <w:lvlJc w:val="left"/>
      <w:pPr>
        <w:ind w:left="7020" w:hanging="360"/>
      </w:pPr>
      <w:rPr>
        <w:rFonts w:hint="default"/>
      </w:rPr>
    </w:lvl>
    <w:lvl w:ilvl="1" w:tentative="1">
      <w:start w:val="1"/>
      <w:numFmt w:val="lowerLetter"/>
      <w:lvlText w:val="%2."/>
      <w:lvlJc w:val="left"/>
      <w:pPr>
        <w:ind w:left="7740" w:hanging="360"/>
      </w:pPr>
    </w:lvl>
    <w:lvl w:ilvl="2" w:tentative="1">
      <w:start w:val="1"/>
      <w:numFmt w:val="lowerRoman"/>
      <w:lvlText w:val="%3."/>
      <w:lvlJc w:val="right"/>
      <w:pPr>
        <w:ind w:left="8460" w:hanging="180"/>
      </w:pPr>
    </w:lvl>
    <w:lvl w:ilvl="3" w:tentative="1">
      <w:start w:val="1"/>
      <w:numFmt w:val="decimal"/>
      <w:lvlText w:val="%4."/>
      <w:lvlJc w:val="left"/>
      <w:pPr>
        <w:ind w:left="9180" w:hanging="360"/>
      </w:pPr>
    </w:lvl>
    <w:lvl w:ilvl="4" w:tentative="1">
      <w:start w:val="1"/>
      <w:numFmt w:val="lowerLetter"/>
      <w:lvlText w:val="%5."/>
      <w:lvlJc w:val="left"/>
      <w:pPr>
        <w:ind w:left="9900" w:hanging="360"/>
      </w:pPr>
    </w:lvl>
    <w:lvl w:ilvl="5" w:tentative="1">
      <w:start w:val="1"/>
      <w:numFmt w:val="lowerRoman"/>
      <w:lvlText w:val="%6."/>
      <w:lvlJc w:val="right"/>
      <w:pPr>
        <w:ind w:left="10620" w:hanging="180"/>
      </w:pPr>
    </w:lvl>
    <w:lvl w:ilvl="6" w:tentative="1">
      <w:start w:val="1"/>
      <w:numFmt w:val="decimal"/>
      <w:lvlText w:val="%7."/>
      <w:lvlJc w:val="left"/>
      <w:pPr>
        <w:ind w:left="11340" w:hanging="360"/>
      </w:pPr>
    </w:lvl>
    <w:lvl w:ilvl="7" w:tentative="1">
      <w:start w:val="1"/>
      <w:numFmt w:val="lowerLetter"/>
      <w:lvlText w:val="%8."/>
      <w:lvlJc w:val="left"/>
      <w:pPr>
        <w:ind w:left="12060" w:hanging="360"/>
      </w:pPr>
    </w:lvl>
    <w:lvl w:ilvl="8" w:tentative="1">
      <w:start w:val="1"/>
      <w:numFmt w:val="lowerRoman"/>
      <w:lvlText w:val="%9."/>
      <w:lvlJc w:val="right"/>
      <w:pPr>
        <w:ind w:left="12780" w:hanging="180"/>
      </w:pPr>
    </w:lvl>
  </w:abstractNum>
  <w:abstractNum w:abstractNumId="10">
    <w:nsid w:val="40333299"/>
    <w:multiLevelType w:val="hybridMultilevel"/>
    <w:tmpl w:val="CE5E7A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62840A2"/>
    <w:multiLevelType w:val="hybridMultilevel"/>
    <w:tmpl w:val="70EEBB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71C4B"/>
    <w:multiLevelType w:val="hybridMultilevel"/>
    <w:tmpl w:val="2530FA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8410C9C"/>
    <w:multiLevelType w:val="hybridMultilevel"/>
    <w:tmpl w:val="D74AD88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9850F69"/>
    <w:multiLevelType w:val="hybridMultilevel"/>
    <w:tmpl w:val="A5D0C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92277C"/>
    <w:multiLevelType w:val="hybridMultilevel"/>
    <w:tmpl w:val="04989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DB4130"/>
    <w:multiLevelType w:val="hybridMultilevel"/>
    <w:tmpl w:val="0C407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E44DE7"/>
    <w:multiLevelType w:val="hybridMultilevel"/>
    <w:tmpl w:val="AB3A7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B96554"/>
    <w:multiLevelType w:val="hybridMultilevel"/>
    <w:tmpl w:val="3F6A39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541BA3"/>
    <w:multiLevelType w:val="hybridMultilevel"/>
    <w:tmpl w:val="CAA21E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798B18BD"/>
    <w:multiLevelType w:val="hybridMultilevel"/>
    <w:tmpl w:val="8294E8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C23144"/>
    <w:multiLevelType w:val="hybridMultilevel"/>
    <w:tmpl w:val="176AA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25450B"/>
    <w:multiLevelType w:val="hybridMultilevel"/>
    <w:tmpl w:val="D9681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236169"/>
    <w:multiLevelType w:val="hybridMultilevel"/>
    <w:tmpl w:val="64F46A7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7022006">
    <w:abstractNumId w:val="23"/>
  </w:num>
  <w:num w:numId="2" w16cid:durableId="527572114">
    <w:abstractNumId w:val="12"/>
  </w:num>
  <w:num w:numId="3" w16cid:durableId="425463766">
    <w:abstractNumId w:val="10"/>
  </w:num>
  <w:num w:numId="4" w16cid:durableId="1679648950">
    <w:abstractNumId w:val="17"/>
  </w:num>
  <w:num w:numId="5" w16cid:durableId="470245496">
    <w:abstractNumId w:val="3"/>
  </w:num>
  <w:num w:numId="6" w16cid:durableId="1971012391">
    <w:abstractNumId w:val="24"/>
  </w:num>
  <w:num w:numId="7" w16cid:durableId="1221090244">
    <w:abstractNumId w:val="15"/>
  </w:num>
  <w:num w:numId="8" w16cid:durableId="1759861602">
    <w:abstractNumId w:val="4"/>
  </w:num>
  <w:num w:numId="9" w16cid:durableId="1427648950">
    <w:abstractNumId w:val="8"/>
  </w:num>
  <w:num w:numId="10" w16cid:durableId="1447045703">
    <w:abstractNumId w:val="18"/>
  </w:num>
  <w:num w:numId="11" w16cid:durableId="291519876">
    <w:abstractNumId w:val="6"/>
  </w:num>
  <w:num w:numId="12" w16cid:durableId="1577208754">
    <w:abstractNumId w:val="11"/>
  </w:num>
  <w:num w:numId="13" w16cid:durableId="475999820">
    <w:abstractNumId w:val="2"/>
  </w:num>
  <w:num w:numId="14" w16cid:durableId="919824473">
    <w:abstractNumId w:val="9"/>
  </w:num>
  <w:num w:numId="15" w16cid:durableId="1797410357">
    <w:abstractNumId w:val="16"/>
  </w:num>
  <w:num w:numId="16" w16cid:durableId="306127845">
    <w:abstractNumId w:val="0"/>
  </w:num>
  <w:num w:numId="17" w16cid:durableId="1951817844">
    <w:abstractNumId w:val="14"/>
  </w:num>
  <w:num w:numId="18" w16cid:durableId="622468396">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 w:numId="19" w16cid:durableId="1588540254">
    <w:abstractNumId w:val="25"/>
  </w:num>
  <w:num w:numId="20" w16cid:durableId="1625041377">
    <w:abstractNumId w:val="21"/>
  </w:num>
  <w:num w:numId="21" w16cid:durableId="123088719">
    <w:abstractNumId w:val="7"/>
  </w:num>
  <w:num w:numId="22" w16cid:durableId="1520972757">
    <w:abstractNumId w:val="5"/>
  </w:num>
  <w:num w:numId="23" w16cid:durableId="449200885">
    <w:abstractNumId w:val="19"/>
  </w:num>
  <w:num w:numId="24" w16cid:durableId="866062607">
    <w:abstractNumId w:val="22"/>
  </w:num>
  <w:num w:numId="25" w16cid:durableId="1232546001">
    <w:abstractNumId w:val="1"/>
  </w:num>
  <w:num w:numId="26" w16cid:durableId="60105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0"/>
    <w:rsid w:val="0000107C"/>
    <w:rsid w:val="00004C5D"/>
    <w:rsid w:val="0001044A"/>
    <w:rsid w:val="00016A3A"/>
    <w:rsid w:val="00016CCD"/>
    <w:rsid w:val="00020165"/>
    <w:rsid w:val="0002052C"/>
    <w:rsid w:val="00020BDD"/>
    <w:rsid w:val="00020C53"/>
    <w:rsid w:val="000216D0"/>
    <w:rsid w:val="000230D6"/>
    <w:rsid w:val="000231C9"/>
    <w:rsid w:val="00024350"/>
    <w:rsid w:val="00026ADD"/>
    <w:rsid w:val="00026D46"/>
    <w:rsid w:val="000301E0"/>
    <w:rsid w:val="000304F3"/>
    <w:rsid w:val="00030809"/>
    <w:rsid w:val="000355A4"/>
    <w:rsid w:val="0003588A"/>
    <w:rsid w:val="00037ECF"/>
    <w:rsid w:val="0004006D"/>
    <w:rsid w:val="00040D4D"/>
    <w:rsid w:val="00042509"/>
    <w:rsid w:val="00043A00"/>
    <w:rsid w:val="0004676A"/>
    <w:rsid w:val="00047EAE"/>
    <w:rsid w:val="000501E5"/>
    <w:rsid w:val="00051145"/>
    <w:rsid w:val="0005291D"/>
    <w:rsid w:val="0005431A"/>
    <w:rsid w:val="0006086E"/>
    <w:rsid w:val="00063AE0"/>
    <w:rsid w:val="00064B59"/>
    <w:rsid w:val="000724D1"/>
    <w:rsid w:val="00073E24"/>
    <w:rsid w:val="000740D0"/>
    <w:rsid w:val="00077171"/>
    <w:rsid w:val="00081954"/>
    <w:rsid w:val="00083CF2"/>
    <w:rsid w:val="000842FD"/>
    <w:rsid w:val="00085760"/>
    <w:rsid w:val="000878D3"/>
    <w:rsid w:val="00090868"/>
    <w:rsid w:val="00095F4C"/>
    <w:rsid w:val="00096040"/>
    <w:rsid w:val="000A1CE4"/>
    <w:rsid w:val="000A3501"/>
    <w:rsid w:val="000B055A"/>
    <w:rsid w:val="000B283F"/>
    <w:rsid w:val="000B6E61"/>
    <w:rsid w:val="000C74F6"/>
    <w:rsid w:val="000D1493"/>
    <w:rsid w:val="000D4441"/>
    <w:rsid w:val="000D4569"/>
    <w:rsid w:val="000D4662"/>
    <w:rsid w:val="000E1837"/>
    <w:rsid w:val="000E1EF5"/>
    <w:rsid w:val="000E24B4"/>
    <w:rsid w:val="000E324B"/>
    <w:rsid w:val="000E6844"/>
    <w:rsid w:val="000F2442"/>
    <w:rsid w:val="000F4C85"/>
    <w:rsid w:val="000F54D3"/>
    <w:rsid w:val="00102E3B"/>
    <w:rsid w:val="00103BB9"/>
    <w:rsid w:val="0010434E"/>
    <w:rsid w:val="001063DA"/>
    <w:rsid w:val="00107634"/>
    <w:rsid w:val="0010784A"/>
    <w:rsid w:val="001110A9"/>
    <w:rsid w:val="001119E3"/>
    <w:rsid w:val="00112298"/>
    <w:rsid w:val="00115D8D"/>
    <w:rsid w:val="00115E0F"/>
    <w:rsid w:val="00116E9C"/>
    <w:rsid w:val="00120EB3"/>
    <w:rsid w:val="00122864"/>
    <w:rsid w:val="00122C2E"/>
    <w:rsid w:val="00126ACA"/>
    <w:rsid w:val="00127A82"/>
    <w:rsid w:val="00131932"/>
    <w:rsid w:val="0013391E"/>
    <w:rsid w:val="001344E8"/>
    <w:rsid w:val="00135386"/>
    <w:rsid w:val="00135C25"/>
    <w:rsid w:val="001378CC"/>
    <w:rsid w:val="00142716"/>
    <w:rsid w:val="00144CE2"/>
    <w:rsid w:val="001475AC"/>
    <w:rsid w:val="00151D71"/>
    <w:rsid w:val="00156B72"/>
    <w:rsid w:val="00157916"/>
    <w:rsid w:val="001617A4"/>
    <w:rsid w:val="00171E18"/>
    <w:rsid w:val="0017248F"/>
    <w:rsid w:val="00173867"/>
    <w:rsid w:val="001809DE"/>
    <w:rsid w:val="00180F9C"/>
    <w:rsid w:val="001818AF"/>
    <w:rsid w:val="00182416"/>
    <w:rsid w:val="00182699"/>
    <w:rsid w:val="00182E2E"/>
    <w:rsid w:val="00186216"/>
    <w:rsid w:val="0018691E"/>
    <w:rsid w:val="00190FEE"/>
    <w:rsid w:val="001925B4"/>
    <w:rsid w:val="00196307"/>
    <w:rsid w:val="001965E9"/>
    <w:rsid w:val="00196F07"/>
    <w:rsid w:val="001A21CD"/>
    <w:rsid w:val="001A2A0B"/>
    <w:rsid w:val="001A5D59"/>
    <w:rsid w:val="001B1999"/>
    <w:rsid w:val="001B39BA"/>
    <w:rsid w:val="001B60B1"/>
    <w:rsid w:val="001B6CFD"/>
    <w:rsid w:val="001B780F"/>
    <w:rsid w:val="001C00A9"/>
    <w:rsid w:val="001C0CDE"/>
    <w:rsid w:val="001C1D72"/>
    <w:rsid w:val="001C62F3"/>
    <w:rsid w:val="001D138F"/>
    <w:rsid w:val="001D147E"/>
    <w:rsid w:val="001D28F4"/>
    <w:rsid w:val="001D4C78"/>
    <w:rsid w:val="001D577A"/>
    <w:rsid w:val="001D598E"/>
    <w:rsid w:val="001D7E21"/>
    <w:rsid w:val="001E5473"/>
    <w:rsid w:val="001E5E98"/>
    <w:rsid w:val="001E6811"/>
    <w:rsid w:val="001E7D0F"/>
    <w:rsid w:val="001F0856"/>
    <w:rsid w:val="001F2BE2"/>
    <w:rsid w:val="001F3D46"/>
    <w:rsid w:val="001F4F3F"/>
    <w:rsid w:val="001F6C90"/>
    <w:rsid w:val="001F6E07"/>
    <w:rsid w:val="001F7061"/>
    <w:rsid w:val="0020074F"/>
    <w:rsid w:val="00202BCF"/>
    <w:rsid w:val="00203517"/>
    <w:rsid w:val="00203D3E"/>
    <w:rsid w:val="002040A5"/>
    <w:rsid w:val="00211A3E"/>
    <w:rsid w:val="0021690A"/>
    <w:rsid w:val="00217B92"/>
    <w:rsid w:val="002219A9"/>
    <w:rsid w:val="00223643"/>
    <w:rsid w:val="00227879"/>
    <w:rsid w:val="0023163C"/>
    <w:rsid w:val="00231772"/>
    <w:rsid w:val="00231816"/>
    <w:rsid w:val="0023769C"/>
    <w:rsid w:val="00237987"/>
    <w:rsid w:val="002415F5"/>
    <w:rsid w:val="0024199F"/>
    <w:rsid w:val="00241FF5"/>
    <w:rsid w:val="00244D43"/>
    <w:rsid w:val="0024526A"/>
    <w:rsid w:val="00245E5C"/>
    <w:rsid w:val="00247B7D"/>
    <w:rsid w:val="00250809"/>
    <w:rsid w:val="00250ECA"/>
    <w:rsid w:val="0025145C"/>
    <w:rsid w:val="00252BA1"/>
    <w:rsid w:val="00262712"/>
    <w:rsid w:val="0026343A"/>
    <w:rsid w:val="00266F00"/>
    <w:rsid w:val="00270914"/>
    <w:rsid w:val="00270AD5"/>
    <w:rsid w:val="00274E4C"/>
    <w:rsid w:val="00275E84"/>
    <w:rsid w:val="00275F13"/>
    <w:rsid w:val="002804E0"/>
    <w:rsid w:val="00283515"/>
    <w:rsid w:val="00287FF9"/>
    <w:rsid w:val="00290E62"/>
    <w:rsid w:val="00291FA5"/>
    <w:rsid w:val="002933A3"/>
    <w:rsid w:val="002947BF"/>
    <w:rsid w:val="0029766C"/>
    <w:rsid w:val="002A1152"/>
    <w:rsid w:val="002A559D"/>
    <w:rsid w:val="002B44D2"/>
    <w:rsid w:val="002B52E0"/>
    <w:rsid w:val="002C7135"/>
    <w:rsid w:val="002C72E2"/>
    <w:rsid w:val="002D1A82"/>
    <w:rsid w:val="002D357C"/>
    <w:rsid w:val="002D4019"/>
    <w:rsid w:val="002D699E"/>
    <w:rsid w:val="002D73E0"/>
    <w:rsid w:val="002D7A7B"/>
    <w:rsid w:val="002E2899"/>
    <w:rsid w:val="002E51BC"/>
    <w:rsid w:val="002E5A18"/>
    <w:rsid w:val="002E7EA1"/>
    <w:rsid w:val="002F2D70"/>
    <w:rsid w:val="002F62AB"/>
    <w:rsid w:val="0030000C"/>
    <w:rsid w:val="00300DDD"/>
    <w:rsid w:val="00305EF8"/>
    <w:rsid w:val="0031096A"/>
    <w:rsid w:val="00310DC8"/>
    <w:rsid w:val="003116A5"/>
    <w:rsid w:val="003133E0"/>
    <w:rsid w:val="00313C48"/>
    <w:rsid w:val="003143B6"/>
    <w:rsid w:val="00315FA0"/>
    <w:rsid w:val="00317278"/>
    <w:rsid w:val="003206D1"/>
    <w:rsid w:val="00320CAC"/>
    <w:rsid w:val="00323E2B"/>
    <w:rsid w:val="0032563B"/>
    <w:rsid w:val="00331544"/>
    <w:rsid w:val="00331749"/>
    <w:rsid w:val="00331943"/>
    <w:rsid w:val="00332976"/>
    <w:rsid w:val="00333113"/>
    <w:rsid w:val="00335D58"/>
    <w:rsid w:val="00340AFC"/>
    <w:rsid w:val="003438CB"/>
    <w:rsid w:val="00346167"/>
    <w:rsid w:val="00346E05"/>
    <w:rsid w:val="00351C2B"/>
    <w:rsid w:val="0035637B"/>
    <w:rsid w:val="0035727A"/>
    <w:rsid w:val="0035771D"/>
    <w:rsid w:val="00357E93"/>
    <w:rsid w:val="00361DFA"/>
    <w:rsid w:val="00363DF6"/>
    <w:rsid w:val="00364367"/>
    <w:rsid w:val="003669AD"/>
    <w:rsid w:val="00372B8E"/>
    <w:rsid w:val="003756D2"/>
    <w:rsid w:val="003757CF"/>
    <w:rsid w:val="00375CBC"/>
    <w:rsid w:val="00376981"/>
    <w:rsid w:val="00380883"/>
    <w:rsid w:val="003958AA"/>
    <w:rsid w:val="00396125"/>
    <w:rsid w:val="003A0EB5"/>
    <w:rsid w:val="003A16C8"/>
    <w:rsid w:val="003A2010"/>
    <w:rsid w:val="003A3DEF"/>
    <w:rsid w:val="003A43AA"/>
    <w:rsid w:val="003A513D"/>
    <w:rsid w:val="003A67CE"/>
    <w:rsid w:val="003B0A94"/>
    <w:rsid w:val="003B24DC"/>
    <w:rsid w:val="003B3AB7"/>
    <w:rsid w:val="003C0EC6"/>
    <w:rsid w:val="003C5171"/>
    <w:rsid w:val="003C63A9"/>
    <w:rsid w:val="003D19D8"/>
    <w:rsid w:val="003D456C"/>
    <w:rsid w:val="003D54E9"/>
    <w:rsid w:val="003D6F2F"/>
    <w:rsid w:val="003D74E4"/>
    <w:rsid w:val="003E199B"/>
    <w:rsid w:val="003E4434"/>
    <w:rsid w:val="003E4954"/>
    <w:rsid w:val="003E5B7F"/>
    <w:rsid w:val="003E617A"/>
    <w:rsid w:val="003E7DE4"/>
    <w:rsid w:val="003F3A81"/>
    <w:rsid w:val="003F5275"/>
    <w:rsid w:val="00401478"/>
    <w:rsid w:val="00401C96"/>
    <w:rsid w:val="00407F1B"/>
    <w:rsid w:val="00412796"/>
    <w:rsid w:val="00413CBF"/>
    <w:rsid w:val="00415922"/>
    <w:rsid w:val="00417F7F"/>
    <w:rsid w:val="004205AD"/>
    <w:rsid w:val="004220FB"/>
    <w:rsid w:val="004223BF"/>
    <w:rsid w:val="0042241E"/>
    <w:rsid w:val="00422D3B"/>
    <w:rsid w:val="00430F5A"/>
    <w:rsid w:val="0043279A"/>
    <w:rsid w:val="0043407E"/>
    <w:rsid w:val="00436420"/>
    <w:rsid w:val="0044421B"/>
    <w:rsid w:val="004464E3"/>
    <w:rsid w:val="00446791"/>
    <w:rsid w:val="004468A7"/>
    <w:rsid w:val="0045091A"/>
    <w:rsid w:val="00456312"/>
    <w:rsid w:val="00460A67"/>
    <w:rsid w:val="00464A54"/>
    <w:rsid w:val="004667E0"/>
    <w:rsid w:val="0047034D"/>
    <w:rsid w:val="0047226E"/>
    <w:rsid w:val="00473DC1"/>
    <w:rsid w:val="00475275"/>
    <w:rsid w:val="00476E0B"/>
    <w:rsid w:val="00476ED9"/>
    <w:rsid w:val="0048106A"/>
    <w:rsid w:val="00482AC5"/>
    <w:rsid w:val="0048366F"/>
    <w:rsid w:val="0048603D"/>
    <w:rsid w:val="0049251C"/>
    <w:rsid w:val="00494376"/>
    <w:rsid w:val="00495E53"/>
    <w:rsid w:val="00496001"/>
    <w:rsid w:val="004A2E2D"/>
    <w:rsid w:val="004A3C92"/>
    <w:rsid w:val="004A46D4"/>
    <w:rsid w:val="004A5021"/>
    <w:rsid w:val="004A7533"/>
    <w:rsid w:val="004B4948"/>
    <w:rsid w:val="004B6B3A"/>
    <w:rsid w:val="004B7C9F"/>
    <w:rsid w:val="004C24B0"/>
    <w:rsid w:val="004C2BB5"/>
    <w:rsid w:val="004C415F"/>
    <w:rsid w:val="004C7FB8"/>
    <w:rsid w:val="004D19C6"/>
    <w:rsid w:val="004D231D"/>
    <w:rsid w:val="004D23E3"/>
    <w:rsid w:val="004D4207"/>
    <w:rsid w:val="004D431F"/>
    <w:rsid w:val="004D66DA"/>
    <w:rsid w:val="004D6AF0"/>
    <w:rsid w:val="004D7E43"/>
    <w:rsid w:val="004E222B"/>
    <w:rsid w:val="004E366C"/>
    <w:rsid w:val="004E57E2"/>
    <w:rsid w:val="004E7B14"/>
    <w:rsid w:val="004F2B1F"/>
    <w:rsid w:val="005019A6"/>
    <w:rsid w:val="0050556A"/>
    <w:rsid w:val="00505AE1"/>
    <w:rsid w:val="00506500"/>
    <w:rsid w:val="005104B5"/>
    <w:rsid w:val="00510690"/>
    <w:rsid w:val="00511104"/>
    <w:rsid w:val="005160AB"/>
    <w:rsid w:val="005162A6"/>
    <w:rsid w:val="0051763D"/>
    <w:rsid w:val="005176FE"/>
    <w:rsid w:val="005177D7"/>
    <w:rsid w:val="00520DDF"/>
    <w:rsid w:val="005222A3"/>
    <w:rsid w:val="00522AD7"/>
    <w:rsid w:val="00525407"/>
    <w:rsid w:val="00525520"/>
    <w:rsid w:val="0052559B"/>
    <w:rsid w:val="00525C15"/>
    <w:rsid w:val="00526F59"/>
    <w:rsid w:val="00531CAC"/>
    <w:rsid w:val="0053657A"/>
    <w:rsid w:val="00537317"/>
    <w:rsid w:val="00540134"/>
    <w:rsid w:val="00541CA1"/>
    <w:rsid w:val="005429EF"/>
    <w:rsid w:val="0054350E"/>
    <w:rsid w:val="005459F3"/>
    <w:rsid w:val="00547179"/>
    <w:rsid w:val="0054787C"/>
    <w:rsid w:val="0055167E"/>
    <w:rsid w:val="00552A7C"/>
    <w:rsid w:val="00556A2C"/>
    <w:rsid w:val="00557E23"/>
    <w:rsid w:val="005658AA"/>
    <w:rsid w:val="00565F8B"/>
    <w:rsid w:val="00567C5C"/>
    <w:rsid w:val="00574A0B"/>
    <w:rsid w:val="00575DFA"/>
    <w:rsid w:val="005814AA"/>
    <w:rsid w:val="00587DE1"/>
    <w:rsid w:val="00590279"/>
    <w:rsid w:val="00592897"/>
    <w:rsid w:val="00593EEE"/>
    <w:rsid w:val="00594E33"/>
    <w:rsid w:val="00595228"/>
    <w:rsid w:val="005A3B8C"/>
    <w:rsid w:val="005A6896"/>
    <w:rsid w:val="005B08F3"/>
    <w:rsid w:val="005B0D0E"/>
    <w:rsid w:val="005B0D55"/>
    <w:rsid w:val="005B2C36"/>
    <w:rsid w:val="005B373E"/>
    <w:rsid w:val="005B46B6"/>
    <w:rsid w:val="005B4921"/>
    <w:rsid w:val="005B6349"/>
    <w:rsid w:val="005C29C0"/>
    <w:rsid w:val="005C3B55"/>
    <w:rsid w:val="005C42F4"/>
    <w:rsid w:val="005C5715"/>
    <w:rsid w:val="005D0004"/>
    <w:rsid w:val="005D03FF"/>
    <w:rsid w:val="005D580A"/>
    <w:rsid w:val="005E022A"/>
    <w:rsid w:val="005E067B"/>
    <w:rsid w:val="005E1EDB"/>
    <w:rsid w:val="005E2E00"/>
    <w:rsid w:val="005E3A02"/>
    <w:rsid w:val="005E46D7"/>
    <w:rsid w:val="005E4943"/>
    <w:rsid w:val="005E4D20"/>
    <w:rsid w:val="005F07ED"/>
    <w:rsid w:val="005F110B"/>
    <w:rsid w:val="0060144C"/>
    <w:rsid w:val="00601FE9"/>
    <w:rsid w:val="00603A07"/>
    <w:rsid w:val="00605447"/>
    <w:rsid w:val="00605770"/>
    <w:rsid w:val="006114E1"/>
    <w:rsid w:val="00611B0E"/>
    <w:rsid w:val="00616191"/>
    <w:rsid w:val="006161C4"/>
    <w:rsid w:val="00616299"/>
    <w:rsid w:val="00616F9B"/>
    <w:rsid w:val="0061706F"/>
    <w:rsid w:val="006178BB"/>
    <w:rsid w:val="006210F2"/>
    <w:rsid w:val="00624AE7"/>
    <w:rsid w:val="00624E2D"/>
    <w:rsid w:val="00626F5A"/>
    <w:rsid w:val="0063125B"/>
    <w:rsid w:val="00631810"/>
    <w:rsid w:val="006318FD"/>
    <w:rsid w:val="00634DDC"/>
    <w:rsid w:val="00635B38"/>
    <w:rsid w:val="006377DB"/>
    <w:rsid w:val="00637B5E"/>
    <w:rsid w:val="006423F9"/>
    <w:rsid w:val="006427AD"/>
    <w:rsid w:val="006465BF"/>
    <w:rsid w:val="00651696"/>
    <w:rsid w:val="0065450B"/>
    <w:rsid w:val="006549E4"/>
    <w:rsid w:val="006565A6"/>
    <w:rsid w:val="00660132"/>
    <w:rsid w:val="0066043B"/>
    <w:rsid w:val="006606CB"/>
    <w:rsid w:val="0066084E"/>
    <w:rsid w:val="0066158F"/>
    <w:rsid w:val="00661CEC"/>
    <w:rsid w:val="00661D44"/>
    <w:rsid w:val="00662AB4"/>
    <w:rsid w:val="00664C47"/>
    <w:rsid w:val="0066504F"/>
    <w:rsid w:val="00665B26"/>
    <w:rsid w:val="00672976"/>
    <w:rsid w:val="006735CF"/>
    <w:rsid w:val="00674572"/>
    <w:rsid w:val="00675851"/>
    <w:rsid w:val="00675F28"/>
    <w:rsid w:val="0067661A"/>
    <w:rsid w:val="00676775"/>
    <w:rsid w:val="0067767B"/>
    <w:rsid w:val="00677E44"/>
    <w:rsid w:val="00681942"/>
    <w:rsid w:val="0068199D"/>
    <w:rsid w:val="00685DC1"/>
    <w:rsid w:val="00686413"/>
    <w:rsid w:val="00691140"/>
    <w:rsid w:val="00695B2A"/>
    <w:rsid w:val="006A50AD"/>
    <w:rsid w:val="006A55C5"/>
    <w:rsid w:val="006A68D7"/>
    <w:rsid w:val="006A7044"/>
    <w:rsid w:val="006B059A"/>
    <w:rsid w:val="006B2171"/>
    <w:rsid w:val="006B3F8C"/>
    <w:rsid w:val="006B4ABF"/>
    <w:rsid w:val="006B4F9E"/>
    <w:rsid w:val="006B559D"/>
    <w:rsid w:val="006C0E3C"/>
    <w:rsid w:val="006C2BD7"/>
    <w:rsid w:val="006C48EE"/>
    <w:rsid w:val="006C7948"/>
    <w:rsid w:val="006D0E8C"/>
    <w:rsid w:val="006D1764"/>
    <w:rsid w:val="006D23E6"/>
    <w:rsid w:val="006D50C9"/>
    <w:rsid w:val="006D58B6"/>
    <w:rsid w:val="006D672C"/>
    <w:rsid w:val="006E14BC"/>
    <w:rsid w:val="006E285F"/>
    <w:rsid w:val="006E2C8E"/>
    <w:rsid w:val="006E50DC"/>
    <w:rsid w:val="006E6E6E"/>
    <w:rsid w:val="006F0CD5"/>
    <w:rsid w:val="006F2404"/>
    <w:rsid w:val="006F3A5F"/>
    <w:rsid w:val="006F3C0C"/>
    <w:rsid w:val="006F4DC5"/>
    <w:rsid w:val="006F5B98"/>
    <w:rsid w:val="006F5E9E"/>
    <w:rsid w:val="006F6775"/>
    <w:rsid w:val="00700290"/>
    <w:rsid w:val="00706490"/>
    <w:rsid w:val="00706C05"/>
    <w:rsid w:val="00707A37"/>
    <w:rsid w:val="00716808"/>
    <w:rsid w:val="00716E9B"/>
    <w:rsid w:val="00720770"/>
    <w:rsid w:val="00720832"/>
    <w:rsid w:val="00720949"/>
    <w:rsid w:val="00720ADB"/>
    <w:rsid w:val="00721DA1"/>
    <w:rsid w:val="00723E7A"/>
    <w:rsid w:val="00725CB2"/>
    <w:rsid w:val="00725F16"/>
    <w:rsid w:val="00726414"/>
    <w:rsid w:val="007301E5"/>
    <w:rsid w:val="007317C6"/>
    <w:rsid w:val="007318FB"/>
    <w:rsid w:val="00732705"/>
    <w:rsid w:val="00734203"/>
    <w:rsid w:val="007359A1"/>
    <w:rsid w:val="00737033"/>
    <w:rsid w:val="007415B6"/>
    <w:rsid w:val="007423EC"/>
    <w:rsid w:val="00742B97"/>
    <w:rsid w:val="0075216A"/>
    <w:rsid w:val="007529F0"/>
    <w:rsid w:val="00753CFF"/>
    <w:rsid w:val="00757922"/>
    <w:rsid w:val="007609C0"/>
    <w:rsid w:val="0076518E"/>
    <w:rsid w:val="00767BAF"/>
    <w:rsid w:val="00773CF6"/>
    <w:rsid w:val="00773E42"/>
    <w:rsid w:val="00776BEC"/>
    <w:rsid w:val="00780D67"/>
    <w:rsid w:val="007820A6"/>
    <w:rsid w:val="007825B8"/>
    <w:rsid w:val="007871C6"/>
    <w:rsid w:val="0078748A"/>
    <w:rsid w:val="0078768F"/>
    <w:rsid w:val="007915AD"/>
    <w:rsid w:val="0079215F"/>
    <w:rsid w:val="00792B38"/>
    <w:rsid w:val="007933DC"/>
    <w:rsid w:val="00793A1B"/>
    <w:rsid w:val="007955A2"/>
    <w:rsid w:val="00797547"/>
    <w:rsid w:val="007A05DB"/>
    <w:rsid w:val="007A0A36"/>
    <w:rsid w:val="007A3932"/>
    <w:rsid w:val="007A42BD"/>
    <w:rsid w:val="007A44DE"/>
    <w:rsid w:val="007A653E"/>
    <w:rsid w:val="007A72AA"/>
    <w:rsid w:val="007A768F"/>
    <w:rsid w:val="007B16D3"/>
    <w:rsid w:val="007B2828"/>
    <w:rsid w:val="007B34A6"/>
    <w:rsid w:val="007B49A1"/>
    <w:rsid w:val="007B6439"/>
    <w:rsid w:val="007B76D3"/>
    <w:rsid w:val="007C2E6E"/>
    <w:rsid w:val="007C4174"/>
    <w:rsid w:val="007C423C"/>
    <w:rsid w:val="007C5125"/>
    <w:rsid w:val="007C5DA0"/>
    <w:rsid w:val="007D6614"/>
    <w:rsid w:val="007D6A68"/>
    <w:rsid w:val="007E11B7"/>
    <w:rsid w:val="007E334C"/>
    <w:rsid w:val="007E33E8"/>
    <w:rsid w:val="007E4D61"/>
    <w:rsid w:val="007E6D0F"/>
    <w:rsid w:val="007F0552"/>
    <w:rsid w:val="007F1B54"/>
    <w:rsid w:val="007F3C0D"/>
    <w:rsid w:val="007F694B"/>
    <w:rsid w:val="007F6DCB"/>
    <w:rsid w:val="00801EAF"/>
    <w:rsid w:val="00803E17"/>
    <w:rsid w:val="00811A2F"/>
    <w:rsid w:val="0081419D"/>
    <w:rsid w:val="00814B31"/>
    <w:rsid w:val="00816D04"/>
    <w:rsid w:val="0081727E"/>
    <w:rsid w:val="008225EC"/>
    <w:rsid w:val="00822ABC"/>
    <w:rsid w:val="0082317A"/>
    <w:rsid w:val="00825285"/>
    <w:rsid w:val="0082585D"/>
    <w:rsid w:val="0082741B"/>
    <w:rsid w:val="00834E1A"/>
    <w:rsid w:val="00836297"/>
    <w:rsid w:val="00837053"/>
    <w:rsid w:val="0084059A"/>
    <w:rsid w:val="00841819"/>
    <w:rsid w:val="00842A6C"/>
    <w:rsid w:val="008430DD"/>
    <w:rsid w:val="008471D8"/>
    <w:rsid w:val="00847374"/>
    <w:rsid w:val="008511DF"/>
    <w:rsid w:val="008515DC"/>
    <w:rsid w:val="008562E5"/>
    <w:rsid w:val="00856792"/>
    <w:rsid w:val="00857F95"/>
    <w:rsid w:val="00861B84"/>
    <w:rsid w:val="008625DC"/>
    <w:rsid w:val="00864E1A"/>
    <w:rsid w:val="00866556"/>
    <w:rsid w:val="0087135D"/>
    <w:rsid w:val="00874C9A"/>
    <w:rsid w:val="008752B5"/>
    <w:rsid w:val="0087644A"/>
    <w:rsid w:val="00877BE1"/>
    <w:rsid w:val="00880C03"/>
    <w:rsid w:val="00883B0E"/>
    <w:rsid w:val="008868DE"/>
    <w:rsid w:val="0089187D"/>
    <w:rsid w:val="008921C0"/>
    <w:rsid w:val="00893C48"/>
    <w:rsid w:val="008960C8"/>
    <w:rsid w:val="008A098B"/>
    <w:rsid w:val="008A0CE4"/>
    <w:rsid w:val="008A1846"/>
    <w:rsid w:val="008A32BB"/>
    <w:rsid w:val="008A3934"/>
    <w:rsid w:val="008A4CC3"/>
    <w:rsid w:val="008A4D1B"/>
    <w:rsid w:val="008B0A54"/>
    <w:rsid w:val="008B0CBE"/>
    <w:rsid w:val="008B2CFE"/>
    <w:rsid w:val="008B33CB"/>
    <w:rsid w:val="008B672B"/>
    <w:rsid w:val="008B6863"/>
    <w:rsid w:val="008B6D27"/>
    <w:rsid w:val="008B6F1F"/>
    <w:rsid w:val="008C1505"/>
    <w:rsid w:val="008C17B1"/>
    <w:rsid w:val="008C4B28"/>
    <w:rsid w:val="008C4D75"/>
    <w:rsid w:val="008C54CD"/>
    <w:rsid w:val="008C6A8A"/>
    <w:rsid w:val="008C7EA1"/>
    <w:rsid w:val="008D0123"/>
    <w:rsid w:val="008D107B"/>
    <w:rsid w:val="008D12BD"/>
    <w:rsid w:val="008D295D"/>
    <w:rsid w:val="008D34E5"/>
    <w:rsid w:val="008D4ABA"/>
    <w:rsid w:val="008D7948"/>
    <w:rsid w:val="008E1F2F"/>
    <w:rsid w:val="008E768E"/>
    <w:rsid w:val="008E7F76"/>
    <w:rsid w:val="008F104A"/>
    <w:rsid w:val="008F46C6"/>
    <w:rsid w:val="008F5AA4"/>
    <w:rsid w:val="008F7946"/>
    <w:rsid w:val="008F7C86"/>
    <w:rsid w:val="00900FF5"/>
    <w:rsid w:val="009010E7"/>
    <w:rsid w:val="00903C01"/>
    <w:rsid w:val="00904B7C"/>
    <w:rsid w:val="0090554E"/>
    <w:rsid w:val="00910B5B"/>
    <w:rsid w:val="0091207D"/>
    <w:rsid w:val="00912098"/>
    <w:rsid w:val="00914D62"/>
    <w:rsid w:val="00916889"/>
    <w:rsid w:val="00917E65"/>
    <w:rsid w:val="00922A1E"/>
    <w:rsid w:val="00922CD0"/>
    <w:rsid w:val="00923191"/>
    <w:rsid w:val="00923ECB"/>
    <w:rsid w:val="00924FCD"/>
    <w:rsid w:val="00926084"/>
    <w:rsid w:val="0092644D"/>
    <w:rsid w:val="009266FF"/>
    <w:rsid w:val="009268EE"/>
    <w:rsid w:val="009357BD"/>
    <w:rsid w:val="00942744"/>
    <w:rsid w:val="00944A6A"/>
    <w:rsid w:val="0094737C"/>
    <w:rsid w:val="00947F9F"/>
    <w:rsid w:val="009507A4"/>
    <w:rsid w:val="009541D8"/>
    <w:rsid w:val="0095425F"/>
    <w:rsid w:val="00955804"/>
    <w:rsid w:val="00956EBB"/>
    <w:rsid w:val="00957509"/>
    <w:rsid w:val="0095782E"/>
    <w:rsid w:val="009600EA"/>
    <w:rsid w:val="00961AFC"/>
    <w:rsid w:val="00962ECC"/>
    <w:rsid w:val="0096348C"/>
    <w:rsid w:val="00963853"/>
    <w:rsid w:val="00966B57"/>
    <w:rsid w:val="009712FF"/>
    <w:rsid w:val="009720C6"/>
    <w:rsid w:val="00972544"/>
    <w:rsid w:val="00975972"/>
    <w:rsid w:val="00980E83"/>
    <w:rsid w:val="009820F9"/>
    <w:rsid w:val="00984BDD"/>
    <w:rsid w:val="00984C98"/>
    <w:rsid w:val="0098558F"/>
    <w:rsid w:val="009855BD"/>
    <w:rsid w:val="00985C87"/>
    <w:rsid w:val="009877B6"/>
    <w:rsid w:val="00987CF8"/>
    <w:rsid w:val="00987F6C"/>
    <w:rsid w:val="00987F92"/>
    <w:rsid w:val="009912A8"/>
    <w:rsid w:val="009918EE"/>
    <w:rsid w:val="00991B41"/>
    <w:rsid w:val="009932C0"/>
    <w:rsid w:val="00993B42"/>
    <w:rsid w:val="00995283"/>
    <w:rsid w:val="009A2ED8"/>
    <w:rsid w:val="009A3A3B"/>
    <w:rsid w:val="009A3BE2"/>
    <w:rsid w:val="009A5DD8"/>
    <w:rsid w:val="009B0A9B"/>
    <w:rsid w:val="009B0E11"/>
    <w:rsid w:val="009B1419"/>
    <w:rsid w:val="009B418A"/>
    <w:rsid w:val="009B41C3"/>
    <w:rsid w:val="009B50E9"/>
    <w:rsid w:val="009B7498"/>
    <w:rsid w:val="009C0258"/>
    <w:rsid w:val="009C025F"/>
    <w:rsid w:val="009C18ED"/>
    <w:rsid w:val="009C44EF"/>
    <w:rsid w:val="009D2DE7"/>
    <w:rsid w:val="009D7254"/>
    <w:rsid w:val="009E130B"/>
    <w:rsid w:val="009E27FE"/>
    <w:rsid w:val="009E2A32"/>
    <w:rsid w:val="009E3AB0"/>
    <w:rsid w:val="009E5A9D"/>
    <w:rsid w:val="009E6F63"/>
    <w:rsid w:val="00A005FC"/>
    <w:rsid w:val="00A012C8"/>
    <w:rsid w:val="00A0441A"/>
    <w:rsid w:val="00A108C6"/>
    <w:rsid w:val="00A13B99"/>
    <w:rsid w:val="00A1476F"/>
    <w:rsid w:val="00A14772"/>
    <w:rsid w:val="00A216E3"/>
    <w:rsid w:val="00A21F24"/>
    <w:rsid w:val="00A22C31"/>
    <w:rsid w:val="00A306CE"/>
    <w:rsid w:val="00A331D5"/>
    <w:rsid w:val="00A341C3"/>
    <w:rsid w:val="00A36D4C"/>
    <w:rsid w:val="00A423F0"/>
    <w:rsid w:val="00A42621"/>
    <w:rsid w:val="00A42F96"/>
    <w:rsid w:val="00A4499C"/>
    <w:rsid w:val="00A45A29"/>
    <w:rsid w:val="00A46C40"/>
    <w:rsid w:val="00A511D5"/>
    <w:rsid w:val="00A51A52"/>
    <w:rsid w:val="00A526C4"/>
    <w:rsid w:val="00A55288"/>
    <w:rsid w:val="00A55ECD"/>
    <w:rsid w:val="00A61011"/>
    <w:rsid w:val="00A62C83"/>
    <w:rsid w:val="00A65AC1"/>
    <w:rsid w:val="00A65AFB"/>
    <w:rsid w:val="00A65C4E"/>
    <w:rsid w:val="00A663E0"/>
    <w:rsid w:val="00A66B64"/>
    <w:rsid w:val="00A7023E"/>
    <w:rsid w:val="00A70601"/>
    <w:rsid w:val="00A72510"/>
    <w:rsid w:val="00A734F6"/>
    <w:rsid w:val="00A75C1E"/>
    <w:rsid w:val="00A7604A"/>
    <w:rsid w:val="00A77007"/>
    <w:rsid w:val="00A772AA"/>
    <w:rsid w:val="00A81CF3"/>
    <w:rsid w:val="00A81D5A"/>
    <w:rsid w:val="00A82287"/>
    <w:rsid w:val="00A877E7"/>
    <w:rsid w:val="00A90F5D"/>
    <w:rsid w:val="00A96EB4"/>
    <w:rsid w:val="00A96F2F"/>
    <w:rsid w:val="00A979F4"/>
    <w:rsid w:val="00AA20D9"/>
    <w:rsid w:val="00AA225E"/>
    <w:rsid w:val="00AA448F"/>
    <w:rsid w:val="00AA4EFA"/>
    <w:rsid w:val="00AB05B9"/>
    <w:rsid w:val="00AB0BCF"/>
    <w:rsid w:val="00AB4D48"/>
    <w:rsid w:val="00AB5F06"/>
    <w:rsid w:val="00AC1754"/>
    <w:rsid w:val="00AC33DB"/>
    <w:rsid w:val="00AC5C33"/>
    <w:rsid w:val="00AD05CF"/>
    <w:rsid w:val="00AD6A59"/>
    <w:rsid w:val="00AD6BED"/>
    <w:rsid w:val="00AE5E0F"/>
    <w:rsid w:val="00AE65B4"/>
    <w:rsid w:val="00AE6E05"/>
    <w:rsid w:val="00AE7ADA"/>
    <w:rsid w:val="00AE7DBF"/>
    <w:rsid w:val="00AF0816"/>
    <w:rsid w:val="00AF0F95"/>
    <w:rsid w:val="00B000EE"/>
    <w:rsid w:val="00B03CBA"/>
    <w:rsid w:val="00B04DE9"/>
    <w:rsid w:val="00B05145"/>
    <w:rsid w:val="00B06D0B"/>
    <w:rsid w:val="00B11797"/>
    <w:rsid w:val="00B21342"/>
    <w:rsid w:val="00B27DAC"/>
    <w:rsid w:val="00B27E51"/>
    <w:rsid w:val="00B33A0E"/>
    <w:rsid w:val="00B5528A"/>
    <w:rsid w:val="00B552FB"/>
    <w:rsid w:val="00B55341"/>
    <w:rsid w:val="00B5746F"/>
    <w:rsid w:val="00B57D6B"/>
    <w:rsid w:val="00B60D09"/>
    <w:rsid w:val="00B626A8"/>
    <w:rsid w:val="00B63C59"/>
    <w:rsid w:val="00B63DD7"/>
    <w:rsid w:val="00B66685"/>
    <w:rsid w:val="00B700CF"/>
    <w:rsid w:val="00B73715"/>
    <w:rsid w:val="00B77D9D"/>
    <w:rsid w:val="00B816CB"/>
    <w:rsid w:val="00B820BE"/>
    <w:rsid w:val="00B85D21"/>
    <w:rsid w:val="00B91E74"/>
    <w:rsid w:val="00B9376D"/>
    <w:rsid w:val="00B94431"/>
    <w:rsid w:val="00B9519A"/>
    <w:rsid w:val="00B96E8B"/>
    <w:rsid w:val="00BA43ED"/>
    <w:rsid w:val="00BB043E"/>
    <w:rsid w:val="00BC0769"/>
    <w:rsid w:val="00BC16DF"/>
    <w:rsid w:val="00BC3B52"/>
    <w:rsid w:val="00BC5BE1"/>
    <w:rsid w:val="00BC6592"/>
    <w:rsid w:val="00BC721F"/>
    <w:rsid w:val="00BD3781"/>
    <w:rsid w:val="00BD42CB"/>
    <w:rsid w:val="00BD65B7"/>
    <w:rsid w:val="00BD7605"/>
    <w:rsid w:val="00BE5439"/>
    <w:rsid w:val="00BE5952"/>
    <w:rsid w:val="00BE69FA"/>
    <w:rsid w:val="00BE6EE7"/>
    <w:rsid w:val="00BE75DE"/>
    <w:rsid w:val="00BF0FFB"/>
    <w:rsid w:val="00BF1984"/>
    <w:rsid w:val="00BF1F23"/>
    <w:rsid w:val="00BF3398"/>
    <w:rsid w:val="00BF3B79"/>
    <w:rsid w:val="00BF4003"/>
    <w:rsid w:val="00BF4DF0"/>
    <w:rsid w:val="00BF4DF1"/>
    <w:rsid w:val="00BF5026"/>
    <w:rsid w:val="00BF7282"/>
    <w:rsid w:val="00C01735"/>
    <w:rsid w:val="00C01752"/>
    <w:rsid w:val="00C027E2"/>
    <w:rsid w:val="00C0335C"/>
    <w:rsid w:val="00C039C3"/>
    <w:rsid w:val="00C04228"/>
    <w:rsid w:val="00C044C3"/>
    <w:rsid w:val="00C048DA"/>
    <w:rsid w:val="00C04918"/>
    <w:rsid w:val="00C05C89"/>
    <w:rsid w:val="00C06FE5"/>
    <w:rsid w:val="00C1005A"/>
    <w:rsid w:val="00C105A7"/>
    <w:rsid w:val="00C11D6B"/>
    <w:rsid w:val="00C122B9"/>
    <w:rsid w:val="00C1301C"/>
    <w:rsid w:val="00C13E7B"/>
    <w:rsid w:val="00C147E0"/>
    <w:rsid w:val="00C14AB7"/>
    <w:rsid w:val="00C16DDA"/>
    <w:rsid w:val="00C179B8"/>
    <w:rsid w:val="00C17D4D"/>
    <w:rsid w:val="00C204C4"/>
    <w:rsid w:val="00C23778"/>
    <w:rsid w:val="00C23974"/>
    <w:rsid w:val="00C27C3B"/>
    <w:rsid w:val="00C311D9"/>
    <w:rsid w:val="00C3129F"/>
    <w:rsid w:val="00C34AA7"/>
    <w:rsid w:val="00C34C54"/>
    <w:rsid w:val="00C34DF9"/>
    <w:rsid w:val="00C34E62"/>
    <w:rsid w:val="00C35EE4"/>
    <w:rsid w:val="00C36080"/>
    <w:rsid w:val="00C37852"/>
    <w:rsid w:val="00C452AE"/>
    <w:rsid w:val="00C45DFA"/>
    <w:rsid w:val="00C46D8E"/>
    <w:rsid w:val="00C47873"/>
    <w:rsid w:val="00C47ABB"/>
    <w:rsid w:val="00C50730"/>
    <w:rsid w:val="00C50F68"/>
    <w:rsid w:val="00C52D40"/>
    <w:rsid w:val="00C56D85"/>
    <w:rsid w:val="00C636E3"/>
    <w:rsid w:val="00C63826"/>
    <w:rsid w:val="00C654A0"/>
    <w:rsid w:val="00C712F9"/>
    <w:rsid w:val="00C71BEE"/>
    <w:rsid w:val="00C71CA5"/>
    <w:rsid w:val="00C728E7"/>
    <w:rsid w:val="00C742AB"/>
    <w:rsid w:val="00C74703"/>
    <w:rsid w:val="00C75BD3"/>
    <w:rsid w:val="00C7757C"/>
    <w:rsid w:val="00C8024A"/>
    <w:rsid w:val="00C841C6"/>
    <w:rsid w:val="00C94F7D"/>
    <w:rsid w:val="00C9576B"/>
    <w:rsid w:val="00C95849"/>
    <w:rsid w:val="00C95B9B"/>
    <w:rsid w:val="00C96AC7"/>
    <w:rsid w:val="00C97482"/>
    <w:rsid w:val="00CA22B3"/>
    <w:rsid w:val="00CA277F"/>
    <w:rsid w:val="00CA4DB3"/>
    <w:rsid w:val="00CA5FF3"/>
    <w:rsid w:val="00CB0905"/>
    <w:rsid w:val="00CB1A1D"/>
    <w:rsid w:val="00CB4071"/>
    <w:rsid w:val="00CB4DA1"/>
    <w:rsid w:val="00CC02B6"/>
    <w:rsid w:val="00CC0DBD"/>
    <w:rsid w:val="00CC1A63"/>
    <w:rsid w:val="00CC1FF8"/>
    <w:rsid w:val="00CC2EB0"/>
    <w:rsid w:val="00CC41E1"/>
    <w:rsid w:val="00CC42EA"/>
    <w:rsid w:val="00CC527A"/>
    <w:rsid w:val="00CC556B"/>
    <w:rsid w:val="00CC6472"/>
    <w:rsid w:val="00CC7AE0"/>
    <w:rsid w:val="00CD160E"/>
    <w:rsid w:val="00CD3209"/>
    <w:rsid w:val="00CD4C1A"/>
    <w:rsid w:val="00CE0FD1"/>
    <w:rsid w:val="00CE253E"/>
    <w:rsid w:val="00CE324D"/>
    <w:rsid w:val="00CE3A3D"/>
    <w:rsid w:val="00CE5E84"/>
    <w:rsid w:val="00CF0055"/>
    <w:rsid w:val="00CF1563"/>
    <w:rsid w:val="00CF198A"/>
    <w:rsid w:val="00CF2134"/>
    <w:rsid w:val="00CF2153"/>
    <w:rsid w:val="00CF4BC2"/>
    <w:rsid w:val="00CF5120"/>
    <w:rsid w:val="00CF56AF"/>
    <w:rsid w:val="00CF7C2A"/>
    <w:rsid w:val="00D011E0"/>
    <w:rsid w:val="00D039BD"/>
    <w:rsid w:val="00D03CFD"/>
    <w:rsid w:val="00D144B9"/>
    <w:rsid w:val="00D144C1"/>
    <w:rsid w:val="00D20B4B"/>
    <w:rsid w:val="00D21305"/>
    <w:rsid w:val="00D22037"/>
    <w:rsid w:val="00D25137"/>
    <w:rsid w:val="00D3269A"/>
    <w:rsid w:val="00D32E1F"/>
    <w:rsid w:val="00D36054"/>
    <w:rsid w:val="00D36152"/>
    <w:rsid w:val="00D402B5"/>
    <w:rsid w:val="00D45434"/>
    <w:rsid w:val="00D50657"/>
    <w:rsid w:val="00D5216D"/>
    <w:rsid w:val="00D52AB6"/>
    <w:rsid w:val="00D53E1F"/>
    <w:rsid w:val="00D545DB"/>
    <w:rsid w:val="00D55DA5"/>
    <w:rsid w:val="00D56AE1"/>
    <w:rsid w:val="00D57C83"/>
    <w:rsid w:val="00D6452F"/>
    <w:rsid w:val="00D663CE"/>
    <w:rsid w:val="00D70202"/>
    <w:rsid w:val="00D7461B"/>
    <w:rsid w:val="00D767A7"/>
    <w:rsid w:val="00D80AA5"/>
    <w:rsid w:val="00D82092"/>
    <w:rsid w:val="00D84043"/>
    <w:rsid w:val="00D8424F"/>
    <w:rsid w:val="00D86E1B"/>
    <w:rsid w:val="00D87770"/>
    <w:rsid w:val="00D92C0E"/>
    <w:rsid w:val="00D9371C"/>
    <w:rsid w:val="00D946AB"/>
    <w:rsid w:val="00D95617"/>
    <w:rsid w:val="00D95690"/>
    <w:rsid w:val="00D968F4"/>
    <w:rsid w:val="00D97B37"/>
    <w:rsid w:val="00DA040C"/>
    <w:rsid w:val="00DA410E"/>
    <w:rsid w:val="00DA5767"/>
    <w:rsid w:val="00DA5817"/>
    <w:rsid w:val="00DA7FCB"/>
    <w:rsid w:val="00DB03F8"/>
    <w:rsid w:val="00DB3079"/>
    <w:rsid w:val="00DB4B14"/>
    <w:rsid w:val="00DB55B9"/>
    <w:rsid w:val="00DB5A37"/>
    <w:rsid w:val="00DB6A90"/>
    <w:rsid w:val="00DB74D2"/>
    <w:rsid w:val="00DB7BA6"/>
    <w:rsid w:val="00DB7ECB"/>
    <w:rsid w:val="00DC0962"/>
    <w:rsid w:val="00DC61CE"/>
    <w:rsid w:val="00DD5D0D"/>
    <w:rsid w:val="00DD689C"/>
    <w:rsid w:val="00DE081E"/>
    <w:rsid w:val="00DE2AD7"/>
    <w:rsid w:val="00DF051A"/>
    <w:rsid w:val="00DF2004"/>
    <w:rsid w:val="00DF2DD1"/>
    <w:rsid w:val="00DF3C42"/>
    <w:rsid w:val="00E00400"/>
    <w:rsid w:val="00E01C8D"/>
    <w:rsid w:val="00E02923"/>
    <w:rsid w:val="00E04E13"/>
    <w:rsid w:val="00E0557E"/>
    <w:rsid w:val="00E05F14"/>
    <w:rsid w:val="00E15481"/>
    <w:rsid w:val="00E15E17"/>
    <w:rsid w:val="00E1755B"/>
    <w:rsid w:val="00E17D77"/>
    <w:rsid w:val="00E22723"/>
    <w:rsid w:val="00E2344F"/>
    <w:rsid w:val="00E23501"/>
    <w:rsid w:val="00E25432"/>
    <w:rsid w:val="00E312B1"/>
    <w:rsid w:val="00E32CA4"/>
    <w:rsid w:val="00E32CFD"/>
    <w:rsid w:val="00E3397D"/>
    <w:rsid w:val="00E34876"/>
    <w:rsid w:val="00E402FF"/>
    <w:rsid w:val="00E409F5"/>
    <w:rsid w:val="00E414E0"/>
    <w:rsid w:val="00E435DF"/>
    <w:rsid w:val="00E44484"/>
    <w:rsid w:val="00E46270"/>
    <w:rsid w:val="00E5081C"/>
    <w:rsid w:val="00E5087A"/>
    <w:rsid w:val="00E539F9"/>
    <w:rsid w:val="00E564DF"/>
    <w:rsid w:val="00E70D5A"/>
    <w:rsid w:val="00E7301C"/>
    <w:rsid w:val="00E75A91"/>
    <w:rsid w:val="00E820FF"/>
    <w:rsid w:val="00E8352B"/>
    <w:rsid w:val="00E840F6"/>
    <w:rsid w:val="00E848A6"/>
    <w:rsid w:val="00E86526"/>
    <w:rsid w:val="00EA1D5D"/>
    <w:rsid w:val="00EA3462"/>
    <w:rsid w:val="00EA35C5"/>
    <w:rsid w:val="00EA4245"/>
    <w:rsid w:val="00EA4D08"/>
    <w:rsid w:val="00EA535C"/>
    <w:rsid w:val="00EA58D8"/>
    <w:rsid w:val="00EA63D7"/>
    <w:rsid w:val="00EB1359"/>
    <w:rsid w:val="00EB1A06"/>
    <w:rsid w:val="00EB1F64"/>
    <w:rsid w:val="00EB44A8"/>
    <w:rsid w:val="00EB4F4A"/>
    <w:rsid w:val="00EB5481"/>
    <w:rsid w:val="00EC20DA"/>
    <w:rsid w:val="00EC35C9"/>
    <w:rsid w:val="00EC67D1"/>
    <w:rsid w:val="00ED76BA"/>
    <w:rsid w:val="00EE0379"/>
    <w:rsid w:val="00EE0417"/>
    <w:rsid w:val="00EE0A88"/>
    <w:rsid w:val="00EE1349"/>
    <w:rsid w:val="00EE3A40"/>
    <w:rsid w:val="00EE3D09"/>
    <w:rsid w:val="00EE60F1"/>
    <w:rsid w:val="00EE6812"/>
    <w:rsid w:val="00EE7026"/>
    <w:rsid w:val="00EE7D85"/>
    <w:rsid w:val="00EF01AA"/>
    <w:rsid w:val="00EF22FD"/>
    <w:rsid w:val="00EF772D"/>
    <w:rsid w:val="00F01BC8"/>
    <w:rsid w:val="00F06376"/>
    <w:rsid w:val="00F07D47"/>
    <w:rsid w:val="00F14C55"/>
    <w:rsid w:val="00F14D94"/>
    <w:rsid w:val="00F15DE6"/>
    <w:rsid w:val="00F16213"/>
    <w:rsid w:val="00F16746"/>
    <w:rsid w:val="00F1705F"/>
    <w:rsid w:val="00F17E71"/>
    <w:rsid w:val="00F17EF1"/>
    <w:rsid w:val="00F20B62"/>
    <w:rsid w:val="00F21119"/>
    <w:rsid w:val="00F21432"/>
    <w:rsid w:val="00F2356A"/>
    <w:rsid w:val="00F24AA5"/>
    <w:rsid w:val="00F32873"/>
    <w:rsid w:val="00F3351A"/>
    <w:rsid w:val="00F36513"/>
    <w:rsid w:val="00F378C2"/>
    <w:rsid w:val="00F37DC9"/>
    <w:rsid w:val="00F47A16"/>
    <w:rsid w:val="00F51D0A"/>
    <w:rsid w:val="00F51FB8"/>
    <w:rsid w:val="00F523AD"/>
    <w:rsid w:val="00F5427A"/>
    <w:rsid w:val="00F55875"/>
    <w:rsid w:val="00F5699E"/>
    <w:rsid w:val="00F56F34"/>
    <w:rsid w:val="00F61894"/>
    <w:rsid w:val="00F61AC9"/>
    <w:rsid w:val="00F61D99"/>
    <w:rsid w:val="00F626EC"/>
    <w:rsid w:val="00F642A3"/>
    <w:rsid w:val="00F64632"/>
    <w:rsid w:val="00F71E60"/>
    <w:rsid w:val="00F7277F"/>
    <w:rsid w:val="00F76612"/>
    <w:rsid w:val="00F828B0"/>
    <w:rsid w:val="00F85595"/>
    <w:rsid w:val="00F855F6"/>
    <w:rsid w:val="00F85A81"/>
    <w:rsid w:val="00F85ECB"/>
    <w:rsid w:val="00F901DD"/>
    <w:rsid w:val="00F905F9"/>
    <w:rsid w:val="00F90DC6"/>
    <w:rsid w:val="00F913A5"/>
    <w:rsid w:val="00F938F0"/>
    <w:rsid w:val="00F93CE7"/>
    <w:rsid w:val="00F95408"/>
    <w:rsid w:val="00FA3A28"/>
    <w:rsid w:val="00FA410D"/>
    <w:rsid w:val="00FA5192"/>
    <w:rsid w:val="00FA7263"/>
    <w:rsid w:val="00FB076C"/>
    <w:rsid w:val="00FB1EE1"/>
    <w:rsid w:val="00FB4333"/>
    <w:rsid w:val="00FC2B3D"/>
    <w:rsid w:val="00FC47B2"/>
    <w:rsid w:val="00FD0DA3"/>
    <w:rsid w:val="00FD1066"/>
    <w:rsid w:val="00FD1370"/>
    <w:rsid w:val="00FD430D"/>
    <w:rsid w:val="00FD6D01"/>
    <w:rsid w:val="00FD6E91"/>
    <w:rsid w:val="00FE1C37"/>
    <w:rsid w:val="00FE1F06"/>
    <w:rsid w:val="00FE2135"/>
    <w:rsid w:val="00FE2523"/>
    <w:rsid w:val="00FF1B4E"/>
    <w:rsid w:val="00FF3C8B"/>
    <w:rsid w:val="00FF61D7"/>
  </w:rsids>
  <w:docVars>
    <w:docVar w:name="__Grammarly_42___1" w:val="H4sIAAAAAAAEAKtWcslP9kxRslIyNDawNDe0NDS2NDY1NLYwNzNT0lEKTi0uzszPAykwNKwFAJ/B7Z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F37D53"/>
  <w15:docId w15:val="{E1FB014C-99A1-44EF-8596-DA04348B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1">
    <w:name w:val="toc 1"/>
    <w:autoRedefine/>
    <w:uiPriority w:val="39"/>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54350E"/>
    <w:pPr>
      <w:spacing w:line="480" w:lineRule="auto"/>
      <w:ind w:firstLine="720"/>
    </w:pPr>
    <w:rPr>
      <w:sz w:val="22"/>
    </w:rPr>
  </w:style>
  <w:style w:type="paragraph" w:styleId="ListParagraph">
    <w:name w:val="List Paragraph"/>
    <w:basedOn w:val="Normal"/>
    <w:uiPriority w:val="34"/>
    <w:qFormat/>
    <w:rsid w:val="003B3AB7"/>
    <w:pPr>
      <w:autoSpaceDE/>
      <w:autoSpaceDN/>
      <w:adjustRightInd/>
      <w:ind w:left="720"/>
    </w:pPr>
    <w:rPr>
      <w:rFonts w:ascii="Calibri" w:hAnsi="Calibri" w:eastAsiaTheme="minorHAnsi"/>
      <w:sz w:val="22"/>
      <w:szCs w:val="22"/>
    </w:rPr>
  </w:style>
  <w:style w:type="character" w:customStyle="1" w:styleId="UnresolvedMention1">
    <w:name w:val="Unresolved Mention1"/>
    <w:basedOn w:val="DefaultParagraphFont"/>
    <w:uiPriority w:val="99"/>
    <w:semiHidden/>
    <w:unhideWhenUsed/>
    <w:rsid w:val="000355A4"/>
    <w:rPr>
      <w:color w:val="605E5C"/>
      <w:shd w:val="clear" w:color="auto" w:fill="E1DFDD"/>
    </w:rPr>
  </w:style>
  <w:style w:type="character" w:styleId="UnresolvedMention">
    <w:name w:val="Unresolved Mention"/>
    <w:basedOn w:val="DefaultParagraphFont"/>
    <w:uiPriority w:val="99"/>
    <w:semiHidden/>
    <w:unhideWhenUsed/>
    <w:rsid w:val="0012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urriem@od.nih.gov" TargetMode="External" /><Relationship Id="rId6" Type="http://schemas.openxmlformats.org/officeDocument/2006/relationships/footer" Target="footer1.xml" /><Relationship Id="rId7" Type="http://schemas.openxmlformats.org/officeDocument/2006/relationships/hyperlink" Target="https://www.bls.gov/oes/2024/May/oes_nat.htm" TargetMode="External" /><Relationship Id="rId8" Type="http://schemas.openxmlformats.org/officeDocument/2006/relationships/hyperlink" Target="https://www.opm.gov/policy-data-oversight/pay-leave/salaries-wages/salary-tables/19Tables/html/DCB.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E267-8361-425C-93B3-2D698689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McCarthyK</dc:creator>
  <cp:lastModifiedBy>Currie, Mikia (NIH/OD) [E]</cp:lastModifiedBy>
  <cp:revision>24</cp:revision>
  <cp:lastPrinted>2026-02-13T19:34:00Z</cp:lastPrinted>
  <dcterms:created xsi:type="dcterms:W3CDTF">2026-02-09T20:11:00Z</dcterms:created>
  <dcterms:modified xsi:type="dcterms:W3CDTF">2026-02-27T15:51:00Z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ca57f2cde495618d150fb35f7ff8cd6afed536c9024f0b46338fbf3e17b68beb</vt:lpwstr>
  </property>
</Properties>
</file>