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E07BC4" w:rsidRPr="002B4D2C" w:rsidP="002B4D2C" w14:paraId="1E1D6898" w14:textId="1E9FFC68">
      <w:pPr>
        <w:pStyle w:val="Title"/>
        <w:jc w:val="center"/>
        <w:rPr>
          <w:rStyle w:val="Strong"/>
          <w:sz w:val="40"/>
          <w:szCs w:val="40"/>
        </w:rPr>
      </w:pPr>
      <w:r w:rsidRPr="002B4D2C">
        <w:rPr>
          <w:rStyle w:val="Strong"/>
          <w:sz w:val="40"/>
          <w:szCs w:val="40"/>
        </w:rPr>
        <w:t>Public Comment Log</w:t>
      </w:r>
    </w:p>
    <w:p w:rsidR="002B4D2C" w:rsidP="002B4D2C" w14:paraId="551E082A" w14:textId="4C4C407D">
      <w:pPr>
        <w:pStyle w:val="Title"/>
        <w:jc w:val="center"/>
        <w:rPr>
          <w:rStyle w:val="Strong"/>
          <w:sz w:val="40"/>
          <w:szCs w:val="40"/>
        </w:rPr>
      </w:pPr>
      <w:r w:rsidRPr="002B4D2C">
        <w:rPr>
          <w:rStyle w:val="Strong"/>
          <w:sz w:val="40"/>
          <w:szCs w:val="40"/>
        </w:rPr>
        <w:t xml:space="preserve">(ICR </w:t>
      </w:r>
      <w:r w:rsidRPr="0067495B" w:rsidR="0067495B">
        <w:rPr>
          <w:rStyle w:val="Strong"/>
          <w:sz w:val="40"/>
          <w:szCs w:val="40"/>
        </w:rPr>
        <w:t>202602-0925-003</w:t>
      </w:r>
      <w:r w:rsidRPr="002B4D2C">
        <w:rPr>
          <w:rStyle w:val="Strong"/>
          <w:sz w:val="40"/>
          <w:szCs w:val="40"/>
        </w:rPr>
        <w:t>)</w:t>
      </w:r>
    </w:p>
    <w:p w:rsidR="002B4D2C" w:rsidRPr="002B4D2C" w:rsidP="002B4D2C" w14:paraId="17C2E03C" w14:textId="77777777"/>
    <w:tbl>
      <w:tblPr>
        <w:tblStyle w:val="TableGrid"/>
        <w:tblW w:w="0" w:type="auto"/>
        <w:tblLook w:val="04A0"/>
      </w:tblPr>
      <w:tblGrid>
        <w:gridCol w:w="4675"/>
        <w:gridCol w:w="4675"/>
      </w:tblGrid>
      <w:tr w14:paraId="40E5C475" w14:textId="77777777" w:rsidTr="00E71AEF">
        <w:tblPrEx>
          <w:tblW w:w="0" w:type="auto"/>
          <w:tblLook w:val="04A0"/>
        </w:tblPrEx>
        <w:tc>
          <w:tcPr>
            <w:tcW w:w="9350" w:type="dxa"/>
            <w:gridSpan w:val="2"/>
          </w:tcPr>
          <w:p w:rsidR="00F93AA4" w:rsidRPr="00F93AA4" w:rsidP="00F93AA4" w14:paraId="12C594AF" w14:textId="743DE683">
            <w:pPr>
              <w:jc w:val="center"/>
              <w:rPr>
                <w:b/>
                <w:bCs/>
              </w:rPr>
            </w:pPr>
            <w:r w:rsidRPr="00F93AA4">
              <w:rPr>
                <w:b/>
                <w:bCs/>
              </w:rPr>
              <w:t>Public Comment #1</w:t>
            </w:r>
          </w:p>
        </w:tc>
      </w:tr>
      <w:tr w14:paraId="47AF209D" w14:textId="77777777" w:rsidTr="002B4D2C">
        <w:tblPrEx>
          <w:tblW w:w="0" w:type="auto"/>
          <w:tblLook w:val="04A0"/>
        </w:tblPrEx>
        <w:tc>
          <w:tcPr>
            <w:tcW w:w="4675" w:type="dxa"/>
          </w:tcPr>
          <w:p w:rsidR="002B4D2C" w:rsidRPr="002B4D2C" w:rsidP="002B4D2C" w14:paraId="23BD7284" w14:textId="052C1A0F">
            <w:pPr>
              <w:rPr>
                <w:b/>
                <w:bCs/>
              </w:rPr>
            </w:pPr>
            <w:r w:rsidRPr="002B4D2C">
              <w:rPr>
                <w:b/>
                <w:bCs/>
              </w:rPr>
              <w:t>Date of Comment:</w:t>
            </w:r>
          </w:p>
        </w:tc>
        <w:tc>
          <w:tcPr>
            <w:tcW w:w="4675" w:type="dxa"/>
          </w:tcPr>
          <w:p w:rsidR="002B4D2C" w:rsidP="002B4D2C" w14:paraId="35DF0427" w14:textId="3E11A3B9">
            <w:r>
              <w:t xml:space="preserve">March </w:t>
            </w:r>
            <w:r w:rsidR="00866C47">
              <w:t>5</w:t>
            </w:r>
            <w:r>
              <w:t>, 2026</w:t>
            </w:r>
          </w:p>
        </w:tc>
      </w:tr>
      <w:tr w14:paraId="1079FB0B" w14:textId="77777777" w:rsidTr="002B4D2C">
        <w:tblPrEx>
          <w:tblW w:w="0" w:type="auto"/>
          <w:tblLook w:val="04A0"/>
        </w:tblPrEx>
        <w:tc>
          <w:tcPr>
            <w:tcW w:w="4675" w:type="dxa"/>
          </w:tcPr>
          <w:p w:rsidR="002B4D2C" w:rsidRPr="002B4D2C" w:rsidP="002B4D2C" w14:paraId="2482F5B6" w14:textId="07F064A1">
            <w:pPr>
              <w:rPr>
                <w:b/>
                <w:bCs/>
              </w:rPr>
            </w:pPr>
            <w:r w:rsidRPr="002B4D2C">
              <w:rPr>
                <w:b/>
                <w:bCs/>
              </w:rPr>
              <w:t>Date Received:</w:t>
            </w:r>
          </w:p>
        </w:tc>
        <w:tc>
          <w:tcPr>
            <w:tcW w:w="4675" w:type="dxa"/>
          </w:tcPr>
          <w:p w:rsidR="002B4D2C" w:rsidP="002B4D2C" w14:paraId="4F191651" w14:textId="5023A5F7">
            <w:r>
              <w:t xml:space="preserve">March </w:t>
            </w:r>
            <w:r w:rsidR="00866C47">
              <w:t>24</w:t>
            </w:r>
            <w:r>
              <w:t>, 2026</w:t>
            </w:r>
          </w:p>
        </w:tc>
      </w:tr>
      <w:tr w14:paraId="34035352" w14:textId="77777777" w:rsidTr="002B4D2C">
        <w:tblPrEx>
          <w:tblW w:w="0" w:type="auto"/>
          <w:tblLook w:val="04A0"/>
        </w:tblPrEx>
        <w:tc>
          <w:tcPr>
            <w:tcW w:w="4675" w:type="dxa"/>
          </w:tcPr>
          <w:p w:rsidR="002B4D2C" w:rsidRPr="002B4D2C" w:rsidP="002B4D2C" w14:paraId="32A091C4" w14:textId="2C512A4A">
            <w:pPr>
              <w:rPr>
                <w:b/>
                <w:bCs/>
              </w:rPr>
            </w:pPr>
            <w:r w:rsidRPr="002B4D2C">
              <w:rPr>
                <w:b/>
                <w:bCs/>
              </w:rPr>
              <w:t>Category: (Simple or Multiple Comments)</w:t>
            </w:r>
          </w:p>
        </w:tc>
        <w:tc>
          <w:tcPr>
            <w:tcW w:w="4675" w:type="dxa"/>
          </w:tcPr>
          <w:p w:rsidR="002B4D2C" w:rsidP="002B4D2C" w14:paraId="5504CB97" w14:textId="4A52773C">
            <w:r>
              <w:t>Simple</w:t>
            </w:r>
          </w:p>
        </w:tc>
      </w:tr>
      <w:tr w14:paraId="2CF99180" w14:textId="77777777" w:rsidTr="002B4D2C">
        <w:tblPrEx>
          <w:tblW w:w="0" w:type="auto"/>
          <w:tblLook w:val="04A0"/>
        </w:tblPrEx>
        <w:tc>
          <w:tcPr>
            <w:tcW w:w="4675" w:type="dxa"/>
          </w:tcPr>
          <w:p w:rsidR="002B4D2C" w:rsidRPr="002B4D2C" w:rsidP="002B4D2C" w14:paraId="7EA0471A" w14:textId="40D01C65">
            <w:pPr>
              <w:rPr>
                <w:b/>
                <w:bCs/>
              </w:rPr>
            </w:pPr>
            <w:r w:rsidRPr="002B4D2C">
              <w:rPr>
                <w:b/>
                <w:bCs/>
              </w:rPr>
              <w:t>Comment Type: (Fax, Letter, Email, Post Card, Other)</w:t>
            </w:r>
          </w:p>
        </w:tc>
        <w:tc>
          <w:tcPr>
            <w:tcW w:w="4675" w:type="dxa"/>
          </w:tcPr>
          <w:p w:rsidR="002B4D2C" w:rsidP="002B4D2C" w14:paraId="65D4BA3D" w14:textId="38D6501C">
            <w:r>
              <w:t>Email</w:t>
            </w:r>
          </w:p>
        </w:tc>
      </w:tr>
      <w:tr w14:paraId="21834FBC" w14:textId="77777777" w:rsidTr="002B4D2C">
        <w:tblPrEx>
          <w:tblW w:w="0" w:type="auto"/>
          <w:tblLook w:val="04A0"/>
        </w:tblPrEx>
        <w:tc>
          <w:tcPr>
            <w:tcW w:w="4675" w:type="dxa"/>
          </w:tcPr>
          <w:p w:rsidR="002B4D2C" w:rsidRPr="002B4D2C" w:rsidP="002B4D2C" w14:paraId="7D4F9F15" w14:textId="0ADE1B6C">
            <w:pPr>
              <w:rPr>
                <w:b/>
                <w:bCs/>
              </w:rPr>
            </w:pPr>
            <w:r w:rsidRPr="002B4D2C">
              <w:rPr>
                <w:b/>
                <w:bCs/>
              </w:rPr>
              <w:t>Author’s First Name:</w:t>
            </w:r>
          </w:p>
        </w:tc>
        <w:tc>
          <w:tcPr>
            <w:tcW w:w="4675" w:type="dxa"/>
          </w:tcPr>
          <w:p w:rsidR="002B4D2C" w:rsidP="002B4D2C" w14:paraId="7296E2AF" w14:textId="58FAF971">
            <w:r>
              <w:t>Timothy</w:t>
            </w:r>
          </w:p>
        </w:tc>
      </w:tr>
      <w:tr w14:paraId="3463D56E" w14:textId="77777777" w:rsidTr="002B4D2C">
        <w:tblPrEx>
          <w:tblW w:w="0" w:type="auto"/>
          <w:tblLook w:val="04A0"/>
        </w:tblPrEx>
        <w:tc>
          <w:tcPr>
            <w:tcW w:w="4675" w:type="dxa"/>
          </w:tcPr>
          <w:p w:rsidR="002B4D2C" w:rsidRPr="002B4D2C" w:rsidP="002B4D2C" w14:paraId="45969206" w14:textId="05CEB1B7">
            <w:pPr>
              <w:rPr>
                <w:b/>
                <w:bCs/>
              </w:rPr>
            </w:pPr>
            <w:r w:rsidRPr="002B4D2C">
              <w:rPr>
                <w:b/>
                <w:bCs/>
              </w:rPr>
              <w:t>Author’s Last Name:</w:t>
            </w:r>
          </w:p>
        </w:tc>
        <w:tc>
          <w:tcPr>
            <w:tcW w:w="4675" w:type="dxa"/>
          </w:tcPr>
          <w:p w:rsidR="002B4D2C" w:rsidP="002B4D2C" w14:paraId="3C6CC8E5" w14:textId="4F2C8401">
            <w:r>
              <w:t>Cook</w:t>
            </w:r>
          </w:p>
        </w:tc>
      </w:tr>
      <w:tr w14:paraId="1220A153" w14:textId="77777777" w:rsidTr="002B4D2C">
        <w:tblPrEx>
          <w:tblW w:w="0" w:type="auto"/>
          <w:tblLook w:val="04A0"/>
        </w:tblPrEx>
        <w:tc>
          <w:tcPr>
            <w:tcW w:w="4675" w:type="dxa"/>
          </w:tcPr>
          <w:p w:rsidR="002B4D2C" w:rsidRPr="002B4D2C" w:rsidP="002B4D2C" w14:paraId="74FFA770" w14:textId="658464C9">
            <w:pPr>
              <w:rPr>
                <w:b/>
                <w:bCs/>
              </w:rPr>
            </w:pPr>
            <w:r w:rsidRPr="002B4D2C">
              <w:rPr>
                <w:b/>
                <w:bCs/>
              </w:rPr>
              <w:t>Author’s Affiliation: (if available)</w:t>
            </w:r>
          </w:p>
        </w:tc>
        <w:tc>
          <w:tcPr>
            <w:tcW w:w="4675" w:type="dxa"/>
          </w:tcPr>
          <w:p w:rsidR="002B4D2C" w:rsidP="002B4D2C" w14:paraId="0EC762A9" w14:textId="77777777"/>
        </w:tc>
      </w:tr>
      <w:tr w14:paraId="352F5605" w14:textId="77777777" w:rsidTr="002B4D2C">
        <w:tblPrEx>
          <w:tblW w:w="0" w:type="auto"/>
          <w:tblLook w:val="04A0"/>
        </w:tblPrEx>
        <w:tc>
          <w:tcPr>
            <w:tcW w:w="4675" w:type="dxa"/>
          </w:tcPr>
          <w:p w:rsidR="002B4D2C" w:rsidRPr="002B4D2C" w:rsidP="002B4D2C" w14:paraId="5016F537" w14:textId="7E562B35">
            <w:pPr>
              <w:rPr>
                <w:b/>
                <w:bCs/>
              </w:rPr>
            </w:pPr>
            <w:r w:rsidRPr="002B4D2C">
              <w:rPr>
                <w:b/>
                <w:bCs/>
              </w:rPr>
              <w:t>Sponsoring Organization: (if available)</w:t>
            </w:r>
          </w:p>
        </w:tc>
        <w:tc>
          <w:tcPr>
            <w:tcW w:w="4675" w:type="dxa"/>
          </w:tcPr>
          <w:p w:rsidR="002B4D2C" w:rsidP="002B4D2C" w14:paraId="1BCA2663" w14:textId="77777777"/>
        </w:tc>
      </w:tr>
      <w:tr w14:paraId="7B2AC153" w14:textId="77777777" w:rsidTr="002B4D2C">
        <w:tblPrEx>
          <w:tblW w:w="0" w:type="auto"/>
          <w:tblLook w:val="04A0"/>
        </w:tblPrEx>
        <w:tc>
          <w:tcPr>
            <w:tcW w:w="4675" w:type="dxa"/>
          </w:tcPr>
          <w:p w:rsidR="002B4D2C" w:rsidRPr="002B4D2C" w:rsidP="002B4D2C" w14:paraId="7BE3451A" w14:textId="4AC47B8D">
            <w:pPr>
              <w:rPr>
                <w:b/>
                <w:bCs/>
              </w:rPr>
            </w:pPr>
            <w:r w:rsidRPr="002B4D2C">
              <w:rPr>
                <w:b/>
                <w:bCs/>
              </w:rPr>
              <w:t>Comment received:</w:t>
            </w:r>
          </w:p>
        </w:tc>
        <w:tc>
          <w:tcPr>
            <w:tcW w:w="4675" w:type="dxa"/>
          </w:tcPr>
          <w:p w:rsidR="002B4D2C" w:rsidP="00716C2F" w14:paraId="58DEECAE" w14:textId="18BDF4E2">
            <w:r>
              <w:t xml:space="preserve">[Representative excerpt] </w:t>
            </w:r>
            <w:r w:rsidR="00716C2F">
              <w:t>Furthermore, the federal government should not be relying on 471 hours of human burden and honor-system paperwork to enforce data governance. Modern data architecture has already solved this. Instead of forcing scientists to destroy data, the NIMH should adopt mathematically constrained data architectures that use W3C standards such as the Data Privacy Vocabulary (DPV) and the Open Digital Rights Language (ODRL). When access controls and expirations are cryptographically bound to the data at the point of inception (Data Physics), the data natively enforces its own usage limits. I urge OIRA to reject this ICR. We must not use the Paperwork Reduction Act to mandate the destruction of the decentralized scientific record when native, cryptographic data architectures render such administrative burdens obsolete.</w:t>
            </w:r>
          </w:p>
        </w:tc>
      </w:tr>
      <w:tr w14:paraId="13E10FE0" w14:textId="77777777" w:rsidTr="002B4D2C">
        <w:tblPrEx>
          <w:tblW w:w="0" w:type="auto"/>
          <w:tblLook w:val="04A0"/>
        </w:tblPrEx>
        <w:tc>
          <w:tcPr>
            <w:tcW w:w="4675" w:type="dxa"/>
          </w:tcPr>
          <w:p w:rsidR="002B4D2C" w:rsidRPr="002B4D2C" w:rsidP="002B4D2C" w14:paraId="3066F24B" w14:textId="1A8889DF">
            <w:pPr>
              <w:rPr>
                <w:b/>
                <w:bCs/>
              </w:rPr>
            </w:pPr>
            <w:r w:rsidRPr="002B4D2C">
              <w:rPr>
                <w:b/>
                <w:bCs/>
              </w:rPr>
              <w:t>Date responded to comment:</w:t>
            </w:r>
          </w:p>
        </w:tc>
        <w:tc>
          <w:tcPr>
            <w:tcW w:w="4675" w:type="dxa"/>
          </w:tcPr>
          <w:p w:rsidR="002B4D2C" w:rsidP="002B4D2C" w14:paraId="7869F4CB" w14:textId="365A9142">
            <w:r>
              <w:t>March 27, 2026</w:t>
            </w:r>
          </w:p>
        </w:tc>
      </w:tr>
      <w:tr w14:paraId="5B7398CD" w14:textId="77777777" w:rsidTr="002B4D2C">
        <w:tblPrEx>
          <w:tblW w:w="0" w:type="auto"/>
          <w:tblLook w:val="04A0"/>
        </w:tblPrEx>
        <w:tc>
          <w:tcPr>
            <w:tcW w:w="4675" w:type="dxa"/>
          </w:tcPr>
          <w:p w:rsidR="002B4D2C" w:rsidRPr="002B4D2C" w:rsidP="002B4D2C" w14:paraId="018B673A" w14:textId="77777777">
            <w:pPr>
              <w:rPr>
                <w:b/>
                <w:bCs/>
              </w:rPr>
            </w:pPr>
            <w:r w:rsidRPr="002B4D2C">
              <w:rPr>
                <w:b/>
                <w:bCs/>
              </w:rPr>
              <w:t>Program response provided:</w:t>
            </w:r>
          </w:p>
          <w:p w:rsidR="002B4D2C" w:rsidRPr="002B4D2C" w:rsidP="002B4D2C" w14:paraId="7091E6EC" w14:textId="5C03C834">
            <w:pPr>
              <w:rPr>
                <w:b/>
                <w:bCs/>
              </w:rPr>
            </w:pPr>
            <w:r w:rsidRPr="002B4D2C">
              <w:rPr>
                <w:b/>
                <w:bCs/>
              </w:rPr>
              <w:t>(if lengthy please provide screenshot below)</w:t>
            </w:r>
          </w:p>
        </w:tc>
        <w:tc>
          <w:tcPr>
            <w:tcW w:w="4675" w:type="dxa"/>
          </w:tcPr>
          <w:p w:rsidR="00216263" w:rsidP="00216263" w14:paraId="54FEF677" w14:textId="77777777">
            <w:r>
              <w:t>Thank you for your public comment regarding data access in response to NIMH’s Information Collection Request titled "The National Institute of Mental Health Data Archive (NDA) Data Access Closeout Report" (ICR Reference No: 202602-0925-003). I am responding on behalf of the Office of Information and Regulatory Affairs.</w:t>
            </w:r>
          </w:p>
          <w:p w:rsidR="0007169B" w:rsidP="00216263" w14:paraId="640E59AC" w14:textId="77777777"/>
          <w:p w:rsidR="00216263" w:rsidP="00216263" w14:paraId="055B2469" w14:textId="0C03F9DA">
            <w:r>
              <w:t xml:space="preserve">The National Institutes of Health (NIH) maintains the federal scientific record by retaining the data in the NDA, while researchers accessing and using the data are not allowed to retain the data in perpetuity. The requirement that researchers </w:t>
            </w:r>
            <w:r>
              <w:t xml:space="preserve">confirm destruction of all copies of accessed data is necessary as it is a standard term to ensure accountability, support risk management over time, and promote adherence to the terms of access. This requirement also ensures compliance with NIH policy regarding unauthorized data retention and </w:t>
            </w:r>
            <w:r>
              <w:t>use, and</w:t>
            </w:r>
            <w:r>
              <w:t xml:space="preserve"> helps to mitigate associated risks. While technical approaches can restrict access within controlled environments, they cannot ensure compliance with data use limitations once data </w:t>
            </w:r>
            <w:r>
              <w:t>have</w:t>
            </w:r>
            <w:r>
              <w:t xml:space="preserve"> been accessed. Accordingly, we consider technical controls alone to be insufficient for our purposes </w:t>
            </w:r>
            <w:r>
              <w:t>at this time</w:t>
            </w:r>
            <w:r>
              <w:t xml:space="preserve">. </w:t>
            </w:r>
            <w:r w:rsidR="00426EF0">
              <w:t>W</w:t>
            </w:r>
            <w:r>
              <w:t>e do appreciate you sharing your suggested approach to enforcing data governance “at the point of inception,” and we will continue to consider such technical controls as we constantly strive to optimize our data stewardship and reduce burden.</w:t>
            </w:r>
          </w:p>
          <w:p w:rsidR="00216263" w:rsidP="00216263" w14:paraId="14908C9D" w14:textId="77777777"/>
          <w:p w:rsidR="00216263" w:rsidP="00216263" w14:paraId="086F2CEB" w14:textId="77777777">
            <w:r>
              <w:t>Thank you once again for your comment.</w:t>
            </w:r>
          </w:p>
          <w:p w:rsidR="00216263" w:rsidP="00216263" w14:paraId="2C1AEA98" w14:textId="77777777"/>
          <w:p w:rsidR="00216263" w:rsidP="00216263" w14:paraId="1FA69E0A" w14:textId="77777777">
            <w:r>
              <w:t>Very Respectfully,</w:t>
            </w:r>
          </w:p>
          <w:p w:rsidR="002B4D2C" w:rsidP="00216263" w14:paraId="2854E21F" w14:textId="5609B0C9">
            <w:r>
              <w:t>Andrew Hooper, Ph.D.</w:t>
            </w:r>
          </w:p>
        </w:tc>
      </w:tr>
    </w:tbl>
    <w:p w:rsidR="00037EE2" w:rsidP="002B4D2C" w14:paraId="4AAE7C24" w14:textId="394CB816"/>
    <w:p w:rsidR="007F5BE1" w:rsidP="002B4D2C" w14:paraId="64F415D0"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D2C"/>
    <w:rsid w:val="00037EE2"/>
    <w:rsid w:val="0007169B"/>
    <w:rsid w:val="000A52F7"/>
    <w:rsid w:val="000C1297"/>
    <w:rsid w:val="000E068D"/>
    <w:rsid w:val="000E1AC4"/>
    <w:rsid w:val="001042A7"/>
    <w:rsid w:val="001438B8"/>
    <w:rsid w:val="00216263"/>
    <w:rsid w:val="002B4D2C"/>
    <w:rsid w:val="003F29D0"/>
    <w:rsid w:val="00426EF0"/>
    <w:rsid w:val="00466FC3"/>
    <w:rsid w:val="00553EF8"/>
    <w:rsid w:val="0067495B"/>
    <w:rsid w:val="006D7667"/>
    <w:rsid w:val="006F74AE"/>
    <w:rsid w:val="00714685"/>
    <w:rsid w:val="00716C2F"/>
    <w:rsid w:val="00737840"/>
    <w:rsid w:val="0075349A"/>
    <w:rsid w:val="007E4832"/>
    <w:rsid w:val="007F5BE1"/>
    <w:rsid w:val="00866C47"/>
    <w:rsid w:val="00866FD8"/>
    <w:rsid w:val="008D603D"/>
    <w:rsid w:val="00936A89"/>
    <w:rsid w:val="00982644"/>
    <w:rsid w:val="009D628C"/>
    <w:rsid w:val="009E34DD"/>
    <w:rsid w:val="00A00764"/>
    <w:rsid w:val="00AE7ED6"/>
    <w:rsid w:val="00B26838"/>
    <w:rsid w:val="00BB4744"/>
    <w:rsid w:val="00BD7A6B"/>
    <w:rsid w:val="00CE6EE1"/>
    <w:rsid w:val="00D90DAE"/>
    <w:rsid w:val="00DD2417"/>
    <w:rsid w:val="00E07BC4"/>
    <w:rsid w:val="00E75E1E"/>
    <w:rsid w:val="00F03FA3"/>
    <w:rsid w:val="00F93AA4"/>
    <w:rsid w:val="00FE0C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83701E"/>
  <w15:chartTrackingRefBased/>
  <w15:docId w15:val="{793F41B3-C006-4CBE-8778-9E0AE9E67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B4D2C"/>
    <w:rPr>
      <w:b/>
      <w:bCs/>
    </w:rPr>
  </w:style>
  <w:style w:type="paragraph" w:styleId="Title">
    <w:name w:val="Title"/>
    <w:basedOn w:val="Normal"/>
    <w:next w:val="Normal"/>
    <w:link w:val="TitleChar"/>
    <w:uiPriority w:val="10"/>
    <w:qFormat/>
    <w:rsid w:val="002B4D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D2C"/>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2B4D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6EE1"/>
    <w:rPr>
      <w:color w:val="0563C1" w:themeColor="hyperlink"/>
      <w:u w:val="single"/>
    </w:rPr>
  </w:style>
  <w:style w:type="character" w:styleId="UnresolvedMention">
    <w:name w:val="Unresolved Mention"/>
    <w:basedOn w:val="DefaultParagraphFont"/>
    <w:uiPriority w:val="99"/>
    <w:semiHidden/>
    <w:unhideWhenUsed/>
    <w:rsid w:val="00CE6E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 DGSI</dc:creator>
  <cp:lastModifiedBy>Currie, Mikia (NIH/OD) [E]</cp:lastModifiedBy>
  <cp:revision>2</cp:revision>
  <dcterms:created xsi:type="dcterms:W3CDTF">2026-03-30T13:01:00Z</dcterms:created>
  <dcterms:modified xsi:type="dcterms:W3CDTF">2026-03-30T13:01:00Z</dcterms:modified>
</cp:coreProperties>
</file>