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F41CE5" w14:paraId="45384781" w14:textId="51EF151E">
      <w:r>
        <w:t xml:space="preserve">The following </w:t>
      </w:r>
      <w:r w:rsidR="007B335C">
        <w:t>statutes</w:t>
      </w:r>
      <w:r>
        <w:t xml:space="preserve"> and </w:t>
      </w:r>
      <w:r w:rsidR="007B335C">
        <w:t>appropriation</w:t>
      </w:r>
      <w:r>
        <w:t>s authorize the ED3N Information Collection:</w:t>
      </w:r>
    </w:p>
    <w:p w:rsidR="00F41CE5" w14:paraId="06A09B37" w14:textId="5A6F38E3"/>
    <w:tbl>
      <w:tblPr>
        <w:tblStyle w:val="GridTable4Accent3"/>
        <w:tblW w:w="0" w:type="auto"/>
        <w:tblLook w:val="04A0"/>
      </w:tblPr>
      <w:tblGrid>
        <w:gridCol w:w="4675"/>
        <w:gridCol w:w="4675"/>
      </w:tblGrid>
      <w:tr w14:paraId="009BE43A" w14:textId="77777777" w:rsidTr="00F41CE5">
        <w:tblPrEx>
          <w:tblW w:w="0" w:type="auto"/>
          <w:tblLook w:val="04A0"/>
        </w:tblPrEx>
        <w:tc>
          <w:tcPr>
            <w:tcW w:w="4675" w:type="dxa"/>
          </w:tcPr>
          <w:p w:rsidR="00F41CE5" w:rsidRPr="00F41CE5" w14:paraId="188ED971" w14:textId="130757AA">
            <w:pPr>
              <w:rPr>
                <w:color w:val="auto"/>
              </w:rPr>
            </w:pPr>
            <w:r w:rsidRPr="00F41CE5">
              <w:rPr>
                <w:color w:val="auto"/>
              </w:rPr>
              <w:t>Law or Regulation</w:t>
            </w:r>
          </w:p>
        </w:tc>
        <w:tc>
          <w:tcPr>
            <w:tcW w:w="4675" w:type="dxa"/>
          </w:tcPr>
          <w:p w:rsidR="00F41CE5" w:rsidRPr="00F41CE5" w14:paraId="3B38798D" w14:textId="4B9BF1D6">
            <w:pPr>
              <w:rPr>
                <w:color w:val="auto"/>
              </w:rPr>
            </w:pPr>
            <w:r w:rsidRPr="00F41CE5">
              <w:rPr>
                <w:color w:val="auto"/>
              </w:rPr>
              <w:t>Subdivision</w:t>
            </w:r>
            <w:r w:rsidR="00C10819">
              <w:rPr>
                <w:color w:val="auto"/>
              </w:rPr>
              <w:t xml:space="preserve"> or Section</w:t>
            </w:r>
          </w:p>
        </w:tc>
      </w:tr>
      <w:tr w14:paraId="40DBF77D" w14:textId="77777777" w:rsidTr="00F41CE5">
        <w:tblPrEx>
          <w:tblW w:w="0" w:type="auto"/>
          <w:tblLook w:val="04A0"/>
        </w:tblPrEx>
        <w:tc>
          <w:tcPr>
            <w:tcW w:w="4675" w:type="dxa"/>
          </w:tcPr>
          <w:p w:rsidR="00F41CE5" w:rsidRPr="00F41CE5" w14:paraId="778F3BEA" w14:textId="47215866">
            <w:pPr>
              <w:rPr>
                <w:b w:val="0"/>
                <w:bCs w:val="0"/>
              </w:rPr>
            </w:pPr>
            <w:hyperlink r:id="rId7" w:history="1">
              <w:r w:rsidRPr="00E6633D">
                <w:rPr>
                  <w:rStyle w:val="Hyperlink"/>
                  <w:b w:val="0"/>
                  <w:bCs w:val="0"/>
                </w:rPr>
                <w:t xml:space="preserve">Newborn Screening Saves Lives </w:t>
              </w:r>
              <w:r w:rsidRPr="00E6633D" w:rsidR="00C10819">
                <w:rPr>
                  <w:rStyle w:val="Hyperlink"/>
                  <w:b w:val="0"/>
                  <w:bCs w:val="0"/>
                </w:rPr>
                <w:t xml:space="preserve">Reauthorization </w:t>
              </w:r>
              <w:r w:rsidRPr="00E6633D">
                <w:rPr>
                  <w:rStyle w:val="Hyperlink"/>
                  <w:b w:val="0"/>
                  <w:bCs w:val="0"/>
                </w:rPr>
                <w:t>Act</w:t>
              </w:r>
            </w:hyperlink>
          </w:p>
        </w:tc>
        <w:tc>
          <w:tcPr>
            <w:tcW w:w="4675" w:type="dxa"/>
          </w:tcPr>
          <w:p w:rsidR="00F41CE5" w14:paraId="528804CD" w14:textId="25B2502E">
            <w:r>
              <w:t>Section 6:</w:t>
            </w:r>
          </w:p>
          <w:p w:rsidR="00E6633D" w:rsidP="00E6633D" w14:paraId="4C883C90" w14:textId="229EDFB9">
            <w:r>
              <w:t>The Secretary, acting through the Director of the Centers for Disease Control and Prevention and in consultation with the Advisory Committee on Heritable Disorders in Newborns and Children established under section 300b–10 of this title, shall provide for—</w:t>
            </w:r>
          </w:p>
          <w:p w:rsidR="00E6633D" w:rsidP="00E6633D" w14:paraId="04C97DB6" w14:textId="43F982F0">
            <w:r>
              <w:t>(1) quality assurance for laboratories involved in screening newborns and children for heritable disorders, including quality assurance for newborn-screening tests, performance evaluation services, and technical assistance and technology transfer to newborn screening laboratories to ensure analytic validity and utility of screening tests; and</w:t>
            </w:r>
          </w:p>
          <w:p w:rsidR="00E6633D" w:rsidP="00E6633D" w14:paraId="7424188B" w14:textId="40E86105">
            <w:r>
              <w:t>(2) appropriate quality control and other performance test materials to evaluate the performance of new screening tools.</w:t>
            </w:r>
          </w:p>
          <w:p w:rsidR="00E6633D" w14:paraId="4CFA7EB6" w14:textId="343E3BC7"/>
        </w:tc>
      </w:tr>
      <w:tr w14:paraId="6ED070D5" w14:textId="77777777" w:rsidTr="00F41CE5">
        <w:tblPrEx>
          <w:tblW w:w="0" w:type="auto"/>
          <w:tblLook w:val="04A0"/>
        </w:tblPrEx>
        <w:tc>
          <w:tcPr>
            <w:tcW w:w="4675" w:type="dxa"/>
          </w:tcPr>
          <w:p w:rsidR="00C10819" w14:paraId="2CEFE309" w14:textId="7FABD0AB">
            <w:hyperlink r:id="rId8" w:history="1">
              <w:r w:rsidRPr="00221084">
                <w:rPr>
                  <w:rStyle w:val="Hyperlink"/>
                  <w:b w:val="0"/>
                  <w:bCs w:val="0"/>
                </w:rPr>
                <w:t>Senate Report 115-289</w:t>
              </w:r>
              <w:r w:rsidRPr="00221084">
                <w:rPr>
                  <w:rStyle w:val="Hyperlink"/>
                  <w:b w:val="0"/>
                  <w:bCs w:val="0"/>
                </w:rPr>
                <w:t>: DEPARTMENTS OF LABOR, HEALTH AND HUMAN SERVICES, AND EDUCATION, AND RELATED AGENCIES</w:t>
              </w:r>
            </w:hyperlink>
            <w:r w:rsidRPr="00C10819">
              <w:rPr>
                <w:b w:val="0"/>
                <w:bCs w:val="0"/>
              </w:rPr>
              <w:t xml:space="preserve"> </w:t>
            </w:r>
          </w:p>
          <w:p w:rsidR="00F41CE5" w:rsidRPr="00F41CE5" w14:paraId="51B25B6A" w14:textId="09E59069">
            <w:pPr>
              <w:rPr>
                <w:b w:val="0"/>
                <w:bCs w:val="0"/>
              </w:rPr>
            </w:pPr>
            <w:r w:rsidRPr="00C10819">
              <w:rPr>
                <w:b w:val="0"/>
                <w:bCs w:val="0"/>
              </w:rPr>
              <w:t>APPROPRIATION</w:t>
            </w:r>
            <w:r>
              <w:rPr>
                <w:b w:val="0"/>
                <w:bCs w:val="0"/>
              </w:rPr>
              <w:t>S</w:t>
            </w:r>
            <w:r w:rsidRPr="00C10819">
              <w:rPr>
                <w:b w:val="0"/>
                <w:bCs w:val="0"/>
              </w:rPr>
              <w:t xml:space="preserve"> BILL, 2019 </w:t>
            </w:r>
          </w:p>
        </w:tc>
        <w:tc>
          <w:tcPr>
            <w:tcW w:w="4675" w:type="dxa"/>
          </w:tcPr>
          <w:p w:rsidR="00F41CE5" w14:paraId="674E2494" w14:textId="77777777">
            <w:r>
              <w:t>Page 77</w:t>
            </w:r>
            <w:r w:rsidR="001A7A90">
              <w:t xml:space="preserve"> </w:t>
            </w:r>
          </w:p>
          <w:p w:rsidR="005B0936" w14:paraId="5EE0EDCD" w14:textId="77777777">
            <w:r>
              <w:t xml:space="preserve">The Committee requests CDC to provide an update in the fiscal year 2020 CJ on how CDC will use the additional funding provided in fiscal year 2018 to expand CDC’s quality assurance materials, as well as critical infrastructure and development of tests for rare conditions… </w:t>
            </w:r>
          </w:p>
          <w:p w:rsidR="005B0936" w14:paraId="4269C5A7" w14:textId="09F6DF4B">
            <w:r>
              <w:t xml:space="preserve">The plan should also include capacity-building support for State laboratory staff to be able to interpret results and minimize false positives as well as a system to monitor performance of labs in this work. The Committee recommends that CDC develop working groups involving all </w:t>
            </w:r>
            <w:r>
              <w:t>stakeholders, including the newborn screening community, to address these and future concerns.</w:t>
            </w:r>
          </w:p>
        </w:tc>
      </w:tr>
      <w:tr w14:paraId="6167112F" w14:textId="77777777" w:rsidTr="00F41CE5">
        <w:tblPrEx>
          <w:tblW w:w="0" w:type="auto"/>
          <w:tblLook w:val="04A0"/>
        </w:tblPrEx>
        <w:tc>
          <w:tcPr>
            <w:tcW w:w="4675" w:type="dxa"/>
          </w:tcPr>
          <w:p w:rsidR="00C10819" w:rsidRPr="00C10819" w:rsidP="00C10819" w14:paraId="21015EDD" w14:textId="76D72920">
            <w:pPr>
              <w:rPr>
                <w:b w:val="0"/>
                <w:bCs w:val="0"/>
              </w:rPr>
            </w:pPr>
            <w:hyperlink r:id="rId9" w:history="1">
              <w:r w:rsidRPr="00221084">
                <w:rPr>
                  <w:rStyle w:val="Hyperlink"/>
                  <w:b w:val="0"/>
                  <w:bCs w:val="0"/>
                </w:rPr>
                <w:t>House Report 115-862: DEPARTMENTS OF LABOR, HEALTH AND HUMAN SERVICES, AND EDUCATION, AND RELATED AGENCIES</w:t>
              </w:r>
            </w:hyperlink>
          </w:p>
          <w:p w:rsidR="00F41CE5" w:rsidRPr="00C10819" w:rsidP="00C10819" w14:paraId="4D857B10" w14:textId="4CA100AD">
            <w:pPr>
              <w:rPr>
                <w:b w:val="0"/>
                <w:bCs w:val="0"/>
              </w:rPr>
            </w:pPr>
            <w:r w:rsidRPr="00C10819">
              <w:rPr>
                <w:b w:val="0"/>
                <w:bCs w:val="0"/>
              </w:rPr>
              <w:t xml:space="preserve">APPROPRIATIONS BILL, 2019 </w:t>
            </w:r>
          </w:p>
        </w:tc>
        <w:tc>
          <w:tcPr>
            <w:tcW w:w="4675" w:type="dxa"/>
          </w:tcPr>
          <w:p w:rsidR="00F41CE5" w14:paraId="1904A5C3" w14:textId="77777777">
            <w:r>
              <w:t>Page 47</w:t>
            </w:r>
          </w:p>
          <w:p w:rsidR="005B0936" w14:paraId="14CEED02" w14:textId="6EF768B0">
            <w:r>
              <w:t>The Committee is aware that State laboratories need specialized support to begin screening for additional newborn conditions and recognizes CDC’s expertise in working with laboratories to implement accurate newborn screening tests. The Committee supports the Newborn Screening Quality Assurance Program to support State laboratories as they implement screening for new disorders.</w:t>
            </w:r>
          </w:p>
        </w:tc>
      </w:tr>
    </w:tbl>
    <w:p w:rsidR="00F41CE5" w14:paraId="77E6473C" w14:textId="77777777"/>
    <w:sectPr>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4C23" w14:paraId="1B15DBC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1CE5" w14:paraId="60EA69CD" w14:textId="590B4DEB">
    <w:pPr>
      <w:pStyle w:val="Footer"/>
    </w:pPr>
  </w:p>
  <w:p w:rsidR="00F41CE5" w14:paraId="19608948" w14:textId="3A1A9B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4C23" w14:paraId="5D0B508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4C23" w14:paraId="15816EB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1CE5" w14:paraId="49020E53" w14:textId="08B669F3">
    <w:pPr>
      <w:pStyle w:val="Header"/>
    </w:pPr>
    <w:r w:rsidRPr="00F41CE5">
      <w:rPr>
        <w:b/>
        <w:bCs/>
      </w:rPr>
      <w:t>Attachment 1:</w:t>
    </w:r>
    <w:r>
      <w:t xml:space="preserve"> Authorizing </w:t>
    </w:r>
    <w:r w:rsidR="007B335C">
      <w:t>Legislation</w:t>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4C23" w14:paraId="1F3987C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CE5"/>
    <w:rsid w:val="001A7A90"/>
    <w:rsid w:val="001D2725"/>
    <w:rsid w:val="00221084"/>
    <w:rsid w:val="003251F2"/>
    <w:rsid w:val="00544ABA"/>
    <w:rsid w:val="005A123D"/>
    <w:rsid w:val="005B0936"/>
    <w:rsid w:val="005B4C23"/>
    <w:rsid w:val="005B73E2"/>
    <w:rsid w:val="00653C90"/>
    <w:rsid w:val="007B335C"/>
    <w:rsid w:val="0086627B"/>
    <w:rsid w:val="00A31C15"/>
    <w:rsid w:val="00A61A08"/>
    <w:rsid w:val="00A81BE9"/>
    <w:rsid w:val="00A848D0"/>
    <w:rsid w:val="00C10819"/>
    <w:rsid w:val="00E6633D"/>
    <w:rsid w:val="00F41CE5"/>
    <w:rsid w:val="00FE297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E48A29"/>
  <w15:chartTrackingRefBased/>
  <w15:docId w15:val="{536C7994-4D0D-407E-A861-93098E08F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1CE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1C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CE5"/>
  </w:style>
  <w:style w:type="paragraph" w:styleId="Footer">
    <w:name w:val="footer"/>
    <w:basedOn w:val="Normal"/>
    <w:link w:val="FooterChar"/>
    <w:uiPriority w:val="99"/>
    <w:unhideWhenUsed/>
    <w:rsid w:val="00F41C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CE5"/>
  </w:style>
  <w:style w:type="paragraph" w:styleId="NormalWeb">
    <w:name w:val="Normal (Web)"/>
    <w:basedOn w:val="Normal"/>
    <w:uiPriority w:val="99"/>
    <w:semiHidden/>
    <w:unhideWhenUsed/>
    <w:rsid w:val="00F41CE5"/>
    <w:pPr>
      <w:spacing w:before="100" w:beforeAutospacing="1" w:after="100" w:afterAutospacing="1" w:line="240" w:lineRule="auto"/>
    </w:pPr>
    <w:rPr>
      <w:rFonts w:ascii="Times New Roman" w:hAnsi="Times New Roman" w:eastAsiaTheme="minorEastAsia" w:cs="Times New Roman"/>
      <w:sz w:val="24"/>
      <w:szCs w:val="24"/>
    </w:rPr>
  </w:style>
  <w:style w:type="table" w:styleId="TableGrid">
    <w:name w:val="Table Grid"/>
    <w:basedOn w:val="TableNormal"/>
    <w:uiPriority w:val="39"/>
    <w:rsid w:val="00F41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F41CE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CommentReference">
    <w:name w:val="annotation reference"/>
    <w:basedOn w:val="DefaultParagraphFont"/>
    <w:uiPriority w:val="99"/>
    <w:semiHidden/>
    <w:unhideWhenUsed/>
    <w:rsid w:val="007B335C"/>
    <w:rPr>
      <w:sz w:val="16"/>
      <w:szCs w:val="16"/>
    </w:rPr>
  </w:style>
  <w:style w:type="paragraph" w:styleId="CommentText">
    <w:name w:val="annotation text"/>
    <w:basedOn w:val="Normal"/>
    <w:link w:val="CommentTextChar"/>
    <w:uiPriority w:val="99"/>
    <w:semiHidden/>
    <w:unhideWhenUsed/>
    <w:rsid w:val="007B335C"/>
    <w:pPr>
      <w:spacing w:line="240" w:lineRule="auto"/>
    </w:pPr>
    <w:rPr>
      <w:sz w:val="20"/>
      <w:szCs w:val="20"/>
    </w:rPr>
  </w:style>
  <w:style w:type="character" w:customStyle="1" w:styleId="CommentTextChar">
    <w:name w:val="Comment Text Char"/>
    <w:basedOn w:val="DefaultParagraphFont"/>
    <w:link w:val="CommentText"/>
    <w:uiPriority w:val="99"/>
    <w:semiHidden/>
    <w:rsid w:val="007B335C"/>
    <w:rPr>
      <w:sz w:val="20"/>
      <w:szCs w:val="20"/>
    </w:rPr>
  </w:style>
  <w:style w:type="paragraph" w:styleId="CommentSubject">
    <w:name w:val="annotation subject"/>
    <w:basedOn w:val="CommentText"/>
    <w:next w:val="CommentText"/>
    <w:link w:val="CommentSubjectChar"/>
    <w:uiPriority w:val="99"/>
    <w:semiHidden/>
    <w:unhideWhenUsed/>
    <w:rsid w:val="007B335C"/>
    <w:rPr>
      <w:b/>
      <w:bCs/>
    </w:rPr>
  </w:style>
  <w:style w:type="character" w:customStyle="1" w:styleId="CommentSubjectChar">
    <w:name w:val="Comment Subject Char"/>
    <w:basedOn w:val="CommentTextChar"/>
    <w:link w:val="CommentSubject"/>
    <w:uiPriority w:val="99"/>
    <w:semiHidden/>
    <w:rsid w:val="007B335C"/>
    <w:rPr>
      <w:b/>
      <w:bCs/>
      <w:sz w:val="20"/>
      <w:szCs w:val="20"/>
    </w:rPr>
  </w:style>
  <w:style w:type="character" w:styleId="Hyperlink">
    <w:name w:val="Hyperlink"/>
    <w:basedOn w:val="DefaultParagraphFont"/>
    <w:uiPriority w:val="99"/>
    <w:unhideWhenUsed/>
    <w:rsid w:val="00E6633D"/>
    <w:rPr>
      <w:color w:val="0563C1" w:themeColor="hyperlink"/>
      <w:u w:val="single"/>
    </w:rPr>
  </w:style>
  <w:style w:type="character" w:styleId="UnresolvedMention">
    <w:name w:val="Unresolved Mention"/>
    <w:basedOn w:val="DefaultParagraphFont"/>
    <w:uiPriority w:val="99"/>
    <w:semiHidden/>
    <w:unhideWhenUsed/>
    <w:rsid w:val="00E6633D"/>
    <w:rPr>
      <w:color w:val="605E5C"/>
      <w:shd w:val="clear" w:color="auto" w:fill="E1DFDD"/>
    </w:rPr>
  </w:style>
  <w:style w:type="character" w:styleId="FollowedHyperlink">
    <w:name w:val="FollowedHyperlink"/>
    <w:basedOn w:val="DefaultParagraphFont"/>
    <w:uiPriority w:val="99"/>
    <w:semiHidden/>
    <w:unhideWhenUsed/>
    <w:rsid w:val="005B09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govinfo.gov/content/pkg/USCODE-2010-title42/html/USCODE-2010-title42-chap6A.htm" TargetMode="External" /><Relationship Id="rId8" Type="http://schemas.openxmlformats.org/officeDocument/2006/relationships/hyperlink" Target="https://www.govinfo.gov/content/pkg/CRPT-115srpt289/pdf/CRPT-115srpt289.pdf" TargetMode="External" /><Relationship Id="rId9" Type="http://schemas.openxmlformats.org/officeDocument/2006/relationships/hyperlink" Target="https://www.govinfo.gov/content/pkg/CRPT-115hrpt862/pdf/CRPT-115hrpt862.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88879c-8775-4fb3-bbeb-7d83bdfaa3b0">
      <Terms xmlns="http://schemas.microsoft.com/office/infopath/2007/PartnerControls"/>
    </lcf76f155ced4ddcb4097134ff3c332f>
    <TaxCatchAll xmlns="ee43d889-edc4-48e1-b12c-dadc2f31c1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3" ma:contentTypeDescription="Create a new document." ma:contentTypeScope="" ma:versionID="4514ff070a678df49ff8668765fb57b7">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e0235bfc5f68b0faeb2b3b23cc8d5c50"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CD3AD0-7DC1-4718-9DC8-189D8139154F}">
  <ds:schemaRefs>
    <ds:schemaRef ds:uri="http://schemas.microsoft.com/office/2006/metadata/properties"/>
    <ds:schemaRef ds:uri="http://schemas.microsoft.com/office/infopath/2007/PartnerControls"/>
    <ds:schemaRef ds:uri="ac88879c-8775-4fb3-bbeb-7d83bdfaa3b0"/>
    <ds:schemaRef ds:uri="ee43d889-edc4-48e1-b12c-dadc2f31c19b"/>
  </ds:schemaRefs>
</ds:datastoreItem>
</file>

<file path=customXml/itemProps2.xml><?xml version="1.0" encoding="utf-8"?>
<ds:datastoreItem xmlns:ds="http://schemas.openxmlformats.org/officeDocument/2006/customXml" ds:itemID="{F37214D5-1EAC-4AD5-BCBE-44F34C6EF7FF}">
  <ds:schemaRefs>
    <ds:schemaRef ds:uri="http://schemas.microsoft.com/sharepoint/v3/contenttype/forms"/>
  </ds:schemaRefs>
</ds:datastoreItem>
</file>

<file path=customXml/itemProps3.xml><?xml version="1.0" encoding="utf-8"?>
<ds:datastoreItem xmlns:ds="http://schemas.openxmlformats.org/officeDocument/2006/customXml" ds:itemID="{D7062DE8-B17F-440D-B190-E7B3CB33C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8879c-8775-4fb3-bbeb-7d83bdfaa3b0"/>
    <ds:schemaRef ds:uri="ee43d889-edc4-48e1-b12c-dadc2f31c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315</Words>
  <Characters>1906</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Flores, Sharon (CDC/NCEH/OD)</cp:lastModifiedBy>
  <cp:revision>9</cp:revision>
  <dcterms:created xsi:type="dcterms:W3CDTF">2021-10-22T17:05:00Z</dcterms:created>
  <dcterms:modified xsi:type="dcterms:W3CDTF">2026-02-09T21:05:00Z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0x01010043A477F68F2F9343951B98BC995DD51F</vt:lpwstr>
  </property>
  <property fmtid="{D5CDD505-2E9C-101B-9397-08002B2CF9AE}" pid="3" name="MSIP_Label_7b94a7b8-f06c-4dfe-bdcc-9b548fd58c31_ActionId">
    <vt:lpwstr>31312cb4-1477-4cab-9d1d-979eadf8051f</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2021-10-19T15:29:55Z</vt:lpwstr>
  </property>
  <property fmtid="{D5CDD505-2E9C-101B-9397-08002B2CF9AE}" pid="9" name="MSIP_Label_7b94a7b8-f06c-4dfe-bdcc-9b548fd58c31_SiteId">
    <vt:lpwstr>9ce70869-60db-44fd-abe8-d2767077fc8f</vt:lpwstr>
  </property>
</Properties>
</file>