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4FFBE99B" w:rsidP="17FC8200" w14:paraId="4B77B25A" w14:textId="1EBA5EC4">
      <w:pPr>
        <w:pStyle w:val="Title"/>
        <w:rPr>
          <w:rFonts w:ascii="Calibri Light" w:hAnsi="Calibri Light"/>
        </w:rPr>
      </w:pPr>
      <w:bookmarkStart w:id="0" w:name="_Toc337198071"/>
      <w:bookmarkStart w:id="1" w:name="_Toc423335421"/>
      <w:r w:rsidRPr="17FC8200">
        <w:rPr>
          <w:rFonts w:ascii="Cambria" w:hAnsi="Cambria"/>
          <w:color w:val="auto"/>
          <w:sz w:val="48"/>
          <w:szCs w:val="48"/>
        </w:rPr>
        <w:t>NCEH DLS Laboratory Quality Assurance Programs</w:t>
      </w:r>
    </w:p>
    <w:p w:rsidR="006615FB" w:rsidRPr="006615FB" w:rsidP="4997ADE4" w14:paraId="2EC4EBB3" w14:textId="6388ACBD">
      <w:pPr>
        <w:pStyle w:val="Subtitle"/>
        <w:rPr>
          <w:rFonts w:ascii="Cambria" w:hAnsi="Cambria"/>
          <w:color w:val="auto"/>
        </w:rPr>
      </w:pPr>
      <w:r w:rsidRPr="70FAA45F">
        <w:rPr>
          <w:rFonts w:ascii="Cambria" w:hAnsi="Cambria"/>
          <w:color w:val="auto"/>
        </w:rPr>
        <w:t>OMB Control No. 0920-</w:t>
      </w:r>
      <w:r w:rsidRPr="70FAA45F" w:rsidR="3E3EEC58">
        <w:rPr>
          <w:rFonts w:ascii="Cambria" w:hAnsi="Cambria"/>
          <w:color w:val="auto"/>
        </w:rPr>
        <w:t>1389</w:t>
      </w:r>
      <w:r w:rsidRPr="70FAA45F">
        <w:rPr>
          <w:rFonts w:ascii="Cambria" w:hAnsi="Cambria"/>
          <w:color w:val="auto"/>
        </w:rPr>
        <w:t xml:space="preserve"> </w:t>
      </w:r>
      <w:r w:rsidRPr="70FAA45F" w:rsidR="302751BC">
        <w:rPr>
          <w:rFonts w:ascii="Cambria" w:hAnsi="Cambria"/>
          <w:color w:val="auto"/>
        </w:rPr>
        <w:t>Revision</w:t>
      </w:r>
    </w:p>
    <w:p w:rsidR="006F2ABA" w:rsidRPr="00E707C0" w:rsidP="628089E3" w14:paraId="211AE9D4" w14:textId="4CBDE5A0">
      <w:pPr>
        <w:pStyle w:val="Subtitle"/>
        <w:rPr>
          <w:rFonts w:ascii="Cambria" w:eastAsia="Cambria" w:hAnsi="Cambria" w:cs="Cambria"/>
          <w:sz w:val="36"/>
          <w:szCs w:val="36"/>
        </w:rPr>
      </w:pPr>
      <w:r w:rsidRPr="628089E3" w:rsidR="3E4C0698">
        <w:rPr>
          <w:rFonts w:ascii="Cambria" w:eastAsia="Cambria" w:hAnsi="Cambria" w:cs="Cambria"/>
          <w:sz w:val="36"/>
          <w:szCs w:val="36"/>
        </w:rPr>
        <w:t>Existing Information Collection in Use</w:t>
      </w:r>
    </w:p>
    <w:p w:rsidR="00D33AE3" w:rsidRPr="00E707C0" w:rsidP="00D33AE3" w14:paraId="7B8AB253" w14:textId="77777777">
      <w:pPr>
        <w:pStyle w:val="Subtitle"/>
        <w:rPr>
          <w:rFonts w:ascii="Cambria" w:hAnsi="Cambria"/>
          <w:color w:val="auto"/>
        </w:rPr>
      </w:pPr>
      <w:r w:rsidRPr="00E707C0">
        <w:rPr>
          <w:rFonts w:ascii="Cambria" w:hAnsi="Cambria"/>
          <w:color w:val="auto"/>
        </w:rPr>
        <w:t xml:space="preserve">Supporting Statement Part B – </w:t>
      </w:r>
    </w:p>
    <w:p w:rsidR="00D33AE3" w:rsidRPr="00E707C0" w:rsidP="00D33AE3" w14:paraId="12E818EF" w14:textId="77777777">
      <w:pPr>
        <w:pStyle w:val="Subtitle"/>
        <w:rPr>
          <w:rFonts w:ascii="Cambria" w:hAnsi="Cambria"/>
          <w:color w:val="auto"/>
        </w:rPr>
      </w:pPr>
      <w:r w:rsidRPr="00E707C0">
        <w:rPr>
          <w:rFonts w:ascii="Cambria" w:hAnsi="Cambria"/>
          <w:color w:val="auto"/>
        </w:rPr>
        <w:t>Collections of Information Employing Statistical Methods</w:t>
      </w:r>
    </w:p>
    <w:p w:rsidR="00D33AE3" w:rsidRPr="00E707C0" w:rsidP="00D33AE3" w14:paraId="6D11492F" w14:textId="77777777">
      <w:pPr>
        <w:rPr>
          <w:rFonts w:ascii="Cambria" w:hAnsi="Cambria"/>
        </w:rPr>
      </w:pPr>
    </w:p>
    <w:p w:rsidR="00D33AE3" w:rsidRPr="00E707C0" w:rsidP="00D33AE3" w14:paraId="4B319166" w14:textId="77777777">
      <w:pPr>
        <w:spacing w:after="200" w:line="276" w:lineRule="auto"/>
        <w:rPr>
          <w:rFonts w:ascii="Cambria" w:hAnsi="Cambria" w:cs="Arial"/>
          <w:sz w:val="36"/>
          <w:szCs w:val="36"/>
        </w:rPr>
      </w:pPr>
    </w:p>
    <w:p w:rsidR="00D33AE3" w:rsidRPr="00E707C0" w:rsidP="00D33AE3" w14:paraId="47A3E3AD" w14:textId="77777777">
      <w:pPr>
        <w:spacing w:after="200" w:line="276" w:lineRule="auto"/>
        <w:rPr>
          <w:rFonts w:ascii="Cambria" w:hAnsi="Cambria" w:cs="Arial"/>
          <w:sz w:val="36"/>
          <w:szCs w:val="36"/>
        </w:rPr>
      </w:pPr>
    </w:p>
    <w:p w:rsidR="00D33AE3" w:rsidRPr="00E707C0" w:rsidP="17FC8200" w14:paraId="53670BCF" w14:textId="078CFE9A">
      <w:pPr>
        <w:spacing w:after="200" w:line="276" w:lineRule="auto"/>
        <w:rPr>
          <w:rFonts w:ascii="Cambria" w:hAnsi="Cambria" w:cs="Arial"/>
          <w:sz w:val="36"/>
          <w:szCs w:val="36"/>
        </w:rPr>
      </w:pPr>
    </w:p>
    <w:p w:rsidR="47AB9898" w:rsidP="17FC8200" w14:paraId="78A89B42" w14:textId="1DBA3444">
      <w:pPr>
        <w:pStyle w:val="Subtitle"/>
        <w:spacing w:after="0"/>
        <w:rPr>
          <w:rFonts w:ascii="Cambria" w:hAnsi="Cambria"/>
          <w:color w:val="auto"/>
        </w:rPr>
      </w:pPr>
      <w:r w:rsidRPr="70FAA45F" w:rsidR="2EEC6F94">
        <w:rPr>
          <w:rFonts w:ascii="Cambria" w:hAnsi="Cambria"/>
          <w:color w:val="auto"/>
        </w:rPr>
        <w:t xml:space="preserve">Alfonsina De Leon Salazar, </w:t>
      </w:r>
      <w:r w:rsidRPr="70FAA45F" w:rsidR="2EEC6F94">
        <w:rPr>
          <w:rFonts w:ascii="Cambria" w:hAnsi="Cambria"/>
          <w:color w:val="auto"/>
        </w:rPr>
        <w:t>M.S.</w:t>
      </w:r>
    </w:p>
    <w:p w:rsidR="4A9EA0B9" w:rsidP="17FC8200" w14:paraId="366D9E7C" w14:textId="1F80F57D">
      <w:pPr>
        <w:pStyle w:val="Subtitle"/>
        <w:spacing w:after="0"/>
        <w:rPr>
          <w:rFonts w:ascii="Cambria" w:hAnsi="Cambria"/>
          <w:color w:val="auto"/>
        </w:rPr>
      </w:pPr>
      <w:r w:rsidRPr="628089E3">
        <w:rPr>
          <w:rFonts w:ascii="Cambria" w:hAnsi="Cambria"/>
          <w:color w:val="auto"/>
        </w:rPr>
        <w:t>Deputy Associate Director for Science</w:t>
      </w:r>
    </w:p>
    <w:p w:rsidR="307C5844" w:rsidP="628089E3" w14:paraId="530AB7EB" w14:textId="5CD0F55F">
      <w:pPr>
        <w:pStyle w:val="Subtitle"/>
        <w:spacing w:after="0" w:line="240" w:lineRule="auto"/>
        <w:rPr>
          <w:rFonts w:ascii="Cambria" w:eastAsia="Cambria" w:hAnsi="Cambria" w:cs="Cambria"/>
          <w:b w:val="0"/>
          <w:bCs w:val="0"/>
          <w:i w:val="0"/>
          <w:iCs w:val="0"/>
          <w:caps w:val="0"/>
          <w:smallCaps w:val="0"/>
          <w:noProof w:val="0"/>
          <w:color w:val="000000" w:themeColor="text1" w:themeShade="FF" w:themeTint="FF"/>
          <w:sz w:val="30"/>
          <w:szCs w:val="30"/>
          <w:lang w:val="en-US"/>
        </w:rPr>
      </w:pPr>
      <w:r w:rsidRPr="628089E3">
        <w:rPr>
          <w:rFonts w:ascii="Cambria" w:eastAsia="Cambria" w:hAnsi="Cambria" w:cs="Cambria"/>
          <w:b w:val="0"/>
          <w:bCs w:val="0"/>
          <w:i w:val="0"/>
          <w:iCs w:val="0"/>
          <w:caps w:val="0"/>
          <w:smallCaps w:val="0"/>
          <w:noProof w:val="0"/>
          <w:color w:val="000000" w:themeColor="text1" w:themeShade="FF" w:themeTint="FF"/>
          <w:sz w:val="30"/>
          <w:szCs w:val="30"/>
          <w:lang w:val="en-US"/>
        </w:rPr>
        <w:t>Division of Laboratory Sciences</w:t>
      </w:r>
    </w:p>
    <w:p w:rsidR="307C5844" w:rsidP="628089E3" w14:paraId="4E0B2BAE" w14:textId="2E2B9BE9">
      <w:pPr>
        <w:pStyle w:val="Subtitle"/>
        <w:spacing w:after="0" w:line="240" w:lineRule="auto"/>
        <w:rPr>
          <w:rFonts w:ascii="Cambria" w:eastAsia="Cambria" w:hAnsi="Cambria" w:cs="Cambria"/>
          <w:b w:val="0"/>
          <w:bCs w:val="0"/>
          <w:i w:val="0"/>
          <w:iCs w:val="0"/>
          <w:caps w:val="0"/>
          <w:smallCaps w:val="0"/>
          <w:noProof w:val="0"/>
          <w:color w:val="000000" w:themeColor="text1" w:themeShade="FF" w:themeTint="FF"/>
          <w:sz w:val="30"/>
          <w:szCs w:val="30"/>
          <w:lang w:val="en-US"/>
        </w:rPr>
      </w:pPr>
      <w:r w:rsidRPr="628089E3">
        <w:rPr>
          <w:rFonts w:ascii="Cambria" w:eastAsia="Cambria" w:hAnsi="Cambria" w:cs="Cambria"/>
          <w:b w:val="0"/>
          <w:bCs w:val="0"/>
          <w:i w:val="0"/>
          <w:iCs w:val="0"/>
          <w:caps w:val="0"/>
          <w:smallCaps w:val="0"/>
          <w:noProof w:val="0"/>
          <w:color w:val="000000" w:themeColor="text1" w:themeShade="FF" w:themeTint="FF"/>
          <w:sz w:val="30"/>
          <w:szCs w:val="30"/>
          <w:lang w:val="en-US"/>
        </w:rPr>
        <w:t>National Center for Environmental Health</w:t>
      </w:r>
    </w:p>
    <w:p w:rsidR="307C5844" w:rsidP="628089E3" w14:paraId="5D8BEAB9" w14:textId="34AC8FE7">
      <w:pPr>
        <w:pStyle w:val="Subtitle"/>
        <w:spacing w:after="0" w:line="240" w:lineRule="auto"/>
        <w:rPr>
          <w:rFonts w:ascii="Cambria" w:eastAsia="Cambria" w:hAnsi="Cambria" w:cs="Cambria"/>
          <w:b w:val="0"/>
          <w:bCs w:val="0"/>
          <w:i w:val="0"/>
          <w:iCs w:val="0"/>
          <w:caps w:val="0"/>
          <w:smallCaps w:val="0"/>
          <w:noProof w:val="0"/>
          <w:color w:val="000000" w:themeColor="text1" w:themeShade="FF" w:themeTint="FF"/>
          <w:sz w:val="30"/>
          <w:szCs w:val="30"/>
          <w:lang w:val="en-US"/>
        </w:rPr>
      </w:pPr>
      <w:r w:rsidRPr="628089E3">
        <w:rPr>
          <w:rFonts w:ascii="Cambria" w:eastAsia="Cambria" w:hAnsi="Cambria" w:cs="Cambria"/>
          <w:b w:val="0"/>
          <w:bCs w:val="0"/>
          <w:i w:val="0"/>
          <w:iCs w:val="0"/>
          <w:caps w:val="0"/>
          <w:smallCaps w:val="0"/>
          <w:noProof w:val="0"/>
          <w:color w:val="000000" w:themeColor="text1" w:themeShade="FF" w:themeTint="FF"/>
          <w:sz w:val="30"/>
          <w:szCs w:val="30"/>
          <w:lang w:val="en-US"/>
        </w:rPr>
        <w:t>Centers for Disease Control and Prevention</w:t>
      </w:r>
    </w:p>
    <w:p w:rsidR="03546F09" w:rsidP="03546F09" w14:paraId="6AD0F733" w14:textId="6E150357">
      <w:pPr>
        <w:numPr>
          <w:ilvl w:val="0"/>
          <w:numId w:val="0"/>
        </w:numPr>
        <w:rPr>
          <w:rFonts w:ascii="Cambria" w:hAnsi="Cambria"/>
          <w:color w:val="auto"/>
        </w:rPr>
      </w:pPr>
    </w:p>
    <w:p w:rsidR="00D33AE3" w:rsidRPr="00E707C0" w:rsidP="00D33AE3" w14:paraId="07110134" w14:textId="28A770FD">
      <w:pPr>
        <w:pStyle w:val="Subtitle"/>
        <w:spacing w:after="0"/>
        <w:rPr>
          <w:rFonts w:ascii="Cambria" w:hAnsi="Cambria"/>
          <w:color w:val="auto"/>
        </w:rPr>
      </w:pPr>
      <w:r w:rsidRPr="70FAA45F">
        <w:rPr>
          <w:rFonts w:ascii="Cambria" w:hAnsi="Cambria"/>
          <w:color w:val="auto"/>
        </w:rPr>
        <w:t>Phone</w:t>
      </w:r>
      <w:r w:rsidRPr="70FAA45F">
        <w:rPr>
          <w:rFonts w:ascii="Cambria" w:hAnsi="Cambria"/>
          <w:color w:val="auto"/>
        </w:rPr>
        <w:t>:</w:t>
      </w:r>
      <w:r w:rsidRPr="70FAA45F" w:rsidR="00AE70E7">
        <w:rPr>
          <w:rFonts w:ascii="Cambria" w:hAnsi="Cambria"/>
          <w:color w:val="auto"/>
        </w:rPr>
        <w:t xml:space="preserve"> </w:t>
      </w:r>
      <w:r w:rsidRPr="70FAA45F" w:rsidR="7D778D08">
        <w:rPr>
          <w:rFonts w:ascii="Cambria" w:hAnsi="Cambria"/>
          <w:color w:val="auto"/>
        </w:rPr>
        <w:t>770-488-7</w:t>
      </w:r>
      <w:r w:rsidRPr="70FAA45F" w:rsidR="48AFBA20">
        <w:rPr>
          <w:rFonts w:ascii="Cambria" w:hAnsi="Cambria"/>
          <w:color w:val="auto"/>
        </w:rPr>
        <w:t>809</w:t>
      </w:r>
    </w:p>
    <w:p w:rsidR="00D33AE3" w:rsidRPr="00E707C0" w:rsidP="00D33AE3" w14:paraId="3267DE97" w14:textId="4C2636F9">
      <w:pPr>
        <w:pStyle w:val="Subtitle"/>
        <w:spacing w:after="0"/>
        <w:rPr>
          <w:rFonts w:ascii="Cambria" w:hAnsi="Cambria"/>
          <w:color w:val="auto"/>
        </w:rPr>
      </w:pPr>
      <w:r w:rsidRPr="70FAA45F">
        <w:rPr>
          <w:rFonts w:ascii="Cambria" w:hAnsi="Cambria"/>
          <w:color w:val="auto"/>
        </w:rPr>
        <w:t>Email</w:t>
      </w:r>
      <w:r w:rsidRPr="70FAA45F">
        <w:rPr>
          <w:rFonts w:ascii="Cambria" w:hAnsi="Cambria"/>
          <w:color w:val="auto"/>
        </w:rPr>
        <w:t xml:space="preserve">: </w:t>
      </w:r>
      <w:r w:rsidRPr="70FAA45F" w:rsidR="03E0E6AD">
        <w:rPr>
          <w:rFonts w:ascii="Cambria" w:hAnsi="Cambria"/>
          <w:color w:val="auto"/>
        </w:rPr>
        <w:t>wvg4</w:t>
      </w:r>
      <w:r w:rsidRPr="70FAA45F" w:rsidR="13939C60">
        <w:rPr>
          <w:rFonts w:ascii="Cambria" w:hAnsi="Cambria"/>
          <w:color w:val="auto"/>
        </w:rPr>
        <w:t>@cdc.gov</w:t>
      </w:r>
    </w:p>
    <w:p w:rsidR="00D33AE3" w:rsidRPr="00E707C0" w:rsidP="17FC8200" w14:paraId="1D49F8FB" w14:textId="1C24A245">
      <w:pPr>
        <w:pStyle w:val="Subtitle"/>
        <w:spacing w:after="0"/>
        <w:rPr>
          <w:rFonts w:ascii="Calibri Light" w:hAnsi="Calibri Light"/>
        </w:rPr>
      </w:pPr>
    </w:p>
    <w:p w:rsidR="00965C2A" w:rsidRPr="006615FB" w:rsidP="00D33AE3" w14:paraId="39E16D28" w14:textId="6BC7A9EC">
      <w:pPr>
        <w:rPr>
          <w:rFonts w:ascii="Arial" w:hAnsi="Arial" w:cs="Arial"/>
          <w:sz w:val="30"/>
          <w:szCs w:val="30"/>
        </w:rPr>
      </w:pPr>
      <w:r w:rsidRPr="628089E3">
        <w:rPr>
          <w:rFonts w:ascii="Cambria" w:eastAsia="Cambria" w:hAnsi="Cambria" w:cs="Cambria"/>
          <w:sz w:val="30"/>
          <w:szCs w:val="30"/>
        </w:rPr>
        <w:t>Date:</w:t>
      </w:r>
      <w:r w:rsidRPr="628089E3" w:rsidR="0080E59B">
        <w:rPr>
          <w:rFonts w:ascii="Cambria" w:eastAsia="Cambria" w:hAnsi="Cambria" w:cs="Cambria"/>
          <w:sz w:val="30"/>
          <w:szCs w:val="30"/>
        </w:rPr>
        <w:t xml:space="preserve"> </w:t>
      </w:r>
      <w:r w:rsidRPr="628089E3" w:rsidR="03AE6A7A">
        <w:rPr>
          <w:rFonts w:ascii="Cambria" w:eastAsia="Cambria" w:hAnsi="Cambria" w:cs="Cambria"/>
          <w:sz w:val="30"/>
          <w:szCs w:val="30"/>
        </w:rPr>
        <w:t>01</w:t>
      </w:r>
      <w:r w:rsidRPr="628089E3" w:rsidR="004D1502">
        <w:rPr>
          <w:rFonts w:ascii="Cambria" w:eastAsia="Cambria" w:hAnsi="Cambria" w:cs="Cambria"/>
          <w:sz w:val="30"/>
          <w:szCs w:val="30"/>
        </w:rPr>
        <w:t>/</w:t>
      </w:r>
      <w:r w:rsidRPr="628089E3" w:rsidR="151DACD2">
        <w:rPr>
          <w:rFonts w:ascii="Cambria" w:eastAsia="Cambria" w:hAnsi="Cambria" w:cs="Cambria"/>
          <w:sz w:val="30"/>
          <w:szCs w:val="30"/>
        </w:rPr>
        <w:t>22</w:t>
      </w:r>
      <w:r w:rsidRPr="628089E3" w:rsidR="050DC68E">
        <w:rPr>
          <w:rFonts w:ascii="Cambria" w:eastAsia="Cambria" w:hAnsi="Cambria" w:cs="Cambria"/>
          <w:sz w:val="30"/>
          <w:szCs w:val="30"/>
        </w:rPr>
        <w:t>/</w:t>
      </w:r>
      <w:r w:rsidRPr="628089E3" w:rsidR="1FBF6765">
        <w:rPr>
          <w:rFonts w:ascii="Cambria" w:eastAsia="Cambria" w:hAnsi="Cambria" w:cs="Cambria"/>
          <w:sz w:val="30"/>
          <w:szCs w:val="30"/>
        </w:rPr>
        <w:t>202</w:t>
      </w:r>
      <w:r w:rsidRPr="628089E3" w:rsidR="4A14CDE7">
        <w:rPr>
          <w:rFonts w:ascii="Cambria" w:eastAsia="Cambria" w:hAnsi="Cambria" w:cs="Cambria"/>
          <w:sz w:val="30"/>
          <w:szCs w:val="30"/>
        </w:rPr>
        <w:t>6</w:t>
      </w:r>
      <w:r w:rsidRPr="628089E3">
        <w:rPr>
          <w:rFonts w:ascii="Arial" w:hAnsi="Arial" w:cs="Arial"/>
          <w:sz w:val="30"/>
          <w:szCs w:val="30"/>
        </w:rPr>
        <w:br w:type="page"/>
      </w:r>
    </w:p>
    <w:sdt>
      <w:sdtPr>
        <w:rPr>
          <w:rFonts w:asciiTheme="minorAscii" w:eastAsiaTheme="minorEastAsia" w:hAnsiTheme="minorAscii" w:cstheme="minorBidi"/>
          <w:color w:val="auto"/>
          <w:sz w:val="21"/>
          <w:szCs w:val="21"/>
        </w:rPr>
        <w:id w:val="1435599558"/>
        <w:docPartObj>
          <w:docPartGallery w:val="Table of Contents"/>
          <w:docPartUnique/>
        </w:docPartObj>
      </w:sdtPr>
      <w:sdtEndPr>
        <w:rPr>
          <w:rFonts w:asciiTheme="minorAscii" w:eastAsiaTheme="minorEastAsia" w:hAnsiTheme="minorAscii" w:cstheme="minorBidi"/>
          <w:color w:val="auto"/>
          <w:sz w:val="21"/>
          <w:szCs w:val="21"/>
        </w:rPr>
      </w:sdtEndPr>
      <w:sdtContent>
        <w:p w:rsidR="00AC4C54" w:rsidRPr="00D80142" w:rsidP="4997ADE4" w14:paraId="66B68D9C" w14:textId="0B887F63">
          <w:pPr>
            <w:pStyle w:val="TOCHeading"/>
            <w:pBdr>
              <w:bottom w:val="single" w:sz="4" w:space="1" w:color="auto"/>
            </w:pBdr>
            <w:spacing w:after="480"/>
            <w:jc w:val="center"/>
            <w:rPr>
              <w:rFonts w:ascii="Cambria" w:hAnsi="Cambria"/>
              <w:color w:val="auto"/>
            </w:rPr>
          </w:pPr>
          <w:r w:rsidRPr="4997ADE4">
            <w:rPr>
              <w:rFonts w:ascii="Cambria" w:hAnsi="Cambria"/>
              <w:color w:val="auto"/>
            </w:rPr>
            <w:t>Table of Contents</w:t>
          </w:r>
        </w:p>
        <w:p w:rsidR="007E4B84" w14:paraId="32E6B348" w14:textId="1C49C45B">
          <w:pPr>
            <w:pStyle w:val="TOC1"/>
            <w:tabs>
              <w:tab w:val="left" w:pos="660"/>
              <w:tab w:val="right" w:leader="dot" w:pos="9350"/>
            </w:tabs>
            <w:rPr>
              <w:noProof/>
              <w:sz w:val="22"/>
              <w:szCs w:val="22"/>
            </w:rPr>
          </w:pPr>
          <w:r>
            <w:fldChar w:fldCharType="begin"/>
          </w:r>
          <w:r w:rsidR="00D33AE3">
            <w:instrText>TOC \o "1-3" \h \z \u</w:instrText>
          </w:r>
          <w:r>
            <w:fldChar w:fldCharType="separate"/>
          </w:r>
          <w:hyperlink w:anchor="_Toc99519985" w:history="1">
            <w:r w:rsidRPr="00D23E62">
              <w:rPr>
                <w:rStyle w:val="Hyperlink"/>
                <w:rFonts w:ascii="Cambria" w:hAnsi="Cambria"/>
                <w:noProof/>
              </w:rPr>
              <w:t>B.1.</w:t>
            </w:r>
            <w:r>
              <w:rPr>
                <w:noProof/>
                <w:sz w:val="22"/>
                <w:szCs w:val="22"/>
              </w:rPr>
              <w:tab/>
            </w:r>
            <w:r w:rsidRPr="00D23E62">
              <w:rPr>
                <w:rStyle w:val="Hyperlink"/>
                <w:rFonts w:ascii="Cambria" w:hAnsi="Cambria"/>
                <w:noProof/>
              </w:rPr>
              <w:t>Respondent Universe and Sampling Methods</w:t>
            </w:r>
            <w:r>
              <w:rPr>
                <w:noProof/>
                <w:webHidden/>
              </w:rPr>
              <w:tab/>
            </w:r>
            <w:r>
              <w:rPr>
                <w:noProof/>
                <w:webHidden/>
              </w:rPr>
              <w:fldChar w:fldCharType="begin"/>
            </w:r>
            <w:r>
              <w:rPr>
                <w:noProof/>
                <w:webHidden/>
              </w:rPr>
              <w:instrText xml:space="preserve"> PAGEREF _Toc99519985 \h </w:instrText>
            </w:r>
            <w:r>
              <w:rPr>
                <w:noProof/>
                <w:webHidden/>
              </w:rPr>
              <w:fldChar w:fldCharType="separate"/>
            </w:r>
            <w:r w:rsidR="00EA2938">
              <w:rPr>
                <w:noProof/>
                <w:webHidden/>
              </w:rPr>
              <w:t>3</w:t>
            </w:r>
            <w:r>
              <w:rPr>
                <w:noProof/>
                <w:webHidden/>
              </w:rPr>
              <w:fldChar w:fldCharType="end"/>
            </w:r>
          </w:hyperlink>
        </w:p>
        <w:p w:rsidR="007E4B84" w14:paraId="57789796" w14:textId="0B3979C9">
          <w:pPr>
            <w:pStyle w:val="TOC1"/>
            <w:tabs>
              <w:tab w:val="left" w:pos="660"/>
              <w:tab w:val="right" w:leader="dot" w:pos="9350"/>
            </w:tabs>
            <w:rPr>
              <w:noProof/>
              <w:sz w:val="22"/>
              <w:szCs w:val="22"/>
            </w:rPr>
          </w:pPr>
          <w:hyperlink w:anchor="_Toc99519986" w:history="1">
            <w:r w:rsidRPr="00D23E62">
              <w:rPr>
                <w:rStyle w:val="Hyperlink"/>
                <w:rFonts w:ascii="Cambria" w:hAnsi="Cambria"/>
                <w:noProof/>
              </w:rPr>
              <w:t>B.2.</w:t>
            </w:r>
            <w:r>
              <w:rPr>
                <w:noProof/>
                <w:sz w:val="22"/>
                <w:szCs w:val="22"/>
              </w:rPr>
              <w:tab/>
            </w:r>
            <w:r w:rsidRPr="00D23E62">
              <w:rPr>
                <w:rStyle w:val="Hyperlink"/>
                <w:rFonts w:ascii="Cambria" w:hAnsi="Cambria"/>
                <w:noProof/>
              </w:rPr>
              <w:t>Procedures for the Collection of Information</w:t>
            </w:r>
            <w:r>
              <w:rPr>
                <w:noProof/>
                <w:webHidden/>
              </w:rPr>
              <w:tab/>
            </w:r>
            <w:r>
              <w:rPr>
                <w:noProof/>
                <w:webHidden/>
              </w:rPr>
              <w:fldChar w:fldCharType="begin"/>
            </w:r>
            <w:r>
              <w:rPr>
                <w:noProof/>
                <w:webHidden/>
              </w:rPr>
              <w:instrText xml:space="preserve"> PAGEREF _Toc99519986 \h </w:instrText>
            </w:r>
            <w:r>
              <w:rPr>
                <w:noProof/>
                <w:webHidden/>
              </w:rPr>
              <w:fldChar w:fldCharType="separate"/>
            </w:r>
            <w:r>
              <w:rPr>
                <w:noProof/>
                <w:webHidden/>
              </w:rPr>
              <w:t>3</w:t>
            </w:r>
            <w:r>
              <w:rPr>
                <w:noProof/>
                <w:webHidden/>
              </w:rPr>
              <w:fldChar w:fldCharType="end"/>
            </w:r>
          </w:hyperlink>
        </w:p>
        <w:p w:rsidR="007E4B84" w14:paraId="485C4BCE" w14:textId="05B1A944">
          <w:pPr>
            <w:pStyle w:val="TOC1"/>
            <w:tabs>
              <w:tab w:val="left" w:pos="660"/>
              <w:tab w:val="right" w:leader="dot" w:pos="9350"/>
            </w:tabs>
            <w:rPr>
              <w:noProof/>
              <w:sz w:val="22"/>
              <w:szCs w:val="22"/>
            </w:rPr>
          </w:pPr>
          <w:hyperlink w:anchor="_Toc99519987" w:history="1">
            <w:r w:rsidRPr="00D23E62">
              <w:rPr>
                <w:rStyle w:val="Hyperlink"/>
                <w:rFonts w:ascii="Cambria" w:hAnsi="Cambria"/>
                <w:noProof/>
              </w:rPr>
              <w:t>B.3.</w:t>
            </w:r>
            <w:r>
              <w:rPr>
                <w:noProof/>
                <w:sz w:val="22"/>
                <w:szCs w:val="22"/>
              </w:rPr>
              <w:tab/>
            </w:r>
            <w:r w:rsidRPr="00D23E62">
              <w:rPr>
                <w:rStyle w:val="Hyperlink"/>
                <w:rFonts w:ascii="Cambria" w:hAnsi="Cambria"/>
                <w:noProof/>
              </w:rPr>
              <w:t>Methods to Maximize Response Rates and Deal with Non-response</w:t>
            </w:r>
            <w:r>
              <w:rPr>
                <w:noProof/>
                <w:webHidden/>
              </w:rPr>
              <w:tab/>
            </w:r>
            <w:r>
              <w:rPr>
                <w:noProof/>
                <w:webHidden/>
              </w:rPr>
              <w:fldChar w:fldCharType="begin"/>
            </w:r>
            <w:r>
              <w:rPr>
                <w:noProof/>
                <w:webHidden/>
              </w:rPr>
              <w:instrText xml:space="preserve"> PAGEREF _Toc99519987 \h </w:instrText>
            </w:r>
            <w:r>
              <w:rPr>
                <w:noProof/>
                <w:webHidden/>
              </w:rPr>
              <w:fldChar w:fldCharType="separate"/>
            </w:r>
            <w:r>
              <w:rPr>
                <w:noProof/>
                <w:webHidden/>
              </w:rPr>
              <w:t>3</w:t>
            </w:r>
            <w:r>
              <w:rPr>
                <w:noProof/>
                <w:webHidden/>
              </w:rPr>
              <w:fldChar w:fldCharType="end"/>
            </w:r>
          </w:hyperlink>
        </w:p>
        <w:p w:rsidR="007E4B84" w14:paraId="17D4F069" w14:textId="62986C4F">
          <w:pPr>
            <w:pStyle w:val="TOC1"/>
            <w:tabs>
              <w:tab w:val="left" w:pos="660"/>
              <w:tab w:val="right" w:leader="dot" w:pos="9350"/>
            </w:tabs>
            <w:rPr>
              <w:noProof/>
              <w:sz w:val="22"/>
              <w:szCs w:val="22"/>
            </w:rPr>
          </w:pPr>
          <w:hyperlink w:anchor="_Toc99519988" w:history="1">
            <w:r w:rsidRPr="00D23E62">
              <w:rPr>
                <w:rStyle w:val="Hyperlink"/>
                <w:rFonts w:ascii="Cambria" w:hAnsi="Cambria"/>
                <w:noProof/>
              </w:rPr>
              <w:t>B.4.</w:t>
            </w:r>
            <w:r>
              <w:rPr>
                <w:noProof/>
                <w:sz w:val="22"/>
                <w:szCs w:val="22"/>
              </w:rPr>
              <w:tab/>
            </w:r>
            <w:r w:rsidRPr="00D23E62">
              <w:rPr>
                <w:rStyle w:val="Hyperlink"/>
                <w:rFonts w:ascii="Cambria" w:hAnsi="Cambria"/>
                <w:noProof/>
              </w:rPr>
              <w:t>Test of Procedures or Methods to be Undertaken</w:t>
            </w:r>
            <w:r>
              <w:rPr>
                <w:noProof/>
                <w:webHidden/>
              </w:rPr>
              <w:tab/>
            </w:r>
            <w:r>
              <w:rPr>
                <w:noProof/>
                <w:webHidden/>
              </w:rPr>
              <w:fldChar w:fldCharType="begin"/>
            </w:r>
            <w:r>
              <w:rPr>
                <w:noProof/>
                <w:webHidden/>
              </w:rPr>
              <w:instrText xml:space="preserve"> PAGEREF _Toc99519988 \h </w:instrText>
            </w:r>
            <w:r>
              <w:rPr>
                <w:noProof/>
                <w:webHidden/>
              </w:rPr>
              <w:fldChar w:fldCharType="separate"/>
            </w:r>
            <w:r>
              <w:rPr>
                <w:noProof/>
                <w:webHidden/>
              </w:rPr>
              <w:t>4</w:t>
            </w:r>
            <w:r>
              <w:rPr>
                <w:noProof/>
                <w:webHidden/>
              </w:rPr>
              <w:fldChar w:fldCharType="end"/>
            </w:r>
          </w:hyperlink>
        </w:p>
        <w:p w:rsidR="007E4B84" w14:paraId="5F17A610" w14:textId="22F387C1">
          <w:pPr>
            <w:pStyle w:val="TOC1"/>
            <w:tabs>
              <w:tab w:val="left" w:pos="660"/>
              <w:tab w:val="right" w:leader="dot" w:pos="9350"/>
            </w:tabs>
            <w:rPr>
              <w:noProof/>
              <w:sz w:val="22"/>
              <w:szCs w:val="22"/>
            </w:rPr>
          </w:pPr>
          <w:hyperlink w:anchor="_Toc99519989" w:history="1">
            <w:r w:rsidRPr="00D23E62">
              <w:rPr>
                <w:rStyle w:val="Hyperlink"/>
                <w:rFonts w:ascii="Cambria" w:hAnsi="Cambria"/>
                <w:noProof/>
              </w:rPr>
              <w:t>B.5.</w:t>
            </w:r>
            <w:r>
              <w:rPr>
                <w:noProof/>
                <w:sz w:val="22"/>
                <w:szCs w:val="22"/>
              </w:rPr>
              <w:tab/>
            </w:r>
            <w:r w:rsidRPr="00D23E62">
              <w:rPr>
                <w:rStyle w:val="Hyperlink"/>
                <w:rFonts w:ascii="Cambria" w:hAnsi="Cambria"/>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_Toc99519989 \h </w:instrText>
            </w:r>
            <w:r>
              <w:rPr>
                <w:noProof/>
                <w:webHidden/>
              </w:rPr>
              <w:fldChar w:fldCharType="separate"/>
            </w:r>
            <w:r>
              <w:rPr>
                <w:noProof/>
                <w:webHidden/>
              </w:rPr>
              <w:t>4</w:t>
            </w:r>
            <w:r>
              <w:rPr>
                <w:noProof/>
                <w:webHidden/>
              </w:rPr>
              <w:fldChar w:fldCharType="end"/>
            </w:r>
          </w:hyperlink>
        </w:p>
        <w:p w:rsidR="00F80AA3" w:rsidP="4997ADE4" w14:paraId="58F9ECFD" w14:textId="294A9D50">
          <w:pPr>
            <w:pStyle w:val="TOC1"/>
            <w:tabs>
              <w:tab w:val="right" w:leader="dot" w:pos="9360"/>
            </w:tabs>
            <w:rPr>
              <w:noProof/>
              <w:lang w:eastAsia="ja-JP"/>
            </w:rPr>
          </w:pPr>
          <w:r>
            <w:fldChar w:fldCharType="end"/>
          </w:r>
        </w:p>
      </w:sdtContent>
    </w:sdt>
    <w:p w:rsidR="00D33AE3" w:rsidRPr="00E707C0" w14:paraId="25E671BB" w14:textId="07059BDA"/>
    <w:p w:rsidR="00BA2DBE" w:rsidRPr="00E707C0" w14:paraId="14A5EA74" w14:textId="77777777">
      <w:pPr>
        <w:spacing w:after="200" w:line="276" w:lineRule="auto"/>
        <w:rPr>
          <w:rFonts w:eastAsiaTheme="majorEastAsia" w:cs="Arial"/>
          <w:b/>
          <w:bCs/>
          <w:sz w:val="26"/>
          <w:szCs w:val="26"/>
        </w:rPr>
      </w:pPr>
    </w:p>
    <w:bookmarkEnd w:id="0"/>
    <w:bookmarkEnd w:id="1"/>
    <w:p w:rsidR="00D33AE3" w:rsidRPr="00E707C0" w14:paraId="3C201D9C" w14:textId="77777777">
      <w:pPr>
        <w:rPr>
          <w:rFonts w:asciiTheme="majorHAnsi" w:eastAsiaTheme="majorEastAsia" w:hAnsiTheme="majorHAnsi" w:cstheme="majorBidi"/>
          <w:sz w:val="36"/>
          <w:szCs w:val="36"/>
        </w:rPr>
      </w:pPr>
      <w:r w:rsidRPr="00E707C0">
        <w:br w:type="page"/>
      </w:r>
    </w:p>
    <w:p w:rsidR="157EC1F6" w:rsidP="29D48A9B" w14:paraId="27C517D6" w14:textId="7D79A433">
      <w:pPr>
        <w:rPr>
          <w:rFonts w:ascii="Cambria" w:hAnsi="Cambria"/>
          <w:sz w:val="36"/>
          <w:szCs w:val="36"/>
        </w:rPr>
      </w:pPr>
      <w:r w:rsidRPr="67B77B71">
        <w:rPr>
          <w:rFonts w:ascii="Cambria" w:hAnsi="Cambria"/>
          <w:sz w:val="36"/>
          <w:szCs w:val="36"/>
        </w:rPr>
        <w:t>Part B. Collections of Information Employing Statistical Methods</w:t>
      </w:r>
    </w:p>
    <w:p w:rsidR="00EA6E06" w:rsidRPr="00E707C0" w:rsidP="004D1502" w14:paraId="1901860F" w14:textId="53281281">
      <w:pPr>
        <w:pStyle w:val="Heading1"/>
        <w:pBdr>
          <w:bottom w:val="none" w:sz="0" w:space="0" w:color="auto"/>
        </w:pBdr>
        <w:rPr>
          <w:rFonts w:ascii="Cambria" w:hAnsi="Cambria"/>
          <w:color w:val="auto"/>
        </w:rPr>
      </w:pPr>
      <w:bookmarkStart w:id="2" w:name="_Toc99519985"/>
      <w:r w:rsidRPr="4997ADE4">
        <w:rPr>
          <w:rFonts w:ascii="Cambria" w:hAnsi="Cambria"/>
          <w:color w:val="auto"/>
        </w:rPr>
        <w:t>B.</w:t>
      </w:r>
      <w:r w:rsidRPr="4997ADE4" w:rsidR="00B45002">
        <w:rPr>
          <w:rFonts w:ascii="Cambria" w:hAnsi="Cambria"/>
          <w:color w:val="auto"/>
        </w:rPr>
        <w:t>1.</w:t>
      </w:r>
      <w:r>
        <w:tab/>
      </w:r>
      <w:r w:rsidRPr="4997ADE4" w:rsidR="00B45002">
        <w:rPr>
          <w:rFonts w:ascii="Cambria" w:hAnsi="Cambria"/>
          <w:color w:val="auto"/>
        </w:rPr>
        <w:t>Respondent Universe and Sampling Methods</w:t>
      </w:r>
      <w:bookmarkEnd w:id="2"/>
    </w:p>
    <w:p w:rsidR="17FC8200" w:rsidP="17FC8200" w14:paraId="07D1CAB6" w14:textId="2C1639EA"/>
    <w:p w:rsidR="26A8FD5A" w:rsidP="331441A3" w14:paraId="68B673C3" w14:textId="62A626B5">
      <w:pPr>
        <w:rPr>
          <w:sz w:val="24"/>
          <w:szCs w:val="24"/>
        </w:rPr>
      </w:pPr>
      <w:r w:rsidRPr="628089E3">
        <w:rPr>
          <w:sz w:val="24"/>
          <w:szCs w:val="24"/>
        </w:rPr>
        <w:t>Th</w:t>
      </w:r>
      <w:r w:rsidRPr="628089E3">
        <w:rPr>
          <w:sz w:val="24"/>
          <w:szCs w:val="24"/>
        </w:rPr>
        <w:t>e n</w:t>
      </w:r>
      <w:r w:rsidRPr="628089E3">
        <w:rPr>
          <w:sz w:val="24"/>
          <w:szCs w:val="24"/>
        </w:rPr>
        <w:t xml:space="preserve">umber of responses is estimated as </w:t>
      </w:r>
      <w:r w:rsidRPr="628089E3" w:rsidR="57976E7F">
        <w:rPr>
          <w:sz w:val="24"/>
          <w:szCs w:val="24"/>
        </w:rPr>
        <w:t>8,286</w:t>
      </w:r>
      <w:r w:rsidRPr="628089E3">
        <w:rPr>
          <w:sz w:val="24"/>
          <w:szCs w:val="24"/>
        </w:rPr>
        <w:t xml:space="preserve"> submissions from</w:t>
      </w:r>
      <w:r w:rsidRPr="628089E3" w:rsidR="05759140">
        <w:rPr>
          <w:sz w:val="24"/>
          <w:szCs w:val="24"/>
        </w:rPr>
        <w:t xml:space="preserve"> </w:t>
      </w:r>
      <w:r w:rsidRPr="628089E3" w:rsidR="1758EEF7">
        <w:rPr>
          <w:sz w:val="24"/>
          <w:szCs w:val="24"/>
        </w:rPr>
        <w:t>domestic and international</w:t>
      </w:r>
      <w:r w:rsidRPr="628089E3" w:rsidR="5C1B5BDA">
        <w:rPr>
          <w:sz w:val="24"/>
          <w:szCs w:val="24"/>
        </w:rPr>
        <w:t xml:space="preserve"> laboratories that </w:t>
      </w:r>
      <w:r w:rsidRPr="628089E3" w:rsidR="5C1B5BDA">
        <w:rPr>
          <w:sz w:val="24"/>
          <w:szCs w:val="24"/>
        </w:rPr>
        <w:t>parti</w:t>
      </w:r>
      <w:r w:rsidRPr="628089E3" w:rsidR="5C1B5BDA">
        <w:rPr>
          <w:sz w:val="24"/>
          <w:szCs w:val="24"/>
        </w:rPr>
        <w:t>cipate</w:t>
      </w:r>
      <w:r w:rsidRPr="628089E3" w:rsidR="5C1B5BDA">
        <w:rPr>
          <w:sz w:val="24"/>
          <w:szCs w:val="24"/>
        </w:rPr>
        <w:t xml:space="preserve"> in a</w:t>
      </w:r>
      <w:r w:rsidRPr="628089E3" w:rsidR="5C1B5BDA">
        <w:rPr>
          <w:sz w:val="24"/>
          <w:szCs w:val="24"/>
        </w:rPr>
        <w:t xml:space="preserve">t least one of the </w:t>
      </w:r>
      <w:r w:rsidRPr="628089E3" w:rsidR="446742F0">
        <w:rPr>
          <w:sz w:val="24"/>
          <w:szCs w:val="24"/>
        </w:rPr>
        <w:t>eleven</w:t>
      </w:r>
      <w:r w:rsidRPr="628089E3" w:rsidR="1939D601">
        <w:rPr>
          <w:sz w:val="24"/>
          <w:szCs w:val="24"/>
        </w:rPr>
        <w:t xml:space="preserve"> (</w:t>
      </w:r>
      <w:r w:rsidRPr="628089E3" w:rsidR="438E784E">
        <w:rPr>
          <w:sz w:val="24"/>
          <w:szCs w:val="24"/>
        </w:rPr>
        <w:t>11</w:t>
      </w:r>
      <w:r w:rsidRPr="628089E3" w:rsidR="1939D601">
        <w:rPr>
          <w:sz w:val="24"/>
          <w:szCs w:val="24"/>
        </w:rPr>
        <w:t>)</w:t>
      </w:r>
      <w:r w:rsidRPr="628089E3" w:rsidR="5C1B5BDA">
        <w:rPr>
          <w:sz w:val="24"/>
          <w:szCs w:val="24"/>
        </w:rPr>
        <w:t xml:space="preserve"> </w:t>
      </w:r>
      <w:r w:rsidRPr="628089E3" w:rsidR="612823AF">
        <w:rPr>
          <w:sz w:val="24"/>
          <w:szCs w:val="24"/>
        </w:rPr>
        <w:t>Division of Laboratory Sciences (</w:t>
      </w:r>
      <w:r w:rsidRPr="628089E3" w:rsidR="5C1B5BDA">
        <w:rPr>
          <w:sz w:val="24"/>
          <w:szCs w:val="24"/>
        </w:rPr>
        <w:t>DLS</w:t>
      </w:r>
      <w:r w:rsidRPr="628089E3" w:rsidR="1C920727">
        <w:rPr>
          <w:sz w:val="24"/>
          <w:szCs w:val="24"/>
        </w:rPr>
        <w:t>)</w:t>
      </w:r>
      <w:r w:rsidRPr="628089E3" w:rsidR="5C1B5BDA">
        <w:rPr>
          <w:sz w:val="24"/>
          <w:szCs w:val="24"/>
        </w:rPr>
        <w:t xml:space="preserve"> Laboratory Quality Assurance (QA) programs</w:t>
      </w:r>
      <w:r w:rsidRPr="628089E3" w:rsidR="5EE6CA10">
        <w:rPr>
          <w:sz w:val="24"/>
          <w:szCs w:val="24"/>
        </w:rPr>
        <w:t xml:space="preserve"> each year</w:t>
      </w:r>
      <w:r w:rsidRPr="628089E3" w:rsidR="5C1B5BDA">
        <w:rPr>
          <w:sz w:val="24"/>
          <w:szCs w:val="24"/>
        </w:rPr>
        <w:t>.</w:t>
      </w:r>
      <w:r w:rsidRPr="628089E3" w:rsidR="5CE26D04">
        <w:rPr>
          <w:sz w:val="24"/>
          <w:szCs w:val="24"/>
        </w:rPr>
        <w:t xml:space="preserve"> </w:t>
      </w:r>
      <w:r w:rsidRPr="628089E3" w:rsidR="5E196C43">
        <w:rPr>
          <w:sz w:val="24"/>
          <w:szCs w:val="24"/>
        </w:rPr>
        <w:t>These participating laboratories can include public</w:t>
      </w:r>
      <w:r w:rsidRPr="628089E3" w:rsidR="5E196C43">
        <w:rPr>
          <w:sz w:val="24"/>
          <w:szCs w:val="24"/>
        </w:rPr>
        <w:t xml:space="preserve"> health labor</w:t>
      </w:r>
      <w:r w:rsidRPr="628089E3" w:rsidR="5E196C43">
        <w:rPr>
          <w:sz w:val="24"/>
          <w:szCs w:val="24"/>
        </w:rPr>
        <w:t>atories, clinical or research laboratories, commercial laboratories, and diagnostic test manufacturers. They can be associated with medical schools, hospital systems, state health departments, universities/academic institutions, ministries of health, nonprofit organizations</w:t>
      </w:r>
      <w:r w:rsidRPr="628089E3" w:rsidR="5E196C43">
        <w:rPr>
          <w:sz w:val="24"/>
          <w:szCs w:val="24"/>
        </w:rPr>
        <w:t xml:space="preserve">.  </w:t>
      </w:r>
    </w:p>
    <w:p w:rsidR="26A8FD5A" w:rsidP="29D48A9B" w14:paraId="6EEE3AFD" w14:textId="615F68BC">
      <w:pPr>
        <w:rPr>
          <w:sz w:val="24"/>
          <w:szCs w:val="24"/>
        </w:rPr>
      </w:pPr>
      <w:r w:rsidRPr="12C0AE29">
        <w:rPr>
          <w:sz w:val="24"/>
          <w:szCs w:val="24"/>
        </w:rPr>
        <w:t xml:space="preserve">Laboratories that enroll in a DLS QA program </w:t>
      </w:r>
      <w:r w:rsidRPr="12C0AE29" w:rsidR="3E5ED9A8">
        <w:rPr>
          <w:sz w:val="24"/>
          <w:szCs w:val="24"/>
        </w:rPr>
        <w:t xml:space="preserve">review, verify, or updated their testing capability information and </w:t>
      </w:r>
      <w:r w:rsidRPr="12C0AE29">
        <w:rPr>
          <w:sz w:val="24"/>
          <w:szCs w:val="24"/>
        </w:rPr>
        <w:t xml:space="preserve">return their measurement data and test results to CDC </w:t>
      </w:r>
      <w:r w:rsidRPr="12C0AE29" w:rsidR="14A2B95A">
        <w:rPr>
          <w:sz w:val="24"/>
          <w:szCs w:val="24"/>
        </w:rPr>
        <w:t>nearly 100%</w:t>
      </w:r>
      <w:r w:rsidRPr="12C0AE29">
        <w:rPr>
          <w:sz w:val="24"/>
          <w:szCs w:val="24"/>
        </w:rPr>
        <w:t xml:space="preserve"> of the time according to data from the last </w:t>
      </w:r>
      <w:r w:rsidRPr="12C0AE29" w:rsidR="600AED6D">
        <w:rPr>
          <w:sz w:val="24"/>
          <w:szCs w:val="24"/>
        </w:rPr>
        <w:t>collection period</w:t>
      </w:r>
      <w:r w:rsidRPr="12C0AE29" w:rsidR="265F4F98">
        <w:rPr>
          <w:sz w:val="24"/>
          <w:szCs w:val="24"/>
        </w:rPr>
        <w:t xml:space="preserve"> on a q</w:t>
      </w:r>
      <w:r w:rsidRPr="12C0AE29" w:rsidR="600AED6D">
        <w:rPr>
          <w:sz w:val="24"/>
          <w:szCs w:val="24"/>
        </w:rPr>
        <w:t xml:space="preserve">uarterly, </w:t>
      </w:r>
      <w:r w:rsidRPr="12C0AE29" w:rsidR="4435E24C">
        <w:rPr>
          <w:sz w:val="24"/>
          <w:szCs w:val="24"/>
        </w:rPr>
        <w:t>t</w:t>
      </w:r>
      <w:r w:rsidRPr="12C0AE29" w:rsidR="600AED6D">
        <w:rPr>
          <w:sz w:val="24"/>
          <w:szCs w:val="24"/>
        </w:rPr>
        <w:t>ri</w:t>
      </w:r>
      <w:r w:rsidRPr="12C0AE29" w:rsidR="4422287D">
        <w:rPr>
          <w:sz w:val="24"/>
          <w:szCs w:val="24"/>
        </w:rPr>
        <w:t>-</w:t>
      </w:r>
      <w:r w:rsidRPr="12C0AE29" w:rsidR="600AED6D">
        <w:rPr>
          <w:sz w:val="24"/>
          <w:szCs w:val="24"/>
        </w:rPr>
        <w:t xml:space="preserve">annual, </w:t>
      </w:r>
      <w:r w:rsidRPr="12C0AE29" w:rsidR="77FDB357">
        <w:rPr>
          <w:sz w:val="24"/>
          <w:szCs w:val="24"/>
        </w:rPr>
        <w:t>b</w:t>
      </w:r>
      <w:r w:rsidRPr="12C0AE29" w:rsidR="600AED6D">
        <w:rPr>
          <w:sz w:val="24"/>
          <w:szCs w:val="24"/>
        </w:rPr>
        <w:t xml:space="preserve">iannual, or </w:t>
      </w:r>
      <w:r w:rsidRPr="12C0AE29" w:rsidR="69659C1F">
        <w:rPr>
          <w:sz w:val="24"/>
          <w:szCs w:val="24"/>
        </w:rPr>
        <w:t>a</w:t>
      </w:r>
      <w:r w:rsidRPr="12C0AE29" w:rsidR="600AED6D">
        <w:rPr>
          <w:sz w:val="24"/>
          <w:szCs w:val="24"/>
        </w:rPr>
        <w:t>nnual</w:t>
      </w:r>
      <w:r w:rsidRPr="12C0AE29" w:rsidR="1ED81289">
        <w:rPr>
          <w:sz w:val="24"/>
          <w:szCs w:val="24"/>
        </w:rPr>
        <w:t xml:space="preserve"> basis. </w:t>
      </w:r>
      <w:r w:rsidRPr="12C0AE29" w:rsidR="11E2D3CE">
        <w:rPr>
          <w:sz w:val="24"/>
          <w:szCs w:val="24"/>
        </w:rPr>
        <w:t>L</w:t>
      </w:r>
      <w:r w:rsidRPr="12C0AE29" w:rsidR="16E7A6BC">
        <w:rPr>
          <w:sz w:val="24"/>
          <w:szCs w:val="24"/>
        </w:rPr>
        <w:t xml:space="preserve">aboratories participating in the </w:t>
      </w:r>
      <w:r w:rsidRPr="12C0AE29" w:rsidR="602EB1FA">
        <w:rPr>
          <w:sz w:val="24"/>
          <w:szCs w:val="24"/>
        </w:rPr>
        <w:t xml:space="preserve">two </w:t>
      </w:r>
      <w:r w:rsidRPr="12C0AE29" w:rsidR="16E7A6BC">
        <w:rPr>
          <w:sz w:val="24"/>
          <w:szCs w:val="24"/>
        </w:rPr>
        <w:t>Method Performance Verification (MPV) programs have an estimated 80% response</w:t>
      </w:r>
      <w:r w:rsidRPr="12C0AE29" w:rsidR="2C3F3449">
        <w:rPr>
          <w:sz w:val="24"/>
          <w:szCs w:val="24"/>
        </w:rPr>
        <w:t xml:space="preserve"> rate due to laboratory capacity and staffing challeng</w:t>
      </w:r>
      <w:r w:rsidRPr="12C0AE29" w:rsidR="012711F6">
        <w:rPr>
          <w:sz w:val="24"/>
          <w:szCs w:val="24"/>
        </w:rPr>
        <w:t>e</w:t>
      </w:r>
      <w:r w:rsidRPr="12C0AE29" w:rsidR="2C3F3449">
        <w:rPr>
          <w:sz w:val="24"/>
          <w:szCs w:val="24"/>
        </w:rPr>
        <w:t xml:space="preserve">s </w:t>
      </w:r>
      <w:r w:rsidRPr="12C0AE29" w:rsidR="53CAB6A0">
        <w:rPr>
          <w:sz w:val="24"/>
          <w:szCs w:val="24"/>
        </w:rPr>
        <w:t>among</w:t>
      </w:r>
      <w:r w:rsidRPr="12C0AE29" w:rsidR="2C3F3449">
        <w:rPr>
          <w:sz w:val="24"/>
          <w:szCs w:val="24"/>
        </w:rPr>
        <w:t xml:space="preserve"> low-resource international laboratories. </w:t>
      </w:r>
    </w:p>
    <w:p w:rsidR="20B85FFE" w:rsidP="17FC8200" w14:paraId="54286BFE" w14:textId="4A61FDD9">
      <w:pPr>
        <w:rPr>
          <w:sz w:val="24"/>
          <w:szCs w:val="24"/>
        </w:rPr>
      </w:pPr>
      <w:r w:rsidRPr="17FC8200">
        <w:rPr>
          <w:sz w:val="24"/>
          <w:szCs w:val="24"/>
        </w:rPr>
        <w:t>CDC analyzes</w:t>
      </w:r>
      <w:r w:rsidRPr="17FC8200" w:rsidR="19019527">
        <w:rPr>
          <w:sz w:val="24"/>
          <w:szCs w:val="24"/>
        </w:rPr>
        <w:t xml:space="preserve"> individual laboratory </w:t>
      </w:r>
      <w:r w:rsidRPr="17FC8200" w:rsidR="00467580">
        <w:rPr>
          <w:sz w:val="24"/>
          <w:szCs w:val="24"/>
        </w:rPr>
        <w:t>results,</w:t>
      </w:r>
      <w:r w:rsidRPr="17FC8200" w:rsidR="19019527">
        <w:rPr>
          <w:sz w:val="24"/>
          <w:szCs w:val="24"/>
        </w:rPr>
        <w:t xml:space="preserve"> and the finding are specific to the participant and cannot be generalized to other participants. </w:t>
      </w:r>
      <w:r w:rsidRPr="17FC8200" w:rsidR="049D0266">
        <w:rPr>
          <w:sz w:val="24"/>
          <w:szCs w:val="24"/>
        </w:rPr>
        <w:t>For certain DLS QA programs, CDC may compare laboratory participant results to understand trends in performance and accuracy over time</w:t>
      </w:r>
      <w:r w:rsidRPr="17FC8200" w:rsidR="5769202C">
        <w:rPr>
          <w:sz w:val="24"/>
          <w:szCs w:val="24"/>
        </w:rPr>
        <w:t xml:space="preserve"> as it relates to participation in a QA program</w:t>
      </w:r>
      <w:r w:rsidRPr="17FC8200" w:rsidR="049D0266">
        <w:rPr>
          <w:sz w:val="24"/>
          <w:szCs w:val="24"/>
        </w:rPr>
        <w:t xml:space="preserve">. </w:t>
      </w:r>
    </w:p>
    <w:p w:rsidR="00B45002" w:rsidRPr="00E707C0" w:rsidP="4997ADE4" w14:paraId="6759D52E" w14:textId="77777777">
      <w:pPr>
        <w:pStyle w:val="Heading1"/>
        <w:pBdr>
          <w:bottom w:val="none" w:sz="0" w:space="0" w:color="auto"/>
        </w:pBdr>
        <w:rPr>
          <w:rFonts w:ascii="Cambria" w:hAnsi="Cambria"/>
          <w:color w:val="auto"/>
        </w:rPr>
      </w:pPr>
      <w:bookmarkStart w:id="3" w:name="_Toc99519986"/>
      <w:r w:rsidRPr="4997ADE4">
        <w:rPr>
          <w:rFonts w:ascii="Cambria" w:hAnsi="Cambria"/>
          <w:color w:val="auto"/>
        </w:rPr>
        <w:t>B.</w:t>
      </w:r>
      <w:r w:rsidRPr="4997ADE4">
        <w:rPr>
          <w:rFonts w:ascii="Cambria" w:hAnsi="Cambria"/>
          <w:color w:val="auto"/>
        </w:rPr>
        <w:t>2.</w:t>
      </w:r>
      <w:r>
        <w:tab/>
      </w:r>
      <w:r w:rsidRPr="4997ADE4">
        <w:rPr>
          <w:rFonts w:ascii="Cambria" w:hAnsi="Cambria"/>
          <w:color w:val="auto"/>
        </w:rPr>
        <w:t>Procedures for the Collection of Information</w:t>
      </w:r>
      <w:bookmarkEnd w:id="3"/>
    </w:p>
    <w:p w:rsidR="00EA6E06" w:rsidRPr="00E707C0" w:rsidP="00EA6E06" w14:paraId="4444A623" w14:textId="77777777"/>
    <w:p w:rsidR="00EA6E06" w:rsidRPr="00E707C0" w:rsidP="004D1502" w14:paraId="18A65B05" w14:textId="6921F05E">
      <w:pPr>
        <w:autoSpaceDE w:val="0"/>
        <w:autoSpaceDN w:val="0"/>
        <w:adjustRightInd w:val="0"/>
        <w:rPr>
          <w:rFonts w:cs="ITCFranklinGothicStd-Book"/>
          <w:sz w:val="24"/>
          <w:szCs w:val="24"/>
        </w:rPr>
      </w:pPr>
      <w:r w:rsidRPr="628089E3">
        <w:rPr>
          <w:rFonts w:cs="ITCFranklinGothicStd-Book"/>
          <w:sz w:val="24"/>
          <w:szCs w:val="24"/>
        </w:rPr>
        <w:t xml:space="preserve">DLS QA program staff collect information </w:t>
      </w:r>
      <w:r w:rsidRPr="628089E3" w:rsidR="0047031C">
        <w:rPr>
          <w:rFonts w:cs="ITCFranklinGothicStd-Book"/>
          <w:sz w:val="24"/>
          <w:szCs w:val="24"/>
        </w:rPr>
        <w:t xml:space="preserve">through </w:t>
      </w:r>
      <w:r w:rsidRPr="628089E3">
        <w:rPr>
          <w:rFonts w:cs="ITCFranklinGothicStd-Book"/>
          <w:sz w:val="24"/>
          <w:szCs w:val="24"/>
        </w:rPr>
        <w:t>enrollment or data submission forms</w:t>
      </w:r>
      <w:r w:rsidRPr="628089E3" w:rsidR="0047031C">
        <w:rPr>
          <w:rFonts w:cs="ITCFranklinGothicStd-Book"/>
          <w:sz w:val="24"/>
          <w:szCs w:val="24"/>
        </w:rPr>
        <w:t xml:space="preserve"> </w:t>
      </w:r>
      <w:r w:rsidRPr="628089E3" w:rsidR="0047031C">
        <w:rPr>
          <w:rFonts w:cs="ITCFranklinGothicStd-Book"/>
          <w:sz w:val="24"/>
          <w:szCs w:val="24"/>
        </w:rPr>
        <w:t>(</w:t>
      </w:r>
      <w:r w:rsidRPr="628089E3" w:rsidR="0047031C">
        <w:rPr>
          <w:rFonts w:cs="ITCFranklinGothicStd-Book"/>
          <w:b/>
          <w:bCs/>
          <w:sz w:val="24"/>
          <w:szCs w:val="24"/>
        </w:rPr>
        <w:t>Attachments 3a-3m</w:t>
      </w:r>
      <w:r w:rsidRPr="628089E3" w:rsidR="0047031C">
        <w:rPr>
          <w:rFonts w:cs="ITCFranklinGothicStd-Book"/>
          <w:sz w:val="24"/>
          <w:szCs w:val="24"/>
        </w:rPr>
        <w:t xml:space="preserve">) </w:t>
      </w:r>
      <w:r w:rsidRPr="628089E3">
        <w:rPr>
          <w:rFonts w:cs="ITCFranklinGothicStd-Book"/>
          <w:sz w:val="24"/>
          <w:szCs w:val="24"/>
        </w:rPr>
        <w:t>from participants electronically via email and online forms (PDFs or Excel templates)</w:t>
      </w:r>
      <w:r w:rsidRPr="628089E3" w:rsidR="1B710A8A">
        <w:rPr>
          <w:rFonts w:cs="ITCFranklinGothicStd-Book"/>
          <w:sz w:val="24"/>
          <w:szCs w:val="24"/>
        </w:rPr>
        <w:t xml:space="preserve"> or web-based platform</w:t>
      </w:r>
      <w:r w:rsidRPr="628089E3" w:rsidR="00F925B2">
        <w:rPr>
          <w:rFonts w:cs="ITCFranklinGothicStd-Book"/>
          <w:sz w:val="24"/>
          <w:szCs w:val="24"/>
        </w:rPr>
        <w:t>s</w:t>
      </w:r>
      <w:r w:rsidRPr="628089E3">
        <w:rPr>
          <w:rFonts w:cs="ITCFranklinGothicStd-Book"/>
          <w:sz w:val="24"/>
          <w:szCs w:val="24"/>
        </w:rPr>
        <w:t xml:space="preserve">. </w:t>
      </w:r>
      <w:r w:rsidRPr="628089E3" w:rsidR="6838DC8F">
        <w:rPr>
          <w:rFonts w:cs="ITCFranklinGothicStd-Book"/>
          <w:sz w:val="24"/>
          <w:szCs w:val="24"/>
        </w:rPr>
        <w:t xml:space="preserve">Collections are not used for making statistical generalizations. </w:t>
      </w:r>
    </w:p>
    <w:p w:rsidR="00B45002" w:rsidRPr="00E707C0" w:rsidP="4997ADE4" w14:paraId="7C5431E7" w14:textId="7E941772">
      <w:pPr>
        <w:pStyle w:val="Heading1"/>
        <w:pBdr>
          <w:bottom w:val="none" w:sz="0" w:space="0" w:color="auto"/>
        </w:pBdr>
        <w:rPr>
          <w:rFonts w:ascii="Cambria" w:hAnsi="Cambria"/>
          <w:color w:val="auto"/>
        </w:rPr>
      </w:pPr>
      <w:bookmarkStart w:id="4" w:name="_Toc99519987"/>
      <w:r w:rsidRPr="4997ADE4">
        <w:rPr>
          <w:rFonts w:ascii="Cambria" w:hAnsi="Cambria"/>
          <w:color w:val="auto"/>
        </w:rPr>
        <w:t>B.</w:t>
      </w:r>
      <w:r w:rsidRPr="4997ADE4">
        <w:rPr>
          <w:rFonts w:ascii="Cambria" w:hAnsi="Cambria"/>
          <w:color w:val="auto"/>
        </w:rPr>
        <w:t>3.</w:t>
      </w:r>
      <w:r>
        <w:tab/>
      </w:r>
      <w:r w:rsidRPr="4997ADE4">
        <w:rPr>
          <w:rFonts w:ascii="Cambria" w:hAnsi="Cambria"/>
          <w:color w:val="auto"/>
        </w:rPr>
        <w:t>Methods to Maximize Response Rates and Deal with No</w:t>
      </w:r>
      <w:r w:rsidRPr="4997ADE4" w:rsidR="681AF9F6">
        <w:rPr>
          <w:rFonts w:ascii="Cambria" w:hAnsi="Cambria"/>
          <w:color w:val="auto"/>
        </w:rPr>
        <w:t>n-r</w:t>
      </w:r>
      <w:r w:rsidRPr="4997ADE4">
        <w:rPr>
          <w:rFonts w:ascii="Cambria" w:hAnsi="Cambria"/>
          <w:color w:val="auto"/>
        </w:rPr>
        <w:t>esponse</w:t>
      </w:r>
      <w:bookmarkEnd w:id="4"/>
    </w:p>
    <w:p w:rsidR="00D0744A" w:rsidRPr="00E707C0" w:rsidP="00E632AF" w14:paraId="35480865" w14:textId="77777777">
      <w:pPr>
        <w:spacing w:line="240" w:lineRule="auto"/>
        <w:rPr>
          <w:sz w:val="24"/>
          <w:szCs w:val="24"/>
        </w:rPr>
      </w:pPr>
    </w:p>
    <w:p w:rsidR="267FCB8B" w:rsidP="004D1502" w14:paraId="7EAB5C99" w14:textId="7F68BEAE">
      <w:pPr>
        <w:rPr>
          <w:rFonts w:cs="ITCFranklinGothicStd-Book"/>
          <w:sz w:val="24"/>
          <w:szCs w:val="24"/>
        </w:rPr>
      </w:pPr>
      <w:r w:rsidRPr="29D48A9B">
        <w:rPr>
          <w:rFonts w:cs="ITCFranklinGothicStd-Book"/>
          <w:sz w:val="24"/>
          <w:szCs w:val="24"/>
        </w:rPr>
        <w:t xml:space="preserve">All laboratories that participate in a DLS QA program have requested to do so and report back results so that they can receive a CDC performance report for their </w:t>
      </w:r>
      <w:r w:rsidRPr="29D48A9B" w:rsidR="4596F1D9">
        <w:rPr>
          <w:rFonts w:cs="ITCFranklinGothicStd-Book"/>
          <w:sz w:val="24"/>
          <w:szCs w:val="24"/>
        </w:rPr>
        <w:t xml:space="preserve">methods and </w:t>
      </w:r>
      <w:r w:rsidRPr="29D48A9B" w:rsidR="4596F1D9">
        <w:rPr>
          <w:rFonts w:cs="ITCFranklinGothicStd-Book"/>
          <w:sz w:val="24"/>
          <w:szCs w:val="24"/>
        </w:rPr>
        <w:t xml:space="preserve">measurements. If they do not report back their results, CDC cannot generate a performance report. Because of this, the estimated </w:t>
      </w:r>
      <w:r w:rsidRPr="29D48A9B" w:rsidR="38F59B0B">
        <w:rPr>
          <w:rFonts w:cs="ITCFranklinGothicStd-Book"/>
          <w:sz w:val="24"/>
          <w:szCs w:val="24"/>
        </w:rPr>
        <w:t xml:space="preserve">and historical </w:t>
      </w:r>
      <w:r w:rsidRPr="29D48A9B" w:rsidR="4596F1D9">
        <w:rPr>
          <w:rFonts w:cs="ITCFranklinGothicStd-Book"/>
          <w:sz w:val="24"/>
          <w:szCs w:val="24"/>
        </w:rPr>
        <w:t>response rate for participants is 100%</w:t>
      </w:r>
      <w:r w:rsidRPr="29D48A9B" w:rsidR="47B6B107">
        <w:rPr>
          <w:rFonts w:cs="ITCFranklinGothicStd-Book"/>
          <w:sz w:val="24"/>
          <w:szCs w:val="24"/>
        </w:rPr>
        <w:t>, with the exception of VITAL-EQA program due to respondents being international laboratories in low-resource settings with a response rate closer to 80%</w:t>
      </w:r>
      <w:r w:rsidRPr="29D48A9B" w:rsidR="4596F1D9">
        <w:rPr>
          <w:rFonts w:cs="ITCFranklinGothicStd-Book"/>
          <w:sz w:val="24"/>
          <w:szCs w:val="24"/>
        </w:rPr>
        <w:t xml:space="preserve">. </w:t>
      </w:r>
      <w:r w:rsidRPr="29D48A9B" w:rsidR="23CB8D8F">
        <w:rPr>
          <w:rFonts w:cs="ITCFranklinGothicStd-Book"/>
          <w:sz w:val="24"/>
          <w:szCs w:val="24"/>
        </w:rPr>
        <w:t xml:space="preserve">Methods to maximize response rates and to deal with no responses do not apply and CDC is not monitoring these factors since the data collected is not used for the purpose of statistical studies. </w:t>
      </w:r>
    </w:p>
    <w:p w:rsidR="00B45002" w:rsidRPr="00E707C0" w:rsidP="4997ADE4" w14:paraId="450B7636" w14:textId="77777777">
      <w:pPr>
        <w:pStyle w:val="Heading1"/>
        <w:pBdr>
          <w:bottom w:val="none" w:sz="0" w:space="0" w:color="auto"/>
        </w:pBdr>
        <w:rPr>
          <w:rFonts w:ascii="Cambria" w:hAnsi="Cambria"/>
          <w:color w:val="auto"/>
        </w:rPr>
      </w:pPr>
      <w:bookmarkStart w:id="5" w:name="_Toc99519988"/>
      <w:r w:rsidRPr="4997ADE4">
        <w:rPr>
          <w:rFonts w:ascii="Cambria" w:hAnsi="Cambria"/>
          <w:color w:val="auto"/>
        </w:rPr>
        <w:t>B.</w:t>
      </w:r>
      <w:r w:rsidRPr="4997ADE4">
        <w:rPr>
          <w:rFonts w:ascii="Cambria" w:hAnsi="Cambria"/>
          <w:color w:val="auto"/>
        </w:rPr>
        <w:t>4.</w:t>
      </w:r>
      <w:r>
        <w:tab/>
      </w:r>
      <w:r w:rsidRPr="4997ADE4">
        <w:rPr>
          <w:rFonts w:ascii="Cambria" w:hAnsi="Cambria"/>
          <w:color w:val="auto"/>
        </w:rPr>
        <w:t>Test of Procedures or Methods to be Undertaken</w:t>
      </w:r>
      <w:bookmarkEnd w:id="5"/>
    </w:p>
    <w:p w:rsidR="00BD2639" w:rsidRPr="00E707C0" w:rsidP="001C121D" w14:paraId="64B9CC57" w14:textId="77777777">
      <w:pPr>
        <w:spacing w:line="240" w:lineRule="auto"/>
      </w:pPr>
    </w:p>
    <w:p w:rsidR="089AC127" w:rsidP="004D1502" w14:paraId="312AAA8F" w14:textId="6D4DF641">
      <w:pPr>
        <w:rPr>
          <w:rFonts w:cs="ITCFranklinGothicStd-Book"/>
          <w:sz w:val="24"/>
          <w:szCs w:val="24"/>
        </w:rPr>
      </w:pPr>
      <w:r w:rsidRPr="17FC8200">
        <w:rPr>
          <w:rFonts w:cs="ITCFranklinGothicStd-Book"/>
          <w:sz w:val="24"/>
          <w:szCs w:val="24"/>
        </w:rPr>
        <w:t xml:space="preserve">CDC does not use tests of procedures or methods undertaken since the data collected in the enrollment and data submission forms </w:t>
      </w:r>
      <w:r w:rsidRPr="17FC8200" w:rsidR="08C046F6">
        <w:rPr>
          <w:rFonts w:cs="ITCFranklinGothicStd-Book"/>
          <w:sz w:val="24"/>
          <w:szCs w:val="24"/>
        </w:rPr>
        <w:t xml:space="preserve">are not used for the purpose of statistical studies. </w:t>
      </w:r>
    </w:p>
    <w:p w:rsidR="00BD2639" w:rsidRPr="00E707C0" w:rsidP="004D1502" w14:paraId="46E105BD" w14:textId="244D4CE2">
      <w:pPr>
        <w:rPr>
          <w:sz w:val="24"/>
          <w:szCs w:val="24"/>
        </w:rPr>
      </w:pPr>
      <w:r w:rsidRPr="17FC8200">
        <w:rPr>
          <w:rFonts w:cs="ITCFranklinGothicStd-Book"/>
          <w:sz w:val="24"/>
          <w:szCs w:val="24"/>
        </w:rPr>
        <w:t>CDC program administrators will inform ICRO and OMB of any</w:t>
      </w:r>
      <w:r w:rsidRPr="17FC8200" w:rsidR="7DD8F6BD">
        <w:rPr>
          <w:rFonts w:cs="ITCFranklinGothicStd-Book"/>
          <w:sz w:val="24"/>
          <w:szCs w:val="24"/>
        </w:rPr>
        <w:t xml:space="preserve"> changes to the data/information collection methods, content, </w:t>
      </w:r>
      <w:r w:rsidRPr="17FC8200" w:rsidR="00150DBA">
        <w:rPr>
          <w:rFonts w:cs="ITCFranklinGothicStd-Book"/>
          <w:sz w:val="24"/>
          <w:szCs w:val="24"/>
        </w:rPr>
        <w:t>timing,</w:t>
      </w:r>
      <w:r w:rsidRPr="17FC8200" w:rsidR="7DD8F6BD">
        <w:rPr>
          <w:rFonts w:cs="ITCFranklinGothicStd-Book"/>
          <w:sz w:val="24"/>
          <w:szCs w:val="24"/>
        </w:rPr>
        <w:t xml:space="preserve"> or other major aspects of the programs</w:t>
      </w:r>
      <w:r w:rsidRPr="17FC8200">
        <w:rPr>
          <w:rFonts w:cs="ITCFranklinGothicStd-Book"/>
          <w:sz w:val="24"/>
          <w:szCs w:val="24"/>
        </w:rPr>
        <w:t>.</w:t>
      </w:r>
    </w:p>
    <w:p w:rsidR="00DC57CC" w:rsidRPr="00E707C0" w:rsidP="4997ADE4" w14:paraId="63C2C2DE" w14:textId="77777777">
      <w:pPr>
        <w:pStyle w:val="Heading1"/>
        <w:pBdr>
          <w:bottom w:val="none" w:sz="0" w:space="0" w:color="auto"/>
        </w:pBdr>
        <w:rPr>
          <w:rFonts w:ascii="Cambria" w:hAnsi="Cambria"/>
          <w:color w:val="auto"/>
        </w:rPr>
      </w:pPr>
      <w:bookmarkStart w:id="6" w:name="_Toc99519989"/>
      <w:r w:rsidRPr="4997ADE4">
        <w:rPr>
          <w:rFonts w:ascii="Cambria" w:hAnsi="Cambria"/>
          <w:color w:val="auto"/>
        </w:rPr>
        <w:t>B.</w:t>
      </w:r>
      <w:r w:rsidRPr="4997ADE4" w:rsidR="00B45002">
        <w:rPr>
          <w:rFonts w:ascii="Cambria" w:hAnsi="Cambria"/>
          <w:color w:val="auto"/>
        </w:rPr>
        <w:t>5.</w:t>
      </w:r>
      <w:r>
        <w:tab/>
      </w:r>
      <w:r w:rsidRPr="4997ADE4" w:rsidR="00B45002">
        <w:rPr>
          <w:rFonts w:ascii="Cambria" w:hAnsi="Cambria"/>
          <w:color w:val="auto"/>
        </w:rPr>
        <w:t>Individuals Consulted on Statistical Aspects and Individuals Collecting and/or Analyzing Data</w:t>
      </w:r>
      <w:bookmarkEnd w:id="6"/>
    </w:p>
    <w:p w:rsidR="00984634" w:rsidRPr="00E707C0" w:rsidP="00984634" w14:paraId="10EA9D5F" w14:textId="77777777"/>
    <w:p w:rsidR="69F8961E" w:rsidP="004D1502" w14:paraId="3C7D6D54" w14:textId="46F61542">
      <w:pPr>
        <w:rPr>
          <w:rFonts w:cs="ITCFranklinGothicStd-Book"/>
          <w:sz w:val="24"/>
          <w:szCs w:val="24"/>
        </w:rPr>
      </w:pPr>
      <w:r w:rsidRPr="29D48A9B">
        <w:rPr>
          <w:rFonts w:cs="ITCFranklinGothicStd-Book"/>
          <w:sz w:val="24"/>
          <w:szCs w:val="24"/>
        </w:rPr>
        <w:t xml:space="preserve">Not applicable. </w:t>
      </w:r>
      <w:r w:rsidRPr="29D48A9B" w:rsidR="162A4507">
        <w:rPr>
          <w:rFonts w:cs="ITCFranklinGothicStd-Book"/>
          <w:sz w:val="24"/>
          <w:szCs w:val="24"/>
        </w:rPr>
        <w:t>The DLS QA programs employs simple analysis techniques to group, organize, and identify themes in the information collected. No statistical analyses will be performed.</w:t>
      </w:r>
    </w:p>
    <w:p w:rsidR="00984634" w:rsidRPr="00E707C0" w:rsidP="00984634" w14:paraId="14463714" w14:textId="77777777"/>
    <w:sectPr w:rsidSect="00196116">
      <w:headerReference w:type="even" r:id="rId8"/>
      <w:headerReference w:type="default" r:id="rId9"/>
      <w:footerReference w:type="even" r:id="rId10"/>
      <w:footerReference w:type="default" r:id="rId11"/>
      <w:headerReference w:type="first" r:id="rId12"/>
      <w:footerReference w:type="first" r:id="rId13"/>
      <w:pgSz w:w="12240" w:h="15840" w:orient="portrait"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70E7" w14:paraId="04B21A4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70E7" w14:paraId="0859E56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70E7" w14:paraId="2D862D0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70E7" w14:paraId="0E897F7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70E7" w14:paraId="2131632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E70E7" w14:paraId="15BE47A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4B595326"/>
    <w:multiLevelType w:val="hybridMultilevel"/>
    <w:tmpl w:val="56963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5392FFA"/>
    <w:multiLevelType w:val="hybridMultilevel"/>
    <w:tmpl w:val="ABC094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3601360"/>
    <w:multiLevelType w:val="hybridMultilevel"/>
    <w:tmpl w:val="E5B601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8BC33C0"/>
    <w:multiLevelType w:val="hybridMultilevel"/>
    <w:tmpl w:val="2D0A4E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55923F2"/>
    <w:multiLevelType w:val="hybridMultilevel"/>
    <w:tmpl w:val="6292FA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C12142B"/>
    <w:multiLevelType w:val="hybridMultilevel"/>
    <w:tmpl w:val="B7E0BB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5"/>
  </w:num>
  <w:num w:numId="12">
    <w:abstractNumId w:val="2"/>
  </w:num>
  <w:num w:numId="13">
    <w:abstractNumId w:val="6"/>
  </w:num>
  <w:num w:numId="14">
    <w:abstractNumId w:val="4"/>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88"/>
  <w:removeDateAndTime/>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6EDD"/>
    <w:rsid w:val="000108E1"/>
    <w:rsid w:val="000329FE"/>
    <w:rsid w:val="000337CA"/>
    <w:rsid w:val="000D41A0"/>
    <w:rsid w:val="00143D86"/>
    <w:rsid w:val="00150DBA"/>
    <w:rsid w:val="00156EEB"/>
    <w:rsid w:val="00196116"/>
    <w:rsid w:val="001C121D"/>
    <w:rsid w:val="001C2319"/>
    <w:rsid w:val="00232D84"/>
    <w:rsid w:val="002751FF"/>
    <w:rsid w:val="00285744"/>
    <w:rsid w:val="002869DD"/>
    <w:rsid w:val="002D0271"/>
    <w:rsid w:val="003041F7"/>
    <w:rsid w:val="0031214F"/>
    <w:rsid w:val="00330F29"/>
    <w:rsid w:val="003567AB"/>
    <w:rsid w:val="003D22D3"/>
    <w:rsid w:val="003D2F33"/>
    <w:rsid w:val="00425A8D"/>
    <w:rsid w:val="00467580"/>
    <w:rsid w:val="0047031C"/>
    <w:rsid w:val="0048550B"/>
    <w:rsid w:val="004A7B18"/>
    <w:rsid w:val="004D1502"/>
    <w:rsid w:val="004F0BE4"/>
    <w:rsid w:val="00500B15"/>
    <w:rsid w:val="00522073"/>
    <w:rsid w:val="005624FE"/>
    <w:rsid w:val="005E62CB"/>
    <w:rsid w:val="00605765"/>
    <w:rsid w:val="006560B1"/>
    <w:rsid w:val="006615FB"/>
    <w:rsid w:val="006733F4"/>
    <w:rsid w:val="00684A0A"/>
    <w:rsid w:val="006975C5"/>
    <w:rsid w:val="006C6578"/>
    <w:rsid w:val="006F2ABA"/>
    <w:rsid w:val="0070554F"/>
    <w:rsid w:val="00717257"/>
    <w:rsid w:val="00754B3D"/>
    <w:rsid w:val="00792A59"/>
    <w:rsid w:val="00796D76"/>
    <w:rsid w:val="007B7F20"/>
    <w:rsid w:val="007D595C"/>
    <w:rsid w:val="007E4B84"/>
    <w:rsid w:val="007F0E10"/>
    <w:rsid w:val="00805B09"/>
    <w:rsid w:val="0080E59B"/>
    <w:rsid w:val="00860440"/>
    <w:rsid w:val="008861AB"/>
    <w:rsid w:val="00887EE7"/>
    <w:rsid w:val="008B5D54"/>
    <w:rsid w:val="008D0F27"/>
    <w:rsid w:val="008D3BE8"/>
    <w:rsid w:val="00935FD5"/>
    <w:rsid w:val="00965A91"/>
    <w:rsid w:val="00965C2A"/>
    <w:rsid w:val="00976C14"/>
    <w:rsid w:val="00984634"/>
    <w:rsid w:val="00992279"/>
    <w:rsid w:val="009C2F5A"/>
    <w:rsid w:val="009F1AD6"/>
    <w:rsid w:val="00A012FF"/>
    <w:rsid w:val="00A76C6D"/>
    <w:rsid w:val="00AC3B7E"/>
    <w:rsid w:val="00AC4C54"/>
    <w:rsid w:val="00AE2F5E"/>
    <w:rsid w:val="00AE70E7"/>
    <w:rsid w:val="00B21D28"/>
    <w:rsid w:val="00B31F1B"/>
    <w:rsid w:val="00B45002"/>
    <w:rsid w:val="00B5171E"/>
    <w:rsid w:val="00B55735"/>
    <w:rsid w:val="00B608AC"/>
    <w:rsid w:val="00B73D70"/>
    <w:rsid w:val="00BA2DBE"/>
    <w:rsid w:val="00BA30FE"/>
    <w:rsid w:val="00BD2639"/>
    <w:rsid w:val="00C929D2"/>
    <w:rsid w:val="00CD0E02"/>
    <w:rsid w:val="00D0744A"/>
    <w:rsid w:val="00D14114"/>
    <w:rsid w:val="00D23E62"/>
    <w:rsid w:val="00D33AE3"/>
    <w:rsid w:val="00D479BA"/>
    <w:rsid w:val="00D75903"/>
    <w:rsid w:val="00D80142"/>
    <w:rsid w:val="00DA796B"/>
    <w:rsid w:val="00DC57CC"/>
    <w:rsid w:val="00DD2606"/>
    <w:rsid w:val="00DD54E5"/>
    <w:rsid w:val="00E2405B"/>
    <w:rsid w:val="00E410B4"/>
    <w:rsid w:val="00E5157D"/>
    <w:rsid w:val="00E632AF"/>
    <w:rsid w:val="00E707C0"/>
    <w:rsid w:val="00EA2938"/>
    <w:rsid w:val="00EA6E06"/>
    <w:rsid w:val="00EF2494"/>
    <w:rsid w:val="00EF5132"/>
    <w:rsid w:val="00F80AA3"/>
    <w:rsid w:val="00F845F2"/>
    <w:rsid w:val="00F925B2"/>
    <w:rsid w:val="012711F6"/>
    <w:rsid w:val="03546F09"/>
    <w:rsid w:val="03AE6A7A"/>
    <w:rsid w:val="03E0E6AD"/>
    <w:rsid w:val="049D0266"/>
    <w:rsid w:val="050DC68E"/>
    <w:rsid w:val="05759140"/>
    <w:rsid w:val="05765E14"/>
    <w:rsid w:val="06567046"/>
    <w:rsid w:val="06E4AB9A"/>
    <w:rsid w:val="0794A68E"/>
    <w:rsid w:val="089AC127"/>
    <w:rsid w:val="08C046F6"/>
    <w:rsid w:val="09D56B98"/>
    <w:rsid w:val="09E42712"/>
    <w:rsid w:val="0B43FD3D"/>
    <w:rsid w:val="0CFD20CE"/>
    <w:rsid w:val="0D822428"/>
    <w:rsid w:val="0DC8D367"/>
    <w:rsid w:val="0E0548D8"/>
    <w:rsid w:val="0E10037D"/>
    <w:rsid w:val="0EB7A275"/>
    <w:rsid w:val="0F2B98F3"/>
    <w:rsid w:val="11348B9F"/>
    <w:rsid w:val="11E2D3CE"/>
    <w:rsid w:val="12C0AE29"/>
    <w:rsid w:val="12FEB4AC"/>
    <w:rsid w:val="13939C60"/>
    <w:rsid w:val="143814EB"/>
    <w:rsid w:val="143D94B1"/>
    <w:rsid w:val="14A2B95A"/>
    <w:rsid w:val="14B70834"/>
    <w:rsid w:val="151DACD2"/>
    <w:rsid w:val="15438D46"/>
    <w:rsid w:val="157EC1F6"/>
    <w:rsid w:val="15D96512"/>
    <w:rsid w:val="162A4507"/>
    <w:rsid w:val="16E7A6BC"/>
    <w:rsid w:val="174C01BC"/>
    <w:rsid w:val="1758EEF7"/>
    <w:rsid w:val="17FC8200"/>
    <w:rsid w:val="18BE7A8E"/>
    <w:rsid w:val="19019527"/>
    <w:rsid w:val="1939D601"/>
    <w:rsid w:val="1A7343C8"/>
    <w:rsid w:val="1B710A8A"/>
    <w:rsid w:val="1C920727"/>
    <w:rsid w:val="1D6B4628"/>
    <w:rsid w:val="1DF0FE9D"/>
    <w:rsid w:val="1ED81289"/>
    <w:rsid w:val="1EDD774E"/>
    <w:rsid w:val="1FBF6765"/>
    <w:rsid w:val="20B85FFE"/>
    <w:rsid w:val="217C4C40"/>
    <w:rsid w:val="233B91C7"/>
    <w:rsid w:val="2399418C"/>
    <w:rsid w:val="23A62B47"/>
    <w:rsid w:val="23CB8D8F"/>
    <w:rsid w:val="24B3ED02"/>
    <w:rsid w:val="2508F0D3"/>
    <w:rsid w:val="256548BC"/>
    <w:rsid w:val="265F4F98"/>
    <w:rsid w:val="267FCB8B"/>
    <w:rsid w:val="26A8FD5A"/>
    <w:rsid w:val="270D8710"/>
    <w:rsid w:val="28825A0F"/>
    <w:rsid w:val="292017AC"/>
    <w:rsid w:val="29525772"/>
    <w:rsid w:val="29D48A9B"/>
    <w:rsid w:val="2A595E21"/>
    <w:rsid w:val="2A703F35"/>
    <w:rsid w:val="2B62FFE7"/>
    <w:rsid w:val="2BCC2C45"/>
    <w:rsid w:val="2BF94128"/>
    <w:rsid w:val="2C0C0F96"/>
    <w:rsid w:val="2C0E5FD8"/>
    <w:rsid w:val="2C3F3449"/>
    <w:rsid w:val="2CE661EF"/>
    <w:rsid w:val="2CFB51E3"/>
    <w:rsid w:val="2EEC6F94"/>
    <w:rsid w:val="302751BC"/>
    <w:rsid w:val="303BC263"/>
    <w:rsid w:val="307C5844"/>
    <w:rsid w:val="30D4D1A7"/>
    <w:rsid w:val="331441A3"/>
    <w:rsid w:val="34FC078E"/>
    <w:rsid w:val="35CD4885"/>
    <w:rsid w:val="35E9911B"/>
    <w:rsid w:val="36FEF04A"/>
    <w:rsid w:val="38138F70"/>
    <w:rsid w:val="38F59B0B"/>
    <w:rsid w:val="3C450B30"/>
    <w:rsid w:val="3E3EEC58"/>
    <w:rsid w:val="3E46B4F2"/>
    <w:rsid w:val="3E4C0698"/>
    <w:rsid w:val="3E5ED9A8"/>
    <w:rsid w:val="3EB4BC0C"/>
    <w:rsid w:val="3EFA7C49"/>
    <w:rsid w:val="40520768"/>
    <w:rsid w:val="40EEC087"/>
    <w:rsid w:val="41084FEC"/>
    <w:rsid w:val="411E82F1"/>
    <w:rsid w:val="42026BA6"/>
    <w:rsid w:val="424175CF"/>
    <w:rsid w:val="42900454"/>
    <w:rsid w:val="431FA108"/>
    <w:rsid w:val="438E784E"/>
    <w:rsid w:val="4422287D"/>
    <w:rsid w:val="4435E24C"/>
    <w:rsid w:val="446742F0"/>
    <w:rsid w:val="45239F7B"/>
    <w:rsid w:val="455094DA"/>
    <w:rsid w:val="4596F1D9"/>
    <w:rsid w:val="45F6AAA0"/>
    <w:rsid w:val="462EEFA7"/>
    <w:rsid w:val="47AB9898"/>
    <w:rsid w:val="47B6B107"/>
    <w:rsid w:val="482E0B49"/>
    <w:rsid w:val="48AFBA20"/>
    <w:rsid w:val="49189DB6"/>
    <w:rsid w:val="4997ADE4"/>
    <w:rsid w:val="4A14CDE7"/>
    <w:rsid w:val="4A787D84"/>
    <w:rsid w:val="4A9EA0B9"/>
    <w:rsid w:val="4B983742"/>
    <w:rsid w:val="4BED15EB"/>
    <w:rsid w:val="4DCD7B4C"/>
    <w:rsid w:val="4FDAB2F6"/>
    <w:rsid w:val="4FFBE99B"/>
    <w:rsid w:val="508104FB"/>
    <w:rsid w:val="51B6CB13"/>
    <w:rsid w:val="53CAB6A0"/>
    <w:rsid w:val="5769202C"/>
    <w:rsid w:val="57976E7F"/>
    <w:rsid w:val="59921CEF"/>
    <w:rsid w:val="5ABFC21D"/>
    <w:rsid w:val="5C1B5BDA"/>
    <w:rsid w:val="5CE26D04"/>
    <w:rsid w:val="5D2A0453"/>
    <w:rsid w:val="5D6D033D"/>
    <w:rsid w:val="5E196C43"/>
    <w:rsid w:val="5EE6CA10"/>
    <w:rsid w:val="5F6F8733"/>
    <w:rsid w:val="5FAB7A8F"/>
    <w:rsid w:val="600AED6D"/>
    <w:rsid w:val="602EB1FA"/>
    <w:rsid w:val="610924CC"/>
    <w:rsid w:val="612823AF"/>
    <w:rsid w:val="614F973C"/>
    <w:rsid w:val="628089E3"/>
    <w:rsid w:val="631078D7"/>
    <w:rsid w:val="633F4084"/>
    <w:rsid w:val="6391FFBA"/>
    <w:rsid w:val="6502188A"/>
    <w:rsid w:val="67B77B71"/>
    <w:rsid w:val="681AF9F6"/>
    <w:rsid w:val="6838DC8F"/>
    <w:rsid w:val="6847BEEC"/>
    <w:rsid w:val="68940056"/>
    <w:rsid w:val="68A94DAA"/>
    <w:rsid w:val="6916CAF7"/>
    <w:rsid w:val="69659C1F"/>
    <w:rsid w:val="69F8961E"/>
    <w:rsid w:val="6A56436F"/>
    <w:rsid w:val="6AFF4CFC"/>
    <w:rsid w:val="6B24414D"/>
    <w:rsid w:val="6BCE2E49"/>
    <w:rsid w:val="6BD3AE0F"/>
    <w:rsid w:val="6BD8EB73"/>
    <w:rsid w:val="6E21C170"/>
    <w:rsid w:val="6E37FE6E"/>
    <w:rsid w:val="6E7A41E6"/>
    <w:rsid w:val="70B44921"/>
    <w:rsid w:val="70FAA45F"/>
    <w:rsid w:val="71125BF6"/>
    <w:rsid w:val="711F5BCA"/>
    <w:rsid w:val="73B1CC0C"/>
    <w:rsid w:val="743EF47B"/>
    <w:rsid w:val="751EF4F9"/>
    <w:rsid w:val="76222443"/>
    <w:rsid w:val="77FDB357"/>
    <w:rsid w:val="780AF1F4"/>
    <w:rsid w:val="78C7D952"/>
    <w:rsid w:val="7B380A47"/>
    <w:rsid w:val="7B9D70FE"/>
    <w:rsid w:val="7BEB0FDA"/>
    <w:rsid w:val="7C6C7D09"/>
    <w:rsid w:val="7C7E7D42"/>
    <w:rsid w:val="7CF2F40B"/>
    <w:rsid w:val="7D778D08"/>
    <w:rsid w:val="7DD8F6BD"/>
    <w:rsid w:val="7EE13AB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0943035"/>
  <w15:chartTrackingRefBased/>
  <w15:docId w15:val="{34B99C8F-C52D-4C12-922C-6DAC7920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899e93ae0ff08a3ff485160865b6bd3b">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e69f06ac0c0a34da08ab5dd7af31ad9c"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SharedWithUsers xmlns="ee43d889-edc4-48e1-b12c-dadc2f31c19b">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50D89-D919-4D26-967A-1CBD4FEC15B0}">
  <ds:schemaRefs/>
</ds:datastoreItem>
</file>

<file path=customXml/itemProps2.xml><?xml version="1.0" encoding="utf-8"?>
<ds:datastoreItem xmlns:ds="http://schemas.openxmlformats.org/officeDocument/2006/customXml" ds:itemID="{5A3868A5-5C1E-4DE2-8B57-E7B6F152F3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3591F8-4C37-494B-A0B7-D5E778E1961F}">
  <ds:schemaRefs>
    <ds:schemaRef ds:uri="http://schemas.microsoft.com/sharepoint/v3/contenttype/forms"/>
  </ds:schemaRefs>
</ds:datastoreItem>
</file>

<file path=customXml/itemProps4.xml><?xml version="1.0" encoding="utf-8"?>
<ds:datastoreItem xmlns:ds="http://schemas.openxmlformats.org/officeDocument/2006/customXml" ds:itemID="{D4456DB4-7CD8-4D72-BDE9-B6E021EB0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Centers for Disease Control and Prevention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Tony (CDC/OD/OADS)</dc:creator>
  <cp:lastModifiedBy>De Leon Salazar, Alfonsina (Sina) (CDC/NCEH/DLS)</cp:lastModifiedBy>
  <cp:revision>12</cp:revision>
  <dcterms:created xsi:type="dcterms:W3CDTF">2022-07-16T19:18:00Z</dcterms:created>
  <dcterms:modified xsi:type="dcterms:W3CDTF">2026-01-22T14:20:20Z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0x01010043A477F68F2F9343951B98BC995DD51F</vt:lpwstr>
  </property>
  <property fmtid="{D5CDD505-2E9C-101B-9397-08002B2CF9AE}" pid="4" name="MediaServiceImageTags">
    <vt:lpwstr/>
  </property>
  <property fmtid="{D5CDD505-2E9C-101B-9397-08002B2CF9AE}" pid="5" name="MSIP_Label_7b94a7b8-f06c-4dfe-bdcc-9b548fd58c31_ActionId">
    <vt:lpwstr>d4f559a3-f755-4edb-a2a2-2275848a363d</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2021-08-31T17:56:24Z</vt:lpwstr>
  </property>
  <property fmtid="{D5CDD505-2E9C-101B-9397-08002B2CF9AE}" pid="11" name="MSIP_Label_7b94a7b8-f06c-4dfe-bdcc-9b548fd58c31_SiteId">
    <vt:lpwstr>9ce70869-60db-44fd-abe8-d2767077fc8f</vt:lpwstr>
  </property>
  <property fmtid="{D5CDD505-2E9C-101B-9397-08002B2CF9AE}" pid="12" name="Order">
    <vt:r8>793800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y fmtid="{D5CDD505-2E9C-101B-9397-08002B2CF9AE}" pid="18" name="_SharedFileIndex">
    <vt:lpwstr/>
  </property>
  <property fmtid="{D5CDD505-2E9C-101B-9397-08002B2CF9AE}" pid="19" name="_SourceUrl">
    <vt:lpwstr/>
  </property>
</Properties>
</file>