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A2DBE" w:rsidRPr="00E707C0" w14:paraId="53AFEA99" w14:textId="77777777">
      <w:pPr>
        <w:rPr>
          <w:rFonts w:ascii="Arial" w:hAnsi="Arial" w:cs="Arial"/>
        </w:rPr>
      </w:pPr>
      <w:bookmarkStart w:id="0" w:name="_Toc337198071"/>
      <w:bookmarkStart w:id="1" w:name="_Toc423335421"/>
    </w:p>
    <w:p w:rsidR="00BA2DBE" w:rsidRPr="00E707C0" w14:paraId="1EC7CD9F" w14:textId="77777777">
      <w:pPr>
        <w:rPr>
          <w:rFonts w:ascii="Arial" w:hAnsi="Arial" w:cs="Arial"/>
        </w:rPr>
      </w:pPr>
    </w:p>
    <w:p w:rsidR="00BA2DBE" w:rsidRPr="00E707C0" w14:paraId="7227FEA9" w14:textId="77777777">
      <w:pPr>
        <w:rPr>
          <w:rFonts w:ascii="Arial" w:hAnsi="Arial" w:cs="Arial"/>
        </w:rPr>
      </w:pPr>
    </w:p>
    <w:p w:rsidR="00BA2DBE" w:rsidRPr="00E707C0" w14:paraId="0361988D" w14:textId="77777777">
      <w:pPr>
        <w:rPr>
          <w:rFonts w:ascii="Arial" w:hAnsi="Arial" w:cs="Arial"/>
        </w:rPr>
      </w:pPr>
    </w:p>
    <w:p w:rsidR="00BA2DBE" w:rsidRPr="00E707C0" w14:paraId="52261623" w14:textId="77777777">
      <w:pPr>
        <w:rPr>
          <w:rFonts w:ascii="Arial" w:hAnsi="Arial" w:cs="Arial"/>
        </w:rPr>
      </w:pPr>
    </w:p>
    <w:p w:rsidR="00EF2F11" w14:paraId="0EEAAF7C" w14:textId="5F601DD2">
      <w:pPr>
        <w:pStyle w:val="Subtitle"/>
        <w:spacing w:after="0"/>
        <w:rPr>
          <w:rFonts w:ascii="Cambria" w:hAnsi="Cambria"/>
          <w:color w:val="auto"/>
          <w:spacing w:val="-7"/>
          <w:sz w:val="48"/>
          <w:szCs w:val="48"/>
        </w:rPr>
      </w:pPr>
      <w:r w:rsidRPr="00EF2F11">
        <w:rPr>
          <w:rFonts w:ascii="Cambria" w:hAnsi="Cambria"/>
          <w:color w:val="auto"/>
          <w:spacing w:val="-7"/>
          <w:sz w:val="48"/>
          <w:szCs w:val="48"/>
        </w:rPr>
        <w:t>Distribution of Traceable Opioid Material</w:t>
      </w:r>
      <w:r w:rsidR="00454B09">
        <w:rPr>
          <w:rFonts w:ascii="Cambria" w:hAnsi="Cambria"/>
          <w:color w:val="auto"/>
          <w:spacing w:val="-7"/>
          <w:sz w:val="48"/>
          <w:szCs w:val="48"/>
        </w:rPr>
        <w:t>*</w:t>
      </w:r>
      <w:r w:rsidRPr="00EF2F11">
        <w:rPr>
          <w:rFonts w:ascii="Cambria" w:hAnsi="Cambria"/>
          <w:color w:val="auto"/>
          <w:spacing w:val="-7"/>
          <w:sz w:val="48"/>
          <w:szCs w:val="48"/>
        </w:rPr>
        <w:t xml:space="preserve"> Kits</w:t>
      </w:r>
      <w:r w:rsidR="009D34BC">
        <w:rPr>
          <w:rFonts w:ascii="Cambria" w:hAnsi="Cambria"/>
          <w:color w:val="auto"/>
          <w:spacing w:val="-7"/>
          <w:sz w:val="48"/>
          <w:szCs w:val="48"/>
        </w:rPr>
        <w:t xml:space="preserve"> (TOM Kits*)</w:t>
      </w:r>
      <w:r w:rsidRPr="00EF2F11">
        <w:rPr>
          <w:rFonts w:ascii="Cambria" w:hAnsi="Cambria"/>
          <w:color w:val="auto"/>
          <w:spacing w:val="-7"/>
          <w:sz w:val="48"/>
          <w:szCs w:val="48"/>
        </w:rPr>
        <w:t xml:space="preserve"> across U.S. </w:t>
      </w:r>
      <w:r w:rsidR="009D34BC">
        <w:rPr>
          <w:rFonts w:ascii="Cambria" w:hAnsi="Cambria"/>
          <w:color w:val="auto"/>
          <w:spacing w:val="-7"/>
          <w:sz w:val="48"/>
          <w:szCs w:val="48"/>
        </w:rPr>
        <w:t xml:space="preserve">and International </w:t>
      </w:r>
      <w:r w:rsidRPr="00EF2F11">
        <w:rPr>
          <w:rFonts w:ascii="Cambria" w:hAnsi="Cambria"/>
          <w:color w:val="auto"/>
          <w:spacing w:val="-7"/>
          <w:sz w:val="48"/>
          <w:szCs w:val="48"/>
        </w:rPr>
        <w:t>Laboratories</w:t>
      </w:r>
    </w:p>
    <w:p w:rsidR="009D34BC" w:rsidP="009D34BC" w14:paraId="01BBD01B" w14:textId="1D2B4133"/>
    <w:p w:rsidR="009D34BC" w:rsidRPr="00D149D0" w:rsidP="009D34BC" w14:paraId="4F2005BF" w14:textId="77777777">
      <w:pPr>
        <w:rPr>
          <w:rFonts w:ascii="Cambria" w:hAnsi="Cambria"/>
          <w:sz w:val="36"/>
          <w:szCs w:val="36"/>
        </w:rPr>
      </w:pPr>
      <w:r w:rsidRPr="00D149D0">
        <w:rPr>
          <w:rFonts w:ascii="Cambria" w:hAnsi="Cambria"/>
          <w:sz w:val="36"/>
          <w:szCs w:val="36"/>
        </w:rPr>
        <w:t>(formerly known as "Distribution of Traceable Opioid Material* Kits [TOM Kits*] across U.S. Laboratories”)</w:t>
      </w:r>
    </w:p>
    <w:p w:rsidR="00AF0447" w:rsidRPr="00D149D0" w:rsidP="00AF0447" w14:paraId="4444391F" w14:textId="77777777">
      <w:pPr>
        <w:pStyle w:val="Subtitle"/>
        <w:spacing w:after="0"/>
        <w:rPr>
          <w:rFonts w:ascii="Cambria" w:hAnsi="Cambria"/>
          <w:color w:val="auto"/>
        </w:rPr>
      </w:pPr>
      <w:r w:rsidRPr="00D149D0">
        <w:rPr>
          <w:rFonts w:ascii="Cambria" w:hAnsi="Cambria"/>
          <w:color w:val="auto"/>
        </w:rPr>
        <w:t>OMB Control No. 0920-1313</w:t>
      </w:r>
    </w:p>
    <w:p w:rsidR="00AF0447" w:rsidRPr="00D149D0" w:rsidP="00AF0447" w14:paraId="08502CFC" w14:textId="14EF20A6">
      <w:pPr>
        <w:pStyle w:val="Subtitle"/>
        <w:rPr>
          <w:rFonts w:ascii="Cambria" w:hAnsi="Cambria"/>
          <w:color w:val="auto"/>
        </w:rPr>
      </w:pPr>
      <w:r w:rsidRPr="00D149D0">
        <w:rPr>
          <w:rFonts w:ascii="Cambria" w:hAnsi="Cambria"/>
          <w:color w:val="auto"/>
        </w:rPr>
        <w:t xml:space="preserve">Expiration Date </w:t>
      </w:r>
      <w:r w:rsidR="00CA1BE6">
        <w:rPr>
          <w:rFonts w:ascii="Cambria" w:hAnsi="Cambria"/>
          <w:color w:val="auto"/>
        </w:rPr>
        <w:t>03/31/2026</w:t>
      </w:r>
      <w:r w:rsidRPr="00D149D0">
        <w:rPr>
          <w:rFonts w:ascii="Cambria" w:hAnsi="Cambria"/>
          <w:color w:val="auto"/>
        </w:rPr>
        <w:t xml:space="preserve"> </w:t>
      </w:r>
    </w:p>
    <w:p w:rsidR="00AF0447" w:rsidRPr="00D149D0" w:rsidP="00AF0447" w14:paraId="06DA8768" w14:textId="503F8AB7">
      <w:pPr>
        <w:spacing w:after="200" w:line="276" w:lineRule="auto"/>
        <w:rPr>
          <w:rFonts w:ascii="Cambria" w:hAnsi="Cambria" w:cs="Arial"/>
          <w:sz w:val="36"/>
          <w:szCs w:val="36"/>
        </w:rPr>
      </w:pPr>
      <w:r>
        <w:rPr>
          <w:rFonts w:ascii="Cambria" w:hAnsi="Cambria" w:cs="Arial"/>
          <w:sz w:val="36"/>
          <w:szCs w:val="36"/>
        </w:rPr>
        <w:t>R</w:t>
      </w:r>
      <w:r w:rsidRPr="00D149D0">
        <w:rPr>
          <w:rFonts w:ascii="Cambria" w:hAnsi="Cambria" w:cs="Arial"/>
          <w:sz w:val="36"/>
          <w:szCs w:val="36"/>
        </w:rPr>
        <w:t>evision</w:t>
      </w:r>
    </w:p>
    <w:p w:rsidR="006F2ABA" w:rsidRPr="00E707C0" w:rsidP="00D33AE3" w14:paraId="211AE9D4" w14:textId="77777777">
      <w:pPr>
        <w:pStyle w:val="Subtitle"/>
        <w:rPr>
          <w:rFonts w:ascii="Cambria" w:hAnsi="Cambria"/>
          <w:color w:val="auto"/>
        </w:rPr>
      </w:pPr>
    </w:p>
    <w:p w:rsidR="00D33AE3" w:rsidRPr="00E707C0" w:rsidP="00D33AE3" w14:paraId="7B8AB253" w14:textId="77777777">
      <w:pPr>
        <w:pStyle w:val="Subtitle"/>
        <w:rPr>
          <w:rFonts w:ascii="Cambria" w:hAnsi="Cambria"/>
          <w:color w:val="auto"/>
        </w:rPr>
      </w:pPr>
      <w:r w:rsidRPr="00E707C0">
        <w:rPr>
          <w:rFonts w:ascii="Cambria" w:hAnsi="Cambria"/>
          <w:color w:val="auto"/>
        </w:rPr>
        <w:t xml:space="preserve">Supporting Statement Part B – </w:t>
      </w:r>
    </w:p>
    <w:p w:rsidR="00D33AE3" w:rsidRPr="00E707C0" w:rsidP="00D33AE3" w14:paraId="53670BCF" w14:textId="7A4F6587">
      <w:pPr>
        <w:spacing w:after="200" w:line="276" w:lineRule="auto"/>
        <w:rPr>
          <w:rFonts w:ascii="Cambria" w:hAnsi="Cambria" w:cs="Arial"/>
          <w:sz w:val="36"/>
          <w:szCs w:val="36"/>
        </w:rPr>
      </w:pPr>
      <w:r w:rsidRPr="00E707C0">
        <w:rPr>
          <w:rFonts w:ascii="Cambria" w:hAnsi="Cambria"/>
        </w:rPr>
        <w:t>Collections of Information Employing Statistical Methods</w:t>
      </w:r>
    </w:p>
    <w:p w:rsidR="00EF2F11" w:rsidRPr="00EF2F11" w:rsidP="00EF2F11" w14:paraId="3E6CB2F6" w14:textId="77777777">
      <w:pPr>
        <w:pStyle w:val="Subtitle"/>
        <w:spacing w:after="0"/>
        <w:rPr>
          <w:rFonts w:ascii="Cambria" w:hAnsi="Cambria"/>
          <w:color w:val="auto"/>
        </w:rPr>
      </w:pPr>
    </w:p>
    <w:p w:rsidR="009D34BC" w:rsidRPr="00D149D0" w:rsidP="009D34BC" w14:paraId="4E610F70" w14:textId="77777777">
      <w:pPr>
        <w:pStyle w:val="Subtitle"/>
        <w:spacing w:after="0"/>
        <w:rPr>
          <w:rFonts w:ascii="Cambria" w:hAnsi="Cambria"/>
          <w:color w:val="auto"/>
        </w:rPr>
      </w:pPr>
      <w:r w:rsidRPr="00D149D0">
        <w:rPr>
          <w:rFonts w:ascii="Cambria" w:hAnsi="Cambria"/>
          <w:color w:val="auto"/>
        </w:rPr>
        <w:t>Project Officer: Rebekah Wharton, PhD</w:t>
      </w:r>
    </w:p>
    <w:p w:rsidR="009D34BC" w:rsidRPr="00D149D0" w:rsidP="009D34BC" w14:paraId="7C9A2DBA" w14:textId="77777777">
      <w:pPr>
        <w:pStyle w:val="Subtitle"/>
        <w:spacing w:after="0"/>
        <w:rPr>
          <w:rFonts w:ascii="Cambria" w:hAnsi="Cambria"/>
          <w:color w:val="auto"/>
        </w:rPr>
      </w:pPr>
      <w:r w:rsidRPr="00D149D0">
        <w:rPr>
          <w:rFonts w:ascii="Cambria" w:hAnsi="Cambria"/>
          <w:color w:val="auto"/>
        </w:rPr>
        <w:t>Title: Senior Service Fellow</w:t>
      </w:r>
    </w:p>
    <w:p w:rsidR="009D34BC" w:rsidRPr="00D149D0" w:rsidP="009D34BC" w14:paraId="41D923F1" w14:textId="77777777">
      <w:pPr>
        <w:pStyle w:val="Subtitle"/>
        <w:spacing w:after="0"/>
        <w:ind w:firstLine="720"/>
        <w:rPr>
          <w:rFonts w:ascii="Cambria" w:hAnsi="Cambria"/>
          <w:color w:val="auto"/>
        </w:rPr>
      </w:pPr>
      <w:r w:rsidRPr="00D149D0">
        <w:rPr>
          <w:rFonts w:ascii="Cambria" w:hAnsi="Cambria"/>
          <w:color w:val="auto"/>
        </w:rPr>
        <w:t>Division of Laboratory Sciences (DLS), NCEH</w:t>
      </w:r>
    </w:p>
    <w:p w:rsidR="009D34BC" w:rsidRPr="00D149D0" w:rsidP="009D34BC" w14:paraId="4244B9A1" w14:textId="77777777">
      <w:pPr>
        <w:pStyle w:val="Subtitle"/>
        <w:spacing w:after="0"/>
        <w:rPr>
          <w:rFonts w:ascii="Cambria" w:hAnsi="Cambria"/>
          <w:color w:val="auto"/>
        </w:rPr>
      </w:pPr>
      <w:r w:rsidRPr="00D149D0">
        <w:rPr>
          <w:rFonts w:ascii="Cambria" w:hAnsi="Cambria"/>
          <w:color w:val="auto"/>
        </w:rPr>
        <w:t>Phone: 770-488-7630</w:t>
      </w:r>
    </w:p>
    <w:p w:rsidR="009D34BC" w:rsidRPr="00D149D0" w:rsidP="009D34BC" w14:paraId="61923099" w14:textId="77777777">
      <w:pPr>
        <w:pStyle w:val="Subtitle"/>
        <w:spacing w:after="0"/>
        <w:rPr>
          <w:rFonts w:ascii="Cambria" w:hAnsi="Cambria"/>
          <w:color w:val="auto"/>
        </w:rPr>
      </w:pPr>
      <w:r w:rsidRPr="00D149D0">
        <w:rPr>
          <w:rFonts w:ascii="Cambria" w:hAnsi="Cambria"/>
          <w:color w:val="auto"/>
        </w:rPr>
        <w:t>Email: flo2@cdc.gov</w:t>
      </w:r>
    </w:p>
    <w:p w:rsidR="009D34BC" w:rsidRPr="00D149D0" w:rsidP="009D34BC" w14:paraId="405F58FD" w14:textId="77777777">
      <w:pPr>
        <w:pStyle w:val="Subtitle"/>
        <w:spacing w:after="0"/>
        <w:rPr>
          <w:rFonts w:ascii="Cambria" w:hAnsi="Cambria"/>
          <w:color w:val="auto"/>
        </w:rPr>
      </w:pPr>
      <w:r w:rsidRPr="00D149D0">
        <w:rPr>
          <w:rFonts w:ascii="Cambria" w:hAnsi="Cambria"/>
          <w:color w:val="auto"/>
        </w:rPr>
        <w:t>Fax: 770-488-7518</w:t>
      </w:r>
    </w:p>
    <w:p w:rsidR="009D34BC" w:rsidRPr="00D149D0" w:rsidP="009D34BC" w14:paraId="24E5C1F8" w14:textId="77777777">
      <w:pPr>
        <w:pStyle w:val="Subtitle"/>
        <w:spacing w:after="0"/>
        <w:rPr>
          <w:rFonts w:ascii="Cambria" w:hAnsi="Cambria"/>
          <w:color w:val="auto"/>
        </w:rPr>
      </w:pPr>
    </w:p>
    <w:p w:rsidR="00965C2A" w:rsidRPr="00EF2F11" w:rsidP="00EF2F11" w14:paraId="39E16D28" w14:textId="1D716C98">
      <w:pPr>
        <w:pStyle w:val="Subtitle"/>
        <w:spacing w:after="0"/>
        <w:rPr>
          <w:rFonts w:ascii="Cambria" w:hAnsi="Cambria"/>
          <w:color w:val="auto"/>
        </w:rPr>
      </w:pPr>
      <w:r w:rsidRPr="00D149D0">
        <w:rPr>
          <w:rFonts w:ascii="Cambria" w:hAnsi="Cambria"/>
        </w:rPr>
        <w:t>Date: 12/</w:t>
      </w:r>
      <w:r w:rsidR="00CA1BE6">
        <w:rPr>
          <w:rFonts w:ascii="Cambria" w:hAnsi="Cambria"/>
        </w:rPr>
        <w:t>17/2025</w:t>
      </w:r>
      <w:r w:rsidRPr="006615FB" w:rsidR="00BA2DBE">
        <w:rPr>
          <w:rFonts w:ascii="Arial" w:hAnsi="Arial" w:cs="Arial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-17165860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AC4C54" w:rsidRPr="00D80142" w:rsidP="00A32652" w14:paraId="66B68D9C" w14:textId="0B887F63">
          <w:pPr>
            <w:pStyle w:val="TOCHeading"/>
            <w:pBdr>
              <w:bottom w:val="none" w:sz="0" w:space="0" w:color="auto"/>
            </w:pBdr>
            <w:spacing w:after="480"/>
            <w:jc w:val="center"/>
            <w:rPr>
              <w:rFonts w:ascii="Cambria" w:hAnsi="Cambria"/>
              <w:color w:val="auto"/>
            </w:rPr>
          </w:pPr>
          <w:r w:rsidRPr="00E707C0">
            <w:rPr>
              <w:rFonts w:ascii="Cambria" w:hAnsi="Cambria"/>
              <w:color w:val="auto"/>
            </w:rPr>
            <w:t>Table of Contents</w:t>
          </w:r>
        </w:p>
        <w:p w:rsidR="00096FE1" w14:paraId="1D01E961" w14:textId="542DC6B1">
          <w:pPr>
            <w:pStyle w:val="TOC1"/>
            <w:tabs>
              <w:tab w:val="left" w:pos="660"/>
              <w:tab w:val="right" w:leader="dot" w:pos="9350"/>
            </w:tabs>
            <w:rPr>
              <w:noProof/>
              <w:sz w:val="22"/>
              <w:szCs w:val="22"/>
            </w:rPr>
          </w:pPr>
          <w:r w:rsidRPr="00E707C0">
            <w:fldChar w:fldCharType="begin"/>
          </w:r>
          <w:r w:rsidRPr="00E707C0">
            <w:instrText xml:space="preserve"> TOC \o "1-3" \h \z \u </w:instrText>
          </w:r>
          <w:r w:rsidRPr="00E707C0">
            <w:fldChar w:fldCharType="separate"/>
          </w:r>
          <w:hyperlink w:anchor="_Toc120889854" w:history="1">
            <w:r w:rsidRPr="001C63D1">
              <w:rPr>
                <w:rStyle w:val="Hyperlink"/>
                <w:rFonts w:ascii="Cambria" w:hAnsi="Cambria"/>
                <w:noProof/>
              </w:rPr>
              <w:t>B.1.</w:t>
            </w:r>
            <w:r>
              <w:rPr>
                <w:noProof/>
                <w:sz w:val="22"/>
                <w:szCs w:val="22"/>
              </w:rPr>
              <w:tab/>
            </w:r>
            <w:r w:rsidRPr="001C63D1">
              <w:rPr>
                <w:rStyle w:val="Hyperlink"/>
                <w:rFonts w:ascii="Cambria" w:hAnsi="Cambria"/>
                <w:noProof/>
              </w:rPr>
              <w:t>Respondent Universe and Sampling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_Toc120889854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6FE1" w14:paraId="6D62EB74" w14:textId="610497DF">
          <w:pPr>
            <w:pStyle w:val="TOC1"/>
            <w:tabs>
              <w:tab w:val="left" w:pos="660"/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20889855" w:history="1">
            <w:r w:rsidRPr="001C63D1">
              <w:rPr>
                <w:rStyle w:val="Hyperlink"/>
                <w:rFonts w:ascii="Cambria" w:hAnsi="Cambria"/>
                <w:noProof/>
              </w:rPr>
              <w:t>B.2.</w:t>
            </w:r>
            <w:r>
              <w:rPr>
                <w:noProof/>
                <w:sz w:val="22"/>
                <w:szCs w:val="22"/>
              </w:rPr>
              <w:tab/>
            </w:r>
            <w:r w:rsidRPr="001C63D1">
              <w:rPr>
                <w:rStyle w:val="Hyperlink"/>
                <w:rFonts w:ascii="Cambria" w:hAnsi="Cambria"/>
                <w:noProof/>
              </w:rPr>
              <w:t>Procedures for the Collection of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_Toc120889855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6FE1" w14:paraId="06EFAA58" w14:textId="3EC864E1">
          <w:pPr>
            <w:pStyle w:val="TOC1"/>
            <w:tabs>
              <w:tab w:val="left" w:pos="660"/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20889856" w:history="1">
            <w:r w:rsidRPr="001C63D1">
              <w:rPr>
                <w:rStyle w:val="Hyperlink"/>
                <w:rFonts w:ascii="Cambria" w:hAnsi="Cambria"/>
                <w:noProof/>
              </w:rPr>
              <w:t>B.3.</w:t>
            </w:r>
            <w:r>
              <w:rPr>
                <w:noProof/>
                <w:sz w:val="22"/>
                <w:szCs w:val="22"/>
              </w:rPr>
              <w:tab/>
            </w:r>
            <w:r w:rsidRPr="001C63D1">
              <w:rPr>
                <w:rStyle w:val="Hyperlink"/>
                <w:rFonts w:ascii="Cambria" w:hAnsi="Cambria"/>
                <w:noProof/>
              </w:rPr>
              <w:t>Methods to Maximize Response Rates and Deal with No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_Toc120889856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6FE1" w14:paraId="3366A658" w14:textId="32BEC1AE">
          <w:pPr>
            <w:pStyle w:val="TOC1"/>
            <w:tabs>
              <w:tab w:val="left" w:pos="660"/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20889857" w:history="1">
            <w:r w:rsidRPr="001C63D1">
              <w:rPr>
                <w:rStyle w:val="Hyperlink"/>
                <w:rFonts w:ascii="Cambria" w:hAnsi="Cambria"/>
                <w:noProof/>
              </w:rPr>
              <w:t>B.4.</w:t>
            </w:r>
            <w:r>
              <w:rPr>
                <w:noProof/>
                <w:sz w:val="22"/>
                <w:szCs w:val="22"/>
              </w:rPr>
              <w:tab/>
            </w:r>
            <w:r w:rsidRPr="001C63D1">
              <w:rPr>
                <w:rStyle w:val="Hyperlink"/>
                <w:rFonts w:ascii="Cambria" w:hAnsi="Cambria"/>
                <w:noProof/>
              </w:rPr>
              <w:t>Test of Procedures or Methods to be Undertaken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_Toc120889857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6FE1" w14:paraId="0408568A" w14:textId="70EAF2BC">
          <w:pPr>
            <w:pStyle w:val="TOC1"/>
            <w:tabs>
              <w:tab w:val="left" w:pos="660"/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20889858" w:history="1">
            <w:r w:rsidRPr="001C63D1">
              <w:rPr>
                <w:rStyle w:val="Hyperlink"/>
                <w:rFonts w:ascii="Cambria" w:hAnsi="Cambria"/>
                <w:noProof/>
              </w:rPr>
              <w:t>B.5.</w:t>
            </w:r>
            <w:r>
              <w:rPr>
                <w:noProof/>
                <w:sz w:val="22"/>
                <w:szCs w:val="22"/>
              </w:rPr>
              <w:tab/>
            </w:r>
            <w:r w:rsidRPr="001C63D1">
              <w:rPr>
                <w:rStyle w:val="Hyperlink"/>
                <w:rFonts w:ascii="Cambria" w:hAnsi="Cambria"/>
                <w:noProof/>
              </w:rPr>
              <w:t>Individuals Consulted on Statistical Aspects and Individuals Collecting and/or Analyzing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_Toc120889858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6FE1" w14:paraId="4EEC9412" w14:textId="33A9DD12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20889859" w:history="1">
            <w:r w:rsidRPr="001C63D1">
              <w:rPr>
                <w:rStyle w:val="Hyperlink"/>
                <w:rFonts w:ascii="Cambria" w:hAnsi="Cambria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_Toc120889859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AE3" w:rsidRPr="00E707C0" w14:paraId="25E671BB" w14:textId="77777777">
          <w:r w:rsidRPr="00E707C0">
            <w:rPr>
              <w:b/>
              <w:bCs/>
              <w:noProof/>
            </w:rPr>
            <w:fldChar w:fldCharType="end"/>
          </w:r>
        </w:p>
      </w:sdtContent>
    </w:sdt>
    <w:p w:rsidR="00BA2DBE" w:rsidRPr="00E707C0" w14:paraId="14A5EA74" w14:textId="77777777">
      <w:pPr>
        <w:spacing w:after="200" w:line="276" w:lineRule="auto"/>
        <w:rPr>
          <w:rFonts w:eastAsiaTheme="majorEastAsia" w:cs="Arial"/>
          <w:b/>
          <w:bCs/>
          <w:sz w:val="26"/>
          <w:szCs w:val="26"/>
        </w:rPr>
      </w:pPr>
    </w:p>
    <w:bookmarkEnd w:id="0"/>
    <w:bookmarkEnd w:id="1"/>
    <w:p w:rsidR="00D33AE3" w:rsidRPr="00E707C0" w14:paraId="3C201D9C" w14:textId="77777777">
      <w:pPr>
        <w:rPr>
          <w:rFonts w:asciiTheme="majorHAnsi" w:eastAsiaTheme="majorEastAsia" w:hAnsiTheme="majorHAnsi" w:cstheme="majorBidi"/>
          <w:sz w:val="36"/>
          <w:szCs w:val="36"/>
        </w:rPr>
      </w:pPr>
      <w:r w:rsidRPr="00E707C0">
        <w:br w:type="page"/>
      </w:r>
    </w:p>
    <w:p w:rsidR="00DD2606" w:rsidRPr="00E707C0" w:rsidP="007D595C" w14:paraId="613C53AC" w14:textId="0CA00EEF">
      <w:pPr>
        <w:pBdr>
          <w:bottom w:val="single" w:sz="4" w:space="1" w:color="auto"/>
        </w:pBdr>
        <w:rPr>
          <w:rFonts w:ascii="Cambria" w:hAnsi="Cambria"/>
          <w:sz w:val="36"/>
          <w:szCs w:val="36"/>
        </w:rPr>
      </w:pPr>
      <w:r w:rsidRPr="00E707C0">
        <w:rPr>
          <w:rFonts w:ascii="Cambria" w:hAnsi="Cambria"/>
          <w:sz w:val="36"/>
          <w:szCs w:val="36"/>
        </w:rPr>
        <w:t>Part B. Collections of Information Employing Statistical Methods</w:t>
      </w:r>
    </w:p>
    <w:p w:rsidR="00B45002" w:rsidRPr="00E707C0" w:rsidP="008D0F27" w14:paraId="371CCFBA" w14:textId="77777777">
      <w:pPr>
        <w:pStyle w:val="Heading1"/>
        <w:pBdr>
          <w:bottom w:val="none" w:sz="0" w:space="0" w:color="auto"/>
        </w:pBdr>
        <w:rPr>
          <w:rFonts w:ascii="Cambria" w:hAnsi="Cambria"/>
          <w:color w:val="auto"/>
        </w:rPr>
      </w:pPr>
      <w:bookmarkStart w:id="2" w:name="_Toc120889854"/>
      <w:r w:rsidRPr="00E707C0">
        <w:rPr>
          <w:rFonts w:ascii="Cambria" w:hAnsi="Cambria"/>
          <w:color w:val="auto"/>
        </w:rPr>
        <w:t>B.</w:t>
      </w:r>
      <w:r w:rsidRPr="00E707C0">
        <w:rPr>
          <w:rFonts w:ascii="Cambria" w:hAnsi="Cambria"/>
          <w:color w:val="auto"/>
        </w:rPr>
        <w:t>1.</w:t>
      </w:r>
      <w:r w:rsidRPr="00E707C0">
        <w:rPr>
          <w:rFonts w:ascii="Cambria" w:hAnsi="Cambria"/>
          <w:color w:val="auto"/>
        </w:rPr>
        <w:tab/>
        <w:t>Respondent Universe and Sampling Methods</w:t>
      </w:r>
      <w:bookmarkEnd w:id="2"/>
    </w:p>
    <w:p w:rsidR="00EA6E06" w:rsidRPr="00E707C0" w:rsidP="00EA6E06" w14:paraId="1901860F" w14:textId="77777777">
      <w:pPr>
        <w:spacing w:line="240" w:lineRule="auto"/>
        <w:rPr>
          <w:sz w:val="24"/>
          <w:szCs w:val="24"/>
        </w:rPr>
      </w:pPr>
    </w:p>
    <w:p w:rsidR="00A8321E" w:rsidP="00A8321E" w14:paraId="762DC523" w14:textId="45D4E058">
      <w:pPr>
        <w:spacing w:line="240" w:lineRule="auto"/>
        <w:rPr>
          <w:rFonts w:cstheme="minorHAnsi"/>
          <w:sz w:val="24"/>
          <w:szCs w:val="24"/>
        </w:rPr>
      </w:pPr>
      <w:r w:rsidRPr="00CC4BAA">
        <w:rPr>
          <w:rFonts w:cstheme="minorHAnsi"/>
          <w:sz w:val="24"/>
          <w:szCs w:val="24"/>
        </w:rPr>
        <w:t xml:space="preserve">Respondent laboratories can be from any sector (academic, public, or private), must </w:t>
      </w:r>
      <w:r w:rsidRPr="00CC4BAA">
        <w:rPr>
          <w:rFonts w:cstheme="minorHAnsi"/>
          <w:sz w:val="24"/>
          <w:szCs w:val="24"/>
        </w:rPr>
        <w:t>be located in</w:t>
      </w:r>
      <w:r w:rsidRPr="00CC4BAA">
        <w:rPr>
          <w:rFonts w:cstheme="minorHAnsi"/>
          <w:sz w:val="24"/>
          <w:szCs w:val="24"/>
        </w:rPr>
        <w:t xml:space="preserve"> the U.S., must have a verifiable business address, must have a current DEA registration, must comply with respective state and local regulations, and must submit requests directly to the vendor</w:t>
      </w:r>
      <w:r w:rsidR="00D9577D">
        <w:rPr>
          <w:rFonts w:cstheme="minorHAnsi"/>
          <w:sz w:val="24"/>
          <w:szCs w:val="24"/>
        </w:rPr>
        <w:t xml:space="preserve"> (</w:t>
      </w:r>
      <w:r w:rsidR="00D9577D">
        <w:rPr>
          <w:rFonts w:cstheme="minorHAnsi"/>
          <w:b/>
          <w:sz w:val="24"/>
          <w:szCs w:val="24"/>
        </w:rPr>
        <w:t>Attachment 3</w:t>
      </w:r>
      <w:r w:rsidR="00D9577D">
        <w:rPr>
          <w:rFonts w:cstheme="minorHAnsi"/>
          <w:sz w:val="24"/>
          <w:szCs w:val="24"/>
        </w:rPr>
        <w:t>)</w:t>
      </w:r>
      <w:r w:rsidRPr="00CC4BAA">
        <w:rPr>
          <w:rFonts w:cstheme="minorHAnsi"/>
          <w:sz w:val="24"/>
          <w:szCs w:val="24"/>
        </w:rPr>
        <w:t>.</w:t>
      </w:r>
    </w:p>
    <w:p w:rsidR="00ED2DE9" w:rsidP="00ED2DE9" w14:paraId="430827EE" w14:textId="77777777">
      <w:pPr>
        <w:spacing w:line="22" w:lineRule="atLeast"/>
        <w:rPr>
          <w:rFonts w:cstheme="minorHAnsi"/>
          <w:sz w:val="24"/>
          <w:szCs w:val="24"/>
        </w:rPr>
      </w:pPr>
      <w:r w:rsidRPr="00B82913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domestic </w:t>
      </w:r>
      <w:r w:rsidRPr="00B82913">
        <w:rPr>
          <w:rFonts w:cstheme="minorHAnsi"/>
          <w:sz w:val="24"/>
          <w:szCs w:val="24"/>
        </w:rPr>
        <w:t xml:space="preserve">subpopulation </w:t>
      </w:r>
      <w:r>
        <w:rPr>
          <w:rFonts w:cstheme="minorHAnsi"/>
          <w:sz w:val="24"/>
          <w:szCs w:val="24"/>
        </w:rPr>
        <w:t>for this information collection</w:t>
      </w:r>
      <w:r w:rsidRPr="00B82913">
        <w:rPr>
          <w:rFonts w:cstheme="minorHAnsi"/>
          <w:sz w:val="24"/>
          <w:szCs w:val="24"/>
        </w:rPr>
        <w:t xml:space="preserve"> will be laboratories</w:t>
      </w:r>
      <w:r w:rsidRPr="0097091A">
        <w:rPr>
          <w:rFonts w:cstheme="minorHAnsi"/>
          <w:sz w:val="24"/>
          <w:szCs w:val="24"/>
        </w:rPr>
        <w:t xml:space="preserve"> located in the U.S.</w:t>
      </w:r>
      <w:r>
        <w:rPr>
          <w:rFonts w:cstheme="minorHAnsi"/>
          <w:sz w:val="24"/>
          <w:szCs w:val="24"/>
        </w:rPr>
        <w:t xml:space="preserve"> They must </w:t>
      </w:r>
      <w:r w:rsidRPr="0097091A">
        <w:rPr>
          <w:rFonts w:cstheme="minorHAnsi"/>
          <w:sz w:val="24"/>
          <w:szCs w:val="24"/>
        </w:rPr>
        <w:t xml:space="preserve">have a </w:t>
      </w:r>
      <w:r>
        <w:rPr>
          <w:rFonts w:cstheme="minorHAnsi"/>
          <w:sz w:val="24"/>
          <w:szCs w:val="24"/>
        </w:rPr>
        <w:t xml:space="preserve">verifiable business address, must have a </w:t>
      </w:r>
      <w:r w:rsidRPr="0097091A">
        <w:rPr>
          <w:rFonts w:cstheme="minorHAnsi"/>
          <w:sz w:val="24"/>
          <w:szCs w:val="24"/>
        </w:rPr>
        <w:t xml:space="preserve">current DEA registration, must comply with respective state and local regulations, and must submit requests </w:t>
      </w:r>
      <w:r>
        <w:rPr>
          <w:rFonts w:cstheme="minorHAnsi"/>
          <w:sz w:val="24"/>
          <w:szCs w:val="24"/>
        </w:rPr>
        <w:t xml:space="preserve">for test kits </w:t>
      </w:r>
      <w:r w:rsidRPr="0097091A">
        <w:rPr>
          <w:rFonts w:cstheme="minorHAnsi"/>
          <w:sz w:val="24"/>
          <w:szCs w:val="24"/>
        </w:rPr>
        <w:t>directly to the vendor.</w:t>
      </w:r>
      <w:r>
        <w:rPr>
          <w:rFonts w:cstheme="minorHAnsi"/>
          <w:sz w:val="24"/>
          <w:szCs w:val="24"/>
        </w:rPr>
        <w:t xml:space="preserve"> </w:t>
      </w:r>
    </w:p>
    <w:p w:rsidR="00ED2DE9" w:rsidP="00D149D0" w14:paraId="66436860" w14:textId="597130AD">
      <w:pPr>
        <w:spacing w:line="22" w:lineRule="atLeast"/>
        <w:rPr>
          <w:rFonts w:cstheme="minorHAnsi"/>
          <w:sz w:val="24"/>
          <w:szCs w:val="24"/>
        </w:rPr>
      </w:pPr>
      <w:r w:rsidRPr="000B217F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international </w:t>
      </w:r>
      <w:r w:rsidRPr="000B217F">
        <w:rPr>
          <w:rFonts w:cstheme="minorHAnsi"/>
          <w:sz w:val="24"/>
          <w:szCs w:val="24"/>
        </w:rPr>
        <w:t>subpopulation for this information collection will</w:t>
      </w:r>
      <w:r>
        <w:rPr>
          <w:rFonts w:cstheme="minorHAnsi"/>
          <w:sz w:val="24"/>
          <w:szCs w:val="24"/>
        </w:rPr>
        <w:t xml:space="preserve"> apply for test kits through a separate vendor application webpage for international laboratories and will verify test kit eligibility for requesting laboratories through country-specific drug enforcement laboratory certifications</w:t>
      </w:r>
      <w:r w:rsidRPr="000B217F">
        <w:rPr>
          <w:rFonts w:cstheme="minorHAnsi"/>
          <w:sz w:val="24"/>
          <w:szCs w:val="24"/>
        </w:rPr>
        <w:t>.</w:t>
      </w:r>
    </w:p>
    <w:p w:rsidR="00ED2DE9" w:rsidRPr="00FC7D97" w:rsidP="00ED2DE9" w14:paraId="69A6EDA7" w14:textId="77777777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FC7D97">
        <w:rPr>
          <w:rFonts w:cstheme="minorHAnsi"/>
          <w:sz w:val="24"/>
          <w:szCs w:val="24"/>
        </w:rPr>
        <w:t xml:space="preserve">Over the next three years, CDC will distribute an expanded array of </w:t>
      </w:r>
      <w:r>
        <w:rPr>
          <w:rFonts w:cstheme="minorHAnsi"/>
          <w:sz w:val="24"/>
          <w:szCs w:val="24"/>
        </w:rPr>
        <w:t>TOM</w:t>
      </w:r>
      <w:r w:rsidRPr="00FC7D97">
        <w:rPr>
          <w:rFonts w:cstheme="minorHAnsi"/>
          <w:sz w:val="24"/>
          <w:szCs w:val="24"/>
        </w:rPr>
        <w:t xml:space="preserve"> kits</w:t>
      </w:r>
      <w:r>
        <w:rPr>
          <w:rFonts w:cstheme="minorHAnsi"/>
          <w:sz w:val="24"/>
          <w:szCs w:val="24"/>
        </w:rPr>
        <w:t>*</w:t>
      </w:r>
      <w:r w:rsidRPr="00FC7D97">
        <w:rPr>
          <w:rFonts w:cstheme="minorHAnsi"/>
          <w:sz w:val="24"/>
          <w:szCs w:val="24"/>
        </w:rPr>
        <w:t xml:space="preserve"> through a single vendor (</w:t>
      </w:r>
      <w:r w:rsidRPr="00FC7D97">
        <w:rPr>
          <w:rFonts w:cstheme="minorHAnsi"/>
          <w:b/>
          <w:sz w:val="24"/>
          <w:szCs w:val="24"/>
        </w:rPr>
        <w:t>Attachment 3</w:t>
      </w:r>
      <w:r w:rsidRPr="00FC7D97">
        <w:rPr>
          <w:rFonts w:cstheme="minorHAnsi"/>
          <w:sz w:val="24"/>
          <w:szCs w:val="24"/>
        </w:rPr>
        <w:t>).</w:t>
      </w:r>
      <w:r>
        <w:rPr>
          <w:rStyle w:val="FootnoteReference"/>
          <w:rFonts w:cstheme="minorHAnsi"/>
          <w:sz w:val="24"/>
          <w:szCs w:val="24"/>
        </w:rPr>
        <w:footnoteReference w:id="2"/>
      </w:r>
      <w:r w:rsidRPr="00FC7D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kits are all </w:t>
      </w:r>
      <w:r>
        <w:rPr>
          <w:sz w:val="24"/>
          <w:szCs w:val="24"/>
        </w:rPr>
        <w:t>m</w:t>
      </w:r>
      <w:r w:rsidRPr="00FC7D97">
        <w:rPr>
          <w:sz w:val="24"/>
          <w:szCs w:val="24"/>
        </w:rPr>
        <w:t xml:space="preserve">anufactured by </w:t>
      </w:r>
      <w:hyperlink r:id="rId9" w:history="1">
        <w:r w:rsidRPr="00FC7D97">
          <w:rPr>
            <w:rStyle w:val="Hyperlink"/>
            <w:sz w:val="24"/>
            <w:szCs w:val="24"/>
          </w:rPr>
          <w:t>Cayman Chemical</w:t>
        </w:r>
      </w:hyperlink>
      <w:r w:rsidRPr="00A345D7">
        <w:rPr>
          <w:sz w:val="24"/>
          <w:szCs w:val="24"/>
        </w:rPr>
        <w:t xml:space="preserve"> </w:t>
      </w:r>
      <w:r>
        <w:rPr>
          <w:rStyle w:val="FootnoteReference"/>
          <w:sz w:val="24"/>
          <w:szCs w:val="24"/>
        </w:rPr>
        <w:footnoteReference w:id="3"/>
      </w:r>
    </w:p>
    <w:p w:rsidR="00ED2DE9" w:rsidP="00ED2DE9" w14:paraId="43F80C17" w14:textId="77777777">
      <w:pPr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FAS</w:t>
      </w:r>
      <w:r w:rsidRPr="00FC7D97">
        <w:rPr>
          <w:sz w:val="24"/>
          <w:szCs w:val="24"/>
        </w:rPr>
        <w:t xml:space="preserve"> Kits</w:t>
      </w:r>
      <w:r>
        <w:rPr>
          <w:sz w:val="24"/>
          <w:szCs w:val="24"/>
        </w:rPr>
        <w:t xml:space="preserve"> (original and four emergent panels: FAS Version 1, FAS Version 2 and 3, and FAS Version 4)</w:t>
      </w:r>
    </w:p>
    <w:p w:rsidR="00ED2DE9" w:rsidRPr="00FC7D97" w:rsidP="00ED2DE9" w14:paraId="1DF4A1D4" w14:textId="77777777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Opioids</w:t>
      </w:r>
    </w:p>
    <w:p w:rsidR="00ED2DE9" w:rsidRPr="002E26F8" w:rsidP="00ED2DE9" w14:paraId="4CF102D4" w14:textId="24E878ED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See a list of compounds in each FAS Kit panel at </w:t>
      </w:r>
      <w:hyperlink r:id="rId10" w:history="1">
        <w:r w:rsidRPr="003917BE" w:rsidR="003917BE">
          <w:rPr>
            <w:rStyle w:val="Hyperlink"/>
          </w:rPr>
          <w:t>Traceable Opioid Material Kits | CTTL | CDC</w:t>
        </w:r>
      </w:hyperlink>
      <w:r>
        <w:rPr>
          <w:sz w:val="24"/>
          <w:szCs w:val="24"/>
        </w:rPr>
        <w:t xml:space="preserve">. </w:t>
      </w:r>
    </w:p>
    <w:p w:rsidR="00ED2DE9" w:rsidRPr="00FC7D97" w:rsidP="00ED2DE9" w14:paraId="55065D6D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 w:rsidRPr="00FC7D97">
        <w:rPr>
          <w:sz w:val="24"/>
          <w:szCs w:val="24"/>
        </w:rPr>
        <w:t>Includes 200 micrograms each of 200+ fentanyl analog analytical reference materials</w:t>
      </w:r>
    </w:p>
    <w:p w:rsidR="00ED2DE9" w:rsidRPr="00FC7D97" w:rsidP="00ED2DE9" w14:paraId="703AF357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 w:rsidRPr="00FC7D97">
        <w:rPr>
          <w:sz w:val="24"/>
          <w:szCs w:val="24"/>
        </w:rPr>
        <w:t>Provides largest collection of available fentanyl analog reference materials</w:t>
      </w:r>
    </w:p>
    <w:p w:rsidR="00ED2DE9" w:rsidRPr="00FC7D97" w:rsidP="00ED2DE9" w14:paraId="20963B28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 w:rsidRPr="00FC7D97">
        <w:rPr>
          <w:sz w:val="24"/>
          <w:szCs w:val="24"/>
        </w:rPr>
        <w:t>Improves immunoassay and mass spectrometry screening methods</w:t>
      </w:r>
    </w:p>
    <w:p w:rsidR="00ED2DE9" w:rsidP="00ED2DE9" w14:paraId="3E682C66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 w:rsidRPr="00FC7D97">
        <w:rPr>
          <w:sz w:val="24"/>
          <w:szCs w:val="24"/>
        </w:rPr>
        <w:t>Includes structural variability for fentanyl analog</w:t>
      </w:r>
    </w:p>
    <w:p w:rsidR="00ED2DE9" w:rsidRPr="00FC7D97" w:rsidP="00ED2DE9" w14:paraId="3D7C07BE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Distributed internationally and domestically by Cayman Chemical</w:t>
      </w:r>
    </w:p>
    <w:p w:rsidR="00ED2DE9" w:rsidRPr="00FC7D97" w:rsidP="00ED2DE9" w14:paraId="5A41D0D3" w14:textId="77777777">
      <w:pPr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 w:rsidRPr="00FC7D97">
        <w:rPr>
          <w:sz w:val="24"/>
          <w:szCs w:val="24"/>
        </w:rPr>
        <w:t>EDP Kits</w:t>
      </w:r>
    </w:p>
    <w:p w:rsidR="00ED2DE9" w:rsidRPr="00EA22BE" w:rsidP="00ED2DE9" w14:paraId="29F50F76" w14:textId="77777777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Opioids</w:t>
      </w:r>
    </w:p>
    <w:p w:rsidR="00ED2DE9" w:rsidRPr="00FC7D97" w:rsidP="00ED2DE9" w14:paraId="395EEF6B" w14:textId="77777777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 w:rsidRPr="00FC7D97">
        <w:rPr>
          <w:rFonts w:cstheme="minorHAnsi"/>
          <w:bCs/>
          <w:sz w:val="24"/>
          <w:szCs w:val="24"/>
        </w:rPr>
        <w:t>Synthetic Cannabinoids</w:t>
      </w:r>
    </w:p>
    <w:p w:rsidR="00ED2DE9" w:rsidRPr="00FC7D97" w:rsidP="00ED2DE9" w14:paraId="0A13B5A4" w14:textId="77777777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 w:rsidRPr="00FC7D97">
        <w:rPr>
          <w:rFonts w:cstheme="minorHAnsi"/>
          <w:bCs/>
          <w:sz w:val="24"/>
          <w:szCs w:val="24"/>
        </w:rPr>
        <w:t>Stimulants and Hallucinogens</w:t>
      </w:r>
    </w:p>
    <w:p w:rsidR="00ED2DE9" w:rsidRPr="00EA22BE" w:rsidP="00ED2DE9" w14:paraId="312BF8EB" w14:textId="77777777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 w:rsidRPr="00FC7D97">
        <w:rPr>
          <w:rFonts w:cstheme="minorHAnsi"/>
          <w:bCs/>
          <w:sz w:val="24"/>
          <w:szCs w:val="24"/>
        </w:rPr>
        <w:t>Benzodiazepines</w:t>
      </w:r>
    </w:p>
    <w:p w:rsidR="00ED2DE9" w:rsidRPr="001B680B" w:rsidP="00ED2DE9" w14:paraId="7EF92CE1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Includes 200 micrograms of each analytical reference material</w:t>
      </w:r>
    </w:p>
    <w:p w:rsidR="00ED2DE9" w:rsidRPr="00761E0B" w:rsidP="00ED2DE9" w14:paraId="383BA7F4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Addresses the most prevalent drugs currently found in drug seizures and overdose deaths reported by the DEA and CRSRE</w:t>
      </w:r>
    </w:p>
    <w:p w:rsidR="00ED2DE9" w:rsidRPr="00DF5EAD" w:rsidP="00ED2DE9" w14:paraId="63A70AFD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Improves immunoassay and mass spectrometry screening methods</w:t>
      </w:r>
    </w:p>
    <w:p w:rsidR="00ED2DE9" w:rsidRPr="00FC7D97" w:rsidP="00ED2DE9" w14:paraId="1A5D7377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Distributed domestically by Cayman Chemical</w:t>
      </w:r>
    </w:p>
    <w:p w:rsidR="00ED2DE9" w:rsidRPr="00CC4BAA" w:rsidP="00A8321E" w14:paraId="3FCC3003" w14:textId="77777777">
      <w:pPr>
        <w:spacing w:line="240" w:lineRule="auto"/>
        <w:rPr>
          <w:rFonts w:cstheme="minorHAnsi"/>
          <w:sz w:val="24"/>
          <w:szCs w:val="24"/>
        </w:rPr>
      </w:pPr>
    </w:p>
    <w:p w:rsidR="00816B53" w:rsidP="00EA6E06" w14:paraId="3859DBF1" w14:textId="1DB36D69">
      <w:pPr>
        <w:autoSpaceDE w:val="0"/>
        <w:autoSpaceDN w:val="0"/>
        <w:adjustRightInd w:val="0"/>
        <w:spacing w:line="240" w:lineRule="auto"/>
        <w:rPr>
          <w:rFonts w:cs="ITCFranklinGothicStd-Book"/>
          <w:sz w:val="24"/>
          <w:szCs w:val="24"/>
        </w:rPr>
      </w:pPr>
      <w:r>
        <w:rPr>
          <w:rFonts w:cs="ITCFranklinGothicStd-Book"/>
          <w:sz w:val="24"/>
          <w:szCs w:val="24"/>
        </w:rPr>
        <w:t xml:space="preserve">No statistical methods or sampling </w:t>
      </w:r>
      <w:r>
        <w:rPr>
          <w:rFonts w:cs="ITCFranklinGothicStd-Book"/>
          <w:sz w:val="24"/>
          <w:szCs w:val="24"/>
        </w:rPr>
        <w:t>is</w:t>
      </w:r>
      <w:r>
        <w:rPr>
          <w:rFonts w:cs="ITCFranklinGothicStd-Book"/>
          <w:sz w:val="24"/>
          <w:szCs w:val="24"/>
        </w:rPr>
        <w:t xml:space="preserve"> necessary.</w:t>
      </w:r>
      <w:r w:rsidR="00A8321E">
        <w:rPr>
          <w:rFonts w:cs="ITCFranklinGothicStd-Book"/>
          <w:sz w:val="24"/>
          <w:szCs w:val="24"/>
        </w:rPr>
        <w:t xml:space="preserve"> </w:t>
      </w:r>
      <w:r w:rsidR="00524344">
        <w:rPr>
          <w:rFonts w:cs="ITCFranklinGothicStd-Book"/>
          <w:sz w:val="24"/>
          <w:szCs w:val="24"/>
        </w:rPr>
        <w:t>The respondent laboratories will be a convenience sample of those interested in receiving the TOM Kits</w:t>
      </w:r>
      <w:r w:rsidR="009B49A9">
        <w:rPr>
          <w:rFonts w:cs="ITCFranklinGothicStd-Book"/>
          <w:sz w:val="24"/>
          <w:szCs w:val="24"/>
        </w:rPr>
        <w:t>*</w:t>
      </w:r>
      <w:r w:rsidR="0044353F">
        <w:rPr>
          <w:rFonts w:cs="ITCFranklinGothicStd-Book"/>
          <w:sz w:val="24"/>
          <w:szCs w:val="24"/>
        </w:rPr>
        <w:t xml:space="preserve"> at no cost from </w:t>
      </w:r>
      <w:r w:rsidR="0044353F">
        <w:rPr>
          <w:rFonts w:cs="ITCFranklinGothicStd-Book"/>
          <w:sz w:val="24"/>
          <w:szCs w:val="24"/>
        </w:rPr>
        <w:t>the CDC</w:t>
      </w:r>
      <w:r w:rsidR="0044353F">
        <w:rPr>
          <w:rFonts w:cs="ITCFranklinGothicStd-Book"/>
          <w:sz w:val="24"/>
          <w:szCs w:val="24"/>
        </w:rPr>
        <w:t>.</w:t>
      </w:r>
    </w:p>
    <w:p w:rsidR="00B45002" w:rsidRPr="00E707C0" w:rsidP="008D0F27" w14:paraId="6759D52E" w14:textId="77777777">
      <w:pPr>
        <w:pStyle w:val="Heading1"/>
        <w:pBdr>
          <w:bottom w:val="none" w:sz="0" w:space="0" w:color="auto"/>
        </w:pBdr>
        <w:rPr>
          <w:rFonts w:ascii="Cambria" w:hAnsi="Cambria"/>
          <w:color w:val="auto"/>
        </w:rPr>
      </w:pPr>
      <w:bookmarkStart w:id="3" w:name="_Toc120889855"/>
      <w:r w:rsidRPr="00E707C0">
        <w:rPr>
          <w:rFonts w:ascii="Cambria" w:hAnsi="Cambria"/>
          <w:color w:val="auto"/>
        </w:rPr>
        <w:t>B.</w:t>
      </w:r>
      <w:r w:rsidRPr="00E707C0">
        <w:rPr>
          <w:rFonts w:ascii="Cambria" w:hAnsi="Cambria"/>
          <w:color w:val="auto"/>
        </w:rPr>
        <w:t>2.</w:t>
      </w:r>
      <w:r w:rsidRPr="00E707C0">
        <w:rPr>
          <w:rFonts w:ascii="Cambria" w:hAnsi="Cambria"/>
          <w:color w:val="auto"/>
        </w:rPr>
        <w:tab/>
        <w:t>Procedures for the Collection of Information</w:t>
      </w:r>
      <w:bookmarkEnd w:id="3"/>
    </w:p>
    <w:p w:rsidR="00EA6E06" w:rsidRPr="00E707C0" w:rsidP="00EA6E06" w14:paraId="4444A623" w14:textId="77777777"/>
    <w:p w:rsidR="00ED2DE9" w:rsidP="00ED2DE9" w14:paraId="47D5DDD6" w14:textId="5C780DCC">
      <w:pPr>
        <w:autoSpaceDE w:val="0"/>
        <w:autoSpaceDN w:val="0"/>
        <w:adjustRightInd w:val="0"/>
        <w:spacing w:line="240" w:lineRule="auto"/>
        <w:rPr>
          <w:rFonts w:cs="ITCFranklinGothicStd-Book"/>
          <w:sz w:val="24"/>
          <w:szCs w:val="24"/>
        </w:rPr>
      </w:pPr>
      <w:r w:rsidRPr="0049456C">
        <w:rPr>
          <w:sz w:val="24"/>
        </w:rPr>
        <w:t xml:space="preserve">Information collection will be performed on the TOM </w:t>
      </w:r>
      <w:r w:rsidR="00A8321E">
        <w:rPr>
          <w:sz w:val="24"/>
        </w:rPr>
        <w:t>K</w:t>
      </w:r>
      <w:r w:rsidRPr="0049456C">
        <w:rPr>
          <w:sz w:val="24"/>
        </w:rPr>
        <w:t>its</w:t>
      </w:r>
      <w:r w:rsidR="009B49A9">
        <w:rPr>
          <w:sz w:val="24"/>
        </w:rPr>
        <w:t>*</w:t>
      </w:r>
      <w:r w:rsidRPr="0049456C">
        <w:rPr>
          <w:sz w:val="24"/>
        </w:rPr>
        <w:t xml:space="preserve"> manufacturer</w:t>
      </w:r>
      <w:r w:rsidR="00D05F98">
        <w:rPr>
          <w:sz w:val="24"/>
        </w:rPr>
        <w:t>’</w:t>
      </w:r>
      <w:r w:rsidR="00A8321E">
        <w:rPr>
          <w:sz w:val="24"/>
        </w:rPr>
        <w:t>s</w:t>
      </w:r>
      <w:r w:rsidRPr="0049456C">
        <w:rPr>
          <w:sz w:val="24"/>
        </w:rPr>
        <w:t xml:space="preserve"> website (</w:t>
      </w:r>
      <w:r w:rsidRPr="0049456C">
        <w:rPr>
          <w:b/>
          <w:sz w:val="24"/>
        </w:rPr>
        <w:t>Attachment</w:t>
      </w:r>
      <w:r w:rsidR="00924603">
        <w:rPr>
          <w:b/>
          <w:sz w:val="24"/>
        </w:rPr>
        <w:t>s 3</w:t>
      </w:r>
      <w:r w:rsidR="006C4AB5">
        <w:rPr>
          <w:b/>
          <w:sz w:val="24"/>
        </w:rPr>
        <w:t>, 5a,</w:t>
      </w:r>
      <w:r w:rsidR="009B49A9">
        <w:rPr>
          <w:b/>
          <w:sz w:val="24"/>
        </w:rPr>
        <w:t xml:space="preserve"> and </w:t>
      </w:r>
      <w:r w:rsidR="006C4AB5">
        <w:rPr>
          <w:b/>
          <w:sz w:val="24"/>
        </w:rPr>
        <w:t>5b</w:t>
      </w:r>
      <w:r w:rsidRPr="0049456C">
        <w:rPr>
          <w:sz w:val="24"/>
        </w:rPr>
        <w:t xml:space="preserve">).  </w:t>
      </w:r>
      <w:r w:rsidRPr="002A54D9">
        <w:rPr>
          <w:rFonts w:cs="ITCFranklinGothicStd-Book"/>
          <w:sz w:val="24"/>
          <w:szCs w:val="24"/>
        </w:rPr>
        <w:t xml:space="preserve">To receive TOM </w:t>
      </w:r>
      <w:r>
        <w:rPr>
          <w:rFonts w:cs="ITCFranklinGothicStd-Book"/>
          <w:sz w:val="24"/>
          <w:szCs w:val="24"/>
        </w:rPr>
        <w:t>K</w:t>
      </w:r>
      <w:r w:rsidRPr="002A54D9">
        <w:rPr>
          <w:rFonts w:cs="ITCFranklinGothicStd-Book"/>
          <w:sz w:val="24"/>
          <w:szCs w:val="24"/>
        </w:rPr>
        <w:t>it</w:t>
      </w:r>
      <w:r>
        <w:rPr>
          <w:rFonts w:cs="ITCFranklinGothicStd-Book"/>
          <w:sz w:val="24"/>
          <w:szCs w:val="24"/>
        </w:rPr>
        <w:t>s*</w:t>
      </w:r>
      <w:r w:rsidRPr="002A54D9">
        <w:rPr>
          <w:rFonts w:cs="ITCFranklinGothicStd-Book"/>
          <w:sz w:val="24"/>
          <w:szCs w:val="24"/>
        </w:rPr>
        <w:t xml:space="preserve">, the requestor must provide answers to the </w:t>
      </w:r>
      <w:r>
        <w:rPr>
          <w:rFonts w:cs="ITCFranklinGothicStd-Book"/>
          <w:sz w:val="24"/>
          <w:szCs w:val="24"/>
        </w:rPr>
        <w:t>vendor survey (</w:t>
      </w:r>
      <w:r>
        <w:rPr>
          <w:rFonts w:cs="ITCFranklinGothicStd-Book"/>
          <w:b/>
          <w:sz w:val="24"/>
          <w:szCs w:val="24"/>
        </w:rPr>
        <w:t>Attachments 5a or 5b</w:t>
      </w:r>
      <w:r>
        <w:rPr>
          <w:rFonts w:cs="ITCFranklinGothicStd-Book"/>
          <w:sz w:val="24"/>
          <w:szCs w:val="24"/>
        </w:rPr>
        <w:t>)</w:t>
      </w:r>
      <w:r w:rsidRPr="002A54D9">
        <w:rPr>
          <w:rFonts w:cs="ITCFranklinGothicStd-Book"/>
          <w:sz w:val="24"/>
          <w:szCs w:val="24"/>
        </w:rPr>
        <w:t xml:space="preserve">.  Questions on the </w:t>
      </w:r>
      <w:r>
        <w:rPr>
          <w:rFonts w:cs="ITCFranklinGothicStd-Book"/>
          <w:sz w:val="24"/>
          <w:szCs w:val="24"/>
        </w:rPr>
        <w:t>survey</w:t>
      </w:r>
      <w:r w:rsidRPr="002A54D9">
        <w:rPr>
          <w:rFonts w:cs="ITCFranklinGothicStd-Book"/>
          <w:sz w:val="24"/>
          <w:szCs w:val="24"/>
        </w:rPr>
        <w:t xml:space="preserve"> involve the volume of samples processed by the requesting lab and other questions involv</w:t>
      </w:r>
      <w:r>
        <w:rPr>
          <w:rFonts w:cs="ITCFranklinGothicStd-Book"/>
          <w:sz w:val="24"/>
          <w:szCs w:val="24"/>
        </w:rPr>
        <w:t>ing</w:t>
      </w:r>
      <w:r w:rsidRPr="002A54D9">
        <w:rPr>
          <w:rFonts w:cs="ITCFranklinGothicStd-Book"/>
          <w:sz w:val="24"/>
          <w:szCs w:val="24"/>
        </w:rPr>
        <w:t xml:space="preserve"> how many lab samples, including those provided by the TOM </w:t>
      </w:r>
      <w:r>
        <w:rPr>
          <w:rFonts w:cs="ITCFranklinGothicStd-Book"/>
          <w:sz w:val="24"/>
          <w:szCs w:val="24"/>
        </w:rPr>
        <w:t>Kit*</w:t>
      </w:r>
      <w:r w:rsidRPr="002A54D9">
        <w:rPr>
          <w:rFonts w:cs="ITCFranklinGothicStd-Book"/>
          <w:sz w:val="24"/>
          <w:szCs w:val="24"/>
        </w:rPr>
        <w:t xml:space="preserve">, will be prepared and analyzed.  The attributes of the lab and the analysis method of the TOM </w:t>
      </w:r>
      <w:r>
        <w:rPr>
          <w:rFonts w:cs="ITCFranklinGothicStd-Book"/>
          <w:sz w:val="24"/>
          <w:szCs w:val="24"/>
        </w:rPr>
        <w:t>Kits*</w:t>
      </w:r>
      <w:r w:rsidRPr="002A54D9">
        <w:rPr>
          <w:rFonts w:cs="ITCFranklinGothicStd-Book"/>
          <w:sz w:val="24"/>
          <w:szCs w:val="24"/>
        </w:rPr>
        <w:t xml:space="preserve"> may change</w:t>
      </w:r>
      <w:r>
        <w:rPr>
          <w:rFonts w:cs="ITCFranklinGothicStd-Book"/>
          <w:sz w:val="24"/>
          <w:szCs w:val="24"/>
        </w:rPr>
        <w:t>;</w:t>
      </w:r>
      <w:r w:rsidRPr="002A54D9">
        <w:rPr>
          <w:rFonts w:cs="ITCFranklinGothicStd-Book"/>
          <w:sz w:val="24"/>
          <w:szCs w:val="24"/>
        </w:rPr>
        <w:t xml:space="preserve"> therefore, future requests will require filling the </w:t>
      </w:r>
      <w:r>
        <w:rPr>
          <w:rFonts w:cs="ITCFranklinGothicStd-Book"/>
          <w:sz w:val="24"/>
          <w:szCs w:val="24"/>
        </w:rPr>
        <w:t>survey</w:t>
      </w:r>
      <w:r w:rsidRPr="002A54D9">
        <w:rPr>
          <w:rFonts w:cs="ITCFranklinGothicStd-Book"/>
          <w:sz w:val="24"/>
          <w:szCs w:val="24"/>
        </w:rPr>
        <w:t xml:space="preserve"> out again to </w:t>
      </w:r>
      <w:r>
        <w:rPr>
          <w:rFonts w:cs="ITCFranklinGothicStd-Book"/>
          <w:sz w:val="24"/>
          <w:szCs w:val="24"/>
        </w:rPr>
        <w:t>e</w:t>
      </w:r>
      <w:r w:rsidRPr="002A54D9">
        <w:rPr>
          <w:rFonts w:cs="ITCFranklinGothicStd-Book"/>
          <w:sz w:val="24"/>
          <w:szCs w:val="24"/>
        </w:rPr>
        <w:t>nsure the most up-to-date information</w:t>
      </w:r>
      <w:r>
        <w:rPr>
          <w:rFonts w:cs="ITCFranklinGothicStd-Book"/>
          <w:sz w:val="24"/>
          <w:szCs w:val="24"/>
        </w:rPr>
        <w:t xml:space="preserve"> is used to prioritize kit distribution</w:t>
      </w:r>
      <w:r w:rsidRPr="002A54D9">
        <w:rPr>
          <w:rFonts w:cs="ITCFranklinGothicStd-Book"/>
          <w:sz w:val="24"/>
          <w:szCs w:val="24"/>
        </w:rPr>
        <w:t>.</w:t>
      </w:r>
    </w:p>
    <w:p w:rsidR="008F3EB6" w:rsidRPr="009906BA" w:rsidP="008F3EB6" w14:paraId="3B477C08" w14:textId="72AC38B3">
      <w:pPr>
        <w:rPr>
          <w:sz w:val="24"/>
        </w:rPr>
      </w:pPr>
      <w:r w:rsidRPr="0049456C">
        <w:rPr>
          <w:sz w:val="24"/>
        </w:rPr>
        <w:t xml:space="preserve">This information collection form is 100% electronic.  There is no special software that will be </w:t>
      </w:r>
      <w:r w:rsidRPr="0049456C">
        <w:rPr>
          <w:sz w:val="24"/>
        </w:rPr>
        <w:t>used</w:t>
      </w:r>
      <w:r w:rsidRPr="0049456C">
        <w:rPr>
          <w:sz w:val="24"/>
        </w:rPr>
        <w:t xml:space="preserve"> and the </w:t>
      </w:r>
      <w:r w:rsidR="00A8321E">
        <w:rPr>
          <w:sz w:val="24"/>
        </w:rPr>
        <w:t>survey</w:t>
      </w:r>
      <w:r w:rsidRPr="0049456C">
        <w:rPr>
          <w:sz w:val="24"/>
        </w:rPr>
        <w:t xml:space="preserve"> uses common internet interfaces to fill out, thereby minimizing any training time and cost to fill out the form.  Upon completion, a submission button is used to submit electronically and instantaneously.  </w:t>
      </w:r>
    </w:p>
    <w:p w:rsidR="00B45002" w:rsidRPr="00E707C0" w:rsidP="008D0F27" w14:paraId="7C5431E7" w14:textId="7C3E2455">
      <w:pPr>
        <w:pStyle w:val="Heading1"/>
        <w:pBdr>
          <w:bottom w:val="none" w:sz="0" w:space="0" w:color="auto"/>
        </w:pBdr>
        <w:rPr>
          <w:rFonts w:ascii="Cambria" w:hAnsi="Cambria"/>
          <w:color w:val="auto"/>
        </w:rPr>
      </w:pPr>
      <w:bookmarkStart w:id="4" w:name="_Toc120889856"/>
      <w:r w:rsidRPr="00E707C0">
        <w:rPr>
          <w:rFonts w:ascii="Cambria" w:hAnsi="Cambria"/>
          <w:color w:val="auto"/>
        </w:rPr>
        <w:t>B.</w:t>
      </w:r>
      <w:r w:rsidRPr="00E707C0">
        <w:rPr>
          <w:rFonts w:ascii="Cambria" w:hAnsi="Cambria"/>
          <w:color w:val="auto"/>
        </w:rPr>
        <w:t>3.</w:t>
      </w:r>
      <w:r w:rsidRPr="00E707C0">
        <w:rPr>
          <w:rFonts w:ascii="Cambria" w:hAnsi="Cambria"/>
          <w:color w:val="auto"/>
        </w:rPr>
        <w:tab/>
        <w:t>Methods to Maximize Response Rates and Deal with No</w:t>
      </w:r>
      <w:r w:rsidRPr="00E707C0" w:rsidR="00E2405B">
        <w:rPr>
          <w:rFonts w:ascii="Cambria" w:hAnsi="Cambria"/>
          <w:color w:val="auto"/>
        </w:rPr>
        <w:t xml:space="preserve"> R</w:t>
      </w:r>
      <w:r w:rsidRPr="00E707C0">
        <w:rPr>
          <w:rFonts w:ascii="Cambria" w:hAnsi="Cambria"/>
          <w:color w:val="auto"/>
        </w:rPr>
        <w:t>esponse</w:t>
      </w:r>
      <w:bookmarkEnd w:id="4"/>
    </w:p>
    <w:p w:rsidR="00D0744A" w:rsidRPr="00E707C0" w:rsidP="00E632AF" w14:paraId="35480865" w14:textId="77777777">
      <w:pPr>
        <w:spacing w:line="240" w:lineRule="auto"/>
        <w:rPr>
          <w:sz w:val="24"/>
          <w:szCs w:val="24"/>
        </w:rPr>
      </w:pPr>
    </w:p>
    <w:p w:rsidR="00005D07" w:rsidP="001C121D" w14:paraId="70483C61" w14:textId="0A529AB5">
      <w:pPr>
        <w:autoSpaceDE w:val="0"/>
        <w:autoSpaceDN w:val="0"/>
        <w:adjustRightInd w:val="0"/>
        <w:spacing w:line="240" w:lineRule="auto"/>
        <w:rPr>
          <w:sz w:val="24"/>
        </w:rPr>
      </w:pPr>
      <w:r w:rsidRPr="0049456C">
        <w:rPr>
          <w:sz w:val="24"/>
        </w:rPr>
        <w:t>To receive a</w:t>
      </w:r>
      <w:r w:rsidR="00311D51">
        <w:rPr>
          <w:sz w:val="24"/>
        </w:rPr>
        <w:t>ny</w:t>
      </w:r>
      <w:r w:rsidRPr="0049456C">
        <w:rPr>
          <w:sz w:val="24"/>
        </w:rPr>
        <w:t xml:space="preserve"> TOM </w:t>
      </w:r>
      <w:r w:rsidR="00D9577D">
        <w:rPr>
          <w:sz w:val="24"/>
        </w:rPr>
        <w:t>Kit</w:t>
      </w:r>
      <w:r w:rsidR="009B49A9">
        <w:rPr>
          <w:sz w:val="24"/>
        </w:rPr>
        <w:t>*</w:t>
      </w:r>
      <w:r w:rsidR="00ED2DE9">
        <w:rPr>
          <w:sz w:val="24"/>
        </w:rPr>
        <w:t xml:space="preserve"> or EDP Kit</w:t>
      </w:r>
      <w:r w:rsidRPr="0049456C">
        <w:rPr>
          <w:sz w:val="24"/>
        </w:rPr>
        <w:t xml:space="preserve">, the requestor must provide answers to the </w:t>
      </w:r>
      <w:r w:rsidR="00A8321E">
        <w:rPr>
          <w:sz w:val="24"/>
        </w:rPr>
        <w:t>survey</w:t>
      </w:r>
      <w:r w:rsidRPr="0049456C">
        <w:rPr>
          <w:sz w:val="24"/>
        </w:rPr>
        <w:t xml:space="preserve">.  </w:t>
      </w:r>
      <w:r>
        <w:rPr>
          <w:sz w:val="24"/>
        </w:rPr>
        <w:t>Therefore, response rates will be 100</w:t>
      </w:r>
      <w:r w:rsidR="00D9577D">
        <w:rPr>
          <w:sz w:val="24"/>
        </w:rPr>
        <w:t xml:space="preserve"> percent</w:t>
      </w:r>
      <w:r>
        <w:rPr>
          <w:sz w:val="24"/>
        </w:rPr>
        <w:t>.</w:t>
      </w:r>
    </w:p>
    <w:p w:rsidR="004811E4" w:rsidRPr="004811E4" w:rsidP="00D149D0" w14:paraId="2DF59C0F" w14:textId="77777777">
      <w:pPr>
        <w:ind w:firstLine="720"/>
        <w:rPr>
          <w:sz w:val="24"/>
        </w:rPr>
      </w:pPr>
    </w:p>
    <w:p w:rsidR="00B45002" w:rsidRPr="00E707C0" w:rsidP="008D0F27" w14:paraId="450B7636" w14:textId="77777777">
      <w:pPr>
        <w:pStyle w:val="Heading1"/>
        <w:pBdr>
          <w:bottom w:val="none" w:sz="0" w:space="0" w:color="auto"/>
        </w:pBdr>
        <w:rPr>
          <w:rFonts w:ascii="Cambria" w:hAnsi="Cambria"/>
          <w:color w:val="auto"/>
        </w:rPr>
      </w:pPr>
      <w:bookmarkStart w:id="5" w:name="_Toc120889857"/>
      <w:r w:rsidRPr="00E707C0">
        <w:rPr>
          <w:rFonts w:ascii="Cambria" w:hAnsi="Cambria"/>
          <w:color w:val="auto"/>
        </w:rPr>
        <w:t>B.</w:t>
      </w:r>
      <w:r w:rsidRPr="00E707C0">
        <w:rPr>
          <w:rFonts w:ascii="Cambria" w:hAnsi="Cambria"/>
          <w:color w:val="auto"/>
        </w:rPr>
        <w:t>4.</w:t>
      </w:r>
      <w:r w:rsidRPr="00E707C0">
        <w:rPr>
          <w:rFonts w:ascii="Cambria" w:hAnsi="Cambria"/>
          <w:color w:val="auto"/>
        </w:rPr>
        <w:tab/>
        <w:t>Test of Procedures or Methods to be Undertaken</w:t>
      </w:r>
      <w:bookmarkEnd w:id="5"/>
    </w:p>
    <w:p w:rsidR="00BD2639" w:rsidRPr="00E707C0" w:rsidP="001C121D" w14:paraId="64B9CC57" w14:textId="77777777">
      <w:pPr>
        <w:spacing w:line="240" w:lineRule="auto"/>
      </w:pPr>
    </w:p>
    <w:p w:rsidR="00BC4E0A" w:rsidRPr="00451AB8" w:rsidP="00451AB8" w14:paraId="7290EFC9" w14:textId="5C636CCC">
      <w:pPr>
        <w:spacing w:line="276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In 2019</w:t>
      </w:r>
      <w:r w:rsidRPr="00EC31D7">
        <w:rPr>
          <w:rFonts w:cstheme="minorHAnsi"/>
          <w:sz w:val="24"/>
          <w:szCs w:val="24"/>
        </w:rPr>
        <w:t>, the CDC conducted an emergency information collection, titled “Distribution of Traceable Opioid Material</w:t>
      </w:r>
      <w:r w:rsidR="009B49A9">
        <w:rPr>
          <w:rFonts w:cstheme="minorHAnsi"/>
          <w:sz w:val="24"/>
          <w:szCs w:val="24"/>
        </w:rPr>
        <w:t>* Kits</w:t>
      </w:r>
      <w:r w:rsidRPr="00EC31D7">
        <w:rPr>
          <w:rFonts w:cstheme="minorHAnsi"/>
          <w:sz w:val="24"/>
          <w:szCs w:val="24"/>
        </w:rPr>
        <w:t xml:space="preserve"> (TOM Kits</w:t>
      </w:r>
      <w:r w:rsidR="009B49A9">
        <w:rPr>
          <w:rFonts w:cstheme="minorHAnsi"/>
          <w:sz w:val="24"/>
          <w:szCs w:val="24"/>
        </w:rPr>
        <w:t>*)</w:t>
      </w:r>
      <w:r w:rsidRPr="00EC31D7">
        <w:rPr>
          <w:rFonts w:cstheme="minorHAnsi"/>
          <w:sz w:val="24"/>
          <w:szCs w:val="24"/>
        </w:rPr>
        <w:t xml:space="preserve"> across U.S. Laboratories,” under the Health and Human Services (HHS) Secretary’s </w:t>
      </w:r>
      <w:r>
        <w:rPr>
          <w:rFonts w:cstheme="minorHAnsi"/>
          <w:sz w:val="24"/>
          <w:szCs w:val="24"/>
        </w:rPr>
        <w:t>P</w:t>
      </w:r>
      <w:r w:rsidRPr="00EC31D7">
        <w:rPr>
          <w:rFonts w:cstheme="minorHAnsi"/>
          <w:sz w:val="24"/>
          <w:szCs w:val="24"/>
        </w:rPr>
        <w:t xml:space="preserve">ublic </w:t>
      </w:r>
      <w:r>
        <w:rPr>
          <w:rFonts w:cstheme="minorHAnsi"/>
          <w:sz w:val="24"/>
          <w:szCs w:val="24"/>
        </w:rPr>
        <w:t>H</w:t>
      </w:r>
      <w:r w:rsidRPr="00EC31D7">
        <w:rPr>
          <w:rFonts w:cstheme="minorHAnsi"/>
          <w:sz w:val="24"/>
          <w:szCs w:val="24"/>
        </w:rPr>
        <w:t xml:space="preserve">ealth </w:t>
      </w:r>
      <w:r>
        <w:rPr>
          <w:rFonts w:cstheme="minorHAnsi"/>
          <w:sz w:val="24"/>
          <w:szCs w:val="24"/>
        </w:rPr>
        <w:t>E</w:t>
      </w:r>
      <w:r w:rsidRPr="00EC31D7">
        <w:rPr>
          <w:rFonts w:cstheme="minorHAnsi"/>
          <w:sz w:val="24"/>
          <w:szCs w:val="24"/>
        </w:rPr>
        <w:t xml:space="preserve">mergency Paperwork Reduction Act (PHE PRA) </w:t>
      </w:r>
      <w:r>
        <w:rPr>
          <w:rFonts w:cstheme="minorHAnsi"/>
          <w:sz w:val="24"/>
          <w:szCs w:val="24"/>
        </w:rPr>
        <w:t>W</w:t>
      </w:r>
      <w:r w:rsidRPr="00EC31D7">
        <w:rPr>
          <w:rFonts w:cstheme="minorHAnsi"/>
          <w:sz w:val="24"/>
          <w:szCs w:val="24"/>
        </w:rPr>
        <w:t>aiver mechanism for the period from 03/20/2019 to 05/10/2019</w:t>
      </w:r>
      <w:r>
        <w:rPr>
          <w:rFonts w:cstheme="minorHAnsi"/>
          <w:sz w:val="24"/>
          <w:szCs w:val="24"/>
        </w:rPr>
        <w:t xml:space="preserve"> (</w:t>
      </w:r>
      <w:r w:rsidRPr="00EC31D7">
        <w:rPr>
          <w:rFonts w:cstheme="minorHAnsi"/>
          <w:b/>
          <w:sz w:val="24"/>
          <w:szCs w:val="24"/>
        </w:rPr>
        <w:t xml:space="preserve">Attachment </w:t>
      </w:r>
      <w:r>
        <w:rPr>
          <w:rFonts w:cstheme="minorHAnsi"/>
          <w:b/>
          <w:sz w:val="24"/>
          <w:szCs w:val="24"/>
        </w:rPr>
        <w:t>4</w:t>
      </w:r>
      <w:r w:rsidR="006C4AB5">
        <w:rPr>
          <w:rFonts w:cstheme="minorHAnsi"/>
          <w:b/>
          <w:sz w:val="24"/>
          <w:szCs w:val="24"/>
        </w:rPr>
        <w:t>a</w:t>
      </w:r>
      <w:r>
        <w:rPr>
          <w:rFonts w:cstheme="minorHAnsi"/>
          <w:sz w:val="24"/>
          <w:szCs w:val="24"/>
        </w:rPr>
        <w:t>)</w:t>
      </w:r>
      <w:r w:rsidRPr="00EC31D7">
        <w:rPr>
          <w:rFonts w:cstheme="minorHAnsi"/>
          <w:sz w:val="24"/>
          <w:szCs w:val="24"/>
        </w:rPr>
        <w:t>. From 05/10/2019, CDC continued distributing kits using a generic information collection (</w:t>
      </w:r>
      <w:r w:rsidRPr="00EC31D7">
        <w:rPr>
          <w:rFonts w:cstheme="minorHAnsi"/>
          <w:sz w:val="24"/>
          <w:szCs w:val="24"/>
        </w:rPr>
        <w:t>GenIC</w:t>
      </w:r>
      <w:r w:rsidRPr="00EC31D7">
        <w:rPr>
          <w:rFonts w:cstheme="minorHAnsi"/>
          <w:sz w:val="24"/>
          <w:szCs w:val="24"/>
        </w:rPr>
        <w:t>) under “Generic Clearance for the Collection of Qualitative Feedback on Agency Service Delivery” (OMB Control No. 0923-0047; expiration date 01/31/2022)</w:t>
      </w:r>
      <w:r>
        <w:rPr>
          <w:rFonts w:cstheme="minorHAnsi"/>
          <w:sz w:val="24"/>
          <w:szCs w:val="24"/>
        </w:rPr>
        <w:t xml:space="preserve"> (</w:t>
      </w:r>
      <w:r w:rsidRPr="00EC31D7">
        <w:rPr>
          <w:rFonts w:cstheme="minorHAnsi"/>
          <w:b/>
          <w:sz w:val="24"/>
          <w:szCs w:val="24"/>
        </w:rPr>
        <w:t xml:space="preserve">Attachment </w:t>
      </w:r>
      <w:r w:rsidR="006C4AB5">
        <w:rPr>
          <w:rFonts w:cstheme="minorHAnsi"/>
          <w:b/>
          <w:sz w:val="24"/>
          <w:szCs w:val="24"/>
        </w:rPr>
        <w:t>4b</w:t>
      </w:r>
      <w:r>
        <w:rPr>
          <w:rFonts w:cstheme="minorHAnsi"/>
          <w:sz w:val="24"/>
          <w:szCs w:val="24"/>
        </w:rPr>
        <w:t>)</w:t>
      </w:r>
      <w:r w:rsidRPr="00EC31D7">
        <w:rPr>
          <w:rFonts w:cstheme="minorHAnsi"/>
          <w:sz w:val="24"/>
          <w:szCs w:val="24"/>
        </w:rPr>
        <w:t>.</w:t>
      </w:r>
      <w:r w:rsidR="00D05F98">
        <w:rPr>
          <w:rFonts w:cstheme="minorHAnsi"/>
          <w:sz w:val="24"/>
          <w:szCs w:val="24"/>
        </w:rPr>
        <w:t xml:space="preserve"> </w:t>
      </w:r>
      <w:r w:rsidRPr="006816DA" w:rsidR="00D05F98">
        <w:rPr>
          <w:rFonts w:cstheme="minorHAnsi"/>
          <w:sz w:val="24"/>
          <w:szCs w:val="24"/>
        </w:rPr>
        <w:t>CDC next requested and received Paperwork Reduction Act (PRA) clearance in 2020 under “Distribution of Traceable Opioid Material* Kits (TOM Kits*) across U.S. Laboratories” (OMB Control No. 0920-1313, expiration date 12/31/</w:t>
      </w:r>
      <w:r w:rsidRPr="006816DA" w:rsidR="00D05F98">
        <w:rPr>
          <w:rFonts w:cstheme="minorHAnsi"/>
          <w:sz w:val="24"/>
          <w:szCs w:val="24"/>
        </w:rPr>
        <w:t>2022)</w:t>
      </w:r>
      <w:r w:rsidR="00D05F98">
        <w:rPr>
          <w:rFonts w:cstheme="minorHAnsi"/>
          <w:sz w:val="24"/>
          <w:szCs w:val="24"/>
        </w:rPr>
        <w:t>(</w:t>
      </w:r>
      <w:r w:rsidR="00D05F98">
        <w:rPr>
          <w:rFonts w:cstheme="minorHAnsi"/>
          <w:b/>
          <w:bCs/>
          <w:sz w:val="24"/>
          <w:szCs w:val="24"/>
        </w:rPr>
        <w:t xml:space="preserve">Attachment </w:t>
      </w:r>
      <w:r w:rsidR="006C4AB5">
        <w:rPr>
          <w:rFonts w:cstheme="minorHAnsi"/>
          <w:b/>
          <w:bCs/>
          <w:sz w:val="24"/>
          <w:szCs w:val="24"/>
        </w:rPr>
        <w:t>4c</w:t>
      </w:r>
      <w:r w:rsidR="00D05F98">
        <w:rPr>
          <w:rFonts w:cstheme="minorHAnsi"/>
          <w:sz w:val="24"/>
          <w:szCs w:val="24"/>
        </w:rPr>
        <w:t>)</w:t>
      </w:r>
      <w:r w:rsidRPr="006816DA" w:rsidR="00D05F98">
        <w:rPr>
          <w:rFonts w:cstheme="minorHAnsi"/>
          <w:sz w:val="24"/>
          <w:szCs w:val="24"/>
        </w:rPr>
        <w:t>.</w:t>
      </w:r>
      <w:r w:rsidR="009513FC">
        <w:rPr>
          <w:rFonts w:cstheme="minorHAnsi"/>
          <w:sz w:val="24"/>
          <w:szCs w:val="24"/>
        </w:rPr>
        <w:t xml:space="preserve"> </w:t>
      </w:r>
      <w:r w:rsidRPr="72BE33F1" w:rsidR="009513FC">
        <w:rPr>
          <w:sz w:val="24"/>
          <w:szCs w:val="24"/>
        </w:rPr>
        <w:t>The last PRA clearance was received in 2023 (expiration date 3/31/2026) (</w:t>
      </w:r>
      <w:r w:rsidRPr="72BE33F1" w:rsidR="009513FC">
        <w:rPr>
          <w:b/>
          <w:bCs/>
          <w:sz w:val="24"/>
          <w:szCs w:val="24"/>
        </w:rPr>
        <w:t>Attachment 4d</w:t>
      </w:r>
      <w:r w:rsidRPr="72BE33F1" w:rsidR="009513FC">
        <w:rPr>
          <w:sz w:val="24"/>
          <w:szCs w:val="24"/>
        </w:rPr>
        <w:t>) and was revised later in 2023 (</w:t>
      </w:r>
      <w:r w:rsidRPr="72BE33F1" w:rsidR="009513FC">
        <w:rPr>
          <w:b/>
          <w:bCs/>
          <w:sz w:val="24"/>
          <w:szCs w:val="24"/>
        </w:rPr>
        <w:t>Attachment 4e</w:t>
      </w:r>
      <w:r w:rsidRPr="72BE33F1" w:rsidR="009513FC">
        <w:rPr>
          <w:sz w:val="24"/>
          <w:szCs w:val="24"/>
        </w:rPr>
        <w:t>) to reflect a non-substantive change to question 1 of the survey and in 2024 to reflect availability of new TOM Kits* (</w:t>
      </w:r>
      <w:r w:rsidRPr="72BE33F1" w:rsidR="009513FC">
        <w:rPr>
          <w:b/>
          <w:bCs/>
          <w:sz w:val="24"/>
          <w:szCs w:val="24"/>
        </w:rPr>
        <w:t>Attachment 4f</w:t>
      </w:r>
      <w:r w:rsidRPr="72BE33F1" w:rsidR="009513FC">
        <w:rPr>
          <w:sz w:val="24"/>
          <w:szCs w:val="24"/>
        </w:rPr>
        <w:t>).</w:t>
      </w:r>
    </w:p>
    <w:p w:rsidR="00DC57CC" w:rsidRPr="00E707C0" w:rsidP="008D0F27" w14:paraId="63C2C2DE" w14:textId="77777777">
      <w:pPr>
        <w:pStyle w:val="Heading1"/>
        <w:pBdr>
          <w:bottom w:val="none" w:sz="0" w:space="0" w:color="auto"/>
        </w:pBdr>
        <w:rPr>
          <w:rFonts w:ascii="Cambria" w:hAnsi="Cambria"/>
          <w:color w:val="auto"/>
        </w:rPr>
      </w:pPr>
      <w:bookmarkStart w:id="6" w:name="_Toc120889858"/>
      <w:r w:rsidRPr="00E707C0">
        <w:rPr>
          <w:rFonts w:ascii="Cambria" w:hAnsi="Cambria"/>
          <w:color w:val="auto"/>
        </w:rPr>
        <w:t>B.</w:t>
      </w:r>
      <w:r w:rsidRPr="00E707C0" w:rsidR="00B45002">
        <w:rPr>
          <w:rFonts w:ascii="Cambria" w:hAnsi="Cambria"/>
          <w:color w:val="auto"/>
        </w:rPr>
        <w:t>5.</w:t>
      </w:r>
      <w:r w:rsidRPr="00E707C0" w:rsidR="00B45002">
        <w:rPr>
          <w:rFonts w:ascii="Cambria" w:hAnsi="Cambria"/>
          <w:color w:val="auto"/>
        </w:rPr>
        <w:tab/>
        <w:t>Individuals Consulted on Statistical Aspects and Individuals Collecting and/or Analyzing Data</w:t>
      </w:r>
      <w:bookmarkEnd w:id="6"/>
    </w:p>
    <w:p w:rsidR="00984634" w:rsidRPr="00E707C0" w:rsidP="00984634" w14:paraId="10EA9D5F" w14:textId="77777777"/>
    <w:p w:rsidR="007F0E10" w:rsidP="00DB558D" w14:paraId="7838E58E" w14:textId="6AFC47F7">
      <w:pPr>
        <w:autoSpaceDE w:val="0"/>
        <w:autoSpaceDN w:val="0"/>
        <w:adjustRightInd w:val="0"/>
        <w:spacing w:line="240" w:lineRule="auto"/>
        <w:rPr>
          <w:rFonts w:cs="ITCFranklinGothicStd-Book"/>
          <w:sz w:val="24"/>
          <w:szCs w:val="24"/>
        </w:rPr>
      </w:pPr>
      <w:r w:rsidRPr="00DB558D">
        <w:rPr>
          <w:rFonts w:cs="ITCFranklinGothicStd-Book"/>
          <w:sz w:val="24"/>
          <w:szCs w:val="24"/>
        </w:rPr>
        <w:t xml:space="preserve">The individuals working on this information collection, including development, data collection, and data analysis are members of the CDC </w:t>
      </w:r>
      <w:r>
        <w:rPr>
          <w:rFonts w:cs="ITCFranklinGothicStd-Book"/>
          <w:sz w:val="24"/>
          <w:szCs w:val="24"/>
        </w:rPr>
        <w:t>Emergency Response Branch</w:t>
      </w:r>
      <w:r w:rsidRPr="00DB558D">
        <w:rPr>
          <w:rFonts w:cs="ITCFranklinGothicStd-Book"/>
          <w:sz w:val="24"/>
          <w:szCs w:val="24"/>
        </w:rPr>
        <w:t xml:space="preserve"> (in the CDC National Center for Environmental Health – Division of </w:t>
      </w:r>
      <w:r>
        <w:rPr>
          <w:rFonts w:cs="ITCFranklinGothicStd-Book"/>
          <w:sz w:val="24"/>
          <w:szCs w:val="24"/>
        </w:rPr>
        <w:t>Laboratory Sciences</w:t>
      </w:r>
      <w:r w:rsidRPr="00DB558D">
        <w:rPr>
          <w:rFonts w:cs="ITCFranklinGothicStd-Book"/>
          <w:sz w:val="24"/>
          <w:szCs w:val="24"/>
        </w:rPr>
        <w:t>).</w:t>
      </w:r>
    </w:p>
    <w:p w:rsidR="00DB558D" w:rsidRPr="00DB558D" w:rsidP="00DB558D" w14:paraId="5C607445" w14:textId="77777777">
      <w:pPr>
        <w:autoSpaceDE w:val="0"/>
        <w:autoSpaceDN w:val="0"/>
        <w:adjustRightInd w:val="0"/>
        <w:spacing w:line="240" w:lineRule="auto"/>
        <w:rPr>
          <w:rFonts w:cs="ITCFranklinGothicStd-Book"/>
          <w:sz w:val="24"/>
          <w:szCs w:val="24"/>
        </w:rPr>
      </w:pPr>
    </w:p>
    <w:p w:rsidR="007F0E10" w:rsidRPr="007F0E10" w:rsidP="007F0E10" w14:paraId="39CB6336" w14:textId="4CD946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F0E10">
        <w:rPr>
          <w:rFonts w:cstheme="minorHAnsi"/>
          <w:b/>
          <w:sz w:val="24"/>
          <w:szCs w:val="24"/>
        </w:rPr>
        <w:t xml:space="preserve">Table </w:t>
      </w:r>
      <w:r w:rsidR="00DB558D">
        <w:rPr>
          <w:rFonts w:cstheme="minorHAnsi"/>
          <w:b/>
          <w:sz w:val="24"/>
          <w:szCs w:val="24"/>
        </w:rPr>
        <w:t>1</w:t>
      </w:r>
      <w:r w:rsidRPr="007F0E10">
        <w:rPr>
          <w:rFonts w:cstheme="minorHAnsi"/>
          <w:b/>
          <w:sz w:val="24"/>
          <w:szCs w:val="24"/>
        </w:rPr>
        <w:t>.</w:t>
      </w:r>
      <w:r w:rsidRPr="007F0E10">
        <w:rPr>
          <w:rFonts w:cstheme="minorHAnsi"/>
          <w:sz w:val="24"/>
          <w:szCs w:val="24"/>
        </w:rPr>
        <w:t xml:space="preserve"> </w:t>
      </w:r>
      <w:r w:rsidR="00E410B4">
        <w:rPr>
          <w:rFonts w:cstheme="minorHAnsi"/>
          <w:sz w:val="24"/>
          <w:szCs w:val="24"/>
        </w:rPr>
        <w:t>Personnel Responsible for Collection and Analysis of Information</w:t>
      </w:r>
    </w:p>
    <w:p w:rsidR="007F0E10" w:rsidRPr="007F0E10" w:rsidP="007F0E10" w14:paraId="4AA9D460" w14:textId="7777777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990"/>
        <w:gridCol w:w="1440"/>
      </w:tblGrid>
      <w:tr w14:paraId="2DA5F27B" w14:textId="77777777" w:rsidTr="1BE3DD5F">
        <w:tblPrEx>
          <w:tblW w:w="50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F0E10" w:rsidRPr="00D20211" w:rsidP="00AE70E7" w14:paraId="704544D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D20211">
              <w:rPr>
                <w:rFonts w:cstheme="minorHAnsi"/>
                <w:b/>
              </w:rPr>
              <w:t>Name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F0E10" w:rsidRPr="00D20211" w:rsidP="00AE70E7" w14:paraId="2C6E970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D20211">
              <w:rPr>
                <w:rFonts w:cstheme="minorHAnsi"/>
                <w:b/>
              </w:rPr>
              <w:t>Title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F0E10" w:rsidRPr="00D20211" w:rsidP="00AE70E7" w14:paraId="29A5379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D20211">
              <w:rPr>
                <w:rFonts w:cstheme="minorHAnsi"/>
                <w:b/>
              </w:rPr>
              <w:t>Affiliation</w:t>
            </w:r>
          </w:p>
        </w:tc>
      </w:tr>
      <w:tr w14:paraId="0D65D007" w14:textId="77777777" w:rsidTr="1BE3DD5F">
        <w:tblPrEx>
          <w:tblW w:w="5040" w:type="dxa"/>
          <w:tblLook w:val="04A0"/>
        </w:tblPrEx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B558D" w:rsidRPr="00D20211" w:rsidP="00DB558D" w14:paraId="525429FB" w14:textId="02CD89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Rebekah Wharton, PhD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B558D" w:rsidRPr="00D20211" w:rsidP="00DB558D" w14:paraId="01DB5F19" w14:textId="7EADB0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Senior Service Fellow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B558D" w:rsidRPr="00D20211" w:rsidP="00DB558D" w14:paraId="57DBFE8C" w14:textId="571077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CDC</w:t>
            </w:r>
          </w:p>
        </w:tc>
      </w:tr>
    </w:tbl>
    <w:p w:rsidR="007F0E10" w:rsidRPr="00E410B4" w:rsidP="00E410B4" w14:paraId="7BDB047B" w14:textId="77777777">
      <w:pPr>
        <w:autoSpaceDE w:val="0"/>
        <w:autoSpaceDN w:val="0"/>
        <w:adjustRightInd w:val="0"/>
        <w:spacing w:line="240" w:lineRule="auto"/>
        <w:rPr>
          <w:rFonts w:cs="ITCFranklinGothicStd-Book"/>
          <w:sz w:val="24"/>
          <w:szCs w:val="24"/>
        </w:rPr>
      </w:pPr>
    </w:p>
    <w:p w:rsidR="00042FCE" w:rsidP="00991052" w14:paraId="3F2B4B44" w14:textId="0EA7B5DC">
      <w:pPr>
        <w:pStyle w:val="Heading1"/>
        <w:rPr>
          <w:rFonts w:ascii="Cambria" w:hAnsi="Cambria"/>
          <w:color w:val="auto"/>
        </w:rPr>
      </w:pPr>
      <w:bookmarkStart w:id="7" w:name="_Toc120889859"/>
      <w:r w:rsidRPr="00A32652">
        <w:rPr>
          <w:rFonts w:ascii="Cambria" w:hAnsi="Cambria"/>
          <w:color w:val="auto"/>
        </w:rPr>
        <w:t>References</w:t>
      </w:r>
      <w:bookmarkEnd w:id="7"/>
    </w:p>
    <w:p w:rsidR="00991052" w:rsidRPr="00A32652" w:rsidP="00991052" w14:paraId="52F86700" w14:textId="77777777"/>
    <w:p w:rsidR="00042FCE" w:rsidRPr="00A60D52" w:rsidP="00042FCE" w14:paraId="648C91D1" w14:textId="285DE56F">
      <w:pPr>
        <w:rPr>
          <w:sz w:val="24"/>
          <w:szCs w:val="24"/>
        </w:rPr>
      </w:pPr>
      <w:hyperlink r:id="rId11" w:history="1">
        <w:r w:rsidRPr="00C22BA1">
          <w:rPr>
            <w:rStyle w:val="Hyperlink"/>
          </w:rPr>
          <w:t>Emergent Drug Panel (EDP) Kits | CTTL | CDC</w:t>
        </w:r>
      </w:hyperlink>
    </w:p>
    <w:p w:rsidR="00042FCE" w:rsidRPr="00A60D52" w:rsidP="00042FCE" w14:paraId="76666ACC" w14:textId="77777777">
      <w:pPr>
        <w:rPr>
          <w:sz w:val="24"/>
          <w:szCs w:val="24"/>
        </w:rPr>
      </w:pPr>
      <w:hyperlink r:id="rId12" w:history="1">
        <w:r w:rsidRPr="00A60D52">
          <w:rPr>
            <w:rStyle w:val="Hyperlink"/>
            <w:sz w:val="24"/>
            <w:szCs w:val="24"/>
          </w:rPr>
          <w:t>https://www.caymanchem.com/forensics/faskit/?q=*%3A*</w:t>
        </w:r>
      </w:hyperlink>
    </w:p>
    <w:p w:rsidR="00984634" w:rsidRPr="00E707C0" w:rsidP="00984634" w14:paraId="14463714" w14:textId="77777777"/>
    <w:sectPr w:rsidSect="00D149D0">
      <w:footerReference w:type="defaul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49A9" w:rsidRPr="00E87AB9" w14:paraId="09FA85C5" w14:textId="49FA73B2">
    <w:pPr>
      <w:pStyle w:val="Footer"/>
      <w:rPr>
        <w:sz w:val="18"/>
        <w:szCs w:val="18"/>
      </w:rPr>
    </w:pPr>
    <w:bookmarkStart w:id="8" w:name="_Hlk120889502"/>
    <w:r w:rsidRPr="00E87AB9">
      <w:rPr>
        <w:sz w:val="18"/>
        <w:szCs w:val="18"/>
      </w:rPr>
      <w:t>*TRACEABLE OPIOID MATERIAL, TOM KITS, and the TOM KITS logo are marks of the U.S. Department of Health and Human Services</w:t>
    </w:r>
  </w:p>
  <w:bookmarkEnd w:id="8"/>
  <w:p w:rsidR="00AE70E7" w14:paraId="0859E56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E1AA2" w:rsidP="008B5D54" w14:paraId="00D20A12" w14:textId="77777777">
      <w:r>
        <w:separator/>
      </w:r>
    </w:p>
  </w:footnote>
  <w:footnote w:type="continuationSeparator" w:id="1">
    <w:p w:rsidR="005E1AA2" w:rsidP="008B5D54" w14:paraId="61F63714" w14:textId="77777777">
      <w:r>
        <w:continuationSeparator/>
      </w:r>
    </w:p>
  </w:footnote>
  <w:footnote w:id="2">
    <w:p w:rsidR="00ED2DE9" w:rsidP="00ED2DE9" w14:paraId="0E2350C2" w14:textId="2C7C4D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23C64" w:rsidR="00523C64">
          <w:rPr>
            <w:rStyle w:val="Hyperlink"/>
          </w:rPr>
          <w:t>Traceable Opioid Material Kits | CTTL | CDC</w:t>
        </w:r>
      </w:hyperlink>
    </w:p>
  </w:footnote>
  <w:footnote w:id="3">
    <w:p w:rsidR="00ED2DE9" w:rsidP="00ED2DE9" w14:paraId="7BDDE29D" w14:textId="77777777">
      <w:pPr>
        <w:pStyle w:val="FootnoteText"/>
      </w:pPr>
      <w:r>
        <w:rPr>
          <w:rStyle w:val="FootnoteReference"/>
        </w:rPr>
        <w:footnoteRef/>
      </w:r>
      <w:r>
        <w:t xml:space="preserve"> Cayman Chemical - </w:t>
      </w:r>
      <w:hyperlink r:id="rId2" w:history="1">
        <w:r w:rsidRPr="00405102">
          <w:rPr>
            <w:rStyle w:val="Hyperlink"/>
          </w:rPr>
          <w:t>https://www.caymanchem.com/</w:t>
        </w:r>
      </w:hyperlink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82775B"/>
    <w:multiLevelType w:val="multilevel"/>
    <w:tmpl w:val="12D845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329654CB"/>
    <w:multiLevelType w:val="hybridMultilevel"/>
    <w:tmpl w:val="843EE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95326"/>
    <w:multiLevelType w:val="hybridMultilevel"/>
    <w:tmpl w:val="56963C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92FFA"/>
    <w:multiLevelType w:val="hybridMultilevel"/>
    <w:tmpl w:val="ABC09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01360"/>
    <w:multiLevelType w:val="hybridMultilevel"/>
    <w:tmpl w:val="E5B60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C33C0"/>
    <w:multiLevelType w:val="hybridMultilevel"/>
    <w:tmpl w:val="2D0A4E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923F2"/>
    <w:multiLevelType w:val="hybridMultilevel"/>
    <w:tmpl w:val="6292F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2142B"/>
    <w:multiLevelType w:val="hybridMultilevel"/>
    <w:tmpl w:val="B7E0B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062079">
    <w:abstractNumId w:val="0"/>
  </w:num>
  <w:num w:numId="2" w16cid:durableId="1521434798">
    <w:abstractNumId w:val="0"/>
  </w:num>
  <w:num w:numId="3" w16cid:durableId="1177694579">
    <w:abstractNumId w:val="0"/>
  </w:num>
  <w:num w:numId="4" w16cid:durableId="610433535">
    <w:abstractNumId w:val="0"/>
  </w:num>
  <w:num w:numId="5" w16cid:durableId="1722485048">
    <w:abstractNumId w:val="0"/>
  </w:num>
  <w:num w:numId="6" w16cid:durableId="191574368">
    <w:abstractNumId w:val="0"/>
  </w:num>
  <w:num w:numId="7" w16cid:durableId="406264771">
    <w:abstractNumId w:val="0"/>
  </w:num>
  <w:num w:numId="8" w16cid:durableId="2092119764">
    <w:abstractNumId w:val="0"/>
  </w:num>
  <w:num w:numId="9" w16cid:durableId="952710646">
    <w:abstractNumId w:val="0"/>
  </w:num>
  <w:num w:numId="10" w16cid:durableId="1651012497">
    <w:abstractNumId w:val="0"/>
  </w:num>
  <w:num w:numId="11" w16cid:durableId="1006054745">
    <w:abstractNumId w:val="6"/>
  </w:num>
  <w:num w:numId="12" w16cid:durableId="1014041429">
    <w:abstractNumId w:val="3"/>
  </w:num>
  <w:num w:numId="13" w16cid:durableId="1871066705">
    <w:abstractNumId w:val="7"/>
  </w:num>
  <w:num w:numId="14" w16cid:durableId="1892617826">
    <w:abstractNumId w:val="5"/>
  </w:num>
  <w:num w:numId="15" w16cid:durableId="862748595">
    <w:abstractNumId w:val="4"/>
  </w:num>
  <w:num w:numId="16" w16cid:durableId="1827160368">
    <w:abstractNumId w:val="2"/>
  </w:num>
  <w:num w:numId="17" w16cid:durableId="2049642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02"/>
    <w:rsid w:val="00005D07"/>
    <w:rsid w:val="00006EDD"/>
    <w:rsid w:val="0000764E"/>
    <w:rsid w:val="000108E1"/>
    <w:rsid w:val="00024A21"/>
    <w:rsid w:val="000329FE"/>
    <w:rsid w:val="000337CA"/>
    <w:rsid w:val="00042FCE"/>
    <w:rsid w:val="00045AB0"/>
    <w:rsid w:val="00096FE1"/>
    <w:rsid w:val="000A5446"/>
    <w:rsid w:val="000B217F"/>
    <w:rsid w:val="000D3B8B"/>
    <w:rsid w:val="000D41A0"/>
    <w:rsid w:val="00143D86"/>
    <w:rsid w:val="00156EEB"/>
    <w:rsid w:val="00196116"/>
    <w:rsid w:val="00197F66"/>
    <w:rsid w:val="001B680B"/>
    <w:rsid w:val="001C121D"/>
    <w:rsid w:val="001C2319"/>
    <w:rsid w:val="001C63D1"/>
    <w:rsid w:val="002751FF"/>
    <w:rsid w:val="00285F27"/>
    <w:rsid w:val="002869DD"/>
    <w:rsid w:val="002A54D9"/>
    <w:rsid w:val="002D0271"/>
    <w:rsid w:val="002E26F8"/>
    <w:rsid w:val="003041F7"/>
    <w:rsid w:val="00311D51"/>
    <w:rsid w:val="0031214F"/>
    <w:rsid w:val="00320807"/>
    <w:rsid w:val="00330F29"/>
    <w:rsid w:val="00345C9E"/>
    <w:rsid w:val="003567AB"/>
    <w:rsid w:val="003917BE"/>
    <w:rsid w:val="003B1D03"/>
    <w:rsid w:val="003E0F96"/>
    <w:rsid w:val="00405102"/>
    <w:rsid w:val="00425A8D"/>
    <w:rsid w:val="0044353F"/>
    <w:rsid w:val="00451AB8"/>
    <w:rsid w:val="00454B09"/>
    <w:rsid w:val="004811E4"/>
    <w:rsid w:val="0048550B"/>
    <w:rsid w:val="0049456C"/>
    <w:rsid w:val="004A7B18"/>
    <w:rsid w:val="004B1FF5"/>
    <w:rsid w:val="004E69D7"/>
    <w:rsid w:val="004F0BE4"/>
    <w:rsid w:val="00500B15"/>
    <w:rsid w:val="00522073"/>
    <w:rsid w:val="00523C64"/>
    <w:rsid w:val="00524344"/>
    <w:rsid w:val="0053592E"/>
    <w:rsid w:val="005624FE"/>
    <w:rsid w:val="005E1AA2"/>
    <w:rsid w:val="005F2702"/>
    <w:rsid w:val="00605765"/>
    <w:rsid w:val="006560B1"/>
    <w:rsid w:val="006615FB"/>
    <w:rsid w:val="006816DA"/>
    <w:rsid w:val="00697844"/>
    <w:rsid w:val="006C4AB5"/>
    <w:rsid w:val="006C6578"/>
    <w:rsid w:val="006D7005"/>
    <w:rsid w:val="006F2ABA"/>
    <w:rsid w:val="0070554F"/>
    <w:rsid w:val="00717257"/>
    <w:rsid w:val="00754B3D"/>
    <w:rsid w:val="00761E0B"/>
    <w:rsid w:val="00787199"/>
    <w:rsid w:val="00792A59"/>
    <w:rsid w:val="00796D76"/>
    <w:rsid w:val="007B7F20"/>
    <w:rsid w:val="007D595C"/>
    <w:rsid w:val="007F06C8"/>
    <w:rsid w:val="007F0E10"/>
    <w:rsid w:val="0080518D"/>
    <w:rsid w:val="00805B09"/>
    <w:rsid w:val="00813DB4"/>
    <w:rsid w:val="00816B53"/>
    <w:rsid w:val="008861AB"/>
    <w:rsid w:val="008B5D54"/>
    <w:rsid w:val="008D0F27"/>
    <w:rsid w:val="008D3BE8"/>
    <w:rsid w:val="008F3EB6"/>
    <w:rsid w:val="00924603"/>
    <w:rsid w:val="0093372F"/>
    <w:rsid w:val="00935DA9"/>
    <w:rsid w:val="00935FD5"/>
    <w:rsid w:val="009513FC"/>
    <w:rsid w:val="00965C2A"/>
    <w:rsid w:val="0097091A"/>
    <w:rsid w:val="00976C14"/>
    <w:rsid w:val="00984634"/>
    <w:rsid w:val="009906BA"/>
    <w:rsid w:val="00991052"/>
    <w:rsid w:val="009B1D50"/>
    <w:rsid w:val="009B49A9"/>
    <w:rsid w:val="009C2F5A"/>
    <w:rsid w:val="009D34BC"/>
    <w:rsid w:val="00A06676"/>
    <w:rsid w:val="00A32652"/>
    <w:rsid w:val="00A345D7"/>
    <w:rsid w:val="00A60D52"/>
    <w:rsid w:val="00A76C6D"/>
    <w:rsid w:val="00A8321E"/>
    <w:rsid w:val="00AC3B7E"/>
    <w:rsid w:val="00AC4C54"/>
    <w:rsid w:val="00AE2F5E"/>
    <w:rsid w:val="00AE70E7"/>
    <w:rsid w:val="00AF0447"/>
    <w:rsid w:val="00B21D28"/>
    <w:rsid w:val="00B31F1B"/>
    <w:rsid w:val="00B45002"/>
    <w:rsid w:val="00B5171E"/>
    <w:rsid w:val="00B55735"/>
    <w:rsid w:val="00B608AC"/>
    <w:rsid w:val="00B73D70"/>
    <w:rsid w:val="00B746A0"/>
    <w:rsid w:val="00B82913"/>
    <w:rsid w:val="00BA2DBE"/>
    <w:rsid w:val="00BA30FE"/>
    <w:rsid w:val="00BB346D"/>
    <w:rsid w:val="00BC4E0A"/>
    <w:rsid w:val="00BD2639"/>
    <w:rsid w:val="00C22BA1"/>
    <w:rsid w:val="00C929D2"/>
    <w:rsid w:val="00C941C2"/>
    <w:rsid w:val="00CA1BE6"/>
    <w:rsid w:val="00CC4BAA"/>
    <w:rsid w:val="00CD0E02"/>
    <w:rsid w:val="00CF73CE"/>
    <w:rsid w:val="00D05F98"/>
    <w:rsid w:val="00D0744A"/>
    <w:rsid w:val="00D0751E"/>
    <w:rsid w:val="00D14114"/>
    <w:rsid w:val="00D149D0"/>
    <w:rsid w:val="00D20211"/>
    <w:rsid w:val="00D33AE3"/>
    <w:rsid w:val="00D479BA"/>
    <w:rsid w:val="00D65CEB"/>
    <w:rsid w:val="00D80142"/>
    <w:rsid w:val="00D9577D"/>
    <w:rsid w:val="00DA796B"/>
    <w:rsid w:val="00DB558D"/>
    <w:rsid w:val="00DC57CC"/>
    <w:rsid w:val="00DD2606"/>
    <w:rsid w:val="00DF5EAD"/>
    <w:rsid w:val="00E2405B"/>
    <w:rsid w:val="00E410B4"/>
    <w:rsid w:val="00E5157D"/>
    <w:rsid w:val="00E632AF"/>
    <w:rsid w:val="00E707C0"/>
    <w:rsid w:val="00E861BA"/>
    <w:rsid w:val="00E87AB9"/>
    <w:rsid w:val="00EA22BE"/>
    <w:rsid w:val="00EA6E06"/>
    <w:rsid w:val="00EC31D7"/>
    <w:rsid w:val="00ED2DE9"/>
    <w:rsid w:val="00EF2494"/>
    <w:rsid w:val="00EF2F11"/>
    <w:rsid w:val="00EF5132"/>
    <w:rsid w:val="00F023E3"/>
    <w:rsid w:val="00F233FD"/>
    <w:rsid w:val="00F41A6D"/>
    <w:rsid w:val="00F63035"/>
    <w:rsid w:val="00F845F2"/>
    <w:rsid w:val="00FC7D97"/>
    <w:rsid w:val="1BE3DD5F"/>
    <w:rsid w:val="4E5356BE"/>
    <w:rsid w:val="72BE33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943035"/>
  <w15:chartTrackingRefBased/>
  <w15:docId w15:val="{34B99C8F-C52D-4C12-922C-6DAC7920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BE"/>
  </w:style>
  <w:style w:type="paragraph" w:styleId="Heading1">
    <w:name w:val="heading 1"/>
    <w:basedOn w:val="Normal"/>
    <w:next w:val="Normal"/>
    <w:link w:val="Heading1Char"/>
    <w:uiPriority w:val="9"/>
    <w:qFormat/>
    <w:rsid w:val="00BA2DB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DB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DB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DB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DB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DB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DB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DB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DB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BA2DB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2DB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DB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DB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DB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DB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DB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DB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DB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2DB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2D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A2DB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DB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A2DB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A2DBE"/>
    <w:rPr>
      <w:b/>
      <w:bCs/>
    </w:rPr>
  </w:style>
  <w:style w:type="character" w:styleId="Emphasis">
    <w:name w:val="Emphasis"/>
    <w:basedOn w:val="DefaultParagraphFont"/>
    <w:uiPriority w:val="20"/>
    <w:qFormat/>
    <w:rsid w:val="00BA2DBE"/>
    <w:rPr>
      <w:i/>
      <w:iCs/>
    </w:rPr>
  </w:style>
  <w:style w:type="paragraph" w:styleId="NoSpacing">
    <w:name w:val="No Spacing"/>
    <w:uiPriority w:val="1"/>
    <w:qFormat/>
    <w:rsid w:val="00BA2D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A2DB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2DB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DB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DB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A2DB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A2DB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A2DB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A2DB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A2DB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BA2DB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65C2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65C2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3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AE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E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5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861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F0E10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7F0E10"/>
    <w:rPr>
      <w:rFonts w:ascii="Consolas" w:eastAsia="Calibri" w:hAnsi="Consolas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F06C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2D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2D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2D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cdc.gov/chemical-threats-and-toxins-laboratory/php/opioids-laboratory/traceable-opioid-material-kits.html" TargetMode="External" /><Relationship Id="rId11" Type="http://schemas.openxmlformats.org/officeDocument/2006/relationships/hyperlink" Target="https://www.cdc.gov/chemical-threats-and-toxins-laboratory/php/opioids-laboratory/edp-kits.html" TargetMode="External" /><Relationship Id="rId12" Type="http://schemas.openxmlformats.org/officeDocument/2006/relationships/hyperlink" Target="https://www.caymanchem.com/forensics/faskit/?q=*%3A*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www.caymanchem.com/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cdc.gov/chemical-threats-and-toxins-laboratory/php/opioids-laboratory/traceable-opioid-material-kits.html" TargetMode="External" /><Relationship Id="rId2" Type="http://schemas.openxmlformats.org/officeDocument/2006/relationships/hyperlink" Target="https://www.caymanchem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899e93ae0ff08a3ff485160865b6bd3b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e69f06ac0c0a34da08ab5dd7af31ad9c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E7F27-0A6B-4643-8020-CAE42901C2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6E78D3-D7D6-47EE-8844-0632E1CE7007}">
  <ds:schemaRefs>
    <ds:schemaRef ds:uri="http://schemas.microsoft.com/office/2006/metadata/properties"/>
    <ds:schemaRef ds:uri="http://schemas.microsoft.com/office/infopath/2007/PartnerControls"/>
    <ds:schemaRef ds:uri="ac88879c-8775-4fb3-bbeb-7d83bdfaa3b0"/>
    <ds:schemaRef ds:uri="ee43d889-edc4-48e1-b12c-dadc2f31c19b"/>
  </ds:schemaRefs>
</ds:datastoreItem>
</file>

<file path=customXml/itemProps3.xml><?xml version="1.0" encoding="utf-8"?>
<ds:datastoreItem xmlns:ds="http://schemas.openxmlformats.org/officeDocument/2006/customXml" ds:itemID="{AC2AFD75-C22D-498B-B0DC-6496EFC9F2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BCF65-69ED-40A8-8F78-67B871884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8879c-8775-4fb3-bbeb-7d83bdfaa3b0"/>
    <ds:schemaRef ds:uri="ee43d889-edc4-48e1-b12c-dadc2f31c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904</Words>
  <Characters>5309</Characters>
  <Application>Microsoft Office Word</Application>
  <DocSecurity>0</DocSecurity>
  <Lines>136</Lines>
  <Paragraphs>64</Paragraphs>
  <ScaleCrop>false</ScaleCrop>
  <Company>Centers for Disease Control and Prevention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Tony (CDC/OD/OADS)</dc:creator>
  <cp:lastModifiedBy>Zirger, Jeffrey (CDC/OD/OS)</cp:lastModifiedBy>
  <cp:revision>11</cp:revision>
  <dcterms:created xsi:type="dcterms:W3CDTF">2025-12-17T14:13:00Z</dcterms:created>
  <dcterms:modified xsi:type="dcterms:W3CDTF">2026-02-03T15:35:00Z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98b78390-c27e-4b88-84e4-97e9e9f6e1dc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2022-06-28T17:44:21Z</vt:lpwstr>
  </property>
  <property fmtid="{D5CDD505-2E9C-101B-9397-08002B2CF9AE}" pid="10" name="MSIP_Label_8af03ff0-41c5-4c41-b55e-fabb8fae94be_SiteId">
    <vt:lpwstr>9ce70869-60db-44fd-abe8-d2767077fc8f</vt:lpwstr>
  </property>
</Properties>
</file>