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63864" w14:paraId="1376011D" w14:textId="77777777">
      <w:pPr>
        <w:spacing w:after="0" w:line="259" w:lineRule="auto"/>
        <w:ind w:left="21" w:right="1"/>
        <w:jc w:val="center"/>
      </w:pPr>
      <w:r>
        <w:t xml:space="preserve">UNITED STATES FOOD &amp; DRUG ADMINISTRATION </w:t>
      </w:r>
    </w:p>
    <w:p w:rsidR="00763864" w14:paraId="31157B72" w14:textId="77777777">
      <w:pPr>
        <w:spacing w:after="0" w:line="259" w:lineRule="auto"/>
        <w:ind w:left="70" w:firstLine="0"/>
        <w:jc w:val="center"/>
      </w:pPr>
      <w:r>
        <w:t xml:space="preserve"> </w:t>
      </w:r>
    </w:p>
    <w:p w:rsidR="00763864" w14:paraId="202D89F3" w14:textId="53750FDD">
      <w:pPr>
        <w:spacing w:after="0" w:line="259" w:lineRule="auto"/>
        <w:ind w:left="21" w:right="1"/>
        <w:jc w:val="center"/>
      </w:pPr>
      <w:r w:rsidRPr="00197A9C">
        <w:rPr>
          <w:color w:val="auto"/>
        </w:rPr>
        <w:t xml:space="preserve">Federal-State </w:t>
      </w:r>
      <w:r w:rsidR="00F92F4D">
        <w:rPr>
          <w:color w:val="auto"/>
        </w:rPr>
        <w:t xml:space="preserve">Food </w:t>
      </w:r>
      <w:r w:rsidR="000441D0">
        <w:t xml:space="preserve">Regulatory Program Standards </w:t>
      </w:r>
    </w:p>
    <w:p w:rsidR="00763864" w14:paraId="0E11F856" w14:textId="77777777">
      <w:pPr>
        <w:spacing w:after="0" w:line="259" w:lineRule="auto"/>
        <w:ind w:left="70" w:firstLine="0"/>
        <w:jc w:val="center"/>
      </w:pPr>
      <w:r>
        <w:t xml:space="preserve"> </w:t>
      </w:r>
    </w:p>
    <w:p w:rsidR="00763864" w14:paraId="6270B28A" w14:textId="77777777">
      <w:pPr>
        <w:spacing w:after="0" w:line="259" w:lineRule="auto"/>
        <w:ind w:left="21" w:right="1"/>
        <w:jc w:val="center"/>
      </w:pPr>
      <w:r>
        <w:t xml:space="preserve">OMB Control No. 0910-0760 </w:t>
      </w:r>
    </w:p>
    <w:p w:rsidR="00763864" w14:paraId="187E33EC" w14:textId="77777777">
      <w:pPr>
        <w:spacing w:after="0" w:line="259" w:lineRule="auto"/>
        <w:ind w:left="0" w:firstLine="0"/>
      </w:pPr>
      <w:r>
        <w:t xml:space="preserve"> </w:t>
      </w:r>
    </w:p>
    <w:p w:rsidR="00763864" w14:paraId="3C9AABC4" w14:textId="77777777">
      <w:pPr>
        <w:ind w:left="-5"/>
      </w:pPr>
      <w:r>
        <w:t xml:space="preserve">SUPPORTING STATEMENT – </w:t>
      </w:r>
      <w:r>
        <w:rPr>
          <w:b/>
        </w:rPr>
        <w:t>Part A:  Justification</w:t>
      </w:r>
      <w:r>
        <w:t xml:space="preserve"> </w:t>
      </w:r>
    </w:p>
    <w:p w:rsidR="00763864" w14:paraId="14BC5F8A" w14:textId="77777777">
      <w:pPr>
        <w:spacing w:after="0" w:line="259" w:lineRule="auto"/>
        <w:ind w:left="0" w:firstLine="0"/>
      </w:pPr>
      <w:r>
        <w:t xml:space="preserve"> </w:t>
      </w:r>
    </w:p>
    <w:p w:rsidR="00763864" w14:paraId="19A9E2BD" w14:textId="3840FAAA">
      <w:pPr>
        <w:pStyle w:val="Heading1"/>
        <w:ind w:left="-5"/>
      </w:pPr>
      <w:r>
        <w:rPr>
          <w:u w:val="none"/>
        </w:rPr>
        <w:t>1</w:t>
      </w:r>
      <w:r w:rsidR="00DF0BF5">
        <w:rPr>
          <w:u w:val="none"/>
        </w:rPr>
        <w:t xml:space="preserve">. </w:t>
      </w:r>
      <w:r>
        <w:t>Circumstances Making the Collection of Information Necessary</w:t>
      </w:r>
      <w:r>
        <w:rPr>
          <w:u w:val="none"/>
        </w:rPr>
        <w:t xml:space="preserve"> </w:t>
      </w:r>
    </w:p>
    <w:p w:rsidR="00763864" w14:paraId="256C2994" w14:textId="77777777">
      <w:pPr>
        <w:spacing w:after="0" w:line="259" w:lineRule="auto"/>
        <w:ind w:left="0" w:firstLine="0"/>
      </w:pPr>
      <w:r>
        <w:t xml:space="preserve"> </w:t>
      </w:r>
    </w:p>
    <w:p w:rsidR="00092673" w:rsidRPr="00C22CE5" w:rsidP="00092673" w14:paraId="1B59EED9" w14:textId="504EC365">
      <w:pPr>
        <w:ind w:left="-5"/>
        <w:rPr>
          <w:color w:val="000000" w:themeColor="text1"/>
        </w:rPr>
      </w:pPr>
      <w:r>
        <w:rPr>
          <w:szCs w:val="24"/>
        </w:rPr>
        <w:t xml:space="preserve">This information collection supports </w:t>
      </w:r>
      <w:r w:rsidR="003E3EDA">
        <w:rPr>
          <w:szCs w:val="24"/>
        </w:rPr>
        <w:t>Food and Drug Administration (FDA)</w:t>
      </w:r>
      <w:r>
        <w:rPr>
          <w:szCs w:val="24"/>
        </w:rPr>
        <w:t xml:space="preserve"> Animal Food (formerly Feed) Regulatory Program Standards (AFRPS) and Egg Regulatory Program Standards (ERPS)</w:t>
      </w:r>
      <w:r w:rsidR="00DF0BF5">
        <w:rPr>
          <w:szCs w:val="24"/>
        </w:rPr>
        <w:t xml:space="preserve">. </w:t>
      </w:r>
      <w:r w:rsidRPr="001B1550" w:rsidR="006A5D7D">
        <w:rPr>
          <w:szCs w:val="24"/>
        </w:rPr>
        <w:t>The current submission seeks to revise this information collection related to the ERPS.</w:t>
      </w:r>
      <w:r w:rsidRPr="001B1550" w:rsidR="006A5D7D">
        <w:rPr>
          <w:szCs w:val="24"/>
        </w:rPr>
        <w:t xml:space="preserve"> </w:t>
      </w:r>
      <w:r w:rsidR="006A5D7D">
        <w:rPr>
          <w:szCs w:val="24"/>
        </w:rPr>
        <w:t>No revisions were made to the AFRPS.</w:t>
      </w:r>
    </w:p>
    <w:p w:rsidR="00092673" w:rsidRPr="00C22CE5" w14:paraId="78314457" w14:textId="77777777">
      <w:pPr>
        <w:ind w:left="-5"/>
        <w:rPr>
          <w:color w:val="000000" w:themeColor="text1"/>
        </w:rPr>
      </w:pPr>
    </w:p>
    <w:p w:rsidR="00763864" w14:paraId="4183E018" w14:textId="7991906E">
      <w:pPr>
        <w:ind w:left="-5"/>
      </w:pPr>
      <w:r>
        <w:t>The Food Safety Modernization Act (FSMA)</w:t>
      </w:r>
      <w:r w:rsidR="00D83363">
        <w:t xml:space="preserve"> </w:t>
      </w:r>
      <w:r w:rsidR="00D16C2E">
        <w:t>(</w:t>
      </w:r>
      <w:r w:rsidR="000D2B43">
        <w:t>P.L.</w:t>
      </w:r>
      <w:r w:rsidR="00D83363">
        <w:t>111-353</w:t>
      </w:r>
      <w:r w:rsidR="00D16C2E">
        <w:t>)</w:t>
      </w:r>
      <w:r w:rsidR="00D46E05">
        <w:t xml:space="preserve"> </w:t>
      </w:r>
      <w:r>
        <w:t>provides FDA with tools to better protect public health by strengthening the human and animal food safety system</w:t>
      </w:r>
      <w:r w:rsidR="00DF0BF5">
        <w:t xml:space="preserve">. </w:t>
      </w:r>
      <w:r>
        <w:t xml:space="preserve">In the United States, </w:t>
      </w:r>
      <w:r w:rsidR="00E31F07">
        <w:t>f</w:t>
      </w:r>
      <w:r>
        <w:t xml:space="preserve">ederal and </w:t>
      </w:r>
      <w:r w:rsidR="00E31F07">
        <w:t>s</w:t>
      </w:r>
      <w:r>
        <w:t xml:space="preserve">tate </w:t>
      </w:r>
      <w:r w:rsidR="00E31F07">
        <w:t>g</w:t>
      </w:r>
      <w:r>
        <w:t xml:space="preserve">overnment </w:t>
      </w:r>
      <w:r w:rsidR="00E20827">
        <w:t>a</w:t>
      </w:r>
      <w:r>
        <w:t>gencies ensure the safety of</w:t>
      </w:r>
      <w:r w:rsidR="00392937">
        <w:t xml:space="preserve"> </w:t>
      </w:r>
      <w:r w:rsidR="00E20827">
        <w:t>human</w:t>
      </w:r>
      <w:r w:rsidR="00392937">
        <w:t xml:space="preserve"> and animal f</w:t>
      </w:r>
      <w:r w:rsidR="00C459D3">
        <w:t>oo</w:t>
      </w:r>
      <w:r w:rsidR="00392937">
        <w:t>d</w:t>
      </w:r>
      <w:r w:rsidR="00DF0BF5">
        <w:t xml:space="preserve">. </w:t>
      </w:r>
      <w:r>
        <w:t>FDA is responsible for ensuring that all</w:t>
      </w:r>
      <w:r w:rsidR="00151B8F">
        <w:t xml:space="preserve"> human and animal</w:t>
      </w:r>
      <w:r>
        <w:t xml:space="preserve"> food moving in interstate commerce, except those under the U.S. Department of Agriculture jurisdiction, are safe, wholesome, and labeled properly</w:t>
      </w:r>
      <w:r w:rsidR="00DF0BF5">
        <w:t xml:space="preserve">. </w:t>
      </w:r>
      <w:r>
        <w:t xml:space="preserve">States are responsible for conducting inspections and regulatory activities that help ensure </w:t>
      </w:r>
      <w:r w:rsidR="00151B8F">
        <w:t xml:space="preserve">human and animal </w:t>
      </w:r>
      <w:r>
        <w:t>food and produced, processed, and distributed within their jurisdictions are safe and in compliance with State laws and regulations</w:t>
      </w:r>
      <w:r w:rsidR="00DF0BF5">
        <w:t xml:space="preserve">. </w:t>
      </w:r>
      <w:r>
        <w:t>States primarily perform inspections under their own regulatory authority</w:t>
      </w:r>
      <w:r w:rsidR="00DF0BF5">
        <w:t xml:space="preserve">. </w:t>
      </w:r>
      <w:r>
        <w:t xml:space="preserve">Some States conduct inspections of </w:t>
      </w:r>
      <w:r w:rsidR="00E20827">
        <w:t xml:space="preserve">human </w:t>
      </w:r>
      <w:r w:rsidR="00BD481C">
        <w:t>or</w:t>
      </w:r>
      <w:r w:rsidR="00E20827">
        <w:t xml:space="preserve"> </w:t>
      </w:r>
      <w:r w:rsidR="00C42AFB">
        <w:t xml:space="preserve">animal food </w:t>
      </w:r>
      <w:r>
        <w:t>facilities under contract with FDA</w:t>
      </w:r>
      <w:r w:rsidR="00DF0BF5">
        <w:t xml:space="preserve">. </w:t>
      </w:r>
      <w:r>
        <w:t>Because jurisdictions may overlap, FDA and States collaborate and share resources to protect</w:t>
      </w:r>
      <w:r w:rsidR="00BD481C">
        <w:t xml:space="preserve"> </w:t>
      </w:r>
      <w:r w:rsidR="00E20827">
        <w:t xml:space="preserve">human </w:t>
      </w:r>
      <w:r w:rsidR="00BD481C">
        <w:t>and</w:t>
      </w:r>
      <w:r>
        <w:t xml:space="preserve"> animal</w:t>
      </w:r>
      <w:r w:rsidR="00C42AFB">
        <w:t xml:space="preserve"> food</w:t>
      </w:r>
      <w:r w:rsidR="00DF0BF5">
        <w:t xml:space="preserve">. </w:t>
      </w:r>
    </w:p>
    <w:p w:rsidR="00763864" w14:paraId="7B38BD93" w14:textId="77777777">
      <w:pPr>
        <w:spacing w:after="0" w:line="259" w:lineRule="auto"/>
        <w:ind w:left="0" w:firstLine="0"/>
      </w:pPr>
      <w:r>
        <w:t xml:space="preserve"> </w:t>
      </w:r>
    </w:p>
    <w:p w:rsidR="00E20827" w14:paraId="108F3B28" w14:textId="0EFA2C9A">
      <w:pPr>
        <w:ind w:left="-5"/>
      </w:pPr>
      <w:r>
        <w:t xml:space="preserve">Section 205(c) of </w:t>
      </w:r>
      <w:r w:rsidR="00171F37">
        <w:t>FSMA</w:t>
      </w:r>
      <w:r w:rsidR="00EF4D5B">
        <w:t xml:space="preserve"> (</w:t>
      </w:r>
      <w:r>
        <w:t xml:space="preserve">codified in </w:t>
      </w:r>
      <w:r w:rsidR="00D233BD">
        <w:t xml:space="preserve">21 </w:t>
      </w:r>
      <w:r w:rsidR="00EF4D5B">
        <w:t>U.S.C.</w:t>
      </w:r>
      <w:r w:rsidR="00D233BD">
        <w:t xml:space="preserve"> 2224)</w:t>
      </w:r>
      <w:r w:rsidR="00EF4D5B">
        <w:t xml:space="preserve"> </w:t>
      </w:r>
      <w:r w:rsidR="000441D0">
        <w:t>calls for enhanced partnerships and provides a legal mandate for developing an Integrated Food Safety System (IFSS)</w:t>
      </w:r>
      <w:r w:rsidR="00DF0BF5">
        <w:t xml:space="preserve">. </w:t>
      </w:r>
      <w:r w:rsidR="000441D0">
        <w:t xml:space="preserve">FDA is committed to implementing an IFSS thereby optimizing coordination of </w:t>
      </w:r>
      <w:r w:rsidR="00CB1999">
        <w:t xml:space="preserve">human and animal </w:t>
      </w:r>
      <w:r w:rsidR="000441D0">
        <w:t xml:space="preserve">food safety efforts with </w:t>
      </w:r>
      <w:r w:rsidR="00D83363">
        <w:t>f</w:t>
      </w:r>
      <w:r w:rsidR="000441D0">
        <w:t xml:space="preserve">ederal, </w:t>
      </w:r>
      <w:r w:rsidR="00D83363">
        <w:t>s</w:t>
      </w:r>
      <w:r w:rsidR="000441D0">
        <w:t>tate, local, tribal, and territorial regulatory and public health agencies</w:t>
      </w:r>
      <w:r w:rsidR="00DF0BF5">
        <w:t xml:space="preserve">. </w:t>
      </w:r>
      <w:r w:rsidR="000441D0">
        <w:t xml:space="preserve">Model standards provide a consistent, underlying foundation that is critical for uniformity across </w:t>
      </w:r>
      <w:r w:rsidR="00D83363">
        <w:t>s</w:t>
      </w:r>
      <w:r w:rsidR="000441D0">
        <w:t xml:space="preserve">tate and </w:t>
      </w:r>
      <w:r w:rsidR="00D83363">
        <w:t>f</w:t>
      </w:r>
      <w:r w:rsidR="000441D0">
        <w:t xml:space="preserve">ederal </w:t>
      </w:r>
      <w:r>
        <w:t>a</w:t>
      </w:r>
      <w:r w:rsidR="000441D0">
        <w:t>gencies to ensure credibility of</w:t>
      </w:r>
      <w:r>
        <w:t xml:space="preserve"> human</w:t>
      </w:r>
      <w:r w:rsidR="000441D0">
        <w:t xml:space="preserve"> and</w:t>
      </w:r>
      <w:r>
        <w:t xml:space="preserve"> animal</w:t>
      </w:r>
      <w:r w:rsidR="000441D0">
        <w:t xml:space="preserve"> </w:t>
      </w:r>
      <w:r w:rsidR="00C459D3">
        <w:t xml:space="preserve">food </w:t>
      </w:r>
      <w:r w:rsidR="000441D0">
        <w:t xml:space="preserve">programs within the IFSS. </w:t>
      </w:r>
    </w:p>
    <w:p w:rsidR="00E20827" w14:paraId="79767059" w14:textId="77777777">
      <w:pPr>
        <w:ind w:left="-5"/>
      </w:pPr>
    </w:p>
    <w:p w:rsidR="00C22CE5" w14:paraId="353E5479" w14:textId="746FD1A8">
      <w:pPr>
        <w:ind w:left="-5"/>
      </w:pPr>
      <w:r>
        <w:t xml:space="preserve">The </w:t>
      </w:r>
      <w:r w:rsidR="00F91316">
        <w:t xml:space="preserve">regulatory </w:t>
      </w:r>
      <w:r>
        <w:t xml:space="preserve">program standards provide a uniform and consistent approach to </w:t>
      </w:r>
      <w:r w:rsidR="00E20827">
        <w:t xml:space="preserve">human and animal </w:t>
      </w:r>
      <w:r>
        <w:t>f</w:t>
      </w:r>
      <w:r w:rsidR="00E20827">
        <w:t>oo</w:t>
      </w:r>
      <w:r>
        <w:t>d regulation in the United States</w:t>
      </w:r>
      <w:r w:rsidR="00DF0BF5">
        <w:t xml:space="preserve">. </w:t>
      </w:r>
      <w:r w:rsidR="00AE212F">
        <w:t>States may implement the program standards on a voluntary basis</w:t>
      </w:r>
      <w:r w:rsidR="00DF0BF5">
        <w:t xml:space="preserve">. </w:t>
      </w:r>
      <w:r>
        <w:t xml:space="preserve">The </w:t>
      </w:r>
      <w:r w:rsidR="00E028D7">
        <w:rPr>
          <w:szCs w:val="24"/>
        </w:rPr>
        <w:t>AFRPS</w:t>
      </w:r>
      <w:r w:rsidRPr="003B3F77" w:rsidR="00E028D7">
        <w:rPr>
          <w:szCs w:val="24"/>
        </w:rPr>
        <w:t xml:space="preserve"> </w:t>
      </w:r>
      <w:r w:rsidR="00E028D7">
        <w:rPr>
          <w:szCs w:val="24"/>
        </w:rPr>
        <w:t>and ERPS</w:t>
      </w:r>
      <w:r>
        <w:t xml:space="preserve"> are the framework</w:t>
      </w:r>
      <w:r w:rsidR="00E028D7">
        <w:t>s</w:t>
      </w:r>
      <w:r>
        <w:t xml:space="preserve"> that each </w:t>
      </w:r>
      <w:r w:rsidR="00AE212F">
        <w:t xml:space="preserve">participating </w:t>
      </w:r>
      <w:r w:rsidR="00D83363">
        <w:t>s</w:t>
      </w:r>
      <w:r>
        <w:t>tate should use to design, manage, and improve its</w:t>
      </w:r>
      <w:r w:rsidR="00B14F3C">
        <w:t xml:space="preserve"> animal food or egg regulatory</w:t>
      </w:r>
      <w:r>
        <w:t xml:space="preserve"> program</w:t>
      </w:r>
      <w:r w:rsidR="00B14F3C">
        <w:t>s</w:t>
      </w:r>
      <w:r w:rsidR="00DF0BF5">
        <w:t xml:space="preserve">. </w:t>
      </w:r>
      <w:r>
        <w:t xml:space="preserve">The </w:t>
      </w:r>
      <w:r>
        <w:t>AFRPS</w:t>
      </w:r>
      <w:r>
        <w:t xml:space="preserve"> provide for the following</w:t>
      </w:r>
      <w:r>
        <w:t xml:space="preserve"> eleven standards</w:t>
      </w:r>
      <w:r>
        <w:t xml:space="preserve">: </w:t>
      </w:r>
      <w:r w:rsidRPr="003B3F77" w:rsidR="0018151E">
        <w:rPr>
          <w:szCs w:val="24"/>
        </w:rPr>
        <w:t>(1)</w:t>
      </w:r>
      <w:r w:rsidR="0018151E">
        <w:rPr>
          <w:szCs w:val="24"/>
        </w:rPr>
        <w:t xml:space="preserve"> r</w:t>
      </w:r>
      <w:r w:rsidRPr="003B3F77" w:rsidR="0018151E">
        <w:rPr>
          <w:szCs w:val="24"/>
        </w:rPr>
        <w:t>egulatory foundation; (2) training</w:t>
      </w:r>
      <w:r w:rsidR="0018151E">
        <w:rPr>
          <w:szCs w:val="24"/>
        </w:rPr>
        <w:t xml:space="preserve"> program</w:t>
      </w:r>
      <w:r w:rsidRPr="003B3F77" w:rsidR="0018151E">
        <w:rPr>
          <w:szCs w:val="24"/>
        </w:rPr>
        <w:t>; (3)</w:t>
      </w:r>
      <w:r w:rsidR="0018151E">
        <w:rPr>
          <w:szCs w:val="24"/>
        </w:rPr>
        <w:t xml:space="preserve"> </w:t>
      </w:r>
      <w:r w:rsidRPr="003B3F77" w:rsidR="0018151E">
        <w:rPr>
          <w:szCs w:val="24"/>
        </w:rPr>
        <w:t>inspection program; (4) audit</w:t>
      </w:r>
      <w:r w:rsidR="0018151E">
        <w:rPr>
          <w:szCs w:val="24"/>
        </w:rPr>
        <w:t xml:space="preserve"> program</w:t>
      </w:r>
      <w:r w:rsidRPr="003B3F77" w:rsidR="0018151E">
        <w:rPr>
          <w:szCs w:val="24"/>
        </w:rPr>
        <w:t>; (5)</w:t>
      </w:r>
      <w:r w:rsidR="0018151E">
        <w:rPr>
          <w:szCs w:val="24"/>
        </w:rPr>
        <w:t xml:space="preserve"> animal </w:t>
      </w:r>
      <w:r w:rsidRPr="003B3F77" w:rsidR="0018151E">
        <w:rPr>
          <w:szCs w:val="24"/>
        </w:rPr>
        <w:t>f</w:t>
      </w:r>
      <w:r w:rsidR="0018151E">
        <w:rPr>
          <w:szCs w:val="24"/>
        </w:rPr>
        <w:t>oo</w:t>
      </w:r>
      <w:r w:rsidRPr="003B3F77" w:rsidR="0018151E">
        <w:rPr>
          <w:szCs w:val="24"/>
        </w:rPr>
        <w:t>d-related illness</w:t>
      </w:r>
      <w:r w:rsidR="0018151E">
        <w:rPr>
          <w:szCs w:val="24"/>
        </w:rPr>
        <w:t>es</w:t>
      </w:r>
      <w:r w:rsidRPr="003B3F77" w:rsidR="0018151E">
        <w:rPr>
          <w:szCs w:val="24"/>
        </w:rPr>
        <w:t xml:space="preserve"> or death and</w:t>
      </w:r>
      <w:r w:rsidR="0018151E">
        <w:rPr>
          <w:szCs w:val="24"/>
        </w:rPr>
        <w:t xml:space="preserve"> </w:t>
      </w:r>
      <w:r w:rsidRPr="003B3F77" w:rsidR="0018151E">
        <w:rPr>
          <w:szCs w:val="24"/>
        </w:rPr>
        <w:t xml:space="preserve">emergency response; (6) </w:t>
      </w:r>
      <w:r w:rsidR="0018151E">
        <w:rPr>
          <w:szCs w:val="24"/>
        </w:rPr>
        <w:t xml:space="preserve">compliance and enforcement </w:t>
      </w:r>
      <w:r w:rsidRPr="003B3F77" w:rsidR="0018151E">
        <w:rPr>
          <w:szCs w:val="24"/>
        </w:rPr>
        <w:t xml:space="preserve">program; (7) outreach </w:t>
      </w:r>
      <w:r w:rsidR="0018151E">
        <w:rPr>
          <w:szCs w:val="24"/>
        </w:rPr>
        <w:t>program</w:t>
      </w:r>
      <w:r w:rsidRPr="003B3F77" w:rsidR="0018151E">
        <w:rPr>
          <w:szCs w:val="24"/>
        </w:rPr>
        <w:t>; (8)</w:t>
      </w:r>
      <w:r w:rsidR="0018151E">
        <w:rPr>
          <w:szCs w:val="24"/>
        </w:rPr>
        <w:t xml:space="preserve"> </w:t>
      </w:r>
      <w:r w:rsidR="0018151E">
        <w:rPr>
          <w:szCs w:val="24"/>
        </w:rPr>
        <w:t>planning and resources</w:t>
      </w:r>
      <w:r w:rsidRPr="003B3F77" w:rsidR="0018151E">
        <w:rPr>
          <w:szCs w:val="24"/>
        </w:rPr>
        <w:t>; (9) assessment and</w:t>
      </w:r>
      <w:r w:rsidR="0018151E">
        <w:rPr>
          <w:szCs w:val="24"/>
        </w:rPr>
        <w:t xml:space="preserve"> </w:t>
      </w:r>
      <w:r w:rsidRPr="003B3F77" w:rsidR="0018151E">
        <w:rPr>
          <w:szCs w:val="24"/>
        </w:rPr>
        <w:t>improvement; (10) laboratory services;</w:t>
      </w:r>
      <w:r w:rsidR="0018151E">
        <w:rPr>
          <w:szCs w:val="24"/>
        </w:rPr>
        <w:t xml:space="preserve"> </w:t>
      </w:r>
      <w:r w:rsidRPr="003B3F77" w:rsidR="0018151E">
        <w:rPr>
          <w:szCs w:val="24"/>
        </w:rPr>
        <w:t>and (11) sampling program</w:t>
      </w:r>
      <w:r w:rsidR="00DF0BF5">
        <w:rPr>
          <w:szCs w:val="24"/>
        </w:rPr>
        <w:t xml:space="preserve">. </w:t>
      </w:r>
      <w:r w:rsidR="00E12E6D">
        <w:rPr>
          <w:szCs w:val="24"/>
        </w:rPr>
        <w:t xml:space="preserve">The ERPS include equivalent standards for egg regulatory programs except they do not include </w:t>
      </w:r>
      <w:r w:rsidRPr="000E3EBB" w:rsidR="00E12E6D">
        <w:rPr>
          <w:szCs w:val="24"/>
        </w:rPr>
        <w:t xml:space="preserve">a </w:t>
      </w:r>
      <w:r w:rsidRPr="00D46E05" w:rsidR="00E12E6D">
        <w:rPr>
          <w:szCs w:val="24"/>
        </w:rPr>
        <w:t>separate</w:t>
      </w:r>
      <w:r w:rsidR="00E12E6D">
        <w:rPr>
          <w:szCs w:val="24"/>
        </w:rPr>
        <w:t xml:space="preserve"> standard 11 sampling program</w:t>
      </w:r>
      <w:r w:rsidR="00DF0BF5">
        <w:rPr>
          <w:szCs w:val="24"/>
        </w:rPr>
        <w:t xml:space="preserve">. </w:t>
      </w:r>
    </w:p>
    <w:p w:rsidR="008E4E22" w:rsidP="000C475A" w14:paraId="53008C34" w14:textId="77777777">
      <w:pPr>
        <w:spacing w:after="0" w:line="259" w:lineRule="auto"/>
        <w:ind w:left="0" w:firstLine="0"/>
        <w:rPr>
          <w:szCs w:val="24"/>
        </w:rPr>
      </w:pPr>
    </w:p>
    <w:p w:rsidR="00763864" w:rsidP="000C475A" w14:paraId="68942691" w14:textId="23CEB6D6">
      <w:pPr>
        <w:spacing w:after="0" w:line="259" w:lineRule="auto"/>
        <w:ind w:left="0" w:firstLine="0"/>
      </w:pPr>
      <w:r>
        <w:t>We therefore request</w:t>
      </w:r>
      <w:r w:rsidR="000441D0">
        <w:t xml:space="preserve"> </w:t>
      </w:r>
      <w:r w:rsidR="00342F89">
        <w:t>OMB</w:t>
      </w:r>
      <w:r w:rsidR="000441D0">
        <w:t xml:space="preserve"> approval for the information collection provisions associated with </w:t>
      </w:r>
      <w:r w:rsidR="00393473">
        <w:t xml:space="preserve">AFRPS and ERPS </w:t>
      </w:r>
      <w:r w:rsidR="00062C5F">
        <w:t xml:space="preserve">and the revision of the </w:t>
      </w:r>
      <w:r w:rsidR="009867A0">
        <w:t>AFRPS</w:t>
      </w:r>
      <w:r w:rsidR="00C26E9B">
        <w:t xml:space="preserve"> </w:t>
      </w:r>
      <w:r w:rsidR="000441D0">
        <w:t xml:space="preserve">as discussed in this supporting statement. </w:t>
      </w:r>
    </w:p>
    <w:p w:rsidR="00763864" w14:paraId="16986E82" w14:textId="77777777">
      <w:pPr>
        <w:spacing w:after="0" w:line="259" w:lineRule="auto"/>
        <w:ind w:left="0" w:firstLine="0"/>
      </w:pPr>
      <w:r>
        <w:t xml:space="preserve"> </w:t>
      </w:r>
    </w:p>
    <w:p w:rsidR="00763864" w14:paraId="70D41EEE" w14:textId="08110046">
      <w:pPr>
        <w:pStyle w:val="Heading1"/>
        <w:ind w:left="-5"/>
      </w:pPr>
      <w:r>
        <w:rPr>
          <w:u w:val="none"/>
        </w:rPr>
        <w:t>2</w:t>
      </w:r>
      <w:r w:rsidR="00DF0BF5">
        <w:rPr>
          <w:u w:val="none"/>
        </w:rPr>
        <w:t xml:space="preserve">. </w:t>
      </w:r>
      <w:r>
        <w:t>Purpose and Use of the Information Collection</w:t>
      </w:r>
      <w:r>
        <w:rPr>
          <w:u w:val="none"/>
        </w:rPr>
        <w:t xml:space="preserve"> </w:t>
      </w:r>
    </w:p>
    <w:p w:rsidR="00763864" w14:paraId="14B38906" w14:textId="77777777">
      <w:pPr>
        <w:spacing w:after="0" w:line="259" w:lineRule="auto"/>
        <w:ind w:left="0" w:firstLine="0"/>
      </w:pPr>
      <w:r>
        <w:t xml:space="preserve"> </w:t>
      </w:r>
    </w:p>
    <w:p w:rsidR="005C1B89" w:rsidP="00593CD3" w14:paraId="60136584" w14:textId="44FE3E00">
      <w:pPr>
        <w:ind w:left="-5"/>
      </w:pPr>
      <w:r>
        <w:t xml:space="preserve">This information collection will be used by both FDA and the </w:t>
      </w:r>
      <w:r w:rsidR="00E31F07">
        <w:t>s</w:t>
      </w:r>
      <w:r>
        <w:t xml:space="preserve">tates to maximize the use of resources and better direct their regulatory activities to help ensure </w:t>
      </w:r>
      <w:r w:rsidR="00122ABD">
        <w:t>human and animal food</w:t>
      </w:r>
      <w:r>
        <w:t xml:space="preserve"> produced, processed, and distributed within their jurisdiction are safe and in compliance with </w:t>
      </w:r>
      <w:r w:rsidR="00E31F07">
        <w:t>s</w:t>
      </w:r>
      <w:r>
        <w:t>tate laws and regulations</w:t>
      </w:r>
      <w:r w:rsidR="00DF0BF5">
        <w:t xml:space="preserve">. </w:t>
      </w:r>
    </w:p>
    <w:p w:rsidR="005C1B89" w:rsidP="00593CD3" w14:paraId="6D549DC6" w14:textId="77777777">
      <w:pPr>
        <w:ind w:left="-5"/>
      </w:pPr>
    </w:p>
    <w:p w:rsidR="00763864" w14:paraId="58B05421" w14:textId="773D8AA4">
      <w:pPr>
        <w:pStyle w:val="Heading1"/>
        <w:ind w:left="-5"/>
      </w:pPr>
      <w:r>
        <w:rPr>
          <w:u w:val="none"/>
        </w:rPr>
        <w:t>3</w:t>
      </w:r>
      <w:r w:rsidR="00DF0BF5">
        <w:rPr>
          <w:u w:val="none"/>
        </w:rPr>
        <w:t xml:space="preserve">. </w:t>
      </w:r>
      <w:r>
        <w:t>Use of Improved Information Technology and Burden Reduction</w:t>
      </w:r>
      <w:r>
        <w:rPr>
          <w:u w:val="none"/>
        </w:rPr>
        <w:t xml:space="preserve"> </w:t>
      </w:r>
    </w:p>
    <w:p w:rsidR="00763864" w14:paraId="7F985020" w14:textId="77777777">
      <w:pPr>
        <w:spacing w:after="0" w:line="259" w:lineRule="auto"/>
        <w:ind w:left="0" w:firstLine="0"/>
      </w:pPr>
      <w:r>
        <w:t xml:space="preserve"> </w:t>
      </w:r>
    </w:p>
    <w:p w:rsidR="00763864" w14:paraId="1146C92C" w14:textId="3C199094">
      <w:pPr>
        <w:ind w:left="-5"/>
      </w:pPr>
      <w:r>
        <w:t>FDA estimates that 9</w:t>
      </w:r>
      <w:r w:rsidR="00092673">
        <w:t>9</w:t>
      </w:r>
      <w:r>
        <w:t xml:space="preserve"> percent of the respondents will use electronic means </w:t>
      </w:r>
      <w:r w:rsidR="00DF5F30">
        <w:t xml:space="preserve">to </w:t>
      </w:r>
      <w:r w:rsidR="005107BB">
        <w:t>provide the information requested</w:t>
      </w:r>
      <w:r>
        <w:t xml:space="preserve">. </w:t>
      </w:r>
      <w:bookmarkStart w:id="0" w:name="_Hlk129001821"/>
      <w:r w:rsidR="00F177EF">
        <w:t xml:space="preserve">We collect </w:t>
      </w:r>
      <w:r w:rsidR="00F44CE6">
        <w:t xml:space="preserve">information </w:t>
      </w:r>
      <w:r w:rsidR="00F177EF">
        <w:t>from respondents</w:t>
      </w:r>
      <w:r w:rsidR="00F44CE6">
        <w:t xml:space="preserve"> via appendices </w:t>
      </w:r>
      <w:r w:rsidR="00CE1512">
        <w:t>which contain</w:t>
      </w:r>
      <w:r>
        <w:t xml:space="preserve"> fill-in forms and worksheets</w:t>
      </w:r>
      <w:r w:rsidR="00DF0BF5">
        <w:t xml:space="preserve">. </w:t>
      </w:r>
      <w:r w:rsidR="00480A21">
        <w:t>The forms and worksheets are made</w:t>
      </w:r>
      <w:r>
        <w:t xml:space="preserve"> available on</w:t>
      </w:r>
      <w:r w:rsidR="00D239CC">
        <w:t xml:space="preserve"> our </w:t>
      </w:r>
      <w:r w:rsidR="00877269">
        <w:t>w</w:t>
      </w:r>
      <w:r w:rsidR="00D239CC">
        <w:t>ebsite (</w:t>
      </w:r>
      <w:r w:rsidR="00AA3FD9">
        <w:t xml:space="preserve">AFRPS - </w:t>
      </w:r>
      <w:hyperlink r:id="rId9" w:history="1">
        <w:r w:rsidRPr="000B46E3" w:rsidR="00AA3FD9">
          <w:rPr>
            <w:rStyle w:val="Hyperlink"/>
          </w:rPr>
          <w:t>https://www.fda.go</w:t>
        </w:r>
        <w:r w:rsidRPr="000B46E3" w:rsidR="00AA3FD9">
          <w:rPr>
            <w:rStyle w:val="Hyperlink"/>
          </w:rPr>
          <w:t>v</w:t>
        </w:r>
        <w:r w:rsidRPr="000B46E3" w:rsidR="00AA3FD9">
          <w:rPr>
            <w:rStyle w:val="Hyperlink"/>
          </w:rPr>
          <w:t>/media/136030/download?attachment</w:t>
        </w:r>
      </w:hyperlink>
      <w:r w:rsidR="00AA3FD9">
        <w:t>) (ERPS -</w:t>
      </w:r>
      <w:r w:rsidR="00723F1B">
        <w:t xml:space="preserve"> </w:t>
      </w:r>
      <w:hyperlink r:id="rId10" w:history="1">
        <w:r w:rsidRPr="000B46E3" w:rsidR="00723F1B">
          <w:rPr>
            <w:rStyle w:val="Hyperlink"/>
          </w:rPr>
          <w:t>h</w:t>
        </w:r>
        <w:r w:rsidRPr="000B46E3" w:rsidR="00723F1B">
          <w:rPr>
            <w:rStyle w:val="Hyperlink"/>
          </w:rPr>
          <w:t>ttps://www.fda.gov/media/154954/download?attachment</w:t>
        </w:r>
      </w:hyperlink>
      <w:r w:rsidR="0041680E">
        <w:t>)</w:t>
      </w:r>
      <w:r w:rsidR="00DF0BF5">
        <w:t xml:space="preserve">. </w:t>
      </w:r>
      <w:r w:rsidR="0041680E">
        <w:t>T</w:t>
      </w:r>
      <w:r>
        <w:t>hey are fillable and fileable, but not signable.</w:t>
      </w:r>
      <w:r w:rsidR="00CE1512">
        <w:t xml:space="preserve"> </w:t>
      </w:r>
      <w:r w:rsidR="00F2101F">
        <w:t>R</w:t>
      </w:r>
      <w:r w:rsidR="00F177EF">
        <w:t>espondents submit the</w:t>
      </w:r>
      <w:r w:rsidR="00CE1512">
        <w:t xml:space="preserve"> forms and worksheets </w:t>
      </w:r>
      <w:r w:rsidR="008A68E9">
        <w:t xml:space="preserve">annually via email to the appropriate </w:t>
      </w:r>
      <w:r w:rsidR="003829C9">
        <w:t xml:space="preserve">FDA </w:t>
      </w:r>
      <w:r w:rsidR="008A68E9">
        <w:t>program manager.</w:t>
      </w:r>
    </w:p>
    <w:bookmarkEnd w:id="0"/>
    <w:p w:rsidR="00763864" w14:paraId="63A0660A" w14:textId="77777777">
      <w:pPr>
        <w:spacing w:after="0" w:line="259" w:lineRule="auto"/>
        <w:ind w:left="0" w:firstLine="0"/>
      </w:pPr>
      <w:r>
        <w:t xml:space="preserve"> </w:t>
      </w:r>
    </w:p>
    <w:p w:rsidR="00763864" w14:paraId="1B776B4C" w14:textId="5DEDBD19">
      <w:pPr>
        <w:spacing w:after="10"/>
        <w:ind w:left="-5"/>
      </w:pPr>
      <w:r>
        <w:t>4</w:t>
      </w:r>
      <w:r w:rsidR="00DF0BF5">
        <w:t xml:space="preserve">. </w:t>
      </w:r>
      <w:r w:rsidRPr="00DF0BF5">
        <w:rPr>
          <w:u w:val="single"/>
        </w:rPr>
        <w:t>Efforts to Identify Duplication and Similar Information</w:t>
      </w:r>
      <w:r>
        <w:t xml:space="preserve"> </w:t>
      </w:r>
    </w:p>
    <w:p w:rsidR="00763864" w14:paraId="4F5BF808" w14:textId="77777777">
      <w:pPr>
        <w:spacing w:after="0" w:line="259" w:lineRule="auto"/>
        <w:ind w:left="0" w:firstLine="0"/>
      </w:pPr>
      <w:r>
        <w:t xml:space="preserve"> </w:t>
      </w:r>
    </w:p>
    <w:p w:rsidR="00763864" w14:paraId="1647384E" w14:textId="77777777">
      <w:pPr>
        <w:ind w:left="-5"/>
      </w:pPr>
      <w:r>
        <w:t xml:space="preserve">We are unaware of duplicative information collection. </w:t>
      </w:r>
    </w:p>
    <w:p w:rsidR="00763864" w14:paraId="4547C34E" w14:textId="77777777">
      <w:pPr>
        <w:spacing w:after="0" w:line="259" w:lineRule="auto"/>
        <w:ind w:left="0" w:firstLine="0"/>
      </w:pPr>
      <w:r>
        <w:t xml:space="preserve"> </w:t>
      </w:r>
    </w:p>
    <w:p w:rsidR="00763864" w14:paraId="6D1C5F4D" w14:textId="3274B8CE">
      <w:pPr>
        <w:pStyle w:val="Heading1"/>
        <w:ind w:left="-5"/>
      </w:pPr>
      <w:r>
        <w:rPr>
          <w:u w:val="none"/>
        </w:rPr>
        <w:t>5</w:t>
      </w:r>
      <w:r w:rsidR="00DF0BF5">
        <w:rPr>
          <w:u w:val="none"/>
        </w:rPr>
        <w:t xml:space="preserve">. </w:t>
      </w:r>
      <w:r>
        <w:t>Impact on Small Business or Other Small Entities</w:t>
      </w:r>
      <w:r>
        <w:rPr>
          <w:u w:val="none"/>
        </w:rPr>
        <w:t xml:space="preserve"> </w:t>
      </w:r>
    </w:p>
    <w:p w:rsidR="00763864" w14:paraId="7480F040" w14:textId="77777777">
      <w:pPr>
        <w:spacing w:after="0" w:line="259" w:lineRule="auto"/>
        <w:ind w:left="0" w:firstLine="0"/>
      </w:pPr>
      <w:r>
        <w:t xml:space="preserve"> </w:t>
      </w:r>
    </w:p>
    <w:p w:rsidR="00763864" w14:paraId="118DBB04" w14:textId="098FE61E">
      <w:pPr>
        <w:ind w:left="-5"/>
      </w:pPr>
      <w:r>
        <w:t>FDA does not anticipate responses from small businesses and does not believe it will adversely affect small businesses or other small entities</w:t>
      </w:r>
      <w:r w:rsidR="00DF0BF5">
        <w:t xml:space="preserve">. </w:t>
      </w:r>
      <w:r>
        <w:t xml:space="preserve">The </w:t>
      </w:r>
      <w:r w:rsidR="0017476C">
        <w:t>Animal Food and Egg</w:t>
      </w:r>
      <w:r w:rsidR="001266B9">
        <w:t xml:space="preserve"> </w:t>
      </w:r>
      <w:r w:rsidR="00EB6AFA">
        <w:t xml:space="preserve">Regulatory Program </w:t>
      </w:r>
      <w:r>
        <w:t xml:space="preserve">Standards do not impact business or small entities. </w:t>
      </w:r>
    </w:p>
    <w:p w:rsidR="00763864" w14:paraId="054C545C" w14:textId="77777777">
      <w:pPr>
        <w:spacing w:after="0" w:line="259" w:lineRule="auto"/>
        <w:ind w:left="0" w:firstLine="0"/>
      </w:pPr>
      <w:r>
        <w:t xml:space="preserve"> </w:t>
      </w:r>
    </w:p>
    <w:p w:rsidR="00763864" w14:paraId="5C4D00F9" w14:textId="56989428">
      <w:pPr>
        <w:pStyle w:val="Heading1"/>
        <w:ind w:left="-5"/>
      </w:pPr>
      <w:r>
        <w:rPr>
          <w:u w:val="none"/>
        </w:rPr>
        <w:t>6</w:t>
      </w:r>
      <w:r w:rsidR="00DF0BF5">
        <w:rPr>
          <w:u w:val="none"/>
        </w:rPr>
        <w:t xml:space="preserve">. </w:t>
      </w:r>
      <w:r>
        <w:t>Consequences of Collecting the Information Less Frequently</w:t>
      </w:r>
      <w:r>
        <w:rPr>
          <w:u w:val="none"/>
        </w:rPr>
        <w:t xml:space="preserve"> </w:t>
      </w:r>
    </w:p>
    <w:p w:rsidR="00763864" w14:paraId="112B291A" w14:textId="26796086">
      <w:pPr>
        <w:spacing w:after="0" w:line="259" w:lineRule="auto"/>
        <w:ind w:left="0" w:firstLine="0"/>
      </w:pPr>
      <w:r>
        <w:t xml:space="preserve"> </w:t>
      </w:r>
    </w:p>
    <w:p w:rsidR="00763864" w:rsidP="00542648" w14:paraId="3FD4795A" w14:textId="4FEACDF4">
      <w:r>
        <w:t>Respondents will respond to the information collection on occasion</w:t>
      </w:r>
      <w:r w:rsidR="002D0734">
        <w:t xml:space="preserve"> and/or </w:t>
      </w:r>
      <w:r w:rsidR="00E15BBA">
        <w:t>annually</w:t>
      </w:r>
      <w:r>
        <w:t>. Collecting the information less frequently than that would degrade FDA’s ability to measure progress and adjust resource allocations accordingly</w:t>
      </w:r>
      <w:r w:rsidR="00DF0BF5">
        <w:t xml:space="preserve">. </w:t>
      </w:r>
      <w:r>
        <w:t xml:space="preserve"> </w:t>
      </w:r>
    </w:p>
    <w:p w:rsidR="00763864" w14:paraId="5540404B" w14:textId="77777777">
      <w:pPr>
        <w:spacing w:after="0" w:line="259" w:lineRule="auto"/>
        <w:ind w:left="0" w:firstLine="0"/>
      </w:pPr>
      <w:r>
        <w:t xml:space="preserve"> </w:t>
      </w:r>
    </w:p>
    <w:p w:rsidR="00763864" w14:paraId="1CEF6BD8" w14:textId="5EF2A6CD">
      <w:pPr>
        <w:spacing w:after="10"/>
        <w:ind w:left="-5"/>
      </w:pPr>
      <w:r>
        <w:t>7</w:t>
      </w:r>
      <w:r w:rsidR="00DF0BF5">
        <w:t xml:space="preserve">. </w:t>
      </w:r>
      <w:r>
        <w:rPr>
          <w:u w:val="single" w:color="000000"/>
        </w:rPr>
        <w:t>Consistency with the Guidelines in 5 CFR 1320.5</w:t>
      </w:r>
      <w:r>
        <w:t xml:space="preserve"> </w:t>
      </w:r>
    </w:p>
    <w:p w:rsidR="00763864" w14:paraId="2808F4D8" w14:textId="77777777">
      <w:pPr>
        <w:spacing w:after="0" w:line="259" w:lineRule="auto"/>
        <w:ind w:left="0" w:firstLine="0"/>
      </w:pPr>
      <w:r>
        <w:t xml:space="preserve"> </w:t>
      </w:r>
    </w:p>
    <w:p w:rsidR="00763864" w14:paraId="7AA5BEDC" w14:textId="7E0F9EB2">
      <w:pPr>
        <w:ind w:left="-5"/>
      </w:pPr>
      <w:r>
        <w:t>There are no special circumstances for this collection of this information</w:t>
      </w:r>
      <w:r w:rsidR="00DF0BF5">
        <w:t xml:space="preserve">. </w:t>
      </w:r>
    </w:p>
    <w:p w:rsidR="00763864" w14:paraId="4397E732" w14:textId="77777777">
      <w:pPr>
        <w:spacing w:after="0" w:line="259" w:lineRule="auto"/>
        <w:ind w:left="0" w:firstLine="0"/>
      </w:pPr>
      <w:r>
        <w:t xml:space="preserve"> </w:t>
      </w:r>
    </w:p>
    <w:p w:rsidR="00763864" w14:paraId="358D4AF2" w14:textId="3E1FF662">
      <w:pPr>
        <w:pStyle w:val="Heading1"/>
        <w:ind w:left="-5"/>
      </w:pPr>
      <w:r>
        <w:rPr>
          <w:u w:val="none"/>
        </w:rPr>
        <w:t>8</w:t>
      </w:r>
      <w:r w:rsidR="00DF0BF5">
        <w:rPr>
          <w:u w:val="none"/>
        </w:rPr>
        <w:t xml:space="preserve">. </w:t>
      </w:r>
      <w:r>
        <w:t>Comments in Response to the Federal Register Notice and Efforts to Consult Outside the</w:t>
      </w:r>
      <w:r>
        <w:rPr>
          <w:u w:val="none"/>
        </w:rPr>
        <w:t xml:space="preserve"> </w:t>
      </w:r>
      <w:r>
        <w:t>Agency</w:t>
      </w:r>
      <w:r>
        <w:rPr>
          <w:u w:val="none"/>
        </w:rPr>
        <w:t xml:space="preserve"> </w:t>
      </w:r>
    </w:p>
    <w:p w:rsidR="00763864" w14:paraId="08810155" w14:textId="77777777">
      <w:pPr>
        <w:spacing w:after="0" w:line="259" w:lineRule="auto"/>
        <w:ind w:left="0" w:firstLine="0"/>
      </w:pPr>
      <w:r>
        <w:t xml:space="preserve"> </w:t>
      </w:r>
    </w:p>
    <w:p w:rsidR="006B0383" w14:paraId="77E9415C" w14:textId="70E6315B">
      <w:pPr>
        <w:ind w:left="-5"/>
        <w:rPr>
          <w:szCs w:val="24"/>
        </w:rPr>
      </w:pPr>
      <w:r>
        <w:t>In accordance with 5 CFR 1320.8(d), FDA published a 60</w:t>
      </w:r>
      <w:r w:rsidR="00B20C84">
        <w:t>-</w:t>
      </w:r>
      <w:r>
        <w:t xml:space="preserve">day notice for public comment </w:t>
      </w:r>
      <w:bookmarkStart w:id="1" w:name="_Hlk123729582"/>
      <w:r w:rsidR="00054DB1">
        <w:t>i</w:t>
      </w:r>
      <w:r w:rsidRPr="00054DB1" w:rsidR="00054DB1">
        <w:t>n the Federal Register of August 22, 2025 (90 FR 41083)</w:t>
      </w:r>
      <w:r w:rsidR="00DF0BF5">
        <w:t xml:space="preserve">. </w:t>
      </w:r>
      <w:r w:rsidRPr="00054DB1" w:rsidR="00054DB1">
        <w:t>Two comments were received. Both comments were unrelated to the Paperwork Reduction Act.</w:t>
      </w:r>
    </w:p>
    <w:bookmarkEnd w:id="1"/>
    <w:p w:rsidR="00763864" w:rsidRPr="00854790" w:rsidP="00854790" w14:paraId="61B4881C" w14:textId="4301266F">
      <w:pPr>
        <w:ind w:left="0" w:firstLine="0"/>
        <w:rPr>
          <w:rFonts w:eastAsia="Calibri"/>
        </w:rPr>
      </w:pPr>
    </w:p>
    <w:p w:rsidR="00763864" w14:paraId="65D696A0" w14:textId="098FBDC0">
      <w:pPr>
        <w:pStyle w:val="Heading1"/>
        <w:ind w:left="-5"/>
      </w:pPr>
      <w:r>
        <w:rPr>
          <w:u w:val="none"/>
        </w:rPr>
        <w:t>9</w:t>
      </w:r>
      <w:r w:rsidR="00DF0BF5">
        <w:rPr>
          <w:u w:val="none"/>
        </w:rPr>
        <w:t xml:space="preserve">. </w:t>
      </w:r>
      <w:r>
        <w:t>Explanation of any Payment of Gift to Respondents</w:t>
      </w:r>
      <w:r>
        <w:rPr>
          <w:u w:val="none"/>
        </w:rPr>
        <w:t xml:space="preserve"> </w:t>
      </w:r>
    </w:p>
    <w:p w:rsidR="00763864" w14:paraId="745D6D03" w14:textId="77777777">
      <w:pPr>
        <w:spacing w:after="0" w:line="259" w:lineRule="auto"/>
        <w:ind w:left="0" w:firstLine="0"/>
      </w:pPr>
      <w:r>
        <w:t xml:space="preserve"> </w:t>
      </w:r>
    </w:p>
    <w:p w:rsidR="00961B6F" w14:paraId="4389B01A" w14:textId="77777777">
      <w:pPr>
        <w:ind w:left="-5"/>
      </w:pPr>
      <w:r>
        <w:t xml:space="preserve">No gift or payment is offered to respondents for completing the information collection. </w:t>
      </w:r>
    </w:p>
    <w:p w:rsidR="00961B6F" w14:paraId="6A057B87" w14:textId="77777777">
      <w:pPr>
        <w:ind w:left="-5"/>
      </w:pPr>
    </w:p>
    <w:p w:rsidR="00763864" w:rsidP="00903CA0" w14:paraId="3F2BF3B7" w14:textId="4EAF6DBC">
      <w:pPr>
        <w:ind w:left="-5"/>
      </w:pPr>
      <w:r>
        <w:t>The standards do correspond to a grant program that conforms to federal regulations</w:t>
      </w:r>
      <w:r w:rsidR="00DF0BF5">
        <w:t xml:space="preserve">. </w:t>
      </w:r>
      <w:r>
        <w:t>States can apply for a cooperative agreement allowing them to receive</w:t>
      </w:r>
      <w:r w:rsidR="00C459D3">
        <w:t xml:space="preserve"> </w:t>
      </w:r>
      <w:r w:rsidR="00C42AFB">
        <w:t xml:space="preserve">annual </w:t>
      </w:r>
      <w:r w:rsidR="00C459D3">
        <w:t>grant funds</w:t>
      </w:r>
      <w:r>
        <w:t xml:space="preserve"> for a period of five years to work toward significant conformance with the standards</w:t>
      </w:r>
      <w:r w:rsidR="00DF0BF5">
        <w:t xml:space="preserve">. </w:t>
      </w:r>
      <w:r>
        <w:t xml:space="preserve">The </w:t>
      </w:r>
      <w:r w:rsidR="00E31F07">
        <w:t>s</w:t>
      </w:r>
      <w:r>
        <w:t>tates will conduct a baseline self-assessment and develop a strategic plan to fully implement the program standard in five years</w:t>
      </w:r>
      <w:r w:rsidR="00DF0BF5">
        <w:t xml:space="preserve">. </w:t>
      </w:r>
    </w:p>
    <w:p w:rsidR="00763864" w14:paraId="1431956A" w14:textId="086F32A1">
      <w:pPr>
        <w:spacing w:after="0" w:line="259" w:lineRule="auto"/>
        <w:ind w:left="0" w:firstLine="0"/>
      </w:pPr>
    </w:p>
    <w:p w:rsidR="00763864" w14:paraId="4D3DC67E" w14:textId="2E54F06A">
      <w:pPr>
        <w:pStyle w:val="Heading1"/>
        <w:ind w:left="-5"/>
      </w:pPr>
      <w:r>
        <w:rPr>
          <w:u w:val="none"/>
        </w:rPr>
        <w:t>10</w:t>
      </w:r>
      <w:r w:rsidR="00DF0BF5">
        <w:rPr>
          <w:u w:val="none"/>
        </w:rPr>
        <w:t xml:space="preserve">. </w:t>
      </w:r>
      <w:r>
        <w:t>Assurance of Confidentiality Provided to Respondents</w:t>
      </w:r>
      <w:r>
        <w:rPr>
          <w:u w:val="none"/>
        </w:rPr>
        <w:t xml:space="preserve"> </w:t>
      </w:r>
    </w:p>
    <w:p w:rsidR="00763864" w14:paraId="55F4B872" w14:textId="77777777">
      <w:pPr>
        <w:spacing w:after="0" w:line="259" w:lineRule="auto"/>
        <w:ind w:left="0" w:firstLine="0"/>
      </w:pPr>
      <w:r>
        <w:t xml:space="preserve"> </w:t>
      </w:r>
    </w:p>
    <w:p w:rsidR="002922C3" w:rsidRPr="008C723D" w14:paraId="212C5AB2" w14:textId="6325D951">
      <w:pPr>
        <w:ind w:left="-5"/>
        <w:rPr>
          <w:color w:val="auto"/>
        </w:rPr>
      </w:pPr>
      <w:r w:rsidRPr="008C723D">
        <w:rPr>
          <w:color w:val="auto"/>
        </w:rPr>
        <w:t>In preparing this Supporting Statement, we consulted our Privacy Office to ensure appropriate identification and handling of information collected.</w:t>
      </w:r>
    </w:p>
    <w:p w:rsidR="002922C3" w:rsidRPr="008C723D" w14:paraId="42F2C915" w14:textId="77777777">
      <w:pPr>
        <w:ind w:left="-5"/>
        <w:rPr>
          <w:color w:val="auto"/>
        </w:rPr>
      </w:pPr>
    </w:p>
    <w:p w:rsidR="00232DBD" w:rsidRPr="008C723D" w14:paraId="7C028336" w14:textId="0B83FF42">
      <w:pPr>
        <w:ind w:left="-5"/>
        <w:rPr>
          <w:color w:val="auto"/>
        </w:rPr>
      </w:pPr>
      <w:r w:rsidRPr="008C723D">
        <w:rPr>
          <w:color w:val="auto"/>
        </w:rPr>
        <w:t xml:space="preserve">This ICR does not collect personally identifiable information (PII) or information of a personal nature. This information collection supports the </w:t>
      </w:r>
      <w:r w:rsidRPr="008C723D" w:rsidR="007C7B02">
        <w:rPr>
          <w:color w:val="auto"/>
        </w:rPr>
        <w:t xml:space="preserve">Food and Drug Administration’s implementation of its Federal-State Regulatory Program standards, specifically the Animal Feed Regulatory </w:t>
      </w:r>
      <w:r w:rsidRPr="008C723D" w:rsidR="000338CD">
        <w:rPr>
          <w:color w:val="auto"/>
        </w:rPr>
        <w:t>Program Standards</w:t>
      </w:r>
      <w:r w:rsidRPr="008C723D" w:rsidR="007C7B02">
        <w:rPr>
          <w:color w:val="auto"/>
        </w:rPr>
        <w:t xml:space="preserve"> (AFRPS)</w:t>
      </w:r>
      <w:r w:rsidRPr="008C723D" w:rsidR="000338CD">
        <w:rPr>
          <w:color w:val="auto"/>
        </w:rPr>
        <w:t xml:space="preserve"> and the Egg Regulatory Program Standards (ERPS)</w:t>
      </w:r>
      <w:r w:rsidRPr="008C723D">
        <w:rPr>
          <w:color w:val="auto"/>
        </w:rPr>
        <w:t xml:space="preserve">. </w:t>
      </w:r>
      <w:r w:rsidRPr="008C723D" w:rsidR="000338CD">
        <w:rPr>
          <w:color w:val="auto"/>
        </w:rPr>
        <w:t>Information collected is about state food safety programs through the AFRPS and ERPS, which range from information about state laws and regulations to procedures for dealing with foodborne illness outbreaks</w:t>
      </w:r>
      <w:r w:rsidR="00DF0BF5">
        <w:rPr>
          <w:color w:val="auto"/>
        </w:rPr>
        <w:t xml:space="preserve">. </w:t>
      </w:r>
      <w:r w:rsidRPr="008C723D">
        <w:rPr>
          <w:color w:val="auto"/>
        </w:rPr>
        <w:t>All records are maintained at the facility</w:t>
      </w:r>
      <w:r w:rsidR="00DF0BF5">
        <w:rPr>
          <w:color w:val="auto"/>
        </w:rPr>
        <w:t xml:space="preserve">. </w:t>
      </w:r>
      <w:r w:rsidRPr="008C723D">
        <w:rPr>
          <w:color w:val="auto"/>
        </w:rPr>
        <w:t>Because neither FDA nor any party acting on behalf of the agency collects PII, the ICR is not subject to the Privacy Act of 1974 and the requirements of the Privacy Act such as displaying a Privacy Act Statement on a collection form do not apply.</w:t>
      </w:r>
    </w:p>
    <w:p w:rsidR="00232DBD" w14:paraId="059126D6" w14:textId="163E9D51">
      <w:pPr>
        <w:ind w:left="-5"/>
      </w:pPr>
    </w:p>
    <w:p w:rsidR="00E95D4D" w14:paraId="7B25DF60" w14:textId="0D669183">
      <w:pPr>
        <w:ind w:left="-5"/>
      </w:pPr>
      <w:r w:rsidRPr="00E95D4D">
        <w:t>Under the Freedom of Information Act (FOIA) (5 U.S.C. 552), the public has broad access to government documents. However, FOIA provides certain exemptions from mandatory public disclosure of government records (5 U.S.C. 552(b</w:t>
      </w:r>
      <w:r w:rsidRPr="00E95D4D">
        <w:t>)(</w:t>
      </w:r>
      <w:r w:rsidRPr="00E95D4D">
        <w:t>1-9)</w:t>
      </w:r>
      <w:r w:rsidR="00DF0BF5">
        <w:t xml:space="preserve">. </w:t>
      </w:r>
      <w:r w:rsidRPr="00E95D4D">
        <w:t>FDA makes the fullest possible disclosure of records to the public, consistent with the rights of individuals to privacy, the property rights of persons in trade and confidential commercial or financial information.</w:t>
      </w:r>
    </w:p>
    <w:p w:rsidR="00763864" w14:paraId="5BBF887E" w14:textId="09D4C14C">
      <w:pPr>
        <w:spacing w:after="0" w:line="259" w:lineRule="auto"/>
        <w:ind w:left="0" w:firstLine="0"/>
      </w:pPr>
    </w:p>
    <w:p w:rsidR="00DF0BF5" w14:paraId="28749124" w14:textId="77777777">
      <w:pPr>
        <w:spacing w:after="0" w:line="259" w:lineRule="auto"/>
        <w:ind w:left="0" w:firstLine="0"/>
      </w:pPr>
    </w:p>
    <w:p w:rsidR="0014633F" w14:paraId="4DDC4052" w14:textId="77777777">
      <w:pPr>
        <w:spacing w:after="0" w:line="259" w:lineRule="auto"/>
        <w:ind w:left="0" w:firstLine="0"/>
      </w:pPr>
    </w:p>
    <w:p w:rsidR="00763864" w14:paraId="5DE43BD0" w14:textId="234A7994">
      <w:pPr>
        <w:pStyle w:val="Heading1"/>
        <w:ind w:left="-5"/>
      </w:pPr>
      <w:r>
        <w:rPr>
          <w:u w:val="none"/>
        </w:rPr>
        <w:t>11</w:t>
      </w:r>
      <w:r w:rsidR="00DF0BF5">
        <w:rPr>
          <w:u w:val="none"/>
        </w:rPr>
        <w:t xml:space="preserve">. </w:t>
      </w:r>
      <w:r>
        <w:t>Justification of Sensitive Questions</w:t>
      </w:r>
      <w:r>
        <w:rPr>
          <w:u w:val="none"/>
        </w:rPr>
        <w:t xml:space="preserve"> </w:t>
      </w:r>
    </w:p>
    <w:p w:rsidR="00763864" w14:paraId="17D785F0" w14:textId="6E0AF1B3">
      <w:pPr>
        <w:spacing w:after="0" w:line="259" w:lineRule="auto"/>
        <w:ind w:left="0" w:firstLine="0"/>
      </w:pPr>
      <w:r>
        <w:t xml:space="preserve"> </w:t>
      </w:r>
    </w:p>
    <w:p w:rsidR="00763864" w14:paraId="4724C729" w14:textId="6C6716E3">
      <w:pPr>
        <w:spacing w:after="0" w:line="259" w:lineRule="auto"/>
        <w:ind w:left="0" w:firstLine="0"/>
      </w:pPr>
      <w:r>
        <w:t>The collection of information does not involve sensitive questions.</w:t>
      </w:r>
      <w:r w:rsidR="000441D0">
        <w:t xml:space="preserve"> </w:t>
      </w:r>
    </w:p>
    <w:p w:rsidR="002D1CD9" w14:paraId="6A381864" w14:textId="77777777">
      <w:pPr>
        <w:spacing w:after="0" w:line="259" w:lineRule="auto"/>
        <w:ind w:left="0" w:firstLine="0"/>
      </w:pPr>
    </w:p>
    <w:p w:rsidR="00763864" w14:paraId="68F9490F" w14:textId="1CB67188">
      <w:pPr>
        <w:spacing w:after="10"/>
        <w:ind w:left="-5"/>
      </w:pPr>
      <w:r>
        <w:t>12</w:t>
      </w:r>
      <w:r w:rsidR="00DF0BF5">
        <w:t xml:space="preserve">. </w:t>
      </w:r>
      <w:r>
        <w:rPr>
          <w:u w:val="single" w:color="000000"/>
        </w:rPr>
        <w:t>Estimates of Annualized Burden Hours and Costs</w:t>
      </w:r>
      <w:r>
        <w:t xml:space="preserve"> </w:t>
      </w:r>
    </w:p>
    <w:p w:rsidR="00763864" w14:paraId="3E74A422" w14:textId="77777777">
      <w:pPr>
        <w:spacing w:after="0" w:line="259" w:lineRule="auto"/>
        <w:ind w:left="0" w:firstLine="0"/>
      </w:pPr>
      <w:r>
        <w:t xml:space="preserve"> </w:t>
      </w:r>
    </w:p>
    <w:p w:rsidR="00533A24" w:rsidP="003D1BB4" w14:paraId="478CAD48" w14:textId="6F65B844">
      <w:pPr>
        <w:pStyle w:val="Heading1"/>
        <w:tabs>
          <w:tab w:val="center" w:pos="2646"/>
        </w:tabs>
        <w:spacing w:after="0" w:line="259" w:lineRule="auto"/>
        <w:ind w:left="-15" w:firstLine="0"/>
        <w:rPr>
          <w:i/>
          <w:u w:val="none"/>
        </w:rPr>
      </w:pPr>
      <w:r>
        <w:rPr>
          <w:u w:val="none"/>
        </w:rPr>
        <w:t xml:space="preserve"> </w:t>
      </w:r>
      <w:r>
        <w:rPr>
          <w:u w:val="none"/>
        </w:rPr>
        <w:tab/>
      </w:r>
      <w:r>
        <w:rPr>
          <w:i/>
          <w:u w:val="none"/>
        </w:rPr>
        <w:t>12a</w:t>
      </w:r>
      <w:r w:rsidR="00DF0BF5">
        <w:rPr>
          <w:i/>
          <w:u w:val="none"/>
        </w:rPr>
        <w:t xml:space="preserve">. </w:t>
      </w:r>
      <w:r>
        <w:rPr>
          <w:i/>
          <w:u w:val="none"/>
        </w:rPr>
        <w:t xml:space="preserve">Annualized Hour Burden Estimate </w:t>
      </w:r>
    </w:p>
    <w:p w:rsidR="003D1BB4" w:rsidRPr="003D1BB4" w:rsidP="003D1BB4" w14:paraId="648051FE" w14:textId="77777777"/>
    <w:p w:rsidR="003D1BB4" w:rsidRPr="003D1BB4" w:rsidP="003D1BB4" w14:paraId="7C1461CF" w14:textId="0BCA3E7E">
      <w:pPr>
        <w:jc w:val="center"/>
      </w:pPr>
      <w:r w:rsidRPr="00533A24">
        <w:rPr>
          <w:sz w:val="20"/>
          <w:szCs w:val="20"/>
        </w:rPr>
        <w:t xml:space="preserve">Table </w:t>
      </w:r>
      <w:r>
        <w:rPr>
          <w:sz w:val="20"/>
          <w:szCs w:val="20"/>
        </w:rPr>
        <w:t>1</w:t>
      </w:r>
      <w:r w:rsidRPr="00533A24">
        <w:rPr>
          <w:sz w:val="20"/>
          <w:szCs w:val="20"/>
        </w:rPr>
        <w:t xml:space="preserve">. – Estimated Annual </w:t>
      </w:r>
      <w:r w:rsidR="003D576D">
        <w:rPr>
          <w:sz w:val="20"/>
          <w:szCs w:val="20"/>
        </w:rPr>
        <w:t>Reportin</w:t>
      </w:r>
      <w:r w:rsidRPr="00533A24">
        <w:rPr>
          <w:sz w:val="20"/>
          <w:szCs w:val="20"/>
        </w:rPr>
        <w:t>g Burden</w:t>
      </w:r>
      <w:r w:rsidRPr="00533A24">
        <w:rPr>
          <w:sz w:val="20"/>
          <w:szCs w:val="20"/>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1363"/>
        <w:gridCol w:w="1512"/>
        <w:gridCol w:w="1289"/>
        <w:gridCol w:w="1317"/>
        <w:gridCol w:w="854"/>
      </w:tblGrid>
      <w:tr w14:paraId="06B03005" w14:textId="77777777" w:rsidTr="003D1B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96"/>
          <w:tblHeader/>
        </w:trPr>
        <w:tc>
          <w:tcPr>
            <w:tcW w:w="0" w:type="auto"/>
            <w:shd w:val="clear" w:color="auto" w:fill="auto"/>
          </w:tcPr>
          <w:p w:rsidR="00802F7B" w:rsidRPr="00173159" w:rsidP="00775138" w14:paraId="4B12428E" w14:textId="77777777">
            <w:pPr>
              <w:contextualSpacing/>
              <w:jc w:val="center"/>
              <w:rPr>
                <w:sz w:val="20"/>
                <w:szCs w:val="20"/>
              </w:rPr>
            </w:pPr>
            <w:r w:rsidRPr="00173159">
              <w:rPr>
                <w:sz w:val="20"/>
                <w:szCs w:val="20"/>
              </w:rPr>
              <w:t>Type of Respondents; Activity</w:t>
            </w:r>
          </w:p>
        </w:tc>
        <w:tc>
          <w:tcPr>
            <w:tcW w:w="0" w:type="auto"/>
            <w:shd w:val="clear" w:color="auto" w:fill="auto"/>
          </w:tcPr>
          <w:p w:rsidR="00802F7B" w:rsidRPr="00173159" w:rsidP="00775138" w14:paraId="16902A90" w14:textId="77777777">
            <w:pPr>
              <w:contextualSpacing/>
              <w:jc w:val="center"/>
              <w:rPr>
                <w:sz w:val="20"/>
                <w:szCs w:val="20"/>
              </w:rPr>
            </w:pPr>
            <w:r w:rsidRPr="00173159">
              <w:rPr>
                <w:sz w:val="20"/>
                <w:szCs w:val="20"/>
              </w:rPr>
              <w:t>No. of Respondents</w:t>
            </w:r>
          </w:p>
        </w:tc>
        <w:tc>
          <w:tcPr>
            <w:tcW w:w="0" w:type="auto"/>
            <w:shd w:val="clear" w:color="auto" w:fill="auto"/>
          </w:tcPr>
          <w:p w:rsidR="00802F7B" w:rsidRPr="00173159" w:rsidP="00775138" w14:paraId="33BD9C26" w14:textId="77777777">
            <w:pPr>
              <w:contextualSpacing/>
              <w:jc w:val="center"/>
              <w:rPr>
                <w:sz w:val="20"/>
                <w:szCs w:val="20"/>
              </w:rPr>
            </w:pPr>
            <w:r w:rsidRPr="00173159">
              <w:rPr>
                <w:bCs/>
                <w:sz w:val="20"/>
                <w:szCs w:val="20"/>
              </w:rPr>
              <w:t>No. of Responses per Respondent</w:t>
            </w:r>
          </w:p>
        </w:tc>
        <w:tc>
          <w:tcPr>
            <w:tcW w:w="0" w:type="auto"/>
            <w:shd w:val="clear" w:color="auto" w:fill="auto"/>
          </w:tcPr>
          <w:p w:rsidR="00802F7B" w:rsidRPr="00173159" w:rsidP="00775138" w14:paraId="0C1C1C60" w14:textId="77777777">
            <w:pPr>
              <w:contextualSpacing/>
              <w:jc w:val="center"/>
              <w:rPr>
                <w:sz w:val="20"/>
                <w:szCs w:val="20"/>
              </w:rPr>
            </w:pPr>
            <w:r w:rsidRPr="00173159">
              <w:rPr>
                <w:sz w:val="20"/>
                <w:szCs w:val="20"/>
              </w:rPr>
              <w:t>Total Annual Responses</w:t>
            </w:r>
          </w:p>
        </w:tc>
        <w:tc>
          <w:tcPr>
            <w:tcW w:w="0" w:type="auto"/>
            <w:shd w:val="clear" w:color="auto" w:fill="auto"/>
          </w:tcPr>
          <w:p w:rsidR="00802F7B" w:rsidRPr="00173159" w:rsidP="00775138" w14:paraId="2D7935B0" w14:textId="77777777">
            <w:pPr>
              <w:ind w:right="-50"/>
              <w:contextualSpacing/>
              <w:jc w:val="center"/>
              <w:rPr>
                <w:sz w:val="20"/>
                <w:szCs w:val="20"/>
              </w:rPr>
            </w:pPr>
            <w:r w:rsidRPr="00173159">
              <w:rPr>
                <w:bCs/>
                <w:sz w:val="20"/>
                <w:szCs w:val="20"/>
              </w:rPr>
              <w:t>Average Burden per Response</w:t>
            </w:r>
          </w:p>
        </w:tc>
        <w:tc>
          <w:tcPr>
            <w:tcW w:w="0" w:type="auto"/>
            <w:shd w:val="clear" w:color="auto" w:fill="auto"/>
          </w:tcPr>
          <w:p w:rsidR="00802F7B" w:rsidRPr="00173159" w:rsidP="00775138" w14:paraId="1E0D7E3A" w14:textId="77777777">
            <w:pPr>
              <w:contextualSpacing/>
              <w:jc w:val="center"/>
              <w:rPr>
                <w:sz w:val="20"/>
                <w:szCs w:val="20"/>
              </w:rPr>
            </w:pPr>
            <w:r w:rsidRPr="00173159">
              <w:rPr>
                <w:sz w:val="20"/>
                <w:szCs w:val="20"/>
              </w:rPr>
              <w:t>Total Hours</w:t>
            </w:r>
          </w:p>
        </w:tc>
      </w:tr>
      <w:tr w14:paraId="5CFD2E46" w14:textId="77777777" w:rsidTr="003D1BB4">
        <w:tblPrEx>
          <w:tblW w:w="0" w:type="auto"/>
          <w:tblLook w:val="01E0"/>
        </w:tblPrEx>
        <w:trPr>
          <w:trHeight w:val="1030"/>
        </w:trPr>
        <w:tc>
          <w:tcPr>
            <w:tcW w:w="0" w:type="auto"/>
            <w:shd w:val="clear" w:color="auto" w:fill="auto"/>
          </w:tcPr>
          <w:p w:rsidR="00802F7B" w:rsidRPr="00173159" w:rsidP="00775138" w14:paraId="302EE517" w14:textId="77777777">
            <w:pPr>
              <w:contextualSpacing/>
              <w:rPr>
                <w:sz w:val="20"/>
                <w:szCs w:val="20"/>
              </w:rPr>
            </w:pPr>
            <w:r w:rsidRPr="00173159">
              <w:rPr>
                <w:sz w:val="20"/>
                <w:szCs w:val="20"/>
              </w:rPr>
              <w:t>State, local, Territorial, and/or Tribal Governments; submission of data elements to FDA consistent with ERPS</w:t>
            </w:r>
          </w:p>
        </w:tc>
        <w:tc>
          <w:tcPr>
            <w:tcW w:w="0" w:type="auto"/>
            <w:shd w:val="clear" w:color="auto" w:fill="auto"/>
          </w:tcPr>
          <w:p w:rsidR="00802F7B" w:rsidRPr="00173159" w:rsidP="00775138" w14:paraId="121782D1" w14:textId="77777777">
            <w:pPr>
              <w:contextualSpacing/>
              <w:jc w:val="right"/>
              <w:rPr>
                <w:sz w:val="20"/>
                <w:szCs w:val="20"/>
              </w:rPr>
            </w:pPr>
            <w:r w:rsidRPr="00173159">
              <w:rPr>
                <w:sz w:val="20"/>
                <w:szCs w:val="20"/>
              </w:rPr>
              <w:t>2</w:t>
            </w:r>
          </w:p>
        </w:tc>
        <w:tc>
          <w:tcPr>
            <w:tcW w:w="0" w:type="auto"/>
            <w:shd w:val="clear" w:color="auto" w:fill="auto"/>
          </w:tcPr>
          <w:p w:rsidR="00802F7B" w:rsidRPr="00173159" w:rsidP="00775138" w14:paraId="2B024F23" w14:textId="77777777">
            <w:pPr>
              <w:contextualSpacing/>
              <w:jc w:val="right"/>
              <w:rPr>
                <w:sz w:val="20"/>
                <w:szCs w:val="20"/>
              </w:rPr>
            </w:pPr>
            <w:r w:rsidRPr="00173159">
              <w:rPr>
                <w:sz w:val="20"/>
                <w:szCs w:val="20"/>
              </w:rPr>
              <w:t>1</w:t>
            </w:r>
          </w:p>
        </w:tc>
        <w:tc>
          <w:tcPr>
            <w:tcW w:w="0" w:type="auto"/>
            <w:shd w:val="clear" w:color="auto" w:fill="auto"/>
          </w:tcPr>
          <w:p w:rsidR="00802F7B" w:rsidRPr="00173159" w:rsidP="00775138" w14:paraId="12A2C8EF" w14:textId="77777777">
            <w:pPr>
              <w:contextualSpacing/>
              <w:jc w:val="right"/>
              <w:rPr>
                <w:sz w:val="20"/>
                <w:szCs w:val="20"/>
              </w:rPr>
            </w:pPr>
            <w:r w:rsidRPr="00173159">
              <w:rPr>
                <w:sz w:val="20"/>
                <w:szCs w:val="20"/>
              </w:rPr>
              <w:t>2</w:t>
            </w:r>
          </w:p>
        </w:tc>
        <w:tc>
          <w:tcPr>
            <w:tcW w:w="0" w:type="auto"/>
            <w:shd w:val="clear" w:color="auto" w:fill="auto"/>
          </w:tcPr>
          <w:p w:rsidR="00802F7B" w:rsidRPr="00173159" w:rsidP="00775138" w14:paraId="0A033CCA" w14:textId="77777777">
            <w:pPr>
              <w:contextualSpacing/>
              <w:jc w:val="right"/>
              <w:rPr>
                <w:sz w:val="20"/>
                <w:szCs w:val="20"/>
              </w:rPr>
            </w:pPr>
            <w:r w:rsidRPr="00173159">
              <w:rPr>
                <w:sz w:val="20"/>
                <w:szCs w:val="20"/>
              </w:rPr>
              <w:t>569</w:t>
            </w:r>
          </w:p>
        </w:tc>
        <w:tc>
          <w:tcPr>
            <w:tcW w:w="0" w:type="auto"/>
            <w:shd w:val="clear" w:color="auto" w:fill="auto"/>
          </w:tcPr>
          <w:p w:rsidR="00802F7B" w:rsidRPr="00173159" w:rsidP="00775138" w14:paraId="393FBB32" w14:textId="77777777">
            <w:pPr>
              <w:contextualSpacing/>
              <w:jc w:val="right"/>
              <w:rPr>
                <w:sz w:val="20"/>
                <w:szCs w:val="20"/>
              </w:rPr>
            </w:pPr>
            <w:r w:rsidRPr="00173159">
              <w:rPr>
                <w:sz w:val="20"/>
                <w:szCs w:val="20"/>
              </w:rPr>
              <w:t>1,138</w:t>
            </w:r>
          </w:p>
        </w:tc>
      </w:tr>
      <w:tr w14:paraId="118C3E3C" w14:textId="77777777" w:rsidTr="003D1BB4">
        <w:tblPrEx>
          <w:tblW w:w="0" w:type="auto"/>
          <w:tblLook w:val="01E0"/>
        </w:tblPrEx>
        <w:trPr>
          <w:trHeight w:val="1084"/>
        </w:trPr>
        <w:tc>
          <w:tcPr>
            <w:tcW w:w="0" w:type="auto"/>
            <w:shd w:val="clear" w:color="auto" w:fill="auto"/>
          </w:tcPr>
          <w:p w:rsidR="00802F7B" w:rsidRPr="00173159" w:rsidP="00775138" w14:paraId="77E52DB6" w14:textId="77777777">
            <w:pPr>
              <w:contextualSpacing/>
              <w:rPr>
                <w:sz w:val="20"/>
                <w:szCs w:val="20"/>
              </w:rPr>
            </w:pPr>
            <w:r w:rsidRPr="00173159">
              <w:rPr>
                <w:sz w:val="20"/>
                <w:szCs w:val="20"/>
              </w:rPr>
              <w:t>State, local, Territorial, and/or Tribal Governments; submission of data elements to FDA consistent with AFRPS</w:t>
            </w:r>
          </w:p>
        </w:tc>
        <w:tc>
          <w:tcPr>
            <w:tcW w:w="0" w:type="auto"/>
            <w:shd w:val="clear" w:color="auto" w:fill="auto"/>
          </w:tcPr>
          <w:p w:rsidR="00802F7B" w:rsidRPr="00173159" w:rsidP="00775138" w14:paraId="2E1789BE" w14:textId="77777777">
            <w:pPr>
              <w:contextualSpacing/>
              <w:jc w:val="right"/>
              <w:rPr>
                <w:sz w:val="20"/>
                <w:szCs w:val="20"/>
              </w:rPr>
            </w:pPr>
            <w:r w:rsidRPr="00173159">
              <w:rPr>
                <w:sz w:val="20"/>
                <w:szCs w:val="20"/>
              </w:rPr>
              <w:t>25</w:t>
            </w:r>
          </w:p>
        </w:tc>
        <w:tc>
          <w:tcPr>
            <w:tcW w:w="0" w:type="auto"/>
            <w:shd w:val="clear" w:color="auto" w:fill="auto"/>
          </w:tcPr>
          <w:p w:rsidR="00802F7B" w:rsidRPr="00173159" w:rsidP="00775138" w14:paraId="580C03C8" w14:textId="77777777">
            <w:pPr>
              <w:contextualSpacing/>
              <w:jc w:val="right"/>
              <w:rPr>
                <w:sz w:val="20"/>
                <w:szCs w:val="20"/>
              </w:rPr>
            </w:pPr>
            <w:r w:rsidRPr="00173159">
              <w:rPr>
                <w:sz w:val="20"/>
                <w:szCs w:val="20"/>
              </w:rPr>
              <w:t>1</w:t>
            </w:r>
          </w:p>
        </w:tc>
        <w:tc>
          <w:tcPr>
            <w:tcW w:w="0" w:type="auto"/>
            <w:shd w:val="clear" w:color="auto" w:fill="auto"/>
          </w:tcPr>
          <w:p w:rsidR="00802F7B" w:rsidRPr="00173159" w:rsidP="00775138" w14:paraId="5FF9ED9D" w14:textId="77777777">
            <w:pPr>
              <w:contextualSpacing/>
              <w:jc w:val="right"/>
              <w:rPr>
                <w:sz w:val="20"/>
                <w:szCs w:val="20"/>
              </w:rPr>
            </w:pPr>
            <w:r w:rsidRPr="00173159">
              <w:rPr>
                <w:sz w:val="20"/>
                <w:szCs w:val="20"/>
              </w:rPr>
              <w:t>25</w:t>
            </w:r>
          </w:p>
        </w:tc>
        <w:tc>
          <w:tcPr>
            <w:tcW w:w="0" w:type="auto"/>
            <w:shd w:val="clear" w:color="auto" w:fill="auto"/>
          </w:tcPr>
          <w:p w:rsidR="00802F7B" w:rsidRPr="00173159" w:rsidP="00775138" w14:paraId="121D97B3" w14:textId="77777777">
            <w:pPr>
              <w:contextualSpacing/>
              <w:jc w:val="right"/>
              <w:rPr>
                <w:sz w:val="20"/>
                <w:szCs w:val="20"/>
              </w:rPr>
            </w:pPr>
            <w:r w:rsidRPr="00173159">
              <w:rPr>
                <w:sz w:val="20"/>
                <w:szCs w:val="20"/>
              </w:rPr>
              <w:t>569</w:t>
            </w:r>
          </w:p>
        </w:tc>
        <w:tc>
          <w:tcPr>
            <w:tcW w:w="0" w:type="auto"/>
            <w:shd w:val="clear" w:color="auto" w:fill="auto"/>
          </w:tcPr>
          <w:p w:rsidR="00802F7B" w:rsidRPr="00173159" w:rsidP="00775138" w14:paraId="14516494" w14:textId="77777777">
            <w:pPr>
              <w:contextualSpacing/>
              <w:jc w:val="right"/>
              <w:rPr>
                <w:sz w:val="20"/>
                <w:szCs w:val="20"/>
              </w:rPr>
            </w:pPr>
            <w:r w:rsidRPr="00173159">
              <w:rPr>
                <w:sz w:val="20"/>
                <w:szCs w:val="20"/>
              </w:rPr>
              <w:t>14,225</w:t>
            </w:r>
          </w:p>
        </w:tc>
      </w:tr>
      <w:tr w14:paraId="0D624E25" w14:textId="77777777" w:rsidTr="003D1BB4">
        <w:tblPrEx>
          <w:tblW w:w="0" w:type="auto"/>
          <w:tblLook w:val="01E0"/>
        </w:tblPrEx>
        <w:trPr>
          <w:trHeight w:val="346"/>
        </w:trPr>
        <w:tc>
          <w:tcPr>
            <w:tcW w:w="0" w:type="auto"/>
            <w:gridSpan w:val="5"/>
            <w:shd w:val="clear" w:color="auto" w:fill="auto"/>
          </w:tcPr>
          <w:p w:rsidR="00802F7B" w:rsidRPr="00173159" w:rsidP="00775138" w14:paraId="4C3C4DAD" w14:textId="77777777">
            <w:pPr>
              <w:contextualSpacing/>
              <w:rPr>
                <w:sz w:val="20"/>
                <w:szCs w:val="20"/>
              </w:rPr>
            </w:pPr>
            <w:r w:rsidRPr="00173159">
              <w:rPr>
                <w:sz w:val="20"/>
                <w:szCs w:val="20"/>
              </w:rPr>
              <w:t>Total</w:t>
            </w:r>
          </w:p>
        </w:tc>
        <w:tc>
          <w:tcPr>
            <w:tcW w:w="0" w:type="auto"/>
            <w:shd w:val="clear" w:color="auto" w:fill="auto"/>
          </w:tcPr>
          <w:p w:rsidR="00802F7B" w:rsidRPr="00173159" w:rsidP="00775138" w14:paraId="407CC36F" w14:textId="77777777">
            <w:pPr>
              <w:contextualSpacing/>
              <w:jc w:val="right"/>
              <w:rPr>
                <w:sz w:val="20"/>
                <w:szCs w:val="20"/>
              </w:rPr>
            </w:pPr>
            <w:r w:rsidRPr="00173159">
              <w:rPr>
                <w:sz w:val="20"/>
                <w:szCs w:val="20"/>
              </w:rPr>
              <w:t>15,363</w:t>
            </w:r>
          </w:p>
        </w:tc>
      </w:tr>
    </w:tbl>
    <w:p w:rsidR="00F92F4D" w:rsidP="00B94698" w14:paraId="39B0BFF5" w14:textId="04207A3A">
      <w:pPr>
        <w:rPr>
          <w:sz w:val="20"/>
          <w:szCs w:val="20"/>
        </w:rPr>
      </w:pPr>
      <w:r>
        <w:rPr>
          <w:vertAlign w:val="superscript"/>
        </w:rPr>
        <w:t>1</w:t>
      </w:r>
      <w:r>
        <w:t xml:space="preserve"> </w:t>
      </w:r>
      <w:r w:rsidRPr="003D1BB4">
        <w:rPr>
          <w:sz w:val="20"/>
          <w:szCs w:val="20"/>
        </w:rPr>
        <w:t>There are no capital costs or operating and maintenance costs associated with this collection of information</w:t>
      </w:r>
      <w:r w:rsidRPr="003D1BB4" w:rsidR="00B94698">
        <w:rPr>
          <w:sz w:val="20"/>
          <w:szCs w:val="20"/>
        </w:rPr>
        <w:t>.</w:t>
      </w:r>
    </w:p>
    <w:p w:rsidR="003D1BB4" w:rsidP="00B94698" w14:paraId="45080CB5" w14:textId="77777777"/>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2"/>
        <w:gridCol w:w="1489"/>
        <w:gridCol w:w="1522"/>
        <w:gridCol w:w="1262"/>
        <w:gridCol w:w="1535"/>
        <w:gridCol w:w="924"/>
      </w:tblGrid>
      <w:tr w14:paraId="7E41470D" w14:textId="77777777" w:rsidTr="00775138">
        <w:tblPrEx>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5000" w:type="pct"/>
            <w:gridSpan w:val="6"/>
            <w:tcBorders>
              <w:top w:val="nil"/>
              <w:left w:val="nil"/>
              <w:right w:val="nil"/>
            </w:tcBorders>
            <w:shd w:val="clear" w:color="auto" w:fill="auto"/>
          </w:tcPr>
          <w:p w:rsidR="00533A24" w:rsidRPr="00533A24" w:rsidP="00533A24" w14:paraId="422E1DFD" w14:textId="77777777">
            <w:pPr>
              <w:ind w:left="0" w:firstLine="0"/>
              <w:contextualSpacing/>
              <w:jc w:val="center"/>
              <w:rPr>
                <w:sz w:val="20"/>
                <w:szCs w:val="20"/>
              </w:rPr>
            </w:pPr>
            <w:r w:rsidRPr="00533A24">
              <w:rPr>
                <w:sz w:val="20"/>
                <w:szCs w:val="20"/>
              </w:rPr>
              <w:t>Table 2. – Estimated Annual Recordkeeping Burden</w:t>
            </w:r>
            <w:r w:rsidRPr="00533A24">
              <w:rPr>
                <w:sz w:val="20"/>
                <w:szCs w:val="20"/>
                <w:vertAlign w:val="superscript"/>
              </w:rPr>
              <w:t>1</w:t>
            </w:r>
          </w:p>
        </w:tc>
      </w:tr>
      <w:tr w14:paraId="4AB88938" w14:textId="77777777" w:rsidTr="00775138">
        <w:tblPrEx>
          <w:tblW w:w="5048" w:type="pct"/>
          <w:tblLayout w:type="fixed"/>
          <w:tblLook w:val="01E0"/>
        </w:tblPrEx>
        <w:trPr>
          <w:cantSplit/>
          <w:trHeight w:val="1097"/>
        </w:trPr>
        <w:tc>
          <w:tcPr>
            <w:tcW w:w="1378" w:type="pct"/>
            <w:shd w:val="clear" w:color="auto" w:fill="auto"/>
          </w:tcPr>
          <w:p w:rsidR="00533A24" w:rsidRPr="00533A24" w:rsidP="00533A24" w14:paraId="294FBD41" w14:textId="77777777">
            <w:pPr>
              <w:contextualSpacing/>
              <w:jc w:val="center"/>
              <w:rPr>
                <w:sz w:val="20"/>
                <w:szCs w:val="20"/>
              </w:rPr>
            </w:pPr>
            <w:r w:rsidRPr="00533A24">
              <w:rPr>
                <w:sz w:val="20"/>
                <w:szCs w:val="20"/>
              </w:rPr>
              <w:t>Type of Respondents; Activity</w:t>
            </w:r>
          </w:p>
        </w:tc>
        <w:tc>
          <w:tcPr>
            <w:tcW w:w="801" w:type="pct"/>
            <w:shd w:val="clear" w:color="auto" w:fill="auto"/>
          </w:tcPr>
          <w:p w:rsidR="00533A24" w:rsidRPr="00533A24" w:rsidP="00533A24" w14:paraId="731C2015" w14:textId="77777777">
            <w:pPr>
              <w:contextualSpacing/>
              <w:jc w:val="center"/>
              <w:rPr>
                <w:sz w:val="20"/>
                <w:szCs w:val="20"/>
              </w:rPr>
            </w:pPr>
            <w:r w:rsidRPr="00533A24">
              <w:rPr>
                <w:sz w:val="20"/>
                <w:szCs w:val="20"/>
              </w:rPr>
              <w:t>No. of Recordkeepers</w:t>
            </w:r>
          </w:p>
        </w:tc>
        <w:tc>
          <w:tcPr>
            <w:tcW w:w="819" w:type="pct"/>
            <w:shd w:val="clear" w:color="auto" w:fill="auto"/>
          </w:tcPr>
          <w:p w:rsidR="00533A24" w:rsidRPr="00533A24" w:rsidP="00533A24" w14:paraId="1907ABAF" w14:textId="77777777">
            <w:pPr>
              <w:contextualSpacing/>
              <w:jc w:val="center"/>
              <w:rPr>
                <w:sz w:val="20"/>
                <w:szCs w:val="20"/>
              </w:rPr>
            </w:pPr>
            <w:r w:rsidRPr="00533A24">
              <w:rPr>
                <w:bCs/>
                <w:sz w:val="20"/>
                <w:szCs w:val="20"/>
              </w:rPr>
              <w:t>No. of Records per Recordkeeper</w:t>
            </w:r>
          </w:p>
        </w:tc>
        <w:tc>
          <w:tcPr>
            <w:tcW w:w="679" w:type="pct"/>
            <w:shd w:val="clear" w:color="auto" w:fill="auto"/>
          </w:tcPr>
          <w:p w:rsidR="00533A24" w:rsidRPr="00533A24" w:rsidP="00533A24" w14:paraId="56521B56" w14:textId="77777777">
            <w:pPr>
              <w:contextualSpacing/>
              <w:jc w:val="center"/>
              <w:rPr>
                <w:sz w:val="20"/>
                <w:szCs w:val="20"/>
              </w:rPr>
            </w:pPr>
            <w:r w:rsidRPr="00533A24">
              <w:rPr>
                <w:sz w:val="20"/>
                <w:szCs w:val="20"/>
              </w:rPr>
              <w:t>Total Annual Records</w:t>
            </w:r>
          </w:p>
        </w:tc>
        <w:tc>
          <w:tcPr>
            <w:tcW w:w="826" w:type="pct"/>
            <w:shd w:val="clear" w:color="auto" w:fill="auto"/>
          </w:tcPr>
          <w:p w:rsidR="00533A24" w:rsidRPr="00533A24" w:rsidP="00533A24" w14:paraId="26EF8604" w14:textId="77777777">
            <w:pPr>
              <w:ind w:right="-50"/>
              <w:contextualSpacing/>
              <w:jc w:val="center"/>
              <w:rPr>
                <w:sz w:val="20"/>
                <w:szCs w:val="20"/>
              </w:rPr>
            </w:pPr>
            <w:r w:rsidRPr="00533A24">
              <w:rPr>
                <w:bCs/>
                <w:sz w:val="20"/>
                <w:szCs w:val="20"/>
              </w:rPr>
              <w:t>Average Burden per Recordkeeping</w:t>
            </w:r>
          </w:p>
        </w:tc>
        <w:tc>
          <w:tcPr>
            <w:tcW w:w="497" w:type="pct"/>
            <w:shd w:val="clear" w:color="auto" w:fill="auto"/>
          </w:tcPr>
          <w:p w:rsidR="00533A24" w:rsidRPr="00533A24" w:rsidP="00533A24" w14:paraId="4DF4FDC7" w14:textId="77777777">
            <w:pPr>
              <w:contextualSpacing/>
              <w:jc w:val="center"/>
              <w:rPr>
                <w:sz w:val="20"/>
                <w:szCs w:val="20"/>
              </w:rPr>
            </w:pPr>
            <w:r w:rsidRPr="00533A24">
              <w:rPr>
                <w:sz w:val="20"/>
                <w:szCs w:val="20"/>
              </w:rPr>
              <w:t>Total Hours</w:t>
            </w:r>
          </w:p>
        </w:tc>
      </w:tr>
      <w:tr w14:paraId="555D806C" w14:textId="77777777" w:rsidTr="00775138">
        <w:tblPrEx>
          <w:tblW w:w="5048" w:type="pct"/>
          <w:tblLayout w:type="fixed"/>
          <w:tblLook w:val="01E0"/>
        </w:tblPrEx>
        <w:trPr>
          <w:cantSplit/>
          <w:trHeight w:val="20"/>
        </w:trPr>
        <w:tc>
          <w:tcPr>
            <w:tcW w:w="1378" w:type="pct"/>
            <w:shd w:val="clear" w:color="auto" w:fill="auto"/>
          </w:tcPr>
          <w:p w:rsidR="00533A24" w:rsidRPr="00533A24" w:rsidP="00533A24" w14:paraId="2474FF97" w14:textId="77777777">
            <w:pPr>
              <w:contextualSpacing/>
              <w:rPr>
                <w:sz w:val="20"/>
                <w:szCs w:val="20"/>
              </w:rPr>
            </w:pPr>
            <w:r w:rsidRPr="00533A24">
              <w:rPr>
                <w:sz w:val="20"/>
                <w:szCs w:val="20"/>
              </w:rPr>
              <w:t>State, local, Territorial and/or Tribal Governments; submission of data elements to FDA consistent with ERPS</w:t>
            </w:r>
          </w:p>
        </w:tc>
        <w:tc>
          <w:tcPr>
            <w:tcW w:w="801" w:type="pct"/>
            <w:shd w:val="clear" w:color="auto" w:fill="auto"/>
          </w:tcPr>
          <w:p w:rsidR="00533A24" w:rsidRPr="00533A24" w:rsidP="00533A24" w14:paraId="377DF9F4" w14:textId="77777777">
            <w:pPr>
              <w:contextualSpacing/>
              <w:jc w:val="right"/>
              <w:rPr>
                <w:sz w:val="20"/>
                <w:szCs w:val="20"/>
              </w:rPr>
            </w:pPr>
            <w:r w:rsidRPr="00533A24">
              <w:rPr>
                <w:sz w:val="20"/>
                <w:szCs w:val="20"/>
              </w:rPr>
              <w:t>2</w:t>
            </w:r>
          </w:p>
        </w:tc>
        <w:tc>
          <w:tcPr>
            <w:tcW w:w="819" w:type="pct"/>
            <w:shd w:val="clear" w:color="auto" w:fill="auto"/>
          </w:tcPr>
          <w:p w:rsidR="00533A24" w:rsidRPr="00533A24" w:rsidP="00533A24" w14:paraId="76EAE505" w14:textId="77777777">
            <w:pPr>
              <w:contextualSpacing/>
              <w:jc w:val="right"/>
              <w:rPr>
                <w:sz w:val="20"/>
                <w:szCs w:val="20"/>
              </w:rPr>
            </w:pPr>
            <w:r w:rsidRPr="00533A24">
              <w:rPr>
                <w:sz w:val="20"/>
                <w:szCs w:val="20"/>
              </w:rPr>
              <w:t>10</w:t>
            </w:r>
          </w:p>
        </w:tc>
        <w:tc>
          <w:tcPr>
            <w:tcW w:w="679" w:type="pct"/>
            <w:shd w:val="clear" w:color="auto" w:fill="auto"/>
          </w:tcPr>
          <w:p w:rsidR="00533A24" w:rsidRPr="00533A24" w:rsidP="00533A24" w14:paraId="2C60F9C9" w14:textId="77777777">
            <w:pPr>
              <w:contextualSpacing/>
              <w:jc w:val="right"/>
              <w:rPr>
                <w:sz w:val="20"/>
                <w:szCs w:val="20"/>
              </w:rPr>
            </w:pPr>
            <w:r w:rsidRPr="00533A24">
              <w:rPr>
                <w:sz w:val="20"/>
                <w:szCs w:val="20"/>
              </w:rPr>
              <w:t>20</w:t>
            </w:r>
          </w:p>
        </w:tc>
        <w:tc>
          <w:tcPr>
            <w:tcW w:w="826" w:type="pct"/>
            <w:shd w:val="clear" w:color="auto" w:fill="auto"/>
          </w:tcPr>
          <w:p w:rsidR="00533A24" w:rsidRPr="00533A24" w:rsidP="00533A24" w14:paraId="1F5B6F5C" w14:textId="77777777">
            <w:pPr>
              <w:contextualSpacing/>
              <w:jc w:val="right"/>
              <w:rPr>
                <w:sz w:val="20"/>
                <w:szCs w:val="20"/>
              </w:rPr>
            </w:pPr>
            <w:r w:rsidRPr="00533A24">
              <w:rPr>
                <w:sz w:val="20"/>
                <w:szCs w:val="20"/>
              </w:rPr>
              <w:t>40</w:t>
            </w:r>
          </w:p>
        </w:tc>
        <w:tc>
          <w:tcPr>
            <w:tcW w:w="497" w:type="pct"/>
            <w:shd w:val="clear" w:color="auto" w:fill="auto"/>
          </w:tcPr>
          <w:p w:rsidR="00533A24" w:rsidRPr="00533A24" w:rsidP="00533A24" w14:paraId="11CBE003" w14:textId="77777777">
            <w:pPr>
              <w:contextualSpacing/>
              <w:jc w:val="right"/>
              <w:rPr>
                <w:sz w:val="20"/>
                <w:szCs w:val="20"/>
              </w:rPr>
            </w:pPr>
            <w:r w:rsidRPr="00533A24">
              <w:rPr>
                <w:sz w:val="20"/>
                <w:szCs w:val="20"/>
              </w:rPr>
              <w:t>800</w:t>
            </w:r>
          </w:p>
        </w:tc>
      </w:tr>
      <w:tr w14:paraId="343E69FA" w14:textId="77777777" w:rsidTr="00775138">
        <w:tblPrEx>
          <w:tblW w:w="5048" w:type="pct"/>
          <w:tblLayout w:type="fixed"/>
          <w:tblLook w:val="01E0"/>
        </w:tblPrEx>
        <w:trPr>
          <w:cantSplit/>
          <w:trHeight w:val="20"/>
        </w:trPr>
        <w:tc>
          <w:tcPr>
            <w:tcW w:w="1378" w:type="pct"/>
            <w:shd w:val="clear" w:color="auto" w:fill="auto"/>
          </w:tcPr>
          <w:p w:rsidR="00533A24" w:rsidRPr="00533A24" w:rsidP="00533A24" w14:paraId="7F1484F3" w14:textId="77777777">
            <w:pPr>
              <w:contextualSpacing/>
              <w:rPr>
                <w:sz w:val="20"/>
                <w:szCs w:val="20"/>
              </w:rPr>
            </w:pPr>
            <w:r w:rsidRPr="00533A24">
              <w:rPr>
                <w:sz w:val="20"/>
                <w:szCs w:val="20"/>
              </w:rPr>
              <w:t xml:space="preserve">State, local, Territorial and/or Tribal Governments; submission of data elements to FDA consistent with </w:t>
            </w:r>
            <w:r w:rsidRPr="00533A24">
              <w:rPr>
                <w:color w:val="auto"/>
                <w:sz w:val="20"/>
                <w:szCs w:val="20"/>
              </w:rPr>
              <w:t>AFRPS</w:t>
            </w:r>
          </w:p>
        </w:tc>
        <w:tc>
          <w:tcPr>
            <w:tcW w:w="801" w:type="pct"/>
            <w:shd w:val="clear" w:color="auto" w:fill="auto"/>
          </w:tcPr>
          <w:p w:rsidR="00533A24" w:rsidRPr="00533A24" w:rsidP="00533A24" w14:paraId="513D56B0" w14:textId="77777777">
            <w:pPr>
              <w:contextualSpacing/>
              <w:jc w:val="right"/>
              <w:rPr>
                <w:sz w:val="20"/>
                <w:szCs w:val="20"/>
              </w:rPr>
            </w:pPr>
            <w:r w:rsidRPr="00533A24">
              <w:rPr>
                <w:sz w:val="20"/>
                <w:szCs w:val="20"/>
              </w:rPr>
              <w:t>25</w:t>
            </w:r>
          </w:p>
        </w:tc>
        <w:tc>
          <w:tcPr>
            <w:tcW w:w="819" w:type="pct"/>
            <w:shd w:val="clear" w:color="auto" w:fill="auto"/>
          </w:tcPr>
          <w:p w:rsidR="00533A24" w:rsidRPr="00533A24" w:rsidP="00533A24" w14:paraId="393373E2" w14:textId="77777777">
            <w:pPr>
              <w:contextualSpacing/>
              <w:jc w:val="right"/>
              <w:rPr>
                <w:sz w:val="20"/>
                <w:szCs w:val="20"/>
              </w:rPr>
            </w:pPr>
            <w:r w:rsidRPr="00533A24">
              <w:rPr>
                <w:sz w:val="20"/>
                <w:szCs w:val="20"/>
              </w:rPr>
              <w:t>11</w:t>
            </w:r>
          </w:p>
        </w:tc>
        <w:tc>
          <w:tcPr>
            <w:tcW w:w="679" w:type="pct"/>
            <w:shd w:val="clear" w:color="auto" w:fill="auto"/>
          </w:tcPr>
          <w:p w:rsidR="00533A24" w:rsidRPr="00533A24" w:rsidP="00533A24" w14:paraId="05F165B2" w14:textId="77777777">
            <w:pPr>
              <w:contextualSpacing/>
              <w:jc w:val="right"/>
              <w:rPr>
                <w:sz w:val="20"/>
                <w:szCs w:val="20"/>
              </w:rPr>
            </w:pPr>
            <w:r w:rsidRPr="00533A24">
              <w:rPr>
                <w:sz w:val="20"/>
                <w:szCs w:val="20"/>
              </w:rPr>
              <w:t>275</w:t>
            </w:r>
          </w:p>
        </w:tc>
        <w:tc>
          <w:tcPr>
            <w:tcW w:w="826" w:type="pct"/>
            <w:shd w:val="clear" w:color="auto" w:fill="auto"/>
          </w:tcPr>
          <w:p w:rsidR="00533A24" w:rsidRPr="00533A24" w:rsidP="00533A24" w14:paraId="18D700CF" w14:textId="77777777">
            <w:pPr>
              <w:contextualSpacing/>
              <w:jc w:val="right"/>
              <w:rPr>
                <w:sz w:val="20"/>
                <w:szCs w:val="20"/>
              </w:rPr>
            </w:pPr>
            <w:r w:rsidRPr="00533A24">
              <w:rPr>
                <w:sz w:val="20"/>
                <w:szCs w:val="20"/>
              </w:rPr>
              <w:t>40</w:t>
            </w:r>
          </w:p>
        </w:tc>
        <w:tc>
          <w:tcPr>
            <w:tcW w:w="497" w:type="pct"/>
            <w:shd w:val="clear" w:color="auto" w:fill="auto"/>
          </w:tcPr>
          <w:p w:rsidR="00533A24" w:rsidRPr="00533A24" w:rsidP="00533A24" w14:paraId="0B46BFF2" w14:textId="77777777">
            <w:pPr>
              <w:contextualSpacing/>
              <w:jc w:val="right"/>
              <w:rPr>
                <w:sz w:val="20"/>
                <w:szCs w:val="20"/>
              </w:rPr>
            </w:pPr>
            <w:r w:rsidRPr="00533A24">
              <w:rPr>
                <w:sz w:val="20"/>
                <w:szCs w:val="20"/>
              </w:rPr>
              <w:t>11,000</w:t>
            </w:r>
          </w:p>
        </w:tc>
      </w:tr>
      <w:tr w14:paraId="707049BA" w14:textId="77777777" w:rsidTr="00775138">
        <w:tblPrEx>
          <w:tblW w:w="5048" w:type="pct"/>
          <w:tblLayout w:type="fixed"/>
          <w:tblLook w:val="01E0"/>
        </w:tblPrEx>
        <w:trPr>
          <w:cantSplit/>
          <w:trHeight w:val="20"/>
        </w:trPr>
        <w:tc>
          <w:tcPr>
            <w:tcW w:w="4503" w:type="pct"/>
            <w:gridSpan w:val="5"/>
            <w:shd w:val="clear" w:color="auto" w:fill="auto"/>
          </w:tcPr>
          <w:p w:rsidR="00533A24" w:rsidRPr="00533A24" w:rsidP="00533A24" w14:paraId="59746519" w14:textId="77777777">
            <w:pPr>
              <w:contextualSpacing/>
              <w:rPr>
                <w:sz w:val="20"/>
                <w:szCs w:val="20"/>
              </w:rPr>
            </w:pPr>
            <w:r w:rsidRPr="00533A24">
              <w:rPr>
                <w:sz w:val="20"/>
                <w:szCs w:val="20"/>
              </w:rPr>
              <w:t>Total</w:t>
            </w:r>
          </w:p>
        </w:tc>
        <w:tc>
          <w:tcPr>
            <w:tcW w:w="497" w:type="pct"/>
            <w:shd w:val="clear" w:color="auto" w:fill="auto"/>
          </w:tcPr>
          <w:p w:rsidR="00533A24" w:rsidRPr="00533A24" w:rsidP="00533A24" w14:paraId="615762A5" w14:textId="77777777">
            <w:pPr>
              <w:contextualSpacing/>
              <w:jc w:val="right"/>
              <w:rPr>
                <w:sz w:val="20"/>
                <w:szCs w:val="20"/>
              </w:rPr>
            </w:pPr>
            <w:r w:rsidRPr="00533A24">
              <w:rPr>
                <w:sz w:val="20"/>
                <w:szCs w:val="20"/>
              </w:rPr>
              <w:t>11,800</w:t>
            </w:r>
          </w:p>
        </w:tc>
      </w:tr>
    </w:tbl>
    <w:p w:rsidR="00D42944" w:rsidRPr="003D1BB4" w:rsidP="00B94698" w14:paraId="709BD5A2" w14:textId="34518436">
      <w:pPr>
        <w:ind w:left="10" w:firstLine="0"/>
        <w:contextualSpacing/>
        <w:rPr>
          <w:sz w:val="20"/>
          <w:szCs w:val="20"/>
        </w:rPr>
      </w:pPr>
      <w:r w:rsidRPr="003D1BB4">
        <w:rPr>
          <w:sz w:val="20"/>
          <w:szCs w:val="20"/>
          <w:vertAlign w:val="superscript"/>
        </w:rPr>
        <w:t>1</w:t>
      </w:r>
      <w:r w:rsidRPr="003D1BB4">
        <w:rPr>
          <w:sz w:val="20"/>
          <w:szCs w:val="20"/>
        </w:rPr>
        <w:t xml:space="preserve"> There are no capital costs or operating and maintenance costs associated with this collection of information.</w:t>
      </w:r>
    </w:p>
    <w:p w:rsidR="003A65F3" w:rsidP="00D42944" w14:paraId="3649E59B" w14:textId="4BFA4AEB">
      <w:pPr>
        <w:contextualSpacing/>
      </w:pPr>
    </w:p>
    <w:p w:rsidR="006124F3" w:rsidP="00AD084D" w14:paraId="183C44C1" w14:textId="7548DF98">
      <w:pPr>
        <w:contextualSpacing/>
      </w:pPr>
      <w:r>
        <w:t>The total annual recordkeeping and reporting burden is 27,163 hours.</w:t>
      </w:r>
    </w:p>
    <w:p w:rsidR="00AD084D" w:rsidP="00AD084D" w14:paraId="07728629" w14:textId="77777777">
      <w:pPr>
        <w:contextualSpacing/>
        <w:rPr>
          <w:i/>
        </w:rPr>
      </w:pPr>
    </w:p>
    <w:p w:rsidR="002D6650" w:rsidP="006124F3" w14:paraId="51F32C23" w14:textId="77777777">
      <w:pPr>
        <w:spacing w:after="5" w:line="259" w:lineRule="auto"/>
        <w:ind w:left="0" w:firstLine="720"/>
        <w:rPr>
          <w:i/>
        </w:rPr>
      </w:pPr>
    </w:p>
    <w:p w:rsidR="002D6650" w:rsidP="006124F3" w14:paraId="5526EC51" w14:textId="77777777">
      <w:pPr>
        <w:spacing w:after="5" w:line="259" w:lineRule="auto"/>
        <w:ind w:left="0" w:firstLine="720"/>
        <w:rPr>
          <w:i/>
        </w:rPr>
      </w:pPr>
    </w:p>
    <w:p w:rsidR="002D6650" w:rsidP="006124F3" w14:paraId="540B7CCE" w14:textId="77777777">
      <w:pPr>
        <w:spacing w:after="5" w:line="259" w:lineRule="auto"/>
        <w:ind w:left="0" w:firstLine="720"/>
        <w:rPr>
          <w:i/>
        </w:rPr>
      </w:pPr>
    </w:p>
    <w:p w:rsidR="006124F3" w:rsidP="006124F3" w14:paraId="41D921E9" w14:textId="5144B61E">
      <w:pPr>
        <w:spacing w:after="5" w:line="259" w:lineRule="auto"/>
        <w:ind w:left="0" w:firstLine="720"/>
        <w:rPr>
          <w:i/>
        </w:rPr>
      </w:pPr>
      <w:r>
        <w:rPr>
          <w:i/>
        </w:rPr>
        <w:t>12b</w:t>
      </w:r>
      <w:r w:rsidR="00DF0BF5">
        <w:rPr>
          <w:i/>
        </w:rPr>
        <w:t xml:space="preserve">. </w:t>
      </w:r>
      <w:r>
        <w:rPr>
          <w:i/>
        </w:rPr>
        <w:t>Annualized Cost Estimate</w:t>
      </w:r>
    </w:p>
    <w:p w:rsidR="006124F3" w:rsidP="006124F3" w14:paraId="690B31E5" w14:textId="77777777">
      <w:pPr>
        <w:spacing w:after="5" w:line="259" w:lineRule="auto"/>
        <w:ind w:left="0" w:firstLine="20"/>
      </w:pPr>
    </w:p>
    <w:p w:rsidR="00763864" w:rsidP="006124F3" w14:paraId="5B3C4F62" w14:textId="507624C9">
      <w:pPr>
        <w:spacing w:after="5" w:line="259" w:lineRule="auto"/>
        <w:ind w:left="0" w:firstLine="0"/>
      </w:pPr>
      <w:r>
        <w:t>FDA assumes an average hourly wage rate</w:t>
      </w:r>
      <w:r w:rsidR="007F3EDF">
        <w:t xml:space="preserve"> </w:t>
      </w:r>
      <w:r>
        <w:t>of $</w:t>
      </w:r>
      <w:r w:rsidR="00634C28">
        <w:t>45.04</w:t>
      </w:r>
      <w:r w:rsidR="003E2050">
        <w:t xml:space="preserve"> </w:t>
      </w:r>
      <w:r>
        <w:t>per hour</w:t>
      </w:r>
      <w:r>
        <w:rPr>
          <w:rStyle w:val="FootnoteReference"/>
        </w:rPr>
        <w:footnoteReference w:id="2"/>
      </w:r>
      <w:r>
        <w:t xml:space="preserve">. </w:t>
      </w:r>
      <w:r w:rsidR="00EA678C">
        <w:t xml:space="preserve">Doubling that to </w:t>
      </w:r>
      <w:r w:rsidR="00915CC6">
        <w:t>approximate a “fully loaded” cost estimate</w:t>
      </w:r>
      <w:r w:rsidR="003C07F3">
        <w:t xml:space="preserve"> produces $</w:t>
      </w:r>
      <w:r w:rsidR="00405BF5">
        <w:t>90.08</w:t>
      </w:r>
      <w:r w:rsidR="003C07F3">
        <w:t>/hr.</w:t>
      </w:r>
      <w:r w:rsidR="00915CC6">
        <w:t xml:space="preserve"> </w:t>
      </w:r>
      <w:r w:rsidR="00196BE9">
        <w:t>We</w:t>
      </w:r>
      <w:r w:rsidR="003C07F3">
        <w:t xml:space="preserve"> therefore</w:t>
      </w:r>
      <w:r w:rsidR="00196BE9">
        <w:t xml:space="preserve"> </w:t>
      </w:r>
      <w:r>
        <w:t>calculate respondent costs to</w:t>
      </w:r>
      <w:r w:rsidR="00046A62">
        <w:t xml:space="preserve"> be</w:t>
      </w:r>
      <w:r>
        <w:t xml:space="preserve"> $</w:t>
      </w:r>
      <w:r w:rsidRPr="00B91913" w:rsidR="00B91913">
        <w:t>2,</w:t>
      </w:r>
      <w:r w:rsidR="00405BF5">
        <w:t>446</w:t>
      </w:r>
      <w:r w:rsidRPr="00B91913" w:rsidR="00B91913">
        <w:t>,8</w:t>
      </w:r>
      <w:r w:rsidR="00BD5C0C">
        <w:t>43</w:t>
      </w:r>
      <w:r w:rsidRPr="00B91913" w:rsidR="00B91913">
        <w:t>.</w:t>
      </w:r>
      <w:r w:rsidR="00BD5C0C">
        <w:t>04</w:t>
      </w:r>
      <w:r>
        <w:t xml:space="preserve"> (</w:t>
      </w:r>
      <w:r w:rsidR="003C07F3">
        <w:t>27,163</w:t>
      </w:r>
      <w:r>
        <w:t xml:space="preserve"> x $</w:t>
      </w:r>
      <w:r w:rsidR="00BD5C0C">
        <w:t>90.08</w:t>
      </w:r>
      <w:r>
        <w:t xml:space="preserve">). </w:t>
      </w:r>
    </w:p>
    <w:p w:rsidR="00763864" w:rsidP="00913D74" w14:paraId="33BE47D5" w14:textId="77777777">
      <w:pPr>
        <w:spacing w:after="0" w:line="259" w:lineRule="auto"/>
        <w:ind w:left="0" w:firstLine="0"/>
      </w:pPr>
      <w:r>
        <w:t xml:space="preserve"> </w:t>
      </w:r>
    </w:p>
    <w:p w:rsidR="00763864" w:rsidP="000F39CB" w14:paraId="2FEF4DFB" w14:textId="5903D123">
      <w:pPr>
        <w:spacing w:after="0" w:line="259" w:lineRule="auto"/>
        <w:ind w:left="0" w:firstLine="0"/>
      </w:pPr>
      <w:r>
        <w:t>13</w:t>
      </w:r>
      <w:r w:rsidR="00DF0BF5">
        <w:t xml:space="preserve">. </w:t>
      </w:r>
      <w:r>
        <w:t xml:space="preserve">Estimate of the Other Total Annual Costs to Respondents and/or Recordkeepers/Capital Costs </w:t>
      </w:r>
    </w:p>
    <w:p w:rsidR="00763864" w14:paraId="0A8F50A2" w14:textId="77777777">
      <w:pPr>
        <w:spacing w:after="0" w:line="259" w:lineRule="auto"/>
        <w:ind w:left="0" w:firstLine="0"/>
      </w:pPr>
      <w:r>
        <w:t xml:space="preserve"> </w:t>
      </w:r>
    </w:p>
    <w:p w:rsidR="00763864" w14:paraId="3714FE0A" w14:textId="77777777">
      <w:pPr>
        <w:ind w:left="-5"/>
      </w:pPr>
      <w:r>
        <w:t xml:space="preserve">There are no capital, start-up, operating or maintenance costs associated with this collection of information. </w:t>
      </w:r>
    </w:p>
    <w:p w:rsidR="00763864" w14:paraId="3B629F66" w14:textId="77777777">
      <w:pPr>
        <w:spacing w:after="0" w:line="259" w:lineRule="auto"/>
        <w:ind w:left="0" w:firstLine="0"/>
      </w:pPr>
      <w:r>
        <w:t xml:space="preserve"> </w:t>
      </w:r>
    </w:p>
    <w:p w:rsidR="00763864" w14:paraId="5189D6C2" w14:textId="44AAC918">
      <w:pPr>
        <w:pStyle w:val="Heading2"/>
        <w:ind w:left="-5"/>
      </w:pPr>
      <w:r>
        <w:rPr>
          <w:u w:val="none"/>
        </w:rPr>
        <w:t>14</w:t>
      </w:r>
      <w:r w:rsidR="00DF0BF5">
        <w:rPr>
          <w:u w:val="none"/>
        </w:rPr>
        <w:t xml:space="preserve">. </w:t>
      </w:r>
      <w:r>
        <w:t>Annualized Cost to the Federal Government</w:t>
      </w:r>
      <w:r>
        <w:rPr>
          <w:u w:val="none"/>
        </w:rPr>
        <w:t xml:space="preserve"> </w:t>
      </w:r>
    </w:p>
    <w:p w:rsidR="00763864" w14:paraId="3000ADFD" w14:textId="77777777">
      <w:pPr>
        <w:spacing w:after="0" w:line="259" w:lineRule="auto"/>
        <w:ind w:left="0" w:firstLine="0"/>
      </w:pPr>
      <w:r>
        <w:t xml:space="preserve"> </w:t>
      </w:r>
    </w:p>
    <w:p w:rsidR="00D240E1" w:rsidRPr="00E31F07" w:rsidP="00D240E1" w14:paraId="3AEE2B92" w14:textId="428E559A">
      <w:pPr>
        <w:rPr>
          <w:rFonts w:eastAsia="Calibri"/>
          <w:szCs w:val="24"/>
        </w:rPr>
      </w:pPr>
      <w:r w:rsidRPr="00822B81">
        <w:rPr>
          <w:rFonts w:eastAsia="Calibri"/>
          <w:szCs w:val="24"/>
        </w:rPr>
        <w:t xml:space="preserve">Staff needs specific to this collection include effort to review report submissions, provide technical guidance to program participants on using the forms, and facilitation of periodic review and updates to the </w:t>
      </w:r>
      <w:r w:rsidRPr="004C4786" w:rsidR="00FD5BB8">
        <w:rPr>
          <w:rFonts w:eastAsia="Calibri"/>
          <w:szCs w:val="24"/>
        </w:rPr>
        <w:t>A</w:t>
      </w:r>
      <w:r w:rsidRPr="004C4786">
        <w:rPr>
          <w:rFonts w:eastAsia="Calibri"/>
          <w:szCs w:val="24"/>
        </w:rPr>
        <w:t xml:space="preserve">FRPS </w:t>
      </w:r>
      <w:r w:rsidRPr="00E31F07" w:rsidR="00FB3DB2">
        <w:rPr>
          <w:rFonts w:eastAsia="Calibri"/>
          <w:szCs w:val="24"/>
        </w:rPr>
        <w:t xml:space="preserve">and ERPS </w:t>
      </w:r>
      <w:r w:rsidRPr="00E31F07">
        <w:rPr>
          <w:rFonts w:eastAsia="Calibri"/>
          <w:szCs w:val="24"/>
        </w:rPr>
        <w:t>when needed.</w:t>
      </w:r>
    </w:p>
    <w:p w:rsidR="00D240E1" w:rsidRPr="00822B81" w:rsidP="00D240E1" w14:paraId="5E0A498B" w14:textId="77777777">
      <w:pPr>
        <w:rPr>
          <w:rFonts w:ascii="Verdana" w:eastAsia="Calibri" w:hAnsi="Verdana" w:cs="Calibri"/>
          <w:szCs w:val="24"/>
        </w:rPr>
      </w:pPr>
    </w:p>
    <w:tbl>
      <w:tblPr>
        <w:tblW w:w="0" w:type="auto"/>
        <w:tblInd w:w="-5" w:type="dxa"/>
        <w:tblCellMar>
          <w:left w:w="0" w:type="dxa"/>
          <w:right w:w="0" w:type="dxa"/>
        </w:tblCellMar>
        <w:tblLook w:val="04A0"/>
      </w:tblPr>
      <w:tblGrid>
        <w:gridCol w:w="2430"/>
        <w:gridCol w:w="2160"/>
        <w:gridCol w:w="2520"/>
        <w:gridCol w:w="1530"/>
      </w:tblGrid>
      <w:tr w14:paraId="5C390F5E" w14:textId="77777777" w:rsidTr="002716C7">
        <w:tblPrEx>
          <w:tblW w:w="0" w:type="auto"/>
          <w:tblInd w:w="-5" w:type="dxa"/>
          <w:tblCellMar>
            <w:left w:w="0" w:type="dxa"/>
            <w:right w:w="0" w:type="dxa"/>
          </w:tblCellMar>
          <w:tblLook w:val="04A0"/>
        </w:tblPrEx>
        <w:tc>
          <w:tcPr>
            <w:tcW w:w="8640" w:type="dxa"/>
            <w:gridSpan w:val="4"/>
            <w:tcBorders>
              <w:bottom w:val="single" w:sz="4" w:space="0" w:color="auto"/>
            </w:tcBorders>
            <w:tcMar>
              <w:top w:w="0" w:type="dxa"/>
              <w:left w:w="108" w:type="dxa"/>
              <w:bottom w:w="0" w:type="dxa"/>
              <w:right w:w="108" w:type="dxa"/>
            </w:tcMar>
            <w:hideMark/>
          </w:tcPr>
          <w:p w:rsidR="00D240E1" w:rsidRPr="00822B81" w:rsidP="002716C7" w14:paraId="4BB43A9A" w14:textId="63B64DC3">
            <w:pPr>
              <w:autoSpaceDE w:val="0"/>
              <w:autoSpaceDN w:val="0"/>
              <w:jc w:val="center"/>
              <w:rPr>
                <w:rFonts w:eastAsia="Calibri"/>
                <w:szCs w:val="24"/>
              </w:rPr>
            </w:pPr>
            <w:r w:rsidRPr="00822B81">
              <w:rPr>
                <w:rFonts w:eastAsia="Calibri"/>
                <w:szCs w:val="24"/>
              </w:rPr>
              <w:t xml:space="preserve">Table </w:t>
            </w:r>
            <w:r w:rsidR="00F92F4D">
              <w:rPr>
                <w:rFonts w:eastAsia="Calibri"/>
                <w:szCs w:val="24"/>
              </w:rPr>
              <w:t>3</w:t>
            </w:r>
            <w:r w:rsidRPr="00822B81">
              <w:rPr>
                <w:rFonts w:eastAsia="Calibri"/>
                <w:szCs w:val="24"/>
              </w:rPr>
              <w:t>.</w:t>
            </w:r>
            <w:r w:rsidR="00F92F4D">
              <w:rPr>
                <w:rFonts w:eastAsia="Calibri"/>
                <w:szCs w:val="24"/>
              </w:rPr>
              <w:t xml:space="preserve"> – </w:t>
            </w:r>
            <w:r w:rsidRPr="00822B81">
              <w:rPr>
                <w:rFonts w:eastAsia="Calibri"/>
                <w:szCs w:val="24"/>
              </w:rPr>
              <w:t>Estimated Government Costs</w:t>
            </w:r>
            <w:r>
              <w:rPr>
                <w:rStyle w:val="FootnoteReference"/>
                <w:rFonts w:eastAsia="Calibri"/>
                <w:szCs w:val="24"/>
              </w:rPr>
              <w:footnoteReference w:id="3"/>
            </w:r>
          </w:p>
        </w:tc>
      </w:tr>
      <w:tr w14:paraId="50ACBAA0" w14:textId="77777777" w:rsidTr="002716C7">
        <w:tblPrEx>
          <w:tblW w:w="0" w:type="auto"/>
          <w:tblInd w:w="-5" w:type="dxa"/>
          <w:tblCellMar>
            <w:left w:w="0" w:type="dxa"/>
            <w:right w:w="0" w:type="dxa"/>
          </w:tblCellMar>
          <w:tblLook w:val="04A0"/>
        </w:tblPrEx>
        <w:tc>
          <w:tcPr>
            <w:tcW w:w="24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40E1" w:rsidRPr="00822B81" w:rsidP="00B34843" w14:paraId="140F78CB" w14:textId="77777777">
            <w:pPr>
              <w:autoSpaceDE w:val="0"/>
              <w:autoSpaceDN w:val="0"/>
              <w:rPr>
                <w:rFonts w:eastAsia="Calibri"/>
                <w:szCs w:val="24"/>
              </w:rPr>
            </w:pPr>
            <w:r w:rsidRPr="00822B81">
              <w:rPr>
                <w:rFonts w:eastAsia="Calibri"/>
                <w:szCs w:val="24"/>
              </w:rPr>
              <w:t>Government Personnel</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3099CFF3" w14:textId="77777777">
            <w:pPr>
              <w:autoSpaceDE w:val="0"/>
              <w:autoSpaceDN w:val="0"/>
              <w:rPr>
                <w:rFonts w:eastAsia="Calibri"/>
                <w:szCs w:val="24"/>
              </w:rPr>
            </w:pPr>
            <w:r w:rsidRPr="00822B81">
              <w:rPr>
                <w:rFonts w:eastAsia="Calibri"/>
                <w:szCs w:val="24"/>
              </w:rPr>
              <w:t>Effort Commitment</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17CB6CB4" w14:textId="77777777">
            <w:pPr>
              <w:autoSpaceDE w:val="0"/>
              <w:autoSpaceDN w:val="0"/>
              <w:rPr>
                <w:rFonts w:eastAsia="Calibri"/>
                <w:szCs w:val="24"/>
              </w:rPr>
            </w:pPr>
            <w:r w:rsidRPr="00822B81">
              <w:rPr>
                <w:rFonts w:eastAsia="Calibri"/>
                <w:szCs w:val="24"/>
              </w:rPr>
              <w:t>Average Annual Salary</w:t>
            </w:r>
          </w:p>
        </w:tc>
        <w:tc>
          <w:tcPr>
            <w:tcW w:w="153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7215FD8B" w14:textId="77777777">
            <w:pPr>
              <w:autoSpaceDE w:val="0"/>
              <w:autoSpaceDN w:val="0"/>
              <w:rPr>
                <w:rFonts w:eastAsia="Calibri"/>
                <w:szCs w:val="24"/>
              </w:rPr>
            </w:pPr>
            <w:r w:rsidRPr="00822B81">
              <w:rPr>
                <w:rFonts w:eastAsia="Calibri"/>
                <w:szCs w:val="24"/>
              </w:rPr>
              <w:t>Total Costs</w:t>
            </w:r>
          </w:p>
        </w:tc>
      </w:tr>
      <w:tr w14:paraId="4021FF4B" w14:textId="77777777" w:rsidTr="00B34843">
        <w:tblPrEx>
          <w:tblW w:w="0" w:type="auto"/>
          <w:tblInd w:w="-5" w:type="dxa"/>
          <w:tblCellMar>
            <w:left w:w="0" w:type="dxa"/>
            <w:right w:w="0" w:type="dxa"/>
          </w:tblCellMar>
          <w:tblLook w:val="04A0"/>
        </w:tblPrEx>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0E1" w:rsidRPr="00822B81" w:rsidP="00B34843" w14:paraId="0D807328" w14:textId="77777777">
            <w:pPr>
              <w:autoSpaceDE w:val="0"/>
              <w:autoSpaceDN w:val="0"/>
              <w:rPr>
                <w:rFonts w:eastAsia="Calibri"/>
                <w:szCs w:val="24"/>
              </w:rPr>
            </w:pPr>
            <w:r w:rsidRPr="00822B81">
              <w:rPr>
                <w:rFonts w:eastAsia="Calibri"/>
                <w:szCs w:val="24"/>
              </w:rPr>
              <w:t>GS-12 (1)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13CE6FA5" w14:textId="77777777">
            <w:pPr>
              <w:autoSpaceDE w:val="0"/>
              <w:autoSpaceDN w:val="0"/>
              <w:rPr>
                <w:rFonts w:eastAsia="Calibri"/>
                <w:szCs w:val="24"/>
              </w:rPr>
            </w:pPr>
            <w:r w:rsidRPr="00822B81">
              <w:rPr>
                <w:rFonts w:eastAsia="Calibri"/>
                <w:szCs w:val="24"/>
              </w:rPr>
              <w:t>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719DC390" w14:textId="35540828">
            <w:pPr>
              <w:autoSpaceDE w:val="0"/>
              <w:autoSpaceDN w:val="0"/>
              <w:rPr>
                <w:rFonts w:eastAsia="Calibri"/>
                <w:szCs w:val="24"/>
              </w:rPr>
            </w:pPr>
            <w:r w:rsidRPr="00822B81">
              <w:rPr>
                <w:rFonts w:eastAsia="Calibri"/>
                <w:szCs w:val="24"/>
              </w:rPr>
              <w:t>$</w:t>
            </w:r>
            <w:r w:rsidR="0060341C">
              <w:rPr>
                <w:rFonts w:eastAsia="Calibri"/>
                <w:szCs w:val="24"/>
              </w:rPr>
              <w:t>102,415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4C64551C" w14:textId="55855A91">
            <w:pPr>
              <w:autoSpaceDE w:val="0"/>
              <w:autoSpaceDN w:val="0"/>
              <w:rPr>
                <w:rFonts w:eastAsia="Calibri"/>
                <w:szCs w:val="24"/>
              </w:rPr>
            </w:pPr>
            <w:r>
              <w:rPr>
                <w:rFonts w:eastAsia="Calibri"/>
                <w:szCs w:val="24"/>
              </w:rPr>
              <w:t>$</w:t>
            </w:r>
            <w:r w:rsidR="00FA754B">
              <w:rPr>
                <w:rFonts w:eastAsia="Calibri"/>
                <w:szCs w:val="24"/>
              </w:rPr>
              <w:t>5,120.75</w:t>
            </w:r>
          </w:p>
        </w:tc>
      </w:tr>
      <w:tr w14:paraId="719AC3D7" w14:textId="77777777" w:rsidTr="00B34843">
        <w:tblPrEx>
          <w:tblW w:w="0" w:type="auto"/>
          <w:tblInd w:w="-5" w:type="dxa"/>
          <w:tblCellMar>
            <w:left w:w="0" w:type="dxa"/>
            <w:right w:w="0" w:type="dxa"/>
          </w:tblCellMar>
          <w:tblLook w:val="04A0"/>
        </w:tblPrEx>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0E1" w:rsidRPr="00822B81" w:rsidP="00B34843" w14:paraId="734BBE34" w14:textId="01DD68A1">
            <w:pPr>
              <w:autoSpaceDE w:val="0"/>
              <w:autoSpaceDN w:val="0"/>
              <w:rPr>
                <w:rFonts w:eastAsia="Calibri"/>
                <w:szCs w:val="24"/>
              </w:rPr>
            </w:pPr>
            <w:r w:rsidRPr="00822B81">
              <w:rPr>
                <w:rFonts w:eastAsia="Calibri"/>
                <w:szCs w:val="24"/>
              </w:rPr>
              <w:t>GS-13 (</w:t>
            </w:r>
            <w:r w:rsidRPr="00822B81" w:rsidR="008F1C9E">
              <w:rPr>
                <w:rFonts w:eastAsia="Calibri"/>
                <w:szCs w:val="24"/>
              </w:rPr>
              <w:t>2</w:t>
            </w:r>
            <w:r w:rsidRPr="00822B81">
              <w:rPr>
                <w:rFonts w:eastAsia="Calibri"/>
                <w:szCs w:val="24"/>
              </w:rPr>
              <w:t xml:space="preserve"> @ </w:t>
            </w:r>
            <w:r w:rsidRPr="00822B81" w:rsidR="008F1C9E">
              <w:rPr>
                <w:rFonts w:eastAsia="Calibri"/>
                <w:szCs w:val="24"/>
              </w:rPr>
              <w:t>30</w:t>
            </w:r>
            <w:r w:rsidRPr="00822B81">
              <w:rPr>
                <w:rFonts w:eastAsia="Calibri"/>
                <w:szCs w:val="24"/>
              </w:rPr>
              <w:t>% each)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3BCCC88D" w14:textId="3D8967D7">
            <w:pPr>
              <w:autoSpaceDE w:val="0"/>
              <w:autoSpaceDN w:val="0"/>
              <w:rPr>
                <w:rFonts w:eastAsia="Calibri"/>
                <w:szCs w:val="24"/>
              </w:rPr>
            </w:pPr>
            <w:r w:rsidRPr="00822B81">
              <w:rPr>
                <w:rFonts w:eastAsia="Calibri"/>
                <w:szCs w:val="24"/>
              </w:rPr>
              <w:t>60</w:t>
            </w:r>
            <w:r w:rsidRPr="00822B81">
              <w:rPr>
                <w:rFonts w:eastAsia="Calibri"/>
                <w:szCs w:val="24"/>
              </w:rPr>
              <w: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3A36A636" w14:textId="31313CD7">
            <w:pPr>
              <w:autoSpaceDE w:val="0"/>
              <w:autoSpaceDN w:val="0"/>
              <w:rPr>
                <w:rFonts w:eastAsia="Calibri"/>
                <w:szCs w:val="24"/>
              </w:rPr>
            </w:pPr>
            <w:r w:rsidRPr="00822B81">
              <w:rPr>
                <w:rFonts w:eastAsia="Calibri"/>
                <w:szCs w:val="24"/>
              </w:rPr>
              <w:t>$</w:t>
            </w:r>
            <w:r w:rsidR="0060341C">
              <w:rPr>
                <w:rFonts w:eastAsia="Calibri"/>
                <w:szCs w:val="24"/>
              </w:rPr>
              <w:t>121,785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5D93290D" w14:textId="7A9162A0">
            <w:pPr>
              <w:autoSpaceDE w:val="0"/>
              <w:autoSpaceDN w:val="0"/>
              <w:rPr>
                <w:rFonts w:eastAsia="Calibri"/>
                <w:szCs w:val="24"/>
              </w:rPr>
            </w:pPr>
            <w:r w:rsidRPr="00822B81">
              <w:rPr>
                <w:rFonts w:eastAsia="Calibri"/>
                <w:szCs w:val="24"/>
              </w:rPr>
              <w:t>$</w:t>
            </w:r>
            <w:r w:rsidR="00FA754B">
              <w:rPr>
                <w:rFonts w:eastAsia="Calibri"/>
                <w:szCs w:val="24"/>
              </w:rPr>
              <w:t>73,071</w:t>
            </w:r>
            <w:r w:rsidR="007E1460">
              <w:rPr>
                <w:rFonts w:eastAsia="Calibri"/>
                <w:szCs w:val="24"/>
              </w:rPr>
              <w:t>.00</w:t>
            </w:r>
          </w:p>
        </w:tc>
      </w:tr>
      <w:tr w14:paraId="6BE87CE4" w14:textId="77777777" w:rsidTr="00AB62C8">
        <w:tblPrEx>
          <w:tblW w:w="0" w:type="auto"/>
          <w:tblInd w:w="-5" w:type="dxa"/>
          <w:tblCellMar>
            <w:left w:w="0" w:type="dxa"/>
            <w:right w:w="0" w:type="dxa"/>
          </w:tblCellMar>
          <w:tblLook w:val="04A0"/>
        </w:tblPrEx>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40E1" w:rsidRPr="00822B81" w:rsidP="00B34843" w14:paraId="5958136D" w14:textId="77777777">
            <w:pPr>
              <w:autoSpaceDE w:val="0"/>
              <w:autoSpaceDN w:val="0"/>
              <w:rPr>
                <w:rFonts w:eastAsia="Calibri"/>
                <w:szCs w:val="24"/>
              </w:rPr>
            </w:pPr>
            <w:r w:rsidRPr="00822B81">
              <w:rPr>
                <w:rFonts w:eastAsia="Calibri"/>
                <w:szCs w:val="24"/>
              </w:rPr>
              <w:t>GS-14 (1)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22EE3469" w14:textId="77777777">
            <w:pPr>
              <w:autoSpaceDE w:val="0"/>
              <w:autoSpaceDN w:val="0"/>
              <w:rPr>
                <w:rFonts w:eastAsia="Calibri"/>
                <w:szCs w:val="24"/>
              </w:rPr>
            </w:pPr>
            <w:r w:rsidRPr="00822B81">
              <w:rPr>
                <w:rFonts w:eastAsia="Calibri"/>
                <w:szCs w:val="24"/>
              </w:rPr>
              <w:t>10%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275D64A1" w14:textId="6FF21706">
            <w:pPr>
              <w:autoSpaceDE w:val="0"/>
              <w:autoSpaceDN w:val="0"/>
              <w:rPr>
                <w:rFonts w:eastAsia="Calibri"/>
                <w:szCs w:val="24"/>
              </w:rPr>
            </w:pPr>
            <w:r w:rsidRPr="00822B81">
              <w:rPr>
                <w:rFonts w:eastAsia="Calibri"/>
                <w:szCs w:val="24"/>
              </w:rPr>
              <w:t>$</w:t>
            </w:r>
            <w:r w:rsidR="0060341C">
              <w:rPr>
                <w:rFonts w:eastAsia="Calibri"/>
                <w:szCs w:val="24"/>
              </w:rPr>
              <w:t>143,913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240E1" w:rsidRPr="00822B81" w:rsidP="00B34843" w14:paraId="44EA4F14" w14:textId="7F9CD35A">
            <w:pPr>
              <w:autoSpaceDE w:val="0"/>
              <w:autoSpaceDN w:val="0"/>
              <w:rPr>
                <w:rFonts w:eastAsia="Calibri"/>
                <w:szCs w:val="24"/>
              </w:rPr>
            </w:pPr>
            <w:r w:rsidRPr="00822B81">
              <w:rPr>
                <w:rFonts w:eastAsia="Calibri"/>
                <w:szCs w:val="24"/>
              </w:rPr>
              <w:t>$1</w:t>
            </w:r>
            <w:r w:rsidR="00407021">
              <w:rPr>
                <w:rFonts w:eastAsia="Calibri"/>
                <w:szCs w:val="24"/>
              </w:rPr>
              <w:t>4,391.30</w:t>
            </w:r>
          </w:p>
        </w:tc>
      </w:tr>
      <w:tr w14:paraId="3A18C032" w14:textId="77777777" w:rsidTr="00AB62C8">
        <w:tblPrEx>
          <w:tblW w:w="0" w:type="auto"/>
          <w:tblInd w:w="-5" w:type="dxa"/>
          <w:tblCellMar>
            <w:left w:w="0" w:type="dxa"/>
            <w:right w:w="0" w:type="dxa"/>
          </w:tblCellMar>
          <w:tblLook w:val="04A0"/>
        </w:tblPrEx>
        <w:tc>
          <w:tcPr>
            <w:tcW w:w="24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240E1" w:rsidRPr="00822B81" w:rsidP="00B34843" w14:paraId="510C33BC" w14:textId="77777777">
            <w:pPr>
              <w:autoSpaceDE w:val="0"/>
              <w:autoSpaceDN w:val="0"/>
              <w:rPr>
                <w:rFonts w:eastAsia="Calibri"/>
                <w:szCs w:val="24"/>
              </w:rPr>
            </w:pPr>
            <w:r w:rsidRPr="00822B81">
              <w:rPr>
                <w:rFonts w:eastAsia="Calibri"/>
                <w:szCs w:val="24"/>
              </w:rPr>
              <w:t>GS-15 (1)</w:t>
            </w:r>
          </w:p>
        </w:tc>
        <w:tc>
          <w:tcPr>
            <w:tcW w:w="21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40E1" w:rsidRPr="00822B81" w:rsidP="00B34843" w14:paraId="5C298558" w14:textId="2A46EF38">
            <w:pPr>
              <w:autoSpaceDE w:val="0"/>
              <w:autoSpaceDN w:val="0"/>
              <w:rPr>
                <w:rFonts w:eastAsia="Calibri"/>
                <w:szCs w:val="24"/>
              </w:rPr>
            </w:pPr>
            <w:r w:rsidRPr="00822B81">
              <w:rPr>
                <w:rFonts w:eastAsia="Calibri"/>
                <w:szCs w:val="24"/>
              </w:rPr>
              <w:t>2</w:t>
            </w:r>
            <w:r w:rsidRPr="00822B81">
              <w:rPr>
                <w:rFonts w:eastAsia="Calibri"/>
                <w:szCs w:val="24"/>
              </w:rPr>
              <w:t>%</w:t>
            </w:r>
          </w:p>
        </w:tc>
        <w:tc>
          <w:tcPr>
            <w:tcW w:w="25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40E1" w:rsidRPr="00822B81" w:rsidP="00B34843" w14:paraId="3FED56D6" w14:textId="72C9DE4A">
            <w:pPr>
              <w:autoSpaceDE w:val="0"/>
              <w:autoSpaceDN w:val="0"/>
              <w:rPr>
                <w:rFonts w:eastAsia="Calibri"/>
                <w:szCs w:val="24"/>
              </w:rPr>
            </w:pPr>
            <w:r w:rsidRPr="00822B81">
              <w:rPr>
                <w:rFonts w:eastAsia="Calibri"/>
                <w:szCs w:val="24"/>
              </w:rPr>
              <w:t>$</w:t>
            </w:r>
            <w:r w:rsidR="0060341C">
              <w:rPr>
                <w:rFonts w:eastAsia="Calibri"/>
                <w:szCs w:val="24"/>
              </w:rPr>
              <w:t>169,279</w:t>
            </w:r>
          </w:p>
        </w:tc>
        <w:tc>
          <w:tcPr>
            <w:tcW w:w="15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40E1" w:rsidRPr="00822B81" w:rsidP="00B34843" w14:paraId="0F292FBB" w14:textId="6D67D74C">
            <w:pPr>
              <w:autoSpaceDE w:val="0"/>
              <w:autoSpaceDN w:val="0"/>
              <w:rPr>
                <w:rFonts w:eastAsia="Calibri"/>
                <w:szCs w:val="24"/>
              </w:rPr>
            </w:pPr>
            <w:r w:rsidRPr="00822B81">
              <w:rPr>
                <w:rFonts w:eastAsia="Calibri"/>
                <w:szCs w:val="24"/>
              </w:rPr>
              <w:t>$</w:t>
            </w:r>
            <w:r w:rsidR="00A410D2">
              <w:rPr>
                <w:rFonts w:eastAsia="Calibri"/>
                <w:szCs w:val="24"/>
              </w:rPr>
              <w:t>3,</w:t>
            </w:r>
            <w:r w:rsidR="004F5F8D">
              <w:rPr>
                <w:rFonts w:eastAsia="Calibri"/>
                <w:szCs w:val="24"/>
              </w:rPr>
              <w:t>385.58</w:t>
            </w:r>
          </w:p>
        </w:tc>
      </w:tr>
      <w:tr w14:paraId="254F309A" w14:textId="77777777" w:rsidTr="00AB62C8">
        <w:tblPrEx>
          <w:tblW w:w="0" w:type="auto"/>
          <w:tblInd w:w="-5" w:type="dxa"/>
          <w:tblCellMar>
            <w:left w:w="0" w:type="dxa"/>
            <w:right w:w="0" w:type="dxa"/>
          </w:tblCellMar>
          <w:tblLook w:val="04A0"/>
        </w:tblPrEx>
        <w:tc>
          <w:tcPr>
            <w:tcW w:w="7110"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240E1" w:rsidRPr="00822B81" w:rsidP="00B34843" w14:paraId="62921EE5" w14:textId="77777777">
            <w:pPr>
              <w:autoSpaceDE w:val="0"/>
              <w:autoSpaceDN w:val="0"/>
              <w:rPr>
                <w:rFonts w:eastAsia="Calibri"/>
                <w:szCs w:val="24"/>
              </w:rPr>
            </w:pPr>
            <w:r w:rsidRPr="00822B81">
              <w:rPr>
                <w:rFonts w:eastAsia="Calibri"/>
                <w:szCs w:val="24"/>
              </w:rPr>
              <w:t>Total</w:t>
            </w:r>
          </w:p>
        </w:tc>
        <w:tc>
          <w:tcPr>
            <w:tcW w:w="153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40E1" w:rsidRPr="008F370F" w:rsidP="00B34843" w14:paraId="1AB82424" w14:textId="1C98EF87">
            <w:pPr>
              <w:autoSpaceDE w:val="0"/>
              <w:autoSpaceDN w:val="0"/>
              <w:rPr>
                <w:rFonts w:eastAsia="Calibri"/>
                <w:szCs w:val="24"/>
              </w:rPr>
            </w:pPr>
            <w:r w:rsidRPr="00822B81">
              <w:rPr>
                <w:rFonts w:eastAsia="Calibri"/>
                <w:szCs w:val="24"/>
              </w:rPr>
              <w:t>$</w:t>
            </w:r>
            <w:r w:rsidR="009A15F3">
              <w:rPr>
                <w:rFonts w:eastAsia="Calibri"/>
                <w:szCs w:val="24"/>
              </w:rPr>
              <w:t>95,968.63</w:t>
            </w:r>
          </w:p>
        </w:tc>
      </w:tr>
    </w:tbl>
    <w:p w:rsidR="00D240E1" w:rsidRPr="00CA3D26" w:rsidP="00D240E1" w14:paraId="6A084E46" w14:textId="77777777"/>
    <w:p w:rsidR="00763864" w14:paraId="199E311F" w14:textId="58A43033">
      <w:pPr>
        <w:pStyle w:val="Heading2"/>
        <w:ind w:left="-5"/>
      </w:pPr>
      <w:r>
        <w:rPr>
          <w:u w:val="none"/>
        </w:rPr>
        <w:t>15</w:t>
      </w:r>
      <w:r w:rsidR="00DF0BF5">
        <w:rPr>
          <w:u w:val="none"/>
        </w:rPr>
        <w:t xml:space="preserve">. </w:t>
      </w:r>
      <w:r>
        <w:t>Explanation for Program Changes or Adjustments</w:t>
      </w:r>
      <w:r>
        <w:rPr>
          <w:u w:val="none"/>
        </w:rPr>
        <w:t xml:space="preserve"> </w:t>
      </w:r>
    </w:p>
    <w:p w:rsidR="00763864" w14:paraId="64CF2AE8" w14:textId="77777777">
      <w:pPr>
        <w:spacing w:after="0" w:line="259" w:lineRule="auto"/>
        <w:ind w:left="0" w:firstLine="0"/>
      </w:pPr>
      <w:bookmarkStart w:id="2" w:name="_Hlk129003505"/>
      <w:r>
        <w:t xml:space="preserve"> </w:t>
      </w:r>
    </w:p>
    <w:tbl>
      <w:tblPr>
        <w:tblW w:w="0" w:type="auto"/>
        <w:tblInd w:w="11" w:type="dxa"/>
        <w:tblCellMar>
          <w:left w:w="0" w:type="dxa"/>
          <w:right w:w="0" w:type="dxa"/>
        </w:tblCellMar>
        <w:tblLook w:val="04A0"/>
      </w:tblPr>
      <w:tblGrid>
        <w:gridCol w:w="4222"/>
        <w:gridCol w:w="1186"/>
        <w:gridCol w:w="1306"/>
        <w:gridCol w:w="1288"/>
        <w:gridCol w:w="1173"/>
      </w:tblGrid>
      <w:tr w14:paraId="7D9573FA" w14:textId="62CFBE4C" w:rsidTr="00204BAB">
        <w:tblPrEx>
          <w:tblW w:w="0" w:type="auto"/>
          <w:tblInd w:w="11" w:type="dxa"/>
          <w:tblCellMar>
            <w:left w:w="0" w:type="dxa"/>
            <w:right w:w="0" w:type="dxa"/>
          </w:tblCellMar>
          <w:tblLook w:val="04A0"/>
        </w:tblPrEx>
        <w:trPr>
          <w:cantSplit/>
          <w:trHeight w:val="20"/>
          <w:tblHeader/>
        </w:trPr>
        <w:tc>
          <w:tcPr>
            <w:tcW w:w="4222" w:type="dxa"/>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vAlign w:val="center"/>
            <w:hideMark/>
          </w:tcPr>
          <w:bookmarkEnd w:id="2"/>
          <w:p w:rsidR="00F67B00" w:rsidRPr="00DE5B23" w:rsidP="00702C25" w14:paraId="1E9E596B" w14:textId="044FC434">
            <w:pPr>
              <w:spacing w:after="0" w:line="240" w:lineRule="auto"/>
              <w:ind w:left="0" w:firstLine="0"/>
              <w:jc w:val="center"/>
              <w:rPr>
                <w:szCs w:val="24"/>
              </w:rPr>
            </w:pPr>
            <w:r>
              <w:rPr>
                <w:szCs w:val="24"/>
              </w:rPr>
              <w:t>Collection Activity</w:t>
            </w:r>
          </w:p>
        </w:tc>
        <w:tc>
          <w:tcPr>
            <w:tcW w:w="1186"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vAlign w:val="center"/>
            <w:hideMark/>
          </w:tcPr>
          <w:p w:rsidR="00F67B00" w:rsidRPr="00DE5B23" w:rsidP="00702C25" w14:paraId="3BD90FD9" w14:textId="77777777">
            <w:pPr>
              <w:spacing w:after="0" w:line="240" w:lineRule="auto"/>
              <w:ind w:left="0" w:firstLine="0"/>
              <w:jc w:val="center"/>
              <w:rPr>
                <w:szCs w:val="24"/>
              </w:rPr>
            </w:pPr>
            <w:r w:rsidRPr="00DE5B23">
              <w:rPr>
                <w:szCs w:val="24"/>
              </w:rPr>
              <w:t>Previous Approved Annual Burden Hours</w:t>
            </w:r>
          </w:p>
        </w:tc>
        <w:tc>
          <w:tcPr>
            <w:tcW w:w="1306"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vAlign w:val="center"/>
            <w:hideMark/>
          </w:tcPr>
          <w:p w:rsidR="00F67B00" w:rsidRPr="00DE5B23" w:rsidP="00702C25" w14:paraId="1141D798" w14:textId="77777777">
            <w:pPr>
              <w:spacing w:after="0" w:line="240" w:lineRule="auto"/>
              <w:ind w:left="0" w:firstLine="0"/>
              <w:jc w:val="center"/>
              <w:rPr>
                <w:szCs w:val="24"/>
              </w:rPr>
            </w:pPr>
            <w:r w:rsidRPr="00DE5B23">
              <w:rPr>
                <w:szCs w:val="24"/>
              </w:rPr>
              <w:t>Requested Annual Burden Hours</w:t>
            </w:r>
          </w:p>
        </w:tc>
        <w:tc>
          <w:tcPr>
            <w:tcW w:w="1288" w:type="dxa"/>
            <w:tcBorders>
              <w:top w:val="single" w:sz="8" w:space="0" w:color="auto"/>
              <w:left w:val="nil"/>
              <w:bottom w:val="single" w:sz="8" w:space="0" w:color="auto"/>
              <w:right w:val="single" w:sz="8" w:space="0" w:color="auto"/>
            </w:tcBorders>
            <w:shd w:val="clear" w:color="auto" w:fill="F2F2F2"/>
            <w:vAlign w:val="center"/>
            <w:hideMark/>
          </w:tcPr>
          <w:p w:rsidR="00F67B00" w:rsidRPr="00DE5B23" w:rsidP="00702C25" w14:paraId="25F89AF1" w14:textId="77777777">
            <w:pPr>
              <w:spacing w:after="0" w:line="240" w:lineRule="auto"/>
              <w:ind w:left="0" w:firstLine="0"/>
              <w:jc w:val="center"/>
              <w:rPr>
                <w:szCs w:val="24"/>
              </w:rPr>
            </w:pPr>
            <w:r w:rsidRPr="00DE5B23">
              <w:rPr>
                <w:szCs w:val="24"/>
              </w:rPr>
              <w:t>Difference (Hours)</w:t>
            </w:r>
          </w:p>
          <w:p w:rsidR="00F67B00" w:rsidRPr="00DE5B23" w:rsidP="00702C25" w14:paraId="4D5CD648" w14:textId="77777777">
            <w:pPr>
              <w:spacing w:after="0" w:line="240" w:lineRule="auto"/>
              <w:ind w:left="0" w:firstLine="0"/>
              <w:jc w:val="center"/>
              <w:rPr>
                <w:szCs w:val="24"/>
              </w:rPr>
            </w:pPr>
            <w:r w:rsidRPr="00DE5B23">
              <w:rPr>
                <w:szCs w:val="24"/>
              </w:rPr>
              <w:t>(+/-)</w:t>
            </w:r>
          </w:p>
        </w:tc>
        <w:tc>
          <w:tcPr>
            <w:tcW w:w="1173" w:type="dxa"/>
            <w:tcBorders>
              <w:top w:val="single" w:sz="8" w:space="0" w:color="auto"/>
              <w:left w:val="nil"/>
              <w:bottom w:val="single" w:sz="8" w:space="0" w:color="auto"/>
              <w:right w:val="single" w:sz="8" w:space="0" w:color="auto"/>
            </w:tcBorders>
            <w:shd w:val="clear" w:color="auto" w:fill="F2F2F2"/>
            <w:vAlign w:val="center"/>
          </w:tcPr>
          <w:p w:rsidR="00F67B00" w:rsidRPr="00DE5B23" w:rsidP="00204BAB" w14:paraId="56C454AE" w14:textId="5A73E92B">
            <w:pPr>
              <w:spacing w:after="0" w:line="240" w:lineRule="auto"/>
              <w:ind w:left="0" w:firstLine="0"/>
              <w:jc w:val="center"/>
              <w:rPr>
                <w:szCs w:val="24"/>
              </w:rPr>
            </w:pPr>
            <w:r>
              <w:rPr>
                <w:szCs w:val="24"/>
              </w:rPr>
              <w:t>Reason for Change</w:t>
            </w:r>
          </w:p>
        </w:tc>
      </w:tr>
      <w:tr w14:paraId="15684C08" w14:textId="4F0D737B" w:rsidTr="00204BAB">
        <w:tblPrEx>
          <w:tblW w:w="0" w:type="auto"/>
          <w:tblInd w:w="11" w:type="dxa"/>
          <w:tblCellMar>
            <w:left w:w="0" w:type="dxa"/>
            <w:right w:w="0" w:type="dxa"/>
          </w:tblCellMar>
          <w:tblLook w:val="04A0"/>
        </w:tblPrEx>
        <w:trPr>
          <w:cantSplit/>
          <w:trHeight w:val="579"/>
        </w:trPr>
        <w:tc>
          <w:tcPr>
            <w:tcW w:w="4222" w:type="dxa"/>
            <w:tcBorders>
              <w:top w:val="nil"/>
              <w:left w:val="single" w:sz="8" w:space="0" w:color="auto"/>
              <w:bottom w:val="single" w:sz="8" w:space="0" w:color="auto"/>
              <w:right w:val="single" w:sz="8" w:space="0" w:color="auto"/>
            </w:tcBorders>
            <w:tcMar>
              <w:top w:w="0" w:type="dxa"/>
              <w:left w:w="101" w:type="dxa"/>
              <w:bottom w:w="0" w:type="dxa"/>
              <w:right w:w="101" w:type="dxa"/>
            </w:tcMar>
            <w:vAlign w:val="center"/>
          </w:tcPr>
          <w:p w:rsidR="00F67B00" w:rsidRPr="00DE5B23" w:rsidP="00702C25" w14:paraId="698F2645" w14:textId="5E5F5FCA">
            <w:pPr>
              <w:spacing w:after="0" w:line="240" w:lineRule="auto"/>
              <w:ind w:left="0" w:firstLine="0"/>
              <w:jc w:val="center"/>
              <w:rPr>
                <w:szCs w:val="24"/>
              </w:rPr>
            </w:pPr>
            <w:r w:rsidRPr="00173159">
              <w:rPr>
                <w:sz w:val="20"/>
                <w:szCs w:val="20"/>
              </w:rPr>
              <w:t>State, local, Territorial, and/or Tribal Governments; submission of data elements to FDA consistent with ERPS</w:t>
            </w:r>
          </w:p>
        </w:tc>
        <w:tc>
          <w:tcPr>
            <w:tcW w:w="118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702C25" w14:paraId="33BC0700" w14:textId="012CC176">
            <w:pPr>
              <w:spacing w:after="0" w:line="240" w:lineRule="auto"/>
              <w:ind w:left="0" w:firstLine="0"/>
              <w:jc w:val="center"/>
              <w:rPr>
                <w:szCs w:val="24"/>
              </w:rPr>
            </w:pPr>
            <w:r>
              <w:rPr>
                <w:szCs w:val="24"/>
              </w:rPr>
              <w:t>1,138</w:t>
            </w:r>
          </w:p>
        </w:tc>
        <w:tc>
          <w:tcPr>
            <w:tcW w:w="130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702C25" w14:paraId="4F654DFC" w14:textId="2D487F2C">
            <w:pPr>
              <w:spacing w:after="0" w:line="240" w:lineRule="auto"/>
              <w:ind w:left="0" w:firstLine="0"/>
              <w:jc w:val="center"/>
              <w:rPr>
                <w:szCs w:val="24"/>
              </w:rPr>
            </w:pPr>
            <w:r>
              <w:rPr>
                <w:szCs w:val="24"/>
              </w:rPr>
              <w:t>1,138</w:t>
            </w:r>
          </w:p>
        </w:tc>
        <w:tc>
          <w:tcPr>
            <w:tcW w:w="1288" w:type="dxa"/>
            <w:tcBorders>
              <w:top w:val="nil"/>
              <w:left w:val="nil"/>
              <w:bottom w:val="single" w:sz="8" w:space="0" w:color="auto"/>
              <w:right w:val="single" w:sz="8" w:space="0" w:color="auto"/>
            </w:tcBorders>
            <w:vAlign w:val="center"/>
          </w:tcPr>
          <w:p w:rsidR="00F67B00" w:rsidRPr="00DE5B23" w:rsidP="00702C25" w14:paraId="7C6DA538" w14:textId="252FE3D7">
            <w:pPr>
              <w:spacing w:after="0" w:line="240" w:lineRule="auto"/>
              <w:ind w:left="0" w:firstLine="0"/>
              <w:jc w:val="center"/>
              <w:rPr>
                <w:szCs w:val="24"/>
              </w:rPr>
            </w:pPr>
            <w:r>
              <w:rPr>
                <w:szCs w:val="24"/>
              </w:rPr>
              <w:t>0</w:t>
            </w:r>
          </w:p>
        </w:tc>
        <w:tc>
          <w:tcPr>
            <w:tcW w:w="1173" w:type="dxa"/>
            <w:tcBorders>
              <w:top w:val="nil"/>
              <w:left w:val="nil"/>
              <w:bottom w:val="single" w:sz="8" w:space="0" w:color="auto"/>
              <w:right w:val="single" w:sz="8" w:space="0" w:color="auto"/>
            </w:tcBorders>
            <w:vAlign w:val="center"/>
          </w:tcPr>
          <w:p w:rsidR="00F67B00" w:rsidP="00204BAB" w14:paraId="52142374" w14:textId="1FCC9B9A">
            <w:pPr>
              <w:spacing w:after="0" w:line="240" w:lineRule="auto"/>
              <w:ind w:left="0" w:firstLine="0"/>
              <w:jc w:val="center"/>
              <w:rPr>
                <w:szCs w:val="24"/>
              </w:rPr>
            </w:pPr>
            <w:r>
              <w:rPr>
                <w:szCs w:val="24"/>
              </w:rPr>
              <w:t>N/A</w:t>
            </w:r>
          </w:p>
        </w:tc>
      </w:tr>
      <w:tr w14:paraId="1432C680" w14:textId="0584D86E" w:rsidTr="00204BAB">
        <w:tblPrEx>
          <w:tblW w:w="0" w:type="auto"/>
          <w:tblInd w:w="11" w:type="dxa"/>
          <w:tblCellMar>
            <w:left w:w="0" w:type="dxa"/>
            <w:right w:w="0" w:type="dxa"/>
          </w:tblCellMar>
          <w:tblLook w:val="04A0"/>
        </w:tblPrEx>
        <w:trPr>
          <w:cantSplit/>
        </w:trPr>
        <w:tc>
          <w:tcPr>
            <w:tcW w:w="4222" w:type="dxa"/>
            <w:tcBorders>
              <w:top w:val="nil"/>
              <w:left w:val="single" w:sz="8" w:space="0" w:color="auto"/>
              <w:bottom w:val="single" w:sz="8" w:space="0" w:color="auto"/>
              <w:right w:val="single" w:sz="8" w:space="0" w:color="auto"/>
            </w:tcBorders>
            <w:tcMar>
              <w:top w:w="0" w:type="dxa"/>
              <w:left w:w="101" w:type="dxa"/>
              <w:bottom w:w="0" w:type="dxa"/>
              <w:right w:w="101" w:type="dxa"/>
            </w:tcMar>
            <w:vAlign w:val="center"/>
          </w:tcPr>
          <w:p w:rsidR="00F67B00" w:rsidRPr="00DE5B23" w:rsidP="00702C25" w14:paraId="5D399DF4" w14:textId="39BF1341">
            <w:pPr>
              <w:spacing w:after="0" w:line="240" w:lineRule="auto"/>
              <w:ind w:left="0" w:firstLine="0"/>
              <w:jc w:val="center"/>
              <w:rPr>
                <w:szCs w:val="24"/>
              </w:rPr>
            </w:pPr>
            <w:r w:rsidRPr="00173159">
              <w:rPr>
                <w:sz w:val="20"/>
                <w:szCs w:val="20"/>
              </w:rPr>
              <w:t>State, local, Territorial, and/or Tribal Governments; submission of data elements to FDA consistent with AFRPS</w:t>
            </w:r>
          </w:p>
        </w:tc>
        <w:tc>
          <w:tcPr>
            <w:tcW w:w="118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702C25" w14:paraId="066D8BAF" w14:textId="0FACEAE6">
            <w:pPr>
              <w:spacing w:after="0" w:line="240" w:lineRule="auto"/>
              <w:ind w:left="0" w:firstLine="0"/>
              <w:jc w:val="center"/>
              <w:rPr>
                <w:szCs w:val="24"/>
              </w:rPr>
            </w:pPr>
            <w:r>
              <w:rPr>
                <w:szCs w:val="24"/>
              </w:rPr>
              <w:t>14,225</w:t>
            </w:r>
          </w:p>
        </w:tc>
        <w:tc>
          <w:tcPr>
            <w:tcW w:w="130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702C25" w14:paraId="33947D96" w14:textId="6C1318EA">
            <w:pPr>
              <w:spacing w:after="0" w:line="240" w:lineRule="auto"/>
              <w:ind w:left="0" w:firstLine="0"/>
              <w:jc w:val="center"/>
              <w:rPr>
                <w:szCs w:val="24"/>
              </w:rPr>
            </w:pPr>
            <w:r>
              <w:rPr>
                <w:szCs w:val="24"/>
              </w:rPr>
              <w:t>14,225</w:t>
            </w:r>
          </w:p>
        </w:tc>
        <w:tc>
          <w:tcPr>
            <w:tcW w:w="1288" w:type="dxa"/>
            <w:tcBorders>
              <w:top w:val="nil"/>
              <w:left w:val="nil"/>
              <w:bottom w:val="single" w:sz="8" w:space="0" w:color="auto"/>
              <w:right w:val="single" w:sz="8" w:space="0" w:color="auto"/>
            </w:tcBorders>
            <w:vAlign w:val="center"/>
          </w:tcPr>
          <w:p w:rsidR="00F67B00" w:rsidRPr="00DE5B23" w:rsidP="00702C25" w14:paraId="62A2A221" w14:textId="12D6B9A7">
            <w:pPr>
              <w:spacing w:after="0" w:line="240" w:lineRule="auto"/>
              <w:ind w:left="0" w:firstLine="0"/>
              <w:jc w:val="center"/>
              <w:rPr>
                <w:szCs w:val="24"/>
              </w:rPr>
            </w:pPr>
            <w:r>
              <w:rPr>
                <w:szCs w:val="24"/>
              </w:rPr>
              <w:t>0</w:t>
            </w:r>
          </w:p>
        </w:tc>
        <w:tc>
          <w:tcPr>
            <w:tcW w:w="1173" w:type="dxa"/>
            <w:tcBorders>
              <w:top w:val="nil"/>
              <w:left w:val="nil"/>
              <w:bottom w:val="single" w:sz="8" w:space="0" w:color="auto"/>
              <w:right w:val="single" w:sz="8" w:space="0" w:color="auto"/>
            </w:tcBorders>
            <w:vAlign w:val="center"/>
          </w:tcPr>
          <w:p w:rsidR="00F67B00" w:rsidP="00204BAB" w14:paraId="546F9C45" w14:textId="09E24307">
            <w:pPr>
              <w:spacing w:after="0" w:line="240" w:lineRule="auto"/>
              <w:ind w:left="0" w:firstLine="0"/>
              <w:jc w:val="center"/>
              <w:rPr>
                <w:szCs w:val="24"/>
              </w:rPr>
            </w:pPr>
            <w:r>
              <w:rPr>
                <w:szCs w:val="24"/>
              </w:rPr>
              <w:t>N/A</w:t>
            </w:r>
          </w:p>
        </w:tc>
      </w:tr>
      <w:tr w14:paraId="088F875F" w14:textId="0D105294" w:rsidTr="00204BAB">
        <w:tblPrEx>
          <w:tblW w:w="0" w:type="auto"/>
          <w:tblInd w:w="11" w:type="dxa"/>
          <w:tblCellMar>
            <w:left w:w="0" w:type="dxa"/>
            <w:right w:w="0" w:type="dxa"/>
          </w:tblCellMar>
          <w:tblLook w:val="04A0"/>
        </w:tblPrEx>
        <w:trPr>
          <w:cantSplit/>
        </w:trPr>
        <w:tc>
          <w:tcPr>
            <w:tcW w:w="4222" w:type="dxa"/>
            <w:tcBorders>
              <w:top w:val="nil"/>
              <w:left w:val="single" w:sz="8" w:space="0" w:color="auto"/>
              <w:bottom w:val="single" w:sz="8" w:space="0" w:color="auto"/>
              <w:right w:val="single" w:sz="8" w:space="0" w:color="auto"/>
            </w:tcBorders>
            <w:tcMar>
              <w:top w:w="0" w:type="dxa"/>
              <w:left w:w="101" w:type="dxa"/>
              <w:bottom w:w="0" w:type="dxa"/>
              <w:right w:w="101" w:type="dxa"/>
            </w:tcMar>
            <w:vAlign w:val="center"/>
          </w:tcPr>
          <w:p w:rsidR="00F67B00" w:rsidRPr="00DE5B23" w:rsidP="00204BAB" w14:paraId="7AF5CF4C" w14:textId="26DDBA19">
            <w:pPr>
              <w:spacing w:after="0" w:line="240" w:lineRule="auto"/>
              <w:ind w:left="0" w:firstLine="0"/>
              <w:jc w:val="center"/>
              <w:rPr>
                <w:szCs w:val="24"/>
              </w:rPr>
            </w:pPr>
            <w:r w:rsidRPr="00533A24">
              <w:rPr>
                <w:sz w:val="20"/>
                <w:szCs w:val="20"/>
              </w:rPr>
              <w:t>State, local, Territorial and/or Tribal Governments; submission of data elements to FDA consistent with ERPS</w:t>
            </w:r>
          </w:p>
        </w:tc>
        <w:tc>
          <w:tcPr>
            <w:tcW w:w="118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204BAB" w14:paraId="431E9CA8" w14:textId="75270915">
            <w:pPr>
              <w:spacing w:after="0" w:line="240" w:lineRule="auto"/>
              <w:ind w:left="0" w:firstLine="0"/>
              <w:jc w:val="center"/>
              <w:rPr>
                <w:szCs w:val="24"/>
              </w:rPr>
            </w:pPr>
            <w:r w:rsidRPr="00533A24">
              <w:rPr>
                <w:sz w:val="20"/>
                <w:szCs w:val="20"/>
              </w:rPr>
              <w:t>800</w:t>
            </w:r>
          </w:p>
        </w:tc>
        <w:tc>
          <w:tcPr>
            <w:tcW w:w="130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204BAB" w14:paraId="086CB13A" w14:textId="3B24D4F0">
            <w:pPr>
              <w:spacing w:after="0" w:line="240" w:lineRule="auto"/>
              <w:ind w:left="0" w:firstLine="0"/>
              <w:jc w:val="center"/>
              <w:rPr>
                <w:szCs w:val="24"/>
              </w:rPr>
            </w:pPr>
            <w:r w:rsidRPr="00533A24">
              <w:rPr>
                <w:sz w:val="20"/>
                <w:szCs w:val="20"/>
              </w:rPr>
              <w:t>800</w:t>
            </w:r>
          </w:p>
        </w:tc>
        <w:tc>
          <w:tcPr>
            <w:tcW w:w="1288" w:type="dxa"/>
            <w:tcBorders>
              <w:top w:val="nil"/>
              <w:left w:val="nil"/>
              <w:bottom w:val="single" w:sz="8" w:space="0" w:color="auto"/>
              <w:right w:val="single" w:sz="8" w:space="0" w:color="auto"/>
            </w:tcBorders>
            <w:vAlign w:val="center"/>
          </w:tcPr>
          <w:p w:rsidR="00F67B00" w:rsidRPr="00DE5B23" w:rsidP="00204BAB" w14:paraId="4CD7A987" w14:textId="799809F6">
            <w:pPr>
              <w:spacing w:after="0" w:line="240" w:lineRule="auto"/>
              <w:ind w:left="0" w:firstLine="0"/>
              <w:jc w:val="center"/>
              <w:rPr>
                <w:szCs w:val="24"/>
              </w:rPr>
            </w:pPr>
            <w:r>
              <w:rPr>
                <w:szCs w:val="24"/>
              </w:rPr>
              <w:t>0</w:t>
            </w:r>
          </w:p>
        </w:tc>
        <w:tc>
          <w:tcPr>
            <w:tcW w:w="1173" w:type="dxa"/>
            <w:tcBorders>
              <w:top w:val="nil"/>
              <w:left w:val="nil"/>
              <w:bottom w:val="single" w:sz="8" w:space="0" w:color="auto"/>
              <w:right w:val="single" w:sz="8" w:space="0" w:color="auto"/>
            </w:tcBorders>
            <w:vAlign w:val="center"/>
          </w:tcPr>
          <w:p w:rsidR="00F67B00" w:rsidP="00204BAB" w14:paraId="463CB73B" w14:textId="2230EA5F">
            <w:pPr>
              <w:spacing w:after="0" w:line="240" w:lineRule="auto"/>
              <w:ind w:left="0" w:firstLine="0"/>
              <w:jc w:val="center"/>
              <w:rPr>
                <w:szCs w:val="24"/>
              </w:rPr>
            </w:pPr>
            <w:r>
              <w:rPr>
                <w:szCs w:val="24"/>
              </w:rPr>
              <w:t>N/A</w:t>
            </w:r>
          </w:p>
        </w:tc>
      </w:tr>
      <w:tr w14:paraId="4934CE77" w14:textId="36F12441" w:rsidTr="00204BAB">
        <w:tblPrEx>
          <w:tblW w:w="0" w:type="auto"/>
          <w:tblInd w:w="11" w:type="dxa"/>
          <w:tblCellMar>
            <w:left w:w="0" w:type="dxa"/>
            <w:right w:w="0" w:type="dxa"/>
          </w:tblCellMar>
          <w:tblLook w:val="04A0"/>
        </w:tblPrEx>
        <w:trPr>
          <w:cantSplit/>
        </w:trPr>
        <w:tc>
          <w:tcPr>
            <w:tcW w:w="4222" w:type="dxa"/>
            <w:tcBorders>
              <w:top w:val="nil"/>
              <w:left w:val="single" w:sz="8" w:space="0" w:color="auto"/>
              <w:bottom w:val="single" w:sz="8" w:space="0" w:color="auto"/>
              <w:right w:val="single" w:sz="8" w:space="0" w:color="auto"/>
            </w:tcBorders>
            <w:tcMar>
              <w:top w:w="0" w:type="dxa"/>
              <w:left w:w="101" w:type="dxa"/>
              <w:bottom w:w="0" w:type="dxa"/>
              <w:right w:w="101" w:type="dxa"/>
            </w:tcMar>
            <w:vAlign w:val="center"/>
          </w:tcPr>
          <w:p w:rsidR="00F67B00" w:rsidRPr="00DE5B23" w:rsidP="00204BAB" w14:paraId="05490D80" w14:textId="6CE2A753">
            <w:pPr>
              <w:spacing w:after="0" w:line="240" w:lineRule="auto"/>
              <w:ind w:left="0" w:firstLine="0"/>
              <w:jc w:val="center"/>
              <w:rPr>
                <w:szCs w:val="24"/>
              </w:rPr>
            </w:pPr>
            <w:r w:rsidRPr="00533A24">
              <w:rPr>
                <w:sz w:val="20"/>
                <w:szCs w:val="20"/>
              </w:rPr>
              <w:t xml:space="preserve">State, local, Territorial and/or Tribal Governments; submission of data elements to FDA consistent with </w:t>
            </w:r>
            <w:r w:rsidRPr="00533A24">
              <w:rPr>
                <w:color w:val="auto"/>
                <w:sz w:val="20"/>
                <w:szCs w:val="20"/>
              </w:rPr>
              <w:t>AFRPS</w:t>
            </w:r>
          </w:p>
        </w:tc>
        <w:tc>
          <w:tcPr>
            <w:tcW w:w="118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204BAB" w14:paraId="5E978DA3" w14:textId="75946AFA">
            <w:pPr>
              <w:spacing w:after="0" w:line="240" w:lineRule="auto"/>
              <w:ind w:left="0" w:firstLine="0"/>
              <w:jc w:val="center"/>
              <w:rPr>
                <w:szCs w:val="24"/>
              </w:rPr>
            </w:pPr>
            <w:r w:rsidRPr="00533A24">
              <w:rPr>
                <w:sz w:val="20"/>
                <w:szCs w:val="20"/>
              </w:rPr>
              <w:t>11,000</w:t>
            </w:r>
          </w:p>
        </w:tc>
        <w:tc>
          <w:tcPr>
            <w:tcW w:w="130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204BAB" w14:paraId="77219182" w14:textId="0F09D4E1">
            <w:pPr>
              <w:spacing w:after="0" w:line="240" w:lineRule="auto"/>
              <w:ind w:left="0" w:firstLine="0"/>
              <w:jc w:val="center"/>
              <w:rPr>
                <w:szCs w:val="24"/>
              </w:rPr>
            </w:pPr>
            <w:r w:rsidRPr="00533A24">
              <w:rPr>
                <w:sz w:val="20"/>
                <w:szCs w:val="20"/>
              </w:rPr>
              <w:t>11,000</w:t>
            </w:r>
          </w:p>
        </w:tc>
        <w:tc>
          <w:tcPr>
            <w:tcW w:w="1288" w:type="dxa"/>
            <w:tcBorders>
              <w:top w:val="nil"/>
              <w:left w:val="nil"/>
              <w:bottom w:val="single" w:sz="8" w:space="0" w:color="auto"/>
              <w:right w:val="single" w:sz="8" w:space="0" w:color="auto"/>
            </w:tcBorders>
            <w:vAlign w:val="center"/>
          </w:tcPr>
          <w:p w:rsidR="00F67B00" w:rsidRPr="00DE5B23" w:rsidP="00204BAB" w14:paraId="5DD82CA0" w14:textId="58C32ABC">
            <w:pPr>
              <w:spacing w:after="0" w:line="240" w:lineRule="auto"/>
              <w:ind w:left="0" w:firstLine="0"/>
              <w:jc w:val="center"/>
              <w:rPr>
                <w:szCs w:val="24"/>
              </w:rPr>
            </w:pPr>
            <w:r>
              <w:rPr>
                <w:szCs w:val="24"/>
              </w:rPr>
              <w:t>0</w:t>
            </w:r>
          </w:p>
        </w:tc>
        <w:tc>
          <w:tcPr>
            <w:tcW w:w="1173" w:type="dxa"/>
            <w:tcBorders>
              <w:top w:val="nil"/>
              <w:left w:val="nil"/>
              <w:bottom w:val="single" w:sz="8" w:space="0" w:color="auto"/>
              <w:right w:val="single" w:sz="8" w:space="0" w:color="auto"/>
            </w:tcBorders>
            <w:vAlign w:val="center"/>
          </w:tcPr>
          <w:p w:rsidR="00F67B00" w:rsidP="00204BAB" w14:paraId="5C08A95A" w14:textId="3BC37049">
            <w:pPr>
              <w:spacing w:after="0" w:line="240" w:lineRule="auto"/>
              <w:ind w:left="0" w:firstLine="0"/>
              <w:jc w:val="center"/>
              <w:rPr>
                <w:szCs w:val="24"/>
              </w:rPr>
            </w:pPr>
            <w:r>
              <w:rPr>
                <w:szCs w:val="24"/>
              </w:rPr>
              <w:t>N/A</w:t>
            </w:r>
          </w:p>
        </w:tc>
      </w:tr>
      <w:tr w14:paraId="54DEA68B" w14:textId="4C8E6F30" w:rsidTr="00204BAB">
        <w:tblPrEx>
          <w:tblW w:w="0" w:type="auto"/>
          <w:tblInd w:w="11" w:type="dxa"/>
          <w:tblCellMar>
            <w:left w:w="0" w:type="dxa"/>
            <w:right w:w="0" w:type="dxa"/>
          </w:tblCellMar>
          <w:tblLook w:val="04A0"/>
        </w:tblPrEx>
        <w:trPr>
          <w:cantSplit/>
        </w:trPr>
        <w:tc>
          <w:tcPr>
            <w:tcW w:w="4222" w:type="dxa"/>
            <w:tcBorders>
              <w:top w:val="nil"/>
              <w:left w:val="single" w:sz="8" w:space="0" w:color="auto"/>
              <w:bottom w:val="single" w:sz="8" w:space="0" w:color="auto"/>
              <w:right w:val="single" w:sz="8" w:space="0" w:color="auto"/>
            </w:tcBorders>
            <w:tcMar>
              <w:top w:w="0" w:type="dxa"/>
              <w:left w:w="101" w:type="dxa"/>
              <w:bottom w:w="0" w:type="dxa"/>
              <w:right w:w="101" w:type="dxa"/>
            </w:tcMar>
            <w:vAlign w:val="center"/>
            <w:hideMark/>
          </w:tcPr>
          <w:p w:rsidR="00F67B00" w:rsidRPr="00DE5B23" w:rsidP="00204BAB" w14:paraId="09E18AFE" w14:textId="77777777">
            <w:pPr>
              <w:spacing w:after="0" w:line="240" w:lineRule="auto"/>
              <w:ind w:left="0" w:firstLine="0"/>
              <w:jc w:val="center"/>
              <w:rPr>
                <w:szCs w:val="24"/>
              </w:rPr>
            </w:pPr>
            <w:r w:rsidRPr="00DE5B23">
              <w:rPr>
                <w:szCs w:val="24"/>
              </w:rPr>
              <w:t>TOTAL</w:t>
            </w:r>
          </w:p>
        </w:tc>
        <w:tc>
          <w:tcPr>
            <w:tcW w:w="118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204BAB" w14:paraId="2C9DEAFF" w14:textId="7129048B">
            <w:pPr>
              <w:spacing w:after="0" w:line="240" w:lineRule="auto"/>
              <w:ind w:left="0" w:firstLine="0"/>
              <w:jc w:val="center"/>
              <w:rPr>
                <w:szCs w:val="24"/>
              </w:rPr>
            </w:pPr>
            <w:r>
              <w:rPr>
                <w:szCs w:val="24"/>
              </w:rPr>
              <w:fldChar w:fldCharType="begin"/>
            </w:r>
            <w:r>
              <w:rPr>
                <w:szCs w:val="24"/>
              </w:rPr>
              <w:instrText xml:space="preserve"> =SUM(ABOVE) </w:instrText>
            </w:r>
            <w:r>
              <w:rPr>
                <w:szCs w:val="24"/>
              </w:rPr>
              <w:fldChar w:fldCharType="separate"/>
            </w:r>
            <w:r>
              <w:rPr>
                <w:noProof/>
                <w:szCs w:val="24"/>
              </w:rPr>
              <w:t>27,163</w:t>
            </w:r>
            <w:r>
              <w:rPr>
                <w:szCs w:val="24"/>
              </w:rPr>
              <w:fldChar w:fldCharType="end"/>
            </w:r>
          </w:p>
        </w:tc>
        <w:tc>
          <w:tcPr>
            <w:tcW w:w="1306" w:type="dxa"/>
            <w:tcBorders>
              <w:top w:val="nil"/>
              <w:left w:val="nil"/>
              <w:bottom w:val="single" w:sz="8" w:space="0" w:color="auto"/>
              <w:right w:val="single" w:sz="8" w:space="0" w:color="auto"/>
            </w:tcBorders>
            <w:tcMar>
              <w:top w:w="0" w:type="dxa"/>
              <w:left w:w="101" w:type="dxa"/>
              <w:bottom w:w="0" w:type="dxa"/>
              <w:right w:w="101" w:type="dxa"/>
            </w:tcMar>
            <w:vAlign w:val="center"/>
          </w:tcPr>
          <w:p w:rsidR="00F67B00" w:rsidRPr="00DE5B23" w:rsidP="00204BAB" w14:paraId="414CFF5F" w14:textId="7D3B4943">
            <w:pPr>
              <w:spacing w:after="0" w:line="240" w:lineRule="auto"/>
              <w:ind w:left="0" w:firstLine="0"/>
              <w:jc w:val="center"/>
              <w:rPr>
                <w:szCs w:val="24"/>
              </w:rPr>
            </w:pPr>
            <w:r>
              <w:rPr>
                <w:szCs w:val="24"/>
              </w:rPr>
              <w:fldChar w:fldCharType="begin"/>
            </w:r>
            <w:r>
              <w:rPr>
                <w:szCs w:val="24"/>
              </w:rPr>
              <w:instrText xml:space="preserve"> =SUM(ABOVE) </w:instrText>
            </w:r>
            <w:r>
              <w:rPr>
                <w:szCs w:val="24"/>
              </w:rPr>
              <w:fldChar w:fldCharType="separate"/>
            </w:r>
            <w:r>
              <w:rPr>
                <w:noProof/>
                <w:szCs w:val="24"/>
              </w:rPr>
              <w:t>27,163</w:t>
            </w:r>
            <w:r>
              <w:rPr>
                <w:szCs w:val="24"/>
              </w:rPr>
              <w:fldChar w:fldCharType="end"/>
            </w:r>
          </w:p>
        </w:tc>
        <w:tc>
          <w:tcPr>
            <w:tcW w:w="1288" w:type="dxa"/>
            <w:tcBorders>
              <w:top w:val="nil"/>
              <w:left w:val="nil"/>
              <w:bottom w:val="single" w:sz="8" w:space="0" w:color="auto"/>
              <w:right w:val="single" w:sz="8" w:space="0" w:color="auto"/>
            </w:tcBorders>
            <w:vAlign w:val="center"/>
          </w:tcPr>
          <w:p w:rsidR="00F67B00" w:rsidRPr="00DE5B23" w:rsidP="00204BAB" w14:paraId="41EDA4F8" w14:textId="644F45FD">
            <w:pPr>
              <w:spacing w:after="0" w:line="240" w:lineRule="auto"/>
              <w:ind w:left="0" w:firstLine="0"/>
              <w:jc w:val="center"/>
              <w:rPr>
                <w:szCs w:val="24"/>
              </w:rPr>
            </w:pPr>
            <w:r>
              <w:rPr>
                <w:szCs w:val="24"/>
              </w:rPr>
              <w:fldChar w:fldCharType="begin"/>
            </w:r>
            <w:r>
              <w:rPr>
                <w:szCs w:val="24"/>
              </w:rPr>
              <w:instrText xml:space="preserve"> =SUM(ABOVE) </w:instrText>
            </w:r>
            <w:r>
              <w:rPr>
                <w:szCs w:val="24"/>
              </w:rPr>
              <w:fldChar w:fldCharType="separate"/>
            </w:r>
            <w:r>
              <w:rPr>
                <w:noProof/>
                <w:szCs w:val="24"/>
              </w:rPr>
              <w:t>0</w:t>
            </w:r>
            <w:r>
              <w:rPr>
                <w:szCs w:val="24"/>
              </w:rPr>
              <w:fldChar w:fldCharType="end"/>
            </w:r>
          </w:p>
        </w:tc>
        <w:tc>
          <w:tcPr>
            <w:tcW w:w="1173" w:type="dxa"/>
            <w:tcBorders>
              <w:top w:val="nil"/>
              <w:left w:val="nil"/>
              <w:bottom w:val="single" w:sz="8" w:space="0" w:color="auto"/>
              <w:right w:val="single" w:sz="8" w:space="0" w:color="auto"/>
            </w:tcBorders>
            <w:vAlign w:val="center"/>
          </w:tcPr>
          <w:p w:rsidR="00F67B00" w:rsidRPr="00DE5B23" w:rsidP="00204BAB" w14:paraId="0F4C6613" w14:textId="77777777">
            <w:pPr>
              <w:spacing w:after="0" w:line="240" w:lineRule="auto"/>
              <w:ind w:left="0" w:firstLine="0"/>
              <w:jc w:val="center"/>
              <w:rPr>
                <w:szCs w:val="24"/>
              </w:rPr>
            </w:pPr>
          </w:p>
        </w:tc>
      </w:tr>
    </w:tbl>
    <w:p w:rsidR="00DE5B23" w:rsidP="00947821" w14:paraId="44BA4282" w14:textId="77777777">
      <w:pPr>
        <w:spacing w:line="480" w:lineRule="auto"/>
        <w:rPr>
          <w:szCs w:val="24"/>
        </w:rPr>
      </w:pPr>
    </w:p>
    <w:p w:rsidR="008F7D15" w:rsidRPr="00947821" w:rsidP="008F7D15" w14:paraId="3C2CAAF9" w14:textId="783E8A34">
      <w:pPr>
        <w:spacing w:line="480" w:lineRule="auto"/>
        <w:rPr>
          <w:szCs w:val="24"/>
        </w:rPr>
      </w:pPr>
      <w:r>
        <w:rPr>
          <w:szCs w:val="24"/>
        </w:rPr>
        <w:t xml:space="preserve">The change in </w:t>
      </w:r>
      <w:r w:rsidRPr="00643798" w:rsidR="00947821">
        <w:rPr>
          <w:szCs w:val="24"/>
        </w:rPr>
        <w:t xml:space="preserve">estimated burden for the information collection </w:t>
      </w:r>
      <w:r>
        <w:rPr>
          <w:szCs w:val="24"/>
        </w:rPr>
        <w:t>is net-zero</w:t>
      </w:r>
      <w:r w:rsidR="00655370">
        <w:rPr>
          <w:szCs w:val="24"/>
        </w:rPr>
        <w:t xml:space="preserve"> (27,163 total hours)</w:t>
      </w:r>
      <w:r w:rsidR="00947821">
        <w:rPr>
          <w:szCs w:val="24"/>
        </w:rPr>
        <w:t>, as enrollment and participation in both programs remains steady</w:t>
      </w:r>
      <w:r w:rsidR="00262442">
        <w:rPr>
          <w:szCs w:val="24"/>
        </w:rPr>
        <w:t>.</w:t>
      </w:r>
    </w:p>
    <w:p w:rsidR="00763864" w14:paraId="7E0D3E6E" w14:textId="1FE1B80F">
      <w:pPr>
        <w:spacing w:after="10"/>
        <w:ind w:left="-5"/>
      </w:pPr>
      <w:r>
        <w:t>16</w:t>
      </w:r>
      <w:r w:rsidR="00DF0BF5">
        <w:t xml:space="preserve">. </w:t>
      </w:r>
      <w:r>
        <w:rPr>
          <w:u w:val="single" w:color="000000"/>
        </w:rPr>
        <w:t>Plans for Tabulation and Publication and Project Time Schedule</w:t>
      </w:r>
      <w:r>
        <w:t xml:space="preserve"> </w:t>
      </w:r>
    </w:p>
    <w:p w:rsidR="00763864" w14:paraId="5D20F546" w14:textId="77777777">
      <w:pPr>
        <w:spacing w:after="0" w:line="259" w:lineRule="auto"/>
        <w:ind w:left="0" w:firstLine="0"/>
      </w:pPr>
      <w:r>
        <w:t xml:space="preserve"> </w:t>
      </w:r>
    </w:p>
    <w:p w:rsidR="00763864" w:rsidP="00947821" w14:paraId="2B61FC87" w14:textId="0E30AB8A">
      <w:pPr>
        <w:ind w:left="-5"/>
      </w:pPr>
      <w:r>
        <w:t xml:space="preserve">FDA does not intend to publish the results of this information collection. </w:t>
      </w:r>
    </w:p>
    <w:p w:rsidR="00BF38D3" w:rsidP="00947821" w14:paraId="5FFE7095" w14:textId="77777777">
      <w:pPr>
        <w:ind w:left="-5"/>
      </w:pPr>
    </w:p>
    <w:p w:rsidR="00763864" w14:paraId="69219D6F" w14:textId="202DCEA5">
      <w:pPr>
        <w:pStyle w:val="Heading2"/>
        <w:ind w:left="-5"/>
      </w:pPr>
      <w:r>
        <w:rPr>
          <w:u w:val="none"/>
        </w:rPr>
        <w:t>17</w:t>
      </w:r>
      <w:r w:rsidR="00DF0BF5">
        <w:rPr>
          <w:u w:val="none"/>
        </w:rPr>
        <w:t xml:space="preserve">. </w:t>
      </w:r>
      <w:r>
        <w:t>Reason(s) Display of OMB Expiration Date is Inappropriate</w:t>
      </w:r>
      <w:r>
        <w:rPr>
          <w:u w:val="none"/>
        </w:rPr>
        <w:t xml:space="preserve"> </w:t>
      </w:r>
    </w:p>
    <w:p w:rsidR="00763864" w14:paraId="49A195B9" w14:textId="77777777">
      <w:pPr>
        <w:spacing w:after="0" w:line="259" w:lineRule="auto"/>
        <w:ind w:left="0" w:firstLine="0"/>
      </w:pPr>
      <w:r>
        <w:t xml:space="preserve"> </w:t>
      </w:r>
    </w:p>
    <w:p w:rsidR="00763864" w14:paraId="56F9B159" w14:textId="77777777">
      <w:pPr>
        <w:ind w:left="-5"/>
      </w:pPr>
      <w:r>
        <w:t xml:space="preserve">There are no reasons why display of the expiration date for OMB approval of information collection would be inappropriate. </w:t>
      </w:r>
    </w:p>
    <w:p w:rsidR="00763864" w14:paraId="441586B0" w14:textId="77777777">
      <w:pPr>
        <w:spacing w:after="0" w:line="259" w:lineRule="auto"/>
        <w:ind w:left="0" w:firstLine="0"/>
      </w:pPr>
      <w:r>
        <w:t xml:space="preserve"> </w:t>
      </w:r>
    </w:p>
    <w:p w:rsidR="00763864" w14:paraId="08DCE23C" w14:textId="51B2FAB5">
      <w:pPr>
        <w:pStyle w:val="Heading2"/>
        <w:ind w:left="-5"/>
      </w:pPr>
      <w:r>
        <w:rPr>
          <w:u w:val="none"/>
        </w:rPr>
        <w:t>18</w:t>
      </w:r>
      <w:r w:rsidR="00DF0BF5">
        <w:rPr>
          <w:u w:val="none"/>
        </w:rPr>
        <w:t xml:space="preserve">. </w:t>
      </w:r>
      <w:r>
        <w:t>Exception to Certification for Paperwork Reduction Act Submissions</w:t>
      </w:r>
      <w:r>
        <w:rPr>
          <w:u w:val="none"/>
        </w:rPr>
        <w:t xml:space="preserve"> </w:t>
      </w:r>
    </w:p>
    <w:p w:rsidR="00763864" w14:paraId="1CDFD88A" w14:textId="77777777">
      <w:pPr>
        <w:spacing w:after="0" w:line="259" w:lineRule="auto"/>
        <w:ind w:left="0" w:firstLine="0"/>
      </w:pPr>
      <w:r>
        <w:t xml:space="preserve"> </w:t>
      </w:r>
    </w:p>
    <w:p w:rsidR="00763864" w14:paraId="5282D736" w14:textId="77777777">
      <w:pPr>
        <w:ind w:left="-5"/>
      </w:pPr>
      <w:r>
        <w:t xml:space="preserve">There are no exceptions to the certification. </w:t>
      </w:r>
    </w:p>
    <w:sectPr>
      <w:footerReference w:type="even" r:id="rId11"/>
      <w:footerReference w:type="default" r:id="rId12"/>
      <w:footerReference w:type="first" r:id="rId13"/>
      <w:pgSz w:w="12240" w:h="15840"/>
      <w:pgMar w:top="1498" w:right="1450" w:bottom="1705" w:left="158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864" w14:paraId="40E1B344" w14:textId="77777777">
    <w:pPr>
      <w:tabs>
        <w:tab w:val="center" w:pos="4608"/>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864" w14:paraId="7B142D4A" w14:textId="77777777">
    <w:pPr>
      <w:tabs>
        <w:tab w:val="center" w:pos="4608"/>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864" w14:paraId="1F7EE26F"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20DE" w14:paraId="2B4F4AE3" w14:textId="77777777">
      <w:pPr>
        <w:spacing w:after="0" w:line="240" w:lineRule="auto"/>
      </w:pPr>
      <w:r>
        <w:separator/>
      </w:r>
    </w:p>
  </w:footnote>
  <w:footnote w:type="continuationSeparator" w:id="1">
    <w:p w:rsidR="001820DE" w14:paraId="2FD10F33" w14:textId="77777777">
      <w:pPr>
        <w:spacing w:after="0" w:line="240" w:lineRule="auto"/>
      </w:pPr>
      <w:r>
        <w:continuationSeparator/>
      </w:r>
    </w:p>
  </w:footnote>
  <w:footnote w:id="2">
    <w:p w:rsidR="007052DB" w14:paraId="4B6B5D81" w14:textId="58FE3F20">
      <w:pPr>
        <w:pStyle w:val="FootnoteText"/>
      </w:pPr>
      <w:r>
        <w:rPr>
          <w:rStyle w:val="FootnoteReference"/>
        </w:rPr>
        <w:footnoteRef/>
      </w:r>
      <w:r>
        <w:t xml:space="preserve"> </w:t>
      </w:r>
      <w:r w:rsidR="00C4270E">
        <w:t>Pe</w:t>
      </w:r>
      <w:r w:rsidR="004E4792">
        <w:t>r</w:t>
      </w:r>
      <w:r w:rsidR="00C4270E">
        <w:t xml:space="preserve"> U.S. Bureau of Labor Statistics </w:t>
      </w:r>
      <w:r w:rsidR="004E4792">
        <w:t>May 202</w:t>
      </w:r>
      <w:r w:rsidR="00947821">
        <w:t>4</w:t>
      </w:r>
      <w:r w:rsidR="004E4792">
        <w:t xml:space="preserve"> National Occupational Employment</w:t>
      </w:r>
      <w:r w:rsidR="009177A7">
        <w:t xml:space="preserve"> and Wage Estimates</w:t>
      </w:r>
      <w:r w:rsidR="00626F86">
        <w:t xml:space="preserve"> for Business and Financial Operations occupations</w:t>
      </w:r>
      <w:r w:rsidR="009177A7">
        <w:t xml:space="preserve">: </w:t>
      </w:r>
      <w:hyperlink r:id="rId1" w:anchor="13-0000" w:history="1">
        <w:r w:rsidRPr="003706EC" w:rsidR="006639A2">
          <w:rPr>
            <w:rStyle w:val="Hyperlink"/>
          </w:rPr>
          <w:t>https://www.bls.gov/oes/current/oes_nat.htm#13-0000</w:t>
        </w:r>
      </w:hyperlink>
    </w:p>
    <w:p w:rsidR="006639A2" w14:paraId="1A5F4A78" w14:textId="77777777">
      <w:pPr>
        <w:pStyle w:val="FootnoteText"/>
      </w:pPr>
    </w:p>
  </w:footnote>
  <w:footnote w:id="3">
    <w:p w:rsidR="00A10642" w14:paraId="13374FAB" w14:textId="5418BA7E">
      <w:pPr>
        <w:pStyle w:val="FootnoteText"/>
      </w:pPr>
      <w:r>
        <w:rPr>
          <w:rStyle w:val="FootnoteReference"/>
        </w:rPr>
        <w:footnoteRef/>
      </w:r>
      <w:r>
        <w:t xml:space="preserve"> Per</w:t>
      </w:r>
      <w:r w:rsidR="006D2A0E">
        <w:t xml:space="preserve"> U.S. Office of Management and Budget</w:t>
      </w:r>
      <w:r>
        <w:t xml:space="preserve"> 202</w:t>
      </w:r>
      <w:r w:rsidR="00DA0174">
        <w:t xml:space="preserve">6 </w:t>
      </w:r>
      <w:r>
        <w:t>Washington, D.C. Metro Area</w:t>
      </w:r>
      <w:r w:rsidR="006D2A0E">
        <w:t xml:space="preserve"> GS Pay Table: </w:t>
      </w:r>
      <w:hyperlink r:id="rId2" w:history="1">
        <w:r w:rsidRPr="00BE2014" w:rsidR="00DA0174">
          <w:rPr>
            <w:rStyle w:val="Hyperlink"/>
          </w:rPr>
          <w:t>https://www.opm.gov/policy-data-oversight/pay-leave/salaries-wages/salary-tables/pdf/2026/DCB.pdf</w:t>
        </w:r>
      </w:hyperlink>
      <w:r w:rsidR="00DA0174">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64"/>
    <w:rsid w:val="00006736"/>
    <w:rsid w:val="00026F13"/>
    <w:rsid w:val="00031E73"/>
    <w:rsid w:val="000338CD"/>
    <w:rsid w:val="00036455"/>
    <w:rsid w:val="00036F75"/>
    <w:rsid w:val="00040F11"/>
    <w:rsid w:val="00041A0A"/>
    <w:rsid w:val="000441D0"/>
    <w:rsid w:val="00046A62"/>
    <w:rsid w:val="00046DDD"/>
    <w:rsid w:val="00054DB1"/>
    <w:rsid w:val="000554BB"/>
    <w:rsid w:val="000608D7"/>
    <w:rsid w:val="00062C5F"/>
    <w:rsid w:val="0006668F"/>
    <w:rsid w:val="00084589"/>
    <w:rsid w:val="00087F6A"/>
    <w:rsid w:val="00092673"/>
    <w:rsid w:val="000B46E3"/>
    <w:rsid w:val="000C146E"/>
    <w:rsid w:val="000C1C36"/>
    <w:rsid w:val="000C1F87"/>
    <w:rsid w:val="000C2C19"/>
    <w:rsid w:val="000C475A"/>
    <w:rsid w:val="000D2B43"/>
    <w:rsid w:val="000D5FDB"/>
    <w:rsid w:val="000E260A"/>
    <w:rsid w:val="000E3EBB"/>
    <w:rsid w:val="000E5AA3"/>
    <w:rsid w:val="000E6373"/>
    <w:rsid w:val="000E72AD"/>
    <w:rsid w:val="000E7759"/>
    <w:rsid w:val="000F39CB"/>
    <w:rsid w:val="000F525D"/>
    <w:rsid w:val="000F72F5"/>
    <w:rsid w:val="00105965"/>
    <w:rsid w:val="00107F49"/>
    <w:rsid w:val="0011019B"/>
    <w:rsid w:val="00121CDA"/>
    <w:rsid w:val="00121F43"/>
    <w:rsid w:val="00122ABD"/>
    <w:rsid w:val="00125325"/>
    <w:rsid w:val="001266B9"/>
    <w:rsid w:val="00140BA2"/>
    <w:rsid w:val="0014633F"/>
    <w:rsid w:val="00151B8F"/>
    <w:rsid w:val="001703C2"/>
    <w:rsid w:val="00171F37"/>
    <w:rsid w:val="00173159"/>
    <w:rsid w:val="00174325"/>
    <w:rsid w:val="0017476C"/>
    <w:rsid w:val="00180687"/>
    <w:rsid w:val="00180B97"/>
    <w:rsid w:val="0018151E"/>
    <w:rsid w:val="001820DE"/>
    <w:rsid w:val="00184FF3"/>
    <w:rsid w:val="00196BE9"/>
    <w:rsid w:val="00197A9C"/>
    <w:rsid w:val="001A1B38"/>
    <w:rsid w:val="001A1F88"/>
    <w:rsid w:val="001A3943"/>
    <w:rsid w:val="001A6244"/>
    <w:rsid w:val="001B1550"/>
    <w:rsid w:val="001B5C8C"/>
    <w:rsid w:val="001D389E"/>
    <w:rsid w:val="001D587B"/>
    <w:rsid w:val="001E2150"/>
    <w:rsid w:val="001F00C2"/>
    <w:rsid w:val="001F39C2"/>
    <w:rsid w:val="001F50BB"/>
    <w:rsid w:val="00204B8D"/>
    <w:rsid w:val="00204BAB"/>
    <w:rsid w:val="00220498"/>
    <w:rsid w:val="00224A15"/>
    <w:rsid w:val="00227259"/>
    <w:rsid w:val="0023159C"/>
    <w:rsid w:val="00232DBD"/>
    <w:rsid w:val="00242C6A"/>
    <w:rsid w:val="00247467"/>
    <w:rsid w:val="00251EED"/>
    <w:rsid w:val="00257F64"/>
    <w:rsid w:val="00260488"/>
    <w:rsid w:val="00262442"/>
    <w:rsid w:val="002652B4"/>
    <w:rsid w:val="002676E5"/>
    <w:rsid w:val="002716C7"/>
    <w:rsid w:val="00273DE0"/>
    <w:rsid w:val="00284230"/>
    <w:rsid w:val="00291CD5"/>
    <w:rsid w:val="002922C3"/>
    <w:rsid w:val="00292377"/>
    <w:rsid w:val="002972AB"/>
    <w:rsid w:val="00297D3F"/>
    <w:rsid w:val="002B01A9"/>
    <w:rsid w:val="002B0718"/>
    <w:rsid w:val="002B7B87"/>
    <w:rsid w:val="002D0734"/>
    <w:rsid w:val="002D0AE2"/>
    <w:rsid w:val="002D1CD9"/>
    <w:rsid w:val="002D2493"/>
    <w:rsid w:val="002D2B70"/>
    <w:rsid w:val="002D37B8"/>
    <w:rsid w:val="002D6598"/>
    <w:rsid w:val="002D6650"/>
    <w:rsid w:val="002D6A18"/>
    <w:rsid w:val="002E16A5"/>
    <w:rsid w:val="002E32DB"/>
    <w:rsid w:val="002F296D"/>
    <w:rsid w:val="00310008"/>
    <w:rsid w:val="003117CD"/>
    <w:rsid w:val="00312084"/>
    <w:rsid w:val="00312E25"/>
    <w:rsid w:val="00327A99"/>
    <w:rsid w:val="00335336"/>
    <w:rsid w:val="0034060C"/>
    <w:rsid w:val="00342B2B"/>
    <w:rsid w:val="00342F89"/>
    <w:rsid w:val="003572B2"/>
    <w:rsid w:val="0036079D"/>
    <w:rsid w:val="0036208B"/>
    <w:rsid w:val="00362186"/>
    <w:rsid w:val="00362BF2"/>
    <w:rsid w:val="003706EC"/>
    <w:rsid w:val="00372D53"/>
    <w:rsid w:val="00373E56"/>
    <w:rsid w:val="003745DA"/>
    <w:rsid w:val="003751D6"/>
    <w:rsid w:val="00381DC0"/>
    <w:rsid w:val="003829C9"/>
    <w:rsid w:val="00391734"/>
    <w:rsid w:val="00392937"/>
    <w:rsid w:val="00393473"/>
    <w:rsid w:val="003A625D"/>
    <w:rsid w:val="003A65F3"/>
    <w:rsid w:val="003A7027"/>
    <w:rsid w:val="003B0002"/>
    <w:rsid w:val="003B3DF2"/>
    <w:rsid w:val="003B3F77"/>
    <w:rsid w:val="003B55B7"/>
    <w:rsid w:val="003C07F3"/>
    <w:rsid w:val="003C0B51"/>
    <w:rsid w:val="003C2F35"/>
    <w:rsid w:val="003C476E"/>
    <w:rsid w:val="003D1BB4"/>
    <w:rsid w:val="003D22D2"/>
    <w:rsid w:val="003D576D"/>
    <w:rsid w:val="003E2050"/>
    <w:rsid w:val="003E3EDA"/>
    <w:rsid w:val="003F64AB"/>
    <w:rsid w:val="0040241B"/>
    <w:rsid w:val="00404620"/>
    <w:rsid w:val="00405BF5"/>
    <w:rsid w:val="00407021"/>
    <w:rsid w:val="0041680E"/>
    <w:rsid w:val="004221F6"/>
    <w:rsid w:val="004227A3"/>
    <w:rsid w:val="00427D7C"/>
    <w:rsid w:val="00434BCB"/>
    <w:rsid w:val="0043580B"/>
    <w:rsid w:val="00435864"/>
    <w:rsid w:val="00450519"/>
    <w:rsid w:val="00454915"/>
    <w:rsid w:val="0047304B"/>
    <w:rsid w:val="004778D5"/>
    <w:rsid w:val="00480352"/>
    <w:rsid w:val="00480A21"/>
    <w:rsid w:val="00481562"/>
    <w:rsid w:val="004901CF"/>
    <w:rsid w:val="004A3EDB"/>
    <w:rsid w:val="004A5E61"/>
    <w:rsid w:val="004B03BD"/>
    <w:rsid w:val="004B5D80"/>
    <w:rsid w:val="004C1AAF"/>
    <w:rsid w:val="004C4786"/>
    <w:rsid w:val="004C627E"/>
    <w:rsid w:val="004D6A4D"/>
    <w:rsid w:val="004E055E"/>
    <w:rsid w:val="004E0B2B"/>
    <w:rsid w:val="004E3B3F"/>
    <w:rsid w:val="004E4792"/>
    <w:rsid w:val="004E4A6A"/>
    <w:rsid w:val="004F5F8D"/>
    <w:rsid w:val="0050392B"/>
    <w:rsid w:val="00504A17"/>
    <w:rsid w:val="0050581E"/>
    <w:rsid w:val="005107BB"/>
    <w:rsid w:val="00512775"/>
    <w:rsid w:val="00512E98"/>
    <w:rsid w:val="00521489"/>
    <w:rsid w:val="00527A29"/>
    <w:rsid w:val="00533A24"/>
    <w:rsid w:val="00533BA0"/>
    <w:rsid w:val="00535DA6"/>
    <w:rsid w:val="00535DC6"/>
    <w:rsid w:val="00535E45"/>
    <w:rsid w:val="0054139D"/>
    <w:rsid w:val="00542317"/>
    <w:rsid w:val="00542648"/>
    <w:rsid w:val="00554E3D"/>
    <w:rsid w:val="00556A12"/>
    <w:rsid w:val="00561E65"/>
    <w:rsid w:val="00563793"/>
    <w:rsid w:val="00573119"/>
    <w:rsid w:val="00573231"/>
    <w:rsid w:val="00574EF5"/>
    <w:rsid w:val="005818C3"/>
    <w:rsid w:val="00585BC3"/>
    <w:rsid w:val="0059340E"/>
    <w:rsid w:val="00593CD3"/>
    <w:rsid w:val="00595D2D"/>
    <w:rsid w:val="005A46A2"/>
    <w:rsid w:val="005B745C"/>
    <w:rsid w:val="005C1B89"/>
    <w:rsid w:val="005C24DB"/>
    <w:rsid w:val="005C6F29"/>
    <w:rsid w:val="005E2131"/>
    <w:rsid w:val="005F1D2E"/>
    <w:rsid w:val="005F25E0"/>
    <w:rsid w:val="005F3D84"/>
    <w:rsid w:val="00601980"/>
    <w:rsid w:val="0060232C"/>
    <w:rsid w:val="0060341C"/>
    <w:rsid w:val="006079EC"/>
    <w:rsid w:val="006124F3"/>
    <w:rsid w:val="00613EB3"/>
    <w:rsid w:val="00625E15"/>
    <w:rsid w:val="00626962"/>
    <w:rsid w:val="00626F86"/>
    <w:rsid w:val="00634C28"/>
    <w:rsid w:val="0063519A"/>
    <w:rsid w:val="00643798"/>
    <w:rsid w:val="006470B8"/>
    <w:rsid w:val="00647B75"/>
    <w:rsid w:val="00654B19"/>
    <w:rsid w:val="00654B42"/>
    <w:rsid w:val="00655370"/>
    <w:rsid w:val="00662EA2"/>
    <w:rsid w:val="006639A2"/>
    <w:rsid w:val="00670782"/>
    <w:rsid w:val="00670915"/>
    <w:rsid w:val="00670C28"/>
    <w:rsid w:val="006714F8"/>
    <w:rsid w:val="006747CE"/>
    <w:rsid w:val="0068318B"/>
    <w:rsid w:val="0068431F"/>
    <w:rsid w:val="006A0CCB"/>
    <w:rsid w:val="006A5D7D"/>
    <w:rsid w:val="006B0383"/>
    <w:rsid w:val="006C18C1"/>
    <w:rsid w:val="006C4F39"/>
    <w:rsid w:val="006C7970"/>
    <w:rsid w:val="006D078A"/>
    <w:rsid w:val="006D2A0E"/>
    <w:rsid w:val="006E2247"/>
    <w:rsid w:val="006F6717"/>
    <w:rsid w:val="006F72CF"/>
    <w:rsid w:val="00700214"/>
    <w:rsid w:val="00702C25"/>
    <w:rsid w:val="00704ADE"/>
    <w:rsid w:val="007052DB"/>
    <w:rsid w:val="00711995"/>
    <w:rsid w:val="00711CC1"/>
    <w:rsid w:val="007120F6"/>
    <w:rsid w:val="00712122"/>
    <w:rsid w:val="007121E3"/>
    <w:rsid w:val="00720B42"/>
    <w:rsid w:val="00720C15"/>
    <w:rsid w:val="00721637"/>
    <w:rsid w:val="00723F1B"/>
    <w:rsid w:val="00725391"/>
    <w:rsid w:val="00731625"/>
    <w:rsid w:val="0073502F"/>
    <w:rsid w:val="00737D91"/>
    <w:rsid w:val="00740992"/>
    <w:rsid w:val="007478CD"/>
    <w:rsid w:val="007534ED"/>
    <w:rsid w:val="00761075"/>
    <w:rsid w:val="007617D4"/>
    <w:rsid w:val="00763864"/>
    <w:rsid w:val="00772CA0"/>
    <w:rsid w:val="00773012"/>
    <w:rsid w:val="00775138"/>
    <w:rsid w:val="0078104A"/>
    <w:rsid w:val="0078136A"/>
    <w:rsid w:val="00786F3E"/>
    <w:rsid w:val="00790CBB"/>
    <w:rsid w:val="00797337"/>
    <w:rsid w:val="007A3B54"/>
    <w:rsid w:val="007B76E4"/>
    <w:rsid w:val="007C1B62"/>
    <w:rsid w:val="007C2890"/>
    <w:rsid w:val="007C43AE"/>
    <w:rsid w:val="007C7B02"/>
    <w:rsid w:val="007D0541"/>
    <w:rsid w:val="007D6673"/>
    <w:rsid w:val="007E1460"/>
    <w:rsid w:val="007F18A6"/>
    <w:rsid w:val="007F3EDF"/>
    <w:rsid w:val="007F6169"/>
    <w:rsid w:val="008027BB"/>
    <w:rsid w:val="00802F17"/>
    <w:rsid w:val="00802F7B"/>
    <w:rsid w:val="008122AE"/>
    <w:rsid w:val="00814646"/>
    <w:rsid w:val="00817662"/>
    <w:rsid w:val="00822B81"/>
    <w:rsid w:val="00825263"/>
    <w:rsid w:val="00825B7C"/>
    <w:rsid w:val="00841C7F"/>
    <w:rsid w:val="0084692E"/>
    <w:rsid w:val="00852751"/>
    <w:rsid w:val="0085465D"/>
    <w:rsid w:val="00854790"/>
    <w:rsid w:val="00861409"/>
    <w:rsid w:val="00864B6F"/>
    <w:rsid w:val="00877269"/>
    <w:rsid w:val="0089496B"/>
    <w:rsid w:val="00896D23"/>
    <w:rsid w:val="008A68E9"/>
    <w:rsid w:val="008A6EFF"/>
    <w:rsid w:val="008B0070"/>
    <w:rsid w:val="008B52E8"/>
    <w:rsid w:val="008B5948"/>
    <w:rsid w:val="008B5B00"/>
    <w:rsid w:val="008C723D"/>
    <w:rsid w:val="008D2806"/>
    <w:rsid w:val="008D5540"/>
    <w:rsid w:val="008D57CC"/>
    <w:rsid w:val="008D6257"/>
    <w:rsid w:val="008D70C2"/>
    <w:rsid w:val="008E4E22"/>
    <w:rsid w:val="008F1C9E"/>
    <w:rsid w:val="008F370F"/>
    <w:rsid w:val="008F436C"/>
    <w:rsid w:val="008F7D15"/>
    <w:rsid w:val="00903CA0"/>
    <w:rsid w:val="0090627E"/>
    <w:rsid w:val="0091224F"/>
    <w:rsid w:val="00913A58"/>
    <w:rsid w:val="00913D74"/>
    <w:rsid w:val="00913E8A"/>
    <w:rsid w:val="009148FD"/>
    <w:rsid w:val="00915CC6"/>
    <w:rsid w:val="009177A7"/>
    <w:rsid w:val="00920360"/>
    <w:rsid w:val="0093527A"/>
    <w:rsid w:val="00943054"/>
    <w:rsid w:val="00947098"/>
    <w:rsid w:val="00947821"/>
    <w:rsid w:val="009579AA"/>
    <w:rsid w:val="00961B6F"/>
    <w:rsid w:val="00973ACE"/>
    <w:rsid w:val="0098146F"/>
    <w:rsid w:val="009836A8"/>
    <w:rsid w:val="0098386B"/>
    <w:rsid w:val="009867A0"/>
    <w:rsid w:val="00991C52"/>
    <w:rsid w:val="009A15F3"/>
    <w:rsid w:val="009A739B"/>
    <w:rsid w:val="009B2D73"/>
    <w:rsid w:val="009B5136"/>
    <w:rsid w:val="009B7547"/>
    <w:rsid w:val="009C2E12"/>
    <w:rsid w:val="009D0775"/>
    <w:rsid w:val="009D5D30"/>
    <w:rsid w:val="009E5390"/>
    <w:rsid w:val="009E75EB"/>
    <w:rsid w:val="009E7D7F"/>
    <w:rsid w:val="009F29E4"/>
    <w:rsid w:val="009F46F8"/>
    <w:rsid w:val="009F7BA5"/>
    <w:rsid w:val="00A0124E"/>
    <w:rsid w:val="00A02E6F"/>
    <w:rsid w:val="00A1032C"/>
    <w:rsid w:val="00A10642"/>
    <w:rsid w:val="00A141EC"/>
    <w:rsid w:val="00A23BAF"/>
    <w:rsid w:val="00A3054B"/>
    <w:rsid w:val="00A410D2"/>
    <w:rsid w:val="00A41C04"/>
    <w:rsid w:val="00A42659"/>
    <w:rsid w:val="00A50943"/>
    <w:rsid w:val="00A61973"/>
    <w:rsid w:val="00A6274E"/>
    <w:rsid w:val="00A66E46"/>
    <w:rsid w:val="00A77ECA"/>
    <w:rsid w:val="00A96716"/>
    <w:rsid w:val="00A96E25"/>
    <w:rsid w:val="00AA1DF5"/>
    <w:rsid w:val="00AA3FD9"/>
    <w:rsid w:val="00AA6850"/>
    <w:rsid w:val="00AA7389"/>
    <w:rsid w:val="00AB2528"/>
    <w:rsid w:val="00AB34A0"/>
    <w:rsid w:val="00AB62C8"/>
    <w:rsid w:val="00AC4B39"/>
    <w:rsid w:val="00AC768F"/>
    <w:rsid w:val="00AD084D"/>
    <w:rsid w:val="00AD0AB5"/>
    <w:rsid w:val="00AD5B68"/>
    <w:rsid w:val="00AD6C82"/>
    <w:rsid w:val="00AE212F"/>
    <w:rsid w:val="00AE4CC6"/>
    <w:rsid w:val="00AE5A9E"/>
    <w:rsid w:val="00AF7E1C"/>
    <w:rsid w:val="00B05D32"/>
    <w:rsid w:val="00B14F3C"/>
    <w:rsid w:val="00B20C84"/>
    <w:rsid w:val="00B21AF9"/>
    <w:rsid w:val="00B22A58"/>
    <w:rsid w:val="00B27590"/>
    <w:rsid w:val="00B34843"/>
    <w:rsid w:val="00B35268"/>
    <w:rsid w:val="00B543FD"/>
    <w:rsid w:val="00B545C1"/>
    <w:rsid w:val="00B54E4F"/>
    <w:rsid w:val="00B55714"/>
    <w:rsid w:val="00B65C20"/>
    <w:rsid w:val="00B6654B"/>
    <w:rsid w:val="00B6664F"/>
    <w:rsid w:val="00B67367"/>
    <w:rsid w:val="00B8318F"/>
    <w:rsid w:val="00B85404"/>
    <w:rsid w:val="00B8606E"/>
    <w:rsid w:val="00B902B6"/>
    <w:rsid w:val="00B91913"/>
    <w:rsid w:val="00B94698"/>
    <w:rsid w:val="00B95E9B"/>
    <w:rsid w:val="00B9752A"/>
    <w:rsid w:val="00BA1E7C"/>
    <w:rsid w:val="00BB1B1C"/>
    <w:rsid w:val="00BB79F5"/>
    <w:rsid w:val="00BC03B1"/>
    <w:rsid w:val="00BC6463"/>
    <w:rsid w:val="00BD481C"/>
    <w:rsid w:val="00BD5C0C"/>
    <w:rsid w:val="00BE2014"/>
    <w:rsid w:val="00BE3BA1"/>
    <w:rsid w:val="00BE5B1F"/>
    <w:rsid w:val="00BF0ABA"/>
    <w:rsid w:val="00BF1858"/>
    <w:rsid w:val="00BF38D3"/>
    <w:rsid w:val="00C03CD9"/>
    <w:rsid w:val="00C15DEC"/>
    <w:rsid w:val="00C22CE5"/>
    <w:rsid w:val="00C2332B"/>
    <w:rsid w:val="00C26E9B"/>
    <w:rsid w:val="00C323FB"/>
    <w:rsid w:val="00C34665"/>
    <w:rsid w:val="00C41393"/>
    <w:rsid w:val="00C4270E"/>
    <w:rsid w:val="00C42AFB"/>
    <w:rsid w:val="00C45697"/>
    <w:rsid w:val="00C459D3"/>
    <w:rsid w:val="00C54491"/>
    <w:rsid w:val="00C634AA"/>
    <w:rsid w:val="00C63A38"/>
    <w:rsid w:val="00C65220"/>
    <w:rsid w:val="00C65788"/>
    <w:rsid w:val="00C67EFA"/>
    <w:rsid w:val="00C809B6"/>
    <w:rsid w:val="00C844E7"/>
    <w:rsid w:val="00C927CC"/>
    <w:rsid w:val="00C961AA"/>
    <w:rsid w:val="00CA3D26"/>
    <w:rsid w:val="00CA4CE3"/>
    <w:rsid w:val="00CA5FDC"/>
    <w:rsid w:val="00CA6725"/>
    <w:rsid w:val="00CB1999"/>
    <w:rsid w:val="00CB62D2"/>
    <w:rsid w:val="00CC0B5F"/>
    <w:rsid w:val="00CC6229"/>
    <w:rsid w:val="00CD0673"/>
    <w:rsid w:val="00CD1070"/>
    <w:rsid w:val="00CD1267"/>
    <w:rsid w:val="00CD474E"/>
    <w:rsid w:val="00CD57F4"/>
    <w:rsid w:val="00CE03E0"/>
    <w:rsid w:val="00CE1512"/>
    <w:rsid w:val="00CE6DCB"/>
    <w:rsid w:val="00CF2F8B"/>
    <w:rsid w:val="00CF3CEF"/>
    <w:rsid w:val="00D023FB"/>
    <w:rsid w:val="00D0766F"/>
    <w:rsid w:val="00D16C2E"/>
    <w:rsid w:val="00D233BD"/>
    <w:rsid w:val="00D239CC"/>
    <w:rsid w:val="00D240E1"/>
    <w:rsid w:val="00D26FCD"/>
    <w:rsid w:val="00D42944"/>
    <w:rsid w:val="00D46E05"/>
    <w:rsid w:val="00D4762B"/>
    <w:rsid w:val="00D53C5D"/>
    <w:rsid w:val="00D559FD"/>
    <w:rsid w:val="00D609DF"/>
    <w:rsid w:val="00D65276"/>
    <w:rsid w:val="00D8040E"/>
    <w:rsid w:val="00D83363"/>
    <w:rsid w:val="00D93CCA"/>
    <w:rsid w:val="00DA0174"/>
    <w:rsid w:val="00DA1BC2"/>
    <w:rsid w:val="00DA1E48"/>
    <w:rsid w:val="00DC2F85"/>
    <w:rsid w:val="00DC39A4"/>
    <w:rsid w:val="00DC7F16"/>
    <w:rsid w:val="00DD219E"/>
    <w:rsid w:val="00DD298C"/>
    <w:rsid w:val="00DD6F8C"/>
    <w:rsid w:val="00DE2FA9"/>
    <w:rsid w:val="00DE54DC"/>
    <w:rsid w:val="00DE5B23"/>
    <w:rsid w:val="00DF0BF5"/>
    <w:rsid w:val="00DF5F30"/>
    <w:rsid w:val="00E01AB0"/>
    <w:rsid w:val="00E028D7"/>
    <w:rsid w:val="00E05DAB"/>
    <w:rsid w:val="00E12E6D"/>
    <w:rsid w:val="00E15BBA"/>
    <w:rsid w:val="00E20827"/>
    <w:rsid w:val="00E21454"/>
    <w:rsid w:val="00E31F07"/>
    <w:rsid w:val="00E40E81"/>
    <w:rsid w:val="00E51555"/>
    <w:rsid w:val="00E7174E"/>
    <w:rsid w:val="00E75AC2"/>
    <w:rsid w:val="00E75CAA"/>
    <w:rsid w:val="00E76956"/>
    <w:rsid w:val="00E8466B"/>
    <w:rsid w:val="00E8508F"/>
    <w:rsid w:val="00E85E53"/>
    <w:rsid w:val="00E878C2"/>
    <w:rsid w:val="00E9023C"/>
    <w:rsid w:val="00E94380"/>
    <w:rsid w:val="00E957AF"/>
    <w:rsid w:val="00E95D4D"/>
    <w:rsid w:val="00EA0AA8"/>
    <w:rsid w:val="00EA523F"/>
    <w:rsid w:val="00EA678C"/>
    <w:rsid w:val="00EB6AFA"/>
    <w:rsid w:val="00EC2513"/>
    <w:rsid w:val="00EC5531"/>
    <w:rsid w:val="00ED3277"/>
    <w:rsid w:val="00EE60E1"/>
    <w:rsid w:val="00EF1BD9"/>
    <w:rsid w:val="00EF4D5B"/>
    <w:rsid w:val="00F07C7B"/>
    <w:rsid w:val="00F167FA"/>
    <w:rsid w:val="00F177EF"/>
    <w:rsid w:val="00F2101F"/>
    <w:rsid w:val="00F26790"/>
    <w:rsid w:val="00F27397"/>
    <w:rsid w:val="00F342B5"/>
    <w:rsid w:val="00F34AAE"/>
    <w:rsid w:val="00F355E1"/>
    <w:rsid w:val="00F37B35"/>
    <w:rsid w:val="00F41558"/>
    <w:rsid w:val="00F44CE6"/>
    <w:rsid w:val="00F533CC"/>
    <w:rsid w:val="00F564E0"/>
    <w:rsid w:val="00F56F0F"/>
    <w:rsid w:val="00F62878"/>
    <w:rsid w:val="00F65136"/>
    <w:rsid w:val="00F67B00"/>
    <w:rsid w:val="00F74101"/>
    <w:rsid w:val="00F812AB"/>
    <w:rsid w:val="00F91316"/>
    <w:rsid w:val="00F92F4D"/>
    <w:rsid w:val="00FA754B"/>
    <w:rsid w:val="00FA7E2C"/>
    <w:rsid w:val="00FB3DB2"/>
    <w:rsid w:val="00FC5565"/>
    <w:rsid w:val="00FD14DF"/>
    <w:rsid w:val="00FD1C04"/>
    <w:rsid w:val="00FD2CCF"/>
    <w:rsid w:val="00FD5BB8"/>
    <w:rsid w:val="00FE0046"/>
    <w:rsid w:val="00FE3750"/>
    <w:rsid w:val="00FE6321"/>
    <w:rsid w:val="00FF1A35"/>
    <w:rsid w:val="00FF75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D0E7B5"/>
  <w15:docId w15:val="{D8E04979-8466-4489-AE4F-9B5A4FB8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075"/>
    <w:pPr>
      <w:spacing w:after="3" w:line="249" w:lineRule="auto"/>
      <w:ind w:left="2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semiHidden/>
    <w:unhideWhenUsed/>
    <w:rsid w:val="004778D5"/>
    <w:rPr>
      <w:sz w:val="16"/>
      <w:szCs w:val="16"/>
    </w:rPr>
  </w:style>
  <w:style w:type="paragraph" w:styleId="CommentText">
    <w:name w:val="annotation text"/>
    <w:basedOn w:val="Normal"/>
    <w:link w:val="CommentTextChar"/>
    <w:unhideWhenUsed/>
    <w:rsid w:val="004778D5"/>
    <w:pPr>
      <w:spacing w:line="240" w:lineRule="auto"/>
    </w:pPr>
    <w:rPr>
      <w:sz w:val="20"/>
      <w:szCs w:val="20"/>
    </w:rPr>
  </w:style>
  <w:style w:type="character" w:customStyle="1" w:styleId="CommentTextChar">
    <w:name w:val="Comment Text Char"/>
    <w:basedOn w:val="DefaultParagraphFont"/>
    <w:link w:val="CommentText"/>
    <w:uiPriority w:val="99"/>
    <w:rsid w:val="004778D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778D5"/>
    <w:rPr>
      <w:b/>
      <w:bCs/>
    </w:rPr>
  </w:style>
  <w:style w:type="character" w:customStyle="1" w:styleId="CommentSubjectChar">
    <w:name w:val="Comment Subject Char"/>
    <w:basedOn w:val="CommentTextChar"/>
    <w:link w:val="CommentSubject"/>
    <w:uiPriority w:val="99"/>
    <w:semiHidden/>
    <w:rsid w:val="004778D5"/>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712122"/>
    <w:rPr>
      <w:color w:val="0563C1" w:themeColor="hyperlink"/>
      <w:u w:val="single"/>
    </w:rPr>
  </w:style>
  <w:style w:type="character" w:styleId="UnresolvedMention">
    <w:name w:val="Unresolved Mention"/>
    <w:basedOn w:val="DefaultParagraphFont"/>
    <w:uiPriority w:val="99"/>
    <w:semiHidden/>
    <w:unhideWhenUsed/>
    <w:rsid w:val="00712122"/>
    <w:rPr>
      <w:color w:val="605E5C"/>
      <w:shd w:val="clear" w:color="auto" w:fill="E1DFDD"/>
    </w:rPr>
  </w:style>
  <w:style w:type="paragraph" w:styleId="Revision">
    <w:name w:val="Revision"/>
    <w:hidden/>
    <w:uiPriority w:val="99"/>
    <w:semiHidden/>
    <w:rsid w:val="005E2131"/>
    <w:pPr>
      <w:spacing w:after="0" w:line="240" w:lineRule="auto"/>
    </w:pPr>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98386B"/>
    <w:rPr>
      <w:color w:val="954F72" w:themeColor="followedHyperlink"/>
      <w:u w:val="single"/>
    </w:rPr>
  </w:style>
  <w:style w:type="paragraph" w:styleId="BlockText">
    <w:name w:val="Block Text"/>
    <w:basedOn w:val="Normal"/>
    <w:rsid w:val="004E0B2B"/>
    <w:pPr>
      <w:tabs>
        <w:tab w:val="left" w:pos="-720"/>
        <w:tab w:val="left" w:pos="0"/>
        <w:tab w:val="left" w:pos="1440"/>
        <w:tab w:val="left" w:pos="2160"/>
        <w:tab w:val="left" w:pos="3600"/>
        <w:tab w:val="left" w:pos="4320"/>
        <w:tab w:val="left" w:leader="dot" w:pos="4500"/>
      </w:tabs>
      <w:spacing w:after="0" w:line="240" w:lineRule="auto"/>
      <w:ind w:left="540" w:right="720" w:firstLine="0"/>
    </w:pPr>
    <w:rPr>
      <w:color w:val="auto"/>
      <w:szCs w:val="20"/>
    </w:rPr>
  </w:style>
  <w:style w:type="paragraph" w:styleId="Header">
    <w:name w:val="header"/>
    <w:basedOn w:val="Normal"/>
    <w:link w:val="HeaderChar"/>
    <w:uiPriority w:val="99"/>
    <w:unhideWhenUsed/>
    <w:rsid w:val="00267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6E5"/>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705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2DB"/>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052DB"/>
    <w:rPr>
      <w:vertAlign w:val="superscript"/>
    </w:rPr>
  </w:style>
  <w:style w:type="paragraph" w:styleId="Caption">
    <w:name w:val="caption"/>
    <w:basedOn w:val="Normal"/>
    <w:next w:val="Normal"/>
    <w:uiPriority w:val="35"/>
    <w:unhideWhenUsed/>
    <w:qFormat/>
    <w:rsid w:val="00802F7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a/154954/download?attachment"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media/136030/download?attachmen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opm.gov/policy-data-oversight/pay-leave/salaries-wages/salary-tables/pdf/2026/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D0A44B45829F48B55BD6EC156655FA" ma:contentTypeVersion="0" ma:contentTypeDescription="Create a new document." ma:contentTypeScope="" ma:versionID="ad54ca906cc9d0dfcb2e73a06bf7e8e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F5F15-78BF-4FCD-BE9A-73E9E58A636B}">
  <ds:schemaRefs>
    <ds:schemaRef ds:uri="http://schemas.openxmlformats.org/officeDocument/2006/bibliography"/>
  </ds:schemaRefs>
</ds:datastoreItem>
</file>

<file path=customXml/itemProps2.xml><?xml version="1.0" encoding="utf-8"?>
<ds:datastoreItem xmlns:ds="http://schemas.openxmlformats.org/officeDocument/2006/customXml" ds:itemID="{ADA0761E-E9AB-4606-963E-D861BF41F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C4E4CE-977A-41C9-B6B0-EB7949DEB99C}">
  <ds:schemaRefs>
    <ds:schemaRef ds:uri="http://schemas.microsoft.com/sharepoint/v3/contenttype/forms"/>
  </ds:schemaRefs>
</ds:datastoreItem>
</file>

<file path=customXml/itemProps4.xml><?xml version="1.0" encoding="utf-8"?>
<ds:datastoreItem xmlns:ds="http://schemas.openxmlformats.org/officeDocument/2006/customXml" ds:itemID="{AEC983AF-59DF-4276-85F4-BFA004027FF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113</TotalTime>
  <Pages>6</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- 0760 Animal Feed Program SSA 2020 EXT.doc</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- 0760 Animal Feed Program SSA 2020 EXT.doc</dc:title>
  <dc:creator>DHC</dc:creator>
  <cp:lastModifiedBy>Clouser, Patrick</cp:lastModifiedBy>
  <cp:revision>26</cp:revision>
  <dcterms:created xsi:type="dcterms:W3CDTF">2026-01-20T12:30:00Z</dcterms:created>
  <dcterms:modified xsi:type="dcterms:W3CDTF">2026-02-10T21:18:00Z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0x01010071D0A44B45829F48B55BD6EC156655FA</vt:lpwstr>
  </property>
</Properties>
</file>