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863B4" w:rsidRPr="00993CA0" w:rsidP="002C586B" w14:paraId="4B20F848" w14:textId="27F0ED98">
      <w:pPr>
        <w:pStyle w:val="p3"/>
        <w:tabs>
          <w:tab w:val="clear" w:pos="600"/>
        </w:tabs>
        <w:ind w:left="0" w:firstLine="0"/>
        <w:jc w:val="center"/>
        <w:rPr>
          <w:bCs/>
          <w:u w:val="single"/>
        </w:rPr>
      </w:pPr>
      <w:r w:rsidRPr="00993CA0">
        <w:rPr>
          <w:bCs/>
          <w:u w:val="single"/>
        </w:rPr>
        <w:t>SUPPORTING STATEMENT</w:t>
      </w:r>
      <w:r w:rsidR="005711AC">
        <w:rPr>
          <w:bCs/>
          <w:u w:val="single"/>
        </w:rPr>
        <w:t xml:space="preserve"> A</w:t>
      </w:r>
    </w:p>
    <w:p w:rsidR="008863B4" w:rsidP="002C586B" w14:paraId="4AE1BA32" w14:textId="77777777">
      <w:pPr>
        <w:pStyle w:val="p3"/>
        <w:tabs>
          <w:tab w:val="clear" w:pos="600"/>
        </w:tabs>
        <w:ind w:left="0" w:firstLine="0"/>
        <w:jc w:val="center"/>
        <w:rPr>
          <w:bCs/>
        </w:rPr>
      </w:pPr>
    </w:p>
    <w:p w:rsidR="002D1ECF" w:rsidRPr="008863B4" w:rsidP="002C586B" w14:paraId="50B0FA69" w14:textId="5747495E">
      <w:pPr>
        <w:pStyle w:val="p3"/>
        <w:tabs>
          <w:tab w:val="clear" w:pos="600"/>
        </w:tabs>
        <w:ind w:left="0" w:firstLine="0"/>
        <w:jc w:val="center"/>
        <w:rPr>
          <w:bCs/>
        </w:rPr>
      </w:pPr>
      <w:r w:rsidRPr="00C57336">
        <w:rPr>
          <w:bCs/>
          <w:u w:val="single"/>
        </w:rPr>
        <w:t xml:space="preserve">OMB Control Number </w:t>
      </w:r>
      <w:r w:rsidR="00A372C5">
        <w:rPr>
          <w:bCs/>
          <w:u w:val="single"/>
        </w:rPr>
        <w:t>0750-0001</w:t>
      </w:r>
      <w:r>
        <w:rPr>
          <w:bCs/>
          <w:u w:val="single"/>
        </w:rPr>
        <w:t xml:space="preserve"> – </w:t>
      </w:r>
      <w:r w:rsidRPr="00B516A5" w:rsidR="00B516A5">
        <w:rPr>
          <w:bCs/>
          <w:u w:val="single"/>
        </w:rPr>
        <w:t xml:space="preserve">Defense Federal Acquisition Regulation Supplement (DFARS) </w:t>
      </w:r>
      <w:r w:rsidR="00A372C5">
        <w:rPr>
          <w:bCs/>
          <w:u w:val="single"/>
        </w:rPr>
        <w:t>Performance-Based Payments</w:t>
      </w:r>
      <w:r w:rsidR="00157B2D">
        <w:rPr>
          <w:bCs/>
          <w:u w:val="single"/>
        </w:rPr>
        <w:t>—</w:t>
      </w:r>
      <w:r w:rsidR="00A372C5">
        <w:rPr>
          <w:bCs/>
          <w:u w:val="single"/>
        </w:rPr>
        <w:t>Representation</w:t>
      </w:r>
    </w:p>
    <w:p w:rsidR="002D1ECF" w:rsidP="002C586B" w14:paraId="30837DB7" w14:textId="667C2362">
      <w:pPr>
        <w:pStyle w:val="p3"/>
        <w:tabs>
          <w:tab w:val="clear" w:pos="600"/>
        </w:tabs>
        <w:ind w:left="0" w:firstLine="0"/>
        <w:rPr>
          <w:bCs/>
        </w:rPr>
      </w:pPr>
    </w:p>
    <w:p w:rsidR="002C586B" w:rsidP="002C586B" w14:paraId="436663F5" w14:textId="23B8BF3C">
      <w:pPr>
        <w:pStyle w:val="p3"/>
        <w:tabs>
          <w:tab w:val="clear" w:pos="600"/>
        </w:tabs>
        <w:ind w:left="0" w:firstLine="0"/>
        <w:rPr>
          <w:bCs/>
        </w:rPr>
      </w:pPr>
      <w:r>
        <w:rPr>
          <w:bCs/>
        </w:rPr>
        <w:t>Summary of Changes from Previously Approved Collection</w:t>
      </w:r>
    </w:p>
    <w:p w:rsidR="002C586B" w:rsidRPr="002C586B" w:rsidP="002C586B" w14:paraId="29F1D6A9" w14:textId="06CA364B">
      <w:pPr>
        <w:pStyle w:val="p3"/>
        <w:numPr>
          <w:ilvl w:val="0"/>
          <w:numId w:val="1"/>
        </w:numPr>
        <w:rPr>
          <w:bCs/>
          <w:i/>
        </w:rPr>
      </w:pPr>
      <w:r>
        <w:rPr>
          <w:bCs/>
        </w:rPr>
        <w:t xml:space="preserve">Burden has </w:t>
      </w:r>
      <w:r w:rsidR="00567037">
        <w:rPr>
          <w:bCs/>
        </w:rPr>
        <w:t>decreased</w:t>
      </w:r>
      <w:r>
        <w:rPr>
          <w:bCs/>
        </w:rPr>
        <w:t xml:space="preserve"> due to the use of current data.</w:t>
      </w:r>
    </w:p>
    <w:p w:rsidR="002C586B" w:rsidRPr="008863B4" w:rsidP="002C586B" w14:paraId="52997391" w14:textId="77777777">
      <w:pPr>
        <w:pStyle w:val="p3"/>
        <w:tabs>
          <w:tab w:val="clear" w:pos="600"/>
        </w:tabs>
        <w:ind w:left="0" w:firstLine="0"/>
        <w:rPr>
          <w:bCs/>
        </w:rPr>
      </w:pPr>
    </w:p>
    <w:p w:rsidR="008863B4" w:rsidP="002C586B" w14:paraId="3321FE53" w14:textId="53B9FADB">
      <w:pPr>
        <w:pStyle w:val="p4"/>
        <w:tabs>
          <w:tab w:val="clear" w:pos="657"/>
        </w:tabs>
      </w:pPr>
      <w:r w:rsidRPr="008863B4">
        <w:rPr>
          <w:bCs/>
        </w:rPr>
        <w:t>1.</w:t>
      </w:r>
      <w:r w:rsidR="002C586B">
        <w:rPr>
          <w:bCs/>
        </w:rPr>
        <w:tab/>
      </w:r>
      <w:r w:rsidRPr="008863B4">
        <w:rPr>
          <w:bCs/>
          <w:u w:val="single"/>
        </w:rPr>
        <w:t>Need for the Information Collection</w:t>
      </w:r>
    </w:p>
    <w:p w:rsidR="008863B4" w:rsidP="002C586B" w14:paraId="3A269071" w14:textId="77777777">
      <w:pPr>
        <w:pStyle w:val="p4"/>
        <w:tabs>
          <w:tab w:val="clear" w:pos="657"/>
        </w:tabs>
      </w:pPr>
    </w:p>
    <w:p w:rsidR="006C6D5A" w:rsidP="002C586B" w14:paraId="7480142B" w14:textId="145B46C8">
      <w:pPr>
        <w:pStyle w:val="p4"/>
        <w:tabs>
          <w:tab w:val="clear" w:pos="657"/>
        </w:tabs>
      </w:pPr>
      <w:r>
        <w:tab/>
      </w:r>
      <w:bookmarkStart w:id="0" w:name="_Hlk228260234"/>
      <w:r>
        <w:rPr>
          <w:bCs/>
        </w:rPr>
        <w:t>This</w:t>
      </w:r>
      <w:r w:rsidRPr="008863B4" w:rsidR="002D1ECF">
        <w:t xml:space="preserve"> information </w:t>
      </w:r>
      <w:r w:rsidR="007C2D5A">
        <w:t xml:space="preserve">collection </w:t>
      </w:r>
      <w:r>
        <w:t>concerns</w:t>
      </w:r>
      <w:r w:rsidRPr="008863B4">
        <w:t xml:space="preserve"> </w:t>
      </w:r>
      <w:r w:rsidR="002C586B">
        <w:t xml:space="preserve">the </w:t>
      </w:r>
      <w:r w:rsidRPr="008863B4">
        <w:t xml:space="preserve">Defense Federal Acquisition Regulation Supplement (DFARS) </w:t>
      </w:r>
      <w:r w:rsidR="002C586B">
        <w:t xml:space="preserve">solicitation </w:t>
      </w:r>
      <w:r w:rsidR="0055598F">
        <w:t xml:space="preserve">provision at </w:t>
      </w:r>
      <w:r w:rsidR="007220A0">
        <w:t>252.232-</w:t>
      </w:r>
      <w:r w:rsidR="00A372C5">
        <w:t>7015</w:t>
      </w:r>
      <w:r w:rsidR="007220A0">
        <w:t xml:space="preserve">, </w:t>
      </w:r>
      <w:r w:rsidR="0055598F">
        <w:t>Performance-Based Payments—Representation.  This provision is prescribed at DFARS 232.1005-70(b) for use in solicitations where the resulting contract may include perf</w:t>
      </w:r>
      <w:r w:rsidR="007B6609">
        <w:t>o</w:t>
      </w:r>
      <w:r w:rsidR="0055598F">
        <w:t>rmance-based payments.  Th</w:t>
      </w:r>
      <w:r w:rsidR="00C125FA">
        <w:t>e</w:t>
      </w:r>
      <w:r w:rsidR="0055598F">
        <w:t xml:space="preserve"> </w:t>
      </w:r>
      <w:r w:rsidR="00C125FA">
        <w:t xml:space="preserve">provision includes a </w:t>
      </w:r>
      <w:r w:rsidR="0055598F">
        <w:t xml:space="preserve">representation </w:t>
      </w:r>
      <w:r w:rsidR="00C125FA">
        <w:t xml:space="preserve">that </w:t>
      </w:r>
      <w:r w:rsidR="0055598F">
        <w:t>will be included in the annual representations and certifications in t</w:t>
      </w:r>
      <w:r w:rsidR="007B6609">
        <w:t>h</w:t>
      </w:r>
      <w:r w:rsidR="0055598F">
        <w:t>e System for Award Management.  Paragr</w:t>
      </w:r>
      <w:r w:rsidR="007B6609">
        <w:t>a</w:t>
      </w:r>
      <w:r w:rsidR="0055598F">
        <w:t xml:space="preserve">ph (b) of the provision requires the offeror to check a box indicating whether the offeror’s </w:t>
      </w:r>
      <w:r w:rsidR="00A372C5">
        <w:t>financial statements</w:t>
      </w:r>
      <w:r w:rsidR="0055598F">
        <w:t xml:space="preserve"> </w:t>
      </w:r>
      <w:r w:rsidR="00A372C5">
        <w:t xml:space="preserve">are </w:t>
      </w:r>
      <w:r w:rsidR="0055598F">
        <w:t xml:space="preserve">in compliance with Generally Accepted Accounting </w:t>
      </w:r>
      <w:r w:rsidR="00F60124">
        <w:t>P</w:t>
      </w:r>
      <w:r w:rsidR="002C586B">
        <w:t>rinciples</w:t>
      </w:r>
      <w:bookmarkEnd w:id="0"/>
      <w:r w:rsidR="002C586B">
        <w:t>.</w:t>
      </w:r>
    </w:p>
    <w:p w:rsidR="00C53611" w:rsidP="002C586B" w14:paraId="70929CA5" w14:textId="77777777">
      <w:pPr>
        <w:widowControl/>
      </w:pPr>
    </w:p>
    <w:p w:rsidR="00FF42D0" w:rsidP="002C586B" w14:paraId="43905CDA" w14:textId="7908CB69">
      <w:r w:rsidRPr="008863B4">
        <w:t>2.</w:t>
      </w:r>
      <w:r w:rsidR="002C586B">
        <w:tab/>
      </w:r>
      <w:r w:rsidRPr="00FF42D0">
        <w:rPr>
          <w:u w:val="single"/>
        </w:rPr>
        <w:t>Use of the Information</w:t>
      </w:r>
    </w:p>
    <w:p w:rsidR="00FF42D0" w:rsidP="002C586B" w14:paraId="1446FB3A" w14:textId="77777777"/>
    <w:p w:rsidR="006C6D5A" w:rsidP="002C586B" w14:paraId="0220A65B" w14:textId="1DBB3D4D">
      <w:r>
        <w:tab/>
      </w:r>
      <w:r w:rsidR="0055598F">
        <w:t>The Government will use this information to decide whether the offeror is eligible f</w:t>
      </w:r>
      <w:r w:rsidR="002C586B">
        <w:t>or performance-based payments.</w:t>
      </w:r>
    </w:p>
    <w:p w:rsidR="006C6D5A" w:rsidP="002C586B" w14:paraId="399AB312" w14:textId="77777777"/>
    <w:p w:rsidR="00FF42D0" w:rsidRPr="00FF42D0" w:rsidP="002C586B" w14:paraId="7ED4945A" w14:textId="130AFA82">
      <w:pPr>
        <w:rPr>
          <w:u w:val="single"/>
        </w:rPr>
      </w:pPr>
      <w:r>
        <w:t>3.</w:t>
      </w:r>
      <w:r w:rsidR="002C586B">
        <w:tab/>
      </w:r>
      <w:r w:rsidRPr="00FF42D0">
        <w:rPr>
          <w:u w:val="single"/>
        </w:rPr>
        <w:t>Use of Information Technology</w:t>
      </w:r>
    </w:p>
    <w:p w:rsidR="00FF42D0" w:rsidP="002C586B" w14:paraId="3C4C373C" w14:textId="77777777"/>
    <w:p w:rsidR="00FF42D0" w:rsidP="002C586B" w14:paraId="52EFBA0F" w14:textId="71E28F2A">
      <w:r>
        <w:tab/>
        <w:t xml:space="preserve">Information technology is used to </w:t>
      </w:r>
      <w:r w:rsidR="00E9558B">
        <w:t>collect the information (100%)</w:t>
      </w:r>
      <w:r w:rsidR="002C586B">
        <w:t>.</w:t>
      </w:r>
    </w:p>
    <w:p w:rsidR="002D1ECF" w:rsidP="002C586B" w14:paraId="51C1B34E" w14:textId="77777777"/>
    <w:p w:rsidR="00FF42D0" w:rsidRPr="00FF42D0" w:rsidP="002C586B" w14:paraId="0F0899B8" w14:textId="0A7BA93F">
      <w:pPr>
        <w:widowControl/>
        <w:autoSpaceDE/>
        <w:autoSpaceDN/>
        <w:adjustRightInd/>
      </w:pPr>
      <w:r>
        <w:t>4</w:t>
      </w:r>
      <w:r w:rsidRPr="00FF42D0">
        <w:t>.</w:t>
      </w:r>
      <w:r w:rsidR="002C586B">
        <w:tab/>
      </w:r>
      <w:r w:rsidRPr="00FF42D0">
        <w:rPr>
          <w:u w:val="single"/>
        </w:rPr>
        <w:t>Non-duplication</w:t>
      </w:r>
    </w:p>
    <w:p w:rsidR="00FF42D0" w:rsidRPr="00FF42D0" w:rsidP="002C586B" w14:paraId="57FDEE46" w14:textId="77777777">
      <w:pPr>
        <w:widowControl/>
        <w:autoSpaceDE/>
        <w:autoSpaceDN/>
        <w:adjustRightInd/>
      </w:pPr>
    </w:p>
    <w:p w:rsidR="00FF42D0" w:rsidRPr="00FF42D0" w:rsidP="002C586B" w14:paraId="43AAE9BE" w14:textId="465D740A">
      <w:pPr>
        <w:widowControl/>
        <w:autoSpaceDE/>
        <w:autoSpaceDN/>
        <w:adjustRightInd/>
      </w:pPr>
      <w:r w:rsidRPr="00FF42D0">
        <w:tab/>
        <w:t xml:space="preserve">As a matter of policy, DoD reviews the </w:t>
      </w:r>
      <w:r w:rsidR="002C586B">
        <w:t xml:space="preserve">Federal Acquisition Regulation (FAR) and </w:t>
      </w:r>
      <w:r w:rsidRPr="00FF42D0">
        <w:t>DFARS to determine whether adequate language already exists.  This information collection does not duplicate any other requirement.</w:t>
      </w:r>
    </w:p>
    <w:p w:rsidR="00FF42D0" w:rsidRPr="008863B4" w:rsidP="002C586B" w14:paraId="0ED5F099" w14:textId="77777777"/>
    <w:p w:rsidR="00FF42D0" w:rsidP="002C586B" w14:paraId="407BD780" w14:textId="637AE040">
      <w:r w:rsidRPr="008863B4">
        <w:t>5.</w:t>
      </w:r>
      <w:r>
        <w:tab/>
      </w:r>
      <w:r w:rsidRPr="00FF42D0">
        <w:rPr>
          <w:u w:val="single"/>
        </w:rPr>
        <w:t>Burden on Small Business</w:t>
      </w:r>
    </w:p>
    <w:p w:rsidR="00FF42D0" w:rsidP="002C586B" w14:paraId="6A0732FF" w14:textId="3F7627F3"/>
    <w:p w:rsidR="00FF42D0" w:rsidP="002C586B" w14:paraId="313C5740" w14:textId="60A046D9">
      <w:pPr>
        <w:pStyle w:val="p9"/>
        <w:tabs>
          <w:tab w:val="clear" w:pos="759"/>
        </w:tabs>
      </w:pPr>
      <w:r>
        <w:tab/>
      </w:r>
      <w:r w:rsidRPr="00FF42D0">
        <w:t xml:space="preserve">Although the information collection requirement does not reduce the burden on small entities, the information is the minimum needed by a contracting officer in order to make an informed decision as to whether </w:t>
      </w:r>
      <w:r w:rsidR="0055598F">
        <w:t>the offeror is eligible for performance-based payments.</w:t>
      </w:r>
    </w:p>
    <w:p w:rsidR="002C586B" w:rsidRPr="00FF42D0" w:rsidP="002C586B" w14:paraId="7FCAE70B" w14:textId="77777777">
      <w:pPr>
        <w:pStyle w:val="p9"/>
        <w:tabs>
          <w:tab w:val="clear" w:pos="759"/>
        </w:tabs>
      </w:pPr>
    </w:p>
    <w:p w:rsidR="00FF42D0" w:rsidP="002C586B" w14:paraId="61EF5EAD" w14:textId="48DCFE92">
      <w:pPr>
        <w:pStyle w:val="p9"/>
        <w:tabs>
          <w:tab w:val="clear" w:pos="759"/>
        </w:tabs>
      </w:pPr>
      <w:r w:rsidRPr="008863B4">
        <w:t>6.</w:t>
      </w:r>
      <w:r>
        <w:tab/>
      </w:r>
      <w:r w:rsidRPr="00FF42D0">
        <w:rPr>
          <w:u w:val="single"/>
        </w:rPr>
        <w:t>Less Frequent C</w:t>
      </w:r>
      <w:r w:rsidRPr="00FF42D0">
        <w:rPr>
          <w:u w:val="single"/>
        </w:rPr>
        <w:t>ollection</w:t>
      </w:r>
    </w:p>
    <w:p w:rsidR="00FF42D0" w:rsidRPr="00FF42D0" w:rsidP="002C586B" w14:paraId="370FFDEC" w14:textId="77777777">
      <w:pPr>
        <w:pStyle w:val="p9"/>
        <w:tabs>
          <w:tab w:val="clear" w:pos="759"/>
        </w:tabs>
      </w:pPr>
    </w:p>
    <w:p w:rsidR="00885C59" w:rsidP="002C586B" w14:paraId="7B8D0FDC" w14:textId="76568470">
      <w:r>
        <w:tab/>
      </w:r>
      <w:r w:rsidR="00A52A2F">
        <w:t>The frequency for collecting this information is only once per year, as part of the registration and annual update of the offeror’s information in the System for Award Management.</w:t>
      </w:r>
    </w:p>
    <w:p w:rsidR="002C586B" w:rsidRPr="005D30BB" w:rsidP="002C586B" w14:paraId="7023BD90" w14:textId="77777777"/>
    <w:p w:rsidR="00342573" w14:paraId="11F1DF5A" w14:textId="77777777">
      <w:pPr>
        <w:widowControl/>
        <w:autoSpaceDE/>
        <w:autoSpaceDN/>
        <w:adjustRightInd/>
      </w:pPr>
      <w:r>
        <w:br w:type="page"/>
      </w:r>
    </w:p>
    <w:p w:rsidR="00551240" w:rsidP="002C586B" w14:paraId="260669C0" w14:textId="750D152A">
      <w:r w:rsidRPr="008863B4">
        <w:t>7.</w:t>
      </w:r>
      <w:r w:rsidR="002C586B">
        <w:tab/>
      </w:r>
      <w:r w:rsidRPr="00551240">
        <w:rPr>
          <w:u w:val="single"/>
        </w:rPr>
        <w:t>Paperwork Reduction Act Guidelines</w:t>
      </w:r>
    </w:p>
    <w:p w:rsidR="00551240" w:rsidP="002C586B" w14:paraId="5F13B933" w14:textId="77777777"/>
    <w:p w:rsidR="002D1ECF" w:rsidRPr="008863B4" w:rsidP="002C586B" w14:paraId="12B4BA30" w14:textId="142E0759">
      <w:r>
        <w:tab/>
      </w:r>
      <w:r w:rsidRPr="008863B4">
        <w:t>There are no special circumstances for</w:t>
      </w:r>
      <w:r w:rsidR="005D1B1D">
        <w:t xml:space="preserve"> this</w:t>
      </w:r>
      <w:r w:rsidRPr="008863B4">
        <w:t xml:space="preserve"> collection.  </w:t>
      </w:r>
      <w:r w:rsidR="005D1B1D">
        <w:t>The c</w:t>
      </w:r>
      <w:r w:rsidRPr="008863B4">
        <w:t>ollection is consistent with the g</w:t>
      </w:r>
      <w:r>
        <w:t>uidelines in 5 CFR 1320.5(d)(2)</w:t>
      </w:r>
      <w:r w:rsidR="00643ACF">
        <w:t>.</w:t>
      </w:r>
    </w:p>
    <w:p w:rsidR="002D1ECF" w:rsidRPr="008863B4" w:rsidP="002C586B" w14:paraId="3A57830D" w14:textId="77777777"/>
    <w:p w:rsidR="00551240" w:rsidP="002C586B" w14:paraId="4A4B6BBB" w14:textId="4A52DCD3">
      <w:pPr>
        <w:rPr>
          <w:u w:val="single"/>
        </w:rPr>
      </w:pPr>
      <w:r w:rsidRPr="008863B4">
        <w:t>8.</w:t>
      </w:r>
      <w:r>
        <w:tab/>
      </w:r>
      <w:r w:rsidRPr="00FE5546" w:rsidR="00FE5546">
        <w:rPr>
          <w:u w:val="single"/>
        </w:rPr>
        <w:t>C</w:t>
      </w:r>
      <w:r w:rsidRPr="00FE5546">
        <w:rPr>
          <w:u w:val="single"/>
        </w:rPr>
        <w:t xml:space="preserve">onsultation </w:t>
      </w:r>
      <w:r w:rsidRPr="00FE5546" w:rsidR="00FE5546">
        <w:rPr>
          <w:u w:val="single"/>
        </w:rPr>
        <w:t>and Public</w:t>
      </w:r>
      <w:r w:rsidR="00FE5546">
        <w:rPr>
          <w:u w:val="single"/>
        </w:rPr>
        <w:t xml:space="preserve"> Comments</w:t>
      </w:r>
    </w:p>
    <w:p w:rsidR="002C586B" w:rsidP="002C586B" w14:paraId="44F9E843" w14:textId="77777777">
      <w:pPr>
        <w:widowControl/>
        <w:autoSpaceDE/>
        <w:autoSpaceDN/>
        <w:adjustRightInd/>
      </w:pPr>
    </w:p>
    <w:p w:rsidR="002C586B" w:rsidRPr="002C586B" w:rsidP="002C586B" w14:paraId="75581835" w14:textId="4E8CFCAD">
      <w:pPr>
        <w:widowControl/>
        <w:autoSpaceDE/>
        <w:autoSpaceDN/>
        <w:adjustRightInd/>
        <w:rPr>
          <w:u w:val="single"/>
        </w:rPr>
      </w:pPr>
      <w:r>
        <w:tab/>
      </w:r>
      <w:r w:rsidR="00BA11DA">
        <w:t>a</w:t>
      </w:r>
      <w:r w:rsidRPr="00D36D64" w:rsidR="00BA11DA">
        <w:t xml:space="preserve">.  </w:t>
      </w:r>
      <w:r>
        <w:rPr>
          <w:u w:val="single"/>
        </w:rPr>
        <w:t>Public Notice</w:t>
      </w:r>
    </w:p>
    <w:p w:rsidR="002C586B" w:rsidP="002C586B" w14:paraId="2FD7518D" w14:textId="5D77473A">
      <w:pPr>
        <w:widowControl/>
        <w:autoSpaceDE/>
        <w:autoSpaceDN/>
        <w:adjustRightInd/>
      </w:pPr>
    </w:p>
    <w:p w:rsidR="00AA206D" w:rsidP="002C586B" w14:paraId="1C5CA698" w14:textId="2E79CAAB">
      <w:pPr>
        <w:pStyle w:val="p3"/>
        <w:tabs>
          <w:tab w:val="clear" w:pos="600"/>
        </w:tabs>
        <w:ind w:left="0" w:firstLine="0"/>
      </w:pPr>
      <w:r>
        <w:tab/>
      </w:r>
      <w:r w:rsidR="002C586B">
        <w:tab/>
      </w:r>
      <w:r w:rsidR="002C586B">
        <w:t>i</w:t>
      </w:r>
      <w:r w:rsidRPr="00D36D64" w:rsidR="00D36D64">
        <w:t xml:space="preserve">.  </w:t>
      </w:r>
      <w:r w:rsidR="002C586B">
        <w:t>A 60-day notice for the collection was published</w:t>
      </w:r>
      <w:r w:rsidRPr="00D36D64" w:rsidR="00D36D64">
        <w:t xml:space="preserve"> in the </w:t>
      </w:r>
      <w:r w:rsidRPr="00D36D64" w:rsidR="00D36D64">
        <w:rPr>
          <w:i/>
        </w:rPr>
        <w:t>Federal Register</w:t>
      </w:r>
      <w:r w:rsidRPr="00D36D64" w:rsidR="00D36D64">
        <w:t xml:space="preserve"> </w:t>
      </w:r>
      <w:r w:rsidRPr="00B63EAE" w:rsidR="00D36D64">
        <w:t xml:space="preserve">on </w:t>
      </w:r>
      <w:r w:rsidR="005F3BAC">
        <w:t>February 26</w:t>
      </w:r>
      <w:r w:rsidRPr="00B63EAE" w:rsidR="00A40EA9">
        <w:t xml:space="preserve">, </w:t>
      </w:r>
      <w:r w:rsidR="004C0CAD">
        <w:t>2026</w:t>
      </w:r>
      <w:r w:rsidR="005F3BAC">
        <w:t>,</w:t>
      </w:r>
      <w:r>
        <w:t xml:space="preserve"> </w:t>
      </w:r>
      <w:r w:rsidRPr="00B63EAE" w:rsidR="002C586B">
        <w:t xml:space="preserve">at </w:t>
      </w:r>
      <w:r w:rsidR="005F3BAC">
        <w:t>91</w:t>
      </w:r>
      <w:r w:rsidRPr="00B63EAE" w:rsidR="00364647">
        <w:t xml:space="preserve"> </w:t>
      </w:r>
      <w:r w:rsidRPr="00B63EAE" w:rsidR="002C586B">
        <w:t xml:space="preserve">FR </w:t>
      </w:r>
      <w:r w:rsidR="005F3BAC">
        <w:t>9605</w:t>
      </w:r>
      <w:r w:rsidRPr="00D36D64" w:rsidR="00D36D64">
        <w:t>.</w:t>
      </w:r>
      <w:r w:rsidR="00843BFA">
        <w:t xml:space="preserve">  </w:t>
      </w:r>
      <w:r w:rsidR="00A61CC5">
        <w:t xml:space="preserve">Two </w:t>
      </w:r>
      <w:r w:rsidR="002C586B">
        <w:t>comments were received during the 60-day comment period.</w:t>
      </w:r>
      <w:r w:rsidR="00A61CC5">
        <w:t xml:space="preserve">  Summaries of the comments are included below along with DoD’s responses.</w:t>
      </w:r>
    </w:p>
    <w:p w:rsidR="00A61CC5" w:rsidP="002C586B" w14:paraId="477990DD" w14:textId="77777777">
      <w:pPr>
        <w:pStyle w:val="p3"/>
        <w:tabs>
          <w:tab w:val="clear" w:pos="600"/>
        </w:tabs>
        <w:ind w:left="0" w:firstLine="0"/>
      </w:pPr>
    </w:p>
    <w:p w:rsidR="00A61CC5" w:rsidP="002C586B" w14:paraId="1C8497B8" w14:textId="2CFB487B">
      <w:pPr>
        <w:pStyle w:val="p3"/>
        <w:tabs>
          <w:tab w:val="clear" w:pos="600"/>
        </w:tabs>
        <w:ind w:left="0" w:firstLine="0"/>
      </w:pPr>
      <w:r>
        <w:tab/>
      </w:r>
      <w:r w:rsidRPr="00A61CC5">
        <w:rPr>
          <w:u w:val="single"/>
        </w:rPr>
        <w:t>Comment</w:t>
      </w:r>
      <w:r>
        <w:t xml:space="preserve">:  </w:t>
      </w:r>
      <w:r w:rsidR="00A46FB3">
        <w:t xml:space="preserve">A </w:t>
      </w:r>
      <w:r w:rsidR="00833077">
        <w:t>respondent recommended collecting more information.  The respondent also recommended a penalty</w:t>
      </w:r>
      <w:r w:rsidR="00554670">
        <w:t>, including mandatory prison sentences,</w:t>
      </w:r>
      <w:r w:rsidR="00833077">
        <w:t xml:space="preserve"> for top management of companies whose information is late or inaccurate.</w:t>
      </w:r>
    </w:p>
    <w:p w:rsidR="00A61CC5" w:rsidP="002C586B" w14:paraId="7D867211" w14:textId="77777777">
      <w:pPr>
        <w:pStyle w:val="p3"/>
        <w:tabs>
          <w:tab w:val="clear" w:pos="600"/>
        </w:tabs>
        <w:ind w:left="0" w:firstLine="0"/>
      </w:pPr>
    </w:p>
    <w:p w:rsidR="00A61CC5" w:rsidP="002C586B" w14:paraId="1A5D1A5B" w14:textId="4215CEC4">
      <w:pPr>
        <w:pStyle w:val="p3"/>
        <w:tabs>
          <w:tab w:val="clear" w:pos="600"/>
        </w:tabs>
        <w:ind w:left="0" w:firstLine="0"/>
      </w:pPr>
      <w:r>
        <w:tab/>
      </w:r>
      <w:r w:rsidRPr="00A61CC5">
        <w:rPr>
          <w:u w:val="single"/>
        </w:rPr>
        <w:t>Response</w:t>
      </w:r>
      <w:r>
        <w:t xml:space="preserve">:  </w:t>
      </w:r>
      <w:r w:rsidR="00833077">
        <w:t xml:space="preserve">DoD collects the information necessary to meet its needs.  </w:t>
      </w:r>
      <w:r w:rsidR="00554670">
        <w:t>DoD is not adopting the respondent’s recommendation regarding a penalty.</w:t>
      </w:r>
    </w:p>
    <w:p w:rsidR="00AA206D" w:rsidP="002C586B" w14:paraId="406D6698" w14:textId="4AE1183D">
      <w:pPr>
        <w:pStyle w:val="p3"/>
        <w:tabs>
          <w:tab w:val="clear" w:pos="600"/>
        </w:tabs>
        <w:ind w:left="0" w:firstLine="0"/>
      </w:pPr>
    </w:p>
    <w:p w:rsidR="00554670" w:rsidP="002C586B" w14:paraId="697AC869" w14:textId="31C60FC4">
      <w:pPr>
        <w:pStyle w:val="p3"/>
        <w:tabs>
          <w:tab w:val="clear" w:pos="600"/>
        </w:tabs>
        <w:ind w:left="0" w:firstLine="0"/>
      </w:pPr>
      <w:r>
        <w:tab/>
      </w:r>
      <w:r w:rsidRPr="00554670">
        <w:rPr>
          <w:u w:val="single"/>
        </w:rPr>
        <w:t>Comment</w:t>
      </w:r>
      <w:r>
        <w:t xml:space="preserve">:  </w:t>
      </w:r>
      <w:r w:rsidR="00AD4928">
        <w:t xml:space="preserve">Another respondent </w:t>
      </w:r>
      <w:r w:rsidR="0049341B">
        <w:t>commen</w:t>
      </w:r>
      <w:r w:rsidR="00AD4928">
        <w:t xml:space="preserve">ted that </w:t>
      </w:r>
      <w:r w:rsidR="00A46FB3">
        <w:t xml:space="preserve">the “check-the-box” representation at </w:t>
      </w:r>
      <w:r w:rsidR="00AD4928">
        <w:t>DFARS 252.232-7015 is “dangerously insufficient</w:t>
      </w:r>
      <w:r w:rsidR="0049341B">
        <w:t>,</w:t>
      </w:r>
      <w:r w:rsidR="00AD4928">
        <w:t>” that the respondent’s forensic audit proves that major Federal contractors are falsifying their underlying liability data</w:t>
      </w:r>
      <w:r w:rsidR="0049341B">
        <w:t>, and that the contractors’ financial statements are “mathematically fabricated.”</w:t>
      </w:r>
      <w:r w:rsidR="00706F4E">
        <w:t xml:space="preserve">  The respondent recommended that DoD update DFARS 252.232-7015 to require contractors and their financial custodians to attest under penalty of perjury that their ERISA Form 5500 filings and actuarial assumptions reconcile accurately with their representations.  The respondent also recommended that DoD implement an automated protocol to cross-reference contractor and custodian employer identification numbers against the Department of Labor’s EFAST2 database, and that DoD screen for statistical </w:t>
      </w:r>
      <w:r w:rsidR="00106EDC">
        <w:t xml:space="preserve">anomalies </w:t>
      </w:r>
      <w:r w:rsidR="00706F4E">
        <w:t>before authorizing disbursement of performance-based payments.</w:t>
      </w:r>
    </w:p>
    <w:p w:rsidR="00554670" w:rsidP="002C586B" w14:paraId="65ABD7B4" w14:textId="77777777">
      <w:pPr>
        <w:pStyle w:val="p3"/>
        <w:tabs>
          <w:tab w:val="clear" w:pos="600"/>
        </w:tabs>
        <w:ind w:left="0" w:firstLine="0"/>
      </w:pPr>
    </w:p>
    <w:p w:rsidR="00AA1D41" w:rsidP="002C586B" w14:paraId="12A534DA" w14:textId="3BACF75E">
      <w:pPr>
        <w:pStyle w:val="p3"/>
        <w:tabs>
          <w:tab w:val="clear" w:pos="600"/>
        </w:tabs>
        <w:ind w:left="0" w:firstLine="0"/>
      </w:pPr>
      <w:r>
        <w:tab/>
      </w:r>
      <w:r w:rsidRPr="00554670">
        <w:rPr>
          <w:u w:val="single"/>
        </w:rPr>
        <w:t>Response</w:t>
      </w:r>
      <w:r>
        <w:t xml:space="preserve">:  </w:t>
      </w:r>
      <w:r w:rsidR="001C7218">
        <w:t xml:space="preserve">The existing representation at DFARS 252.232-7015 is sufficient for DoD’s </w:t>
      </w:r>
      <w:r>
        <w:t xml:space="preserve">current </w:t>
      </w:r>
      <w:r w:rsidR="001C7218">
        <w:t>needs</w:t>
      </w:r>
      <w:r>
        <w:t xml:space="preserve"> regarding </w:t>
      </w:r>
      <w:r w:rsidR="00106EDC">
        <w:t xml:space="preserve">a contractor’s eligibility to receive </w:t>
      </w:r>
      <w:r>
        <w:t xml:space="preserve">performance-based payments, which are based on quantifiable measures of the contractor’s results.  </w:t>
      </w:r>
      <w:r w:rsidR="00704350">
        <w:t>The recommendation to cross-reference employer identification numbers and screen for statistical anomalies is outside the scope of this information collection renewal.</w:t>
      </w:r>
    </w:p>
    <w:p w:rsidR="00AA1D41" w:rsidP="002C586B" w14:paraId="1D2E37FA" w14:textId="77777777">
      <w:pPr>
        <w:pStyle w:val="p3"/>
        <w:tabs>
          <w:tab w:val="clear" w:pos="600"/>
        </w:tabs>
        <w:ind w:left="0" w:firstLine="0"/>
      </w:pPr>
    </w:p>
    <w:p w:rsidR="00D36D64" w:rsidP="002C586B" w14:paraId="669CD383" w14:textId="5AF38083">
      <w:pPr>
        <w:widowControl/>
        <w:autoSpaceDE/>
        <w:autoSpaceDN/>
        <w:adjustRightInd/>
      </w:pPr>
      <w:r>
        <w:tab/>
      </w:r>
      <w:r w:rsidRPr="00D36D64">
        <w:tab/>
      </w:r>
      <w:r>
        <w:t>ii</w:t>
      </w:r>
      <w:r w:rsidRPr="00D36D64">
        <w:t xml:space="preserve">.  </w:t>
      </w:r>
      <w:r>
        <w:t xml:space="preserve">A 30-day notice for the </w:t>
      </w:r>
      <w:r w:rsidRPr="00D36D64">
        <w:t xml:space="preserve">collection was published in the </w:t>
      </w:r>
      <w:r w:rsidRPr="00D36D64">
        <w:rPr>
          <w:i/>
        </w:rPr>
        <w:t>Federal Register</w:t>
      </w:r>
      <w:r w:rsidRPr="00D36D64">
        <w:t xml:space="preserve"> </w:t>
      </w:r>
      <w:r w:rsidRPr="00B63EAE">
        <w:t xml:space="preserve">on </w:t>
      </w:r>
      <w:r w:rsidR="005F3BAC">
        <w:t>May</w:t>
      </w:r>
      <w:r w:rsidRPr="00B63EAE" w:rsidR="005F3BAC">
        <w:t xml:space="preserve"> </w:t>
      </w:r>
      <w:r w:rsidR="00D00482">
        <w:t>4</w:t>
      </w:r>
      <w:r w:rsidRPr="00B63EAE">
        <w:t xml:space="preserve">, </w:t>
      </w:r>
      <w:r w:rsidR="00795955">
        <w:t>2026</w:t>
      </w:r>
      <w:r w:rsidR="005F3BAC">
        <w:t>,</w:t>
      </w:r>
      <w:r>
        <w:t xml:space="preserve"> </w:t>
      </w:r>
      <w:r w:rsidRPr="00B63EAE">
        <w:t xml:space="preserve">at </w:t>
      </w:r>
      <w:r w:rsidR="005F3BAC">
        <w:t>91</w:t>
      </w:r>
      <w:r w:rsidRPr="00B63EAE" w:rsidR="00F810BC">
        <w:t xml:space="preserve"> </w:t>
      </w:r>
      <w:r w:rsidRPr="00B63EAE">
        <w:t xml:space="preserve">FR </w:t>
      </w:r>
      <w:r w:rsidR="00D00482">
        <w:t>23979</w:t>
      </w:r>
      <w:r w:rsidR="00DD6811">
        <w:t>.</w:t>
      </w:r>
    </w:p>
    <w:p w:rsidR="002C586B" w:rsidP="002C586B" w14:paraId="5A3BCDBD" w14:textId="23C6DF08">
      <w:pPr>
        <w:widowControl/>
        <w:autoSpaceDE/>
        <w:autoSpaceDN/>
        <w:adjustRightInd/>
      </w:pPr>
    </w:p>
    <w:p w:rsidR="002C586B" w:rsidRPr="002C586B" w:rsidP="002C586B" w14:paraId="1F66F79F" w14:textId="1E344E98">
      <w:pPr>
        <w:widowControl/>
        <w:autoSpaceDE/>
        <w:autoSpaceDN/>
        <w:adjustRightInd/>
        <w:rPr>
          <w:u w:val="single"/>
        </w:rPr>
      </w:pPr>
      <w:r>
        <w:tab/>
        <w:t xml:space="preserve">b.  </w:t>
      </w:r>
      <w:r>
        <w:rPr>
          <w:u w:val="single"/>
        </w:rPr>
        <w:t>Consultation</w:t>
      </w:r>
    </w:p>
    <w:p w:rsidR="002C586B" w:rsidP="002C586B" w14:paraId="539E423C" w14:textId="2993E6D0">
      <w:pPr>
        <w:widowControl/>
        <w:autoSpaceDE/>
        <w:autoSpaceDN/>
        <w:adjustRightInd/>
      </w:pPr>
    </w:p>
    <w:p w:rsidR="002C586B" w:rsidP="002C586B" w14:paraId="2A0A8AA3" w14:textId="19C11582">
      <w:pPr>
        <w:widowControl/>
        <w:autoSpaceDE/>
        <w:autoSpaceDN/>
        <w:adjustRightInd/>
      </w:pPr>
      <w:r>
        <w:tab/>
      </w:r>
      <w:r>
        <w:tab/>
        <w:t xml:space="preserve">Subject matter experts within DoD </w:t>
      </w:r>
      <w:r w:rsidRPr="00D36D64">
        <w:t>were consulted regarding this information collection.</w:t>
      </w:r>
    </w:p>
    <w:p w:rsidR="002C586B" w:rsidRPr="00D36D64" w:rsidP="002C586B" w14:paraId="0DD3E2F7" w14:textId="77777777">
      <w:pPr>
        <w:widowControl/>
        <w:autoSpaceDE/>
        <w:autoSpaceDN/>
        <w:adjustRightInd/>
      </w:pPr>
    </w:p>
    <w:p w:rsidR="00551240" w:rsidP="002C586B" w14:paraId="296B3A7C" w14:textId="435DC80F">
      <w:pPr>
        <w:pStyle w:val="p14"/>
        <w:tabs>
          <w:tab w:val="clear" w:pos="680"/>
        </w:tabs>
      </w:pPr>
      <w:r w:rsidRPr="008863B4">
        <w:t>9.</w:t>
      </w:r>
      <w:r w:rsidRPr="00551240">
        <w:tab/>
      </w:r>
      <w:r w:rsidRPr="00551240">
        <w:rPr>
          <w:u w:val="single"/>
        </w:rPr>
        <w:t xml:space="preserve">Gifts or </w:t>
      </w:r>
      <w:r>
        <w:rPr>
          <w:u w:val="single"/>
        </w:rPr>
        <w:t>Payment</w:t>
      </w:r>
    </w:p>
    <w:p w:rsidR="00551240" w:rsidP="002C586B" w14:paraId="11AF5E1F" w14:textId="77777777">
      <w:pPr>
        <w:pStyle w:val="p14"/>
        <w:tabs>
          <w:tab w:val="clear" w:pos="680"/>
        </w:tabs>
      </w:pPr>
    </w:p>
    <w:p w:rsidR="002D1ECF" w:rsidRPr="008863B4" w:rsidP="002C586B" w14:paraId="0FBA9226" w14:textId="6196467D">
      <w:pPr>
        <w:pStyle w:val="p14"/>
        <w:tabs>
          <w:tab w:val="clear" w:pos="680"/>
        </w:tabs>
      </w:pPr>
      <w:r>
        <w:tab/>
        <w:t xml:space="preserve">DoD will not provide </w:t>
      </w:r>
      <w:r w:rsidRPr="008863B4">
        <w:t>payment or gift to respondents</w:t>
      </w:r>
      <w:r>
        <w:t xml:space="preserve"> </w:t>
      </w:r>
      <w:r w:rsidR="00F227BC">
        <w:t>under t</w:t>
      </w:r>
      <w:r>
        <w:t>his information collection requirement</w:t>
      </w:r>
      <w:r w:rsidR="002C586B">
        <w:t>, other than remuneration to contractors under their contracts</w:t>
      </w:r>
      <w:r w:rsidRPr="008863B4">
        <w:t>.</w:t>
      </w:r>
    </w:p>
    <w:p w:rsidR="002D1ECF" w:rsidRPr="008863B4" w:rsidP="002C586B" w14:paraId="038568D7" w14:textId="77777777"/>
    <w:p w:rsidR="00551240" w:rsidP="002C586B" w14:paraId="3013B9F4" w14:textId="33DA0CF2">
      <w:r w:rsidRPr="008863B4">
        <w:t>10.</w:t>
      </w:r>
      <w:r w:rsidR="002C586B">
        <w:tab/>
      </w:r>
      <w:r w:rsidRPr="00551240">
        <w:rPr>
          <w:u w:val="single"/>
        </w:rPr>
        <w:t>Confidentiality</w:t>
      </w:r>
    </w:p>
    <w:p w:rsidR="00551240" w:rsidP="002C586B" w14:paraId="7FD181CE" w14:textId="77777777"/>
    <w:p w:rsidR="001D2C5F" w:rsidP="002C586B" w14:paraId="236DB692" w14:textId="4B79EE74">
      <w:r>
        <w:tab/>
      </w:r>
      <w:r w:rsidRPr="0077114B">
        <w:rPr>
          <w:rFonts w:eastAsia="Courier New"/>
        </w:rPr>
        <w:t>This information is disclosed only to the extent consistent with statutory requirements</w:t>
      </w:r>
      <w:r>
        <w:rPr>
          <w:rFonts w:eastAsia="Courier New"/>
        </w:rPr>
        <w:t xml:space="preserve">, current regulations, and prudent business practices.  </w:t>
      </w:r>
      <w:r w:rsidR="001A4D74">
        <w:rPr>
          <w:rFonts w:eastAsia="Courier New"/>
        </w:rPr>
        <w:t xml:space="preserve">No assurance of confidentiality is provided to respondents.  </w:t>
      </w:r>
      <w:r w:rsidRPr="001A4D74" w:rsidR="001A4D74">
        <w:rPr>
          <w:rFonts w:eastAsia="Courier New"/>
        </w:rPr>
        <w:t xml:space="preserve">A Privacy Act Statement is not required for this collection because DoD is not requesting individuals to furnish personal information for a system of records.  </w:t>
      </w:r>
      <w:r>
        <w:rPr>
          <w:rFonts w:eastAsia="Courier New"/>
        </w:rPr>
        <w:t>The collection of information doe</w:t>
      </w:r>
      <w:r w:rsidR="00E9558B">
        <w:rPr>
          <w:rFonts w:eastAsia="Courier New"/>
        </w:rPr>
        <w:t>s</w:t>
      </w:r>
      <w:r w:rsidR="001A4D74">
        <w:rPr>
          <w:rFonts w:eastAsia="Courier New"/>
        </w:rPr>
        <w:t xml:space="preserve"> not include any</w:t>
      </w:r>
      <w:r>
        <w:rPr>
          <w:rFonts w:eastAsia="Courier New"/>
        </w:rPr>
        <w:t xml:space="preserve"> personally identifiable information; </w:t>
      </w:r>
      <w:r w:rsidR="00E1501B">
        <w:rPr>
          <w:rFonts w:eastAsia="Courier New"/>
        </w:rPr>
        <w:t>therefore,</w:t>
      </w:r>
      <w:r>
        <w:rPr>
          <w:rFonts w:eastAsia="Courier New"/>
        </w:rPr>
        <w:t xml:space="preserve"> no Privacy Impact Assessment or Privacy Act System of Records Notice is required</w:t>
      </w:r>
      <w:r w:rsidR="00643ACF">
        <w:rPr>
          <w:rFonts w:eastAsia="Courier New"/>
        </w:rPr>
        <w:t>.</w:t>
      </w:r>
    </w:p>
    <w:p w:rsidR="002D1ECF" w:rsidRPr="008863B4" w:rsidP="002C586B" w14:paraId="4301C6E5" w14:textId="77777777"/>
    <w:p w:rsidR="00551240" w:rsidP="002C586B" w14:paraId="36382073" w14:textId="111F872A">
      <w:r w:rsidRPr="008863B4">
        <w:t>11.</w:t>
      </w:r>
      <w:r w:rsidR="001A4D74">
        <w:tab/>
      </w:r>
      <w:r w:rsidRPr="00551240">
        <w:rPr>
          <w:u w:val="single"/>
        </w:rPr>
        <w:t xml:space="preserve">Sensitive </w:t>
      </w:r>
      <w:r>
        <w:rPr>
          <w:u w:val="single"/>
        </w:rPr>
        <w:t>Q</w:t>
      </w:r>
      <w:r w:rsidRPr="00551240">
        <w:rPr>
          <w:u w:val="single"/>
        </w:rPr>
        <w:t>uestions</w:t>
      </w:r>
    </w:p>
    <w:p w:rsidR="00551240" w:rsidP="002C586B" w14:paraId="2241ACC7" w14:textId="77777777"/>
    <w:p w:rsidR="002D1ECF" w:rsidRPr="008863B4" w:rsidP="002C586B" w14:paraId="4C8E0F55" w14:textId="7EB0C807">
      <w:r>
        <w:tab/>
        <w:t>No sensitive questions are involved in the information collection</w:t>
      </w:r>
      <w:r w:rsidR="00643ACF">
        <w:t>.</w:t>
      </w:r>
    </w:p>
    <w:p w:rsidR="002D1ECF" w:rsidRPr="008863B4" w:rsidP="002C586B" w14:paraId="00EEFCD6" w14:textId="77777777"/>
    <w:p w:rsidR="002D1ECF" w:rsidP="002C586B" w14:paraId="6B663FC2" w14:textId="5EF4EB11">
      <w:pPr>
        <w:pStyle w:val="p14"/>
        <w:tabs>
          <w:tab w:val="clear" w:pos="680"/>
        </w:tabs>
      </w:pPr>
      <w:r w:rsidRPr="008863B4">
        <w:t>12.</w:t>
      </w:r>
      <w:r w:rsidR="00C2756A">
        <w:t xml:space="preserve">  </w:t>
      </w:r>
      <w:r w:rsidRPr="00C2756A" w:rsidR="00551240">
        <w:rPr>
          <w:u w:val="single"/>
        </w:rPr>
        <w:t>Respondent Burden and its Labor Costs</w:t>
      </w:r>
    </w:p>
    <w:p w:rsidR="00C2756A" w:rsidP="002C586B" w14:paraId="4CA8E126" w14:textId="77777777">
      <w:pPr>
        <w:pStyle w:val="p14"/>
        <w:tabs>
          <w:tab w:val="clear" w:pos="680"/>
        </w:tabs>
      </w:pPr>
    </w:p>
    <w:p w:rsidR="001A4D74" w:rsidP="002C586B" w14:paraId="5F82A09B" w14:textId="012120EF">
      <w:r>
        <w:tab/>
      </w:r>
      <w:r>
        <w:t xml:space="preserve">a.  </w:t>
      </w:r>
      <w:r>
        <w:rPr>
          <w:u w:val="single"/>
        </w:rPr>
        <w:t>Estimation of Respondent Burden</w:t>
      </w:r>
    </w:p>
    <w:p w:rsidR="001A4D74" w:rsidP="002C586B" w14:paraId="32E319CE" w14:textId="77777777"/>
    <w:p w:rsidR="00C2756A" w:rsidP="002C586B" w14:paraId="05D254F0" w14:textId="39E6D6FA">
      <w:r>
        <w:tab/>
      </w:r>
      <w:r>
        <w:tab/>
      </w:r>
      <w:r w:rsidR="00952DFC">
        <w:t xml:space="preserve">The estimates in the following table are based on </w:t>
      </w:r>
      <w:r w:rsidR="005F3BAC">
        <w:t>data from the Federal Procurement Data System (</w:t>
      </w:r>
      <w:r w:rsidR="00952DFC">
        <w:t>FPDS</w:t>
      </w:r>
      <w:r w:rsidR="005F3BAC">
        <w:t>)</w:t>
      </w:r>
      <w:r w:rsidR="00952DFC">
        <w:t xml:space="preserve"> for </w:t>
      </w:r>
      <w:r w:rsidR="005F3BAC">
        <w:t>fiscal year (</w:t>
      </w:r>
      <w:r w:rsidR="00952DFC">
        <w:t>FY</w:t>
      </w:r>
      <w:r w:rsidR="005F3BAC">
        <w:t>)</w:t>
      </w:r>
      <w:r w:rsidR="00952DFC">
        <w:t xml:space="preserve"> </w:t>
      </w:r>
      <w:r w:rsidR="006A0950">
        <w:t>2023</w:t>
      </w:r>
      <w:r w:rsidR="00952DFC">
        <w:t xml:space="preserve"> through FY </w:t>
      </w:r>
      <w:r w:rsidR="00843C93">
        <w:t>2025</w:t>
      </w:r>
      <w:r w:rsidR="00952DFC">
        <w:t xml:space="preserve"> and advice of DoD subject matter experts.  DoD reviewed the number of awards using performance-based financing, the number of unique entities receiving such awards, and the estimated number of unique entities that submitted offers in response to the solicitations </w:t>
      </w:r>
      <w:r w:rsidR="00126D20">
        <w:t xml:space="preserve">that contain the representation </w:t>
      </w:r>
      <w:r w:rsidR="005F3BAC">
        <w:t xml:space="preserve">in the solicitation provision at DFARS </w:t>
      </w:r>
      <w:r w:rsidR="00126D20">
        <w:t>252.232-</w:t>
      </w:r>
      <w:r w:rsidR="00612666">
        <w:t>7015</w:t>
      </w:r>
      <w:r w:rsidR="00126D20">
        <w:t xml:space="preserve">.  This data was </w:t>
      </w:r>
      <w:r w:rsidR="00952DFC">
        <w:t xml:space="preserve">separated into small entities and other than small entities.  </w:t>
      </w:r>
      <w:r w:rsidR="00576758">
        <w:t>DoD used an</w:t>
      </w:r>
      <w:r w:rsidR="00344EF8">
        <w:t xml:space="preserve"> average of </w:t>
      </w:r>
      <w:r w:rsidR="00AB4108">
        <w:t>data</w:t>
      </w:r>
      <w:r w:rsidR="00344EF8">
        <w:t xml:space="preserve"> for these 3</w:t>
      </w:r>
      <w:r w:rsidR="00576758">
        <w:t xml:space="preserve"> years</w:t>
      </w:r>
      <w:r w:rsidR="005F3BAC">
        <w:t>,</w:t>
      </w:r>
      <w:r w:rsidR="00576758">
        <w:t xml:space="preserve"> resulting in an estimate of </w:t>
      </w:r>
      <w:r w:rsidR="00126D20">
        <w:t xml:space="preserve">awards to </w:t>
      </w:r>
      <w:r w:rsidR="001F137B">
        <w:t>127</w:t>
      </w:r>
      <w:r w:rsidR="007F1ABA">
        <w:t xml:space="preserve"> </w:t>
      </w:r>
      <w:r w:rsidR="000E40D4">
        <w:t xml:space="preserve">unique </w:t>
      </w:r>
      <w:r w:rsidR="00576758">
        <w:t>other than small entities</w:t>
      </w:r>
      <w:r w:rsidR="00126D20">
        <w:t xml:space="preserve"> and</w:t>
      </w:r>
      <w:r w:rsidR="00576758">
        <w:t xml:space="preserve"> </w:t>
      </w:r>
      <w:r w:rsidR="001F137B">
        <w:t>312</w:t>
      </w:r>
      <w:r w:rsidR="007F1ABA">
        <w:t xml:space="preserve"> </w:t>
      </w:r>
      <w:r w:rsidR="000E40D4">
        <w:t xml:space="preserve">unique </w:t>
      </w:r>
      <w:r w:rsidR="00576758">
        <w:t>small entities</w:t>
      </w:r>
      <w:r w:rsidR="00952DFC">
        <w:t xml:space="preserve">.  </w:t>
      </w:r>
      <w:r w:rsidR="00D76093">
        <w:t>DoD used the average rather than the median because the data point</w:t>
      </w:r>
      <w:r w:rsidR="006976C0">
        <w:t>s represent precise data and</w:t>
      </w:r>
      <w:r w:rsidR="00D76093">
        <w:t xml:space="preserve"> do not contain any extreme outli</w:t>
      </w:r>
      <w:r w:rsidR="006976C0">
        <w:t xml:space="preserve">ers.  </w:t>
      </w:r>
      <w:r w:rsidR="00952DFC">
        <w:t xml:space="preserve">DoD estimates that an additional 10 percent of unique entities may have submitted offers and not received awards (i.e., a total of </w:t>
      </w:r>
      <w:r w:rsidR="005F3BAC">
        <w:t xml:space="preserve">approximately </w:t>
      </w:r>
      <w:r w:rsidR="002D75D8">
        <w:t xml:space="preserve">483 entities, of which </w:t>
      </w:r>
      <w:r w:rsidR="00B63EAE">
        <w:t>1</w:t>
      </w:r>
      <w:r w:rsidR="005F3BAC">
        <w:t>40</w:t>
      </w:r>
      <w:r w:rsidR="00FB25DD">
        <w:t xml:space="preserve"> </w:t>
      </w:r>
      <w:r w:rsidR="002D75D8">
        <w:t xml:space="preserve">are </w:t>
      </w:r>
      <w:r w:rsidR="00FB25DD">
        <w:t xml:space="preserve">other than small entities and </w:t>
      </w:r>
      <w:r w:rsidR="00B63EAE">
        <w:t>343</w:t>
      </w:r>
      <w:r w:rsidR="00FB25DD">
        <w:t xml:space="preserve"> </w:t>
      </w:r>
      <w:r w:rsidR="002D75D8">
        <w:t xml:space="preserve">are </w:t>
      </w:r>
      <w:r w:rsidR="00FB25DD">
        <w:t>small entities</w:t>
      </w:r>
      <w:r w:rsidR="00952DFC">
        <w:t xml:space="preserve">). </w:t>
      </w:r>
      <w:r w:rsidR="00612666">
        <w:t xml:space="preserve"> </w:t>
      </w:r>
      <w:r w:rsidR="00126D20">
        <w:t xml:space="preserve">Because this representation is included in the annual representations and certifications, each offeror only </w:t>
      </w:r>
      <w:r w:rsidR="00E1501B">
        <w:t>needs</w:t>
      </w:r>
      <w:r w:rsidR="00126D20">
        <w:t xml:space="preserve"> submit one response per year, unless the response changes.  </w:t>
      </w:r>
      <w:r w:rsidR="00571FF2">
        <w:t>The representation only requires checking a box and the required information should be readily available, so DoD e</w:t>
      </w:r>
      <w:r>
        <w:t xml:space="preserve">stimates </w:t>
      </w:r>
      <w:r w:rsidR="004146B6">
        <w:t>0</w:t>
      </w:r>
      <w:r>
        <w:t>.1 hour per response.</w:t>
      </w:r>
    </w:p>
    <w:p w:rsidR="00C2756A" w:rsidRPr="00C2756A" w:rsidP="002C586B" w14:paraId="71111E67" w14:textId="77777777">
      <w:pPr>
        <w:widowControl/>
        <w:autoSpaceDE/>
        <w:autoSpaceDN/>
        <w:adjustRightInd/>
        <w:rPr>
          <w:lang w:eastAsia="x-none"/>
        </w:rPr>
      </w:pPr>
    </w:p>
    <w:tbl>
      <w:tblPr>
        <w:tblW w:w="8042"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4"/>
        <w:gridCol w:w="1228"/>
      </w:tblGrid>
      <w:tr w14:paraId="74EBF026" w14:textId="77777777" w:rsidTr="001F4602">
        <w:tblPrEx>
          <w:tblW w:w="8042"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8042" w:type="dxa"/>
            <w:gridSpan w:val="2"/>
            <w:vAlign w:val="center"/>
          </w:tcPr>
          <w:p w:rsidR="00A74A05" w:rsidRPr="00C2756A" w:rsidP="003B03D1" w14:paraId="38C83D7E" w14:textId="7512A330">
            <w:pPr>
              <w:widowControl/>
              <w:autoSpaceDE/>
              <w:autoSpaceDN/>
              <w:adjustRightInd/>
              <w:spacing w:before="100" w:beforeAutospacing="1" w:after="100" w:afterAutospacing="1" w:line="288" w:lineRule="atLeast"/>
              <w:jc w:val="center"/>
            </w:pPr>
            <w:r w:rsidRPr="00C2756A">
              <w:t xml:space="preserve">Estimation of Respondent Burden: </w:t>
            </w:r>
            <w:r>
              <w:t xml:space="preserve">DFARS </w:t>
            </w:r>
            <w:r w:rsidRPr="008863B4">
              <w:t>252.232-70</w:t>
            </w:r>
            <w:r w:rsidR="003B03D1">
              <w:t>15</w:t>
            </w:r>
          </w:p>
        </w:tc>
      </w:tr>
      <w:tr w14:paraId="2EB299E5" w14:textId="77777777" w:rsidTr="001F4602">
        <w:tblPrEx>
          <w:tblW w:w="8042" w:type="dxa"/>
          <w:tblInd w:w="651" w:type="dxa"/>
          <w:tblLook w:val="04A0"/>
        </w:tblPrEx>
        <w:trPr>
          <w:trHeight w:val="386"/>
        </w:trPr>
        <w:tc>
          <w:tcPr>
            <w:tcW w:w="6814" w:type="dxa"/>
            <w:vAlign w:val="center"/>
          </w:tcPr>
          <w:p w:rsidR="00A74A05" w:rsidRPr="00993CA0" w:rsidP="00993CA0" w14:paraId="1A68D8CB" w14:textId="365515CE">
            <w:pPr>
              <w:widowControl/>
              <w:tabs>
                <w:tab w:val="left" w:pos="360"/>
              </w:tabs>
              <w:autoSpaceDE/>
              <w:autoSpaceDN/>
              <w:adjustRightInd/>
              <w:rPr>
                <w:color w:val="000000"/>
              </w:rPr>
            </w:pPr>
            <w:bookmarkStart w:id="1" w:name="cp458"/>
            <w:r w:rsidRPr="00993CA0">
              <w:rPr>
                <w:color w:val="000000"/>
              </w:rPr>
              <w:t>Number of respondents</w:t>
            </w:r>
          </w:p>
        </w:tc>
        <w:tc>
          <w:tcPr>
            <w:tcW w:w="1228" w:type="dxa"/>
            <w:vAlign w:val="center"/>
          </w:tcPr>
          <w:p w:rsidR="00A74A05" w:rsidRPr="00993CA0" w:rsidP="00AA174E" w14:paraId="4351A84E" w14:textId="3193A411">
            <w:pPr>
              <w:widowControl/>
              <w:autoSpaceDE/>
              <w:autoSpaceDN/>
              <w:adjustRightInd/>
              <w:jc w:val="right"/>
            </w:pPr>
            <w:r>
              <w:t>483</w:t>
            </w:r>
          </w:p>
        </w:tc>
      </w:tr>
      <w:tr w14:paraId="2CA8835E" w14:textId="77777777" w:rsidTr="001F4602">
        <w:tblPrEx>
          <w:tblW w:w="8042" w:type="dxa"/>
          <w:tblInd w:w="651" w:type="dxa"/>
          <w:tblLook w:val="04A0"/>
        </w:tblPrEx>
        <w:trPr>
          <w:trHeight w:val="422"/>
        </w:trPr>
        <w:tc>
          <w:tcPr>
            <w:tcW w:w="6814" w:type="dxa"/>
            <w:vAlign w:val="center"/>
          </w:tcPr>
          <w:p w:rsidR="00A74A05" w:rsidRPr="00993CA0" w:rsidP="001A4D74" w14:paraId="14C6ACB4" w14:textId="20FB5823">
            <w:pPr>
              <w:widowControl/>
              <w:tabs>
                <w:tab w:val="left" w:pos="360"/>
              </w:tabs>
              <w:autoSpaceDE/>
              <w:autoSpaceDN/>
              <w:adjustRightInd/>
              <w:rPr>
                <w:color w:val="000000"/>
              </w:rPr>
            </w:pPr>
            <w:r>
              <w:rPr>
                <w:color w:val="000000"/>
              </w:rPr>
              <w:t>Number of r</w:t>
            </w:r>
            <w:r w:rsidRPr="00993CA0">
              <w:rPr>
                <w:color w:val="000000"/>
              </w:rPr>
              <w:t>esponses per respondent</w:t>
            </w:r>
          </w:p>
        </w:tc>
        <w:tc>
          <w:tcPr>
            <w:tcW w:w="1228" w:type="dxa"/>
            <w:vAlign w:val="center"/>
          </w:tcPr>
          <w:p w:rsidR="00A74A05" w:rsidRPr="00993CA0" w:rsidP="00C2756A" w14:paraId="24DC25F2" w14:textId="77777777">
            <w:pPr>
              <w:widowControl/>
              <w:autoSpaceDE/>
              <w:autoSpaceDN/>
              <w:adjustRightInd/>
              <w:contextualSpacing/>
              <w:jc w:val="right"/>
            </w:pPr>
            <w:r w:rsidRPr="00993CA0">
              <w:t>1</w:t>
            </w:r>
          </w:p>
        </w:tc>
      </w:tr>
      <w:tr w14:paraId="24C22E8D" w14:textId="77777777" w:rsidTr="001F4602">
        <w:tblPrEx>
          <w:tblW w:w="8042" w:type="dxa"/>
          <w:tblInd w:w="651" w:type="dxa"/>
          <w:tblLook w:val="04A0"/>
        </w:tblPrEx>
        <w:trPr>
          <w:trHeight w:val="431"/>
        </w:trPr>
        <w:tc>
          <w:tcPr>
            <w:tcW w:w="6814" w:type="dxa"/>
            <w:vAlign w:val="center"/>
          </w:tcPr>
          <w:p w:rsidR="001F137B" w:rsidRPr="00993CA0" w:rsidP="00C2756A" w14:paraId="57C46771" w14:textId="12FF35AD">
            <w:pPr>
              <w:widowControl/>
              <w:tabs>
                <w:tab w:val="left" w:pos="360"/>
              </w:tabs>
              <w:autoSpaceDE/>
              <w:autoSpaceDN/>
              <w:adjustRightInd/>
              <w:rPr>
                <w:color w:val="000000"/>
              </w:rPr>
            </w:pPr>
            <w:r w:rsidRPr="00993CA0">
              <w:rPr>
                <w:color w:val="000000"/>
              </w:rPr>
              <w:t xml:space="preserve">Number of </w:t>
            </w:r>
            <w:r w:rsidR="001A4D74">
              <w:rPr>
                <w:color w:val="000000"/>
              </w:rPr>
              <w:t xml:space="preserve">total annual </w:t>
            </w:r>
            <w:r w:rsidRPr="00993CA0">
              <w:rPr>
                <w:color w:val="000000"/>
              </w:rPr>
              <w:t>responses</w:t>
            </w:r>
          </w:p>
        </w:tc>
        <w:tc>
          <w:tcPr>
            <w:tcW w:w="1228" w:type="dxa"/>
            <w:vAlign w:val="center"/>
          </w:tcPr>
          <w:p w:rsidR="00A74A05" w:rsidRPr="00993CA0" w:rsidP="00AA174E" w14:paraId="24C14008" w14:textId="74A7D2BD">
            <w:pPr>
              <w:widowControl/>
              <w:autoSpaceDE/>
              <w:autoSpaceDN/>
              <w:adjustRightInd/>
              <w:contextualSpacing/>
              <w:jc w:val="right"/>
            </w:pPr>
            <w:r>
              <w:t>483</w:t>
            </w:r>
          </w:p>
        </w:tc>
      </w:tr>
      <w:tr w14:paraId="5E38B19D" w14:textId="77777777" w:rsidTr="001F4602">
        <w:tblPrEx>
          <w:tblW w:w="8042" w:type="dxa"/>
          <w:tblInd w:w="651" w:type="dxa"/>
          <w:tblLook w:val="04A0"/>
        </w:tblPrEx>
        <w:trPr>
          <w:trHeight w:val="440"/>
        </w:trPr>
        <w:tc>
          <w:tcPr>
            <w:tcW w:w="6814" w:type="dxa"/>
            <w:vAlign w:val="center"/>
          </w:tcPr>
          <w:p w:rsidR="00A74A05" w:rsidRPr="00993CA0" w:rsidP="00993CA0" w14:paraId="4880A12D" w14:textId="600F336E">
            <w:pPr>
              <w:widowControl/>
              <w:tabs>
                <w:tab w:val="left" w:pos="360"/>
              </w:tabs>
              <w:autoSpaceDE/>
              <w:autoSpaceDN/>
              <w:adjustRightInd/>
              <w:rPr>
                <w:color w:val="000000"/>
              </w:rPr>
            </w:pPr>
            <w:r>
              <w:rPr>
                <w:color w:val="000000"/>
              </w:rPr>
              <w:t>Hours per response</w:t>
            </w:r>
          </w:p>
        </w:tc>
        <w:tc>
          <w:tcPr>
            <w:tcW w:w="1228" w:type="dxa"/>
            <w:vAlign w:val="center"/>
          </w:tcPr>
          <w:p w:rsidR="00A74A05" w:rsidRPr="00993CA0" w:rsidP="00C2756A" w14:paraId="09B41FE8" w14:textId="4FFAB9C6">
            <w:pPr>
              <w:widowControl/>
              <w:autoSpaceDE/>
              <w:autoSpaceDN/>
              <w:adjustRightInd/>
              <w:contextualSpacing/>
              <w:jc w:val="right"/>
            </w:pPr>
            <w:r>
              <w:t>0</w:t>
            </w:r>
            <w:r>
              <w:t>.</w:t>
            </w:r>
            <w:r w:rsidRPr="00993CA0">
              <w:t>1</w:t>
            </w:r>
          </w:p>
        </w:tc>
      </w:tr>
      <w:tr w14:paraId="72B838A6" w14:textId="77777777" w:rsidTr="001F4602">
        <w:tblPrEx>
          <w:tblW w:w="8042" w:type="dxa"/>
          <w:tblInd w:w="651" w:type="dxa"/>
          <w:tblLook w:val="04A0"/>
        </w:tblPrEx>
        <w:trPr>
          <w:trHeight w:val="449"/>
        </w:trPr>
        <w:tc>
          <w:tcPr>
            <w:tcW w:w="6814" w:type="dxa"/>
            <w:vAlign w:val="center"/>
          </w:tcPr>
          <w:p w:rsidR="00A74A05" w:rsidRPr="00993CA0" w:rsidP="00C2756A" w14:paraId="4002C5ED" w14:textId="5C62BEAF">
            <w:pPr>
              <w:widowControl/>
              <w:tabs>
                <w:tab w:val="left" w:pos="360"/>
              </w:tabs>
              <w:autoSpaceDE/>
              <w:autoSpaceDN/>
              <w:adjustRightInd/>
              <w:rPr>
                <w:color w:val="000000"/>
              </w:rPr>
            </w:pPr>
            <w:r>
              <w:rPr>
                <w:color w:val="000000"/>
              </w:rPr>
              <w:t>Annual respondent burden hours</w:t>
            </w:r>
          </w:p>
        </w:tc>
        <w:tc>
          <w:tcPr>
            <w:tcW w:w="1228" w:type="dxa"/>
            <w:vAlign w:val="center"/>
          </w:tcPr>
          <w:p w:rsidR="00A74A05" w:rsidRPr="00993CA0" w:rsidP="00E863DD" w14:paraId="456FF289" w14:textId="50589FB9">
            <w:pPr>
              <w:widowControl/>
              <w:autoSpaceDE/>
              <w:autoSpaceDN/>
              <w:adjustRightInd/>
              <w:contextualSpacing/>
              <w:jc w:val="right"/>
            </w:pPr>
            <w:r>
              <w:t>48.3</w:t>
            </w:r>
          </w:p>
        </w:tc>
      </w:tr>
      <w:bookmarkEnd w:id="1"/>
    </w:tbl>
    <w:p w:rsidR="00B50643" w:rsidP="00B50643" w14:paraId="66D4C12D" w14:textId="0EDE3F9D"/>
    <w:p w:rsidR="00B50643" w:rsidRPr="00B50643" w:rsidP="00B50643" w14:paraId="7F3B3376" w14:textId="1E79F0D0">
      <w:pPr>
        <w:rPr>
          <w:u w:val="single"/>
        </w:rPr>
      </w:pPr>
      <w:r>
        <w:tab/>
        <w:t xml:space="preserve">b.  </w:t>
      </w:r>
      <w:r>
        <w:rPr>
          <w:u w:val="single"/>
        </w:rPr>
        <w:t>Labor Cost of Respondent Burden</w:t>
      </w:r>
    </w:p>
    <w:p w:rsidR="00B50643" w:rsidP="00B50643" w14:paraId="6AC52D21" w14:textId="77777777"/>
    <w:p w:rsidR="00B50643" w:rsidP="00B50643" w14:paraId="5FFFCA6D" w14:textId="6905E7D2">
      <w:r>
        <w:rPr>
          <w:rFonts w:eastAsia="+mn-ea"/>
          <w:color w:val="000000"/>
        </w:rPr>
        <w:tab/>
      </w:r>
      <w:r>
        <w:rPr>
          <w:rFonts w:eastAsia="+mn-ea"/>
          <w:color w:val="000000"/>
        </w:rPr>
        <w:tab/>
      </w:r>
      <w:r w:rsidRPr="00B50643" w:rsidR="00197DBC">
        <w:rPr>
          <w:rFonts w:eastAsia="+mn-ea"/>
          <w:color w:val="000000"/>
        </w:rPr>
        <w:t xml:space="preserve">The cost per hour is based on the Office of Personnel Management (OPM) General Schedule </w:t>
      </w:r>
      <w:r w:rsidRPr="00B50643" w:rsidR="006303C7">
        <w:rPr>
          <w:rFonts w:eastAsia="+mn-ea"/>
          <w:color w:val="000000"/>
        </w:rPr>
        <w:t xml:space="preserve">(GS) </w:t>
      </w:r>
      <w:r w:rsidRPr="00B50643" w:rsidR="00197DBC">
        <w:rPr>
          <w:rFonts w:eastAsia="+mn-ea"/>
          <w:color w:val="000000"/>
        </w:rPr>
        <w:t>hourly rate for a GS-1</w:t>
      </w:r>
      <w:r w:rsidRPr="00B50643" w:rsidR="00A61AF6">
        <w:rPr>
          <w:rFonts w:eastAsia="+mn-ea"/>
          <w:color w:val="000000"/>
        </w:rPr>
        <w:t>2</w:t>
      </w:r>
      <w:r w:rsidRPr="00B50643" w:rsidR="00197DBC">
        <w:rPr>
          <w:rFonts w:eastAsia="+mn-ea"/>
          <w:color w:val="000000"/>
        </w:rPr>
        <w:t xml:space="preserve">, step 5, employee for calendar year </w:t>
      </w:r>
      <w:r w:rsidRPr="00B50643" w:rsidR="00286857">
        <w:rPr>
          <w:rFonts w:eastAsia="+mn-ea"/>
          <w:color w:val="000000"/>
        </w:rPr>
        <w:t>20</w:t>
      </w:r>
      <w:r w:rsidR="009B22BE">
        <w:rPr>
          <w:rFonts w:eastAsia="+mn-ea"/>
          <w:color w:val="000000"/>
        </w:rPr>
        <w:t>25</w:t>
      </w:r>
      <w:r w:rsidR="00192854">
        <w:rPr>
          <w:rFonts w:eastAsia="+mn-ea"/>
          <w:color w:val="000000"/>
        </w:rPr>
        <w:t xml:space="preserve"> including locality pay </w:t>
      </w:r>
      <w:r w:rsidRPr="00516AF1" w:rsidR="00192854">
        <w:t xml:space="preserve">for </w:t>
      </w:r>
      <w:r w:rsidR="00192854">
        <w:t xml:space="preserve">the </w:t>
      </w:r>
      <w:r w:rsidRPr="00516AF1" w:rsidR="00192854">
        <w:t xml:space="preserve">Rest of </w:t>
      </w:r>
      <w:r w:rsidR="00192854">
        <w:t>United States</w:t>
      </w:r>
      <w:r w:rsidR="002251A6">
        <w:rPr>
          <w:rFonts w:eastAsia="+mn-ea"/>
          <w:color w:val="000000"/>
        </w:rPr>
        <w:t>,</w:t>
      </w:r>
      <w:r w:rsidRPr="00B50643" w:rsidR="00197DBC">
        <w:rPr>
          <w:rFonts w:eastAsia="+mn-ea"/>
          <w:color w:val="000000"/>
        </w:rPr>
        <w:t xml:space="preserve"> plus the 36.25% civilian personnel full fr</w:t>
      </w:r>
      <w:r w:rsidRPr="00B50643" w:rsidR="00113AA8">
        <w:rPr>
          <w:rFonts w:eastAsia="+mn-ea"/>
          <w:color w:val="000000"/>
        </w:rPr>
        <w:t>inge benefit rate from Office</w:t>
      </w:r>
      <w:r w:rsidRPr="00B50643" w:rsidR="00197DBC">
        <w:rPr>
          <w:rFonts w:eastAsia="+mn-ea"/>
          <w:color w:val="000000"/>
        </w:rPr>
        <w:t xml:space="preserve"> Management and Budget (OMB) memorandum M-08-13</w:t>
      </w:r>
      <w:r w:rsidR="00192854">
        <w:t>.  (</w:t>
      </w:r>
      <w:r w:rsidRPr="00516AF1" w:rsidR="00516AF1">
        <w:t>$48.13 x 1.3625 O/H rate = $65.58</w:t>
      </w:r>
      <w:r w:rsidR="00192854">
        <w:t>)</w:t>
      </w:r>
      <w:r w:rsidRPr="00516AF1" w:rsidR="00516AF1">
        <w:t>.</w:t>
      </w:r>
    </w:p>
    <w:p w:rsidR="00B50643" w:rsidP="00B50643" w14:paraId="2F60706F" w14:textId="30454842"/>
    <w:tbl>
      <w:tblPr>
        <w:tblW w:w="8042"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4"/>
        <w:gridCol w:w="1228"/>
      </w:tblGrid>
      <w:tr w14:paraId="094C699D" w14:textId="77777777" w:rsidTr="00AC49E4">
        <w:tblPrEx>
          <w:tblW w:w="8042"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8042" w:type="dxa"/>
            <w:gridSpan w:val="2"/>
            <w:vAlign w:val="center"/>
          </w:tcPr>
          <w:p w:rsidR="00B50643" w:rsidRPr="00C2756A" w:rsidP="00AC49E4" w14:paraId="3A5FD3C8" w14:textId="72B879A3">
            <w:pPr>
              <w:widowControl/>
              <w:autoSpaceDE/>
              <w:autoSpaceDN/>
              <w:adjustRightInd/>
              <w:spacing w:before="100" w:beforeAutospacing="1" w:after="100" w:afterAutospacing="1" w:line="288" w:lineRule="atLeast"/>
              <w:jc w:val="center"/>
            </w:pPr>
            <w:r>
              <w:t xml:space="preserve">Labor Cost </w:t>
            </w:r>
            <w:r w:rsidRPr="00C2756A">
              <w:t xml:space="preserve">of Respondent Burden: </w:t>
            </w:r>
            <w:r>
              <w:t xml:space="preserve">DFARS </w:t>
            </w:r>
            <w:r w:rsidRPr="008863B4">
              <w:t>252.232-70</w:t>
            </w:r>
            <w:r>
              <w:t>15</w:t>
            </w:r>
          </w:p>
        </w:tc>
      </w:tr>
      <w:tr w14:paraId="0F01F70D" w14:textId="77777777" w:rsidTr="00AC49E4">
        <w:tblPrEx>
          <w:tblW w:w="8042" w:type="dxa"/>
          <w:tblInd w:w="651" w:type="dxa"/>
          <w:tblLook w:val="04A0"/>
        </w:tblPrEx>
        <w:trPr>
          <w:trHeight w:val="431"/>
        </w:trPr>
        <w:tc>
          <w:tcPr>
            <w:tcW w:w="6814" w:type="dxa"/>
            <w:vAlign w:val="center"/>
          </w:tcPr>
          <w:p w:rsidR="00B50643" w:rsidRPr="00993CA0" w:rsidP="00AC49E4" w14:paraId="24392221" w14:textId="61B9796E">
            <w:pPr>
              <w:widowControl/>
              <w:tabs>
                <w:tab w:val="left" w:pos="360"/>
              </w:tabs>
              <w:autoSpaceDE/>
              <w:autoSpaceDN/>
              <w:adjustRightInd/>
              <w:rPr>
                <w:color w:val="000000"/>
              </w:rPr>
            </w:pPr>
            <w:r w:rsidRPr="00993CA0">
              <w:rPr>
                <w:color w:val="000000"/>
              </w:rPr>
              <w:t xml:space="preserve">Number of </w:t>
            </w:r>
            <w:r>
              <w:rPr>
                <w:color w:val="000000"/>
              </w:rPr>
              <w:t xml:space="preserve">total annual </w:t>
            </w:r>
            <w:r w:rsidRPr="00993CA0">
              <w:rPr>
                <w:color w:val="000000"/>
              </w:rPr>
              <w:t>responses</w:t>
            </w:r>
          </w:p>
        </w:tc>
        <w:tc>
          <w:tcPr>
            <w:tcW w:w="1228" w:type="dxa"/>
            <w:vAlign w:val="center"/>
          </w:tcPr>
          <w:p w:rsidR="00B50643" w:rsidRPr="00993CA0" w:rsidP="00AC49E4" w14:paraId="3EDF13A8" w14:textId="19AB7AE3">
            <w:pPr>
              <w:widowControl/>
              <w:autoSpaceDE/>
              <w:autoSpaceDN/>
              <w:adjustRightInd/>
              <w:contextualSpacing/>
              <w:jc w:val="right"/>
            </w:pPr>
            <w:r>
              <w:t>483</w:t>
            </w:r>
          </w:p>
        </w:tc>
      </w:tr>
      <w:tr w14:paraId="42BB44D9" w14:textId="77777777" w:rsidTr="00AC49E4">
        <w:tblPrEx>
          <w:tblW w:w="8042" w:type="dxa"/>
          <w:tblInd w:w="651" w:type="dxa"/>
          <w:tblLook w:val="04A0"/>
        </w:tblPrEx>
        <w:trPr>
          <w:trHeight w:val="440"/>
        </w:trPr>
        <w:tc>
          <w:tcPr>
            <w:tcW w:w="6814" w:type="dxa"/>
            <w:vAlign w:val="center"/>
          </w:tcPr>
          <w:p w:rsidR="00B50643" w:rsidRPr="00993CA0" w:rsidP="00AC49E4" w14:paraId="596F75CD" w14:textId="77777777">
            <w:pPr>
              <w:widowControl/>
              <w:tabs>
                <w:tab w:val="left" w:pos="360"/>
              </w:tabs>
              <w:autoSpaceDE/>
              <w:autoSpaceDN/>
              <w:adjustRightInd/>
              <w:rPr>
                <w:color w:val="000000"/>
              </w:rPr>
            </w:pPr>
            <w:r>
              <w:rPr>
                <w:color w:val="000000"/>
              </w:rPr>
              <w:t>Hours per response</w:t>
            </w:r>
          </w:p>
        </w:tc>
        <w:tc>
          <w:tcPr>
            <w:tcW w:w="1228" w:type="dxa"/>
            <w:vAlign w:val="center"/>
          </w:tcPr>
          <w:p w:rsidR="00B50643" w:rsidRPr="00993CA0" w:rsidP="00AC49E4" w14:paraId="24072FA3" w14:textId="763E05DC">
            <w:pPr>
              <w:widowControl/>
              <w:autoSpaceDE/>
              <w:autoSpaceDN/>
              <w:adjustRightInd/>
              <w:contextualSpacing/>
              <w:jc w:val="right"/>
            </w:pPr>
            <w:r>
              <w:t>0</w:t>
            </w:r>
            <w:r>
              <w:t>.</w:t>
            </w:r>
            <w:r w:rsidRPr="00993CA0">
              <w:t>1</w:t>
            </w:r>
          </w:p>
        </w:tc>
      </w:tr>
      <w:tr w14:paraId="4A9FC7E7" w14:textId="77777777" w:rsidTr="00AC49E4">
        <w:tblPrEx>
          <w:tblW w:w="8042" w:type="dxa"/>
          <w:tblInd w:w="651" w:type="dxa"/>
          <w:tblLook w:val="04A0"/>
        </w:tblPrEx>
        <w:trPr>
          <w:trHeight w:val="431"/>
        </w:trPr>
        <w:tc>
          <w:tcPr>
            <w:tcW w:w="6814" w:type="dxa"/>
            <w:vAlign w:val="center"/>
          </w:tcPr>
          <w:p w:rsidR="00B50643" w:rsidRPr="00993CA0" w:rsidP="00B50643" w14:paraId="417660B4" w14:textId="1C059A04">
            <w:pPr>
              <w:widowControl/>
              <w:tabs>
                <w:tab w:val="left" w:pos="360"/>
              </w:tabs>
              <w:autoSpaceDE/>
              <w:autoSpaceDN/>
              <w:adjustRightInd/>
              <w:rPr>
                <w:color w:val="000000"/>
              </w:rPr>
            </w:pPr>
            <w:r w:rsidRPr="00993CA0">
              <w:rPr>
                <w:color w:val="000000"/>
              </w:rPr>
              <w:t>Cost per hour (hourly wage)</w:t>
            </w:r>
          </w:p>
        </w:tc>
        <w:tc>
          <w:tcPr>
            <w:tcW w:w="1228" w:type="dxa"/>
            <w:vAlign w:val="center"/>
          </w:tcPr>
          <w:p w:rsidR="00B50643" w:rsidRPr="00993CA0" w:rsidP="00286857" w14:paraId="7568A571" w14:textId="0CCA9732">
            <w:pPr>
              <w:widowControl/>
              <w:autoSpaceDE/>
              <w:autoSpaceDN/>
              <w:adjustRightInd/>
              <w:contextualSpacing/>
              <w:jc w:val="right"/>
            </w:pPr>
            <w:r w:rsidRPr="00516AF1">
              <w:t>$65.58</w:t>
            </w:r>
          </w:p>
        </w:tc>
      </w:tr>
      <w:tr w14:paraId="53ACB7B8" w14:textId="77777777" w:rsidTr="00AC49E4">
        <w:tblPrEx>
          <w:tblW w:w="8042" w:type="dxa"/>
          <w:tblInd w:w="651" w:type="dxa"/>
          <w:tblLook w:val="04A0"/>
        </w:tblPrEx>
        <w:trPr>
          <w:trHeight w:val="431"/>
        </w:trPr>
        <w:tc>
          <w:tcPr>
            <w:tcW w:w="6814" w:type="dxa"/>
            <w:vAlign w:val="center"/>
          </w:tcPr>
          <w:p w:rsidR="00B50643" w:rsidRPr="00993CA0" w:rsidP="00B50643" w14:paraId="5DE102A3" w14:textId="71774D00">
            <w:pPr>
              <w:widowControl/>
              <w:tabs>
                <w:tab w:val="left" w:pos="360"/>
              </w:tabs>
              <w:autoSpaceDE/>
              <w:autoSpaceDN/>
              <w:adjustRightInd/>
              <w:rPr>
                <w:color w:val="000000"/>
              </w:rPr>
            </w:pPr>
            <w:r>
              <w:rPr>
                <w:color w:val="000000"/>
              </w:rPr>
              <w:t>Labor burden per response (hours per response * hourly wage)</w:t>
            </w:r>
          </w:p>
        </w:tc>
        <w:tc>
          <w:tcPr>
            <w:tcW w:w="1228" w:type="dxa"/>
            <w:vAlign w:val="center"/>
          </w:tcPr>
          <w:p w:rsidR="00B50643" w:rsidRPr="00516AF1" w:rsidP="00286857" w14:paraId="1C2F0A59" w14:textId="3482B340">
            <w:pPr>
              <w:widowControl/>
              <w:autoSpaceDE/>
              <w:autoSpaceDN/>
              <w:adjustRightInd/>
              <w:contextualSpacing/>
              <w:jc w:val="right"/>
              <w:rPr>
                <w:highlight w:val="yellow"/>
              </w:rPr>
            </w:pPr>
            <w:r w:rsidRPr="00802036">
              <w:t>$</w:t>
            </w:r>
            <w:r w:rsidRPr="00802036" w:rsidR="00802036">
              <w:t>6.5</w:t>
            </w:r>
            <w:r w:rsidR="00A66E63">
              <w:t>6</w:t>
            </w:r>
          </w:p>
        </w:tc>
      </w:tr>
      <w:tr w14:paraId="40BD66E7" w14:textId="77777777" w:rsidTr="00AC49E4">
        <w:tblPrEx>
          <w:tblW w:w="8042" w:type="dxa"/>
          <w:tblInd w:w="651" w:type="dxa"/>
          <w:tblLook w:val="04A0"/>
        </w:tblPrEx>
        <w:trPr>
          <w:trHeight w:val="440"/>
        </w:trPr>
        <w:tc>
          <w:tcPr>
            <w:tcW w:w="6814" w:type="dxa"/>
            <w:vAlign w:val="center"/>
          </w:tcPr>
          <w:p w:rsidR="00B50643" w:rsidRPr="00993CA0" w:rsidP="004146B6" w14:paraId="6EC4B977" w14:textId="3BCF5099">
            <w:pPr>
              <w:widowControl/>
              <w:tabs>
                <w:tab w:val="left" w:pos="360"/>
              </w:tabs>
              <w:autoSpaceDE/>
              <w:autoSpaceDN/>
              <w:adjustRightInd/>
              <w:rPr>
                <w:color w:val="000000"/>
              </w:rPr>
            </w:pPr>
            <w:r w:rsidRPr="00993CA0">
              <w:rPr>
                <w:color w:val="000000"/>
              </w:rPr>
              <w:t xml:space="preserve">Annual </w:t>
            </w:r>
            <w:r>
              <w:rPr>
                <w:color w:val="000000"/>
              </w:rPr>
              <w:t>Labor B</w:t>
            </w:r>
            <w:r w:rsidRPr="00993CA0">
              <w:rPr>
                <w:color w:val="000000"/>
              </w:rPr>
              <w:t xml:space="preserve">urden </w:t>
            </w:r>
            <w:r w:rsidR="004146B6">
              <w:rPr>
                <w:color w:val="000000"/>
              </w:rPr>
              <w:t>(total annual responses * hours per response * hourly wage)</w:t>
            </w:r>
          </w:p>
        </w:tc>
        <w:tc>
          <w:tcPr>
            <w:tcW w:w="1228" w:type="dxa"/>
            <w:vAlign w:val="center"/>
          </w:tcPr>
          <w:p w:rsidR="00B50643" w:rsidRPr="00516AF1" w:rsidP="00286857" w14:paraId="0C0BEE30" w14:textId="229B5F4C">
            <w:pPr>
              <w:widowControl/>
              <w:autoSpaceDE/>
              <w:autoSpaceDN/>
              <w:adjustRightInd/>
              <w:contextualSpacing/>
              <w:jc w:val="right"/>
              <w:rPr>
                <w:highlight w:val="yellow"/>
              </w:rPr>
            </w:pPr>
            <w:r w:rsidRPr="000B3782">
              <w:t>$</w:t>
            </w:r>
            <w:r w:rsidR="002D75D8">
              <w:t>3,168</w:t>
            </w:r>
          </w:p>
        </w:tc>
      </w:tr>
    </w:tbl>
    <w:p w:rsidR="00B50643" w:rsidP="00B50643" w14:paraId="3D217FFD" w14:textId="77777777"/>
    <w:p w:rsidR="00B50643" w:rsidRPr="00B50643" w:rsidP="00B50643" w14:paraId="0F66A6EB" w14:textId="14D41E3B">
      <w:pPr>
        <w:rPr>
          <w:u w:val="single"/>
        </w:rPr>
      </w:pPr>
      <w:r w:rsidRPr="00F94013">
        <w:t>13.</w:t>
      </w:r>
      <w:r w:rsidR="006A6BC6">
        <w:tab/>
      </w:r>
      <w:r w:rsidRPr="00F94013" w:rsidR="00F94013">
        <w:rPr>
          <w:u w:val="single"/>
        </w:rPr>
        <w:t>Respondent Costs Other than Burden Hour Costs</w:t>
      </w:r>
    </w:p>
    <w:p w:rsidR="00B50643" w:rsidP="00B50643" w14:paraId="59344098" w14:textId="77777777"/>
    <w:p w:rsidR="00B50643" w:rsidP="00B50643" w14:paraId="2462AFB3" w14:textId="49C685DC">
      <w:r>
        <w:tab/>
        <w:t xml:space="preserve">DoD does not </w:t>
      </w:r>
      <w:r w:rsidRPr="008863B4" w:rsidR="002D1ECF">
        <w:t xml:space="preserve">estimate </w:t>
      </w:r>
      <w:r>
        <w:t>any annual cost burden part from the hourly burden in item 12 above</w:t>
      </w:r>
      <w:r w:rsidR="00197DBC">
        <w:t>.</w:t>
      </w:r>
    </w:p>
    <w:p w:rsidR="00B50643" w:rsidP="00B50643" w14:paraId="2655B6CB" w14:textId="77777777"/>
    <w:p w:rsidR="00B50643" w:rsidRPr="00B50643" w:rsidP="00B50643" w14:paraId="46A70310" w14:textId="53593C33">
      <w:pPr>
        <w:rPr>
          <w:u w:val="single"/>
        </w:rPr>
      </w:pPr>
      <w:r w:rsidRPr="008863B4">
        <w:t>14.</w:t>
      </w:r>
      <w:r w:rsidR="006A6BC6">
        <w:tab/>
      </w:r>
      <w:r w:rsidRPr="00F94013" w:rsidR="00F94013">
        <w:rPr>
          <w:u w:val="single"/>
        </w:rPr>
        <w:t>Cost</w:t>
      </w:r>
      <w:r w:rsidRPr="00F94013">
        <w:rPr>
          <w:u w:val="single"/>
        </w:rPr>
        <w:t xml:space="preserve"> to the </w:t>
      </w:r>
      <w:r w:rsidR="00F94013">
        <w:rPr>
          <w:u w:val="single"/>
        </w:rPr>
        <w:t xml:space="preserve">Federal </w:t>
      </w:r>
      <w:r w:rsidRPr="00F94013">
        <w:rPr>
          <w:u w:val="single"/>
        </w:rPr>
        <w:t>Government</w:t>
      </w:r>
    </w:p>
    <w:p w:rsidR="002D1ECF" w:rsidP="004146B6" w14:paraId="68A8EECD" w14:textId="77777777">
      <w:pPr>
        <w:pStyle w:val="p14"/>
        <w:tabs>
          <w:tab w:val="clear" w:pos="680"/>
        </w:tabs>
      </w:pPr>
    </w:p>
    <w:p w:rsidR="006A6BC6" w:rsidRPr="006A6BC6" w:rsidP="004146B6" w14:paraId="527D4A64" w14:textId="3E2850D3">
      <w:pPr>
        <w:widowControl/>
        <w:autoSpaceDE/>
        <w:autoSpaceDN/>
        <w:adjustRightInd/>
        <w:rPr>
          <w:u w:val="single"/>
          <w:lang w:eastAsia="x-none"/>
        </w:rPr>
      </w:pPr>
      <w:r>
        <w:rPr>
          <w:lang w:eastAsia="x-none"/>
        </w:rPr>
        <w:tab/>
      </w:r>
      <w:r>
        <w:rPr>
          <w:lang w:eastAsia="x-none"/>
        </w:rPr>
        <w:t xml:space="preserve">a.  </w:t>
      </w:r>
      <w:r>
        <w:rPr>
          <w:u w:val="single"/>
          <w:lang w:eastAsia="x-none"/>
        </w:rPr>
        <w:t>Labor Cost to the Federal Government</w:t>
      </w:r>
    </w:p>
    <w:p w:rsidR="006A6BC6" w:rsidP="004146B6" w14:paraId="54030E42" w14:textId="77777777">
      <w:pPr>
        <w:widowControl/>
        <w:autoSpaceDE/>
        <w:autoSpaceDN/>
        <w:adjustRightInd/>
        <w:rPr>
          <w:lang w:eastAsia="x-none"/>
        </w:rPr>
      </w:pPr>
    </w:p>
    <w:p w:rsidR="00197DBC" w:rsidP="004146B6" w14:paraId="33DE1F8A" w14:textId="3C2C315B">
      <w:pPr>
        <w:widowControl/>
        <w:autoSpaceDE/>
        <w:autoSpaceDN/>
        <w:adjustRightInd/>
      </w:pPr>
      <w:r>
        <w:rPr>
          <w:lang w:eastAsia="x-none"/>
        </w:rPr>
        <w:tab/>
      </w:r>
      <w:r>
        <w:rPr>
          <w:lang w:eastAsia="x-none"/>
        </w:rPr>
        <w:tab/>
      </w:r>
      <w:r w:rsidR="006C7F9F">
        <w:rPr>
          <w:lang w:eastAsia="x-none"/>
        </w:rPr>
        <w:t xml:space="preserve">DoD estimates that it will </w:t>
      </w:r>
      <w:r w:rsidRPr="00197DBC" w:rsidR="000E7C75">
        <w:t xml:space="preserve">take the Government </w:t>
      </w:r>
      <w:r>
        <w:t xml:space="preserve">6 </w:t>
      </w:r>
      <w:r w:rsidR="006C7F9F">
        <w:t>minutes</w:t>
      </w:r>
      <w:r w:rsidRPr="00197DBC" w:rsidR="000E7C75">
        <w:t xml:space="preserve"> </w:t>
      </w:r>
      <w:r w:rsidR="002D75D8">
        <w:t xml:space="preserve">(0.1 hour) </w:t>
      </w:r>
      <w:r w:rsidRPr="00197DBC" w:rsidR="000E7C75">
        <w:t xml:space="preserve">to review and verify the information contained in each response.  </w:t>
      </w:r>
      <w:r w:rsidR="00DC6EDB">
        <w:t xml:space="preserve">Although the offerors will only input the information once per year, the Government will need to review </w:t>
      </w:r>
      <w:r>
        <w:t xml:space="preserve">the information </w:t>
      </w:r>
      <w:r w:rsidR="00DC6EDB">
        <w:t xml:space="preserve">each time an offer is submitted </w:t>
      </w:r>
      <w:r>
        <w:t>(</w:t>
      </w:r>
      <w:r w:rsidR="00DC6EDB">
        <w:t>(</w:t>
      </w:r>
      <w:r w:rsidR="0018786A">
        <w:t>127</w:t>
      </w:r>
      <w:r w:rsidR="003D6C6C">
        <w:t xml:space="preserve"> </w:t>
      </w:r>
      <w:r w:rsidR="00F23F0E">
        <w:t xml:space="preserve">awards to other than small entities </w:t>
      </w:r>
      <w:r w:rsidR="00DC6EDB">
        <w:t xml:space="preserve">x </w:t>
      </w:r>
      <w:r w:rsidR="0018786A">
        <w:t>10.07</w:t>
      </w:r>
      <w:r w:rsidR="00F23F0E">
        <w:t xml:space="preserve"> average offers per award</w:t>
      </w:r>
      <w:r w:rsidR="00DC6EDB">
        <w:t>) + (</w:t>
      </w:r>
      <w:r w:rsidR="0018786A">
        <w:t>312</w:t>
      </w:r>
      <w:r w:rsidR="003D6C6C">
        <w:t xml:space="preserve"> </w:t>
      </w:r>
      <w:r w:rsidR="00F23F0E">
        <w:t xml:space="preserve">awards to small </w:t>
      </w:r>
      <w:r w:rsidRPr="0018786A" w:rsidR="00F23F0E">
        <w:t xml:space="preserve">entities </w:t>
      </w:r>
      <w:r w:rsidRPr="0018786A" w:rsidR="00DC6EDB">
        <w:t xml:space="preserve">x </w:t>
      </w:r>
      <w:r w:rsidRPr="0018786A" w:rsidR="0018786A">
        <w:t>9.85</w:t>
      </w:r>
      <w:r w:rsidR="00F23F0E">
        <w:t xml:space="preserve"> average offers per award</w:t>
      </w:r>
      <w:r w:rsidR="00DC6EDB">
        <w:t xml:space="preserve">) = </w:t>
      </w:r>
      <w:r w:rsidR="0018786A">
        <w:t>4,3</w:t>
      </w:r>
      <w:r w:rsidR="005E4B59">
        <w:t>52</w:t>
      </w:r>
      <w:r w:rsidR="003D6C6C">
        <w:t xml:space="preserve"> </w:t>
      </w:r>
      <w:r w:rsidR="00F23F0E">
        <w:t>offers</w:t>
      </w:r>
      <w:r>
        <w:t>)</w:t>
      </w:r>
      <w:r w:rsidR="00DC6EDB">
        <w:t xml:space="preserve">.  </w:t>
      </w:r>
      <w:r w:rsidR="006B674F">
        <w:t xml:space="preserve">Review of the </w:t>
      </w:r>
      <w:r>
        <w:t xml:space="preserve">representation </w:t>
      </w:r>
      <w:r w:rsidR="006B674F">
        <w:t xml:space="preserve">should take on the average no </w:t>
      </w:r>
      <w:r>
        <w:t>more than 6 minutes per offer.</w:t>
      </w:r>
    </w:p>
    <w:p w:rsidR="006A6BC6" w:rsidP="004146B6" w14:paraId="09D6F688" w14:textId="63483667">
      <w:pPr>
        <w:widowControl/>
        <w:autoSpaceDE/>
        <w:autoSpaceDN/>
        <w:adjustRightInd/>
      </w:pPr>
    </w:p>
    <w:p w:rsidR="003C1AA2" w:rsidP="003C1AA2" w14:paraId="188CA2FC" w14:textId="655785B2">
      <w:r>
        <w:tab/>
      </w:r>
      <w:r>
        <w:tab/>
      </w:r>
      <w:r w:rsidRPr="006A6BC6">
        <w:t>The cost per hour is based on the Office of Personnel Management (OPM) General Schedule (GS) hourly rate for a GS-12, step 5, employee (</w:t>
      </w:r>
      <w:r w:rsidRPr="00516AF1">
        <w:t xml:space="preserve">for calendar year </w:t>
      </w:r>
      <w:r w:rsidR="00516AF1">
        <w:t>2025</w:t>
      </w:r>
      <w:r w:rsidRPr="006A6BC6">
        <w:t>) plus the 36.25% civilian personnel full fringe benefit rate from Office of Management and Budget (OMB) memorandum M-08-13</w:t>
      </w:r>
      <w:r>
        <w:t xml:space="preserve"> and the</w:t>
      </w:r>
      <w:r w:rsidRPr="00516AF1">
        <w:t xml:space="preserve"> rate for the Rest of the U.S. of $48.13 x 1.3625 O/H rate = $65.58.</w:t>
      </w:r>
    </w:p>
    <w:p w:rsidR="00197DBC" w:rsidRPr="00197DBC" w:rsidP="004146B6" w14:paraId="6B6CCEA4" w14:textId="77777777">
      <w:pPr>
        <w:widowControl/>
        <w:autoSpaceDE/>
        <w:autoSpaceDN/>
        <w:adjustRightInd/>
        <w:rPr>
          <w:lang w:eastAsia="x-none"/>
        </w:rPr>
      </w:pPr>
    </w:p>
    <w:tbl>
      <w:tblPr>
        <w:tblW w:w="790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4"/>
        <w:gridCol w:w="996"/>
      </w:tblGrid>
      <w:tr w14:paraId="685B0418" w14:textId="77777777" w:rsidTr="001F4602">
        <w:tblPrEx>
          <w:tblW w:w="790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7900" w:type="dxa"/>
            <w:gridSpan w:val="2"/>
            <w:vAlign w:val="center"/>
          </w:tcPr>
          <w:p w:rsidR="00A74A05" w:rsidRPr="00197DBC" w:rsidP="00197DBC" w14:paraId="48405DCB" w14:textId="43F311B9">
            <w:pPr>
              <w:widowControl/>
              <w:tabs>
                <w:tab w:val="left" w:pos="360"/>
                <w:tab w:val="left" w:pos="720"/>
                <w:tab w:val="left" w:pos="1080"/>
              </w:tabs>
              <w:autoSpaceDE/>
              <w:autoSpaceDN/>
              <w:adjustRightInd/>
              <w:spacing w:before="100" w:beforeAutospacing="1" w:after="100" w:afterAutospacing="1" w:line="288" w:lineRule="atLeast"/>
              <w:jc w:val="center"/>
            </w:pPr>
            <w:r w:rsidRPr="00197DBC">
              <w:t xml:space="preserve">Estimation of Cost to the Government: </w:t>
            </w:r>
            <w:r>
              <w:t xml:space="preserve">DFARS </w:t>
            </w:r>
            <w:r w:rsidR="006A6BC6">
              <w:t>252.232-7015</w:t>
            </w:r>
          </w:p>
        </w:tc>
      </w:tr>
      <w:tr w14:paraId="433FD825" w14:textId="77777777" w:rsidTr="001F4602">
        <w:tblPrEx>
          <w:tblW w:w="7900" w:type="dxa"/>
          <w:tblInd w:w="744" w:type="dxa"/>
          <w:tblLook w:val="04A0"/>
        </w:tblPrEx>
        <w:trPr>
          <w:trHeight w:val="431"/>
        </w:trPr>
        <w:tc>
          <w:tcPr>
            <w:tcW w:w="6904" w:type="dxa"/>
            <w:vAlign w:val="center"/>
          </w:tcPr>
          <w:p w:rsidR="00A74A05" w:rsidRPr="00197DBC" w:rsidP="00197DBC" w14:paraId="06B8F446" w14:textId="4B2C1F5F">
            <w:pPr>
              <w:widowControl/>
              <w:tabs>
                <w:tab w:val="left" w:pos="360"/>
                <w:tab w:val="left" w:pos="720"/>
                <w:tab w:val="left" w:pos="1080"/>
              </w:tabs>
              <w:autoSpaceDE/>
              <w:autoSpaceDN/>
              <w:adjustRightInd/>
              <w:rPr>
                <w:color w:val="000000"/>
              </w:rPr>
            </w:pPr>
            <w:r>
              <w:rPr>
                <w:color w:val="000000"/>
              </w:rPr>
              <w:t xml:space="preserve">Number of </w:t>
            </w:r>
            <w:r w:rsidR="006A6BC6">
              <w:rPr>
                <w:color w:val="000000"/>
              </w:rPr>
              <w:t xml:space="preserve">total annual </w:t>
            </w:r>
            <w:r>
              <w:rPr>
                <w:color w:val="000000"/>
              </w:rPr>
              <w:t>responses (offers)</w:t>
            </w:r>
          </w:p>
        </w:tc>
        <w:tc>
          <w:tcPr>
            <w:tcW w:w="996" w:type="dxa"/>
            <w:vAlign w:val="center"/>
          </w:tcPr>
          <w:p w:rsidR="00A74A05" w:rsidRPr="00197DBC" w:rsidP="00A029E4" w14:paraId="007FD5F5" w14:textId="388BF85E">
            <w:pPr>
              <w:widowControl/>
              <w:tabs>
                <w:tab w:val="left" w:pos="360"/>
                <w:tab w:val="left" w:pos="720"/>
                <w:tab w:val="left" w:pos="1080"/>
              </w:tabs>
              <w:autoSpaceDE/>
              <w:autoSpaceDN/>
              <w:adjustRightInd/>
              <w:contextualSpacing/>
              <w:jc w:val="right"/>
            </w:pPr>
            <w:r>
              <w:t>4,3</w:t>
            </w:r>
            <w:r w:rsidR="005E4B59">
              <w:t>52</w:t>
            </w:r>
          </w:p>
        </w:tc>
      </w:tr>
      <w:tr w14:paraId="26DE0B7D" w14:textId="77777777" w:rsidTr="001F4602">
        <w:tblPrEx>
          <w:tblW w:w="7900" w:type="dxa"/>
          <w:tblInd w:w="744" w:type="dxa"/>
          <w:tblLook w:val="04A0"/>
        </w:tblPrEx>
        <w:trPr>
          <w:trHeight w:val="440"/>
        </w:trPr>
        <w:tc>
          <w:tcPr>
            <w:tcW w:w="6904" w:type="dxa"/>
            <w:vAlign w:val="center"/>
          </w:tcPr>
          <w:p w:rsidR="00A74A05" w:rsidRPr="00197DBC" w:rsidP="00993CA0" w14:paraId="0353C981" w14:textId="47B54070">
            <w:pPr>
              <w:widowControl/>
              <w:tabs>
                <w:tab w:val="left" w:pos="360"/>
                <w:tab w:val="left" w:pos="720"/>
                <w:tab w:val="left" w:pos="1080"/>
              </w:tabs>
              <w:autoSpaceDE/>
              <w:autoSpaceDN/>
              <w:adjustRightInd/>
              <w:rPr>
                <w:color w:val="000000"/>
              </w:rPr>
            </w:pPr>
            <w:r w:rsidRPr="00197DBC">
              <w:rPr>
                <w:color w:val="000000"/>
              </w:rPr>
              <w:t>Hours per response</w:t>
            </w:r>
          </w:p>
        </w:tc>
        <w:tc>
          <w:tcPr>
            <w:tcW w:w="996" w:type="dxa"/>
            <w:vAlign w:val="center"/>
          </w:tcPr>
          <w:p w:rsidR="00A74A05" w:rsidRPr="00197DBC" w:rsidP="00197DBC" w14:paraId="4066126F" w14:textId="355572FA">
            <w:pPr>
              <w:widowControl/>
              <w:tabs>
                <w:tab w:val="left" w:pos="360"/>
                <w:tab w:val="left" w:pos="720"/>
                <w:tab w:val="left" w:pos="1080"/>
              </w:tabs>
              <w:autoSpaceDE/>
              <w:autoSpaceDN/>
              <w:adjustRightInd/>
              <w:contextualSpacing/>
              <w:jc w:val="right"/>
            </w:pPr>
            <w:r>
              <w:t>0</w:t>
            </w:r>
            <w:r>
              <w:t>.</w:t>
            </w:r>
            <w:r w:rsidRPr="00197DBC">
              <w:t>1</w:t>
            </w:r>
          </w:p>
        </w:tc>
      </w:tr>
      <w:tr w14:paraId="428D6540" w14:textId="77777777" w:rsidTr="001F4602">
        <w:tblPrEx>
          <w:tblW w:w="7900" w:type="dxa"/>
          <w:tblInd w:w="744" w:type="dxa"/>
          <w:tblLook w:val="04A0"/>
        </w:tblPrEx>
        <w:trPr>
          <w:trHeight w:val="449"/>
        </w:trPr>
        <w:tc>
          <w:tcPr>
            <w:tcW w:w="6904" w:type="dxa"/>
            <w:vAlign w:val="center"/>
          </w:tcPr>
          <w:p w:rsidR="00A74A05" w:rsidRPr="00197DBC" w:rsidP="00AA21C4" w14:paraId="2F6B78C0" w14:textId="0BC79EF5">
            <w:pPr>
              <w:widowControl/>
              <w:tabs>
                <w:tab w:val="left" w:pos="360"/>
                <w:tab w:val="left" w:pos="720"/>
                <w:tab w:val="left" w:pos="1080"/>
              </w:tabs>
              <w:autoSpaceDE/>
              <w:autoSpaceDN/>
              <w:adjustRightInd/>
              <w:rPr>
                <w:color w:val="000000"/>
              </w:rPr>
            </w:pPr>
            <w:r w:rsidRPr="00197DBC">
              <w:rPr>
                <w:color w:val="000000"/>
              </w:rPr>
              <w:t>Cost per hour (hourly wage)</w:t>
            </w:r>
          </w:p>
        </w:tc>
        <w:tc>
          <w:tcPr>
            <w:tcW w:w="996" w:type="dxa"/>
            <w:vAlign w:val="center"/>
          </w:tcPr>
          <w:p w:rsidR="00A74A05" w:rsidRPr="00171134" w:rsidP="00286857" w14:paraId="49043C62" w14:textId="2CCE81DC">
            <w:pPr>
              <w:widowControl/>
              <w:tabs>
                <w:tab w:val="left" w:pos="360"/>
                <w:tab w:val="left" w:pos="720"/>
                <w:tab w:val="left" w:pos="1080"/>
              </w:tabs>
              <w:autoSpaceDE/>
              <w:autoSpaceDN/>
              <w:adjustRightInd/>
              <w:contextualSpacing/>
              <w:jc w:val="right"/>
              <w:rPr>
                <w:highlight w:val="yellow"/>
              </w:rPr>
            </w:pPr>
            <w:r w:rsidRPr="00516AF1">
              <w:t>$65.58</w:t>
            </w:r>
          </w:p>
        </w:tc>
      </w:tr>
      <w:tr w14:paraId="7DB94996" w14:textId="77777777" w:rsidTr="001F4602">
        <w:tblPrEx>
          <w:tblW w:w="7900" w:type="dxa"/>
          <w:tblInd w:w="744" w:type="dxa"/>
          <w:tblLook w:val="04A0"/>
        </w:tblPrEx>
        <w:trPr>
          <w:trHeight w:val="431"/>
        </w:trPr>
        <w:tc>
          <w:tcPr>
            <w:tcW w:w="6904" w:type="dxa"/>
            <w:vAlign w:val="center"/>
          </w:tcPr>
          <w:p w:rsidR="00A74A05" w:rsidRPr="00197DBC" w:rsidP="006A6BC6" w14:paraId="4572266F" w14:textId="6069D8CD">
            <w:pPr>
              <w:widowControl/>
              <w:tabs>
                <w:tab w:val="left" w:pos="360"/>
                <w:tab w:val="left" w:pos="720"/>
                <w:tab w:val="left" w:pos="1080"/>
              </w:tabs>
              <w:autoSpaceDE/>
              <w:autoSpaceDN/>
              <w:adjustRightInd/>
              <w:rPr>
                <w:color w:val="000000"/>
              </w:rPr>
            </w:pPr>
            <w:r w:rsidRPr="00197DBC">
              <w:rPr>
                <w:color w:val="000000"/>
              </w:rPr>
              <w:t xml:space="preserve">Cost per </w:t>
            </w:r>
            <w:r w:rsidR="006A6BC6">
              <w:rPr>
                <w:color w:val="000000"/>
              </w:rPr>
              <w:t>response</w:t>
            </w:r>
          </w:p>
        </w:tc>
        <w:tc>
          <w:tcPr>
            <w:tcW w:w="996" w:type="dxa"/>
            <w:vAlign w:val="center"/>
          </w:tcPr>
          <w:p w:rsidR="00A74A05" w:rsidRPr="00197DBC" w:rsidP="00286857" w14:paraId="47395687" w14:textId="138E36EE">
            <w:pPr>
              <w:widowControl/>
              <w:tabs>
                <w:tab w:val="left" w:pos="360"/>
                <w:tab w:val="left" w:pos="720"/>
                <w:tab w:val="left" w:pos="1080"/>
              </w:tabs>
              <w:autoSpaceDE/>
              <w:autoSpaceDN/>
              <w:adjustRightInd/>
              <w:contextualSpacing/>
              <w:jc w:val="right"/>
            </w:pPr>
            <w:r w:rsidRPr="00197DBC">
              <w:t>$</w:t>
            </w:r>
            <w:r w:rsidR="003C1AA2">
              <w:t>6.5</w:t>
            </w:r>
            <w:r w:rsidR="00736A72">
              <w:t>6</w:t>
            </w:r>
          </w:p>
        </w:tc>
      </w:tr>
      <w:tr w14:paraId="62E1509C" w14:textId="77777777" w:rsidTr="001F4602">
        <w:tblPrEx>
          <w:tblW w:w="7900" w:type="dxa"/>
          <w:tblInd w:w="744" w:type="dxa"/>
          <w:tblLook w:val="04A0"/>
        </w:tblPrEx>
        <w:trPr>
          <w:trHeight w:val="440"/>
        </w:trPr>
        <w:tc>
          <w:tcPr>
            <w:tcW w:w="6904" w:type="dxa"/>
            <w:vAlign w:val="center"/>
          </w:tcPr>
          <w:p w:rsidR="00A74A05" w:rsidRPr="00197DBC" w:rsidP="006A6BC6" w14:paraId="484909CF" w14:textId="201C7152">
            <w:pPr>
              <w:widowControl/>
              <w:tabs>
                <w:tab w:val="left" w:pos="360"/>
                <w:tab w:val="left" w:pos="720"/>
                <w:tab w:val="left" w:pos="1080"/>
              </w:tabs>
              <w:autoSpaceDE/>
              <w:autoSpaceDN/>
              <w:adjustRightInd/>
              <w:rPr>
                <w:color w:val="000000"/>
              </w:rPr>
            </w:pPr>
            <w:r>
              <w:rPr>
                <w:color w:val="000000"/>
              </w:rPr>
              <w:t>Total cost</w:t>
            </w:r>
            <w:r w:rsidRPr="00197DBC">
              <w:rPr>
                <w:color w:val="000000"/>
              </w:rPr>
              <w:t xml:space="preserve"> (</w:t>
            </w:r>
            <w:r>
              <w:rPr>
                <w:color w:val="000000"/>
              </w:rPr>
              <w:t>Total annual responses * cost per response</w:t>
            </w:r>
            <w:r w:rsidRPr="00197DBC">
              <w:rPr>
                <w:color w:val="000000"/>
              </w:rPr>
              <w:t>)</w:t>
            </w:r>
          </w:p>
        </w:tc>
        <w:tc>
          <w:tcPr>
            <w:tcW w:w="996" w:type="dxa"/>
            <w:vAlign w:val="center"/>
          </w:tcPr>
          <w:p w:rsidR="00A74A05" w:rsidRPr="00197DBC" w:rsidP="00286857" w14:paraId="350A3007" w14:textId="666BDCAA">
            <w:pPr>
              <w:widowControl/>
              <w:tabs>
                <w:tab w:val="left" w:pos="360"/>
                <w:tab w:val="left" w:pos="720"/>
                <w:tab w:val="left" w:pos="1080"/>
              </w:tabs>
              <w:autoSpaceDE/>
              <w:autoSpaceDN/>
              <w:adjustRightInd/>
              <w:contextualSpacing/>
              <w:jc w:val="right"/>
            </w:pPr>
            <w:r w:rsidRPr="00736A72">
              <w:t>$</w:t>
            </w:r>
            <w:r w:rsidR="00B63EAE">
              <w:t>28,5</w:t>
            </w:r>
            <w:r w:rsidR="005E4B59">
              <w:t>4</w:t>
            </w:r>
            <w:r w:rsidR="00B63EAE">
              <w:t>0</w:t>
            </w:r>
          </w:p>
        </w:tc>
      </w:tr>
    </w:tbl>
    <w:p w:rsidR="005E7A98" w:rsidP="00F94013" w14:paraId="1CE25BE7" w14:textId="18878109">
      <w:pPr>
        <w:pStyle w:val="p14"/>
        <w:tabs>
          <w:tab w:val="left" w:pos="360"/>
          <w:tab w:val="clear" w:pos="680"/>
          <w:tab w:val="left" w:pos="720"/>
        </w:tabs>
      </w:pPr>
    </w:p>
    <w:p w:rsidR="006A6BC6" w:rsidRPr="006A6BC6" w:rsidP="00F94013" w14:paraId="216E0446" w14:textId="0847E5DB">
      <w:pPr>
        <w:pStyle w:val="p14"/>
        <w:tabs>
          <w:tab w:val="left" w:pos="360"/>
          <w:tab w:val="clear" w:pos="680"/>
          <w:tab w:val="left" w:pos="720"/>
        </w:tabs>
        <w:rPr>
          <w:u w:val="single"/>
        </w:rPr>
      </w:pPr>
      <w:r>
        <w:tab/>
        <w:t xml:space="preserve">b.  </w:t>
      </w:r>
      <w:r>
        <w:rPr>
          <w:u w:val="single"/>
        </w:rPr>
        <w:t>Operational and Maintenance Costs</w:t>
      </w:r>
    </w:p>
    <w:p w:rsidR="006A6BC6" w:rsidP="006A6BC6" w14:paraId="5BC1EC4F" w14:textId="28CFA010">
      <w:pPr>
        <w:pStyle w:val="p14"/>
        <w:tabs>
          <w:tab w:val="clear" w:pos="680"/>
        </w:tabs>
      </w:pPr>
    </w:p>
    <w:p w:rsidR="006A6BC6" w:rsidP="006A6BC6" w14:paraId="403C60ED" w14:textId="08D286B4">
      <w:pPr>
        <w:pStyle w:val="p14"/>
        <w:tabs>
          <w:tab w:val="clear" w:pos="680"/>
        </w:tabs>
      </w:pPr>
      <w:r>
        <w:tab/>
      </w:r>
      <w:r>
        <w:tab/>
      </w:r>
      <w:r w:rsidR="00F63C05">
        <w:t xml:space="preserve">There are </w:t>
      </w:r>
      <w:r>
        <w:t xml:space="preserve">operational and maintenance costs </w:t>
      </w:r>
      <w:r w:rsidR="00F63C05">
        <w:t>for this information collection.</w:t>
      </w:r>
    </w:p>
    <w:p w:rsidR="006A6BC6" w:rsidP="006A6BC6" w14:paraId="58EC3BEF" w14:textId="77777777">
      <w:pPr>
        <w:pStyle w:val="p14"/>
        <w:tabs>
          <w:tab w:val="clear" w:pos="680"/>
        </w:tabs>
      </w:pPr>
    </w:p>
    <w:p w:rsidR="00B50643" w:rsidRPr="00B50643" w:rsidP="00B50643" w14:paraId="126BD66E" w14:textId="4DEE6FAF">
      <w:pPr>
        <w:rPr>
          <w:u w:val="single"/>
        </w:rPr>
      </w:pPr>
      <w:r>
        <w:t>15.</w:t>
      </w:r>
      <w:r w:rsidR="00F63C05">
        <w:tab/>
      </w:r>
      <w:r w:rsidRPr="00F94013">
        <w:rPr>
          <w:u w:val="single"/>
        </w:rPr>
        <w:t>Reasons for Change in Burden</w:t>
      </w:r>
    </w:p>
    <w:p w:rsidR="00F63C05" w:rsidP="00F63C05" w14:paraId="17BFBB9D" w14:textId="77777777">
      <w:pPr>
        <w:pStyle w:val="p14"/>
        <w:tabs>
          <w:tab w:val="clear" w:pos="680"/>
        </w:tabs>
      </w:pPr>
    </w:p>
    <w:p w:rsidR="00A12AC5" w:rsidP="00F63C05" w14:paraId="2A3FE206" w14:textId="2E273DCE">
      <w:pPr>
        <w:pStyle w:val="p14"/>
        <w:tabs>
          <w:tab w:val="clear" w:pos="680"/>
        </w:tabs>
      </w:pPr>
      <w:r>
        <w:tab/>
      </w:r>
      <w:r w:rsidRPr="00567037" w:rsidR="00C927F6">
        <w:t xml:space="preserve">The burden </w:t>
      </w:r>
      <w:r w:rsidRPr="00567037" w:rsidR="005D1CBC">
        <w:t>and number of respondents</w:t>
      </w:r>
      <w:r w:rsidR="005D1CBC">
        <w:t xml:space="preserve"> have</w:t>
      </w:r>
      <w:r w:rsidRPr="00567037" w:rsidR="00C927F6">
        <w:t xml:space="preserve"> </w:t>
      </w:r>
      <w:r w:rsidRPr="00567037" w:rsidR="00567037">
        <w:t>decreased</w:t>
      </w:r>
      <w:r w:rsidRPr="00567037" w:rsidR="00C927F6">
        <w:t xml:space="preserve"> due to the use of </w:t>
      </w:r>
      <w:r w:rsidR="005E4B59">
        <w:t xml:space="preserve">current </w:t>
      </w:r>
      <w:r w:rsidRPr="00567037" w:rsidR="005711AC">
        <w:t xml:space="preserve">FPDS </w:t>
      </w:r>
      <w:r w:rsidRPr="00567037" w:rsidR="00C927F6">
        <w:t xml:space="preserve">data.  </w:t>
      </w:r>
      <w:r w:rsidRPr="00567037" w:rsidR="005711AC">
        <w:t xml:space="preserve">Although the number of unique entities has </w:t>
      </w:r>
      <w:r w:rsidRPr="00567037" w:rsidR="00567037">
        <w:t>decreased</w:t>
      </w:r>
      <w:r w:rsidRPr="00567037" w:rsidR="005711AC">
        <w:t>, the criteria used for this query are the same as the criteria for the initial query in 2019.</w:t>
      </w:r>
    </w:p>
    <w:p w:rsidR="00F63C05" w:rsidP="00F63C05" w14:paraId="2A83577C" w14:textId="77777777">
      <w:pPr>
        <w:pStyle w:val="p14"/>
        <w:tabs>
          <w:tab w:val="clear" w:pos="680"/>
        </w:tabs>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002"/>
        <w:gridCol w:w="2001"/>
        <w:gridCol w:w="2005"/>
      </w:tblGrid>
      <w:tr w14:paraId="17745F0C" w14:textId="77777777" w:rsidTr="00342573">
        <w:tblPrEx>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9478" w:type="dxa"/>
            <w:gridSpan w:val="4"/>
            <w:tcBorders>
              <w:right w:val="single" w:sz="4" w:space="0" w:color="auto"/>
            </w:tcBorders>
            <w:vAlign w:val="center"/>
          </w:tcPr>
          <w:p w:rsidR="00A12AC5" w:rsidRPr="00924599" w:rsidP="00901EB1" w14:paraId="6B2221B7" w14:textId="16B1F6E1">
            <w:pPr>
              <w:tabs>
                <w:tab w:val="left" w:pos="360"/>
                <w:tab w:val="left" w:pos="720"/>
                <w:tab w:val="left" w:pos="1080"/>
                <w:tab w:val="left" w:pos="1440"/>
              </w:tabs>
              <w:spacing w:line="288" w:lineRule="atLeast"/>
              <w:jc w:val="center"/>
              <w:rPr>
                <w:rFonts w:eastAsia="Calibri"/>
              </w:rPr>
            </w:pPr>
            <w:r w:rsidRPr="00924599">
              <w:rPr>
                <w:rFonts w:eastAsia="Calibri"/>
              </w:rPr>
              <w:t>07</w:t>
            </w:r>
            <w:r>
              <w:rPr>
                <w:rFonts w:eastAsia="Calibri"/>
              </w:rPr>
              <w:t>50</w:t>
            </w:r>
            <w:r w:rsidRPr="00924599">
              <w:rPr>
                <w:rFonts w:eastAsia="Calibri"/>
              </w:rPr>
              <w:t>-0</w:t>
            </w:r>
            <w:r>
              <w:rPr>
                <w:rFonts w:eastAsia="Calibri"/>
              </w:rPr>
              <w:t>001</w:t>
            </w:r>
          </w:p>
        </w:tc>
      </w:tr>
      <w:tr w14:paraId="33980AAC" w14:textId="77777777" w:rsidTr="00825BF5">
        <w:tblPrEx>
          <w:tblW w:w="9478" w:type="dxa"/>
          <w:tblInd w:w="108" w:type="dxa"/>
          <w:tblLook w:val="04A0"/>
        </w:tblPrEx>
        <w:trPr>
          <w:trHeight w:val="360"/>
        </w:trPr>
        <w:tc>
          <w:tcPr>
            <w:tcW w:w="3470" w:type="dxa"/>
            <w:vAlign w:val="center"/>
          </w:tcPr>
          <w:p w:rsidR="00171134" w:rsidRPr="00924599" w:rsidP="00171134" w14:paraId="666F02AF" w14:textId="77777777">
            <w:pPr>
              <w:tabs>
                <w:tab w:val="left" w:pos="360"/>
                <w:tab w:val="left" w:pos="720"/>
                <w:tab w:val="left" w:pos="1080"/>
                <w:tab w:val="left" w:pos="1440"/>
              </w:tabs>
              <w:spacing w:line="288" w:lineRule="atLeast"/>
              <w:rPr>
                <w:rFonts w:eastAsia="Calibri"/>
              </w:rPr>
            </w:pPr>
            <w:r w:rsidRPr="00924599">
              <w:rPr>
                <w:rFonts w:eastAsia="Calibri"/>
              </w:rPr>
              <w:t>Change in Burden</w:t>
            </w:r>
          </w:p>
        </w:tc>
        <w:tc>
          <w:tcPr>
            <w:tcW w:w="2002" w:type="dxa"/>
            <w:tcBorders>
              <w:top w:val="single" w:sz="4" w:space="0" w:color="auto"/>
            </w:tcBorders>
          </w:tcPr>
          <w:p w:rsidR="00171134" w:rsidRPr="00924599" w:rsidP="00171134" w14:paraId="4BC6DDAC" w14:textId="444DBD49">
            <w:pPr>
              <w:tabs>
                <w:tab w:val="left" w:pos="360"/>
                <w:tab w:val="left" w:pos="720"/>
                <w:tab w:val="left" w:pos="1080"/>
                <w:tab w:val="left" w:pos="1440"/>
              </w:tabs>
              <w:spacing w:line="288" w:lineRule="atLeast"/>
              <w:jc w:val="right"/>
              <w:rPr>
                <w:rFonts w:eastAsia="Calibri"/>
              </w:rPr>
            </w:pPr>
            <w:r w:rsidRPr="00F96162">
              <w:t>2023</w:t>
            </w:r>
          </w:p>
        </w:tc>
        <w:tc>
          <w:tcPr>
            <w:tcW w:w="2001" w:type="dxa"/>
            <w:tcBorders>
              <w:top w:val="single" w:sz="4" w:space="0" w:color="auto"/>
            </w:tcBorders>
            <w:vAlign w:val="center"/>
          </w:tcPr>
          <w:p w:rsidR="00171134" w:rsidRPr="00924599" w:rsidP="00171134" w14:paraId="2732F11E" w14:textId="11F3807C">
            <w:pPr>
              <w:tabs>
                <w:tab w:val="left" w:pos="360"/>
                <w:tab w:val="left" w:pos="720"/>
                <w:tab w:val="left" w:pos="1080"/>
                <w:tab w:val="left" w:pos="1440"/>
              </w:tabs>
              <w:spacing w:line="288" w:lineRule="atLeast"/>
              <w:jc w:val="right"/>
              <w:rPr>
                <w:rFonts w:eastAsia="Calibri"/>
              </w:rPr>
            </w:pPr>
            <w:r>
              <w:rPr>
                <w:rFonts w:eastAsia="Calibri"/>
              </w:rPr>
              <w:t>202</w:t>
            </w:r>
            <w:r w:rsidR="005E4B59">
              <w:rPr>
                <w:rFonts w:eastAsia="Calibri"/>
              </w:rPr>
              <w:t>6</w:t>
            </w:r>
          </w:p>
        </w:tc>
        <w:tc>
          <w:tcPr>
            <w:tcW w:w="2005" w:type="dxa"/>
            <w:tcBorders>
              <w:top w:val="single" w:sz="4" w:space="0" w:color="auto"/>
            </w:tcBorders>
            <w:vAlign w:val="center"/>
          </w:tcPr>
          <w:p w:rsidR="00171134" w:rsidRPr="00924599" w:rsidP="00171134" w14:paraId="6858D95F" w14:textId="77777777">
            <w:pPr>
              <w:tabs>
                <w:tab w:val="left" w:pos="360"/>
                <w:tab w:val="left" w:pos="720"/>
                <w:tab w:val="left" w:pos="1080"/>
                <w:tab w:val="left" w:pos="1440"/>
              </w:tabs>
              <w:spacing w:line="288" w:lineRule="atLeast"/>
              <w:jc w:val="right"/>
              <w:rPr>
                <w:rFonts w:eastAsia="Calibri"/>
              </w:rPr>
            </w:pPr>
            <w:r w:rsidRPr="00924599">
              <w:rPr>
                <w:rFonts w:eastAsia="Calibri"/>
              </w:rPr>
              <w:t>Difference</w:t>
            </w:r>
          </w:p>
        </w:tc>
      </w:tr>
      <w:tr w14:paraId="2842981C" w14:textId="77777777" w:rsidTr="00825BF5">
        <w:tblPrEx>
          <w:tblW w:w="9478" w:type="dxa"/>
          <w:tblInd w:w="108" w:type="dxa"/>
          <w:tblLook w:val="04A0"/>
        </w:tblPrEx>
        <w:trPr>
          <w:trHeight w:val="360"/>
        </w:trPr>
        <w:tc>
          <w:tcPr>
            <w:tcW w:w="3470" w:type="dxa"/>
            <w:vAlign w:val="center"/>
          </w:tcPr>
          <w:p w:rsidR="00171134" w:rsidRPr="00924599" w:rsidP="00171134" w14:paraId="6ADE374F"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Number of respondents</w:t>
            </w:r>
          </w:p>
        </w:tc>
        <w:tc>
          <w:tcPr>
            <w:tcW w:w="2002" w:type="dxa"/>
          </w:tcPr>
          <w:p w:rsidR="00171134" w:rsidRPr="00924599" w:rsidP="00171134" w14:paraId="69FCAED5" w14:textId="02C9280C">
            <w:pPr>
              <w:tabs>
                <w:tab w:val="left" w:pos="360"/>
                <w:tab w:val="left" w:pos="720"/>
                <w:tab w:val="left" w:pos="1080"/>
                <w:tab w:val="left" w:pos="1440"/>
              </w:tabs>
              <w:spacing w:before="100" w:beforeAutospacing="1" w:after="100" w:afterAutospacing="1" w:line="288" w:lineRule="atLeast"/>
              <w:jc w:val="right"/>
              <w:rPr>
                <w:rFonts w:eastAsia="Calibri"/>
              </w:rPr>
            </w:pPr>
            <w:r w:rsidRPr="00F96162">
              <w:t>710</w:t>
            </w:r>
          </w:p>
        </w:tc>
        <w:tc>
          <w:tcPr>
            <w:tcW w:w="2001" w:type="dxa"/>
            <w:vAlign w:val="center"/>
          </w:tcPr>
          <w:p w:rsidR="00171134" w:rsidRPr="00924599" w:rsidP="00171134" w14:paraId="1DCC1931" w14:textId="48B9F5E1">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w:t>
            </w:r>
            <w:r w:rsidR="005E4B59">
              <w:rPr>
                <w:rFonts w:eastAsia="Calibri"/>
              </w:rPr>
              <w:t>83</w:t>
            </w:r>
          </w:p>
        </w:tc>
        <w:tc>
          <w:tcPr>
            <w:tcW w:w="2005" w:type="dxa"/>
            <w:vAlign w:val="center"/>
          </w:tcPr>
          <w:p w:rsidR="00171134" w:rsidRPr="00DF006B" w:rsidP="00171134" w14:paraId="39EF3149" w14:textId="01109FDD">
            <w:pPr>
              <w:tabs>
                <w:tab w:val="left" w:pos="360"/>
                <w:tab w:val="left" w:pos="720"/>
                <w:tab w:val="left" w:pos="1080"/>
                <w:tab w:val="left" w:pos="1440"/>
              </w:tabs>
              <w:spacing w:before="100" w:beforeAutospacing="1" w:after="100" w:afterAutospacing="1" w:line="288" w:lineRule="atLeast"/>
              <w:jc w:val="right"/>
              <w:rPr>
                <w:rFonts w:eastAsia="Calibri"/>
                <w:highlight w:val="yellow"/>
              </w:rPr>
            </w:pPr>
            <w:r>
              <w:rPr>
                <w:rFonts w:eastAsia="Calibri"/>
              </w:rPr>
              <w:t>-</w:t>
            </w:r>
            <w:r w:rsidR="0018786A">
              <w:rPr>
                <w:rFonts w:eastAsia="Calibri"/>
              </w:rPr>
              <w:t>2</w:t>
            </w:r>
            <w:r>
              <w:rPr>
                <w:rFonts w:eastAsia="Calibri"/>
              </w:rPr>
              <w:t>27</w:t>
            </w:r>
          </w:p>
        </w:tc>
      </w:tr>
      <w:tr w14:paraId="1AB0423E" w14:textId="77777777" w:rsidTr="00825BF5">
        <w:tblPrEx>
          <w:tblW w:w="9478" w:type="dxa"/>
          <w:tblInd w:w="108" w:type="dxa"/>
          <w:tblLook w:val="04A0"/>
        </w:tblPrEx>
        <w:trPr>
          <w:trHeight w:val="360"/>
        </w:trPr>
        <w:tc>
          <w:tcPr>
            <w:tcW w:w="3470" w:type="dxa"/>
            <w:vAlign w:val="center"/>
          </w:tcPr>
          <w:p w:rsidR="00171134" w:rsidRPr="00924599" w:rsidP="00171134" w14:paraId="1DD234CE"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annual responses</w:t>
            </w:r>
          </w:p>
        </w:tc>
        <w:tc>
          <w:tcPr>
            <w:tcW w:w="2002" w:type="dxa"/>
          </w:tcPr>
          <w:p w:rsidR="00171134" w:rsidRPr="00924599" w:rsidP="00171134" w14:paraId="24407304" w14:textId="205BF313">
            <w:pPr>
              <w:tabs>
                <w:tab w:val="left" w:pos="360"/>
                <w:tab w:val="left" w:pos="720"/>
                <w:tab w:val="left" w:pos="1080"/>
                <w:tab w:val="left" w:pos="1440"/>
              </w:tabs>
              <w:spacing w:before="100" w:beforeAutospacing="1" w:after="100" w:afterAutospacing="1" w:line="288" w:lineRule="atLeast"/>
              <w:jc w:val="right"/>
              <w:rPr>
                <w:rFonts w:eastAsia="Calibri"/>
              </w:rPr>
            </w:pPr>
            <w:r w:rsidRPr="00F96162">
              <w:t>710</w:t>
            </w:r>
          </w:p>
        </w:tc>
        <w:tc>
          <w:tcPr>
            <w:tcW w:w="2001" w:type="dxa"/>
            <w:vAlign w:val="center"/>
          </w:tcPr>
          <w:p w:rsidR="00171134" w:rsidRPr="00924599" w:rsidP="00171134" w14:paraId="5789326C" w14:textId="7F9CAF1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w:t>
            </w:r>
            <w:r w:rsidR="005E4B59">
              <w:rPr>
                <w:rFonts w:eastAsia="Calibri"/>
              </w:rPr>
              <w:t>83</w:t>
            </w:r>
          </w:p>
        </w:tc>
        <w:tc>
          <w:tcPr>
            <w:tcW w:w="2005" w:type="dxa"/>
            <w:vAlign w:val="center"/>
          </w:tcPr>
          <w:p w:rsidR="00171134" w:rsidRPr="00DF006B" w:rsidP="00171134" w14:paraId="45604E7F" w14:textId="1360C0F9">
            <w:pPr>
              <w:tabs>
                <w:tab w:val="left" w:pos="360"/>
                <w:tab w:val="left" w:pos="720"/>
                <w:tab w:val="left" w:pos="1080"/>
                <w:tab w:val="left" w:pos="1440"/>
              </w:tabs>
              <w:spacing w:before="100" w:beforeAutospacing="1" w:after="100" w:afterAutospacing="1" w:line="288" w:lineRule="atLeast"/>
              <w:jc w:val="right"/>
              <w:rPr>
                <w:rFonts w:eastAsia="Calibri"/>
                <w:highlight w:val="yellow"/>
              </w:rPr>
            </w:pPr>
            <w:r>
              <w:rPr>
                <w:rFonts w:eastAsia="Calibri"/>
              </w:rPr>
              <w:t>-</w:t>
            </w:r>
            <w:r w:rsidR="0018786A">
              <w:rPr>
                <w:rFonts w:eastAsia="Calibri"/>
              </w:rPr>
              <w:t>2</w:t>
            </w:r>
            <w:r>
              <w:rPr>
                <w:rFonts w:eastAsia="Calibri"/>
              </w:rPr>
              <w:t>2</w:t>
            </w:r>
            <w:r w:rsidR="0018786A">
              <w:rPr>
                <w:rFonts w:eastAsia="Calibri"/>
              </w:rPr>
              <w:t>7</w:t>
            </w:r>
          </w:p>
        </w:tc>
      </w:tr>
      <w:tr w14:paraId="1CCE016B" w14:textId="77777777" w:rsidTr="00825BF5">
        <w:tblPrEx>
          <w:tblW w:w="9478" w:type="dxa"/>
          <w:tblInd w:w="108" w:type="dxa"/>
          <w:tblLook w:val="04A0"/>
        </w:tblPrEx>
        <w:trPr>
          <w:trHeight w:val="360"/>
        </w:trPr>
        <w:tc>
          <w:tcPr>
            <w:tcW w:w="3470" w:type="dxa"/>
            <w:vAlign w:val="center"/>
          </w:tcPr>
          <w:p w:rsidR="00171134" w:rsidRPr="00924599" w:rsidP="00171134" w14:paraId="76EA11C5"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Hours</w:t>
            </w:r>
          </w:p>
        </w:tc>
        <w:tc>
          <w:tcPr>
            <w:tcW w:w="2002" w:type="dxa"/>
          </w:tcPr>
          <w:p w:rsidR="00171134" w:rsidRPr="00924599" w:rsidP="00171134" w14:paraId="0CB8BD30" w14:textId="58C2A3A6">
            <w:pPr>
              <w:tabs>
                <w:tab w:val="left" w:pos="360"/>
                <w:tab w:val="left" w:pos="720"/>
                <w:tab w:val="left" w:pos="1080"/>
                <w:tab w:val="left" w:pos="1440"/>
              </w:tabs>
              <w:spacing w:before="100" w:beforeAutospacing="1" w:after="100" w:afterAutospacing="1" w:line="288" w:lineRule="atLeast"/>
              <w:jc w:val="right"/>
              <w:rPr>
                <w:rFonts w:eastAsia="Calibri"/>
              </w:rPr>
            </w:pPr>
            <w:r w:rsidRPr="00F96162">
              <w:t>71</w:t>
            </w:r>
          </w:p>
        </w:tc>
        <w:tc>
          <w:tcPr>
            <w:tcW w:w="2001" w:type="dxa"/>
            <w:vAlign w:val="center"/>
          </w:tcPr>
          <w:p w:rsidR="00171134" w:rsidRPr="00736A72" w:rsidP="00171134" w14:paraId="263E8F6A" w14:textId="620F4174">
            <w:pPr>
              <w:tabs>
                <w:tab w:val="left" w:pos="360"/>
                <w:tab w:val="left" w:pos="720"/>
                <w:tab w:val="left" w:pos="1080"/>
                <w:tab w:val="left" w:pos="1440"/>
              </w:tabs>
              <w:spacing w:before="100" w:beforeAutospacing="1" w:after="100" w:afterAutospacing="1" w:line="288" w:lineRule="atLeast"/>
              <w:jc w:val="right"/>
              <w:rPr>
                <w:rFonts w:eastAsia="Calibri"/>
                <w:highlight w:val="yellow"/>
              </w:rPr>
            </w:pPr>
            <w:r w:rsidRPr="00B75A4E">
              <w:rPr>
                <w:rFonts w:eastAsia="Calibri"/>
              </w:rPr>
              <w:t>4</w:t>
            </w:r>
            <w:r w:rsidR="005E4B59">
              <w:rPr>
                <w:rFonts w:eastAsia="Calibri"/>
              </w:rPr>
              <w:t>8</w:t>
            </w:r>
          </w:p>
        </w:tc>
        <w:tc>
          <w:tcPr>
            <w:tcW w:w="2005" w:type="dxa"/>
            <w:vAlign w:val="center"/>
          </w:tcPr>
          <w:p w:rsidR="00171134" w:rsidRPr="00DF006B" w:rsidP="00171134" w14:paraId="49109918" w14:textId="049DD9F1">
            <w:pPr>
              <w:tabs>
                <w:tab w:val="left" w:pos="360"/>
                <w:tab w:val="left" w:pos="720"/>
                <w:tab w:val="left" w:pos="1080"/>
                <w:tab w:val="left" w:pos="1440"/>
              </w:tabs>
              <w:spacing w:before="100" w:beforeAutospacing="1" w:after="100" w:afterAutospacing="1" w:line="288" w:lineRule="atLeast"/>
              <w:jc w:val="right"/>
              <w:rPr>
                <w:rFonts w:eastAsia="Calibri"/>
                <w:highlight w:val="yellow"/>
              </w:rPr>
            </w:pPr>
            <w:r>
              <w:rPr>
                <w:rFonts w:eastAsia="Calibri"/>
              </w:rPr>
              <w:t>-</w:t>
            </w:r>
            <w:r w:rsidRPr="00B75A4E" w:rsidR="00B75A4E">
              <w:rPr>
                <w:rFonts w:eastAsia="Calibri"/>
              </w:rPr>
              <w:t>2</w:t>
            </w:r>
            <w:r>
              <w:rPr>
                <w:rFonts w:eastAsia="Calibri"/>
              </w:rPr>
              <w:t>3</w:t>
            </w:r>
          </w:p>
        </w:tc>
      </w:tr>
      <w:tr w14:paraId="17168A11" w14:textId="77777777" w:rsidTr="00825BF5">
        <w:tblPrEx>
          <w:tblW w:w="9478" w:type="dxa"/>
          <w:tblInd w:w="108" w:type="dxa"/>
          <w:tblLook w:val="04A0"/>
        </w:tblPrEx>
        <w:trPr>
          <w:trHeight w:val="360"/>
        </w:trPr>
        <w:tc>
          <w:tcPr>
            <w:tcW w:w="3470" w:type="dxa"/>
            <w:vAlign w:val="center"/>
          </w:tcPr>
          <w:p w:rsidR="00171134" w:rsidRPr="00924599" w:rsidP="00171134" w14:paraId="2619153A"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Cost per hour</w:t>
            </w:r>
          </w:p>
        </w:tc>
        <w:tc>
          <w:tcPr>
            <w:tcW w:w="2002" w:type="dxa"/>
          </w:tcPr>
          <w:p w:rsidR="00171134" w:rsidRPr="00924599" w:rsidP="00171134" w14:paraId="2B50241E" w14:textId="10B18AF3">
            <w:pPr>
              <w:tabs>
                <w:tab w:val="left" w:pos="360"/>
                <w:tab w:val="left" w:pos="720"/>
                <w:tab w:val="left" w:pos="1080"/>
                <w:tab w:val="left" w:pos="1440"/>
              </w:tabs>
              <w:spacing w:before="100" w:beforeAutospacing="1" w:after="100" w:afterAutospacing="1" w:line="288" w:lineRule="atLeast"/>
              <w:jc w:val="right"/>
              <w:rPr>
                <w:rFonts w:eastAsia="Calibri"/>
              </w:rPr>
            </w:pPr>
            <w:r w:rsidRPr="00F96162">
              <w:t>$58.72</w:t>
            </w:r>
          </w:p>
        </w:tc>
        <w:tc>
          <w:tcPr>
            <w:tcW w:w="2001" w:type="dxa"/>
            <w:vAlign w:val="center"/>
          </w:tcPr>
          <w:p w:rsidR="00171134" w:rsidRPr="00DF006B" w:rsidP="00171134" w14:paraId="3C8668C4" w14:textId="45162E9F">
            <w:pPr>
              <w:tabs>
                <w:tab w:val="left" w:pos="360"/>
                <w:tab w:val="left" w:pos="720"/>
                <w:tab w:val="left" w:pos="1080"/>
                <w:tab w:val="left" w:pos="1440"/>
              </w:tabs>
              <w:spacing w:before="100" w:beforeAutospacing="1" w:after="100" w:afterAutospacing="1" w:line="288" w:lineRule="atLeast"/>
              <w:jc w:val="right"/>
              <w:rPr>
                <w:rFonts w:eastAsia="Calibri"/>
                <w:highlight w:val="yellow"/>
              </w:rPr>
            </w:pPr>
            <w:r w:rsidRPr="00516AF1">
              <w:rPr>
                <w:rFonts w:eastAsia="Calibri"/>
              </w:rPr>
              <w:t>$65.58</w:t>
            </w:r>
          </w:p>
        </w:tc>
        <w:tc>
          <w:tcPr>
            <w:tcW w:w="2005" w:type="dxa"/>
            <w:vAlign w:val="center"/>
          </w:tcPr>
          <w:p w:rsidR="00171134" w:rsidRPr="00DF006B" w:rsidP="00171134" w14:paraId="0B6E0731" w14:textId="539B512C">
            <w:pPr>
              <w:tabs>
                <w:tab w:val="left" w:pos="360"/>
                <w:tab w:val="left" w:pos="720"/>
                <w:tab w:val="left" w:pos="1080"/>
                <w:tab w:val="left" w:pos="1440"/>
              </w:tabs>
              <w:spacing w:before="100" w:beforeAutospacing="1" w:after="100" w:afterAutospacing="1" w:line="288" w:lineRule="atLeast"/>
              <w:ind w:left="1080"/>
              <w:jc w:val="right"/>
              <w:rPr>
                <w:rFonts w:eastAsia="Calibri"/>
                <w:highlight w:val="yellow"/>
              </w:rPr>
            </w:pPr>
            <w:r w:rsidRPr="001E2FC8">
              <w:rPr>
                <w:rFonts w:eastAsia="Calibri"/>
              </w:rPr>
              <w:t>$6.</w:t>
            </w:r>
            <w:r w:rsidRPr="001E2FC8" w:rsidR="001E2FC8">
              <w:rPr>
                <w:rFonts w:eastAsia="Calibri"/>
              </w:rPr>
              <w:t>86</w:t>
            </w:r>
          </w:p>
        </w:tc>
      </w:tr>
      <w:tr w14:paraId="65C97EDB" w14:textId="77777777" w:rsidTr="00825BF5">
        <w:tblPrEx>
          <w:tblW w:w="9478" w:type="dxa"/>
          <w:tblInd w:w="108" w:type="dxa"/>
          <w:tblLook w:val="04A0"/>
        </w:tblPrEx>
        <w:trPr>
          <w:trHeight w:val="360"/>
        </w:trPr>
        <w:tc>
          <w:tcPr>
            <w:tcW w:w="3470" w:type="dxa"/>
            <w:vAlign w:val="center"/>
          </w:tcPr>
          <w:p w:rsidR="00171134" w:rsidRPr="00924599" w:rsidP="00171134" w14:paraId="56BB688B"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Cost</w:t>
            </w:r>
          </w:p>
        </w:tc>
        <w:tc>
          <w:tcPr>
            <w:tcW w:w="2002" w:type="dxa"/>
          </w:tcPr>
          <w:p w:rsidR="00171134" w:rsidRPr="00924599" w:rsidP="00171134" w14:paraId="6EA68970" w14:textId="6A1B0658">
            <w:pPr>
              <w:tabs>
                <w:tab w:val="left" w:pos="360"/>
                <w:tab w:val="left" w:pos="720"/>
                <w:tab w:val="left" w:pos="1080"/>
                <w:tab w:val="left" w:pos="1440"/>
              </w:tabs>
              <w:spacing w:before="100" w:beforeAutospacing="1" w:after="100" w:afterAutospacing="1" w:line="288" w:lineRule="atLeast"/>
              <w:jc w:val="right"/>
              <w:rPr>
                <w:rFonts w:eastAsia="Calibri"/>
              </w:rPr>
            </w:pPr>
            <w:r w:rsidRPr="00F96162">
              <w:t>$4,169</w:t>
            </w:r>
          </w:p>
        </w:tc>
        <w:tc>
          <w:tcPr>
            <w:tcW w:w="2001" w:type="dxa"/>
            <w:vAlign w:val="center"/>
          </w:tcPr>
          <w:p w:rsidR="00171134" w:rsidRPr="00DF006B" w:rsidP="00171134" w14:paraId="05F391F1" w14:textId="7DFD127D">
            <w:pPr>
              <w:tabs>
                <w:tab w:val="left" w:pos="360"/>
                <w:tab w:val="left" w:pos="720"/>
                <w:tab w:val="left" w:pos="1080"/>
                <w:tab w:val="left" w:pos="1440"/>
              </w:tabs>
              <w:spacing w:before="100" w:beforeAutospacing="1" w:after="100" w:afterAutospacing="1" w:line="288" w:lineRule="atLeast"/>
              <w:jc w:val="right"/>
              <w:rPr>
                <w:rFonts w:eastAsia="Calibri"/>
                <w:highlight w:val="yellow"/>
              </w:rPr>
            </w:pPr>
            <w:r w:rsidRPr="001E2FC8">
              <w:rPr>
                <w:rFonts w:eastAsia="Calibri"/>
              </w:rPr>
              <w:t>$</w:t>
            </w:r>
            <w:r w:rsidR="005E4B59">
              <w:t>3,168</w:t>
            </w:r>
          </w:p>
        </w:tc>
        <w:tc>
          <w:tcPr>
            <w:tcW w:w="2005" w:type="dxa"/>
            <w:vAlign w:val="center"/>
          </w:tcPr>
          <w:p w:rsidR="00171134" w:rsidRPr="00DF006B" w:rsidP="00171134" w14:paraId="6C326E97" w14:textId="7C44B1C4">
            <w:pPr>
              <w:tabs>
                <w:tab w:val="left" w:pos="360"/>
                <w:tab w:val="left" w:pos="720"/>
                <w:tab w:val="left" w:pos="1080"/>
                <w:tab w:val="left" w:pos="1440"/>
              </w:tabs>
              <w:spacing w:before="100" w:beforeAutospacing="1" w:after="100" w:afterAutospacing="1" w:line="288" w:lineRule="atLeast"/>
              <w:jc w:val="right"/>
              <w:rPr>
                <w:rFonts w:eastAsia="Calibri"/>
                <w:highlight w:val="yellow"/>
              </w:rPr>
            </w:pPr>
            <w:r w:rsidRPr="001E2FC8">
              <w:rPr>
                <w:rFonts w:eastAsia="Calibri"/>
              </w:rPr>
              <w:t>$</w:t>
            </w:r>
            <w:r w:rsidR="00B75A4E">
              <w:rPr>
                <w:rFonts w:eastAsia="Calibri"/>
              </w:rPr>
              <w:t>1,</w:t>
            </w:r>
            <w:r w:rsidR="005E4B59">
              <w:rPr>
                <w:rFonts w:eastAsia="Calibri"/>
              </w:rPr>
              <w:t>001</w:t>
            </w:r>
          </w:p>
        </w:tc>
      </w:tr>
    </w:tbl>
    <w:p w:rsidR="00A12AC5" w:rsidRPr="0025343B" w:rsidP="00A12AC5" w14:paraId="7E1475E4" w14:textId="77777777"/>
    <w:p w:rsidR="00B50643" w:rsidRPr="00B50643" w:rsidP="00B50643" w14:paraId="031FFEF0" w14:textId="6B588C8C">
      <w:pPr>
        <w:rPr>
          <w:u w:val="single"/>
        </w:rPr>
      </w:pPr>
      <w:r w:rsidRPr="008863B4">
        <w:t>16.</w:t>
      </w:r>
      <w:r w:rsidR="00F63C05">
        <w:tab/>
      </w:r>
      <w:r w:rsidRPr="00F94013">
        <w:rPr>
          <w:u w:val="single"/>
        </w:rPr>
        <w:t>Publication</w:t>
      </w:r>
      <w:r w:rsidRPr="00F94013" w:rsidR="00F94013">
        <w:rPr>
          <w:u w:val="single"/>
        </w:rPr>
        <w:t xml:space="preserve"> of Results</w:t>
      </w:r>
    </w:p>
    <w:p w:rsidR="00F63C05" w:rsidP="00F63C05" w14:paraId="0CD1BBA4" w14:textId="77777777">
      <w:pPr>
        <w:pStyle w:val="p14"/>
        <w:tabs>
          <w:tab w:val="clear" w:pos="680"/>
        </w:tabs>
      </w:pPr>
    </w:p>
    <w:p w:rsidR="00F63C05" w:rsidP="00F63C05" w14:paraId="72735127" w14:textId="665643BE">
      <w:pPr>
        <w:pStyle w:val="p14"/>
        <w:tabs>
          <w:tab w:val="clear" w:pos="680"/>
        </w:tabs>
      </w:pPr>
      <w:r>
        <w:tab/>
      </w:r>
      <w:r w:rsidRPr="008863B4" w:rsidR="002D1ECF">
        <w:t>Results of this collection will not be published.</w:t>
      </w:r>
    </w:p>
    <w:p w:rsidR="00F63C05" w:rsidP="00F63C05" w14:paraId="4A1811B8" w14:textId="77777777">
      <w:pPr>
        <w:pStyle w:val="p14"/>
        <w:tabs>
          <w:tab w:val="clear" w:pos="680"/>
        </w:tabs>
      </w:pPr>
    </w:p>
    <w:p w:rsidR="00B50643" w:rsidRPr="00B50643" w:rsidP="00B50643" w14:paraId="30AA1015" w14:textId="272887C2">
      <w:pPr>
        <w:rPr>
          <w:u w:val="single"/>
        </w:rPr>
      </w:pPr>
      <w:r w:rsidRPr="008863B4">
        <w:t>17</w:t>
      </w:r>
      <w:r w:rsidRPr="00F94013">
        <w:t>.</w:t>
      </w:r>
      <w:r w:rsidR="00F63C05">
        <w:tab/>
      </w:r>
      <w:r w:rsidRPr="00F94013" w:rsidR="00F94013">
        <w:rPr>
          <w:u w:val="single"/>
        </w:rPr>
        <w:t xml:space="preserve">Non-Display of OMB </w:t>
      </w:r>
      <w:r w:rsidRPr="00F94013">
        <w:rPr>
          <w:u w:val="single"/>
        </w:rPr>
        <w:t xml:space="preserve">Expiration </w:t>
      </w:r>
      <w:r w:rsidRPr="00F94013" w:rsidR="00F94013">
        <w:rPr>
          <w:u w:val="single"/>
        </w:rPr>
        <w:t>D</w:t>
      </w:r>
      <w:r w:rsidRPr="00F94013">
        <w:rPr>
          <w:u w:val="single"/>
        </w:rPr>
        <w:t>ate</w:t>
      </w:r>
    </w:p>
    <w:p w:rsidR="00F63C05" w:rsidP="00F63C05" w14:paraId="59D72B07" w14:textId="77777777">
      <w:pPr>
        <w:pStyle w:val="p14"/>
        <w:tabs>
          <w:tab w:val="clear" w:pos="680"/>
        </w:tabs>
      </w:pPr>
    </w:p>
    <w:p w:rsidR="00F63C05" w:rsidP="00F63C05" w14:paraId="3DFCA66E" w14:textId="0EBAADE7">
      <w:pPr>
        <w:pStyle w:val="p14"/>
        <w:tabs>
          <w:tab w:val="clear" w:pos="680"/>
        </w:tabs>
      </w:pPr>
      <w:r>
        <w:tab/>
      </w:r>
      <w:r>
        <w:t xml:space="preserve">DoD does </w:t>
      </w:r>
      <w:r w:rsidRPr="008863B4" w:rsidR="002D1ECF">
        <w:t xml:space="preserve">not seek approval to </w:t>
      </w:r>
      <w:r>
        <w:t xml:space="preserve">omit the </w:t>
      </w:r>
      <w:r w:rsidRPr="008863B4" w:rsidR="002D1ECF">
        <w:t>display the expiration date for OMB approval of this information collection.</w:t>
      </w:r>
    </w:p>
    <w:p w:rsidR="00F63C05" w:rsidP="00F63C05" w14:paraId="74487F2A" w14:textId="77777777">
      <w:pPr>
        <w:pStyle w:val="p14"/>
        <w:tabs>
          <w:tab w:val="clear" w:pos="680"/>
        </w:tabs>
      </w:pPr>
    </w:p>
    <w:p w:rsidR="00B50643" w:rsidRPr="00B50643" w:rsidP="00B50643" w14:paraId="5D1AC55A" w14:textId="5BA4CBFF">
      <w:pPr>
        <w:rPr>
          <w:u w:val="single"/>
        </w:rPr>
      </w:pPr>
      <w:r w:rsidRPr="008863B4">
        <w:t>18.</w:t>
      </w:r>
      <w:r w:rsidR="00F63C05">
        <w:tab/>
      </w:r>
      <w:r w:rsidRPr="00FE5546" w:rsidR="00FE5546">
        <w:rPr>
          <w:u w:val="single"/>
        </w:rPr>
        <w:t>Exceptions to “Certification for Paperwork Reduction Submissions”</w:t>
      </w:r>
    </w:p>
    <w:p w:rsidR="00FE5546" w:rsidP="00F94013" w14:paraId="0AAA9EC6" w14:textId="77777777">
      <w:pPr>
        <w:pStyle w:val="p9"/>
        <w:tabs>
          <w:tab w:val="left" w:pos="360"/>
        </w:tabs>
      </w:pPr>
    </w:p>
    <w:p w:rsidR="002D1ECF" w:rsidRPr="008863B4" w:rsidP="00FE5546" w14:paraId="4E99B898" w14:textId="62685557">
      <w:pPr>
        <w:pStyle w:val="p9"/>
        <w:tabs>
          <w:tab w:val="left" w:pos="360"/>
        </w:tabs>
      </w:pPr>
      <w:r>
        <w:tab/>
      </w:r>
      <w:r w:rsidR="00F63C05">
        <w:t xml:space="preserve">DoD is not requesting any </w:t>
      </w:r>
      <w:r w:rsidRPr="008863B4">
        <w:t>exe</w:t>
      </w:r>
      <w:r w:rsidR="00F63C05">
        <w:t>m</w:t>
      </w:r>
      <w:r w:rsidRPr="008863B4">
        <w:t xml:space="preserve">ptions to the </w:t>
      </w:r>
      <w:r w:rsidR="00F63C05">
        <w:t>provisions stated in 5 CFR 1320.9</w:t>
      </w:r>
      <w:r w:rsidRPr="008863B4">
        <w:t>.</w:t>
      </w:r>
    </w:p>
    <w:p w:rsidR="002D1ECF" w:rsidRPr="008863B4" w:rsidP="00FE5546" w14:paraId="7A4B6E9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Sect="00885C59">
      <w:footerReference w:type="even" r:id="rId4"/>
      <w:footerReference w:type="default" r:id="rId5"/>
      <w:footerReference w:type="first" r:id="rId6"/>
      <w:type w:val="continuous"/>
      <w:pgSz w:w="12240" w:h="15840" w:code="1"/>
      <w:pgMar w:top="1440" w:right="1440" w:bottom="153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ECF" w:rsidP="002D1ECF" w14:paraId="04A9E0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5F6">
      <w:rPr>
        <w:rStyle w:val="PageNumber"/>
        <w:noProof/>
      </w:rPr>
      <w:t>6</w:t>
    </w:r>
    <w:r>
      <w:rPr>
        <w:rStyle w:val="PageNumber"/>
      </w:rPr>
      <w:fldChar w:fldCharType="end"/>
    </w:r>
  </w:p>
  <w:p w:rsidR="002D1ECF" w14:paraId="040E4D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ECF" w:rsidRPr="007B1D18" w:rsidP="002D1ECF" w14:paraId="32B0F781" w14:textId="03B3FD9C">
    <w:pPr>
      <w:pStyle w:val="Footer"/>
      <w:framePr w:wrap="around" w:vAnchor="text" w:hAnchor="margin" w:xAlign="center" w:y="1"/>
      <w:rPr>
        <w:rStyle w:val="PageNumber"/>
      </w:rPr>
    </w:pPr>
    <w:r w:rsidRPr="007B1D18">
      <w:rPr>
        <w:rStyle w:val="PageNumber"/>
        <w:rFonts w:ascii="Courier New" w:hAnsi="Courier New" w:cs="Courier New"/>
      </w:rPr>
      <w:fldChar w:fldCharType="begin"/>
    </w:r>
    <w:r w:rsidRPr="007B1D18">
      <w:rPr>
        <w:rStyle w:val="PageNumber"/>
        <w:rFonts w:ascii="Courier New" w:hAnsi="Courier New" w:cs="Courier New"/>
      </w:rPr>
      <w:instrText xml:space="preserve">PAGE  </w:instrText>
    </w:r>
    <w:r w:rsidRPr="007B1D18">
      <w:rPr>
        <w:rStyle w:val="PageNumber"/>
        <w:rFonts w:ascii="Courier New" w:hAnsi="Courier New" w:cs="Courier New"/>
      </w:rPr>
      <w:fldChar w:fldCharType="separate"/>
    </w:r>
    <w:r w:rsidR="00286857">
      <w:rPr>
        <w:rStyle w:val="PageNumber"/>
        <w:rFonts w:ascii="Courier New" w:hAnsi="Courier New" w:cs="Courier New"/>
        <w:noProof/>
      </w:rPr>
      <w:t>3</w:t>
    </w:r>
    <w:r w:rsidRPr="007B1D18">
      <w:rPr>
        <w:rStyle w:val="PageNumber"/>
        <w:rFonts w:ascii="Courier New" w:hAnsi="Courier New" w:cs="Courier New"/>
      </w:rPr>
      <w:fldChar w:fldCharType="end"/>
    </w:r>
  </w:p>
  <w:p w:rsidR="002D1ECF" w14:paraId="4A13CF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ECF" w:rsidP="002D1ECF" w14:paraId="28A81805" w14:textId="77777777">
    <w:pPr>
      <w:pStyle w:val="Footer"/>
      <w:jc w:val="center"/>
      <w:rPr>
        <w:rFonts w:ascii="Courier New" w:hAnsi="Courier New" w:cs="Courier New"/>
      </w:rPr>
    </w:pPr>
    <w:r w:rsidRPr="00631EF3">
      <w:rPr>
        <w:rFonts w:ascii="Courier New" w:hAnsi="Courier New" w:cs="Courier New"/>
      </w:rPr>
      <w:t>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502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stylePaneSortMethod w:val="name"/>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B9B"/>
    <w:rsid w:val="00004F9A"/>
    <w:rsid w:val="000139B9"/>
    <w:rsid w:val="00017ECC"/>
    <w:rsid w:val="00033E2A"/>
    <w:rsid w:val="00042790"/>
    <w:rsid w:val="00090347"/>
    <w:rsid w:val="000A0F29"/>
    <w:rsid w:val="000A25EF"/>
    <w:rsid w:val="000B3782"/>
    <w:rsid w:val="000D5F53"/>
    <w:rsid w:val="000E40D4"/>
    <w:rsid w:val="000E7C75"/>
    <w:rsid w:val="00106EDC"/>
    <w:rsid w:val="0011191D"/>
    <w:rsid w:val="00113AA8"/>
    <w:rsid w:val="00122367"/>
    <w:rsid w:val="00126D20"/>
    <w:rsid w:val="00157B2D"/>
    <w:rsid w:val="001603F5"/>
    <w:rsid w:val="001703AE"/>
    <w:rsid w:val="001707B0"/>
    <w:rsid w:val="00171134"/>
    <w:rsid w:val="0018786A"/>
    <w:rsid w:val="00192854"/>
    <w:rsid w:val="0019489F"/>
    <w:rsid w:val="00197DBC"/>
    <w:rsid w:val="001A0D60"/>
    <w:rsid w:val="001A15F9"/>
    <w:rsid w:val="001A4D74"/>
    <w:rsid w:val="001A52C7"/>
    <w:rsid w:val="001C7218"/>
    <w:rsid w:val="001D2C5F"/>
    <w:rsid w:val="001E0ECF"/>
    <w:rsid w:val="001E140D"/>
    <w:rsid w:val="001E2FC8"/>
    <w:rsid w:val="001F0D5A"/>
    <w:rsid w:val="001F137B"/>
    <w:rsid w:val="001F4602"/>
    <w:rsid w:val="002005F6"/>
    <w:rsid w:val="002251A6"/>
    <w:rsid w:val="0025343B"/>
    <w:rsid w:val="00265362"/>
    <w:rsid w:val="002800CF"/>
    <w:rsid w:val="00286857"/>
    <w:rsid w:val="002A3274"/>
    <w:rsid w:val="002C586B"/>
    <w:rsid w:val="002D1ECF"/>
    <w:rsid w:val="002D75D8"/>
    <w:rsid w:val="002E2786"/>
    <w:rsid w:val="002E4B9B"/>
    <w:rsid w:val="002F2AC8"/>
    <w:rsid w:val="00300A44"/>
    <w:rsid w:val="0030353D"/>
    <w:rsid w:val="00310B7E"/>
    <w:rsid w:val="00324184"/>
    <w:rsid w:val="00342573"/>
    <w:rsid w:val="00344EF8"/>
    <w:rsid w:val="00350ACF"/>
    <w:rsid w:val="00364647"/>
    <w:rsid w:val="00372EF7"/>
    <w:rsid w:val="0039691E"/>
    <w:rsid w:val="003A5A5E"/>
    <w:rsid w:val="003B03D1"/>
    <w:rsid w:val="003B7A78"/>
    <w:rsid w:val="003C1AA2"/>
    <w:rsid w:val="003C2AED"/>
    <w:rsid w:val="003D6C6C"/>
    <w:rsid w:val="004059B1"/>
    <w:rsid w:val="004146B6"/>
    <w:rsid w:val="0041701E"/>
    <w:rsid w:val="0044529F"/>
    <w:rsid w:val="00453CE8"/>
    <w:rsid w:val="004742A3"/>
    <w:rsid w:val="004759BB"/>
    <w:rsid w:val="00491904"/>
    <w:rsid w:val="00492B45"/>
    <w:rsid w:val="0049341B"/>
    <w:rsid w:val="00493429"/>
    <w:rsid w:val="004B536B"/>
    <w:rsid w:val="004C0CAD"/>
    <w:rsid w:val="004D3D05"/>
    <w:rsid w:val="004D6C2C"/>
    <w:rsid w:val="004D78C2"/>
    <w:rsid w:val="004F7864"/>
    <w:rsid w:val="00516AF1"/>
    <w:rsid w:val="00531EAA"/>
    <w:rsid w:val="00543CAB"/>
    <w:rsid w:val="00547228"/>
    <w:rsid w:val="00551240"/>
    <w:rsid w:val="00554670"/>
    <w:rsid w:val="0055598F"/>
    <w:rsid w:val="00566703"/>
    <w:rsid w:val="00567037"/>
    <w:rsid w:val="00567D95"/>
    <w:rsid w:val="005711AC"/>
    <w:rsid w:val="00571FF2"/>
    <w:rsid w:val="00576758"/>
    <w:rsid w:val="00596697"/>
    <w:rsid w:val="005C468C"/>
    <w:rsid w:val="005D1B1D"/>
    <w:rsid w:val="005D1CBC"/>
    <w:rsid w:val="005D30BB"/>
    <w:rsid w:val="005E4B59"/>
    <w:rsid w:val="005E7A98"/>
    <w:rsid w:val="005F3BAC"/>
    <w:rsid w:val="005F6563"/>
    <w:rsid w:val="00602CF1"/>
    <w:rsid w:val="00604DF1"/>
    <w:rsid w:val="00610F6E"/>
    <w:rsid w:val="00612666"/>
    <w:rsid w:val="006303C7"/>
    <w:rsid w:val="00631EF3"/>
    <w:rsid w:val="00643ACF"/>
    <w:rsid w:val="00661F53"/>
    <w:rsid w:val="006976C0"/>
    <w:rsid w:val="00697AEE"/>
    <w:rsid w:val="006A0950"/>
    <w:rsid w:val="006A4D0B"/>
    <w:rsid w:val="006A6BC6"/>
    <w:rsid w:val="006B5A50"/>
    <w:rsid w:val="006B674F"/>
    <w:rsid w:val="006C6D5A"/>
    <w:rsid w:val="006C7F9F"/>
    <w:rsid w:val="00704350"/>
    <w:rsid w:val="00706F4E"/>
    <w:rsid w:val="00713A45"/>
    <w:rsid w:val="007200C9"/>
    <w:rsid w:val="007220A0"/>
    <w:rsid w:val="007224C0"/>
    <w:rsid w:val="00736A72"/>
    <w:rsid w:val="0077114B"/>
    <w:rsid w:val="00775AD3"/>
    <w:rsid w:val="00795955"/>
    <w:rsid w:val="007B1D18"/>
    <w:rsid w:val="007B6609"/>
    <w:rsid w:val="007C2D5A"/>
    <w:rsid w:val="007D5637"/>
    <w:rsid w:val="007E14A9"/>
    <w:rsid w:val="007F1ABA"/>
    <w:rsid w:val="00802036"/>
    <w:rsid w:val="0081089D"/>
    <w:rsid w:val="00833077"/>
    <w:rsid w:val="00843BFA"/>
    <w:rsid w:val="00843C93"/>
    <w:rsid w:val="00851945"/>
    <w:rsid w:val="0085733A"/>
    <w:rsid w:val="00884D82"/>
    <w:rsid w:val="00885C59"/>
    <w:rsid w:val="008863B4"/>
    <w:rsid w:val="008B5D48"/>
    <w:rsid w:val="008E0CA8"/>
    <w:rsid w:val="008E3114"/>
    <w:rsid w:val="00901EB1"/>
    <w:rsid w:val="00913E87"/>
    <w:rsid w:val="0091774A"/>
    <w:rsid w:val="00920326"/>
    <w:rsid w:val="00924599"/>
    <w:rsid w:val="00936F27"/>
    <w:rsid w:val="00952DFC"/>
    <w:rsid w:val="00963517"/>
    <w:rsid w:val="0097449E"/>
    <w:rsid w:val="0098344C"/>
    <w:rsid w:val="00993CA0"/>
    <w:rsid w:val="009B22BE"/>
    <w:rsid w:val="009B2E71"/>
    <w:rsid w:val="009C612D"/>
    <w:rsid w:val="009D519C"/>
    <w:rsid w:val="009F07D1"/>
    <w:rsid w:val="00A029E4"/>
    <w:rsid w:val="00A02FFE"/>
    <w:rsid w:val="00A12AC5"/>
    <w:rsid w:val="00A256CC"/>
    <w:rsid w:val="00A35196"/>
    <w:rsid w:val="00A372C5"/>
    <w:rsid w:val="00A40EA9"/>
    <w:rsid w:val="00A46FB3"/>
    <w:rsid w:val="00A52A2F"/>
    <w:rsid w:val="00A52C70"/>
    <w:rsid w:val="00A61AF6"/>
    <w:rsid w:val="00A61CC5"/>
    <w:rsid w:val="00A66E63"/>
    <w:rsid w:val="00A74201"/>
    <w:rsid w:val="00A74A05"/>
    <w:rsid w:val="00AA174E"/>
    <w:rsid w:val="00AA1D41"/>
    <w:rsid w:val="00AA206D"/>
    <w:rsid w:val="00AA21C4"/>
    <w:rsid w:val="00AB4108"/>
    <w:rsid w:val="00AC49E4"/>
    <w:rsid w:val="00AD2921"/>
    <w:rsid w:val="00AD4928"/>
    <w:rsid w:val="00AF6AD7"/>
    <w:rsid w:val="00B04086"/>
    <w:rsid w:val="00B15072"/>
    <w:rsid w:val="00B32B1E"/>
    <w:rsid w:val="00B33950"/>
    <w:rsid w:val="00B41BDB"/>
    <w:rsid w:val="00B47D4F"/>
    <w:rsid w:val="00B50643"/>
    <w:rsid w:val="00B516A5"/>
    <w:rsid w:val="00B63EAE"/>
    <w:rsid w:val="00B75A4E"/>
    <w:rsid w:val="00BA11DA"/>
    <w:rsid w:val="00BB1C2A"/>
    <w:rsid w:val="00BB5AF3"/>
    <w:rsid w:val="00BB794E"/>
    <w:rsid w:val="00BE06FA"/>
    <w:rsid w:val="00C059E3"/>
    <w:rsid w:val="00C125FA"/>
    <w:rsid w:val="00C13178"/>
    <w:rsid w:val="00C1404A"/>
    <w:rsid w:val="00C21607"/>
    <w:rsid w:val="00C2756A"/>
    <w:rsid w:val="00C42A78"/>
    <w:rsid w:val="00C53611"/>
    <w:rsid w:val="00C57336"/>
    <w:rsid w:val="00C927F6"/>
    <w:rsid w:val="00C95103"/>
    <w:rsid w:val="00CB4F18"/>
    <w:rsid w:val="00CB698D"/>
    <w:rsid w:val="00CD1323"/>
    <w:rsid w:val="00CD1B0F"/>
    <w:rsid w:val="00D00482"/>
    <w:rsid w:val="00D36D64"/>
    <w:rsid w:val="00D76093"/>
    <w:rsid w:val="00D863AB"/>
    <w:rsid w:val="00DC6EDB"/>
    <w:rsid w:val="00DD6811"/>
    <w:rsid w:val="00DE42C2"/>
    <w:rsid w:val="00DE745E"/>
    <w:rsid w:val="00DE7E5E"/>
    <w:rsid w:val="00DF006B"/>
    <w:rsid w:val="00DF30D6"/>
    <w:rsid w:val="00E1501B"/>
    <w:rsid w:val="00E20BCF"/>
    <w:rsid w:val="00E25BBE"/>
    <w:rsid w:val="00E36A5B"/>
    <w:rsid w:val="00E433BB"/>
    <w:rsid w:val="00E84E52"/>
    <w:rsid w:val="00E863DD"/>
    <w:rsid w:val="00E93B77"/>
    <w:rsid w:val="00E94522"/>
    <w:rsid w:val="00E9558B"/>
    <w:rsid w:val="00EA1C9A"/>
    <w:rsid w:val="00EB783E"/>
    <w:rsid w:val="00ED7FB0"/>
    <w:rsid w:val="00EE5EBB"/>
    <w:rsid w:val="00EF3D1C"/>
    <w:rsid w:val="00EF7A0B"/>
    <w:rsid w:val="00F02952"/>
    <w:rsid w:val="00F10DDD"/>
    <w:rsid w:val="00F17426"/>
    <w:rsid w:val="00F227BC"/>
    <w:rsid w:val="00F23F0E"/>
    <w:rsid w:val="00F42C56"/>
    <w:rsid w:val="00F54507"/>
    <w:rsid w:val="00F60124"/>
    <w:rsid w:val="00F63C05"/>
    <w:rsid w:val="00F810BC"/>
    <w:rsid w:val="00F94013"/>
    <w:rsid w:val="00F96162"/>
    <w:rsid w:val="00F97113"/>
    <w:rsid w:val="00FB25DD"/>
    <w:rsid w:val="00FC7372"/>
    <w:rsid w:val="00FD6C70"/>
    <w:rsid w:val="00FE5546"/>
    <w:rsid w:val="00FF42D0"/>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48FD4466"/>
  <w15:docId w15:val="{405294ED-BDB9-4D12-BD07-C690EBC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B3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3E5B39"/>
  </w:style>
  <w:style w:type="paragraph" w:customStyle="1" w:styleId="c2">
    <w:name w:val="c2"/>
    <w:basedOn w:val="Normal"/>
    <w:rsid w:val="003E5B39"/>
    <w:pPr>
      <w:jc w:val="center"/>
    </w:pPr>
  </w:style>
  <w:style w:type="paragraph" w:customStyle="1" w:styleId="p3">
    <w:name w:val="p3"/>
    <w:basedOn w:val="Normal"/>
    <w:rsid w:val="003E5B39"/>
    <w:pPr>
      <w:tabs>
        <w:tab w:val="left" w:pos="600"/>
      </w:tabs>
      <w:ind w:left="840" w:hanging="600"/>
    </w:pPr>
  </w:style>
  <w:style w:type="paragraph" w:customStyle="1" w:styleId="p4">
    <w:name w:val="p4"/>
    <w:basedOn w:val="Normal"/>
    <w:rsid w:val="003E5B39"/>
    <w:pPr>
      <w:tabs>
        <w:tab w:val="left" w:pos="657"/>
      </w:tabs>
    </w:pPr>
  </w:style>
  <w:style w:type="paragraph" w:customStyle="1" w:styleId="p5">
    <w:name w:val="p5"/>
    <w:basedOn w:val="Normal"/>
    <w:rsid w:val="003E5B39"/>
    <w:pPr>
      <w:tabs>
        <w:tab w:val="left" w:pos="1587"/>
      </w:tabs>
    </w:pPr>
  </w:style>
  <w:style w:type="paragraph" w:customStyle="1" w:styleId="p6">
    <w:name w:val="p6"/>
    <w:basedOn w:val="Normal"/>
    <w:rsid w:val="003E5B39"/>
    <w:pPr>
      <w:tabs>
        <w:tab w:val="left" w:pos="657"/>
      </w:tabs>
      <w:ind w:firstLine="657"/>
    </w:pPr>
  </w:style>
  <w:style w:type="paragraph" w:customStyle="1" w:styleId="p7">
    <w:name w:val="p7"/>
    <w:basedOn w:val="Normal"/>
    <w:rsid w:val="003E5B39"/>
    <w:pPr>
      <w:tabs>
        <w:tab w:val="left" w:pos="204"/>
      </w:tabs>
    </w:pPr>
  </w:style>
  <w:style w:type="paragraph" w:customStyle="1" w:styleId="p8">
    <w:name w:val="p8"/>
    <w:basedOn w:val="Normal"/>
    <w:rsid w:val="003E5B39"/>
    <w:pPr>
      <w:tabs>
        <w:tab w:val="left" w:pos="759"/>
      </w:tabs>
    </w:pPr>
  </w:style>
  <w:style w:type="paragraph" w:customStyle="1" w:styleId="p9">
    <w:name w:val="p9"/>
    <w:basedOn w:val="Normal"/>
    <w:rsid w:val="003E5B39"/>
    <w:pPr>
      <w:tabs>
        <w:tab w:val="left" w:pos="759"/>
      </w:tabs>
    </w:pPr>
  </w:style>
  <w:style w:type="paragraph" w:customStyle="1" w:styleId="c10">
    <w:name w:val="c10"/>
    <w:basedOn w:val="Normal"/>
    <w:rsid w:val="003E5B39"/>
    <w:pPr>
      <w:jc w:val="center"/>
    </w:pPr>
  </w:style>
  <w:style w:type="paragraph" w:customStyle="1" w:styleId="t11">
    <w:name w:val="t11"/>
    <w:basedOn w:val="Normal"/>
    <w:rsid w:val="003E5B39"/>
  </w:style>
  <w:style w:type="paragraph" w:customStyle="1" w:styleId="t12">
    <w:name w:val="t12"/>
    <w:basedOn w:val="Normal"/>
    <w:rsid w:val="003E5B39"/>
  </w:style>
  <w:style w:type="paragraph" w:customStyle="1" w:styleId="p13">
    <w:name w:val="p13"/>
    <w:basedOn w:val="Normal"/>
    <w:rsid w:val="003E5B39"/>
    <w:pPr>
      <w:tabs>
        <w:tab w:val="left" w:pos="680"/>
      </w:tabs>
    </w:pPr>
  </w:style>
  <w:style w:type="paragraph" w:customStyle="1" w:styleId="p14">
    <w:name w:val="p14"/>
    <w:basedOn w:val="Normal"/>
    <w:rsid w:val="003E5B39"/>
    <w:pPr>
      <w:tabs>
        <w:tab w:val="left" w:pos="680"/>
      </w:tabs>
    </w:pPr>
  </w:style>
  <w:style w:type="paragraph" w:customStyle="1" w:styleId="p15">
    <w:name w:val="p15"/>
    <w:basedOn w:val="Normal"/>
    <w:rsid w:val="003E5B39"/>
    <w:pPr>
      <w:tabs>
        <w:tab w:val="left" w:pos="481"/>
      </w:tabs>
    </w:pPr>
  </w:style>
  <w:style w:type="paragraph" w:customStyle="1" w:styleId="c16">
    <w:name w:val="c16"/>
    <w:basedOn w:val="Normal"/>
    <w:rsid w:val="003E5B39"/>
    <w:pPr>
      <w:jc w:val="center"/>
    </w:pPr>
  </w:style>
  <w:style w:type="paragraph" w:customStyle="1" w:styleId="t17">
    <w:name w:val="t17"/>
    <w:basedOn w:val="Normal"/>
    <w:rsid w:val="003E5B39"/>
  </w:style>
  <w:style w:type="paragraph" w:customStyle="1" w:styleId="t18">
    <w:name w:val="t18"/>
    <w:basedOn w:val="Normal"/>
    <w:rsid w:val="003E5B39"/>
  </w:style>
  <w:style w:type="paragraph" w:customStyle="1" w:styleId="p19">
    <w:name w:val="p19"/>
    <w:basedOn w:val="Normal"/>
    <w:rsid w:val="003E5B39"/>
    <w:pPr>
      <w:tabs>
        <w:tab w:val="left" w:pos="759"/>
        <w:tab w:val="left" w:pos="1309"/>
      </w:tabs>
      <w:ind w:firstLine="759"/>
    </w:pPr>
  </w:style>
  <w:style w:type="paragraph" w:customStyle="1" w:styleId="p20">
    <w:name w:val="p20"/>
    <w:basedOn w:val="Normal"/>
    <w:rsid w:val="003E5B39"/>
    <w:pPr>
      <w:tabs>
        <w:tab w:val="left" w:pos="759"/>
        <w:tab w:val="left" w:pos="6570"/>
      </w:tabs>
      <w:ind w:left="6570" w:hanging="5811"/>
    </w:pPr>
  </w:style>
  <w:style w:type="paragraph" w:customStyle="1" w:styleId="p21">
    <w:name w:val="p21"/>
    <w:basedOn w:val="Normal"/>
    <w:rsid w:val="003E5B39"/>
    <w:pPr>
      <w:tabs>
        <w:tab w:val="left" w:pos="759"/>
      </w:tabs>
      <w:ind w:left="681"/>
    </w:pPr>
  </w:style>
  <w:style w:type="paragraph" w:customStyle="1" w:styleId="t22">
    <w:name w:val="t22"/>
    <w:basedOn w:val="Normal"/>
    <w:rsid w:val="003E5B39"/>
  </w:style>
  <w:style w:type="table" w:styleId="TableGrid">
    <w:name w:val="Table Grid"/>
    <w:basedOn w:val="TableNormal"/>
    <w:rsid w:val="005805E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
    <w:name w:val="t9"/>
    <w:basedOn w:val="Normal"/>
    <w:rsid w:val="00FB724E"/>
  </w:style>
  <w:style w:type="paragraph" w:styleId="Footer">
    <w:name w:val="footer"/>
    <w:basedOn w:val="Normal"/>
    <w:rsid w:val="007B1D18"/>
    <w:pPr>
      <w:tabs>
        <w:tab w:val="center" w:pos="4320"/>
        <w:tab w:val="right" w:pos="8640"/>
      </w:tabs>
    </w:pPr>
  </w:style>
  <w:style w:type="character" w:styleId="PageNumber">
    <w:name w:val="page number"/>
    <w:basedOn w:val="DefaultParagraphFont"/>
    <w:rsid w:val="007B1D18"/>
  </w:style>
  <w:style w:type="paragraph" w:styleId="Header">
    <w:name w:val="header"/>
    <w:basedOn w:val="Normal"/>
    <w:rsid w:val="007B1D18"/>
    <w:pPr>
      <w:tabs>
        <w:tab w:val="center" w:pos="4320"/>
        <w:tab w:val="right" w:pos="8640"/>
      </w:tabs>
    </w:pPr>
  </w:style>
  <w:style w:type="paragraph" w:styleId="BalloonText">
    <w:name w:val="Balloon Text"/>
    <w:basedOn w:val="Normal"/>
    <w:link w:val="BalloonTextChar"/>
    <w:uiPriority w:val="99"/>
    <w:semiHidden/>
    <w:unhideWhenUsed/>
    <w:rsid w:val="00477365"/>
    <w:rPr>
      <w:rFonts w:ascii="Tahoma" w:hAnsi="Tahoma" w:cs="Tahoma"/>
      <w:sz w:val="16"/>
      <w:szCs w:val="16"/>
    </w:rPr>
  </w:style>
  <w:style w:type="character" w:customStyle="1" w:styleId="BalloonTextChar">
    <w:name w:val="Balloon Text Char"/>
    <w:link w:val="BalloonText"/>
    <w:uiPriority w:val="99"/>
    <w:semiHidden/>
    <w:rsid w:val="00477365"/>
    <w:rPr>
      <w:rFonts w:ascii="Tahoma" w:hAnsi="Tahoma" w:cs="Tahoma"/>
      <w:sz w:val="16"/>
      <w:szCs w:val="16"/>
    </w:rPr>
  </w:style>
  <w:style w:type="paragraph" w:customStyle="1" w:styleId="DFARS">
    <w:name w:val="DFARS"/>
    <w:basedOn w:val="Normal"/>
    <w:rsid w:val="006350C7"/>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Hyperlink">
    <w:name w:val="Hyperlink"/>
    <w:rsid w:val="006350C7"/>
    <w:rPr>
      <w:color w:val="0000FF"/>
      <w:u w:val="single"/>
    </w:rPr>
  </w:style>
  <w:style w:type="character" w:styleId="FollowedHyperlink">
    <w:name w:val="FollowedHyperlink"/>
    <w:uiPriority w:val="99"/>
    <w:semiHidden/>
    <w:unhideWhenUsed/>
    <w:rsid w:val="006350C7"/>
    <w:rPr>
      <w:color w:val="800080"/>
      <w:u w:val="single"/>
    </w:rPr>
  </w:style>
  <w:style w:type="paragraph" w:customStyle="1" w:styleId="dfars0">
    <w:name w:val="dfars"/>
    <w:basedOn w:val="Normal"/>
    <w:rsid w:val="006350C7"/>
    <w:pPr>
      <w:widowControl/>
      <w:autoSpaceDE/>
      <w:autoSpaceDN/>
      <w:adjustRightInd/>
      <w:spacing w:beforeLines="1" w:afterLines="1"/>
    </w:pPr>
    <w:rPr>
      <w:rFonts w:ascii="Times" w:hAnsi="Times"/>
      <w:sz w:val="20"/>
      <w:szCs w:val="20"/>
    </w:rPr>
  </w:style>
  <w:style w:type="table" w:customStyle="1" w:styleId="TableGrid1">
    <w:name w:val="Table Grid1"/>
    <w:basedOn w:val="TableNormal"/>
    <w:next w:val="TableGrid"/>
    <w:uiPriority w:val="59"/>
    <w:rsid w:val="00197DB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C6D5A"/>
    <w:pPr>
      <w:widowControl/>
      <w:autoSpaceDE/>
      <w:autoSpaceDN/>
      <w:adjustRightInd/>
      <w:spacing w:before="100" w:beforeAutospacing="1" w:after="100" w:afterAutospacing="1"/>
    </w:pPr>
  </w:style>
  <w:style w:type="paragraph" w:styleId="ListParagraph">
    <w:name w:val="List Paragraph"/>
    <w:basedOn w:val="Normal"/>
    <w:uiPriority w:val="72"/>
    <w:qFormat/>
    <w:rsid w:val="006C6D5A"/>
    <w:pPr>
      <w:ind w:left="720"/>
      <w:contextualSpacing/>
    </w:pPr>
  </w:style>
  <w:style w:type="character" w:customStyle="1" w:styleId="UnresolvedMention1">
    <w:name w:val="Unresolved Mention1"/>
    <w:basedOn w:val="DefaultParagraphFont"/>
    <w:uiPriority w:val="99"/>
    <w:semiHidden/>
    <w:unhideWhenUsed/>
    <w:rsid w:val="00643ACF"/>
    <w:rPr>
      <w:color w:val="605E5C"/>
      <w:shd w:val="clear" w:color="auto" w:fill="E1DFDD"/>
    </w:rPr>
  </w:style>
  <w:style w:type="character" w:styleId="CommentReference">
    <w:name w:val="annotation reference"/>
    <w:basedOn w:val="DefaultParagraphFont"/>
    <w:uiPriority w:val="99"/>
    <w:semiHidden/>
    <w:unhideWhenUsed/>
    <w:rsid w:val="003C1AA2"/>
    <w:rPr>
      <w:sz w:val="16"/>
      <w:szCs w:val="16"/>
    </w:rPr>
  </w:style>
  <w:style w:type="paragraph" w:styleId="CommentText">
    <w:name w:val="annotation text"/>
    <w:basedOn w:val="Normal"/>
    <w:link w:val="CommentTextChar"/>
    <w:uiPriority w:val="99"/>
    <w:unhideWhenUsed/>
    <w:rsid w:val="003C1AA2"/>
    <w:rPr>
      <w:sz w:val="20"/>
      <w:szCs w:val="20"/>
    </w:rPr>
  </w:style>
  <w:style w:type="character" w:customStyle="1" w:styleId="CommentTextChar">
    <w:name w:val="Comment Text Char"/>
    <w:basedOn w:val="DefaultParagraphFont"/>
    <w:link w:val="CommentText"/>
    <w:uiPriority w:val="99"/>
    <w:rsid w:val="003C1AA2"/>
  </w:style>
  <w:style w:type="paragraph" w:styleId="CommentSubject">
    <w:name w:val="annotation subject"/>
    <w:basedOn w:val="CommentText"/>
    <w:next w:val="CommentText"/>
    <w:link w:val="CommentSubjectChar"/>
    <w:uiPriority w:val="99"/>
    <w:semiHidden/>
    <w:unhideWhenUsed/>
    <w:rsid w:val="003C1AA2"/>
    <w:rPr>
      <w:b/>
      <w:bCs/>
    </w:rPr>
  </w:style>
  <w:style w:type="character" w:customStyle="1" w:styleId="CommentSubjectChar">
    <w:name w:val="Comment Subject Char"/>
    <w:basedOn w:val="CommentTextChar"/>
    <w:link w:val="CommentSubject"/>
    <w:uiPriority w:val="99"/>
    <w:semiHidden/>
    <w:rsid w:val="003C1AA2"/>
    <w:rPr>
      <w:b/>
      <w:bCs/>
    </w:rPr>
  </w:style>
  <w:style w:type="paragraph" w:styleId="Revision">
    <w:name w:val="Revision"/>
    <w:hidden/>
    <w:uiPriority w:val="71"/>
    <w:semiHidden/>
    <w:rsid w:val="005F3B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1470</Words>
  <Characters>8541</Characters>
  <Application>Microsoft Office Word</Application>
  <DocSecurity>0</DocSecurity>
  <Lines>219</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Johnson, Jennifer D CIV OSD OUSD A-S (USA)</cp:lastModifiedBy>
  <cp:revision>2</cp:revision>
  <cp:lastPrinted>2019-01-11T22:59:00Z</cp:lastPrinted>
  <dcterms:created xsi:type="dcterms:W3CDTF">2026-05-07T13:56:00Z</dcterms:created>
  <dcterms:modified xsi:type="dcterms:W3CDTF">2026-05-07T13:56:00Z</dcterms:modified>
</cp:coreProperties>
</file>