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77777777">
      <w:pPr>
        <w:pStyle w:val="NoSpacing"/>
        <w:jc w:val="center"/>
        <w:rPr>
          <w:rFonts w:ascii="Arial" w:hAnsi="Arial" w:cs="Arial"/>
          <w:b/>
          <w:bCs/>
          <w:sz w:val="24"/>
          <w:szCs w:val="24"/>
        </w:rPr>
      </w:pPr>
      <w:r w:rsidRPr="00691DE3">
        <w:rPr>
          <w:rFonts w:ascii="Arial" w:hAnsi="Arial" w:cs="Arial"/>
          <w:b/>
          <w:bCs/>
          <w:sz w:val="24"/>
          <w:szCs w:val="24"/>
        </w:rPr>
        <w:t>JUSTIFICATION FOR NONMATERIALNONSUBSTANTIVE CHANGE</w:t>
      </w:r>
    </w:p>
    <w:p w:rsidR="00691DE3" w:rsidRPr="00691DE3" w:rsidP="00691DE3" w14:paraId="478AD3A2" w14:textId="77777777">
      <w:pPr>
        <w:pStyle w:val="NoSpacing"/>
        <w:jc w:val="center"/>
        <w:rPr>
          <w:rFonts w:ascii="Arial" w:hAnsi="Arial" w:cs="Arial"/>
          <w:b/>
          <w:bCs/>
          <w:sz w:val="24"/>
          <w:szCs w:val="24"/>
        </w:rPr>
      </w:pPr>
      <w:r w:rsidRPr="00691DE3">
        <w:rPr>
          <w:rFonts w:ascii="Arial" w:hAnsi="Arial" w:cs="Arial"/>
          <w:b/>
          <w:bCs/>
          <w:sz w:val="24"/>
          <w:szCs w:val="24"/>
        </w:rPr>
        <w:t>Patent Petitions to Application and Reexamination Processing Fees</w:t>
      </w:r>
    </w:p>
    <w:p w:rsidR="00691DE3" w:rsidRPr="00691DE3" w:rsidP="00691DE3" w14:paraId="33E5D7BA" w14:textId="77777777">
      <w:pPr>
        <w:pStyle w:val="NoSpacing"/>
        <w:jc w:val="center"/>
        <w:rPr>
          <w:rFonts w:ascii="Arial" w:hAnsi="Arial" w:cs="Arial"/>
          <w:b/>
          <w:bCs/>
          <w:sz w:val="24"/>
          <w:szCs w:val="24"/>
        </w:rPr>
      </w:pPr>
      <w:r w:rsidRPr="00691DE3">
        <w:rPr>
          <w:rFonts w:ascii="Arial" w:hAnsi="Arial" w:cs="Arial"/>
          <w:b/>
          <w:bCs/>
          <w:sz w:val="24"/>
          <w:szCs w:val="24"/>
        </w:rPr>
        <w:t>OMB Control Number 0651-0059</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691DE3" w:rsidRPr="00691DE3" w:rsidP="00691DE3" w14:paraId="6358962A" w14:textId="77777777">
      <w:pPr>
        <w:pStyle w:val="NoSpacing"/>
        <w:jc w:val="both"/>
        <w:rPr>
          <w:rFonts w:ascii="Arial" w:hAnsi="Arial" w:cs="Arial"/>
          <w:sz w:val="24"/>
          <w:szCs w:val="24"/>
        </w:rPr>
      </w:pPr>
      <w:r w:rsidRPr="00691DE3">
        <w:rPr>
          <w:rFonts w:ascii="Arial" w:hAnsi="Arial" w:cs="Arial"/>
          <w:sz w:val="24"/>
          <w:szCs w:val="24"/>
        </w:rPr>
        <w:t xml:space="preserve">The United States Patent and Trademark Office (USPTO) is required by 35 U.S.C. 131 </w:t>
      </w:r>
      <w:r w:rsidRPr="00691DE3">
        <w:rPr>
          <w:rFonts w:ascii="Arial" w:hAnsi="Arial" w:cs="Arial"/>
          <w:i/>
          <w:sz w:val="24"/>
          <w:szCs w:val="24"/>
        </w:rPr>
        <w:t>et seq</w:t>
      </w:r>
      <w:r w:rsidRPr="00691DE3">
        <w:rPr>
          <w:rFonts w:ascii="Arial" w:hAnsi="Arial" w:cs="Arial"/>
          <w:sz w:val="24"/>
          <w:szCs w:val="24"/>
        </w:rPr>
        <w:t>. to examine an application for patent and, when appropriate, issue a patent.  The USPTO also is required to publish patent applications, with certain exceptions, promptly after the expiration of a period of eighteen months from the earliest filing date for which a benefit is sought under Title 35, United States Code.</w:t>
      </w:r>
    </w:p>
    <w:p w:rsidR="00691DE3" w:rsidRPr="00691DE3" w:rsidP="00691DE3" w14:paraId="5885BDD9" w14:textId="77777777">
      <w:pPr>
        <w:pStyle w:val="NoSpacing"/>
        <w:jc w:val="both"/>
        <w:rPr>
          <w:rFonts w:ascii="Arial" w:hAnsi="Arial" w:cs="Arial"/>
          <w:sz w:val="24"/>
          <w:szCs w:val="24"/>
        </w:rPr>
      </w:pPr>
    </w:p>
    <w:p w:rsidR="00691DE3" w:rsidRPr="00691DE3" w:rsidP="00691DE3" w14:paraId="1DD11097" w14:textId="46DCDA2E">
      <w:pPr>
        <w:pStyle w:val="NoSpacing"/>
        <w:jc w:val="both"/>
        <w:rPr>
          <w:rFonts w:ascii="Arial" w:hAnsi="Arial" w:cs="Arial"/>
          <w:sz w:val="24"/>
          <w:szCs w:val="24"/>
        </w:rPr>
      </w:pPr>
      <w:r w:rsidRPr="00691DE3">
        <w:rPr>
          <w:rFonts w:ascii="Arial" w:hAnsi="Arial" w:cs="Arial"/>
          <w:sz w:val="24"/>
          <w:szCs w:val="24"/>
        </w:rPr>
        <w:t>Many actions taken by the USPTO during its examination of an application for patent or for reissue of a patent, or during its reexamination of a patent, are subject to review by an appeal to the Patent Trial and Appeal Board (PTAB); appeals to PTAB are covered in other OMB approved information collections (0651-0063 and 0651-0069). For other USPTO actions, review is in the form of administrative review obtained via submission of a petition to the USPTO. USPTO petitions practice also provides an opportunity for a patent applicant or owner to supply additional information that may be required in order for the USPTO to further process an application or patent.</w:t>
      </w:r>
    </w:p>
    <w:p w:rsidR="00691DE3" w:rsidRPr="00691DE3" w:rsidP="00691DE3" w14:paraId="787633C3" w14:textId="77777777">
      <w:pPr>
        <w:pStyle w:val="NoSpacing"/>
        <w:jc w:val="both"/>
        <w:rPr>
          <w:rFonts w:ascii="Arial" w:hAnsi="Arial" w:cs="Arial"/>
          <w:sz w:val="24"/>
          <w:szCs w:val="24"/>
        </w:rPr>
      </w:pPr>
    </w:p>
    <w:p w:rsidR="00A9204E" w:rsidP="00691DE3" w14:paraId="2929505E" w14:textId="670CBD5D">
      <w:pPr>
        <w:pStyle w:val="NoSpacing"/>
        <w:jc w:val="both"/>
        <w:rPr>
          <w:rFonts w:ascii="Arial" w:hAnsi="Arial" w:cs="Arial"/>
          <w:sz w:val="24"/>
          <w:szCs w:val="24"/>
        </w:rPr>
      </w:pPr>
      <w:r w:rsidRPr="00691DE3">
        <w:rPr>
          <w:rFonts w:ascii="Arial" w:hAnsi="Arial" w:cs="Arial"/>
          <w:sz w:val="24"/>
          <w:szCs w:val="24"/>
        </w:rPr>
        <w:t>This information collection covers petitions filed in patent applications and reexamination proceedings that, when submitted to the USPTO, must be accompanied by the fee set forth in 37 CFR 1.17(f), (g), or (h). This information collection also covers the transmittals for the petition fees.</w:t>
      </w:r>
    </w:p>
    <w:p w:rsidR="00691DE3" w:rsidP="00691DE3" w14:paraId="425BC8FE" w14:textId="77777777">
      <w:pPr>
        <w:pStyle w:val="NoSpacing"/>
        <w:jc w:val="both"/>
        <w:rPr>
          <w:rFonts w:ascii="Arial" w:hAnsi="Arial" w:cs="Arial"/>
          <w:sz w:val="24"/>
          <w:szCs w:val="24"/>
        </w:rPr>
      </w:pPr>
    </w:p>
    <w:p w:rsidR="00691DE3" w:rsidP="00691DE3" w14:paraId="220F5CAC" w14:textId="4470BCF4">
      <w:pPr>
        <w:pStyle w:val="NoSpacing"/>
        <w:jc w:val="both"/>
        <w:rPr>
          <w:rFonts w:ascii="Arial" w:hAnsi="Arial" w:cs="Arial"/>
          <w:sz w:val="24"/>
          <w:szCs w:val="24"/>
        </w:rPr>
      </w:pPr>
      <w:r>
        <w:rPr>
          <w:rFonts w:ascii="Arial" w:hAnsi="Arial" w:cs="Arial"/>
          <w:sz w:val="24"/>
          <w:szCs w:val="24"/>
        </w:rPr>
        <w:t xml:space="preserve">In support of RIN 0651-AD84 (Discontinuation of the Accelerated Examination Program for Utility Applications </w:t>
      </w:r>
      <w:r w:rsidR="00AF3F4F">
        <w:rPr>
          <w:rFonts w:ascii="Arial" w:hAnsi="Arial" w:cs="Arial"/>
          <w:sz w:val="24"/>
          <w:szCs w:val="24"/>
        </w:rPr>
        <w:t>(</w:t>
      </w:r>
      <w:r>
        <w:rPr>
          <w:rFonts w:ascii="Arial" w:hAnsi="Arial" w:cs="Arial"/>
          <w:sz w:val="24"/>
          <w:szCs w:val="24"/>
        </w:rPr>
        <w:t>90 FR 24324</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the USPTO is removing one IC line (Petitions to Make Special Under Accelerated Examination Program (Patent Center only)) from this information collection. There will be a small decrease in the total estimated respondents</w:t>
      </w:r>
      <w:r w:rsidR="001245B9">
        <w:rPr>
          <w:rFonts w:ascii="Arial" w:hAnsi="Arial" w:cs="Arial"/>
          <w:sz w:val="24"/>
          <w:szCs w:val="24"/>
        </w:rPr>
        <w:t xml:space="preserve"> (-133)</w:t>
      </w:r>
      <w:r>
        <w:rPr>
          <w:rFonts w:ascii="Arial" w:hAnsi="Arial" w:cs="Arial"/>
          <w:sz w:val="24"/>
          <w:szCs w:val="24"/>
        </w:rPr>
        <w:t xml:space="preserve"> and burden hours</w:t>
      </w:r>
      <w:r w:rsidR="001245B9">
        <w:rPr>
          <w:rFonts w:ascii="Arial" w:hAnsi="Arial" w:cs="Arial"/>
          <w:sz w:val="24"/>
          <w:szCs w:val="24"/>
        </w:rPr>
        <w:t xml:space="preserve"> (-1,596)</w:t>
      </w:r>
      <w:r>
        <w:rPr>
          <w:rFonts w:ascii="Arial" w:hAnsi="Arial" w:cs="Arial"/>
          <w:sz w:val="24"/>
          <w:szCs w:val="24"/>
        </w:rPr>
        <w:t xml:space="preserve"> to this information collection due to this action. </w:t>
      </w:r>
    </w:p>
    <w:p w:rsidR="00627EF4" w:rsidP="00691DE3" w14:paraId="34E6C9DF" w14:textId="77777777">
      <w:pPr>
        <w:pStyle w:val="NoSpacing"/>
        <w:rPr>
          <w:rFonts w:ascii="Arial" w:hAnsi="Arial" w:cs="Arial"/>
          <w:sz w:val="24"/>
          <w:szCs w:val="24"/>
        </w:rPr>
      </w:pPr>
    </w:p>
    <w:p w:rsidR="00627EF4" w:rsidP="00691DE3" w14:paraId="79E75DBC" w14:textId="43487415">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627EF4" w:rsidP="00691DE3" w14:paraId="0E78CAFA" w14:textId="6DE6C100">
      <w:pPr>
        <w:pStyle w:val="NoSpacing"/>
        <w:rPr>
          <w:rFonts w:ascii="Arial" w:hAnsi="Arial" w:cs="Arial"/>
          <w:sz w:val="24"/>
          <w:szCs w:val="24"/>
        </w:rPr>
      </w:pPr>
      <w:r>
        <w:rPr>
          <w:rFonts w:ascii="Arial" w:hAnsi="Arial" w:cs="Arial"/>
          <w:sz w:val="24"/>
          <w:szCs w:val="24"/>
        </w:rPr>
        <w:t xml:space="preserve">The removal of one IC line results in a decrease of 133 responses to the total estimated responses and 1,596 hours to the estimated hourly burden in collection 0651-0059. </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rsidTr="003B1F70">
        <w:tblPrEx>
          <w:tblW w:w="0" w:type="auto"/>
          <w:tblLook w:val="04A0"/>
        </w:tblPrEx>
        <w:tc>
          <w:tcPr>
            <w:tcW w:w="3235" w:type="dxa"/>
            <w:shd w:val="clear" w:color="auto" w:fill="BDD6EE" w:themeFill="accent1" w:themeFillTint="66"/>
            <w:vAlign w:val="center"/>
          </w:tcPr>
          <w:p w:rsidR="00627EF4" w:rsidRPr="007353A9" w:rsidP="003B1F70" w14:paraId="18AEAD44"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DD6EE" w:themeFill="accent1" w:themeFillTint="66"/>
            <w:vAlign w:val="center"/>
          </w:tcPr>
          <w:p w:rsidR="00627EF4" w:rsidRPr="007353A9" w:rsidP="003B1F70" w14:paraId="0039D8AF"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DD6EE" w:themeFill="accent1" w:themeFillTint="66"/>
            <w:vAlign w:val="center"/>
          </w:tcPr>
          <w:p w:rsidR="00627EF4" w:rsidRPr="007353A9" w:rsidP="003B1F70" w14:paraId="463A4FEC"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DD6EE" w:themeFill="accent1" w:themeFillTint="66"/>
            <w:vAlign w:val="center"/>
          </w:tcPr>
          <w:p w:rsidR="00627EF4" w:rsidRPr="007353A9" w:rsidP="003B1F70" w14:paraId="4618D9DE"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AD72C44" w14:textId="77777777" w:rsidTr="003B1F70">
        <w:tblPrEx>
          <w:tblW w:w="0" w:type="auto"/>
          <w:tblLook w:val="04A0"/>
        </w:tblPrEx>
        <w:tc>
          <w:tcPr>
            <w:tcW w:w="3235" w:type="dxa"/>
            <w:shd w:val="clear" w:color="auto" w:fill="auto"/>
          </w:tcPr>
          <w:p w:rsidR="00627EF4" w:rsidRPr="00864C42" w:rsidP="003B1F70" w14:paraId="1A11EAD9" w14:textId="77777777">
            <w:pPr>
              <w:pStyle w:val="NoSpacing"/>
              <w:rPr>
                <w:rFonts w:ascii="Arial" w:hAnsi="Arial" w:cs="Arial"/>
                <w:bCs/>
                <w:sz w:val="20"/>
                <w:szCs w:val="20"/>
              </w:rPr>
            </w:pPr>
            <w:r w:rsidRPr="00864C42">
              <w:rPr>
                <w:rFonts w:ascii="Arial" w:hAnsi="Arial" w:cs="Arial"/>
                <w:sz w:val="20"/>
                <w:szCs w:val="20"/>
              </w:rPr>
              <w:t>Annual Number of Responses</w:t>
            </w:r>
          </w:p>
        </w:tc>
        <w:tc>
          <w:tcPr>
            <w:tcW w:w="2070" w:type="dxa"/>
            <w:shd w:val="clear" w:color="auto" w:fill="auto"/>
            <w:vAlign w:val="center"/>
          </w:tcPr>
          <w:p w:rsidR="00627EF4" w:rsidRPr="00864C42" w:rsidP="003B1F70" w14:paraId="3C6B3643" w14:textId="61253EF1">
            <w:pPr>
              <w:pStyle w:val="NoSpacing"/>
              <w:jc w:val="right"/>
              <w:rPr>
                <w:rFonts w:ascii="Arial" w:hAnsi="Arial" w:cs="Arial"/>
                <w:bCs/>
                <w:sz w:val="20"/>
                <w:szCs w:val="20"/>
              </w:rPr>
            </w:pPr>
            <w:r>
              <w:rPr>
                <w:rFonts w:ascii="Arial" w:hAnsi="Arial" w:cs="Arial"/>
                <w:bCs/>
                <w:sz w:val="20"/>
                <w:szCs w:val="20"/>
              </w:rPr>
              <w:t>50,953</w:t>
            </w:r>
          </w:p>
        </w:tc>
        <w:tc>
          <w:tcPr>
            <w:tcW w:w="1980" w:type="dxa"/>
            <w:shd w:val="clear" w:color="auto" w:fill="auto"/>
            <w:vAlign w:val="center"/>
          </w:tcPr>
          <w:p w:rsidR="00627EF4" w:rsidRPr="00864C42" w:rsidP="003B1F70" w14:paraId="780D815A" w14:textId="49096380">
            <w:pPr>
              <w:pStyle w:val="NoSpacing"/>
              <w:jc w:val="right"/>
              <w:rPr>
                <w:rFonts w:ascii="Arial" w:hAnsi="Arial" w:cs="Arial"/>
                <w:bCs/>
                <w:sz w:val="20"/>
                <w:szCs w:val="20"/>
              </w:rPr>
            </w:pPr>
            <w:r>
              <w:rPr>
                <w:rFonts w:ascii="Arial" w:hAnsi="Arial" w:cs="Arial"/>
                <w:bCs/>
                <w:sz w:val="20"/>
                <w:szCs w:val="20"/>
              </w:rPr>
              <w:t>-133</w:t>
            </w:r>
          </w:p>
        </w:tc>
        <w:tc>
          <w:tcPr>
            <w:tcW w:w="2065" w:type="dxa"/>
            <w:shd w:val="clear" w:color="auto" w:fill="auto"/>
            <w:vAlign w:val="center"/>
          </w:tcPr>
          <w:p w:rsidR="00627EF4" w:rsidRPr="00864C42" w:rsidP="003B1F70" w14:paraId="392851CE" w14:textId="244FE28E">
            <w:pPr>
              <w:pStyle w:val="NoSpacing"/>
              <w:jc w:val="right"/>
              <w:rPr>
                <w:rFonts w:ascii="Arial" w:hAnsi="Arial" w:cs="Arial"/>
                <w:bCs/>
                <w:sz w:val="20"/>
                <w:szCs w:val="20"/>
              </w:rPr>
            </w:pPr>
            <w:r>
              <w:rPr>
                <w:rFonts w:ascii="Arial" w:hAnsi="Arial" w:cs="Arial"/>
                <w:bCs/>
                <w:sz w:val="20"/>
                <w:szCs w:val="20"/>
              </w:rPr>
              <w:t>50,830</w:t>
            </w:r>
          </w:p>
        </w:tc>
      </w:tr>
      <w:tr w14:paraId="61F1E201" w14:textId="77777777" w:rsidTr="003B1F70">
        <w:tblPrEx>
          <w:tblW w:w="0" w:type="auto"/>
          <w:tblLook w:val="04A0"/>
        </w:tblPrEx>
        <w:tc>
          <w:tcPr>
            <w:tcW w:w="3235" w:type="dxa"/>
            <w:shd w:val="clear" w:color="auto" w:fill="auto"/>
          </w:tcPr>
          <w:p w:rsidR="00627EF4" w:rsidRPr="00864C42" w:rsidP="003B1F70" w14:paraId="0BCA2424" w14:textId="77777777">
            <w:pPr>
              <w:pStyle w:val="NoSpacing"/>
              <w:rPr>
                <w:rFonts w:ascii="Arial" w:hAnsi="Arial" w:cs="Arial"/>
                <w:b/>
                <w:sz w:val="20"/>
                <w:szCs w:val="20"/>
              </w:rPr>
            </w:pPr>
            <w:r w:rsidRPr="00864C42">
              <w:rPr>
                <w:rFonts w:ascii="Arial" w:hAnsi="Arial" w:cs="Arial"/>
                <w:sz w:val="20"/>
                <w:szCs w:val="20"/>
              </w:rPr>
              <w:t>Annual Time Burden (Hr)</w:t>
            </w:r>
          </w:p>
        </w:tc>
        <w:tc>
          <w:tcPr>
            <w:tcW w:w="2070" w:type="dxa"/>
            <w:shd w:val="clear" w:color="auto" w:fill="auto"/>
            <w:vAlign w:val="center"/>
          </w:tcPr>
          <w:p w:rsidR="00627EF4" w:rsidRPr="00864C42" w:rsidP="003B1F70" w14:paraId="64D94115" w14:textId="20FAE7A5">
            <w:pPr>
              <w:pStyle w:val="NoSpacing"/>
              <w:jc w:val="right"/>
              <w:rPr>
                <w:rFonts w:ascii="Arial" w:hAnsi="Arial" w:cs="Arial"/>
                <w:bCs/>
                <w:sz w:val="20"/>
                <w:szCs w:val="20"/>
              </w:rPr>
            </w:pPr>
            <w:r>
              <w:rPr>
                <w:rFonts w:ascii="Arial" w:hAnsi="Arial" w:cs="Arial"/>
                <w:bCs/>
                <w:sz w:val="20"/>
                <w:szCs w:val="20"/>
              </w:rPr>
              <w:t>82,237</w:t>
            </w:r>
          </w:p>
        </w:tc>
        <w:tc>
          <w:tcPr>
            <w:tcW w:w="1980" w:type="dxa"/>
            <w:shd w:val="clear" w:color="auto" w:fill="auto"/>
            <w:vAlign w:val="center"/>
          </w:tcPr>
          <w:p w:rsidR="00627EF4" w:rsidRPr="00864C42" w:rsidP="003B1F70" w14:paraId="7DA2B1D2" w14:textId="37F5FBD5">
            <w:pPr>
              <w:pStyle w:val="NoSpacing"/>
              <w:jc w:val="right"/>
              <w:rPr>
                <w:rFonts w:ascii="Arial" w:hAnsi="Arial" w:cs="Arial"/>
                <w:bCs/>
                <w:sz w:val="20"/>
                <w:szCs w:val="20"/>
              </w:rPr>
            </w:pPr>
            <w:r>
              <w:rPr>
                <w:rFonts w:ascii="Arial" w:hAnsi="Arial" w:cs="Arial"/>
                <w:bCs/>
                <w:sz w:val="20"/>
                <w:szCs w:val="20"/>
              </w:rPr>
              <w:t>-1,596</w:t>
            </w:r>
          </w:p>
        </w:tc>
        <w:tc>
          <w:tcPr>
            <w:tcW w:w="2065" w:type="dxa"/>
            <w:shd w:val="clear" w:color="auto" w:fill="auto"/>
            <w:vAlign w:val="center"/>
          </w:tcPr>
          <w:p w:rsidR="00627EF4" w:rsidRPr="00864C42" w:rsidP="003B1F70" w14:paraId="658CB468" w14:textId="086F47CA">
            <w:pPr>
              <w:pStyle w:val="NoSpacing"/>
              <w:jc w:val="right"/>
              <w:rPr>
                <w:rFonts w:ascii="Arial" w:hAnsi="Arial" w:cs="Arial"/>
                <w:bCs/>
                <w:sz w:val="20"/>
                <w:szCs w:val="20"/>
              </w:rPr>
            </w:pPr>
            <w:r>
              <w:rPr>
                <w:rFonts w:ascii="Arial" w:hAnsi="Arial" w:cs="Arial"/>
                <w:bCs/>
                <w:sz w:val="20"/>
                <w:szCs w:val="20"/>
              </w:rPr>
              <w:t>80,641</w:t>
            </w:r>
          </w:p>
        </w:tc>
      </w:tr>
      <w:tr w14:paraId="2369D13E" w14:textId="77777777" w:rsidTr="003B1F70">
        <w:tblPrEx>
          <w:tblW w:w="0" w:type="auto"/>
          <w:tblLook w:val="04A0"/>
        </w:tblPrEx>
        <w:tc>
          <w:tcPr>
            <w:tcW w:w="3235" w:type="dxa"/>
          </w:tcPr>
          <w:p w:rsidR="00627EF4" w:rsidRPr="00864C42" w:rsidP="003B1F70" w14:paraId="1778339B" w14:textId="77777777">
            <w:pPr>
              <w:pStyle w:val="NoSpacing"/>
              <w:rPr>
                <w:rFonts w:ascii="Arial" w:hAnsi="Arial" w:cs="Arial"/>
                <w:sz w:val="20"/>
                <w:szCs w:val="20"/>
              </w:rPr>
            </w:pPr>
            <w:r w:rsidRPr="00864C42">
              <w:rPr>
                <w:rFonts w:ascii="Arial" w:hAnsi="Arial" w:cs="Arial"/>
                <w:sz w:val="20"/>
                <w:szCs w:val="20"/>
              </w:rPr>
              <w:t xml:space="preserve">Annual </w:t>
            </w:r>
            <w:r>
              <w:rPr>
                <w:rFonts w:ascii="Arial" w:hAnsi="Arial" w:cs="Arial"/>
                <w:sz w:val="20"/>
                <w:szCs w:val="20"/>
              </w:rPr>
              <w:t xml:space="preserve">Non-Hour </w:t>
            </w:r>
            <w:r w:rsidRPr="00864C42">
              <w:rPr>
                <w:rFonts w:ascii="Arial" w:hAnsi="Arial" w:cs="Arial"/>
                <w:sz w:val="20"/>
                <w:szCs w:val="20"/>
              </w:rPr>
              <w:t>Cost Burden ($)</w:t>
            </w:r>
          </w:p>
        </w:tc>
        <w:tc>
          <w:tcPr>
            <w:tcW w:w="2070" w:type="dxa"/>
            <w:vAlign w:val="center"/>
          </w:tcPr>
          <w:p w:rsidR="00627EF4" w:rsidRPr="007353A9" w:rsidP="003B1F70" w14:paraId="796082B8" w14:textId="3CA8DF35">
            <w:pPr>
              <w:pStyle w:val="NoSpacing"/>
              <w:jc w:val="right"/>
              <w:rPr>
                <w:rFonts w:ascii="Arial" w:hAnsi="Arial" w:cs="Arial"/>
                <w:sz w:val="20"/>
                <w:szCs w:val="20"/>
              </w:rPr>
            </w:pPr>
            <w:r>
              <w:rPr>
                <w:rFonts w:ascii="Arial" w:hAnsi="Arial" w:cs="Arial"/>
                <w:sz w:val="20"/>
                <w:szCs w:val="20"/>
              </w:rPr>
              <w:t>4,877,062</w:t>
            </w:r>
          </w:p>
        </w:tc>
        <w:tc>
          <w:tcPr>
            <w:tcW w:w="1980" w:type="dxa"/>
            <w:vAlign w:val="center"/>
          </w:tcPr>
          <w:p w:rsidR="00627EF4" w:rsidRPr="007353A9" w:rsidP="003B1F70" w14:paraId="0683BCA4" w14:textId="3587CBD9">
            <w:pPr>
              <w:pStyle w:val="NoSpacing"/>
              <w:jc w:val="right"/>
              <w:rPr>
                <w:rFonts w:ascii="Arial" w:hAnsi="Arial" w:cs="Arial"/>
                <w:sz w:val="20"/>
                <w:szCs w:val="20"/>
              </w:rPr>
            </w:pPr>
            <w:r>
              <w:rPr>
                <w:rFonts w:ascii="Arial" w:hAnsi="Arial" w:cs="Arial"/>
                <w:sz w:val="20"/>
                <w:szCs w:val="20"/>
              </w:rPr>
              <w:t>0</w:t>
            </w:r>
          </w:p>
        </w:tc>
        <w:tc>
          <w:tcPr>
            <w:tcW w:w="2065" w:type="dxa"/>
            <w:vAlign w:val="center"/>
          </w:tcPr>
          <w:p w:rsidR="00627EF4" w:rsidRPr="007353A9" w:rsidP="003B1F70" w14:paraId="06E8935B" w14:textId="35A40445">
            <w:pPr>
              <w:pStyle w:val="NoSpacing"/>
              <w:jc w:val="right"/>
              <w:rPr>
                <w:rFonts w:ascii="Arial" w:hAnsi="Arial" w:cs="Arial"/>
                <w:sz w:val="20"/>
                <w:szCs w:val="20"/>
              </w:rPr>
            </w:pPr>
            <w:r>
              <w:rPr>
                <w:rFonts w:ascii="Arial" w:hAnsi="Arial" w:cs="Arial"/>
                <w:sz w:val="20"/>
                <w:szCs w:val="20"/>
              </w:rPr>
              <w:t>4,877,062</w:t>
            </w:r>
          </w:p>
        </w:tc>
      </w:tr>
    </w:tbl>
    <w:p w:rsidR="00627EF4" w:rsidP="00691DE3" w14:paraId="69F8E3FF" w14:textId="77777777">
      <w:pPr>
        <w:pStyle w:val="NoSpacing"/>
        <w:rPr>
          <w:rFonts w:ascii="Arial" w:hAnsi="Arial" w:cs="Arial"/>
          <w:sz w:val="24"/>
          <w:szCs w:val="24"/>
        </w:rPr>
      </w:pPr>
    </w:p>
    <w:p w:rsidR="00627EF4" w:rsidP="00691DE3" w14:paraId="20F3222B" w14:textId="6B00A3BE">
      <w:pPr>
        <w:pStyle w:val="NoSpacing"/>
        <w:rPr>
          <w:rFonts w:ascii="Arial" w:hAnsi="Arial" w:cs="Arial"/>
          <w:sz w:val="24"/>
          <w:szCs w:val="24"/>
        </w:rPr>
      </w:pPr>
      <w:r>
        <w:rPr>
          <w:rFonts w:ascii="Arial" w:hAnsi="Arial" w:cs="Arial"/>
          <w:sz w:val="24"/>
          <w:szCs w:val="24"/>
        </w:rPr>
        <w:t>0651-0059’s revised burden is as follows:</w:t>
      </w:r>
    </w:p>
    <w:p w:rsidR="00627EF4" w:rsidP="00691DE3" w14:paraId="369239D2" w14:textId="77777777">
      <w:pPr>
        <w:pStyle w:val="NoSpacing"/>
        <w:rPr>
          <w:rFonts w:ascii="Arial" w:hAnsi="Arial" w:cs="Arial"/>
          <w:sz w:val="24"/>
          <w:szCs w:val="24"/>
        </w:rPr>
      </w:pPr>
    </w:p>
    <w:p w:rsidR="00627EF4" w:rsidP="00627EF4" w14:paraId="606C837B" w14:textId="25B1749A">
      <w:pPr>
        <w:pStyle w:val="NoSpacing"/>
        <w:numPr>
          <w:ilvl w:val="0"/>
          <w:numId w:val="29"/>
        </w:numPr>
        <w:rPr>
          <w:rFonts w:ascii="Arial" w:hAnsi="Arial" w:cs="Arial"/>
          <w:sz w:val="24"/>
          <w:szCs w:val="24"/>
        </w:rPr>
      </w:pPr>
      <w:r>
        <w:rPr>
          <w:rFonts w:ascii="Arial" w:hAnsi="Arial" w:cs="Arial"/>
          <w:sz w:val="24"/>
          <w:szCs w:val="24"/>
        </w:rPr>
        <w:t xml:space="preserve">50,830 annual responses </w:t>
      </w:r>
    </w:p>
    <w:p w:rsidR="00627EF4" w:rsidP="00627EF4" w14:paraId="6DD4FD72" w14:textId="008BB62D">
      <w:pPr>
        <w:pStyle w:val="NoSpacing"/>
        <w:numPr>
          <w:ilvl w:val="0"/>
          <w:numId w:val="29"/>
        </w:numPr>
        <w:rPr>
          <w:rFonts w:ascii="Arial" w:hAnsi="Arial" w:cs="Arial"/>
          <w:sz w:val="24"/>
          <w:szCs w:val="24"/>
        </w:rPr>
      </w:pPr>
      <w:r>
        <w:rPr>
          <w:rFonts w:ascii="Arial" w:hAnsi="Arial" w:cs="Arial"/>
          <w:sz w:val="24"/>
          <w:szCs w:val="24"/>
        </w:rPr>
        <w:t>80,641 annual hourly burden</w:t>
      </w:r>
    </w:p>
    <w:p w:rsidR="00627EF4" w:rsidRPr="00627EF4" w:rsidP="00627EF4" w14:paraId="33514976" w14:textId="4549829F">
      <w:pPr>
        <w:pStyle w:val="NoSpacing"/>
        <w:numPr>
          <w:ilvl w:val="0"/>
          <w:numId w:val="29"/>
        </w:numPr>
        <w:rPr>
          <w:rFonts w:ascii="Arial" w:hAnsi="Arial" w:cs="Arial"/>
          <w:sz w:val="24"/>
          <w:szCs w:val="24"/>
        </w:rPr>
      </w:pPr>
      <w:r>
        <w:rPr>
          <w:rFonts w:ascii="Arial" w:hAnsi="Arial" w:cs="Arial"/>
          <w:sz w:val="24"/>
          <w:szCs w:val="24"/>
        </w:rPr>
        <w:t>$4,877,062 in annual non-hourly burden costs (unchanged)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E35" w:rsidP="00691DE3" w14:paraId="02276683" w14:textId="77777777">
      <w:pPr>
        <w:spacing w:after="0" w:line="240" w:lineRule="auto"/>
      </w:pPr>
      <w:r>
        <w:separator/>
      </w:r>
    </w:p>
  </w:footnote>
  <w:footnote w:type="continuationSeparator" w:id="1">
    <w:p w:rsidR="00137E35" w:rsidP="00691DE3" w14:paraId="21816DAF" w14:textId="77777777">
      <w:pPr>
        <w:spacing w:after="0" w:line="240" w:lineRule="auto"/>
      </w:pPr>
      <w:r>
        <w:continuationSeparator/>
      </w:r>
    </w:p>
  </w:footnote>
  <w:footnote w:id="2">
    <w:p w:rsidR="00691DE3" w:rsidRPr="001245B9" w14:paraId="5D230461" w14:textId="5F0ECDA7">
      <w:pPr>
        <w:pStyle w:val="FootnoteText"/>
        <w:rPr>
          <w:rFonts w:ascii="Arial" w:hAnsi="Arial" w:cs="Arial"/>
        </w:rPr>
      </w:pPr>
      <w:r w:rsidRPr="001245B9">
        <w:rPr>
          <w:rStyle w:val="FootnoteReference"/>
          <w:rFonts w:ascii="Arial" w:hAnsi="Arial" w:cs="Arial"/>
          <w:sz w:val="16"/>
          <w:szCs w:val="14"/>
        </w:rPr>
        <w:footnoteRef/>
      </w:r>
      <w:r w:rsidRPr="001245B9">
        <w:rPr>
          <w:rFonts w:ascii="Arial" w:hAnsi="Arial" w:cs="Arial"/>
          <w:sz w:val="16"/>
          <w:szCs w:val="14"/>
        </w:rPr>
        <w:t xml:space="preserve"> </w:t>
      </w:r>
      <w:hyperlink r:id="rId1" w:history="1">
        <w:r w:rsidRPr="001245B9">
          <w:rPr>
            <w:rStyle w:val="Hyperlink"/>
            <w:rFonts w:ascii="Arial" w:hAnsi="Arial" w:cs="Arial"/>
            <w:sz w:val="16"/>
            <w:szCs w:val="14"/>
          </w:rPr>
          <w:t>https://www.govinfo.gov/content/pkg/FR-2025-06-10/pdf/2025-10498.pdf</w:t>
        </w:r>
      </w:hyperlink>
      <w:r w:rsidRPr="001245B9">
        <w:rPr>
          <w:rFonts w:ascii="Arial" w:hAnsi="Arial" w:cs="Arial"/>
          <w:sz w:val="16"/>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1245B9"/>
    <w:rsid w:val="00137E35"/>
    <w:rsid w:val="001D6D6A"/>
    <w:rsid w:val="003B1F70"/>
    <w:rsid w:val="005B0EC6"/>
    <w:rsid w:val="00627EF4"/>
    <w:rsid w:val="00645252"/>
    <w:rsid w:val="00691DE3"/>
    <w:rsid w:val="006D3D74"/>
    <w:rsid w:val="007353A9"/>
    <w:rsid w:val="007E6681"/>
    <w:rsid w:val="0083569A"/>
    <w:rsid w:val="00864C42"/>
    <w:rsid w:val="008A29E0"/>
    <w:rsid w:val="00A9204E"/>
    <w:rsid w:val="00AF3F4F"/>
    <w:rsid w:val="00F504F5"/>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E656C07A-4E3F-411B-B120-AE45F517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semiHidden/>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6-10/pdf/2025-10498.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9EAD6-BA39-4E93-9B86-CE903281D3C0}">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customXml/itemProps4.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7</cp:revision>
  <dcterms:created xsi:type="dcterms:W3CDTF">2026-02-03T14:19:00Z</dcterms:created>
  <dcterms:modified xsi:type="dcterms:W3CDTF">2026-02-19T18:10:55Z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