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A74A9" w:rsidRPr="007A74A9" w:rsidP="007A74A9" w14:paraId="2CCDE622" w14:textId="77777777">
      <w:pPr>
        <w:spacing w:after="200" w:line="240" w:lineRule="auto"/>
        <w:rPr>
          <w:rFonts w:ascii="Arial" w:eastAsia="Arial" w:hAnsi="Arial" w:cs="Arial"/>
          <w:b/>
          <w:bCs/>
          <w:kern w:val="0"/>
          <w:lang w:val="en"/>
          <w14:ligatures w14:val="none"/>
        </w:rPr>
      </w:pPr>
      <w:r w:rsidRPr="007A74A9">
        <w:rPr>
          <w:rFonts w:ascii="Arial" w:eastAsia="Arial" w:hAnsi="Arial" w:cs="Arial"/>
          <w:b/>
          <w:bCs/>
          <w:kern w:val="0"/>
          <w:lang w:val="en"/>
          <w14:ligatures w14:val="none"/>
        </w:rPr>
        <w:t>PART B. COLLECTIONS OF INFORMATION EMPLOYING STATISTICAL METHODS</w:t>
      </w:r>
    </w:p>
    <w:p w:rsidR="007A74A9" w:rsidRPr="007A74A9" w:rsidP="007A74A9" w14:paraId="72026BE2" w14:textId="77777777">
      <w:pPr>
        <w:spacing w:after="200" w:line="240" w:lineRule="auto"/>
        <w:rPr>
          <w:rFonts w:ascii="Arial" w:eastAsia="Arial" w:hAnsi="Arial" w:cs="Arial"/>
          <w:kern w:val="0"/>
          <w:lang w:val="en"/>
          <w14:ligatures w14:val="none"/>
        </w:rPr>
      </w:pPr>
      <w:r>
        <w:rPr>
          <w:rFonts w:ascii="Aptos" w:eastAsia="Aptos" w:hAnsi="Aptos" w:cs="Aptos"/>
          <w:kern w:val="0"/>
          <w:lang w:val="en"/>
          <w14:ligatures w14:val="none"/>
        </w:rPr>
        <w:pict>
          <v:rect id="_x0000_i1025" style="width:0;height:1.5pt" o:hralign="center" o:hrstd="t" o:hr="t" fillcolor="#a0a0a0" stroked="f"/>
        </w:pict>
      </w:r>
    </w:p>
    <w:p w:rsidR="007A74A9" w:rsidRPr="007A74A9" w:rsidP="007A74A9" w14:paraId="61F1AC85" w14:textId="77777777">
      <w:pPr>
        <w:spacing w:after="200" w:line="240" w:lineRule="auto"/>
        <w:rPr>
          <w:rFonts w:ascii="Arial" w:eastAsia="Arial" w:hAnsi="Arial" w:cs="Arial"/>
          <w:kern w:val="0"/>
          <w:lang w:val="en"/>
          <w14:ligatures w14:val="none"/>
        </w:rPr>
      </w:pPr>
      <w:r w:rsidRPr="007A74A9">
        <w:rPr>
          <w:rFonts w:ascii="Arial" w:eastAsia="Arial" w:hAnsi="Arial" w:cs="Arial"/>
          <w:b/>
          <w:bCs/>
          <w:kern w:val="0"/>
          <w:lang w:val="en"/>
          <w14:ligatures w14:val="none"/>
        </w:rPr>
        <w:t>1. Describe (including a numerical estimate) the potential respondent universe and any sampling or other respondent selection methods to be used.</w:t>
      </w:r>
    </w:p>
    <w:p w:rsidR="007A74A9" w:rsidRPr="007A74A9" w:rsidP="007A74A9" w14:paraId="0F74480E" w14:textId="77777777">
      <w:pPr>
        <w:spacing w:after="200" w:line="240" w:lineRule="auto"/>
        <w:rPr>
          <w:rFonts w:ascii="Arial" w:eastAsia="Arial" w:hAnsi="Arial" w:cs="Arial"/>
          <w:kern w:val="0"/>
          <w:lang w:val="en"/>
          <w14:ligatures w14:val="none"/>
        </w:rPr>
      </w:pPr>
      <w:r w:rsidRPr="007A74A9">
        <w:rPr>
          <w:rFonts w:ascii="Arial" w:eastAsia="Arial" w:hAnsi="Arial" w:cs="Arial"/>
          <w:kern w:val="0"/>
          <w:lang w:val="en"/>
          <w14:ligatures w14:val="none"/>
        </w:rPr>
        <w:t>The Federal Audit Clearinghouse (FAC) collection is a mandatory, full-population collection as required by 2 CFR Part 200, Subpart F. The estimated number of annual submissions is approximately 45,000.</w:t>
      </w:r>
    </w:p>
    <w:p w:rsidR="007A74A9" w:rsidRPr="007A74A9" w:rsidP="007A74A9" w14:paraId="7AFCFD7A" w14:textId="77777777">
      <w:pPr>
        <w:spacing w:after="200" w:line="240" w:lineRule="auto"/>
        <w:rPr>
          <w:rFonts w:ascii="Arial" w:eastAsia="Arial" w:hAnsi="Arial" w:cs="Arial"/>
          <w:kern w:val="0"/>
          <w:lang w:val="en"/>
          <w14:ligatures w14:val="none"/>
        </w:rPr>
      </w:pPr>
      <w:r w:rsidRPr="007A74A9">
        <w:rPr>
          <w:rFonts w:ascii="Arial" w:eastAsia="Arial" w:hAnsi="Arial" w:cs="Arial"/>
          <w:kern w:val="0"/>
          <w:lang w:val="en"/>
          <w14:ligatures w14:val="none"/>
        </w:rPr>
        <w:t>The respondent universe includes all non-Federal entities (e.g., states, local governments, tribal governments, institutions of higher education, and nonprofit organizations) that expend $1,000,000 (previously $750,000, prior to October 1, 2024) or more in federal awards during their fiscal period. As a result, the potential respondent universe is dynamic and varies annually depending on which entities meet the expenditure threshold. No sampling methods are used, and no subset of the respondent universe is targeted for data collection.</w:t>
      </w:r>
    </w:p>
    <w:p w:rsidR="007A74A9" w:rsidRPr="007A74A9" w:rsidP="007A74A9" w14:paraId="56951A98" w14:textId="77777777">
      <w:pPr>
        <w:spacing w:after="200" w:line="240" w:lineRule="auto"/>
        <w:rPr>
          <w:rFonts w:ascii="Arial" w:eastAsia="Arial" w:hAnsi="Arial" w:cs="Arial"/>
          <w:b/>
          <w:bCs/>
          <w:kern w:val="0"/>
          <w:lang w:val="en"/>
          <w14:ligatures w14:val="none"/>
        </w:rPr>
      </w:pPr>
      <w:r w:rsidRPr="007A74A9">
        <w:rPr>
          <w:rFonts w:ascii="Arial" w:eastAsia="Arial" w:hAnsi="Arial" w:cs="Arial"/>
          <w:b/>
          <w:bCs/>
          <w:kern w:val="0"/>
          <w:lang w:val="en"/>
          <w14:ligatures w14:val="none"/>
        </w:rPr>
        <w:t>2. Describe the procedures for the collection of information.</w:t>
      </w:r>
    </w:p>
    <w:p w:rsidR="007A74A9" w:rsidRPr="007A74A9" w:rsidP="007A74A9" w14:paraId="312A1B00" w14:textId="77777777">
      <w:pPr>
        <w:spacing w:after="200" w:line="240" w:lineRule="auto"/>
        <w:rPr>
          <w:rFonts w:ascii="Arial" w:eastAsia="Arial" w:hAnsi="Arial" w:cs="Arial"/>
          <w:kern w:val="0"/>
          <w:lang w:val="en"/>
          <w14:ligatures w14:val="none"/>
        </w:rPr>
      </w:pPr>
      <w:r w:rsidRPr="007A74A9">
        <w:rPr>
          <w:rFonts w:ascii="Arial" w:eastAsia="Arial" w:hAnsi="Arial" w:cs="Arial"/>
          <w:kern w:val="0"/>
          <w:lang w:val="en"/>
          <w14:ligatures w14:val="none"/>
        </w:rPr>
        <w:t xml:space="preserve">All data </w:t>
      </w:r>
      <w:r w:rsidRPr="007A74A9">
        <w:rPr>
          <w:rFonts w:ascii="Arial" w:eastAsia="Arial" w:hAnsi="Arial" w:cs="Arial"/>
          <w:kern w:val="0"/>
          <w:lang w:val="en"/>
          <w14:ligatures w14:val="none"/>
        </w:rPr>
        <w:t>are</w:t>
      </w:r>
      <w:r w:rsidRPr="007A74A9">
        <w:rPr>
          <w:rFonts w:ascii="Arial" w:eastAsia="Arial" w:hAnsi="Arial" w:cs="Arial"/>
          <w:kern w:val="0"/>
          <w:lang w:val="en"/>
          <w14:ligatures w14:val="none"/>
        </w:rPr>
        <w:t xml:space="preserve"> collected electronically via a secure web application maintained by the General Services Administration (GSA). Respondents log in to the FAC system and complete the SF-SAC or webform online. A senior representative of the auditee and the auditor each certifies their respective portions of the submission.</w:t>
      </w:r>
    </w:p>
    <w:p w:rsidR="007A74A9" w:rsidRPr="007A74A9" w:rsidP="007A74A9" w14:paraId="375AAA6A" w14:textId="77777777">
      <w:pPr>
        <w:spacing w:after="200" w:line="240" w:lineRule="auto"/>
        <w:rPr>
          <w:rFonts w:ascii="Arial" w:eastAsia="Arial" w:hAnsi="Arial" w:cs="Arial"/>
          <w:kern w:val="0"/>
          <w:lang w:val="en"/>
          <w14:ligatures w14:val="none"/>
        </w:rPr>
      </w:pPr>
      <w:r w:rsidRPr="007A74A9">
        <w:rPr>
          <w:rFonts w:ascii="Arial" w:eastAsia="Arial" w:hAnsi="Arial" w:cs="Arial"/>
          <w:kern w:val="0"/>
          <w:lang w:val="en"/>
          <w14:ligatures w14:val="none"/>
        </w:rPr>
        <w:t>The system enforces basic validations to ensure completeness and consistency but does not use statistical inference, estimation, or sample-based methods in data collection.</w:t>
      </w:r>
    </w:p>
    <w:p w:rsidR="007A74A9" w:rsidRPr="007A74A9" w:rsidP="007A74A9" w14:paraId="2C486F10" w14:textId="77777777">
      <w:pPr>
        <w:spacing w:after="200" w:line="240" w:lineRule="auto"/>
        <w:rPr>
          <w:rFonts w:ascii="Arial" w:eastAsia="Arial" w:hAnsi="Arial" w:cs="Arial"/>
          <w:b/>
          <w:bCs/>
          <w:kern w:val="0"/>
          <w:lang w:val="en"/>
          <w14:ligatures w14:val="none"/>
        </w:rPr>
      </w:pPr>
      <w:r w:rsidRPr="007A74A9">
        <w:rPr>
          <w:rFonts w:ascii="Arial" w:eastAsia="Arial" w:hAnsi="Arial" w:cs="Arial"/>
          <w:b/>
          <w:bCs/>
          <w:kern w:val="0"/>
          <w:lang w:val="en"/>
          <w14:ligatures w14:val="none"/>
        </w:rPr>
        <w:t>3. Describe methods to maximize response rates and to deal with issues of non-response.</w:t>
      </w:r>
    </w:p>
    <w:p w:rsidR="007A74A9" w:rsidRPr="007A74A9" w:rsidP="007A74A9" w14:paraId="71D98862" w14:textId="77777777">
      <w:pPr>
        <w:spacing w:after="200" w:line="240" w:lineRule="auto"/>
        <w:rPr>
          <w:rFonts w:ascii="Arial" w:eastAsia="Arial" w:hAnsi="Arial" w:cs="Arial"/>
          <w:kern w:val="0"/>
          <w:lang w:val="en"/>
          <w14:ligatures w14:val="none"/>
        </w:rPr>
      </w:pPr>
      <w:r w:rsidRPr="007A74A9">
        <w:rPr>
          <w:rFonts w:ascii="Arial" w:eastAsia="Arial" w:hAnsi="Arial" w:cs="Arial"/>
          <w:kern w:val="0"/>
          <w:lang w:val="en"/>
          <w14:ligatures w14:val="none"/>
        </w:rPr>
        <w:t>Because submission of the SF-SAC is required by law, no traditional methods to maximize response rates (such as incentives or follow-up surveys) are used. Non-compliance is addressed by federal awarding agencies, not by the FAC. The FAC provides technical assistance through its help desk and documentation to facilitate compliance and ease of submission.</w:t>
      </w:r>
    </w:p>
    <w:p w:rsidR="007A74A9" w:rsidRPr="007A74A9" w:rsidP="007A74A9" w14:paraId="4152140F" w14:textId="77777777">
      <w:pPr>
        <w:spacing w:after="200" w:line="240" w:lineRule="auto"/>
        <w:rPr>
          <w:rFonts w:ascii="Arial" w:eastAsia="Arial" w:hAnsi="Arial" w:cs="Arial"/>
          <w:kern w:val="0"/>
          <w:lang w:val="en"/>
          <w14:ligatures w14:val="none"/>
        </w:rPr>
      </w:pPr>
      <w:r w:rsidRPr="007A74A9">
        <w:rPr>
          <w:rFonts w:ascii="Arial" w:eastAsia="Arial" w:hAnsi="Arial" w:cs="Arial"/>
          <w:b/>
          <w:bCs/>
          <w:kern w:val="0"/>
          <w:lang w:val="en"/>
          <w14:ligatures w14:val="none"/>
        </w:rPr>
        <w:t>4. Describe any tests of procedures or methods to be undertaken.</w:t>
      </w:r>
    </w:p>
    <w:p w:rsidR="007A74A9" w:rsidRPr="007A74A9" w:rsidP="007A74A9" w14:paraId="04D8520E" w14:textId="77777777">
      <w:pPr>
        <w:spacing w:after="200" w:line="240" w:lineRule="auto"/>
        <w:rPr>
          <w:rFonts w:ascii="Arial" w:eastAsia="Arial" w:hAnsi="Arial" w:cs="Arial"/>
          <w:kern w:val="0"/>
          <w:lang w:val="en"/>
          <w14:ligatures w14:val="none"/>
        </w:rPr>
      </w:pPr>
      <w:r w:rsidRPr="007A74A9">
        <w:rPr>
          <w:rFonts w:ascii="Arial" w:eastAsia="Arial" w:hAnsi="Arial" w:cs="Arial"/>
          <w:kern w:val="0"/>
          <w:lang w:val="en"/>
          <w14:ligatures w14:val="none"/>
        </w:rPr>
        <w:t>No tests of statistical procedures are conducted because the collection does not employ statistical methodology. System updates associated with this revision were tested for usability, technical accuracy, and compliance consistency, but no statistical testing or pilot sampling was performed.</w:t>
      </w:r>
    </w:p>
    <w:p w:rsidR="007A74A9" w:rsidRPr="007A74A9" w:rsidP="007A74A9" w14:paraId="79D084F3" w14:textId="77777777">
      <w:pPr>
        <w:spacing w:after="200" w:line="240" w:lineRule="auto"/>
        <w:rPr>
          <w:rFonts w:ascii="Arial" w:eastAsia="Arial" w:hAnsi="Arial" w:cs="Arial"/>
          <w:kern w:val="0"/>
          <w:lang w:val="en"/>
          <w14:ligatures w14:val="none"/>
        </w:rPr>
      </w:pPr>
      <w:r w:rsidRPr="007A74A9">
        <w:rPr>
          <w:rFonts w:ascii="Arial" w:eastAsia="Arial" w:hAnsi="Arial" w:cs="Arial"/>
          <w:b/>
          <w:bCs/>
          <w:kern w:val="0"/>
          <w:lang w:val="en"/>
          <w14:ligatures w14:val="none"/>
        </w:rPr>
        <w:t>5. Provide the name and telephone number of individuals consulted on statistical aspects of the design.</w:t>
      </w:r>
    </w:p>
    <w:p w:rsidR="007A74A9" w:rsidRPr="007A74A9" w:rsidP="007A74A9" w14:paraId="4F896260" w14:textId="77777777">
      <w:pPr>
        <w:spacing w:after="200" w:line="240" w:lineRule="auto"/>
        <w:rPr>
          <w:rFonts w:ascii="Arial" w:eastAsia="Arial" w:hAnsi="Arial" w:cs="Arial"/>
          <w:kern w:val="0"/>
          <w:lang w:val="en"/>
          <w14:ligatures w14:val="none"/>
        </w:rPr>
      </w:pPr>
      <w:r w:rsidRPr="007A74A9">
        <w:rPr>
          <w:rFonts w:ascii="Arial" w:eastAsia="Arial" w:hAnsi="Arial" w:cs="Arial"/>
          <w:kern w:val="0"/>
          <w:lang w:val="en"/>
          <w14:ligatures w14:val="none"/>
        </w:rPr>
        <w:t>No individuals were consulted regarding statistical methodology because the collection does not rely on statistical design or analysis. For questions related to system design and information collection:</w:t>
      </w:r>
    </w:p>
    <w:p w:rsidR="007A74A9" w:rsidRPr="007A74A9" w:rsidP="007A74A9" w14:paraId="648FDFB4" w14:textId="77777777">
      <w:pPr>
        <w:spacing w:after="200" w:line="240" w:lineRule="auto"/>
        <w:ind w:left="720"/>
        <w:rPr>
          <w:rFonts w:ascii="Arial" w:eastAsia="Arial" w:hAnsi="Arial" w:cs="Arial"/>
          <w:kern w:val="0"/>
          <w:lang w:val="en"/>
          <w14:ligatures w14:val="none"/>
        </w:rPr>
      </w:pPr>
      <w:r w:rsidRPr="007A74A9">
        <w:rPr>
          <w:rFonts w:ascii="Arial" w:eastAsia="Arial" w:hAnsi="Arial" w:cs="Arial"/>
          <w:kern w:val="0"/>
          <w:lang w:val="en"/>
          <w14:ligatures w14:val="none"/>
        </w:rPr>
        <w:t>Daryll Pierre, Product Lead</w:t>
      </w:r>
    </w:p>
    <w:p w:rsidR="007A74A9" w:rsidRPr="007A74A9" w:rsidP="007A74A9" w14:paraId="7E85ECA1" w14:textId="77777777">
      <w:pPr>
        <w:spacing w:after="200" w:line="240" w:lineRule="auto"/>
        <w:ind w:left="720"/>
        <w:rPr>
          <w:rFonts w:ascii="Arial" w:eastAsia="Arial" w:hAnsi="Arial" w:cs="Arial"/>
          <w:kern w:val="0"/>
          <w:lang w:val="en"/>
          <w14:ligatures w14:val="none"/>
        </w:rPr>
      </w:pPr>
      <w:r w:rsidRPr="007A74A9">
        <w:rPr>
          <w:rFonts w:ascii="Arial" w:eastAsia="Arial" w:hAnsi="Arial" w:cs="Arial"/>
          <w:kern w:val="0"/>
          <w:lang w:val="en"/>
          <w14:ligatures w14:val="none"/>
        </w:rPr>
        <w:t>General Services Administration</w:t>
      </w:r>
    </w:p>
    <w:p w:rsidR="007A74A9" w:rsidRPr="007A74A9" w:rsidP="007A74A9" w14:paraId="72D3E06F" w14:textId="77777777">
      <w:pPr>
        <w:spacing w:after="200" w:line="240" w:lineRule="auto"/>
        <w:ind w:left="720"/>
        <w:rPr>
          <w:rFonts w:ascii="Arial" w:eastAsia="Arial" w:hAnsi="Arial" w:cs="Arial"/>
          <w:kern w:val="0"/>
          <w:lang w:val="en"/>
          <w14:ligatures w14:val="none"/>
        </w:rPr>
      </w:pPr>
      <w:r w:rsidRPr="007A74A9">
        <w:rPr>
          <w:rFonts w:ascii="Arial" w:eastAsia="Arial" w:hAnsi="Arial" w:cs="Arial"/>
          <w:kern w:val="0"/>
          <w:lang w:val="en"/>
          <w14:ligatures w14:val="none"/>
        </w:rPr>
        <w:t>Phone: 929-466-0110</w:t>
      </w:r>
    </w:p>
    <w:p w:rsidR="00182900" w14:paraId="4411AF8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A9"/>
    <w:rsid w:val="001001AE"/>
    <w:rsid w:val="00182900"/>
    <w:rsid w:val="002C2849"/>
    <w:rsid w:val="006F15E8"/>
    <w:rsid w:val="007A74A9"/>
    <w:rsid w:val="00EC17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5EE709"/>
  <w15:chartTrackingRefBased/>
  <w15:docId w15:val="{09312F53-1C5F-4A4D-A440-9CA20237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4A9"/>
    <w:rPr>
      <w:rFonts w:eastAsiaTheme="majorEastAsia" w:cstheme="majorBidi"/>
      <w:color w:val="272727" w:themeColor="text1" w:themeTint="D8"/>
    </w:rPr>
  </w:style>
  <w:style w:type="paragraph" w:styleId="Title">
    <w:name w:val="Title"/>
    <w:basedOn w:val="Normal"/>
    <w:next w:val="Normal"/>
    <w:link w:val="TitleChar"/>
    <w:uiPriority w:val="10"/>
    <w:qFormat/>
    <w:rsid w:val="007A7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4A9"/>
    <w:pPr>
      <w:spacing w:before="160"/>
      <w:jc w:val="center"/>
    </w:pPr>
    <w:rPr>
      <w:i/>
      <w:iCs/>
      <w:color w:val="404040" w:themeColor="text1" w:themeTint="BF"/>
    </w:rPr>
  </w:style>
  <w:style w:type="character" w:customStyle="1" w:styleId="QuoteChar">
    <w:name w:val="Quote Char"/>
    <w:basedOn w:val="DefaultParagraphFont"/>
    <w:link w:val="Quote"/>
    <w:uiPriority w:val="29"/>
    <w:rsid w:val="007A74A9"/>
    <w:rPr>
      <w:i/>
      <w:iCs/>
      <w:color w:val="404040" w:themeColor="text1" w:themeTint="BF"/>
    </w:rPr>
  </w:style>
  <w:style w:type="paragraph" w:styleId="ListParagraph">
    <w:name w:val="List Paragraph"/>
    <w:basedOn w:val="Normal"/>
    <w:uiPriority w:val="34"/>
    <w:qFormat/>
    <w:rsid w:val="007A74A9"/>
    <w:pPr>
      <w:ind w:left="720"/>
      <w:contextualSpacing/>
    </w:pPr>
  </w:style>
  <w:style w:type="character" w:styleId="IntenseEmphasis">
    <w:name w:val="Intense Emphasis"/>
    <w:basedOn w:val="DefaultParagraphFont"/>
    <w:uiPriority w:val="21"/>
    <w:qFormat/>
    <w:rsid w:val="007A74A9"/>
    <w:rPr>
      <w:i/>
      <w:iCs/>
      <w:color w:val="0F4761" w:themeColor="accent1" w:themeShade="BF"/>
    </w:rPr>
  </w:style>
  <w:style w:type="paragraph" w:styleId="IntenseQuote">
    <w:name w:val="Intense Quote"/>
    <w:basedOn w:val="Normal"/>
    <w:next w:val="Normal"/>
    <w:link w:val="IntenseQuoteChar"/>
    <w:uiPriority w:val="30"/>
    <w:qFormat/>
    <w:rsid w:val="007A7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4A9"/>
    <w:rPr>
      <w:i/>
      <w:iCs/>
      <w:color w:val="0F4761" w:themeColor="accent1" w:themeShade="BF"/>
    </w:rPr>
  </w:style>
  <w:style w:type="character" w:styleId="IntenseReference">
    <w:name w:val="Intense Reference"/>
    <w:basedOn w:val="DefaultParagraphFont"/>
    <w:uiPriority w:val="32"/>
    <w:qFormat/>
    <w:rsid w:val="007A74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2298</Characters>
  <Application>Microsoft Office Word</Application>
  <DocSecurity>0</DocSecurity>
  <Lines>19</Lines>
  <Paragraphs>5</Paragraphs>
  <ScaleCrop>false</ScaleCrop>
  <Company>General Services Administration</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D. Bynum</dc:creator>
  <cp:lastModifiedBy>Nicole D. Bynum</cp:lastModifiedBy>
  <cp:revision>1</cp:revision>
  <dcterms:created xsi:type="dcterms:W3CDTF">2026-01-15T14:19:00Z</dcterms:created>
  <dcterms:modified xsi:type="dcterms:W3CDTF">2026-01-15T14:20:00Z</dcterms:modified>
</cp:coreProperties>
</file>