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7A8D" w14:paraId="00AB7E71" w14:textId="77777777">
      <w:pPr>
        <w:jc w:val="center"/>
        <w:rPr>
          <w:szCs w:val="20"/>
        </w:rPr>
      </w:pPr>
      <w:r>
        <w:rPr>
          <w:szCs w:val="20"/>
        </w:rPr>
        <w:t xml:space="preserve"> Federal Deposit Insurance Corporation</w:t>
      </w:r>
    </w:p>
    <w:p w:rsidR="00567A8D" w:rsidRPr="00E01220" w:rsidP="00E01220" w14:paraId="4E1E5C50" w14:textId="5C527D57">
      <w:pPr>
        <w:jc w:val="center"/>
        <w:rPr>
          <w:b/>
          <w:bCs/>
          <w:szCs w:val="20"/>
        </w:rPr>
      </w:pPr>
      <w:r w:rsidRPr="00E01220">
        <w:rPr>
          <w:b/>
          <w:bCs/>
          <w:szCs w:val="20"/>
        </w:rPr>
        <w:t> Survey of the Costs of AML/CFT Compliance</w:t>
      </w:r>
    </w:p>
    <w:p w:rsidR="00567A8D" w14:paraId="7DC849CB" w14:textId="18429840">
      <w:pPr>
        <w:keepNext/>
        <w:jc w:val="center"/>
        <w:outlineLvl w:val="5"/>
        <w:rPr>
          <w:b/>
          <w:bCs/>
          <w:szCs w:val="20"/>
        </w:rPr>
      </w:pPr>
      <w:r>
        <w:rPr>
          <w:bCs/>
          <w:szCs w:val="20"/>
        </w:rPr>
        <w:t>OMB Control Number 3064-</w:t>
      </w:r>
      <w:r w:rsidR="00E01220">
        <w:rPr>
          <w:bCs/>
          <w:szCs w:val="20"/>
        </w:rPr>
        <w:t>NEW</w:t>
      </w:r>
      <w:r>
        <w:rPr>
          <w:b/>
          <w:bCs/>
          <w:szCs w:val="20"/>
        </w:rPr>
        <w:t xml:space="preserve">  </w:t>
      </w:r>
    </w:p>
    <w:p w:rsidR="00567A8D" w14:paraId="07C3E929" w14:textId="77777777">
      <w:pPr>
        <w:jc w:val="center"/>
        <w:rPr>
          <w:szCs w:val="20"/>
        </w:rPr>
      </w:pPr>
    </w:p>
    <w:p w:rsidR="00567A8D" w14:paraId="01D4797A" w14:textId="77777777">
      <w:pPr>
        <w:jc w:val="center"/>
        <w:rPr>
          <w:szCs w:val="20"/>
        </w:rPr>
      </w:pPr>
    </w:p>
    <w:p w:rsidR="00567A8D" w14:paraId="4F44FDE8" w14:textId="77777777">
      <w:pPr>
        <w:tabs>
          <w:tab w:val="left" w:pos="720"/>
          <w:tab w:val="center" w:pos="4320"/>
          <w:tab w:val="right" w:pos="8640"/>
        </w:tabs>
        <w:rPr>
          <w:szCs w:val="20"/>
          <w:u w:val="single"/>
        </w:rPr>
      </w:pPr>
      <w:r>
        <w:rPr>
          <w:szCs w:val="20"/>
          <w:u w:val="single"/>
        </w:rPr>
        <w:t>INTRODUCTION</w:t>
      </w:r>
    </w:p>
    <w:p w:rsidR="00567A8D" w14:paraId="24CD9D27" w14:textId="77777777">
      <w:pPr>
        <w:tabs>
          <w:tab w:val="left" w:pos="720"/>
          <w:tab w:val="center" w:pos="4320"/>
          <w:tab w:val="right" w:pos="8640"/>
        </w:tabs>
        <w:rPr>
          <w:szCs w:val="20"/>
          <w:u w:val="single"/>
        </w:rPr>
      </w:pPr>
    </w:p>
    <w:p w:rsidR="00E01220" w14:paraId="7612CBBB" w14:textId="69658F41">
      <w:pPr>
        <w:tabs>
          <w:tab w:val="left" w:pos="720"/>
          <w:tab w:val="center" w:pos="4320"/>
          <w:tab w:val="right" w:pos="8640"/>
        </w:tabs>
        <w:rPr>
          <w:szCs w:val="20"/>
        </w:rPr>
      </w:pPr>
      <w:r>
        <w:rPr>
          <w:szCs w:val="20"/>
        </w:rPr>
        <w:t>The Federal Deposit Insurance Corporation (FDIC) requests OMB</w:t>
      </w:r>
      <w:r>
        <w:rPr>
          <w:szCs w:val="20"/>
        </w:rPr>
        <w:t xml:space="preserve"> approval for </w:t>
      </w:r>
      <w:r w:rsidR="00BF3DA3">
        <w:rPr>
          <w:szCs w:val="20"/>
        </w:rPr>
        <w:t xml:space="preserve">a </w:t>
      </w:r>
      <w:r w:rsidR="00496B8C">
        <w:rPr>
          <w:szCs w:val="20"/>
        </w:rPr>
        <w:t>new, one-</w:t>
      </w:r>
      <w:r w:rsidR="00BF3DA3">
        <w:rPr>
          <w:szCs w:val="20"/>
        </w:rPr>
        <w:t xml:space="preserve">time </w:t>
      </w:r>
      <w:r>
        <w:rPr>
          <w:szCs w:val="20"/>
        </w:rPr>
        <w:t>collection of information</w:t>
      </w:r>
      <w:r w:rsidR="00BF3DA3">
        <w:rPr>
          <w:szCs w:val="20"/>
        </w:rPr>
        <w:t xml:space="preserve"> titled “</w:t>
      </w:r>
      <w:r w:rsidRPr="00BF3DA3" w:rsidR="00BF3DA3">
        <w:rPr>
          <w:szCs w:val="20"/>
        </w:rPr>
        <w:t>Survey of the Costs of AML/CFT Compliance</w:t>
      </w:r>
      <w:r w:rsidR="00F05A89">
        <w:rPr>
          <w:szCs w:val="20"/>
        </w:rPr>
        <w:t>.</w:t>
      </w:r>
      <w:r w:rsidR="00BF3DA3">
        <w:rPr>
          <w:szCs w:val="20"/>
        </w:rPr>
        <w:t>”</w:t>
      </w:r>
    </w:p>
    <w:p w:rsidR="00567A8D" w14:paraId="0B669B5F" w14:textId="77777777">
      <w:pPr>
        <w:tabs>
          <w:tab w:val="left" w:pos="720"/>
          <w:tab w:val="center" w:pos="4320"/>
          <w:tab w:val="right" w:pos="8640"/>
        </w:tabs>
        <w:rPr>
          <w:szCs w:val="20"/>
        </w:rPr>
      </w:pPr>
    </w:p>
    <w:p w:rsidR="00567A8D" w14:paraId="7A632F66" w14:textId="77777777">
      <w:pPr>
        <w:rPr>
          <w:szCs w:val="20"/>
        </w:rPr>
      </w:pPr>
      <w:r>
        <w:rPr>
          <w:szCs w:val="20"/>
        </w:rPr>
        <w:t xml:space="preserve">A.     </w:t>
      </w:r>
      <w:r>
        <w:rPr>
          <w:szCs w:val="20"/>
          <w:u w:val="single"/>
        </w:rPr>
        <w:t>JUSTIFICATION</w:t>
      </w:r>
    </w:p>
    <w:p w:rsidR="00567A8D" w14:paraId="4A1E5C7B" w14:textId="77777777">
      <w:pPr>
        <w:rPr>
          <w:szCs w:val="20"/>
        </w:rPr>
      </w:pPr>
    </w:p>
    <w:p w:rsidR="00567A8D" w14:paraId="09CEC16A" w14:textId="77777777">
      <w:pPr>
        <w:rPr>
          <w:szCs w:val="20"/>
          <w:u w:val="single"/>
        </w:rPr>
      </w:pPr>
      <w:r>
        <w:rPr>
          <w:szCs w:val="20"/>
        </w:rPr>
        <w:t xml:space="preserve">1.     </w:t>
      </w:r>
      <w:r>
        <w:rPr>
          <w:szCs w:val="20"/>
          <w:u w:val="single"/>
        </w:rPr>
        <w:t>Circumstances That Make the Collection Necessary</w:t>
      </w:r>
    </w:p>
    <w:p w:rsidR="00567A8D" w14:paraId="5BDEB41B" w14:textId="77777777">
      <w:pPr>
        <w:rPr>
          <w:szCs w:val="20"/>
        </w:rPr>
      </w:pPr>
    </w:p>
    <w:p w:rsidR="003278E2" w:rsidP="003278E2" w14:paraId="0B926A55" w14:textId="77777777">
      <w:r>
        <w:t xml:space="preserve">This information collection will seek information on AML/CFT compliance costs and related topics via survey. The survey is voluntary. </w:t>
      </w:r>
      <w:r w:rsidRPr="00F72162">
        <w:t xml:space="preserve">The purpose of the survey </w:t>
      </w:r>
      <w:r>
        <w:t xml:space="preserve">is to better understand the cost of AML/CFT compliance for FDIC-supervised insured depository institutions. The information gathered will help assess the cumulative impact of AML/CFT regulations and may inform efforts to adjust regulatory obligations in accordance with safety and soundness principles and advance deregulatory proposals consistent with the executive orders of the Trump Administration. The data may also support the development of deregulatory rulemakings or guidance to reduce compliance burden without compromising the effectiveness of current AML/CFT frameworks. Responses will not be used for examination or enforcement and will be kept confidential. </w:t>
      </w:r>
    </w:p>
    <w:p w:rsidR="003278E2" w14:paraId="7B5F216E" w14:textId="77777777">
      <w:pPr>
        <w:rPr>
          <w:szCs w:val="20"/>
        </w:rPr>
      </w:pPr>
    </w:p>
    <w:p w:rsidR="00567A8D" w14:paraId="573EA3E6" w14:textId="77777777">
      <w:pPr>
        <w:rPr>
          <w:szCs w:val="20"/>
          <w:u w:val="single"/>
        </w:rPr>
      </w:pPr>
      <w:r>
        <w:rPr>
          <w:szCs w:val="20"/>
        </w:rPr>
        <w:t xml:space="preserve">2.     </w:t>
      </w:r>
      <w:r w:rsidR="005274A8">
        <w:rPr>
          <w:szCs w:val="20"/>
          <w:u w:val="single"/>
        </w:rPr>
        <w:t xml:space="preserve">Use of </w:t>
      </w:r>
      <w:r w:rsidR="005274A8">
        <w:rPr>
          <w:szCs w:val="20"/>
          <w:u w:val="single"/>
        </w:rPr>
        <w:t>the Information</w:t>
      </w:r>
    </w:p>
    <w:p w:rsidR="003278E2" w14:paraId="034ADB54" w14:textId="77777777">
      <w:pPr>
        <w:rPr>
          <w:szCs w:val="20"/>
          <w:u w:val="single"/>
        </w:rPr>
      </w:pPr>
    </w:p>
    <w:p w:rsidR="00567A8D" w14:paraId="24821F4A" w14:textId="6EDB2D4B">
      <w:pPr>
        <w:rPr>
          <w:szCs w:val="20"/>
        </w:rPr>
      </w:pPr>
      <w:r>
        <w:rPr>
          <w:szCs w:val="20"/>
        </w:rPr>
        <w:t xml:space="preserve">The survey responses will inform </w:t>
      </w:r>
      <w:r>
        <w:rPr>
          <w:szCs w:val="20"/>
        </w:rPr>
        <w:t>the</w:t>
      </w:r>
      <w:r>
        <w:rPr>
          <w:szCs w:val="20"/>
        </w:rPr>
        <w:t xml:space="preserve"> cost of AML/CFT </w:t>
      </w:r>
      <w:r w:rsidR="00C35E72">
        <w:rPr>
          <w:szCs w:val="20"/>
        </w:rPr>
        <w:t xml:space="preserve">compliance for FDIC-insured </w:t>
      </w:r>
      <w:r w:rsidR="00F05A89">
        <w:rPr>
          <w:szCs w:val="20"/>
        </w:rPr>
        <w:t>institutions</w:t>
      </w:r>
      <w:r w:rsidR="00C35E72">
        <w:rPr>
          <w:szCs w:val="20"/>
        </w:rPr>
        <w:t xml:space="preserve">. The FDIC intends to use this </w:t>
      </w:r>
      <w:r w:rsidR="00F05A89">
        <w:rPr>
          <w:szCs w:val="20"/>
        </w:rPr>
        <w:t>survey responses</w:t>
      </w:r>
      <w:r w:rsidR="00C35E72">
        <w:rPr>
          <w:szCs w:val="20"/>
        </w:rPr>
        <w:t xml:space="preserve"> to revise </w:t>
      </w:r>
      <w:r w:rsidR="00CD3697">
        <w:rPr>
          <w:szCs w:val="20"/>
        </w:rPr>
        <w:t xml:space="preserve">AML/CFT regulatory obligations and draft deregulatory efforts, such as rulemakings or </w:t>
      </w:r>
      <w:r w:rsidR="00F05A89">
        <w:rPr>
          <w:szCs w:val="20"/>
        </w:rPr>
        <w:t xml:space="preserve">new </w:t>
      </w:r>
      <w:r w:rsidR="00CD3697">
        <w:rPr>
          <w:szCs w:val="20"/>
        </w:rPr>
        <w:t xml:space="preserve">guidance. </w:t>
      </w:r>
    </w:p>
    <w:p w:rsidR="00E855E1" w14:paraId="1D7E0913" w14:textId="77777777">
      <w:pPr>
        <w:rPr>
          <w:szCs w:val="20"/>
        </w:rPr>
      </w:pPr>
    </w:p>
    <w:p w:rsidR="00567A8D" w14:paraId="2EF72988" w14:textId="77777777">
      <w:pPr>
        <w:rPr>
          <w:szCs w:val="20"/>
          <w:u w:val="single"/>
        </w:rPr>
      </w:pPr>
      <w:r>
        <w:rPr>
          <w:szCs w:val="20"/>
        </w:rPr>
        <w:t xml:space="preserve">3.     </w:t>
      </w:r>
      <w:r>
        <w:rPr>
          <w:szCs w:val="20"/>
          <w:u w:val="single"/>
        </w:rPr>
        <w:t>Consideration of the Use of Improved Information Technology</w:t>
      </w:r>
    </w:p>
    <w:p w:rsidR="00A22874" w14:paraId="067CC3DE" w14:textId="77777777">
      <w:pPr>
        <w:rPr>
          <w:szCs w:val="20"/>
          <w:u w:val="single"/>
        </w:rPr>
      </w:pPr>
    </w:p>
    <w:p w:rsidR="00A22874" w:rsidRPr="00AC121A" w14:paraId="00A2F7BB" w14:textId="0DCA550C">
      <w:pPr>
        <w:rPr>
          <w:szCs w:val="20"/>
        </w:rPr>
      </w:pPr>
      <w:r>
        <w:rPr>
          <w:szCs w:val="20"/>
        </w:rPr>
        <w:t xml:space="preserve">The FDIC intends to use a web-based platform to distribute the survey to respondents. Respondents will also be able to respond </w:t>
      </w:r>
      <w:r w:rsidR="00B062F6">
        <w:rPr>
          <w:szCs w:val="20"/>
        </w:rPr>
        <w:t xml:space="preserve">to the survey via mail. </w:t>
      </w:r>
    </w:p>
    <w:p w:rsidR="00567A8D" w14:paraId="08A00EEF" w14:textId="77777777">
      <w:pPr>
        <w:rPr>
          <w:szCs w:val="20"/>
        </w:rPr>
      </w:pPr>
    </w:p>
    <w:p w:rsidR="00567A8D" w14:paraId="0260B8EB" w14:textId="74109D6D">
      <w:pPr>
        <w:rPr>
          <w:szCs w:val="20"/>
        </w:rPr>
      </w:pPr>
      <w:r>
        <w:rPr>
          <w:szCs w:val="20"/>
        </w:rPr>
        <w:t xml:space="preserve">4.     </w:t>
      </w:r>
      <w:r>
        <w:rPr>
          <w:szCs w:val="20"/>
          <w:u w:val="single"/>
        </w:rPr>
        <w:t>Efforts to Identify Duplication</w:t>
      </w:r>
    </w:p>
    <w:p w:rsidR="00567A8D" w14:paraId="53A2B30A" w14:textId="77777777">
      <w:pPr>
        <w:rPr>
          <w:szCs w:val="20"/>
        </w:rPr>
      </w:pPr>
    </w:p>
    <w:p w:rsidR="003B5C1B" w14:paraId="5FED02C5" w14:textId="121EC099">
      <w:pPr>
        <w:rPr>
          <w:szCs w:val="20"/>
        </w:rPr>
      </w:pPr>
      <w:r>
        <w:rPr>
          <w:szCs w:val="20"/>
        </w:rPr>
        <w:t xml:space="preserve">The FDIC has coordinated with other federal banking agencies to ensure the information collection is not duplicative. </w:t>
      </w:r>
      <w:r w:rsidR="00106650">
        <w:rPr>
          <w:szCs w:val="20"/>
        </w:rPr>
        <w:t>Th</w:t>
      </w:r>
      <w:r w:rsidR="00C35518">
        <w:rPr>
          <w:szCs w:val="20"/>
        </w:rPr>
        <w:t>is information collection</w:t>
      </w:r>
      <w:r w:rsidR="00106650">
        <w:rPr>
          <w:szCs w:val="20"/>
        </w:rPr>
        <w:t xml:space="preserve"> only</w:t>
      </w:r>
      <w:r w:rsidR="00C35518">
        <w:rPr>
          <w:szCs w:val="20"/>
        </w:rPr>
        <w:t xml:space="preserve"> seeks response from state</w:t>
      </w:r>
      <w:r w:rsidR="00106650">
        <w:rPr>
          <w:szCs w:val="20"/>
        </w:rPr>
        <w:t xml:space="preserve"> </w:t>
      </w:r>
      <w:r w:rsidR="00106650">
        <w:rPr>
          <w:szCs w:val="20"/>
        </w:rPr>
        <w:t>nonmember</w:t>
      </w:r>
      <w:r w:rsidR="00106650">
        <w:rPr>
          <w:szCs w:val="20"/>
        </w:rPr>
        <w:t xml:space="preserve"> </w:t>
      </w:r>
      <w:r w:rsidR="00C35518">
        <w:rPr>
          <w:szCs w:val="20"/>
        </w:rPr>
        <w:t>insured depository institutions</w:t>
      </w:r>
      <w:r w:rsidR="00EE12FC">
        <w:rPr>
          <w:szCs w:val="20"/>
        </w:rPr>
        <w:t xml:space="preserve"> and </w:t>
      </w:r>
      <w:r w:rsidRPr="00EE12FC" w:rsidR="00EE12FC">
        <w:rPr>
          <w:szCs w:val="20"/>
        </w:rPr>
        <w:t xml:space="preserve">does not duplicate information provided elsewhere.  </w:t>
      </w:r>
    </w:p>
    <w:p w:rsidR="003B5C1B" w14:paraId="7BB8C3F4" w14:textId="77777777">
      <w:pPr>
        <w:rPr>
          <w:szCs w:val="20"/>
        </w:rPr>
      </w:pPr>
    </w:p>
    <w:p w:rsidR="00567A8D" w:rsidP="0038065F" w14:paraId="436A4263" w14:textId="4B86779D">
      <w:pPr>
        <w:ind w:left="450" w:hanging="450"/>
        <w:rPr>
          <w:bCs/>
          <w:iCs/>
          <w:szCs w:val="20"/>
          <w:u w:val="single"/>
        </w:rPr>
      </w:pPr>
      <w:r>
        <w:rPr>
          <w:szCs w:val="20"/>
        </w:rPr>
        <w:t xml:space="preserve">5.     </w:t>
      </w:r>
      <w:r w:rsidRPr="005274A8" w:rsidR="005274A8">
        <w:rPr>
          <w:bCs/>
          <w:iCs/>
          <w:szCs w:val="20"/>
          <w:u w:val="single"/>
        </w:rPr>
        <w:t>Methods used to minimize burden if the collection has a significant impact on a substantial number of small entities</w:t>
      </w:r>
    </w:p>
    <w:p w:rsidR="00EE19B3" w:rsidP="0038065F" w14:paraId="0FB73B53" w14:textId="77777777">
      <w:pPr>
        <w:ind w:left="450" w:hanging="450"/>
        <w:rPr>
          <w:szCs w:val="20"/>
        </w:rPr>
      </w:pPr>
    </w:p>
    <w:p w:rsidR="00EE19B3" w:rsidP="00EE19B3" w14:paraId="5135788A" w14:textId="775E09FD">
      <w:pPr>
        <w:rPr>
          <w:szCs w:val="20"/>
        </w:rPr>
      </w:pPr>
      <w:r>
        <w:rPr>
          <w:szCs w:val="20"/>
        </w:rPr>
        <w:t>The FDIC does not believe that the information collection has a significant impact on substantial number of small entities.</w:t>
      </w:r>
    </w:p>
    <w:p w:rsidR="0038065F" w:rsidP="0038065F" w14:paraId="3B7236C2" w14:textId="77777777">
      <w:pPr>
        <w:ind w:left="450" w:hanging="450"/>
        <w:rPr>
          <w:szCs w:val="20"/>
        </w:rPr>
      </w:pPr>
    </w:p>
    <w:p w:rsidR="00567A8D" w14:paraId="5E81B664" w14:textId="77777777">
      <w:pPr>
        <w:rPr>
          <w:szCs w:val="20"/>
        </w:rPr>
      </w:pPr>
      <w:r>
        <w:rPr>
          <w:szCs w:val="20"/>
        </w:rPr>
        <w:t xml:space="preserve">6.     </w:t>
      </w:r>
      <w:r w:rsidRPr="0031038B" w:rsidR="0031038B">
        <w:rPr>
          <w:bCs/>
          <w:iCs/>
          <w:szCs w:val="20"/>
          <w:u w:val="single"/>
        </w:rPr>
        <w:t>Consequences to the Federal program if the collection were conducted less frequently</w:t>
      </w:r>
    </w:p>
    <w:p w:rsidR="00567A8D" w14:paraId="313EFFC8" w14:textId="77777777">
      <w:pPr>
        <w:rPr>
          <w:szCs w:val="20"/>
        </w:rPr>
      </w:pPr>
    </w:p>
    <w:p w:rsidR="00567A8D" w14:paraId="423D1EB0" w14:textId="5C177A9D">
      <w:pPr>
        <w:rPr>
          <w:szCs w:val="20"/>
        </w:rPr>
      </w:pPr>
      <w:r>
        <w:rPr>
          <w:szCs w:val="20"/>
        </w:rPr>
        <w:t>The collection is a one-time survey intended to inform the FDIC and other Federal banking regulators of the costs insured depository institutions incur complying with certain AML</w:t>
      </w:r>
      <w:r w:rsidR="00EE19B3">
        <w:rPr>
          <w:szCs w:val="20"/>
        </w:rPr>
        <w:t xml:space="preserve">/CFT </w:t>
      </w:r>
      <w:r>
        <w:rPr>
          <w:szCs w:val="20"/>
        </w:rPr>
        <w:t xml:space="preserve">regulations. Without the collection, the FDIC and other Federal banking agencies would not be able to properly understand the cost of those regulations and provide appropriate deregulatory relief. </w:t>
      </w:r>
    </w:p>
    <w:p w:rsidR="0020576D" w14:paraId="46460B24" w14:textId="77777777">
      <w:pPr>
        <w:rPr>
          <w:szCs w:val="20"/>
        </w:rPr>
      </w:pPr>
    </w:p>
    <w:p w:rsidR="0031038B" w:rsidRPr="0031038B" w:rsidP="0031038B" w14:paraId="3DCF27DF" w14:textId="77777777">
      <w:pPr>
        <w:rPr>
          <w:b/>
          <w:bCs/>
          <w:iCs/>
          <w:szCs w:val="20"/>
          <w:u w:val="single"/>
        </w:rPr>
      </w:pPr>
      <w:r>
        <w:rPr>
          <w:szCs w:val="20"/>
        </w:rPr>
        <w:t xml:space="preserve">7.     </w:t>
      </w:r>
      <w:r w:rsidRPr="0031038B">
        <w:rPr>
          <w:bCs/>
          <w:iCs/>
          <w:szCs w:val="20"/>
          <w:u w:val="single"/>
        </w:rPr>
        <w:t>Special circumstances necessitating collection inconsistent with 5 CFR Part 1320.5(d)(2)</w:t>
      </w:r>
    </w:p>
    <w:p w:rsidR="0031038B" w:rsidRPr="0031038B" w:rsidP="0031038B" w14:paraId="4F3958FF" w14:textId="77777777">
      <w:pPr>
        <w:rPr>
          <w:szCs w:val="20"/>
          <w:u w:val="single"/>
        </w:rPr>
      </w:pPr>
    </w:p>
    <w:p w:rsidR="00567A8D" w:rsidRPr="0031038B" w:rsidP="0031038B" w14:paraId="6618174F" w14:textId="77777777">
      <w:pPr>
        <w:rPr>
          <w:szCs w:val="20"/>
        </w:rPr>
      </w:pPr>
      <w:r w:rsidRPr="0031038B">
        <w:rPr>
          <w:bCs/>
          <w:iCs/>
          <w:szCs w:val="20"/>
        </w:rPr>
        <w:t xml:space="preserve">None.  </w:t>
      </w:r>
      <w:r w:rsidRPr="0031038B">
        <w:rPr>
          <w:szCs w:val="20"/>
        </w:rPr>
        <w:t>The</w:t>
      </w:r>
      <w:r w:rsidRPr="0031038B">
        <w:rPr>
          <w:bCs/>
          <w:iCs/>
          <w:szCs w:val="20"/>
        </w:rPr>
        <w:t xml:space="preserve"> information is collected in a manner consistent with 5 CFR 1320.5(d)(2).</w:t>
      </w:r>
    </w:p>
    <w:p w:rsidR="00567A8D" w14:paraId="45432863" w14:textId="77777777">
      <w:pPr>
        <w:rPr>
          <w:szCs w:val="20"/>
        </w:rPr>
      </w:pPr>
    </w:p>
    <w:p w:rsidR="00567A8D" w14:paraId="3C712D04" w14:textId="77777777">
      <w:pPr>
        <w:rPr>
          <w:szCs w:val="20"/>
          <w:u w:val="single"/>
        </w:rPr>
      </w:pPr>
      <w:r>
        <w:rPr>
          <w:szCs w:val="20"/>
        </w:rPr>
        <w:t xml:space="preserve">8.     </w:t>
      </w:r>
      <w:r w:rsidRPr="0031038B" w:rsidR="0031038B">
        <w:rPr>
          <w:bCs/>
          <w:iCs/>
          <w:szCs w:val="20"/>
          <w:u w:val="single"/>
        </w:rPr>
        <w:t xml:space="preserve">Efforts to consult with </w:t>
      </w:r>
      <w:r w:rsidRPr="0031038B" w:rsidR="0031038B">
        <w:rPr>
          <w:bCs/>
          <w:iCs/>
          <w:szCs w:val="20"/>
          <w:u w:val="single"/>
        </w:rPr>
        <w:t>persons</w:t>
      </w:r>
      <w:r w:rsidRPr="0031038B" w:rsidR="0031038B">
        <w:rPr>
          <w:bCs/>
          <w:iCs/>
          <w:szCs w:val="20"/>
          <w:u w:val="single"/>
        </w:rPr>
        <w:t xml:space="preserve"> outside the agency</w:t>
      </w:r>
    </w:p>
    <w:p w:rsidR="00567A8D" w14:paraId="5CD8BE21" w14:textId="77777777">
      <w:pPr>
        <w:rPr>
          <w:szCs w:val="20"/>
        </w:rPr>
      </w:pPr>
    </w:p>
    <w:p w:rsidR="00AD023A" w:rsidP="00AD023A" w14:paraId="78C015F4" w14:textId="77777777">
      <w:pPr>
        <w:rPr>
          <w:szCs w:val="20"/>
        </w:rPr>
      </w:pPr>
      <w:r>
        <w:rPr>
          <w:szCs w:val="20"/>
        </w:rPr>
        <w:t xml:space="preserve">On </w:t>
      </w:r>
      <w:r w:rsidR="00E01220">
        <w:rPr>
          <w:szCs w:val="20"/>
        </w:rPr>
        <w:t>September 9, 2025</w:t>
      </w:r>
      <w:r w:rsidRPr="00131FD1" w:rsidR="00131FD1">
        <w:rPr>
          <w:szCs w:val="20"/>
        </w:rPr>
        <w:t xml:space="preserve">, the FDIC published a </w:t>
      </w:r>
      <w:r w:rsidRPr="00131FD1" w:rsidR="00131FD1">
        <w:rPr>
          <w:i/>
          <w:szCs w:val="20"/>
        </w:rPr>
        <w:t>Federal Register</w:t>
      </w:r>
      <w:r w:rsidRPr="00131FD1" w:rsidR="00131FD1">
        <w:rPr>
          <w:szCs w:val="20"/>
        </w:rPr>
        <w:t xml:space="preserve"> notice seeking comment for a 60-day period </w:t>
      </w:r>
      <w:r w:rsidR="00E01220">
        <w:rPr>
          <w:szCs w:val="20"/>
        </w:rPr>
        <w:t xml:space="preserve">on creation </w:t>
      </w:r>
      <w:r w:rsidRPr="00131FD1" w:rsidR="00131FD1">
        <w:rPr>
          <w:szCs w:val="20"/>
        </w:rPr>
        <w:t>o</w:t>
      </w:r>
      <w:r w:rsidR="00114F1E">
        <w:rPr>
          <w:szCs w:val="20"/>
        </w:rPr>
        <w:t xml:space="preserve">f the </w:t>
      </w:r>
      <w:r w:rsidR="00E01220">
        <w:rPr>
          <w:szCs w:val="20"/>
        </w:rPr>
        <w:t xml:space="preserve">described </w:t>
      </w:r>
      <w:r w:rsidR="00114F1E">
        <w:rPr>
          <w:szCs w:val="20"/>
        </w:rPr>
        <w:t>information collection (</w:t>
      </w:r>
      <w:r w:rsidRPr="00E01220" w:rsidR="00E01220">
        <w:rPr>
          <w:szCs w:val="20"/>
        </w:rPr>
        <w:t>90 FR 44191</w:t>
      </w:r>
      <w:r w:rsidRPr="00131FD1" w:rsidR="00131FD1">
        <w:rPr>
          <w:szCs w:val="20"/>
        </w:rPr>
        <w:t>).</w:t>
      </w:r>
      <w:r>
        <w:rPr>
          <w:szCs w:val="20"/>
        </w:rPr>
        <w:t xml:space="preserve"> </w:t>
      </w:r>
      <w:r w:rsidRPr="00AD023A">
        <w:rPr>
          <w:szCs w:val="20"/>
        </w:rPr>
        <w:t xml:space="preserve">In response to the 60-day notice, the FDIC received two relevant comments, one from industry associations and one from an FDIC-supervised institution. </w:t>
      </w:r>
    </w:p>
    <w:p w:rsidR="00AD023A" w:rsidP="00AD023A" w14:paraId="1FA25B8C" w14:textId="77777777">
      <w:pPr>
        <w:rPr>
          <w:szCs w:val="20"/>
        </w:rPr>
      </w:pPr>
    </w:p>
    <w:p w:rsidR="00AD023A" w:rsidRPr="00AD023A" w:rsidP="00AD023A" w14:paraId="6EC89D8A" w14:textId="7C17298F">
      <w:pPr>
        <w:rPr>
          <w:szCs w:val="20"/>
        </w:rPr>
      </w:pPr>
      <w:r w:rsidRPr="00AD023A">
        <w:rPr>
          <w:szCs w:val="20"/>
        </w:rPr>
        <w:t>Both comments were supportive of the FDIC’s effort to use the information from the survey to inform and support rulemakings that reduce compliance burden without compromising the effectiveness of current AML/CFT frameworks.</w:t>
      </w:r>
    </w:p>
    <w:p w:rsidR="00AD023A" w:rsidP="00AD023A" w14:paraId="305E0AA4" w14:textId="77777777">
      <w:pPr>
        <w:rPr>
          <w:szCs w:val="20"/>
        </w:rPr>
      </w:pPr>
    </w:p>
    <w:p w:rsidR="00AD023A" w:rsidRPr="00AD023A" w:rsidP="00AD023A" w14:paraId="2150A56E" w14:textId="54D95350">
      <w:pPr>
        <w:rPr>
          <w:szCs w:val="20"/>
        </w:rPr>
      </w:pPr>
      <w:r w:rsidRPr="00AD023A">
        <w:rPr>
          <w:szCs w:val="20"/>
        </w:rPr>
        <w:t xml:space="preserve">Both comments also offered suggestions to improve the survey. Both comments requested that the FDIC amend the survey questions to be more specific, and granular, and clearly define cost categories, suggesting, for example, that the survey should break out different categories of Suspicious Activity Reports (SARS) (such as structuring). Both commenters also recommended that the survey </w:t>
      </w:r>
      <w:r w:rsidRPr="00AD023A">
        <w:rPr>
          <w:szCs w:val="20"/>
        </w:rPr>
        <w:t>allow</w:t>
      </w:r>
      <w:r w:rsidRPr="00AD023A">
        <w:rPr>
          <w:szCs w:val="20"/>
        </w:rPr>
        <w:t xml:space="preserve"> respondents to report data for multiple years rather than limiting responses to a single year to account for highly variable AML/CFT compliance costs.</w:t>
      </w:r>
    </w:p>
    <w:p w:rsidR="00AD023A" w:rsidP="00AD023A" w14:paraId="0071EB96" w14:textId="77777777">
      <w:pPr>
        <w:rPr>
          <w:szCs w:val="20"/>
        </w:rPr>
      </w:pPr>
    </w:p>
    <w:p w:rsidR="00567A8D" w:rsidP="00AD023A" w14:paraId="43D9256D" w14:textId="612FC3A8">
      <w:pPr>
        <w:rPr>
          <w:szCs w:val="20"/>
        </w:rPr>
      </w:pPr>
      <w:r w:rsidRPr="00AD023A">
        <w:rPr>
          <w:szCs w:val="20"/>
        </w:rPr>
        <w:t xml:space="preserve">One commenter raised concerns about the confidentiality of responses and sought explicit assurances that the responses will be treated as Confidential Supervisory Information (CSI) and exempt from disclosure under the Freedom of Information Act. The commenter also requested that the responses be kept anonymized. </w:t>
      </w:r>
      <w:r w:rsidRPr="00131FD1" w:rsidR="00131FD1">
        <w:rPr>
          <w:szCs w:val="20"/>
        </w:rPr>
        <w:t xml:space="preserve">  </w:t>
      </w:r>
    </w:p>
    <w:p w:rsidR="00404AA9" w:rsidP="00AD023A" w14:paraId="445FECDA" w14:textId="77777777">
      <w:pPr>
        <w:rPr>
          <w:szCs w:val="20"/>
        </w:rPr>
      </w:pPr>
    </w:p>
    <w:p w:rsidR="00404AA9" w:rsidP="00AD023A" w14:paraId="4ECB1FFF" w14:textId="7CA29FFF">
      <w:pPr>
        <w:rPr>
          <w:szCs w:val="20"/>
        </w:rPr>
      </w:pPr>
      <w:r>
        <w:rPr>
          <w:szCs w:val="20"/>
        </w:rPr>
        <w:t xml:space="preserve">The FDIC addressed these comments in the </w:t>
      </w:r>
      <w:r>
        <w:rPr>
          <w:szCs w:val="20"/>
        </w:rPr>
        <w:t>30 day</w:t>
      </w:r>
      <w:r>
        <w:rPr>
          <w:szCs w:val="20"/>
        </w:rPr>
        <w:t xml:space="preserve"> federal register.</w:t>
      </w:r>
      <w:r>
        <w:rPr>
          <w:rStyle w:val="FootnoteReference"/>
          <w:szCs w:val="20"/>
        </w:rPr>
        <w:footnoteReference w:id="2"/>
      </w:r>
    </w:p>
    <w:p w:rsidR="00E01220" w14:paraId="418FFD22" w14:textId="77777777">
      <w:pPr>
        <w:rPr>
          <w:szCs w:val="20"/>
        </w:rPr>
      </w:pPr>
    </w:p>
    <w:p w:rsidR="00567A8D" w14:paraId="7C7D9ABE" w14:textId="77777777">
      <w:pPr>
        <w:rPr>
          <w:szCs w:val="20"/>
        </w:rPr>
      </w:pPr>
      <w:r>
        <w:rPr>
          <w:szCs w:val="20"/>
        </w:rPr>
        <w:t xml:space="preserve">9.     </w:t>
      </w:r>
      <w:r>
        <w:rPr>
          <w:szCs w:val="20"/>
          <w:u w:val="single"/>
        </w:rPr>
        <w:t>Payment or Gift to Respondents</w:t>
      </w:r>
    </w:p>
    <w:p w:rsidR="00567A8D" w14:paraId="79A65B30" w14:textId="77777777">
      <w:pPr>
        <w:rPr>
          <w:szCs w:val="20"/>
        </w:rPr>
      </w:pPr>
    </w:p>
    <w:p w:rsidR="00567A8D" w14:paraId="7E053D7D" w14:textId="77777777">
      <w:pPr>
        <w:rPr>
          <w:szCs w:val="20"/>
        </w:rPr>
      </w:pPr>
      <w:r>
        <w:rPr>
          <w:szCs w:val="20"/>
        </w:rPr>
        <w:t xml:space="preserve"> None.</w:t>
      </w:r>
    </w:p>
    <w:p w:rsidR="00F6361C" w14:paraId="2A14EAC2" w14:textId="77777777">
      <w:pPr>
        <w:rPr>
          <w:szCs w:val="20"/>
        </w:rPr>
      </w:pPr>
    </w:p>
    <w:p w:rsidR="00567A8D" w14:paraId="414F752F" w14:textId="77777777">
      <w:pPr>
        <w:tabs>
          <w:tab w:val="left" w:pos="90"/>
        </w:tabs>
        <w:rPr>
          <w:szCs w:val="20"/>
        </w:rPr>
      </w:pPr>
    </w:p>
    <w:p w:rsidR="00567A8D" w:rsidP="00F6361C" w14:paraId="204F6A56" w14:textId="77777777">
      <w:pPr>
        <w:keepNext/>
        <w:keepLines/>
        <w:widowControl w:val="0"/>
        <w:tabs>
          <w:tab w:val="left" w:pos="90"/>
        </w:tabs>
        <w:rPr>
          <w:szCs w:val="20"/>
        </w:rPr>
      </w:pPr>
      <w:r>
        <w:rPr>
          <w:szCs w:val="20"/>
        </w:rPr>
        <w:t xml:space="preserve">10.     </w:t>
      </w:r>
      <w:r w:rsidRPr="00226280" w:rsidR="00226280">
        <w:rPr>
          <w:szCs w:val="20"/>
          <w:u w:val="single"/>
        </w:rPr>
        <w:t xml:space="preserve">Any </w:t>
      </w:r>
      <w:r>
        <w:rPr>
          <w:szCs w:val="20"/>
          <w:u w:val="single"/>
        </w:rPr>
        <w:t>Assurance of Confidentiality</w:t>
      </w:r>
    </w:p>
    <w:p w:rsidR="009F1AEB" w:rsidP="00F6361C" w14:paraId="36F8D0F6" w14:textId="77777777">
      <w:pPr>
        <w:keepLines/>
        <w:rPr>
          <w:szCs w:val="20"/>
        </w:rPr>
      </w:pPr>
    </w:p>
    <w:p w:rsidR="009F1AEB" w:rsidRPr="00B60A25" w:rsidP="009F1AEB" w14:paraId="10090CF9" w14:textId="687EB28B">
      <w:pPr>
        <w:tabs>
          <w:tab w:val="left" w:pos="1080"/>
          <w:tab w:val="left" w:pos="1680"/>
        </w:tabs>
      </w:pPr>
      <w:r w:rsidRPr="00B60A25">
        <w:t xml:space="preserve">The information will </w:t>
      </w:r>
      <w:r w:rsidR="00197372">
        <w:t>treated</w:t>
      </w:r>
      <w:r w:rsidR="00197372">
        <w:t xml:space="preserve"> as confidential supervisory information and</w:t>
      </w:r>
      <w:r w:rsidRPr="00B60A25">
        <w:t xml:space="preserve"> kept </w:t>
      </w:r>
      <w:r w:rsidRPr="00B60A25">
        <w:rPr>
          <w:bCs/>
        </w:rPr>
        <w:t>private</w:t>
      </w:r>
      <w:r w:rsidRPr="00B60A25">
        <w:t xml:space="preserve"> to the extent provided by law.</w:t>
      </w:r>
      <w:r w:rsidR="003278E2">
        <w:t xml:space="preserve"> </w:t>
      </w:r>
    </w:p>
    <w:p w:rsidR="00567A8D" w14:paraId="39CD8522" w14:textId="77777777">
      <w:pPr>
        <w:rPr>
          <w:szCs w:val="20"/>
        </w:rPr>
      </w:pPr>
    </w:p>
    <w:p w:rsidR="00567A8D" w14:paraId="1C794B83" w14:textId="77777777">
      <w:pPr>
        <w:rPr>
          <w:szCs w:val="20"/>
        </w:rPr>
      </w:pPr>
      <w:r>
        <w:rPr>
          <w:szCs w:val="20"/>
        </w:rPr>
        <w:t xml:space="preserve">11.     </w:t>
      </w:r>
      <w:r>
        <w:rPr>
          <w:szCs w:val="20"/>
          <w:u w:val="single"/>
        </w:rPr>
        <w:t>Justification for Questions of a Sensitive Nature</w:t>
      </w:r>
    </w:p>
    <w:p w:rsidR="00567A8D" w14:paraId="7452921D" w14:textId="77777777">
      <w:pPr>
        <w:rPr>
          <w:szCs w:val="20"/>
        </w:rPr>
      </w:pPr>
    </w:p>
    <w:p w:rsidR="00567A8D" w14:paraId="1EBC6536" w14:textId="77777777">
      <w:pPr>
        <w:rPr>
          <w:szCs w:val="20"/>
        </w:rPr>
      </w:pPr>
      <w:r>
        <w:rPr>
          <w:szCs w:val="20"/>
        </w:rPr>
        <w:t>There are no questions of a sensitive nature.</w:t>
      </w:r>
    </w:p>
    <w:p w:rsidR="00567A8D" w14:paraId="3C839A11" w14:textId="77777777">
      <w:pPr>
        <w:rPr>
          <w:szCs w:val="20"/>
        </w:rPr>
      </w:pPr>
    </w:p>
    <w:p w:rsidR="00567A8D" w14:paraId="1FBA42AA" w14:textId="77777777">
      <w:pPr>
        <w:rPr>
          <w:szCs w:val="20"/>
          <w:u w:val="single"/>
        </w:rPr>
      </w:pPr>
      <w:r>
        <w:rPr>
          <w:szCs w:val="20"/>
        </w:rPr>
        <w:t xml:space="preserve">12.     </w:t>
      </w:r>
      <w:r>
        <w:rPr>
          <w:szCs w:val="20"/>
          <w:u w:val="single"/>
        </w:rPr>
        <w:t>Burden Estimate</w:t>
      </w:r>
    </w:p>
    <w:p w:rsidR="004153DC" w14:paraId="6EC0360F" w14:textId="77777777">
      <w:pPr>
        <w:rPr>
          <w:szCs w:val="20"/>
        </w:rPr>
      </w:pPr>
    </w:p>
    <w:p w:rsidR="004A6A55" w14:paraId="6427AC5A" w14:textId="61909991">
      <w:pPr>
        <w:rPr>
          <w:szCs w:val="20"/>
        </w:rPr>
      </w:pPr>
      <w:r>
        <w:rPr>
          <w:szCs w:val="20"/>
        </w:rPr>
        <w:t>T</w:t>
      </w:r>
      <w:r w:rsidRPr="0020576D">
        <w:rPr>
          <w:szCs w:val="20"/>
        </w:rPr>
        <w:t xml:space="preserve">he FDIC estimates a total burden for OMB No. 3064-NEW of 15,424 hours. The FDIC expects 1,928 respondents for the survey and expects each respondent will take 8 hours to complete the survey. </w:t>
      </w:r>
    </w:p>
    <w:p w:rsidR="00110BD7" w14:paraId="1263AE33" w14:textId="77777777">
      <w:pPr>
        <w:rPr>
          <w:szCs w:val="20"/>
        </w:rPr>
      </w:pPr>
    </w:p>
    <w:p w:rsidR="00AF5BE3" w:rsidRPr="00AF5BE3" w:rsidP="00AF5BE3" w14:paraId="5FF1E38E" w14:textId="77777777">
      <w:pPr>
        <w:rPr>
          <w:szCs w:val="20"/>
          <w:u w:val="single"/>
        </w:rPr>
      </w:pPr>
      <w:r w:rsidRPr="00AF5BE3">
        <w:rPr>
          <w:szCs w:val="20"/>
          <w:u w:val="single"/>
        </w:rPr>
        <w:t>Estimated Dollar Value of Burden Hours</w:t>
      </w:r>
    </w:p>
    <w:p w:rsidR="00AF5BE3" w:rsidRPr="00AF5BE3" w:rsidP="00AF5BE3" w14:paraId="5DB3B56C" w14:textId="77777777">
      <w:pPr>
        <w:rPr>
          <w:b/>
          <w:szCs w:val="20"/>
        </w:rPr>
      </w:pPr>
    </w:p>
    <w:tbl>
      <w:tblPr>
        <w:tblW w:w="10236" w:type="dxa"/>
        <w:jc w:val="center"/>
        <w:tblCellMar>
          <w:top w:w="15" w:type="dxa"/>
        </w:tblCellMar>
        <w:tblLook w:val="04A0"/>
      </w:tblPr>
      <w:tblGrid>
        <w:gridCol w:w="2205"/>
        <w:gridCol w:w="832"/>
        <w:gridCol w:w="984"/>
        <w:gridCol w:w="984"/>
        <w:gridCol w:w="900"/>
        <w:gridCol w:w="984"/>
        <w:gridCol w:w="984"/>
        <w:gridCol w:w="884"/>
        <w:gridCol w:w="1444"/>
        <w:gridCol w:w="222"/>
      </w:tblGrid>
      <w:tr w14:paraId="02BE2B5F" w14:textId="77777777" w:rsidTr="005F15DD">
        <w:tblPrEx>
          <w:tblW w:w="10236" w:type="dxa"/>
          <w:jc w:val="center"/>
          <w:tblCellMar>
            <w:top w:w="15" w:type="dxa"/>
          </w:tblCellMar>
          <w:tblLook w:val="04A0"/>
        </w:tblPrEx>
        <w:trPr>
          <w:gridAfter w:val="1"/>
          <w:wAfter w:w="36" w:type="dxa"/>
          <w:trHeight w:val="360"/>
          <w:jc w:val="center"/>
        </w:trPr>
        <w:tc>
          <w:tcPr>
            <w:tcW w:w="10200" w:type="dxa"/>
            <w:gridSpan w:val="9"/>
            <w:tcBorders>
              <w:top w:val="single" w:sz="8" w:space="0" w:color="auto"/>
              <w:left w:val="single" w:sz="8" w:space="0" w:color="auto"/>
              <w:bottom w:val="single" w:sz="8" w:space="0" w:color="auto"/>
              <w:right w:val="single" w:sz="8" w:space="0" w:color="auto"/>
            </w:tcBorders>
            <w:noWrap/>
            <w:vAlign w:val="bottom"/>
            <w:hideMark/>
          </w:tcPr>
          <w:p w:rsidR="00645B8A" w:rsidRPr="00C5646D" w:rsidP="005F15DD" w14:paraId="0E2D8118" w14:textId="7DABDF74">
            <w:pPr>
              <w:jc w:val="center"/>
              <w:rPr>
                <w:rFonts w:ascii="Source Sans Pro" w:hAnsi="Source Sans Pro" w:cs="Calibri"/>
                <w:color w:val="000000"/>
              </w:rPr>
            </w:pPr>
            <w:r w:rsidRPr="00C5646D">
              <w:rPr>
                <w:rFonts w:ascii="Source Sans Pro" w:hAnsi="Source Sans Pro" w:cs="Calibri"/>
                <w:color w:val="000000"/>
              </w:rPr>
              <w:t xml:space="preserve">Table </w:t>
            </w:r>
            <w:r w:rsidR="00281807">
              <w:rPr>
                <w:rFonts w:ascii="Source Sans Pro" w:hAnsi="Source Sans Pro" w:cs="Calibri"/>
                <w:color w:val="000000"/>
              </w:rPr>
              <w:t>1</w:t>
            </w:r>
            <w:r w:rsidRPr="00C5646D">
              <w:rPr>
                <w:rFonts w:ascii="Source Sans Pro" w:hAnsi="Source Sans Pro" w:cs="Calibri"/>
                <w:color w:val="000000"/>
              </w:rPr>
              <w:t>. Summary of Hourly Burden Cost Estimate (OMB No. 3064-NEW)</w:t>
            </w:r>
          </w:p>
        </w:tc>
      </w:tr>
      <w:tr w14:paraId="31AB6104" w14:textId="77777777" w:rsidTr="005F15DD">
        <w:tblPrEx>
          <w:tblW w:w="10236" w:type="dxa"/>
          <w:jc w:val="center"/>
          <w:tblCellMar>
            <w:top w:w="15" w:type="dxa"/>
          </w:tblCellMar>
          <w:tblLook w:val="04A0"/>
        </w:tblPrEx>
        <w:trPr>
          <w:gridAfter w:val="1"/>
          <w:wAfter w:w="36" w:type="dxa"/>
          <w:trHeight w:val="600"/>
          <w:jc w:val="center"/>
        </w:trPr>
        <w:tc>
          <w:tcPr>
            <w:tcW w:w="2742" w:type="dxa"/>
            <w:vMerge w:val="restart"/>
            <w:tcBorders>
              <w:top w:val="nil"/>
              <w:left w:val="single" w:sz="8" w:space="0" w:color="auto"/>
              <w:bottom w:val="single" w:sz="8" w:space="0" w:color="auto"/>
              <w:right w:val="single" w:sz="8" w:space="0" w:color="auto"/>
            </w:tcBorders>
            <w:vAlign w:val="center"/>
            <w:hideMark/>
          </w:tcPr>
          <w:p w:rsidR="00645B8A" w:rsidRPr="00C5646D" w:rsidP="005F15DD" w14:paraId="54929116" w14:textId="77777777">
            <w:pPr>
              <w:rPr>
                <w:rFonts w:ascii="Source Sans Pro" w:hAnsi="Source Sans Pro" w:cs="Calibri"/>
                <w:color w:val="000000"/>
                <w:sz w:val="20"/>
                <w:szCs w:val="20"/>
              </w:rPr>
            </w:pPr>
            <w:r w:rsidRPr="00C5646D">
              <w:rPr>
                <w:rFonts w:ascii="Source Sans Pro" w:hAnsi="Source Sans Pro" w:cs="Calibri"/>
                <w:color w:val="000000"/>
                <w:sz w:val="20"/>
                <w:szCs w:val="20"/>
              </w:rPr>
              <w:t xml:space="preserve">Information Collection (IC) (Obligation to Respond) </w:t>
            </w:r>
          </w:p>
        </w:tc>
        <w:tc>
          <w:tcPr>
            <w:tcW w:w="860" w:type="dxa"/>
            <w:vMerge w:val="restart"/>
            <w:tcBorders>
              <w:top w:val="nil"/>
              <w:left w:val="single" w:sz="8" w:space="0" w:color="auto"/>
              <w:bottom w:val="single" w:sz="8" w:space="0" w:color="auto"/>
              <w:right w:val="single" w:sz="8" w:space="0" w:color="auto"/>
            </w:tcBorders>
            <w:vAlign w:val="center"/>
            <w:hideMark/>
          </w:tcPr>
          <w:p w:rsidR="00645B8A" w:rsidRPr="00C5646D" w:rsidP="005F15DD" w14:paraId="15D4CDF7"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 xml:space="preserve">Hourly Weight </w:t>
            </w:r>
            <w:r w:rsidRPr="00C5646D">
              <w:rPr>
                <w:rFonts w:ascii="Source Sans Pro" w:hAnsi="Source Sans Pro" w:cs="Calibri"/>
                <w:color w:val="000000"/>
                <w:sz w:val="20"/>
                <w:szCs w:val="20"/>
              </w:rPr>
              <w:br/>
              <w:t>(%)</w:t>
            </w:r>
          </w:p>
        </w:tc>
        <w:tc>
          <w:tcPr>
            <w:tcW w:w="5198"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645B8A" w:rsidRPr="00C5646D" w:rsidP="005F15DD" w14:paraId="1FEE4676"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 xml:space="preserve">Percentage Shares of Hours Spent by and </w:t>
            </w:r>
            <w:r w:rsidRPr="00C5646D">
              <w:rPr>
                <w:rFonts w:ascii="Source Sans Pro" w:hAnsi="Source Sans Pro" w:cs="Calibri"/>
                <w:color w:val="000000"/>
                <w:sz w:val="20"/>
                <w:szCs w:val="20"/>
              </w:rPr>
              <w:br/>
              <w:t xml:space="preserve">Hourly Compensation Rates for each Occupation Group </w:t>
            </w:r>
            <w:r w:rsidRPr="00C5646D">
              <w:rPr>
                <w:rFonts w:ascii="Source Sans Pro" w:hAnsi="Source Sans Pro" w:cs="Calibri"/>
                <w:color w:val="000000"/>
                <w:sz w:val="20"/>
                <w:szCs w:val="20"/>
              </w:rPr>
              <w:br/>
              <w:t>(by Collection)</w:t>
            </w:r>
          </w:p>
        </w:tc>
        <w:tc>
          <w:tcPr>
            <w:tcW w:w="1400" w:type="dxa"/>
            <w:vMerge w:val="restart"/>
            <w:tcBorders>
              <w:top w:val="nil"/>
              <w:left w:val="single" w:sz="8" w:space="0" w:color="auto"/>
              <w:bottom w:val="single" w:sz="8" w:space="0" w:color="auto"/>
              <w:right w:val="single" w:sz="8" w:space="0" w:color="auto"/>
            </w:tcBorders>
            <w:vAlign w:val="center"/>
            <w:hideMark/>
          </w:tcPr>
          <w:p w:rsidR="00645B8A" w:rsidRPr="00C5646D" w:rsidP="005F15DD" w14:paraId="1311EC85"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Estimated Hourly Compensation Rate</w:t>
            </w:r>
          </w:p>
        </w:tc>
      </w:tr>
      <w:tr w14:paraId="6CB767B6" w14:textId="77777777" w:rsidTr="005F15DD">
        <w:tblPrEx>
          <w:tblW w:w="10236" w:type="dxa"/>
          <w:jc w:val="center"/>
          <w:tblCellMar>
            <w:top w:w="15" w:type="dxa"/>
          </w:tblCellMar>
          <w:tblLook w:val="04A0"/>
        </w:tblPrEx>
        <w:trPr>
          <w:trHeight w:val="864"/>
          <w:jc w:val="center"/>
        </w:trPr>
        <w:tc>
          <w:tcPr>
            <w:tcW w:w="2742" w:type="dxa"/>
            <w:vMerge/>
            <w:tcBorders>
              <w:top w:val="nil"/>
              <w:left w:val="single" w:sz="8" w:space="0" w:color="auto"/>
              <w:bottom w:val="single" w:sz="8" w:space="0" w:color="auto"/>
              <w:right w:val="single" w:sz="8" w:space="0" w:color="auto"/>
            </w:tcBorders>
            <w:vAlign w:val="center"/>
            <w:hideMark/>
          </w:tcPr>
          <w:p w:rsidR="00645B8A" w:rsidRPr="00C5646D" w:rsidP="005F15DD" w14:paraId="16B5A0DC" w14:textId="77777777">
            <w:pPr>
              <w:rPr>
                <w:rFonts w:ascii="Source Sans Pro" w:hAnsi="Source Sans Pro" w:cs="Calibri"/>
                <w:color w:val="000000"/>
                <w:sz w:val="20"/>
                <w:szCs w:val="20"/>
              </w:rPr>
            </w:pPr>
          </w:p>
        </w:tc>
        <w:tc>
          <w:tcPr>
            <w:tcW w:w="860" w:type="dxa"/>
            <w:vMerge/>
            <w:tcBorders>
              <w:top w:val="nil"/>
              <w:left w:val="single" w:sz="8" w:space="0" w:color="auto"/>
              <w:bottom w:val="single" w:sz="8" w:space="0" w:color="auto"/>
              <w:right w:val="single" w:sz="8" w:space="0" w:color="auto"/>
            </w:tcBorders>
            <w:vAlign w:val="center"/>
            <w:hideMark/>
          </w:tcPr>
          <w:p w:rsidR="00645B8A" w:rsidRPr="00C5646D" w:rsidP="005F15DD" w14:paraId="50E8D98F" w14:textId="77777777">
            <w:pPr>
              <w:rPr>
                <w:rFonts w:ascii="Source Sans Pro" w:hAnsi="Source Sans Pro" w:cs="Calibri"/>
                <w:color w:val="000000"/>
                <w:sz w:val="20"/>
                <w:szCs w:val="20"/>
              </w:rPr>
            </w:pPr>
          </w:p>
        </w:tc>
        <w:tc>
          <w:tcPr>
            <w:tcW w:w="5198" w:type="dxa"/>
            <w:gridSpan w:val="6"/>
            <w:vMerge/>
            <w:tcBorders>
              <w:top w:val="single" w:sz="8" w:space="0" w:color="auto"/>
              <w:left w:val="single" w:sz="8" w:space="0" w:color="auto"/>
              <w:bottom w:val="single" w:sz="8" w:space="0" w:color="auto"/>
              <w:right w:val="single" w:sz="8" w:space="0" w:color="auto"/>
            </w:tcBorders>
            <w:vAlign w:val="center"/>
            <w:hideMark/>
          </w:tcPr>
          <w:p w:rsidR="00645B8A" w:rsidRPr="00C5646D" w:rsidP="005F15DD" w14:paraId="0FEF214A" w14:textId="77777777">
            <w:pPr>
              <w:rPr>
                <w:rFonts w:ascii="Source Sans Pro" w:hAnsi="Source Sans Pro" w:cs="Calibri"/>
                <w:color w:val="000000"/>
                <w:sz w:val="20"/>
                <w:szCs w:val="20"/>
              </w:rPr>
            </w:pPr>
          </w:p>
        </w:tc>
        <w:tc>
          <w:tcPr>
            <w:tcW w:w="1400" w:type="dxa"/>
            <w:vMerge/>
            <w:tcBorders>
              <w:top w:val="nil"/>
              <w:left w:val="single" w:sz="8" w:space="0" w:color="auto"/>
              <w:bottom w:val="single" w:sz="8" w:space="0" w:color="auto"/>
              <w:right w:val="single" w:sz="8" w:space="0" w:color="auto"/>
            </w:tcBorders>
            <w:vAlign w:val="center"/>
            <w:hideMark/>
          </w:tcPr>
          <w:p w:rsidR="00645B8A" w:rsidRPr="00C5646D" w:rsidP="005F15DD" w14:paraId="63DCBB4B" w14:textId="77777777">
            <w:pPr>
              <w:rPr>
                <w:rFonts w:ascii="Source Sans Pro" w:hAnsi="Source Sans Pro" w:cs="Calibri"/>
                <w:color w:val="000000"/>
                <w:sz w:val="20"/>
                <w:szCs w:val="20"/>
              </w:rPr>
            </w:pPr>
          </w:p>
        </w:tc>
        <w:tc>
          <w:tcPr>
            <w:tcW w:w="36" w:type="dxa"/>
            <w:tcBorders>
              <w:top w:val="nil"/>
              <w:left w:val="nil"/>
              <w:bottom w:val="nil"/>
              <w:right w:val="nil"/>
            </w:tcBorders>
            <w:noWrap/>
            <w:vAlign w:val="bottom"/>
            <w:hideMark/>
          </w:tcPr>
          <w:p w:rsidR="00645B8A" w:rsidRPr="00C5646D" w:rsidP="005F15DD" w14:paraId="260A1AEB" w14:textId="77777777">
            <w:pPr>
              <w:jc w:val="center"/>
              <w:rPr>
                <w:rFonts w:ascii="Source Sans Pro" w:hAnsi="Source Sans Pro" w:cs="Calibri"/>
                <w:color w:val="000000"/>
                <w:sz w:val="20"/>
                <w:szCs w:val="20"/>
              </w:rPr>
            </w:pPr>
          </w:p>
        </w:tc>
      </w:tr>
      <w:tr w14:paraId="1E4EE532" w14:textId="77777777" w:rsidTr="005F15DD">
        <w:tblPrEx>
          <w:tblW w:w="10236" w:type="dxa"/>
          <w:jc w:val="center"/>
          <w:tblCellMar>
            <w:top w:w="15" w:type="dxa"/>
          </w:tblCellMar>
          <w:tblLook w:val="04A0"/>
        </w:tblPrEx>
        <w:trPr>
          <w:trHeight w:val="360"/>
          <w:jc w:val="center"/>
        </w:trPr>
        <w:tc>
          <w:tcPr>
            <w:tcW w:w="2742" w:type="dxa"/>
            <w:vMerge/>
            <w:tcBorders>
              <w:top w:val="nil"/>
              <w:left w:val="single" w:sz="8" w:space="0" w:color="auto"/>
              <w:bottom w:val="single" w:sz="8" w:space="0" w:color="auto"/>
              <w:right w:val="single" w:sz="8" w:space="0" w:color="auto"/>
            </w:tcBorders>
            <w:vAlign w:val="center"/>
            <w:hideMark/>
          </w:tcPr>
          <w:p w:rsidR="00645B8A" w:rsidRPr="00C5646D" w:rsidP="005F15DD" w14:paraId="53128FC0" w14:textId="77777777">
            <w:pPr>
              <w:rPr>
                <w:rFonts w:ascii="Source Sans Pro" w:hAnsi="Source Sans Pro" w:cs="Calibri"/>
                <w:color w:val="000000"/>
                <w:sz w:val="20"/>
                <w:szCs w:val="20"/>
              </w:rPr>
            </w:pPr>
          </w:p>
        </w:tc>
        <w:tc>
          <w:tcPr>
            <w:tcW w:w="860" w:type="dxa"/>
            <w:vMerge/>
            <w:tcBorders>
              <w:top w:val="nil"/>
              <w:left w:val="single" w:sz="8" w:space="0" w:color="auto"/>
              <w:bottom w:val="single" w:sz="8" w:space="0" w:color="auto"/>
              <w:right w:val="single" w:sz="8" w:space="0" w:color="auto"/>
            </w:tcBorders>
            <w:vAlign w:val="center"/>
            <w:hideMark/>
          </w:tcPr>
          <w:p w:rsidR="00645B8A" w:rsidRPr="00C5646D" w:rsidP="005F15DD" w14:paraId="0A21A27A" w14:textId="77777777">
            <w:pPr>
              <w:rPr>
                <w:rFonts w:ascii="Source Sans Pro" w:hAnsi="Source Sans Pro" w:cs="Calibri"/>
                <w:color w:val="000000"/>
                <w:sz w:val="20"/>
                <w:szCs w:val="20"/>
              </w:rPr>
            </w:pPr>
          </w:p>
        </w:tc>
        <w:tc>
          <w:tcPr>
            <w:tcW w:w="920" w:type="dxa"/>
            <w:vMerge w:val="restart"/>
            <w:tcBorders>
              <w:top w:val="nil"/>
              <w:left w:val="single" w:sz="8" w:space="0" w:color="auto"/>
              <w:bottom w:val="single" w:sz="8" w:space="0" w:color="auto"/>
              <w:right w:val="single" w:sz="8" w:space="0" w:color="auto"/>
            </w:tcBorders>
            <w:vAlign w:val="center"/>
            <w:hideMark/>
          </w:tcPr>
          <w:p w:rsidR="00645B8A" w:rsidRPr="00C5646D" w:rsidP="005F15DD" w14:paraId="4762E11C"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Exec. &amp; Mgr.      ($159.03)</w:t>
            </w:r>
          </w:p>
        </w:tc>
        <w:tc>
          <w:tcPr>
            <w:tcW w:w="820" w:type="dxa"/>
            <w:vMerge w:val="restart"/>
            <w:tcBorders>
              <w:top w:val="nil"/>
              <w:left w:val="single" w:sz="8" w:space="0" w:color="auto"/>
              <w:bottom w:val="single" w:sz="8" w:space="0" w:color="auto"/>
              <w:right w:val="single" w:sz="8" w:space="0" w:color="auto"/>
            </w:tcBorders>
            <w:vAlign w:val="center"/>
            <w:hideMark/>
          </w:tcPr>
          <w:p w:rsidR="00645B8A" w:rsidRPr="00C5646D" w:rsidP="005F15DD" w14:paraId="3762D141"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Lawyer</w:t>
            </w:r>
            <w:r w:rsidRPr="00C5646D">
              <w:rPr>
                <w:rFonts w:ascii="Source Sans Pro" w:hAnsi="Source Sans Pro" w:cs="Calibri"/>
                <w:color w:val="000000"/>
                <w:sz w:val="20"/>
                <w:szCs w:val="20"/>
              </w:rPr>
              <w:t xml:space="preserve">   (</w:t>
            </w:r>
            <w:r w:rsidRPr="00C5646D">
              <w:rPr>
                <w:rFonts w:ascii="Source Sans Pro" w:hAnsi="Source Sans Pro" w:cs="Calibri"/>
                <w:color w:val="000000"/>
                <w:sz w:val="20"/>
                <w:szCs w:val="20"/>
              </w:rPr>
              <w:t>$179.36)</w:t>
            </w:r>
          </w:p>
        </w:tc>
        <w:tc>
          <w:tcPr>
            <w:tcW w:w="900" w:type="dxa"/>
            <w:vMerge w:val="restart"/>
            <w:tcBorders>
              <w:top w:val="nil"/>
              <w:left w:val="single" w:sz="8" w:space="0" w:color="auto"/>
              <w:bottom w:val="single" w:sz="8" w:space="0" w:color="auto"/>
              <w:right w:val="single" w:sz="8" w:space="0" w:color="auto"/>
            </w:tcBorders>
            <w:vAlign w:val="center"/>
            <w:hideMark/>
          </w:tcPr>
          <w:p w:rsidR="00645B8A" w:rsidRPr="00C5646D" w:rsidP="005F15DD" w14:paraId="65027B89"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Compl</w:t>
            </w:r>
            <w:r w:rsidRPr="00C5646D">
              <w:rPr>
                <w:rFonts w:ascii="Source Sans Pro" w:hAnsi="Source Sans Pro" w:cs="Calibri"/>
                <w:color w:val="000000"/>
                <w:sz w:val="20"/>
                <w:szCs w:val="20"/>
              </w:rPr>
              <w:t>. Ofc.   ($80.68)</w:t>
            </w:r>
          </w:p>
        </w:tc>
        <w:tc>
          <w:tcPr>
            <w:tcW w:w="798" w:type="dxa"/>
            <w:vMerge w:val="restart"/>
            <w:tcBorders>
              <w:top w:val="nil"/>
              <w:left w:val="single" w:sz="8" w:space="0" w:color="auto"/>
              <w:bottom w:val="single" w:sz="8" w:space="0" w:color="auto"/>
              <w:right w:val="single" w:sz="8" w:space="0" w:color="auto"/>
            </w:tcBorders>
            <w:vAlign w:val="center"/>
            <w:hideMark/>
          </w:tcPr>
          <w:p w:rsidR="00645B8A" w:rsidRPr="00C5646D" w:rsidP="005F15DD" w14:paraId="2B4A1734"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 xml:space="preserve">IT </w:t>
            </w:r>
            <w:r w:rsidRPr="00C5646D">
              <w:rPr>
                <w:rFonts w:ascii="Source Sans Pro" w:hAnsi="Source Sans Pro" w:cs="Calibri"/>
                <w:color w:val="000000"/>
                <w:sz w:val="20"/>
                <w:szCs w:val="20"/>
              </w:rPr>
              <w:t xml:space="preserve">   (</w:t>
            </w:r>
            <w:r w:rsidRPr="00C5646D">
              <w:rPr>
                <w:rFonts w:ascii="Source Sans Pro" w:hAnsi="Source Sans Pro" w:cs="Calibri"/>
                <w:color w:val="000000"/>
                <w:sz w:val="20"/>
                <w:szCs w:val="20"/>
              </w:rPr>
              <w:t>$116.37)</w:t>
            </w:r>
          </w:p>
        </w:tc>
        <w:tc>
          <w:tcPr>
            <w:tcW w:w="960" w:type="dxa"/>
            <w:vMerge w:val="restart"/>
            <w:tcBorders>
              <w:top w:val="nil"/>
              <w:left w:val="single" w:sz="8" w:space="0" w:color="auto"/>
              <w:bottom w:val="single" w:sz="8" w:space="0" w:color="auto"/>
              <w:right w:val="single" w:sz="8" w:space="0" w:color="auto"/>
            </w:tcBorders>
            <w:vAlign w:val="center"/>
            <w:hideMark/>
          </w:tcPr>
          <w:p w:rsidR="00645B8A" w:rsidRPr="00C5646D" w:rsidP="005F15DD" w14:paraId="5468F6F6"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 xml:space="preserve">Fin. </w:t>
            </w:r>
            <w:r w:rsidRPr="00C5646D">
              <w:rPr>
                <w:rFonts w:ascii="Source Sans Pro" w:hAnsi="Source Sans Pro" w:cs="Calibri"/>
                <w:color w:val="000000"/>
                <w:sz w:val="20"/>
                <w:szCs w:val="20"/>
              </w:rPr>
              <w:t>Anlst</w:t>
            </w:r>
            <w:r w:rsidRPr="00C5646D">
              <w:rPr>
                <w:rFonts w:ascii="Source Sans Pro" w:hAnsi="Source Sans Pro" w:cs="Calibri"/>
                <w:color w:val="000000"/>
                <w:sz w:val="20"/>
                <w:szCs w:val="20"/>
              </w:rPr>
              <w:t>.    ($101.18)</w:t>
            </w:r>
          </w:p>
        </w:tc>
        <w:tc>
          <w:tcPr>
            <w:tcW w:w="800" w:type="dxa"/>
            <w:vMerge w:val="restart"/>
            <w:tcBorders>
              <w:top w:val="nil"/>
              <w:left w:val="single" w:sz="8" w:space="0" w:color="auto"/>
              <w:bottom w:val="single" w:sz="8" w:space="0" w:color="auto"/>
              <w:right w:val="single" w:sz="8" w:space="0" w:color="auto"/>
            </w:tcBorders>
            <w:vAlign w:val="center"/>
            <w:hideMark/>
          </w:tcPr>
          <w:p w:rsidR="00645B8A" w:rsidRPr="00C5646D" w:rsidP="005F15DD" w14:paraId="59D729BC"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 xml:space="preserve">Clerical </w:t>
            </w:r>
            <w:r w:rsidRPr="00C5646D">
              <w:rPr>
                <w:rFonts w:ascii="Source Sans Pro" w:hAnsi="Source Sans Pro" w:cs="Calibri"/>
                <w:color w:val="000000"/>
                <w:sz w:val="20"/>
                <w:szCs w:val="20"/>
              </w:rPr>
              <w:t xml:space="preserve">   (</w:t>
            </w:r>
            <w:r w:rsidRPr="00C5646D">
              <w:rPr>
                <w:rFonts w:ascii="Source Sans Pro" w:hAnsi="Source Sans Pro" w:cs="Calibri"/>
                <w:color w:val="000000"/>
                <w:sz w:val="20"/>
                <w:szCs w:val="20"/>
              </w:rPr>
              <w:t>$42.51)</w:t>
            </w:r>
          </w:p>
        </w:tc>
        <w:tc>
          <w:tcPr>
            <w:tcW w:w="1400" w:type="dxa"/>
            <w:vMerge/>
            <w:tcBorders>
              <w:top w:val="nil"/>
              <w:left w:val="single" w:sz="8" w:space="0" w:color="auto"/>
              <w:bottom w:val="single" w:sz="8" w:space="0" w:color="auto"/>
              <w:right w:val="single" w:sz="8" w:space="0" w:color="auto"/>
            </w:tcBorders>
            <w:vAlign w:val="center"/>
            <w:hideMark/>
          </w:tcPr>
          <w:p w:rsidR="00645B8A" w:rsidRPr="00C5646D" w:rsidP="005F15DD" w14:paraId="2E69007E" w14:textId="77777777">
            <w:pPr>
              <w:rPr>
                <w:rFonts w:ascii="Source Sans Pro" w:hAnsi="Source Sans Pro" w:cs="Calibri"/>
                <w:color w:val="000000"/>
                <w:sz w:val="20"/>
                <w:szCs w:val="20"/>
              </w:rPr>
            </w:pPr>
          </w:p>
        </w:tc>
        <w:tc>
          <w:tcPr>
            <w:tcW w:w="36" w:type="dxa"/>
            <w:vAlign w:val="center"/>
            <w:hideMark/>
          </w:tcPr>
          <w:p w:rsidR="00645B8A" w:rsidRPr="00C5646D" w:rsidP="005F15DD" w14:paraId="0D44AA88" w14:textId="77777777">
            <w:pPr>
              <w:rPr>
                <w:sz w:val="20"/>
                <w:szCs w:val="20"/>
              </w:rPr>
            </w:pPr>
          </w:p>
        </w:tc>
      </w:tr>
      <w:tr w14:paraId="0BD7F39E" w14:textId="77777777" w:rsidTr="005F15DD">
        <w:tblPrEx>
          <w:tblW w:w="10236" w:type="dxa"/>
          <w:jc w:val="center"/>
          <w:tblCellMar>
            <w:top w:w="15" w:type="dxa"/>
          </w:tblCellMar>
          <w:tblLook w:val="04A0"/>
        </w:tblPrEx>
        <w:trPr>
          <w:trHeight w:val="1140"/>
          <w:jc w:val="center"/>
        </w:trPr>
        <w:tc>
          <w:tcPr>
            <w:tcW w:w="2742" w:type="dxa"/>
            <w:vMerge/>
            <w:tcBorders>
              <w:top w:val="nil"/>
              <w:left w:val="single" w:sz="8" w:space="0" w:color="auto"/>
              <w:bottom w:val="single" w:sz="8" w:space="0" w:color="auto"/>
              <w:right w:val="single" w:sz="8" w:space="0" w:color="auto"/>
            </w:tcBorders>
            <w:vAlign w:val="center"/>
            <w:hideMark/>
          </w:tcPr>
          <w:p w:rsidR="00645B8A" w:rsidRPr="00C5646D" w:rsidP="005F15DD" w14:paraId="53BB7512" w14:textId="77777777">
            <w:pPr>
              <w:rPr>
                <w:rFonts w:ascii="Source Sans Pro" w:hAnsi="Source Sans Pro" w:cs="Calibri"/>
                <w:color w:val="000000"/>
                <w:sz w:val="20"/>
                <w:szCs w:val="20"/>
              </w:rPr>
            </w:pPr>
          </w:p>
        </w:tc>
        <w:tc>
          <w:tcPr>
            <w:tcW w:w="860" w:type="dxa"/>
            <w:vMerge/>
            <w:tcBorders>
              <w:top w:val="nil"/>
              <w:left w:val="single" w:sz="8" w:space="0" w:color="auto"/>
              <w:bottom w:val="single" w:sz="8" w:space="0" w:color="auto"/>
              <w:right w:val="single" w:sz="8" w:space="0" w:color="auto"/>
            </w:tcBorders>
            <w:vAlign w:val="center"/>
            <w:hideMark/>
          </w:tcPr>
          <w:p w:rsidR="00645B8A" w:rsidRPr="00C5646D" w:rsidP="005F15DD" w14:paraId="59871F6F" w14:textId="77777777">
            <w:pPr>
              <w:rPr>
                <w:rFonts w:ascii="Source Sans Pro" w:hAnsi="Source Sans Pro" w:cs="Calibri"/>
                <w:color w:val="000000"/>
                <w:sz w:val="20"/>
                <w:szCs w:val="20"/>
              </w:rPr>
            </w:pPr>
          </w:p>
        </w:tc>
        <w:tc>
          <w:tcPr>
            <w:tcW w:w="920" w:type="dxa"/>
            <w:vMerge/>
            <w:tcBorders>
              <w:top w:val="nil"/>
              <w:left w:val="single" w:sz="8" w:space="0" w:color="auto"/>
              <w:bottom w:val="single" w:sz="8" w:space="0" w:color="auto"/>
              <w:right w:val="single" w:sz="8" w:space="0" w:color="auto"/>
            </w:tcBorders>
            <w:vAlign w:val="center"/>
            <w:hideMark/>
          </w:tcPr>
          <w:p w:rsidR="00645B8A" w:rsidRPr="00C5646D" w:rsidP="005F15DD" w14:paraId="2FCDD4BE" w14:textId="77777777">
            <w:pPr>
              <w:rPr>
                <w:rFonts w:ascii="Source Sans Pro" w:hAnsi="Source Sans Pro" w:cs="Calibri"/>
                <w:color w:val="000000"/>
                <w:sz w:val="20"/>
                <w:szCs w:val="20"/>
              </w:rPr>
            </w:pPr>
          </w:p>
        </w:tc>
        <w:tc>
          <w:tcPr>
            <w:tcW w:w="820" w:type="dxa"/>
            <w:vMerge/>
            <w:tcBorders>
              <w:top w:val="nil"/>
              <w:left w:val="single" w:sz="8" w:space="0" w:color="auto"/>
              <w:bottom w:val="single" w:sz="8" w:space="0" w:color="auto"/>
              <w:right w:val="single" w:sz="8" w:space="0" w:color="auto"/>
            </w:tcBorders>
            <w:vAlign w:val="center"/>
            <w:hideMark/>
          </w:tcPr>
          <w:p w:rsidR="00645B8A" w:rsidRPr="00C5646D" w:rsidP="005F15DD" w14:paraId="06675AB0" w14:textId="77777777">
            <w:pPr>
              <w:rPr>
                <w:rFonts w:ascii="Source Sans Pro" w:hAnsi="Source Sans Pro" w:cs="Calibri"/>
                <w:color w:val="000000"/>
                <w:sz w:val="20"/>
                <w:szCs w:val="20"/>
              </w:rPr>
            </w:pPr>
          </w:p>
        </w:tc>
        <w:tc>
          <w:tcPr>
            <w:tcW w:w="900" w:type="dxa"/>
            <w:vMerge/>
            <w:tcBorders>
              <w:top w:val="nil"/>
              <w:left w:val="single" w:sz="8" w:space="0" w:color="auto"/>
              <w:bottom w:val="single" w:sz="8" w:space="0" w:color="auto"/>
              <w:right w:val="single" w:sz="8" w:space="0" w:color="auto"/>
            </w:tcBorders>
            <w:vAlign w:val="center"/>
            <w:hideMark/>
          </w:tcPr>
          <w:p w:rsidR="00645B8A" w:rsidRPr="00C5646D" w:rsidP="005F15DD" w14:paraId="460EC75D" w14:textId="77777777">
            <w:pPr>
              <w:rPr>
                <w:rFonts w:ascii="Source Sans Pro" w:hAnsi="Source Sans Pro" w:cs="Calibri"/>
                <w:color w:val="000000"/>
                <w:sz w:val="20"/>
                <w:szCs w:val="20"/>
              </w:rPr>
            </w:pPr>
          </w:p>
        </w:tc>
        <w:tc>
          <w:tcPr>
            <w:tcW w:w="798" w:type="dxa"/>
            <w:vMerge/>
            <w:tcBorders>
              <w:top w:val="nil"/>
              <w:left w:val="single" w:sz="8" w:space="0" w:color="auto"/>
              <w:bottom w:val="single" w:sz="8" w:space="0" w:color="auto"/>
              <w:right w:val="single" w:sz="8" w:space="0" w:color="auto"/>
            </w:tcBorders>
            <w:vAlign w:val="center"/>
            <w:hideMark/>
          </w:tcPr>
          <w:p w:rsidR="00645B8A" w:rsidRPr="00C5646D" w:rsidP="005F15DD" w14:paraId="400301D1" w14:textId="77777777">
            <w:pPr>
              <w:rPr>
                <w:rFonts w:ascii="Source Sans Pro" w:hAnsi="Source Sans Pro" w:cs="Calibri"/>
                <w:color w:val="000000"/>
                <w:sz w:val="20"/>
                <w:szCs w:val="20"/>
              </w:rPr>
            </w:pPr>
          </w:p>
        </w:tc>
        <w:tc>
          <w:tcPr>
            <w:tcW w:w="960" w:type="dxa"/>
            <w:vMerge/>
            <w:tcBorders>
              <w:top w:val="nil"/>
              <w:left w:val="single" w:sz="8" w:space="0" w:color="auto"/>
              <w:bottom w:val="single" w:sz="8" w:space="0" w:color="auto"/>
              <w:right w:val="single" w:sz="8" w:space="0" w:color="auto"/>
            </w:tcBorders>
            <w:vAlign w:val="center"/>
            <w:hideMark/>
          </w:tcPr>
          <w:p w:rsidR="00645B8A" w:rsidRPr="00C5646D" w:rsidP="005F15DD" w14:paraId="4E699042" w14:textId="77777777">
            <w:pPr>
              <w:rPr>
                <w:rFonts w:ascii="Source Sans Pro" w:hAnsi="Source Sans Pro" w:cs="Calibri"/>
                <w:color w:val="000000"/>
                <w:sz w:val="20"/>
                <w:szCs w:val="20"/>
              </w:rPr>
            </w:pPr>
          </w:p>
        </w:tc>
        <w:tc>
          <w:tcPr>
            <w:tcW w:w="800" w:type="dxa"/>
            <w:vMerge/>
            <w:tcBorders>
              <w:top w:val="nil"/>
              <w:left w:val="single" w:sz="8" w:space="0" w:color="auto"/>
              <w:bottom w:val="single" w:sz="8" w:space="0" w:color="auto"/>
              <w:right w:val="single" w:sz="8" w:space="0" w:color="auto"/>
            </w:tcBorders>
            <w:vAlign w:val="center"/>
            <w:hideMark/>
          </w:tcPr>
          <w:p w:rsidR="00645B8A" w:rsidRPr="00C5646D" w:rsidP="005F15DD" w14:paraId="42D00BF1" w14:textId="77777777">
            <w:pPr>
              <w:rPr>
                <w:rFonts w:ascii="Source Sans Pro" w:hAnsi="Source Sans Pro" w:cs="Calibri"/>
                <w:color w:val="000000"/>
                <w:sz w:val="20"/>
                <w:szCs w:val="20"/>
              </w:rPr>
            </w:pPr>
          </w:p>
        </w:tc>
        <w:tc>
          <w:tcPr>
            <w:tcW w:w="1400" w:type="dxa"/>
            <w:vMerge/>
            <w:tcBorders>
              <w:top w:val="nil"/>
              <w:left w:val="single" w:sz="8" w:space="0" w:color="auto"/>
              <w:bottom w:val="single" w:sz="8" w:space="0" w:color="auto"/>
              <w:right w:val="single" w:sz="8" w:space="0" w:color="auto"/>
            </w:tcBorders>
            <w:vAlign w:val="center"/>
            <w:hideMark/>
          </w:tcPr>
          <w:p w:rsidR="00645B8A" w:rsidRPr="00C5646D" w:rsidP="005F15DD" w14:paraId="4266FFD5" w14:textId="77777777">
            <w:pPr>
              <w:rPr>
                <w:rFonts w:ascii="Source Sans Pro" w:hAnsi="Source Sans Pro" w:cs="Calibri"/>
                <w:color w:val="000000"/>
                <w:sz w:val="20"/>
                <w:szCs w:val="20"/>
              </w:rPr>
            </w:pPr>
          </w:p>
        </w:tc>
        <w:tc>
          <w:tcPr>
            <w:tcW w:w="36" w:type="dxa"/>
            <w:tcBorders>
              <w:top w:val="nil"/>
              <w:left w:val="nil"/>
              <w:bottom w:val="nil"/>
              <w:right w:val="nil"/>
            </w:tcBorders>
            <w:noWrap/>
            <w:vAlign w:val="bottom"/>
            <w:hideMark/>
          </w:tcPr>
          <w:p w:rsidR="00645B8A" w:rsidRPr="00C5646D" w:rsidP="005F15DD" w14:paraId="04715BB5" w14:textId="77777777">
            <w:pPr>
              <w:jc w:val="center"/>
              <w:rPr>
                <w:rFonts w:ascii="Source Sans Pro" w:hAnsi="Source Sans Pro" w:cs="Calibri"/>
                <w:color w:val="000000"/>
                <w:sz w:val="20"/>
                <w:szCs w:val="20"/>
              </w:rPr>
            </w:pPr>
          </w:p>
        </w:tc>
      </w:tr>
      <w:tr w14:paraId="4D83CE48" w14:textId="77777777" w:rsidTr="005F15DD">
        <w:tblPrEx>
          <w:tblW w:w="10236" w:type="dxa"/>
          <w:jc w:val="center"/>
          <w:tblCellMar>
            <w:top w:w="15" w:type="dxa"/>
          </w:tblCellMar>
          <w:tblLook w:val="04A0"/>
        </w:tblPrEx>
        <w:trPr>
          <w:trHeight w:val="564"/>
          <w:jc w:val="center"/>
        </w:trPr>
        <w:tc>
          <w:tcPr>
            <w:tcW w:w="2742" w:type="dxa"/>
            <w:tcBorders>
              <w:top w:val="nil"/>
              <w:left w:val="single" w:sz="8" w:space="0" w:color="auto"/>
              <w:bottom w:val="single" w:sz="8" w:space="0" w:color="auto"/>
              <w:right w:val="single" w:sz="8" w:space="0" w:color="auto"/>
            </w:tcBorders>
            <w:vAlign w:val="center"/>
            <w:hideMark/>
          </w:tcPr>
          <w:p w:rsidR="00645B8A" w:rsidRPr="00C5646D" w:rsidP="005F15DD" w14:paraId="76A9A519" w14:textId="77777777">
            <w:pPr>
              <w:rPr>
                <w:rFonts w:ascii="Source Sans Pro" w:hAnsi="Source Sans Pro" w:cs="Calibri"/>
                <w:color w:val="000000"/>
                <w:sz w:val="20"/>
                <w:szCs w:val="20"/>
              </w:rPr>
            </w:pPr>
            <w:r w:rsidRPr="00C5646D">
              <w:rPr>
                <w:rFonts w:ascii="Source Sans Pro" w:hAnsi="Source Sans Pro" w:cs="Calibri"/>
                <w:color w:val="000000"/>
                <w:sz w:val="20"/>
                <w:szCs w:val="20"/>
              </w:rPr>
              <w:t>1. AML/CFT Compliance Cost Survey (Voluntary)</w:t>
            </w:r>
          </w:p>
        </w:tc>
        <w:tc>
          <w:tcPr>
            <w:tcW w:w="860" w:type="dxa"/>
            <w:tcBorders>
              <w:top w:val="nil"/>
              <w:left w:val="nil"/>
              <w:bottom w:val="single" w:sz="8" w:space="0" w:color="auto"/>
              <w:right w:val="single" w:sz="8" w:space="0" w:color="auto"/>
            </w:tcBorders>
            <w:vAlign w:val="center"/>
            <w:hideMark/>
          </w:tcPr>
          <w:p w:rsidR="00645B8A" w:rsidRPr="00C5646D" w:rsidP="005F15DD" w14:paraId="652FB2D4"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100.00</w:t>
            </w:r>
          </w:p>
        </w:tc>
        <w:tc>
          <w:tcPr>
            <w:tcW w:w="920" w:type="dxa"/>
            <w:tcBorders>
              <w:top w:val="nil"/>
              <w:left w:val="nil"/>
              <w:bottom w:val="single" w:sz="8" w:space="0" w:color="auto"/>
              <w:right w:val="single" w:sz="8" w:space="0" w:color="auto"/>
            </w:tcBorders>
            <w:vAlign w:val="center"/>
            <w:hideMark/>
          </w:tcPr>
          <w:p w:rsidR="00645B8A" w:rsidRPr="00C5646D" w:rsidP="005F15DD" w14:paraId="71EC6DDE"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70</w:t>
            </w:r>
          </w:p>
        </w:tc>
        <w:tc>
          <w:tcPr>
            <w:tcW w:w="820" w:type="dxa"/>
            <w:tcBorders>
              <w:top w:val="nil"/>
              <w:left w:val="nil"/>
              <w:bottom w:val="single" w:sz="8" w:space="0" w:color="auto"/>
              <w:right w:val="single" w:sz="8" w:space="0" w:color="auto"/>
            </w:tcBorders>
            <w:vAlign w:val="center"/>
            <w:hideMark/>
          </w:tcPr>
          <w:p w:rsidR="00645B8A" w:rsidRPr="00C5646D" w:rsidP="005F15DD" w14:paraId="163FCB59"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0</w:t>
            </w:r>
          </w:p>
        </w:tc>
        <w:tc>
          <w:tcPr>
            <w:tcW w:w="900" w:type="dxa"/>
            <w:tcBorders>
              <w:top w:val="nil"/>
              <w:left w:val="nil"/>
              <w:bottom w:val="single" w:sz="8" w:space="0" w:color="auto"/>
              <w:right w:val="single" w:sz="8" w:space="0" w:color="auto"/>
            </w:tcBorders>
            <w:vAlign w:val="center"/>
            <w:hideMark/>
          </w:tcPr>
          <w:p w:rsidR="00645B8A" w:rsidRPr="00C5646D" w:rsidP="005F15DD" w14:paraId="2868C5D0"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5</w:t>
            </w:r>
          </w:p>
        </w:tc>
        <w:tc>
          <w:tcPr>
            <w:tcW w:w="798" w:type="dxa"/>
            <w:tcBorders>
              <w:top w:val="nil"/>
              <w:left w:val="nil"/>
              <w:bottom w:val="single" w:sz="8" w:space="0" w:color="auto"/>
              <w:right w:val="single" w:sz="8" w:space="0" w:color="auto"/>
            </w:tcBorders>
            <w:vAlign w:val="center"/>
            <w:hideMark/>
          </w:tcPr>
          <w:p w:rsidR="00645B8A" w:rsidRPr="00C5646D" w:rsidP="005F15DD" w14:paraId="5679840B"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0</w:t>
            </w:r>
          </w:p>
        </w:tc>
        <w:tc>
          <w:tcPr>
            <w:tcW w:w="960" w:type="dxa"/>
            <w:tcBorders>
              <w:top w:val="nil"/>
              <w:left w:val="nil"/>
              <w:bottom w:val="single" w:sz="8" w:space="0" w:color="auto"/>
              <w:right w:val="single" w:sz="8" w:space="0" w:color="auto"/>
            </w:tcBorders>
            <w:vAlign w:val="center"/>
            <w:hideMark/>
          </w:tcPr>
          <w:p w:rsidR="00645B8A" w:rsidRPr="00C5646D" w:rsidP="005F15DD" w14:paraId="0ECB7EC7"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25</w:t>
            </w:r>
          </w:p>
        </w:tc>
        <w:tc>
          <w:tcPr>
            <w:tcW w:w="800" w:type="dxa"/>
            <w:tcBorders>
              <w:top w:val="nil"/>
              <w:left w:val="nil"/>
              <w:bottom w:val="single" w:sz="8" w:space="0" w:color="auto"/>
              <w:right w:val="single" w:sz="8" w:space="0" w:color="auto"/>
            </w:tcBorders>
            <w:vAlign w:val="center"/>
            <w:hideMark/>
          </w:tcPr>
          <w:p w:rsidR="00645B8A" w:rsidRPr="00C5646D" w:rsidP="005F15DD" w14:paraId="2FCB5789" w14:textId="77777777">
            <w:pPr>
              <w:jc w:val="center"/>
              <w:rPr>
                <w:rFonts w:ascii="Source Sans Pro" w:hAnsi="Source Sans Pro" w:cs="Calibri"/>
                <w:color w:val="000000"/>
                <w:sz w:val="20"/>
                <w:szCs w:val="20"/>
              </w:rPr>
            </w:pPr>
            <w:r w:rsidRPr="00C5646D">
              <w:rPr>
                <w:rFonts w:ascii="Source Sans Pro" w:hAnsi="Source Sans Pro" w:cs="Calibri"/>
                <w:color w:val="000000"/>
                <w:sz w:val="20"/>
                <w:szCs w:val="20"/>
              </w:rPr>
              <w:t>0</w:t>
            </w:r>
          </w:p>
        </w:tc>
        <w:tc>
          <w:tcPr>
            <w:tcW w:w="1400" w:type="dxa"/>
            <w:tcBorders>
              <w:top w:val="nil"/>
              <w:left w:val="nil"/>
              <w:bottom w:val="single" w:sz="8" w:space="0" w:color="auto"/>
              <w:right w:val="single" w:sz="8" w:space="0" w:color="auto"/>
            </w:tcBorders>
            <w:vAlign w:val="center"/>
            <w:hideMark/>
          </w:tcPr>
          <w:p w:rsidR="00645B8A" w:rsidRPr="00C5646D" w:rsidP="005F15DD" w14:paraId="26E9E1F0" w14:textId="77777777">
            <w:pPr>
              <w:ind w:firstLine="200" w:firstLineChars="100"/>
              <w:jc w:val="right"/>
              <w:rPr>
                <w:rFonts w:ascii="Source Sans Pro" w:hAnsi="Source Sans Pro" w:cs="Calibri"/>
                <w:color w:val="000000"/>
                <w:sz w:val="20"/>
                <w:szCs w:val="20"/>
              </w:rPr>
            </w:pPr>
            <w:r w:rsidRPr="00C5646D">
              <w:rPr>
                <w:rFonts w:ascii="Source Sans Pro" w:hAnsi="Source Sans Pro" w:cs="Calibri"/>
                <w:color w:val="000000"/>
                <w:sz w:val="20"/>
                <w:szCs w:val="20"/>
              </w:rPr>
              <w:t xml:space="preserve">$140.65 </w:t>
            </w:r>
          </w:p>
        </w:tc>
        <w:tc>
          <w:tcPr>
            <w:tcW w:w="36" w:type="dxa"/>
            <w:vAlign w:val="center"/>
            <w:hideMark/>
          </w:tcPr>
          <w:p w:rsidR="00645B8A" w:rsidRPr="00C5646D" w:rsidP="005F15DD" w14:paraId="758D6C61" w14:textId="77777777">
            <w:pPr>
              <w:rPr>
                <w:sz w:val="20"/>
                <w:szCs w:val="20"/>
              </w:rPr>
            </w:pPr>
          </w:p>
        </w:tc>
      </w:tr>
      <w:tr w14:paraId="7D688CB1" w14:textId="77777777" w:rsidTr="005F15DD">
        <w:tblPrEx>
          <w:tblW w:w="10236" w:type="dxa"/>
          <w:jc w:val="center"/>
          <w:tblCellMar>
            <w:top w:w="15" w:type="dxa"/>
          </w:tblCellMar>
          <w:tblLook w:val="04A0"/>
        </w:tblPrEx>
        <w:trPr>
          <w:trHeight w:val="300"/>
          <w:jc w:val="center"/>
        </w:trPr>
        <w:tc>
          <w:tcPr>
            <w:tcW w:w="8800" w:type="dxa"/>
            <w:gridSpan w:val="8"/>
            <w:tcBorders>
              <w:top w:val="single" w:sz="8" w:space="0" w:color="auto"/>
              <w:left w:val="single" w:sz="8" w:space="0" w:color="auto"/>
              <w:bottom w:val="nil"/>
              <w:right w:val="single" w:sz="8" w:space="0" w:color="auto"/>
            </w:tcBorders>
            <w:vAlign w:val="center"/>
            <w:hideMark/>
          </w:tcPr>
          <w:p w:rsidR="00645B8A" w:rsidRPr="00C5646D" w:rsidP="005F15DD" w14:paraId="548D8289" w14:textId="77777777">
            <w:pPr>
              <w:jc w:val="right"/>
              <w:rPr>
                <w:rFonts w:ascii="Source Sans Pro" w:hAnsi="Source Sans Pro" w:cs="Calibri"/>
                <w:b/>
                <w:bCs/>
                <w:i/>
                <w:iCs/>
                <w:color w:val="000000"/>
              </w:rPr>
            </w:pPr>
            <w:r w:rsidRPr="00C5646D">
              <w:rPr>
                <w:rFonts w:ascii="Source Sans Pro" w:hAnsi="Source Sans Pro" w:cs="Calibri"/>
                <w:b/>
                <w:bCs/>
                <w:i/>
                <w:iCs/>
                <w:color w:val="000000"/>
              </w:rPr>
              <w:t>Weighted Average Hourly Compensation Rate:</w:t>
            </w:r>
          </w:p>
        </w:tc>
        <w:tc>
          <w:tcPr>
            <w:tcW w:w="1400" w:type="dxa"/>
            <w:tcBorders>
              <w:top w:val="nil"/>
              <w:left w:val="nil"/>
              <w:bottom w:val="nil"/>
              <w:right w:val="single" w:sz="8" w:space="0" w:color="auto"/>
            </w:tcBorders>
            <w:vAlign w:val="center"/>
            <w:hideMark/>
          </w:tcPr>
          <w:p w:rsidR="00645B8A" w:rsidRPr="00C5646D" w:rsidP="005F15DD" w14:paraId="53D5AE91" w14:textId="77777777">
            <w:pPr>
              <w:ind w:firstLine="240" w:firstLineChars="100"/>
              <w:jc w:val="right"/>
              <w:rPr>
                <w:rFonts w:ascii="Source Sans Pro" w:hAnsi="Source Sans Pro" w:cs="Calibri"/>
                <w:b/>
                <w:bCs/>
                <w:i/>
                <w:iCs/>
                <w:color w:val="000000"/>
              </w:rPr>
            </w:pPr>
            <w:r w:rsidRPr="00C5646D">
              <w:rPr>
                <w:rFonts w:ascii="Source Sans Pro" w:hAnsi="Source Sans Pro" w:cs="Calibri"/>
                <w:b/>
                <w:bCs/>
                <w:i/>
                <w:iCs/>
                <w:color w:val="000000"/>
              </w:rPr>
              <w:t xml:space="preserve">$140.65 </w:t>
            </w:r>
          </w:p>
        </w:tc>
        <w:tc>
          <w:tcPr>
            <w:tcW w:w="36" w:type="dxa"/>
            <w:vAlign w:val="center"/>
            <w:hideMark/>
          </w:tcPr>
          <w:p w:rsidR="00645B8A" w:rsidRPr="00C5646D" w:rsidP="005F15DD" w14:paraId="4796C0A0" w14:textId="77777777">
            <w:pPr>
              <w:rPr>
                <w:sz w:val="20"/>
                <w:szCs w:val="20"/>
              </w:rPr>
            </w:pPr>
          </w:p>
        </w:tc>
      </w:tr>
      <w:tr w14:paraId="457E93A0" w14:textId="77777777" w:rsidTr="005F15DD">
        <w:tblPrEx>
          <w:tblW w:w="10236" w:type="dxa"/>
          <w:jc w:val="center"/>
          <w:tblCellMar>
            <w:top w:w="15" w:type="dxa"/>
          </w:tblCellMar>
          <w:tblLook w:val="04A0"/>
        </w:tblPrEx>
        <w:trPr>
          <w:trHeight w:val="252"/>
          <w:jc w:val="center"/>
        </w:trPr>
        <w:tc>
          <w:tcPr>
            <w:tcW w:w="10200" w:type="dxa"/>
            <w:gridSpan w:val="9"/>
            <w:vMerge w:val="restart"/>
            <w:tcBorders>
              <w:top w:val="single" w:sz="8" w:space="0" w:color="auto"/>
              <w:left w:val="single" w:sz="8" w:space="0" w:color="auto"/>
              <w:bottom w:val="nil"/>
              <w:right w:val="single" w:sz="8" w:space="0" w:color="000000"/>
            </w:tcBorders>
            <w:vAlign w:val="center"/>
            <w:hideMark/>
          </w:tcPr>
          <w:p w:rsidR="00645B8A" w:rsidRPr="00C5646D" w:rsidP="005F15DD" w14:paraId="2EEA68F3" w14:textId="77777777">
            <w:pPr>
              <w:rPr>
                <w:rFonts w:ascii="Source Sans Pro" w:hAnsi="Source Sans Pro" w:cs="Calibri"/>
                <w:color w:val="000000"/>
                <w:sz w:val="18"/>
                <w:szCs w:val="18"/>
              </w:rPr>
            </w:pPr>
            <w:r w:rsidRPr="00C5646D">
              <w:rPr>
                <w:rFonts w:ascii="Source Sans Pro" w:hAnsi="Source Sans Pro" w:cs="Calibri"/>
                <w:color w:val="000000"/>
                <w:sz w:val="18"/>
                <w:szCs w:val="18"/>
              </w:rPr>
              <w:t xml:space="preserve">Source: Bureau of Labor Statistics: 'National Industry-Specific Occupational Employment and Wage Estimates: Industry: Credit Intermediation and Related Activities (5221 And 5223 only)' (May 2024), Employer Cost of Employee Compensation (March 2024), and Employment Cost Index (March 2024 and March 2025). Standard Occupational Classification (SOC) Codes: Exec. And </w:t>
            </w:r>
            <w:r w:rsidRPr="00C5646D">
              <w:rPr>
                <w:rFonts w:ascii="Source Sans Pro" w:hAnsi="Source Sans Pro" w:cs="Calibri"/>
                <w:color w:val="000000"/>
                <w:sz w:val="18"/>
                <w:szCs w:val="18"/>
              </w:rPr>
              <w:t>Mgr</w:t>
            </w:r>
            <w:r w:rsidRPr="00C5646D">
              <w:rPr>
                <w:rFonts w:ascii="Source Sans Pro" w:hAnsi="Source Sans Pro" w:cs="Calibri"/>
                <w:color w:val="000000"/>
                <w:sz w:val="18"/>
                <w:szCs w:val="18"/>
              </w:rPr>
              <w:t xml:space="preserve"> = 11-0000 Management Occupations; Lawyer = 23-0000 Legal Occupations; </w:t>
            </w:r>
            <w:r w:rsidRPr="00C5646D">
              <w:rPr>
                <w:rFonts w:ascii="Source Sans Pro" w:hAnsi="Source Sans Pro" w:cs="Calibri"/>
                <w:color w:val="000000"/>
                <w:sz w:val="18"/>
                <w:szCs w:val="18"/>
              </w:rPr>
              <w:t>Compl</w:t>
            </w:r>
            <w:r w:rsidRPr="00C5646D">
              <w:rPr>
                <w:rFonts w:ascii="Source Sans Pro" w:hAnsi="Source Sans Pro" w:cs="Calibri"/>
                <w:color w:val="000000"/>
                <w:sz w:val="18"/>
                <w:szCs w:val="18"/>
              </w:rPr>
              <w:t xml:space="preserve">. Ofc. = 13-1040 Compliance Officers; IT = 15-0000 Computer and Mathematical Occupations; Fin. </w:t>
            </w:r>
            <w:r w:rsidRPr="00C5646D">
              <w:rPr>
                <w:rFonts w:ascii="Source Sans Pro" w:hAnsi="Source Sans Pro" w:cs="Calibri"/>
                <w:color w:val="000000"/>
                <w:sz w:val="18"/>
                <w:szCs w:val="18"/>
              </w:rPr>
              <w:t>Anlst</w:t>
            </w:r>
            <w:r w:rsidRPr="00C5646D">
              <w:rPr>
                <w:rFonts w:ascii="Source Sans Pro" w:hAnsi="Source Sans Pro" w:cs="Calibri"/>
                <w:color w:val="000000"/>
                <w:sz w:val="18"/>
                <w:szCs w:val="18"/>
              </w:rPr>
              <w:t xml:space="preserve">. = 13-2051 Financial and Investment Analysts; Clerical = 43-0000 Office and Administrative Support Occupations. </w:t>
            </w:r>
          </w:p>
        </w:tc>
        <w:tc>
          <w:tcPr>
            <w:tcW w:w="36" w:type="dxa"/>
            <w:vAlign w:val="center"/>
            <w:hideMark/>
          </w:tcPr>
          <w:p w:rsidR="00645B8A" w:rsidRPr="00C5646D" w:rsidP="005F15DD" w14:paraId="71C8F57C" w14:textId="77777777">
            <w:pPr>
              <w:rPr>
                <w:sz w:val="20"/>
                <w:szCs w:val="20"/>
              </w:rPr>
            </w:pPr>
          </w:p>
        </w:tc>
      </w:tr>
      <w:tr w14:paraId="7A5933C0" w14:textId="77777777" w:rsidTr="005F15DD">
        <w:tblPrEx>
          <w:tblW w:w="10236" w:type="dxa"/>
          <w:jc w:val="center"/>
          <w:tblCellMar>
            <w:top w:w="15" w:type="dxa"/>
          </w:tblCellMar>
          <w:tblLook w:val="04A0"/>
        </w:tblPrEx>
        <w:trPr>
          <w:trHeight w:val="288"/>
          <w:jc w:val="center"/>
        </w:trPr>
        <w:tc>
          <w:tcPr>
            <w:tcW w:w="10200" w:type="dxa"/>
            <w:gridSpan w:val="9"/>
            <w:vMerge/>
            <w:tcBorders>
              <w:top w:val="single" w:sz="8" w:space="0" w:color="auto"/>
              <w:left w:val="single" w:sz="8" w:space="0" w:color="auto"/>
              <w:bottom w:val="nil"/>
              <w:right w:val="single" w:sz="8" w:space="0" w:color="000000"/>
            </w:tcBorders>
            <w:vAlign w:val="center"/>
            <w:hideMark/>
          </w:tcPr>
          <w:p w:rsidR="00645B8A" w:rsidRPr="00C5646D" w:rsidP="005F15DD" w14:paraId="23F24B73" w14:textId="77777777">
            <w:pPr>
              <w:rPr>
                <w:rFonts w:ascii="Source Sans Pro" w:hAnsi="Source Sans Pro" w:cs="Calibri"/>
                <w:color w:val="000000"/>
                <w:sz w:val="18"/>
                <w:szCs w:val="18"/>
              </w:rPr>
            </w:pPr>
          </w:p>
        </w:tc>
        <w:tc>
          <w:tcPr>
            <w:tcW w:w="36" w:type="dxa"/>
            <w:tcBorders>
              <w:top w:val="nil"/>
              <w:left w:val="nil"/>
              <w:bottom w:val="nil"/>
              <w:right w:val="nil"/>
            </w:tcBorders>
            <w:noWrap/>
            <w:vAlign w:val="bottom"/>
            <w:hideMark/>
          </w:tcPr>
          <w:p w:rsidR="00645B8A" w:rsidRPr="00C5646D" w:rsidP="005F15DD" w14:paraId="21454AF4" w14:textId="77777777">
            <w:pPr>
              <w:rPr>
                <w:rFonts w:ascii="Source Sans Pro" w:hAnsi="Source Sans Pro" w:cs="Calibri"/>
                <w:color w:val="000000"/>
                <w:sz w:val="18"/>
                <w:szCs w:val="18"/>
              </w:rPr>
            </w:pPr>
          </w:p>
        </w:tc>
      </w:tr>
      <w:tr w14:paraId="0AAD6F18" w14:textId="77777777" w:rsidTr="005F15DD">
        <w:tblPrEx>
          <w:tblW w:w="10236" w:type="dxa"/>
          <w:jc w:val="center"/>
          <w:tblCellMar>
            <w:top w:w="15" w:type="dxa"/>
          </w:tblCellMar>
          <w:tblLook w:val="04A0"/>
        </w:tblPrEx>
        <w:trPr>
          <w:trHeight w:val="288"/>
          <w:jc w:val="center"/>
        </w:trPr>
        <w:tc>
          <w:tcPr>
            <w:tcW w:w="10200" w:type="dxa"/>
            <w:gridSpan w:val="9"/>
            <w:vMerge/>
            <w:tcBorders>
              <w:top w:val="single" w:sz="8" w:space="0" w:color="auto"/>
              <w:left w:val="single" w:sz="8" w:space="0" w:color="auto"/>
              <w:bottom w:val="nil"/>
              <w:right w:val="single" w:sz="8" w:space="0" w:color="000000"/>
            </w:tcBorders>
            <w:vAlign w:val="center"/>
            <w:hideMark/>
          </w:tcPr>
          <w:p w:rsidR="00645B8A" w:rsidRPr="00C5646D" w:rsidP="005F15DD" w14:paraId="4B234708" w14:textId="77777777">
            <w:pPr>
              <w:rPr>
                <w:rFonts w:ascii="Source Sans Pro" w:hAnsi="Source Sans Pro" w:cs="Calibri"/>
                <w:color w:val="000000"/>
                <w:sz w:val="18"/>
                <w:szCs w:val="18"/>
              </w:rPr>
            </w:pPr>
          </w:p>
        </w:tc>
        <w:tc>
          <w:tcPr>
            <w:tcW w:w="36" w:type="dxa"/>
            <w:tcBorders>
              <w:top w:val="nil"/>
              <w:left w:val="nil"/>
              <w:bottom w:val="nil"/>
              <w:right w:val="nil"/>
            </w:tcBorders>
            <w:noWrap/>
            <w:vAlign w:val="bottom"/>
            <w:hideMark/>
          </w:tcPr>
          <w:p w:rsidR="00645B8A" w:rsidRPr="00C5646D" w:rsidP="005F15DD" w14:paraId="2368E888" w14:textId="77777777">
            <w:pPr>
              <w:rPr>
                <w:sz w:val="20"/>
                <w:szCs w:val="20"/>
              </w:rPr>
            </w:pPr>
          </w:p>
        </w:tc>
      </w:tr>
      <w:tr w14:paraId="43D6BD49" w14:textId="77777777" w:rsidTr="005F15DD">
        <w:tblPrEx>
          <w:tblW w:w="10236" w:type="dxa"/>
          <w:jc w:val="center"/>
          <w:tblCellMar>
            <w:top w:w="15" w:type="dxa"/>
          </w:tblCellMar>
          <w:tblLook w:val="04A0"/>
        </w:tblPrEx>
        <w:trPr>
          <w:trHeight w:val="312"/>
          <w:jc w:val="center"/>
        </w:trPr>
        <w:tc>
          <w:tcPr>
            <w:tcW w:w="10200" w:type="dxa"/>
            <w:gridSpan w:val="9"/>
            <w:vMerge/>
            <w:tcBorders>
              <w:top w:val="single" w:sz="8" w:space="0" w:color="auto"/>
              <w:left w:val="single" w:sz="8" w:space="0" w:color="auto"/>
              <w:bottom w:val="nil"/>
              <w:right w:val="single" w:sz="8" w:space="0" w:color="000000"/>
            </w:tcBorders>
            <w:vAlign w:val="center"/>
            <w:hideMark/>
          </w:tcPr>
          <w:p w:rsidR="00645B8A" w:rsidRPr="00C5646D" w:rsidP="005F15DD" w14:paraId="3A8B9C59" w14:textId="77777777">
            <w:pPr>
              <w:rPr>
                <w:rFonts w:ascii="Source Sans Pro" w:hAnsi="Source Sans Pro" w:cs="Calibri"/>
                <w:color w:val="000000"/>
                <w:sz w:val="18"/>
                <w:szCs w:val="18"/>
              </w:rPr>
            </w:pPr>
          </w:p>
        </w:tc>
        <w:tc>
          <w:tcPr>
            <w:tcW w:w="36" w:type="dxa"/>
            <w:tcBorders>
              <w:top w:val="nil"/>
              <w:left w:val="nil"/>
              <w:bottom w:val="nil"/>
              <w:right w:val="nil"/>
            </w:tcBorders>
            <w:noWrap/>
            <w:vAlign w:val="bottom"/>
            <w:hideMark/>
          </w:tcPr>
          <w:p w:rsidR="00645B8A" w:rsidRPr="00C5646D" w:rsidP="005F15DD" w14:paraId="18F9D7C1" w14:textId="77777777">
            <w:pPr>
              <w:rPr>
                <w:sz w:val="20"/>
                <w:szCs w:val="20"/>
              </w:rPr>
            </w:pPr>
          </w:p>
        </w:tc>
      </w:tr>
      <w:tr w14:paraId="40551FD9" w14:textId="77777777" w:rsidTr="005F15DD">
        <w:tblPrEx>
          <w:tblW w:w="10236" w:type="dxa"/>
          <w:jc w:val="center"/>
          <w:tblCellMar>
            <w:top w:w="15" w:type="dxa"/>
          </w:tblCellMar>
          <w:tblLook w:val="04A0"/>
        </w:tblPrEx>
        <w:trPr>
          <w:trHeight w:val="348"/>
          <w:jc w:val="center"/>
        </w:trPr>
        <w:tc>
          <w:tcPr>
            <w:tcW w:w="10200" w:type="dxa"/>
            <w:gridSpan w:val="9"/>
            <w:vMerge w:val="restart"/>
            <w:tcBorders>
              <w:top w:val="nil"/>
              <w:left w:val="single" w:sz="8" w:space="0" w:color="auto"/>
              <w:bottom w:val="single" w:sz="8" w:space="0" w:color="auto"/>
              <w:right w:val="single" w:sz="8" w:space="0" w:color="auto"/>
            </w:tcBorders>
            <w:vAlign w:val="center"/>
            <w:hideMark/>
          </w:tcPr>
          <w:p w:rsidR="00645B8A" w:rsidRPr="00C5646D" w:rsidP="005F15DD" w14:paraId="20287FE0" w14:textId="77777777">
            <w:pPr>
              <w:rPr>
                <w:rFonts w:ascii="Source Sans Pro" w:hAnsi="Source Sans Pro" w:cs="Calibri"/>
                <w:color w:val="000000"/>
                <w:sz w:val="18"/>
                <w:szCs w:val="18"/>
              </w:rPr>
            </w:pPr>
            <w:r w:rsidRPr="00C5646D">
              <w:rPr>
                <w:rFonts w:ascii="Source Sans Pro" w:hAnsi="Source Sans Pro" w:cs="Calibri"/>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36" w:type="dxa"/>
            <w:vAlign w:val="center"/>
            <w:hideMark/>
          </w:tcPr>
          <w:p w:rsidR="00645B8A" w:rsidRPr="00C5646D" w:rsidP="005F15DD" w14:paraId="4CBE6C7F" w14:textId="77777777">
            <w:pPr>
              <w:rPr>
                <w:sz w:val="20"/>
                <w:szCs w:val="20"/>
              </w:rPr>
            </w:pPr>
          </w:p>
        </w:tc>
      </w:tr>
      <w:tr w14:paraId="56C3F68D" w14:textId="77777777" w:rsidTr="005F15DD">
        <w:tblPrEx>
          <w:tblW w:w="10236" w:type="dxa"/>
          <w:jc w:val="center"/>
          <w:tblCellMar>
            <w:top w:w="15" w:type="dxa"/>
          </w:tblCellMar>
          <w:tblLook w:val="04A0"/>
        </w:tblPrEx>
        <w:trPr>
          <w:trHeight w:val="288"/>
          <w:jc w:val="center"/>
        </w:trPr>
        <w:tc>
          <w:tcPr>
            <w:tcW w:w="10200" w:type="dxa"/>
            <w:gridSpan w:val="9"/>
            <w:vMerge/>
            <w:tcBorders>
              <w:top w:val="nil"/>
              <w:left w:val="single" w:sz="8" w:space="0" w:color="auto"/>
              <w:bottom w:val="single" w:sz="8" w:space="0" w:color="auto"/>
              <w:right w:val="single" w:sz="8" w:space="0" w:color="auto"/>
            </w:tcBorders>
            <w:vAlign w:val="center"/>
            <w:hideMark/>
          </w:tcPr>
          <w:p w:rsidR="00645B8A" w:rsidRPr="00C5646D" w:rsidP="005F15DD" w14:paraId="1CB3AE43" w14:textId="77777777">
            <w:pPr>
              <w:rPr>
                <w:rFonts w:ascii="Source Sans Pro" w:hAnsi="Source Sans Pro" w:cs="Calibri"/>
                <w:color w:val="000000"/>
                <w:sz w:val="18"/>
                <w:szCs w:val="18"/>
              </w:rPr>
            </w:pPr>
          </w:p>
        </w:tc>
        <w:tc>
          <w:tcPr>
            <w:tcW w:w="36" w:type="dxa"/>
            <w:tcBorders>
              <w:top w:val="nil"/>
              <w:left w:val="nil"/>
              <w:bottom w:val="nil"/>
              <w:right w:val="nil"/>
            </w:tcBorders>
            <w:noWrap/>
            <w:vAlign w:val="bottom"/>
            <w:hideMark/>
          </w:tcPr>
          <w:p w:rsidR="00645B8A" w:rsidRPr="00C5646D" w:rsidP="005F15DD" w14:paraId="3430FF6E" w14:textId="77777777">
            <w:pPr>
              <w:rPr>
                <w:rFonts w:ascii="Source Sans Pro" w:hAnsi="Source Sans Pro" w:cs="Calibri"/>
                <w:color w:val="000000"/>
                <w:sz w:val="18"/>
                <w:szCs w:val="18"/>
              </w:rPr>
            </w:pPr>
          </w:p>
        </w:tc>
      </w:tr>
      <w:tr w14:paraId="6C66D985" w14:textId="77777777" w:rsidTr="005F15DD">
        <w:tblPrEx>
          <w:tblW w:w="10236" w:type="dxa"/>
          <w:jc w:val="center"/>
          <w:tblCellMar>
            <w:top w:w="15" w:type="dxa"/>
          </w:tblCellMar>
          <w:tblLook w:val="04A0"/>
        </w:tblPrEx>
        <w:trPr>
          <w:trHeight w:val="288"/>
          <w:jc w:val="center"/>
        </w:trPr>
        <w:tc>
          <w:tcPr>
            <w:tcW w:w="10200" w:type="dxa"/>
            <w:gridSpan w:val="9"/>
            <w:vMerge/>
            <w:tcBorders>
              <w:top w:val="nil"/>
              <w:left w:val="single" w:sz="8" w:space="0" w:color="auto"/>
              <w:bottom w:val="single" w:sz="8" w:space="0" w:color="auto"/>
              <w:right w:val="single" w:sz="8" w:space="0" w:color="auto"/>
            </w:tcBorders>
            <w:vAlign w:val="center"/>
            <w:hideMark/>
          </w:tcPr>
          <w:p w:rsidR="00645B8A" w:rsidRPr="00C5646D" w:rsidP="005F15DD" w14:paraId="36D66606" w14:textId="77777777">
            <w:pPr>
              <w:rPr>
                <w:rFonts w:ascii="Source Sans Pro" w:hAnsi="Source Sans Pro" w:cs="Calibri"/>
                <w:color w:val="000000"/>
                <w:sz w:val="18"/>
                <w:szCs w:val="18"/>
              </w:rPr>
            </w:pPr>
          </w:p>
        </w:tc>
        <w:tc>
          <w:tcPr>
            <w:tcW w:w="36" w:type="dxa"/>
            <w:tcBorders>
              <w:top w:val="nil"/>
              <w:left w:val="nil"/>
              <w:bottom w:val="nil"/>
              <w:right w:val="nil"/>
            </w:tcBorders>
            <w:noWrap/>
            <w:vAlign w:val="bottom"/>
            <w:hideMark/>
          </w:tcPr>
          <w:p w:rsidR="00645B8A" w:rsidRPr="00C5646D" w:rsidP="005F15DD" w14:paraId="5A14D61C" w14:textId="77777777">
            <w:pPr>
              <w:rPr>
                <w:sz w:val="20"/>
                <w:szCs w:val="20"/>
              </w:rPr>
            </w:pPr>
          </w:p>
        </w:tc>
      </w:tr>
      <w:tr w14:paraId="11323F81" w14:textId="77777777" w:rsidTr="005F15DD">
        <w:tblPrEx>
          <w:tblW w:w="10236" w:type="dxa"/>
          <w:jc w:val="center"/>
          <w:tblCellMar>
            <w:top w:w="15" w:type="dxa"/>
          </w:tblCellMar>
          <w:tblLook w:val="04A0"/>
        </w:tblPrEx>
        <w:trPr>
          <w:trHeight w:val="300"/>
          <w:jc w:val="center"/>
        </w:trPr>
        <w:tc>
          <w:tcPr>
            <w:tcW w:w="10200" w:type="dxa"/>
            <w:gridSpan w:val="9"/>
            <w:vMerge/>
            <w:tcBorders>
              <w:top w:val="nil"/>
              <w:left w:val="single" w:sz="8" w:space="0" w:color="auto"/>
              <w:bottom w:val="single" w:sz="8" w:space="0" w:color="auto"/>
              <w:right w:val="single" w:sz="8" w:space="0" w:color="auto"/>
            </w:tcBorders>
            <w:vAlign w:val="center"/>
            <w:hideMark/>
          </w:tcPr>
          <w:p w:rsidR="00645B8A" w:rsidRPr="00C5646D" w:rsidP="005F15DD" w14:paraId="40B3ABFE" w14:textId="77777777">
            <w:pPr>
              <w:rPr>
                <w:rFonts w:ascii="Source Sans Pro" w:hAnsi="Source Sans Pro" w:cs="Calibri"/>
                <w:color w:val="000000"/>
                <w:sz w:val="18"/>
                <w:szCs w:val="18"/>
              </w:rPr>
            </w:pPr>
          </w:p>
        </w:tc>
        <w:tc>
          <w:tcPr>
            <w:tcW w:w="36" w:type="dxa"/>
            <w:tcBorders>
              <w:top w:val="nil"/>
              <w:left w:val="nil"/>
              <w:bottom w:val="nil"/>
              <w:right w:val="nil"/>
            </w:tcBorders>
            <w:noWrap/>
            <w:vAlign w:val="bottom"/>
            <w:hideMark/>
          </w:tcPr>
          <w:p w:rsidR="00645B8A" w:rsidRPr="00C5646D" w:rsidP="005F15DD" w14:paraId="47D9FFAC" w14:textId="77777777">
            <w:pPr>
              <w:rPr>
                <w:sz w:val="20"/>
                <w:szCs w:val="20"/>
              </w:rPr>
            </w:pPr>
          </w:p>
        </w:tc>
      </w:tr>
    </w:tbl>
    <w:p w:rsidR="00E67226" w14:paraId="281C3954" w14:textId="27A145E2">
      <w:pPr>
        <w:rPr>
          <w:bCs/>
          <w:szCs w:val="20"/>
        </w:rPr>
      </w:pPr>
    </w:p>
    <w:p w:rsidR="00281807" w14:paraId="7083ADD9" w14:textId="77777777">
      <w:pPr>
        <w:rPr>
          <w:bCs/>
          <w:szCs w:val="20"/>
        </w:rPr>
      </w:pPr>
    </w:p>
    <w:p w:rsidR="00281807" w14:paraId="5E5FE65B" w14:textId="77777777">
      <w:pPr>
        <w:rPr>
          <w:bCs/>
          <w:szCs w:val="20"/>
        </w:rPr>
      </w:pPr>
    </w:p>
    <w:p w:rsidR="00281807" w14:paraId="64D0EE63" w14:textId="77777777">
      <w:pPr>
        <w:rPr>
          <w:bCs/>
          <w:szCs w:val="20"/>
        </w:rPr>
      </w:pPr>
    </w:p>
    <w:p w:rsidR="00281807" w14:paraId="0A25FF50" w14:textId="77777777">
      <w:pPr>
        <w:rPr>
          <w:bCs/>
          <w:szCs w:val="20"/>
        </w:rPr>
      </w:pPr>
    </w:p>
    <w:p w:rsidR="00281807" w14:paraId="64403C12" w14:textId="77777777">
      <w:pPr>
        <w:rPr>
          <w:bCs/>
          <w:szCs w:val="20"/>
        </w:rPr>
      </w:pPr>
    </w:p>
    <w:p w:rsidR="00281807" w14:paraId="25B18DFF" w14:textId="77777777">
      <w:pPr>
        <w:rPr>
          <w:bCs/>
          <w:szCs w:val="20"/>
        </w:rPr>
      </w:pPr>
    </w:p>
    <w:tbl>
      <w:tblPr>
        <w:tblW w:w="10420" w:type="dxa"/>
        <w:jc w:val="center"/>
        <w:tblLook w:val="04A0"/>
      </w:tblPr>
      <w:tblGrid>
        <w:gridCol w:w="2080"/>
        <w:gridCol w:w="3082"/>
        <w:gridCol w:w="3018"/>
        <w:gridCol w:w="2240"/>
      </w:tblGrid>
      <w:tr w14:paraId="6CEAB30F" w14:textId="77777777" w:rsidTr="00E67226">
        <w:tblPrEx>
          <w:tblW w:w="10420" w:type="dxa"/>
          <w:jc w:val="center"/>
          <w:tblLook w:val="04A0"/>
        </w:tblPrEx>
        <w:trPr>
          <w:trHeight w:val="360"/>
          <w:jc w:val="center"/>
        </w:trPr>
        <w:tc>
          <w:tcPr>
            <w:tcW w:w="10420" w:type="dxa"/>
            <w:gridSpan w:val="4"/>
            <w:tcBorders>
              <w:top w:val="single" w:sz="8" w:space="0" w:color="auto"/>
              <w:left w:val="single" w:sz="8" w:space="0" w:color="auto"/>
              <w:bottom w:val="single" w:sz="8" w:space="0" w:color="auto"/>
              <w:right w:val="single" w:sz="8" w:space="0" w:color="000000"/>
            </w:tcBorders>
            <w:noWrap/>
            <w:vAlign w:val="center"/>
            <w:hideMark/>
          </w:tcPr>
          <w:p w:rsidR="00E67226" w:rsidRPr="00753E01" w:rsidP="005F15DD" w14:paraId="58E8900A" w14:textId="6A109E05">
            <w:pPr>
              <w:jc w:val="center"/>
              <w:rPr>
                <w:rFonts w:ascii="Source Sans Pro" w:hAnsi="Source Sans Pro" w:cs="Calibri"/>
                <w:color w:val="000000"/>
              </w:rPr>
            </w:pPr>
            <w:r w:rsidRPr="00753E01">
              <w:rPr>
                <w:rFonts w:ascii="Source Sans Pro" w:hAnsi="Source Sans Pro" w:cs="Calibri"/>
                <w:color w:val="000000"/>
              </w:rPr>
              <w:t xml:space="preserve">Table </w:t>
            </w:r>
            <w:r w:rsidR="00281807">
              <w:rPr>
                <w:rFonts w:ascii="Source Sans Pro" w:hAnsi="Source Sans Pro" w:cs="Calibri"/>
                <w:color w:val="000000"/>
              </w:rPr>
              <w:t>2</w:t>
            </w:r>
            <w:r w:rsidRPr="00753E01">
              <w:rPr>
                <w:rFonts w:ascii="Source Sans Pro" w:hAnsi="Source Sans Pro" w:cs="Calibri"/>
                <w:color w:val="000000"/>
              </w:rPr>
              <w:t>. Total Estimated Cost Burden (OMB No. 3064-NEW)</w:t>
            </w:r>
          </w:p>
        </w:tc>
      </w:tr>
      <w:tr w14:paraId="2D79E6BE" w14:textId="77777777" w:rsidTr="00E67226">
        <w:tblPrEx>
          <w:tblW w:w="10420" w:type="dxa"/>
          <w:jc w:val="center"/>
          <w:tblLook w:val="04A0"/>
        </w:tblPrEx>
        <w:trPr>
          <w:trHeight w:val="600"/>
          <w:jc w:val="center"/>
        </w:trPr>
        <w:tc>
          <w:tcPr>
            <w:tcW w:w="2080" w:type="dxa"/>
            <w:tcBorders>
              <w:top w:val="nil"/>
              <w:left w:val="single" w:sz="8" w:space="0" w:color="auto"/>
              <w:bottom w:val="single" w:sz="8" w:space="0" w:color="auto"/>
              <w:right w:val="single" w:sz="8" w:space="0" w:color="auto"/>
            </w:tcBorders>
            <w:vAlign w:val="center"/>
            <w:hideMark/>
          </w:tcPr>
          <w:p w:rsidR="00E67226" w:rsidRPr="00753E01" w:rsidP="005F15DD" w14:paraId="02E44814" w14:textId="77777777">
            <w:pPr>
              <w:rPr>
                <w:rFonts w:ascii="Source Sans Pro" w:hAnsi="Source Sans Pro" w:cs="Calibri"/>
                <w:color w:val="000000"/>
                <w:sz w:val="20"/>
                <w:szCs w:val="20"/>
              </w:rPr>
            </w:pPr>
            <w:r w:rsidRPr="00753E01">
              <w:rPr>
                <w:rFonts w:ascii="Source Sans Pro" w:hAnsi="Source Sans Pro" w:cs="Calibri"/>
                <w:color w:val="000000"/>
                <w:sz w:val="20"/>
                <w:szCs w:val="20"/>
              </w:rPr>
              <w:t>Information Collection Request</w:t>
            </w:r>
          </w:p>
        </w:tc>
        <w:tc>
          <w:tcPr>
            <w:tcW w:w="3082" w:type="dxa"/>
            <w:tcBorders>
              <w:top w:val="nil"/>
              <w:left w:val="nil"/>
              <w:bottom w:val="single" w:sz="8" w:space="0" w:color="auto"/>
              <w:right w:val="single" w:sz="8" w:space="0" w:color="auto"/>
            </w:tcBorders>
            <w:vAlign w:val="center"/>
            <w:hideMark/>
          </w:tcPr>
          <w:p w:rsidR="00E67226" w:rsidRPr="00753E01" w:rsidP="005F15DD" w14:paraId="0AADE409" w14:textId="77777777">
            <w:pPr>
              <w:jc w:val="center"/>
              <w:rPr>
                <w:rFonts w:ascii="Source Sans Pro" w:hAnsi="Source Sans Pro" w:cs="Calibri"/>
                <w:color w:val="000000"/>
                <w:sz w:val="20"/>
                <w:szCs w:val="20"/>
              </w:rPr>
            </w:pPr>
            <w:r w:rsidRPr="00753E01">
              <w:rPr>
                <w:rFonts w:ascii="Source Sans Pro" w:hAnsi="Source Sans Pro" w:cs="Calibri"/>
                <w:color w:val="000000"/>
                <w:sz w:val="20"/>
                <w:szCs w:val="20"/>
              </w:rPr>
              <w:t>Annual Burden (Hours)</w:t>
            </w:r>
          </w:p>
        </w:tc>
        <w:tc>
          <w:tcPr>
            <w:tcW w:w="3018" w:type="dxa"/>
            <w:tcBorders>
              <w:top w:val="nil"/>
              <w:left w:val="nil"/>
              <w:bottom w:val="single" w:sz="8" w:space="0" w:color="auto"/>
              <w:right w:val="single" w:sz="8" w:space="0" w:color="auto"/>
            </w:tcBorders>
            <w:vAlign w:val="center"/>
            <w:hideMark/>
          </w:tcPr>
          <w:p w:rsidR="00E67226" w:rsidRPr="00753E01" w:rsidP="005F15DD" w14:paraId="4C11ECA9" w14:textId="77777777">
            <w:pPr>
              <w:jc w:val="center"/>
              <w:rPr>
                <w:rFonts w:ascii="Source Sans Pro" w:hAnsi="Source Sans Pro" w:cs="Calibri"/>
                <w:color w:val="000000"/>
                <w:sz w:val="20"/>
                <w:szCs w:val="20"/>
              </w:rPr>
            </w:pPr>
            <w:r w:rsidRPr="00753E01">
              <w:rPr>
                <w:rFonts w:ascii="Source Sans Pro" w:hAnsi="Source Sans Pro" w:cs="Calibri"/>
                <w:color w:val="000000"/>
                <w:sz w:val="20"/>
                <w:szCs w:val="20"/>
              </w:rPr>
              <w:t>Weighted Average Hourly Compensation Rate</w:t>
            </w:r>
          </w:p>
        </w:tc>
        <w:tc>
          <w:tcPr>
            <w:tcW w:w="2240" w:type="dxa"/>
            <w:tcBorders>
              <w:top w:val="nil"/>
              <w:left w:val="nil"/>
              <w:bottom w:val="single" w:sz="8" w:space="0" w:color="auto"/>
              <w:right w:val="single" w:sz="8" w:space="0" w:color="auto"/>
            </w:tcBorders>
            <w:vAlign w:val="center"/>
            <w:hideMark/>
          </w:tcPr>
          <w:p w:rsidR="00E67226" w:rsidRPr="00753E01" w:rsidP="005F15DD" w14:paraId="66B0F37D" w14:textId="77777777">
            <w:pPr>
              <w:jc w:val="center"/>
              <w:rPr>
                <w:rFonts w:ascii="Source Sans Pro" w:hAnsi="Source Sans Pro" w:cs="Calibri"/>
                <w:color w:val="000000"/>
                <w:sz w:val="20"/>
                <w:szCs w:val="20"/>
              </w:rPr>
            </w:pPr>
            <w:r w:rsidRPr="00753E01">
              <w:rPr>
                <w:rFonts w:ascii="Source Sans Pro" w:hAnsi="Source Sans Pro" w:cs="Calibri"/>
                <w:color w:val="000000"/>
                <w:sz w:val="20"/>
                <w:szCs w:val="20"/>
              </w:rPr>
              <w:t>Annual Respondent Cost</w:t>
            </w:r>
          </w:p>
        </w:tc>
      </w:tr>
      <w:tr w14:paraId="00587329" w14:textId="77777777" w:rsidTr="00E67226">
        <w:tblPrEx>
          <w:tblW w:w="10420" w:type="dxa"/>
          <w:jc w:val="center"/>
          <w:tblLook w:val="04A0"/>
        </w:tblPrEx>
        <w:trPr>
          <w:trHeight w:val="864"/>
          <w:jc w:val="center"/>
        </w:trPr>
        <w:tc>
          <w:tcPr>
            <w:tcW w:w="2080" w:type="dxa"/>
            <w:tcBorders>
              <w:top w:val="nil"/>
              <w:left w:val="single" w:sz="8" w:space="0" w:color="auto"/>
              <w:bottom w:val="single" w:sz="8" w:space="0" w:color="auto"/>
              <w:right w:val="single" w:sz="8" w:space="0" w:color="auto"/>
            </w:tcBorders>
            <w:vAlign w:val="center"/>
            <w:hideMark/>
          </w:tcPr>
          <w:p w:rsidR="00E67226" w:rsidRPr="00753E01" w:rsidP="005F15DD" w14:paraId="3895C2D1" w14:textId="77777777">
            <w:pPr>
              <w:rPr>
                <w:rFonts w:ascii="Source Sans Pro" w:hAnsi="Source Sans Pro" w:cs="Calibri"/>
                <w:color w:val="000000"/>
                <w:sz w:val="20"/>
                <w:szCs w:val="20"/>
              </w:rPr>
            </w:pPr>
            <w:r w:rsidRPr="00753E01">
              <w:rPr>
                <w:rFonts w:ascii="Source Sans Pro" w:hAnsi="Source Sans Pro" w:cs="Calibri"/>
                <w:color w:val="000000"/>
                <w:sz w:val="20"/>
                <w:szCs w:val="20"/>
              </w:rPr>
              <w:t>AML/CFT Compliance Cost Survey</w:t>
            </w:r>
          </w:p>
        </w:tc>
        <w:tc>
          <w:tcPr>
            <w:tcW w:w="3082" w:type="dxa"/>
            <w:tcBorders>
              <w:top w:val="nil"/>
              <w:left w:val="nil"/>
              <w:bottom w:val="single" w:sz="8" w:space="0" w:color="auto"/>
              <w:right w:val="single" w:sz="8" w:space="0" w:color="auto"/>
            </w:tcBorders>
            <w:noWrap/>
            <w:vAlign w:val="center"/>
            <w:hideMark/>
          </w:tcPr>
          <w:p w:rsidR="00E67226" w:rsidRPr="00753E01" w:rsidP="005F15DD" w14:paraId="645FA3D1" w14:textId="77777777">
            <w:pPr>
              <w:ind w:firstLine="400" w:firstLineChars="200"/>
              <w:jc w:val="right"/>
              <w:rPr>
                <w:rFonts w:ascii="Source Sans Pro" w:hAnsi="Source Sans Pro" w:cs="Calibri"/>
                <w:color w:val="000000"/>
                <w:sz w:val="20"/>
                <w:szCs w:val="20"/>
              </w:rPr>
            </w:pPr>
            <w:r w:rsidRPr="00753E01">
              <w:rPr>
                <w:rFonts w:ascii="Source Sans Pro" w:hAnsi="Source Sans Pro" w:cs="Calibri"/>
                <w:color w:val="000000"/>
                <w:sz w:val="20"/>
                <w:szCs w:val="20"/>
              </w:rPr>
              <w:t xml:space="preserve">                                            15,424 </w:t>
            </w:r>
          </w:p>
        </w:tc>
        <w:tc>
          <w:tcPr>
            <w:tcW w:w="3018" w:type="dxa"/>
            <w:tcBorders>
              <w:top w:val="nil"/>
              <w:left w:val="nil"/>
              <w:bottom w:val="single" w:sz="8" w:space="0" w:color="auto"/>
              <w:right w:val="single" w:sz="8" w:space="0" w:color="auto"/>
            </w:tcBorders>
            <w:noWrap/>
            <w:vAlign w:val="center"/>
            <w:hideMark/>
          </w:tcPr>
          <w:p w:rsidR="00E67226" w:rsidRPr="00753E01" w:rsidP="005F15DD" w14:paraId="441C653D" w14:textId="77777777">
            <w:pPr>
              <w:ind w:firstLine="200" w:firstLineChars="100"/>
              <w:jc w:val="right"/>
              <w:rPr>
                <w:rFonts w:ascii="Source Sans Pro" w:hAnsi="Source Sans Pro" w:cs="Calibri"/>
                <w:color w:val="000000"/>
                <w:sz w:val="20"/>
                <w:szCs w:val="20"/>
              </w:rPr>
            </w:pPr>
            <w:r w:rsidRPr="00753E01">
              <w:rPr>
                <w:rFonts w:ascii="Source Sans Pro" w:hAnsi="Source Sans Pro" w:cs="Calibri"/>
                <w:color w:val="000000"/>
                <w:sz w:val="20"/>
                <w:szCs w:val="20"/>
              </w:rPr>
              <w:t>$140.65</w:t>
            </w:r>
          </w:p>
        </w:tc>
        <w:tc>
          <w:tcPr>
            <w:tcW w:w="2240" w:type="dxa"/>
            <w:tcBorders>
              <w:top w:val="nil"/>
              <w:left w:val="nil"/>
              <w:bottom w:val="single" w:sz="8" w:space="0" w:color="auto"/>
              <w:right w:val="single" w:sz="8" w:space="0" w:color="auto"/>
            </w:tcBorders>
            <w:noWrap/>
            <w:vAlign w:val="center"/>
            <w:hideMark/>
          </w:tcPr>
          <w:p w:rsidR="00E67226" w:rsidRPr="00753E01" w:rsidP="005F15DD" w14:paraId="1064A69C" w14:textId="77777777">
            <w:pPr>
              <w:ind w:firstLine="200" w:firstLineChars="100"/>
              <w:jc w:val="right"/>
              <w:rPr>
                <w:rFonts w:ascii="Source Sans Pro" w:hAnsi="Source Sans Pro" w:cs="Calibri"/>
                <w:color w:val="000000"/>
                <w:sz w:val="20"/>
                <w:szCs w:val="20"/>
              </w:rPr>
            </w:pPr>
            <w:r w:rsidRPr="00753E01">
              <w:rPr>
                <w:rFonts w:ascii="Source Sans Pro" w:hAnsi="Source Sans Pro" w:cs="Calibri"/>
                <w:color w:val="000000"/>
                <w:sz w:val="20"/>
                <w:szCs w:val="20"/>
              </w:rPr>
              <w:t>$2,169,386</w:t>
            </w:r>
          </w:p>
        </w:tc>
      </w:tr>
      <w:tr w14:paraId="7E9202C1" w14:textId="77777777" w:rsidTr="00E67226">
        <w:tblPrEx>
          <w:tblW w:w="10420" w:type="dxa"/>
          <w:jc w:val="center"/>
          <w:tblLook w:val="04A0"/>
        </w:tblPrEx>
        <w:trPr>
          <w:trHeight w:val="360"/>
          <w:jc w:val="center"/>
        </w:trPr>
        <w:tc>
          <w:tcPr>
            <w:tcW w:w="818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E67226" w:rsidRPr="00753E01" w:rsidP="005F15DD" w14:paraId="5C46A01E" w14:textId="77777777">
            <w:pPr>
              <w:jc w:val="right"/>
              <w:rPr>
                <w:rFonts w:ascii="Source Sans Pro" w:hAnsi="Source Sans Pro" w:cs="Calibri"/>
                <w:b/>
                <w:bCs/>
                <w:i/>
                <w:iCs/>
                <w:color w:val="000000"/>
              </w:rPr>
            </w:pPr>
            <w:r w:rsidRPr="00753E01">
              <w:rPr>
                <w:rFonts w:ascii="Source Sans Pro" w:hAnsi="Source Sans Pro" w:cs="Calibri"/>
                <w:b/>
                <w:bCs/>
                <w:i/>
                <w:iCs/>
                <w:color w:val="000000"/>
              </w:rPr>
              <w:t>Total Annual Respondent Cost:</w:t>
            </w:r>
          </w:p>
        </w:tc>
        <w:tc>
          <w:tcPr>
            <w:tcW w:w="2240" w:type="dxa"/>
            <w:tcBorders>
              <w:top w:val="nil"/>
              <w:left w:val="nil"/>
              <w:bottom w:val="single" w:sz="8" w:space="0" w:color="auto"/>
              <w:right w:val="single" w:sz="8" w:space="0" w:color="auto"/>
            </w:tcBorders>
            <w:shd w:val="clear" w:color="000000" w:fill="FFFFFF"/>
            <w:vAlign w:val="center"/>
            <w:hideMark/>
          </w:tcPr>
          <w:p w:rsidR="00E67226" w:rsidRPr="00753E01" w:rsidP="005F15DD" w14:paraId="1C798FE5" w14:textId="77777777">
            <w:pPr>
              <w:ind w:firstLine="240" w:firstLineChars="100"/>
              <w:jc w:val="right"/>
              <w:rPr>
                <w:rFonts w:ascii="Source Sans Pro" w:hAnsi="Source Sans Pro" w:cs="Calibri"/>
                <w:b/>
                <w:bCs/>
                <w:i/>
                <w:iCs/>
                <w:color w:val="000000"/>
              </w:rPr>
            </w:pPr>
            <w:r w:rsidRPr="00753E01">
              <w:rPr>
                <w:rFonts w:ascii="Source Sans Pro" w:hAnsi="Source Sans Pro" w:cs="Calibri"/>
                <w:b/>
                <w:bCs/>
                <w:i/>
                <w:iCs/>
                <w:color w:val="000000"/>
              </w:rPr>
              <w:t xml:space="preserve">$2,169,386 </w:t>
            </w:r>
          </w:p>
        </w:tc>
      </w:tr>
      <w:tr w14:paraId="5A93791A" w14:textId="77777777" w:rsidTr="00E67226">
        <w:tblPrEx>
          <w:tblW w:w="10420" w:type="dxa"/>
          <w:jc w:val="center"/>
          <w:tblLook w:val="04A0"/>
        </w:tblPrEx>
        <w:trPr>
          <w:trHeight w:val="1140"/>
          <w:jc w:val="center"/>
        </w:trPr>
        <w:tc>
          <w:tcPr>
            <w:tcW w:w="10420" w:type="dxa"/>
            <w:gridSpan w:val="4"/>
            <w:tcBorders>
              <w:top w:val="single" w:sz="8" w:space="0" w:color="auto"/>
              <w:left w:val="single" w:sz="8" w:space="0" w:color="auto"/>
              <w:bottom w:val="single" w:sz="8" w:space="0" w:color="auto"/>
              <w:right w:val="single" w:sz="8" w:space="0" w:color="000000"/>
            </w:tcBorders>
            <w:noWrap/>
            <w:hideMark/>
          </w:tcPr>
          <w:p w:rsidR="00E67226" w:rsidRPr="00753E01" w:rsidP="005F15DD" w14:paraId="428099A7" w14:textId="77777777">
            <w:pPr>
              <w:rPr>
                <w:rFonts w:ascii="Source Sans Pro" w:hAnsi="Source Sans Pro" w:cs="Calibri"/>
                <w:color w:val="000000"/>
                <w:sz w:val="18"/>
                <w:szCs w:val="18"/>
              </w:rPr>
            </w:pPr>
            <w:r w:rsidRPr="00753E01">
              <w:rPr>
                <w:rFonts w:ascii="Source Sans Pro" w:hAnsi="Source Sans Pro" w:cs="Calibri"/>
                <w:color w:val="000000"/>
                <w:sz w:val="18"/>
                <w:szCs w:val="18"/>
              </w:rPr>
              <w:t>Source: FDIC.</w:t>
            </w:r>
          </w:p>
        </w:tc>
      </w:tr>
    </w:tbl>
    <w:p w:rsidR="00E67226" w14:paraId="1053B958" w14:textId="77777777">
      <w:pPr>
        <w:rPr>
          <w:bCs/>
          <w:szCs w:val="20"/>
        </w:rPr>
      </w:pPr>
    </w:p>
    <w:p w:rsidR="00E67226" w14:paraId="760C821D" w14:textId="77777777">
      <w:pPr>
        <w:rPr>
          <w:bCs/>
          <w:szCs w:val="20"/>
        </w:rPr>
      </w:pPr>
    </w:p>
    <w:p w:rsidR="00567A8D" w:rsidP="00226280" w14:paraId="610BDAB3" w14:textId="77777777">
      <w:pPr>
        <w:rPr>
          <w:bCs/>
          <w:szCs w:val="20"/>
          <w:u w:val="single"/>
        </w:rPr>
      </w:pPr>
      <w:r>
        <w:rPr>
          <w:bCs/>
          <w:szCs w:val="20"/>
        </w:rPr>
        <w:t xml:space="preserve">13.     </w:t>
      </w:r>
      <w:r w:rsidRPr="00226280" w:rsidR="00226280">
        <w:rPr>
          <w:bCs/>
          <w:iCs/>
          <w:szCs w:val="20"/>
          <w:u w:val="single"/>
        </w:rPr>
        <w:t>Estimate</w:t>
      </w:r>
      <w:r w:rsidRPr="00226280" w:rsidR="00226280">
        <w:rPr>
          <w:bCs/>
          <w:szCs w:val="20"/>
          <w:u w:val="single"/>
        </w:rPr>
        <w:t xml:space="preserve"> of start-up costs to respondents</w:t>
      </w:r>
    </w:p>
    <w:p w:rsidR="00567A8D" w14:paraId="1ED1F559" w14:textId="77777777">
      <w:pPr>
        <w:rPr>
          <w:szCs w:val="20"/>
        </w:rPr>
      </w:pPr>
    </w:p>
    <w:p w:rsidR="00567A8D" w14:paraId="77BE1585" w14:textId="5A5888E5">
      <w:pPr>
        <w:rPr>
          <w:szCs w:val="20"/>
        </w:rPr>
      </w:pPr>
      <w:r>
        <w:rPr>
          <w:szCs w:val="20"/>
        </w:rPr>
        <w:t xml:space="preserve">None. Respondents are only asked to respond to a voluntary survey. </w:t>
      </w:r>
    </w:p>
    <w:p w:rsidR="00567A8D" w14:paraId="524C8660" w14:textId="77777777">
      <w:pPr>
        <w:rPr>
          <w:szCs w:val="20"/>
        </w:rPr>
      </w:pPr>
    </w:p>
    <w:p w:rsidR="00567A8D" w:rsidRPr="007C2B13" w14:paraId="5CCC02D7" w14:textId="77777777">
      <w:pPr>
        <w:rPr>
          <w:szCs w:val="20"/>
        </w:rPr>
      </w:pPr>
      <w:r>
        <w:rPr>
          <w:szCs w:val="20"/>
        </w:rPr>
        <w:t xml:space="preserve">14.     </w:t>
      </w:r>
      <w:r w:rsidRPr="007C2B13">
        <w:rPr>
          <w:szCs w:val="20"/>
          <w:u w:val="single"/>
        </w:rPr>
        <w:t xml:space="preserve">Estimate of </w:t>
      </w:r>
      <w:r w:rsidRPr="007C2B13" w:rsidR="00226280">
        <w:rPr>
          <w:szCs w:val="20"/>
          <w:u w:val="single"/>
        </w:rPr>
        <w:t>annualized cost to the g</w:t>
      </w:r>
      <w:r w:rsidRPr="007C2B13">
        <w:rPr>
          <w:szCs w:val="20"/>
          <w:u w:val="single"/>
        </w:rPr>
        <w:t>overnment</w:t>
      </w:r>
    </w:p>
    <w:p w:rsidR="00567A8D" w:rsidRPr="007C2B13" w14:paraId="1995D683" w14:textId="77777777">
      <w:pPr>
        <w:rPr>
          <w:szCs w:val="20"/>
        </w:rPr>
      </w:pPr>
    </w:p>
    <w:p w:rsidR="00567A8D" w14:paraId="2453225A" w14:textId="3B704C87">
      <w:pPr>
        <w:rPr>
          <w:szCs w:val="20"/>
        </w:rPr>
      </w:pPr>
      <w:r>
        <w:rPr>
          <w:szCs w:val="20"/>
        </w:rPr>
        <w:t>None.</w:t>
      </w:r>
    </w:p>
    <w:p w:rsidR="00567A8D" w14:paraId="2459AA78" w14:textId="77777777">
      <w:pPr>
        <w:rPr>
          <w:szCs w:val="20"/>
        </w:rPr>
      </w:pPr>
    </w:p>
    <w:p w:rsidR="00567A8D" w14:paraId="1EED73EB" w14:textId="77777777">
      <w:pPr>
        <w:rPr>
          <w:bCs/>
          <w:szCs w:val="20"/>
          <w:u w:val="single"/>
        </w:rPr>
      </w:pPr>
      <w:r>
        <w:rPr>
          <w:bCs/>
          <w:szCs w:val="20"/>
        </w:rPr>
        <w:t xml:space="preserve">15.     </w:t>
      </w:r>
      <w:r w:rsidRPr="00226280" w:rsidR="00226280">
        <w:rPr>
          <w:bCs/>
          <w:iCs/>
          <w:szCs w:val="20"/>
          <w:u w:val="single"/>
        </w:rPr>
        <w:t xml:space="preserve">Analysis </w:t>
      </w:r>
      <w:r w:rsidRPr="00226280" w:rsidR="00226280">
        <w:rPr>
          <w:bCs/>
          <w:szCs w:val="20"/>
          <w:u w:val="single"/>
        </w:rPr>
        <w:t>of</w:t>
      </w:r>
      <w:r w:rsidRPr="00226280" w:rsidR="00226280">
        <w:rPr>
          <w:bCs/>
          <w:iCs/>
          <w:szCs w:val="20"/>
          <w:u w:val="single"/>
        </w:rPr>
        <w:t xml:space="preserve"> change in burden</w:t>
      </w:r>
    </w:p>
    <w:p w:rsidR="002F18A0" w14:paraId="1684CC4D" w14:textId="77777777">
      <w:pPr>
        <w:rPr>
          <w:bCs/>
          <w:szCs w:val="20"/>
        </w:rPr>
      </w:pPr>
    </w:p>
    <w:p w:rsidR="00AC0294" w:rsidRPr="00AC0294" w:rsidP="00AC0294" w14:paraId="7F9E55D9" w14:textId="484D2491">
      <w:r>
        <w:rPr>
          <w:iCs/>
        </w:rPr>
        <w:t>Not applicable.</w:t>
      </w:r>
    </w:p>
    <w:p w:rsidR="00567A8D" w14:paraId="3FCBD491" w14:textId="77777777">
      <w:pPr>
        <w:rPr>
          <w:szCs w:val="20"/>
        </w:rPr>
      </w:pPr>
    </w:p>
    <w:p w:rsidR="00567A8D" w14:paraId="09A688EF" w14:textId="2483ECC7">
      <w:pPr>
        <w:rPr>
          <w:szCs w:val="20"/>
        </w:rPr>
      </w:pPr>
      <w:r>
        <w:rPr>
          <w:szCs w:val="20"/>
        </w:rPr>
        <w:t xml:space="preserve">16.     </w:t>
      </w:r>
      <w:r>
        <w:rPr>
          <w:szCs w:val="20"/>
          <w:u w:val="single"/>
        </w:rPr>
        <w:t>Information regarding collections whose results are planned to be published</w:t>
      </w:r>
      <w:r w:rsidR="009F1AEB">
        <w:rPr>
          <w:szCs w:val="20"/>
          <w:u w:val="single"/>
        </w:rPr>
        <w:t xml:space="preserve"> for statistical use:</w:t>
      </w:r>
    </w:p>
    <w:p w:rsidR="00567A8D" w14:paraId="2D81B742" w14:textId="0D4C77AD">
      <w:pPr>
        <w:rPr>
          <w:szCs w:val="20"/>
        </w:rPr>
      </w:pPr>
    </w:p>
    <w:p w:rsidR="009F1AEB" w14:paraId="652FA982" w14:textId="310EDDED">
      <w:pPr>
        <w:rPr>
          <w:szCs w:val="20"/>
        </w:rPr>
      </w:pPr>
      <w:r>
        <w:rPr>
          <w:szCs w:val="20"/>
        </w:rPr>
        <w:t>The FDIC will not publish individual survey responses</w:t>
      </w:r>
      <w:r w:rsidR="00A22874">
        <w:rPr>
          <w:szCs w:val="20"/>
        </w:rPr>
        <w:t>.</w:t>
      </w:r>
    </w:p>
    <w:p w:rsidR="00567A8D" w14:paraId="64602C00" w14:textId="77777777">
      <w:pPr>
        <w:rPr>
          <w:szCs w:val="20"/>
        </w:rPr>
      </w:pPr>
    </w:p>
    <w:p w:rsidR="00567A8D" w14:paraId="5884F1B6" w14:textId="77777777">
      <w:pPr>
        <w:rPr>
          <w:szCs w:val="20"/>
        </w:rPr>
      </w:pPr>
      <w:r>
        <w:rPr>
          <w:szCs w:val="20"/>
        </w:rPr>
        <w:t xml:space="preserve">17.     </w:t>
      </w:r>
      <w:r w:rsidRPr="00B5530A" w:rsidR="00B5530A">
        <w:rPr>
          <w:szCs w:val="20"/>
          <w:u w:val="single"/>
        </w:rPr>
        <w:t xml:space="preserve">Exceptions to </w:t>
      </w:r>
      <w:r w:rsidRPr="00B5530A" w:rsidR="00B5530A">
        <w:rPr>
          <w:bCs/>
          <w:iCs/>
          <w:szCs w:val="20"/>
          <w:u w:val="single"/>
        </w:rPr>
        <w:t>Display</w:t>
      </w:r>
      <w:r w:rsidRPr="00B5530A" w:rsidR="00B5530A">
        <w:rPr>
          <w:szCs w:val="20"/>
          <w:u w:val="single"/>
        </w:rPr>
        <w:t xml:space="preserve"> of expiration date</w:t>
      </w:r>
    </w:p>
    <w:p w:rsidR="00567A8D" w14:paraId="7F39BAAA" w14:textId="77777777">
      <w:pPr>
        <w:rPr>
          <w:szCs w:val="20"/>
        </w:rPr>
      </w:pPr>
    </w:p>
    <w:p w:rsidR="00567A8D" w14:paraId="64BB0D02" w14:textId="77777777">
      <w:pPr>
        <w:rPr>
          <w:szCs w:val="20"/>
        </w:rPr>
      </w:pPr>
      <w:r>
        <w:rPr>
          <w:szCs w:val="20"/>
        </w:rPr>
        <w:t xml:space="preserve">No exceptions are requested.  </w:t>
      </w:r>
    </w:p>
    <w:p w:rsidR="00567A8D" w14:paraId="76EEEC4D" w14:textId="77777777">
      <w:pPr>
        <w:rPr>
          <w:szCs w:val="20"/>
        </w:rPr>
      </w:pPr>
    </w:p>
    <w:p w:rsidR="00567A8D" w14:paraId="46EC395D" w14:textId="77777777">
      <w:pPr>
        <w:rPr>
          <w:szCs w:val="20"/>
        </w:rPr>
      </w:pPr>
      <w:r>
        <w:rPr>
          <w:szCs w:val="20"/>
        </w:rPr>
        <w:t xml:space="preserve">18.     </w:t>
      </w:r>
      <w:r>
        <w:rPr>
          <w:szCs w:val="20"/>
          <w:u w:val="single"/>
        </w:rPr>
        <w:t>Exce</w:t>
      </w:r>
      <w:r w:rsidR="00B5530A">
        <w:rPr>
          <w:szCs w:val="20"/>
          <w:u w:val="single"/>
        </w:rPr>
        <w:t>ptions to certification</w:t>
      </w:r>
    </w:p>
    <w:p w:rsidR="00567A8D" w14:paraId="6F617422" w14:textId="77777777">
      <w:pPr>
        <w:rPr>
          <w:szCs w:val="20"/>
        </w:rPr>
      </w:pPr>
    </w:p>
    <w:p w:rsidR="00567A8D" w14:paraId="08B123E8" w14:textId="77777777">
      <w:pPr>
        <w:rPr>
          <w:szCs w:val="20"/>
        </w:rPr>
      </w:pPr>
      <w:r>
        <w:rPr>
          <w:szCs w:val="20"/>
        </w:rPr>
        <w:t>None.</w:t>
      </w:r>
    </w:p>
    <w:p w:rsidR="00567A8D" w14:paraId="0EBB2FF6" w14:textId="77777777">
      <w:pPr>
        <w:rPr>
          <w:b/>
          <w:szCs w:val="20"/>
        </w:rPr>
      </w:pPr>
    </w:p>
    <w:p w:rsidR="00567A8D" w14:paraId="3E2B9814" w14:textId="77777777">
      <w:pPr>
        <w:keepNext/>
        <w:outlineLvl w:val="1"/>
        <w:rPr>
          <w:szCs w:val="20"/>
        </w:rPr>
      </w:pPr>
      <w:r>
        <w:rPr>
          <w:szCs w:val="20"/>
        </w:rPr>
        <w:t xml:space="preserve">B.     </w:t>
      </w:r>
      <w:r>
        <w:rPr>
          <w:szCs w:val="20"/>
          <w:u w:val="single"/>
        </w:rPr>
        <w:t>Collections of information employing statistical methods</w:t>
      </w:r>
    </w:p>
    <w:p w:rsidR="00567A8D" w14:paraId="29761B72" w14:textId="77777777">
      <w:pPr>
        <w:rPr>
          <w:szCs w:val="20"/>
        </w:rPr>
      </w:pPr>
    </w:p>
    <w:p w:rsidR="00567A8D" w14:paraId="3307B8A2" w14:textId="77777777">
      <w:pPr>
        <w:rPr>
          <w:szCs w:val="20"/>
        </w:rPr>
      </w:pPr>
      <w:r>
        <w:rPr>
          <w:szCs w:val="20"/>
        </w:rPr>
        <w:t>Not applicable.</w:t>
      </w:r>
    </w:p>
    <w:p w:rsidR="00567A8D" w14:paraId="4A42FEFC" w14:textId="77777777">
      <w:pPr>
        <w:rPr>
          <w:szCs w:val="20"/>
        </w:rPr>
      </w:pPr>
    </w:p>
    <w:sectPr>
      <w:headerReference w:type="even" r:id="rId6"/>
      <w:headerReference w:type="default" r:id="rId7"/>
      <w:footerReference w:type="even" r:id="rId8"/>
      <w:footerReference w:type="default" r:id="rId9"/>
      <w:headerReference w:type="first" r:id="rId1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A8D" w14:paraId="0C4BF5A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7A8D" w14:paraId="591CB7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A8D" w14:paraId="5C07579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6B00">
      <w:rPr>
        <w:rStyle w:val="PageNumber"/>
        <w:noProof/>
      </w:rPr>
      <w:t>8</w:t>
    </w:r>
    <w:r>
      <w:rPr>
        <w:rStyle w:val="PageNumber"/>
      </w:rPr>
      <w:fldChar w:fldCharType="end"/>
    </w:r>
  </w:p>
  <w:p w:rsidR="00567A8D" w14:paraId="20B746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2DDB" w14:paraId="56E36DF2" w14:textId="77777777">
      <w:r>
        <w:separator/>
      </w:r>
    </w:p>
  </w:footnote>
  <w:footnote w:type="continuationSeparator" w:id="1">
    <w:p w:rsidR="00902DDB" w14:paraId="3C6F5839" w14:textId="77777777">
      <w:r>
        <w:continuationSeparator/>
      </w:r>
    </w:p>
  </w:footnote>
  <w:footnote w:id="2">
    <w:p w:rsidR="00404AA9" w14:paraId="05E10335" w14:textId="19F1C7E7">
      <w:pPr>
        <w:pStyle w:val="FootnoteText"/>
      </w:pPr>
      <w:r>
        <w:rPr>
          <w:rStyle w:val="FootnoteReference"/>
        </w:rPr>
        <w:footnoteRef/>
      </w:r>
      <w:r>
        <w:t xml:space="preserve"> </w:t>
      </w:r>
      <w:r w:rsidR="00601964">
        <w:t xml:space="preserve">91 FR 710 (January 8, 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C50" w14:paraId="27C92FC0" w14:textId="77777777">
    <w:pPr>
      <w:pStyle w:val="Head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274570" cy="382270"/>
              <wp:effectExtent l="0" t="0" r="11430" b="17780"/>
              <wp:wrapNone/>
              <wp:docPr id="437200605" name="Text Box 2"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2821FF" w:rsidRPr="002821FF" w:rsidP="002821FF" w14:textId="77777777">
                          <w:pPr>
                            <w:rPr>
                              <w:rFonts w:ascii="Source Sans Pro Semibold" w:eastAsia="Source Sans Pro Semibold" w:hAnsi="Source Sans Pro Semibold" w:cs="Source Sans Pro Semibold"/>
                              <w:noProof/>
                              <w:color w:val="000000"/>
                            </w:rPr>
                          </w:pPr>
                          <w:r w:rsidRPr="002821FF">
                            <w:rPr>
                              <w:rFonts w:ascii="Source Sans Pro Semibold" w:eastAsia="Source Sans Pro Semibold" w:hAnsi="Source Sans Pro Semibold" w:cs="Source Sans Pro Semibold"/>
                              <w:noProof/>
                              <w:color w:val="000000"/>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2821FF" w:rsidRPr="002821FF" w:rsidP="002821FF" w14:paraId="52909833" w14:textId="77777777">
                    <w:pPr>
                      <w:rPr>
                        <w:rFonts w:ascii="Source Sans Pro Semibold" w:eastAsia="Source Sans Pro Semibold" w:hAnsi="Source Sans Pro Semibold" w:cs="Source Sans Pro Semibold"/>
                        <w:noProof/>
                        <w:color w:val="000000"/>
                      </w:rPr>
                    </w:pPr>
                    <w:r w:rsidRPr="002821FF">
                      <w:rPr>
                        <w:rFonts w:ascii="Source Sans Pro Semibold" w:eastAsia="Source Sans Pro Semibold" w:hAnsi="Source Sans Pro Semibold" w:cs="Source Sans Pro Semibold"/>
                        <w:noProof/>
                        <w:color w:val="000000"/>
                      </w:rPr>
                      <w:t>NONPUBLIC//FDIC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C50" w14:paraId="78606C3F" w14:textId="77777777">
    <w:pPr>
      <w:pStyle w:val="Head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274570" cy="382270"/>
              <wp:effectExtent l="0" t="0" r="11430" b="17780"/>
              <wp:wrapNone/>
              <wp:docPr id="1649100382" name="Text Box 3"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2821FF" w:rsidRPr="002821FF" w:rsidP="002821FF" w14:textId="77777777">
                          <w:pPr>
                            <w:rPr>
                              <w:rFonts w:ascii="Source Sans Pro Semibold" w:eastAsia="Source Sans Pro Semibold" w:hAnsi="Source Sans Pro Semibold" w:cs="Source Sans Pro Semibold"/>
                              <w:noProof/>
                              <w:color w:val="000000"/>
                            </w:rPr>
                          </w:pPr>
                          <w:r w:rsidRPr="002821FF">
                            <w:rPr>
                              <w:rFonts w:ascii="Source Sans Pro Semibold" w:eastAsia="Source Sans Pro Semibold" w:hAnsi="Source Sans Pro Semibold" w:cs="Source Sans Pro Semibold"/>
                              <w:noProof/>
                              <w:color w:val="000000"/>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2821FF" w:rsidRPr="002821FF" w:rsidP="002821FF" w14:paraId="7B897D14" w14:textId="77777777">
                    <w:pPr>
                      <w:rPr>
                        <w:rFonts w:ascii="Source Sans Pro Semibold" w:eastAsia="Source Sans Pro Semibold" w:hAnsi="Source Sans Pro Semibold" w:cs="Source Sans Pro Semibold"/>
                        <w:noProof/>
                        <w:color w:val="000000"/>
                      </w:rPr>
                    </w:pPr>
                    <w:r w:rsidRPr="002821FF">
                      <w:rPr>
                        <w:rFonts w:ascii="Source Sans Pro Semibold" w:eastAsia="Source Sans Pro Semibold" w:hAnsi="Source Sans Pro Semibold" w:cs="Source Sans Pro Semibold"/>
                        <w:noProof/>
                        <w:color w:val="000000"/>
                      </w:rPr>
                      <w:t>NONPUBLIC//FDIC INTERNAL ONLY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C50" w14:paraId="1B63E20F" w14:textId="77777777">
    <w:pPr>
      <w:pStyle w:val="Head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274570" cy="382270"/>
              <wp:effectExtent l="0" t="0" r="11430" b="17780"/>
              <wp:wrapNone/>
              <wp:docPr id="1894833909" name="Text Box 1"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2821FF" w:rsidRPr="002821FF" w:rsidP="002821FF" w14:textId="77777777">
                          <w:pPr>
                            <w:rPr>
                              <w:rFonts w:ascii="Source Sans Pro Semibold" w:eastAsia="Source Sans Pro Semibold" w:hAnsi="Source Sans Pro Semibold" w:cs="Source Sans Pro Semibold"/>
                              <w:noProof/>
                              <w:color w:val="000000"/>
                            </w:rPr>
                          </w:pPr>
                          <w:r w:rsidRPr="002821FF">
                            <w:rPr>
                              <w:rFonts w:ascii="Source Sans Pro Semibold" w:eastAsia="Source Sans Pro Semibold" w:hAnsi="Source Sans Pro Semibold" w:cs="Source Sans Pro Semibold"/>
                              <w:noProof/>
                              <w:color w:val="000000"/>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2821FF" w:rsidRPr="002821FF" w:rsidP="002821FF" w14:paraId="13E1EB4F" w14:textId="77777777">
                    <w:pPr>
                      <w:rPr>
                        <w:rFonts w:ascii="Source Sans Pro Semibold" w:eastAsia="Source Sans Pro Semibold" w:hAnsi="Source Sans Pro Semibold" w:cs="Source Sans Pro Semibold"/>
                        <w:noProof/>
                        <w:color w:val="000000"/>
                      </w:rPr>
                    </w:pPr>
                    <w:r w:rsidRPr="002821FF">
                      <w:rPr>
                        <w:rFonts w:ascii="Source Sans Pro Semibold" w:eastAsia="Source Sans Pro Semibold" w:hAnsi="Source Sans Pro Semibold" w:cs="Source Sans Pro Semibold"/>
                        <w:noProof/>
                        <w:color w:val="000000"/>
                      </w:rPr>
                      <w:t>NONPUBLIC//FDIC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D25DE"/>
    <w:multiLevelType w:val="hybridMultilevel"/>
    <w:tmpl w:val="C978972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1E7CF5"/>
    <w:multiLevelType w:val="hybridMultilevel"/>
    <w:tmpl w:val="4A169CB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FE4247"/>
    <w:multiLevelType w:val="hybridMultilevel"/>
    <w:tmpl w:val="BC9644E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91F6FC7"/>
    <w:multiLevelType w:val="hybridMultilevel"/>
    <w:tmpl w:val="00505F0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2654E7"/>
    <w:multiLevelType w:val="hybridMultilevel"/>
    <w:tmpl w:val="D94241C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6A57ABA"/>
    <w:multiLevelType w:val="hybridMultilevel"/>
    <w:tmpl w:val="1FC084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B930DA7"/>
    <w:multiLevelType w:val="hybridMultilevel"/>
    <w:tmpl w:val="E2067CF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70625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45047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77255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02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844375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42216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9937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E91"/>
    <w:rsid w:val="0002184B"/>
    <w:rsid w:val="00057084"/>
    <w:rsid w:val="000927E5"/>
    <w:rsid w:val="000A18FE"/>
    <w:rsid w:val="000E497D"/>
    <w:rsid w:val="00106650"/>
    <w:rsid w:val="00110BD7"/>
    <w:rsid w:val="00114F1E"/>
    <w:rsid w:val="00126155"/>
    <w:rsid w:val="00131FD1"/>
    <w:rsid w:val="00150923"/>
    <w:rsid w:val="00197372"/>
    <w:rsid w:val="00197FD2"/>
    <w:rsid w:val="001B0189"/>
    <w:rsid w:val="001E56F4"/>
    <w:rsid w:val="0020387F"/>
    <w:rsid w:val="0020576D"/>
    <w:rsid w:val="00226280"/>
    <w:rsid w:val="002428FC"/>
    <w:rsid w:val="00265063"/>
    <w:rsid w:val="00270DED"/>
    <w:rsid w:val="00281807"/>
    <w:rsid w:val="002821FF"/>
    <w:rsid w:val="00282DE1"/>
    <w:rsid w:val="002C0916"/>
    <w:rsid w:val="002D4E9F"/>
    <w:rsid w:val="002E3639"/>
    <w:rsid w:val="002E7CFC"/>
    <w:rsid w:val="002F18A0"/>
    <w:rsid w:val="0031038B"/>
    <w:rsid w:val="00324B46"/>
    <w:rsid w:val="003278E2"/>
    <w:rsid w:val="00334DCC"/>
    <w:rsid w:val="00336CD7"/>
    <w:rsid w:val="0038065F"/>
    <w:rsid w:val="003B5C1B"/>
    <w:rsid w:val="003D32BD"/>
    <w:rsid w:val="00404AA9"/>
    <w:rsid w:val="00407902"/>
    <w:rsid w:val="004153DC"/>
    <w:rsid w:val="00422E91"/>
    <w:rsid w:val="00424E13"/>
    <w:rsid w:val="004436A3"/>
    <w:rsid w:val="00451D27"/>
    <w:rsid w:val="00477DAE"/>
    <w:rsid w:val="00496B8C"/>
    <w:rsid w:val="004A6A55"/>
    <w:rsid w:val="004E1211"/>
    <w:rsid w:val="00505DBA"/>
    <w:rsid w:val="005274A8"/>
    <w:rsid w:val="00567A8D"/>
    <w:rsid w:val="005C0D60"/>
    <w:rsid w:val="005C6229"/>
    <w:rsid w:val="005F15DD"/>
    <w:rsid w:val="00601964"/>
    <w:rsid w:val="0062653E"/>
    <w:rsid w:val="00645B8A"/>
    <w:rsid w:val="00711980"/>
    <w:rsid w:val="00725C1B"/>
    <w:rsid w:val="007325B1"/>
    <w:rsid w:val="00753E01"/>
    <w:rsid w:val="00761614"/>
    <w:rsid w:val="007707A1"/>
    <w:rsid w:val="00787889"/>
    <w:rsid w:val="007A7282"/>
    <w:rsid w:val="007B6B00"/>
    <w:rsid w:val="007C2B13"/>
    <w:rsid w:val="00845E8D"/>
    <w:rsid w:val="00851981"/>
    <w:rsid w:val="00877E07"/>
    <w:rsid w:val="008E2D4E"/>
    <w:rsid w:val="008F10A0"/>
    <w:rsid w:val="008F529D"/>
    <w:rsid w:val="008F7864"/>
    <w:rsid w:val="00902DDB"/>
    <w:rsid w:val="00902E53"/>
    <w:rsid w:val="009104FF"/>
    <w:rsid w:val="00912C33"/>
    <w:rsid w:val="009366AD"/>
    <w:rsid w:val="009808EE"/>
    <w:rsid w:val="009955E9"/>
    <w:rsid w:val="009A2BA0"/>
    <w:rsid w:val="009B0744"/>
    <w:rsid w:val="009E247A"/>
    <w:rsid w:val="009E3666"/>
    <w:rsid w:val="009F1AEB"/>
    <w:rsid w:val="00A14F03"/>
    <w:rsid w:val="00A22874"/>
    <w:rsid w:val="00A26D86"/>
    <w:rsid w:val="00A349CC"/>
    <w:rsid w:val="00AC0294"/>
    <w:rsid w:val="00AC121A"/>
    <w:rsid w:val="00AC337F"/>
    <w:rsid w:val="00AD023A"/>
    <w:rsid w:val="00AF5BE3"/>
    <w:rsid w:val="00B062F6"/>
    <w:rsid w:val="00B362BE"/>
    <w:rsid w:val="00B437C0"/>
    <w:rsid w:val="00B4729D"/>
    <w:rsid w:val="00B5530A"/>
    <w:rsid w:val="00B60A25"/>
    <w:rsid w:val="00B6225B"/>
    <w:rsid w:val="00B91233"/>
    <w:rsid w:val="00BF3DA3"/>
    <w:rsid w:val="00C116D8"/>
    <w:rsid w:val="00C33799"/>
    <w:rsid w:val="00C35518"/>
    <w:rsid w:val="00C35E72"/>
    <w:rsid w:val="00C5646D"/>
    <w:rsid w:val="00C61A88"/>
    <w:rsid w:val="00C77E30"/>
    <w:rsid w:val="00C95FE4"/>
    <w:rsid w:val="00C970CA"/>
    <w:rsid w:val="00CD3697"/>
    <w:rsid w:val="00D1440D"/>
    <w:rsid w:val="00D15403"/>
    <w:rsid w:val="00D646EA"/>
    <w:rsid w:val="00DE4D25"/>
    <w:rsid w:val="00E01220"/>
    <w:rsid w:val="00E03292"/>
    <w:rsid w:val="00E03C50"/>
    <w:rsid w:val="00E65D6A"/>
    <w:rsid w:val="00E67226"/>
    <w:rsid w:val="00E718ED"/>
    <w:rsid w:val="00E855E1"/>
    <w:rsid w:val="00EB096E"/>
    <w:rsid w:val="00EE12FC"/>
    <w:rsid w:val="00EE19B3"/>
    <w:rsid w:val="00F01649"/>
    <w:rsid w:val="00F05A89"/>
    <w:rsid w:val="00F316AD"/>
    <w:rsid w:val="00F341D6"/>
    <w:rsid w:val="00F43558"/>
    <w:rsid w:val="00F479C3"/>
    <w:rsid w:val="00F54D74"/>
    <w:rsid w:val="00F6036F"/>
    <w:rsid w:val="00F61557"/>
    <w:rsid w:val="00F6361C"/>
    <w:rsid w:val="00F65B3D"/>
    <w:rsid w:val="00F721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16EBE5"/>
  <w15:chartTrackingRefBased/>
  <w15:docId w15:val="{E0B552C5-EAD5-4B72-BD23-1CF6439C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kern w:val="28"/>
      <w:sz w:val="28"/>
      <w:szCs w:val="20"/>
    </w:rPr>
  </w:style>
  <w:style w:type="paragraph" w:styleId="Heading2">
    <w:name w:val="heading 2"/>
    <w:basedOn w:val="Normal"/>
    <w:next w:val="Normal"/>
    <w:qFormat/>
    <w:pPr>
      <w:keepNext/>
      <w:spacing w:before="240" w:after="60"/>
      <w:outlineLvl w:val="1"/>
    </w:pPr>
    <w:rPr>
      <w:b/>
      <w:szCs w:val="20"/>
    </w:rPr>
  </w:style>
  <w:style w:type="paragraph" w:styleId="Heading5">
    <w:name w:val="heading 5"/>
    <w:basedOn w:val="Normal"/>
    <w:next w:val="Normal"/>
    <w:qFormat/>
    <w:pPr>
      <w:keepNext/>
      <w:outlineLvl w:val="4"/>
    </w:pPr>
    <w:rPr>
      <w:b/>
      <w:bCs/>
      <w:szCs w:val="20"/>
      <w:u w:val="single"/>
    </w:rPr>
  </w:style>
  <w:style w:type="paragraph" w:styleId="Heading6">
    <w:name w:val="heading 6"/>
    <w:basedOn w:val="Normal"/>
    <w:next w:val="Normal"/>
    <w:qFormat/>
    <w:pPr>
      <w:keepNext/>
      <w:jc w:val="center"/>
      <w:outlineLvl w:val="5"/>
    </w:pPr>
    <w:rPr>
      <w:b/>
      <w:bCs/>
      <w:szCs w:val="20"/>
    </w:rPr>
  </w:style>
  <w:style w:type="paragraph" w:styleId="Heading8">
    <w:name w:val="heading 8"/>
    <w:basedOn w:val="Normal"/>
    <w:next w:val="Normal"/>
    <w:qFormat/>
    <w:pPr>
      <w:keepNext/>
      <w:outlineLvl w:val="7"/>
    </w:pPr>
    <w:rPr>
      <w:b/>
      <w:bCs/>
      <w:sz w:val="20"/>
      <w:szCs w:val="20"/>
    </w:rPr>
  </w:style>
  <w:style w:type="paragraph" w:styleId="Heading9">
    <w:name w:val="heading 9"/>
    <w:basedOn w:val="Normal"/>
    <w:next w:val="Normal"/>
    <w:qFormat/>
    <w:pPr>
      <w:keepNext/>
      <w:jc w:val="right"/>
      <w:outlineLvl w:val="8"/>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szCs w:val="20"/>
    </w:rPr>
  </w:style>
  <w:style w:type="paragraph" w:styleId="Footer">
    <w:name w:val="footer"/>
    <w:basedOn w:val="Normal"/>
    <w:pPr>
      <w:tabs>
        <w:tab w:val="center" w:pos="4320"/>
        <w:tab w:val="right" w:pos="8640"/>
      </w:tabs>
    </w:pPr>
    <w:rPr>
      <w:szCs w:val="20"/>
    </w:rPr>
  </w:style>
  <w:style w:type="paragraph" w:styleId="Title">
    <w:name w:val="Title"/>
    <w:basedOn w:val="Normal"/>
    <w:qFormat/>
    <w:pPr>
      <w:jc w:val="center"/>
    </w:pPr>
    <w:rPr>
      <w:b/>
      <w:szCs w:val="20"/>
    </w:rPr>
  </w:style>
  <w:style w:type="paragraph" w:styleId="BodyText">
    <w:name w:val="Body Text"/>
    <w:basedOn w:val="Normal"/>
    <w:rPr>
      <w:b/>
      <w:bCs/>
      <w:szCs w:val="20"/>
    </w:rPr>
  </w:style>
  <w:style w:type="character" w:styleId="FootnoteReference">
    <w:name w:val="footnote reference"/>
    <w:uiPriority w:val="99"/>
    <w:rPr>
      <w:vertAlign w:val="superscript"/>
    </w:rPr>
  </w:style>
  <w:style w:type="character" w:styleId="PageNumber">
    <w:name w:val="page number"/>
    <w:basedOn w:val="DefaultParagraphFont"/>
  </w:style>
  <w:style w:type="table" w:styleId="TableGrid">
    <w:name w:val="Table Grid"/>
    <w:basedOn w:val="TableNormal"/>
    <w:uiPriority w:val="59"/>
    <w:rsid w:val="00D6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D646EA"/>
  </w:style>
  <w:style w:type="paragraph" w:styleId="Header">
    <w:name w:val="header"/>
    <w:basedOn w:val="Normal"/>
    <w:link w:val="HeaderChar"/>
    <w:rsid w:val="00E03C50"/>
    <w:pPr>
      <w:tabs>
        <w:tab w:val="center" w:pos="4680"/>
        <w:tab w:val="right" w:pos="9360"/>
      </w:tabs>
    </w:pPr>
  </w:style>
  <w:style w:type="character" w:customStyle="1" w:styleId="HeaderChar">
    <w:name w:val="Header Char"/>
    <w:link w:val="Header"/>
    <w:rsid w:val="00E03C50"/>
    <w:rPr>
      <w:sz w:val="24"/>
      <w:szCs w:val="24"/>
    </w:rPr>
  </w:style>
  <w:style w:type="character" w:styleId="CommentReference">
    <w:name w:val="annotation reference"/>
    <w:basedOn w:val="DefaultParagraphFont"/>
    <w:rsid w:val="00324B46"/>
    <w:rPr>
      <w:sz w:val="16"/>
      <w:szCs w:val="16"/>
    </w:rPr>
  </w:style>
  <w:style w:type="paragraph" w:styleId="CommentText">
    <w:name w:val="annotation text"/>
    <w:basedOn w:val="Normal"/>
    <w:link w:val="CommentTextChar"/>
    <w:rsid w:val="00324B46"/>
    <w:rPr>
      <w:sz w:val="20"/>
      <w:szCs w:val="20"/>
    </w:rPr>
  </w:style>
  <w:style w:type="character" w:customStyle="1" w:styleId="CommentTextChar">
    <w:name w:val="Comment Text Char"/>
    <w:basedOn w:val="DefaultParagraphFont"/>
    <w:link w:val="CommentText"/>
    <w:rsid w:val="00324B46"/>
  </w:style>
  <w:style w:type="paragraph" w:styleId="CommentSubject">
    <w:name w:val="annotation subject"/>
    <w:basedOn w:val="CommentText"/>
    <w:next w:val="CommentText"/>
    <w:link w:val="CommentSubjectChar"/>
    <w:rsid w:val="00324B46"/>
    <w:rPr>
      <w:b/>
      <w:bCs/>
    </w:rPr>
  </w:style>
  <w:style w:type="character" w:customStyle="1" w:styleId="CommentSubjectChar">
    <w:name w:val="Comment Subject Char"/>
    <w:basedOn w:val="CommentTextChar"/>
    <w:link w:val="CommentSubject"/>
    <w:rsid w:val="00324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83960-04A4-4A72-A9B7-BE0C39AB65B7}">
  <ds:schemaRefs>
    <ds:schemaRef ds:uri="http://schemas.openxmlformats.org/officeDocument/2006/bibliography"/>
  </ds:schemaRefs>
</ds:datastoreItem>
</file>

<file path=docMetadata/LabelInfo.xml><?xml version="1.0" encoding="utf-8"?>
<clbl:labelList xmlns:clbl="http://schemas.microsoft.com/office/2020/mipLabelMetadata">
  <clbl:label id="{e03712f0-ae86-44bd-82ca-deb0d0369377}"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1114</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Meiers, Robert M.</cp:lastModifiedBy>
  <cp:revision>12</cp:revision>
  <dcterms:created xsi:type="dcterms:W3CDTF">2026-01-06T20:22:00Z</dcterms:created>
  <dcterms:modified xsi:type="dcterms:W3CDTF">2026-01-23T14:37:00Z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70f0def5,1a0f26dd,624b465e</vt:lpwstr>
  </property>
  <property fmtid="{D5CDD505-2E9C-101B-9397-08002B2CF9AE}" pid="4" name="ClassificationContentMarkingHeaderText">
    <vt:lpwstr>NONPUBLIC//FDIC INTERNAL ONLY</vt:lpwstr>
  </property>
  <property fmtid="{D5CDD505-2E9C-101B-9397-08002B2CF9AE}" pid="5" name="MSIP_Label_e03712f0-ae86-44bd-82ca-deb0d0369377_ActionId">
    <vt:lpwstr>5b92e104-c481-4b49-bdca-7f20d31ed039</vt:lpwstr>
  </property>
  <property fmtid="{D5CDD505-2E9C-101B-9397-08002B2CF9AE}" pid="6" name="MSIP_Label_e03712f0-ae86-44bd-82ca-deb0d0369377_ContentBits">
    <vt:lpwstr>1</vt:lpwstr>
  </property>
  <property fmtid="{D5CDD505-2E9C-101B-9397-08002B2CF9AE}" pid="7" name="MSIP_Label_e03712f0-ae86-44bd-82ca-deb0d0369377_Enabled">
    <vt:lpwstr>true</vt:lpwstr>
  </property>
  <property fmtid="{D5CDD505-2E9C-101B-9397-08002B2CF9AE}" pid="8" name="MSIP_Label_e03712f0-ae86-44bd-82ca-deb0d0369377_Method">
    <vt:lpwstr>Privileged</vt:lpwstr>
  </property>
  <property fmtid="{D5CDD505-2E9C-101B-9397-08002B2CF9AE}" pid="9" name="MSIP_Label_e03712f0-ae86-44bd-82ca-deb0d0369377_Name">
    <vt:lpwstr>e03712f0-ae86-44bd-82ca-deb0d0369377</vt:lpwstr>
  </property>
  <property fmtid="{D5CDD505-2E9C-101B-9397-08002B2CF9AE}" pid="10" name="MSIP_Label_e03712f0-ae86-44bd-82ca-deb0d0369377_SetDate">
    <vt:lpwstr>2025-10-06T14:55:17Z</vt:lpwstr>
  </property>
  <property fmtid="{D5CDD505-2E9C-101B-9397-08002B2CF9AE}" pid="11" name="MSIP_Label_e03712f0-ae86-44bd-82ca-deb0d0369377_SiteId">
    <vt:lpwstr>26c83bc9-31c1-4d77-a523-0816095aba31</vt:lpwstr>
  </property>
  <property fmtid="{D5CDD505-2E9C-101B-9397-08002B2CF9AE}" pid="12" name="MSIP_Label_e03712f0-ae86-44bd-82ca-deb0d0369377_Tag">
    <vt:lpwstr>10, 0, 1, 1</vt:lpwstr>
  </property>
</Properties>
</file>