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7789A" w:rsidRPr="007B5C63" w14:paraId="63F40DB1" w14:textId="77777777">
      <w:pPr>
        <w:suppressAutoHyphens/>
        <w:jc w:val="center"/>
        <w:rPr>
          <w:rFonts w:ascii="Times New Roman" w:hAnsi="Times New Roman"/>
          <w:b/>
        </w:rPr>
      </w:pPr>
      <w:r w:rsidRPr="007B5C63">
        <w:rPr>
          <w:rFonts w:ascii="Times New Roman" w:hAnsi="Times New Roman"/>
          <w:b/>
        </w:rPr>
        <w:t>SUPPORTING STATEMENT FOR NEW AND</w:t>
      </w:r>
    </w:p>
    <w:p w:rsidR="00E7789A" w:rsidRPr="007B5C63" w14:paraId="24BE2462" w14:textId="77777777">
      <w:pPr>
        <w:suppressAutoHyphens/>
        <w:spacing w:after="240"/>
        <w:jc w:val="center"/>
        <w:rPr>
          <w:rFonts w:ascii="Times New Roman" w:hAnsi="Times New Roman"/>
          <w:b/>
        </w:rPr>
      </w:pPr>
      <w:r w:rsidRPr="007B5C63">
        <w:rPr>
          <w:rFonts w:ascii="Times New Roman" w:hAnsi="Times New Roman"/>
          <w:b/>
        </w:rPr>
        <w:t>REVISED INFORMATION COLLECTIONS</w:t>
      </w:r>
    </w:p>
    <w:p w:rsidR="00E07D94" w:rsidP="00E07D94" w14:paraId="1E596394" w14:textId="77777777">
      <w:pPr>
        <w:suppressAutoHyphens/>
        <w:jc w:val="center"/>
        <w:rPr>
          <w:rFonts w:ascii="Times New Roman" w:hAnsi="Times New Roman"/>
          <w:b/>
        </w:rPr>
      </w:pPr>
      <w:r w:rsidRPr="007B5C63">
        <w:rPr>
          <w:rFonts w:ascii="Times New Roman" w:hAnsi="Times New Roman"/>
          <w:b/>
        </w:rPr>
        <w:t>Response to Notification of Termination of Exemptive Relief</w:t>
      </w:r>
    </w:p>
    <w:p w:rsidR="00E7789A" w:rsidRPr="007B5C63" w:rsidP="00246690" w14:paraId="1AC3E9BE" w14:textId="4C4C189F">
      <w:pPr>
        <w:suppressAutoHyphens/>
        <w:spacing w:after="240"/>
        <w:jc w:val="center"/>
        <w:rPr>
          <w:rFonts w:ascii="Times New Roman" w:hAnsi="Times New Roman"/>
          <w:b/>
        </w:rPr>
      </w:pPr>
      <w:r w:rsidRPr="007B5C63">
        <w:rPr>
          <w:rFonts w:ascii="Times New Roman" w:hAnsi="Times New Roman"/>
          <w:b/>
        </w:rPr>
        <w:t>Issued Pursuant to Regulation 30.10</w:t>
      </w:r>
    </w:p>
    <w:p w:rsidR="00E7789A" w:rsidRPr="007B5C63" w:rsidP="00246690" w14:paraId="14628271" w14:textId="5FE2794D">
      <w:pPr>
        <w:tabs>
          <w:tab w:val="center" w:pos="4680"/>
        </w:tabs>
        <w:suppressAutoHyphens/>
        <w:spacing w:after="240"/>
        <w:jc w:val="center"/>
        <w:rPr>
          <w:rFonts w:ascii="Times New Roman" w:hAnsi="Times New Roman"/>
          <w:b/>
        </w:rPr>
      </w:pPr>
      <w:r w:rsidRPr="007B5C63">
        <w:rPr>
          <w:rFonts w:ascii="Times New Roman" w:hAnsi="Times New Roman"/>
          <w:b/>
        </w:rPr>
        <w:t>OMB CONTROL NUMBER 3038-</w:t>
      </w:r>
      <w:r w:rsidRPr="007B5C63" w:rsidR="00CD2697">
        <w:rPr>
          <w:rFonts w:ascii="Times New Roman" w:hAnsi="Times New Roman"/>
          <w:b/>
        </w:rPr>
        <w:t>0116</w:t>
      </w:r>
    </w:p>
    <w:p w:rsidR="00E7789A" w:rsidRPr="007B5C63" w:rsidP="00246690" w14:paraId="2232DF4D" w14:textId="77777777">
      <w:pPr>
        <w:pStyle w:val="Heading1"/>
        <w:keepNext w:val="0"/>
        <w:spacing w:after="240"/>
        <w:rPr>
          <w:rFonts w:ascii="Times New Roman" w:hAnsi="Times New Roman"/>
          <w:szCs w:val="24"/>
        </w:rPr>
      </w:pPr>
      <w:r w:rsidRPr="007B5C63">
        <w:rPr>
          <w:rFonts w:ascii="Times New Roman" w:hAnsi="Times New Roman"/>
          <w:szCs w:val="24"/>
        </w:rPr>
        <w:t>Justification</w:t>
      </w:r>
    </w:p>
    <w:p w:rsidR="00E7789A" w:rsidRPr="007B5C63" w:rsidP="00246690" w14:paraId="5879ABD3" w14:textId="77777777">
      <w:pPr>
        <w:tabs>
          <w:tab w:val="left" w:pos="-720"/>
        </w:tabs>
        <w:spacing w:after="240"/>
        <w:ind w:left="720" w:hanging="720"/>
        <w:jc w:val="both"/>
        <w:rPr>
          <w:rFonts w:ascii="Times New Roman" w:hAnsi="Times New Roman"/>
        </w:rPr>
      </w:pPr>
      <w:r w:rsidRPr="007B5C63">
        <w:rPr>
          <w:rFonts w:ascii="Times New Roman" w:hAnsi="Times New Roman"/>
          <w:b/>
        </w:rPr>
        <w:t>1.</w:t>
      </w:r>
      <w:r w:rsidRPr="007B5C63">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7789A" w:rsidRPr="007B5C63" w:rsidP="00246690" w14:paraId="7433CA90" w14:textId="4BDC5ED2">
      <w:pPr>
        <w:pStyle w:val="Default"/>
        <w:spacing w:after="240"/>
        <w:jc w:val="both"/>
        <w:rPr>
          <w:rFonts w:ascii="Times New Roman" w:hAnsi="Times New Roman" w:cs="Times New Roman"/>
        </w:rPr>
      </w:pPr>
      <w:r w:rsidRPr="007B5C63">
        <w:rPr>
          <w:rFonts w:ascii="Times New Roman" w:hAnsi="Times New Roman" w:cs="Times New Roman"/>
        </w:rPr>
        <w:t>Section</w:t>
      </w:r>
      <w:r w:rsidRPr="007B5C63">
        <w:rPr>
          <w:rFonts w:ascii="Times New Roman" w:hAnsi="Times New Roman" w:cs="Times New Roman"/>
        </w:rPr>
        <w:t xml:space="preserve"> 4</w:t>
      </w:r>
      <w:r w:rsidRPr="007B5C63">
        <w:rPr>
          <w:rFonts w:ascii="Times New Roman" w:hAnsi="Times New Roman" w:cs="Times New Roman"/>
        </w:rPr>
        <w:t>(b)(2)</w:t>
      </w:r>
      <w:r w:rsidRPr="007B5C63">
        <w:rPr>
          <w:rFonts w:ascii="Times New Roman" w:hAnsi="Times New Roman" w:cs="Times New Roman"/>
        </w:rPr>
        <w:t xml:space="preserve"> of the Commodity Exchange Act </w:t>
      </w:r>
      <w:r w:rsidRPr="007B5C63" w:rsidR="00ED7DC7">
        <w:rPr>
          <w:rFonts w:ascii="Times New Roman" w:hAnsi="Times New Roman" w:cs="Times New Roman"/>
        </w:rPr>
        <w:t xml:space="preserve">(“CEA”) </w:t>
      </w:r>
      <w:r w:rsidRPr="007B5C63">
        <w:rPr>
          <w:rFonts w:ascii="Times New Roman" w:hAnsi="Times New Roman" w:cs="Times New Roman"/>
        </w:rPr>
        <w:t>provides that the</w:t>
      </w:r>
      <w:r w:rsidR="007B5C63">
        <w:rPr>
          <w:rFonts w:ascii="Times New Roman" w:hAnsi="Times New Roman" w:cs="Times New Roman"/>
        </w:rPr>
        <w:t xml:space="preserve"> </w:t>
      </w:r>
      <w:r w:rsidRPr="007B5C63">
        <w:rPr>
          <w:rFonts w:ascii="Times New Roman" w:hAnsi="Times New Roman" w:cs="Times New Roman"/>
        </w:rPr>
        <w:t>Commission</w:t>
      </w:r>
      <w:r w:rsidR="007B5C63">
        <w:rPr>
          <w:rFonts w:ascii="Times New Roman" w:hAnsi="Times New Roman" w:cs="Times New Roman"/>
        </w:rPr>
        <w:t xml:space="preserve"> </w:t>
      </w:r>
      <w:r w:rsidRPr="007B5C63">
        <w:rPr>
          <w:rFonts w:ascii="Times New Roman" w:hAnsi="Times New Roman" w:cs="Times New Roman"/>
        </w:rPr>
        <w:t>may adopt rules and regulations proscribing fraud and requiring minimum financial</w:t>
      </w:r>
      <w:r w:rsidR="007B5C63">
        <w:rPr>
          <w:rFonts w:ascii="Times New Roman" w:hAnsi="Times New Roman" w:cs="Times New Roman"/>
        </w:rPr>
        <w:t xml:space="preserve"> </w:t>
      </w:r>
      <w:r w:rsidRPr="007B5C63">
        <w:rPr>
          <w:rFonts w:ascii="Times New Roman" w:hAnsi="Times New Roman" w:cs="Times New Roman"/>
        </w:rPr>
        <w:t>standards,</w:t>
      </w:r>
      <w:r w:rsidR="007B5C63">
        <w:rPr>
          <w:rFonts w:ascii="Times New Roman" w:hAnsi="Times New Roman" w:cs="Times New Roman"/>
        </w:rPr>
        <w:t xml:space="preserve"> </w:t>
      </w:r>
      <w:r w:rsidRPr="007B5C63">
        <w:rPr>
          <w:rFonts w:ascii="Times New Roman" w:hAnsi="Times New Roman" w:cs="Times New Roman"/>
        </w:rPr>
        <w:t>the disclosure of risk, the filing of reports, the keeping of books and records, the safeguarding of customers’ funds, and registration with the</w:t>
      </w:r>
      <w:r w:rsidR="007B5C63">
        <w:rPr>
          <w:rFonts w:ascii="Times New Roman" w:hAnsi="Times New Roman" w:cs="Times New Roman"/>
        </w:rPr>
        <w:t xml:space="preserve"> </w:t>
      </w:r>
      <w:r w:rsidRPr="007B5C63">
        <w:rPr>
          <w:rFonts w:ascii="Times New Roman" w:hAnsi="Times New Roman" w:cs="Times New Roman"/>
        </w:rPr>
        <w:t>Commission</w:t>
      </w:r>
      <w:r w:rsidR="007B5C63">
        <w:rPr>
          <w:rFonts w:ascii="Times New Roman" w:hAnsi="Times New Roman" w:cs="Times New Roman"/>
        </w:rPr>
        <w:t xml:space="preserve"> </w:t>
      </w:r>
      <w:r w:rsidRPr="007B5C63">
        <w:rPr>
          <w:rFonts w:ascii="Times New Roman" w:hAnsi="Times New Roman" w:cs="Times New Roman"/>
        </w:rPr>
        <w:t>by any</w:t>
      </w:r>
      <w:r w:rsidR="007B5C63">
        <w:rPr>
          <w:rFonts w:ascii="Times New Roman" w:hAnsi="Times New Roman" w:cs="Times New Roman"/>
        </w:rPr>
        <w:t xml:space="preserve"> </w:t>
      </w:r>
      <w:r w:rsidRPr="007B5C63">
        <w:rPr>
          <w:rFonts w:ascii="Times New Roman" w:hAnsi="Times New Roman" w:cs="Times New Roman"/>
        </w:rPr>
        <w:t>person</w:t>
      </w:r>
      <w:r w:rsidR="007B5C63">
        <w:rPr>
          <w:rFonts w:ascii="Times New Roman" w:hAnsi="Times New Roman" w:cs="Times New Roman"/>
        </w:rPr>
        <w:t xml:space="preserve"> </w:t>
      </w:r>
      <w:r w:rsidRPr="007B5C63">
        <w:rPr>
          <w:rFonts w:ascii="Times New Roman" w:hAnsi="Times New Roman" w:cs="Times New Roman"/>
        </w:rPr>
        <w:t>located in the United States,</w:t>
      </w:r>
      <w:r w:rsidR="007B5C63">
        <w:rPr>
          <w:rFonts w:ascii="Times New Roman" w:hAnsi="Times New Roman" w:cs="Times New Roman"/>
        </w:rPr>
        <w:t xml:space="preserve"> </w:t>
      </w:r>
      <w:r w:rsidRPr="007B5C63">
        <w:rPr>
          <w:rFonts w:ascii="Times New Roman" w:hAnsi="Times New Roman" w:cs="Times New Roman"/>
        </w:rPr>
        <w:t>its territories or possessions, who engages in the offer or sale of any</w:t>
      </w:r>
      <w:r w:rsidR="007B5C63">
        <w:rPr>
          <w:rFonts w:ascii="Times New Roman" w:hAnsi="Times New Roman" w:cs="Times New Roman"/>
        </w:rPr>
        <w:t xml:space="preserve"> </w:t>
      </w:r>
      <w:r w:rsidRPr="007B5C63">
        <w:rPr>
          <w:rFonts w:ascii="Times New Roman" w:hAnsi="Times New Roman" w:cs="Times New Roman"/>
        </w:rPr>
        <w:t>contract of sale</w:t>
      </w:r>
      <w:r w:rsidR="007B5C63">
        <w:rPr>
          <w:rFonts w:ascii="Times New Roman" w:hAnsi="Times New Roman" w:cs="Times New Roman"/>
        </w:rPr>
        <w:t xml:space="preserve"> </w:t>
      </w:r>
      <w:r w:rsidRPr="007B5C63">
        <w:rPr>
          <w:rFonts w:ascii="Times New Roman" w:hAnsi="Times New Roman" w:cs="Times New Roman"/>
        </w:rPr>
        <w:t>of a</w:t>
      </w:r>
      <w:r w:rsidR="007B5C63">
        <w:rPr>
          <w:rFonts w:ascii="Times New Roman" w:hAnsi="Times New Roman" w:cs="Times New Roman"/>
        </w:rPr>
        <w:t xml:space="preserve"> </w:t>
      </w:r>
      <w:r w:rsidRPr="007B5C63">
        <w:rPr>
          <w:rFonts w:ascii="Times New Roman" w:hAnsi="Times New Roman" w:cs="Times New Roman"/>
        </w:rPr>
        <w:t>commodity</w:t>
      </w:r>
      <w:r w:rsidR="007B5C63">
        <w:rPr>
          <w:rFonts w:ascii="Times New Roman" w:hAnsi="Times New Roman" w:cs="Times New Roman"/>
        </w:rPr>
        <w:t xml:space="preserve"> </w:t>
      </w:r>
      <w:r w:rsidRPr="007B5C63">
        <w:rPr>
          <w:rFonts w:ascii="Times New Roman" w:hAnsi="Times New Roman" w:cs="Times New Roman"/>
        </w:rPr>
        <w:t>for</w:t>
      </w:r>
      <w:r w:rsidR="007B5C63">
        <w:rPr>
          <w:rFonts w:ascii="Times New Roman" w:hAnsi="Times New Roman" w:cs="Times New Roman"/>
        </w:rPr>
        <w:t xml:space="preserve"> </w:t>
      </w:r>
      <w:r w:rsidRPr="007B5C63">
        <w:rPr>
          <w:rFonts w:ascii="Times New Roman" w:hAnsi="Times New Roman" w:cs="Times New Roman"/>
        </w:rPr>
        <w:t>future delivery</w:t>
      </w:r>
      <w:r w:rsidR="007B5C63">
        <w:rPr>
          <w:rFonts w:ascii="Times New Roman" w:hAnsi="Times New Roman" w:cs="Times New Roman"/>
        </w:rPr>
        <w:t xml:space="preserve"> </w:t>
      </w:r>
      <w:r w:rsidRPr="007B5C63">
        <w:rPr>
          <w:rFonts w:ascii="Times New Roman" w:hAnsi="Times New Roman" w:cs="Times New Roman"/>
        </w:rPr>
        <w:t>that is made or to be made on or subject to the rules of a</w:t>
      </w:r>
      <w:r w:rsidR="007B5C63">
        <w:rPr>
          <w:rFonts w:ascii="Times New Roman" w:hAnsi="Times New Roman" w:cs="Times New Roman"/>
        </w:rPr>
        <w:t xml:space="preserve"> </w:t>
      </w:r>
      <w:r w:rsidRPr="007B5C63">
        <w:rPr>
          <w:rFonts w:ascii="Times New Roman" w:hAnsi="Times New Roman" w:cs="Times New Roman"/>
        </w:rPr>
        <w:t>board of trade,</w:t>
      </w:r>
      <w:r w:rsidR="007B5C63">
        <w:rPr>
          <w:rFonts w:ascii="Times New Roman" w:hAnsi="Times New Roman" w:cs="Times New Roman"/>
        </w:rPr>
        <w:t xml:space="preserve"> </w:t>
      </w:r>
      <w:r w:rsidRPr="007B5C63">
        <w:rPr>
          <w:rFonts w:ascii="Times New Roman" w:hAnsi="Times New Roman" w:cs="Times New Roman"/>
        </w:rPr>
        <w:t>exchange,</w:t>
      </w:r>
      <w:r w:rsidR="007B5C63">
        <w:rPr>
          <w:rFonts w:ascii="Times New Roman" w:hAnsi="Times New Roman" w:cs="Times New Roman"/>
        </w:rPr>
        <w:t xml:space="preserve"> </w:t>
      </w:r>
      <w:r w:rsidRPr="007B5C63">
        <w:rPr>
          <w:rFonts w:ascii="Times New Roman" w:hAnsi="Times New Roman" w:cs="Times New Roman"/>
        </w:rPr>
        <w:t>or</w:t>
      </w:r>
      <w:r w:rsidR="007B5C63">
        <w:rPr>
          <w:rFonts w:ascii="Times New Roman" w:hAnsi="Times New Roman" w:cs="Times New Roman"/>
        </w:rPr>
        <w:t xml:space="preserve"> </w:t>
      </w:r>
      <w:r w:rsidRPr="007B5C63">
        <w:rPr>
          <w:rFonts w:ascii="Times New Roman" w:hAnsi="Times New Roman" w:cs="Times New Roman"/>
        </w:rPr>
        <w:t>market</w:t>
      </w:r>
      <w:r w:rsidR="007B5C63">
        <w:rPr>
          <w:rFonts w:ascii="Times New Roman" w:hAnsi="Times New Roman" w:cs="Times New Roman"/>
        </w:rPr>
        <w:t xml:space="preserve"> </w:t>
      </w:r>
      <w:r w:rsidRPr="007B5C63">
        <w:rPr>
          <w:rFonts w:ascii="Times New Roman" w:hAnsi="Times New Roman" w:cs="Times New Roman"/>
        </w:rPr>
        <w:t>located outside the United</w:t>
      </w:r>
      <w:r w:rsidR="007B5C63">
        <w:rPr>
          <w:rFonts w:ascii="Times New Roman" w:hAnsi="Times New Roman" w:cs="Times New Roman"/>
        </w:rPr>
        <w:t xml:space="preserve"> </w:t>
      </w:r>
      <w:r w:rsidRPr="007B5C63">
        <w:rPr>
          <w:rFonts w:ascii="Times New Roman" w:hAnsi="Times New Roman" w:cs="Times New Roman"/>
        </w:rPr>
        <w:t>States,</w:t>
      </w:r>
      <w:r w:rsidR="007B5C63">
        <w:rPr>
          <w:rFonts w:ascii="Times New Roman" w:hAnsi="Times New Roman" w:cs="Times New Roman"/>
        </w:rPr>
        <w:t xml:space="preserve"> </w:t>
      </w:r>
      <w:r w:rsidRPr="007B5C63">
        <w:rPr>
          <w:rFonts w:ascii="Times New Roman" w:hAnsi="Times New Roman" w:cs="Times New Roman"/>
        </w:rPr>
        <w:t>its territories or possessions.</w:t>
      </w:r>
    </w:p>
    <w:p w:rsidR="00E7789A" w:rsidRPr="007B5C63" w:rsidP="00246690" w14:paraId="461B0738" w14:textId="735B894B">
      <w:pPr>
        <w:pStyle w:val="Default"/>
        <w:spacing w:after="240"/>
        <w:jc w:val="both"/>
        <w:rPr>
          <w:rFonts w:ascii="Times New Roman" w:hAnsi="Times New Roman" w:cs="Times New Roman"/>
        </w:rPr>
      </w:pPr>
      <w:r w:rsidRPr="007B5C63">
        <w:rPr>
          <w:rFonts w:ascii="Times New Roman" w:hAnsi="Times New Roman" w:cs="Times New Roman"/>
        </w:rPr>
        <w:t xml:space="preserve">Accordingly, the Commission </w:t>
      </w:r>
      <w:r w:rsidRPr="007B5C63" w:rsidR="00987907">
        <w:rPr>
          <w:rFonts w:ascii="Times New Roman" w:hAnsi="Times New Roman" w:cs="Times New Roman"/>
        </w:rPr>
        <w:t xml:space="preserve">adopted </w:t>
      </w:r>
      <w:r w:rsidRPr="007B5C63">
        <w:rPr>
          <w:rFonts w:ascii="Times New Roman" w:hAnsi="Times New Roman" w:cs="Times New Roman"/>
        </w:rPr>
        <w:t>regulation</w:t>
      </w:r>
      <w:r w:rsidRPr="007B5C63" w:rsidR="008A011C">
        <w:rPr>
          <w:rFonts w:ascii="Times New Roman" w:hAnsi="Times New Roman" w:cs="Times New Roman"/>
        </w:rPr>
        <w:t xml:space="preserve"> </w:t>
      </w:r>
      <w:r w:rsidRPr="007B5C63" w:rsidR="004B450F">
        <w:rPr>
          <w:rFonts w:ascii="Times New Roman" w:hAnsi="Times New Roman" w:cs="Times New Roman"/>
        </w:rPr>
        <w:t>30.10</w:t>
      </w:r>
      <w:r w:rsidRPr="007B5C63" w:rsidR="00D24F3C">
        <w:rPr>
          <w:rFonts w:ascii="Times New Roman" w:hAnsi="Times New Roman" w:cs="Times New Roman"/>
        </w:rPr>
        <w:t xml:space="preserve">.  </w:t>
      </w:r>
      <w:r w:rsidRPr="007B5C63" w:rsidR="004B450F">
        <w:rPr>
          <w:rFonts w:ascii="Times New Roman" w:hAnsi="Times New Roman" w:cs="Times New Roman"/>
        </w:rPr>
        <w:t>Commission regulation 30.10 provides a process by which persons located outside the U.S. and subject to a comparable regulatory structure in the jurisdiction in which they are located to seek an exemption from certain of the requirements under Part 30 of the Commission’s regulations.</w:t>
      </w:r>
    </w:p>
    <w:p w:rsidR="00E7789A" w:rsidRPr="007B5C63" w:rsidP="00246690" w14:paraId="377480AF" w14:textId="5269AB92">
      <w:pPr>
        <w:pStyle w:val="Default"/>
        <w:spacing w:after="240"/>
        <w:jc w:val="both"/>
        <w:rPr>
          <w:rFonts w:ascii="Times New Roman" w:hAnsi="Times New Roman" w:cs="Times New Roman"/>
        </w:rPr>
      </w:pPr>
      <w:r w:rsidRPr="007B5C63">
        <w:rPr>
          <w:rFonts w:ascii="Times New Roman" w:hAnsi="Times New Roman" w:cs="Times New Roman"/>
        </w:rPr>
        <w:t xml:space="preserve">On </w:t>
      </w:r>
      <w:r w:rsidRPr="007B5C63" w:rsidR="00CD2697">
        <w:rPr>
          <w:rFonts w:ascii="Times New Roman" w:hAnsi="Times New Roman" w:cs="Times New Roman"/>
        </w:rPr>
        <w:t xml:space="preserve">March </w:t>
      </w:r>
      <w:r w:rsidRPr="007B5C63" w:rsidR="00D30915">
        <w:rPr>
          <w:rFonts w:ascii="Times New Roman" w:hAnsi="Times New Roman" w:cs="Times New Roman"/>
        </w:rPr>
        <w:t>3</w:t>
      </w:r>
      <w:r w:rsidRPr="007B5C63">
        <w:rPr>
          <w:rFonts w:ascii="Times New Roman" w:hAnsi="Times New Roman" w:cs="Times New Roman"/>
        </w:rPr>
        <w:t>, 20</w:t>
      </w:r>
      <w:r w:rsidRPr="007B5C63" w:rsidR="00CD2697">
        <w:rPr>
          <w:rFonts w:ascii="Times New Roman" w:hAnsi="Times New Roman" w:cs="Times New Roman"/>
        </w:rPr>
        <w:t>20</w:t>
      </w:r>
      <w:r w:rsidRPr="007B5C63">
        <w:rPr>
          <w:rFonts w:ascii="Times New Roman" w:hAnsi="Times New Roman" w:cs="Times New Roman"/>
        </w:rPr>
        <w:t xml:space="preserve">, the Commission </w:t>
      </w:r>
      <w:r w:rsidRPr="007B5C63" w:rsidR="00B723E3">
        <w:rPr>
          <w:rFonts w:ascii="Times New Roman" w:hAnsi="Times New Roman" w:cs="Times New Roman"/>
        </w:rPr>
        <w:t>a</w:t>
      </w:r>
      <w:r w:rsidRPr="007B5C63" w:rsidR="003D1373">
        <w:rPr>
          <w:rFonts w:ascii="Times New Roman" w:hAnsi="Times New Roman" w:cs="Times New Roman"/>
        </w:rPr>
        <w:t xml:space="preserve">mended </w:t>
      </w:r>
      <w:r w:rsidRPr="007B5C63">
        <w:rPr>
          <w:rFonts w:ascii="Times New Roman" w:hAnsi="Times New Roman" w:cs="Times New Roman"/>
        </w:rPr>
        <w:t>regulation 30.10 to codify the process by which the Commission may terminate such exemptive relief</w:t>
      </w:r>
      <w:r w:rsidRPr="007B5C63" w:rsidR="009E6FC4">
        <w:rPr>
          <w:rFonts w:ascii="Times New Roman" w:hAnsi="Times New Roman" w:cs="Times New Roman"/>
        </w:rPr>
        <w:t xml:space="preserve"> after appropriate notice and opportunity to respond.  </w:t>
      </w:r>
      <w:r w:rsidRPr="007B5C63" w:rsidR="00270FA5">
        <w:rPr>
          <w:rFonts w:ascii="Times New Roman" w:hAnsi="Times New Roman" w:cs="Times New Roman"/>
        </w:rPr>
        <w:t xml:space="preserve">Specifically, </w:t>
      </w:r>
      <w:r w:rsidRPr="007B5C63" w:rsidR="00CD2697">
        <w:rPr>
          <w:rFonts w:ascii="Times New Roman" w:hAnsi="Times New Roman" w:cs="Times New Roman"/>
        </w:rPr>
        <w:t xml:space="preserve">new </w:t>
      </w:r>
      <w:r w:rsidRPr="007B5C63" w:rsidR="00270FA5">
        <w:rPr>
          <w:rFonts w:ascii="Times New Roman" w:hAnsi="Times New Roman" w:cs="Times New Roman"/>
        </w:rPr>
        <w:t xml:space="preserve">regulation 30.10(c)(3) provides any party affected by the Commission’s determination to terminate relief with the opportunity to respond to the notification in writing no later than 30 business days following the receipt of the notification, or at such time as the Commission permits in writing.  </w:t>
      </w:r>
      <w:r w:rsidRPr="007B5C63">
        <w:rPr>
          <w:rFonts w:ascii="Times New Roman" w:hAnsi="Times New Roman" w:cs="Times New Roman"/>
        </w:rPr>
        <w:t xml:space="preserve">The Commission believes that the information collection obligations imposed by amendments </w:t>
      </w:r>
      <w:r w:rsidRPr="007B5C63" w:rsidR="009E6FC4">
        <w:rPr>
          <w:rFonts w:ascii="Times New Roman" w:hAnsi="Times New Roman" w:cs="Times New Roman"/>
        </w:rPr>
        <w:t xml:space="preserve">to </w:t>
      </w:r>
      <w:r w:rsidRPr="007B5C63">
        <w:rPr>
          <w:rFonts w:ascii="Times New Roman" w:hAnsi="Times New Roman" w:cs="Times New Roman"/>
        </w:rPr>
        <w:t>regulation 30.10 are essential to the ongoing evaluation of</w:t>
      </w:r>
      <w:r w:rsidRPr="007B5C63" w:rsidR="009E6FC4">
        <w:rPr>
          <w:rFonts w:ascii="Times New Roman" w:hAnsi="Times New Roman" w:cs="Times New Roman"/>
        </w:rPr>
        <w:t xml:space="preserve"> the effectiveness of its program for regulatory deference</w:t>
      </w:r>
      <w:r w:rsidRPr="007B5C63">
        <w:rPr>
          <w:rFonts w:ascii="Times New Roman" w:hAnsi="Times New Roman" w:cs="Times New Roman"/>
        </w:rPr>
        <w:t>.</w:t>
      </w:r>
    </w:p>
    <w:p w:rsidR="00E7789A" w:rsidRPr="00246690" w:rsidP="00246690" w14:paraId="5238B9C2" w14:textId="3AE7D156">
      <w:pPr>
        <w:tabs>
          <w:tab w:val="left" w:pos="-720"/>
        </w:tabs>
        <w:spacing w:after="240"/>
        <w:ind w:left="720" w:hanging="720"/>
        <w:jc w:val="both"/>
        <w:rPr>
          <w:rFonts w:ascii="Times New Roman" w:hAnsi="Times New Roman"/>
          <w:b/>
        </w:rPr>
      </w:pPr>
      <w:r w:rsidRPr="007B5C63">
        <w:rPr>
          <w:rFonts w:ascii="Times New Roman" w:hAnsi="Times New Roman"/>
          <w:b/>
        </w:rPr>
        <w:t>2.</w:t>
      </w:r>
      <w:r w:rsidRPr="007B5C63">
        <w:rPr>
          <w:rFonts w:ascii="Times New Roman" w:hAnsi="Times New Roman"/>
          <w:b/>
        </w:rPr>
        <w:tab/>
        <w:t>Indicate how, by whom, and for what purpose the data would be used.  Except for a new collection, indicate the actual use the agency has made of the information received from the current collection.</w:t>
      </w:r>
    </w:p>
    <w:p w:rsidR="00E7789A" w:rsidRPr="007B5C63" w:rsidP="00246690" w14:paraId="275D5EE7" w14:textId="6A56AD27">
      <w:pPr>
        <w:spacing w:after="240"/>
        <w:jc w:val="both"/>
        <w:rPr>
          <w:rFonts w:ascii="Times New Roman" w:hAnsi="Times New Roman"/>
        </w:rPr>
      </w:pPr>
      <w:r w:rsidRPr="007B5C63">
        <w:rPr>
          <w:rFonts w:ascii="Times New Roman" w:hAnsi="Times New Roman"/>
        </w:rPr>
        <w:t xml:space="preserve">The </w:t>
      </w:r>
      <w:r w:rsidRPr="007B5C63" w:rsidR="009E6FC4">
        <w:rPr>
          <w:rFonts w:ascii="Times New Roman" w:hAnsi="Times New Roman"/>
        </w:rPr>
        <w:t xml:space="preserve">information to be collected </w:t>
      </w:r>
      <w:r w:rsidRPr="007B5C63">
        <w:rPr>
          <w:rFonts w:ascii="Times New Roman" w:hAnsi="Times New Roman"/>
        </w:rPr>
        <w:t xml:space="preserve">will be used by Commission staff to evaluate </w:t>
      </w:r>
      <w:r w:rsidRPr="007B5C63" w:rsidR="009E6FC4">
        <w:rPr>
          <w:rFonts w:ascii="Times New Roman" w:hAnsi="Times New Roman"/>
        </w:rPr>
        <w:t>whether exemptive relief issued pursuant to regulation 30.10 remains warranted</w:t>
      </w:r>
      <w:r w:rsidRPr="007B5C63">
        <w:rPr>
          <w:rFonts w:ascii="Times New Roman" w:hAnsi="Times New Roman"/>
        </w:rPr>
        <w:t>.</w:t>
      </w:r>
    </w:p>
    <w:p w:rsidR="00E7789A" w:rsidRPr="007B5C63" w:rsidP="00246690" w14:paraId="440E8F4C" w14:textId="77777777">
      <w:pPr>
        <w:keepNext/>
        <w:tabs>
          <w:tab w:val="left" w:pos="-720"/>
        </w:tabs>
        <w:spacing w:after="240"/>
        <w:ind w:left="720" w:hanging="720"/>
        <w:jc w:val="both"/>
        <w:rPr>
          <w:rFonts w:ascii="Times New Roman" w:hAnsi="Times New Roman"/>
          <w:b/>
        </w:rPr>
      </w:pPr>
      <w:r w:rsidRPr="007B5C63">
        <w:rPr>
          <w:rFonts w:ascii="Times New Roman" w:hAnsi="Times New Roman"/>
          <w:b/>
        </w:rPr>
        <w:t>3.</w:t>
      </w:r>
      <w:r w:rsidRPr="007B5C63">
        <w:rPr>
          <w:rFonts w:ascii="Times New Roman" w:hAnsi="Times New Roman"/>
          <w:b/>
        </w:rPr>
        <w:tab/>
        <w:t xml:space="preserve">Describe whether, and to what extent, the collection of information involves the use of automated, electronic, mechanical, or other technological collection techniques or other forms of information technology, e.g. permitting electronic submission of </w:t>
      </w:r>
      <w:r w:rsidRPr="007B5C63">
        <w:rPr>
          <w:rFonts w:ascii="Times New Roman" w:hAnsi="Times New Roman"/>
          <w:b/>
        </w:rPr>
        <w:t>responses, and the basis for the decision for adopting this means of collection.  Also describe any consideration of using information technology to reduce burden.</w:t>
      </w:r>
    </w:p>
    <w:p w:rsidR="00E7789A" w:rsidRPr="007B5C63" w:rsidP="00246690" w14:paraId="7D9C261B" w14:textId="4AECD01D">
      <w:pPr>
        <w:tabs>
          <w:tab w:val="left" w:pos="-720"/>
          <w:tab w:val="left" w:pos="0"/>
        </w:tabs>
        <w:spacing w:after="240"/>
        <w:jc w:val="both"/>
        <w:rPr>
          <w:rFonts w:ascii="Times New Roman" w:hAnsi="Times New Roman"/>
        </w:rPr>
      </w:pPr>
      <w:r w:rsidRPr="007B5C63">
        <w:rPr>
          <w:rFonts w:ascii="Times New Roman" w:hAnsi="Times New Roman"/>
        </w:rPr>
        <w:t xml:space="preserve">The regulation </w:t>
      </w:r>
      <w:r w:rsidRPr="007B5C63" w:rsidR="009E6FC4">
        <w:rPr>
          <w:rFonts w:ascii="Times New Roman" w:hAnsi="Times New Roman"/>
        </w:rPr>
        <w:t>does not mandate the collection of information by any particular automated, electronic, mechanical, or other technological collection techniques or other forms of information technology.</w:t>
      </w:r>
    </w:p>
    <w:p w:rsidR="00E7789A" w:rsidRPr="007B5C63" w:rsidP="00246690" w14:paraId="6A6ECF4B" w14:textId="77777777">
      <w:pPr>
        <w:tabs>
          <w:tab w:val="left" w:pos="-720"/>
        </w:tabs>
        <w:spacing w:after="240"/>
        <w:ind w:left="720" w:hanging="720"/>
        <w:jc w:val="both"/>
        <w:rPr>
          <w:rFonts w:ascii="Times New Roman" w:hAnsi="Times New Roman"/>
          <w:b/>
        </w:rPr>
      </w:pPr>
      <w:r w:rsidRPr="007B5C63">
        <w:rPr>
          <w:rFonts w:ascii="Times New Roman" w:hAnsi="Times New Roman"/>
          <w:b/>
        </w:rPr>
        <w:t>4.</w:t>
      </w:r>
      <w:r w:rsidRPr="007B5C63">
        <w:rPr>
          <w:rFonts w:ascii="Times New Roman" w:hAnsi="Times New Roman"/>
          <w:b/>
        </w:rPr>
        <w:tab/>
        <w:t>Describe efforts to identify duplication.  Show specifically why any similar information already available cannot be used or modified for use for the purposes described in Item 2 above.</w:t>
      </w:r>
    </w:p>
    <w:p w:rsidR="00E7789A" w:rsidRPr="007B5C63" w:rsidP="00246690" w14:paraId="38136942" w14:textId="19AEF843">
      <w:pPr>
        <w:tabs>
          <w:tab w:val="left" w:pos="-720"/>
        </w:tabs>
        <w:spacing w:after="240"/>
        <w:jc w:val="both"/>
        <w:rPr>
          <w:rFonts w:ascii="Times New Roman" w:hAnsi="Times New Roman"/>
        </w:rPr>
      </w:pPr>
      <w:r w:rsidRPr="007B5C63">
        <w:rPr>
          <w:rFonts w:ascii="Times New Roman" w:hAnsi="Times New Roman"/>
        </w:rPr>
        <w:t>The required information is not already collected by the Commission for any other purpose, collected by any other agency, or available for public disclosure through any other source.</w:t>
      </w:r>
    </w:p>
    <w:p w:rsidR="00E7789A" w:rsidRPr="007B5C63" w:rsidP="00246690" w14:paraId="5BB9C9DD" w14:textId="5B4B7077">
      <w:pPr>
        <w:tabs>
          <w:tab w:val="left" w:pos="-720"/>
        </w:tabs>
        <w:spacing w:after="240"/>
        <w:ind w:left="720" w:hanging="720"/>
        <w:jc w:val="both"/>
        <w:rPr>
          <w:rFonts w:ascii="Times New Roman" w:hAnsi="Times New Roman"/>
          <w:b/>
        </w:rPr>
      </w:pPr>
      <w:r w:rsidRPr="007B5C63">
        <w:rPr>
          <w:rFonts w:ascii="Times New Roman" w:hAnsi="Times New Roman"/>
          <w:b/>
        </w:rPr>
        <w:t>5.</w:t>
      </w:r>
      <w:r w:rsidRPr="007B5C63">
        <w:rPr>
          <w:rFonts w:ascii="Times New Roman" w:hAnsi="Times New Roman"/>
          <w:b/>
        </w:rPr>
        <w:tab/>
        <w:t>If the collection of information involves small business or other small entities, describe the methods used to minimize burden.</w:t>
      </w:r>
    </w:p>
    <w:p w:rsidR="00E7789A" w:rsidRPr="007B5C63" w:rsidP="00246690" w14:paraId="018208AB" w14:textId="79F8CC1D">
      <w:pPr>
        <w:tabs>
          <w:tab w:val="left" w:pos="-720"/>
        </w:tabs>
        <w:spacing w:after="240"/>
        <w:jc w:val="both"/>
        <w:rPr>
          <w:rFonts w:ascii="Times New Roman" w:hAnsi="Times New Roman"/>
        </w:rPr>
      </w:pPr>
      <w:r w:rsidRPr="007B5C63">
        <w:rPr>
          <w:rFonts w:ascii="Times New Roman" w:hAnsi="Times New Roman"/>
        </w:rPr>
        <w:t>T</w:t>
      </w:r>
      <w:r w:rsidRPr="007B5C63" w:rsidR="00B82E68">
        <w:rPr>
          <w:rFonts w:ascii="Times New Roman" w:hAnsi="Times New Roman"/>
        </w:rPr>
        <w:t xml:space="preserve">he Commission </w:t>
      </w:r>
      <w:r w:rsidR="003B26B1">
        <w:rPr>
          <w:rFonts w:ascii="Times New Roman" w:hAnsi="Times New Roman"/>
        </w:rPr>
        <w:t xml:space="preserve">has </w:t>
      </w:r>
      <w:r w:rsidRPr="007B5C63" w:rsidR="00B82E68">
        <w:rPr>
          <w:rFonts w:ascii="Times New Roman" w:hAnsi="Times New Roman"/>
        </w:rPr>
        <w:t>certified that the rules do not have a significant economic impact on a substantial number of small entities.</w:t>
      </w:r>
    </w:p>
    <w:p w:rsidR="00E7789A" w:rsidRPr="007B5C63" w:rsidP="00246690" w14:paraId="74933261" w14:textId="77777777">
      <w:pPr>
        <w:tabs>
          <w:tab w:val="left" w:pos="-720"/>
        </w:tabs>
        <w:spacing w:after="240"/>
        <w:ind w:left="720" w:hanging="720"/>
        <w:jc w:val="both"/>
        <w:rPr>
          <w:rFonts w:ascii="Times New Roman" w:hAnsi="Times New Roman"/>
          <w:b/>
        </w:rPr>
      </w:pPr>
      <w:r w:rsidRPr="007B5C63">
        <w:rPr>
          <w:rFonts w:ascii="Times New Roman" w:hAnsi="Times New Roman"/>
          <w:b/>
        </w:rPr>
        <w:t>6.</w:t>
      </w:r>
      <w:r w:rsidRPr="007B5C63">
        <w:rPr>
          <w:rFonts w:ascii="Times New Roman" w:hAnsi="Times New Roman"/>
          <w:b/>
        </w:rPr>
        <w:tab/>
        <w:t>Describe the consequence to the Federal Program or policy activities if the collection were conducted less frequently as well as any technical or legal obstacles to reducing burden.</w:t>
      </w:r>
    </w:p>
    <w:p w:rsidR="00E7789A" w:rsidRPr="007B5C63" w:rsidP="00246690" w14:paraId="08C077EB" w14:textId="58BB5DBC">
      <w:pPr>
        <w:pStyle w:val="Default"/>
        <w:spacing w:after="240"/>
        <w:jc w:val="both"/>
        <w:rPr>
          <w:rFonts w:ascii="Times New Roman" w:hAnsi="Times New Roman" w:cs="Times New Roman"/>
        </w:rPr>
      </w:pPr>
      <w:r w:rsidRPr="007B5C63">
        <w:rPr>
          <w:rFonts w:ascii="Times New Roman" w:hAnsi="Times New Roman" w:cs="Times New Roman"/>
        </w:rPr>
        <w:t xml:space="preserve">The regulation </w:t>
      </w:r>
      <w:r w:rsidRPr="007B5C63" w:rsidR="00270FA5">
        <w:rPr>
          <w:rFonts w:ascii="Times New Roman" w:hAnsi="Times New Roman" w:cs="Times New Roman"/>
        </w:rPr>
        <w:t xml:space="preserve">provides an opportunity to respond to a notice of termination of a § 30.10 exemption </w:t>
      </w:r>
      <w:r w:rsidRPr="007B5C63" w:rsidR="00084B31">
        <w:rPr>
          <w:rFonts w:ascii="Times New Roman" w:hAnsi="Times New Roman" w:cs="Times New Roman"/>
        </w:rPr>
        <w:t xml:space="preserve">and </w:t>
      </w:r>
      <w:r w:rsidRPr="007B5C63">
        <w:rPr>
          <w:rFonts w:ascii="Times New Roman" w:hAnsi="Times New Roman" w:cs="Times New Roman"/>
        </w:rPr>
        <w:t xml:space="preserve">does not impose any </w:t>
      </w:r>
      <w:r w:rsidRPr="007B5C63" w:rsidR="009E6FC4">
        <w:rPr>
          <w:rFonts w:ascii="Times New Roman" w:hAnsi="Times New Roman" w:cs="Times New Roman"/>
        </w:rPr>
        <w:t xml:space="preserve">ongoing </w:t>
      </w:r>
      <w:r w:rsidRPr="007B5C63">
        <w:rPr>
          <w:rFonts w:ascii="Times New Roman" w:hAnsi="Times New Roman" w:cs="Times New Roman"/>
        </w:rPr>
        <w:t>reporting requirements.</w:t>
      </w:r>
      <w:r w:rsidRPr="007B5C63" w:rsidR="00084B31">
        <w:rPr>
          <w:rFonts w:ascii="Times New Roman" w:hAnsi="Times New Roman" w:cs="Times New Roman"/>
        </w:rPr>
        <w:t xml:space="preserve">  Thus, the subject collection may not be conducted less frequently than required.</w:t>
      </w:r>
    </w:p>
    <w:p w:rsidR="00E7789A" w:rsidRPr="007B5C63" w:rsidP="00246690" w14:paraId="59F0547E" w14:textId="47638DE1">
      <w:pPr>
        <w:pStyle w:val="Default"/>
        <w:spacing w:after="240"/>
        <w:jc w:val="both"/>
        <w:rPr>
          <w:rFonts w:ascii="Times New Roman" w:hAnsi="Times New Roman" w:cs="Times New Roman"/>
        </w:rPr>
      </w:pPr>
      <w:r w:rsidRPr="007B5C63">
        <w:rPr>
          <w:rFonts w:ascii="Times New Roman" w:hAnsi="Times New Roman" w:cs="Times New Roman"/>
        </w:rPr>
        <w:t xml:space="preserve">Failure to </w:t>
      </w:r>
      <w:r w:rsidRPr="007B5C63" w:rsidR="007D0F0E">
        <w:rPr>
          <w:rFonts w:ascii="Times New Roman" w:hAnsi="Times New Roman" w:cs="Times New Roman"/>
        </w:rPr>
        <w:t xml:space="preserve">respond to a notice of termination would demonstrate that a foreign regulatory regime no longer </w:t>
      </w:r>
      <w:r w:rsidRPr="007B5C63" w:rsidR="002D27AD">
        <w:rPr>
          <w:rFonts w:ascii="Times New Roman" w:hAnsi="Times New Roman" w:cs="Times New Roman"/>
        </w:rPr>
        <w:t>satisfies</w:t>
      </w:r>
      <w:r w:rsidRPr="007B5C63" w:rsidR="007D0F0E">
        <w:rPr>
          <w:rFonts w:ascii="Times New Roman" w:hAnsi="Times New Roman" w:cs="Times New Roman"/>
        </w:rPr>
        <w:t xml:space="preserve"> the standards underlying a </w:t>
      </w:r>
      <w:r w:rsidRPr="007B5C63" w:rsidR="002D27AD">
        <w:rPr>
          <w:rFonts w:ascii="Times New Roman" w:hAnsi="Times New Roman" w:cs="Times New Roman"/>
        </w:rPr>
        <w:t xml:space="preserve">prior </w:t>
      </w:r>
      <w:r w:rsidRPr="007B5C63" w:rsidR="007D0F0E">
        <w:rPr>
          <w:rFonts w:ascii="Times New Roman" w:hAnsi="Times New Roman" w:cs="Times New Roman"/>
        </w:rPr>
        <w:t>determination by the Commission to defer to foreign laws and regulations</w:t>
      </w:r>
      <w:r w:rsidRPr="007B5C63" w:rsidR="002D27AD">
        <w:rPr>
          <w:rFonts w:ascii="Times New Roman" w:hAnsi="Times New Roman" w:cs="Times New Roman"/>
        </w:rPr>
        <w:t xml:space="preserve"> with respect to customers located in the United States engaging in foreign futures and options</w:t>
      </w:r>
      <w:r w:rsidRPr="007B5C63">
        <w:rPr>
          <w:rFonts w:ascii="Times New Roman" w:hAnsi="Times New Roman" w:cs="Times New Roman"/>
        </w:rPr>
        <w:t>.</w:t>
      </w:r>
    </w:p>
    <w:p w:rsidR="00E7789A" w:rsidRPr="007B5C63" w:rsidP="00246690" w14:paraId="73E6472D" w14:textId="77777777">
      <w:pPr>
        <w:tabs>
          <w:tab w:val="left" w:pos="-720"/>
          <w:tab w:val="left" w:pos="0"/>
        </w:tabs>
        <w:spacing w:after="240"/>
        <w:jc w:val="both"/>
        <w:rPr>
          <w:rFonts w:ascii="Times New Roman" w:hAnsi="Times New Roman"/>
          <w:b/>
        </w:rPr>
      </w:pPr>
      <w:r w:rsidRPr="007B5C63">
        <w:rPr>
          <w:rFonts w:ascii="Times New Roman" w:hAnsi="Times New Roman"/>
          <w:b/>
        </w:rPr>
        <w:t>7.</w:t>
      </w:r>
      <w:r w:rsidRPr="007B5C63">
        <w:rPr>
          <w:rFonts w:ascii="Times New Roman" w:hAnsi="Times New Roman"/>
          <w:b/>
        </w:rPr>
        <w:tab/>
        <w:t>Explain any special circumstances that require the collection to be conducted in a manner:</w:t>
      </w:r>
    </w:p>
    <w:p w:rsidR="00E7789A" w:rsidRPr="007B5C63" w:rsidP="00246690" w14:paraId="64458EA5"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7B5C63">
        <w:rPr>
          <w:rFonts w:ascii="Times New Roman" w:hAnsi="Times New Roman"/>
          <w:b/>
        </w:rPr>
        <w:t>requiring respondents to report information to the agency more often than quarterly;</w:t>
      </w:r>
    </w:p>
    <w:p w:rsidR="00E7789A" w:rsidRPr="007B5C63" w:rsidP="00246690" w14:paraId="5B7E2F2D" w14:textId="21209C9E">
      <w:pPr>
        <w:tabs>
          <w:tab w:val="left" w:pos="-720"/>
          <w:tab w:val="left" w:pos="0"/>
          <w:tab w:val="left" w:pos="720"/>
        </w:tabs>
        <w:spacing w:after="240"/>
        <w:jc w:val="both"/>
        <w:rPr>
          <w:rFonts w:ascii="Times New Roman" w:hAnsi="Times New Roman"/>
        </w:rPr>
      </w:pPr>
      <w:r w:rsidRPr="007B5C63">
        <w:rPr>
          <w:rFonts w:ascii="Times New Roman" w:hAnsi="Times New Roman"/>
        </w:rPr>
        <w:t xml:space="preserve">This question does not apply.  The </w:t>
      </w:r>
      <w:r w:rsidRPr="007B5C63" w:rsidR="00CD2697">
        <w:rPr>
          <w:rFonts w:ascii="Times New Roman" w:hAnsi="Times New Roman"/>
        </w:rPr>
        <w:t xml:space="preserve">amended </w:t>
      </w:r>
      <w:r w:rsidRPr="007B5C63">
        <w:rPr>
          <w:rFonts w:ascii="Times New Roman" w:hAnsi="Times New Roman"/>
        </w:rPr>
        <w:t>regulation does not impose reporting requirements.</w:t>
      </w:r>
    </w:p>
    <w:p w:rsidR="00E7789A" w:rsidRPr="007B5C63" w:rsidP="00246690" w14:paraId="12E4A605"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7B5C63">
        <w:rPr>
          <w:rFonts w:ascii="Times New Roman" w:hAnsi="Times New Roman"/>
          <w:b/>
        </w:rPr>
        <w:t>requiring respondents to prepare a written response to a collection of information in fewer than 30 days after receipt of it:</w:t>
      </w:r>
    </w:p>
    <w:p w:rsidR="00E7789A" w:rsidRPr="007B5C63" w:rsidP="00246690" w14:paraId="68C1CB08" w14:textId="77777777">
      <w:pPr>
        <w:tabs>
          <w:tab w:val="left" w:pos="-720"/>
          <w:tab w:val="left" w:pos="0"/>
          <w:tab w:val="left" w:pos="720"/>
        </w:tabs>
        <w:spacing w:after="240"/>
        <w:jc w:val="both"/>
        <w:rPr>
          <w:rFonts w:ascii="Times New Roman" w:hAnsi="Times New Roman"/>
        </w:rPr>
      </w:pPr>
      <w:r w:rsidRPr="007B5C63">
        <w:rPr>
          <w:rFonts w:ascii="Times New Roman" w:hAnsi="Times New Roman"/>
        </w:rPr>
        <w:t>This question does not apply.</w:t>
      </w:r>
    </w:p>
    <w:p w:rsidR="00E7789A" w:rsidRPr="007B5C63" w:rsidP="00246690" w14:paraId="6D96DB1A"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7B5C63">
        <w:rPr>
          <w:rFonts w:ascii="Times New Roman" w:hAnsi="Times New Roman"/>
          <w:b/>
        </w:rPr>
        <w:t>requiring respondents to submit more that an original and two copies of any document;</w:t>
      </w:r>
    </w:p>
    <w:p w:rsidR="00EC243C" w:rsidRPr="007B5C63" w:rsidP="00246690" w14:paraId="589ABF78" w14:textId="77777777">
      <w:pPr>
        <w:tabs>
          <w:tab w:val="left" w:pos="-720"/>
          <w:tab w:val="left" w:pos="0"/>
          <w:tab w:val="left" w:pos="720"/>
        </w:tabs>
        <w:spacing w:after="240"/>
        <w:jc w:val="both"/>
        <w:rPr>
          <w:rFonts w:ascii="Times New Roman" w:hAnsi="Times New Roman"/>
        </w:rPr>
      </w:pPr>
      <w:r w:rsidRPr="007B5C63">
        <w:rPr>
          <w:rFonts w:ascii="Times New Roman" w:hAnsi="Times New Roman"/>
        </w:rPr>
        <w:t xml:space="preserve">This question does not apply.  </w:t>
      </w:r>
    </w:p>
    <w:p w:rsidR="00E7789A" w:rsidRPr="007B5C63" w:rsidP="00246690" w14:paraId="428A5480" w14:textId="43B04E9D">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7B5C63">
        <w:rPr>
          <w:rFonts w:ascii="Times New Roman" w:hAnsi="Times New Roman"/>
          <w:b/>
        </w:rPr>
        <w:t>requiring respondents to retain records other than health, medical, government contract, grant-in-aid, or tax records, for more than three years;</w:t>
      </w:r>
    </w:p>
    <w:p w:rsidR="002D27AD" w:rsidRPr="007B5C63" w:rsidP="00246690" w14:paraId="44327595" w14:textId="7B252D04">
      <w:pPr>
        <w:tabs>
          <w:tab w:val="left" w:pos="-720"/>
          <w:tab w:val="left" w:pos="0"/>
          <w:tab w:val="left" w:pos="720"/>
        </w:tabs>
        <w:spacing w:after="240"/>
        <w:jc w:val="both"/>
        <w:rPr>
          <w:rFonts w:ascii="Times New Roman" w:hAnsi="Times New Roman"/>
          <w:b/>
        </w:rPr>
      </w:pPr>
      <w:r w:rsidRPr="007B5C63">
        <w:rPr>
          <w:rFonts w:ascii="Times New Roman" w:hAnsi="Times New Roman"/>
        </w:rPr>
        <w:t xml:space="preserve">This question does not apply.  The </w:t>
      </w:r>
      <w:r w:rsidRPr="007B5C63" w:rsidR="00CD2697">
        <w:rPr>
          <w:rFonts w:ascii="Times New Roman" w:hAnsi="Times New Roman"/>
        </w:rPr>
        <w:t xml:space="preserve">amended </w:t>
      </w:r>
      <w:r w:rsidRPr="007B5C63">
        <w:rPr>
          <w:rFonts w:ascii="Times New Roman" w:hAnsi="Times New Roman"/>
        </w:rPr>
        <w:t>regulation does not impose recordkeeping requirements.</w:t>
      </w:r>
    </w:p>
    <w:p w:rsidR="00E7789A" w:rsidRPr="007B5C63" w:rsidP="00246690" w14:paraId="3AA29138"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7B5C63">
        <w:rPr>
          <w:rFonts w:ascii="Times New Roman" w:hAnsi="Times New Roman"/>
          <w:b/>
        </w:rPr>
        <w:t>requiring the use of a statistical data classification that has not been reviewed and approved by OMB;</w:t>
      </w:r>
    </w:p>
    <w:p w:rsidR="00E7789A" w:rsidRPr="007B5C63" w:rsidP="00246690" w14:paraId="09A9D442" w14:textId="2707D009">
      <w:pPr>
        <w:tabs>
          <w:tab w:val="left" w:pos="-720"/>
          <w:tab w:val="left" w:pos="0"/>
          <w:tab w:val="left" w:pos="720"/>
        </w:tabs>
        <w:spacing w:after="240"/>
        <w:jc w:val="both"/>
        <w:rPr>
          <w:rFonts w:ascii="Times New Roman" w:hAnsi="Times New Roman"/>
        </w:rPr>
      </w:pPr>
      <w:r w:rsidRPr="007B5C63">
        <w:rPr>
          <w:rFonts w:ascii="Times New Roman" w:hAnsi="Times New Roman"/>
        </w:rPr>
        <w:t xml:space="preserve">This question does not apply. </w:t>
      </w:r>
      <w:r w:rsidR="003B26B1">
        <w:rPr>
          <w:rFonts w:ascii="Times New Roman" w:hAnsi="Times New Roman"/>
        </w:rPr>
        <w:t xml:space="preserve"> </w:t>
      </w:r>
      <w:r w:rsidRPr="007B5C63">
        <w:rPr>
          <w:rFonts w:ascii="Times New Roman" w:hAnsi="Times New Roman"/>
        </w:rPr>
        <w:t xml:space="preserve">The regulation </w:t>
      </w:r>
      <w:r w:rsidRPr="007B5C63" w:rsidR="00776B11">
        <w:rPr>
          <w:rFonts w:ascii="Times New Roman" w:hAnsi="Times New Roman"/>
        </w:rPr>
        <w:t xml:space="preserve">neither </w:t>
      </w:r>
      <w:r w:rsidRPr="007B5C63">
        <w:rPr>
          <w:rFonts w:ascii="Times New Roman" w:hAnsi="Times New Roman"/>
        </w:rPr>
        <w:t>require</w:t>
      </w:r>
      <w:r w:rsidRPr="007B5C63" w:rsidR="00776B11">
        <w:rPr>
          <w:rFonts w:ascii="Times New Roman" w:hAnsi="Times New Roman"/>
        </w:rPr>
        <w:t>s</w:t>
      </w:r>
      <w:r w:rsidRPr="007B5C63">
        <w:rPr>
          <w:rFonts w:ascii="Times New Roman" w:hAnsi="Times New Roman"/>
        </w:rPr>
        <w:t xml:space="preserve"> nor involve</w:t>
      </w:r>
      <w:r w:rsidRPr="007B5C63" w:rsidR="00776B11">
        <w:rPr>
          <w:rFonts w:ascii="Times New Roman" w:hAnsi="Times New Roman"/>
        </w:rPr>
        <w:t>s</w:t>
      </w:r>
      <w:r w:rsidRPr="007B5C63">
        <w:rPr>
          <w:rFonts w:ascii="Times New Roman" w:hAnsi="Times New Roman"/>
        </w:rPr>
        <w:t xml:space="preserve"> the use of any statistical data classification.</w:t>
      </w:r>
    </w:p>
    <w:p w:rsidR="00E7789A" w:rsidRPr="007B5C63" w:rsidP="00246690" w14:paraId="5340A352"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7B5C63">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E7789A" w:rsidRPr="007B5C63" w:rsidP="00246690" w14:paraId="71C6553B" w14:textId="71C4C1D5">
      <w:pPr>
        <w:tabs>
          <w:tab w:val="left" w:pos="-720"/>
          <w:tab w:val="left" w:pos="0"/>
          <w:tab w:val="left" w:pos="720"/>
        </w:tabs>
        <w:spacing w:after="240"/>
        <w:jc w:val="both"/>
        <w:rPr>
          <w:rFonts w:ascii="Times New Roman" w:hAnsi="Times New Roman"/>
        </w:rPr>
      </w:pPr>
      <w:r w:rsidRPr="007B5C63">
        <w:rPr>
          <w:rFonts w:ascii="Times New Roman" w:hAnsi="Times New Roman"/>
        </w:rPr>
        <w:t>This question does not apply.  The regulation does not require a pledge of confidentiality.</w:t>
      </w:r>
    </w:p>
    <w:p w:rsidR="00E7789A" w:rsidRPr="007B5C63" w:rsidP="00246690" w14:paraId="60C0AD78"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7B5C63">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rsidR="00E7789A" w:rsidRPr="007B5C63" w:rsidP="00246690" w14:paraId="5ACBCA28" w14:textId="244CFD0B">
      <w:pPr>
        <w:tabs>
          <w:tab w:val="left" w:pos="-720"/>
          <w:tab w:val="left" w:pos="0"/>
          <w:tab w:val="left" w:pos="720"/>
        </w:tabs>
        <w:spacing w:after="240"/>
        <w:jc w:val="both"/>
        <w:rPr>
          <w:rFonts w:ascii="Times New Roman" w:hAnsi="Times New Roman"/>
        </w:rPr>
      </w:pPr>
      <w:r w:rsidRPr="007B5C63">
        <w:rPr>
          <w:rFonts w:ascii="Times New Roman" w:hAnsi="Times New Roman"/>
        </w:rPr>
        <w:t>This question does not apply.  The regulation does not</w:t>
      </w:r>
      <w:r w:rsidRPr="007B5C63" w:rsidR="00EC243C">
        <w:rPr>
          <w:rFonts w:ascii="Times New Roman" w:hAnsi="Times New Roman"/>
        </w:rPr>
        <w:t xml:space="preserve"> </w:t>
      </w:r>
      <w:r w:rsidRPr="007B5C63" w:rsidR="003E62EF">
        <w:rPr>
          <w:rFonts w:ascii="Times New Roman" w:hAnsi="Times New Roman"/>
        </w:rPr>
        <w:t>require respondents to submit proprietary trade secrets, or other confidential information</w:t>
      </w:r>
      <w:r w:rsidRPr="007B5C63">
        <w:rPr>
          <w:rFonts w:ascii="Times New Roman" w:hAnsi="Times New Roman"/>
        </w:rPr>
        <w:t>.  In any event, the Commission has promulgated regulations to protect the confidentiality of the information collected from respondents.  They are set forth in 17 CFR Part 145.</w:t>
      </w:r>
    </w:p>
    <w:p w:rsidR="00E7789A" w:rsidRPr="007B5C63" w:rsidP="00246690" w14:paraId="57173A25" w14:textId="77777777">
      <w:pPr>
        <w:tabs>
          <w:tab w:val="left" w:pos="-720"/>
        </w:tabs>
        <w:spacing w:after="240"/>
        <w:ind w:left="720" w:hanging="720"/>
        <w:jc w:val="both"/>
        <w:rPr>
          <w:rFonts w:ascii="Times New Roman" w:hAnsi="Times New Roman"/>
          <w:b/>
        </w:rPr>
      </w:pPr>
      <w:r w:rsidRPr="007B5C63">
        <w:rPr>
          <w:rFonts w:ascii="Times New Roman" w:hAnsi="Times New Roman"/>
          <w:b/>
        </w:rPr>
        <w:t>8.</w:t>
      </w:r>
      <w:r w:rsidRPr="007B5C63">
        <w:rPr>
          <w:rFonts w:ascii="Times New Roman" w:hAnsi="Times New Roman"/>
          <w:b/>
        </w:rPr>
        <w:tab/>
        <w:t xml:space="preserve">If applicable, provide a copy and identify the date and page number of publication in the </w:t>
      </w:r>
      <w:r w:rsidRPr="007B5C63">
        <w:rPr>
          <w:rFonts w:ascii="Times New Roman" w:hAnsi="Times New Roman"/>
          <w:b/>
          <w:i/>
        </w:rPr>
        <w:t>Federal Register</w:t>
      </w:r>
      <w:r w:rsidRPr="007B5C63">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7789A" w:rsidRPr="007B5C63" w:rsidP="00246690" w14:paraId="7A3746CA" w14:textId="77777777">
      <w:pPr>
        <w:tabs>
          <w:tab w:val="left" w:pos="-720"/>
        </w:tabs>
        <w:spacing w:after="240"/>
        <w:ind w:left="720"/>
        <w:jc w:val="both"/>
        <w:rPr>
          <w:rFonts w:ascii="Times New Roman" w:hAnsi="Times New Roman"/>
          <w:b/>
        </w:rPr>
      </w:pPr>
      <w:r w:rsidRPr="007B5C63">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7789A" w:rsidRPr="007B5C63" w:rsidP="003B26B1" w14:paraId="6244A939" w14:textId="77777777">
      <w:pPr>
        <w:tabs>
          <w:tab w:val="left" w:pos="-720"/>
        </w:tabs>
        <w:spacing w:after="240"/>
        <w:ind w:left="720"/>
        <w:jc w:val="both"/>
        <w:rPr>
          <w:rFonts w:ascii="Times New Roman" w:hAnsi="Times New Roman"/>
          <w:b/>
        </w:rPr>
      </w:pPr>
      <w:r w:rsidRPr="007B5C63">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A0147" w:rsidRPr="00484D8F" w:rsidP="00484D8F" w14:paraId="07FAB0EC" w14:textId="79A4F5F4">
      <w:pPr>
        <w:pStyle w:val="TOC6"/>
        <w:tabs>
          <w:tab w:val="left" w:pos="-720"/>
          <w:tab w:val="left" w:pos="0"/>
        </w:tabs>
        <w:spacing w:after="240"/>
        <w:ind w:left="0" w:firstLine="0"/>
        <w:rPr>
          <w:rFonts w:ascii="Times New Roman" w:hAnsi="Times New Roman"/>
          <w:i/>
          <w:szCs w:val="24"/>
        </w:rPr>
      </w:pPr>
      <w:r w:rsidRPr="003C2005">
        <w:rPr>
          <w:rFonts w:ascii="Times New Roman" w:hAnsi="Times New Roman"/>
          <w:szCs w:val="24"/>
        </w:rPr>
        <w:t>The Commission published a</w:t>
      </w:r>
      <w:r>
        <w:rPr>
          <w:rFonts w:ascii="Times New Roman" w:hAnsi="Times New Roman"/>
          <w:iCs/>
          <w:szCs w:val="24"/>
        </w:rPr>
        <w:t xml:space="preserve"> Federal Register notice seeking comment on the information collection on </w:t>
      </w:r>
      <w:r w:rsidR="00337B89">
        <w:rPr>
          <w:rFonts w:ascii="Times New Roman" w:hAnsi="Times New Roman"/>
          <w:iCs/>
          <w:szCs w:val="24"/>
        </w:rPr>
        <w:t>January 21</w:t>
      </w:r>
      <w:r>
        <w:rPr>
          <w:rFonts w:ascii="Times New Roman" w:hAnsi="Times New Roman"/>
          <w:iCs/>
          <w:szCs w:val="24"/>
        </w:rPr>
        <w:t>, 2026.</w:t>
      </w:r>
      <w:r w:rsidRPr="003C2005">
        <w:rPr>
          <w:rFonts w:ascii="Times New Roman" w:hAnsi="Times New Roman"/>
          <w:szCs w:val="24"/>
        </w:rPr>
        <w:t xml:space="preserve">  </w:t>
      </w:r>
      <w:r w:rsidRPr="003C2005">
        <w:rPr>
          <w:rFonts w:ascii="Times New Roman" w:hAnsi="Times New Roman"/>
          <w:i/>
          <w:szCs w:val="24"/>
        </w:rPr>
        <w:t>See</w:t>
      </w:r>
      <w:r w:rsidRPr="003C2005">
        <w:rPr>
          <w:rFonts w:ascii="Times New Roman" w:hAnsi="Times New Roman"/>
          <w:szCs w:val="24"/>
        </w:rPr>
        <w:t xml:space="preserve"> </w:t>
      </w:r>
      <w:r>
        <w:rPr>
          <w:rFonts w:ascii="Times New Roman" w:hAnsi="Times New Roman"/>
          <w:szCs w:val="24"/>
        </w:rPr>
        <w:t>91</w:t>
      </w:r>
      <w:r w:rsidRPr="003C2005">
        <w:rPr>
          <w:rFonts w:ascii="Times New Roman" w:hAnsi="Times New Roman"/>
          <w:szCs w:val="24"/>
        </w:rPr>
        <w:t xml:space="preserve"> FR </w:t>
      </w:r>
      <w:r w:rsidR="00AF6210">
        <w:rPr>
          <w:rFonts w:ascii="Times New Roman" w:hAnsi="Times New Roman"/>
          <w:szCs w:val="24"/>
        </w:rPr>
        <w:t>2523</w:t>
      </w:r>
      <w:r w:rsidR="00507B8D">
        <w:rPr>
          <w:rFonts w:ascii="Times New Roman" w:hAnsi="Times New Roman"/>
          <w:szCs w:val="24"/>
        </w:rPr>
        <w:t xml:space="preserve"> </w:t>
      </w:r>
      <w:r w:rsidRPr="003C2005">
        <w:rPr>
          <w:rFonts w:ascii="Times New Roman" w:hAnsi="Times New Roman"/>
          <w:szCs w:val="24"/>
        </w:rPr>
        <w:t>(</w:t>
      </w:r>
      <w:r w:rsidR="00507B8D">
        <w:rPr>
          <w:rFonts w:ascii="Times New Roman" w:hAnsi="Times New Roman"/>
          <w:szCs w:val="24"/>
        </w:rPr>
        <w:t>Jan. 21, 2026</w:t>
      </w:r>
      <w:r w:rsidRPr="003C2005">
        <w:rPr>
          <w:rFonts w:ascii="Times New Roman" w:hAnsi="Times New Roman"/>
          <w:szCs w:val="24"/>
        </w:rPr>
        <w:t>).  The notice provided a 60-day period during which the public was invited to comment on the information collection and the burdens imposed by it.  The Commission did not receive any relevant comments on the 60-day notice.</w:t>
      </w:r>
    </w:p>
    <w:p w:rsidR="00E7789A" w:rsidRPr="007B5C63" w:rsidP="00246690" w14:paraId="10E814F4" w14:textId="722B737F">
      <w:pPr>
        <w:tabs>
          <w:tab w:val="left" w:pos="-720"/>
        </w:tabs>
        <w:spacing w:after="240"/>
        <w:ind w:left="720" w:hanging="720"/>
        <w:jc w:val="both"/>
        <w:rPr>
          <w:rFonts w:ascii="Times New Roman" w:hAnsi="Times New Roman"/>
          <w:b/>
        </w:rPr>
      </w:pPr>
      <w:r w:rsidRPr="007B5C63">
        <w:rPr>
          <w:rFonts w:ascii="Times New Roman" w:hAnsi="Times New Roman"/>
          <w:b/>
        </w:rPr>
        <w:t>9.</w:t>
      </w:r>
      <w:r w:rsidRPr="007B5C63">
        <w:rPr>
          <w:rFonts w:ascii="Times New Roman" w:hAnsi="Times New Roman"/>
          <w:b/>
        </w:rPr>
        <w:tab/>
        <w:t>Explain any decision to provide any payment or gift to respondents, other than renumeration of contractors or grantees.</w:t>
      </w:r>
    </w:p>
    <w:p w:rsidR="00E7789A" w:rsidRPr="007B5C63" w:rsidP="00246690" w14:paraId="327891B5" w14:textId="09D1808F">
      <w:pPr>
        <w:tabs>
          <w:tab w:val="left" w:pos="-720"/>
        </w:tabs>
        <w:spacing w:after="240"/>
        <w:jc w:val="both"/>
        <w:rPr>
          <w:rFonts w:ascii="Times New Roman" w:hAnsi="Times New Roman"/>
        </w:rPr>
      </w:pPr>
      <w:r w:rsidRPr="007B5C63">
        <w:rPr>
          <w:rFonts w:ascii="Times New Roman" w:hAnsi="Times New Roman"/>
        </w:rPr>
        <w:t xml:space="preserve">This question does not apply.  </w:t>
      </w:r>
      <w:r w:rsidR="003B26B1">
        <w:rPr>
          <w:rFonts w:ascii="Times New Roman" w:hAnsi="Times New Roman"/>
        </w:rPr>
        <w:t>The information collection does not entail any payment or gift to respondents</w:t>
      </w:r>
      <w:r w:rsidRPr="007B5C63">
        <w:rPr>
          <w:rFonts w:ascii="Times New Roman" w:hAnsi="Times New Roman"/>
        </w:rPr>
        <w:t>.</w:t>
      </w:r>
    </w:p>
    <w:p w:rsidR="00E7789A" w:rsidRPr="007B5C63" w:rsidP="00246690" w14:paraId="567AA804" w14:textId="77777777">
      <w:pPr>
        <w:tabs>
          <w:tab w:val="left" w:pos="-720"/>
        </w:tabs>
        <w:spacing w:after="240"/>
        <w:ind w:left="720" w:hanging="720"/>
        <w:jc w:val="both"/>
        <w:rPr>
          <w:rFonts w:ascii="Times New Roman" w:hAnsi="Times New Roman"/>
          <w:b/>
        </w:rPr>
      </w:pPr>
      <w:r w:rsidRPr="007B5C63">
        <w:rPr>
          <w:rFonts w:ascii="Times New Roman" w:hAnsi="Times New Roman"/>
          <w:b/>
        </w:rPr>
        <w:t>10.</w:t>
      </w:r>
      <w:r w:rsidRPr="007B5C63">
        <w:rPr>
          <w:rFonts w:ascii="Times New Roman" w:hAnsi="Times New Roman"/>
          <w:b/>
        </w:rPr>
        <w:tab/>
        <w:t>Describe any assurance of confidentiality provided to respondents and the basis for the assurance in statute, regulations, or agency policy.</w:t>
      </w:r>
    </w:p>
    <w:p w:rsidR="00E22BA0" w:rsidRPr="007B5C63" w:rsidP="00246690" w14:paraId="3A8C846F" w14:textId="77777777">
      <w:pPr>
        <w:tabs>
          <w:tab w:val="left" w:pos="-720"/>
        </w:tabs>
        <w:spacing w:after="240"/>
        <w:jc w:val="both"/>
        <w:rPr>
          <w:rFonts w:ascii="Times New Roman" w:hAnsi="Times New Roman"/>
        </w:rPr>
      </w:pPr>
      <w:r w:rsidRPr="007B5C63">
        <w:rPr>
          <w:rFonts w:ascii="Times New Roman" w:hAnsi="Times New Roman"/>
        </w:rPr>
        <w:t xml:space="preserve">The Commission does not provide respondents with an assurance of confidentiality beyond that provided by applicable law.  The Commission fully complies with section 8(a)(1) of the </w:t>
      </w:r>
      <w:r w:rsidRPr="007B5C63" w:rsidR="00ED7DC7">
        <w:rPr>
          <w:rFonts w:ascii="Times New Roman" w:hAnsi="Times New Roman"/>
        </w:rPr>
        <w:t>CEA</w:t>
      </w:r>
      <w:r w:rsidRPr="007B5C63">
        <w:rPr>
          <w:rFonts w:ascii="Times New Roman" w:hAnsi="Times New Roman"/>
        </w:rPr>
        <w:t>, which strictly prohibits the Commission, unless specifically authorized by the</w:t>
      </w:r>
      <w:r w:rsidRPr="007B5C63" w:rsidR="00ED7DC7">
        <w:rPr>
          <w:rFonts w:ascii="Times New Roman" w:hAnsi="Times New Roman"/>
        </w:rPr>
        <w:t xml:space="preserve"> CEA</w:t>
      </w:r>
      <w:r w:rsidRPr="007B5C63">
        <w:rPr>
          <w:rFonts w:ascii="Times New Roman" w:hAnsi="Times New Roman"/>
        </w:rPr>
        <w:t>, from making public “data and information that would separately disclose the business transactions or market positions of any person and trade secrets or names of customers.”  The Commission has procedures to protect the confidentiality of a respondent’s data.  These are set forth in the Commission’s regulations at part 145 of the Code of Federal Regulations.</w:t>
      </w:r>
    </w:p>
    <w:p w:rsidR="00E7789A" w:rsidRPr="007B5C63" w:rsidP="00246690" w14:paraId="3BC16E24" w14:textId="77777777">
      <w:pPr>
        <w:tabs>
          <w:tab w:val="left" w:pos="-720"/>
        </w:tabs>
        <w:spacing w:after="240"/>
        <w:ind w:left="720" w:hanging="720"/>
        <w:jc w:val="both"/>
        <w:rPr>
          <w:rFonts w:ascii="Times New Roman" w:hAnsi="Times New Roman"/>
          <w:b/>
        </w:rPr>
      </w:pPr>
      <w:r w:rsidRPr="007B5C63">
        <w:rPr>
          <w:rFonts w:ascii="Times New Roman" w:hAnsi="Times New Roman"/>
          <w:b/>
        </w:rPr>
        <w:t>11.</w:t>
      </w:r>
      <w:r w:rsidRPr="007B5C63">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7789A" w:rsidRPr="007B5C63" w:rsidP="00246690" w14:paraId="06AB306D" w14:textId="453D9DE7">
      <w:pPr>
        <w:tabs>
          <w:tab w:val="left" w:pos="-720"/>
        </w:tabs>
        <w:spacing w:after="240"/>
        <w:jc w:val="both"/>
        <w:rPr>
          <w:rFonts w:ascii="Times New Roman" w:hAnsi="Times New Roman"/>
        </w:rPr>
      </w:pPr>
      <w:r w:rsidRPr="007B5C63">
        <w:rPr>
          <w:rFonts w:ascii="Times New Roman" w:hAnsi="Times New Roman"/>
        </w:rPr>
        <w:t xml:space="preserve">This question does not apply.  The regulation </w:t>
      </w:r>
      <w:r w:rsidRPr="007B5C63" w:rsidR="008136BF">
        <w:rPr>
          <w:rFonts w:ascii="Times New Roman" w:hAnsi="Times New Roman"/>
        </w:rPr>
        <w:t xml:space="preserve">neither </w:t>
      </w:r>
      <w:r w:rsidRPr="007B5C63">
        <w:rPr>
          <w:rFonts w:ascii="Times New Roman" w:hAnsi="Times New Roman"/>
        </w:rPr>
        <w:t>request</w:t>
      </w:r>
      <w:r w:rsidRPr="007B5C63" w:rsidR="008136BF">
        <w:rPr>
          <w:rFonts w:ascii="Times New Roman" w:hAnsi="Times New Roman"/>
        </w:rPr>
        <w:t>s</w:t>
      </w:r>
      <w:r w:rsidRPr="007B5C63">
        <w:rPr>
          <w:rFonts w:ascii="Times New Roman" w:hAnsi="Times New Roman"/>
        </w:rPr>
        <w:t xml:space="preserve"> </w:t>
      </w:r>
      <w:r w:rsidRPr="007B5C63" w:rsidR="008136BF">
        <w:rPr>
          <w:rFonts w:ascii="Times New Roman" w:hAnsi="Times New Roman"/>
        </w:rPr>
        <w:t>n</w:t>
      </w:r>
      <w:r w:rsidRPr="007B5C63">
        <w:rPr>
          <w:rFonts w:ascii="Times New Roman" w:hAnsi="Times New Roman"/>
        </w:rPr>
        <w:t>or require</w:t>
      </w:r>
      <w:r w:rsidRPr="007B5C63" w:rsidR="008136BF">
        <w:rPr>
          <w:rFonts w:ascii="Times New Roman" w:hAnsi="Times New Roman"/>
        </w:rPr>
        <w:t>s</w:t>
      </w:r>
      <w:r w:rsidRPr="007B5C63">
        <w:rPr>
          <w:rFonts w:ascii="Times New Roman" w:hAnsi="Times New Roman"/>
        </w:rPr>
        <w:t xml:space="preserve"> the provision of sensitive information, as that term is used in question 11.</w:t>
      </w:r>
    </w:p>
    <w:p w:rsidR="00E7789A" w:rsidRPr="007B5C63" w:rsidP="00246690" w14:paraId="706D74CD" w14:textId="77777777">
      <w:pPr>
        <w:tabs>
          <w:tab w:val="left" w:pos="-720"/>
        </w:tabs>
        <w:spacing w:after="240"/>
        <w:ind w:left="720" w:hanging="720"/>
        <w:jc w:val="both"/>
        <w:rPr>
          <w:rFonts w:ascii="Times New Roman" w:hAnsi="Times New Roman"/>
          <w:b/>
        </w:rPr>
      </w:pPr>
      <w:r w:rsidRPr="007B5C63">
        <w:rPr>
          <w:rFonts w:ascii="Times New Roman" w:hAnsi="Times New Roman"/>
          <w:b/>
        </w:rPr>
        <w:t>12.</w:t>
      </w:r>
      <w:r w:rsidRPr="007B5C63">
        <w:rPr>
          <w:rFonts w:ascii="Times New Roman" w:hAnsi="Times New Roman"/>
          <w:b/>
        </w:rPr>
        <w:tab/>
        <w:t>Provide estimates of the hour burden of the collection of information.  The Statement should:</w:t>
      </w:r>
    </w:p>
    <w:p w:rsidR="00E7789A" w:rsidRPr="007B5C63" w:rsidP="00246690" w14:paraId="3226C6F2"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7B5C63">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7789A" w:rsidRPr="007B5C63" w:rsidP="00246690" w14:paraId="14AB101A" w14:textId="78266330">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7B5C63">
        <w:rPr>
          <w:rFonts w:ascii="Times New Roman" w:hAnsi="Times New Roman"/>
          <w:b/>
        </w:rPr>
        <w:t>If the request for approval covers more than one form, provide separate hour burden estimates for each form and aggregate the hour burdens in Item 13.</w:t>
      </w:r>
    </w:p>
    <w:p w:rsidR="00E7789A" w:rsidRPr="007B5C63" w:rsidP="00246690" w14:paraId="0195754A"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7B5C63">
        <w:rPr>
          <w:rFonts w:ascii="Times New Roman" w:hAnsi="Times New Roman"/>
          <w:b/>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E7789A" w:rsidRPr="007B5C63" w:rsidP="00246690" w14:paraId="5A106A21" w14:textId="7C258D9B">
      <w:pPr>
        <w:pStyle w:val="PlainText"/>
        <w:spacing w:after="240"/>
        <w:jc w:val="both"/>
        <w:rPr>
          <w:rFonts w:ascii="Times New Roman" w:hAnsi="Times New Roman"/>
          <w:color w:val="auto"/>
          <w:sz w:val="24"/>
          <w:szCs w:val="24"/>
        </w:rPr>
      </w:pPr>
      <w:r w:rsidRPr="007B5C63">
        <w:rPr>
          <w:rFonts w:ascii="Times New Roman" w:hAnsi="Times New Roman"/>
          <w:i/>
          <w:color w:val="auto"/>
          <w:sz w:val="24"/>
          <w:szCs w:val="24"/>
        </w:rPr>
        <w:t>See</w:t>
      </w:r>
      <w:r w:rsidRPr="007B5C63">
        <w:rPr>
          <w:rFonts w:ascii="Times New Roman" w:hAnsi="Times New Roman"/>
          <w:color w:val="auto"/>
          <w:sz w:val="24"/>
          <w:szCs w:val="24"/>
        </w:rPr>
        <w:t xml:space="preserve"> Attachment A.</w:t>
      </w:r>
    </w:p>
    <w:p w:rsidR="00E7789A" w:rsidRPr="00246690" w:rsidP="00246690" w14:paraId="03688779" w14:textId="47B67AA1">
      <w:pPr>
        <w:pStyle w:val="PlainText"/>
        <w:spacing w:after="240"/>
        <w:jc w:val="both"/>
        <w:rPr>
          <w:rFonts w:ascii="Times New Roman" w:hAnsi="Times New Roman"/>
          <w:color w:val="auto"/>
          <w:sz w:val="24"/>
          <w:szCs w:val="24"/>
        </w:rPr>
      </w:pPr>
      <w:r w:rsidRPr="007B5C63">
        <w:rPr>
          <w:rFonts w:ascii="Times New Roman" w:hAnsi="Times New Roman"/>
          <w:color w:val="auto"/>
          <w:sz w:val="24"/>
          <w:szCs w:val="24"/>
        </w:rPr>
        <w:t>As delineated below, the hour burden per re</w:t>
      </w:r>
      <w:r w:rsidRPr="007B5C63" w:rsidR="00C95C5D">
        <w:rPr>
          <w:rFonts w:ascii="Times New Roman" w:hAnsi="Times New Roman"/>
          <w:color w:val="auto"/>
          <w:sz w:val="24"/>
          <w:szCs w:val="24"/>
        </w:rPr>
        <w:t>sponden</w:t>
      </w:r>
      <w:r w:rsidRPr="007B5C63">
        <w:rPr>
          <w:rFonts w:ascii="Times New Roman" w:hAnsi="Times New Roman"/>
          <w:color w:val="auto"/>
          <w:sz w:val="24"/>
          <w:szCs w:val="24"/>
        </w:rPr>
        <w:t xml:space="preserve">t associated with the </w:t>
      </w:r>
      <w:r w:rsidRPr="007B5C63" w:rsidR="003D1373">
        <w:rPr>
          <w:rFonts w:ascii="Times New Roman" w:hAnsi="Times New Roman"/>
          <w:color w:val="auto"/>
          <w:sz w:val="24"/>
          <w:szCs w:val="24"/>
        </w:rPr>
        <w:t xml:space="preserve">amended </w:t>
      </w:r>
      <w:r w:rsidRPr="007B5C63">
        <w:rPr>
          <w:rFonts w:ascii="Times New Roman" w:hAnsi="Times New Roman"/>
          <w:color w:val="auto"/>
          <w:sz w:val="24"/>
          <w:szCs w:val="24"/>
        </w:rPr>
        <w:t xml:space="preserve">regulation is estimated to be </w:t>
      </w:r>
      <w:r w:rsidRPr="007B5C63" w:rsidR="004D6831">
        <w:rPr>
          <w:rFonts w:ascii="Times New Roman" w:hAnsi="Times New Roman"/>
          <w:color w:val="auto"/>
          <w:sz w:val="24"/>
          <w:szCs w:val="24"/>
        </w:rPr>
        <w:t>8</w:t>
      </w:r>
      <w:r w:rsidRPr="007B5C63">
        <w:rPr>
          <w:rFonts w:ascii="Times New Roman" w:hAnsi="Times New Roman"/>
          <w:color w:val="auto"/>
          <w:sz w:val="24"/>
          <w:szCs w:val="24"/>
        </w:rPr>
        <w:t xml:space="preserve"> hours, at an annual cost of $</w:t>
      </w:r>
      <w:r w:rsidRPr="007B5C63" w:rsidR="00C95C5D">
        <w:rPr>
          <w:rFonts w:ascii="Times New Roman" w:hAnsi="Times New Roman"/>
          <w:color w:val="auto"/>
          <w:sz w:val="24"/>
          <w:szCs w:val="24"/>
        </w:rPr>
        <w:t>800</w:t>
      </w:r>
      <w:r w:rsidRPr="007B5C63">
        <w:rPr>
          <w:rFonts w:ascii="Times New Roman" w:hAnsi="Times New Roman"/>
          <w:color w:val="auto"/>
          <w:sz w:val="24"/>
          <w:szCs w:val="24"/>
        </w:rPr>
        <w:t xml:space="preserve">.  This burden would result from </w:t>
      </w:r>
      <w:r w:rsidRPr="007B5C63" w:rsidR="00C95C5D">
        <w:rPr>
          <w:rFonts w:ascii="Times New Roman" w:hAnsi="Times New Roman"/>
          <w:color w:val="auto"/>
          <w:sz w:val="24"/>
          <w:szCs w:val="24"/>
        </w:rPr>
        <w:t xml:space="preserve">providing a written response to the notice of termination issued by the Commission pursuant to  amendments to regulation 30.10(a).  </w:t>
      </w:r>
      <w:r w:rsidRPr="007B5C63">
        <w:rPr>
          <w:rFonts w:ascii="Times New Roman" w:hAnsi="Times New Roman"/>
          <w:color w:val="auto"/>
          <w:sz w:val="24"/>
          <w:szCs w:val="24"/>
        </w:rPr>
        <w:t xml:space="preserve">The burden relates solely to </w:t>
      </w:r>
      <w:r w:rsidRPr="007B5C63" w:rsidR="00C95C5D">
        <w:rPr>
          <w:rFonts w:ascii="Times New Roman" w:hAnsi="Times New Roman"/>
          <w:color w:val="auto"/>
          <w:sz w:val="24"/>
          <w:szCs w:val="24"/>
        </w:rPr>
        <w:t xml:space="preserve">reporting </w:t>
      </w:r>
      <w:r w:rsidRPr="007B5C63">
        <w:rPr>
          <w:rFonts w:ascii="Times New Roman" w:hAnsi="Times New Roman"/>
          <w:color w:val="auto"/>
          <w:sz w:val="24"/>
          <w:szCs w:val="24"/>
        </w:rPr>
        <w:t>requirements; the regulation does not contain any re</w:t>
      </w:r>
      <w:r w:rsidRPr="007B5C63" w:rsidR="00C95C5D">
        <w:rPr>
          <w:rFonts w:ascii="Times New Roman" w:hAnsi="Times New Roman"/>
          <w:color w:val="auto"/>
          <w:sz w:val="24"/>
          <w:szCs w:val="24"/>
        </w:rPr>
        <w:t>cor</w:t>
      </w:r>
      <w:r w:rsidRPr="007B5C63" w:rsidR="00074F1B">
        <w:rPr>
          <w:rFonts w:ascii="Times New Roman" w:hAnsi="Times New Roman"/>
          <w:color w:val="auto"/>
          <w:sz w:val="24"/>
          <w:szCs w:val="24"/>
        </w:rPr>
        <w:t>d</w:t>
      </w:r>
      <w:r w:rsidRPr="007B5C63" w:rsidR="00C95C5D">
        <w:rPr>
          <w:rFonts w:ascii="Times New Roman" w:hAnsi="Times New Roman"/>
          <w:color w:val="auto"/>
          <w:sz w:val="24"/>
          <w:szCs w:val="24"/>
        </w:rPr>
        <w:t>keep</w:t>
      </w:r>
      <w:r w:rsidRPr="007B5C63">
        <w:rPr>
          <w:rFonts w:ascii="Times New Roman" w:hAnsi="Times New Roman"/>
          <w:color w:val="auto"/>
          <w:sz w:val="24"/>
          <w:szCs w:val="24"/>
        </w:rPr>
        <w:t>ing requirements.</w:t>
      </w:r>
    </w:p>
    <w:p w:rsidR="000C1000" w:rsidRPr="007B5C63" w:rsidP="00246690" w14:paraId="0492FA2D" w14:textId="630587C3">
      <w:pPr>
        <w:widowControl w:val="0"/>
        <w:spacing w:after="240"/>
        <w:jc w:val="both"/>
        <w:rPr>
          <w:rFonts w:ascii="Times New Roman" w:hAnsi="Times New Roman"/>
        </w:rPr>
      </w:pPr>
      <w:r w:rsidRPr="007B5C63">
        <w:rPr>
          <w:rFonts w:ascii="Times New Roman" w:hAnsi="Times New Roman"/>
        </w:rPr>
        <w:t>The annualized costs per affected registrant and in the aggregate were determined using an average salary of $100.00 per hour.  The Commission believes that this is an appropriate salary estimate for purposes of this regulation.</w:t>
      </w:r>
    </w:p>
    <w:p w:rsidR="00E7789A" w:rsidRPr="007B5C63" w:rsidP="00246690" w14:paraId="514F9D0B" w14:textId="42C6C797">
      <w:pPr>
        <w:widowControl w:val="0"/>
        <w:spacing w:after="240"/>
        <w:jc w:val="both"/>
        <w:rPr>
          <w:rFonts w:ascii="Times New Roman" w:hAnsi="Times New Roman"/>
        </w:rPr>
      </w:pPr>
      <w:r w:rsidRPr="007B5C63">
        <w:rPr>
          <w:rFonts w:ascii="Times New Roman" w:hAnsi="Times New Roman"/>
        </w:rPr>
        <w:t>In support of this determination, the Commission notes that the salary estimate is based upon May 20</w:t>
      </w:r>
      <w:r w:rsidRPr="007B5C63" w:rsidR="00F830F3">
        <w:rPr>
          <w:rFonts w:ascii="Times New Roman" w:hAnsi="Times New Roman"/>
        </w:rPr>
        <w:t>2</w:t>
      </w:r>
      <w:r w:rsidR="00C84358">
        <w:rPr>
          <w:rFonts w:ascii="Times New Roman" w:hAnsi="Times New Roman"/>
        </w:rPr>
        <w:t>3</w:t>
      </w:r>
      <w:r w:rsidRPr="007B5C63">
        <w:rPr>
          <w:rFonts w:ascii="Times New Roman" w:hAnsi="Times New Roman"/>
        </w:rPr>
        <w:t xml:space="preserve"> Bureau of Labor Statistics’ findings of National Occupation Employment and Wage Estimates, United States</w:t>
      </w:r>
      <w:r w:rsidR="00755DFC">
        <w:rPr>
          <w:rFonts w:ascii="Times New Roman" w:hAnsi="Times New Roman"/>
        </w:rPr>
        <w:t>,</w:t>
      </w:r>
      <w:r>
        <w:rPr>
          <w:rStyle w:val="FootnoteReference"/>
          <w:rFonts w:ascii="Times New Roman" w:hAnsi="Times New Roman"/>
        </w:rPr>
        <w:footnoteReference w:id="3"/>
      </w:r>
      <w:r w:rsidRPr="007B5C63">
        <w:rPr>
          <w:rFonts w:ascii="Times New Roman" w:hAnsi="Times New Roman"/>
        </w:rPr>
        <w:t xml:space="preserve"> including the mean hourly wage of an employee under occupation code 23-1011, “Lawyers,” that is employed by the “Securities, Commodity Contracts, and Other Financial Investments and Related Activities Industry,” which is $</w:t>
      </w:r>
      <w:r w:rsidRPr="007B5C63" w:rsidR="006C26B4">
        <w:rPr>
          <w:rFonts w:ascii="Times New Roman" w:hAnsi="Times New Roman"/>
        </w:rPr>
        <w:t>1</w:t>
      </w:r>
      <w:r w:rsidR="0039670B">
        <w:rPr>
          <w:rFonts w:ascii="Times New Roman" w:hAnsi="Times New Roman"/>
        </w:rPr>
        <w:t>26.97</w:t>
      </w:r>
      <w:r w:rsidRPr="007B5C63">
        <w:rPr>
          <w:rFonts w:ascii="Times New Roman" w:hAnsi="Times New Roman"/>
        </w:rPr>
        <w:t>; the mean hourly wage of an employee under occupation code 11-3031, “Financial Managers,” in the same industry, which is $</w:t>
      </w:r>
      <w:r w:rsidR="006C61C6">
        <w:rPr>
          <w:rFonts w:ascii="Times New Roman" w:hAnsi="Times New Roman"/>
        </w:rPr>
        <w:t>119.84</w:t>
      </w:r>
      <w:r w:rsidRPr="007B5C63">
        <w:rPr>
          <w:rFonts w:ascii="Times New Roman" w:hAnsi="Times New Roman"/>
        </w:rPr>
        <w:t>; and the mean hourly wage of an employee under occupation code</w:t>
      </w:r>
      <w:r w:rsidR="00283C2A">
        <w:rPr>
          <w:rFonts w:ascii="Times New Roman" w:hAnsi="Times New Roman"/>
        </w:rPr>
        <w:t xml:space="preserve"> </w:t>
      </w:r>
      <w:r w:rsidRPr="007B5C63">
        <w:rPr>
          <w:rFonts w:ascii="Times New Roman" w:hAnsi="Times New Roman"/>
        </w:rPr>
        <w:t>13-1041, “Compliance Officers” in the same industry, which is $</w:t>
      </w:r>
      <w:r w:rsidRPr="007B5C63" w:rsidR="006C26B4">
        <w:rPr>
          <w:rFonts w:ascii="Times New Roman" w:hAnsi="Times New Roman"/>
        </w:rPr>
        <w:t>4</w:t>
      </w:r>
      <w:r w:rsidR="006C61C6">
        <w:rPr>
          <w:rFonts w:ascii="Times New Roman" w:hAnsi="Times New Roman"/>
        </w:rPr>
        <w:t>5.47</w:t>
      </w:r>
      <w:r w:rsidRPr="007B5C63">
        <w:rPr>
          <w:rFonts w:ascii="Times New Roman" w:hAnsi="Times New Roman"/>
        </w:rPr>
        <w:t xml:space="preserve">.  The Commission also notes that, the Commission took the foregoing data and then increased its hourly wage estimate in recognition of the fact that some respondents may be large financial institutions whose employees’ salaries may exceed the mean wage.  </w:t>
      </w:r>
      <w:r w:rsidR="000D3CD6">
        <w:rPr>
          <w:rFonts w:ascii="Times New Roman" w:hAnsi="Times New Roman"/>
        </w:rPr>
        <w:t xml:space="preserve">This adjustment resulted in an estimated hourly </w:t>
      </w:r>
      <w:r w:rsidR="00F566CB">
        <w:rPr>
          <w:rFonts w:ascii="Times New Roman" w:hAnsi="Times New Roman"/>
        </w:rPr>
        <w:t xml:space="preserve">labor cost of $100 per hour.  </w:t>
      </w:r>
      <w:r w:rsidRPr="007B5C63">
        <w:rPr>
          <w:rFonts w:ascii="Times New Roman" w:hAnsi="Times New Roman"/>
        </w:rPr>
        <w:t>The Commission recognizes that some respondents may hire outside counsel with expertise in the various regulatory areas covered by the combined final regulations and that outside counsel may be able to leverage its expertise to substantially reduce the number of hours needed to fulfill a requested assignment.  While the Commission is uncertain about the billing rates that these respondents may pay for outside counsel, the Commission believes that such counsel may bill at a rate of several hundred dollars per hour.  Any determination to use outside counsel, however, is at the discretion of the respondent.</w:t>
      </w:r>
    </w:p>
    <w:p w:rsidR="00E7789A" w:rsidRPr="007B5C63" w:rsidP="00246690" w14:paraId="7D59F51D" w14:textId="1F66E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hAnsi="Times New Roman"/>
          <w:szCs w:val="20"/>
        </w:rPr>
      </w:pPr>
      <w:r w:rsidRPr="007B5C63">
        <w:rPr>
          <w:rFonts w:ascii="Times New Roman" w:hAnsi="Times New Roman"/>
          <w:szCs w:val="20"/>
          <w:u w:val="single"/>
        </w:rPr>
        <w:t>Re</w:t>
      </w:r>
      <w:r w:rsidRPr="007B5C63" w:rsidR="00C95C5D">
        <w:rPr>
          <w:rFonts w:ascii="Times New Roman" w:hAnsi="Times New Roman"/>
          <w:szCs w:val="20"/>
          <w:u w:val="single"/>
        </w:rPr>
        <w:t>porting</w:t>
      </w:r>
      <w:r w:rsidRPr="007B5C63">
        <w:rPr>
          <w:rFonts w:ascii="Times New Roman" w:hAnsi="Times New Roman"/>
          <w:szCs w:val="20"/>
          <w:u w:val="single"/>
        </w:rPr>
        <w:t xml:space="preserve"> Related to </w:t>
      </w:r>
      <w:r w:rsidRPr="007B5C63" w:rsidR="00C95C5D">
        <w:rPr>
          <w:rFonts w:ascii="Times New Roman" w:hAnsi="Times New Roman"/>
          <w:szCs w:val="20"/>
          <w:u w:val="single"/>
        </w:rPr>
        <w:t>Response to Notice of</w:t>
      </w:r>
      <w:r w:rsidRPr="007B5C63" w:rsidR="00BA7196">
        <w:rPr>
          <w:rFonts w:ascii="Times New Roman" w:hAnsi="Times New Roman"/>
          <w:szCs w:val="20"/>
          <w:u w:val="single"/>
        </w:rPr>
        <w:t xml:space="preserve"> Termination</w:t>
      </w:r>
      <w:r w:rsidRPr="007B5C63">
        <w:rPr>
          <w:rFonts w:ascii="Times New Roman" w:hAnsi="Times New Roman"/>
          <w:szCs w:val="20"/>
        </w:rPr>
        <w:t>.</w:t>
      </w:r>
    </w:p>
    <w:p w:rsidR="00E7789A" w:rsidRPr="007B5C63" w:rsidP="0076372F" w14:paraId="7F1D650C" w14:textId="05CB5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rPr>
          <w:rFonts w:ascii="Times New Roman" w:hAnsi="Times New Roman"/>
          <w:szCs w:val="20"/>
        </w:rPr>
      </w:pPr>
      <w:r w:rsidRPr="007B5C63">
        <w:rPr>
          <w:rFonts w:ascii="Times New Roman" w:hAnsi="Times New Roman"/>
          <w:szCs w:val="20"/>
        </w:rPr>
        <w:t>Number of re</w:t>
      </w:r>
      <w:r w:rsidRPr="007B5C63" w:rsidR="00C95C5D">
        <w:rPr>
          <w:rFonts w:ascii="Times New Roman" w:hAnsi="Times New Roman"/>
          <w:szCs w:val="20"/>
        </w:rPr>
        <w:t>sponde</w:t>
      </w:r>
      <w:r w:rsidRPr="007B5C63">
        <w:rPr>
          <w:rFonts w:ascii="Times New Roman" w:hAnsi="Times New Roman"/>
          <w:szCs w:val="20"/>
        </w:rPr>
        <w:t xml:space="preserve">nts:  </w:t>
      </w:r>
      <w:r w:rsidRPr="007B5C63" w:rsidR="004D6831">
        <w:rPr>
          <w:rFonts w:ascii="Times New Roman" w:hAnsi="Times New Roman"/>
          <w:szCs w:val="20"/>
        </w:rPr>
        <w:t>1</w:t>
      </w:r>
    </w:p>
    <w:p w:rsidR="00E7789A" w:rsidRPr="007B5C63" w:rsidP="0076372F" w14:paraId="25BA85CE" w14:textId="160CB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rPr>
          <w:rFonts w:ascii="Times New Roman" w:hAnsi="Times New Roman"/>
          <w:szCs w:val="20"/>
        </w:rPr>
      </w:pPr>
      <w:r w:rsidRPr="007B5C63">
        <w:rPr>
          <w:rFonts w:ascii="Times New Roman" w:hAnsi="Times New Roman"/>
          <w:szCs w:val="20"/>
        </w:rPr>
        <w:t>Average number of annual responses by each re</w:t>
      </w:r>
      <w:r w:rsidRPr="007B5C63" w:rsidR="00C95C5D">
        <w:rPr>
          <w:rFonts w:ascii="Times New Roman" w:hAnsi="Times New Roman"/>
          <w:szCs w:val="20"/>
        </w:rPr>
        <w:t>sponde</w:t>
      </w:r>
      <w:r w:rsidRPr="007B5C63">
        <w:rPr>
          <w:rFonts w:ascii="Times New Roman" w:hAnsi="Times New Roman"/>
          <w:szCs w:val="20"/>
        </w:rPr>
        <w:t>nt: 1</w:t>
      </w:r>
    </w:p>
    <w:p w:rsidR="00E7789A" w:rsidRPr="007B5C63" w:rsidP="0076372F" w14:paraId="7FAC00D4" w14:textId="0D93D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rPr>
          <w:rFonts w:ascii="Times New Roman" w:hAnsi="Times New Roman"/>
          <w:szCs w:val="20"/>
        </w:rPr>
      </w:pPr>
      <w:r w:rsidRPr="007B5C63">
        <w:rPr>
          <w:rFonts w:ascii="Times New Roman" w:hAnsi="Times New Roman"/>
          <w:szCs w:val="20"/>
        </w:rPr>
        <w:t xml:space="preserve">Estimated average hours per response:  </w:t>
      </w:r>
      <w:r w:rsidRPr="007B5C63" w:rsidR="00C95C5D">
        <w:rPr>
          <w:rFonts w:ascii="Times New Roman" w:hAnsi="Times New Roman"/>
          <w:szCs w:val="20"/>
        </w:rPr>
        <w:t>8</w:t>
      </w:r>
    </w:p>
    <w:p w:rsidR="00E7789A" w:rsidRPr="007B5C63" w:rsidP="0076372F" w14:paraId="04A8D2C9" w14:textId="7B7A5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rPr>
          <w:rFonts w:ascii="Times New Roman" w:hAnsi="Times New Roman"/>
          <w:szCs w:val="20"/>
        </w:rPr>
      </w:pPr>
      <w:r w:rsidRPr="007B5C63">
        <w:rPr>
          <w:rFonts w:ascii="Times New Roman" w:hAnsi="Times New Roman"/>
          <w:szCs w:val="20"/>
        </w:rPr>
        <w:t xml:space="preserve">Frequency of collection:  </w:t>
      </w:r>
      <w:r w:rsidRPr="007B5C63" w:rsidR="00C95C5D">
        <w:rPr>
          <w:rFonts w:ascii="Times New Roman" w:hAnsi="Times New Roman"/>
          <w:szCs w:val="20"/>
        </w:rPr>
        <w:t>As needed</w:t>
      </w:r>
    </w:p>
    <w:p w:rsidR="00E7789A" w:rsidRPr="00246690" w:rsidP="0076372F" w14:paraId="4C829C0D" w14:textId="1FBA1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rPr>
          <w:rFonts w:ascii="Times New Roman" w:hAnsi="Times New Roman"/>
          <w:szCs w:val="20"/>
        </w:rPr>
      </w:pPr>
      <w:r w:rsidRPr="007B5C63">
        <w:rPr>
          <w:rFonts w:ascii="Times New Roman" w:hAnsi="Times New Roman"/>
          <w:szCs w:val="20"/>
        </w:rPr>
        <w:t xml:space="preserve">Aggregate annual burden:  </w:t>
      </w:r>
      <w:r w:rsidR="0076372F">
        <w:rPr>
          <w:rFonts w:ascii="Times New Roman" w:hAnsi="Times New Roman"/>
          <w:szCs w:val="20"/>
        </w:rPr>
        <w:t xml:space="preserve">8 </w:t>
      </w:r>
      <w:r w:rsidRPr="007B5C63">
        <w:rPr>
          <w:rFonts w:ascii="Times New Roman" w:hAnsi="Times New Roman"/>
          <w:szCs w:val="20"/>
        </w:rPr>
        <w:t>burden hours</w:t>
      </w:r>
      <w:r w:rsidR="00E07D94">
        <w:rPr>
          <w:rFonts w:ascii="Times New Roman" w:hAnsi="Times New Roman"/>
          <w:szCs w:val="20"/>
        </w:rPr>
        <w:t xml:space="preserve"> (</w:t>
      </w:r>
      <w:r w:rsidRPr="007B5C63" w:rsidR="00E07D94">
        <w:rPr>
          <w:rFonts w:ascii="Times New Roman" w:hAnsi="Times New Roman"/>
          <w:szCs w:val="20"/>
        </w:rPr>
        <w:t xml:space="preserve">1 respondent </w:t>
      </w:r>
      <w:r w:rsidR="00E07D94">
        <w:rPr>
          <w:rFonts w:ascii="Times New Roman" w:hAnsi="Times New Roman"/>
          <w:szCs w:val="20"/>
        </w:rPr>
        <w:t>×</w:t>
      </w:r>
      <w:r w:rsidRPr="007B5C63" w:rsidR="00E07D94">
        <w:rPr>
          <w:rFonts w:ascii="Times New Roman" w:hAnsi="Times New Roman"/>
          <w:szCs w:val="20"/>
        </w:rPr>
        <w:t xml:space="preserve"> 1 response </w:t>
      </w:r>
      <w:r w:rsidR="00E07D94">
        <w:rPr>
          <w:rFonts w:ascii="Times New Roman" w:hAnsi="Times New Roman"/>
          <w:szCs w:val="20"/>
        </w:rPr>
        <w:t>×</w:t>
      </w:r>
      <w:r w:rsidRPr="007B5C63" w:rsidR="00E07D94">
        <w:rPr>
          <w:rFonts w:ascii="Times New Roman" w:hAnsi="Times New Roman"/>
          <w:szCs w:val="20"/>
        </w:rPr>
        <w:t xml:space="preserve"> 8 hours</w:t>
      </w:r>
      <w:r w:rsidR="00E07D94">
        <w:rPr>
          <w:rFonts w:ascii="Times New Roman" w:hAnsi="Times New Roman"/>
          <w:szCs w:val="20"/>
        </w:rPr>
        <w:t>)</w:t>
      </w:r>
    </w:p>
    <w:p w:rsidR="00E7789A" w:rsidRPr="00246690" w:rsidP="00246690" w14:paraId="36A6CD73" w14:textId="422BF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hAnsi="Times New Roman"/>
          <w:szCs w:val="20"/>
        </w:rPr>
      </w:pPr>
      <w:r w:rsidRPr="007B5C63">
        <w:rPr>
          <w:rFonts w:ascii="Times New Roman" w:hAnsi="Times New Roman"/>
          <w:szCs w:val="20"/>
        </w:rPr>
        <w:t xml:space="preserve">Based upon the above, the aggregate </w:t>
      </w:r>
      <w:r w:rsidRPr="007B5C63" w:rsidR="00D045EF">
        <w:rPr>
          <w:rFonts w:ascii="Times New Roman" w:hAnsi="Times New Roman"/>
          <w:szCs w:val="20"/>
        </w:rPr>
        <w:t xml:space="preserve">burden hours and </w:t>
      </w:r>
      <w:r w:rsidRPr="007B5C63">
        <w:rPr>
          <w:rFonts w:ascii="Times New Roman" w:hAnsi="Times New Roman"/>
          <w:szCs w:val="20"/>
        </w:rPr>
        <w:t>cost for all re</w:t>
      </w:r>
      <w:r w:rsidRPr="007B5C63" w:rsidR="00BF2049">
        <w:rPr>
          <w:rFonts w:ascii="Times New Roman" w:hAnsi="Times New Roman"/>
          <w:szCs w:val="20"/>
        </w:rPr>
        <w:t>sponde</w:t>
      </w:r>
      <w:r w:rsidRPr="007B5C63">
        <w:rPr>
          <w:rFonts w:ascii="Times New Roman" w:hAnsi="Times New Roman"/>
          <w:szCs w:val="20"/>
        </w:rPr>
        <w:t xml:space="preserve">nts is </w:t>
      </w:r>
      <w:r w:rsidRPr="007B5C63" w:rsidR="00C95C5D">
        <w:rPr>
          <w:rFonts w:ascii="Times New Roman" w:hAnsi="Times New Roman"/>
          <w:szCs w:val="20"/>
        </w:rPr>
        <w:t>8</w:t>
      </w:r>
      <w:r w:rsidRPr="007B5C63">
        <w:rPr>
          <w:rFonts w:ascii="Times New Roman" w:hAnsi="Times New Roman"/>
          <w:szCs w:val="20"/>
        </w:rPr>
        <w:t xml:space="preserve"> burden hours and $</w:t>
      </w:r>
      <w:r w:rsidRPr="007B5C63" w:rsidR="00C95C5D">
        <w:rPr>
          <w:rFonts w:ascii="Times New Roman" w:hAnsi="Times New Roman"/>
          <w:szCs w:val="20"/>
        </w:rPr>
        <w:t>800</w:t>
      </w:r>
      <w:r w:rsidRPr="007B5C63">
        <w:rPr>
          <w:rFonts w:ascii="Times New Roman" w:hAnsi="Times New Roman"/>
          <w:szCs w:val="20"/>
        </w:rPr>
        <w:t xml:space="preserve"> [</w:t>
      </w:r>
      <w:r w:rsidRPr="007B5C63" w:rsidR="00C95C5D">
        <w:rPr>
          <w:rFonts w:ascii="Times New Roman" w:hAnsi="Times New Roman"/>
          <w:szCs w:val="20"/>
        </w:rPr>
        <w:t>1</w:t>
      </w:r>
      <w:r w:rsidRPr="007B5C63">
        <w:rPr>
          <w:rFonts w:ascii="Times New Roman" w:hAnsi="Times New Roman"/>
          <w:szCs w:val="20"/>
        </w:rPr>
        <w:t xml:space="preserve"> burden hour </w:t>
      </w:r>
      <w:r w:rsidR="0076372F">
        <w:rPr>
          <w:rFonts w:ascii="Times New Roman" w:hAnsi="Times New Roman"/>
          <w:szCs w:val="20"/>
        </w:rPr>
        <w:t>×</w:t>
      </w:r>
      <w:r w:rsidRPr="007B5C63">
        <w:rPr>
          <w:rFonts w:ascii="Times New Roman" w:hAnsi="Times New Roman"/>
          <w:szCs w:val="20"/>
        </w:rPr>
        <w:t xml:space="preserve"> $100 per hour].</w:t>
      </w:r>
    </w:p>
    <w:p w:rsidR="00E7789A" w:rsidRPr="007B5C63" w:rsidP="00246690" w14:paraId="38247B49" w14:textId="007EC803">
      <w:pPr>
        <w:keepNext/>
        <w:tabs>
          <w:tab w:val="left" w:pos="-720"/>
          <w:tab w:val="left" w:pos="0"/>
        </w:tabs>
        <w:spacing w:after="240"/>
        <w:jc w:val="both"/>
        <w:rPr>
          <w:rFonts w:ascii="Times New Roman" w:hAnsi="Times New Roman"/>
          <w:b/>
        </w:rPr>
      </w:pPr>
      <w:r w:rsidRPr="007B5C63">
        <w:rPr>
          <w:rFonts w:ascii="Times New Roman" w:hAnsi="Times New Roman"/>
          <w:b/>
        </w:rPr>
        <w:t>13.</w:t>
      </w:r>
      <w:r w:rsidRPr="007B5C63">
        <w:rPr>
          <w:rFonts w:ascii="Times New Roman" w:hAnsi="Times New Roman"/>
          <w:b/>
        </w:rPr>
        <w:tab/>
        <w:t>Provide an estimate of the total annual cost burden to respondents or recordkeepers resulting f</w:t>
      </w:r>
      <w:r w:rsidRPr="007B5C63" w:rsidR="00000EB1">
        <w:rPr>
          <w:rFonts w:ascii="Times New Roman" w:hAnsi="Times New Roman"/>
          <w:b/>
        </w:rPr>
        <w:t>ro</w:t>
      </w:r>
      <w:r w:rsidRPr="007B5C63">
        <w:rPr>
          <w:rFonts w:ascii="Times New Roman" w:hAnsi="Times New Roman"/>
          <w:b/>
        </w:rPr>
        <w:t>m the collection of information.  (Do not include the cost of any hour burden shown in Items 12 and 14).</w:t>
      </w:r>
    </w:p>
    <w:p w:rsidR="00E7789A" w:rsidRPr="007B5C63" w:rsidP="00246690" w14:paraId="6A9A766F"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7B5C63">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7789A" w:rsidRPr="007B5C63" w:rsidP="00246690" w14:paraId="42BE7523"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7B5C63">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E7789A" w:rsidRPr="007B5C63" w:rsidP="00246690" w14:paraId="1FA0A060"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7B5C63">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7789A" w:rsidRPr="007B5C63" w:rsidP="00246690" w14:paraId="7035427D" w14:textId="2B6BC6A8">
      <w:pPr>
        <w:tabs>
          <w:tab w:val="left" w:pos="-720"/>
        </w:tabs>
        <w:spacing w:after="240"/>
        <w:jc w:val="both"/>
        <w:rPr>
          <w:rFonts w:ascii="Times New Roman" w:hAnsi="Times New Roman"/>
        </w:rPr>
      </w:pPr>
      <w:r w:rsidRPr="007B5C63">
        <w:rPr>
          <w:rFonts w:ascii="Times New Roman" w:hAnsi="Times New Roman"/>
        </w:rPr>
        <w:t>The information collection required by the regulations would not involve any capital or start-up capital, operations</w:t>
      </w:r>
      <w:r w:rsidR="0076372F">
        <w:rPr>
          <w:rFonts w:ascii="Times New Roman" w:hAnsi="Times New Roman"/>
        </w:rPr>
        <w:t>,</w:t>
      </w:r>
      <w:r w:rsidRPr="007B5C63">
        <w:rPr>
          <w:rFonts w:ascii="Times New Roman" w:hAnsi="Times New Roman"/>
        </w:rPr>
        <w:t xml:space="preserve"> or maintenance costs</w:t>
      </w:r>
      <w:r w:rsidRPr="007B5C63" w:rsidR="00BF2049">
        <w:rPr>
          <w:rFonts w:ascii="Times New Roman" w:hAnsi="Times New Roman"/>
        </w:rPr>
        <w:t>.</w:t>
      </w:r>
      <w:r w:rsidRPr="007B5C63">
        <w:rPr>
          <w:rFonts w:ascii="Times New Roman" w:hAnsi="Times New Roman"/>
        </w:rPr>
        <w:t xml:space="preserve"> </w:t>
      </w:r>
    </w:p>
    <w:p w:rsidR="00E7789A" w:rsidRPr="007B5C63" w:rsidP="00246690" w14:paraId="4644976B" w14:textId="77777777">
      <w:pPr>
        <w:tabs>
          <w:tab w:val="left" w:pos="-720"/>
        </w:tabs>
        <w:spacing w:after="240"/>
        <w:ind w:left="720" w:hanging="720"/>
        <w:jc w:val="both"/>
        <w:rPr>
          <w:rFonts w:ascii="Times New Roman" w:hAnsi="Times New Roman"/>
          <w:b/>
        </w:rPr>
      </w:pPr>
      <w:r w:rsidRPr="007B5C63">
        <w:rPr>
          <w:rFonts w:ascii="Times New Roman" w:hAnsi="Times New Roman"/>
          <w:b/>
        </w:rPr>
        <w:t>14.</w:t>
      </w:r>
      <w:r w:rsidRPr="007B5C63">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E7789A" w:rsidRPr="007B5C63" w:rsidP="00246690" w14:paraId="5071ADD3" w14:textId="5B26B5CE">
      <w:pPr>
        <w:tabs>
          <w:tab w:val="left" w:pos="-720"/>
        </w:tabs>
        <w:spacing w:after="240"/>
        <w:jc w:val="both"/>
        <w:rPr>
          <w:rFonts w:ascii="Times New Roman" w:hAnsi="Times New Roman"/>
        </w:rPr>
      </w:pPr>
      <w:r w:rsidRPr="007B5C63">
        <w:rPr>
          <w:rFonts w:ascii="Times New Roman" w:hAnsi="Times New Roman"/>
        </w:rPr>
        <w:t>The regulation does not impose any additional costs to the Federal Government.  As part of its regulatory oversight, Commission staff already is monitoring on an ongoing basis changes to foreign laws and regulations, market developments</w:t>
      </w:r>
      <w:r w:rsidR="0076372F">
        <w:rPr>
          <w:rFonts w:ascii="Times New Roman" w:hAnsi="Times New Roman"/>
        </w:rPr>
        <w:t>,</w:t>
      </w:r>
      <w:r w:rsidRPr="007B5C63">
        <w:rPr>
          <w:rFonts w:ascii="Times New Roman" w:hAnsi="Times New Roman"/>
        </w:rPr>
        <w:t xml:space="preserve"> and information-sharing arrangements.</w:t>
      </w:r>
    </w:p>
    <w:p w:rsidR="00E7789A" w:rsidRPr="007B5C63" w:rsidP="00246690" w14:paraId="34265C35" w14:textId="0EE3D5A3">
      <w:pPr>
        <w:tabs>
          <w:tab w:val="left" w:pos="-720"/>
        </w:tabs>
        <w:spacing w:after="240"/>
        <w:ind w:left="720" w:hanging="720"/>
        <w:jc w:val="both"/>
        <w:rPr>
          <w:rFonts w:ascii="Times New Roman" w:hAnsi="Times New Roman"/>
          <w:b/>
        </w:rPr>
      </w:pPr>
      <w:r w:rsidRPr="007B5C63">
        <w:rPr>
          <w:rFonts w:ascii="Times New Roman" w:hAnsi="Times New Roman"/>
          <w:b/>
        </w:rPr>
        <w:t>15.</w:t>
      </w:r>
      <w:r w:rsidRPr="007B5C63">
        <w:rPr>
          <w:rFonts w:ascii="Times New Roman" w:hAnsi="Times New Roman"/>
          <w:b/>
        </w:rPr>
        <w:tab/>
        <w:t>Explain the reasons for any program changes or adjustments reported in Items 13 or 14.</w:t>
      </w:r>
    </w:p>
    <w:p w:rsidR="00C8425A" w:rsidRPr="007B5C63" w:rsidP="00246690" w14:paraId="3EAC2DF4" w14:textId="542906FA">
      <w:pPr>
        <w:tabs>
          <w:tab w:val="left" w:pos="-720"/>
        </w:tabs>
        <w:spacing w:after="240"/>
        <w:jc w:val="both"/>
        <w:rPr>
          <w:rFonts w:ascii="Times New Roman" w:hAnsi="Times New Roman"/>
        </w:rPr>
      </w:pPr>
      <w:r>
        <w:rPr>
          <w:rFonts w:ascii="Times New Roman" w:hAnsi="Times New Roman"/>
        </w:rPr>
        <w:t>There are no program changes or adjustments.</w:t>
      </w:r>
      <w:r w:rsidR="00273634">
        <w:rPr>
          <w:rFonts w:ascii="Times New Roman" w:hAnsi="Times New Roman"/>
        </w:rPr>
        <w:t xml:space="preserve">  The Commission is retaining its existing estimate</w:t>
      </w:r>
      <w:r w:rsidR="00BB2EA0">
        <w:rPr>
          <w:rFonts w:ascii="Times New Roman" w:hAnsi="Times New Roman"/>
        </w:rPr>
        <w:t>s</w:t>
      </w:r>
      <w:r w:rsidR="00273634">
        <w:rPr>
          <w:rFonts w:ascii="Times New Roman" w:hAnsi="Times New Roman"/>
        </w:rPr>
        <w:t xml:space="preserve"> of the number of respondents and the overall </w:t>
      </w:r>
      <w:r w:rsidR="00BB2EA0">
        <w:rPr>
          <w:rFonts w:ascii="Times New Roman" w:hAnsi="Times New Roman"/>
        </w:rPr>
        <w:t>burden hours for the collection</w:t>
      </w:r>
      <w:r w:rsidR="00BB2EA0">
        <w:rPr>
          <w:rFonts w:ascii="Times New Roman" w:hAnsi="Times New Roman"/>
        </w:rPr>
        <w:t>.</w:t>
      </w:r>
      <w:r w:rsidR="000151A4">
        <w:rPr>
          <w:rFonts w:ascii="Times New Roman" w:hAnsi="Times New Roman"/>
        </w:rPr>
        <w:t xml:space="preserve">  The Commission has updated its labor cost estimates to reflect updated BLS </w:t>
      </w:r>
      <w:r w:rsidR="002F4271">
        <w:rPr>
          <w:rFonts w:ascii="Times New Roman" w:hAnsi="Times New Roman"/>
        </w:rPr>
        <w:t>hourly wage data, as described in the response to Question 12.</w:t>
      </w:r>
      <w:r w:rsidR="000151A4">
        <w:rPr>
          <w:rFonts w:ascii="Times New Roman" w:hAnsi="Times New Roman"/>
        </w:rPr>
        <w:t xml:space="preserve"> </w:t>
      </w:r>
    </w:p>
    <w:p w:rsidR="00E7789A" w:rsidRPr="007B5C63" w:rsidP="00246690" w14:paraId="6E6BB52A" w14:textId="77777777">
      <w:pPr>
        <w:tabs>
          <w:tab w:val="left" w:pos="-720"/>
        </w:tabs>
        <w:spacing w:after="240"/>
        <w:ind w:left="720" w:hanging="720"/>
        <w:jc w:val="both"/>
        <w:rPr>
          <w:rFonts w:ascii="Times New Roman" w:hAnsi="Times New Roman"/>
          <w:b/>
        </w:rPr>
      </w:pPr>
      <w:r w:rsidRPr="007B5C63">
        <w:rPr>
          <w:rFonts w:ascii="Times New Roman" w:hAnsi="Times New Roman"/>
          <w:b/>
        </w:rPr>
        <w:t>16.</w:t>
      </w:r>
      <w:r w:rsidRPr="007B5C63">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E7789A" w:rsidRPr="007B5C63" w:rsidP="00246690" w14:paraId="3512100F" w14:textId="56E6C2D2">
      <w:pPr>
        <w:tabs>
          <w:tab w:val="left" w:pos="-720"/>
        </w:tabs>
        <w:spacing w:after="240"/>
        <w:jc w:val="both"/>
        <w:rPr>
          <w:rFonts w:ascii="Times New Roman" w:hAnsi="Times New Roman"/>
        </w:rPr>
      </w:pPr>
      <w:r w:rsidRPr="007B5C63">
        <w:rPr>
          <w:rFonts w:ascii="Times New Roman" w:hAnsi="Times New Roman"/>
        </w:rPr>
        <w:t>This question does not apply.</w:t>
      </w:r>
      <w:r w:rsidRPr="007B5C63" w:rsidR="00AA2535">
        <w:rPr>
          <w:rFonts w:ascii="Times New Roman" w:hAnsi="Times New Roman"/>
        </w:rPr>
        <w:t xml:space="preserve">  </w:t>
      </w:r>
      <w:r w:rsidR="00AA61DC">
        <w:rPr>
          <w:rFonts w:ascii="Times New Roman" w:hAnsi="Times New Roman"/>
        </w:rPr>
        <w:t>There are no plans to publish any information obtained through these information collections for statistical use.</w:t>
      </w:r>
    </w:p>
    <w:p w:rsidR="00E7789A" w:rsidRPr="007B5C63" w:rsidP="00246690" w14:paraId="10FED669" w14:textId="77777777">
      <w:pPr>
        <w:tabs>
          <w:tab w:val="left" w:pos="-720"/>
        </w:tabs>
        <w:spacing w:after="240"/>
        <w:ind w:left="720" w:hanging="720"/>
        <w:jc w:val="both"/>
        <w:rPr>
          <w:rFonts w:ascii="Times New Roman" w:hAnsi="Times New Roman"/>
          <w:b/>
        </w:rPr>
      </w:pPr>
      <w:r w:rsidRPr="007B5C63">
        <w:rPr>
          <w:rFonts w:ascii="Times New Roman" w:hAnsi="Times New Roman"/>
          <w:b/>
        </w:rPr>
        <w:t>17.</w:t>
      </w:r>
      <w:r w:rsidRPr="007B5C63">
        <w:rPr>
          <w:rFonts w:ascii="Times New Roman" w:hAnsi="Times New Roman"/>
          <w:b/>
        </w:rPr>
        <w:tab/>
        <w:t>If seeking approval to not display the expiration date for OMB approval of the information collection, explain the reasons that display would be inappropriate.</w:t>
      </w:r>
    </w:p>
    <w:p w:rsidR="00E7789A" w:rsidRPr="007B5C63" w:rsidP="00246690" w14:paraId="1B742E26" w14:textId="77777777">
      <w:pPr>
        <w:tabs>
          <w:tab w:val="left" w:pos="-720"/>
        </w:tabs>
        <w:spacing w:after="240"/>
        <w:jc w:val="both"/>
        <w:rPr>
          <w:rFonts w:ascii="Times New Roman" w:hAnsi="Times New Roman"/>
        </w:rPr>
      </w:pPr>
      <w:r w:rsidRPr="007B5C63">
        <w:rPr>
          <w:rFonts w:ascii="Times New Roman" w:hAnsi="Times New Roman"/>
        </w:rPr>
        <w:t>This question does not apply.</w:t>
      </w:r>
    </w:p>
    <w:p w:rsidR="00E7789A" w:rsidRPr="007B5C63" w:rsidP="00246690" w14:paraId="531B1D87" w14:textId="308A8192">
      <w:pPr>
        <w:keepNext/>
        <w:tabs>
          <w:tab w:val="left" w:pos="-720"/>
        </w:tabs>
        <w:spacing w:after="240"/>
        <w:ind w:left="720" w:hanging="720"/>
        <w:jc w:val="both"/>
        <w:rPr>
          <w:rFonts w:ascii="Times New Roman" w:hAnsi="Times New Roman"/>
          <w:b/>
        </w:rPr>
      </w:pPr>
      <w:r w:rsidRPr="007B5C63">
        <w:rPr>
          <w:rFonts w:ascii="Times New Roman" w:hAnsi="Times New Roman"/>
          <w:b/>
        </w:rPr>
        <w:t>18.</w:t>
      </w:r>
      <w:r w:rsidRPr="007B5C63">
        <w:rPr>
          <w:rFonts w:ascii="Times New Roman" w:hAnsi="Times New Roman"/>
          <w:b/>
        </w:rPr>
        <w:tab/>
        <w:t xml:space="preserve">Explain each exception to the certification statement, </w:t>
      </w:r>
      <w:r w:rsidR="00246690">
        <w:rPr>
          <w:rFonts w:ascii="Times New Roman" w:hAnsi="Times New Roman"/>
          <w:b/>
        </w:rPr>
        <w:t>“</w:t>
      </w:r>
      <w:r w:rsidRPr="007B5C63">
        <w:rPr>
          <w:rFonts w:ascii="Times New Roman" w:hAnsi="Times New Roman"/>
          <w:b/>
        </w:rPr>
        <w:t>Certification for Paperwork Reduction Act Submissions</w:t>
      </w:r>
      <w:r w:rsidRPr="007B5C63" w:rsidR="000C0761">
        <w:rPr>
          <w:rFonts w:ascii="Times New Roman" w:hAnsi="Times New Roman"/>
          <w:b/>
        </w:rPr>
        <w:t>.</w:t>
      </w:r>
      <w:r w:rsidR="00246690">
        <w:rPr>
          <w:rFonts w:ascii="Times New Roman" w:hAnsi="Times New Roman"/>
          <w:b/>
        </w:rPr>
        <w:t>”</w:t>
      </w:r>
    </w:p>
    <w:p w:rsidR="00E7789A" w:rsidRPr="007B5C63" w:rsidP="00246690" w14:paraId="5248A6F3" w14:textId="77777777">
      <w:pPr>
        <w:tabs>
          <w:tab w:val="left" w:pos="-720"/>
        </w:tabs>
        <w:spacing w:after="240"/>
        <w:jc w:val="both"/>
        <w:rPr>
          <w:rFonts w:ascii="Times New Roman" w:hAnsi="Times New Roman"/>
        </w:rPr>
      </w:pPr>
      <w:r w:rsidRPr="007B5C63">
        <w:rPr>
          <w:rFonts w:ascii="Times New Roman" w:hAnsi="Times New Roman"/>
        </w:rPr>
        <w:t>This question does not apply.</w:t>
      </w:r>
    </w:p>
    <w:p w:rsidR="00E7789A" w:rsidRPr="002F4271" w14:paraId="48398920" w14:textId="77777777">
      <w:pPr>
        <w:pStyle w:val="Title"/>
        <w:spacing w:after="240"/>
        <w:rPr>
          <w:sz w:val="24"/>
          <w:szCs w:val="24"/>
          <w:u w:val="single"/>
        </w:rPr>
      </w:pPr>
      <w:r w:rsidRPr="007B5C63">
        <w:br w:type="page"/>
      </w:r>
      <w:r w:rsidRPr="002F4271">
        <w:rPr>
          <w:sz w:val="24"/>
          <w:szCs w:val="24"/>
          <w:u w:val="single"/>
        </w:rPr>
        <w:t>Attachment A</w:t>
      </w:r>
    </w:p>
    <w:p w:rsidR="00E7789A" w:rsidRPr="00246690" w:rsidP="00246690" w14:paraId="624E6A16" w14:textId="62013952">
      <w:pPr>
        <w:suppressAutoHyphens/>
        <w:spacing w:after="240"/>
        <w:jc w:val="center"/>
        <w:rPr>
          <w:rFonts w:ascii="Times New Roman" w:hAnsi="Times New Roman"/>
          <w:b/>
        </w:rPr>
      </w:pPr>
      <w:r w:rsidRPr="007B5C63">
        <w:rPr>
          <w:rFonts w:ascii="Times New Roman" w:hAnsi="Times New Roman"/>
          <w:b/>
        </w:rPr>
        <w:t xml:space="preserve">Part </w:t>
      </w:r>
      <w:r w:rsidRPr="007B5C63" w:rsidR="000042BC">
        <w:rPr>
          <w:rFonts w:ascii="Times New Roman" w:hAnsi="Times New Roman"/>
          <w:b/>
        </w:rPr>
        <w:t>30</w:t>
      </w:r>
      <w:r w:rsidRPr="007B5C63">
        <w:rPr>
          <w:rFonts w:ascii="Times New Roman" w:hAnsi="Times New Roman"/>
        </w:rPr>
        <w:t xml:space="preserve"> – </w:t>
      </w:r>
      <w:r w:rsidRPr="007B5C63" w:rsidR="000042BC">
        <w:rPr>
          <w:rFonts w:ascii="Times New Roman" w:hAnsi="Times New Roman"/>
          <w:b/>
        </w:rPr>
        <w:t>Response to Notification of Termination of Exemptive Relief Issued Pursuant to Regulation 30.10</w:t>
      </w:r>
    </w:p>
    <w:p w:rsidR="00E7789A" w:rsidRPr="00246690" w:rsidP="00246690" w14:paraId="0468EDDC" w14:textId="6DCCD4E4">
      <w:pPr>
        <w:pStyle w:val="Title"/>
        <w:spacing w:after="360"/>
        <w:rPr>
          <w:sz w:val="24"/>
          <w:szCs w:val="24"/>
        </w:rPr>
      </w:pPr>
      <w:r w:rsidRPr="007B5C63">
        <w:rPr>
          <w:sz w:val="24"/>
          <w:szCs w:val="24"/>
        </w:rPr>
        <w:t>OMB Collection File 3038-</w:t>
      </w:r>
      <w:r w:rsidR="00017B2B">
        <w:rPr>
          <w:sz w:val="24"/>
          <w:szCs w:val="24"/>
        </w:rPr>
        <w:t>0116</w:t>
      </w:r>
    </w:p>
    <w:p w:rsidR="00E7789A" w:rsidRPr="007B5C63" w14:paraId="4879B6E9" w14:textId="13A567BF">
      <w:pPr>
        <w:pStyle w:val="Title"/>
        <w:tabs>
          <w:tab w:val="center" w:pos="7200"/>
        </w:tabs>
        <w:spacing w:after="120"/>
        <w:ind w:left="1440"/>
        <w:jc w:val="left"/>
        <w:rPr>
          <w:b w:val="0"/>
          <w:sz w:val="24"/>
          <w:szCs w:val="24"/>
        </w:rPr>
      </w:pPr>
      <w:r w:rsidRPr="007B5C63">
        <w:rPr>
          <w:b w:val="0"/>
          <w:sz w:val="24"/>
          <w:szCs w:val="24"/>
        </w:rPr>
        <w:t xml:space="preserve">Number of </w:t>
      </w:r>
      <w:r w:rsidRPr="007B5C63" w:rsidR="000042BC">
        <w:rPr>
          <w:b w:val="0"/>
          <w:sz w:val="24"/>
          <w:szCs w:val="24"/>
        </w:rPr>
        <w:t>Respondents</w:t>
      </w:r>
      <w:r w:rsidRPr="007B5C63">
        <w:rPr>
          <w:b w:val="0"/>
          <w:sz w:val="24"/>
          <w:szCs w:val="24"/>
        </w:rPr>
        <w:tab/>
      </w:r>
      <w:r w:rsidRPr="007B5C63" w:rsidR="004B450F">
        <w:rPr>
          <w:b w:val="0"/>
          <w:sz w:val="24"/>
          <w:szCs w:val="24"/>
        </w:rPr>
        <w:t>1</w:t>
      </w:r>
    </w:p>
    <w:p w:rsidR="00E7789A" w:rsidRPr="007B5C63" w14:paraId="006AE602" w14:textId="119753E0">
      <w:pPr>
        <w:pStyle w:val="Title"/>
        <w:tabs>
          <w:tab w:val="center" w:pos="7200"/>
        </w:tabs>
        <w:spacing w:after="120"/>
        <w:ind w:left="1440"/>
        <w:jc w:val="left"/>
        <w:rPr>
          <w:b w:val="0"/>
          <w:sz w:val="24"/>
          <w:szCs w:val="24"/>
        </w:rPr>
      </w:pPr>
      <w:r w:rsidRPr="007B5C63">
        <w:rPr>
          <w:b w:val="0"/>
          <w:sz w:val="24"/>
          <w:szCs w:val="24"/>
        </w:rPr>
        <w:t>Estimated Average Burden Hours Per Re</w:t>
      </w:r>
      <w:r w:rsidRPr="007B5C63" w:rsidR="000042BC">
        <w:rPr>
          <w:b w:val="0"/>
          <w:sz w:val="24"/>
          <w:szCs w:val="24"/>
        </w:rPr>
        <w:t>sponden</w:t>
      </w:r>
      <w:r w:rsidRPr="007B5C63">
        <w:rPr>
          <w:b w:val="0"/>
          <w:sz w:val="24"/>
          <w:szCs w:val="24"/>
        </w:rPr>
        <w:t>t</w:t>
      </w:r>
      <w:r w:rsidRPr="007B5C63">
        <w:rPr>
          <w:b w:val="0"/>
          <w:sz w:val="24"/>
          <w:szCs w:val="24"/>
        </w:rPr>
        <w:tab/>
      </w:r>
      <w:r w:rsidRPr="007B5C63" w:rsidR="004B450F">
        <w:rPr>
          <w:b w:val="0"/>
          <w:sz w:val="24"/>
          <w:szCs w:val="24"/>
        </w:rPr>
        <w:t>8</w:t>
      </w:r>
    </w:p>
    <w:p w:rsidR="00E7789A" w:rsidRPr="007B5C63" w14:paraId="20069AA5" w14:textId="757983E6">
      <w:pPr>
        <w:pStyle w:val="Title"/>
        <w:tabs>
          <w:tab w:val="center" w:pos="7200"/>
        </w:tabs>
        <w:spacing w:after="120"/>
        <w:ind w:left="1440"/>
        <w:jc w:val="left"/>
        <w:rPr>
          <w:b w:val="0"/>
          <w:sz w:val="24"/>
          <w:szCs w:val="24"/>
        </w:rPr>
      </w:pPr>
      <w:r w:rsidRPr="007B5C63">
        <w:rPr>
          <w:b w:val="0"/>
          <w:sz w:val="24"/>
          <w:szCs w:val="24"/>
        </w:rPr>
        <w:t>Estimated Annual Cost Per Re</w:t>
      </w:r>
      <w:r w:rsidRPr="007B5C63" w:rsidR="000042BC">
        <w:rPr>
          <w:b w:val="0"/>
          <w:sz w:val="24"/>
          <w:szCs w:val="24"/>
        </w:rPr>
        <w:t>sponden</w:t>
      </w:r>
      <w:r w:rsidRPr="007B5C63">
        <w:rPr>
          <w:b w:val="0"/>
          <w:sz w:val="24"/>
          <w:szCs w:val="24"/>
        </w:rPr>
        <w:t>t</w:t>
      </w:r>
      <w:r w:rsidRPr="007B5C63">
        <w:rPr>
          <w:b w:val="0"/>
          <w:sz w:val="24"/>
          <w:szCs w:val="24"/>
        </w:rPr>
        <w:tab/>
        <w:t>$</w:t>
      </w:r>
      <w:r w:rsidRPr="007B5C63" w:rsidR="000042BC">
        <w:rPr>
          <w:b w:val="0"/>
          <w:sz w:val="24"/>
          <w:szCs w:val="24"/>
        </w:rPr>
        <w:t>800</w:t>
      </w:r>
    </w:p>
    <w:p w:rsidR="00E7789A" w:rsidRPr="007B5C63" w14:paraId="38675D19" w14:textId="60607E63">
      <w:pPr>
        <w:pStyle w:val="Title"/>
        <w:tabs>
          <w:tab w:val="center" w:pos="7200"/>
        </w:tabs>
        <w:spacing w:after="120"/>
        <w:ind w:left="1440"/>
        <w:jc w:val="left"/>
        <w:rPr>
          <w:b w:val="0"/>
          <w:sz w:val="24"/>
          <w:szCs w:val="24"/>
        </w:rPr>
      </w:pPr>
      <w:r w:rsidRPr="007B5C63">
        <w:rPr>
          <w:b w:val="0"/>
          <w:sz w:val="24"/>
          <w:szCs w:val="24"/>
        </w:rPr>
        <w:t>Estimated Aggregate Burden Hours</w:t>
      </w:r>
      <w:r w:rsidRPr="007B5C63">
        <w:tab/>
      </w:r>
      <w:r w:rsidRPr="007B5C63" w:rsidR="004B450F">
        <w:rPr>
          <w:b w:val="0"/>
          <w:sz w:val="24"/>
          <w:szCs w:val="24"/>
        </w:rPr>
        <w:t>8</w:t>
      </w:r>
    </w:p>
    <w:p w:rsidR="00E7789A" w:rsidRPr="007B5C63" w14:paraId="706B4D0D" w14:textId="757569EE">
      <w:pPr>
        <w:pStyle w:val="Title"/>
        <w:tabs>
          <w:tab w:val="center" w:pos="7200"/>
        </w:tabs>
        <w:spacing w:after="120"/>
        <w:ind w:left="1440"/>
        <w:jc w:val="left"/>
        <w:rPr>
          <w:b w:val="0"/>
          <w:sz w:val="24"/>
          <w:szCs w:val="24"/>
        </w:rPr>
      </w:pPr>
      <w:r w:rsidRPr="007B5C63">
        <w:rPr>
          <w:b w:val="0"/>
          <w:sz w:val="24"/>
          <w:szCs w:val="24"/>
        </w:rPr>
        <w:t>Estimated Aggregate Cost</w:t>
      </w:r>
      <w:r w:rsidRPr="007B5C63">
        <w:rPr>
          <w:b w:val="0"/>
          <w:sz w:val="24"/>
          <w:szCs w:val="24"/>
        </w:rPr>
        <w:tab/>
        <w:t>$</w:t>
      </w:r>
      <w:r w:rsidRPr="007B5C63" w:rsidR="000042BC">
        <w:rPr>
          <w:b w:val="0"/>
          <w:sz w:val="24"/>
          <w:szCs w:val="24"/>
        </w:rPr>
        <w:t>800</w:t>
      </w:r>
      <w:r w:rsidR="00031844">
        <w:rPr>
          <w:b w:val="0"/>
          <w:sz w:val="24"/>
          <w:szCs w:val="24"/>
        </w:rPr>
        <w:t xml:space="preserve"> </w:t>
      </w:r>
    </w:p>
    <w:sectPr w:rsidSect="00AB12D2">
      <w:footerReference w:type="default" r:id="rId9"/>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DE7" w14:paraId="6B557FDD" w14:textId="77777777">
    <w:pPr>
      <w:pStyle w:val="Footer"/>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D86C20">
      <w:rPr>
        <w:rFonts w:ascii="Times New Roman" w:hAnsi="Times New Roman"/>
        <w:noProof/>
        <w:sz w:val="20"/>
        <w:szCs w:val="20"/>
      </w:rPr>
      <w:t>8</w:t>
    </w:r>
    <w:r>
      <w:rPr>
        <w:rFonts w:ascii="Times New Roman" w:hAnsi="Times New Roman"/>
        <w:sz w:val="20"/>
        <w:szCs w:val="20"/>
      </w:rPr>
      <w:fldChar w:fldCharType="end"/>
    </w:r>
  </w:p>
  <w:p w:rsidR="00775DE7" w14:paraId="4A1742E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036F9" w14:paraId="251482B6" w14:textId="77777777">
      <w:r>
        <w:separator/>
      </w:r>
    </w:p>
  </w:footnote>
  <w:footnote w:type="continuationSeparator" w:id="1">
    <w:p w:rsidR="005036F9" w14:paraId="29C6BC75" w14:textId="77777777">
      <w:r>
        <w:continuationSeparator/>
      </w:r>
    </w:p>
  </w:footnote>
  <w:footnote w:type="continuationNotice" w:id="2">
    <w:p w:rsidR="005036F9" w14:paraId="3EF5D521" w14:textId="77777777"/>
  </w:footnote>
  <w:footnote w:id="3">
    <w:p w:rsidR="0086653F" w:rsidP="0086653F" w14:paraId="5E535184" w14:textId="764654E3">
      <w:pPr>
        <w:pStyle w:val="FootnoteText"/>
      </w:pPr>
      <w:r>
        <w:rPr>
          <w:rStyle w:val="FootnoteReference"/>
        </w:rPr>
        <w:footnoteRef/>
      </w:r>
      <w:r>
        <w:t xml:space="preserve"> </w:t>
      </w:r>
      <w:r w:rsidRPr="001630E1">
        <w:rPr>
          <w:i/>
          <w:u w:val="single"/>
        </w:rPr>
        <w:t>See</w:t>
      </w:r>
      <w:r w:rsidRPr="001630E1">
        <w:t xml:space="preserve"> </w:t>
      </w:r>
      <w:hyperlink r:id="rId1" w:history="1">
        <w:r w:rsidR="00817BB0">
          <w:rPr>
            <w:rStyle w:val="Hyperlink"/>
            <w:sz w:val="22"/>
            <w:szCs w:val="22"/>
          </w:rPr>
          <w:t>Securities, Commodity Contracts, and Other Financial Investments and Related Activities - May 2023 OEWS Industry-Specific Occupational Employment and Wage Estimates</w:t>
        </w:r>
      </w:hyperlink>
      <w:r w:rsidR="00755DFC">
        <w:rPr>
          <w:iCs/>
          <w:u w:val="singl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DC33F2A"/>
    <w:multiLevelType w:val="hybridMultilevel"/>
    <w:tmpl w:val="F5DA2ED4"/>
    <w:lvl w:ilvl="0">
      <w:start w:val="1"/>
      <w:numFmt w:val="bullet"/>
      <w:lvlText w:val="•"/>
      <w:lvlJc w:val="left"/>
      <w:pPr>
        <w:tabs>
          <w:tab w:val="num" w:pos="936"/>
        </w:tabs>
        <w:ind w:left="936" w:hanging="216"/>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71437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drawingGridHorizontalSpacing w:val="57"/>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C30"/>
    <w:rsid w:val="00000EB1"/>
    <w:rsid w:val="000042BC"/>
    <w:rsid w:val="000151A4"/>
    <w:rsid w:val="00017B2B"/>
    <w:rsid w:val="00030EBE"/>
    <w:rsid w:val="00031844"/>
    <w:rsid w:val="000673EB"/>
    <w:rsid w:val="00070872"/>
    <w:rsid w:val="00074F1B"/>
    <w:rsid w:val="000818E2"/>
    <w:rsid w:val="00082105"/>
    <w:rsid w:val="00084B31"/>
    <w:rsid w:val="00093447"/>
    <w:rsid w:val="00093EF5"/>
    <w:rsid w:val="000B43DC"/>
    <w:rsid w:val="000C0761"/>
    <w:rsid w:val="000C1000"/>
    <w:rsid w:val="000D06B7"/>
    <w:rsid w:val="000D3CD6"/>
    <w:rsid w:val="000D4B6B"/>
    <w:rsid w:val="00107563"/>
    <w:rsid w:val="0011305C"/>
    <w:rsid w:val="00124D57"/>
    <w:rsid w:val="001463D6"/>
    <w:rsid w:val="001630E1"/>
    <w:rsid w:val="001768E6"/>
    <w:rsid w:val="00183B59"/>
    <w:rsid w:val="001843EA"/>
    <w:rsid w:val="00186491"/>
    <w:rsid w:val="001A566B"/>
    <w:rsid w:val="001B2605"/>
    <w:rsid w:val="001D3B33"/>
    <w:rsid w:val="001F2541"/>
    <w:rsid w:val="00202E19"/>
    <w:rsid w:val="00246690"/>
    <w:rsid w:val="00270FA5"/>
    <w:rsid w:val="00273634"/>
    <w:rsid w:val="00275B7B"/>
    <w:rsid w:val="00283C2A"/>
    <w:rsid w:val="00284D9C"/>
    <w:rsid w:val="002C0181"/>
    <w:rsid w:val="002D27AD"/>
    <w:rsid w:val="002E1A78"/>
    <w:rsid w:val="002F1338"/>
    <w:rsid w:val="002F4271"/>
    <w:rsid w:val="00304639"/>
    <w:rsid w:val="003056C2"/>
    <w:rsid w:val="003074CB"/>
    <w:rsid w:val="0031095B"/>
    <w:rsid w:val="00312424"/>
    <w:rsid w:val="003226FD"/>
    <w:rsid w:val="00337B89"/>
    <w:rsid w:val="003608BF"/>
    <w:rsid w:val="003623A4"/>
    <w:rsid w:val="0039670B"/>
    <w:rsid w:val="003A183E"/>
    <w:rsid w:val="003B26B1"/>
    <w:rsid w:val="003C2005"/>
    <w:rsid w:val="003C4CCE"/>
    <w:rsid w:val="003D1373"/>
    <w:rsid w:val="003E3F5F"/>
    <w:rsid w:val="003E62EF"/>
    <w:rsid w:val="003F616C"/>
    <w:rsid w:val="00401E4C"/>
    <w:rsid w:val="00416F01"/>
    <w:rsid w:val="00436CAB"/>
    <w:rsid w:val="0044775A"/>
    <w:rsid w:val="00480BA8"/>
    <w:rsid w:val="00484D8F"/>
    <w:rsid w:val="00487593"/>
    <w:rsid w:val="004A14AD"/>
    <w:rsid w:val="004B450F"/>
    <w:rsid w:val="004C56D1"/>
    <w:rsid w:val="004D6831"/>
    <w:rsid w:val="005036F2"/>
    <w:rsid w:val="005036F9"/>
    <w:rsid w:val="00507B8D"/>
    <w:rsid w:val="005116D5"/>
    <w:rsid w:val="00514F9C"/>
    <w:rsid w:val="005717C9"/>
    <w:rsid w:val="00580EDD"/>
    <w:rsid w:val="00584F35"/>
    <w:rsid w:val="005927C6"/>
    <w:rsid w:val="005A5FC7"/>
    <w:rsid w:val="005C0A50"/>
    <w:rsid w:val="005D03E2"/>
    <w:rsid w:val="005D22FB"/>
    <w:rsid w:val="005D6A5B"/>
    <w:rsid w:val="005F7B3F"/>
    <w:rsid w:val="006013C6"/>
    <w:rsid w:val="00612E33"/>
    <w:rsid w:val="00630BC6"/>
    <w:rsid w:val="00656C96"/>
    <w:rsid w:val="00662408"/>
    <w:rsid w:val="0066573A"/>
    <w:rsid w:val="00671426"/>
    <w:rsid w:val="006871BC"/>
    <w:rsid w:val="006B3837"/>
    <w:rsid w:val="006B3B72"/>
    <w:rsid w:val="006C1023"/>
    <w:rsid w:val="006C26B4"/>
    <w:rsid w:val="006C61C6"/>
    <w:rsid w:val="006D0EB5"/>
    <w:rsid w:val="00707074"/>
    <w:rsid w:val="0071728D"/>
    <w:rsid w:val="0072641B"/>
    <w:rsid w:val="007412D4"/>
    <w:rsid w:val="0074422D"/>
    <w:rsid w:val="00755DFC"/>
    <w:rsid w:val="0076372F"/>
    <w:rsid w:val="00764F16"/>
    <w:rsid w:val="00773872"/>
    <w:rsid w:val="00775DE7"/>
    <w:rsid w:val="00776B11"/>
    <w:rsid w:val="007854DC"/>
    <w:rsid w:val="007A4422"/>
    <w:rsid w:val="007B5C63"/>
    <w:rsid w:val="007B6699"/>
    <w:rsid w:val="007C122E"/>
    <w:rsid w:val="007D0F0E"/>
    <w:rsid w:val="007E2FB5"/>
    <w:rsid w:val="007E6051"/>
    <w:rsid w:val="007F2C41"/>
    <w:rsid w:val="00805E50"/>
    <w:rsid w:val="00812B5C"/>
    <w:rsid w:val="008136BF"/>
    <w:rsid w:val="00817BB0"/>
    <w:rsid w:val="00833880"/>
    <w:rsid w:val="00843564"/>
    <w:rsid w:val="0086187D"/>
    <w:rsid w:val="0086653F"/>
    <w:rsid w:val="00881536"/>
    <w:rsid w:val="008A011C"/>
    <w:rsid w:val="008A0ED3"/>
    <w:rsid w:val="008B0B23"/>
    <w:rsid w:val="008B7CF7"/>
    <w:rsid w:val="008D18D8"/>
    <w:rsid w:val="008D7696"/>
    <w:rsid w:val="008F3E2C"/>
    <w:rsid w:val="008F6D1F"/>
    <w:rsid w:val="00936D9F"/>
    <w:rsid w:val="00963594"/>
    <w:rsid w:val="00987907"/>
    <w:rsid w:val="0099479F"/>
    <w:rsid w:val="00994C05"/>
    <w:rsid w:val="00996B9A"/>
    <w:rsid w:val="009A4A4D"/>
    <w:rsid w:val="009B2F59"/>
    <w:rsid w:val="009C1120"/>
    <w:rsid w:val="009E6FC4"/>
    <w:rsid w:val="009F5B60"/>
    <w:rsid w:val="009F7273"/>
    <w:rsid w:val="00A277AC"/>
    <w:rsid w:val="00A375E6"/>
    <w:rsid w:val="00A405D9"/>
    <w:rsid w:val="00A531F3"/>
    <w:rsid w:val="00A84C30"/>
    <w:rsid w:val="00A868AD"/>
    <w:rsid w:val="00AA2535"/>
    <w:rsid w:val="00AA61DC"/>
    <w:rsid w:val="00AB12D2"/>
    <w:rsid w:val="00AB6576"/>
    <w:rsid w:val="00AC078B"/>
    <w:rsid w:val="00AC4D2C"/>
    <w:rsid w:val="00AE3057"/>
    <w:rsid w:val="00AF2155"/>
    <w:rsid w:val="00AF4CBA"/>
    <w:rsid w:val="00AF6210"/>
    <w:rsid w:val="00B20A9C"/>
    <w:rsid w:val="00B4774B"/>
    <w:rsid w:val="00B57536"/>
    <w:rsid w:val="00B723E3"/>
    <w:rsid w:val="00B82E68"/>
    <w:rsid w:val="00BA7196"/>
    <w:rsid w:val="00BB2EA0"/>
    <w:rsid w:val="00BC4404"/>
    <w:rsid w:val="00BC6380"/>
    <w:rsid w:val="00BF2049"/>
    <w:rsid w:val="00C05367"/>
    <w:rsid w:val="00C10CCC"/>
    <w:rsid w:val="00C37870"/>
    <w:rsid w:val="00C56F6C"/>
    <w:rsid w:val="00C72034"/>
    <w:rsid w:val="00C8425A"/>
    <w:rsid w:val="00C84358"/>
    <w:rsid w:val="00C95C5D"/>
    <w:rsid w:val="00C970B7"/>
    <w:rsid w:val="00CA0147"/>
    <w:rsid w:val="00CC2366"/>
    <w:rsid w:val="00CD2697"/>
    <w:rsid w:val="00CD4796"/>
    <w:rsid w:val="00CF0836"/>
    <w:rsid w:val="00CF5F73"/>
    <w:rsid w:val="00D045EF"/>
    <w:rsid w:val="00D07862"/>
    <w:rsid w:val="00D107CB"/>
    <w:rsid w:val="00D15561"/>
    <w:rsid w:val="00D24F3C"/>
    <w:rsid w:val="00D30915"/>
    <w:rsid w:val="00D3337D"/>
    <w:rsid w:val="00D52EA1"/>
    <w:rsid w:val="00D65EF2"/>
    <w:rsid w:val="00D86C20"/>
    <w:rsid w:val="00D9314E"/>
    <w:rsid w:val="00DA5698"/>
    <w:rsid w:val="00DC4EB5"/>
    <w:rsid w:val="00E07D94"/>
    <w:rsid w:val="00E12C84"/>
    <w:rsid w:val="00E14AB5"/>
    <w:rsid w:val="00E22BA0"/>
    <w:rsid w:val="00E36933"/>
    <w:rsid w:val="00E7789A"/>
    <w:rsid w:val="00E82995"/>
    <w:rsid w:val="00EA0076"/>
    <w:rsid w:val="00EB264A"/>
    <w:rsid w:val="00EC243C"/>
    <w:rsid w:val="00ED2701"/>
    <w:rsid w:val="00ED7DC7"/>
    <w:rsid w:val="00F00BC4"/>
    <w:rsid w:val="00F11D76"/>
    <w:rsid w:val="00F17395"/>
    <w:rsid w:val="00F25E02"/>
    <w:rsid w:val="00F5543C"/>
    <w:rsid w:val="00F566CB"/>
    <w:rsid w:val="00F71B58"/>
    <w:rsid w:val="00F750C7"/>
    <w:rsid w:val="00F830F3"/>
    <w:rsid w:val="00F91C20"/>
    <w:rsid w:val="00FB24C1"/>
    <w:rsid w:val="00FD6C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CA4A6C1"/>
  <w15:docId w15:val="{6A0F4A75-70CE-4232-87DA-F7E97D3DD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aliases w:val="Style 16,Style 19,Style 35,fr"/>
    <w:uiPriority w:val="99"/>
    <w:rPr>
      <w:vertAlign w:val="superscript"/>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Style 36,fn,ft"/>
    <w:basedOn w:val="Normal"/>
    <w:link w:val="FootnoteTextChar"/>
    <w:uiPriority w:val="99"/>
    <w:qFormat/>
    <w:rPr>
      <w:rFonts w:ascii="Times New Roman" w:hAnsi="Times New Roman"/>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link w:val="FootnoteText"/>
    <w:uiPriority w:val="99"/>
    <w:rPr>
      <w:sz w:val="24"/>
    </w:rPr>
  </w:style>
  <w:style w:type="paragraph" w:customStyle="1" w:styleId="Default">
    <w:name w:val="Default"/>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Arial" w:hAnsi="Arial"/>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ascii="Arial" w:hAnsi="Arial"/>
      <w:sz w:val="24"/>
      <w:szCs w:val="24"/>
    </w:rPr>
  </w:style>
  <w:style w:type="paragraph" w:styleId="PlainText">
    <w:name w:val="Plain Text"/>
    <w:basedOn w:val="Normal"/>
    <w:link w:val="PlainTextChar"/>
    <w:uiPriority w:val="99"/>
    <w:unhideWhenUsed/>
    <w:rPr>
      <w:rFonts w:ascii="Calibri" w:hAnsi="Calibri"/>
      <w:color w:val="1F497D"/>
      <w:sz w:val="22"/>
      <w:szCs w:val="21"/>
    </w:rPr>
  </w:style>
  <w:style w:type="character" w:customStyle="1" w:styleId="PlainTextChar">
    <w:name w:val="Plain Text Char"/>
    <w:link w:val="PlainText"/>
    <w:uiPriority w:val="99"/>
    <w:rPr>
      <w:rFonts w:ascii="Calibri" w:hAnsi="Calibri"/>
      <w:color w:val="1F497D"/>
      <w:sz w:val="22"/>
      <w:szCs w:val="21"/>
    </w:rPr>
  </w:style>
  <w:style w:type="paragraph" w:customStyle="1" w:styleId="CM3">
    <w:name w:val="CM3"/>
    <w:basedOn w:val="Default"/>
    <w:next w:val="Default"/>
    <w:uiPriority w:val="99"/>
    <w:pPr>
      <w:spacing w:line="268" w:lineRule="atLeast"/>
    </w:pPr>
    <w:rPr>
      <w:rFonts w:cs="Times New Roman"/>
      <w:color w:val="auto"/>
    </w:rPr>
  </w:style>
  <w:style w:type="paragraph" w:styleId="Title">
    <w:name w:val="Title"/>
    <w:basedOn w:val="Normal"/>
    <w:link w:val="TitleChar"/>
    <w:qFormat/>
    <w:pPr>
      <w:jc w:val="center"/>
    </w:pPr>
    <w:rPr>
      <w:rFonts w:ascii="Times New Roman" w:hAnsi="Times New Roman"/>
      <w:b/>
      <w:sz w:val="40"/>
      <w:szCs w:val="20"/>
    </w:rPr>
  </w:style>
  <w:style w:type="character" w:customStyle="1" w:styleId="TitleChar">
    <w:name w:val="Title Char"/>
    <w:link w:val="Title"/>
    <w:rPr>
      <w:b/>
      <w:sz w:val="40"/>
    </w:rPr>
  </w:style>
  <w:style w:type="paragraph" w:styleId="BalloonText">
    <w:name w:val="Balloon Text"/>
    <w:basedOn w:val="Normal"/>
    <w:link w:val="BalloonTextChar"/>
    <w:rsid w:val="00E7789A"/>
    <w:rPr>
      <w:rFonts w:ascii="Tahoma" w:hAnsi="Tahoma" w:cs="Tahoma"/>
      <w:sz w:val="16"/>
      <w:szCs w:val="16"/>
    </w:rPr>
  </w:style>
  <w:style w:type="character" w:customStyle="1" w:styleId="BalloonTextChar">
    <w:name w:val="Balloon Text Char"/>
    <w:link w:val="BalloonText"/>
    <w:rsid w:val="00E7789A"/>
    <w:rPr>
      <w:rFonts w:ascii="Tahoma" w:hAnsi="Tahoma" w:cs="Tahoma"/>
      <w:sz w:val="16"/>
      <w:szCs w:val="16"/>
    </w:rPr>
  </w:style>
  <w:style w:type="character" w:styleId="CommentReference">
    <w:name w:val="annotation reference"/>
    <w:rsid w:val="00671426"/>
    <w:rPr>
      <w:sz w:val="16"/>
      <w:szCs w:val="16"/>
    </w:rPr>
  </w:style>
  <w:style w:type="paragraph" w:styleId="CommentText">
    <w:name w:val="annotation text"/>
    <w:basedOn w:val="Normal"/>
    <w:link w:val="CommentTextChar"/>
    <w:rsid w:val="00671426"/>
    <w:rPr>
      <w:sz w:val="20"/>
      <w:szCs w:val="20"/>
    </w:rPr>
  </w:style>
  <w:style w:type="character" w:customStyle="1" w:styleId="CommentTextChar">
    <w:name w:val="Comment Text Char"/>
    <w:link w:val="CommentText"/>
    <w:rsid w:val="00671426"/>
    <w:rPr>
      <w:rFonts w:ascii="Arial" w:hAnsi="Arial"/>
    </w:rPr>
  </w:style>
  <w:style w:type="paragraph" w:styleId="CommentSubject">
    <w:name w:val="annotation subject"/>
    <w:basedOn w:val="CommentText"/>
    <w:next w:val="CommentText"/>
    <w:link w:val="CommentSubjectChar"/>
    <w:rsid w:val="00671426"/>
    <w:rPr>
      <w:b/>
      <w:bCs/>
    </w:rPr>
  </w:style>
  <w:style w:type="character" w:customStyle="1" w:styleId="CommentSubjectChar">
    <w:name w:val="Comment Subject Char"/>
    <w:link w:val="CommentSubject"/>
    <w:rsid w:val="00671426"/>
    <w:rPr>
      <w:rFonts w:ascii="Arial" w:hAnsi="Arial"/>
      <w:b/>
      <w:bCs/>
    </w:rPr>
  </w:style>
  <w:style w:type="character" w:styleId="Hyperlink">
    <w:name w:val="Hyperlink"/>
    <w:basedOn w:val="DefaultParagraphFont"/>
    <w:uiPriority w:val="99"/>
    <w:unhideWhenUsed/>
    <w:rsid w:val="00881536"/>
    <w:rPr>
      <w:color w:val="0000FF"/>
      <w:u w:val="single"/>
    </w:rPr>
  </w:style>
  <w:style w:type="paragraph" w:styleId="Revision">
    <w:name w:val="Revision"/>
    <w:hidden/>
    <w:uiPriority w:val="99"/>
    <w:semiHidden/>
    <w:rsid w:val="00273634"/>
    <w:rPr>
      <w:rFonts w:ascii="Arial" w:hAnsi="Arial"/>
      <w:sz w:val="24"/>
      <w:szCs w:val="24"/>
    </w:rPr>
  </w:style>
  <w:style w:type="character" w:styleId="FollowedHyperlink">
    <w:name w:val="FollowedHyperlink"/>
    <w:basedOn w:val="DefaultParagraphFont"/>
    <w:semiHidden/>
    <w:unhideWhenUsed/>
    <w:rsid w:val="00124D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gcc02.safelinks.protection.outlook.com/?url=https%3A%2F%2Fwww.bls.gov%2Foes%2F2023%2Fmay%2Fnaics3_523000.htm%2323-0000&amp;data=05%7C02%7CDPatel%40CFTC.gov%7C83ea47fac35c422a6baf08de5398e895%7Cff902a6348374fa7905b52887c7f3cff%7C0%7C0%7C639040113372675267%7CUnknown%7CTWFpbGZsb3d8eyJFbXB0eU1hcGkiOnRydWUsIlYiOiIwLjAuMDAwMCIsIlAiOiJXaW4zMiIsIkFOIjoiTWFpbCIsIldUIjoyfQ%3D%3D%7C0%7C%7C%7C&amp;sdata=x31sAZxJYsnKINMXJP3pS8j3LD5YzULmG01VWIJXNS8%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AE0034-5549-45AA-9D46-4038AF67AB5E}">
  <ds:schemaRefs>
    <ds:schemaRef ds:uri="http://schemas.microsoft.com/sharepoint/v3/contenttype/forms"/>
  </ds:schemaRefs>
</ds:datastoreItem>
</file>

<file path=customXml/itemProps2.xml><?xml version="1.0" encoding="utf-8"?>
<ds:datastoreItem xmlns:ds="http://schemas.openxmlformats.org/officeDocument/2006/customXml" ds:itemID="{2E88CC62-628A-40A5-BEB0-02E0291A9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97DEBE5-F452-4F48-8C8B-C7DF1290FA74}">
  <ds:schemaRefs>
    <ds:schemaRef ds:uri="http://schemas.openxmlformats.org/officeDocument/2006/bibliography"/>
  </ds:schemaRefs>
</ds:datastoreItem>
</file>

<file path=customXml/itemProps4.xml><?xml version="1.0" encoding="utf-8"?>
<ds:datastoreItem xmlns:ds="http://schemas.openxmlformats.org/officeDocument/2006/customXml" ds:itemID="{6C2B5729-05D2-49DC-B937-249F8F3185C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f902a63-4837-4fa7-905b-52887c7f3cff}" enabled="0" method="" siteId="{ff902a63-4837-4fa7-905b-52887c7f3cff}" removed="1"/>
</clbl:labelList>
</file>

<file path=docProps/app.xml><?xml version="1.0" encoding="utf-8"?>
<Properties xmlns="http://schemas.openxmlformats.org/officeDocument/2006/extended-properties" xmlns:vt="http://schemas.openxmlformats.org/officeDocument/2006/docPropsVTypes">
  <Template>Normal</Template>
  <TotalTime>61</TotalTime>
  <Pages>8</Pages>
  <Words>2713</Words>
  <Characters>15303</Characters>
  <Application>Microsoft Office Word</Application>
  <DocSecurity>0</DocSecurity>
  <Lines>218</Lines>
  <Paragraphs>42</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17974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CFTC Office of the General Counsel</cp:lastModifiedBy>
  <cp:revision>19</cp:revision>
  <cp:lastPrinted>2012-02-21T22:14:00Z</cp:lastPrinted>
  <dcterms:created xsi:type="dcterms:W3CDTF">2026-01-21T15:58:00Z</dcterms:created>
  <dcterms:modified xsi:type="dcterms:W3CDTF">2026-04-21T15:51:00Z</dcterms:modified>
</cp:coreProperties>
</file>