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2B8A" w:rsidRPr="00546CA1" w:rsidP="00546CA1" w14:paraId="7393E9A6" w14:textId="77777777">
      <w:pPr>
        <w:pStyle w:val="Heading1"/>
      </w:pPr>
    </w:p>
    <w:p w:rsidR="00E6326A" w:rsidRPr="00E61C6F" w:rsidP="00516D92" w14:paraId="0C777FE4" w14:textId="7AB69E26">
      <w:pPr>
        <w:pStyle w:val="Heading1"/>
        <w:rPr>
          <w:rFonts w:ascii="Arial" w:hAnsi="Arial" w:cs="Arial"/>
          <w:sz w:val="24"/>
          <w:szCs w:val="24"/>
        </w:rPr>
      </w:pPr>
      <w:r w:rsidRPr="00516D92">
        <w:rPr>
          <w:rFonts w:ascii="Arial" w:hAnsi="Arial" w:cs="Arial"/>
          <w:sz w:val="24"/>
          <w:szCs w:val="24"/>
        </w:rPr>
        <w:t xml:space="preserve">Staff Sergeant Parker </w:t>
      </w:r>
      <w:r w:rsidRPr="00E61C6F">
        <w:rPr>
          <w:rFonts w:ascii="Arial" w:hAnsi="Arial" w:cs="Arial"/>
          <w:sz w:val="24"/>
          <w:szCs w:val="24"/>
        </w:rPr>
        <w:t>Gordon Fox Suicide Prevention Grant Program</w:t>
      </w:r>
    </w:p>
    <w:p w:rsidR="00E61C6F" w:rsidRPr="00761F28" w:rsidP="00CC6C6C" w14:paraId="4ADE0ECA" w14:textId="07A92A71">
      <w:pPr>
        <w:spacing w:line="360" w:lineRule="auto"/>
        <w:jc w:val="center"/>
        <w:rPr>
          <w:rFonts w:ascii="Arial" w:hAnsi="Arial" w:cs="Arial"/>
          <w:b/>
          <w:bCs/>
        </w:rPr>
      </w:pPr>
      <w:r w:rsidRPr="00761F28">
        <w:rPr>
          <w:rFonts w:ascii="Arial" w:hAnsi="Arial" w:cs="Arial"/>
          <w:b/>
          <w:bCs/>
        </w:rPr>
        <w:t>[</w:t>
      </w:r>
      <w:r w:rsidRPr="00761F28" w:rsidR="00761F28">
        <w:rPr>
          <w:rFonts w:ascii="Arial" w:hAnsi="Arial" w:cs="Arial"/>
          <w:b/>
          <w:bCs/>
        </w:rPr>
        <w:t>SSG Fox SPGP</w:t>
      </w:r>
      <w:r w:rsidRPr="00761F28">
        <w:rPr>
          <w:rFonts w:ascii="Arial" w:hAnsi="Arial" w:cs="Arial"/>
          <w:b/>
          <w:bCs/>
        </w:rPr>
        <w:t>]</w:t>
      </w:r>
    </w:p>
    <w:p w:rsidR="003F14D4" w:rsidRPr="006A3E16" w:rsidP="00CC6C6C" w14:paraId="5F720799" w14:textId="3D6C3007">
      <w:pPr>
        <w:tabs>
          <w:tab w:val="left" w:pos="547"/>
          <w:tab w:val="left" w:pos="1080"/>
          <w:tab w:val="left" w:pos="1627"/>
          <w:tab w:val="left" w:pos="2160"/>
          <w:tab w:val="left" w:pos="2880"/>
        </w:tabs>
        <w:spacing w:line="360" w:lineRule="auto"/>
        <w:jc w:val="center"/>
        <w:rPr>
          <w:rFonts w:ascii="Arial" w:hAnsi="Arial" w:cs="Arial"/>
        </w:rPr>
      </w:pPr>
      <w:r w:rsidRPr="006A3E16">
        <w:rPr>
          <w:rFonts w:ascii="Arial" w:hAnsi="Arial" w:cs="Arial"/>
        </w:rPr>
        <w:t>VA Forms 10-315a-b, 10-316</w:t>
      </w:r>
      <w:r w:rsidR="00D87511">
        <w:rPr>
          <w:rFonts w:ascii="Arial" w:hAnsi="Arial" w:cs="Arial"/>
        </w:rPr>
        <w:t>b</w:t>
      </w:r>
      <w:r w:rsidRPr="006A3E16">
        <w:rPr>
          <w:rFonts w:ascii="Arial" w:hAnsi="Arial" w:cs="Arial"/>
        </w:rPr>
        <w:t>-</w:t>
      </w:r>
      <w:r w:rsidRPr="006A3E16" w:rsidR="00424F66">
        <w:rPr>
          <w:rFonts w:ascii="Arial" w:hAnsi="Arial" w:cs="Arial"/>
        </w:rPr>
        <w:t>e</w:t>
      </w:r>
      <w:r w:rsidRPr="006A3E16">
        <w:rPr>
          <w:rFonts w:ascii="Arial" w:hAnsi="Arial" w:cs="Arial"/>
        </w:rPr>
        <w:t>, 10-317a-</w:t>
      </w:r>
      <w:r w:rsidRPr="006A3E16" w:rsidR="00492192">
        <w:rPr>
          <w:rFonts w:ascii="Arial" w:hAnsi="Arial" w:cs="Arial"/>
        </w:rPr>
        <w:t>e</w:t>
      </w:r>
    </w:p>
    <w:p w:rsidR="00F71630" w:rsidRPr="006A3E16" w:rsidP="00CC6C6C" w14:paraId="349A5425" w14:textId="28D24AFB">
      <w:pPr>
        <w:tabs>
          <w:tab w:val="left" w:pos="547"/>
          <w:tab w:val="left" w:pos="1080"/>
          <w:tab w:val="left" w:pos="1627"/>
          <w:tab w:val="left" w:pos="2160"/>
          <w:tab w:val="left" w:pos="2880"/>
        </w:tabs>
        <w:spacing w:line="360" w:lineRule="auto"/>
        <w:jc w:val="center"/>
        <w:rPr>
          <w:rFonts w:ascii="Arial" w:hAnsi="Arial" w:cs="Arial"/>
          <w:b/>
          <w:bCs/>
        </w:rPr>
      </w:pPr>
      <w:r w:rsidRPr="006A3E16">
        <w:rPr>
          <w:rFonts w:ascii="Arial" w:hAnsi="Arial" w:cs="Arial"/>
          <w:b/>
          <w:bCs/>
        </w:rPr>
        <w:t>OMB</w:t>
      </w:r>
      <w:r w:rsidRPr="006A3E16" w:rsidR="007C23F0">
        <w:rPr>
          <w:rFonts w:ascii="Arial" w:hAnsi="Arial" w:cs="Arial"/>
          <w:b/>
          <w:bCs/>
        </w:rPr>
        <w:t xml:space="preserve"> </w:t>
      </w:r>
      <w:r w:rsidRPr="006A3E16" w:rsidR="001446A4">
        <w:rPr>
          <w:rFonts w:ascii="Arial" w:hAnsi="Arial" w:cs="Arial"/>
          <w:b/>
          <w:bCs/>
        </w:rPr>
        <w:t>C</w:t>
      </w:r>
      <w:r w:rsidRPr="006A3E16" w:rsidR="003F3753">
        <w:rPr>
          <w:rFonts w:ascii="Arial" w:hAnsi="Arial" w:cs="Arial"/>
          <w:b/>
          <w:bCs/>
        </w:rPr>
        <w:t>ontrol</w:t>
      </w:r>
      <w:r w:rsidRPr="006A3E16" w:rsidR="001446A4">
        <w:rPr>
          <w:rFonts w:ascii="Arial" w:hAnsi="Arial" w:cs="Arial"/>
          <w:b/>
          <w:bCs/>
        </w:rPr>
        <w:t xml:space="preserve"> N</w:t>
      </w:r>
      <w:r w:rsidRPr="006A3E16" w:rsidR="003F3753">
        <w:rPr>
          <w:rFonts w:ascii="Arial" w:hAnsi="Arial" w:cs="Arial"/>
          <w:b/>
          <w:bCs/>
        </w:rPr>
        <w:t>umber</w:t>
      </w:r>
      <w:r w:rsidRPr="006A3E16" w:rsidR="00E61C6F">
        <w:rPr>
          <w:rFonts w:ascii="Arial" w:hAnsi="Arial" w:cs="Arial"/>
          <w:b/>
          <w:bCs/>
        </w:rPr>
        <w:t xml:space="preserve">: </w:t>
      </w:r>
      <w:r w:rsidRPr="006A3E16" w:rsidR="007C23F0">
        <w:rPr>
          <w:rFonts w:ascii="Arial" w:hAnsi="Arial" w:cs="Arial"/>
          <w:b/>
          <w:bCs/>
        </w:rPr>
        <w:t xml:space="preserve"> 2900-</w:t>
      </w:r>
      <w:r w:rsidRPr="006A3E16" w:rsidR="005C3A44">
        <w:rPr>
          <w:rFonts w:ascii="Arial" w:hAnsi="Arial" w:cs="Arial"/>
          <w:b/>
          <w:bCs/>
        </w:rPr>
        <w:t>0904</w:t>
      </w:r>
    </w:p>
    <w:p w:rsidR="004346C5" w:rsidRPr="00C63147" w:rsidP="004346C5" w14:paraId="610D2AE0" w14:textId="77777777">
      <w:pPr>
        <w:tabs>
          <w:tab w:val="left" w:pos="547"/>
          <w:tab w:val="left" w:pos="1080"/>
          <w:tab w:val="left" w:pos="1627"/>
          <w:tab w:val="left" w:pos="2160"/>
          <w:tab w:val="left" w:pos="2880"/>
        </w:tabs>
        <w:rPr>
          <w:rFonts w:ascii="Arial" w:hAnsi="Arial" w:cs="Arial"/>
          <w:b/>
          <w:bCs/>
        </w:rPr>
      </w:pPr>
    </w:p>
    <w:p w:rsidR="00C63147" w:rsidRPr="00C63147" w:rsidP="00C63147" w14:paraId="3CA4C4AC" w14:textId="77777777">
      <w:pPr>
        <w:tabs>
          <w:tab w:val="left" w:pos="547"/>
          <w:tab w:val="left" w:pos="1080"/>
          <w:tab w:val="left" w:pos="1627"/>
          <w:tab w:val="left" w:pos="2160"/>
          <w:tab w:val="left" w:pos="2880"/>
        </w:tabs>
        <w:rPr>
          <w:rFonts w:ascii="Arial" w:hAnsi="Arial" w:cs="Arial"/>
        </w:rPr>
      </w:pPr>
      <w:r w:rsidRPr="00C63147">
        <w:rPr>
          <w:rFonts w:ascii="Arial" w:hAnsi="Arial" w:cs="Arial"/>
          <w:b/>
          <w:bCs/>
        </w:rPr>
        <w:t xml:space="preserve">Summary: </w:t>
      </w:r>
    </w:p>
    <w:p w:rsidR="00C63147" w:rsidP="00C63147" w14:paraId="1819D84C" w14:textId="1C411391">
      <w:pPr>
        <w:numPr>
          <w:ilvl w:val="0"/>
          <w:numId w:val="12"/>
        </w:numPr>
        <w:tabs>
          <w:tab w:val="left" w:pos="547"/>
          <w:tab w:val="left" w:pos="1080"/>
          <w:tab w:val="left" w:pos="1627"/>
          <w:tab w:val="left" w:pos="2160"/>
          <w:tab w:val="left" w:pos="2880"/>
        </w:tabs>
        <w:spacing w:after="200" w:line="276" w:lineRule="auto"/>
        <w:contextualSpacing/>
        <w:rPr>
          <w:rFonts w:ascii="Arial" w:eastAsia="Calibri" w:hAnsi="Arial" w:cs="Arial"/>
        </w:rPr>
      </w:pPr>
      <w:r w:rsidRPr="007405B0">
        <w:rPr>
          <w:rFonts w:ascii="Arial" w:eastAsia="Calibri" w:hAnsi="Arial" w:cs="Arial"/>
        </w:rPr>
        <w:t>There ar</w:t>
      </w:r>
      <w:r w:rsidR="002A0EB9">
        <w:rPr>
          <w:rFonts w:ascii="Arial" w:eastAsia="Calibri" w:hAnsi="Arial" w:cs="Arial"/>
        </w:rPr>
        <w:t>e increases in</w:t>
      </w:r>
      <w:r w:rsidRPr="007405B0">
        <w:rPr>
          <w:rFonts w:ascii="Arial" w:eastAsia="Calibri" w:hAnsi="Arial" w:cs="Arial"/>
        </w:rPr>
        <w:t xml:space="preserve"> the anticipated</w:t>
      </w:r>
      <w:r w:rsidR="00102B1C">
        <w:rPr>
          <w:rFonts w:ascii="Arial" w:eastAsia="Calibri" w:hAnsi="Arial" w:cs="Arial"/>
        </w:rPr>
        <w:t xml:space="preserve"> </w:t>
      </w:r>
      <w:r w:rsidRPr="007405B0">
        <w:rPr>
          <w:rFonts w:ascii="Arial" w:eastAsia="Calibri" w:hAnsi="Arial" w:cs="Arial"/>
        </w:rPr>
        <w:t>responses and burden hour</w:t>
      </w:r>
      <w:r w:rsidR="00102B1C">
        <w:rPr>
          <w:rFonts w:ascii="Arial" w:eastAsia="Calibri" w:hAnsi="Arial" w:cs="Arial"/>
        </w:rPr>
        <w:t>s</w:t>
      </w:r>
      <w:r w:rsidR="002A0EB9">
        <w:rPr>
          <w:rFonts w:ascii="Arial" w:eastAsia="Calibri" w:hAnsi="Arial" w:cs="Arial"/>
        </w:rPr>
        <w:t xml:space="preserve"> based upon program data since the last PRA clearance. </w:t>
      </w:r>
    </w:p>
    <w:p w:rsidR="00D87511" w:rsidP="00C63147" w14:paraId="66E4B3D6" w14:textId="44A06B37">
      <w:pPr>
        <w:numPr>
          <w:ilvl w:val="0"/>
          <w:numId w:val="12"/>
        </w:numPr>
        <w:tabs>
          <w:tab w:val="left" w:pos="547"/>
          <w:tab w:val="left" w:pos="1080"/>
          <w:tab w:val="left" w:pos="1627"/>
          <w:tab w:val="left" w:pos="2160"/>
          <w:tab w:val="left" w:pos="2880"/>
        </w:tabs>
        <w:spacing w:after="200" w:line="276" w:lineRule="auto"/>
        <w:contextualSpacing/>
        <w:rPr>
          <w:rFonts w:ascii="Arial" w:eastAsia="Calibri" w:hAnsi="Arial" w:cs="Arial"/>
        </w:rPr>
      </w:pPr>
      <w:r>
        <w:rPr>
          <w:rFonts w:ascii="Arial" w:eastAsia="Calibri" w:hAnsi="Arial" w:cs="Arial"/>
        </w:rPr>
        <w:t xml:space="preserve">The program </w:t>
      </w:r>
      <w:r w:rsidR="00273E35">
        <w:rPr>
          <w:rFonts w:ascii="Arial" w:eastAsia="Calibri" w:hAnsi="Arial" w:cs="Arial"/>
        </w:rPr>
        <w:t xml:space="preserve">now requires only </w:t>
      </w:r>
      <w:r w:rsidR="00EF41F5">
        <w:rPr>
          <w:rFonts w:ascii="Arial" w:eastAsia="Calibri" w:hAnsi="Arial" w:cs="Arial"/>
        </w:rPr>
        <w:t>one</w:t>
      </w:r>
      <w:r w:rsidR="00273E35">
        <w:rPr>
          <w:rFonts w:ascii="Arial" w:eastAsia="Calibri" w:hAnsi="Arial" w:cs="Arial"/>
        </w:rPr>
        <w:t xml:space="preserve"> </w:t>
      </w:r>
      <w:r w:rsidR="00F415F9">
        <w:rPr>
          <w:rFonts w:ascii="Arial" w:eastAsia="Calibri" w:hAnsi="Arial" w:cs="Arial"/>
        </w:rPr>
        <w:t xml:space="preserve">version of the </w:t>
      </w:r>
      <w:r w:rsidR="001A7B50">
        <w:rPr>
          <w:rFonts w:ascii="Arial" w:eastAsia="Calibri" w:hAnsi="Arial" w:cs="Arial"/>
        </w:rPr>
        <w:t xml:space="preserve">performance report </w:t>
      </w:r>
      <w:r w:rsidR="00EF41F5">
        <w:rPr>
          <w:rFonts w:ascii="Arial" w:eastAsia="Calibri" w:hAnsi="Arial" w:cs="Arial"/>
        </w:rPr>
        <w:t xml:space="preserve">form (10-316b) </w:t>
      </w:r>
      <w:r w:rsidR="001A7B50">
        <w:rPr>
          <w:rFonts w:ascii="Arial" w:eastAsia="Calibri" w:hAnsi="Arial" w:cs="Arial"/>
        </w:rPr>
        <w:t>t</w:t>
      </w:r>
      <w:r w:rsidR="00562A01">
        <w:rPr>
          <w:rFonts w:ascii="Arial" w:eastAsia="Calibri" w:hAnsi="Arial" w:cs="Arial"/>
        </w:rPr>
        <w:t>o be</w:t>
      </w:r>
      <w:r w:rsidR="001A7B50">
        <w:rPr>
          <w:rFonts w:ascii="Arial" w:eastAsia="Calibri" w:hAnsi="Arial" w:cs="Arial"/>
        </w:rPr>
        <w:t xml:space="preserve"> submitted </w:t>
      </w:r>
      <w:r w:rsidR="00247BCF">
        <w:rPr>
          <w:rFonts w:ascii="Arial" w:eastAsia="Calibri" w:hAnsi="Arial" w:cs="Arial"/>
        </w:rPr>
        <w:t>twice annually – at mid-year and end</w:t>
      </w:r>
      <w:r w:rsidR="007F7295">
        <w:rPr>
          <w:rFonts w:ascii="Arial" w:eastAsia="Calibri" w:hAnsi="Arial" w:cs="Arial"/>
        </w:rPr>
        <w:t>-</w:t>
      </w:r>
      <w:r w:rsidR="00247BCF">
        <w:rPr>
          <w:rFonts w:ascii="Arial" w:eastAsia="Calibri" w:hAnsi="Arial" w:cs="Arial"/>
        </w:rPr>
        <w:t>of</w:t>
      </w:r>
      <w:r w:rsidR="007F7295">
        <w:rPr>
          <w:rFonts w:ascii="Arial" w:eastAsia="Calibri" w:hAnsi="Arial" w:cs="Arial"/>
        </w:rPr>
        <w:t>-</w:t>
      </w:r>
      <w:r w:rsidR="00247BCF">
        <w:rPr>
          <w:rFonts w:ascii="Arial" w:eastAsia="Calibri" w:hAnsi="Arial" w:cs="Arial"/>
        </w:rPr>
        <w:t>year</w:t>
      </w:r>
      <w:r w:rsidR="00EF41F5">
        <w:rPr>
          <w:rFonts w:ascii="Arial" w:eastAsia="Calibri" w:hAnsi="Arial" w:cs="Arial"/>
        </w:rPr>
        <w:t xml:space="preserve">; </w:t>
      </w:r>
      <w:r w:rsidR="00F9533B">
        <w:rPr>
          <w:rFonts w:ascii="Arial" w:eastAsia="Calibri" w:hAnsi="Arial" w:cs="Arial"/>
        </w:rPr>
        <w:t xml:space="preserve">the 10-316a form is no longer needed and has been removed. </w:t>
      </w:r>
    </w:p>
    <w:p w:rsidR="00A821C5" w:rsidP="00C63147" w14:paraId="722E64A1" w14:textId="7B390CCB">
      <w:pPr>
        <w:numPr>
          <w:ilvl w:val="0"/>
          <w:numId w:val="12"/>
        </w:numPr>
        <w:tabs>
          <w:tab w:val="left" w:pos="547"/>
          <w:tab w:val="left" w:pos="1080"/>
          <w:tab w:val="left" w:pos="1627"/>
          <w:tab w:val="left" w:pos="2160"/>
          <w:tab w:val="left" w:pos="2880"/>
        </w:tabs>
        <w:spacing w:after="200" w:line="276" w:lineRule="auto"/>
        <w:contextualSpacing/>
        <w:rPr>
          <w:rFonts w:ascii="Arial" w:eastAsia="Calibri" w:hAnsi="Arial" w:cs="Arial"/>
        </w:rPr>
      </w:pPr>
      <w:r>
        <w:rPr>
          <w:rFonts w:ascii="Arial" w:eastAsia="Calibri" w:hAnsi="Arial" w:cs="Arial"/>
        </w:rPr>
        <w:t>The program</w:t>
      </w:r>
      <w:r w:rsidR="00DE3125">
        <w:rPr>
          <w:rFonts w:ascii="Arial" w:eastAsia="Calibri" w:hAnsi="Arial" w:cs="Arial"/>
        </w:rPr>
        <w:t xml:space="preserve"> now</w:t>
      </w:r>
      <w:r>
        <w:rPr>
          <w:rFonts w:ascii="Arial" w:eastAsia="Calibri" w:hAnsi="Arial" w:cs="Arial"/>
        </w:rPr>
        <w:t xml:space="preserve"> requires </w:t>
      </w:r>
      <w:r w:rsidR="00DE3125">
        <w:rPr>
          <w:rFonts w:ascii="Arial" w:eastAsia="Calibri" w:hAnsi="Arial" w:cs="Arial"/>
        </w:rPr>
        <w:t xml:space="preserve">only </w:t>
      </w:r>
      <w:r>
        <w:rPr>
          <w:rFonts w:ascii="Arial" w:eastAsia="Calibri" w:hAnsi="Arial" w:cs="Arial"/>
        </w:rPr>
        <w:t>one annual financial report; th</w:t>
      </w:r>
      <w:r w:rsidR="00F415F9">
        <w:rPr>
          <w:rFonts w:ascii="Arial" w:eastAsia="Calibri" w:hAnsi="Arial" w:cs="Arial"/>
        </w:rPr>
        <w:t xml:space="preserve">e </w:t>
      </w:r>
      <w:r>
        <w:rPr>
          <w:rFonts w:ascii="Arial" w:eastAsia="Calibri" w:hAnsi="Arial" w:cs="Arial"/>
        </w:rPr>
        <w:t xml:space="preserve">10-316f </w:t>
      </w:r>
      <w:r w:rsidR="00F415F9">
        <w:rPr>
          <w:rFonts w:ascii="Arial" w:eastAsia="Calibri" w:hAnsi="Arial" w:cs="Arial"/>
        </w:rPr>
        <w:t xml:space="preserve">form </w:t>
      </w:r>
      <w:r>
        <w:rPr>
          <w:rFonts w:ascii="Arial" w:eastAsia="Calibri" w:hAnsi="Arial" w:cs="Arial"/>
        </w:rPr>
        <w:t xml:space="preserve">is no longer needed and has been removed. </w:t>
      </w:r>
    </w:p>
    <w:p w:rsidR="00DE3125" w:rsidRPr="007405B0" w:rsidP="00C63147" w14:paraId="4905B778" w14:textId="7BE1AE23">
      <w:pPr>
        <w:numPr>
          <w:ilvl w:val="0"/>
          <w:numId w:val="12"/>
        </w:numPr>
        <w:tabs>
          <w:tab w:val="left" w:pos="547"/>
          <w:tab w:val="left" w:pos="1080"/>
          <w:tab w:val="left" w:pos="1627"/>
          <w:tab w:val="left" w:pos="2160"/>
          <w:tab w:val="left" w:pos="2880"/>
        </w:tabs>
        <w:spacing w:after="200" w:line="276" w:lineRule="auto"/>
        <w:contextualSpacing/>
        <w:rPr>
          <w:rFonts w:ascii="Arial" w:eastAsia="Calibri" w:hAnsi="Arial" w:cs="Arial"/>
        </w:rPr>
      </w:pPr>
      <w:r>
        <w:rPr>
          <w:rFonts w:ascii="Arial" w:eastAsia="Calibri" w:hAnsi="Arial" w:cs="Arial"/>
        </w:rPr>
        <w:t xml:space="preserve">VA Form 10-317b has been split into two forms, and a 10-317e form has been added. </w:t>
      </w:r>
    </w:p>
    <w:p w:rsidR="00AC6900" w:rsidRPr="00AC6900" w:rsidP="00AC6900" w14:paraId="2FF813A0" w14:textId="48F6F820">
      <w:pPr>
        <w:numPr>
          <w:ilvl w:val="0"/>
          <w:numId w:val="12"/>
        </w:numPr>
        <w:tabs>
          <w:tab w:val="left" w:pos="547"/>
          <w:tab w:val="left" w:pos="1080"/>
          <w:tab w:val="left" w:pos="1627"/>
          <w:tab w:val="left" w:pos="2160"/>
          <w:tab w:val="left" w:pos="2880"/>
        </w:tabs>
        <w:spacing w:after="200" w:line="276" w:lineRule="auto"/>
        <w:contextualSpacing/>
        <w:rPr>
          <w:rFonts w:ascii="Arial" w:eastAsia="Calibri" w:hAnsi="Arial" w:cs="Arial"/>
        </w:rPr>
      </w:pPr>
      <w:r w:rsidRPr="007405B0">
        <w:rPr>
          <w:rFonts w:ascii="Arial" w:eastAsia="Calibri" w:hAnsi="Arial" w:cs="Arial"/>
        </w:rPr>
        <w:t xml:space="preserve">The </w:t>
      </w:r>
      <w:r w:rsidR="00A821C5">
        <w:rPr>
          <w:rFonts w:ascii="Arial" w:eastAsia="Calibri" w:hAnsi="Arial" w:cs="Arial"/>
        </w:rPr>
        <w:t xml:space="preserve">other </w:t>
      </w:r>
      <w:r w:rsidRPr="007405B0">
        <w:rPr>
          <w:rFonts w:ascii="Arial" w:eastAsia="Calibri" w:hAnsi="Arial" w:cs="Arial"/>
        </w:rPr>
        <w:t xml:space="preserve">forms have </w:t>
      </w:r>
      <w:r w:rsidR="00450CC7">
        <w:rPr>
          <w:rFonts w:ascii="Arial" w:eastAsia="Calibri" w:hAnsi="Arial" w:cs="Arial"/>
        </w:rPr>
        <w:t>been minimally</w:t>
      </w:r>
      <w:r w:rsidRPr="007405B0">
        <w:rPr>
          <w:rFonts w:ascii="Arial" w:eastAsia="Calibri" w:hAnsi="Arial" w:cs="Arial"/>
        </w:rPr>
        <w:t xml:space="preserve"> updated to clarify instructions and program requirements</w:t>
      </w:r>
      <w:r w:rsidR="002A0EB9">
        <w:rPr>
          <w:rFonts w:ascii="Arial" w:eastAsia="Calibri" w:hAnsi="Arial" w:cs="Arial"/>
        </w:rPr>
        <w:t xml:space="preserve">, </w:t>
      </w:r>
      <w:r w:rsidR="00A66BA7">
        <w:rPr>
          <w:rFonts w:ascii="Arial" w:eastAsia="Calibri" w:hAnsi="Arial" w:cs="Arial"/>
        </w:rPr>
        <w:t xml:space="preserve">in addition to </w:t>
      </w:r>
      <w:r w:rsidR="002A0EB9">
        <w:rPr>
          <w:rFonts w:ascii="Arial" w:eastAsia="Calibri" w:hAnsi="Arial" w:cs="Arial"/>
        </w:rPr>
        <w:t>revis</w:t>
      </w:r>
      <w:r w:rsidR="00A66BA7">
        <w:rPr>
          <w:rFonts w:ascii="Arial" w:eastAsia="Calibri" w:hAnsi="Arial" w:cs="Arial"/>
        </w:rPr>
        <w:t>ing</w:t>
      </w:r>
      <w:r w:rsidR="002A0EB9">
        <w:rPr>
          <w:rFonts w:ascii="Arial" w:eastAsia="Calibri" w:hAnsi="Arial" w:cs="Arial"/>
        </w:rPr>
        <w:t xml:space="preserve"> </w:t>
      </w:r>
      <w:r w:rsidR="00976DCE">
        <w:rPr>
          <w:rFonts w:ascii="Arial" w:eastAsia="Calibri" w:hAnsi="Arial" w:cs="Arial"/>
        </w:rPr>
        <w:t xml:space="preserve">the </w:t>
      </w:r>
      <w:r w:rsidR="002A0EB9">
        <w:rPr>
          <w:rFonts w:ascii="Arial" w:eastAsia="Calibri" w:hAnsi="Arial" w:cs="Arial"/>
        </w:rPr>
        <w:t>PRA language</w:t>
      </w:r>
      <w:r w:rsidRPr="007405B0">
        <w:rPr>
          <w:rFonts w:ascii="Arial" w:eastAsia="Calibri" w:hAnsi="Arial" w:cs="Arial"/>
        </w:rPr>
        <w:t xml:space="preserve">.  </w:t>
      </w:r>
    </w:p>
    <w:p w:rsidR="00C63147" w:rsidRPr="007405B0" w:rsidP="00C63147" w14:paraId="33164176" w14:textId="7C0A3AAE">
      <w:pPr>
        <w:numPr>
          <w:ilvl w:val="0"/>
          <w:numId w:val="12"/>
        </w:numPr>
        <w:tabs>
          <w:tab w:val="left" w:pos="547"/>
          <w:tab w:val="left" w:pos="1080"/>
          <w:tab w:val="left" w:pos="1627"/>
          <w:tab w:val="left" w:pos="2160"/>
          <w:tab w:val="left" w:pos="2880"/>
        </w:tabs>
        <w:spacing w:after="200" w:line="276" w:lineRule="auto"/>
        <w:contextualSpacing/>
        <w:rPr>
          <w:rFonts w:ascii="Arial" w:eastAsia="Calibri" w:hAnsi="Arial" w:cs="Arial"/>
        </w:rPr>
      </w:pPr>
      <w:r w:rsidRPr="007405B0">
        <w:rPr>
          <w:rFonts w:ascii="Arial" w:eastAsia="Calibri" w:hAnsi="Arial" w:cs="Arial"/>
        </w:rPr>
        <w:t xml:space="preserve">VA </w:t>
      </w:r>
      <w:r w:rsidR="000908A1">
        <w:rPr>
          <w:rFonts w:ascii="Arial" w:eastAsia="Calibri" w:hAnsi="Arial" w:cs="Arial"/>
        </w:rPr>
        <w:t xml:space="preserve">did not </w:t>
      </w:r>
      <w:r w:rsidRPr="007405B0">
        <w:rPr>
          <w:rFonts w:ascii="Arial" w:eastAsia="Calibri" w:hAnsi="Arial" w:cs="Arial"/>
        </w:rPr>
        <w:t>receive</w:t>
      </w:r>
      <w:r w:rsidR="000908A1">
        <w:rPr>
          <w:rFonts w:ascii="Arial" w:eastAsia="Calibri" w:hAnsi="Arial" w:cs="Arial"/>
        </w:rPr>
        <w:t xml:space="preserve"> </w:t>
      </w:r>
      <w:r w:rsidRPr="007405B0">
        <w:rPr>
          <w:rFonts w:ascii="Arial" w:eastAsia="Calibri" w:hAnsi="Arial" w:cs="Arial"/>
        </w:rPr>
        <w:t>comments on the 60-day FRN</w:t>
      </w:r>
      <w:r w:rsidR="00C3792A">
        <w:rPr>
          <w:rFonts w:ascii="Arial" w:eastAsia="Calibri" w:hAnsi="Arial" w:cs="Arial"/>
        </w:rPr>
        <w:t xml:space="preserve">. </w:t>
      </w:r>
    </w:p>
    <w:p w:rsidR="004346C5" w:rsidRPr="00C63147" w:rsidP="004346C5" w14:paraId="22BB4B2B" w14:textId="77777777">
      <w:pPr>
        <w:tabs>
          <w:tab w:val="left" w:pos="547"/>
          <w:tab w:val="left" w:pos="1080"/>
          <w:tab w:val="left" w:pos="1627"/>
          <w:tab w:val="left" w:pos="2160"/>
          <w:tab w:val="left" w:pos="2880"/>
        </w:tabs>
        <w:rPr>
          <w:rFonts w:ascii="Arial" w:hAnsi="Arial" w:cs="Arial"/>
          <w:b/>
          <w:bCs/>
        </w:rPr>
      </w:pPr>
    </w:p>
    <w:p w:rsidR="00536A11" w:rsidRPr="00AD106D" w:rsidP="007C23F0" w14:paraId="14C08329" w14:textId="77777777">
      <w:pPr>
        <w:tabs>
          <w:tab w:val="left" w:pos="547"/>
          <w:tab w:val="left" w:pos="1080"/>
          <w:tab w:val="left" w:pos="1627"/>
          <w:tab w:val="left" w:pos="2160"/>
          <w:tab w:val="left" w:pos="2880"/>
        </w:tabs>
        <w:jc w:val="center"/>
        <w:rPr>
          <w:rFonts w:ascii="Arial" w:hAnsi="Arial" w:cs="Arial"/>
        </w:rPr>
      </w:pPr>
    </w:p>
    <w:p w:rsidR="00536A11" w:rsidRPr="00AD106D" w14:paraId="38746C60"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Cs w:val="24"/>
        </w:rPr>
      </w:pPr>
      <w:r w:rsidRPr="00AD106D">
        <w:rPr>
          <w:rFonts w:ascii="Arial" w:hAnsi="Arial" w:cs="Arial"/>
          <w:szCs w:val="24"/>
        </w:rPr>
        <w:t>A.</w:t>
      </w:r>
      <w:r w:rsidRPr="00AD106D">
        <w:rPr>
          <w:rFonts w:ascii="Arial" w:hAnsi="Arial" w:cs="Arial"/>
          <w:szCs w:val="24"/>
        </w:rPr>
        <w:tab/>
        <w:t xml:space="preserve">JUSTIFICATION </w:t>
      </w:r>
    </w:p>
    <w:p w:rsidR="00536A11" w:rsidRPr="00AD106D" w14:paraId="656E665B" w14:textId="77777777">
      <w:pPr>
        <w:tabs>
          <w:tab w:val="left" w:pos="547"/>
          <w:tab w:val="left" w:pos="1080"/>
          <w:tab w:val="left" w:pos="1627"/>
          <w:tab w:val="left" w:pos="2160"/>
          <w:tab w:val="left" w:pos="2880"/>
        </w:tabs>
        <w:rPr>
          <w:rFonts w:ascii="Arial" w:hAnsi="Arial" w:cs="Arial"/>
        </w:rPr>
      </w:pPr>
    </w:p>
    <w:p w:rsidR="00536A11" w:rsidRPr="00AD106D" w14:paraId="575995D6"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1.</w:t>
      </w:r>
      <w:r w:rsidRPr="00AD106D">
        <w:rPr>
          <w:rFonts w:ascii="Arial" w:hAnsi="Arial" w:cs="Arial"/>
          <w:b/>
        </w:rPr>
        <w:tab/>
      </w:r>
      <w:r w:rsidRPr="00AD106D">
        <w:rPr>
          <w:rFonts w:ascii="Arial" w:hAnsi="Arial" w:cs="Arial"/>
          <w:b/>
          <w:color w:val="000000"/>
        </w:rPr>
        <w:t>Explain the circumstances that make the collection of information necessary.  Identify legal or administrative requirements that necessitate</w:t>
      </w:r>
      <w:r w:rsidRPr="00AD106D">
        <w:rPr>
          <w:rFonts w:ascii="Arial" w:hAnsi="Arial" w:cs="Arial"/>
          <w:b/>
        </w:rPr>
        <w:t xml:space="preserve"> the collection of information.</w:t>
      </w:r>
    </w:p>
    <w:p w:rsidR="00DD4F92" w:rsidRPr="00AD106D" w14:paraId="22D61859" w14:textId="77777777">
      <w:pPr>
        <w:tabs>
          <w:tab w:val="left" w:pos="547"/>
          <w:tab w:val="left" w:pos="1080"/>
          <w:tab w:val="left" w:pos="1627"/>
          <w:tab w:val="left" w:pos="2160"/>
          <w:tab w:val="left" w:pos="2880"/>
        </w:tabs>
        <w:rPr>
          <w:rFonts w:ascii="Arial" w:hAnsi="Arial" w:cs="Arial"/>
          <w:b/>
        </w:rPr>
      </w:pPr>
    </w:p>
    <w:p w:rsidR="00D708AF" w14:paraId="51825D46" w14:textId="5007AAE3">
      <w:pPr>
        <w:tabs>
          <w:tab w:val="left" w:pos="547"/>
          <w:tab w:val="left" w:pos="1080"/>
          <w:tab w:val="left" w:pos="1627"/>
          <w:tab w:val="left" w:pos="2160"/>
          <w:tab w:val="left" w:pos="2880"/>
        </w:tabs>
        <w:rPr>
          <w:rFonts w:ascii="Arial" w:hAnsi="Arial" w:cs="Arial"/>
        </w:rPr>
      </w:pPr>
      <w:r w:rsidRPr="35CB2D15">
        <w:rPr>
          <w:rFonts w:ascii="Arial" w:hAnsi="Arial" w:cs="Arial"/>
        </w:rPr>
        <w:t xml:space="preserve">On </w:t>
      </w:r>
      <w:r w:rsidRPr="35CB2D15" w:rsidR="003F14D4">
        <w:rPr>
          <w:rFonts w:ascii="Arial" w:hAnsi="Arial" w:cs="Arial"/>
        </w:rPr>
        <w:t>October 17, 202</w:t>
      </w:r>
      <w:r w:rsidRPr="35CB2D15" w:rsidR="00D15369">
        <w:rPr>
          <w:rFonts w:ascii="Arial" w:hAnsi="Arial" w:cs="Arial"/>
        </w:rPr>
        <w:t>0</w:t>
      </w:r>
      <w:r w:rsidRPr="35CB2D15">
        <w:rPr>
          <w:rFonts w:ascii="Arial" w:hAnsi="Arial" w:cs="Arial"/>
        </w:rPr>
        <w:t xml:space="preserve">, </w:t>
      </w:r>
      <w:r w:rsidRPr="35CB2D15" w:rsidR="003F14D4">
        <w:rPr>
          <w:rFonts w:ascii="Arial" w:hAnsi="Arial" w:cs="Arial"/>
        </w:rPr>
        <w:t>t</w:t>
      </w:r>
      <w:r w:rsidRPr="35CB2D15">
        <w:rPr>
          <w:rFonts w:ascii="Arial" w:hAnsi="Arial" w:cs="Arial"/>
        </w:rPr>
        <w:t xml:space="preserve">he </w:t>
      </w:r>
      <w:r w:rsidRPr="35CB2D15" w:rsidR="003F14D4">
        <w:rPr>
          <w:rFonts w:ascii="Arial" w:hAnsi="Arial" w:cs="Arial"/>
        </w:rPr>
        <w:t>Commander John Scott Hannon Veterans Mental Health Care Improvement Act of 2019, Public Law (</w:t>
      </w:r>
      <w:r w:rsidRPr="35CB2D15" w:rsidR="00100EF3">
        <w:rPr>
          <w:rFonts w:ascii="Arial" w:hAnsi="Arial" w:cs="Arial"/>
        </w:rPr>
        <w:t>P</w:t>
      </w:r>
      <w:r w:rsidRPr="35CB2D15" w:rsidR="003F14D4">
        <w:rPr>
          <w:rFonts w:ascii="Arial" w:hAnsi="Arial" w:cs="Arial"/>
        </w:rPr>
        <w:t xml:space="preserve">.L.) 116-171 (the Act), codified as a note to section 1720F of </w:t>
      </w:r>
      <w:r w:rsidR="00C8382B">
        <w:rPr>
          <w:rFonts w:ascii="Arial" w:hAnsi="Arial" w:cs="Arial"/>
        </w:rPr>
        <w:t>T</w:t>
      </w:r>
      <w:r w:rsidRPr="35CB2D15" w:rsidR="003F14D4">
        <w:rPr>
          <w:rFonts w:ascii="Arial" w:hAnsi="Arial" w:cs="Arial"/>
        </w:rPr>
        <w:t>itle 38</w:t>
      </w:r>
      <w:r w:rsidR="00C8382B">
        <w:rPr>
          <w:rFonts w:ascii="Arial" w:hAnsi="Arial" w:cs="Arial"/>
        </w:rPr>
        <w:t xml:space="preserve"> </w:t>
      </w:r>
      <w:r w:rsidRPr="35CB2D15" w:rsidR="003F14D4">
        <w:rPr>
          <w:rFonts w:ascii="Arial" w:hAnsi="Arial" w:cs="Arial"/>
        </w:rPr>
        <w:t>United States Code (U.S.C.), was enacted in law</w:t>
      </w:r>
      <w:r w:rsidRPr="35CB2D15">
        <w:rPr>
          <w:rFonts w:ascii="Arial" w:hAnsi="Arial" w:cs="Arial"/>
        </w:rPr>
        <w:t xml:space="preserve">. </w:t>
      </w:r>
      <w:r w:rsidRPr="35CB2D15" w:rsidR="003F14D4">
        <w:rPr>
          <w:rFonts w:ascii="Arial" w:hAnsi="Arial" w:cs="Arial"/>
        </w:rPr>
        <w:t xml:space="preserve">Section 201 of the Act mandated </w:t>
      </w:r>
      <w:r w:rsidR="003C2392">
        <w:rPr>
          <w:rFonts w:ascii="Arial" w:hAnsi="Arial" w:cs="Arial"/>
        </w:rPr>
        <w:t xml:space="preserve">that </w:t>
      </w:r>
      <w:r w:rsidRPr="35CB2D15" w:rsidR="003F14D4">
        <w:rPr>
          <w:rFonts w:ascii="Arial" w:hAnsi="Arial" w:cs="Arial"/>
        </w:rPr>
        <w:t xml:space="preserve">VA establish the Staff Sergeant Parker Gordon Fox Suicide Prevention Grant Program </w:t>
      </w:r>
      <w:r w:rsidRPr="35CB2D15" w:rsidR="00100EF3">
        <w:rPr>
          <w:rFonts w:ascii="Arial" w:hAnsi="Arial" w:cs="Arial"/>
        </w:rPr>
        <w:t xml:space="preserve">(SSG Fox SPGP) </w:t>
      </w:r>
      <w:r w:rsidRPr="35CB2D15" w:rsidR="003F14D4">
        <w:rPr>
          <w:rFonts w:ascii="Arial" w:hAnsi="Arial" w:cs="Arial"/>
        </w:rPr>
        <w:t xml:space="preserve">to reduce </w:t>
      </w:r>
      <w:r w:rsidRPr="35CB2D15" w:rsidR="00100EF3">
        <w:rPr>
          <w:rFonts w:ascii="Arial" w:hAnsi="Arial" w:cs="Arial"/>
        </w:rPr>
        <w:t>V</w:t>
      </w:r>
      <w:r w:rsidRPr="35CB2D15" w:rsidR="003F14D4">
        <w:rPr>
          <w:rFonts w:ascii="Arial" w:hAnsi="Arial" w:cs="Arial"/>
        </w:rPr>
        <w:t xml:space="preserve">eteran suicide through the provision of community-based grants to certain eligible entities to provide or coordinate the provision of suicide prevention services to eligible individuals and their families. </w:t>
      </w:r>
    </w:p>
    <w:p w:rsidR="00D708AF" w14:paraId="4108B525" w14:textId="77777777">
      <w:pPr>
        <w:tabs>
          <w:tab w:val="left" w:pos="547"/>
          <w:tab w:val="left" w:pos="1080"/>
          <w:tab w:val="left" w:pos="1627"/>
          <w:tab w:val="left" w:pos="2160"/>
          <w:tab w:val="left" w:pos="2880"/>
        </w:tabs>
        <w:rPr>
          <w:rFonts w:ascii="Arial" w:hAnsi="Arial" w:cs="Arial"/>
        </w:rPr>
      </w:pPr>
    </w:p>
    <w:p w:rsidR="00536A11" w14:paraId="0A70CD80" w14:textId="26C6126C">
      <w:pPr>
        <w:tabs>
          <w:tab w:val="left" w:pos="547"/>
          <w:tab w:val="left" w:pos="1080"/>
          <w:tab w:val="left" w:pos="1627"/>
          <w:tab w:val="left" w:pos="2160"/>
          <w:tab w:val="left" w:pos="2880"/>
        </w:tabs>
        <w:rPr>
          <w:rFonts w:ascii="Arial" w:hAnsi="Arial" w:cs="Arial"/>
        </w:rPr>
      </w:pPr>
      <w:r w:rsidRPr="35CB2D15">
        <w:rPr>
          <w:rFonts w:ascii="Arial" w:hAnsi="Arial" w:cs="Arial"/>
        </w:rPr>
        <w:t>In order to award grants under this program</w:t>
      </w:r>
      <w:r w:rsidR="00D708AF">
        <w:rPr>
          <w:rFonts w:ascii="Arial" w:hAnsi="Arial" w:cs="Arial"/>
        </w:rPr>
        <w:t>,</w:t>
      </w:r>
      <w:r w:rsidRPr="35CB2D15" w:rsidR="00FD477F">
        <w:rPr>
          <w:rFonts w:ascii="Arial" w:hAnsi="Arial" w:cs="Arial"/>
        </w:rPr>
        <w:t xml:space="preserve"> and assess </w:t>
      </w:r>
      <w:r w:rsidR="00D708AF">
        <w:rPr>
          <w:rFonts w:ascii="Arial" w:hAnsi="Arial" w:cs="Arial"/>
        </w:rPr>
        <w:t xml:space="preserve">services and compliance with </w:t>
      </w:r>
      <w:r w:rsidRPr="35CB2D15" w:rsidR="00FD477F">
        <w:rPr>
          <w:rFonts w:ascii="Arial" w:hAnsi="Arial" w:cs="Arial"/>
        </w:rPr>
        <w:t>grants provided</w:t>
      </w:r>
      <w:r w:rsidRPr="35CB2D15">
        <w:rPr>
          <w:rFonts w:ascii="Arial" w:hAnsi="Arial" w:cs="Arial"/>
        </w:rPr>
        <w:t xml:space="preserve">, </w:t>
      </w:r>
      <w:r w:rsidRPr="35CB2D15" w:rsidR="001429A3">
        <w:rPr>
          <w:rFonts w:ascii="Arial" w:hAnsi="Arial" w:cs="Arial"/>
        </w:rPr>
        <w:t xml:space="preserve">VA </w:t>
      </w:r>
      <w:r w:rsidRPr="35CB2D15">
        <w:rPr>
          <w:rFonts w:ascii="Arial" w:hAnsi="Arial" w:cs="Arial"/>
        </w:rPr>
        <w:t>require</w:t>
      </w:r>
      <w:r w:rsidR="008B2BE4">
        <w:rPr>
          <w:rFonts w:ascii="Arial" w:hAnsi="Arial" w:cs="Arial"/>
        </w:rPr>
        <w:t>s the</w:t>
      </w:r>
      <w:r w:rsidRPr="35CB2D15">
        <w:rPr>
          <w:rFonts w:ascii="Arial" w:hAnsi="Arial" w:cs="Arial"/>
        </w:rPr>
        <w:t xml:space="preserve"> submission of </w:t>
      </w:r>
      <w:r w:rsidR="00065A54">
        <w:rPr>
          <w:rFonts w:ascii="Arial" w:hAnsi="Arial" w:cs="Arial"/>
        </w:rPr>
        <w:t>A</w:t>
      </w:r>
      <w:r w:rsidRPr="35CB2D15">
        <w:rPr>
          <w:rFonts w:ascii="Arial" w:hAnsi="Arial" w:cs="Arial"/>
        </w:rPr>
        <w:t>pplications for grants</w:t>
      </w:r>
      <w:r w:rsidRPr="35CB2D15" w:rsidR="00425D68">
        <w:rPr>
          <w:rFonts w:ascii="Arial" w:hAnsi="Arial" w:cs="Arial"/>
        </w:rPr>
        <w:t xml:space="preserve"> and </w:t>
      </w:r>
      <w:r w:rsidR="00065A54">
        <w:rPr>
          <w:rFonts w:ascii="Arial" w:hAnsi="Arial" w:cs="Arial"/>
        </w:rPr>
        <w:t>R</w:t>
      </w:r>
      <w:r w:rsidRPr="35CB2D15" w:rsidR="00425D68">
        <w:rPr>
          <w:rFonts w:ascii="Arial" w:hAnsi="Arial" w:cs="Arial"/>
        </w:rPr>
        <w:t xml:space="preserve">enewals of grants, </w:t>
      </w:r>
      <w:r w:rsidRPr="00761F28" w:rsidR="00937875">
        <w:rPr>
          <w:rFonts w:ascii="Arial" w:hAnsi="Arial" w:cs="Arial"/>
        </w:rPr>
        <w:t>Compliance Reports</w:t>
      </w:r>
      <w:r w:rsidR="00937875">
        <w:rPr>
          <w:rFonts w:ascii="Arial" w:hAnsi="Arial" w:cs="Arial"/>
        </w:rPr>
        <w:t xml:space="preserve">, </w:t>
      </w:r>
      <w:r w:rsidR="00D708AF">
        <w:rPr>
          <w:rFonts w:ascii="Arial" w:hAnsi="Arial" w:cs="Arial"/>
        </w:rPr>
        <w:t>E</w:t>
      </w:r>
      <w:r w:rsidRPr="35CB2D15" w:rsidR="00D708AF">
        <w:rPr>
          <w:rFonts w:ascii="Arial" w:hAnsi="Arial" w:cs="Arial"/>
        </w:rPr>
        <w:t xml:space="preserve">ligibility </w:t>
      </w:r>
      <w:r w:rsidR="00D708AF">
        <w:rPr>
          <w:rFonts w:ascii="Arial" w:hAnsi="Arial" w:cs="Arial"/>
        </w:rPr>
        <w:t>S</w:t>
      </w:r>
      <w:r w:rsidRPr="35CB2D15" w:rsidR="00D708AF">
        <w:rPr>
          <w:rFonts w:ascii="Arial" w:hAnsi="Arial" w:cs="Arial"/>
        </w:rPr>
        <w:t xml:space="preserve">creening, </w:t>
      </w:r>
      <w:r w:rsidRPr="00761F28" w:rsidR="00D708AF">
        <w:rPr>
          <w:rFonts w:ascii="Arial" w:hAnsi="Arial" w:cs="Arial"/>
        </w:rPr>
        <w:t xml:space="preserve">Participant Satisfaction Surveys, </w:t>
      </w:r>
      <w:r w:rsidRPr="00761F28" w:rsidR="00065A54">
        <w:rPr>
          <w:rFonts w:ascii="Arial" w:hAnsi="Arial" w:cs="Arial"/>
        </w:rPr>
        <w:t>I</w:t>
      </w:r>
      <w:r w:rsidRPr="00761F28" w:rsidR="00842E61">
        <w:rPr>
          <w:rFonts w:ascii="Arial" w:hAnsi="Arial" w:cs="Arial"/>
        </w:rPr>
        <w:t>ntake</w:t>
      </w:r>
      <w:r w:rsidRPr="00761F28" w:rsidR="0099487F">
        <w:rPr>
          <w:rFonts w:ascii="Arial" w:hAnsi="Arial" w:cs="Arial"/>
        </w:rPr>
        <w:t xml:space="preserve"> </w:t>
      </w:r>
      <w:r w:rsidRPr="00761F28" w:rsidR="00065A54">
        <w:rPr>
          <w:rFonts w:ascii="Arial" w:hAnsi="Arial" w:cs="Arial"/>
        </w:rPr>
        <w:t>F</w:t>
      </w:r>
      <w:r w:rsidRPr="00761F28" w:rsidR="0099487F">
        <w:rPr>
          <w:rFonts w:ascii="Arial" w:hAnsi="Arial" w:cs="Arial"/>
        </w:rPr>
        <w:t>orm</w:t>
      </w:r>
      <w:r w:rsidR="00AD0EF1">
        <w:rPr>
          <w:rFonts w:ascii="Arial" w:hAnsi="Arial" w:cs="Arial"/>
        </w:rPr>
        <w:t>s</w:t>
      </w:r>
      <w:r w:rsidR="00976DCE">
        <w:rPr>
          <w:rFonts w:ascii="Arial" w:hAnsi="Arial" w:cs="Arial"/>
        </w:rPr>
        <w:t>, Baseline Mental Health Screening,</w:t>
      </w:r>
      <w:r w:rsidRPr="00761F28" w:rsidR="00861468">
        <w:rPr>
          <w:rFonts w:ascii="Arial" w:hAnsi="Arial" w:cs="Arial"/>
        </w:rPr>
        <w:t xml:space="preserve"> and</w:t>
      </w:r>
      <w:r w:rsidRPr="00761F28" w:rsidR="00065A54">
        <w:rPr>
          <w:rFonts w:ascii="Arial" w:hAnsi="Arial" w:cs="Arial"/>
        </w:rPr>
        <w:t xml:space="preserve"> P</w:t>
      </w:r>
      <w:r w:rsidRPr="00761F28" w:rsidR="002B2C92">
        <w:rPr>
          <w:rFonts w:ascii="Arial" w:hAnsi="Arial" w:cs="Arial"/>
        </w:rPr>
        <w:t xml:space="preserve">rogram </w:t>
      </w:r>
      <w:r w:rsidRPr="00761F28" w:rsidR="00065A54">
        <w:rPr>
          <w:rFonts w:ascii="Arial" w:hAnsi="Arial" w:cs="Arial"/>
        </w:rPr>
        <w:t>E</w:t>
      </w:r>
      <w:r w:rsidRPr="00761F28" w:rsidR="002B2C92">
        <w:rPr>
          <w:rFonts w:ascii="Arial" w:hAnsi="Arial" w:cs="Arial"/>
        </w:rPr>
        <w:t xml:space="preserve">xit </w:t>
      </w:r>
      <w:r w:rsidR="008B2BE4">
        <w:rPr>
          <w:rFonts w:ascii="Arial" w:hAnsi="Arial" w:cs="Arial"/>
        </w:rPr>
        <w:t>Screening</w:t>
      </w:r>
      <w:r w:rsidRPr="00761F28" w:rsidR="00861468">
        <w:rPr>
          <w:rFonts w:ascii="Arial" w:hAnsi="Arial" w:cs="Arial"/>
        </w:rPr>
        <w:t xml:space="preserve"> </w:t>
      </w:r>
      <w:r w:rsidRPr="00761F28" w:rsidR="002B2C92">
        <w:rPr>
          <w:rFonts w:ascii="Arial" w:hAnsi="Arial" w:cs="Arial"/>
        </w:rPr>
        <w:t xml:space="preserve">(which each utilize the same five </w:t>
      </w:r>
      <w:r w:rsidRPr="00761F28" w:rsidR="00930179">
        <w:rPr>
          <w:rFonts w:ascii="Arial" w:hAnsi="Arial" w:cs="Arial"/>
        </w:rPr>
        <w:t xml:space="preserve">standardized </w:t>
      </w:r>
      <w:r w:rsidR="008F44D6">
        <w:rPr>
          <w:rFonts w:ascii="Arial" w:hAnsi="Arial" w:cs="Arial"/>
        </w:rPr>
        <w:t>screening</w:t>
      </w:r>
      <w:r w:rsidRPr="00761F28" w:rsidR="00930179">
        <w:rPr>
          <w:rFonts w:ascii="Arial" w:hAnsi="Arial" w:cs="Arial"/>
        </w:rPr>
        <w:t xml:space="preserve"> </w:t>
      </w:r>
      <w:r w:rsidRPr="00761F28" w:rsidR="002B2C92">
        <w:rPr>
          <w:rFonts w:ascii="Arial" w:hAnsi="Arial" w:cs="Arial"/>
        </w:rPr>
        <w:t xml:space="preserve">tools </w:t>
      </w:r>
      <w:r w:rsidRPr="00761F28" w:rsidR="00930179">
        <w:rPr>
          <w:rFonts w:ascii="Arial" w:hAnsi="Arial" w:cs="Arial"/>
        </w:rPr>
        <w:t>required for baseline mental health screening</w:t>
      </w:r>
      <w:r w:rsidRPr="00761F28" w:rsidR="002B2C92">
        <w:rPr>
          <w:rFonts w:ascii="Arial" w:hAnsi="Arial" w:cs="Arial"/>
        </w:rPr>
        <w:t>, as</w:t>
      </w:r>
      <w:r w:rsidRPr="00761F28" w:rsidR="001E5A32">
        <w:rPr>
          <w:rFonts w:ascii="Arial" w:hAnsi="Arial" w:cs="Arial"/>
        </w:rPr>
        <w:t xml:space="preserve"> </w:t>
      </w:r>
      <w:r w:rsidRPr="00761F28" w:rsidR="002B2C92">
        <w:rPr>
          <w:rFonts w:ascii="Arial" w:hAnsi="Arial" w:cs="Arial"/>
        </w:rPr>
        <w:t xml:space="preserve">listed </w:t>
      </w:r>
      <w:r w:rsidR="007976E7">
        <w:rPr>
          <w:rFonts w:ascii="Arial" w:hAnsi="Arial" w:cs="Arial"/>
        </w:rPr>
        <w:t xml:space="preserve">in Section 2 </w:t>
      </w:r>
      <w:r w:rsidRPr="00761F28" w:rsidR="002B2C92">
        <w:rPr>
          <w:rFonts w:ascii="Arial" w:hAnsi="Arial" w:cs="Arial"/>
        </w:rPr>
        <w:t>belo</w:t>
      </w:r>
      <w:r w:rsidR="00976DCE">
        <w:rPr>
          <w:rFonts w:ascii="Arial" w:hAnsi="Arial" w:cs="Arial"/>
        </w:rPr>
        <w:t>w)</w:t>
      </w:r>
      <w:r w:rsidR="00937875">
        <w:rPr>
          <w:rFonts w:ascii="Arial" w:hAnsi="Arial" w:cs="Arial"/>
        </w:rPr>
        <w:t>.</w:t>
      </w:r>
    </w:p>
    <w:p w:rsidR="007976E7" w14:paraId="595C4FA6" w14:textId="77777777">
      <w:pPr>
        <w:tabs>
          <w:tab w:val="left" w:pos="547"/>
          <w:tab w:val="left" w:pos="1080"/>
          <w:tab w:val="left" w:pos="1627"/>
          <w:tab w:val="left" w:pos="2160"/>
          <w:tab w:val="left" w:pos="2880"/>
        </w:tabs>
        <w:rPr>
          <w:rFonts w:ascii="Arial" w:hAnsi="Arial" w:cs="Arial"/>
        </w:rPr>
      </w:pPr>
    </w:p>
    <w:p w:rsidR="007976E7" w:rsidRPr="00761F28" w14:paraId="555A91A4" w14:textId="03DE42FB">
      <w:pPr>
        <w:tabs>
          <w:tab w:val="left" w:pos="547"/>
          <w:tab w:val="left" w:pos="1080"/>
          <w:tab w:val="left" w:pos="1627"/>
          <w:tab w:val="left" w:pos="2160"/>
          <w:tab w:val="left" w:pos="2880"/>
        </w:tabs>
        <w:rPr>
          <w:rFonts w:ascii="Arial" w:hAnsi="Arial" w:cs="Arial"/>
        </w:rPr>
      </w:pPr>
      <w:r>
        <w:rPr>
          <w:rFonts w:ascii="Arial" w:hAnsi="Arial" w:cs="Arial"/>
        </w:rPr>
        <w:t xml:space="preserve">The program has streamlined certain requirements by consolidating the Performance Reports into one form that is submitted twice per year and requiring only one Annual Financial Report. Accordingly, </w:t>
      </w:r>
      <w:r w:rsidR="0033647C">
        <w:rPr>
          <w:rFonts w:ascii="Arial" w:hAnsi="Arial" w:cs="Arial"/>
        </w:rPr>
        <w:t xml:space="preserve">Therefore, </w:t>
      </w:r>
      <w:r>
        <w:rPr>
          <w:rFonts w:ascii="Arial" w:hAnsi="Arial" w:cs="Arial"/>
        </w:rPr>
        <w:t xml:space="preserve">VA Forms 10-316a and 10-316f are no longer needed and have been removed from the collection. The prior Intake Form and Assessments has been split into two forms with the same total burden: </w:t>
      </w:r>
      <w:r w:rsidR="00603655">
        <w:rPr>
          <w:rFonts w:ascii="Arial" w:hAnsi="Arial" w:cs="Arial"/>
        </w:rPr>
        <w:t xml:space="preserve"> </w:t>
      </w:r>
      <w:r>
        <w:rPr>
          <w:rFonts w:ascii="Arial" w:hAnsi="Arial" w:cs="Arial"/>
        </w:rPr>
        <w:t xml:space="preserve">VA Form 10-317b is used only for intake information, with a </w:t>
      </w:r>
      <w:r>
        <w:rPr>
          <w:rFonts w:ascii="Arial" w:hAnsi="Arial" w:cs="Arial"/>
        </w:rPr>
        <w:t xml:space="preserve">reduced burden, and new VA Form 10-317e will be used to capture baseline mental health assessment information. </w:t>
      </w:r>
      <w:r w:rsidR="00603655">
        <w:rPr>
          <w:rFonts w:ascii="Arial" w:hAnsi="Arial" w:cs="Arial"/>
        </w:rPr>
        <w:t xml:space="preserve">The remaining forms have been updated with required PRA information, and certain forms have minor </w:t>
      </w:r>
      <w:r w:rsidR="002D1FE9">
        <w:rPr>
          <w:rFonts w:ascii="Arial" w:hAnsi="Arial" w:cs="Arial"/>
        </w:rPr>
        <w:t>change</w:t>
      </w:r>
      <w:r w:rsidR="00603655">
        <w:rPr>
          <w:rFonts w:ascii="Arial" w:hAnsi="Arial" w:cs="Arial"/>
        </w:rPr>
        <w:t xml:space="preserve">s for clarity and ease of use </w:t>
      </w:r>
      <w:r w:rsidR="003D2B01">
        <w:rPr>
          <w:rFonts w:ascii="Arial" w:hAnsi="Arial" w:cs="Arial"/>
        </w:rPr>
        <w:t>by</w:t>
      </w:r>
      <w:r w:rsidR="00603655">
        <w:rPr>
          <w:rFonts w:ascii="Arial" w:hAnsi="Arial" w:cs="Arial"/>
        </w:rPr>
        <w:t xml:space="preserve"> respondent</w:t>
      </w:r>
      <w:r w:rsidR="003D2B01">
        <w:rPr>
          <w:rFonts w:ascii="Arial" w:hAnsi="Arial" w:cs="Arial"/>
        </w:rPr>
        <w:t>s</w:t>
      </w:r>
      <w:r w:rsidR="00603655">
        <w:rPr>
          <w:rFonts w:ascii="Arial" w:hAnsi="Arial" w:cs="Arial"/>
        </w:rPr>
        <w:t xml:space="preserve">. Overall, there is an increase in the number of respondents and burden hours for the </w:t>
      </w:r>
      <w:r w:rsidR="002D1FE9">
        <w:rPr>
          <w:rFonts w:ascii="Arial" w:hAnsi="Arial" w:cs="Arial"/>
        </w:rPr>
        <w:t xml:space="preserve">SSG Fox SPGP </w:t>
      </w:r>
      <w:r w:rsidR="00603655">
        <w:rPr>
          <w:rFonts w:ascii="Arial" w:hAnsi="Arial" w:cs="Arial"/>
        </w:rPr>
        <w:t xml:space="preserve">based upon </w:t>
      </w:r>
      <w:r w:rsidR="002D1FE9">
        <w:rPr>
          <w:rFonts w:ascii="Arial" w:hAnsi="Arial" w:cs="Arial"/>
        </w:rPr>
        <w:t xml:space="preserve">program </w:t>
      </w:r>
      <w:r w:rsidR="00603655">
        <w:rPr>
          <w:rFonts w:ascii="Arial" w:hAnsi="Arial" w:cs="Arial"/>
        </w:rPr>
        <w:t xml:space="preserve">data, </w:t>
      </w:r>
      <w:r w:rsidR="003D2B01">
        <w:rPr>
          <w:rFonts w:ascii="Arial" w:hAnsi="Arial" w:cs="Arial"/>
        </w:rPr>
        <w:t xml:space="preserve">which </w:t>
      </w:r>
      <w:r w:rsidR="00603655">
        <w:rPr>
          <w:rFonts w:ascii="Arial" w:hAnsi="Arial" w:cs="Arial"/>
        </w:rPr>
        <w:t>includ</w:t>
      </w:r>
      <w:r w:rsidR="003D2B01">
        <w:rPr>
          <w:rFonts w:ascii="Arial" w:hAnsi="Arial" w:cs="Arial"/>
        </w:rPr>
        <w:t>es</w:t>
      </w:r>
      <w:r w:rsidR="00603655">
        <w:rPr>
          <w:rFonts w:ascii="Arial" w:hAnsi="Arial" w:cs="Arial"/>
        </w:rPr>
        <w:t xml:space="preserve"> an increase in the number of applicants.</w:t>
      </w:r>
      <w:r>
        <w:rPr>
          <w:rFonts w:ascii="Arial" w:hAnsi="Arial" w:cs="Arial"/>
        </w:rPr>
        <w:t xml:space="preserve"> </w:t>
      </w:r>
    </w:p>
    <w:p w:rsidR="00351F93" w:rsidRPr="00761F28" w:rsidP="0034013E" w14:paraId="1E7CFB95" w14:textId="1B677A67">
      <w:pPr>
        <w:widowControl w:val="0"/>
        <w:tabs>
          <w:tab w:val="left" w:pos="540"/>
        </w:tabs>
        <w:rPr>
          <w:rFonts w:ascii="Arial" w:hAnsi="Arial" w:cs="Arial"/>
        </w:rPr>
      </w:pPr>
      <w:r w:rsidRPr="00761F28">
        <w:rPr>
          <w:rFonts w:ascii="Arial" w:hAnsi="Arial" w:cs="Arial"/>
          <w:bCs/>
          <w:color w:val="FF0000"/>
        </w:rPr>
        <w:tab/>
      </w:r>
    </w:p>
    <w:p w:rsidR="00536A11" w:rsidRPr="00AD106D" w14:paraId="1ECC1259" w14:textId="0363977B">
      <w:pPr>
        <w:tabs>
          <w:tab w:val="left" w:pos="547"/>
          <w:tab w:val="left" w:pos="1080"/>
          <w:tab w:val="left" w:pos="1627"/>
          <w:tab w:val="left" w:pos="2160"/>
          <w:tab w:val="left" w:pos="2880"/>
        </w:tabs>
        <w:rPr>
          <w:rFonts w:ascii="Arial" w:hAnsi="Arial" w:cs="Arial"/>
          <w:b/>
          <w:color w:val="000000"/>
        </w:rPr>
      </w:pPr>
      <w:r w:rsidRPr="00761F28">
        <w:rPr>
          <w:rFonts w:ascii="Arial" w:hAnsi="Arial" w:cs="Arial"/>
          <w:b/>
        </w:rPr>
        <w:t>2.</w:t>
      </w:r>
      <w:r w:rsidRPr="00761F28">
        <w:rPr>
          <w:rFonts w:ascii="Arial" w:hAnsi="Arial" w:cs="Arial"/>
          <w:b/>
        </w:rPr>
        <w:tab/>
      </w:r>
      <w:r w:rsidRPr="00761F28">
        <w:rPr>
          <w:rFonts w:ascii="Arial" w:hAnsi="Arial" w:cs="Arial"/>
          <w:b/>
          <w:color w:val="000000"/>
        </w:rPr>
        <w:t>Indicate how, by whom, and for what purposes the information is to be used; indicate actual</w:t>
      </w:r>
      <w:r w:rsidRPr="00AD106D">
        <w:rPr>
          <w:rFonts w:ascii="Arial" w:hAnsi="Arial" w:cs="Arial"/>
          <w:b/>
          <w:color w:val="000000"/>
        </w:rPr>
        <w:t xml:space="preserve"> use the agency has made of the information received from current collection.</w:t>
      </w:r>
    </w:p>
    <w:p w:rsidR="009A5633" w:rsidRPr="00AD106D" w14:paraId="15E89C47" w14:textId="77777777">
      <w:pPr>
        <w:tabs>
          <w:tab w:val="left" w:pos="547"/>
          <w:tab w:val="left" w:pos="1080"/>
          <w:tab w:val="left" w:pos="1627"/>
          <w:tab w:val="left" w:pos="2160"/>
          <w:tab w:val="left" w:pos="2880"/>
        </w:tabs>
        <w:rPr>
          <w:rFonts w:ascii="Arial" w:hAnsi="Arial" w:cs="Arial"/>
          <w:color w:val="000000"/>
        </w:rPr>
      </w:pPr>
    </w:p>
    <w:p w:rsidR="00425D68" w:rsidRPr="00425D68" w:rsidP="00425D68" w14:paraId="17C00F43" w14:textId="2A2BFC06">
      <w:pPr>
        <w:pStyle w:val="HTMLPreformatted"/>
        <w:tabs>
          <w:tab w:val="left" w:pos="540"/>
          <w:tab w:val="clear" w:pos="916"/>
        </w:tabs>
        <w:rPr>
          <w:rFonts w:ascii="Arial" w:hAnsi="Arial" w:cs="Arial"/>
          <w:sz w:val="24"/>
          <w:szCs w:val="24"/>
        </w:rPr>
      </w:pPr>
      <w:r>
        <w:rPr>
          <w:rFonts w:ascii="Arial" w:hAnsi="Arial" w:cs="Arial"/>
          <w:bCs/>
          <w:sz w:val="24"/>
          <w:szCs w:val="24"/>
          <w:u w:val="single"/>
        </w:rPr>
        <w:t xml:space="preserve">VA Form 10-315a -- </w:t>
      </w:r>
      <w:r w:rsidR="009F4D94">
        <w:rPr>
          <w:rFonts w:ascii="Arial" w:hAnsi="Arial" w:cs="Arial"/>
          <w:bCs/>
          <w:sz w:val="24"/>
          <w:szCs w:val="24"/>
          <w:u w:val="single"/>
        </w:rPr>
        <w:t>Application</w:t>
      </w:r>
      <w:r w:rsidRPr="006D0837" w:rsidR="009F4D94">
        <w:rPr>
          <w:rFonts w:ascii="Arial" w:hAnsi="Arial" w:cs="Arial"/>
          <w:bCs/>
          <w:sz w:val="24"/>
          <w:szCs w:val="24"/>
        </w:rPr>
        <w:t>:</w:t>
      </w:r>
      <w:r w:rsidR="009F4D94">
        <w:rPr>
          <w:rFonts w:ascii="Arial" w:hAnsi="Arial" w:cs="Arial"/>
          <w:bCs/>
          <w:sz w:val="24"/>
          <w:szCs w:val="24"/>
        </w:rPr>
        <w:t xml:space="preserve"> </w:t>
      </w:r>
      <w:r w:rsidR="00EC2185">
        <w:rPr>
          <w:rFonts w:ascii="Arial" w:hAnsi="Arial" w:cs="Arial"/>
          <w:bCs/>
          <w:sz w:val="24"/>
          <w:szCs w:val="24"/>
        </w:rPr>
        <w:t xml:space="preserve"> </w:t>
      </w:r>
      <w:r w:rsidRPr="00425D68">
        <w:rPr>
          <w:rFonts w:ascii="Arial" w:hAnsi="Arial" w:cs="Arial"/>
          <w:bCs/>
          <w:sz w:val="24"/>
          <w:szCs w:val="24"/>
        </w:rPr>
        <w:t xml:space="preserve">This information is needed to award </w:t>
      </w:r>
      <w:r w:rsidR="00100EF3">
        <w:rPr>
          <w:rFonts w:ascii="Arial" w:hAnsi="Arial" w:cs="Arial"/>
          <w:sz w:val="24"/>
          <w:szCs w:val="24"/>
        </w:rPr>
        <w:t>SSG Fox SPGP</w:t>
      </w:r>
      <w:r w:rsidRPr="00425D68">
        <w:rPr>
          <w:rFonts w:ascii="Arial" w:hAnsi="Arial" w:cs="Arial"/>
          <w:bCs/>
          <w:sz w:val="24"/>
          <w:szCs w:val="24"/>
        </w:rPr>
        <w:t xml:space="preserve"> grants to eligible entities.</w:t>
      </w:r>
      <w:r w:rsidR="00100EF3">
        <w:rPr>
          <w:rFonts w:ascii="Arial" w:hAnsi="Arial" w:cs="Arial"/>
          <w:bCs/>
          <w:sz w:val="24"/>
          <w:szCs w:val="24"/>
        </w:rPr>
        <w:t xml:space="preserve"> </w:t>
      </w:r>
      <w:r w:rsidR="00A46D4E">
        <w:rPr>
          <w:rFonts w:ascii="Arial" w:hAnsi="Arial" w:cs="Arial"/>
          <w:bCs/>
          <w:sz w:val="24"/>
          <w:szCs w:val="24"/>
        </w:rPr>
        <w:t xml:space="preserve">The application requirements are consistent with section 201(f) of the Act </w:t>
      </w:r>
      <w:r w:rsidRPr="00425D68">
        <w:rPr>
          <w:rFonts w:ascii="Arial" w:hAnsi="Arial" w:cs="Arial"/>
          <w:sz w:val="24"/>
          <w:szCs w:val="24"/>
        </w:rPr>
        <w:t xml:space="preserve">and are designed to ensure that VA can fully evaluate the ability of applicants to achieve the goals of the </w:t>
      </w:r>
      <w:r w:rsidR="00100EF3">
        <w:rPr>
          <w:rFonts w:ascii="Arial" w:hAnsi="Arial" w:cs="Arial"/>
          <w:sz w:val="24"/>
          <w:szCs w:val="24"/>
        </w:rPr>
        <w:t>g</w:t>
      </w:r>
      <w:r>
        <w:rPr>
          <w:rFonts w:ascii="Arial" w:hAnsi="Arial" w:cs="Arial"/>
          <w:sz w:val="24"/>
          <w:szCs w:val="24"/>
        </w:rPr>
        <w:t xml:space="preserve">rant </w:t>
      </w:r>
      <w:r w:rsidR="00100EF3">
        <w:rPr>
          <w:rFonts w:ascii="Arial" w:hAnsi="Arial" w:cs="Arial"/>
          <w:bCs/>
          <w:sz w:val="24"/>
          <w:szCs w:val="24"/>
        </w:rPr>
        <w:t>p</w:t>
      </w:r>
      <w:r w:rsidRPr="00425D68">
        <w:rPr>
          <w:rFonts w:ascii="Arial" w:hAnsi="Arial" w:cs="Arial"/>
          <w:bCs/>
          <w:sz w:val="24"/>
          <w:szCs w:val="24"/>
        </w:rPr>
        <w:t>rogram</w:t>
      </w:r>
      <w:r w:rsidRPr="00425D68">
        <w:rPr>
          <w:rFonts w:ascii="Arial" w:hAnsi="Arial" w:cs="Arial"/>
          <w:sz w:val="24"/>
          <w:szCs w:val="24"/>
        </w:rPr>
        <w:t>.</w:t>
      </w:r>
    </w:p>
    <w:p w:rsidR="00425D68" w:rsidRPr="00425D68" w:rsidP="00425D68" w14:paraId="3E162B0C" w14:textId="77777777">
      <w:pPr>
        <w:widowControl w:val="0"/>
        <w:tabs>
          <w:tab w:val="left" w:pos="540"/>
        </w:tabs>
        <w:rPr>
          <w:rFonts w:ascii="Arial" w:hAnsi="Arial" w:cs="Arial"/>
          <w:bCs/>
        </w:rPr>
      </w:pPr>
    </w:p>
    <w:p w:rsidR="00425D68" w:rsidRPr="00315249" w:rsidP="00315249" w14:paraId="737E3D8E" w14:textId="38413598">
      <w:pPr>
        <w:pStyle w:val="HTMLPreformatted"/>
        <w:rPr>
          <w:rFonts w:ascii="Arial" w:hAnsi="Arial" w:cs="Arial"/>
          <w:sz w:val="24"/>
          <w:szCs w:val="24"/>
        </w:rPr>
      </w:pPr>
      <w:r w:rsidRPr="00425D68">
        <w:rPr>
          <w:rFonts w:ascii="Arial" w:hAnsi="Arial" w:cs="Arial"/>
          <w:sz w:val="24"/>
          <w:szCs w:val="24"/>
        </w:rPr>
        <w:t>To apply for a s</w:t>
      </w:r>
      <w:r>
        <w:rPr>
          <w:rFonts w:ascii="Arial" w:hAnsi="Arial" w:cs="Arial"/>
          <w:sz w:val="24"/>
          <w:szCs w:val="24"/>
        </w:rPr>
        <w:t>uicide prevention</w:t>
      </w:r>
      <w:r w:rsidRPr="00425D68">
        <w:rPr>
          <w:rFonts w:ascii="Arial" w:hAnsi="Arial" w:cs="Arial"/>
          <w:sz w:val="24"/>
          <w:szCs w:val="24"/>
        </w:rPr>
        <w:t xml:space="preserve"> services grant, an applicant must submit to VA a complete s</w:t>
      </w:r>
      <w:r>
        <w:rPr>
          <w:rFonts w:ascii="Arial" w:hAnsi="Arial" w:cs="Arial"/>
          <w:sz w:val="24"/>
          <w:szCs w:val="24"/>
        </w:rPr>
        <w:t>uicide prevention</w:t>
      </w:r>
      <w:r w:rsidRPr="00425D68">
        <w:rPr>
          <w:rFonts w:ascii="Arial" w:hAnsi="Arial" w:cs="Arial"/>
          <w:sz w:val="24"/>
          <w:szCs w:val="24"/>
        </w:rPr>
        <w:t xml:space="preserve"> </w:t>
      </w:r>
      <w:r>
        <w:rPr>
          <w:rFonts w:ascii="Arial" w:hAnsi="Arial" w:cs="Arial"/>
          <w:sz w:val="24"/>
          <w:szCs w:val="24"/>
        </w:rPr>
        <w:t xml:space="preserve">services </w:t>
      </w:r>
      <w:r w:rsidRPr="00425D68">
        <w:rPr>
          <w:rFonts w:ascii="Arial" w:hAnsi="Arial" w:cs="Arial"/>
          <w:sz w:val="24"/>
          <w:szCs w:val="24"/>
        </w:rPr>
        <w:t>grant application package, as described in the Notice of Fund</w:t>
      </w:r>
      <w:r>
        <w:rPr>
          <w:rFonts w:ascii="Arial" w:hAnsi="Arial" w:cs="Arial"/>
          <w:sz w:val="24"/>
          <w:szCs w:val="24"/>
        </w:rPr>
        <w:t>ing Opportunity</w:t>
      </w:r>
      <w:r w:rsidR="00100EF3">
        <w:rPr>
          <w:rFonts w:ascii="Arial" w:hAnsi="Arial" w:cs="Arial"/>
          <w:sz w:val="24"/>
          <w:szCs w:val="24"/>
        </w:rPr>
        <w:t xml:space="preserve"> (NOFO)</w:t>
      </w:r>
      <w:r w:rsidRPr="00425D68">
        <w:rPr>
          <w:rFonts w:ascii="Arial" w:hAnsi="Arial" w:cs="Arial"/>
          <w:sz w:val="24"/>
          <w:szCs w:val="24"/>
        </w:rPr>
        <w:t>. VA publish</w:t>
      </w:r>
      <w:r w:rsidR="00B740FC">
        <w:rPr>
          <w:rFonts w:ascii="Arial" w:hAnsi="Arial" w:cs="Arial"/>
          <w:sz w:val="24"/>
          <w:szCs w:val="24"/>
        </w:rPr>
        <w:t>e</w:t>
      </w:r>
      <w:r w:rsidR="005E1F8C">
        <w:rPr>
          <w:rFonts w:ascii="Arial" w:hAnsi="Arial" w:cs="Arial"/>
          <w:sz w:val="24"/>
          <w:szCs w:val="24"/>
        </w:rPr>
        <w:t>s</w:t>
      </w:r>
      <w:r w:rsidRPr="00425D68">
        <w:rPr>
          <w:rFonts w:ascii="Arial" w:hAnsi="Arial" w:cs="Arial"/>
          <w:sz w:val="24"/>
          <w:szCs w:val="24"/>
        </w:rPr>
        <w:t xml:space="preserve"> a </w:t>
      </w:r>
      <w:r w:rsidR="00100EF3">
        <w:rPr>
          <w:rFonts w:ascii="Arial" w:hAnsi="Arial" w:cs="Arial"/>
          <w:sz w:val="24"/>
          <w:szCs w:val="24"/>
        </w:rPr>
        <w:t>NOFO</w:t>
      </w:r>
      <w:r>
        <w:rPr>
          <w:rFonts w:ascii="Arial" w:hAnsi="Arial" w:cs="Arial"/>
          <w:sz w:val="24"/>
          <w:szCs w:val="24"/>
        </w:rPr>
        <w:t xml:space="preserve"> </w:t>
      </w:r>
      <w:r w:rsidRPr="00425D68">
        <w:rPr>
          <w:rFonts w:ascii="Arial" w:hAnsi="Arial" w:cs="Arial"/>
          <w:sz w:val="24"/>
          <w:szCs w:val="24"/>
        </w:rPr>
        <w:t>in</w:t>
      </w:r>
      <w:r w:rsidR="000569CD">
        <w:rPr>
          <w:rFonts w:ascii="Arial" w:hAnsi="Arial" w:cs="Arial"/>
          <w:sz w:val="24"/>
          <w:szCs w:val="24"/>
        </w:rPr>
        <w:t xml:space="preserve"> Grants.gov </w:t>
      </w:r>
      <w:r w:rsidRPr="00425D68">
        <w:rPr>
          <w:rFonts w:ascii="Arial" w:hAnsi="Arial" w:cs="Arial"/>
          <w:sz w:val="24"/>
          <w:szCs w:val="24"/>
        </w:rPr>
        <w:t xml:space="preserve">identifying such items as the location for obtaining </w:t>
      </w:r>
      <w:r>
        <w:rPr>
          <w:rFonts w:ascii="Arial" w:hAnsi="Arial" w:cs="Arial"/>
          <w:sz w:val="24"/>
          <w:szCs w:val="24"/>
        </w:rPr>
        <w:t>suicide prevention</w:t>
      </w:r>
      <w:r w:rsidRPr="00425D68">
        <w:rPr>
          <w:rFonts w:ascii="Arial" w:hAnsi="Arial" w:cs="Arial"/>
          <w:sz w:val="24"/>
          <w:szCs w:val="24"/>
        </w:rPr>
        <w:t xml:space="preserve"> services grant application packages; the date, time, and place for submitting completed s</w:t>
      </w:r>
      <w:r>
        <w:rPr>
          <w:rFonts w:ascii="Arial" w:hAnsi="Arial" w:cs="Arial"/>
          <w:sz w:val="24"/>
          <w:szCs w:val="24"/>
        </w:rPr>
        <w:t>uicide prevention</w:t>
      </w:r>
      <w:r w:rsidRPr="00425D68">
        <w:rPr>
          <w:rFonts w:ascii="Arial" w:hAnsi="Arial" w:cs="Arial"/>
          <w:sz w:val="24"/>
          <w:szCs w:val="24"/>
        </w:rPr>
        <w:t xml:space="preserve"> services grant applications; the estimated amount and type of funding available, such as the amount of funds available for initial and renewal s</w:t>
      </w:r>
      <w:r>
        <w:rPr>
          <w:rFonts w:ascii="Arial" w:hAnsi="Arial" w:cs="Arial"/>
          <w:sz w:val="24"/>
          <w:szCs w:val="24"/>
        </w:rPr>
        <w:t>uicide prevention</w:t>
      </w:r>
      <w:r w:rsidRPr="00425D68">
        <w:rPr>
          <w:rFonts w:ascii="Arial" w:hAnsi="Arial" w:cs="Arial"/>
          <w:sz w:val="24"/>
          <w:szCs w:val="24"/>
        </w:rPr>
        <w:t xml:space="preserve"> services grants; the length of term for supportive services grant payments; and other information necessary for the s</w:t>
      </w:r>
      <w:r>
        <w:rPr>
          <w:rFonts w:ascii="Arial" w:hAnsi="Arial" w:cs="Arial"/>
          <w:sz w:val="24"/>
          <w:szCs w:val="24"/>
        </w:rPr>
        <w:t>uicide prevention</w:t>
      </w:r>
      <w:r w:rsidRPr="00425D68">
        <w:rPr>
          <w:rFonts w:ascii="Arial" w:hAnsi="Arial" w:cs="Arial"/>
          <w:sz w:val="24"/>
          <w:szCs w:val="24"/>
        </w:rPr>
        <w:t xml:space="preserve"> services grant application process as determined. </w:t>
      </w:r>
      <w:r w:rsidR="00100EF3">
        <w:rPr>
          <w:rFonts w:ascii="Arial" w:hAnsi="Arial" w:cs="Arial"/>
          <w:sz w:val="24"/>
          <w:szCs w:val="24"/>
        </w:rPr>
        <w:t xml:space="preserve">Per the direction of P.L. 116-171, </w:t>
      </w:r>
      <w:r w:rsidRPr="00425D68">
        <w:rPr>
          <w:rFonts w:ascii="Arial" w:hAnsi="Arial" w:cs="Arial"/>
          <w:sz w:val="24"/>
          <w:szCs w:val="24"/>
        </w:rPr>
        <w:t>complete s</w:t>
      </w:r>
      <w:r>
        <w:rPr>
          <w:rFonts w:ascii="Arial" w:hAnsi="Arial" w:cs="Arial"/>
          <w:sz w:val="24"/>
          <w:szCs w:val="24"/>
        </w:rPr>
        <w:t>uicide prevention</w:t>
      </w:r>
      <w:r w:rsidRPr="00425D68">
        <w:rPr>
          <w:rFonts w:ascii="Arial" w:hAnsi="Arial" w:cs="Arial"/>
          <w:sz w:val="24"/>
          <w:szCs w:val="24"/>
        </w:rPr>
        <w:t xml:space="preserve"> services grant application package include</w:t>
      </w:r>
      <w:r w:rsidR="00B740FC">
        <w:rPr>
          <w:rFonts w:ascii="Arial" w:hAnsi="Arial" w:cs="Arial"/>
          <w:sz w:val="24"/>
          <w:szCs w:val="24"/>
        </w:rPr>
        <w:t>s</w:t>
      </w:r>
      <w:r w:rsidRPr="00425D68">
        <w:rPr>
          <w:rFonts w:ascii="Arial" w:hAnsi="Arial" w:cs="Arial"/>
          <w:sz w:val="24"/>
          <w:szCs w:val="24"/>
        </w:rPr>
        <w:t xml:space="preserve"> the following: </w:t>
      </w:r>
    </w:p>
    <w:p w:rsidR="00425D68" w:rsidP="00315249" w14:paraId="4D0C5464"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Documentation evidencing the experience of the applicant and any identified </w:t>
      </w:r>
      <w:r w:rsidRPr="00315249">
        <w:rPr>
          <w:rFonts w:ascii="Arial" w:hAnsi="Arial" w:cs="Arial"/>
          <w:color w:val="000000"/>
          <w:sz w:val="24"/>
          <w:szCs w:val="24"/>
        </w:rPr>
        <w:t>community partners</w:t>
      </w:r>
      <w:r w:rsidRPr="00315249">
        <w:rPr>
          <w:rFonts w:ascii="Arial" w:hAnsi="Arial" w:cs="Arial"/>
          <w:color w:val="000000"/>
          <w:sz w:val="24"/>
          <w:szCs w:val="24"/>
          <w:shd w:val="clear" w:color="auto" w:fill="FFFFFF"/>
        </w:rPr>
        <w:t xml:space="preserve"> in providing or coordinating the provision of suicide prevention services to eligible individuals and their families.</w:t>
      </w:r>
    </w:p>
    <w:p w:rsidR="00315249" w:rsidP="00315249" w14:paraId="6D0E5811"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of the suicide prevention services proposed to be provided by</w:t>
      </w:r>
      <w:r w:rsidRP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the eligible entity and the identified need for those services.</w:t>
      </w:r>
    </w:p>
    <w:p w:rsidR="00425D68" w:rsidRPr="00315249" w:rsidP="00315249" w14:paraId="5A5578EA"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detailed plan describing how the eligible entity proposes to coordinate or</w:t>
      </w:r>
      <w:r w:rsidRPr="00315249" w:rsid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 xml:space="preserve">deliver suicide prevention services to eligible individuals. </w:t>
      </w:r>
    </w:p>
    <w:p w:rsidR="00425D68" w:rsidRPr="00315249" w:rsidP="00315249" w14:paraId="1C0C82D9"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of the population of eligible individuals and their families</w:t>
      </w:r>
      <w:r w:rsidRPr="00315249" w:rsid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proposed to be provided suicide prevention services.</w:t>
      </w:r>
    </w:p>
    <w:p w:rsidR="00425D68" w:rsidP="00315249" w14:paraId="27049081"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An estimate of the number of eligible individuals at risk of suicide and their families proposed to be provided suicide prevention services, including the percentage of those eligible individuals who are not currently receiving care furnished by VA.</w:t>
      </w:r>
    </w:p>
    <w:p w:rsidR="00425D68" w:rsidP="00315249" w14:paraId="75287E40" w14:textId="1807D8D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Evidence of measurable outcomes related to reductions in suicide risk and mood-related symptoms utilizing validated instruments by the eligible entity (and the proposed partners of the entity, if any) in providing suicide prevention services to individuals at risk of suicide, </w:t>
      </w:r>
      <w:r w:rsidRPr="00315249" w:rsidR="00315249">
        <w:rPr>
          <w:rFonts w:ascii="Arial" w:hAnsi="Arial" w:cs="Arial"/>
          <w:color w:val="000000"/>
          <w:sz w:val="24"/>
          <w:szCs w:val="24"/>
          <w:shd w:val="clear" w:color="auto" w:fill="FFFFFF"/>
        </w:rPr>
        <w:t>p</w:t>
      </w:r>
      <w:r w:rsidRPr="00315249">
        <w:rPr>
          <w:rFonts w:ascii="Arial" w:hAnsi="Arial" w:cs="Arial"/>
          <w:color w:val="000000"/>
          <w:sz w:val="24"/>
          <w:szCs w:val="24"/>
          <w:shd w:val="clear" w:color="auto" w:fill="FFFFFF"/>
        </w:rPr>
        <w:t xml:space="preserve">articularly to eligible individuals and their families. </w:t>
      </w:r>
    </w:p>
    <w:p w:rsidR="00425D68" w:rsidP="00315249" w14:paraId="2D8051D7"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of the managerial and technological capacity of the eligible entity.</w:t>
      </w:r>
    </w:p>
    <w:p w:rsidR="00425D68" w:rsidP="00315249" w14:paraId="2ED070DC"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Clearly defined objectives for the provision of suicide prevention services.</w:t>
      </w:r>
    </w:p>
    <w:p w:rsidR="00425D68" w:rsidRPr="00315249" w:rsidP="00315249" w14:paraId="0D8673E7"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and physical address of the primary location of the eligible entity.</w:t>
      </w:r>
    </w:p>
    <w:p w:rsidR="00425D68" w:rsidRPr="00315249" w:rsidP="00315249" w14:paraId="7A191F6F" w14:textId="31EB1CAB">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A description of the geographic area the eligible entity plans to serve during the grant award period for which the application applies.</w:t>
      </w:r>
    </w:p>
    <w:p w:rsidR="00425D68" w:rsidRPr="00315249" w:rsidP="00315249" w14:paraId="30D7E035" w14:textId="44495175">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If the eligible entity is a State or local government or an Indian tribe, the amount of grant funds proposed to be made available to community partners, if any, through</w:t>
      </w:r>
      <w:r w:rsidRPr="00315249" w:rsidR="00315249">
        <w:rPr>
          <w:rFonts w:ascii="Arial" w:hAnsi="Arial" w:cs="Arial"/>
          <w:color w:val="000000"/>
          <w:sz w:val="24"/>
          <w:szCs w:val="24"/>
          <w:shd w:val="clear" w:color="auto" w:fill="FFFFFF"/>
        </w:rPr>
        <w:t xml:space="preserve"> a</w:t>
      </w:r>
      <w:r w:rsidRPr="00315249">
        <w:rPr>
          <w:rFonts w:ascii="Arial" w:hAnsi="Arial" w:cs="Arial"/>
          <w:color w:val="000000"/>
          <w:sz w:val="24"/>
          <w:szCs w:val="24"/>
          <w:shd w:val="clear" w:color="auto" w:fill="FFFFFF"/>
        </w:rPr>
        <w:t>greements.</w:t>
      </w:r>
    </w:p>
    <w:p w:rsidR="00425D68" w:rsidRPr="00315249" w:rsidP="00315249" w14:paraId="64C126E5" w14:textId="26D617D6">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A description of how the eligible entity will assess the effectiveness of the provision of grants under this section.</w:t>
      </w:r>
    </w:p>
    <w:p w:rsidR="00141868" w:rsidP="00315249" w14:paraId="1938CDE2"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 xml:space="preserve">An agreement to use the measures and metrics provided by VA for the purposes of </w:t>
      </w:r>
      <w:r w:rsidR="00315249">
        <w:rPr>
          <w:rFonts w:ascii="Arial" w:hAnsi="Arial" w:cs="Arial"/>
          <w:color w:val="000000"/>
          <w:sz w:val="24"/>
          <w:szCs w:val="24"/>
          <w:shd w:val="clear" w:color="auto" w:fill="FFFFFF"/>
        </w:rPr>
        <w:t>m</w:t>
      </w:r>
      <w:r w:rsidRPr="00315249" w:rsidR="00425D68">
        <w:rPr>
          <w:rFonts w:ascii="Arial" w:hAnsi="Arial" w:cs="Arial"/>
          <w:color w:val="000000"/>
          <w:sz w:val="24"/>
          <w:szCs w:val="24"/>
          <w:shd w:val="clear" w:color="auto" w:fill="FFFFFF"/>
        </w:rPr>
        <w:t xml:space="preserve">easuring the effectiveness of the programming to be provided in improving mental </w:t>
      </w:r>
      <w:r w:rsidRPr="00315249" w:rsidR="00315249">
        <w:rPr>
          <w:rFonts w:ascii="Arial" w:hAnsi="Arial" w:cs="Arial"/>
          <w:color w:val="000000"/>
          <w:sz w:val="24"/>
          <w:szCs w:val="24"/>
          <w:shd w:val="clear" w:color="auto" w:fill="FFFFFF"/>
        </w:rPr>
        <w:t>h</w:t>
      </w:r>
      <w:r w:rsidRPr="00315249" w:rsidR="00425D68">
        <w:rPr>
          <w:rFonts w:ascii="Arial" w:hAnsi="Arial" w:cs="Arial"/>
          <w:color w:val="000000"/>
          <w:sz w:val="24"/>
          <w:szCs w:val="24"/>
          <w:shd w:val="clear" w:color="auto" w:fill="FFFFFF"/>
        </w:rPr>
        <w:t xml:space="preserve">ealth status, wellbeing, and reducing suicide risk and suicide deaths of eligible </w:t>
      </w:r>
      <w:r w:rsidRPr="00315249" w:rsidR="00315249">
        <w:rPr>
          <w:rFonts w:ascii="Arial" w:hAnsi="Arial" w:cs="Arial"/>
          <w:color w:val="000000"/>
          <w:sz w:val="24"/>
          <w:szCs w:val="24"/>
          <w:shd w:val="clear" w:color="auto" w:fill="FFFFFF"/>
        </w:rPr>
        <w:t>i</w:t>
      </w:r>
      <w:r w:rsidRPr="00315249" w:rsidR="00425D68">
        <w:rPr>
          <w:rFonts w:ascii="Arial" w:hAnsi="Arial" w:cs="Arial"/>
          <w:color w:val="000000"/>
          <w:sz w:val="24"/>
          <w:szCs w:val="24"/>
          <w:shd w:val="clear" w:color="auto" w:fill="FFFFFF"/>
        </w:rPr>
        <w:t>ndividuals and their families.</w:t>
      </w:r>
    </w:p>
    <w:p w:rsidR="00315249" w:rsidRPr="00315249" w:rsidP="00315249" w14:paraId="0DD0F0D8" w14:textId="15AE8EEE">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 xml:space="preserve">An agreement to comply with and implement the requirements of this part </w:t>
      </w:r>
      <w:r w:rsidRPr="00315249">
        <w:rPr>
          <w:rFonts w:ascii="Arial" w:hAnsi="Arial" w:cs="Arial"/>
          <w:color w:val="000000"/>
          <w:sz w:val="24"/>
          <w:szCs w:val="24"/>
          <w:shd w:val="clear" w:color="auto" w:fill="FFFFFF"/>
        </w:rPr>
        <w:t>t</w:t>
      </w:r>
      <w:r w:rsidRPr="00315249" w:rsidR="00425D68">
        <w:rPr>
          <w:rFonts w:ascii="Arial" w:hAnsi="Arial" w:cs="Arial"/>
          <w:color w:val="000000"/>
          <w:sz w:val="24"/>
          <w:szCs w:val="24"/>
          <w:shd w:val="clear" w:color="auto" w:fill="FFFFFF"/>
        </w:rPr>
        <w:t>hroughout the term of the suicide prevention services grant.</w:t>
      </w:r>
    </w:p>
    <w:p w:rsidR="00842E61" w:rsidP="00842E61" w14:paraId="481828C9" w14:textId="64AE0684">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Any additional information as deemed appropriate by VA.</w:t>
      </w:r>
    </w:p>
    <w:p w:rsidR="00425D68" w:rsidRPr="00842E61" w:rsidP="00842E61" w14:paraId="563008A0" w14:textId="10592CCB">
      <w:pPr>
        <w:pStyle w:val="ListParagraph"/>
        <w:spacing w:before="240" w:after="0" w:line="240" w:lineRule="auto"/>
        <w:ind w:left="1166"/>
        <w:contextualSpacing w:val="0"/>
        <w:rPr>
          <w:rFonts w:ascii="Arial" w:hAnsi="Arial" w:cs="Arial"/>
          <w:color w:val="000000"/>
          <w:sz w:val="24"/>
          <w:szCs w:val="24"/>
          <w:shd w:val="clear" w:color="auto" w:fill="FFFFFF"/>
        </w:rPr>
      </w:pPr>
      <w:r w:rsidRPr="00842E61">
        <w:rPr>
          <w:rFonts w:ascii="Arial" w:hAnsi="Arial" w:cs="Arial"/>
        </w:rPr>
        <w:t xml:space="preserve"> </w:t>
      </w:r>
    </w:p>
    <w:p w:rsidR="00425D68" w:rsidRPr="00425D68" w:rsidP="00425D68" w14:paraId="0BC7D777" w14:textId="0EFCD61A">
      <w:pPr>
        <w:tabs>
          <w:tab w:val="left" w:pos="547"/>
          <w:tab w:val="left" w:pos="1080"/>
          <w:tab w:val="left" w:pos="1627"/>
          <w:tab w:val="left" w:pos="2160"/>
          <w:tab w:val="left" w:pos="2880"/>
        </w:tabs>
        <w:rPr>
          <w:rFonts w:ascii="Arial" w:hAnsi="Arial" w:cs="Arial"/>
        </w:rPr>
      </w:pPr>
      <w:r>
        <w:rPr>
          <w:rFonts w:ascii="Arial" w:hAnsi="Arial" w:cs="Arial"/>
          <w:u w:val="single"/>
        </w:rPr>
        <w:t xml:space="preserve">VA Form 10-315b -- </w:t>
      </w:r>
      <w:r w:rsidRPr="00425D68">
        <w:rPr>
          <w:rFonts w:ascii="Arial" w:hAnsi="Arial" w:cs="Arial"/>
          <w:u w:val="single"/>
        </w:rPr>
        <w:t>Renewal Application</w:t>
      </w:r>
      <w:r w:rsidRPr="006D0837">
        <w:rPr>
          <w:rFonts w:ascii="Arial" w:hAnsi="Arial" w:cs="Arial"/>
        </w:rPr>
        <w:t>:</w:t>
      </w:r>
      <w:r w:rsidR="00B7254F">
        <w:rPr>
          <w:rFonts w:ascii="Arial" w:hAnsi="Arial" w:cs="Arial"/>
        </w:rPr>
        <w:t xml:space="preserve"> </w:t>
      </w:r>
      <w:r w:rsidRPr="006D0837">
        <w:rPr>
          <w:rFonts w:ascii="Arial" w:hAnsi="Arial" w:cs="Arial"/>
        </w:rPr>
        <w:t xml:space="preserve"> </w:t>
      </w:r>
      <w:r w:rsidRPr="00425D68">
        <w:rPr>
          <w:rFonts w:ascii="Arial" w:hAnsi="Arial" w:cs="Arial"/>
          <w:bCs/>
        </w:rPr>
        <w:t xml:space="preserve">This data collection instrument </w:t>
      </w:r>
      <w:r w:rsidR="00A46D4E">
        <w:rPr>
          <w:rFonts w:ascii="Arial" w:hAnsi="Arial" w:cs="Arial"/>
          <w:bCs/>
        </w:rPr>
        <w:t>has been developed</w:t>
      </w:r>
      <w:r w:rsidRPr="00425D68">
        <w:rPr>
          <w:rFonts w:ascii="Arial" w:hAnsi="Arial" w:cs="Arial"/>
          <w:bCs/>
        </w:rPr>
        <w:t xml:space="preserve"> for grantees to renew grants previously awarded. </w:t>
      </w:r>
      <w:r w:rsidR="00A46D4E">
        <w:rPr>
          <w:rFonts w:ascii="Arial" w:hAnsi="Arial" w:cs="Arial"/>
          <w:bCs/>
        </w:rPr>
        <w:t xml:space="preserve">The renewal application </w:t>
      </w:r>
      <w:r w:rsidRPr="00425D68">
        <w:rPr>
          <w:rFonts w:ascii="Arial" w:hAnsi="Arial" w:cs="Arial"/>
          <w:bCs/>
        </w:rPr>
        <w:t>allow</w:t>
      </w:r>
      <w:r w:rsidR="00715D05">
        <w:rPr>
          <w:rFonts w:ascii="Arial" w:hAnsi="Arial" w:cs="Arial"/>
          <w:bCs/>
        </w:rPr>
        <w:t>s</w:t>
      </w:r>
      <w:r w:rsidRPr="00425D68">
        <w:rPr>
          <w:rFonts w:ascii="Arial" w:hAnsi="Arial" w:cs="Arial"/>
          <w:bCs/>
        </w:rPr>
        <w:t xml:space="preserve"> VA to fully evaluate the ability of applicants to achieve the goals of the </w:t>
      </w:r>
      <w:r w:rsidR="00315249">
        <w:rPr>
          <w:rFonts w:ascii="Arial" w:hAnsi="Arial" w:cs="Arial"/>
        </w:rPr>
        <w:t>SSG Fox SPGP</w:t>
      </w:r>
      <w:r w:rsidRPr="00425D68">
        <w:rPr>
          <w:rFonts w:ascii="Arial" w:hAnsi="Arial" w:cs="Arial"/>
          <w:bCs/>
        </w:rPr>
        <w:t xml:space="preserve"> and </w:t>
      </w:r>
      <w:r>
        <w:rPr>
          <w:rFonts w:ascii="Arial" w:hAnsi="Arial" w:cs="Arial"/>
          <w:bCs/>
        </w:rPr>
        <w:t xml:space="preserve">proposed </w:t>
      </w:r>
      <w:r w:rsidRPr="00425D68">
        <w:rPr>
          <w:rFonts w:ascii="Arial" w:hAnsi="Arial" w:cs="Arial"/>
          <w:bCs/>
        </w:rPr>
        <w:t xml:space="preserve">38 CFR Part </w:t>
      </w:r>
      <w:r>
        <w:rPr>
          <w:rFonts w:ascii="Arial" w:hAnsi="Arial" w:cs="Arial"/>
          <w:bCs/>
        </w:rPr>
        <w:t>78</w:t>
      </w:r>
      <w:r w:rsidRPr="00425D68">
        <w:rPr>
          <w:rFonts w:ascii="Arial" w:hAnsi="Arial" w:cs="Arial"/>
          <w:bCs/>
        </w:rPr>
        <w:t xml:space="preserve">. </w:t>
      </w:r>
      <w:r w:rsidRPr="00425D68">
        <w:rPr>
          <w:rFonts w:ascii="Arial" w:hAnsi="Arial" w:cs="Arial"/>
        </w:rPr>
        <w:t xml:space="preserve">This information </w:t>
      </w:r>
      <w:r w:rsidR="00B740FC">
        <w:rPr>
          <w:rFonts w:ascii="Arial" w:hAnsi="Arial" w:cs="Arial"/>
        </w:rPr>
        <w:t xml:space="preserve">is </w:t>
      </w:r>
      <w:r w:rsidRPr="00425D68">
        <w:rPr>
          <w:rFonts w:ascii="Arial" w:hAnsi="Arial" w:cs="Arial"/>
        </w:rPr>
        <w:t xml:space="preserve">used by </w:t>
      </w:r>
      <w:r>
        <w:rPr>
          <w:rFonts w:ascii="Arial" w:hAnsi="Arial" w:cs="Arial"/>
        </w:rPr>
        <w:t>VA</w:t>
      </w:r>
      <w:r w:rsidRPr="00425D68">
        <w:rPr>
          <w:rFonts w:ascii="Arial" w:hAnsi="Arial" w:cs="Arial"/>
        </w:rPr>
        <w:t xml:space="preserve"> to determine whether to award renewal funds to existing grantees.  </w:t>
      </w:r>
    </w:p>
    <w:p w:rsidR="00425D68" w:rsidP="00425D68" w14:paraId="0CA1B4F1" w14:textId="77777777">
      <w:pPr>
        <w:tabs>
          <w:tab w:val="left" w:pos="547"/>
          <w:tab w:val="left" w:pos="1080"/>
          <w:tab w:val="left" w:pos="1627"/>
          <w:tab w:val="left" w:pos="2160"/>
          <w:tab w:val="left" w:pos="2880"/>
        </w:tabs>
        <w:rPr>
          <w:rFonts w:ascii="Arial" w:hAnsi="Arial" w:cs="Arial"/>
        </w:rPr>
      </w:pPr>
    </w:p>
    <w:p w:rsidR="00C20228" w:rsidP="00C20228" w14:paraId="2D54C65D" w14:textId="14AE5F9E">
      <w:pPr>
        <w:tabs>
          <w:tab w:val="left" w:pos="547"/>
          <w:tab w:val="left" w:pos="1080"/>
          <w:tab w:val="left" w:pos="1627"/>
          <w:tab w:val="left" w:pos="2160"/>
          <w:tab w:val="left" w:pos="2880"/>
        </w:tabs>
        <w:rPr>
          <w:rFonts w:ascii="Arial" w:hAnsi="Arial" w:cs="Arial"/>
        </w:rPr>
      </w:pPr>
      <w:r>
        <w:rPr>
          <w:rFonts w:ascii="Arial" w:hAnsi="Arial" w:cs="Arial"/>
          <w:u w:val="single"/>
        </w:rPr>
        <w:t>VA Forms 10-316</w:t>
      </w:r>
      <w:r w:rsidR="007F7295">
        <w:rPr>
          <w:rFonts w:ascii="Arial" w:hAnsi="Arial" w:cs="Arial"/>
          <w:u w:val="single"/>
        </w:rPr>
        <w:t>b</w:t>
      </w:r>
      <w:r>
        <w:rPr>
          <w:rFonts w:ascii="Arial" w:hAnsi="Arial" w:cs="Arial"/>
          <w:u w:val="single"/>
        </w:rPr>
        <w:t>-</w:t>
      </w:r>
      <w:r w:rsidR="005675F4">
        <w:rPr>
          <w:rFonts w:ascii="Arial" w:hAnsi="Arial" w:cs="Arial"/>
          <w:u w:val="single"/>
        </w:rPr>
        <w:t>e</w:t>
      </w:r>
      <w:r>
        <w:rPr>
          <w:rFonts w:ascii="Arial" w:hAnsi="Arial" w:cs="Arial"/>
          <w:u w:val="single"/>
        </w:rPr>
        <w:t xml:space="preserve"> -- </w:t>
      </w:r>
      <w:r w:rsidRPr="005F4B77">
        <w:rPr>
          <w:rFonts w:ascii="Arial" w:hAnsi="Arial" w:cs="Arial"/>
          <w:u w:val="single"/>
        </w:rPr>
        <w:t>Compliance Reports</w:t>
      </w:r>
      <w:r w:rsidRPr="005F4B77">
        <w:rPr>
          <w:rFonts w:ascii="Arial" w:hAnsi="Arial" w:cs="Arial"/>
        </w:rPr>
        <w:t>:</w:t>
      </w:r>
      <w:r w:rsidR="00B7254F">
        <w:rPr>
          <w:rFonts w:ascii="Arial" w:hAnsi="Arial" w:cs="Arial"/>
        </w:rPr>
        <w:t xml:space="preserve"> </w:t>
      </w:r>
      <w:r w:rsidRPr="005F4B77">
        <w:rPr>
          <w:rFonts w:ascii="Arial" w:hAnsi="Arial" w:cs="Arial"/>
        </w:rPr>
        <w:t xml:space="preserve"> This information collection </w:t>
      </w:r>
      <w:r>
        <w:rPr>
          <w:rFonts w:ascii="Arial" w:hAnsi="Arial" w:cs="Arial"/>
        </w:rPr>
        <w:t xml:space="preserve">is </w:t>
      </w:r>
      <w:r w:rsidRPr="005F4B77">
        <w:rPr>
          <w:rFonts w:ascii="Arial" w:hAnsi="Arial" w:cs="Arial"/>
        </w:rPr>
        <w:t>required to ensure grantees are complying with all program requirements set forth in proposed 38 CFR Part 78 and their grant agreements. These reports allow VA to assess the provision of services under this grant program. These reports are</w:t>
      </w:r>
      <w:r w:rsidR="007F7295">
        <w:rPr>
          <w:rFonts w:ascii="Arial" w:hAnsi="Arial" w:cs="Arial"/>
        </w:rPr>
        <w:t xml:space="preserve"> </w:t>
      </w:r>
      <w:r w:rsidR="0008577B">
        <w:rPr>
          <w:rFonts w:ascii="Arial" w:hAnsi="Arial" w:cs="Arial"/>
        </w:rPr>
        <w:t>m</w:t>
      </w:r>
      <w:r w:rsidR="005675F4">
        <w:rPr>
          <w:rFonts w:ascii="Arial" w:hAnsi="Arial" w:cs="Arial"/>
        </w:rPr>
        <w:t>id-</w:t>
      </w:r>
      <w:r w:rsidRPr="005675F4" w:rsidR="005675F4">
        <w:rPr>
          <w:rFonts w:ascii="Arial" w:hAnsi="Arial" w:cs="Arial"/>
        </w:rPr>
        <w:t>year</w:t>
      </w:r>
      <w:r w:rsidRPr="005675F4">
        <w:rPr>
          <w:rFonts w:ascii="Arial" w:hAnsi="Arial" w:cs="Arial"/>
        </w:rPr>
        <w:t xml:space="preserve"> </w:t>
      </w:r>
      <w:r w:rsidR="007F7295">
        <w:rPr>
          <w:rFonts w:ascii="Arial" w:hAnsi="Arial" w:cs="Arial"/>
        </w:rPr>
        <w:t xml:space="preserve">and </w:t>
      </w:r>
      <w:r w:rsidR="0008577B">
        <w:rPr>
          <w:rFonts w:ascii="Arial" w:hAnsi="Arial" w:cs="Arial"/>
        </w:rPr>
        <w:t>e</w:t>
      </w:r>
      <w:r w:rsidR="007F7295">
        <w:rPr>
          <w:rFonts w:ascii="Arial" w:hAnsi="Arial" w:cs="Arial"/>
        </w:rPr>
        <w:t xml:space="preserve">nd-of-year </w:t>
      </w:r>
      <w:r w:rsidR="00E2236D">
        <w:rPr>
          <w:rFonts w:ascii="Arial" w:hAnsi="Arial" w:cs="Arial"/>
        </w:rPr>
        <w:t xml:space="preserve">Grantee </w:t>
      </w:r>
      <w:r w:rsidRPr="005675F4">
        <w:rPr>
          <w:rFonts w:ascii="Arial" w:hAnsi="Arial" w:cs="Arial"/>
        </w:rPr>
        <w:t>Performance</w:t>
      </w:r>
      <w:bookmarkStart w:id="0" w:name="_Hlk74298430"/>
      <w:r w:rsidRPr="005675F4">
        <w:rPr>
          <w:rFonts w:ascii="Arial" w:hAnsi="Arial" w:cs="Arial"/>
        </w:rPr>
        <w:t xml:space="preserve"> Reports, </w:t>
      </w:r>
      <w:r w:rsidRPr="005675F4" w:rsidR="001144F1">
        <w:rPr>
          <w:rFonts w:ascii="Arial" w:hAnsi="Arial" w:cs="Arial"/>
        </w:rPr>
        <w:t>Program &amp; Budget Change</w:t>
      </w:r>
      <w:r w:rsidR="00F946EE">
        <w:rPr>
          <w:rFonts w:ascii="Arial" w:hAnsi="Arial" w:cs="Arial"/>
        </w:rPr>
        <w:t xml:space="preserve"> Request</w:t>
      </w:r>
      <w:r w:rsidRPr="005675F4" w:rsidR="001144F1">
        <w:rPr>
          <w:rFonts w:ascii="Arial" w:hAnsi="Arial" w:cs="Arial"/>
        </w:rPr>
        <w:t xml:space="preserve">s, Corrective Action Plans, </w:t>
      </w:r>
      <w:r w:rsidR="005675F4">
        <w:rPr>
          <w:rFonts w:ascii="Arial" w:hAnsi="Arial" w:cs="Arial"/>
        </w:rPr>
        <w:t xml:space="preserve">and </w:t>
      </w:r>
      <w:r w:rsidRPr="005675F4">
        <w:rPr>
          <w:rFonts w:ascii="Arial" w:hAnsi="Arial" w:cs="Arial"/>
        </w:rPr>
        <w:t>Annual Financial Expenditure Reports</w:t>
      </w:r>
      <w:bookmarkEnd w:id="0"/>
      <w:r w:rsidRPr="005675F4" w:rsidR="005675F4">
        <w:rPr>
          <w:rFonts w:ascii="Arial" w:hAnsi="Arial" w:cs="Arial"/>
        </w:rPr>
        <w:t xml:space="preserve"> (submitted at close-out of annual award).</w:t>
      </w:r>
      <w:r w:rsidR="005675F4">
        <w:rPr>
          <w:rFonts w:ascii="Arial" w:hAnsi="Arial" w:cs="Arial"/>
        </w:rPr>
        <w:t xml:space="preserve"> </w:t>
      </w:r>
    </w:p>
    <w:p w:rsidR="00C20228" w:rsidP="00425D68" w14:paraId="2459249B" w14:textId="77777777">
      <w:pPr>
        <w:tabs>
          <w:tab w:val="left" w:pos="547"/>
          <w:tab w:val="left" w:pos="1080"/>
          <w:tab w:val="left" w:pos="1627"/>
          <w:tab w:val="left" w:pos="2160"/>
          <w:tab w:val="left" w:pos="2880"/>
        </w:tabs>
        <w:rPr>
          <w:rFonts w:ascii="Arial" w:hAnsi="Arial" w:cs="Arial"/>
        </w:rPr>
      </w:pPr>
    </w:p>
    <w:p w:rsidR="00A16A28" w:rsidP="00A16A28" w14:paraId="5B0C91CA" w14:textId="0096DE69">
      <w:pPr>
        <w:tabs>
          <w:tab w:val="left" w:pos="547"/>
          <w:tab w:val="left" w:pos="1080"/>
          <w:tab w:val="left" w:pos="1627"/>
          <w:tab w:val="left" w:pos="2160"/>
          <w:tab w:val="left" w:pos="2880"/>
        </w:tabs>
        <w:rPr>
          <w:rFonts w:ascii="Arial" w:hAnsi="Arial" w:cs="Arial"/>
        </w:rPr>
      </w:pPr>
      <w:r>
        <w:rPr>
          <w:rFonts w:ascii="Arial" w:hAnsi="Arial" w:cs="Arial"/>
          <w:u w:val="single"/>
        </w:rPr>
        <w:t xml:space="preserve">10-317a -- Eligibility </w:t>
      </w:r>
      <w:r w:rsidRPr="07A846F9">
        <w:rPr>
          <w:rFonts w:ascii="Arial" w:hAnsi="Arial" w:cs="Arial"/>
          <w:u w:val="single"/>
        </w:rPr>
        <w:t xml:space="preserve">Screening </w:t>
      </w:r>
      <w:r w:rsidR="0008577B">
        <w:rPr>
          <w:rFonts w:ascii="Arial" w:hAnsi="Arial" w:cs="Arial"/>
          <w:u w:val="single"/>
        </w:rPr>
        <w:t>Form</w:t>
      </w:r>
      <w:r w:rsidRPr="07A846F9">
        <w:rPr>
          <w:rFonts w:ascii="Arial" w:hAnsi="Arial" w:cs="Arial"/>
        </w:rPr>
        <w:t>:</w:t>
      </w:r>
      <w:r w:rsidR="00B7254F">
        <w:rPr>
          <w:rFonts w:ascii="Arial" w:hAnsi="Arial" w:cs="Arial"/>
        </w:rPr>
        <w:t xml:space="preserve"> </w:t>
      </w:r>
      <w:r w:rsidRPr="07A846F9">
        <w:rPr>
          <w:rFonts w:ascii="Arial" w:hAnsi="Arial" w:cs="Arial"/>
        </w:rPr>
        <w:t xml:space="preserve"> This data collection instrument </w:t>
      </w:r>
      <w:r>
        <w:rPr>
          <w:rFonts w:ascii="Arial" w:hAnsi="Arial" w:cs="Arial"/>
        </w:rPr>
        <w:t>is</w:t>
      </w:r>
      <w:r w:rsidRPr="07A846F9">
        <w:rPr>
          <w:rFonts w:ascii="Arial" w:hAnsi="Arial" w:cs="Arial"/>
        </w:rPr>
        <w:t xml:space="preserve"> </w:t>
      </w:r>
      <w:r w:rsidR="00AC6900">
        <w:rPr>
          <w:rFonts w:ascii="Arial" w:hAnsi="Arial" w:cs="Arial"/>
        </w:rPr>
        <w:t>use</w:t>
      </w:r>
      <w:r w:rsidRPr="07A846F9">
        <w:rPr>
          <w:rFonts w:ascii="Arial" w:hAnsi="Arial" w:cs="Arial"/>
        </w:rPr>
        <w:t xml:space="preserve">d by grantee staff to determine eligibility for the grant program, prior to enrollment. </w:t>
      </w:r>
      <w:r w:rsidRPr="07A846F9" w:rsidR="00AC6900">
        <w:rPr>
          <w:rFonts w:ascii="Arial" w:hAnsi="Arial" w:cs="Arial"/>
        </w:rPr>
        <w:t>The instrument include</w:t>
      </w:r>
      <w:r w:rsidR="00AC6900">
        <w:rPr>
          <w:rFonts w:ascii="Arial" w:hAnsi="Arial" w:cs="Arial"/>
        </w:rPr>
        <w:t>s</w:t>
      </w:r>
      <w:r w:rsidRPr="07A846F9" w:rsidR="00AC6900">
        <w:rPr>
          <w:rFonts w:ascii="Arial" w:hAnsi="Arial" w:cs="Arial"/>
        </w:rPr>
        <w:t xml:space="preserve"> suicide risk factors</w:t>
      </w:r>
      <w:r w:rsidR="00AC6900">
        <w:rPr>
          <w:rFonts w:ascii="Arial" w:hAnsi="Arial" w:cs="Arial"/>
        </w:rPr>
        <w:t xml:space="preserve"> and the Columbia Suicide Severity Rating Scale (C-SSRS) administered by grantees to assess </w:t>
      </w:r>
      <w:r w:rsidRPr="07A846F9" w:rsidR="00AC6900">
        <w:rPr>
          <w:rFonts w:ascii="Arial" w:hAnsi="Arial" w:cs="Arial"/>
        </w:rPr>
        <w:t>suicide risk</w:t>
      </w:r>
      <w:r w:rsidR="00AC6900">
        <w:rPr>
          <w:rFonts w:ascii="Arial" w:hAnsi="Arial" w:cs="Arial"/>
        </w:rPr>
        <w:t xml:space="preserve">.  </w:t>
      </w:r>
    </w:p>
    <w:p w:rsidR="00C20228" w:rsidRPr="00425D68" w:rsidP="00425D68" w14:paraId="03C05922" w14:textId="77777777">
      <w:pPr>
        <w:tabs>
          <w:tab w:val="left" w:pos="547"/>
          <w:tab w:val="left" w:pos="1080"/>
          <w:tab w:val="left" w:pos="1627"/>
          <w:tab w:val="left" w:pos="2160"/>
          <w:tab w:val="left" w:pos="2880"/>
        </w:tabs>
        <w:rPr>
          <w:rFonts w:ascii="Arial" w:hAnsi="Arial" w:cs="Arial"/>
        </w:rPr>
      </w:pPr>
    </w:p>
    <w:p w:rsidR="007F50BE" w:rsidRPr="00761F28" w:rsidP="007F50BE" w14:paraId="47B5B4EF" w14:textId="2495A5BC">
      <w:pPr>
        <w:tabs>
          <w:tab w:val="left" w:pos="547"/>
          <w:tab w:val="left" w:pos="1080"/>
          <w:tab w:val="left" w:pos="1627"/>
          <w:tab w:val="left" w:pos="2160"/>
          <w:tab w:val="left" w:pos="2880"/>
        </w:tabs>
        <w:rPr>
          <w:rFonts w:ascii="Arial" w:hAnsi="Arial" w:cs="Arial"/>
        </w:rPr>
      </w:pPr>
      <w:r>
        <w:rPr>
          <w:rFonts w:ascii="Arial" w:hAnsi="Arial" w:cs="Arial"/>
          <w:u w:val="single"/>
        </w:rPr>
        <w:t xml:space="preserve">10-317b -- </w:t>
      </w:r>
      <w:r w:rsidRPr="00D63745">
        <w:rPr>
          <w:rFonts w:ascii="Arial" w:hAnsi="Arial" w:cs="Arial"/>
          <w:u w:val="single"/>
        </w:rPr>
        <w:t>Intake Form</w:t>
      </w:r>
      <w:r>
        <w:rPr>
          <w:rFonts w:ascii="Arial" w:hAnsi="Arial" w:cs="Arial"/>
        </w:rPr>
        <w:t>:</w:t>
      </w:r>
      <w:r w:rsidR="00B7254F">
        <w:rPr>
          <w:rFonts w:ascii="Arial" w:hAnsi="Arial" w:cs="Arial"/>
        </w:rPr>
        <w:t xml:space="preserve"> </w:t>
      </w:r>
      <w:r w:rsidRPr="35CB2D15">
        <w:rPr>
          <w:rFonts w:ascii="Arial" w:hAnsi="Arial" w:cs="Arial"/>
        </w:rPr>
        <w:t xml:space="preserve"> This data </w:t>
      </w:r>
      <w:r w:rsidRPr="008B7678">
        <w:rPr>
          <w:rFonts w:ascii="Arial" w:hAnsi="Arial" w:cs="Arial"/>
        </w:rPr>
        <w:t xml:space="preserve">collection instrument </w:t>
      </w:r>
      <w:r w:rsidRPr="008B7678" w:rsidR="00B740FC">
        <w:rPr>
          <w:rFonts w:ascii="Arial" w:hAnsi="Arial" w:cs="Arial"/>
        </w:rPr>
        <w:t>is</w:t>
      </w:r>
      <w:r w:rsidRPr="008B7678">
        <w:rPr>
          <w:rFonts w:ascii="Arial" w:hAnsi="Arial" w:cs="Arial"/>
        </w:rPr>
        <w:t xml:space="preserve"> used by grantee staff to collect demographic and military service</w:t>
      </w:r>
      <w:r w:rsidRPr="008B7678" w:rsidR="00766353">
        <w:rPr>
          <w:rFonts w:ascii="Arial" w:hAnsi="Arial" w:cs="Arial"/>
        </w:rPr>
        <w:t xml:space="preserve"> information for Veterans and active-duty Service Members</w:t>
      </w:r>
      <w:r w:rsidRPr="008B7678">
        <w:rPr>
          <w:rFonts w:ascii="Arial" w:hAnsi="Arial" w:cs="Arial"/>
        </w:rPr>
        <w:t xml:space="preserve">. This information </w:t>
      </w:r>
      <w:r w:rsidRPr="008B7678" w:rsidR="00B740FC">
        <w:rPr>
          <w:rFonts w:ascii="Arial" w:hAnsi="Arial" w:cs="Arial"/>
        </w:rPr>
        <w:t>is</w:t>
      </w:r>
      <w:r w:rsidRPr="008B7678">
        <w:rPr>
          <w:rFonts w:ascii="Arial" w:hAnsi="Arial" w:cs="Arial"/>
        </w:rPr>
        <w:t xml:space="preserve"> used by the VA to identify trends of the Veteran population the grantees are servicing. In addition, the intake form include</w:t>
      </w:r>
      <w:r w:rsidRPr="008B7678" w:rsidR="00B740FC">
        <w:rPr>
          <w:rFonts w:ascii="Arial" w:hAnsi="Arial" w:cs="Arial"/>
        </w:rPr>
        <w:t>s</w:t>
      </w:r>
      <w:r w:rsidRPr="008B7678">
        <w:rPr>
          <w:rFonts w:ascii="Arial" w:hAnsi="Arial" w:cs="Arial"/>
        </w:rPr>
        <w:t xml:space="preserve"> the following </w:t>
      </w:r>
      <w:r w:rsidRPr="008B7678" w:rsidR="00B740FC">
        <w:rPr>
          <w:rFonts w:ascii="Arial" w:hAnsi="Arial" w:cs="Arial"/>
        </w:rPr>
        <w:t>screenings</w:t>
      </w:r>
      <w:r w:rsidRPr="00761F28">
        <w:rPr>
          <w:rFonts w:ascii="Arial" w:hAnsi="Arial" w:cs="Arial"/>
        </w:rPr>
        <w:t xml:space="preserve"> </w:t>
      </w:r>
    </w:p>
    <w:p w:rsidR="007F50BE" w:rsidP="007F50BE" w14:paraId="20EAFDBB" w14:textId="77777777">
      <w:pPr>
        <w:tabs>
          <w:tab w:val="left" w:pos="547"/>
          <w:tab w:val="left" w:pos="1080"/>
          <w:tab w:val="left" w:pos="1627"/>
          <w:tab w:val="left" w:pos="2160"/>
          <w:tab w:val="left" w:pos="2880"/>
        </w:tabs>
        <w:rPr>
          <w:rFonts w:ascii="Arial" w:hAnsi="Arial" w:cs="Arial"/>
        </w:rPr>
      </w:pPr>
    </w:p>
    <w:p w:rsidR="00A16A28" w:rsidP="00A16A28" w14:paraId="40165133" w14:textId="1C03DBA4">
      <w:pPr>
        <w:pStyle w:val="Header"/>
        <w:tabs>
          <w:tab w:val="left" w:pos="547"/>
          <w:tab w:val="left" w:pos="1080"/>
          <w:tab w:val="left" w:pos="1627"/>
          <w:tab w:val="left" w:pos="2160"/>
          <w:tab w:val="left" w:pos="2880"/>
          <w:tab w:val="clear" w:pos="4320"/>
          <w:tab w:val="clear" w:pos="8640"/>
        </w:tabs>
        <w:rPr>
          <w:rFonts w:ascii="Arial" w:hAnsi="Arial" w:cs="Arial"/>
          <w:sz w:val="24"/>
          <w:szCs w:val="24"/>
        </w:rPr>
      </w:pPr>
      <w:r>
        <w:rPr>
          <w:rFonts w:ascii="Arial" w:hAnsi="Arial" w:cs="Arial"/>
          <w:sz w:val="24"/>
          <w:szCs w:val="24"/>
          <w:u w:val="single"/>
        </w:rPr>
        <w:t xml:space="preserve">10-317c -- </w:t>
      </w:r>
      <w:r w:rsidRPr="00425D68">
        <w:rPr>
          <w:rFonts w:ascii="Arial" w:hAnsi="Arial" w:cs="Arial"/>
          <w:sz w:val="24"/>
          <w:szCs w:val="24"/>
          <w:u w:val="single"/>
        </w:rPr>
        <w:t>Participant Satisfaction Survey</w:t>
      </w:r>
      <w:r w:rsidRPr="006D0837">
        <w:rPr>
          <w:rFonts w:ascii="Arial" w:hAnsi="Arial" w:cs="Arial"/>
          <w:sz w:val="24"/>
          <w:szCs w:val="24"/>
        </w:rPr>
        <w:t>:</w:t>
      </w:r>
      <w:r w:rsidRPr="00425D68">
        <w:rPr>
          <w:rFonts w:ascii="Arial" w:hAnsi="Arial" w:cs="Arial"/>
          <w:sz w:val="24"/>
          <w:szCs w:val="24"/>
        </w:rPr>
        <w:t xml:space="preserve"> </w:t>
      </w:r>
      <w:r w:rsidR="00DE2AA8">
        <w:rPr>
          <w:rFonts w:ascii="Arial" w:hAnsi="Arial" w:cs="Arial"/>
          <w:sz w:val="24"/>
          <w:szCs w:val="24"/>
        </w:rPr>
        <w:t xml:space="preserve"> </w:t>
      </w:r>
      <w:r w:rsidRPr="00425D68">
        <w:rPr>
          <w:rFonts w:ascii="Arial" w:hAnsi="Arial" w:cs="Arial"/>
          <w:bCs/>
          <w:sz w:val="24"/>
          <w:szCs w:val="24"/>
        </w:rPr>
        <w:t xml:space="preserve">This data collection instrument </w:t>
      </w:r>
      <w:r w:rsidRPr="00A46D4E">
        <w:rPr>
          <w:rFonts w:ascii="Arial" w:hAnsi="Arial" w:cs="Arial"/>
          <w:bCs/>
          <w:sz w:val="24"/>
          <w:szCs w:val="24"/>
        </w:rPr>
        <w:t>has been developed to</w:t>
      </w:r>
      <w:r w:rsidRPr="00425D68">
        <w:rPr>
          <w:rFonts w:ascii="Arial" w:hAnsi="Arial" w:cs="Arial"/>
          <w:bCs/>
          <w:sz w:val="24"/>
          <w:szCs w:val="24"/>
        </w:rPr>
        <w:t xml:space="preserve"> capture consumer feedback about services</w:t>
      </w:r>
      <w:r>
        <w:rPr>
          <w:rFonts w:ascii="Arial" w:hAnsi="Arial" w:cs="Arial"/>
          <w:bCs/>
          <w:sz w:val="24"/>
          <w:szCs w:val="24"/>
        </w:rPr>
        <w:t xml:space="preserve"> and </w:t>
      </w:r>
      <w:r w:rsidRPr="00425D68">
        <w:rPr>
          <w:rFonts w:ascii="Arial" w:hAnsi="Arial" w:cs="Arial"/>
          <w:bCs/>
          <w:sz w:val="24"/>
          <w:szCs w:val="24"/>
        </w:rPr>
        <w:t xml:space="preserve">to evaluate the </w:t>
      </w:r>
      <w:r>
        <w:rPr>
          <w:rFonts w:ascii="Arial" w:hAnsi="Arial" w:cs="Arial"/>
          <w:sz w:val="24"/>
          <w:szCs w:val="24"/>
        </w:rPr>
        <w:t>SSG Fox SPGP</w:t>
      </w:r>
      <w:r w:rsidRPr="00425D68">
        <w:rPr>
          <w:rFonts w:ascii="Arial" w:hAnsi="Arial" w:cs="Arial"/>
          <w:bCs/>
          <w:sz w:val="24"/>
          <w:szCs w:val="24"/>
        </w:rPr>
        <w:t xml:space="preserve">. </w:t>
      </w:r>
      <w:r>
        <w:rPr>
          <w:rFonts w:ascii="Arial" w:hAnsi="Arial" w:cs="Arial"/>
          <w:bCs/>
          <w:sz w:val="24"/>
          <w:szCs w:val="24"/>
        </w:rPr>
        <w:t>T</w:t>
      </w:r>
      <w:r w:rsidRPr="00425D68">
        <w:rPr>
          <w:rFonts w:ascii="Arial" w:hAnsi="Arial" w:cs="Arial"/>
          <w:sz w:val="24"/>
          <w:szCs w:val="24"/>
        </w:rPr>
        <w:t xml:space="preserve">his information </w:t>
      </w:r>
      <w:r>
        <w:rPr>
          <w:rFonts w:ascii="Arial" w:hAnsi="Arial" w:cs="Arial"/>
          <w:sz w:val="24"/>
          <w:szCs w:val="24"/>
        </w:rPr>
        <w:t>is used</w:t>
      </w:r>
      <w:r w:rsidRPr="00425D68">
        <w:rPr>
          <w:rFonts w:ascii="Arial" w:hAnsi="Arial" w:cs="Arial"/>
          <w:sz w:val="24"/>
          <w:szCs w:val="24"/>
        </w:rPr>
        <w:t xml:space="preserve"> by VA to determine the satisfaction of Veterans participating in the </w:t>
      </w:r>
      <w:r>
        <w:rPr>
          <w:rFonts w:ascii="Arial" w:hAnsi="Arial" w:cs="Arial"/>
          <w:sz w:val="24"/>
          <w:szCs w:val="24"/>
        </w:rPr>
        <w:t>grant p</w:t>
      </w:r>
      <w:r w:rsidRPr="00425D68">
        <w:rPr>
          <w:rFonts w:ascii="Arial" w:hAnsi="Arial" w:cs="Arial"/>
          <w:bCs/>
          <w:sz w:val="24"/>
          <w:szCs w:val="24"/>
        </w:rPr>
        <w:t>rogram</w:t>
      </w:r>
      <w:r>
        <w:rPr>
          <w:rFonts w:ascii="Arial" w:hAnsi="Arial" w:cs="Arial"/>
          <w:bCs/>
          <w:sz w:val="24"/>
          <w:szCs w:val="24"/>
        </w:rPr>
        <w:t>-funded services and the effectiveness of those services provided under the SSG Fox SPGP</w:t>
      </w:r>
      <w:r w:rsidRPr="00425D68">
        <w:rPr>
          <w:rFonts w:ascii="Arial" w:hAnsi="Arial" w:cs="Arial"/>
          <w:sz w:val="24"/>
          <w:szCs w:val="24"/>
        </w:rPr>
        <w:t xml:space="preserve">.     </w:t>
      </w:r>
    </w:p>
    <w:p w:rsidR="00A16A28" w:rsidRPr="00761F28" w:rsidP="007F50BE" w14:paraId="33875314" w14:textId="77777777">
      <w:pPr>
        <w:tabs>
          <w:tab w:val="left" w:pos="547"/>
          <w:tab w:val="left" w:pos="1080"/>
          <w:tab w:val="left" w:pos="1627"/>
          <w:tab w:val="left" w:pos="2160"/>
          <w:tab w:val="left" w:pos="2880"/>
        </w:tabs>
        <w:rPr>
          <w:rFonts w:ascii="Arial" w:hAnsi="Arial" w:cs="Arial"/>
        </w:rPr>
      </w:pPr>
    </w:p>
    <w:p w:rsidR="007F50BE" w:rsidP="007F50BE" w14:paraId="7214BEA8" w14:textId="51F6E800">
      <w:pPr>
        <w:tabs>
          <w:tab w:val="left" w:pos="547"/>
          <w:tab w:val="left" w:pos="1080"/>
          <w:tab w:val="left" w:pos="1627"/>
          <w:tab w:val="left" w:pos="2160"/>
          <w:tab w:val="left" w:pos="2880"/>
        </w:tabs>
        <w:rPr>
          <w:rFonts w:ascii="Arial" w:hAnsi="Arial" w:cs="Arial"/>
        </w:rPr>
      </w:pPr>
      <w:r>
        <w:rPr>
          <w:rFonts w:ascii="Arial" w:hAnsi="Arial" w:cs="Arial"/>
          <w:u w:val="single"/>
        </w:rPr>
        <w:t xml:space="preserve">10-317d -- </w:t>
      </w:r>
      <w:r w:rsidRPr="00761F28">
        <w:rPr>
          <w:rFonts w:ascii="Arial" w:hAnsi="Arial" w:cs="Arial"/>
          <w:u w:val="single"/>
        </w:rPr>
        <w:t xml:space="preserve">Program Exit </w:t>
      </w:r>
      <w:r w:rsidR="00715D05">
        <w:rPr>
          <w:rFonts w:ascii="Arial" w:hAnsi="Arial" w:cs="Arial"/>
          <w:u w:val="single"/>
        </w:rPr>
        <w:t>Screening</w:t>
      </w:r>
      <w:r w:rsidR="00C759FE">
        <w:rPr>
          <w:rFonts w:ascii="Arial" w:hAnsi="Arial" w:cs="Arial"/>
          <w:u w:val="single"/>
        </w:rPr>
        <w:t xml:space="preserve"> Checklist</w:t>
      </w:r>
      <w:r w:rsidRPr="00761F28">
        <w:rPr>
          <w:rFonts w:ascii="Arial" w:hAnsi="Arial" w:cs="Arial"/>
        </w:rPr>
        <w:t xml:space="preserve">:  This data collection instrument </w:t>
      </w:r>
      <w:r w:rsidR="00715D05">
        <w:rPr>
          <w:rFonts w:ascii="Arial" w:hAnsi="Arial" w:cs="Arial"/>
        </w:rPr>
        <w:t>is</w:t>
      </w:r>
      <w:r w:rsidRPr="00761F28">
        <w:rPr>
          <w:rFonts w:ascii="Arial" w:hAnsi="Arial" w:cs="Arial"/>
        </w:rPr>
        <w:t xml:space="preserve"> used by grantee staff at the completion of the program to track the following </w:t>
      </w:r>
      <w:r w:rsidR="00DE2AA8">
        <w:rPr>
          <w:rFonts w:ascii="Arial" w:hAnsi="Arial" w:cs="Arial"/>
        </w:rPr>
        <w:t>assessment</w:t>
      </w:r>
      <w:r w:rsidRPr="00761F28">
        <w:rPr>
          <w:rFonts w:ascii="Arial" w:hAnsi="Arial" w:cs="Arial"/>
        </w:rPr>
        <w:t xml:space="preserve">s upon program exit (described below): </w:t>
      </w:r>
      <w:r w:rsidR="00DE2AA8">
        <w:rPr>
          <w:rFonts w:ascii="Arial" w:hAnsi="Arial" w:cs="Arial"/>
        </w:rPr>
        <w:t xml:space="preserve"> </w:t>
      </w:r>
      <w:r w:rsidRPr="00761F28">
        <w:rPr>
          <w:rFonts w:ascii="Arial" w:hAnsi="Arial" w:cs="Arial"/>
        </w:rPr>
        <w:t>Social Economic Status (SES); Patient Health Questionnaire (PHQ-9); Warwick-Edinburgh Mental Wellbeing Scale</w:t>
      </w:r>
      <w:r w:rsidRPr="35CB2D15">
        <w:rPr>
          <w:rFonts w:ascii="Arial" w:hAnsi="Arial" w:cs="Arial"/>
        </w:rPr>
        <w:t xml:space="preserve"> (WEMWS); and Interpersonal Support Evaluation List (ISEL</w:t>
      </w:r>
      <w:r>
        <w:rPr>
          <w:rFonts w:ascii="Arial" w:hAnsi="Arial" w:cs="Arial"/>
        </w:rPr>
        <w:t>-12</w:t>
      </w:r>
      <w:r w:rsidRPr="35CB2D15">
        <w:rPr>
          <w:rFonts w:ascii="Arial" w:hAnsi="Arial" w:cs="Arial"/>
        </w:rPr>
        <w:t xml:space="preserve">). </w:t>
      </w:r>
    </w:p>
    <w:p w:rsidR="00766353" w:rsidP="007F50BE" w14:paraId="74A96C57" w14:textId="77777777">
      <w:pPr>
        <w:tabs>
          <w:tab w:val="left" w:pos="547"/>
          <w:tab w:val="left" w:pos="1080"/>
          <w:tab w:val="left" w:pos="1627"/>
          <w:tab w:val="left" w:pos="2160"/>
          <w:tab w:val="left" w:pos="2880"/>
        </w:tabs>
        <w:rPr>
          <w:rFonts w:ascii="Arial" w:hAnsi="Arial" w:cs="Arial"/>
        </w:rPr>
      </w:pPr>
    </w:p>
    <w:p w:rsidR="00766353" w:rsidRPr="00761F28" w:rsidP="00766353" w14:paraId="6C4647ED" w14:textId="318E9679">
      <w:pPr>
        <w:tabs>
          <w:tab w:val="left" w:pos="547"/>
          <w:tab w:val="left" w:pos="1080"/>
          <w:tab w:val="left" w:pos="1627"/>
          <w:tab w:val="left" w:pos="2160"/>
          <w:tab w:val="left" w:pos="2880"/>
        </w:tabs>
        <w:rPr>
          <w:rFonts w:ascii="Arial" w:hAnsi="Arial" w:cs="Arial"/>
        </w:rPr>
      </w:pPr>
      <w:r w:rsidRPr="00766353">
        <w:rPr>
          <w:rFonts w:ascii="Arial" w:hAnsi="Arial" w:cs="Arial"/>
          <w:u w:val="single"/>
        </w:rPr>
        <w:t>10-317e -- Baseline</w:t>
      </w:r>
      <w:r w:rsidRPr="00075377">
        <w:rPr>
          <w:rFonts w:ascii="Arial" w:hAnsi="Arial" w:cs="Arial"/>
          <w:u w:val="single"/>
        </w:rPr>
        <w:t xml:space="preserve"> Mental Health Screening</w:t>
      </w:r>
      <w:r>
        <w:rPr>
          <w:rFonts w:ascii="Arial" w:hAnsi="Arial" w:cs="Arial"/>
        </w:rPr>
        <w:t xml:space="preserve">:  This screening is required for all eligible individuals enrolled in the program. The </w:t>
      </w:r>
      <w:r w:rsidR="00C07453">
        <w:rPr>
          <w:rFonts w:ascii="Arial" w:hAnsi="Arial" w:cs="Arial"/>
        </w:rPr>
        <w:t>screening</w:t>
      </w:r>
      <w:r>
        <w:rPr>
          <w:rFonts w:ascii="Arial" w:hAnsi="Arial" w:cs="Arial"/>
        </w:rPr>
        <w:t xml:space="preserve"> includes the following </w:t>
      </w:r>
      <w:r w:rsidR="00C07453">
        <w:rPr>
          <w:rFonts w:ascii="Arial" w:hAnsi="Arial" w:cs="Arial"/>
        </w:rPr>
        <w:t>assessment</w:t>
      </w:r>
      <w:r>
        <w:rPr>
          <w:rFonts w:ascii="Arial" w:hAnsi="Arial" w:cs="Arial"/>
        </w:rPr>
        <w:t xml:space="preserve">s </w:t>
      </w:r>
      <w:r w:rsidRPr="00761F28">
        <w:rPr>
          <w:rFonts w:ascii="Arial" w:hAnsi="Arial" w:cs="Arial"/>
        </w:rPr>
        <w:t>(described below):</w:t>
      </w:r>
      <w:r w:rsidR="00C07453">
        <w:rPr>
          <w:rFonts w:ascii="Arial" w:hAnsi="Arial" w:cs="Arial"/>
        </w:rPr>
        <w:t xml:space="preserve">  </w:t>
      </w:r>
      <w:r w:rsidRPr="00761F28">
        <w:rPr>
          <w:rFonts w:ascii="Arial" w:hAnsi="Arial" w:cs="Arial"/>
        </w:rPr>
        <w:t>Social Economic Status (SES); Patient Health Questionnaire (PHQ-9); Warwick-Edinburgh Mental Wellbeing Scale (WEMWS); and Interpersonal Support Evaluation List (ISEL-12).</w:t>
      </w:r>
    </w:p>
    <w:p w:rsidR="00766353" w:rsidRPr="00766353" w:rsidP="007F50BE" w14:paraId="0FF8A7B6" w14:textId="5F423419">
      <w:pPr>
        <w:tabs>
          <w:tab w:val="left" w:pos="547"/>
          <w:tab w:val="left" w:pos="1080"/>
          <w:tab w:val="left" w:pos="1627"/>
          <w:tab w:val="left" w:pos="2160"/>
          <w:tab w:val="left" w:pos="2880"/>
        </w:tabs>
        <w:rPr>
          <w:rFonts w:ascii="Arial" w:hAnsi="Arial" w:cs="Arial"/>
        </w:rPr>
      </w:pPr>
    </w:p>
    <w:p w:rsidR="007F50BE" w:rsidRPr="00761F28" w:rsidP="007F50BE" w14:paraId="42F8872C" w14:textId="3022D781">
      <w:pPr>
        <w:tabs>
          <w:tab w:val="left" w:pos="547"/>
          <w:tab w:val="left" w:pos="1080"/>
          <w:tab w:val="left" w:pos="1627"/>
          <w:tab w:val="left" w:pos="2160"/>
          <w:tab w:val="left" w:pos="2880"/>
        </w:tabs>
        <w:rPr>
          <w:rFonts w:ascii="Arial" w:hAnsi="Arial" w:cs="Arial"/>
        </w:rPr>
      </w:pPr>
      <w:r w:rsidRPr="006E1DF6">
        <w:rPr>
          <w:rFonts w:ascii="Arial" w:hAnsi="Arial" w:cs="Arial"/>
          <w:u w:val="single"/>
        </w:rPr>
        <w:t>S</w:t>
      </w:r>
      <w:r w:rsidRPr="006E1DF6" w:rsidR="00715D05">
        <w:rPr>
          <w:rFonts w:ascii="Arial" w:hAnsi="Arial" w:cs="Arial"/>
          <w:u w:val="single"/>
        </w:rPr>
        <w:t>creening</w:t>
      </w:r>
      <w:r w:rsidRPr="006E1DF6" w:rsidR="00351F93">
        <w:rPr>
          <w:rFonts w:ascii="Arial" w:hAnsi="Arial" w:cs="Arial"/>
          <w:u w:val="single"/>
        </w:rPr>
        <w:t>s</w:t>
      </w:r>
      <w:r w:rsidRPr="35CB2D15">
        <w:rPr>
          <w:rFonts w:ascii="Arial" w:hAnsi="Arial" w:cs="Arial"/>
        </w:rPr>
        <w:t xml:space="preserve"> are all brief, simple, publicly available</w:t>
      </w:r>
      <w:r w:rsidR="008B7678">
        <w:rPr>
          <w:rFonts w:ascii="Arial" w:hAnsi="Arial" w:cs="Arial"/>
        </w:rPr>
        <w:t>,</w:t>
      </w:r>
      <w:r w:rsidRPr="35CB2D15">
        <w:rPr>
          <w:rFonts w:ascii="Arial" w:hAnsi="Arial" w:cs="Arial"/>
        </w:rPr>
        <w:t xml:space="preserve"> and well-validated. These instruments </w:t>
      </w:r>
      <w:r w:rsidR="00C7075A">
        <w:rPr>
          <w:rFonts w:ascii="Arial" w:hAnsi="Arial" w:cs="Arial"/>
        </w:rPr>
        <w:t xml:space="preserve">are </w:t>
      </w:r>
      <w:r w:rsidRPr="35CB2D15">
        <w:rPr>
          <w:rFonts w:ascii="Arial" w:hAnsi="Arial" w:cs="Arial"/>
        </w:rPr>
        <w:t xml:space="preserve">used by VA to determine whether there was a reduction of mood-related symptoms and overall improved well-being </w:t>
      </w:r>
      <w:r w:rsidRPr="008B7678">
        <w:rPr>
          <w:rFonts w:ascii="Arial" w:hAnsi="Arial" w:cs="Arial"/>
        </w:rPr>
        <w:t xml:space="preserve">functioning of </w:t>
      </w:r>
      <w:r w:rsidRPr="008B7678" w:rsidR="005F763B">
        <w:rPr>
          <w:rFonts w:ascii="Arial" w:hAnsi="Arial" w:cs="Arial"/>
        </w:rPr>
        <w:t>eligible individuals</w:t>
      </w:r>
      <w:r w:rsidRPr="008B7678">
        <w:rPr>
          <w:rFonts w:ascii="Arial" w:hAnsi="Arial" w:cs="Arial"/>
        </w:rPr>
        <w:t xml:space="preserve"> at both </w:t>
      </w:r>
      <w:r w:rsidRPr="008B7678" w:rsidR="005F763B">
        <w:rPr>
          <w:rFonts w:ascii="Arial" w:hAnsi="Arial" w:cs="Arial"/>
        </w:rPr>
        <w:t>enrollment in the program</w:t>
      </w:r>
      <w:r w:rsidRPr="008B7678">
        <w:rPr>
          <w:rFonts w:ascii="Arial" w:hAnsi="Arial" w:cs="Arial"/>
        </w:rPr>
        <w:t xml:space="preserve"> and </w:t>
      </w:r>
      <w:r w:rsidRPr="008B7678" w:rsidR="005F763B">
        <w:rPr>
          <w:rFonts w:ascii="Arial" w:hAnsi="Arial" w:cs="Arial"/>
        </w:rPr>
        <w:t>upon p</w:t>
      </w:r>
      <w:r w:rsidRPr="008B7678">
        <w:rPr>
          <w:rFonts w:ascii="Arial" w:hAnsi="Arial" w:cs="Arial"/>
        </w:rPr>
        <w:t xml:space="preserve">rogram </w:t>
      </w:r>
      <w:r w:rsidRPr="008B7678" w:rsidR="005F763B">
        <w:rPr>
          <w:rFonts w:ascii="Arial" w:hAnsi="Arial" w:cs="Arial"/>
        </w:rPr>
        <w:t>e</w:t>
      </w:r>
      <w:r w:rsidRPr="008B7678">
        <w:rPr>
          <w:rFonts w:ascii="Arial" w:hAnsi="Arial" w:cs="Arial"/>
        </w:rPr>
        <w:t>xi</w:t>
      </w:r>
      <w:r w:rsidRPr="008B7678" w:rsidR="005F4B77">
        <w:rPr>
          <w:rFonts w:ascii="Arial" w:hAnsi="Arial" w:cs="Arial"/>
        </w:rPr>
        <w:t>t:</w:t>
      </w:r>
      <w:r w:rsidRPr="00761F28" w:rsidR="005F4B77">
        <w:rPr>
          <w:rFonts w:ascii="Arial" w:hAnsi="Arial" w:cs="Arial"/>
        </w:rPr>
        <w:t xml:space="preserve"> </w:t>
      </w:r>
    </w:p>
    <w:p w:rsidR="007F50BE" w:rsidRPr="00761F28" w:rsidP="007F50BE" w14:paraId="53666BF7" w14:textId="77777777">
      <w:pPr>
        <w:tabs>
          <w:tab w:val="left" w:pos="547"/>
          <w:tab w:val="left" w:pos="1080"/>
          <w:tab w:val="left" w:pos="1627"/>
          <w:tab w:val="left" w:pos="2160"/>
          <w:tab w:val="left" w:pos="2880"/>
        </w:tabs>
        <w:rPr>
          <w:rFonts w:ascii="Arial" w:hAnsi="Arial" w:cs="Arial"/>
        </w:rPr>
      </w:pPr>
    </w:p>
    <w:p w:rsidR="007F50BE" w:rsidRPr="00761F28" w:rsidP="007F50BE" w14:paraId="1B48B96D" w14:textId="4801CE37">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Socio-Economic Status (SES)</w:t>
      </w:r>
      <w:r w:rsidRPr="00761F28">
        <w:rPr>
          <w:rFonts w:ascii="Arial" w:hAnsi="Arial" w:cs="Arial"/>
        </w:rPr>
        <w:t xml:space="preserve">: </w:t>
      </w:r>
      <w:r w:rsidR="00462052">
        <w:rPr>
          <w:rFonts w:ascii="Arial" w:hAnsi="Arial" w:cs="Arial"/>
        </w:rPr>
        <w:t xml:space="preserve"> </w:t>
      </w:r>
      <w:r w:rsidRPr="00761F28">
        <w:rPr>
          <w:rFonts w:ascii="Arial" w:hAnsi="Arial" w:cs="Arial"/>
        </w:rPr>
        <w:t xml:space="preserve">This instrument </w:t>
      </w:r>
      <w:r w:rsidR="00B740FC">
        <w:rPr>
          <w:rFonts w:ascii="Arial" w:hAnsi="Arial" w:cs="Arial"/>
        </w:rPr>
        <w:t>is</w:t>
      </w:r>
      <w:r w:rsidRPr="00761F28">
        <w:rPr>
          <w:rFonts w:ascii="Arial" w:hAnsi="Arial" w:cs="Arial"/>
        </w:rPr>
        <w:t xml:space="preserve"> used by VA to determine whether there was change </w:t>
      </w:r>
      <w:r w:rsidR="00462052">
        <w:rPr>
          <w:rFonts w:ascii="Arial" w:hAnsi="Arial" w:cs="Arial"/>
        </w:rPr>
        <w:t xml:space="preserve">in </w:t>
      </w:r>
      <w:r w:rsidRPr="00761F28">
        <w:rPr>
          <w:rFonts w:ascii="Arial" w:hAnsi="Arial" w:cs="Arial"/>
        </w:rPr>
        <w:t xml:space="preserve">financial </w:t>
      </w:r>
      <w:r w:rsidRPr="00761F28" w:rsidR="005F4B77">
        <w:rPr>
          <w:rFonts w:ascii="Arial" w:hAnsi="Arial" w:cs="Arial"/>
        </w:rPr>
        <w:t xml:space="preserve"> </w:t>
      </w:r>
      <w:r w:rsidRPr="00761F28">
        <w:rPr>
          <w:rFonts w:ascii="Arial" w:hAnsi="Arial" w:cs="Arial"/>
        </w:rPr>
        <w:t>stress, annual income, level of education</w:t>
      </w:r>
      <w:r w:rsidR="00BE7047">
        <w:rPr>
          <w:rFonts w:ascii="Arial" w:hAnsi="Arial" w:cs="Arial"/>
        </w:rPr>
        <w:t>,</w:t>
      </w:r>
      <w:r w:rsidRPr="00761F28">
        <w:rPr>
          <w:rFonts w:ascii="Arial" w:hAnsi="Arial" w:cs="Arial"/>
        </w:rPr>
        <w:t xml:space="preserve"> and employment status over the enrollment period in program</w:t>
      </w:r>
      <w:r w:rsidR="00F348B8">
        <w:rPr>
          <w:rFonts w:ascii="Arial" w:hAnsi="Arial" w:cs="Arial"/>
        </w:rPr>
        <w:t>;</w:t>
      </w:r>
      <w:r w:rsidRPr="00761F28">
        <w:rPr>
          <w:rFonts w:ascii="Arial" w:hAnsi="Arial" w:cs="Arial"/>
        </w:rPr>
        <w:t xml:space="preserve"> the </w:t>
      </w:r>
      <w:r w:rsidR="00B740FC">
        <w:rPr>
          <w:rFonts w:ascii="Arial" w:hAnsi="Arial" w:cs="Arial"/>
        </w:rPr>
        <w:t xml:space="preserve">screening is </w:t>
      </w:r>
      <w:r w:rsidRPr="00761F28">
        <w:rPr>
          <w:rFonts w:ascii="Arial" w:hAnsi="Arial" w:cs="Arial"/>
        </w:rPr>
        <w:t xml:space="preserve">administered at the beginning of the program enrollment and </w:t>
      </w:r>
      <w:r w:rsidR="00BE7047">
        <w:rPr>
          <w:rFonts w:ascii="Arial" w:hAnsi="Arial" w:cs="Arial"/>
        </w:rPr>
        <w:t>upon</w:t>
      </w:r>
      <w:r w:rsidRPr="00761F28">
        <w:rPr>
          <w:rFonts w:ascii="Arial" w:hAnsi="Arial" w:cs="Arial"/>
        </w:rPr>
        <w:t xml:space="preserve"> exit</w:t>
      </w:r>
      <w:r w:rsidR="00BE7047">
        <w:rPr>
          <w:rFonts w:ascii="Arial" w:hAnsi="Arial" w:cs="Arial"/>
        </w:rPr>
        <w:t xml:space="preserve"> from the program.</w:t>
      </w:r>
    </w:p>
    <w:p w:rsidR="007F50BE" w:rsidRPr="00761F28" w:rsidP="007F50BE" w14:paraId="4FFE4424" w14:textId="77777777">
      <w:pPr>
        <w:tabs>
          <w:tab w:val="left" w:pos="547"/>
          <w:tab w:val="left" w:pos="1080"/>
          <w:tab w:val="left" w:pos="1627"/>
          <w:tab w:val="left" w:pos="2160"/>
          <w:tab w:val="left" w:pos="2880"/>
        </w:tabs>
        <w:rPr>
          <w:rFonts w:ascii="Arial" w:hAnsi="Arial" w:cs="Arial"/>
        </w:rPr>
      </w:pPr>
    </w:p>
    <w:p w:rsidR="007F50BE" w:rsidRPr="00761F28" w:rsidP="007F50BE" w14:paraId="68890619" w14:textId="15F8F446">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Patient Health Questionnaire (PHQ-9)</w:t>
      </w:r>
      <w:r w:rsidRPr="00761F28">
        <w:rPr>
          <w:rFonts w:ascii="Arial" w:hAnsi="Arial" w:cs="Arial"/>
        </w:rPr>
        <w:t xml:space="preserve">: </w:t>
      </w:r>
      <w:r w:rsidR="00462052">
        <w:rPr>
          <w:rFonts w:ascii="Arial" w:hAnsi="Arial" w:cs="Arial"/>
        </w:rPr>
        <w:t xml:space="preserve"> </w:t>
      </w:r>
      <w:r w:rsidRPr="00761F28">
        <w:rPr>
          <w:rFonts w:ascii="Arial" w:hAnsi="Arial" w:cs="Arial"/>
        </w:rPr>
        <w:t xml:space="preserve">This instrument </w:t>
      </w:r>
      <w:r w:rsidR="00B740FC">
        <w:rPr>
          <w:rFonts w:ascii="Arial" w:hAnsi="Arial" w:cs="Arial"/>
        </w:rPr>
        <w:t>is</w:t>
      </w:r>
      <w:r w:rsidRPr="00761F28">
        <w:rPr>
          <w:rFonts w:ascii="Arial" w:hAnsi="Arial" w:cs="Arial"/>
        </w:rPr>
        <w:t xml:space="preserve"> used by VA to determine whether there was change </w:t>
      </w:r>
      <w:r w:rsidR="00B740FC">
        <w:rPr>
          <w:rFonts w:ascii="Arial" w:hAnsi="Arial" w:cs="Arial"/>
        </w:rPr>
        <w:t xml:space="preserve">in </w:t>
      </w:r>
      <w:r w:rsidRPr="00761F28">
        <w:rPr>
          <w:rFonts w:ascii="Arial" w:hAnsi="Arial" w:cs="Arial"/>
        </w:rPr>
        <w:t>mood related symptoms over the enrollment period in program</w:t>
      </w:r>
      <w:r w:rsidR="00F348B8">
        <w:rPr>
          <w:rFonts w:ascii="Arial" w:hAnsi="Arial" w:cs="Arial"/>
        </w:rPr>
        <w:t>;</w:t>
      </w:r>
      <w:r w:rsidRPr="00761F28">
        <w:rPr>
          <w:rFonts w:ascii="Arial" w:hAnsi="Arial" w:cs="Arial"/>
        </w:rPr>
        <w:t xml:space="preserve"> the </w:t>
      </w:r>
      <w:r w:rsidR="00B740FC">
        <w:rPr>
          <w:rFonts w:ascii="Arial" w:hAnsi="Arial" w:cs="Arial"/>
        </w:rPr>
        <w:t>screening is</w:t>
      </w:r>
      <w:r w:rsidRPr="00761F28">
        <w:rPr>
          <w:rFonts w:ascii="Arial" w:hAnsi="Arial" w:cs="Arial"/>
        </w:rPr>
        <w:t xml:space="preserve"> administered at the beginning of the program enrollment and </w:t>
      </w:r>
      <w:r w:rsidR="004D568D">
        <w:rPr>
          <w:rFonts w:ascii="Arial" w:hAnsi="Arial" w:cs="Arial"/>
        </w:rPr>
        <w:t>upon</w:t>
      </w:r>
      <w:r w:rsidRPr="00761F28" w:rsidR="004D568D">
        <w:rPr>
          <w:rFonts w:ascii="Arial" w:hAnsi="Arial" w:cs="Arial"/>
        </w:rPr>
        <w:t xml:space="preserve"> exit</w:t>
      </w:r>
      <w:r w:rsidR="004D568D">
        <w:rPr>
          <w:rFonts w:ascii="Arial" w:hAnsi="Arial" w:cs="Arial"/>
        </w:rPr>
        <w:t xml:space="preserve"> from the program</w:t>
      </w:r>
      <w:r w:rsidRPr="00761F28">
        <w:rPr>
          <w:rFonts w:ascii="Arial" w:hAnsi="Arial" w:cs="Arial"/>
        </w:rPr>
        <w:t>.</w:t>
      </w:r>
    </w:p>
    <w:p w:rsidR="00141868" w:rsidRPr="00761F28" w:rsidP="007F50BE" w14:paraId="5BA70AD9" w14:textId="77777777">
      <w:pPr>
        <w:tabs>
          <w:tab w:val="left" w:pos="547"/>
          <w:tab w:val="left" w:pos="1080"/>
          <w:tab w:val="left" w:pos="1627"/>
          <w:tab w:val="left" w:pos="2160"/>
          <w:tab w:val="left" w:pos="2880"/>
        </w:tabs>
        <w:rPr>
          <w:rFonts w:ascii="Arial" w:hAnsi="Arial" w:cs="Arial"/>
        </w:rPr>
      </w:pPr>
    </w:p>
    <w:p w:rsidR="007F50BE" w:rsidRPr="00761F28" w:rsidP="007F50BE" w14:paraId="1F71AA66" w14:textId="1EC67574">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Warwick Edinburgh Mental Wellbeing Scale (WEMWS)</w:t>
      </w:r>
      <w:r w:rsidRPr="00761F28">
        <w:rPr>
          <w:rFonts w:ascii="Arial" w:hAnsi="Arial" w:cs="Arial"/>
        </w:rPr>
        <w:t xml:space="preserve">: </w:t>
      </w:r>
      <w:r w:rsidR="00462052">
        <w:rPr>
          <w:rFonts w:ascii="Arial" w:hAnsi="Arial" w:cs="Arial"/>
        </w:rPr>
        <w:t xml:space="preserve"> </w:t>
      </w:r>
      <w:r w:rsidRPr="00761F28">
        <w:rPr>
          <w:rFonts w:ascii="Arial" w:hAnsi="Arial" w:cs="Arial"/>
        </w:rPr>
        <w:t xml:space="preserve">This instrument </w:t>
      </w:r>
      <w:r w:rsidR="00F348B8">
        <w:rPr>
          <w:rFonts w:ascii="Arial" w:hAnsi="Arial" w:cs="Arial"/>
        </w:rPr>
        <w:t>is</w:t>
      </w:r>
      <w:r w:rsidRPr="00761F28">
        <w:rPr>
          <w:rFonts w:ascii="Arial" w:hAnsi="Arial" w:cs="Arial"/>
        </w:rPr>
        <w:t xml:space="preserve"> used by VA to determine whether there was </w:t>
      </w:r>
      <w:r w:rsidR="00F348B8">
        <w:rPr>
          <w:rFonts w:ascii="Arial" w:hAnsi="Arial" w:cs="Arial"/>
        </w:rPr>
        <w:t xml:space="preserve">change in </w:t>
      </w:r>
      <w:r w:rsidRPr="00761F28">
        <w:rPr>
          <w:rFonts w:ascii="Arial" w:hAnsi="Arial" w:cs="Arial"/>
        </w:rPr>
        <w:t>overall well-being of participant over the enrollment period in program</w:t>
      </w:r>
      <w:r w:rsidR="00F348B8">
        <w:rPr>
          <w:rFonts w:ascii="Arial" w:hAnsi="Arial" w:cs="Arial"/>
        </w:rPr>
        <w:t>;</w:t>
      </w:r>
      <w:r w:rsidRPr="00761F28">
        <w:rPr>
          <w:rFonts w:ascii="Arial" w:hAnsi="Arial" w:cs="Arial"/>
        </w:rPr>
        <w:t xml:space="preserve"> t</w:t>
      </w:r>
      <w:r w:rsidR="00F348B8">
        <w:rPr>
          <w:rFonts w:ascii="Arial" w:hAnsi="Arial" w:cs="Arial"/>
        </w:rPr>
        <w:t>he screening is</w:t>
      </w:r>
      <w:r w:rsidRPr="00761F28">
        <w:rPr>
          <w:rFonts w:ascii="Arial" w:hAnsi="Arial" w:cs="Arial"/>
        </w:rPr>
        <w:t xml:space="preserve"> administered at the beginning of the program enrollment and </w:t>
      </w:r>
      <w:r w:rsidR="00C77C82">
        <w:rPr>
          <w:rFonts w:ascii="Arial" w:hAnsi="Arial" w:cs="Arial"/>
        </w:rPr>
        <w:t>upon</w:t>
      </w:r>
      <w:r w:rsidRPr="00761F28" w:rsidR="00C77C82">
        <w:rPr>
          <w:rFonts w:ascii="Arial" w:hAnsi="Arial" w:cs="Arial"/>
        </w:rPr>
        <w:t xml:space="preserve"> exit</w:t>
      </w:r>
      <w:r w:rsidR="00C77C82">
        <w:rPr>
          <w:rFonts w:ascii="Arial" w:hAnsi="Arial" w:cs="Arial"/>
        </w:rPr>
        <w:t xml:space="preserve"> from the program</w:t>
      </w:r>
      <w:r w:rsidRPr="00761F28">
        <w:rPr>
          <w:rFonts w:ascii="Arial" w:hAnsi="Arial" w:cs="Arial"/>
        </w:rPr>
        <w:t>.</w:t>
      </w:r>
    </w:p>
    <w:p w:rsidR="007F50BE" w:rsidRPr="00761F28" w:rsidP="007F50BE" w14:paraId="66A2C62C" w14:textId="77777777">
      <w:pPr>
        <w:tabs>
          <w:tab w:val="left" w:pos="547"/>
          <w:tab w:val="left" w:pos="1080"/>
          <w:tab w:val="left" w:pos="1627"/>
          <w:tab w:val="left" w:pos="2160"/>
          <w:tab w:val="left" w:pos="2880"/>
        </w:tabs>
        <w:rPr>
          <w:rFonts w:ascii="Arial" w:hAnsi="Arial" w:cs="Arial"/>
        </w:rPr>
      </w:pPr>
    </w:p>
    <w:p w:rsidR="007F50BE" w:rsidRPr="00CA4CDE" w:rsidP="00761F28" w14:paraId="6ADB9E1A" w14:textId="1244E390">
      <w:pPr>
        <w:pStyle w:val="Header"/>
        <w:tabs>
          <w:tab w:val="left" w:pos="547"/>
          <w:tab w:val="left" w:pos="1080"/>
          <w:tab w:val="left" w:pos="1627"/>
          <w:tab w:val="left" w:pos="2160"/>
          <w:tab w:val="left" w:pos="2880"/>
          <w:tab w:val="clear" w:pos="4320"/>
          <w:tab w:val="clear" w:pos="8640"/>
        </w:tabs>
        <w:ind w:left="547"/>
        <w:rPr>
          <w:rFonts w:ascii="Arial" w:hAnsi="Arial" w:cs="Arial"/>
          <w:sz w:val="24"/>
          <w:szCs w:val="24"/>
        </w:rPr>
      </w:pPr>
      <w:r w:rsidRPr="00761F28">
        <w:rPr>
          <w:rFonts w:ascii="Arial" w:hAnsi="Arial" w:cs="Arial"/>
          <w:sz w:val="24"/>
          <w:szCs w:val="24"/>
          <w:u w:val="single"/>
        </w:rPr>
        <w:t>Interpersonal Support Evaluation List (ISEL-12)</w:t>
      </w:r>
      <w:r w:rsidRPr="00761F28">
        <w:rPr>
          <w:rFonts w:ascii="Arial" w:hAnsi="Arial" w:cs="Arial"/>
          <w:sz w:val="24"/>
          <w:szCs w:val="24"/>
        </w:rPr>
        <w:t xml:space="preserve">: </w:t>
      </w:r>
      <w:r w:rsidR="00462052">
        <w:rPr>
          <w:rFonts w:ascii="Arial" w:hAnsi="Arial" w:cs="Arial"/>
          <w:sz w:val="24"/>
          <w:szCs w:val="24"/>
        </w:rPr>
        <w:t xml:space="preserve"> </w:t>
      </w:r>
      <w:r w:rsidRPr="00761F28">
        <w:rPr>
          <w:rFonts w:ascii="Arial" w:hAnsi="Arial" w:cs="Arial"/>
          <w:sz w:val="24"/>
          <w:szCs w:val="24"/>
        </w:rPr>
        <w:t xml:space="preserve">This instrument </w:t>
      </w:r>
      <w:r w:rsidR="00F348B8">
        <w:rPr>
          <w:rFonts w:ascii="Arial" w:hAnsi="Arial" w:cs="Arial"/>
          <w:sz w:val="24"/>
          <w:szCs w:val="24"/>
        </w:rPr>
        <w:t>is</w:t>
      </w:r>
      <w:r w:rsidRPr="00761F28">
        <w:rPr>
          <w:rFonts w:ascii="Arial" w:hAnsi="Arial" w:cs="Arial"/>
          <w:sz w:val="24"/>
          <w:szCs w:val="24"/>
        </w:rPr>
        <w:t xml:space="preserve"> used by the VA to determine whether there was change in social </w:t>
      </w:r>
      <w:r w:rsidRPr="00CA4CDE">
        <w:rPr>
          <w:rFonts w:ascii="Arial" w:hAnsi="Arial" w:cs="Arial"/>
          <w:sz w:val="24"/>
          <w:szCs w:val="24"/>
        </w:rPr>
        <w:t>supports over the enrollment period in program</w:t>
      </w:r>
      <w:r w:rsidRPr="00CA4CDE" w:rsidR="00F348B8">
        <w:rPr>
          <w:rFonts w:ascii="Arial" w:hAnsi="Arial" w:cs="Arial"/>
          <w:sz w:val="24"/>
          <w:szCs w:val="24"/>
        </w:rPr>
        <w:t>;</w:t>
      </w:r>
      <w:r w:rsidRPr="00CA4CDE">
        <w:rPr>
          <w:rFonts w:ascii="Arial" w:hAnsi="Arial" w:cs="Arial"/>
          <w:sz w:val="24"/>
          <w:szCs w:val="24"/>
        </w:rPr>
        <w:t xml:space="preserve"> the </w:t>
      </w:r>
      <w:r w:rsidRPr="00CA4CDE" w:rsidR="00F348B8">
        <w:rPr>
          <w:rFonts w:ascii="Arial" w:hAnsi="Arial" w:cs="Arial"/>
          <w:sz w:val="24"/>
          <w:szCs w:val="24"/>
        </w:rPr>
        <w:t>screening is</w:t>
      </w:r>
      <w:r w:rsidRPr="00CA4CDE">
        <w:rPr>
          <w:rFonts w:ascii="Arial" w:hAnsi="Arial" w:cs="Arial"/>
          <w:sz w:val="24"/>
          <w:szCs w:val="24"/>
        </w:rPr>
        <w:t xml:space="preserve"> administered at the beginning of the program enrollment and </w:t>
      </w:r>
      <w:r w:rsidRPr="00CA4CDE" w:rsidR="00CA4CDE">
        <w:rPr>
          <w:rFonts w:ascii="Arial" w:hAnsi="Arial" w:cs="Arial"/>
          <w:sz w:val="24"/>
          <w:szCs w:val="24"/>
        </w:rPr>
        <w:t>upon exit from the program</w:t>
      </w:r>
      <w:r w:rsidRPr="00CA4CDE">
        <w:rPr>
          <w:rFonts w:ascii="Arial" w:hAnsi="Arial" w:cs="Arial"/>
          <w:sz w:val="24"/>
          <w:szCs w:val="24"/>
        </w:rPr>
        <w:t>.</w:t>
      </w:r>
    </w:p>
    <w:p w:rsidR="005F302A" w:rsidRPr="00425D68" w:rsidP="00425D68" w14:paraId="5E0406CF" w14:textId="77777777">
      <w:pPr>
        <w:tabs>
          <w:tab w:val="left" w:pos="547"/>
          <w:tab w:val="left" w:pos="1080"/>
          <w:tab w:val="left" w:pos="1627"/>
          <w:tab w:val="left" w:pos="2160"/>
          <w:tab w:val="left" w:pos="2880"/>
        </w:tabs>
        <w:rPr>
          <w:rFonts w:ascii="Arial" w:hAnsi="Arial" w:cs="Arial"/>
        </w:rPr>
      </w:pPr>
    </w:p>
    <w:p w:rsidR="00536A11" w:rsidRPr="00AD106D" w:rsidP="516D2615" w14:paraId="091F8C0E" w14:textId="77777777">
      <w:pPr>
        <w:tabs>
          <w:tab w:val="left" w:pos="547"/>
          <w:tab w:val="left" w:pos="1080"/>
          <w:tab w:val="left" w:pos="1627"/>
          <w:tab w:val="left" w:pos="2160"/>
          <w:tab w:val="left" w:pos="2880"/>
        </w:tabs>
        <w:rPr>
          <w:rFonts w:ascii="Arial" w:hAnsi="Arial" w:cs="Arial"/>
          <w:b/>
          <w:bCs/>
        </w:rPr>
      </w:pPr>
      <w:r w:rsidRPr="009E71AF">
        <w:rPr>
          <w:rFonts w:ascii="Arial" w:hAnsi="Arial" w:cs="Arial"/>
          <w:b/>
          <w:bCs/>
          <w:color w:val="000000"/>
        </w:rPr>
        <w:t>3.</w:t>
      </w:r>
      <w:r>
        <w:tab/>
      </w:r>
      <w:r w:rsidRPr="009E71AF">
        <w:rPr>
          <w:rFonts w:ascii="Arial" w:hAnsi="Arial" w:cs="Arial"/>
          <w:b/>
          <w:bCs/>
          <w:color w:val="000000"/>
        </w:rPr>
        <w:t>Describe whether, and to what extent, the collection of information involves the use of automated, electronic, mechanical, or other technological collection techniques or other forms of information technology, e.g.</w:t>
      </w:r>
      <w:r w:rsidRPr="009E71AF" w:rsidR="003F775F">
        <w:rPr>
          <w:rFonts w:ascii="Arial" w:hAnsi="Arial" w:cs="Arial"/>
          <w:b/>
          <w:bCs/>
          <w:color w:val="000000"/>
        </w:rPr>
        <w:t>,</w:t>
      </w:r>
      <w:r w:rsidRPr="009E71AF">
        <w:rPr>
          <w:rFonts w:ascii="Arial" w:hAnsi="Arial" w:cs="Arial"/>
          <w:b/>
          <w:bCs/>
          <w:color w:val="000000"/>
        </w:rPr>
        <w:t xml:space="preserve"> permitting electronic submission of responses, and the basis for the decision for adopting this means of collection</w:t>
      </w:r>
      <w:r w:rsidRPr="516D2615">
        <w:rPr>
          <w:rFonts w:ascii="Arial" w:hAnsi="Arial" w:cs="Arial"/>
          <w:b/>
          <w:bCs/>
        </w:rPr>
        <w:t>.  Also describe any consideration of using information technology to reduce burden.</w:t>
      </w:r>
      <w:r w:rsidRPr="516D2615" w:rsidR="0034013E">
        <w:rPr>
          <w:rFonts w:ascii="Arial" w:hAnsi="Arial" w:cs="Arial"/>
          <w:b/>
          <w:bCs/>
        </w:rPr>
        <w:t xml:space="preserve">  </w:t>
      </w:r>
    </w:p>
    <w:p w:rsidR="0034013E" w:rsidRPr="00AD106D" w14:paraId="1A4CB873" w14:textId="77777777">
      <w:pPr>
        <w:tabs>
          <w:tab w:val="left" w:pos="547"/>
          <w:tab w:val="left" w:pos="1080"/>
          <w:tab w:val="left" w:pos="1627"/>
          <w:tab w:val="left" w:pos="2160"/>
          <w:tab w:val="left" w:pos="2880"/>
        </w:tabs>
        <w:rPr>
          <w:rFonts w:ascii="Arial" w:hAnsi="Arial" w:cs="Arial"/>
          <w:b/>
        </w:rPr>
      </w:pPr>
    </w:p>
    <w:p w:rsidR="00536A11" w:rsidP="35CB2D15" w14:paraId="0C4CD292" w14:textId="1274863D">
      <w:pPr>
        <w:widowControl w:val="0"/>
        <w:tabs>
          <w:tab w:val="left" w:pos="540"/>
        </w:tabs>
        <w:rPr>
          <w:rFonts w:ascii="Arial" w:hAnsi="Arial" w:cs="Arial"/>
        </w:rPr>
      </w:pPr>
      <w:r w:rsidRPr="35CB2D15">
        <w:rPr>
          <w:rFonts w:ascii="Arial" w:hAnsi="Arial" w:cs="Arial"/>
        </w:rPr>
        <w:t xml:space="preserve">The </w:t>
      </w:r>
      <w:r w:rsidR="00DF4556">
        <w:rPr>
          <w:rFonts w:ascii="Arial" w:hAnsi="Arial" w:cs="Arial"/>
        </w:rPr>
        <w:t>I</w:t>
      </w:r>
      <w:r w:rsidRPr="35CB2D15">
        <w:rPr>
          <w:rFonts w:ascii="Arial" w:hAnsi="Arial" w:cs="Arial"/>
        </w:rPr>
        <w:t xml:space="preserve">nitial </w:t>
      </w:r>
      <w:r w:rsidR="00DF4556">
        <w:rPr>
          <w:rFonts w:ascii="Arial" w:hAnsi="Arial" w:cs="Arial"/>
        </w:rPr>
        <w:t>A</w:t>
      </w:r>
      <w:r w:rsidRPr="35CB2D15">
        <w:rPr>
          <w:rFonts w:ascii="Arial" w:hAnsi="Arial" w:cs="Arial"/>
        </w:rPr>
        <w:t xml:space="preserve">pplication and subsequent </w:t>
      </w:r>
      <w:r w:rsidR="00DF4556">
        <w:rPr>
          <w:rFonts w:ascii="Arial" w:hAnsi="Arial" w:cs="Arial"/>
        </w:rPr>
        <w:t>R</w:t>
      </w:r>
      <w:r w:rsidRPr="35CB2D15">
        <w:rPr>
          <w:rFonts w:ascii="Arial" w:hAnsi="Arial" w:cs="Arial"/>
        </w:rPr>
        <w:t xml:space="preserve">enewal </w:t>
      </w:r>
      <w:r w:rsidR="00DF4556">
        <w:rPr>
          <w:rFonts w:ascii="Arial" w:hAnsi="Arial" w:cs="Arial"/>
        </w:rPr>
        <w:t>A</w:t>
      </w:r>
      <w:r w:rsidRPr="35CB2D15">
        <w:rPr>
          <w:rFonts w:ascii="Arial" w:hAnsi="Arial" w:cs="Arial"/>
        </w:rPr>
        <w:t xml:space="preserve">pplication, </w:t>
      </w:r>
      <w:r w:rsidR="00DF4556">
        <w:rPr>
          <w:rFonts w:ascii="Arial" w:hAnsi="Arial" w:cs="Arial"/>
        </w:rPr>
        <w:t>and C</w:t>
      </w:r>
      <w:r w:rsidRPr="35CB2D15">
        <w:rPr>
          <w:rFonts w:ascii="Arial" w:hAnsi="Arial" w:cs="Arial"/>
        </w:rPr>
        <w:t xml:space="preserve">ompliance </w:t>
      </w:r>
      <w:r w:rsidR="00DF4556">
        <w:rPr>
          <w:rFonts w:ascii="Arial" w:hAnsi="Arial" w:cs="Arial"/>
        </w:rPr>
        <w:t>R</w:t>
      </w:r>
      <w:r w:rsidRPr="35CB2D15">
        <w:rPr>
          <w:rFonts w:ascii="Arial" w:hAnsi="Arial" w:cs="Arial"/>
        </w:rPr>
        <w:t>eport</w:t>
      </w:r>
      <w:r w:rsidR="00DF4556">
        <w:rPr>
          <w:rFonts w:ascii="Arial" w:hAnsi="Arial" w:cs="Arial"/>
        </w:rPr>
        <w:t xml:space="preserve">s </w:t>
      </w:r>
      <w:r w:rsidRPr="35CB2D15">
        <w:rPr>
          <w:rFonts w:ascii="Arial" w:hAnsi="Arial" w:cs="Arial"/>
        </w:rPr>
        <w:t>require the use of Adobe Acrobat, Microsoft Word</w:t>
      </w:r>
      <w:r w:rsidR="00DF4556">
        <w:rPr>
          <w:rFonts w:ascii="Arial" w:hAnsi="Arial" w:cs="Arial"/>
        </w:rPr>
        <w:t>,</w:t>
      </w:r>
      <w:r w:rsidRPr="35CB2D15">
        <w:rPr>
          <w:rFonts w:ascii="Arial" w:hAnsi="Arial" w:cs="Arial"/>
        </w:rPr>
        <w:t xml:space="preserve"> or a comparable word processing program, and Microsoft Excel. The </w:t>
      </w:r>
      <w:r w:rsidR="00DF4556">
        <w:rPr>
          <w:rFonts w:ascii="Arial" w:hAnsi="Arial" w:cs="Arial"/>
        </w:rPr>
        <w:t>I</w:t>
      </w:r>
      <w:r w:rsidRPr="35CB2D15">
        <w:rPr>
          <w:rFonts w:ascii="Arial" w:hAnsi="Arial" w:cs="Arial"/>
        </w:rPr>
        <w:t xml:space="preserve">nitial </w:t>
      </w:r>
      <w:r w:rsidR="00DF4556">
        <w:rPr>
          <w:rFonts w:ascii="Arial" w:hAnsi="Arial" w:cs="Arial"/>
        </w:rPr>
        <w:t>A</w:t>
      </w:r>
      <w:r w:rsidRPr="35CB2D15">
        <w:rPr>
          <w:rFonts w:ascii="Arial" w:hAnsi="Arial" w:cs="Arial"/>
        </w:rPr>
        <w:t xml:space="preserve">pplication and subsequent </w:t>
      </w:r>
      <w:r w:rsidR="00DF4556">
        <w:rPr>
          <w:rFonts w:ascii="Arial" w:hAnsi="Arial" w:cs="Arial"/>
        </w:rPr>
        <w:t>R</w:t>
      </w:r>
      <w:r w:rsidRPr="35CB2D15">
        <w:rPr>
          <w:rFonts w:ascii="Arial" w:hAnsi="Arial" w:cs="Arial"/>
        </w:rPr>
        <w:t xml:space="preserve">enewal </w:t>
      </w:r>
      <w:r w:rsidR="00DF4556">
        <w:rPr>
          <w:rFonts w:ascii="Arial" w:hAnsi="Arial" w:cs="Arial"/>
        </w:rPr>
        <w:t>A</w:t>
      </w:r>
      <w:r w:rsidRPr="35CB2D15">
        <w:rPr>
          <w:rFonts w:ascii="Arial" w:hAnsi="Arial" w:cs="Arial"/>
        </w:rPr>
        <w:t>pplication</w:t>
      </w:r>
      <w:r w:rsidRPr="35CB2D15" w:rsidR="00A17541">
        <w:rPr>
          <w:rFonts w:ascii="Arial" w:hAnsi="Arial" w:cs="Arial"/>
        </w:rPr>
        <w:t xml:space="preserve"> </w:t>
      </w:r>
      <w:r w:rsidRPr="35CB2D15">
        <w:rPr>
          <w:rFonts w:ascii="Arial" w:hAnsi="Arial" w:cs="Arial"/>
        </w:rPr>
        <w:t xml:space="preserve">and </w:t>
      </w:r>
      <w:r w:rsidR="00DF4556">
        <w:rPr>
          <w:rFonts w:ascii="Arial" w:hAnsi="Arial" w:cs="Arial"/>
        </w:rPr>
        <w:t>C</w:t>
      </w:r>
      <w:r w:rsidRPr="35CB2D15">
        <w:rPr>
          <w:rFonts w:ascii="Arial" w:hAnsi="Arial" w:cs="Arial"/>
        </w:rPr>
        <w:t xml:space="preserve">ompliance Reports </w:t>
      </w:r>
      <w:r w:rsidR="004139EF">
        <w:rPr>
          <w:rFonts w:ascii="Arial" w:hAnsi="Arial" w:cs="Arial"/>
        </w:rPr>
        <w:t xml:space="preserve">are </w:t>
      </w:r>
      <w:r w:rsidRPr="35CB2D15">
        <w:rPr>
          <w:rFonts w:ascii="Arial" w:hAnsi="Arial" w:cs="Arial"/>
        </w:rPr>
        <w:t xml:space="preserve">made available in an electronic format on VA’s website. The electronic format requires the use of the internet to access the forms and the use of Microsoft Excel to submit </w:t>
      </w:r>
      <w:r w:rsidRPr="35CB2D15" w:rsidR="00C84B86">
        <w:rPr>
          <w:rFonts w:ascii="Arial" w:hAnsi="Arial" w:cs="Arial"/>
        </w:rPr>
        <w:t>a</w:t>
      </w:r>
      <w:r w:rsidRPr="35CB2D15">
        <w:rPr>
          <w:rFonts w:ascii="Arial" w:hAnsi="Arial" w:cs="Arial"/>
        </w:rPr>
        <w:t xml:space="preserve">pplicant </w:t>
      </w:r>
      <w:r w:rsidRPr="35CB2D15" w:rsidR="000F0823">
        <w:rPr>
          <w:rFonts w:ascii="Arial" w:hAnsi="Arial" w:cs="Arial"/>
        </w:rPr>
        <w:t>budget.</w:t>
      </w:r>
      <w:r w:rsidR="00C653DC">
        <w:rPr>
          <w:rFonts w:ascii="Arial" w:hAnsi="Arial" w:cs="Arial"/>
        </w:rPr>
        <w:t xml:space="preserve"> </w:t>
      </w:r>
      <w:r w:rsidRPr="35CB2D15">
        <w:rPr>
          <w:rFonts w:ascii="Arial" w:hAnsi="Arial" w:cs="Arial"/>
        </w:rPr>
        <w:t xml:space="preserve">The Participant Survey </w:t>
      </w:r>
      <w:r w:rsidR="004139EF">
        <w:rPr>
          <w:rFonts w:ascii="Arial" w:hAnsi="Arial" w:cs="Arial"/>
        </w:rPr>
        <w:t>is</w:t>
      </w:r>
      <w:r w:rsidRPr="35CB2D15">
        <w:rPr>
          <w:rFonts w:ascii="Arial" w:hAnsi="Arial" w:cs="Arial"/>
        </w:rPr>
        <w:t xml:space="preserve"> made available electronically to each participant by </w:t>
      </w:r>
      <w:r w:rsidRPr="35CB2D15">
        <w:rPr>
          <w:rFonts w:ascii="Arial" w:hAnsi="Arial" w:cs="Arial"/>
        </w:rPr>
        <w:t>the grantee.</w:t>
      </w:r>
      <w:r w:rsidR="00C653DC">
        <w:rPr>
          <w:rFonts w:ascii="Arial" w:hAnsi="Arial" w:cs="Arial"/>
        </w:rPr>
        <w:t xml:space="preserve"> </w:t>
      </w:r>
      <w:r w:rsidRPr="35CB2D15">
        <w:rPr>
          <w:rFonts w:ascii="Arial" w:hAnsi="Arial" w:cs="Arial"/>
        </w:rPr>
        <w:t>The basis for adopting this means of collection is necessary for the proper performance of application collection and evaluation functions.</w:t>
      </w:r>
      <w:r w:rsidR="00C653DC">
        <w:rPr>
          <w:rFonts w:ascii="Arial" w:hAnsi="Arial" w:cs="Arial"/>
        </w:rPr>
        <w:t xml:space="preserve"> </w:t>
      </w:r>
      <w:r w:rsidRPr="35CB2D15">
        <w:rPr>
          <w:rFonts w:ascii="Arial" w:hAnsi="Arial" w:cs="Arial"/>
        </w:rPr>
        <w:t xml:space="preserve">It avoids unnecessary duplication and reduces burden on small entities. Electronic submission also reduces costs associated with sending and handling mail. </w:t>
      </w:r>
      <w:r w:rsidRPr="35CB2D15" w:rsidR="003C6D2A">
        <w:rPr>
          <w:rFonts w:ascii="Arial" w:hAnsi="Arial" w:cs="Arial"/>
        </w:rPr>
        <w:t xml:space="preserve">Compliance </w:t>
      </w:r>
      <w:r w:rsidR="00DF4556">
        <w:rPr>
          <w:rFonts w:ascii="Arial" w:hAnsi="Arial" w:cs="Arial"/>
        </w:rPr>
        <w:t>R</w:t>
      </w:r>
      <w:r w:rsidRPr="35CB2D15" w:rsidR="003C6D2A">
        <w:rPr>
          <w:rFonts w:ascii="Arial" w:hAnsi="Arial" w:cs="Arial"/>
        </w:rPr>
        <w:t xml:space="preserve">eports </w:t>
      </w:r>
      <w:r w:rsidR="004139EF">
        <w:rPr>
          <w:rFonts w:ascii="Arial" w:hAnsi="Arial" w:cs="Arial"/>
        </w:rPr>
        <w:t xml:space="preserve">are </w:t>
      </w:r>
      <w:r w:rsidRPr="35CB2D15" w:rsidR="003C6D2A">
        <w:rPr>
          <w:rFonts w:ascii="Arial" w:hAnsi="Arial" w:cs="Arial"/>
        </w:rPr>
        <w:t>submitted el</w:t>
      </w:r>
      <w:r w:rsidRPr="35CB2D15" w:rsidR="002C7734">
        <w:rPr>
          <w:rFonts w:ascii="Arial" w:hAnsi="Arial" w:cs="Arial"/>
        </w:rPr>
        <w:t>ectronically via the program grants management sy</w:t>
      </w:r>
      <w:r w:rsidRPr="35CB2D15" w:rsidR="00C427AD">
        <w:rPr>
          <w:rFonts w:ascii="Arial" w:hAnsi="Arial" w:cs="Arial"/>
        </w:rPr>
        <w:t>stem</w:t>
      </w:r>
      <w:r w:rsidRPr="35CB2D15" w:rsidR="00716736">
        <w:rPr>
          <w:rFonts w:ascii="Arial" w:hAnsi="Arial" w:cs="Arial"/>
        </w:rPr>
        <w:t xml:space="preserve">. </w:t>
      </w:r>
      <w:r w:rsidRPr="35CB2D15" w:rsidR="00C427AD">
        <w:rPr>
          <w:rFonts w:ascii="Arial" w:hAnsi="Arial" w:cs="Arial"/>
        </w:rPr>
        <w:t xml:space="preserve">A website interface </w:t>
      </w:r>
      <w:r w:rsidR="004139EF">
        <w:rPr>
          <w:rFonts w:ascii="Arial" w:hAnsi="Arial" w:cs="Arial"/>
        </w:rPr>
        <w:t>is</w:t>
      </w:r>
      <w:r w:rsidRPr="35CB2D15" w:rsidR="00C427AD">
        <w:rPr>
          <w:rFonts w:ascii="Arial" w:hAnsi="Arial" w:cs="Arial"/>
        </w:rPr>
        <w:t xml:space="preserve"> used to complete the </w:t>
      </w:r>
      <w:r w:rsidRPr="35CB2D15" w:rsidR="00AE159A">
        <w:rPr>
          <w:rFonts w:ascii="Arial" w:hAnsi="Arial" w:cs="Arial"/>
        </w:rPr>
        <w:t xml:space="preserve">Eligibility </w:t>
      </w:r>
      <w:r w:rsidRPr="35CB2D15" w:rsidR="00D24EDE">
        <w:rPr>
          <w:rFonts w:ascii="Arial" w:hAnsi="Arial" w:cs="Arial"/>
        </w:rPr>
        <w:t>S</w:t>
      </w:r>
      <w:r w:rsidRPr="35CB2D15" w:rsidR="00521BB3">
        <w:rPr>
          <w:rFonts w:ascii="Arial" w:hAnsi="Arial" w:cs="Arial"/>
        </w:rPr>
        <w:t xml:space="preserve">creening </w:t>
      </w:r>
      <w:r w:rsidRPr="35CB2D15" w:rsidR="001813F6">
        <w:rPr>
          <w:rFonts w:ascii="Arial" w:hAnsi="Arial" w:cs="Arial"/>
        </w:rPr>
        <w:t>Tool, Suicide</w:t>
      </w:r>
      <w:r w:rsidRPr="35CB2D15" w:rsidR="00EC7599">
        <w:rPr>
          <w:rFonts w:ascii="Arial" w:hAnsi="Arial" w:cs="Arial"/>
        </w:rPr>
        <w:t xml:space="preserve"> </w:t>
      </w:r>
      <w:r w:rsidRPr="35CB2D15" w:rsidR="00D24EDE">
        <w:rPr>
          <w:rFonts w:ascii="Arial" w:hAnsi="Arial" w:cs="Arial"/>
        </w:rPr>
        <w:t>R</w:t>
      </w:r>
      <w:r w:rsidRPr="35CB2D15" w:rsidR="00EC7599">
        <w:rPr>
          <w:rFonts w:ascii="Arial" w:hAnsi="Arial" w:cs="Arial"/>
        </w:rPr>
        <w:t xml:space="preserve">isk </w:t>
      </w:r>
      <w:r w:rsidRPr="35CB2D15" w:rsidR="00D24EDE">
        <w:rPr>
          <w:rFonts w:ascii="Arial" w:hAnsi="Arial" w:cs="Arial"/>
        </w:rPr>
        <w:t>S</w:t>
      </w:r>
      <w:r w:rsidRPr="35CB2D15" w:rsidR="00EC7599">
        <w:rPr>
          <w:rFonts w:ascii="Arial" w:hAnsi="Arial" w:cs="Arial"/>
        </w:rPr>
        <w:t>creening</w:t>
      </w:r>
      <w:r w:rsidRPr="35CB2D15" w:rsidR="7D88E4B5">
        <w:rPr>
          <w:rFonts w:ascii="Arial" w:hAnsi="Arial" w:cs="Arial"/>
        </w:rPr>
        <w:t xml:space="preserve">, </w:t>
      </w:r>
      <w:r w:rsidR="0022449C">
        <w:rPr>
          <w:rFonts w:ascii="Arial" w:hAnsi="Arial" w:cs="Arial"/>
        </w:rPr>
        <w:t>Intake Form</w:t>
      </w:r>
      <w:r w:rsidR="00DF4556">
        <w:rPr>
          <w:rFonts w:ascii="Arial" w:hAnsi="Arial" w:cs="Arial"/>
        </w:rPr>
        <w:t>, Exit Program Checklist,</w:t>
      </w:r>
      <w:r w:rsidR="004D05CA">
        <w:rPr>
          <w:rFonts w:ascii="Arial" w:hAnsi="Arial" w:cs="Arial"/>
        </w:rPr>
        <w:t xml:space="preserve"> and </w:t>
      </w:r>
      <w:r w:rsidR="00930179">
        <w:rPr>
          <w:rFonts w:ascii="Arial" w:hAnsi="Arial" w:cs="Arial"/>
        </w:rPr>
        <w:t xml:space="preserve">Standardized </w:t>
      </w:r>
      <w:r w:rsidR="004139EF">
        <w:rPr>
          <w:rFonts w:ascii="Arial" w:hAnsi="Arial" w:cs="Arial"/>
        </w:rPr>
        <w:t>Screening</w:t>
      </w:r>
      <w:r w:rsidR="00930179">
        <w:rPr>
          <w:rFonts w:ascii="Arial" w:hAnsi="Arial" w:cs="Arial"/>
        </w:rPr>
        <w:t>s</w:t>
      </w:r>
      <w:r w:rsidR="004D05CA">
        <w:rPr>
          <w:rFonts w:ascii="Arial" w:hAnsi="Arial" w:cs="Arial"/>
        </w:rPr>
        <w:t>.</w:t>
      </w:r>
      <w:r w:rsidRPr="35CB2D15" w:rsidR="00C427AD">
        <w:rPr>
          <w:rFonts w:ascii="Arial" w:hAnsi="Arial" w:cs="Arial"/>
        </w:rPr>
        <w:t xml:space="preserve"> The use of technology </w:t>
      </w:r>
      <w:r w:rsidRPr="35CB2D15" w:rsidR="00716736">
        <w:rPr>
          <w:rFonts w:ascii="Arial" w:hAnsi="Arial" w:cs="Arial"/>
        </w:rPr>
        <w:t>reduces</w:t>
      </w:r>
      <w:r w:rsidRPr="35CB2D15" w:rsidR="00C427AD">
        <w:rPr>
          <w:rFonts w:ascii="Arial" w:hAnsi="Arial" w:cs="Arial"/>
        </w:rPr>
        <w:t xml:space="preserve"> the </w:t>
      </w:r>
      <w:r w:rsidRPr="35CB2D15" w:rsidR="00363593">
        <w:rPr>
          <w:rFonts w:ascii="Arial" w:hAnsi="Arial" w:cs="Arial"/>
        </w:rPr>
        <w:t>burden</w:t>
      </w:r>
      <w:r w:rsidRPr="35CB2D15" w:rsidR="00C427AD">
        <w:rPr>
          <w:rFonts w:ascii="Arial" w:hAnsi="Arial" w:cs="Arial"/>
        </w:rPr>
        <w:t xml:space="preserve"> of paperwork</w:t>
      </w:r>
      <w:r w:rsidRPr="35CB2D15" w:rsidR="00363593">
        <w:rPr>
          <w:rFonts w:ascii="Arial" w:hAnsi="Arial" w:cs="Arial"/>
        </w:rPr>
        <w:t xml:space="preserve"> for the </w:t>
      </w:r>
      <w:r w:rsidRPr="35CB2D15" w:rsidR="00716736">
        <w:rPr>
          <w:rFonts w:ascii="Arial" w:hAnsi="Arial" w:cs="Arial"/>
        </w:rPr>
        <w:t xml:space="preserve">grantees and program participants. </w:t>
      </w:r>
    </w:p>
    <w:p w:rsidR="00141868" w14:paraId="7796FBB4" w14:textId="76430FDD">
      <w:pPr>
        <w:tabs>
          <w:tab w:val="left" w:pos="547"/>
          <w:tab w:val="left" w:pos="1080"/>
          <w:tab w:val="left" w:pos="1627"/>
          <w:tab w:val="left" w:pos="2160"/>
          <w:tab w:val="left" w:pos="2880"/>
        </w:tabs>
        <w:rPr>
          <w:rFonts w:ascii="Arial" w:hAnsi="Arial" w:cs="Arial"/>
          <w:b/>
        </w:rPr>
      </w:pPr>
    </w:p>
    <w:p w:rsidR="00536A11" w:rsidRPr="00AD106D" w14:paraId="273F7167" w14:textId="168CF60B">
      <w:pPr>
        <w:tabs>
          <w:tab w:val="left" w:pos="547"/>
          <w:tab w:val="left" w:pos="1080"/>
          <w:tab w:val="left" w:pos="1627"/>
          <w:tab w:val="left" w:pos="2160"/>
          <w:tab w:val="left" w:pos="2880"/>
        </w:tabs>
        <w:rPr>
          <w:rFonts w:ascii="Arial" w:hAnsi="Arial" w:cs="Arial"/>
          <w:b/>
          <w:color w:val="000000"/>
        </w:rPr>
      </w:pPr>
      <w:r w:rsidRPr="00AD106D">
        <w:rPr>
          <w:rFonts w:ascii="Arial" w:hAnsi="Arial" w:cs="Arial"/>
          <w:b/>
        </w:rPr>
        <w:t>4.</w:t>
      </w:r>
      <w:r w:rsidRPr="00AD106D">
        <w:rPr>
          <w:rFonts w:ascii="Arial" w:hAnsi="Arial" w:cs="Arial"/>
          <w:b/>
        </w:rPr>
        <w:tab/>
        <w:t xml:space="preserve">Describe </w:t>
      </w:r>
      <w:r w:rsidRPr="00AD106D">
        <w:rPr>
          <w:rFonts w:ascii="Arial" w:hAnsi="Arial" w:cs="Arial"/>
          <w:b/>
          <w:color w:val="000000"/>
        </w:rPr>
        <w:t>efforts to identify duplication.  Show specifically why any similar information already available cannot be used or modified for use for the purposes described in Item 2 above.</w:t>
      </w:r>
    </w:p>
    <w:p w:rsidR="00536A11" w:rsidRPr="00AD106D" w14:paraId="47EE367D" w14:textId="77777777">
      <w:pPr>
        <w:pStyle w:val="Header"/>
        <w:tabs>
          <w:tab w:val="left" w:pos="547"/>
          <w:tab w:val="left" w:pos="1080"/>
          <w:tab w:val="left" w:pos="1627"/>
          <w:tab w:val="left" w:pos="2160"/>
          <w:tab w:val="left" w:pos="2880"/>
          <w:tab w:val="clear" w:pos="4320"/>
          <w:tab w:val="clear" w:pos="8640"/>
        </w:tabs>
        <w:rPr>
          <w:rFonts w:ascii="Arial" w:hAnsi="Arial" w:cs="Arial"/>
          <w:color w:val="000000"/>
          <w:sz w:val="24"/>
          <w:szCs w:val="24"/>
        </w:rPr>
      </w:pPr>
    </w:p>
    <w:p w:rsidR="009A5633" w:rsidRPr="00173026" w14:paraId="18AD2A7C" w14:textId="77777777">
      <w:pPr>
        <w:pStyle w:val="Header"/>
        <w:tabs>
          <w:tab w:val="left" w:pos="547"/>
          <w:tab w:val="left" w:pos="1080"/>
          <w:tab w:val="left" w:pos="1627"/>
          <w:tab w:val="left" w:pos="2160"/>
          <w:tab w:val="left" w:pos="2880"/>
          <w:tab w:val="clear" w:pos="4320"/>
          <w:tab w:val="clear" w:pos="8640"/>
        </w:tabs>
        <w:rPr>
          <w:rFonts w:ascii="Arial" w:hAnsi="Arial" w:cs="Arial"/>
          <w:sz w:val="24"/>
          <w:szCs w:val="24"/>
        </w:rPr>
      </w:pPr>
      <w:r w:rsidRPr="00173026">
        <w:rPr>
          <w:rFonts w:ascii="Arial" w:hAnsi="Arial" w:cs="Arial"/>
          <w:sz w:val="24"/>
          <w:szCs w:val="24"/>
        </w:rPr>
        <w:t>Information contained within these forms is expected to be original and not a duplication of any other information.</w:t>
      </w:r>
    </w:p>
    <w:p w:rsidR="00351F93" w:rsidRPr="00AD106D" w14:paraId="2568BDB2" w14:textId="77777777">
      <w:pPr>
        <w:pStyle w:val="Header"/>
        <w:tabs>
          <w:tab w:val="left" w:pos="547"/>
          <w:tab w:val="left" w:pos="1080"/>
          <w:tab w:val="left" w:pos="1627"/>
          <w:tab w:val="left" w:pos="2160"/>
          <w:tab w:val="left" w:pos="2880"/>
          <w:tab w:val="clear" w:pos="4320"/>
          <w:tab w:val="clear" w:pos="8640"/>
        </w:tabs>
        <w:rPr>
          <w:rFonts w:ascii="Arial" w:hAnsi="Arial" w:cs="Arial"/>
          <w:color w:val="000000"/>
          <w:sz w:val="24"/>
          <w:szCs w:val="24"/>
        </w:rPr>
      </w:pPr>
    </w:p>
    <w:p w:rsidR="00536A11" w:rsidRPr="00AD106D" w14:paraId="2B39A4EB" w14:textId="77777777">
      <w:pPr>
        <w:tabs>
          <w:tab w:val="left" w:pos="547"/>
          <w:tab w:val="left" w:pos="1080"/>
          <w:tab w:val="left" w:pos="1627"/>
          <w:tab w:val="left" w:pos="2160"/>
          <w:tab w:val="left" w:pos="2880"/>
        </w:tabs>
        <w:rPr>
          <w:rFonts w:ascii="Arial" w:hAnsi="Arial" w:cs="Arial"/>
          <w:b/>
        </w:rPr>
      </w:pPr>
      <w:r w:rsidRPr="00AD106D">
        <w:rPr>
          <w:rFonts w:ascii="Arial" w:hAnsi="Arial" w:cs="Arial"/>
          <w:b/>
          <w:color w:val="000000"/>
        </w:rPr>
        <w:t>5.</w:t>
      </w:r>
      <w:r w:rsidRPr="00AD106D">
        <w:rPr>
          <w:rFonts w:ascii="Arial" w:hAnsi="Arial" w:cs="Arial"/>
          <w:b/>
          <w:color w:val="000000"/>
        </w:rPr>
        <w:tab/>
        <w:t>If the collection of information impacts small businesses</w:t>
      </w:r>
      <w:r w:rsidRPr="00AD106D">
        <w:rPr>
          <w:rFonts w:ascii="Arial" w:hAnsi="Arial" w:cs="Arial"/>
          <w:b/>
        </w:rPr>
        <w:t xml:space="preserve"> or other small entities, describe any methods used to minimize burden.</w:t>
      </w:r>
    </w:p>
    <w:p w:rsidR="005468D1" w:rsidRPr="00AD106D" w14:paraId="5D789420" w14:textId="77777777">
      <w:pPr>
        <w:tabs>
          <w:tab w:val="left" w:pos="547"/>
          <w:tab w:val="left" w:pos="1080"/>
          <w:tab w:val="left" w:pos="1627"/>
          <w:tab w:val="left" w:pos="2160"/>
          <w:tab w:val="left" w:pos="2880"/>
        </w:tabs>
        <w:rPr>
          <w:rFonts w:ascii="Arial" w:hAnsi="Arial" w:cs="Arial"/>
          <w:b/>
        </w:rPr>
      </w:pPr>
    </w:p>
    <w:p w:rsidR="00351F93" w:rsidP="00173026" w14:paraId="0AE627E5" w14:textId="77777777">
      <w:pPr>
        <w:widowControl w:val="0"/>
        <w:tabs>
          <w:tab w:val="left" w:pos="540"/>
        </w:tabs>
        <w:rPr>
          <w:rFonts w:ascii="Arial" w:hAnsi="Arial" w:cs="Arial"/>
        </w:rPr>
      </w:pPr>
      <w:r w:rsidRPr="00173026">
        <w:rPr>
          <w:rFonts w:ascii="Arial" w:hAnsi="Arial" w:cs="Arial"/>
        </w:rPr>
        <w:t>Every effort has been made to minimize the burden to small entities by keeping questions simple and to a minimum</w:t>
      </w:r>
      <w:r w:rsidRPr="00173026">
        <w:rPr>
          <w:rFonts w:ascii="Arial" w:hAnsi="Arial" w:cs="Arial"/>
          <w:bCs/>
        </w:rPr>
        <w:t xml:space="preserve"> on the initial application</w:t>
      </w:r>
      <w:r w:rsidRPr="00173026">
        <w:rPr>
          <w:rFonts w:ascii="Arial" w:hAnsi="Arial" w:cs="Arial"/>
        </w:rPr>
        <w:t xml:space="preserve">. The length of the proposed application has been deemed necessary to ensure that VA awards grants only to the most qualified eligible </w:t>
      </w:r>
    </w:p>
    <w:p w:rsidR="0077662F" w:rsidP="00173026" w14:paraId="53BF597F" w14:textId="5D4122B2">
      <w:pPr>
        <w:widowControl w:val="0"/>
        <w:tabs>
          <w:tab w:val="left" w:pos="540"/>
        </w:tabs>
        <w:rPr>
          <w:rFonts w:ascii="Arial" w:hAnsi="Arial" w:cs="Arial"/>
        </w:rPr>
      </w:pPr>
      <w:r w:rsidRPr="00173026">
        <w:rPr>
          <w:rFonts w:ascii="Arial" w:hAnsi="Arial" w:cs="Arial"/>
        </w:rPr>
        <w:t>entities</w:t>
      </w:r>
      <w:r w:rsidR="00745534">
        <w:rPr>
          <w:rFonts w:ascii="Arial" w:hAnsi="Arial" w:cs="Arial"/>
        </w:rPr>
        <w:t xml:space="preserve"> and follows P.L. 161-171</w:t>
      </w:r>
      <w:r w:rsidRPr="00173026">
        <w:rPr>
          <w:rFonts w:ascii="Arial" w:hAnsi="Arial" w:cs="Arial"/>
        </w:rPr>
        <w:t>. This is also applicable to the Renewal Application. The use of electronic collection techniques reduce</w:t>
      </w:r>
      <w:r w:rsidR="00490183">
        <w:rPr>
          <w:rFonts w:ascii="Arial" w:hAnsi="Arial" w:cs="Arial"/>
        </w:rPr>
        <w:t>s</w:t>
      </w:r>
      <w:r w:rsidRPr="00173026">
        <w:rPr>
          <w:rFonts w:ascii="Arial" w:hAnsi="Arial" w:cs="Arial"/>
        </w:rPr>
        <w:t xml:space="preserve"> the burden because it avoid</w:t>
      </w:r>
      <w:r w:rsidR="003E1673">
        <w:rPr>
          <w:rFonts w:ascii="Arial" w:hAnsi="Arial" w:cs="Arial"/>
        </w:rPr>
        <w:t>s</w:t>
      </w:r>
      <w:r w:rsidRPr="00173026">
        <w:rPr>
          <w:rFonts w:ascii="Arial" w:hAnsi="Arial" w:cs="Arial"/>
        </w:rPr>
        <w:t xml:space="preserve"> duplicating materials. Electronic submission also reduces costs associated with sending and handling mail.  </w:t>
      </w:r>
    </w:p>
    <w:p w:rsidR="00173026" w:rsidP="00173026" w14:paraId="661AD333" w14:textId="77777777">
      <w:pPr>
        <w:tabs>
          <w:tab w:val="left" w:pos="547"/>
          <w:tab w:val="left" w:pos="1080"/>
          <w:tab w:val="left" w:pos="1627"/>
          <w:tab w:val="left" w:pos="2160"/>
          <w:tab w:val="left" w:pos="2880"/>
        </w:tabs>
        <w:rPr>
          <w:rFonts w:ascii="Arial" w:hAnsi="Arial" w:cs="Arial"/>
        </w:rPr>
      </w:pPr>
    </w:p>
    <w:p w:rsidR="0077662F" w:rsidP="00173026" w14:paraId="1B6D0A84" w14:textId="117DAAB0">
      <w:pPr>
        <w:tabs>
          <w:tab w:val="left" w:pos="547"/>
          <w:tab w:val="left" w:pos="1080"/>
          <w:tab w:val="left" w:pos="1627"/>
          <w:tab w:val="left" w:pos="2160"/>
          <w:tab w:val="left" w:pos="2880"/>
        </w:tabs>
        <w:rPr>
          <w:rFonts w:ascii="Arial" w:hAnsi="Arial" w:cs="Arial"/>
        </w:rPr>
      </w:pPr>
      <w:r w:rsidRPr="35CB2D15">
        <w:rPr>
          <w:rFonts w:ascii="Arial" w:hAnsi="Arial" w:cs="Arial"/>
        </w:rPr>
        <w:t>The</w:t>
      </w:r>
      <w:r>
        <w:rPr>
          <w:rFonts w:ascii="Arial" w:hAnsi="Arial" w:cs="Arial"/>
        </w:rPr>
        <w:t xml:space="preserve"> P</w:t>
      </w:r>
      <w:r w:rsidRPr="35CB2D15">
        <w:rPr>
          <w:rFonts w:ascii="Arial" w:hAnsi="Arial" w:cs="Arial"/>
        </w:rPr>
        <w:t xml:space="preserve">articipant </w:t>
      </w:r>
      <w:r>
        <w:rPr>
          <w:rFonts w:ascii="Arial" w:hAnsi="Arial" w:cs="Arial"/>
        </w:rPr>
        <w:t>S</w:t>
      </w:r>
      <w:r w:rsidRPr="35CB2D15">
        <w:rPr>
          <w:rFonts w:ascii="Arial" w:hAnsi="Arial" w:cs="Arial"/>
        </w:rPr>
        <w:t xml:space="preserve">atisfaction </w:t>
      </w:r>
      <w:r>
        <w:rPr>
          <w:rFonts w:ascii="Arial" w:hAnsi="Arial" w:cs="Arial"/>
        </w:rPr>
        <w:t>S</w:t>
      </w:r>
      <w:r w:rsidRPr="35CB2D15">
        <w:rPr>
          <w:rFonts w:ascii="Arial" w:hAnsi="Arial" w:cs="Arial"/>
        </w:rPr>
        <w:t xml:space="preserve">urvey </w:t>
      </w:r>
      <w:r w:rsidR="00490183">
        <w:rPr>
          <w:rFonts w:ascii="Arial" w:hAnsi="Arial" w:cs="Arial"/>
        </w:rPr>
        <w:t xml:space="preserve">is </w:t>
      </w:r>
      <w:r w:rsidRPr="35CB2D15">
        <w:rPr>
          <w:rFonts w:ascii="Arial" w:hAnsi="Arial" w:cs="Arial"/>
        </w:rPr>
        <w:t xml:space="preserve">used to survey individuals, so no small businesses or other small entities are impacted by the information collection. Every effort is being made with the </w:t>
      </w:r>
      <w:r>
        <w:rPr>
          <w:rFonts w:ascii="Arial" w:hAnsi="Arial" w:cs="Arial"/>
        </w:rPr>
        <w:t>C</w:t>
      </w:r>
      <w:r w:rsidRPr="35CB2D15">
        <w:rPr>
          <w:rFonts w:ascii="Arial" w:hAnsi="Arial" w:cs="Arial"/>
        </w:rPr>
        <w:t xml:space="preserve">ompliance </w:t>
      </w:r>
      <w:r>
        <w:rPr>
          <w:rFonts w:ascii="Arial" w:hAnsi="Arial" w:cs="Arial"/>
        </w:rPr>
        <w:t>R</w:t>
      </w:r>
      <w:r w:rsidRPr="35CB2D15">
        <w:rPr>
          <w:rFonts w:ascii="Arial" w:hAnsi="Arial" w:cs="Arial"/>
        </w:rPr>
        <w:t xml:space="preserve">eports to minimize the burden to small businesses by keeping questions simple and to a minimum. The length of the proposed reports has been deemed necessary to ensure that grantees are conforming to program </w:t>
      </w:r>
      <w:r w:rsidRPr="35CB2D15" w:rsidR="00A84533">
        <w:rPr>
          <w:rFonts w:ascii="Arial" w:hAnsi="Arial" w:cs="Arial"/>
        </w:rPr>
        <w:t>requirements.</w:t>
      </w:r>
      <w:r w:rsidRPr="35CB2D15" w:rsidR="007C3E06">
        <w:rPr>
          <w:rFonts w:ascii="Arial" w:hAnsi="Arial" w:cs="Arial"/>
        </w:rPr>
        <w:t xml:space="preserve"> </w:t>
      </w:r>
      <w:r w:rsidRPr="35CB2D15" w:rsidR="00573556">
        <w:rPr>
          <w:rFonts w:ascii="Arial" w:hAnsi="Arial" w:cs="Arial"/>
        </w:rPr>
        <w:t>Program</w:t>
      </w:r>
      <w:r w:rsidR="00E125B4">
        <w:rPr>
          <w:rFonts w:ascii="Arial" w:hAnsi="Arial" w:cs="Arial"/>
        </w:rPr>
        <w:t xml:space="preserve"> &amp; B</w:t>
      </w:r>
      <w:r w:rsidRPr="35CB2D15" w:rsidR="00573556">
        <w:rPr>
          <w:rFonts w:ascii="Arial" w:hAnsi="Arial" w:cs="Arial"/>
        </w:rPr>
        <w:t xml:space="preserve">udget </w:t>
      </w:r>
      <w:r w:rsidR="00E125B4">
        <w:rPr>
          <w:rFonts w:ascii="Arial" w:hAnsi="Arial" w:cs="Arial"/>
        </w:rPr>
        <w:t>C</w:t>
      </w:r>
      <w:r w:rsidRPr="35CB2D15" w:rsidR="00AE159A">
        <w:rPr>
          <w:rFonts w:ascii="Arial" w:hAnsi="Arial" w:cs="Arial"/>
        </w:rPr>
        <w:t>hanges</w:t>
      </w:r>
      <w:r w:rsidR="00E125B4">
        <w:rPr>
          <w:rFonts w:ascii="Arial" w:hAnsi="Arial" w:cs="Arial"/>
        </w:rPr>
        <w:t xml:space="preserve"> and C</w:t>
      </w:r>
      <w:r w:rsidRPr="35CB2D15" w:rsidR="00EF4292">
        <w:rPr>
          <w:rFonts w:ascii="Arial" w:hAnsi="Arial" w:cs="Arial"/>
        </w:rPr>
        <w:t xml:space="preserve">orrective </w:t>
      </w:r>
      <w:r w:rsidR="00E125B4">
        <w:rPr>
          <w:rFonts w:ascii="Arial" w:hAnsi="Arial" w:cs="Arial"/>
        </w:rPr>
        <w:t>A</w:t>
      </w:r>
      <w:r w:rsidRPr="35CB2D15" w:rsidR="00EF4292">
        <w:rPr>
          <w:rFonts w:ascii="Arial" w:hAnsi="Arial" w:cs="Arial"/>
        </w:rPr>
        <w:t xml:space="preserve">ction </w:t>
      </w:r>
      <w:r w:rsidR="00E125B4">
        <w:rPr>
          <w:rFonts w:ascii="Arial" w:hAnsi="Arial" w:cs="Arial"/>
        </w:rPr>
        <w:t>P</w:t>
      </w:r>
      <w:r w:rsidRPr="35CB2D15" w:rsidR="000B0C5D">
        <w:rPr>
          <w:rFonts w:ascii="Arial" w:hAnsi="Arial" w:cs="Arial"/>
        </w:rPr>
        <w:t xml:space="preserve">lans </w:t>
      </w:r>
      <w:r w:rsidR="00490183">
        <w:rPr>
          <w:rFonts w:ascii="Arial" w:hAnsi="Arial" w:cs="Arial"/>
        </w:rPr>
        <w:t>are</w:t>
      </w:r>
      <w:r w:rsidRPr="35CB2D15" w:rsidR="00573556">
        <w:rPr>
          <w:rFonts w:ascii="Arial" w:hAnsi="Arial" w:cs="Arial"/>
        </w:rPr>
        <w:t xml:space="preserve"> submitted by grantees when necessary. Not all </w:t>
      </w:r>
      <w:r w:rsidR="00490183">
        <w:rPr>
          <w:rFonts w:ascii="Arial" w:hAnsi="Arial" w:cs="Arial"/>
        </w:rPr>
        <w:t xml:space="preserve">are </w:t>
      </w:r>
      <w:r w:rsidRPr="35CB2D15" w:rsidR="00573556">
        <w:rPr>
          <w:rFonts w:ascii="Arial" w:hAnsi="Arial" w:cs="Arial"/>
        </w:rPr>
        <w:t>required to submit these; however, in instances in which modification of grant is necessary because of proposed significant changes to the grant program</w:t>
      </w:r>
      <w:r w:rsidRPr="35CB2D15" w:rsidR="007B4AD5">
        <w:rPr>
          <w:rFonts w:ascii="Arial" w:hAnsi="Arial" w:cs="Arial"/>
        </w:rPr>
        <w:t>,</w:t>
      </w:r>
      <w:r w:rsidRPr="35CB2D15" w:rsidR="00573556">
        <w:rPr>
          <w:rFonts w:ascii="Arial" w:hAnsi="Arial" w:cs="Arial"/>
        </w:rPr>
        <w:t xml:space="preserve"> or if actual suicide prevention services grant expenditures vary from the amount disbursed or activities vary from the grantee’s program description, these change</w:t>
      </w:r>
      <w:r w:rsidR="00490183">
        <w:rPr>
          <w:rFonts w:ascii="Arial" w:hAnsi="Arial" w:cs="Arial"/>
        </w:rPr>
        <w:t>s are</w:t>
      </w:r>
      <w:r w:rsidRPr="35CB2D15" w:rsidR="00573556">
        <w:rPr>
          <w:rFonts w:ascii="Arial" w:hAnsi="Arial" w:cs="Arial"/>
        </w:rPr>
        <w:t xml:space="preserve"> required. </w:t>
      </w:r>
    </w:p>
    <w:p w:rsidR="0077662F" w:rsidP="00173026" w14:paraId="47C32FC7" w14:textId="77777777">
      <w:pPr>
        <w:tabs>
          <w:tab w:val="left" w:pos="547"/>
          <w:tab w:val="left" w:pos="1080"/>
          <w:tab w:val="left" w:pos="1627"/>
          <w:tab w:val="left" w:pos="2160"/>
          <w:tab w:val="left" w:pos="2880"/>
        </w:tabs>
        <w:rPr>
          <w:rFonts w:ascii="Arial" w:hAnsi="Arial" w:cs="Arial"/>
        </w:rPr>
      </w:pPr>
    </w:p>
    <w:p w:rsidR="0062329D" w:rsidRPr="00761F28" w:rsidP="00173026" w14:paraId="17C26290" w14:textId="1B4E91B4">
      <w:pPr>
        <w:tabs>
          <w:tab w:val="left" w:pos="547"/>
          <w:tab w:val="left" w:pos="1080"/>
          <w:tab w:val="left" w:pos="1627"/>
          <w:tab w:val="left" w:pos="2160"/>
          <w:tab w:val="left" w:pos="2880"/>
        </w:tabs>
        <w:rPr>
          <w:rFonts w:ascii="Arial" w:hAnsi="Arial" w:cs="Arial"/>
        </w:rPr>
      </w:pPr>
      <w:r w:rsidRPr="35CB2D15">
        <w:rPr>
          <w:rFonts w:ascii="Arial" w:hAnsi="Arial" w:cs="Arial"/>
        </w:rPr>
        <w:t>The use of electronic collection techniques reduce</w:t>
      </w:r>
      <w:r w:rsidR="00490183">
        <w:rPr>
          <w:rFonts w:ascii="Arial" w:hAnsi="Arial" w:cs="Arial"/>
        </w:rPr>
        <w:t>s</w:t>
      </w:r>
      <w:r w:rsidRPr="35CB2D15">
        <w:rPr>
          <w:rFonts w:ascii="Arial" w:hAnsi="Arial" w:cs="Arial"/>
        </w:rPr>
        <w:t xml:space="preserve"> burden because it </w:t>
      </w:r>
      <w:r w:rsidR="00490183">
        <w:rPr>
          <w:rFonts w:ascii="Arial" w:hAnsi="Arial" w:cs="Arial"/>
        </w:rPr>
        <w:t>is</w:t>
      </w:r>
      <w:r w:rsidRPr="35CB2D15">
        <w:rPr>
          <w:rFonts w:ascii="Arial" w:hAnsi="Arial" w:cs="Arial"/>
        </w:rPr>
        <w:t xml:space="preserve"> consistent and compatible with current reporting and recordkeeping practices. It makes appropriate use of information technology</w:t>
      </w:r>
      <w:r w:rsidRPr="35CB2D15" w:rsidR="005937F3">
        <w:rPr>
          <w:rFonts w:ascii="Arial" w:hAnsi="Arial" w:cs="Arial"/>
        </w:rPr>
        <w:t xml:space="preserve">. </w:t>
      </w:r>
      <w:r w:rsidRPr="35CB2D15">
        <w:rPr>
          <w:rFonts w:ascii="Arial" w:hAnsi="Arial" w:cs="Arial"/>
        </w:rPr>
        <w:t xml:space="preserve">The </w:t>
      </w:r>
      <w:r w:rsidRPr="35CB2D15" w:rsidR="000B0C5D">
        <w:rPr>
          <w:rFonts w:ascii="Arial" w:hAnsi="Arial" w:cs="Arial"/>
        </w:rPr>
        <w:t>eligibility screening tool</w:t>
      </w:r>
      <w:r w:rsidRPr="35CB2D15" w:rsidR="47AC2DA0">
        <w:rPr>
          <w:rFonts w:ascii="Arial" w:hAnsi="Arial" w:cs="Arial"/>
        </w:rPr>
        <w:t>s</w:t>
      </w:r>
      <w:r w:rsidRPr="35CB2D15">
        <w:rPr>
          <w:rFonts w:ascii="Arial" w:hAnsi="Arial" w:cs="Arial"/>
        </w:rPr>
        <w:t xml:space="preserve"> </w:t>
      </w:r>
      <w:r w:rsidR="00490183">
        <w:rPr>
          <w:rFonts w:ascii="Arial" w:hAnsi="Arial" w:cs="Arial"/>
        </w:rPr>
        <w:t>are</w:t>
      </w:r>
      <w:r w:rsidRPr="35CB2D15">
        <w:rPr>
          <w:rFonts w:ascii="Arial" w:hAnsi="Arial" w:cs="Arial"/>
        </w:rPr>
        <w:t xml:space="preserve"> </w:t>
      </w:r>
      <w:r w:rsidRPr="35CB2D15" w:rsidR="00044B38">
        <w:rPr>
          <w:rFonts w:ascii="Arial" w:hAnsi="Arial" w:cs="Arial"/>
        </w:rPr>
        <w:t xml:space="preserve">used to assess all referrals to the program. </w:t>
      </w:r>
      <w:r w:rsidRPr="35CB2D15" w:rsidR="005937F3">
        <w:rPr>
          <w:rFonts w:ascii="Arial" w:hAnsi="Arial" w:cs="Arial"/>
        </w:rPr>
        <w:t xml:space="preserve">The tool </w:t>
      </w:r>
      <w:r w:rsidR="00490183">
        <w:rPr>
          <w:rFonts w:ascii="Arial" w:hAnsi="Arial" w:cs="Arial"/>
        </w:rPr>
        <w:t>is</w:t>
      </w:r>
      <w:r w:rsidRPr="35CB2D15" w:rsidR="005937F3">
        <w:rPr>
          <w:rFonts w:ascii="Arial" w:hAnsi="Arial" w:cs="Arial"/>
        </w:rPr>
        <w:t xml:space="preserve"> administered in an electronic format, reducing the burden </w:t>
      </w:r>
      <w:r w:rsidR="00652510">
        <w:rPr>
          <w:rFonts w:ascii="Arial" w:hAnsi="Arial" w:cs="Arial"/>
        </w:rPr>
        <w:t xml:space="preserve">of </w:t>
      </w:r>
      <w:r w:rsidRPr="35CB2D15" w:rsidR="005937F3">
        <w:rPr>
          <w:rFonts w:ascii="Arial" w:hAnsi="Arial" w:cs="Arial"/>
        </w:rPr>
        <w:t xml:space="preserve">paper </w:t>
      </w:r>
      <w:r w:rsidRPr="35CB2D15" w:rsidR="00EF4292">
        <w:rPr>
          <w:rFonts w:ascii="Arial" w:hAnsi="Arial" w:cs="Arial"/>
        </w:rPr>
        <w:t>documents,</w:t>
      </w:r>
      <w:r w:rsidRPr="35CB2D15" w:rsidR="005937F3">
        <w:rPr>
          <w:rFonts w:ascii="Arial" w:hAnsi="Arial" w:cs="Arial"/>
        </w:rPr>
        <w:t xml:space="preserve"> and expediting </w:t>
      </w:r>
      <w:r w:rsidRPr="35CB2D15" w:rsidR="00D70F8C">
        <w:rPr>
          <w:rFonts w:ascii="Arial" w:hAnsi="Arial" w:cs="Arial"/>
        </w:rPr>
        <w:t xml:space="preserve">eligibility determination. </w:t>
      </w:r>
      <w:r w:rsidR="00E00436">
        <w:rPr>
          <w:rFonts w:ascii="Arial" w:hAnsi="Arial" w:cs="Arial"/>
        </w:rPr>
        <w:t xml:space="preserve">The </w:t>
      </w:r>
      <w:r w:rsidR="00652510">
        <w:rPr>
          <w:rFonts w:ascii="Arial" w:hAnsi="Arial" w:cs="Arial"/>
        </w:rPr>
        <w:t xml:space="preserve">Veteran and Active-Duty Service Member </w:t>
      </w:r>
      <w:r w:rsidR="00743263">
        <w:rPr>
          <w:rFonts w:ascii="Arial" w:hAnsi="Arial" w:cs="Arial"/>
        </w:rPr>
        <w:t>I</w:t>
      </w:r>
      <w:r w:rsidR="00E00436">
        <w:rPr>
          <w:rFonts w:ascii="Arial" w:hAnsi="Arial" w:cs="Arial"/>
        </w:rPr>
        <w:t xml:space="preserve">ntake </w:t>
      </w:r>
      <w:r w:rsidR="00743263">
        <w:rPr>
          <w:rFonts w:ascii="Arial" w:hAnsi="Arial" w:cs="Arial"/>
        </w:rPr>
        <w:t>F</w:t>
      </w:r>
      <w:r w:rsidR="00E00436">
        <w:rPr>
          <w:rFonts w:ascii="Arial" w:hAnsi="Arial" w:cs="Arial"/>
        </w:rPr>
        <w:t>orm</w:t>
      </w:r>
      <w:r w:rsidR="00743263">
        <w:rPr>
          <w:rFonts w:ascii="Arial" w:hAnsi="Arial" w:cs="Arial"/>
        </w:rPr>
        <w:t xml:space="preserve"> </w:t>
      </w:r>
      <w:r w:rsidR="00930179">
        <w:rPr>
          <w:rFonts w:ascii="Arial" w:hAnsi="Arial" w:cs="Arial"/>
        </w:rPr>
        <w:t>and standardized</w:t>
      </w:r>
      <w:r w:rsidR="00490183">
        <w:rPr>
          <w:rFonts w:ascii="Arial" w:hAnsi="Arial" w:cs="Arial"/>
        </w:rPr>
        <w:t xml:space="preserve"> screening</w:t>
      </w:r>
      <w:r w:rsidR="00930179">
        <w:rPr>
          <w:rFonts w:ascii="Arial" w:hAnsi="Arial" w:cs="Arial"/>
        </w:rPr>
        <w:t>s</w:t>
      </w:r>
      <w:r w:rsidR="00930179">
        <w:rPr>
          <w:rFonts w:ascii="Arial" w:hAnsi="Arial" w:cs="Arial"/>
        </w:rPr>
        <w:t xml:space="preserve"> </w:t>
      </w:r>
      <w:r w:rsidR="00490183">
        <w:rPr>
          <w:rFonts w:ascii="Arial" w:hAnsi="Arial" w:cs="Arial"/>
        </w:rPr>
        <w:t>are</w:t>
      </w:r>
      <w:r w:rsidR="00E00436">
        <w:rPr>
          <w:rFonts w:ascii="Arial" w:hAnsi="Arial" w:cs="Arial"/>
        </w:rPr>
        <w:t xml:space="preserve"> </w:t>
      </w:r>
      <w:r w:rsidR="00B64FD6">
        <w:rPr>
          <w:rFonts w:ascii="Arial" w:hAnsi="Arial" w:cs="Arial"/>
        </w:rPr>
        <w:t xml:space="preserve">administered in an electronic format, using Behavioral </w:t>
      </w:r>
      <w:r w:rsidR="00490183">
        <w:rPr>
          <w:rFonts w:ascii="Arial" w:hAnsi="Arial" w:cs="Arial"/>
        </w:rPr>
        <w:t xml:space="preserve">Health Lab (BHL) Touch </w:t>
      </w:r>
      <w:r w:rsidRPr="00761F28" w:rsidR="00B64FD6">
        <w:rPr>
          <w:rFonts w:ascii="Arial" w:hAnsi="Arial" w:cs="Arial"/>
        </w:rPr>
        <w:t>Link</w:t>
      </w:r>
      <w:r w:rsidRPr="00761F28" w:rsidR="00930179">
        <w:rPr>
          <w:rFonts w:ascii="Arial" w:hAnsi="Arial" w:cs="Arial"/>
        </w:rPr>
        <w:t>.</w:t>
      </w:r>
    </w:p>
    <w:p w:rsidR="001813F6" w:rsidRPr="00761F28" w:rsidP="00173026" w14:paraId="53C65149" w14:textId="77777777">
      <w:pPr>
        <w:tabs>
          <w:tab w:val="left" w:pos="547"/>
          <w:tab w:val="left" w:pos="1080"/>
          <w:tab w:val="left" w:pos="1627"/>
          <w:tab w:val="left" w:pos="2160"/>
          <w:tab w:val="left" w:pos="2880"/>
        </w:tabs>
        <w:rPr>
          <w:rFonts w:ascii="Arial" w:hAnsi="Arial" w:cs="Arial"/>
        </w:rPr>
      </w:pPr>
    </w:p>
    <w:p w:rsidR="00536A11" w:rsidRPr="00AD106D" w14:paraId="2D7C39E3" w14:textId="41B7FB17">
      <w:pPr>
        <w:tabs>
          <w:tab w:val="left" w:pos="547"/>
          <w:tab w:val="left" w:pos="1080"/>
          <w:tab w:val="left" w:pos="1627"/>
          <w:tab w:val="left" w:pos="2160"/>
          <w:tab w:val="left" w:pos="2880"/>
        </w:tabs>
        <w:rPr>
          <w:rFonts w:ascii="Arial" w:hAnsi="Arial" w:cs="Arial"/>
          <w:b/>
        </w:rPr>
      </w:pPr>
      <w:r w:rsidRPr="00761F28">
        <w:rPr>
          <w:rFonts w:ascii="Arial" w:hAnsi="Arial" w:cs="Arial"/>
          <w:b/>
        </w:rPr>
        <w:t>6.</w:t>
      </w:r>
      <w:r w:rsidRPr="00761F28">
        <w:rPr>
          <w:rFonts w:ascii="Arial" w:hAnsi="Arial" w:cs="Arial"/>
          <w:b/>
        </w:rPr>
        <w:tab/>
      </w:r>
      <w:r w:rsidRPr="00761F28">
        <w:rPr>
          <w:rFonts w:ascii="Arial" w:hAnsi="Arial" w:cs="Arial"/>
          <w:b/>
          <w:color w:val="000000"/>
        </w:rPr>
        <w:t>Describe</w:t>
      </w:r>
      <w:r w:rsidRPr="00AD106D">
        <w:rPr>
          <w:rFonts w:ascii="Arial" w:hAnsi="Arial" w:cs="Arial"/>
          <w:b/>
          <w:color w:val="000000"/>
        </w:rPr>
        <w:t xml:space="preserve"> the consequences to Federal program or policy activities if the collection is not conducted or is conducted less frequently</w:t>
      </w:r>
      <w:r w:rsidRPr="00AD106D" w:rsidR="00A62192">
        <w:rPr>
          <w:rFonts w:ascii="Arial" w:hAnsi="Arial" w:cs="Arial"/>
          <w:b/>
          <w:color w:val="000000"/>
        </w:rPr>
        <w:t>,</w:t>
      </w:r>
      <w:r w:rsidRPr="00AD106D">
        <w:rPr>
          <w:rFonts w:ascii="Arial" w:hAnsi="Arial" w:cs="Arial"/>
          <w:b/>
        </w:rPr>
        <w:t xml:space="preserve"> as well as any technical or legal obstacles to reducing burden.</w:t>
      </w:r>
    </w:p>
    <w:p w:rsidR="00536A11" w:rsidRPr="00AD106D" w14:paraId="11C59422" w14:textId="77777777">
      <w:pPr>
        <w:tabs>
          <w:tab w:val="left" w:pos="547"/>
          <w:tab w:val="left" w:pos="1080"/>
          <w:tab w:val="left" w:pos="1627"/>
          <w:tab w:val="left" w:pos="2160"/>
          <w:tab w:val="left" w:pos="2880"/>
        </w:tabs>
        <w:rPr>
          <w:rFonts w:ascii="Arial" w:hAnsi="Arial" w:cs="Arial"/>
        </w:rPr>
      </w:pPr>
    </w:p>
    <w:p w:rsidR="00173026" w:rsidRPr="00173026" w:rsidP="00173026" w14:paraId="63D08795" w14:textId="144DDA87">
      <w:pPr>
        <w:widowControl w:val="0"/>
        <w:tabs>
          <w:tab w:val="left" w:pos="540"/>
        </w:tabs>
        <w:rPr>
          <w:rFonts w:ascii="Arial" w:hAnsi="Arial" w:cs="Arial"/>
        </w:rPr>
      </w:pPr>
      <w:r w:rsidRPr="00173026">
        <w:rPr>
          <w:rFonts w:ascii="Arial" w:hAnsi="Arial" w:cs="Arial"/>
        </w:rPr>
        <w:t xml:space="preserve">Collection of the initial </w:t>
      </w:r>
      <w:r w:rsidR="00CF5736">
        <w:rPr>
          <w:rFonts w:ascii="Arial" w:hAnsi="Arial" w:cs="Arial"/>
        </w:rPr>
        <w:t>A</w:t>
      </w:r>
      <w:r w:rsidRPr="00173026">
        <w:rPr>
          <w:rFonts w:ascii="Arial" w:hAnsi="Arial" w:cs="Arial"/>
        </w:rPr>
        <w:t xml:space="preserve">pplications and/or the Renewal Application must be conducted as part </w:t>
      </w:r>
      <w:r w:rsidRPr="00173026">
        <w:rPr>
          <w:rFonts w:ascii="Arial" w:hAnsi="Arial" w:cs="Arial"/>
        </w:rPr>
        <w:t xml:space="preserve">of the annual </w:t>
      </w:r>
      <w:r w:rsidR="00A03977">
        <w:rPr>
          <w:rFonts w:ascii="Arial" w:hAnsi="Arial" w:cs="Arial"/>
        </w:rPr>
        <w:t>NOFO</w:t>
      </w:r>
      <w:r w:rsidRPr="00173026">
        <w:rPr>
          <w:rFonts w:ascii="Arial" w:hAnsi="Arial" w:cs="Arial"/>
        </w:rPr>
        <w:t xml:space="preserve"> in order to distribute available </w:t>
      </w:r>
      <w:r w:rsidR="00A03977">
        <w:rPr>
          <w:rFonts w:ascii="Arial" w:hAnsi="Arial" w:cs="Arial"/>
        </w:rPr>
        <w:t xml:space="preserve">SSG </w:t>
      </w:r>
      <w:r w:rsidR="00D8389D">
        <w:rPr>
          <w:rFonts w:ascii="Arial" w:hAnsi="Arial" w:cs="Arial"/>
        </w:rPr>
        <w:t>Fox</w:t>
      </w:r>
      <w:r w:rsidRPr="00173026">
        <w:rPr>
          <w:rFonts w:ascii="Arial" w:hAnsi="Arial" w:cs="Arial"/>
        </w:rPr>
        <w:t xml:space="preserve"> </w:t>
      </w:r>
      <w:r w:rsidR="001813F6">
        <w:rPr>
          <w:rFonts w:ascii="Arial" w:hAnsi="Arial" w:cs="Arial"/>
        </w:rPr>
        <w:t xml:space="preserve">SPGP </w:t>
      </w:r>
      <w:r w:rsidRPr="00173026">
        <w:rPr>
          <w:rFonts w:ascii="Arial" w:hAnsi="Arial" w:cs="Arial"/>
        </w:rPr>
        <w:t xml:space="preserve">grant funds or to renew grant agreements, provided funds are available. These application forms may need to be updated in the future to reflect changes made to the Final Rule or </w:t>
      </w:r>
      <w:r w:rsidR="00F54B31">
        <w:rPr>
          <w:rFonts w:ascii="Arial" w:hAnsi="Arial" w:cs="Arial"/>
        </w:rPr>
        <w:t>NOFO</w:t>
      </w:r>
      <w:r>
        <w:rPr>
          <w:rFonts w:ascii="Arial" w:hAnsi="Arial" w:cs="Arial"/>
        </w:rPr>
        <w:t>.</w:t>
      </w:r>
    </w:p>
    <w:p w:rsidR="00173026" w:rsidRPr="00173026" w:rsidP="00173026" w14:paraId="51EE57EA" w14:textId="77777777">
      <w:pPr>
        <w:tabs>
          <w:tab w:val="left" w:pos="547"/>
          <w:tab w:val="left" w:pos="1080"/>
          <w:tab w:val="left" w:pos="1627"/>
          <w:tab w:val="left" w:pos="2160"/>
          <w:tab w:val="left" w:pos="2880"/>
        </w:tabs>
        <w:rPr>
          <w:rFonts w:ascii="Arial" w:hAnsi="Arial" w:cs="Arial"/>
        </w:rPr>
      </w:pPr>
    </w:p>
    <w:p w:rsidR="00173026" w:rsidP="00173026" w14:paraId="3FAF7E5B" w14:textId="4AA68CD5">
      <w:pPr>
        <w:pStyle w:val="Header"/>
        <w:tabs>
          <w:tab w:val="left" w:pos="547"/>
          <w:tab w:val="left" w:pos="1080"/>
          <w:tab w:val="left" w:pos="1627"/>
          <w:tab w:val="left" w:pos="2160"/>
          <w:tab w:val="left" w:pos="2880"/>
        </w:tabs>
        <w:rPr>
          <w:rFonts w:ascii="Arial" w:hAnsi="Arial" w:cs="Arial"/>
          <w:sz w:val="24"/>
          <w:szCs w:val="24"/>
        </w:rPr>
      </w:pPr>
      <w:r w:rsidRPr="00173026">
        <w:rPr>
          <w:rFonts w:ascii="Arial" w:hAnsi="Arial" w:cs="Arial"/>
          <w:sz w:val="24"/>
          <w:szCs w:val="24"/>
        </w:rPr>
        <w:t xml:space="preserve">VA would not be able to conduct annual program evaluation or formal assessment of the </w:t>
      </w:r>
      <w:r w:rsidR="00F54B31">
        <w:rPr>
          <w:rFonts w:ascii="Arial" w:hAnsi="Arial" w:cs="Arial"/>
          <w:sz w:val="24"/>
          <w:szCs w:val="24"/>
        </w:rPr>
        <w:t>grant program</w:t>
      </w:r>
      <w:r w:rsidRPr="00173026">
        <w:rPr>
          <w:rFonts w:ascii="Arial" w:hAnsi="Arial" w:cs="Arial"/>
          <w:sz w:val="24"/>
          <w:szCs w:val="24"/>
        </w:rPr>
        <w:t xml:space="preserve"> if the </w:t>
      </w:r>
      <w:r w:rsidR="00CF5736">
        <w:rPr>
          <w:rFonts w:ascii="Arial" w:hAnsi="Arial" w:cs="Arial"/>
          <w:sz w:val="24"/>
          <w:szCs w:val="24"/>
        </w:rPr>
        <w:t>P</w:t>
      </w:r>
      <w:r w:rsidRPr="00173026">
        <w:rPr>
          <w:rFonts w:ascii="Arial" w:hAnsi="Arial" w:cs="Arial"/>
          <w:sz w:val="24"/>
          <w:szCs w:val="24"/>
        </w:rPr>
        <w:t xml:space="preserve">articipant </w:t>
      </w:r>
      <w:r w:rsidR="00CF5736">
        <w:rPr>
          <w:rFonts w:ascii="Arial" w:hAnsi="Arial" w:cs="Arial"/>
          <w:sz w:val="24"/>
          <w:szCs w:val="24"/>
        </w:rPr>
        <w:t>S</w:t>
      </w:r>
      <w:r w:rsidRPr="00173026">
        <w:rPr>
          <w:rFonts w:ascii="Arial" w:hAnsi="Arial" w:cs="Arial"/>
          <w:sz w:val="24"/>
          <w:szCs w:val="24"/>
        </w:rPr>
        <w:t xml:space="preserve">atisfaction </w:t>
      </w:r>
      <w:r w:rsidR="00CF5736">
        <w:rPr>
          <w:rFonts w:ascii="Arial" w:hAnsi="Arial" w:cs="Arial"/>
          <w:sz w:val="24"/>
          <w:szCs w:val="24"/>
        </w:rPr>
        <w:t>S</w:t>
      </w:r>
      <w:r w:rsidRPr="00173026">
        <w:rPr>
          <w:rFonts w:ascii="Arial" w:hAnsi="Arial" w:cs="Arial"/>
          <w:sz w:val="24"/>
          <w:szCs w:val="24"/>
        </w:rPr>
        <w:t>urvey</w:t>
      </w:r>
      <w:r w:rsidR="00743EAC">
        <w:rPr>
          <w:rFonts w:ascii="Arial" w:hAnsi="Arial" w:cs="Arial"/>
          <w:sz w:val="24"/>
          <w:szCs w:val="24"/>
        </w:rPr>
        <w:t xml:space="preserve">, </w:t>
      </w:r>
      <w:r w:rsidR="00CF5736">
        <w:rPr>
          <w:rFonts w:ascii="Arial" w:hAnsi="Arial" w:cs="Arial"/>
          <w:sz w:val="24"/>
          <w:szCs w:val="24"/>
        </w:rPr>
        <w:t>C</w:t>
      </w:r>
      <w:r w:rsidRPr="00173026">
        <w:rPr>
          <w:rFonts w:ascii="Arial" w:hAnsi="Arial" w:cs="Arial"/>
          <w:sz w:val="24"/>
          <w:szCs w:val="24"/>
        </w:rPr>
        <w:t xml:space="preserve">ompliance </w:t>
      </w:r>
      <w:r w:rsidR="00CF5736">
        <w:rPr>
          <w:rFonts w:ascii="Arial" w:hAnsi="Arial" w:cs="Arial"/>
          <w:sz w:val="24"/>
          <w:szCs w:val="24"/>
        </w:rPr>
        <w:t>R</w:t>
      </w:r>
      <w:r w:rsidRPr="00173026">
        <w:rPr>
          <w:rFonts w:ascii="Arial" w:hAnsi="Arial" w:cs="Arial"/>
          <w:sz w:val="24"/>
          <w:szCs w:val="24"/>
        </w:rPr>
        <w:t>eports</w:t>
      </w:r>
      <w:r w:rsidR="00743EAC">
        <w:rPr>
          <w:rFonts w:ascii="Arial" w:hAnsi="Arial" w:cs="Arial"/>
          <w:sz w:val="24"/>
          <w:szCs w:val="24"/>
        </w:rPr>
        <w:t xml:space="preserve"> and </w:t>
      </w:r>
      <w:r w:rsidR="00930179">
        <w:rPr>
          <w:rFonts w:ascii="Arial" w:hAnsi="Arial" w:cs="Arial"/>
          <w:sz w:val="24"/>
          <w:szCs w:val="24"/>
        </w:rPr>
        <w:t>other</w:t>
      </w:r>
      <w:r w:rsidR="00743EAC">
        <w:rPr>
          <w:rFonts w:ascii="Arial" w:hAnsi="Arial" w:cs="Arial"/>
          <w:sz w:val="24"/>
          <w:szCs w:val="24"/>
        </w:rPr>
        <w:t xml:space="preserve"> reports </w:t>
      </w:r>
      <w:r w:rsidRPr="00173026" w:rsidR="00743EAC">
        <w:rPr>
          <w:rFonts w:ascii="Arial" w:hAnsi="Arial" w:cs="Arial"/>
          <w:sz w:val="24"/>
          <w:szCs w:val="24"/>
        </w:rPr>
        <w:t>for</w:t>
      </w:r>
      <w:r w:rsidRPr="00173026">
        <w:rPr>
          <w:rFonts w:ascii="Arial" w:hAnsi="Arial" w:cs="Arial"/>
          <w:sz w:val="24"/>
          <w:szCs w:val="24"/>
        </w:rPr>
        <w:t xml:space="preserve"> </w:t>
      </w:r>
      <w:r>
        <w:rPr>
          <w:rFonts w:ascii="Arial" w:hAnsi="Arial" w:cs="Arial"/>
          <w:sz w:val="24"/>
          <w:szCs w:val="24"/>
        </w:rPr>
        <w:t xml:space="preserve">the </w:t>
      </w:r>
      <w:r w:rsidR="00F54B31">
        <w:rPr>
          <w:rFonts w:ascii="Arial" w:hAnsi="Arial" w:cs="Arial"/>
          <w:sz w:val="24"/>
          <w:szCs w:val="24"/>
        </w:rPr>
        <w:t>grant program</w:t>
      </w:r>
      <w:r w:rsidRPr="00173026">
        <w:rPr>
          <w:rFonts w:ascii="Arial" w:hAnsi="Arial" w:cs="Arial"/>
          <w:sz w:val="24"/>
          <w:szCs w:val="24"/>
        </w:rPr>
        <w:t xml:space="preserve"> collection were not conducted or were conducted less frequently.</w:t>
      </w:r>
    </w:p>
    <w:p w:rsidR="00E24F0D" w:rsidP="00173026" w14:paraId="4A8F3470" w14:textId="77777777">
      <w:pPr>
        <w:pStyle w:val="Header"/>
        <w:tabs>
          <w:tab w:val="left" w:pos="547"/>
          <w:tab w:val="left" w:pos="1080"/>
          <w:tab w:val="left" w:pos="1627"/>
          <w:tab w:val="left" w:pos="2160"/>
          <w:tab w:val="left" w:pos="2880"/>
        </w:tabs>
        <w:rPr>
          <w:rFonts w:ascii="Arial" w:hAnsi="Arial" w:cs="Arial"/>
          <w:sz w:val="24"/>
          <w:szCs w:val="24"/>
        </w:rPr>
      </w:pPr>
    </w:p>
    <w:p w:rsidR="00E24F0D" w:rsidRPr="00F34468" w:rsidP="5045B95B" w14:paraId="72DB7C2F" w14:textId="281076A2">
      <w:pPr>
        <w:pStyle w:val="Header"/>
        <w:tabs>
          <w:tab w:val="left" w:pos="547"/>
          <w:tab w:val="left" w:pos="1080"/>
          <w:tab w:val="left" w:pos="1627"/>
          <w:tab w:val="left" w:pos="2160"/>
          <w:tab w:val="left" w:pos="2880"/>
        </w:tabs>
        <w:rPr>
          <w:rFonts w:ascii="Arial" w:hAnsi="Arial" w:cs="Arial"/>
          <w:sz w:val="24"/>
          <w:szCs w:val="24"/>
        </w:rPr>
      </w:pPr>
      <w:r w:rsidRPr="5045B95B">
        <w:rPr>
          <w:rFonts w:ascii="Arial" w:hAnsi="Arial" w:cs="Arial"/>
          <w:sz w:val="24"/>
          <w:szCs w:val="24"/>
        </w:rPr>
        <w:t>Program</w:t>
      </w:r>
      <w:r w:rsidR="00CD6B7B">
        <w:rPr>
          <w:rFonts w:ascii="Arial" w:hAnsi="Arial" w:cs="Arial"/>
          <w:sz w:val="24"/>
          <w:szCs w:val="24"/>
        </w:rPr>
        <w:t xml:space="preserve"> &amp; </w:t>
      </w:r>
      <w:r w:rsidR="00CF5736">
        <w:rPr>
          <w:rFonts w:ascii="Arial" w:hAnsi="Arial" w:cs="Arial"/>
          <w:sz w:val="24"/>
          <w:szCs w:val="24"/>
        </w:rPr>
        <w:t>B</w:t>
      </w:r>
      <w:r w:rsidRPr="5045B95B">
        <w:rPr>
          <w:rFonts w:ascii="Arial" w:hAnsi="Arial" w:cs="Arial"/>
          <w:sz w:val="24"/>
          <w:szCs w:val="24"/>
        </w:rPr>
        <w:t xml:space="preserve">udget </w:t>
      </w:r>
      <w:r w:rsidR="00CF5736">
        <w:rPr>
          <w:rFonts w:ascii="Arial" w:hAnsi="Arial" w:cs="Arial"/>
          <w:sz w:val="24"/>
          <w:szCs w:val="24"/>
        </w:rPr>
        <w:t>C</w:t>
      </w:r>
      <w:r w:rsidRPr="5045B95B">
        <w:rPr>
          <w:rFonts w:ascii="Arial" w:hAnsi="Arial" w:cs="Arial"/>
          <w:sz w:val="24"/>
          <w:szCs w:val="24"/>
        </w:rPr>
        <w:t>hange</w:t>
      </w:r>
      <w:r w:rsidR="00D04433">
        <w:rPr>
          <w:rFonts w:ascii="Arial" w:hAnsi="Arial" w:cs="Arial"/>
          <w:sz w:val="24"/>
          <w:szCs w:val="24"/>
        </w:rPr>
        <w:t xml:space="preserve"> Request</w:t>
      </w:r>
      <w:r w:rsidR="00CD6B7B">
        <w:rPr>
          <w:rFonts w:ascii="Arial" w:hAnsi="Arial" w:cs="Arial"/>
          <w:sz w:val="24"/>
          <w:szCs w:val="24"/>
        </w:rPr>
        <w:t xml:space="preserve">s </w:t>
      </w:r>
      <w:r w:rsidRPr="5045B95B">
        <w:rPr>
          <w:rFonts w:ascii="Arial" w:hAnsi="Arial" w:cs="Arial"/>
          <w:sz w:val="24"/>
          <w:szCs w:val="24"/>
        </w:rPr>
        <w:t>are necessary for VA to approve and ensure that such changes are consistent with proposed 38 CFR part 78 and the goals and intent of the S</w:t>
      </w:r>
      <w:r w:rsidR="002933BC">
        <w:rPr>
          <w:rFonts w:ascii="Arial" w:hAnsi="Arial" w:cs="Arial"/>
          <w:sz w:val="24"/>
          <w:szCs w:val="24"/>
        </w:rPr>
        <w:t>SG</w:t>
      </w:r>
      <w:r w:rsidRPr="5045B95B">
        <w:rPr>
          <w:rFonts w:ascii="Arial" w:hAnsi="Arial" w:cs="Arial"/>
          <w:sz w:val="24"/>
          <w:szCs w:val="24"/>
        </w:rPr>
        <w:t xml:space="preserve"> Fox S</w:t>
      </w:r>
      <w:r w:rsidR="002933BC">
        <w:rPr>
          <w:rFonts w:ascii="Arial" w:hAnsi="Arial" w:cs="Arial"/>
          <w:sz w:val="24"/>
          <w:szCs w:val="24"/>
        </w:rPr>
        <w:t>PGP</w:t>
      </w:r>
      <w:r w:rsidRPr="5045B95B">
        <w:rPr>
          <w:rFonts w:ascii="Arial" w:hAnsi="Arial" w:cs="Arial"/>
          <w:sz w:val="24"/>
          <w:szCs w:val="24"/>
        </w:rPr>
        <w:t xml:space="preserve">. </w:t>
      </w:r>
      <w:r w:rsidR="00AF0887">
        <w:rPr>
          <w:rFonts w:ascii="Arial" w:hAnsi="Arial" w:cs="Arial"/>
          <w:sz w:val="24"/>
          <w:szCs w:val="24"/>
        </w:rPr>
        <w:t xml:space="preserve">Corrective </w:t>
      </w:r>
      <w:r w:rsidR="00051CA4">
        <w:rPr>
          <w:rFonts w:ascii="Arial" w:hAnsi="Arial" w:cs="Arial"/>
          <w:sz w:val="24"/>
          <w:szCs w:val="24"/>
        </w:rPr>
        <w:t>A</w:t>
      </w:r>
      <w:r w:rsidR="00AF0887">
        <w:rPr>
          <w:rFonts w:ascii="Arial" w:hAnsi="Arial" w:cs="Arial"/>
          <w:sz w:val="24"/>
          <w:szCs w:val="24"/>
        </w:rPr>
        <w:t xml:space="preserve">ction </w:t>
      </w:r>
      <w:r w:rsidR="00051CA4">
        <w:rPr>
          <w:rFonts w:ascii="Arial" w:hAnsi="Arial" w:cs="Arial"/>
          <w:sz w:val="24"/>
          <w:szCs w:val="24"/>
        </w:rPr>
        <w:t>P</w:t>
      </w:r>
      <w:r w:rsidR="00830101">
        <w:rPr>
          <w:rFonts w:ascii="Arial" w:hAnsi="Arial" w:cs="Arial"/>
          <w:sz w:val="24"/>
          <w:szCs w:val="24"/>
        </w:rPr>
        <w:t xml:space="preserve">lans </w:t>
      </w:r>
      <w:r w:rsidR="00C7075A">
        <w:rPr>
          <w:rFonts w:ascii="Arial" w:hAnsi="Arial" w:cs="Arial"/>
          <w:sz w:val="24"/>
          <w:szCs w:val="24"/>
        </w:rPr>
        <w:t xml:space="preserve">are </w:t>
      </w:r>
      <w:r w:rsidR="00AF0887">
        <w:rPr>
          <w:rFonts w:ascii="Arial" w:hAnsi="Arial" w:cs="Arial"/>
          <w:sz w:val="24"/>
          <w:szCs w:val="24"/>
        </w:rPr>
        <w:t xml:space="preserve">required should </w:t>
      </w:r>
      <w:r w:rsidR="005C2F8F">
        <w:rPr>
          <w:rFonts w:ascii="Arial" w:hAnsi="Arial" w:cs="Arial"/>
          <w:sz w:val="24"/>
          <w:szCs w:val="24"/>
        </w:rPr>
        <w:t xml:space="preserve">the </w:t>
      </w:r>
      <w:r w:rsidR="00B840B6">
        <w:rPr>
          <w:rFonts w:ascii="Arial" w:hAnsi="Arial" w:cs="Arial"/>
          <w:sz w:val="24"/>
          <w:szCs w:val="24"/>
        </w:rPr>
        <w:t xml:space="preserve">VA </w:t>
      </w:r>
      <w:r w:rsidR="00C351F6">
        <w:rPr>
          <w:rFonts w:ascii="Arial" w:hAnsi="Arial" w:cs="Arial"/>
          <w:sz w:val="24"/>
          <w:szCs w:val="24"/>
        </w:rPr>
        <w:t xml:space="preserve">become aware of </w:t>
      </w:r>
      <w:r w:rsidR="00830101">
        <w:rPr>
          <w:rFonts w:ascii="Arial" w:hAnsi="Arial" w:cs="Arial"/>
          <w:sz w:val="24"/>
          <w:szCs w:val="24"/>
        </w:rPr>
        <w:t xml:space="preserve">performance issues that need to be resolved. </w:t>
      </w:r>
      <w:r w:rsidRPr="5045B95B">
        <w:rPr>
          <w:rFonts w:ascii="Arial" w:hAnsi="Arial" w:cs="Arial"/>
          <w:sz w:val="24"/>
          <w:szCs w:val="24"/>
        </w:rPr>
        <w:t xml:space="preserve">These collections are not required of every grantee and in only limited </w:t>
      </w:r>
      <w:r w:rsidRPr="00F34468">
        <w:rPr>
          <w:rFonts w:ascii="Arial" w:hAnsi="Arial" w:cs="Arial"/>
          <w:sz w:val="24"/>
          <w:szCs w:val="24"/>
        </w:rPr>
        <w:t>instances.</w:t>
      </w:r>
    </w:p>
    <w:p w:rsidR="00743EAC" w:rsidRPr="00F34468" w:rsidP="00173026" w14:paraId="3A81D9D0" w14:textId="228DC14D">
      <w:pPr>
        <w:pStyle w:val="Header"/>
        <w:tabs>
          <w:tab w:val="left" w:pos="547"/>
          <w:tab w:val="left" w:pos="1080"/>
          <w:tab w:val="left" w:pos="1627"/>
          <w:tab w:val="left" w:pos="2160"/>
          <w:tab w:val="left" w:pos="2880"/>
        </w:tabs>
        <w:rPr>
          <w:rFonts w:ascii="Arial" w:hAnsi="Arial" w:cs="Arial"/>
          <w:bCs/>
          <w:sz w:val="24"/>
          <w:szCs w:val="24"/>
        </w:rPr>
      </w:pPr>
    </w:p>
    <w:p w:rsidR="00BD30BD" w:rsidRPr="00F34468" w:rsidP="35CB2D15" w14:paraId="0CDD2903" w14:textId="0BCD1A4C">
      <w:pPr>
        <w:pStyle w:val="Header"/>
        <w:tabs>
          <w:tab w:val="left" w:pos="547"/>
          <w:tab w:val="left" w:pos="1080"/>
          <w:tab w:val="left" w:pos="1627"/>
          <w:tab w:val="left" w:pos="2160"/>
          <w:tab w:val="left" w:pos="2880"/>
        </w:tabs>
        <w:rPr>
          <w:rFonts w:ascii="Arial" w:hAnsi="Arial" w:cs="Arial"/>
          <w:sz w:val="24"/>
          <w:szCs w:val="24"/>
        </w:rPr>
      </w:pPr>
      <w:r w:rsidRPr="00F34468">
        <w:rPr>
          <w:rFonts w:ascii="Arial" w:hAnsi="Arial" w:cs="Arial"/>
          <w:sz w:val="24"/>
          <w:szCs w:val="24"/>
        </w:rPr>
        <w:t xml:space="preserve">The </w:t>
      </w:r>
      <w:r w:rsidRPr="00F34468" w:rsidR="00CF5736">
        <w:rPr>
          <w:rFonts w:ascii="Arial" w:hAnsi="Arial" w:cs="Arial"/>
          <w:sz w:val="24"/>
          <w:szCs w:val="24"/>
        </w:rPr>
        <w:t>E</w:t>
      </w:r>
      <w:r w:rsidRPr="00F34468">
        <w:rPr>
          <w:rFonts w:ascii="Arial" w:hAnsi="Arial" w:cs="Arial"/>
          <w:sz w:val="24"/>
          <w:szCs w:val="24"/>
        </w:rPr>
        <w:t xml:space="preserve">ligibility </w:t>
      </w:r>
      <w:r w:rsidRPr="00F34468" w:rsidR="00CF5736">
        <w:rPr>
          <w:rFonts w:ascii="Arial" w:hAnsi="Arial" w:cs="Arial"/>
          <w:sz w:val="24"/>
          <w:szCs w:val="24"/>
        </w:rPr>
        <w:t>S</w:t>
      </w:r>
      <w:r w:rsidRPr="00F34468">
        <w:rPr>
          <w:rFonts w:ascii="Arial" w:hAnsi="Arial" w:cs="Arial"/>
          <w:sz w:val="24"/>
          <w:szCs w:val="24"/>
        </w:rPr>
        <w:t xml:space="preserve">creening </w:t>
      </w:r>
      <w:r w:rsidRPr="00F34468" w:rsidR="00D05B68">
        <w:rPr>
          <w:rFonts w:ascii="Arial" w:hAnsi="Arial" w:cs="Arial"/>
          <w:sz w:val="24"/>
          <w:szCs w:val="24"/>
        </w:rPr>
        <w:t xml:space="preserve">and </w:t>
      </w:r>
      <w:r w:rsidRPr="00F34468" w:rsidR="00CF5736">
        <w:rPr>
          <w:rFonts w:ascii="Arial" w:hAnsi="Arial" w:cs="Arial"/>
          <w:sz w:val="24"/>
          <w:szCs w:val="24"/>
        </w:rPr>
        <w:t>S</w:t>
      </w:r>
      <w:r w:rsidRPr="00F34468" w:rsidR="00D05B68">
        <w:rPr>
          <w:rFonts w:ascii="Arial" w:hAnsi="Arial" w:cs="Arial"/>
          <w:sz w:val="24"/>
          <w:szCs w:val="24"/>
        </w:rPr>
        <w:t>uicide</w:t>
      </w:r>
      <w:r w:rsidRPr="00F34468" w:rsidR="00C010B6">
        <w:rPr>
          <w:rFonts w:ascii="Arial" w:hAnsi="Arial" w:cs="Arial"/>
          <w:sz w:val="24"/>
          <w:szCs w:val="24"/>
        </w:rPr>
        <w:t xml:space="preserve"> </w:t>
      </w:r>
      <w:r w:rsidRPr="00F34468" w:rsidR="00CF5736">
        <w:rPr>
          <w:rFonts w:ascii="Arial" w:hAnsi="Arial" w:cs="Arial"/>
          <w:sz w:val="24"/>
          <w:szCs w:val="24"/>
        </w:rPr>
        <w:t>R</w:t>
      </w:r>
      <w:r w:rsidRPr="00F34468" w:rsidR="00C010B6">
        <w:rPr>
          <w:rFonts w:ascii="Arial" w:hAnsi="Arial" w:cs="Arial"/>
          <w:sz w:val="24"/>
          <w:szCs w:val="24"/>
        </w:rPr>
        <w:t xml:space="preserve">isk </w:t>
      </w:r>
      <w:r w:rsidRPr="00F34468" w:rsidR="008B7678">
        <w:rPr>
          <w:rFonts w:ascii="Arial" w:hAnsi="Arial" w:cs="Arial"/>
          <w:sz w:val="24"/>
          <w:szCs w:val="24"/>
        </w:rPr>
        <w:t xml:space="preserve">(C-SSRS) </w:t>
      </w:r>
      <w:r w:rsidRPr="00F34468" w:rsidR="008F44D6">
        <w:rPr>
          <w:rFonts w:ascii="Arial" w:hAnsi="Arial" w:cs="Arial"/>
          <w:sz w:val="24"/>
          <w:szCs w:val="24"/>
        </w:rPr>
        <w:t xml:space="preserve">screening </w:t>
      </w:r>
      <w:r w:rsidRPr="00F34468" w:rsidR="00743EAC">
        <w:rPr>
          <w:rFonts w:ascii="Arial" w:hAnsi="Arial" w:cs="Arial"/>
          <w:sz w:val="24"/>
          <w:szCs w:val="24"/>
        </w:rPr>
        <w:t>tool</w:t>
      </w:r>
      <w:r w:rsidRPr="00F34468" w:rsidR="00C010B6">
        <w:rPr>
          <w:rFonts w:ascii="Arial" w:hAnsi="Arial" w:cs="Arial"/>
          <w:sz w:val="24"/>
          <w:szCs w:val="24"/>
        </w:rPr>
        <w:t>s</w:t>
      </w:r>
      <w:r w:rsidRPr="00F34468" w:rsidR="00743EAC">
        <w:rPr>
          <w:rFonts w:ascii="Arial" w:hAnsi="Arial" w:cs="Arial"/>
          <w:sz w:val="24"/>
          <w:szCs w:val="24"/>
        </w:rPr>
        <w:t xml:space="preserve"> </w:t>
      </w:r>
      <w:r w:rsidRPr="00F34468" w:rsidR="00C010B6">
        <w:rPr>
          <w:rFonts w:ascii="Arial" w:hAnsi="Arial" w:cs="Arial"/>
          <w:sz w:val="24"/>
          <w:szCs w:val="24"/>
        </w:rPr>
        <w:t>are</w:t>
      </w:r>
      <w:r w:rsidRPr="00F34468" w:rsidR="00743EAC">
        <w:rPr>
          <w:rFonts w:ascii="Arial" w:hAnsi="Arial" w:cs="Arial"/>
          <w:sz w:val="24"/>
          <w:szCs w:val="24"/>
        </w:rPr>
        <w:t xml:space="preserve"> necessary to</w:t>
      </w:r>
      <w:r w:rsidRPr="00F34468" w:rsidR="00901D2A">
        <w:rPr>
          <w:rFonts w:ascii="Arial" w:hAnsi="Arial" w:cs="Arial"/>
          <w:sz w:val="24"/>
          <w:szCs w:val="24"/>
        </w:rPr>
        <w:t xml:space="preserve"> ensure that the V</w:t>
      </w:r>
      <w:r w:rsidRPr="00F34468" w:rsidR="00FD4197">
        <w:rPr>
          <w:rFonts w:ascii="Arial" w:hAnsi="Arial" w:cs="Arial"/>
          <w:sz w:val="24"/>
          <w:szCs w:val="24"/>
        </w:rPr>
        <w:t>A</w:t>
      </w:r>
      <w:r w:rsidRPr="00F34468" w:rsidR="00901D2A">
        <w:rPr>
          <w:rFonts w:ascii="Arial" w:hAnsi="Arial" w:cs="Arial"/>
          <w:sz w:val="24"/>
          <w:szCs w:val="24"/>
        </w:rPr>
        <w:t xml:space="preserve"> resources are </w:t>
      </w:r>
      <w:r w:rsidRPr="00F34468" w:rsidR="00FD4197">
        <w:rPr>
          <w:rFonts w:ascii="Arial" w:hAnsi="Arial" w:cs="Arial"/>
          <w:sz w:val="24"/>
          <w:szCs w:val="24"/>
        </w:rPr>
        <w:t>directed</w:t>
      </w:r>
      <w:r w:rsidRPr="00F34468" w:rsidR="00901D2A">
        <w:rPr>
          <w:rFonts w:ascii="Arial" w:hAnsi="Arial" w:cs="Arial"/>
          <w:sz w:val="24"/>
          <w:szCs w:val="24"/>
        </w:rPr>
        <w:t xml:space="preserve"> at the </w:t>
      </w:r>
      <w:r w:rsidRPr="00F34468" w:rsidR="00FD4197">
        <w:rPr>
          <w:rFonts w:ascii="Arial" w:hAnsi="Arial" w:cs="Arial"/>
          <w:sz w:val="24"/>
          <w:szCs w:val="24"/>
        </w:rPr>
        <w:t>intended</w:t>
      </w:r>
      <w:r w:rsidRPr="00F34468" w:rsidR="00901D2A">
        <w:rPr>
          <w:rFonts w:ascii="Arial" w:hAnsi="Arial" w:cs="Arial"/>
          <w:sz w:val="24"/>
          <w:szCs w:val="24"/>
        </w:rPr>
        <w:t xml:space="preserve"> </w:t>
      </w:r>
      <w:r w:rsidRPr="00F34468" w:rsidR="00FD4197">
        <w:rPr>
          <w:rFonts w:ascii="Arial" w:hAnsi="Arial" w:cs="Arial"/>
          <w:sz w:val="24"/>
          <w:szCs w:val="24"/>
        </w:rPr>
        <w:t>populatio</w:t>
      </w:r>
      <w:r w:rsidRPr="00F34468" w:rsidR="00921A65">
        <w:rPr>
          <w:rFonts w:ascii="Arial" w:hAnsi="Arial" w:cs="Arial"/>
          <w:sz w:val="24"/>
          <w:szCs w:val="24"/>
        </w:rPr>
        <w:t>n in an efficient</w:t>
      </w:r>
      <w:r w:rsidRPr="00F34468" w:rsidR="008F6829">
        <w:rPr>
          <w:rFonts w:ascii="Arial" w:hAnsi="Arial" w:cs="Arial"/>
          <w:sz w:val="24"/>
          <w:szCs w:val="24"/>
        </w:rPr>
        <w:t>,</w:t>
      </w:r>
      <w:r w:rsidRPr="00F34468" w:rsidR="00921A65">
        <w:rPr>
          <w:rFonts w:ascii="Arial" w:hAnsi="Arial" w:cs="Arial"/>
          <w:sz w:val="24"/>
          <w:szCs w:val="24"/>
        </w:rPr>
        <w:t xml:space="preserve"> equitable method. </w:t>
      </w:r>
    </w:p>
    <w:p w:rsidR="00470CD7" w:rsidRPr="00F34468" w:rsidP="35CB2D15" w14:paraId="0A942FDF" w14:textId="71FD2472">
      <w:pPr>
        <w:pStyle w:val="Header"/>
        <w:tabs>
          <w:tab w:val="left" w:pos="547"/>
          <w:tab w:val="left" w:pos="1080"/>
          <w:tab w:val="left" w:pos="1627"/>
          <w:tab w:val="left" w:pos="2160"/>
          <w:tab w:val="left" w:pos="2880"/>
        </w:tabs>
        <w:rPr>
          <w:rFonts w:ascii="Arial" w:hAnsi="Arial" w:cs="Arial"/>
          <w:sz w:val="24"/>
          <w:szCs w:val="24"/>
        </w:rPr>
      </w:pPr>
    </w:p>
    <w:p w:rsidR="00335AE1" w:rsidRPr="008B7678" w:rsidP="004D05CA" w14:paraId="688312DE" w14:textId="266F7658">
      <w:pPr>
        <w:tabs>
          <w:tab w:val="left" w:pos="547"/>
          <w:tab w:val="left" w:pos="1080"/>
          <w:tab w:val="left" w:pos="1627"/>
          <w:tab w:val="left" w:pos="2160"/>
          <w:tab w:val="left" w:pos="2880"/>
        </w:tabs>
        <w:rPr>
          <w:rFonts w:ascii="Arial" w:hAnsi="Arial" w:cs="Arial"/>
        </w:rPr>
      </w:pPr>
      <w:bookmarkStart w:id="1" w:name="_Hlk93423361"/>
      <w:r w:rsidRPr="00F34468">
        <w:rPr>
          <w:rFonts w:ascii="Arial" w:hAnsi="Arial" w:cs="Arial"/>
        </w:rPr>
        <w:t xml:space="preserve">The </w:t>
      </w:r>
      <w:r w:rsidRPr="00F34468" w:rsidR="00051CA4">
        <w:rPr>
          <w:rFonts w:ascii="Arial" w:hAnsi="Arial" w:cs="Arial"/>
        </w:rPr>
        <w:t>I</w:t>
      </w:r>
      <w:r w:rsidRPr="00F34468">
        <w:rPr>
          <w:rFonts w:ascii="Arial" w:hAnsi="Arial" w:cs="Arial"/>
        </w:rPr>
        <w:t xml:space="preserve">ntake </w:t>
      </w:r>
      <w:r w:rsidRPr="00F34468" w:rsidR="00051CA4">
        <w:rPr>
          <w:rFonts w:ascii="Arial" w:hAnsi="Arial" w:cs="Arial"/>
        </w:rPr>
        <w:t>F</w:t>
      </w:r>
      <w:r w:rsidRPr="00F34468" w:rsidR="00D05B68">
        <w:rPr>
          <w:rFonts w:ascii="Arial" w:hAnsi="Arial" w:cs="Arial"/>
        </w:rPr>
        <w:t>or</w:t>
      </w:r>
      <w:r w:rsidRPr="00F34468">
        <w:rPr>
          <w:rFonts w:ascii="Arial" w:hAnsi="Arial" w:cs="Arial"/>
        </w:rPr>
        <w:t>m</w:t>
      </w:r>
      <w:bookmarkEnd w:id="1"/>
      <w:r w:rsidRPr="00F34468" w:rsidR="00A31F60">
        <w:rPr>
          <w:rFonts w:ascii="Arial" w:hAnsi="Arial" w:cs="Arial"/>
        </w:rPr>
        <w:t xml:space="preserve"> </w:t>
      </w:r>
      <w:r w:rsidRPr="00F34468" w:rsidR="00070F92">
        <w:rPr>
          <w:rFonts w:ascii="Arial" w:hAnsi="Arial" w:cs="Arial"/>
        </w:rPr>
        <w:t>is necessary</w:t>
      </w:r>
      <w:r w:rsidR="00070F92">
        <w:rPr>
          <w:rFonts w:ascii="Arial" w:hAnsi="Arial" w:cs="Arial"/>
        </w:rPr>
        <w:t xml:space="preserve"> to collect demographic data, military service, and data elements to ensure that correct services </w:t>
      </w:r>
      <w:r w:rsidRPr="008B7678" w:rsidR="00070F92">
        <w:rPr>
          <w:rFonts w:ascii="Arial" w:hAnsi="Arial" w:cs="Arial"/>
        </w:rPr>
        <w:t>are offered to participants</w:t>
      </w:r>
      <w:r w:rsidRPr="008B7678" w:rsidR="00B80A61">
        <w:rPr>
          <w:rFonts w:ascii="Arial" w:hAnsi="Arial" w:cs="Arial"/>
        </w:rPr>
        <w:t>.</w:t>
      </w:r>
    </w:p>
    <w:p w:rsidR="00241410" w:rsidRPr="008B7678" w:rsidP="004D05CA" w14:paraId="1D086227" w14:textId="34CE5DA2">
      <w:pPr>
        <w:tabs>
          <w:tab w:val="left" w:pos="547"/>
          <w:tab w:val="left" w:pos="1080"/>
          <w:tab w:val="left" w:pos="1627"/>
          <w:tab w:val="left" w:pos="2160"/>
          <w:tab w:val="left" w:pos="2880"/>
        </w:tabs>
        <w:rPr>
          <w:rFonts w:ascii="Arial" w:hAnsi="Arial" w:cs="Arial"/>
        </w:rPr>
      </w:pPr>
    </w:p>
    <w:p w:rsidR="001A007E" w:rsidRPr="008B7678" w:rsidP="004D05CA" w14:paraId="7EEF5B8B" w14:textId="6FD192D9">
      <w:pPr>
        <w:tabs>
          <w:tab w:val="left" w:pos="547"/>
          <w:tab w:val="left" w:pos="1080"/>
          <w:tab w:val="left" w:pos="1627"/>
          <w:tab w:val="left" w:pos="2160"/>
          <w:tab w:val="left" w:pos="2880"/>
        </w:tabs>
        <w:rPr>
          <w:rFonts w:ascii="Arial" w:hAnsi="Arial" w:cs="Arial"/>
        </w:rPr>
      </w:pPr>
      <w:r w:rsidRPr="008B7678">
        <w:rPr>
          <w:rFonts w:ascii="Arial" w:hAnsi="Arial" w:cs="Arial"/>
        </w:rPr>
        <w:t xml:space="preserve">The Baseline Mental Health and Program Exit Screenings are necessary to determine whether there was a reduction of mood-related symptoms, an overall improved well-being functioning of the participant, and mitigation of any financial and social support stressors. </w:t>
      </w:r>
    </w:p>
    <w:p w:rsidR="001A007E" w:rsidRPr="008B7678" w:rsidP="004D05CA" w14:paraId="3FD9496E" w14:textId="30385B11">
      <w:pPr>
        <w:tabs>
          <w:tab w:val="left" w:pos="547"/>
          <w:tab w:val="left" w:pos="1080"/>
          <w:tab w:val="left" w:pos="1627"/>
          <w:tab w:val="left" w:pos="2160"/>
          <w:tab w:val="left" w:pos="2880"/>
        </w:tabs>
        <w:rPr>
          <w:rFonts w:ascii="Arial" w:hAnsi="Arial" w:cs="Arial"/>
        </w:rPr>
      </w:pPr>
      <w:r>
        <w:rPr>
          <w:rFonts w:ascii="Arial" w:hAnsi="Arial" w:cs="Arial"/>
        </w:rPr>
        <w:t xml:space="preserve"> </w:t>
      </w:r>
    </w:p>
    <w:p w:rsidR="00F16FE3" w:rsidRPr="00761F28" w:rsidP="00351F93" w14:paraId="4E1D500F" w14:textId="052760A0">
      <w:pPr>
        <w:tabs>
          <w:tab w:val="left" w:pos="547"/>
          <w:tab w:val="left" w:pos="1080"/>
          <w:tab w:val="left" w:pos="1627"/>
          <w:tab w:val="left" w:pos="2160"/>
          <w:tab w:val="left" w:pos="2880"/>
        </w:tabs>
        <w:ind w:left="547"/>
        <w:rPr>
          <w:rFonts w:ascii="Arial" w:hAnsi="Arial" w:cs="Arial"/>
        </w:rPr>
      </w:pPr>
      <w:r w:rsidRPr="008B7678">
        <w:rPr>
          <w:rFonts w:ascii="Arial" w:hAnsi="Arial" w:cs="Arial"/>
          <w:u w:val="single"/>
        </w:rPr>
        <w:t>Socio-Economic Status (SES)</w:t>
      </w:r>
      <w:r w:rsidRPr="008B7678">
        <w:rPr>
          <w:rFonts w:ascii="Arial" w:hAnsi="Arial" w:cs="Arial"/>
        </w:rPr>
        <w:t>: This instrument is necessary</w:t>
      </w:r>
      <w:r w:rsidRPr="00761F28">
        <w:rPr>
          <w:rFonts w:ascii="Arial" w:hAnsi="Arial" w:cs="Arial"/>
        </w:rPr>
        <w:t xml:space="preserve"> to ensure the correct services are offered to the participants. The data collected </w:t>
      </w:r>
      <w:r w:rsidR="00490183">
        <w:rPr>
          <w:rFonts w:ascii="Arial" w:hAnsi="Arial" w:cs="Arial"/>
        </w:rPr>
        <w:t>is</w:t>
      </w:r>
      <w:r w:rsidRPr="00761F28">
        <w:rPr>
          <w:rFonts w:ascii="Arial" w:hAnsi="Arial" w:cs="Arial"/>
        </w:rPr>
        <w:t xml:space="preserve"> used by VA to determine a baseline of the participant in relation financial stress, annual income, level of education and employment status and an exit </w:t>
      </w:r>
      <w:r w:rsidR="008F44D6">
        <w:rPr>
          <w:rFonts w:ascii="Arial" w:hAnsi="Arial" w:cs="Arial"/>
        </w:rPr>
        <w:t xml:space="preserve">screening </w:t>
      </w:r>
      <w:r w:rsidRPr="00761F28">
        <w:rPr>
          <w:rFonts w:ascii="Arial" w:hAnsi="Arial" w:cs="Arial"/>
        </w:rPr>
        <w:t>to review any progress made. In addition, this assist</w:t>
      </w:r>
      <w:r w:rsidR="00490183">
        <w:rPr>
          <w:rFonts w:ascii="Arial" w:hAnsi="Arial" w:cs="Arial"/>
        </w:rPr>
        <w:t>s</w:t>
      </w:r>
      <w:r w:rsidRPr="00761F28">
        <w:rPr>
          <w:rFonts w:ascii="Arial" w:hAnsi="Arial" w:cs="Arial"/>
        </w:rPr>
        <w:t xml:space="preserve"> with the evaluation of the effectiveness of the services.</w:t>
      </w:r>
    </w:p>
    <w:p w:rsidR="00F16FE3" w:rsidRPr="00761F28" w:rsidP="00F16FE3" w14:paraId="3DBA5D1C" w14:textId="77777777">
      <w:pPr>
        <w:tabs>
          <w:tab w:val="left" w:pos="547"/>
          <w:tab w:val="left" w:pos="1080"/>
          <w:tab w:val="left" w:pos="1627"/>
          <w:tab w:val="left" w:pos="2160"/>
          <w:tab w:val="left" w:pos="2880"/>
        </w:tabs>
        <w:rPr>
          <w:rFonts w:ascii="Arial" w:hAnsi="Arial" w:cs="Arial"/>
        </w:rPr>
      </w:pPr>
    </w:p>
    <w:p w:rsidR="00F16FE3" w:rsidRPr="00761F28" w:rsidP="00351F93" w14:paraId="5897910F" w14:textId="7D0A693F">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Patient Health Questionnaire (PHQ-9)</w:t>
      </w:r>
      <w:r w:rsidRPr="00761F28">
        <w:rPr>
          <w:rFonts w:ascii="Arial" w:hAnsi="Arial" w:cs="Arial"/>
        </w:rPr>
        <w:t xml:space="preserve">: </w:t>
      </w:r>
      <w:r w:rsidR="00B7254F">
        <w:rPr>
          <w:rFonts w:ascii="Arial" w:hAnsi="Arial" w:cs="Arial"/>
        </w:rPr>
        <w:t xml:space="preserve"> </w:t>
      </w:r>
      <w:r w:rsidRPr="00761F28">
        <w:rPr>
          <w:rFonts w:ascii="Arial" w:hAnsi="Arial" w:cs="Arial"/>
        </w:rPr>
        <w:t xml:space="preserve">This instrument is necessary to ensure the correct services are offered to the participants. The data collected </w:t>
      </w:r>
      <w:r w:rsidR="00490183">
        <w:rPr>
          <w:rFonts w:ascii="Arial" w:hAnsi="Arial" w:cs="Arial"/>
        </w:rPr>
        <w:t>is</w:t>
      </w:r>
      <w:r w:rsidRPr="00761F28">
        <w:rPr>
          <w:rFonts w:ascii="Arial" w:hAnsi="Arial" w:cs="Arial"/>
        </w:rPr>
        <w:t xml:space="preserve"> used by VA to determine a baseline of the participant in relation to mood related symptoms and an exit </w:t>
      </w:r>
      <w:r w:rsidR="00490183">
        <w:rPr>
          <w:rFonts w:ascii="Arial" w:hAnsi="Arial" w:cs="Arial"/>
        </w:rPr>
        <w:t xml:space="preserve">screening </w:t>
      </w:r>
      <w:r w:rsidRPr="00761F28">
        <w:rPr>
          <w:rFonts w:ascii="Arial" w:hAnsi="Arial" w:cs="Arial"/>
        </w:rPr>
        <w:t xml:space="preserve">to review any progress made. In addition, </w:t>
      </w:r>
      <w:r w:rsidR="00490183">
        <w:rPr>
          <w:rFonts w:ascii="Arial" w:hAnsi="Arial" w:cs="Arial"/>
        </w:rPr>
        <w:t xml:space="preserve">this </w:t>
      </w:r>
      <w:r w:rsidRPr="00761F28">
        <w:rPr>
          <w:rFonts w:ascii="Arial" w:hAnsi="Arial" w:cs="Arial"/>
        </w:rPr>
        <w:t>assist</w:t>
      </w:r>
      <w:r w:rsidR="00490183">
        <w:rPr>
          <w:rFonts w:ascii="Arial" w:hAnsi="Arial" w:cs="Arial"/>
        </w:rPr>
        <w:t>s</w:t>
      </w:r>
      <w:r w:rsidRPr="00761F28">
        <w:rPr>
          <w:rFonts w:ascii="Arial" w:hAnsi="Arial" w:cs="Arial"/>
        </w:rPr>
        <w:t xml:space="preserve"> with the evaluation of the effectiveness of the services.</w:t>
      </w:r>
    </w:p>
    <w:p w:rsidR="00F16FE3" w:rsidRPr="00761F28" w:rsidP="004D05CA" w14:paraId="634E2AE2" w14:textId="3A0DA39D">
      <w:pPr>
        <w:tabs>
          <w:tab w:val="left" w:pos="547"/>
          <w:tab w:val="left" w:pos="1080"/>
          <w:tab w:val="left" w:pos="1627"/>
          <w:tab w:val="left" w:pos="2160"/>
          <w:tab w:val="left" w:pos="2880"/>
        </w:tabs>
        <w:rPr>
          <w:rFonts w:ascii="Arial" w:hAnsi="Arial" w:cs="Arial"/>
        </w:rPr>
      </w:pPr>
    </w:p>
    <w:p w:rsidR="00F16FE3" w:rsidRPr="00761F28" w:rsidP="00351F93" w14:paraId="384A94CE" w14:textId="2BE50477">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Warwick Edinburgh Mental Wellbeing Scale (WEMWS)</w:t>
      </w:r>
      <w:r w:rsidRPr="00761F28">
        <w:rPr>
          <w:rFonts w:ascii="Arial" w:hAnsi="Arial" w:cs="Arial"/>
        </w:rPr>
        <w:t>:</w:t>
      </w:r>
      <w:r w:rsidR="00B7254F">
        <w:rPr>
          <w:rFonts w:ascii="Arial" w:hAnsi="Arial" w:cs="Arial"/>
        </w:rPr>
        <w:t xml:space="preserve"> </w:t>
      </w:r>
      <w:r w:rsidRPr="00761F28">
        <w:rPr>
          <w:rFonts w:ascii="Arial" w:hAnsi="Arial" w:cs="Arial"/>
        </w:rPr>
        <w:t xml:space="preserve"> This instrument is necessary to ensure the correct services are offered to the participants. The data collected </w:t>
      </w:r>
      <w:r w:rsidR="00490183">
        <w:rPr>
          <w:rFonts w:ascii="Arial" w:hAnsi="Arial" w:cs="Arial"/>
        </w:rPr>
        <w:t>is</w:t>
      </w:r>
      <w:r w:rsidRPr="00761F28">
        <w:rPr>
          <w:rFonts w:ascii="Arial" w:hAnsi="Arial" w:cs="Arial"/>
        </w:rPr>
        <w:t xml:space="preserve"> used by VA to determine a baseline of the participant in relation to overall well-being and an exit </w:t>
      </w:r>
      <w:r w:rsidR="008F44D6">
        <w:rPr>
          <w:rFonts w:ascii="Arial" w:hAnsi="Arial" w:cs="Arial"/>
        </w:rPr>
        <w:t xml:space="preserve">screening </w:t>
      </w:r>
      <w:r w:rsidRPr="00761F28">
        <w:rPr>
          <w:rFonts w:ascii="Arial" w:hAnsi="Arial" w:cs="Arial"/>
        </w:rPr>
        <w:t>to review any progress made. In addition, this assist</w:t>
      </w:r>
      <w:r w:rsidR="00490183">
        <w:rPr>
          <w:rFonts w:ascii="Arial" w:hAnsi="Arial" w:cs="Arial"/>
        </w:rPr>
        <w:t>s</w:t>
      </w:r>
      <w:r w:rsidRPr="00761F28">
        <w:rPr>
          <w:rFonts w:ascii="Arial" w:hAnsi="Arial" w:cs="Arial"/>
        </w:rPr>
        <w:t xml:space="preserve"> with the evaluation of the effectiveness of the services.</w:t>
      </w:r>
    </w:p>
    <w:p w:rsidR="00F16FE3" w:rsidRPr="00761F28" w:rsidP="004D05CA" w14:paraId="34DD7BC7" w14:textId="77777777">
      <w:pPr>
        <w:tabs>
          <w:tab w:val="left" w:pos="547"/>
          <w:tab w:val="left" w:pos="1080"/>
          <w:tab w:val="left" w:pos="1627"/>
          <w:tab w:val="left" w:pos="2160"/>
          <w:tab w:val="left" w:pos="2880"/>
        </w:tabs>
        <w:rPr>
          <w:rFonts w:ascii="Arial" w:hAnsi="Arial" w:cs="Arial"/>
        </w:rPr>
      </w:pPr>
    </w:p>
    <w:p w:rsidR="00A31F60" w:rsidP="00351F93" w14:paraId="38B6C05C" w14:textId="7C3B7040">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Interpersonal Support Evaluation List (ISEL-12)</w:t>
      </w:r>
      <w:r w:rsidRPr="00761F28">
        <w:rPr>
          <w:rFonts w:ascii="Arial" w:hAnsi="Arial" w:cs="Arial"/>
        </w:rPr>
        <w:t xml:space="preserve">: </w:t>
      </w:r>
      <w:r w:rsidR="00B7254F">
        <w:rPr>
          <w:rFonts w:ascii="Arial" w:hAnsi="Arial" w:cs="Arial"/>
        </w:rPr>
        <w:t xml:space="preserve"> </w:t>
      </w:r>
      <w:r w:rsidRPr="00761F28">
        <w:rPr>
          <w:rFonts w:ascii="Arial" w:hAnsi="Arial" w:cs="Arial"/>
        </w:rPr>
        <w:t xml:space="preserve">This instrument is necessary to ensure the correct services are offered to the participants. The data collected </w:t>
      </w:r>
      <w:r w:rsidR="00490183">
        <w:rPr>
          <w:rFonts w:ascii="Arial" w:hAnsi="Arial" w:cs="Arial"/>
        </w:rPr>
        <w:t>is</w:t>
      </w:r>
      <w:r w:rsidRPr="00761F28">
        <w:rPr>
          <w:rFonts w:ascii="Arial" w:hAnsi="Arial" w:cs="Arial"/>
        </w:rPr>
        <w:t xml:space="preserve"> used by VA to determine a baseline of the participant in relation to social supports and an exit </w:t>
      </w:r>
      <w:r w:rsidR="00490183">
        <w:rPr>
          <w:rFonts w:ascii="Arial" w:hAnsi="Arial" w:cs="Arial"/>
        </w:rPr>
        <w:t>screening</w:t>
      </w:r>
      <w:r w:rsidRPr="00761F28">
        <w:rPr>
          <w:rFonts w:ascii="Arial" w:hAnsi="Arial" w:cs="Arial"/>
        </w:rPr>
        <w:t xml:space="preserve"> to review any progress</w:t>
      </w:r>
      <w:r>
        <w:rPr>
          <w:rFonts w:ascii="Arial" w:hAnsi="Arial" w:cs="Arial"/>
        </w:rPr>
        <w:t xml:space="preserve"> made. In addition, this assist</w:t>
      </w:r>
      <w:r w:rsidR="00490183">
        <w:rPr>
          <w:rFonts w:ascii="Arial" w:hAnsi="Arial" w:cs="Arial"/>
        </w:rPr>
        <w:t>s</w:t>
      </w:r>
      <w:r>
        <w:rPr>
          <w:rFonts w:ascii="Arial" w:hAnsi="Arial" w:cs="Arial"/>
        </w:rPr>
        <w:t xml:space="preserve"> with the evaluation of the effectiveness of the services</w:t>
      </w:r>
      <w:r w:rsidR="008B7678">
        <w:rPr>
          <w:rFonts w:ascii="Arial" w:hAnsi="Arial" w:cs="Arial"/>
        </w:rPr>
        <w:t>.</w:t>
      </w:r>
    </w:p>
    <w:p w:rsidR="008B7678" w:rsidP="00351F93" w14:paraId="239A6F66" w14:textId="77777777">
      <w:pPr>
        <w:tabs>
          <w:tab w:val="left" w:pos="547"/>
          <w:tab w:val="left" w:pos="1080"/>
          <w:tab w:val="left" w:pos="1627"/>
          <w:tab w:val="left" w:pos="2160"/>
          <w:tab w:val="left" w:pos="2880"/>
        </w:tabs>
        <w:ind w:left="547"/>
        <w:rPr>
          <w:rFonts w:ascii="Arial" w:hAnsi="Arial" w:cs="Arial"/>
        </w:rPr>
      </w:pPr>
    </w:p>
    <w:p w:rsidR="009A5633" w14:paraId="69380C8F" w14:textId="77777777">
      <w:pPr>
        <w:tabs>
          <w:tab w:val="left" w:pos="547"/>
          <w:tab w:val="left" w:pos="1080"/>
          <w:tab w:val="left" w:pos="1627"/>
          <w:tab w:val="left" w:pos="2160"/>
          <w:tab w:val="left" w:pos="2880"/>
        </w:tabs>
        <w:rPr>
          <w:rFonts w:ascii="Arial" w:hAnsi="Arial" w:cs="Arial"/>
        </w:rPr>
      </w:pPr>
    </w:p>
    <w:p w:rsidR="00536A11" w:rsidRPr="00AD106D" w14:paraId="2646C2F6"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7</w:t>
      </w:r>
      <w:r w:rsidRPr="00AD106D">
        <w:rPr>
          <w:rFonts w:ascii="Arial" w:hAnsi="Arial" w:cs="Arial"/>
        </w:rPr>
        <w:t>.</w:t>
      </w:r>
      <w:r w:rsidRPr="00AD106D">
        <w:rPr>
          <w:rFonts w:ascii="Arial" w:hAnsi="Arial" w:cs="Arial"/>
        </w:rPr>
        <w:tab/>
      </w:r>
      <w:r w:rsidRPr="00AD106D">
        <w:rPr>
          <w:rFonts w:ascii="Arial" w:hAnsi="Arial" w:cs="Arial"/>
          <w:b/>
        </w:rPr>
        <w:t xml:space="preserve">Explain </w:t>
      </w:r>
      <w:r w:rsidRPr="00AD106D">
        <w:rPr>
          <w:rFonts w:ascii="Arial" w:hAnsi="Arial" w:cs="Arial"/>
          <w:b/>
          <w:color w:val="000000"/>
        </w:rPr>
        <w:t>any special circumstances that would cause an information collection to be conducted more often than quarterly or require respondents</w:t>
      </w:r>
      <w:r w:rsidRPr="00AD106D">
        <w:rPr>
          <w:rFonts w:ascii="Arial" w:hAnsi="Arial" w:cs="Arial"/>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AD106D" w14:paraId="03B21842" w14:textId="77777777">
      <w:pPr>
        <w:tabs>
          <w:tab w:val="left" w:pos="547"/>
          <w:tab w:val="left" w:pos="1080"/>
          <w:tab w:val="left" w:pos="1627"/>
          <w:tab w:val="left" w:pos="2160"/>
          <w:tab w:val="left" w:pos="2880"/>
        </w:tabs>
        <w:rPr>
          <w:rFonts w:ascii="Arial" w:hAnsi="Arial" w:cs="Arial"/>
        </w:rPr>
      </w:pPr>
    </w:p>
    <w:p w:rsidR="00173026" w:rsidP="00374402" w14:paraId="62595AFD" w14:textId="41D991ED">
      <w:pPr>
        <w:autoSpaceDE w:val="0"/>
        <w:autoSpaceDN w:val="0"/>
        <w:adjustRightInd w:val="0"/>
        <w:rPr>
          <w:rFonts w:ascii="Arial" w:hAnsi="Arial" w:cs="Arial"/>
        </w:rPr>
      </w:pPr>
      <w:r>
        <w:rPr>
          <w:rFonts w:ascii="Arial" w:hAnsi="Arial" w:cs="Arial"/>
        </w:rPr>
        <w:t xml:space="preserve">There are no such special circumstances. </w:t>
      </w:r>
    </w:p>
    <w:p w:rsidR="008B7678" w:rsidRPr="00173026" w:rsidP="00374402" w14:paraId="506A142E" w14:textId="77777777">
      <w:pPr>
        <w:autoSpaceDE w:val="0"/>
        <w:autoSpaceDN w:val="0"/>
        <w:adjustRightInd w:val="0"/>
        <w:rPr>
          <w:rFonts w:ascii="Arial" w:hAnsi="Arial" w:cs="Arial"/>
        </w:rPr>
      </w:pPr>
    </w:p>
    <w:p w:rsidR="00536A11" w:rsidRPr="00AD106D" w:rsidP="02409E56" w14:paraId="5F84461D" w14:textId="77777777">
      <w:pPr>
        <w:tabs>
          <w:tab w:val="left" w:pos="547"/>
          <w:tab w:val="left" w:pos="1080"/>
          <w:tab w:val="left" w:pos="1627"/>
          <w:tab w:val="left" w:pos="2160"/>
          <w:tab w:val="left" w:pos="2880"/>
        </w:tabs>
        <w:rPr>
          <w:rFonts w:ascii="Arial" w:hAnsi="Arial" w:cs="Arial"/>
          <w:b/>
          <w:bCs/>
        </w:rPr>
      </w:pPr>
      <w:r w:rsidRPr="02409E56">
        <w:rPr>
          <w:rFonts w:ascii="Arial" w:hAnsi="Arial" w:cs="Arial"/>
          <w:b/>
          <w:bCs/>
        </w:rPr>
        <w:t>8.</w:t>
      </w:r>
      <w:r>
        <w:tab/>
      </w:r>
      <w:r w:rsidRPr="02409E56">
        <w:rPr>
          <w:rFonts w:ascii="Arial" w:hAnsi="Arial" w:cs="Arial"/>
          <w:b/>
          <w:bCs/>
        </w:rPr>
        <w:t>a.</w:t>
      </w:r>
      <w:r>
        <w:tab/>
      </w:r>
      <w:r w:rsidRPr="02409E56">
        <w:rPr>
          <w:rFonts w:ascii="Arial" w:hAnsi="Arial" w:cs="Arial"/>
          <w:b/>
          <w:bCs/>
        </w:rPr>
        <w:t xml:space="preserve">If applicable, provide a copy and identify the date and page </w:t>
      </w:r>
      <w:r w:rsidRPr="02409E56">
        <w:rPr>
          <w:rFonts w:ascii="Arial" w:hAnsi="Arial" w:cs="Arial"/>
          <w:b/>
          <w:bCs/>
          <w:color w:val="000000" w:themeColor="text1"/>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2409E56">
        <w:rPr>
          <w:rFonts w:ascii="Arial" w:hAnsi="Arial" w:cs="Arial"/>
          <w:b/>
          <w:bCs/>
        </w:rPr>
        <w:t xml:space="preserve"> comments.  Specifically address comments received on cost and hour burden.</w:t>
      </w:r>
    </w:p>
    <w:p w:rsidR="0070026A" w:rsidRPr="007925EB" w14:paraId="7082A817" w14:textId="77777777">
      <w:pPr>
        <w:tabs>
          <w:tab w:val="left" w:pos="547"/>
          <w:tab w:val="left" w:pos="1080"/>
          <w:tab w:val="left" w:pos="1627"/>
          <w:tab w:val="left" w:pos="2160"/>
          <w:tab w:val="left" w:pos="2880"/>
        </w:tabs>
        <w:rPr>
          <w:rFonts w:ascii="Arial" w:hAnsi="Arial" w:cs="Arial"/>
          <w:b/>
        </w:rPr>
      </w:pPr>
    </w:p>
    <w:p w:rsidR="00DF78C3" w:rsidRPr="007925EB" w:rsidP="00DF78C3" w14:paraId="70325FB1" w14:textId="1DDA966D">
      <w:pPr>
        <w:tabs>
          <w:tab w:val="left" w:pos="547"/>
          <w:tab w:val="left" w:pos="1080"/>
          <w:tab w:val="left" w:pos="1627"/>
          <w:tab w:val="left" w:pos="2160"/>
          <w:tab w:val="left" w:pos="2880"/>
        </w:tabs>
        <w:rPr>
          <w:rFonts w:ascii="Arial" w:hAnsi="Arial" w:eastAsiaTheme="minorHAnsi" w:cs="Arial"/>
        </w:rPr>
      </w:pPr>
      <w:r w:rsidRPr="007925EB">
        <w:rPr>
          <w:rFonts w:ascii="Arial" w:hAnsi="Arial" w:eastAsiaTheme="minorHAnsi" w:cs="Arial"/>
        </w:rPr>
        <w:t>A 60-Day Federal Register Notice (FRN) for the collection published on</w:t>
      </w:r>
      <w:r w:rsidR="007925EB">
        <w:rPr>
          <w:rFonts w:ascii="Arial" w:hAnsi="Arial" w:eastAsiaTheme="minorHAnsi" w:cs="Arial"/>
        </w:rPr>
        <w:t xml:space="preserve"> Friday, February 20, 2026</w:t>
      </w:r>
      <w:r w:rsidRPr="007925EB">
        <w:rPr>
          <w:rFonts w:ascii="Arial" w:hAnsi="Arial" w:eastAsiaTheme="minorHAnsi" w:cs="Arial"/>
        </w:rPr>
        <w:t xml:space="preserve">. The 60-Day FRN citation is </w:t>
      </w:r>
      <w:r w:rsidR="007925EB">
        <w:rPr>
          <w:rFonts w:ascii="Arial" w:hAnsi="Arial" w:eastAsiaTheme="minorHAnsi" w:cs="Arial"/>
        </w:rPr>
        <w:t>91</w:t>
      </w:r>
      <w:r w:rsidRPr="007925EB">
        <w:rPr>
          <w:rFonts w:ascii="Arial" w:hAnsi="Arial" w:eastAsiaTheme="minorHAnsi" w:cs="Arial"/>
        </w:rPr>
        <w:t xml:space="preserve"> FR </w:t>
      </w:r>
      <w:r w:rsidR="007925EB">
        <w:rPr>
          <w:rFonts w:ascii="Arial" w:hAnsi="Arial" w:eastAsiaTheme="minorHAnsi" w:cs="Arial"/>
        </w:rPr>
        <w:t>8311</w:t>
      </w:r>
      <w:r w:rsidRPr="007925EB">
        <w:rPr>
          <w:rFonts w:ascii="Arial" w:hAnsi="Arial" w:eastAsiaTheme="minorHAnsi" w:cs="Arial"/>
        </w:rPr>
        <w:t xml:space="preserve">. VA </w:t>
      </w:r>
      <w:r w:rsidR="000908A1">
        <w:rPr>
          <w:rFonts w:ascii="Arial" w:hAnsi="Arial" w:eastAsiaTheme="minorHAnsi" w:cs="Arial"/>
        </w:rPr>
        <w:t xml:space="preserve">did not </w:t>
      </w:r>
      <w:r w:rsidRPr="007925EB">
        <w:rPr>
          <w:rFonts w:ascii="Arial" w:hAnsi="Arial" w:eastAsiaTheme="minorHAnsi" w:cs="Arial"/>
        </w:rPr>
        <w:t>receive public comments on the 60-day FRN.</w:t>
      </w:r>
    </w:p>
    <w:p w:rsidR="00DF78C3" w:rsidRPr="000908A1" w:rsidP="00DF78C3" w14:paraId="578E0C6D" w14:textId="77777777">
      <w:pPr>
        <w:tabs>
          <w:tab w:val="left" w:pos="547"/>
          <w:tab w:val="left" w:pos="1080"/>
          <w:tab w:val="left" w:pos="1627"/>
          <w:tab w:val="left" w:pos="2160"/>
          <w:tab w:val="left" w:pos="2880"/>
        </w:tabs>
        <w:rPr>
          <w:rFonts w:ascii="Arial" w:hAnsi="Arial" w:eastAsiaTheme="minorHAnsi" w:cs="Arial"/>
        </w:rPr>
      </w:pPr>
    </w:p>
    <w:p w:rsidR="00DF78C3" w:rsidRPr="000908A1" w:rsidP="00DF78C3" w14:paraId="7F7F86A3" w14:textId="4E96FF93">
      <w:pPr>
        <w:tabs>
          <w:tab w:val="left" w:pos="547"/>
          <w:tab w:val="left" w:pos="1080"/>
          <w:tab w:val="left" w:pos="1627"/>
          <w:tab w:val="left" w:pos="2160"/>
          <w:tab w:val="left" w:pos="2880"/>
        </w:tabs>
        <w:rPr>
          <w:rFonts w:ascii="Arial" w:hAnsi="Arial" w:eastAsiaTheme="minorHAnsi" w:cs="Arial"/>
        </w:rPr>
      </w:pPr>
      <w:r w:rsidRPr="000908A1">
        <w:rPr>
          <w:rFonts w:ascii="Arial" w:hAnsi="Arial" w:eastAsiaTheme="minorHAnsi" w:cs="Arial"/>
        </w:rPr>
        <w:t>A 30-Day Federal Register Notice for the collection published on</w:t>
      </w:r>
      <w:r w:rsidR="000908A1">
        <w:rPr>
          <w:rFonts w:ascii="Arial" w:hAnsi="Arial" w:eastAsiaTheme="minorHAnsi" w:cs="Arial"/>
        </w:rPr>
        <w:t xml:space="preserve"> Wednesday, May 13, 2026. </w:t>
      </w:r>
      <w:r w:rsidRPr="000908A1">
        <w:rPr>
          <w:rFonts w:ascii="Arial" w:hAnsi="Arial" w:eastAsiaTheme="minorHAnsi" w:cs="Arial"/>
        </w:rPr>
        <w:t xml:space="preserve">  The 30-Day FRN citation is </w:t>
      </w:r>
      <w:r w:rsidR="000908A1">
        <w:rPr>
          <w:rFonts w:ascii="Arial" w:hAnsi="Arial" w:eastAsiaTheme="minorHAnsi" w:cs="Arial"/>
        </w:rPr>
        <w:t>91</w:t>
      </w:r>
      <w:r w:rsidRPr="000908A1">
        <w:rPr>
          <w:rFonts w:ascii="Arial" w:hAnsi="Arial" w:eastAsiaTheme="minorHAnsi" w:cs="Arial"/>
        </w:rPr>
        <w:t xml:space="preserve"> FR </w:t>
      </w:r>
      <w:r w:rsidR="000908A1">
        <w:rPr>
          <w:rFonts w:ascii="Arial" w:hAnsi="Arial" w:eastAsiaTheme="minorHAnsi" w:cs="Arial"/>
        </w:rPr>
        <w:t>27136</w:t>
      </w:r>
      <w:r w:rsidRPr="000908A1">
        <w:rPr>
          <w:rFonts w:ascii="Arial" w:hAnsi="Arial" w:eastAsiaTheme="minorHAnsi" w:cs="Arial"/>
        </w:rPr>
        <w:t>.</w:t>
      </w:r>
    </w:p>
    <w:p w:rsidR="008B7678" w:rsidRPr="000908A1" w:rsidP="00D84D43" w14:paraId="41055C15" w14:textId="77777777">
      <w:pPr>
        <w:tabs>
          <w:tab w:val="left" w:pos="547"/>
          <w:tab w:val="left" w:pos="1080"/>
          <w:tab w:val="left" w:pos="1627"/>
          <w:tab w:val="left" w:pos="2160"/>
          <w:tab w:val="left" w:pos="2880"/>
        </w:tabs>
        <w:rPr>
          <w:rFonts w:ascii="Arial" w:hAnsi="Arial" w:cs="Arial"/>
        </w:rPr>
      </w:pPr>
    </w:p>
    <w:p w:rsidR="00536A11" w:rsidRPr="00AD106D" w14:paraId="18DC823C" w14:textId="77777777">
      <w:pPr>
        <w:tabs>
          <w:tab w:val="left" w:pos="547"/>
          <w:tab w:val="left" w:pos="1080"/>
          <w:tab w:val="left" w:pos="1627"/>
          <w:tab w:val="left" w:pos="2160"/>
          <w:tab w:val="left" w:pos="2880"/>
        </w:tabs>
        <w:rPr>
          <w:rFonts w:ascii="Arial" w:hAnsi="Arial" w:cs="Arial"/>
          <w:b/>
        </w:rPr>
      </w:pPr>
      <w:r w:rsidRPr="000908A1">
        <w:rPr>
          <w:rFonts w:ascii="Arial" w:hAnsi="Arial" w:cs="Arial"/>
        </w:rPr>
        <w:tab/>
      </w:r>
      <w:r w:rsidRPr="000908A1">
        <w:rPr>
          <w:rFonts w:ascii="Arial" w:hAnsi="Arial" w:cs="Arial"/>
          <w:b/>
        </w:rPr>
        <w:t>b.</w:t>
      </w:r>
      <w:r w:rsidRPr="000908A1">
        <w:rPr>
          <w:rFonts w:ascii="Arial" w:hAnsi="Arial" w:cs="Arial"/>
          <w:b/>
        </w:rPr>
        <w:tab/>
        <w:t xml:space="preserve">Describe efforts to consult with persons outside the agency to obtain their views on the availability </w:t>
      </w:r>
      <w:r w:rsidRPr="00AD106D">
        <w:rPr>
          <w:rFonts w:ascii="Arial" w:hAnsi="Arial" w:cs="Arial"/>
          <w:b/>
          <w:color w:val="000000"/>
        </w:rPr>
        <w:t>of data, frequency of collection, clarity of instructions and recordkeeping, disclosure or reporting format, and on the data elements to be recorded, disclosed or reported.  Explain any circumstances which preclude consultation</w:t>
      </w:r>
      <w:r w:rsidRPr="00AD106D">
        <w:rPr>
          <w:rFonts w:ascii="Arial" w:hAnsi="Arial" w:cs="Arial"/>
          <w:b/>
        </w:rPr>
        <w:t xml:space="preserve"> every three years with representatives of those from whom information is to be obtained.</w:t>
      </w:r>
    </w:p>
    <w:p w:rsidR="006A2CA5" w14:paraId="5E7CEDF9" w14:textId="77777777">
      <w:pPr>
        <w:tabs>
          <w:tab w:val="left" w:pos="547"/>
          <w:tab w:val="left" w:pos="1080"/>
          <w:tab w:val="left" w:pos="1627"/>
          <w:tab w:val="left" w:pos="2160"/>
          <w:tab w:val="left" w:pos="2880"/>
        </w:tabs>
        <w:rPr>
          <w:rFonts w:ascii="Arial" w:hAnsi="Arial" w:cs="Arial"/>
          <w:b/>
        </w:rPr>
      </w:pPr>
    </w:p>
    <w:p w:rsidR="006B4A2E" w:rsidRPr="002B2A87" w:rsidP="006B4A2E" w14:paraId="79C24072" w14:textId="27E6E746">
      <w:pPr>
        <w:tabs>
          <w:tab w:val="left" w:pos="547"/>
          <w:tab w:val="left" w:pos="1080"/>
          <w:tab w:val="left" w:pos="1627"/>
          <w:tab w:val="left" w:pos="2160"/>
          <w:tab w:val="left" w:pos="2880"/>
        </w:tabs>
        <w:rPr>
          <w:rFonts w:ascii="Arial" w:hAnsi="Arial" w:cs="Arial"/>
        </w:rPr>
      </w:pPr>
      <w:r w:rsidRPr="00616BCD">
        <w:rPr>
          <w:rFonts w:ascii="Arial" w:hAnsi="Arial" w:cs="Arial"/>
        </w:rPr>
        <w:t>Outside consultation is done with the public</w:t>
      </w:r>
      <w:r w:rsidRPr="00616BCD">
        <w:rPr>
          <w:rFonts w:ascii="Arial" w:hAnsi="Arial" w:cs="Arial"/>
        </w:rPr>
        <w:t xml:space="preserve"> through the </w:t>
      </w:r>
      <w:r w:rsidRPr="00616BCD" w:rsidR="00CF1A89">
        <w:rPr>
          <w:rFonts w:ascii="Arial" w:hAnsi="Arial" w:cs="Arial"/>
        </w:rPr>
        <w:t>60-</w:t>
      </w:r>
      <w:r w:rsidRPr="00616BCD">
        <w:rPr>
          <w:rFonts w:ascii="Arial" w:hAnsi="Arial" w:cs="Arial"/>
        </w:rPr>
        <w:t>day</w:t>
      </w:r>
      <w:r w:rsidRPr="00616BCD" w:rsidR="00CF1A89">
        <w:rPr>
          <w:rFonts w:ascii="Arial" w:hAnsi="Arial" w:cs="Arial"/>
        </w:rPr>
        <w:t xml:space="preserve"> and </w:t>
      </w:r>
      <w:r w:rsidRPr="00616BCD">
        <w:rPr>
          <w:rFonts w:ascii="Arial" w:hAnsi="Arial" w:cs="Arial"/>
        </w:rPr>
        <w:t>30-day Federal Register notice</w:t>
      </w:r>
      <w:r w:rsidRPr="00616BCD" w:rsidR="002B2A87">
        <w:rPr>
          <w:rFonts w:ascii="Arial" w:hAnsi="Arial" w:cs="Arial"/>
        </w:rPr>
        <w:t>s.</w:t>
      </w:r>
    </w:p>
    <w:p w:rsidR="00141868" w:rsidRPr="00AD106D" w14:paraId="681F0F6A" w14:textId="77777777">
      <w:pPr>
        <w:tabs>
          <w:tab w:val="left" w:pos="547"/>
          <w:tab w:val="left" w:pos="1080"/>
          <w:tab w:val="left" w:pos="1627"/>
          <w:tab w:val="left" w:pos="2160"/>
          <w:tab w:val="left" w:pos="2880"/>
        </w:tabs>
        <w:rPr>
          <w:rFonts w:ascii="Arial" w:hAnsi="Arial" w:cs="Arial"/>
          <w:b/>
        </w:rPr>
      </w:pPr>
    </w:p>
    <w:p w:rsidR="00536A11" w:rsidRPr="00AD106D" w14:paraId="2E4AC7B4" w14:textId="77777777">
      <w:pPr>
        <w:tabs>
          <w:tab w:val="left" w:pos="547"/>
          <w:tab w:val="left" w:pos="1080"/>
          <w:tab w:val="left" w:pos="1627"/>
          <w:tab w:val="left" w:pos="2160"/>
          <w:tab w:val="left" w:pos="2880"/>
        </w:tabs>
        <w:rPr>
          <w:rFonts w:ascii="Arial" w:hAnsi="Arial" w:cs="Arial"/>
          <w:color w:val="000000"/>
        </w:rPr>
      </w:pPr>
      <w:r w:rsidRPr="00AD106D">
        <w:rPr>
          <w:rFonts w:ascii="Arial" w:hAnsi="Arial" w:cs="Arial"/>
          <w:b/>
          <w:color w:val="000000"/>
        </w:rPr>
        <w:t>9</w:t>
      </w:r>
      <w:r w:rsidRPr="00AD106D">
        <w:rPr>
          <w:rFonts w:ascii="Arial" w:hAnsi="Arial" w:cs="Arial"/>
          <w:color w:val="000000"/>
        </w:rPr>
        <w:t>.</w:t>
      </w:r>
      <w:r w:rsidRPr="00AD106D">
        <w:rPr>
          <w:rFonts w:ascii="Arial" w:hAnsi="Arial" w:cs="Arial"/>
          <w:color w:val="000000"/>
        </w:rPr>
        <w:tab/>
      </w:r>
      <w:r w:rsidRPr="00AD106D">
        <w:rPr>
          <w:rFonts w:ascii="Arial" w:hAnsi="Arial" w:cs="Arial"/>
          <w:b/>
          <w:color w:val="000000"/>
        </w:rPr>
        <w:t>Explain any decision to provide any payment or gift to respondents, other than remuneration of contractors or grantees.</w:t>
      </w:r>
    </w:p>
    <w:p w:rsidR="00536A11" w:rsidRPr="00AD106D" w14:paraId="05DC0462" w14:textId="77777777">
      <w:pPr>
        <w:tabs>
          <w:tab w:val="left" w:pos="547"/>
          <w:tab w:val="left" w:pos="1080"/>
          <w:tab w:val="left" w:pos="1627"/>
          <w:tab w:val="left" w:pos="2160"/>
          <w:tab w:val="left" w:pos="2880"/>
        </w:tabs>
        <w:rPr>
          <w:rFonts w:ascii="Arial" w:hAnsi="Arial" w:cs="Arial"/>
        </w:rPr>
      </w:pPr>
    </w:p>
    <w:p w:rsidR="00407746" w:rsidRPr="00AD106D" w:rsidP="00407746" w14:paraId="64A0DBB9" w14:textId="77777777">
      <w:pPr>
        <w:tabs>
          <w:tab w:val="left" w:pos="547"/>
          <w:tab w:val="left" w:pos="1080"/>
          <w:tab w:val="left" w:pos="1627"/>
          <w:tab w:val="left" w:pos="2160"/>
          <w:tab w:val="left" w:pos="2880"/>
        </w:tabs>
        <w:rPr>
          <w:rFonts w:ascii="Arial" w:hAnsi="Arial" w:cs="Arial"/>
        </w:rPr>
      </w:pPr>
      <w:r w:rsidRPr="00AD106D">
        <w:rPr>
          <w:rFonts w:ascii="Arial" w:hAnsi="Arial" w:cs="Arial"/>
        </w:rPr>
        <w:t xml:space="preserve">No payment or gift </w:t>
      </w:r>
      <w:r w:rsidR="00173026">
        <w:rPr>
          <w:rFonts w:ascii="Arial" w:hAnsi="Arial" w:cs="Arial"/>
        </w:rPr>
        <w:t>will be</w:t>
      </w:r>
      <w:r w:rsidRPr="00AD106D">
        <w:rPr>
          <w:rFonts w:ascii="Arial" w:hAnsi="Arial" w:cs="Arial"/>
        </w:rPr>
        <w:t xml:space="preserve"> provided to respondents.</w:t>
      </w:r>
      <w:r w:rsidRPr="00AD106D">
        <w:rPr>
          <w:rFonts w:ascii="Arial" w:hAnsi="Arial" w:cs="Arial"/>
        </w:rPr>
        <w:t xml:space="preserve"> </w:t>
      </w:r>
    </w:p>
    <w:p w:rsidR="00351F93" w:rsidRPr="00AD106D" w14:paraId="19AB3F22" w14:textId="77777777">
      <w:pPr>
        <w:tabs>
          <w:tab w:val="left" w:pos="547"/>
          <w:tab w:val="left" w:pos="1080"/>
          <w:tab w:val="left" w:pos="1627"/>
          <w:tab w:val="left" w:pos="2160"/>
          <w:tab w:val="left" w:pos="2880"/>
        </w:tabs>
        <w:rPr>
          <w:rFonts w:ascii="Arial" w:hAnsi="Arial" w:cs="Arial"/>
        </w:rPr>
      </w:pPr>
    </w:p>
    <w:p w:rsidR="006A2CA5" w:rsidRPr="00AD106D" w:rsidP="006A2CA5" w14:paraId="27E0D4CD" w14:textId="77777777">
      <w:pPr>
        <w:tabs>
          <w:tab w:val="left" w:pos="547"/>
          <w:tab w:val="left" w:pos="1080"/>
          <w:tab w:val="left" w:pos="1627"/>
          <w:tab w:val="left" w:pos="2160"/>
          <w:tab w:val="left" w:pos="2880"/>
        </w:tabs>
        <w:rPr>
          <w:rFonts w:ascii="Arial" w:hAnsi="Arial" w:cs="Arial"/>
          <w:b/>
          <w:color w:val="000000"/>
        </w:rPr>
      </w:pPr>
      <w:r w:rsidRPr="00AD106D">
        <w:rPr>
          <w:rFonts w:ascii="Arial" w:hAnsi="Arial" w:cs="Arial"/>
          <w:b/>
          <w:color w:val="000000"/>
        </w:rPr>
        <w:t>10.</w:t>
      </w:r>
      <w:r w:rsidRPr="00AD106D">
        <w:rPr>
          <w:rFonts w:ascii="Arial" w:hAnsi="Arial" w:cs="Arial"/>
          <w:b/>
          <w:color w:val="000000"/>
        </w:rPr>
        <w:tab/>
        <w:t xml:space="preserve">Describe any assurance of </w:t>
      </w:r>
      <w:r w:rsidRPr="00AD106D" w:rsidR="00AE459B">
        <w:rPr>
          <w:rFonts w:ascii="Arial" w:hAnsi="Arial" w:cs="Arial"/>
          <w:b/>
          <w:color w:val="000000"/>
        </w:rPr>
        <w:t>privacy</w:t>
      </w:r>
      <w:r w:rsidRPr="00AD106D" w:rsidR="00683DE2">
        <w:rPr>
          <w:rFonts w:ascii="Arial" w:hAnsi="Arial" w:cs="Arial"/>
          <w:b/>
          <w:color w:val="000000"/>
        </w:rPr>
        <w:t>,</w:t>
      </w:r>
      <w:r w:rsidRPr="00AD106D" w:rsidR="00AE459B">
        <w:rPr>
          <w:rFonts w:ascii="Arial" w:hAnsi="Arial" w:cs="Arial"/>
          <w:b/>
          <w:color w:val="000000"/>
        </w:rPr>
        <w:t xml:space="preserve"> to the extent permitted by law</w:t>
      </w:r>
      <w:r w:rsidRPr="00AD106D" w:rsidR="00683DE2">
        <w:rPr>
          <w:rFonts w:ascii="Arial" w:hAnsi="Arial" w:cs="Arial"/>
          <w:b/>
          <w:color w:val="000000"/>
        </w:rPr>
        <w:t>,</w:t>
      </w:r>
      <w:r w:rsidRPr="00AD106D">
        <w:rPr>
          <w:rFonts w:ascii="Arial" w:hAnsi="Arial" w:cs="Arial"/>
          <w:b/>
          <w:color w:val="000000"/>
        </w:rPr>
        <w:t xml:space="preserve"> provided to respondents and the basis for the assurance in statu</w:t>
      </w:r>
      <w:r w:rsidRPr="00AD106D" w:rsidR="00F6088C">
        <w:rPr>
          <w:rFonts w:ascii="Arial" w:hAnsi="Arial" w:cs="Arial"/>
          <w:b/>
          <w:color w:val="000000"/>
        </w:rPr>
        <w:t>t</w:t>
      </w:r>
      <w:r w:rsidRPr="00AD106D">
        <w:rPr>
          <w:rFonts w:ascii="Arial" w:hAnsi="Arial" w:cs="Arial"/>
          <w:b/>
          <w:color w:val="000000"/>
        </w:rPr>
        <w:t>e, regulation, or agency policy.</w:t>
      </w:r>
    </w:p>
    <w:p w:rsidR="006A2CA5" w:rsidRPr="00AD106D" w:rsidP="006A2CA5" w14:paraId="77507B8F" w14:textId="77777777">
      <w:pPr>
        <w:tabs>
          <w:tab w:val="left" w:pos="547"/>
          <w:tab w:val="left" w:pos="1080"/>
          <w:tab w:val="left" w:pos="1627"/>
          <w:tab w:val="left" w:pos="2160"/>
          <w:tab w:val="left" w:pos="2880"/>
        </w:tabs>
        <w:rPr>
          <w:rFonts w:ascii="Arial" w:hAnsi="Arial" w:cs="Arial"/>
          <w:b/>
          <w:color w:val="000000"/>
        </w:rPr>
      </w:pPr>
    </w:p>
    <w:p w:rsidR="00173026" w:rsidP="00173026" w14:paraId="65A11AE7" w14:textId="6021E2FD">
      <w:pPr>
        <w:widowControl w:val="0"/>
        <w:tabs>
          <w:tab w:val="left" w:pos="547"/>
          <w:tab w:val="left" w:pos="1080"/>
          <w:tab w:val="left" w:pos="1627"/>
          <w:tab w:val="left" w:pos="2160"/>
          <w:tab w:val="left" w:pos="2880"/>
        </w:tabs>
        <w:rPr>
          <w:rFonts w:ascii="Arial" w:hAnsi="Arial" w:cs="Arial"/>
          <w:i/>
        </w:rPr>
      </w:pPr>
      <w:r w:rsidRPr="00F54B31">
        <w:rPr>
          <w:rFonts w:ascii="Arial" w:hAnsi="Arial" w:cs="Arial"/>
          <w:snapToGrid w:val="0"/>
        </w:rPr>
        <w:t xml:space="preserve">Information </w:t>
      </w:r>
      <w:r w:rsidRPr="00F54B31" w:rsidR="00AA464D">
        <w:rPr>
          <w:rFonts w:ascii="Arial" w:hAnsi="Arial" w:cs="Arial"/>
          <w:snapToGrid w:val="0"/>
        </w:rPr>
        <w:t>i</w:t>
      </w:r>
      <w:r w:rsidRPr="00F54B31">
        <w:rPr>
          <w:rFonts w:ascii="Arial" w:hAnsi="Arial" w:cs="Arial"/>
          <w:snapToGrid w:val="0"/>
        </w:rPr>
        <w:t>n this data collection become</w:t>
      </w:r>
      <w:r w:rsidR="009F162F">
        <w:rPr>
          <w:rFonts w:ascii="Arial" w:hAnsi="Arial" w:cs="Arial"/>
          <w:snapToGrid w:val="0"/>
        </w:rPr>
        <w:t>s</w:t>
      </w:r>
      <w:r w:rsidRPr="00F54B31">
        <w:rPr>
          <w:rFonts w:ascii="Arial" w:hAnsi="Arial" w:cs="Arial"/>
          <w:snapToGrid w:val="0"/>
        </w:rPr>
        <w:t xml:space="preserve"> part of a </w:t>
      </w:r>
      <w:r w:rsidRPr="00F54B31">
        <w:rPr>
          <w:rFonts w:ascii="Arial" w:hAnsi="Arial" w:cs="Arial"/>
          <w:noProof/>
          <w:snapToGrid w:val="0"/>
        </w:rPr>
        <w:t xml:space="preserve">system of records </w:t>
      </w:r>
      <w:r w:rsidRPr="00F54B31" w:rsidR="006411AA">
        <w:rPr>
          <w:rFonts w:ascii="Arial" w:hAnsi="Arial" w:cs="Arial"/>
        </w:rPr>
        <w:t>that</w:t>
      </w:r>
      <w:r w:rsidRPr="00F54B31">
        <w:rPr>
          <w:rFonts w:ascii="Arial" w:hAnsi="Arial" w:cs="Arial"/>
        </w:rPr>
        <w:t xml:space="preserve"> complies with the Privacy Act of 1974. This system is </w:t>
      </w:r>
      <w:r w:rsidRPr="00F54B31">
        <w:rPr>
          <w:rFonts w:ascii="Arial" w:hAnsi="Arial" w:cs="Arial"/>
          <w:noProof/>
          <w:snapToGrid w:val="0"/>
        </w:rPr>
        <w:t xml:space="preserve">identified as "Veteran, Patient, Employee and Volunteer Research and Development Project Records-VA (34VA12)" </w:t>
      </w:r>
      <w:r w:rsidRPr="00F54B31">
        <w:rPr>
          <w:rFonts w:ascii="Arial" w:hAnsi="Arial" w:cs="Arial"/>
        </w:rPr>
        <w:t xml:space="preserve">as set forth in the Compilation of Privacy Act Issuances via online GPO access at </w:t>
      </w:r>
      <w:hyperlink r:id="rId8" w:history="1">
        <w:r w:rsidRPr="008270C1" w:rsidR="009F162F">
          <w:rPr>
            <w:rStyle w:val="Hyperlink"/>
            <w:rFonts w:ascii="Arial" w:hAnsi="Arial" w:cs="Arial"/>
            <w:i/>
          </w:rPr>
          <w:t>http://www.gpoaccess.gov/privacyact/index.html</w:t>
        </w:r>
      </w:hyperlink>
    </w:p>
    <w:p w:rsidR="00351F93" w:rsidP="006A2CA5" w14:paraId="75493CE9" w14:textId="77777777">
      <w:pPr>
        <w:tabs>
          <w:tab w:val="left" w:pos="540"/>
          <w:tab w:val="left" w:pos="1080"/>
          <w:tab w:val="left" w:pos="1620"/>
        </w:tabs>
        <w:rPr>
          <w:rFonts w:ascii="Arial" w:hAnsi="Arial" w:cs="Arial"/>
        </w:rPr>
      </w:pPr>
    </w:p>
    <w:p w:rsidR="000908A1" w:rsidP="006A2CA5" w14:paraId="1793D36A" w14:textId="77777777">
      <w:pPr>
        <w:tabs>
          <w:tab w:val="left" w:pos="540"/>
          <w:tab w:val="left" w:pos="1080"/>
          <w:tab w:val="left" w:pos="1620"/>
        </w:tabs>
        <w:rPr>
          <w:rFonts w:ascii="Arial" w:hAnsi="Arial" w:cs="Arial"/>
        </w:rPr>
      </w:pPr>
    </w:p>
    <w:p w:rsidR="000908A1" w:rsidP="006A2CA5" w14:paraId="6C5FD4D7" w14:textId="77777777">
      <w:pPr>
        <w:tabs>
          <w:tab w:val="left" w:pos="540"/>
          <w:tab w:val="left" w:pos="1080"/>
          <w:tab w:val="left" w:pos="1620"/>
        </w:tabs>
        <w:rPr>
          <w:rFonts w:ascii="Arial" w:hAnsi="Arial" w:cs="Arial"/>
        </w:rPr>
      </w:pPr>
    </w:p>
    <w:p w:rsidR="000908A1" w:rsidRPr="00AD106D" w:rsidP="006A2CA5" w14:paraId="3152CE92" w14:textId="77777777">
      <w:pPr>
        <w:tabs>
          <w:tab w:val="left" w:pos="540"/>
          <w:tab w:val="left" w:pos="1080"/>
          <w:tab w:val="left" w:pos="1620"/>
        </w:tabs>
        <w:rPr>
          <w:rFonts w:ascii="Arial" w:hAnsi="Arial" w:cs="Arial"/>
        </w:rPr>
      </w:pPr>
    </w:p>
    <w:p w:rsidR="00536A11" w:rsidRPr="00AD106D" w:rsidP="005D5EF6" w14:paraId="2AB5B2A6" w14:textId="77777777">
      <w:pPr>
        <w:pStyle w:val="NormalWeb"/>
        <w:spacing w:before="0" w:beforeAutospacing="0" w:after="0" w:afterAutospacing="0"/>
        <w:rPr>
          <w:rFonts w:ascii="Arial" w:hAnsi="Arial" w:cs="Arial"/>
          <w:b/>
          <w:sz w:val="24"/>
          <w:szCs w:val="24"/>
        </w:rPr>
      </w:pPr>
      <w:r w:rsidRPr="00AD106D">
        <w:rPr>
          <w:rFonts w:ascii="Arial" w:hAnsi="Arial" w:cs="Arial"/>
          <w:b/>
          <w:sz w:val="24"/>
          <w:szCs w:val="24"/>
        </w:rPr>
        <w:t>11.</w:t>
      </w:r>
      <w:r w:rsidRPr="00AD106D">
        <w:rPr>
          <w:rFonts w:ascii="Arial" w:hAnsi="Arial" w:cs="Arial"/>
          <w:b/>
          <w:sz w:val="24"/>
          <w:szCs w:val="24"/>
        </w:rPr>
        <w:tab/>
        <w:t>Provide additional justification for any questions of a sensitive nature</w:t>
      </w:r>
      <w:r w:rsidRPr="00AD106D" w:rsidR="005D5EF6">
        <w:rPr>
          <w:rFonts w:ascii="Arial" w:hAnsi="Arial" w:cs="Arial"/>
          <w:b/>
          <w:sz w:val="24"/>
          <w:szCs w:val="24"/>
        </w:rPr>
        <w:t xml:space="preserve"> (Information that, with a reasonable degree of medical certainty, is likely to have a serious adverse effect on an individual's mental or physical health if revealed to him or her)</w:t>
      </w:r>
      <w:r w:rsidRPr="00AD106D">
        <w:rPr>
          <w:rFonts w:ascii="Arial" w:hAnsi="Arial" w:cs="Arial"/>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AD106D" w14:paraId="1793492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rsidR="003B1C6C" w14:paraId="0713964A" w14:textId="77468199">
      <w:pPr>
        <w:tabs>
          <w:tab w:val="left" w:pos="547"/>
          <w:tab w:val="left" w:pos="1080"/>
          <w:tab w:val="left" w:pos="1627"/>
          <w:tab w:val="left" w:pos="2160"/>
          <w:tab w:val="left" w:pos="2880"/>
        </w:tabs>
        <w:rPr>
          <w:rFonts w:ascii="Arial" w:hAnsi="Arial" w:cs="Arial"/>
        </w:rPr>
      </w:pPr>
      <w:r>
        <w:rPr>
          <w:rFonts w:ascii="Arial" w:hAnsi="Arial" w:cs="Arial"/>
        </w:rPr>
        <w:t>Information collected is data used in the</w:t>
      </w:r>
      <w:r w:rsidRPr="00C51E54" w:rsidR="00C51E54">
        <w:rPr>
          <w:rFonts w:ascii="Arial" w:hAnsi="Arial" w:cs="Arial"/>
        </w:rPr>
        <w:t xml:space="preserve"> normal course </w:t>
      </w:r>
      <w:r w:rsidR="00170A56">
        <w:rPr>
          <w:rFonts w:ascii="Arial" w:hAnsi="Arial" w:cs="Arial"/>
        </w:rPr>
        <w:t>of service provision.</w:t>
      </w:r>
      <w:r w:rsidRPr="009319C6" w:rsidR="009319C6">
        <w:rPr>
          <w:rFonts w:ascii="Arial" w:hAnsi="Arial" w:cs="Arial"/>
        </w:rPr>
        <w:t xml:space="preserve"> </w:t>
      </w:r>
      <w:r w:rsidR="009319C6">
        <w:rPr>
          <w:rFonts w:ascii="Arial" w:hAnsi="Arial" w:cs="Arial"/>
        </w:rPr>
        <w:t>Information is provided voluntarily by the participants.</w:t>
      </w:r>
      <w:r w:rsidR="00170A56">
        <w:rPr>
          <w:rFonts w:ascii="Arial" w:hAnsi="Arial" w:cs="Arial"/>
        </w:rPr>
        <w:t xml:space="preserve"> </w:t>
      </w:r>
      <w:r w:rsidR="009319C6">
        <w:rPr>
          <w:rFonts w:ascii="Arial" w:hAnsi="Arial" w:cs="Arial"/>
        </w:rPr>
        <w:t xml:space="preserve">VA </w:t>
      </w:r>
      <w:r w:rsidR="00C7075A">
        <w:rPr>
          <w:rFonts w:ascii="Arial" w:hAnsi="Arial" w:cs="Arial"/>
        </w:rPr>
        <w:t xml:space="preserve">is </w:t>
      </w:r>
      <w:r w:rsidR="00170A56">
        <w:rPr>
          <w:rFonts w:ascii="Arial" w:hAnsi="Arial" w:cs="Arial"/>
        </w:rPr>
        <w:t>no</w:t>
      </w:r>
      <w:r w:rsidR="00C7075A">
        <w:rPr>
          <w:rFonts w:ascii="Arial" w:hAnsi="Arial" w:cs="Arial"/>
        </w:rPr>
        <w:t xml:space="preserve">t </w:t>
      </w:r>
      <w:r w:rsidR="00B8608F">
        <w:rPr>
          <w:rFonts w:ascii="Arial" w:hAnsi="Arial" w:cs="Arial"/>
        </w:rPr>
        <w:t>collecti</w:t>
      </w:r>
      <w:r w:rsidRPr="00C51E54" w:rsidR="00C51E54">
        <w:rPr>
          <w:rFonts w:ascii="Arial" w:hAnsi="Arial" w:cs="Arial"/>
        </w:rPr>
        <w:t>ng information outside what is expected and provided for individuals with presentation of suicide ris</w:t>
      </w:r>
      <w:r w:rsidR="009319C6">
        <w:rPr>
          <w:rFonts w:ascii="Arial" w:hAnsi="Arial" w:cs="Arial"/>
        </w:rPr>
        <w:t>k</w:t>
      </w:r>
      <w:r w:rsidR="00B8608F">
        <w:rPr>
          <w:rFonts w:ascii="Arial" w:hAnsi="Arial" w:cs="Arial"/>
        </w:rPr>
        <w:t xml:space="preserve">. </w:t>
      </w:r>
    </w:p>
    <w:p w:rsidR="00351F93" w:rsidRPr="00C51E54" w14:paraId="00BC3B96" w14:textId="77777777">
      <w:pPr>
        <w:tabs>
          <w:tab w:val="left" w:pos="547"/>
          <w:tab w:val="left" w:pos="1080"/>
          <w:tab w:val="left" w:pos="1627"/>
          <w:tab w:val="left" w:pos="2160"/>
          <w:tab w:val="left" w:pos="2880"/>
        </w:tabs>
        <w:rPr>
          <w:rFonts w:ascii="Arial" w:hAnsi="Arial" w:cs="Arial"/>
        </w:rPr>
      </w:pPr>
    </w:p>
    <w:p w:rsidR="00536A11" w14:paraId="69E51710" w14:textId="77777777">
      <w:pPr>
        <w:tabs>
          <w:tab w:val="left" w:pos="547"/>
          <w:tab w:val="left" w:pos="1080"/>
          <w:tab w:val="left" w:pos="1627"/>
          <w:tab w:val="left" w:pos="2160"/>
          <w:tab w:val="left" w:pos="2880"/>
        </w:tabs>
        <w:rPr>
          <w:rFonts w:ascii="Arial" w:hAnsi="Arial" w:cs="Arial"/>
          <w:b/>
          <w:color w:val="000000"/>
        </w:rPr>
      </w:pPr>
      <w:r w:rsidRPr="001D3A83">
        <w:rPr>
          <w:rFonts w:ascii="Arial" w:hAnsi="Arial" w:cs="Arial"/>
          <w:b/>
          <w:sz w:val="22"/>
          <w:szCs w:val="22"/>
        </w:rPr>
        <w:t>12.</w:t>
      </w:r>
      <w:r w:rsidRPr="001D3A83">
        <w:rPr>
          <w:rFonts w:ascii="Arial" w:hAnsi="Arial" w:cs="Arial"/>
          <w:b/>
          <w:sz w:val="22"/>
          <w:szCs w:val="22"/>
        </w:rPr>
        <w:tab/>
      </w:r>
      <w:r w:rsidRPr="001D3A83">
        <w:rPr>
          <w:rFonts w:ascii="Arial" w:hAnsi="Arial" w:cs="Arial"/>
          <w:b/>
          <w:color w:val="000000"/>
        </w:rPr>
        <w:t>Estimate</w:t>
      </w:r>
      <w:r w:rsidRPr="00AD106D">
        <w:rPr>
          <w:rFonts w:ascii="Arial" w:hAnsi="Arial" w:cs="Arial"/>
          <w:b/>
          <w:color w:val="000000"/>
        </w:rPr>
        <w:t xml:space="preserve"> of the hour burden of the collection of information:</w:t>
      </w:r>
    </w:p>
    <w:p w:rsidR="0025306C" w:rsidP="2FF79890" w14:paraId="28A0A842" w14:textId="56508659">
      <w:pPr>
        <w:numPr>
          <w:ilvl w:val="0"/>
          <w:numId w:val="9"/>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bookmarkStart w:id="2" w:name="_Hlk5363288"/>
      <w:r w:rsidRPr="00596F3B">
        <w:rPr>
          <w:rFonts w:ascii="Arial" w:hAnsi="Arial" w:cs="Arial"/>
          <w:b/>
          <w:bCs/>
          <w:color w:val="000000"/>
        </w:rPr>
        <w:t xml:space="preserve">The number of respondents, frequency of responses, annual hour burden, and explanation for each form </w:t>
      </w:r>
      <w:r w:rsidRPr="00596F3B" w:rsidR="0037186D">
        <w:rPr>
          <w:rFonts w:ascii="Arial" w:hAnsi="Arial" w:cs="Arial"/>
          <w:b/>
          <w:bCs/>
          <w:color w:val="000000"/>
        </w:rPr>
        <w:t>are</w:t>
      </w:r>
      <w:r w:rsidRPr="00596F3B">
        <w:rPr>
          <w:rFonts w:ascii="Arial" w:hAnsi="Arial" w:cs="Arial"/>
          <w:b/>
          <w:bCs/>
          <w:color w:val="000000"/>
        </w:rPr>
        <w:t xml:space="preserve"> reported as follows</w:t>
      </w:r>
      <w:r w:rsidRPr="2FF79890">
        <w:rPr>
          <w:rFonts w:ascii="Arial" w:hAnsi="Arial" w:cs="Arial"/>
          <w:b/>
          <w:bCs/>
        </w:rPr>
        <w:t>:</w:t>
      </w:r>
      <w:r w:rsidRPr="2FF79890" w:rsidR="69FEAF65">
        <w:rPr>
          <w:rFonts w:ascii="Arial" w:hAnsi="Arial" w:cs="Arial"/>
          <w:b/>
          <w:bCs/>
        </w:rPr>
        <w:t xml:space="preserve">  </w:t>
      </w:r>
      <w:bookmarkEnd w:id="2"/>
    </w:p>
    <w:p w:rsidR="00DD1C33" w:rsidP="00DD1C33" w14:paraId="5F73789A" w14:textId="4ABFB4F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b/>
          <w:bCs/>
          <w:color w:val="000000"/>
        </w:rPr>
      </w:pPr>
    </w:p>
    <w:p w:rsidR="00DD1C33" w:rsidRPr="00656771" w:rsidP="00DD1C33" w14:paraId="378DBED2" w14:textId="055DB2B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color w:val="000000"/>
        </w:rPr>
      </w:pPr>
      <w:r w:rsidRPr="00656771">
        <w:rPr>
          <w:rFonts w:ascii="Arial" w:hAnsi="Arial" w:cs="Arial"/>
          <w:color w:val="000000"/>
        </w:rPr>
        <w:t xml:space="preserve">Annual Number of Responses:  </w:t>
      </w:r>
      <w:r w:rsidRPr="00656771" w:rsidR="001B40E9">
        <w:rPr>
          <w:rFonts w:ascii="Arial" w:hAnsi="Arial" w:cs="Arial"/>
          <w:color w:val="000000"/>
        </w:rPr>
        <w:t>54</w:t>
      </w:r>
      <w:r w:rsidRPr="00656771" w:rsidR="001D0378">
        <w:rPr>
          <w:rFonts w:ascii="Arial" w:hAnsi="Arial" w:cs="Arial"/>
          <w:color w:val="000000"/>
        </w:rPr>
        <w:t>,5</w:t>
      </w:r>
      <w:r w:rsidRPr="00656771" w:rsidR="001B40E9">
        <w:rPr>
          <w:rFonts w:ascii="Arial" w:hAnsi="Arial" w:cs="Arial"/>
          <w:color w:val="000000"/>
        </w:rPr>
        <w:t>2</w:t>
      </w:r>
      <w:r w:rsidRPr="00656771" w:rsidR="001D0378">
        <w:rPr>
          <w:rFonts w:ascii="Arial" w:hAnsi="Arial" w:cs="Arial"/>
          <w:color w:val="000000"/>
        </w:rPr>
        <w:t xml:space="preserve">5 </w:t>
      </w:r>
    </w:p>
    <w:p w:rsidR="00DD1C33" w:rsidRPr="00DD1C33" w:rsidP="00DD1C33" w14:paraId="016DED4E" w14:textId="7F41EB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rPr>
      </w:pPr>
      <w:r w:rsidRPr="00656771">
        <w:rPr>
          <w:rFonts w:ascii="Arial" w:hAnsi="Arial" w:cs="Arial"/>
          <w:color w:val="000000"/>
        </w:rPr>
        <w:t>Annual Time Burden:</w:t>
      </w:r>
      <w:r w:rsidRPr="00656771">
        <w:rPr>
          <w:rFonts w:ascii="Arial" w:hAnsi="Arial" w:cs="Arial"/>
          <w:color w:val="000000"/>
        </w:rPr>
        <w:tab/>
      </w:r>
      <w:r w:rsidRPr="00656771">
        <w:rPr>
          <w:rFonts w:ascii="Arial" w:hAnsi="Arial" w:cs="Arial"/>
          <w:color w:val="000000"/>
        </w:rPr>
        <w:tab/>
      </w:r>
      <w:r w:rsidRPr="00656771" w:rsidR="00E304BB">
        <w:rPr>
          <w:rFonts w:ascii="Arial" w:hAnsi="Arial" w:cs="Arial"/>
          <w:color w:val="000000"/>
        </w:rPr>
        <w:t xml:space="preserve">  </w:t>
      </w:r>
      <w:r w:rsidRPr="00656771" w:rsidR="002F54C3">
        <w:rPr>
          <w:rFonts w:ascii="Arial" w:hAnsi="Arial" w:cs="Arial"/>
          <w:color w:val="000000"/>
        </w:rPr>
        <w:t>31,1</w:t>
      </w:r>
      <w:r w:rsidR="00610C1E">
        <w:rPr>
          <w:rFonts w:ascii="Arial" w:hAnsi="Arial" w:cs="Arial"/>
          <w:color w:val="000000"/>
        </w:rPr>
        <w:t>66</w:t>
      </w:r>
      <w:r w:rsidRPr="00656771">
        <w:rPr>
          <w:rFonts w:ascii="Arial" w:hAnsi="Arial" w:cs="Arial"/>
          <w:color w:val="000000"/>
        </w:rPr>
        <w:t xml:space="preserve"> hours</w:t>
      </w:r>
      <w:r w:rsidRPr="00DD1C33">
        <w:rPr>
          <w:rFonts w:ascii="Arial" w:hAnsi="Arial" w:cs="Arial"/>
          <w:color w:val="000000"/>
        </w:rPr>
        <w:t xml:space="preserve"> </w:t>
      </w:r>
    </w:p>
    <w:p w:rsidR="2FF79890" w:rsidP="2FF79890" w14:paraId="0B9E5940" w14:textId="058D54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505"/>
        <w:gridCol w:w="1800"/>
        <w:gridCol w:w="1530"/>
        <w:gridCol w:w="1260"/>
        <w:gridCol w:w="900"/>
        <w:gridCol w:w="1350"/>
      </w:tblGrid>
      <w:tr w14:paraId="5BFC93B0" w14:textId="77777777" w:rsidTr="00795AEE">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710"/>
        </w:trPr>
        <w:tc>
          <w:tcPr>
            <w:tcW w:w="3505" w:type="dxa"/>
          </w:tcPr>
          <w:p w:rsidR="2CBB8DAA" w:rsidP="2FF79890" w14:paraId="5282A727" w14:textId="77777777">
            <w:pPr>
              <w:rPr>
                <w:rFonts w:ascii="Arial" w:hAnsi="Arial" w:cs="Arial"/>
                <w:b/>
                <w:bCs/>
              </w:rPr>
            </w:pPr>
            <w:r w:rsidRPr="005C3A44">
              <w:rPr>
                <w:rFonts w:ascii="Arial" w:hAnsi="Arial" w:cs="Arial"/>
                <w:b/>
                <w:bCs/>
              </w:rPr>
              <w:t>Information</w:t>
            </w:r>
            <w:r w:rsidR="00942393">
              <w:rPr>
                <w:rFonts w:ascii="Arial" w:hAnsi="Arial" w:cs="Arial"/>
                <w:b/>
                <w:bCs/>
              </w:rPr>
              <w:t xml:space="preserve"> Collection </w:t>
            </w:r>
          </w:p>
          <w:p w:rsidR="00942393" w:rsidRPr="005C3A44" w:rsidP="2FF79890" w14:paraId="043BCAD5" w14:textId="364681BB">
            <w:pPr>
              <w:rPr>
                <w:rFonts w:ascii="Arial" w:hAnsi="Arial" w:cs="Arial"/>
                <w:b/>
                <w:bCs/>
              </w:rPr>
            </w:pPr>
            <w:r w:rsidRPr="00942393">
              <w:rPr>
                <w:rFonts w:ascii="Arial" w:hAnsi="Arial" w:cs="Arial"/>
                <w:b/>
                <w:bCs/>
                <w:color w:val="AEAAAA" w:themeColor="background2" w:themeShade="BF"/>
              </w:rPr>
              <w:t xml:space="preserve">Form </w:t>
            </w:r>
          </w:p>
        </w:tc>
        <w:tc>
          <w:tcPr>
            <w:tcW w:w="1800" w:type="dxa"/>
          </w:tcPr>
          <w:p w:rsidR="2CBB8DAA" w:rsidRPr="005C3A44" w:rsidP="2FF79890" w14:paraId="1ECADFCA" w14:textId="19DEEF61">
            <w:pPr>
              <w:rPr>
                <w:rFonts w:ascii="Arial" w:hAnsi="Arial" w:cs="Arial"/>
                <w:b/>
                <w:bCs/>
              </w:rPr>
            </w:pPr>
            <w:r w:rsidRPr="005C3A44">
              <w:rPr>
                <w:rFonts w:ascii="Arial" w:hAnsi="Arial" w:cs="Arial"/>
                <w:b/>
                <w:bCs/>
              </w:rPr>
              <w:t xml:space="preserve"> </w:t>
            </w:r>
            <w:r w:rsidRPr="005C3A44">
              <w:rPr>
                <w:rFonts w:ascii="Arial" w:hAnsi="Arial" w:cs="Arial"/>
                <w:b/>
                <w:bCs/>
              </w:rPr>
              <w:t xml:space="preserve">No. </w:t>
            </w:r>
            <w:r w:rsidRPr="005C3A44" w:rsidR="4D343A5E">
              <w:rPr>
                <w:rFonts w:ascii="Arial" w:hAnsi="Arial" w:cs="Arial"/>
                <w:b/>
                <w:bCs/>
              </w:rPr>
              <w:t>o</w:t>
            </w:r>
            <w:r w:rsidRPr="005C3A44">
              <w:rPr>
                <w:rFonts w:ascii="Arial" w:hAnsi="Arial" w:cs="Arial"/>
                <w:b/>
                <w:bCs/>
              </w:rPr>
              <w:t xml:space="preserve">f </w:t>
            </w:r>
            <w:r w:rsidRPr="005C3A44" w:rsidR="00AD5C90">
              <w:rPr>
                <w:rFonts w:ascii="Arial" w:hAnsi="Arial" w:cs="Arial"/>
                <w:b/>
                <w:bCs/>
              </w:rPr>
              <w:t>Respondents</w:t>
            </w:r>
          </w:p>
        </w:tc>
        <w:tc>
          <w:tcPr>
            <w:tcW w:w="1530" w:type="dxa"/>
          </w:tcPr>
          <w:p w:rsidR="2CBB8DAA" w:rsidRPr="005C3A44" w:rsidP="2FF79890" w14:paraId="541C5AAF" w14:textId="2BB37EC9">
            <w:pPr>
              <w:rPr>
                <w:rFonts w:ascii="Arial" w:hAnsi="Arial" w:cs="Arial"/>
                <w:b/>
                <w:bCs/>
              </w:rPr>
            </w:pPr>
            <w:r w:rsidRPr="005C3A44">
              <w:rPr>
                <w:rFonts w:ascii="Arial" w:hAnsi="Arial" w:cs="Arial"/>
                <w:b/>
                <w:bCs/>
              </w:rPr>
              <w:t xml:space="preserve"> </w:t>
            </w:r>
            <w:r w:rsidRPr="005C3A44" w:rsidR="008812EC">
              <w:rPr>
                <w:rFonts w:ascii="Arial" w:hAnsi="Arial" w:cs="Arial"/>
                <w:b/>
                <w:bCs/>
              </w:rPr>
              <w:t>x</w:t>
            </w:r>
            <w:r w:rsidRPr="005C3A44">
              <w:rPr>
                <w:rFonts w:ascii="Arial" w:hAnsi="Arial" w:cs="Arial"/>
                <w:b/>
                <w:bCs/>
              </w:rPr>
              <w:t xml:space="preserve"> </w:t>
            </w:r>
            <w:r w:rsidRPr="005C3A44">
              <w:rPr>
                <w:rFonts w:ascii="Arial" w:hAnsi="Arial" w:cs="Arial"/>
                <w:b/>
                <w:bCs/>
              </w:rPr>
              <w:t xml:space="preserve">No. </w:t>
            </w:r>
            <w:r w:rsidRPr="005C3A44" w:rsidR="06FB6E8A">
              <w:rPr>
                <w:rFonts w:ascii="Arial" w:hAnsi="Arial" w:cs="Arial"/>
                <w:b/>
                <w:bCs/>
              </w:rPr>
              <w:t>o</w:t>
            </w:r>
            <w:r w:rsidRPr="005C3A44">
              <w:rPr>
                <w:rFonts w:ascii="Arial" w:hAnsi="Arial" w:cs="Arial"/>
                <w:b/>
                <w:bCs/>
              </w:rPr>
              <w:t>f Respon</w:t>
            </w:r>
            <w:r w:rsidRPr="005C3A44" w:rsidR="4FFFD973">
              <w:rPr>
                <w:rFonts w:ascii="Arial" w:hAnsi="Arial" w:cs="Arial"/>
                <w:b/>
                <w:bCs/>
              </w:rPr>
              <w:t>s</w:t>
            </w:r>
            <w:r w:rsidRPr="005C3A44">
              <w:rPr>
                <w:rFonts w:ascii="Arial" w:hAnsi="Arial" w:cs="Arial"/>
                <w:b/>
                <w:bCs/>
              </w:rPr>
              <w:t>e</w:t>
            </w:r>
            <w:r w:rsidRPr="005C3A44" w:rsidR="30C72578">
              <w:rPr>
                <w:rFonts w:ascii="Arial" w:hAnsi="Arial" w:cs="Arial"/>
                <w:b/>
                <w:bCs/>
              </w:rPr>
              <w:t>s</w:t>
            </w:r>
            <w:r w:rsidRPr="005C3A44">
              <w:rPr>
                <w:rFonts w:ascii="Arial" w:hAnsi="Arial" w:cs="Arial"/>
                <w:b/>
                <w:bCs/>
              </w:rPr>
              <w:t xml:space="preserve"> </w:t>
            </w:r>
          </w:p>
        </w:tc>
        <w:tc>
          <w:tcPr>
            <w:tcW w:w="1260" w:type="dxa"/>
          </w:tcPr>
          <w:p w:rsidR="2FF79890" w:rsidRPr="005C3A44" w:rsidP="2FF79890" w14:paraId="0BC22AD8" w14:textId="2F37BEFC">
            <w:pPr>
              <w:rPr>
                <w:rFonts w:ascii="Arial" w:hAnsi="Arial" w:cs="Arial"/>
                <w:b/>
                <w:bCs/>
              </w:rPr>
            </w:pPr>
            <w:r w:rsidRPr="005C3A44">
              <w:rPr>
                <w:rFonts w:ascii="Arial" w:hAnsi="Arial" w:cs="Arial"/>
                <w:b/>
                <w:bCs/>
              </w:rPr>
              <w:t xml:space="preserve"> </w:t>
            </w:r>
            <w:r w:rsidRPr="005C3A44" w:rsidR="008812EC">
              <w:rPr>
                <w:rFonts w:ascii="Arial" w:hAnsi="Arial" w:cs="Arial"/>
                <w:b/>
                <w:bCs/>
              </w:rPr>
              <w:t>x</w:t>
            </w:r>
            <w:r w:rsidRPr="005C3A44">
              <w:rPr>
                <w:rFonts w:ascii="Arial" w:hAnsi="Arial" w:cs="Arial"/>
                <w:b/>
                <w:bCs/>
              </w:rPr>
              <w:t xml:space="preserve"> </w:t>
            </w:r>
            <w:r w:rsidRPr="005C3A44" w:rsidR="198D7B35">
              <w:rPr>
                <w:rFonts w:ascii="Arial" w:hAnsi="Arial" w:cs="Arial"/>
                <w:b/>
                <w:bCs/>
              </w:rPr>
              <w:t xml:space="preserve">No. </w:t>
            </w:r>
            <w:r w:rsidRPr="005C3A44" w:rsidR="456708AC">
              <w:rPr>
                <w:rFonts w:ascii="Arial" w:hAnsi="Arial" w:cs="Arial"/>
                <w:b/>
                <w:bCs/>
              </w:rPr>
              <w:t>o</w:t>
            </w:r>
            <w:r w:rsidRPr="005C3A44" w:rsidR="198D7B35">
              <w:rPr>
                <w:rFonts w:ascii="Arial" w:hAnsi="Arial" w:cs="Arial"/>
                <w:b/>
                <w:bCs/>
              </w:rPr>
              <w:t xml:space="preserve">f Minutes </w:t>
            </w:r>
          </w:p>
        </w:tc>
        <w:tc>
          <w:tcPr>
            <w:tcW w:w="900" w:type="dxa"/>
          </w:tcPr>
          <w:p w:rsidR="2FF79890" w:rsidRPr="005C3A44" w:rsidP="00596F3B" w14:paraId="1C3867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3A44">
              <w:rPr>
                <w:rFonts w:ascii="Arial" w:hAnsi="Arial" w:cs="Arial"/>
                <w:b/>
                <w:bCs/>
              </w:rPr>
              <w:t>÷</w:t>
            </w:r>
          </w:p>
          <w:p w:rsidR="2FF79890" w:rsidRPr="005C3A44" w:rsidP="00596F3B" w14:paraId="1B05018A" w14:textId="6D354A6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5C3A44">
              <w:rPr>
                <w:rFonts w:ascii="Arial" w:hAnsi="Arial" w:cs="Arial"/>
                <w:b/>
                <w:bCs/>
              </w:rPr>
              <w:t>by 60 =</w:t>
            </w:r>
          </w:p>
        </w:tc>
        <w:tc>
          <w:tcPr>
            <w:tcW w:w="1350" w:type="dxa"/>
          </w:tcPr>
          <w:p w:rsidR="2FF79890" w:rsidRPr="005C3A44" w:rsidP="2FF79890" w14:paraId="5CF06498" w14:textId="3C0D07C1">
            <w:pPr>
              <w:rPr>
                <w:rFonts w:ascii="Arial" w:hAnsi="Arial" w:cs="Arial"/>
                <w:b/>
                <w:bCs/>
              </w:rPr>
            </w:pPr>
            <w:r w:rsidRPr="005C3A44">
              <w:rPr>
                <w:rFonts w:ascii="Arial" w:hAnsi="Arial" w:cs="Arial"/>
                <w:b/>
                <w:bCs/>
              </w:rPr>
              <w:t xml:space="preserve">Burden </w:t>
            </w:r>
            <w:r w:rsidRPr="005C3A44" w:rsidR="50DD6AC7">
              <w:rPr>
                <w:rFonts w:ascii="Arial" w:hAnsi="Arial" w:cs="Arial"/>
                <w:b/>
                <w:bCs/>
              </w:rPr>
              <w:t xml:space="preserve">Hours </w:t>
            </w:r>
          </w:p>
        </w:tc>
      </w:tr>
      <w:tr w14:paraId="2B00C802" w14:textId="77777777" w:rsidTr="00A7191C">
        <w:tblPrEx>
          <w:tblW w:w="10345" w:type="dxa"/>
          <w:tblLayout w:type="fixed"/>
          <w:tblLook w:val="06A0"/>
        </w:tblPrEx>
        <w:tc>
          <w:tcPr>
            <w:tcW w:w="3505" w:type="dxa"/>
          </w:tcPr>
          <w:p w:rsidR="00022D68" w:rsidRPr="00656771" w:rsidP="00022D68" w14:paraId="64EBAAF6" w14:textId="67EC1490">
            <w:pPr>
              <w:rPr>
                <w:rFonts w:ascii="Arial" w:hAnsi="Arial" w:cs="Arial"/>
                <w:color w:val="000000" w:themeColor="text1"/>
              </w:rPr>
            </w:pPr>
            <w:r w:rsidRPr="00656771">
              <w:rPr>
                <w:rFonts w:ascii="Arial" w:hAnsi="Arial" w:cs="Arial"/>
                <w:color w:val="000000" w:themeColor="text1"/>
              </w:rPr>
              <w:t>Application</w:t>
            </w:r>
          </w:p>
          <w:p w:rsidR="00334426" w:rsidRPr="00656771" w:rsidP="00022D68" w14:paraId="27916CC1" w14:textId="51F7DEE2">
            <w:pPr>
              <w:rPr>
                <w:rFonts w:ascii="Arial" w:hAnsi="Arial" w:cs="Arial"/>
                <w:color w:val="000000" w:themeColor="text1"/>
              </w:rPr>
            </w:pPr>
            <w:r w:rsidRPr="009548AA">
              <w:rPr>
                <w:rFonts w:ascii="Arial" w:hAnsi="Arial" w:cs="Arial"/>
                <w:color w:val="AEAAAA" w:themeColor="background2" w:themeShade="BF"/>
              </w:rPr>
              <w:t>10-315a</w:t>
            </w:r>
          </w:p>
        </w:tc>
        <w:tc>
          <w:tcPr>
            <w:tcW w:w="1800" w:type="dxa"/>
          </w:tcPr>
          <w:p w:rsidR="00022D68" w:rsidRPr="00656771" w:rsidP="00022D68" w14:paraId="332F6D91" w14:textId="69826CF8">
            <w:pPr>
              <w:rPr>
                <w:rFonts w:ascii="Arial" w:hAnsi="Arial" w:cs="Arial"/>
                <w:color w:val="000000" w:themeColor="text1"/>
              </w:rPr>
            </w:pPr>
            <w:r w:rsidRPr="00656771">
              <w:rPr>
                <w:rFonts w:ascii="Arial" w:hAnsi="Arial" w:cs="Arial"/>
                <w:color w:val="000000" w:themeColor="text1"/>
              </w:rPr>
              <w:t>360</w:t>
            </w:r>
          </w:p>
        </w:tc>
        <w:tc>
          <w:tcPr>
            <w:tcW w:w="1530" w:type="dxa"/>
          </w:tcPr>
          <w:p w:rsidR="00022D68" w:rsidRPr="005C3A44" w:rsidP="00022D68" w14:paraId="19C8B41B" w14:textId="0FC26C0D">
            <w:pPr>
              <w:rPr>
                <w:rFonts w:ascii="Arial" w:hAnsi="Arial" w:cs="Arial"/>
              </w:rPr>
            </w:pPr>
            <w:r w:rsidRPr="005C3A44">
              <w:rPr>
                <w:rFonts w:ascii="Arial" w:hAnsi="Arial" w:cs="Arial"/>
              </w:rPr>
              <w:t>1</w:t>
            </w:r>
            <w:r w:rsidR="00892EA0">
              <w:rPr>
                <w:rFonts w:ascii="Arial" w:hAnsi="Arial" w:cs="Arial"/>
              </w:rPr>
              <w:t xml:space="preserve"> </w:t>
            </w:r>
            <w:r w:rsidRPr="00892EA0" w:rsidR="00892EA0">
              <w:rPr>
                <w:rFonts w:ascii="Arial" w:hAnsi="Arial" w:cs="Arial"/>
                <w:color w:val="AEAAAA" w:themeColor="background2" w:themeShade="BF"/>
              </w:rPr>
              <w:t>= 360</w:t>
            </w:r>
          </w:p>
        </w:tc>
        <w:tc>
          <w:tcPr>
            <w:tcW w:w="1260" w:type="dxa"/>
          </w:tcPr>
          <w:p w:rsidR="00022D68" w:rsidRPr="005C3A44" w:rsidP="00022D68" w14:paraId="5C11C2EE" w14:textId="7C3B1221">
            <w:pPr>
              <w:rPr>
                <w:rFonts w:ascii="Arial" w:hAnsi="Arial" w:cs="Arial"/>
              </w:rPr>
            </w:pPr>
            <w:r w:rsidRPr="005C3A44">
              <w:rPr>
                <w:rFonts w:ascii="Arial" w:hAnsi="Arial" w:cs="Arial"/>
              </w:rPr>
              <w:t>2100</w:t>
            </w:r>
            <w:r w:rsidR="0079090D">
              <w:rPr>
                <w:rFonts w:ascii="Arial" w:hAnsi="Arial" w:cs="Arial"/>
              </w:rPr>
              <w:t xml:space="preserve"> min </w:t>
            </w:r>
            <w:r w:rsidRPr="0079090D" w:rsidR="0079090D">
              <w:rPr>
                <w:rFonts w:ascii="Arial" w:hAnsi="Arial" w:cs="Arial"/>
                <w:color w:val="AEAAAA" w:themeColor="background2" w:themeShade="BF"/>
              </w:rPr>
              <w:t>= 35 hrs</w:t>
            </w:r>
          </w:p>
        </w:tc>
        <w:tc>
          <w:tcPr>
            <w:tcW w:w="900" w:type="dxa"/>
          </w:tcPr>
          <w:p w:rsidR="00022D68" w:rsidRPr="005C3A44" w:rsidP="00022D68" w14:paraId="7D0DBE71" w14:textId="373A6511">
            <w:pPr>
              <w:rPr>
                <w:rFonts w:ascii="Arial" w:hAnsi="Arial" w:cs="Arial"/>
              </w:rPr>
            </w:pPr>
          </w:p>
        </w:tc>
        <w:tc>
          <w:tcPr>
            <w:tcW w:w="1350" w:type="dxa"/>
          </w:tcPr>
          <w:p w:rsidR="00022D68" w:rsidRPr="008D74E9" w:rsidP="00022D68" w14:paraId="510D3CE0" w14:textId="4B9B5B5B">
            <w:pPr>
              <w:rPr>
                <w:rFonts w:ascii="Arial" w:hAnsi="Arial" w:cs="Arial"/>
                <w:strike/>
              </w:rPr>
            </w:pPr>
            <w:r w:rsidRPr="00656771">
              <w:rPr>
                <w:rFonts w:ascii="Arial" w:hAnsi="Arial" w:cs="Arial"/>
                <w:color w:val="000000" w:themeColor="text1"/>
              </w:rPr>
              <w:t>12,600</w:t>
            </w:r>
          </w:p>
        </w:tc>
      </w:tr>
      <w:tr w14:paraId="47DB056E" w14:textId="77777777" w:rsidTr="00A7191C">
        <w:tblPrEx>
          <w:tblW w:w="10345" w:type="dxa"/>
          <w:tblLayout w:type="fixed"/>
          <w:tblLook w:val="06A0"/>
        </w:tblPrEx>
        <w:tc>
          <w:tcPr>
            <w:tcW w:w="3505" w:type="dxa"/>
          </w:tcPr>
          <w:p w:rsidR="00022D68" w:rsidP="00022D68" w14:paraId="6815C9DE" w14:textId="77777777">
            <w:pPr>
              <w:rPr>
                <w:rFonts w:ascii="Arial" w:hAnsi="Arial" w:cs="Arial"/>
              </w:rPr>
            </w:pPr>
            <w:r w:rsidRPr="00CA5ABB">
              <w:rPr>
                <w:rFonts w:ascii="Arial" w:hAnsi="Arial" w:cs="Arial"/>
              </w:rPr>
              <w:t>Renewal Application</w:t>
            </w:r>
          </w:p>
          <w:p w:rsidR="00334426" w:rsidRPr="00CA5ABB" w:rsidP="00022D68" w14:paraId="5886E8E9" w14:textId="5F87D49F">
            <w:pPr>
              <w:rPr>
                <w:rFonts w:ascii="Arial" w:hAnsi="Arial" w:cs="Arial"/>
              </w:rPr>
            </w:pPr>
            <w:r w:rsidRPr="00334426">
              <w:rPr>
                <w:rFonts w:ascii="Arial" w:hAnsi="Arial" w:cs="Arial"/>
                <w:color w:val="AEAAAA" w:themeColor="background2" w:themeShade="BF"/>
              </w:rPr>
              <w:t>10-315b</w:t>
            </w:r>
          </w:p>
        </w:tc>
        <w:tc>
          <w:tcPr>
            <w:tcW w:w="1800" w:type="dxa"/>
          </w:tcPr>
          <w:p w:rsidR="00022D68" w:rsidRPr="00CA5ABB" w:rsidP="00022D68" w14:paraId="765757FF" w14:textId="0F6B0C80">
            <w:pPr>
              <w:rPr>
                <w:rFonts w:ascii="Arial" w:hAnsi="Arial" w:cs="Arial"/>
              </w:rPr>
            </w:pPr>
            <w:r w:rsidRPr="00CA5ABB">
              <w:rPr>
                <w:rFonts w:ascii="Arial" w:hAnsi="Arial" w:cs="Arial"/>
              </w:rPr>
              <w:t>90</w:t>
            </w:r>
          </w:p>
        </w:tc>
        <w:tc>
          <w:tcPr>
            <w:tcW w:w="1530" w:type="dxa"/>
          </w:tcPr>
          <w:p w:rsidR="00022D68" w:rsidRPr="00CA5ABB" w:rsidP="00022D68" w14:paraId="3ABA6129" w14:textId="2B57809C">
            <w:pPr>
              <w:rPr>
                <w:rFonts w:ascii="Arial" w:hAnsi="Arial" w:cs="Arial"/>
              </w:rPr>
            </w:pPr>
            <w:r w:rsidRPr="00CA5ABB">
              <w:rPr>
                <w:rFonts w:ascii="Arial" w:hAnsi="Arial" w:cs="Arial"/>
              </w:rPr>
              <w:t>1</w:t>
            </w:r>
            <w:r w:rsidR="00892EA0">
              <w:rPr>
                <w:rFonts w:ascii="Arial" w:hAnsi="Arial" w:cs="Arial"/>
              </w:rPr>
              <w:t xml:space="preserve"> </w:t>
            </w:r>
            <w:r w:rsidRPr="00892EA0" w:rsidR="00892EA0">
              <w:rPr>
                <w:rFonts w:ascii="Arial" w:hAnsi="Arial" w:cs="Arial"/>
                <w:color w:val="AEAAAA" w:themeColor="background2" w:themeShade="BF"/>
              </w:rPr>
              <w:t xml:space="preserve">= 90 </w:t>
            </w:r>
          </w:p>
        </w:tc>
        <w:tc>
          <w:tcPr>
            <w:tcW w:w="1260" w:type="dxa"/>
          </w:tcPr>
          <w:p w:rsidR="00022D68" w:rsidRPr="00CA5ABB" w:rsidP="00022D68" w14:paraId="57F0B936" w14:textId="2B4A8ED7">
            <w:pPr>
              <w:rPr>
                <w:rFonts w:ascii="Arial" w:hAnsi="Arial" w:cs="Arial"/>
              </w:rPr>
            </w:pPr>
            <w:r w:rsidRPr="00CA5ABB">
              <w:rPr>
                <w:rFonts w:ascii="Arial" w:hAnsi="Arial" w:cs="Arial"/>
              </w:rPr>
              <w:t>600</w:t>
            </w:r>
            <w:r w:rsidR="0079090D">
              <w:rPr>
                <w:rFonts w:ascii="Arial" w:hAnsi="Arial" w:cs="Arial"/>
              </w:rPr>
              <w:t xml:space="preserve"> min   </w:t>
            </w:r>
            <w:r w:rsidRPr="0079090D" w:rsidR="0079090D">
              <w:rPr>
                <w:rFonts w:ascii="Arial" w:hAnsi="Arial" w:cs="Arial"/>
                <w:color w:val="AEAAAA" w:themeColor="background2" w:themeShade="BF"/>
              </w:rPr>
              <w:t>= 10 hrs</w:t>
            </w:r>
          </w:p>
        </w:tc>
        <w:tc>
          <w:tcPr>
            <w:tcW w:w="900" w:type="dxa"/>
          </w:tcPr>
          <w:p w:rsidR="00022D68" w:rsidRPr="00CA5ABB" w:rsidP="00022D68" w14:paraId="0CC5D2C4" w14:textId="373A6511">
            <w:pPr>
              <w:rPr>
                <w:rFonts w:ascii="Arial" w:hAnsi="Arial" w:cs="Arial"/>
              </w:rPr>
            </w:pPr>
          </w:p>
        </w:tc>
        <w:tc>
          <w:tcPr>
            <w:tcW w:w="1350" w:type="dxa"/>
          </w:tcPr>
          <w:p w:rsidR="00022D68" w:rsidRPr="00CA5ABB" w:rsidP="00022D68" w14:paraId="2DB752ED" w14:textId="2D405648">
            <w:pPr>
              <w:rPr>
                <w:rFonts w:ascii="Arial" w:hAnsi="Arial" w:cs="Arial"/>
              </w:rPr>
            </w:pPr>
            <w:r w:rsidRPr="00CA5ABB">
              <w:rPr>
                <w:rFonts w:ascii="Arial" w:hAnsi="Arial" w:cs="Arial"/>
              </w:rPr>
              <w:t>900</w:t>
            </w:r>
          </w:p>
        </w:tc>
      </w:tr>
      <w:tr w14:paraId="6385CD3C" w14:textId="77777777" w:rsidTr="00A7191C">
        <w:tblPrEx>
          <w:tblW w:w="10345" w:type="dxa"/>
          <w:tblLayout w:type="fixed"/>
          <w:tblLook w:val="06A0"/>
        </w:tblPrEx>
        <w:tc>
          <w:tcPr>
            <w:tcW w:w="3505" w:type="dxa"/>
          </w:tcPr>
          <w:p w:rsidR="00DF0813" w:rsidP="00DF0813" w14:paraId="28E63C51" w14:textId="59191F22">
            <w:pPr>
              <w:rPr>
                <w:rFonts w:ascii="Arial" w:hAnsi="Arial" w:cs="Arial"/>
              </w:rPr>
            </w:pPr>
            <w:r w:rsidRPr="00CA5ABB">
              <w:rPr>
                <w:rFonts w:ascii="Arial" w:hAnsi="Arial" w:cs="Arial"/>
              </w:rPr>
              <w:t xml:space="preserve">Compliance </w:t>
            </w:r>
            <w:r w:rsidRPr="00656771" w:rsidR="009A6859">
              <w:rPr>
                <w:rFonts w:ascii="Arial" w:hAnsi="Arial" w:cs="Arial"/>
                <w:color w:val="000000" w:themeColor="text1"/>
              </w:rPr>
              <w:t>–</w:t>
            </w:r>
            <w:r w:rsidRPr="00656771" w:rsidR="00F5174C">
              <w:rPr>
                <w:rFonts w:ascii="Arial" w:hAnsi="Arial" w:cs="Arial"/>
                <w:color w:val="000000" w:themeColor="text1"/>
              </w:rPr>
              <w:t xml:space="preserve"> </w:t>
            </w:r>
            <w:r w:rsidRPr="00656771" w:rsidR="00AB2630">
              <w:rPr>
                <w:rFonts w:ascii="Arial" w:hAnsi="Arial" w:cs="Arial"/>
                <w:color w:val="000000" w:themeColor="text1"/>
              </w:rPr>
              <w:t xml:space="preserve">Grantee </w:t>
            </w:r>
            <w:r w:rsidRPr="00656771">
              <w:rPr>
                <w:rFonts w:ascii="Arial" w:hAnsi="Arial" w:cs="Arial"/>
                <w:color w:val="000000" w:themeColor="text1"/>
              </w:rPr>
              <w:t xml:space="preserve">Performance </w:t>
            </w:r>
            <w:r w:rsidRPr="00CA5ABB">
              <w:rPr>
                <w:rFonts w:ascii="Arial" w:hAnsi="Arial" w:cs="Arial"/>
              </w:rPr>
              <w:t xml:space="preserve">Report </w:t>
            </w:r>
          </w:p>
          <w:p w:rsidR="002651A2" w:rsidRPr="00CA5ABB" w:rsidP="00DF0813" w14:paraId="5AACCD8C" w14:textId="72789B53">
            <w:pPr>
              <w:rPr>
                <w:rFonts w:ascii="Arial" w:hAnsi="Arial" w:cs="Arial"/>
              </w:rPr>
            </w:pPr>
            <w:r w:rsidRPr="002651A2">
              <w:rPr>
                <w:rFonts w:ascii="Arial" w:hAnsi="Arial" w:cs="Arial"/>
                <w:color w:val="AEAAAA" w:themeColor="background2" w:themeShade="BF"/>
              </w:rPr>
              <w:t xml:space="preserve">10-316b </w:t>
            </w:r>
          </w:p>
        </w:tc>
        <w:tc>
          <w:tcPr>
            <w:tcW w:w="1800" w:type="dxa"/>
          </w:tcPr>
          <w:p w:rsidR="00DF0813" w:rsidRPr="00CA5ABB" w:rsidP="00DF0813" w14:paraId="5469792C" w14:textId="05FA583C">
            <w:pPr>
              <w:rPr>
                <w:rFonts w:ascii="Arial" w:hAnsi="Arial" w:cs="Arial"/>
              </w:rPr>
            </w:pPr>
            <w:r w:rsidRPr="00CA5ABB">
              <w:rPr>
                <w:rFonts w:ascii="Arial" w:hAnsi="Arial" w:cs="Arial"/>
              </w:rPr>
              <w:t>90</w:t>
            </w:r>
          </w:p>
        </w:tc>
        <w:tc>
          <w:tcPr>
            <w:tcW w:w="1530" w:type="dxa"/>
          </w:tcPr>
          <w:p w:rsidR="00DF0813" w:rsidRPr="00CA5ABB" w:rsidP="00DF0813" w14:paraId="096BBD10" w14:textId="7FEC0F85">
            <w:pPr>
              <w:rPr>
                <w:rFonts w:ascii="Arial" w:hAnsi="Arial" w:cs="Arial"/>
              </w:rPr>
            </w:pPr>
            <w:r>
              <w:rPr>
                <w:rFonts w:ascii="Arial" w:hAnsi="Arial" w:cs="Arial"/>
                <w:color w:val="000000" w:themeColor="text1"/>
              </w:rPr>
              <w:t>2</w:t>
            </w:r>
            <w:r w:rsidR="00892EA0">
              <w:rPr>
                <w:rFonts w:ascii="Arial" w:hAnsi="Arial" w:cs="Arial"/>
                <w:color w:val="FF0000"/>
              </w:rPr>
              <w:t xml:space="preserve"> </w:t>
            </w:r>
            <w:r w:rsidRPr="00892EA0" w:rsidR="00892EA0">
              <w:rPr>
                <w:rFonts w:ascii="Arial" w:hAnsi="Arial" w:cs="Arial"/>
                <w:color w:val="AEAAAA" w:themeColor="background2" w:themeShade="BF"/>
              </w:rPr>
              <w:t xml:space="preserve">= </w:t>
            </w:r>
            <w:r>
              <w:rPr>
                <w:rFonts w:ascii="Arial" w:hAnsi="Arial" w:cs="Arial"/>
                <w:color w:val="AEAAAA" w:themeColor="background2" w:themeShade="BF"/>
              </w:rPr>
              <w:t>180</w:t>
            </w:r>
          </w:p>
        </w:tc>
        <w:tc>
          <w:tcPr>
            <w:tcW w:w="1260" w:type="dxa"/>
          </w:tcPr>
          <w:p w:rsidR="00DF0813" w:rsidRPr="00CA5ABB" w:rsidP="00DF0813" w14:paraId="19B8798A" w14:textId="2E6ED006">
            <w:pPr>
              <w:spacing w:line="259" w:lineRule="auto"/>
              <w:rPr>
                <w:rFonts w:ascii="Arial" w:hAnsi="Arial" w:cs="Arial"/>
              </w:rPr>
            </w:pPr>
            <w:r w:rsidRPr="00CA5ABB">
              <w:rPr>
                <w:rFonts w:ascii="Arial" w:hAnsi="Arial" w:cs="Arial"/>
              </w:rPr>
              <w:t>30</w:t>
            </w:r>
          </w:p>
        </w:tc>
        <w:tc>
          <w:tcPr>
            <w:tcW w:w="900" w:type="dxa"/>
          </w:tcPr>
          <w:p w:rsidR="00DF0813" w:rsidRPr="00CA5ABB" w:rsidP="00DF0813" w14:paraId="3051A441" w14:textId="373A6511">
            <w:pPr>
              <w:rPr>
                <w:rFonts w:ascii="Arial" w:hAnsi="Arial" w:cs="Arial"/>
              </w:rPr>
            </w:pPr>
          </w:p>
        </w:tc>
        <w:tc>
          <w:tcPr>
            <w:tcW w:w="1350" w:type="dxa"/>
          </w:tcPr>
          <w:p w:rsidR="00DF0813" w:rsidRPr="00F655AE" w:rsidP="00DF0813" w14:paraId="26BEAA1F" w14:textId="261CE60B">
            <w:pPr>
              <w:rPr>
                <w:rFonts w:ascii="Arial" w:hAnsi="Arial" w:cs="Arial"/>
              </w:rPr>
            </w:pPr>
            <w:r>
              <w:rPr>
                <w:rFonts w:ascii="Arial" w:hAnsi="Arial" w:cs="Arial"/>
              </w:rPr>
              <w:t>90</w:t>
            </w:r>
          </w:p>
        </w:tc>
      </w:tr>
      <w:tr w14:paraId="5815D734" w14:textId="77777777" w:rsidTr="00A7191C">
        <w:tblPrEx>
          <w:tblW w:w="10345" w:type="dxa"/>
          <w:tblLayout w:type="fixed"/>
          <w:tblLook w:val="06A0"/>
        </w:tblPrEx>
        <w:tc>
          <w:tcPr>
            <w:tcW w:w="3505" w:type="dxa"/>
          </w:tcPr>
          <w:p w:rsidR="002651A2" w:rsidP="002651A2" w14:paraId="5D881DA5" w14:textId="6F1DF991">
            <w:pPr>
              <w:rPr>
                <w:rFonts w:ascii="Arial" w:hAnsi="Arial" w:cs="Arial"/>
              </w:rPr>
            </w:pPr>
            <w:r w:rsidRPr="00CA5ABB">
              <w:rPr>
                <w:rFonts w:ascii="Arial" w:hAnsi="Arial" w:cs="Arial"/>
              </w:rPr>
              <w:t xml:space="preserve">Compliance – Program </w:t>
            </w:r>
            <w:r w:rsidR="001144F1">
              <w:rPr>
                <w:rFonts w:ascii="Arial" w:hAnsi="Arial" w:cs="Arial"/>
              </w:rPr>
              <w:t xml:space="preserve">&amp; Budget </w:t>
            </w:r>
            <w:r w:rsidRPr="00CA5ABB">
              <w:rPr>
                <w:rFonts w:ascii="Arial" w:hAnsi="Arial" w:cs="Arial"/>
              </w:rPr>
              <w:t>Change</w:t>
            </w:r>
            <w:r w:rsidR="00F23D6C">
              <w:rPr>
                <w:rFonts w:ascii="Arial" w:hAnsi="Arial" w:cs="Arial"/>
              </w:rPr>
              <w:t xml:space="preserve"> Request </w:t>
            </w:r>
          </w:p>
          <w:p w:rsidR="002651A2" w:rsidRPr="00CA5ABB" w:rsidP="002651A2" w14:paraId="5A6E9941" w14:textId="200139C4">
            <w:pPr>
              <w:rPr>
                <w:rFonts w:ascii="Arial" w:hAnsi="Arial" w:cs="Arial"/>
              </w:rPr>
            </w:pPr>
            <w:r w:rsidRPr="00A67158">
              <w:rPr>
                <w:rFonts w:ascii="Arial" w:hAnsi="Arial" w:cs="Arial"/>
                <w:color w:val="AEAAAA" w:themeColor="background2" w:themeShade="BF"/>
              </w:rPr>
              <w:t>10-316</w:t>
            </w:r>
            <w:r>
              <w:rPr>
                <w:rFonts w:ascii="Arial" w:hAnsi="Arial" w:cs="Arial"/>
                <w:color w:val="AEAAAA" w:themeColor="background2" w:themeShade="BF"/>
              </w:rPr>
              <w:t xml:space="preserve">c </w:t>
            </w:r>
          </w:p>
        </w:tc>
        <w:tc>
          <w:tcPr>
            <w:tcW w:w="1800" w:type="dxa"/>
          </w:tcPr>
          <w:p w:rsidR="002651A2" w:rsidRPr="00CA5ABB" w:rsidP="000964A2" w14:paraId="5FFA43D4" w14:textId="4C19D6DA">
            <w:pPr>
              <w:rPr>
                <w:rFonts w:ascii="Arial" w:hAnsi="Arial" w:cs="Arial"/>
              </w:rPr>
            </w:pPr>
            <w:r>
              <w:rPr>
                <w:rFonts w:ascii="Arial" w:hAnsi="Arial" w:cs="Arial"/>
              </w:rPr>
              <w:t>90</w:t>
            </w:r>
          </w:p>
        </w:tc>
        <w:tc>
          <w:tcPr>
            <w:tcW w:w="1530" w:type="dxa"/>
          </w:tcPr>
          <w:p w:rsidR="002651A2" w:rsidRPr="00CA5ABB" w:rsidP="000964A2" w14:paraId="1F090777" w14:textId="029F10B7">
            <w:pPr>
              <w:rPr>
                <w:rFonts w:ascii="Arial" w:hAnsi="Arial" w:cs="Arial"/>
              </w:rPr>
            </w:pPr>
            <w:r>
              <w:rPr>
                <w:rFonts w:ascii="Arial" w:hAnsi="Arial" w:cs="Arial"/>
              </w:rPr>
              <w:t>2</w:t>
            </w:r>
            <w:r w:rsidR="00892EA0">
              <w:rPr>
                <w:rFonts w:ascii="Arial" w:hAnsi="Arial" w:cs="Arial"/>
              </w:rPr>
              <w:t xml:space="preserve"> </w:t>
            </w:r>
            <w:r w:rsidRPr="00892EA0" w:rsidR="00892EA0">
              <w:rPr>
                <w:rFonts w:ascii="Arial" w:hAnsi="Arial" w:cs="Arial"/>
                <w:color w:val="AEAAAA" w:themeColor="background2" w:themeShade="BF"/>
              </w:rPr>
              <w:t>= 180</w:t>
            </w:r>
          </w:p>
        </w:tc>
        <w:tc>
          <w:tcPr>
            <w:tcW w:w="1260" w:type="dxa"/>
          </w:tcPr>
          <w:p w:rsidR="002651A2" w:rsidRPr="00CA5ABB" w:rsidP="000964A2" w14:paraId="387025D7" w14:textId="6802577A">
            <w:pPr>
              <w:spacing w:line="259" w:lineRule="auto"/>
              <w:rPr>
                <w:rFonts w:ascii="Arial" w:hAnsi="Arial" w:cs="Arial"/>
              </w:rPr>
            </w:pPr>
            <w:r>
              <w:rPr>
                <w:rFonts w:ascii="Arial" w:hAnsi="Arial" w:cs="Arial"/>
              </w:rPr>
              <w:t>15</w:t>
            </w:r>
          </w:p>
        </w:tc>
        <w:tc>
          <w:tcPr>
            <w:tcW w:w="900" w:type="dxa"/>
          </w:tcPr>
          <w:p w:rsidR="002651A2" w:rsidRPr="00CA5ABB" w:rsidP="000964A2" w14:paraId="41687921" w14:textId="77777777">
            <w:pPr>
              <w:rPr>
                <w:rFonts w:ascii="Arial" w:hAnsi="Arial" w:cs="Arial"/>
              </w:rPr>
            </w:pPr>
          </w:p>
        </w:tc>
        <w:tc>
          <w:tcPr>
            <w:tcW w:w="1350" w:type="dxa"/>
          </w:tcPr>
          <w:p w:rsidR="002651A2" w:rsidRPr="00CA5ABB" w:rsidP="000964A2" w14:paraId="5FFBC087" w14:textId="5AE439D0">
            <w:pPr>
              <w:rPr>
                <w:rFonts w:ascii="Arial" w:hAnsi="Arial" w:cs="Arial"/>
              </w:rPr>
            </w:pPr>
            <w:r>
              <w:rPr>
                <w:rFonts w:ascii="Arial" w:hAnsi="Arial" w:cs="Arial"/>
              </w:rPr>
              <w:t>45</w:t>
            </w:r>
          </w:p>
        </w:tc>
      </w:tr>
      <w:tr w14:paraId="2141D4FB" w14:textId="77777777" w:rsidTr="00A7191C">
        <w:tblPrEx>
          <w:tblW w:w="10345" w:type="dxa"/>
          <w:tblLayout w:type="fixed"/>
          <w:tblLook w:val="06A0"/>
        </w:tblPrEx>
        <w:tc>
          <w:tcPr>
            <w:tcW w:w="3505" w:type="dxa"/>
          </w:tcPr>
          <w:p w:rsidR="00C70287" w:rsidP="00C70287" w14:paraId="263A1F83" w14:textId="41734586">
            <w:pPr>
              <w:rPr>
                <w:rFonts w:ascii="Arial" w:hAnsi="Arial" w:cs="Arial"/>
              </w:rPr>
            </w:pPr>
            <w:r w:rsidRPr="00CA5ABB">
              <w:rPr>
                <w:rFonts w:ascii="Arial" w:hAnsi="Arial" w:cs="Arial"/>
              </w:rPr>
              <w:t xml:space="preserve">Compliance - Corrective Action Plan </w:t>
            </w:r>
            <w:r w:rsidR="00AB2630">
              <w:rPr>
                <w:rFonts w:ascii="Arial" w:hAnsi="Arial" w:cs="Arial"/>
              </w:rPr>
              <w:t xml:space="preserve">(CAP) </w:t>
            </w:r>
          </w:p>
          <w:p w:rsidR="00C70287" w:rsidRPr="00CA5ABB" w:rsidP="000964A2" w14:paraId="0D290707" w14:textId="4AAF34E0">
            <w:pPr>
              <w:rPr>
                <w:rFonts w:ascii="Arial" w:hAnsi="Arial" w:cs="Arial"/>
              </w:rPr>
            </w:pPr>
            <w:r w:rsidRPr="00A67158">
              <w:rPr>
                <w:rFonts w:ascii="Arial" w:hAnsi="Arial" w:cs="Arial"/>
                <w:color w:val="AEAAAA" w:themeColor="background2" w:themeShade="BF"/>
              </w:rPr>
              <w:t>10-316</w:t>
            </w:r>
            <w:r>
              <w:rPr>
                <w:rFonts w:ascii="Arial" w:hAnsi="Arial" w:cs="Arial"/>
                <w:color w:val="AEAAAA" w:themeColor="background2" w:themeShade="BF"/>
              </w:rPr>
              <w:t>d</w:t>
            </w:r>
          </w:p>
        </w:tc>
        <w:tc>
          <w:tcPr>
            <w:tcW w:w="1800" w:type="dxa"/>
          </w:tcPr>
          <w:p w:rsidR="00C70287" w:rsidRPr="00CA5ABB" w:rsidP="000964A2" w14:paraId="79FF5FC6" w14:textId="2909B42B">
            <w:pPr>
              <w:rPr>
                <w:rFonts w:ascii="Arial" w:hAnsi="Arial" w:cs="Arial"/>
              </w:rPr>
            </w:pPr>
            <w:r>
              <w:rPr>
                <w:rFonts w:ascii="Arial" w:hAnsi="Arial" w:cs="Arial"/>
              </w:rPr>
              <w:t>25</w:t>
            </w:r>
          </w:p>
        </w:tc>
        <w:tc>
          <w:tcPr>
            <w:tcW w:w="1530" w:type="dxa"/>
          </w:tcPr>
          <w:p w:rsidR="00C70287" w:rsidRPr="00CA5ABB" w:rsidP="000964A2" w14:paraId="550A182A" w14:textId="05FD3AD0">
            <w:pPr>
              <w:rPr>
                <w:rFonts w:ascii="Arial" w:hAnsi="Arial" w:cs="Arial"/>
              </w:rPr>
            </w:pPr>
            <w:r>
              <w:rPr>
                <w:rFonts w:ascii="Arial" w:hAnsi="Arial" w:cs="Arial"/>
              </w:rPr>
              <w:t>1</w:t>
            </w:r>
            <w:r w:rsidR="00892EA0">
              <w:rPr>
                <w:rFonts w:ascii="Arial" w:hAnsi="Arial" w:cs="Arial"/>
              </w:rPr>
              <w:t xml:space="preserve"> </w:t>
            </w:r>
            <w:r w:rsidRPr="00892EA0" w:rsidR="00892EA0">
              <w:rPr>
                <w:rFonts w:ascii="Arial" w:hAnsi="Arial" w:cs="Arial"/>
                <w:color w:val="AEAAAA" w:themeColor="background2" w:themeShade="BF"/>
              </w:rPr>
              <w:t>= 25</w:t>
            </w:r>
          </w:p>
        </w:tc>
        <w:tc>
          <w:tcPr>
            <w:tcW w:w="1260" w:type="dxa"/>
          </w:tcPr>
          <w:p w:rsidR="00C70287" w:rsidRPr="00CA5ABB" w:rsidP="000964A2" w14:paraId="7F4DF4C5" w14:textId="357E54EE">
            <w:pPr>
              <w:spacing w:line="259" w:lineRule="auto"/>
              <w:rPr>
                <w:rFonts w:ascii="Arial" w:hAnsi="Arial" w:cs="Arial"/>
              </w:rPr>
            </w:pPr>
            <w:r>
              <w:rPr>
                <w:rFonts w:ascii="Arial" w:hAnsi="Arial" w:cs="Arial"/>
              </w:rPr>
              <w:t>30</w:t>
            </w:r>
          </w:p>
        </w:tc>
        <w:tc>
          <w:tcPr>
            <w:tcW w:w="900" w:type="dxa"/>
          </w:tcPr>
          <w:p w:rsidR="00C70287" w:rsidRPr="00CA5ABB" w:rsidP="000964A2" w14:paraId="6CB430E2" w14:textId="77777777">
            <w:pPr>
              <w:rPr>
                <w:rFonts w:ascii="Arial" w:hAnsi="Arial" w:cs="Arial"/>
              </w:rPr>
            </w:pPr>
          </w:p>
        </w:tc>
        <w:tc>
          <w:tcPr>
            <w:tcW w:w="1350" w:type="dxa"/>
          </w:tcPr>
          <w:p w:rsidR="00C70287" w:rsidRPr="00CA5ABB" w:rsidP="000964A2" w14:paraId="57C4501A" w14:textId="646B9B1B">
            <w:pPr>
              <w:rPr>
                <w:rFonts w:ascii="Arial" w:hAnsi="Arial" w:cs="Arial"/>
              </w:rPr>
            </w:pPr>
            <w:r>
              <w:rPr>
                <w:rFonts w:ascii="Arial" w:hAnsi="Arial" w:cs="Arial"/>
              </w:rPr>
              <w:t>13</w:t>
            </w:r>
          </w:p>
        </w:tc>
      </w:tr>
      <w:tr w14:paraId="2BD18984" w14:textId="77777777" w:rsidTr="00A7191C">
        <w:tblPrEx>
          <w:tblW w:w="10345" w:type="dxa"/>
          <w:tblLayout w:type="fixed"/>
          <w:tblLook w:val="06A0"/>
        </w:tblPrEx>
        <w:tc>
          <w:tcPr>
            <w:tcW w:w="3505" w:type="dxa"/>
          </w:tcPr>
          <w:p w:rsidR="000964A2" w:rsidP="000964A2" w14:paraId="45A3AB39" w14:textId="24788CB5">
            <w:pPr>
              <w:rPr>
                <w:rFonts w:ascii="Arial" w:hAnsi="Arial" w:cs="Arial"/>
              </w:rPr>
            </w:pPr>
            <w:r w:rsidRPr="00CA5ABB">
              <w:rPr>
                <w:rFonts w:ascii="Arial" w:hAnsi="Arial" w:cs="Arial"/>
              </w:rPr>
              <w:t>Compliance</w:t>
            </w:r>
            <w:r w:rsidRPr="00CA5ABB" w:rsidR="00F5174C">
              <w:rPr>
                <w:rFonts w:ascii="Arial" w:hAnsi="Arial" w:cs="Arial"/>
              </w:rPr>
              <w:t xml:space="preserve"> </w:t>
            </w:r>
            <w:r w:rsidR="00883CB9">
              <w:rPr>
                <w:rFonts w:ascii="Arial" w:hAnsi="Arial" w:cs="Arial"/>
              </w:rPr>
              <w:t>–</w:t>
            </w:r>
            <w:r w:rsidRPr="00CA5ABB" w:rsidR="00F5174C">
              <w:rPr>
                <w:rFonts w:ascii="Arial" w:hAnsi="Arial" w:cs="Arial"/>
              </w:rPr>
              <w:t xml:space="preserve"> </w:t>
            </w:r>
            <w:r w:rsidR="00883CB9">
              <w:rPr>
                <w:rFonts w:ascii="Arial" w:hAnsi="Arial" w:cs="Arial"/>
              </w:rPr>
              <w:t xml:space="preserve">Annual Grantee </w:t>
            </w:r>
            <w:r w:rsidRPr="00CA5ABB">
              <w:rPr>
                <w:rFonts w:ascii="Arial" w:hAnsi="Arial" w:cs="Arial"/>
              </w:rPr>
              <w:t xml:space="preserve">Financial Report </w:t>
            </w:r>
          </w:p>
          <w:p w:rsidR="002651A2" w:rsidRPr="00CA5ABB" w:rsidP="000964A2" w14:paraId="5466F385" w14:textId="145F1F73">
            <w:pPr>
              <w:rPr>
                <w:rFonts w:ascii="Arial" w:hAnsi="Arial" w:cs="Arial"/>
              </w:rPr>
            </w:pPr>
            <w:r w:rsidRPr="00A67158">
              <w:rPr>
                <w:rFonts w:ascii="Arial" w:hAnsi="Arial" w:cs="Arial"/>
                <w:color w:val="AEAAAA" w:themeColor="background2" w:themeShade="BF"/>
              </w:rPr>
              <w:t>10-316</w:t>
            </w:r>
            <w:r>
              <w:rPr>
                <w:rFonts w:ascii="Arial" w:hAnsi="Arial" w:cs="Arial"/>
                <w:color w:val="AEAAAA" w:themeColor="background2" w:themeShade="BF"/>
              </w:rPr>
              <w:t>e</w:t>
            </w:r>
          </w:p>
        </w:tc>
        <w:tc>
          <w:tcPr>
            <w:tcW w:w="1800" w:type="dxa"/>
          </w:tcPr>
          <w:p w:rsidR="000964A2" w:rsidRPr="00CA5ABB" w:rsidP="000964A2" w14:paraId="2C0273BE" w14:textId="56839713">
            <w:pPr>
              <w:rPr>
                <w:rFonts w:ascii="Arial" w:hAnsi="Arial" w:cs="Arial"/>
              </w:rPr>
            </w:pPr>
            <w:r w:rsidRPr="00CA5ABB">
              <w:rPr>
                <w:rFonts w:ascii="Arial" w:hAnsi="Arial" w:cs="Arial"/>
              </w:rPr>
              <w:t>90</w:t>
            </w:r>
          </w:p>
        </w:tc>
        <w:tc>
          <w:tcPr>
            <w:tcW w:w="1530" w:type="dxa"/>
          </w:tcPr>
          <w:p w:rsidR="000964A2" w:rsidRPr="00CA5ABB" w:rsidP="000964A2" w14:paraId="01B3B7F4" w14:textId="25D5CC5B">
            <w:pPr>
              <w:rPr>
                <w:rFonts w:ascii="Arial" w:hAnsi="Arial" w:cs="Arial"/>
              </w:rPr>
            </w:pPr>
            <w:r>
              <w:rPr>
                <w:rFonts w:ascii="Arial" w:hAnsi="Arial" w:cs="Arial"/>
              </w:rPr>
              <w:t>1</w:t>
            </w:r>
            <w:r w:rsidR="00892EA0">
              <w:rPr>
                <w:rFonts w:ascii="Arial" w:hAnsi="Arial" w:cs="Arial"/>
              </w:rPr>
              <w:t xml:space="preserve"> </w:t>
            </w:r>
            <w:r w:rsidRPr="00892EA0" w:rsidR="00892EA0">
              <w:rPr>
                <w:rFonts w:ascii="Arial" w:hAnsi="Arial" w:cs="Arial"/>
                <w:color w:val="AEAAAA" w:themeColor="background2" w:themeShade="BF"/>
              </w:rPr>
              <w:t>= 90</w:t>
            </w:r>
          </w:p>
        </w:tc>
        <w:tc>
          <w:tcPr>
            <w:tcW w:w="1260" w:type="dxa"/>
          </w:tcPr>
          <w:p w:rsidR="000964A2" w:rsidRPr="00CA5ABB" w:rsidP="000964A2" w14:paraId="1C8DD963" w14:textId="36115AD9">
            <w:pPr>
              <w:spacing w:line="259" w:lineRule="auto"/>
              <w:rPr>
                <w:rFonts w:ascii="Arial" w:hAnsi="Arial" w:cs="Arial"/>
              </w:rPr>
            </w:pPr>
            <w:r>
              <w:rPr>
                <w:rFonts w:ascii="Arial" w:hAnsi="Arial" w:cs="Arial"/>
              </w:rPr>
              <w:t>45</w:t>
            </w:r>
          </w:p>
        </w:tc>
        <w:tc>
          <w:tcPr>
            <w:tcW w:w="900" w:type="dxa"/>
          </w:tcPr>
          <w:p w:rsidR="000964A2" w:rsidRPr="00CA5ABB" w:rsidP="000964A2" w14:paraId="340D7952" w14:textId="373A6511">
            <w:pPr>
              <w:rPr>
                <w:rFonts w:ascii="Arial" w:hAnsi="Arial" w:cs="Arial"/>
              </w:rPr>
            </w:pPr>
          </w:p>
        </w:tc>
        <w:tc>
          <w:tcPr>
            <w:tcW w:w="1350" w:type="dxa"/>
          </w:tcPr>
          <w:p w:rsidR="000964A2" w:rsidRPr="00CA5ABB" w:rsidP="000964A2" w14:paraId="7C4FB6A9" w14:textId="44531D17">
            <w:pPr>
              <w:rPr>
                <w:rFonts w:ascii="Arial" w:hAnsi="Arial" w:cs="Arial"/>
              </w:rPr>
            </w:pPr>
            <w:r>
              <w:rPr>
                <w:rFonts w:ascii="Arial" w:hAnsi="Arial" w:cs="Arial"/>
              </w:rPr>
              <w:t>68</w:t>
            </w:r>
          </w:p>
        </w:tc>
      </w:tr>
      <w:tr w14:paraId="3CD1D5B2" w14:textId="77777777" w:rsidTr="00892EA0">
        <w:tblPrEx>
          <w:tblW w:w="10345" w:type="dxa"/>
          <w:tblLayout w:type="fixed"/>
          <w:tblLook w:val="06A0"/>
        </w:tblPrEx>
        <w:trPr>
          <w:trHeight w:val="692"/>
        </w:trPr>
        <w:tc>
          <w:tcPr>
            <w:tcW w:w="3505" w:type="dxa"/>
          </w:tcPr>
          <w:p w:rsidR="00334426" w:rsidP="00334426" w14:paraId="3C3CD6CE" w14:textId="77777777">
            <w:pPr>
              <w:rPr>
                <w:rFonts w:ascii="Arial" w:hAnsi="Arial" w:cs="Arial"/>
              </w:rPr>
            </w:pPr>
            <w:r w:rsidRPr="005C3A44">
              <w:rPr>
                <w:rFonts w:ascii="Arial" w:hAnsi="Arial" w:cs="Arial"/>
              </w:rPr>
              <w:t>Eligibility Screening</w:t>
            </w:r>
          </w:p>
          <w:p w:rsidR="00334426" w:rsidRPr="00CA5ABB" w:rsidP="00334426" w14:paraId="5DA831F9" w14:textId="6F80CADC">
            <w:pPr>
              <w:rPr>
                <w:rFonts w:ascii="Arial" w:hAnsi="Arial" w:cs="Arial"/>
              </w:rPr>
            </w:pPr>
            <w:r w:rsidRPr="00334426">
              <w:rPr>
                <w:rFonts w:ascii="Arial" w:hAnsi="Arial" w:cs="Arial"/>
                <w:color w:val="AEAAAA" w:themeColor="background2" w:themeShade="BF"/>
              </w:rPr>
              <w:t>10-317a</w:t>
            </w:r>
          </w:p>
        </w:tc>
        <w:tc>
          <w:tcPr>
            <w:tcW w:w="1800" w:type="dxa"/>
          </w:tcPr>
          <w:p w:rsidR="00334426" w:rsidRPr="00CA5ABB" w:rsidP="00334426" w14:paraId="18920A41" w14:textId="62C3FA29">
            <w:pPr>
              <w:rPr>
                <w:rFonts w:ascii="Arial" w:hAnsi="Arial" w:cs="Arial"/>
              </w:rPr>
            </w:pPr>
            <w:r>
              <w:rPr>
                <w:rFonts w:ascii="Arial" w:hAnsi="Arial" w:cs="Arial"/>
              </w:rPr>
              <w:t>90</w:t>
            </w:r>
          </w:p>
        </w:tc>
        <w:tc>
          <w:tcPr>
            <w:tcW w:w="1530" w:type="dxa"/>
          </w:tcPr>
          <w:p w:rsidR="00334426" w:rsidRPr="00CA5ABB" w:rsidP="00334426" w14:paraId="35A02F90" w14:textId="35C6FDAD">
            <w:pPr>
              <w:rPr>
                <w:rFonts w:ascii="Arial" w:hAnsi="Arial" w:cs="Arial"/>
              </w:rPr>
            </w:pPr>
            <w:r w:rsidRPr="00656771">
              <w:rPr>
                <w:rFonts w:ascii="Arial" w:hAnsi="Arial" w:cs="Arial"/>
                <w:color w:val="000000" w:themeColor="text1"/>
              </w:rPr>
              <w:t>1</w:t>
            </w:r>
            <w:r w:rsidRPr="00656771" w:rsidR="00D04A6D">
              <w:rPr>
                <w:rFonts w:ascii="Arial" w:hAnsi="Arial" w:cs="Arial"/>
                <w:color w:val="000000" w:themeColor="text1"/>
              </w:rPr>
              <w:t>80</w:t>
            </w:r>
            <w:r w:rsidRPr="00656771" w:rsidR="00892EA0">
              <w:rPr>
                <w:rFonts w:ascii="Arial" w:hAnsi="Arial" w:cs="Arial"/>
                <w:color w:val="000000" w:themeColor="text1"/>
              </w:rPr>
              <w:t xml:space="preserve"> </w:t>
            </w:r>
            <w:r w:rsidRPr="00892EA0" w:rsidR="00892EA0">
              <w:rPr>
                <w:rFonts w:ascii="Arial" w:hAnsi="Arial" w:cs="Arial"/>
                <w:color w:val="AEAAAA" w:themeColor="background2" w:themeShade="BF"/>
              </w:rPr>
              <w:t>= 16,200</w:t>
            </w:r>
          </w:p>
        </w:tc>
        <w:tc>
          <w:tcPr>
            <w:tcW w:w="1260" w:type="dxa"/>
          </w:tcPr>
          <w:p w:rsidR="00334426" w:rsidRPr="00CA5ABB" w:rsidP="00334426" w14:paraId="5D4D79E2" w14:textId="0D94CBEA">
            <w:pPr>
              <w:rPr>
                <w:rFonts w:ascii="Arial" w:hAnsi="Arial" w:cs="Arial"/>
              </w:rPr>
            </w:pPr>
            <w:r>
              <w:rPr>
                <w:rFonts w:ascii="Arial" w:hAnsi="Arial" w:cs="Arial"/>
              </w:rPr>
              <w:t>30</w:t>
            </w:r>
          </w:p>
        </w:tc>
        <w:tc>
          <w:tcPr>
            <w:tcW w:w="900" w:type="dxa"/>
          </w:tcPr>
          <w:p w:rsidR="00334426" w:rsidRPr="00CA5ABB" w:rsidP="00334426" w14:paraId="0049B363" w14:textId="77777777">
            <w:pPr>
              <w:rPr>
                <w:rFonts w:ascii="Arial" w:hAnsi="Arial" w:cs="Arial"/>
              </w:rPr>
            </w:pPr>
          </w:p>
        </w:tc>
        <w:tc>
          <w:tcPr>
            <w:tcW w:w="1350" w:type="dxa"/>
          </w:tcPr>
          <w:p w:rsidR="00334426" w:rsidRPr="00CA5ABB" w:rsidP="00334426" w14:paraId="2673A01A" w14:textId="2788EB3E">
            <w:pPr>
              <w:rPr>
                <w:rFonts w:ascii="Arial" w:hAnsi="Arial" w:cs="Arial"/>
              </w:rPr>
            </w:pPr>
            <w:r w:rsidRPr="00656771">
              <w:rPr>
                <w:rFonts w:ascii="Arial" w:hAnsi="Arial" w:cs="Arial"/>
                <w:color w:val="000000" w:themeColor="text1"/>
              </w:rPr>
              <w:t>8,100</w:t>
            </w:r>
          </w:p>
        </w:tc>
      </w:tr>
      <w:tr w14:paraId="2B011E38" w14:textId="77777777" w:rsidTr="00892EA0">
        <w:tblPrEx>
          <w:tblW w:w="10345" w:type="dxa"/>
          <w:tblLayout w:type="fixed"/>
          <w:tblLook w:val="06A0"/>
        </w:tblPrEx>
        <w:trPr>
          <w:trHeight w:val="710"/>
        </w:trPr>
        <w:tc>
          <w:tcPr>
            <w:tcW w:w="3505" w:type="dxa"/>
          </w:tcPr>
          <w:p w:rsidR="00154797" w:rsidRPr="00154797" w:rsidP="00154797" w14:paraId="0BE3D517" w14:textId="77777777">
            <w:pPr>
              <w:rPr>
                <w:rFonts w:ascii="Arial" w:hAnsi="Arial" w:cs="Arial"/>
              </w:rPr>
            </w:pPr>
            <w:r w:rsidRPr="00154797">
              <w:rPr>
                <w:rFonts w:ascii="Arial" w:hAnsi="Arial" w:cs="Arial"/>
              </w:rPr>
              <w:t xml:space="preserve">Intake Form </w:t>
            </w:r>
          </w:p>
          <w:p w:rsidR="003B3CF4" w:rsidRPr="00154797" w:rsidP="00154797" w14:paraId="7BCE23D2" w14:textId="2DF4300B">
            <w:pPr>
              <w:rPr>
                <w:rFonts w:ascii="Arial" w:hAnsi="Arial" w:cs="Arial"/>
                <w:sz w:val="22"/>
                <w:szCs w:val="22"/>
              </w:rPr>
            </w:pPr>
            <w:r w:rsidRPr="00154797">
              <w:rPr>
                <w:rFonts w:ascii="Arial" w:hAnsi="Arial" w:cs="Arial"/>
                <w:color w:val="AEAAAA" w:themeColor="background2" w:themeShade="BF"/>
              </w:rPr>
              <w:t>10-317b</w:t>
            </w:r>
          </w:p>
        </w:tc>
        <w:tc>
          <w:tcPr>
            <w:tcW w:w="1800" w:type="dxa"/>
          </w:tcPr>
          <w:p w:rsidR="003B3CF4" w:rsidRPr="00154797" w:rsidP="00334426" w14:paraId="2E411A83" w14:textId="2E2507BC">
            <w:pPr>
              <w:rPr>
                <w:rFonts w:ascii="Arial" w:hAnsi="Arial" w:cs="Arial"/>
              </w:rPr>
            </w:pPr>
            <w:r w:rsidRPr="00154797">
              <w:rPr>
                <w:rFonts w:ascii="Arial" w:hAnsi="Arial" w:cs="Arial"/>
              </w:rPr>
              <w:t>90</w:t>
            </w:r>
          </w:p>
        </w:tc>
        <w:tc>
          <w:tcPr>
            <w:tcW w:w="1530" w:type="dxa"/>
          </w:tcPr>
          <w:p w:rsidR="003B3CF4" w:rsidRPr="00154797" w:rsidP="00334426" w14:paraId="12A2EABC" w14:textId="71059923">
            <w:pPr>
              <w:rPr>
                <w:rFonts w:ascii="Arial" w:hAnsi="Arial" w:cs="Arial"/>
                <w:color w:val="FF0000"/>
              </w:rPr>
            </w:pPr>
            <w:r w:rsidRPr="00656771">
              <w:rPr>
                <w:rFonts w:ascii="Arial" w:hAnsi="Arial" w:cs="Arial"/>
                <w:color w:val="000000" w:themeColor="text1"/>
              </w:rPr>
              <w:t>180</w:t>
            </w:r>
            <w:r w:rsidR="00892EA0">
              <w:rPr>
                <w:rFonts w:ascii="Arial" w:hAnsi="Arial" w:cs="Arial"/>
                <w:color w:val="FF0000"/>
              </w:rPr>
              <w:t xml:space="preserve"> </w:t>
            </w:r>
            <w:r w:rsidRPr="00892EA0" w:rsidR="00892EA0">
              <w:rPr>
                <w:rFonts w:ascii="Arial" w:hAnsi="Arial" w:cs="Arial"/>
                <w:color w:val="AEAAAA" w:themeColor="background2" w:themeShade="BF"/>
              </w:rPr>
              <w:t>= 16,200</w:t>
            </w:r>
            <w:r w:rsidR="00892EA0">
              <w:rPr>
                <w:rFonts w:ascii="Arial" w:hAnsi="Arial" w:cs="Arial"/>
                <w:color w:val="FF0000"/>
              </w:rPr>
              <w:t xml:space="preserve"> </w:t>
            </w:r>
          </w:p>
        </w:tc>
        <w:tc>
          <w:tcPr>
            <w:tcW w:w="1260" w:type="dxa"/>
          </w:tcPr>
          <w:p w:rsidR="003B3CF4" w:rsidRPr="00154797" w:rsidP="00334426" w14:paraId="0F13EB4B" w14:textId="2AC375BF">
            <w:pPr>
              <w:rPr>
                <w:rFonts w:ascii="Arial" w:hAnsi="Arial" w:cs="Arial"/>
                <w:color w:val="FF0000"/>
              </w:rPr>
            </w:pPr>
            <w:r w:rsidRPr="00656771">
              <w:rPr>
                <w:rFonts w:ascii="Arial" w:hAnsi="Arial" w:cs="Arial"/>
                <w:color w:val="000000" w:themeColor="text1"/>
              </w:rPr>
              <w:t>10</w:t>
            </w:r>
          </w:p>
        </w:tc>
        <w:tc>
          <w:tcPr>
            <w:tcW w:w="900" w:type="dxa"/>
          </w:tcPr>
          <w:p w:rsidR="003B3CF4" w:rsidRPr="00154797" w:rsidP="00334426" w14:paraId="0A364A2E" w14:textId="77777777">
            <w:pPr>
              <w:rPr>
                <w:rFonts w:ascii="Arial" w:hAnsi="Arial" w:cs="Arial"/>
              </w:rPr>
            </w:pPr>
          </w:p>
        </w:tc>
        <w:tc>
          <w:tcPr>
            <w:tcW w:w="1350" w:type="dxa"/>
          </w:tcPr>
          <w:p w:rsidR="003B3CF4" w:rsidRPr="00E22316" w:rsidP="00334426" w14:paraId="5FC88773" w14:textId="78320D3E">
            <w:pPr>
              <w:rPr>
                <w:rFonts w:ascii="Arial" w:hAnsi="Arial" w:cs="Arial"/>
                <w:highlight w:val="magenta"/>
              </w:rPr>
            </w:pPr>
            <w:r w:rsidRPr="00E22316">
              <w:rPr>
                <w:rFonts w:ascii="Arial" w:hAnsi="Arial" w:cs="Arial"/>
              </w:rPr>
              <w:t>2,700</w:t>
            </w:r>
            <w:r w:rsidRPr="00E22316" w:rsidR="00D04A6D">
              <w:rPr>
                <w:rFonts w:ascii="Arial" w:hAnsi="Arial" w:cs="Arial"/>
              </w:rPr>
              <w:t xml:space="preserve">     </w:t>
            </w:r>
          </w:p>
        </w:tc>
      </w:tr>
      <w:tr w14:paraId="5D459215" w14:textId="77777777" w:rsidTr="00892EA0">
        <w:tblPrEx>
          <w:tblW w:w="10345" w:type="dxa"/>
          <w:tblLayout w:type="fixed"/>
          <w:tblLook w:val="06A0"/>
        </w:tblPrEx>
        <w:trPr>
          <w:trHeight w:val="701"/>
        </w:trPr>
        <w:tc>
          <w:tcPr>
            <w:tcW w:w="3505" w:type="dxa"/>
          </w:tcPr>
          <w:p w:rsidR="008347D5" w:rsidP="00334426" w14:paraId="41907F46" w14:textId="77777777">
            <w:pPr>
              <w:rPr>
                <w:rFonts w:ascii="Arial" w:hAnsi="Arial" w:cs="Arial"/>
              </w:rPr>
            </w:pPr>
            <w:r w:rsidRPr="00CA5ABB">
              <w:rPr>
                <w:rFonts w:ascii="Arial" w:hAnsi="Arial" w:cs="Arial"/>
              </w:rPr>
              <w:t>Participant Satisfaction Survey</w:t>
            </w:r>
          </w:p>
          <w:p w:rsidR="008347D5" w:rsidRPr="005C3A44" w:rsidP="00334426" w14:paraId="7B5AA9A0" w14:textId="44332275">
            <w:pPr>
              <w:rPr>
                <w:rFonts w:ascii="Arial" w:hAnsi="Arial" w:cs="Arial"/>
                <w:sz w:val="22"/>
                <w:szCs w:val="22"/>
              </w:rPr>
            </w:pPr>
            <w:r w:rsidRPr="008347D5">
              <w:rPr>
                <w:rFonts w:ascii="Arial" w:hAnsi="Arial" w:cs="Arial"/>
                <w:color w:val="AEAAAA" w:themeColor="background2" w:themeShade="BF"/>
              </w:rPr>
              <w:t>10-317c</w:t>
            </w:r>
          </w:p>
        </w:tc>
        <w:tc>
          <w:tcPr>
            <w:tcW w:w="1800" w:type="dxa"/>
          </w:tcPr>
          <w:p w:rsidR="008347D5" w:rsidP="00334426" w14:paraId="602A4B3F" w14:textId="20F35184">
            <w:pPr>
              <w:rPr>
                <w:rFonts w:ascii="Arial" w:hAnsi="Arial" w:cs="Arial"/>
              </w:rPr>
            </w:pPr>
            <w:r>
              <w:rPr>
                <w:rFonts w:ascii="Arial" w:hAnsi="Arial" w:cs="Arial"/>
              </w:rPr>
              <w:t>5,000</w:t>
            </w:r>
          </w:p>
        </w:tc>
        <w:tc>
          <w:tcPr>
            <w:tcW w:w="1530" w:type="dxa"/>
          </w:tcPr>
          <w:p w:rsidR="008347D5" w:rsidP="00334426" w14:paraId="51958DEC" w14:textId="2AA839AE">
            <w:pPr>
              <w:rPr>
                <w:rFonts w:ascii="Arial" w:hAnsi="Arial" w:cs="Arial"/>
              </w:rPr>
            </w:pPr>
            <w:r>
              <w:rPr>
                <w:rFonts w:ascii="Arial" w:hAnsi="Arial" w:cs="Arial"/>
              </w:rPr>
              <w:t>1</w:t>
            </w:r>
            <w:r w:rsidR="00892EA0">
              <w:rPr>
                <w:rFonts w:ascii="Arial" w:hAnsi="Arial" w:cs="Arial"/>
              </w:rPr>
              <w:t xml:space="preserve"> </w:t>
            </w:r>
            <w:r w:rsidRPr="00892EA0" w:rsidR="00892EA0">
              <w:rPr>
                <w:rFonts w:ascii="Arial" w:hAnsi="Arial" w:cs="Arial"/>
                <w:color w:val="AEAAAA" w:themeColor="background2" w:themeShade="BF"/>
              </w:rPr>
              <w:t>= 5,000</w:t>
            </w:r>
          </w:p>
        </w:tc>
        <w:tc>
          <w:tcPr>
            <w:tcW w:w="1260" w:type="dxa"/>
          </w:tcPr>
          <w:p w:rsidR="008347D5" w:rsidP="00334426" w14:paraId="71726EFF" w14:textId="517033FB">
            <w:pPr>
              <w:rPr>
                <w:rFonts w:ascii="Arial" w:hAnsi="Arial" w:cs="Arial"/>
              </w:rPr>
            </w:pPr>
            <w:r>
              <w:rPr>
                <w:rFonts w:ascii="Arial" w:hAnsi="Arial" w:cs="Arial"/>
              </w:rPr>
              <w:t>15</w:t>
            </w:r>
          </w:p>
        </w:tc>
        <w:tc>
          <w:tcPr>
            <w:tcW w:w="900" w:type="dxa"/>
          </w:tcPr>
          <w:p w:rsidR="008347D5" w:rsidRPr="00CA5ABB" w:rsidP="00334426" w14:paraId="4E192BCA" w14:textId="49845A28">
            <w:pPr>
              <w:rPr>
                <w:rFonts w:ascii="Arial" w:hAnsi="Arial" w:cs="Arial"/>
              </w:rPr>
            </w:pPr>
            <w:r>
              <w:rPr>
                <w:rFonts w:ascii="Arial" w:hAnsi="Arial" w:cs="Arial"/>
              </w:rPr>
              <w:t xml:space="preserve">                                          </w:t>
            </w:r>
          </w:p>
        </w:tc>
        <w:tc>
          <w:tcPr>
            <w:tcW w:w="1350" w:type="dxa"/>
          </w:tcPr>
          <w:p w:rsidR="008347D5" w:rsidP="00334426" w14:paraId="36B1C7AA" w14:textId="3B291DB8">
            <w:pPr>
              <w:rPr>
                <w:rFonts w:ascii="Arial" w:hAnsi="Arial" w:cs="Arial"/>
              </w:rPr>
            </w:pPr>
            <w:r>
              <w:rPr>
                <w:rFonts w:ascii="Arial" w:hAnsi="Arial" w:cs="Arial"/>
              </w:rPr>
              <w:t>1,250</w:t>
            </w:r>
          </w:p>
        </w:tc>
      </w:tr>
      <w:tr w14:paraId="56B545D7" w14:textId="77777777" w:rsidTr="00892EA0">
        <w:tblPrEx>
          <w:tblW w:w="10345" w:type="dxa"/>
          <w:tblLayout w:type="fixed"/>
          <w:tblLook w:val="06A0"/>
        </w:tblPrEx>
        <w:trPr>
          <w:trHeight w:val="683"/>
        </w:trPr>
        <w:tc>
          <w:tcPr>
            <w:tcW w:w="3505" w:type="dxa"/>
          </w:tcPr>
          <w:p w:rsidR="008347D5" w:rsidP="00334426" w14:paraId="3B6A32AC" w14:textId="4B05A35A">
            <w:pPr>
              <w:rPr>
                <w:rFonts w:ascii="Arial" w:hAnsi="Arial" w:cs="Arial"/>
              </w:rPr>
            </w:pPr>
            <w:r w:rsidRPr="00CA5ABB">
              <w:rPr>
                <w:rFonts w:ascii="Arial" w:hAnsi="Arial" w:cs="Arial"/>
              </w:rPr>
              <w:t xml:space="preserve">Program Exit </w:t>
            </w:r>
            <w:r>
              <w:rPr>
                <w:rFonts w:ascii="Arial" w:hAnsi="Arial" w:cs="Arial"/>
              </w:rPr>
              <w:t>Screening</w:t>
            </w:r>
          </w:p>
          <w:p w:rsidR="008347D5" w:rsidRPr="005C3A44" w:rsidP="00334426" w14:paraId="3E94859A" w14:textId="54C6D595">
            <w:pPr>
              <w:rPr>
                <w:rFonts w:ascii="Arial" w:hAnsi="Arial" w:cs="Arial"/>
                <w:sz w:val="22"/>
                <w:szCs w:val="22"/>
              </w:rPr>
            </w:pPr>
            <w:r w:rsidRPr="008347D5">
              <w:rPr>
                <w:rFonts w:ascii="Arial" w:hAnsi="Arial" w:cs="Arial"/>
                <w:color w:val="AEAAAA" w:themeColor="background2" w:themeShade="BF"/>
              </w:rPr>
              <w:t>10-317d</w:t>
            </w:r>
          </w:p>
        </w:tc>
        <w:tc>
          <w:tcPr>
            <w:tcW w:w="1800" w:type="dxa"/>
          </w:tcPr>
          <w:p w:rsidR="008347D5" w:rsidP="00334426" w14:paraId="62D633C5" w14:textId="789CDF9D">
            <w:pPr>
              <w:rPr>
                <w:rFonts w:ascii="Arial" w:hAnsi="Arial" w:cs="Arial"/>
              </w:rPr>
            </w:pPr>
            <w:r>
              <w:rPr>
                <w:rFonts w:ascii="Arial" w:hAnsi="Arial" w:cs="Arial"/>
              </w:rPr>
              <w:t>90</w:t>
            </w:r>
          </w:p>
        </w:tc>
        <w:tc>
          <w:tcPr>
            <w:tcW w:w="1530" w:type="dxa"/>
          </w:tcPr>
          <w:p w:rsidR="008347D5" w:rsidP="00334426" w14:paraId="4E8CE9B4" w14:textId="0167FBB3">
            <w:pPr>
              <w:rPr>
                <w:rFonts w:ascii="Arial" w:hAnsi="Arial" w:cs="Arial"/>
              </w:rPr>
            </w:pPr>
            <w:r w:rsidRPr="00656771">
              <w:rPr>
                <w:rFonts w:ascii="Arial" w:hAnsi="Arial" w:cs="Arial"/>
                <w:color w:val="000000" w:themeColor="text1"/>
              </w:rPr>
              <w:t>90</w:t>
            </w:r>
            <w:r w:rsidRPr="00656771" w:rsidR="00892EA0">
              <w:rPr>
                <w:rFonts w:ascii="Arial" w:hAnsi="Arial" w:cs="Arial"/>
                <w:color w:val="000000" w:themeColor="text1"/>
              </w:rPr>
              <w:t xml:space="preserve"> </w:t>
            </w:r>
            <w:r w:rsidRPr="00892EA0" w:rsidR="00892EA0">
              <w:rPr>
                <w:rFonts w:ascii="Arial" w:hAnsi="Arial" w:cs="Arial"/>
                <w:color w:val="AEAAAA" w:themeColor="background2" w:themeShade="BF"/>
              </w:rPr>
              <w:t xml:space="preserve">= </w:t>
            </w:r>
            <w:r w:rsidR="001D0378">
              <w:rPr>
                <w:rFonts w:ascii="Arial" w:hAnsi="Arial" w:cs="Arial"/>
                <w:color w:val="AEAAAA" w:themeColor="background2" w:themeShade="BF"/>
              </w:rPr>
              <w:t>8,100</w:t>
            </w:r>
          </w:p>
        </w:tc>
        <w:tc>
          <w:tcPr>
            <w:tcW w:w="1260" w:type="dxa"/>
          </w:tcPr>
          <w:p w:rsidR="008347D5" w:rsidP="00334426" w14:paraId="0EEE6FC4" w14:textId="144DBEB9">
            <w:pPr>
              <w:rPr>
                <w:rFonts w:ascii="Arial" w:hAnsi="Arial" w:cs="Arial"/>
              </w:rPr>
            </w:pPr>
            <w:r w:rsidRPr="00656771">
              <w:rPr>
                <w:rFonts w:ascii="Arial" w:hAnsi="Arial" w:cs="Arial"/>
                <w:color w:val="000000" w:themeColor="text1"/>
              </w:rPr>
              <w:t>20</w:t>
            </w:r>
          </w:p>
        </w:tc>
        <w:tc>
          <w:tcPr>
            <w:tcW w:w="900" w:type="dxa"/>
          </w:tcPr>
          <w:p w:rsidR="008347D5" w:rsidRPr="00CA5ABB" w:rsidP="00334426" w14:paraId="6C426FB8" w14:textId="77777777">
            <w:pPr>
              <w:rPr>
                <w:rFonts w:ascii="Arial" w:hAnsi="Arial" w:cs="Arial"/>
              </w:rPr>
            </w:pPr>
          </w:p>
        </w:tc>
        <w:tc>
          <w:tcPr>
            <w:tcW w:w="1350" w:type="dxa"/>
          </w:tcPr>
          <w:p w:rsidR="008347D5" w:rsidRPr="001C75A5" w:rsidP="00334426" w14:paraId="4BC4C48D" w14:textId="059A8B43">
            <w:pPr>
              <w:rPr>
                <w:rFonts w:ascii="Arial" w:hAnsi="Arial" w:cs="Arial"/>
              </w:rPr>
            </w:pPr>
            <w:r w:rsidRPr="00656771">
              <w:rPr>
                <w:rFonts w:ascii="Arial" w:hAnsi="Arial" w:cs="Arial"/>
                <w:color w:val="000000" w:themeColor="text1"/>
              </w:rPr>
              <w:t>2,700</w:t>
            </w:r>
          </w:p>
        </w:tc>
      </w:tr>
      <w:tr w14:paraId="2A178179" w14:textId="77777777" w:rsidTr="001144F1">
        <w:tblPrEx>
          <w:tblW w:w="10345" w:type="dxa"/>
          <w:tblLayout w:type="fixed"/>
          <w:tblLook w:val="06A0"/>
        </w:tblPrEx>
        <w:trPr>
          <w:trHeight w:val="494"/>
        </w:trPr>
        <w:tc>
          <w:tcPr>
            <w:tcW w:w="3505" w:type="dxa"/>
          </w:tcPr>
          <w:p w:rsidR="00A35129" w:rsidRPr="009A6859" w:rsidP="00A35129" w14:paraId="5ED71247" w14:textId="77777777">
            <w:pPr>
              <w:rPr>
                <w:rFonts w:ascii="Arial" w:hAnsi="Arial" w:cs="Arial"/>
              </w:rPr>
            </w:pPr>
            <w:r w:rsidRPr="009A6859">
              <w:rPr>
                <w:rFonts w:ascii="Arial" w:hAnsi="Arial" w:cs="Arial"/>
              </w:rPr>
              <w:t xml:space="preserve">Baseline Mental Health Screening </w:t>
            </w:r>
          </w:p>
          <w:p w:rsidR="00A97654" w:rsidRPr="009A6859" w:rsidP="00A35129" w14:paraId="0FE9A71B" w14:textId="302149EA">
            <w:pPr>
              <w:rPr>
                <w:rFonts w:ascii="Arial" w:hAnsi="Arial" w:cs="Arial"/>
                <w:sz w:val="22"/>
                <w:szCs w:val="22"/>
              </w:rPr>
            </w:pPr>
            <w:r w:rsidRPr="009A6859">
              <w:rPr>
                <w:rFonts w:ascii="Arial" w:hAnsi="Arial" w:cs="Arial"/>
                <w:color w:val="AEAAAA" w:themeColor="background2" w:themeShade="BF"/>
              </w:rPr>
              <w:t xml:space="preserve">10-317e </w:t>
            </w:r>
          </w:p>
        </w:tc>
        <w:tc>
          <w:tcPr>
            <w:tcW w:w="1800" w:type="dxa"/>
          </w:tcPr>
          <w:p w:rsidR="00A35129" w:rsidRPr="009A6859" w:rsidP="00A35129" w14:paraId="11BC81AA" w14:textId="054966D0">
            <w:pPr>
              <w:rPr>
                <w:rFonts w:ascii="Arial" w:hAnsi="Arial" w:cs="Arial"/>
              </w:rPr>
            </w:pPr>
            <w:r w:rsidRPr="009A6859">
              <w:rPr>
                <w:rFonts w:ascii="Arial" w:hAnsi="Arial" w:cs="Arial"/>
              </w:rPr>
              <w:t>90</w:t>
            </w:r>
          </w:p>
        </w:tc>
        <w:tc>
          <w:tcPr>
            <w:tcW w:w="1530" w:type="dxa"/>
          </w:tcPr>
          <w:p w:rsidR="00A35129" w:rsidRPr="009A6859" w:rsidP="00A35129" w14:paraId="07C71BD8" w14:textId="759C5F0E">
            <w:pPr>
              <w:rPr>
                <w:rFonts w:ascii="Arial" w:hAnsi="Arial" w:cs="Arial"/>
              </w:rPr>
            </w:pPr>
            <w:r w:rsidRPr="009A6859">
              <w:rPr>
                <w:rFonts w:ascii="Arial" w:hAnsi="Arial" w:cs="Arial"/>
              </w:rPr>
              <w:t>90</w:t>
            </w:r>
            <w:r w:rsidR="00892EA0">
              <w:rPr>
                <w:rFonts w:ascii="Arial" w:hAnsi="Arial" w:cs="Arial"/>
              </w:rPr>
              <w:t xml:space="preserve"> </w:t>
            </w:r>
            <w:r w:rsidRPr="00892EA0" w:rsidR="00892EA0">
              <w:rPr>
                <w:rFonts w:ascii="Arial" w:hAnsi="Arial" w:cs="Arial"/>
                <w:color w:val="AEAAAA" w:themeColor="background2" w:themeShade="BF"/>
              </w:rPr>
              <w:t>= 8,100</w:t>
            </w:r>
          </w:p>
        </w:tc>
        <w:tc>
          <w:tcPr>
            <w:tcW w:w="1260" w:type="dxa"/>
          </w:tcPr>
          <w:p w:rsidR="00A35129" w:rsidRPr="009A6859" w:rsidP="00A35129" w14:paraId="7C83F313" w14:textId="695C11EB">
            <w:pPr>
              <w:rPr>
                <w:rFonts w:ascii="Arial" w:hAnsi="Arial" w:cs="Arial"/>
              </w:rPr>
            </w:pPr>
            <w:r w:rsidRPr="009A6859">
              <w:rPr>
                <w:rFonts w:ascii="Arial" w:hAnsi="Arial" w:cs="Arial"/>
              </w:rPr>
              <w:t>20</w:t>
            </w:r>
          </w:p>
        </w:tc>
        <w:tc>
          <w:tcPr>
            <w:tcW w:w="900" w:type="dxa"/>
          </w:tcPr>
          <w:p w:rsidR="00A35129" w:rsidRPr="009A6859" w:rsidP="00A35129" w14:paraId="6D111649" w14:textId="77777777">
            <w:pPr>
              <w:rPr>
                <w:rFonts w:ascii="Arial" w:hAnsi="Arial" w:cs="Arial"/>
              </w:rPr>
            </w:pPr>
          </w:p>
        </w:tc>
        <w:tc>
          <w:tcPr>
            <w:tcW w:w="1350" w:type="dxa"/>
          </w:tcPr>
          <w:p w:rsidR="00A35129" w:rsidRPr="009A6859" w:rsidP="00A35129" w14:paraId="4390EE6C" w14:textId="1C330328">
            <w:pPr>
              <w:rPr>
                <w:rFonts w:ascii="Arial" w:hAnsi="Arial" w:cs="Arial"/>
              </w:rPr>
            </w:pPr>
            <w:r w:rsidRPr="009A6859">
              <w:rPr>
                <w:rFonts w:ascii="Arial" w:hAnsi="Arial" w:cs="Arial"/>
              </w:rPr>
              <w:t>2</w:t>
            </w:r>
            <w:r w:rsidR="00610C1E">
              <w:rPr>
                <w:rFonts w:ascii="Arial" w:hAnsi="Arial" w:cs="Arial"/>
              </w:rPr>
              <w:t>,</w:t>
            </w:r>
            <w:r w:rsidRPr="009A6859">
              <w:rPr>
                <w:rFonts w:ascii="Arial" w:hAnsi="Arial" w:cs="Arial"/>
              </w:rPr>
              <w:t>700</w:t>
            </w:r>
          </w:p>
        </w:tc>
      </w:tr>
      <w:tr w14:paraId="517FD97A" w14:textId="77777777" w:rsidTr="009A6859">
        <w:tblPrEx>
          <w:tblW w:w="10345" w:type="dxa"/>
          <w:tblLayout w:type="fixed"/>
          <w:tblLook w:val="06A0"/>
        </w:tblPrEx>
        <w:trPr>
          <w:trHeight w:val="314"/>
        </w:trPr>
        <w:tc>
          <w:tcPr>
            <w:tcW w:w="3505" w:type="dxa"/>
          </w:tcPr>
          <w:p w:rsidR="00A35129" w:rsidRPr="00A35129" w:rsidP="00A35129" w14:paraId="4AF26679" w14:textId="1BB6C794">
            <w:pPr>
              <w:rPr>
                <w:rFonts w:ascii="Arial" w:hAnsi="Arial" w:cs="Arial"/>
                <w:highlight w:val="cyan"/>
              </w:rPr>
            </w:pPr>
          </w:p>
        </w:tc>
        <w:tc>
          <w:tcPr>
            <w:tcW w:w="1800" w:type="dxa"/>
          </w:tcPr>
          <w:p w:rsidR="00A35129" w:rsidRPr="00A35129" w:rsidP="00A35129" w14:paraId="5052121D" w14:textId="03C445CF">
            <w:pPr>
              <w:rPr>
                <w:rFonts w:ascii="Arial" w:hAnsi="Arial" w:cs="Arial"/>
                <w:highlight w:val="cyan"/>
              </w:rPr>
            </w:pPr>
          </w:p>
        </w:tc>
        <w:tc>
          <w:tcPr>
            <w:tcW w:w="1530" w:type="dxa"/>
          </w:tcPr>
          <w:p w:rsidR="00A35129" w:rsidRPr="00A35129" w:rsidP="00A35129" w14:paraId="778DBA6C" w14:textId="291ACA01">
            <w:pPr>
              <w:rPr>
                <w:rFonts w:ascii="Arial" w:hAnsi="Arial" w:cs="Arial"/>
                <w:highlight w:val="cyan"/>
              </w:rPr>
            </w:pPr>
          </w:p>
        </w:tc>
        <w:tc>
          <w:tcPr>
            <w:tcW w:w="1260" w:type="dxa"/>
          </w:tcPr>
          <w:p w:rsidR="00A35129" w:rsidRPr="00A35129" w:rsidP="00A35129" w14:paraId="1335C3EA" w14:textId="1858FE27">
            <w:pPr>
              <w:rPr>
                <w:rFonts w:ascii="Arial" w:hAnsi="Arial" w:cs="Arial"/>
                <w:highlight w:val="cyan"/>
              </w:rPr>
            </w:pPr>
          </w:p>
        </w:tc>
        <w:tc>
          <w:tcPr>
            <w:tcW w:w="900" w:type="dxa"/>
          </w:tcPr>
          <w:p w:rsidR="00A35129" w:rsidRPr="00A35129" w:rsidP="00A35129" w14:paraId="10A99318" w14:textId="77777777">
            <w:pPr>
              <w:rPr>
                <w:rFonts w:ascii="Arial" w:hAnsi="Arial" w:cs="Arial"/>
                <w:highlight w:val="cyan"/>
              </w:rPr>
            </w:pPr>
          </w:p>
        </w:tc>
        <w:tc>
          <w:tcPr>
            <w:tcW w:w="1350" w:type="dxa"/>
          </w:tcPr>
          <w:p w:rsidR="00A35129" w:rsidRPr="00A35129" w:rsidP="00A35129" w14:paraId="547CC434" w14:textId="7EA19834">
            <w:pPr>
              <w:rPr>
                <w:rFonts w:ascii="Arial" w:hAnsi="Arial" w:cs="Arial"/>
                <w:highlight w:val="cyan"/>
              </w:rPr>
            </w:pPr>
          </w:p>
        </w:tc>
      </w:tr>
      <w:tr w14:paraId="50DB40CA" w14:textId="77777777" w:rsidTr="00795AEE">
        <w:tblPrEx>
          <w:tblW w:w="10345" w:type="dxa"/>
          <w:tblLayout w:type="fixed"/>
          <w:tblLook w:val="06A0"/>
        </w:tblPrEx>
        <w:trPr>
          <w:trHeight w:val="557"/>
        </w:trPr>
        <w:tc>
          <w:tcPr>
            <w:tcW w:w="3505" w:type="dxa"/>
          </w:tcPr>
          <w:p w:rsidR="00A35129" w:rsidRPr="00CA5ABB" w:rsidP="00A35129" w14:paraId="762A0025" w14:textId="464CAF0D">
            <w:pPr>
              <w:rPr>
                <w:rFonts w:ascii="Arial" w:hAnsi="Arial" w:cs="Arial"/>
                <w:b/>
                <w:bCs/>
              </w:rPr>
            </w:pPr>
            <w:r w:rsidRPr="00CA5ABB">
              <w:rPr>
                <w:rFonts w:ascii="Arial" w:hAnsi="Arial" w:cs="Arial"/>
                <w:b/>
                <w:bCs/>
              </w:rPr>
              <w:t>Totals</w:t>
            </w:r>
          </w:p>
        </w:tc>
        <w:tc>
          <w:tcPr>
            <w:tcW w:w="1800" w:type="dxa"/>
          </w:tcPr>
          <w:p w:rsidR="00A35129" w:rsidRPr="00CA5ABB" w:rsidP="00A35129" w14:paraId="2C00CFF2" w14:textId="586A1BA9">
            <w:pPr>
              <w:rPr>
                <w:rFonts w:ascii="Arial" w:hAnsi="Arial" w:cs="Arial"/>
              </w:rPr>
            </w:pPr>
          </w:p>
        </w:tc>
        <w:tc>
          <w:tcPr>
            <w:tcW w:w="1530" w:type="dxa"/>
          </w:tcPr>
          <w:p w:rsidR="00A35129" w:rsidRPr="00656771" w:rsidP="00A35129" w14:paraId="01443BAD" w14:textId="0A106308">
            <w:pPr>
              <w:rPr>
                <w:rFonts w:ascii="Arial" w:hAnsi="Arial" w:cs="Arial"/>
                <w:b/>
                <w:bCs/>
              </w:rPr>
            </w:pPr>
            <w:r w:rsidRPr="00656771">
              <w:rPr>
                <w:rFonts w:ascii="Arial" w:hAnsi="Arial" w:cs="Arial"/>
                <w:b/>
                <w:bCs/>
              </w:rPr>
              <w:t>54</w:t>
            </w:r>
            <w:r w:rsidRPr="00656771" w:rsidR="001D0378">
              <w:rPr>
                <w:rFonts w:ascii="Arial" w:hAnsi="Arial" w:cs="Arial"/>
                <w:b/>
                <w:bCs/>
              </w:rPr>
              <w:t>,5</w:t>
            </w:r>
            <w:r w:rsidRPr="00656771">
              <w:rPr>
                <w:rFonts w:ascii="Arial" w:hAnsi="Arial" w:cs="Arial"/>
                <w:b/>
                <w:bCs/>
              </w:rPr>
              <w:t>2</w:t>
            </w:r>
            <w:r w:rsidRPr="00656771" w:rsidR="001D0378">
              <w:rPr>
                <w:rFonts w:ascii="Arial" w:hAnsi="Arial" w:cs="Arial"/>
                <w:b/>
                <w:bCs/>
              </w:rPr>
              <w:t>5</w:t>
            </w:r>
          </w:p>
        </w:tc>
        <w:tc>
          <w:tcPr>
            <w:tcW w:w="1260" w:type="dxa"/>
          </w:tcPr>
          <w:p w:rsidR="00A35129" w:rsidRPr="00656771" w:rsidP="00A35129" w14:paraId="633102AB" w14:textId="764E1768">
            <w:pPr>
              <w:spacing w:line="259" w:lineRule="auto"/>
              <w:rPr>
                <w:rFonts w:ascii="Arial" w:hAnsi="Arial" w:cs="Arial"/>
                <w:b/>
                <w:bCs/>
              </w:rPr>
            </w:pPr>
          </w:p>
        </w:tc>
        <w:tc>
          <w:tcPr>
            <w:tcW w:w="900" w:type="dxa"/>
          </w:tcPr>
          <w:p w:rsidR="00A35129" w:rsidRPr="00656771" w:rsidP="00A35129" w14:paraId="08170CCA" w14:textId="059AAA91">
            <w:pPr>
              <w:rPr>
                <w:rFonts w:ascii="Arial" w:hAnsi="Arial" w:cs="Arial"/>
                <w:b/>
                <w:bCs/>
              </w:rPr>
            </w:pPr>
          </w:p>
        </w:tc>
        <w:tc>
          <w:tcPr>
            <w:tcW w:w="1350" w:type="dxa"/>
          </w:tcPr>
          <w:p w:rsidR="00A35129" w:rsidRPr="00656771" w:rsidP="00A35129" w14:paraId="47DC8FA9" w14:textId="0F81B4F5">
            <w:pPr>
              <w:rPr>
                <w:rFonts w:ascii="Arial" w:hAnsi="Arial" w:cs="Arial"/>
                <w:b/>
                <w:bCs/>
              </w:rPr>
            </w:pPr>
            <w:r w:rsidRPr="00656771">
              <w:rPr>
                <w:rFonts w:ascii="Arial" w:hAnsi="Arial" w:cs="Arial"/>
                <w:b/>
                <w:bCs/>
              </w:rPr>
              <w:t>31,1</w:t>
            </w:r>
            <w:r w:rsidR="00610C1E">
              <w:rPr>
                <w:rFonts w:ascii="Arial" w:hAnsi="Arial" w:cs="Arial"/>
                <w:b/>
                <w:bCs/>
              </w:rPr>
              <w:t>66</w:t>
            </w:r>
            <w:r w:rsidRPr="00656771">
              <w:rPr>
                <w:rFonts w:ascii="Arial" w:hAnsi="Arial" w:cs="Arial"/>
                <w:b/>
                <w:bCs/>
              </w:rPr>
              <w:t xml:space="preserve"> hours</w:t>
            </w:r>
          </w:p>
        </w:tc>
      </w:tr>
    </w:tbl>
    <w:p w:rsidR="00377A26" w:rsidP="0025306C" w14:paraId="646417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377A26" w:rsidRPr="00AD106D" w:rsidP="0025306C" w14:paraId="4883C8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536A11" w:rsidRPr="00AD106D" w14:paraId="322D2DFB" w14:textId="77777777">
      <w:pPr>
        <w:tabs>
          <w:tab w:val="left" w:pos="547"/>
          <w:tab w:val="left" w:pos="1080"/>
          <w:tab w:val="left" w:pos="1627"/>
          <w:tab w:val="left" w:pos="2160"/>
          <w:tab w:val="left" w:pos="2880"/>
        </w:tabs>
        <w:rPr>
          <w:rFonts w:ascii="Arial" w:hAnsi="Arial" w:cs="Arial"/>
          <w:b/>
        </w:rPr>
      </w:pPr>
      <w:bookmarkStart w:id="3" w:name="_Hlk5363767"/>
      <w:r w:rsidRPr="00AD106D">
        <w:rPr>
          <w:rFonts w:ascii="Arial" w:hAnsi="Arial" w:cs="Arial"/>
          <w:b/>
        </w:rPr>
        <w:tab/>
        <w:t>b.</w:t>
      </w:r>
      <w:r w:rsidRPr="00AD106D">
        <w:rPr>
          <w:rFonts w:ascii="Arial" w:hAnsi="Arial" w:cs="Arial"/>
          <w:b/>
        </w:rPr>
        <w:tab/>
        <w:t xml:space="preserve">If this request for </w:t>
      </w:r>
      <w:r w:rsidRPr="00AD106D">
        <w:rPr>
          <w:rFonts w:ascii="Arial" w:hAnsi="Arial" w:cs="Arial"/>
          <w:b/>
          <w:color w:val="000000"/>
        </w:rPr>
        <w:t>approval covers more than one form, provide separate hour burden estimates for each form and aggregate the hour burdens in Item 13</w:t>
      </w:r>
      <w:r w:rsidRPr="00AD106D" w:rsidR="00FB1E13">
        <w:rPr>
          <w:rFonts w:ascii="Arial" w:hAnsi="Arial" w:cs="Arial"/>
          <w:b/>
          <w:color w:val="000000"/>
        </w:rPr>
        <w:t>.</w:t>
      </w:r>
    </w:p>
    <w:p w:rsidR="00536A11" w:rsidRPr="00AD106D" w14:paraId="0A49B19B" w14:textId="77777777">
      <w:pPr>
        <w:pStyle w:val="Header"/>
        <w:tabs>
          <w:tab w:val="left" w:pos="547"/>
          <w:tab w:val="left" w:pos="1080"/>
          <w:tab w:val="left" w:pos="1627"/>
          <w:tab w:val="left" w:pos="2160"/>
          <w:tab w:val="left" w:pos="2880"/>
          <w:tab w:val="clear" w:pos="4320"/>
          <w:tab w:val="clear" w:pos="8640"/>
        </w:tabs>
        <w:rPr>
          <w:rFonts w:ascii="Arial" w:hAnsi="Arial" w:cs="Arial"/>
          <w:sz w:val="24"/>
        </w:rPr>
      </w:pPr>
    </w:p>
    <w:p w:rsidR="00536A11" w:rsidRPr="00AD106D" w:rsidP="007F1C5F" w14:paraId="482F3C5C" w14:textId="56D645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r>
      <w:r w:rsidRPr="00AD106D" w:rsidR="00EC1562">
        <w:rPr>
          <w:rFonts w:ascii="Arial" w:hAnsi="Arial" w:cs="Arial"/>
        </w:rPr>
        <w:t>See chart in subparagraph 12a above.</w:t>
      </w:r>
      <w:r w:rsidRPr="00AD106D" w:rsidR="00503DE2">
        <w:rPr>
          <w:rFonts w:ascii="Arial" w:hAnsi="Arial" w:cs="Arial"/>
          <w:color w:val="FF0000"/>
        </w:rPr>
        <w:tab/>
      </w:r>
    </w:p>
    <w:p w:rsidR="007F1C5F" w:rsidP="007F1C5F" w14:paraId="572B5FF9" w14:textId="2D84A3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36A11" w:rsidRPr="008D452E" w14:paraId="360DC965"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ab/>
        <w:t>c.</w:t>
      </w:r>
      <w:r w:rsidRPr="00AD106D">
        <w:rPr>
          <w:rFonts w:ascii="Arial" w:hAnsi="Arial" w:cs="Arial"/>
          <w:b/>
        </w:rPr>
        <w:tab/>
        <w:t xml:space="preserve">Provide </w:t>
      </w:r>
      <w:r w:rsidRPr="00AD106D">
        <w:rPr>
          <w:rFonts w:ascii="Arial" w:hAnsi="Arial" w:cs="Arial"/>
          <w:b/>
          <w:color w:val="000000"/>
        </w:rPr>
        <w:t>estimates of annual cost to respondents for the hour burdens for collections of information.  The cost of contracting out or paying outside parties</w:t>
      </w:r>
      <w:r w:rsidRPr="00AD106D">
        <w:rPr>
          <w:rFonts w:ascii="Arial" w:hAnsi="Arial" w:cs="Arial"/>
          <w:b/>
        </w:rPr>
        <w:t xml:space="preserve"> for information collection activities should not be included here.  Instead, this cost should be included in Item 14.</w:t>
      </w:r>
    </w:p>
    <w:p w:rsidR="008D452E" w:rsidRPr="008D452E" w:rsidP="003D77C7" w14:paraId="2515BC5B" w14:textId="66E6B4C1">
      <w:pPr>
        <w:ind w:right="684"/>
        <w:contextualSpacing/>
        <w:rPr>
          <w:rFonts w:ascii="Arial" w:hAnsi="Arial" w:cs="Arial"/>
        </w:rPr>
      </w:pPr>
      <w:r w:rsidRPr="008D452E">
        <w:rPr>
          <w:rFonts w:ascii="Arial" w:hAnsi="Arial" w:cs="Arial"/>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8D452E" w:rsidRPr="008D452E" w:rsidP="008D452E" w14:paraId="4DE7C0F4" w14:textId="77777777">
      <w:pPr>
        <w:ind w:right="54"/>
        <w:rPr>
          <w:rFonts w:ascii="Arial" w:eastAsia="Calibri" w:hAnsi="Arial" w:cs="Arial"/>
        </w:rPr>
      </w:pPr>
    </w:p>
    <w:p w:rsidR="008D452E" w:rsidRPr="009A0BE1" w:rsidP="003D77C7" w14:paraId="4EE23EEF" w14:textId="3BB138CA">
      <w:pPr>
        <w:ind w:right="54"/>
        <w:rPr>
          <w:rFonts w:ascii="Arial" w:eastAsia="Calibri" w:hAnsi="Arial" w:cs="Arial"/>
        </w:rPr>
      </w:pPr>
      <w:r w:rsidRPr="008D452E">
        <w:rPr>
          <w:rFonts w:ascii="Arial" w:eastAsia="Calibri" w:hAnsi="Arial" w:cs="Arial"/>
        </w:rPr>
        <w:t>The Bureau of Labor Statistics (BLS) gathers information on full-time wage and salary workers. According to the latest available BLS data, the mean hourly wage is $3</w:t>
      </w:r>
      <w:r w:rsidR="00BD449F">
        <w:rPr>
          <w:rFonts w:ascii="Arial" w:eastAsia="Calibri" w:hAnsi="Arial" w:cs="Arial"/>
        </w:rPr>
        <w:t>2.66</w:t>
      </w:r>
      <w:r w:rsidRPr="008D452E">
        <w:rPr>
          <w:rFonts w:ascii="Arial" w:eastAsia="Calibri" w:hAnsi="Arial" w:cs="Arial"/>
        </w:rPr>
        <w:t xml:space="preserve"> based on the BLS wage code – “00-0000 All Occupations.”  This information was taken from the following website:</w:t>
      </w:r>
      <w:r w:rsidR="009A0BE1">
        <w:rPr>
          <w:rFonts w:ascii="Arial" w:eastAsia="Calibri" w:hAnsi="Arial" w:cs="Arial"/>
        </w:rPr>
        <w:t xml:space="preserve">  </w:t>
      </w:r>
      <w:hyperlink r:id="rId9" w:history="1">
        <w:r w:rsidR="009A0BE1">
          <w:rPr>
            <w:rStyle w:val="Hyperlink"/>
            <w:rFonts w:ascii="Arial" w:hAnsi="Arial" w:cs="Arial"/>
          </w:rPr>
          <w:t>https://www.bls.gov/oes/current/oes_nat.htm</w:t>
        </w:r>
      </w:hyperlink>
    </w:p>
    <w:p w:rsidR="008D452E" w:rsidRPr="008D452E" w:rsidP="008D452E" w14:paraId="58953F0C" w14:textId="77777777">
      <w:pPr>
        <w:ind w:right="54"/>
        <w:rPr>
          <w:rFonts w:ascii="Arial" w:eastAsia="Calibri" w:hAnsi="Arial" w:cs="Arial"/>
          <w:color w:val="FF0000"/>
        </w:rPr>
      </w:pPr>
    </w:p>
    <w:p w:rsidR="00B440EA" w:rsidRPr="008D452E" w:rsidP="003D77C7" w14:paraId="73D82E96" w14:textId="74F1ACE0">
      <w:pPr>
        <w:spacing w:line="259" w:lineRule="auto"/>
        <w:ind w:right="54"/>
        <w:rPr>
          <w:rFonts w:ascii="Arial" w:hAnsi="Arial" w:cs="Arial"/>
        </w:rPr>
      </w:pPr>
      <w:r w:rsidRPr="008D452E">
        <w:rPr>
          <w:rFonts w:ascii="Arial" w:eastAsia="Calibri"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9A0BE1">
        <w:rPr>
          <w:rFonts w:ascii="Arial" w:eastAsia="Calibri" w:hAnsi="Arial" w:cs="Arial"/>
        </w:rPr>
        <w:t>1,01</w:t>
      </w:r>
      <w:r w:rsidR="000218B6">
        <w:rPr>
          <w:rFonts w:ascii="Arial" w:eastAsia="Calibri" w:hAnsi="Arial" w:cs="Arial"/>
        </w:rPr>
        <w:t>7</w:t>
      </w:r>
      <w:r w:rsidR="009A0BE1">
        <w:rPr>
          <w:rFonts w:ascii="Arial" w:eastAsia="Calibri" w:hAnsi="Arial" w:cs="Arial"/>
        </w:rPr>
        <w:t>,</w:t>
      </w:r>
      <w:r w:rsidR="000218B6">
        <w:rPr>
          <w:rFonts w:ascii="Arial" w:eastAsia="Calibri" w:hAnsi="Arial" w:cs="Arial"/>
        </w:rPr>
        <w:t>881</w:t>
      </w:r>
      <w:r w:rsidR="009A0BE1">
        <w:rPr>
          <w:rFonts w:ascii="Arial" w:eastAsia="Calibri" w:hAnsi="Arial" w:cs="Arial"/>
        </w:rPr>
        <w:t>.</w:t>
      </w:r>
      <w:r w:rsidR="000218B6">
        <w:rPr>
          <w:rFonts w:ascii="Arial" w:eastAsia="Calibri" w:hAnsi="Arial" w:cs="Arial"/>
        </w:rPr>
        <w:t xml:space="preserve">56 </w:t>
      </w:r>
      <w:r w:rsidR="009A0BE1">
        <w:rPr>
          <w:rFonts w:ascii="Arial" w:eastAsia="Calibri" w:hAnsi="Arial" w:cs="Arial"/>
        </w:rPr>
        <w:t xml:space="preserve"> </w:t>
      </w:r>
      <w:r w:rsidRPr="008D452E">
        <w:rPr>
          <w:rFonts w:ascii="Arial" w:eastAsia="Calibri" w:hAnsi="Arial" w:cs="Arial"/>
        </w:rPr>
        <w:t xml:space="preserve"> (</w:t>
      </w:r>
      <w:r w:rsidR="009A0BE1">
        <w:rPr>
          <w:rFonts w:ascii="Arial" w:eastAsia="Calibri" w:hAnsi="Arial" w:cs="Arial"/>
        </w:rPr>
        <w:t>31,1</w:t>
      </w:r>
      <w:r w:rsidR="000218B6">
        <w:rPr>
          <w:rFonts w:ascii="Arial" w:eastAsia="Calibri" w:hAnsi="Arial" w:cs="Arial"/>
        </w:rPr>
        <w:t>66</w:t>
      </w:r>
      <w:r w:rsidR="009A0BE1">
        <w:rPr>
          <w:rFonts w:ascii="Arial" w:eastAsia="Calibri" w:hAnsi="Arial" w:cs="Arial"/>
        </w:rPr>
        <w:t xml:space="preserve"> </w:t>
      </w:r>
      <w:r w:rsidRPr="008D452E">
        <w:rPr>
          <w:rFonts w:ascii="Arial" w:eastAsia="Calibri" w:hAnsi="Arial" w:cs="Arial"/>
        </w:rPr>
        <w:t>burden hours x $3</w:t>
      </w:r>
      <w:r w:rsidR="00BD449F">
        <w:rPr>
          <w:rFonts w:ascii="Arial" w:eastAsia="Calibri" w:hAnsi="Arial" w:cs="Arial"/>
        </w:rPr>
        <w:t>2.66</w:t>
      </w:r>
      <w:r w:rsidRPr="008D452E">
        <w:rPr>
          <w:rFonts w:ascii="Arial" w:eastAsia="Calibri" w:hAnsi="Arial" w:cs="Arial"/>
        </w:rPr>
        <w:t xml:space="preserve"> per hour).</w:t>
      </w:r>
    </w:p>
    <w:p w:rsidR="00351F93" w:rsidP="3CCEC263" w14:paraId="21563E69" w14:textId="77777777">
      <w:pPr>
        <w:spacing w:line="259" w:lineRule="auto"/>
        <w:ind w:right="54"/>
        <w:rPr>
          <w:rFonts w:ascii="Arial" w:hAnsi="Arial" w:cs="Arial"/>
        </w:rPr>
      </w:pPr>
    </w:p>
    <w:bookmarkEnd w:id="3"/>
    <w:p w:rsidR="00536A11" w:rsidRPr="00DF1DE4" w14:paraId="1A5D7F7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r w:rsidRPr="008D452E">
        <w:rPr>
          <w:rFonts w:ascii="Arial" w:hAnsi="Arial" w:cs="Arial"/>
          <w:sz w:val="24"/>
        </w:rPr>
        <w:t>13.</w:t>
      </w:r>
      <w:r w:rsidRPr="008D452E">
        <w:rPr>
          <w:rFonts w:ascii="Arial" w:hAnsi="Arial" w:cs="Arial"/>
          <w:sz w:val="24"/>
        </w:rPr>
        <w:tab/>
        <w:t>Provide an estimate of the total annual</w:t>
      </w:r>
      <w:r w:rsidRPr="00AD106D">
        <w:rPr>
          <w:rFonts w:ascii="Arial" w:hAnsi="Arial" w:cs="Arial"/>
          <w:sz w:val="24"/>
        </w:rPr>
        <w:t xml:space="preserve"> cost burden to respondents or recordkeepers resulting from the collection of information.  (Do not include the cost of any hour burden shown </w:t>
      </w:r>
      <w:r w:rsidRPr="00DF1DE4">
        <w:rPr>
          <w:rFonts w:ascii="Arial" w:hAnsi="Arial" w:cs="Arial"/>
          <w:sz w:val="24"/>
        </w:rPr>
        <w:t>in Items 12 and 14).</w:t>
      </w:r>
    </w:p>
    <w:p w:rsidR="00536A11" w:rsidRPr="009B7CBA" w14:paraId="0FF078F0" w14:textId="77777777">
      <w:pPr>
        <w:tabs>
          <w:tab w:val="left" w:pos="547"/>
          <w:tab w:val="left" w:pos="1080"/>
          <w:tab w:val="left" w:pos="1627"/>
          <w:tab w:val="left" w:pos="2160"/>
          <w:tab w:val="left" w:pos="2880"/>
        </w:tabs>
        <w:rPr>
          <w:rFonts w:ascii="Arial" w:hAnsi="Arial" w:cs="Arial"/>
          <w:color w:val="000000" w:themeColor="text1"/>
        </w:rPr>
      </w:pPr>
      <w:bookmarkStart w:id="4" w:name="_Hlk8119017"/>
    </w:p>
    <w:p w:rsidR="009B7CBA" w:rsidRPr="009B7CBA" w:rsidP="009B7CBA" w14:paraId="1AF8CCB8" w14:textId="131E81F1">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b w:val="0"/>
          <w:color w:val="000000" w:themeColor="text1"/>
          <w:sz w:val="24"/>
          <w:szCs w:val="24"/>
        </w:rPr>
      </w:pPr>
      <w:r w:rsidRPr="009B7CBA">
        <w:rPr>
          <w:rFonts w:ascii="Arial" w:hAnsi="Arial" w:cs="Arial"/>
          <w:b w:val="0"/>
          <w:color w:val="000000" w:themeColor="text1"/>
          <w:sz w:val="24"/>
          <w:szCs w:val="24"/>
        </w:rPr>
        <w:tab/>
        <w:t>a.</w:t>
      </w:r>
      <w:r w:rsidRPr="009B7CBA">
        <w:rPr>
          <w:rFonts w:ascii="Arial" w:hAnsi="Arial" w:cs="Arial"/>
          <w:b w:val="0"/>
          <w:color w:val="000000" w:themeColor="text1"/>
          <w:sz w:val="24"/>
          <w:szCs w:val="24"/>
        </w:rPr>
        <w:tab/>
        <w:t>There are no capital, start-up, operation, or maintenance costs.</w:t>
      </w:r>
    </w:p>
    <w:p w:rsidR="009B7CBA" w:rsidRPr="009B7CBA" w:rsidP="009B7CBA" w14:paraId="55D2670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rFonts w:ascii="Arial" w:hAnsi="Arial" w:cs="Arial"/>
          <w:b w:val="0"/>
          <w:color w:val="000000" w:themeColor="text1"/>
          <w:sz w:val="24"/>
          <w:szCs w:val="24"/>
        </w:rPr>
      </w:pPr>
      <w:r w:rsidRPr="009B7CBA">
        <w:rPr>
          <w:rFonts w:ascii="Arial" w:hAnsi="Arial" w:cs="Arial"/>
          <w:b w:val="0"/>
          <w:color w:val="000000" w:themeColor="text1"/>
          <w:sz w:val="24"/>
          <w:szCs w:val="24"/>
        </w:rPr>
        <w:tab/>
        <w:t>b.</w:t>
      </w:r>
      <w:r w:rsidRPr="009B7CBA">
        <w:rPr>
          <w:rFonts w:ascii="Arial" w:hAnsi="Arial" w:cs="Arial"/>
          <w:b w:val="0"/>
          <w:color w:val="000000" w:themeColor="text1"/>
          <w:sz w:val="24"/>
          <w:szCs w:val="24"/>
        </w:rPr>
        <w:tab/>
        <w:t>Cost estimates are not expected to vary widely.  The only cost is that for the time of the respondent.</w:t>
      </w:r>
    </w:p>
    <w:p w:rsidR="009B7CBA" w:rsidRPr="009B7CBA" w:rsidP="009B7CBA" w14:paraId="03C7CD51" w14:textId="21BFD388">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rFonts w:ascii="Arial" w:hAnsi="Arial" w:cs="Arial"/>
          <w:b w:val="0"/>
          <w:color w:val="FF0000"/>
          <w:sz w:val="24"/>
          <w:szCs w:val="24"/>
        </w:rPr>
      </w:pPr>
      <w:r w:rsidRPr="009B7CBA">
        <w:rPr>
          <w:rFonts w:ascii="Arial" w:hAnsi="Arial" w:cs="Arial"/>
          <w:b w:val="0"/>
          <w:color w:val="000000" w:themeColor="text1"/>
          <w:sz w:val="24"/>
          <w:szCs w:val="24"/>
        </w:rPr>
        <w:tab/>
        <w:t>c.</w:t>
      </w:r>
      <w:r w:rsidRPr="009B7CBA">
        <w:rPr>
          <w:rFonts w:ascii="Arial" w:hAnsi="Arial" w:cs="Arial"/>
          <w:b w:val="0"/>
          <w:color w:val="000000" w:themeColor="text1"/>
          <w:sz w:val="24"/>
          <w:szCs w:val="24"/>
        </w:rPr>
        <w:tab/>
        <w:t xml:space="preserve">There is no anticipated recordkeeping burden beyond </w:t>
      </w:r>
      <w:r w:rsidR="0050288A">
        <w:rPr>
          <w:rFonts w:ascii="Arial" w:hAnsi="Arial" w:cs="Arial"/>
          <w:b w:val="0"/>
          <w:color w:val="000000" w:themeColor="text1"/>
          <w:sz w:val="24"/>
          <w:szCs w:val="24"/>
        </w:rPr>
        <w:t>what</w:t>
      </w:r>
      <w:r w:rsidRPr="009B7CBA">
        <w:rPr>
          <w:rFonts w:ascii="Arial" w:hAnsi="Arial" w:cs="Arial"/>
          <w:b w:val="0"/>
          <w:color w:val="000000" w:themeColor="text1"/>
          <w:sz w:val="24"/>
          <w:szCs w:val="24"/>
        </w:rPr>
        <w:t xml:space="preserve"> is considered usual and customary</w:t>
      </w:r>
      <w:r w:rsidRPr="009B7CBA">
        <w:rPr>
          <w:rFonts w:ascii="Arial" w:hAnsi="Arial" w:cs="Arial"/>
          <w:b w:val="0"/>
          <w:color w:val="FF0000"/>
          <w:sz w:val="24"/>
          <w:szCs w:val="24"/>
        </w:rPr>
        <w:t xml:space="preserve">. </w:t>
      </w:r>
    </w:p>
    <w:p w:rsidR="00C71E4E" w:rsidRPr="001D3A83" w:rsidP="006D030D" w14:paraId="23131304" w14:textId="77777777">
      <w:pPr>
        <w:rPr>
          <w:rFonts w:ascii="Arial" w:eastAsia="Calibri" w:hAnsi="Arial" w:cs="Arial"/>
        </w:rPr>
      </w:pPr>
    </w:p>
    <w:bookmarkEnd w:id="4"/>
    <w:p w:rsidR="00536A11" w14:paraId="2FAE1984" w14:textId="525F769F">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r w:rsidRPr="001D3A83">
        <w:rPr>
          <w:rFonts w:ascii="Arial" w:hAnsi="Arial" w:cs="Arial"/>
          <w:sz w:val="24"/>
        </w:rPr>
        <w:t>14.</w:t>
      </w:r>
      <w:r w:rsidRPr="001D3A83">
        <w:rPr>
          <w:rFonts w:ascii="Arial" w:hAnsi="Arial" w:cs="Arial"/>
          <w:sz w:val="24"/>
        </w:rPr>
        <w:tab/>
        <w:t>Provide estimates of annual cost to the Federal Government.  Also, provide a description of the method</w:t>
      </w:r>
      <w:r w:rsidRPr="00AD106D">
        <w:rPr>
          <w:rFonts w:ascii="Arial" w:hAnsi="Arial" w:cs="Arial"/>
          <w:sz w:val="24"/>
        </w:rPr>
        <w:t xml:space="preserve">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51F93" w14:paraId="33569E2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p>
    <w:p w:rsidR="000908A1" w14:paraId="2BC1421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055"/>
        <w:gridCol w:w="1710"/>
        <w:gridCol w:w="1260"/>
        <w:gridCol w:w="1080"/>
        <w:gridCol w:w="1080"/>
        <w:gridCol w:w="900"/>
        <w:gridCol w:w="1440"/>
      </w:tblGrid>
      <w:tr w14:paraId="3459B1F1" w14:textId="77777777" w:rsidTr="00C97A7D">
        <w:tblPrEx>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755"/>
        </w:trPr>
        <w:tc>
          <w:tcPr>
            <w:tcW w:w="3055" w:type="dxa"/>
          </w:tcPr>
          <w:p w:rsidR="00A62A5E" w:rsidRPr="00480CE6" w:rsidP="00020009" w14:paraId="31407DD0" w14:textId="77777777">
            <w:pPr>
              <w:rPr>
                <w:rFonts w:ascii="Arial" w:hAnsi="Arial" w:cs="Arial"/>
                <w:b/>
                <w:bCs/>
              </w:rPr>
            </w:pPr>
            <w:r w:rsidRPr="00480CE6">
              <w:rPr>
                <w:rFonts w:ascii="Arial" w:hAnsi="Arial" w:cs="Arial"/>
                <w:b/>
                <w:bCs/>
              </w:rPr>
              <w:t>Information</w:t>
            </w:r>
          </w:p>
        </w:tc>
        <w:tc>
          <w:tcPr>
            <w:tcW w:w="1710" w:type="dxa"/>
          </w:tcPr>
          <w:p w:rsidR="00A62A5E" w:rsidRPr="00480CE6" w:rsidP="00020009" w14:paraId="12276770" w14:textId="08A69A9F">
            <w:pPr>
              <w:rPr>
                <w:rFonts w:ascii="Arial" w:hAnsi="Arial" w:cs="Arial"/>
                <w:b/>
                <w:bCs/>
              </w:rPr>
            </w:pPr>
            <w:r w:rsidRPr="00480CE6">
              <w:rPr>
                <w:rFonts w:ascii="Arial" w:hAnsi="Arial" w:cs="Arial"/>
                <w:b/>
                <w:bCs/>
              </w:rPr>
              <w:t xml:space="preserve"> No. of </w:t>
            </w:r>
            <w:r>
              <w:rPr>
                <w:rFonts w:ascii="Arial" w:hAnsi="Arial" w:cs="Arial"/>
                <w:b/>
                <w:bCs/>
              </w:rPr>
              <w:t>Submissions</w:t>
            </w:r>
          </w:p>
        </w:tc>
        <w:tc>
          <w:tcPr>
            <w:tcW w:w="1260" w:type="dxa"/>
          </w:tcPr>
          <w:p w:rsidR="00A62A5E" w:rsidRPr="00480CE6" w:rsidP="00020009" w14:paraId="0CB7E31F" w14:textId="618ADFF4">
            <w:pPr>
              <w:rPr>
                <w:rFonts w:ascii="Arial" w:hAnsi="Arial" w:cs="Arial"/>
                <w:b/>
                <w:bCs/>
              </w:rPr>
            </w:pPr>
            <w:r w:rsidRPr="00480CE6">
              <w:rPr>
                <w:rFonts w:ascii="Arial" w:hAnsi="Arial" w:cs="Arial"/>
                <w:b/>
                <w:bCs/>
              </w:rPr>
              <w:t xml:space="preserve"> </w:t>
            </w:r>
            <w:r>
              <w:rPr>
                <w:rFonts w:ascii="Arial" w:hAnsi="Arial" w:cs="Arial"/>
                <w:b/>
                <w:bCs/>
              </w:rPr>
              <w:t xml:space="preserve">GS Staff </w:t>
            </w:r>
            <w:r w:rsidRPr="00480CE6">
              <w:rPr>
                <w:rFonts w:ascii="Arial" w:hAnsi="Arial" w:cs="Arial"/>
                <w:b/>
                <w:bCs/>
              </w:rPr>
              <w:t xml:space="preserve"> </w:t>
            </w:r>
          </w:p>
        </w:tc>
        <w:tc>
          <w:tcPr>
            <w:tcW w:w="1080" w:type="dxa"/>
          </w:tcPr>
          <w:p w:rsidR="00A62A5E" w:rsidRPr="00480CE6" w:rsidP="00020009" w14:paraId="0590CEEB" w14:textId="6D23726D">
            <w:pPr>
              <w:rPr>
                <w:rFonts w:ascii="Arial" w:hAnsi="Arial" w:cs="Arial"/>
                <w:b/>
                <w:bCs/>
              </w:rPr>
            </w:pPr>
            <w:r>
              <w:rPr>
                <w:rFonts w:ascii="Arial" w:hAnsi="Arial" w:cs="Arial"/>
                <w:b/>
                <w:bCs/>
              </w:rPr>
              <w:t xml:space="preserve">Mins per </w:t>
            </w:r>
            <w:r w:rsidRPr="00480CE6">
              <w:rPr>
                <w:rFonts w:ascii="Arial" w:hAnsi="Arial" w:cs="Arial"/>
                <w:b/>
                <w:bCs/>
              </w:rPr>
              <w:t xml:space="preserve"> </w:t>
            </w:r>
          </w:p>
        </w:tc>
        <w:tc>
          <w:tcPr>
            <w:tcW w:w="1080" w:type="dxa"/>
          </w:tcPr>
          <w:p w:rsidR="00A62A5E" w:rsidP="00020009" w14:paraId="1416ED0E" w14:textId="48DEE6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Pr>
                <w:rFonts w:ascii="Arial" w:hAnsi="Arial" w:cs="Arial"/>
                <w:b/>
                <w:bCs/>
              </w:rPr>
              <w:t>Hours</w:t>
            </w:r>
          </w:p>
        </w:tc>
        <w:tc>
          <w:tcPr>
            <w:tcW w:w="900" w:type="dxa"/>
          </w:tcPr>
          <w:p w:rsidR="00A62A5E" w:rsidRPr="00480CE6" w:rsidP="00020009" w14:paraId="0FE2A479" w14:textId="53EBB1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Pr>
                <w:rFonts w:ascii="Arial" w:hAnsi="Arial" w:cs="Arial"/>
                <w:b/>
                <w:bCs/>
              </w:rPr>
              <w:t xml:space="preserve">Rate/hr </w:t>
            </w:r>
          </w:p>
        </w:tc>
        <w:tc>
          <w:tcPr>
            <w:tcW w:w="1440" w:type="dxa"/>
          </w:tcPr>
          <w:p w:rsidR="00A62A5E" w:rsidRPr="00480CE6" w:rsidP="00020009" w14:paraId="04CC8011" w14:textId="484E15FC">
            <w:pPr>
              <w:rPr>
                <w:rFonts w:ascii="Arial" w:hAnsi="Arial" w:cs="Arial"/>
                <w:b/>
                <w:bCs/>
              </w:rPr>
            </w:pPr>
            <w:r>
              <w:rPr>
                <w:rFonts w:ascii="Arial" w:hAnsi="Arial" w:cs="Arial"/>
                <w:b/>
                <w:bCs/>
              </w:rPr>
              <w:t xml:space="preserve">Cost </w:t>
            </w:r>
            <w:r w:rsidRPr="00480CE6">
              <w:rPr>
                <w:rFonts w:ascii="Arial" w:hAnsi="Arial" w:cs="Arial"/>
                <w:b/>
                <w:bCs/>
              </w:rPr>
              <w:t xml:space="preserve"> </w:t>
            </w:r>
          </w:p>
        </w:tc>
      </w:tr>
      <w:tr w14:paraId="4EFE80EB" w14:textId="77777777" w:rsidTr="00C97A7D">
        <w:tblPrEx>
          <w:tblW w:w="10525" w:type="dxa"/>
          <w:tblLayout w:type="fixed"/>
          <w:tblLook w:val="06A0"/>
        </w:tblPrEx>
        <w:trPr>
          <w:trHeight w:val="359"/>
        </w:trPr>
        <w:tc>
          <w:tcPr>
            <w:tcW w:w="3055" w:type="dxa"/>
          </w:tcPr>
          <w:p w:rsidR="00A62A5E" w:rsidRPr="00F11613" w:rsidP="009F162F" w14:paraId="700C3301" w14:textId="77777777">
            <w:pPr>
              <w:rPr>
                <w:rFonts w:ascii="Arial" w:hAnsi="Arial" w:cs="Arial"/>
              </w:rPr>
            </w:pPr>
            <w:r w:rsidRPr="00F11613">
              <w:rPr>
                <w:rFonts w:ascii="Arial" w:hAnsi="Arial" w:cs="Arial"/>
              </w:rPr>
              <w:t>Initial Application</w:t>
            </w:r>
          </w:p>
        </w:tc>
        <w:tc>
          <w:tcPr>
            <w:tcW w:w="1710" w:type="dxa"/>
          </w:tcPr>
          <w:p w:rsidR="00A62A5E" w:rsidRPr="00F11613" w:rsidP="009F162F" w14:paraId="1F0DA002" w14:textId="2D06740A">
            <w:pPr>
              <w:rPr>
                <w:rFonts w:ascii="Arial" w:hAnsi="Arial" w:cs="Arial"/>
              </w:rPr>
            </w:pPr>
            <w:r>
              <w:rPr>
                <w:rFonts w:ascii="Arial" w:hAnsi="Arial" w:cs="Arial"/>
              </w:rPr>
              <w:t>36</w:t>
            </w:r>
            <w:r w:rsidRPr="00F11613">
              <w:rPr>
                <w:rFonts w:ascii="Arial" w:hAnsi="Arial" w:cs="Arial"/>
              </w:rPr>
              <w:t>0</w:t>
            </w:r>
          </w:p>
        </w:tc>
        <w:tc>
          <w:tcPr>
            <w:tcW w:w="1260" w:type="dxa"/>
          </w:tcPr>
          <w:p w:rsidR="00A62A5E" w:rsidRPr="00F11613" w:rsidP="009F162F" w14:paraId="68C01CE7" w14:textId="40D8BC54">
            <w:pPr>
              <w:rPr>
                <w:rFonts w:ascii="Arial" w:hAnsi="Arial" w:cs="Arial"/>
              </w:rPr>
            </w:pPr>
            <w:r w:rsidRPr="00F11613">
              <w:rPr>
                <w:rFonts w:ascii="Arial" w:hAnsi="Arial" w:cs="Arial"/>
              </w:rPr>
              <w:t>GS13</w:t>
            </w:r>
            <w:r w:rsidR="00ED40EB">
              <w:rPr>
                <w:rFonts w:ascii="Arial" w:hAnsi="Arial" w:cs="Arial"/>
              </w:rPr>
              <w:t xml:space="preserve"> -</w:t>
            </w:r>
            <w:r w:rsidRPr="00F11613">
              <w:rPr>
                <w:rFonts w:ascii="Arial" w:hAnsi="Arial" w:cs="Arial"/>
              </w:rPr>
              <w:t xml:space="preserve"> 4</w:t>
            </w:r>
          </w:p>
        </w:tc>
        <w:tc>
          <w:tcPr>
            <w:tcW w:w="1080" w:type="dxa"/>
          </w:tcPr>
          <w:p w:rsidR="00A62A5E" w:rsidRPr="00F11613" w:rsidP="009F162F" w14:paraId="2D21C241" w14:textId="74AB57DF">
            <w:pPr>
              <w:rPr>
                <w:rFonts w:ascii="Arial" w:hAnsi="Arial" w:cs="Arial"/>
              </w:rPr>
            </w:pPr>
            <w:r w:rsidRPr="00F11613">
              <w:rPr>
                <w:rFonts w:ascii="Arial" w:hAnsi="Arial" w:cs="Arial"/>
              </w:rPr>
              <w:t>240</w:t>
            </w:r>
          </w:p>
        </w:tc>
        <w:tc>
          <w:tcPr>
            <w:tcW w:w="1080" w:type="dxa"/>
          </w:tcPr>
          <w:p w:rsidR="00A62A5E" w:rsidP="009F162F" w14:paraId="62CC1BF2" w14:textId="39D62105">
            <w:pPr>
              <w:rPr>
                <w:rFonts w:ascii="Arial" w:hAnsi="Arial" w:cs="Arial"/>
              </w:rPr>
            </w:pPr>
            <w:r>
              <w:rPr>
                <w:rFonts w:ascii="Arial" w:hAnsi="Arial" w:cs="Arial"/>
              </w:rPr>
              <w:t>1,440</w:t>
            </w:r>
          </w:p>
        </w:tc>
        <w:tc>
          <w:tcPr>
            <w:tcW w:w="900" w:type="dxa"/>
          </w:tcPr>
          <w:p w:rsidR="00A62A5E" w:rsidRPr="00F11613" w:rsidP="009F162F" w14:paraId="03260684" w14:textId="2E7BE9FB">
            <w:pPr>
              <w:rPr>
                <w:rFonts w:ascii="Arial" w:hAnsi="Arial" w:cs="Arial"/>
              </w:rPr>
            </w:pPr>
            <w:r>
              <w:rPr>
                <w:rFonts w:ascii="Arial" w:hAnsi="Arial" w:cs="Arial"/>
              </w:rPr>
              <w:t>64.19</w:t>
            </w:r>
          </w:p>
        </w:tc>
        <w:tc>
          <w:tcPr>
            <w:tcW w:w="1440" w:type="dxa"/>
          </w:tcPr>
          <w:p w:rsidR="00A62A5E" w:rsidRPr="00EF6E1C" w:rsidP="009F162F" w14:paraId="64D4B3B1" w14:textId="1AC6F3D1">
            <w:pPr>
              <w:rPr>
                <w:rFonts w:ascii="Arial" w:hAnsi="Arial" w:cs="Arial"/>
              </w:rPr>
            </w:pPr>
            <w:r w:rsidRPr="00EF6E1C">
              <w:rPr>
                <w:rFonts w:ascii="Arial" w:hAnsi="Arial" w:cs="Arial"/>
              </w:rPr>
              <w:t>92,433.60</w:t>
            </w:r>
          </w:p>
        </w:tc>
      </w:tr>
      <w:tr w14:paraId="254EC870" w14:textId="77777777" w:rsidTr="00C97A7D">
        <w:tblPrEx>
          <w:tblW w:w="10525" w:type="dxa"/>
          <w:tblLayout w:type="fixed"/>
          <w:tblLook w:val="06A0"/>
        </w:tblPrEx>
        <w:trPr>
          <w:trHeight w:val="359"/>
        </w:trPr>
        <w:tc>
          <w:tcPr>
            <w:tcW w:w="3055" w:type="dxa"/>
          </w:tcPr>
          <w:p w:rsidR="00A62A5E" w:rsidRPr="001D3A83" w:rsidP="009F162F" w14:paraId="14A48C45" w14:textId="77777777">
            <w:pPr>
              <w:rPr>
                <w:rFonts w:ascii="Arial" w:hAnsi="Arial" w:cs="Arial"/>
              </w:rPr>
            </w:pPr>
            <w:r w:rsidRPr="001D3A83">
              <w:rPr>
                <w:rFonts w:ascii="Arial" w:hAnsi="Arial" w:cs="Arial"/>
              </w:rPr>
              <w:t>Renewal Application</w:t>
            </w:r>
          </w:p>
        </w:tc>
        <w:tc>
          <w:tcPr>
            <w:tcW w:w="1710" w:type="dxa"/>
          </w:tcPr>
          <w:p w:rsidR="00A62A5E" w:rsidRPr="00F11613" w:rsidP="009F162F" w14:paraId="07A5DED4" w14:textId="77777777">
            <w:pPr>
              <w:rPr>
                <w:rFonts w:ascii="Arial" w:hAnsi="Arial" w:cs="Arial"/>
              </w:rPr>
            </w:pPr>
            <w:r w:rsidRPr="00F11613">
              <w:rPr>
                <w:rFonts w:ascii="Arial" w:hAnsi="Arial" w:cs="Arial"/>
              </w:rPr>
              <w:t>90</w:t>
            </w:r>
          </w:p>
        </w:tc>
        <w:tc>
          <w:tcPr>
            <w:tcW w:w="1260" w:type="dxa"/>
          </w:tcPr>
          <w:p w:rsidR="00A62A5E" w:rsidRPr="00F11613" w:rsidP="009F162F" w14:paraId="0162217E" w14:textId="44F0BBD6">
            <w:pPr>
              <w:rPr>
                <w:rFonts w:ascii="Arial" w:hAnsi="Arial" w:cs="Arial"/>
              </w:rPr>
            </w:pPr>
            <w:r w:rsidRPr="00F11613">
              <w:rPr>
                <w:rFonts w:ascii="Arial" w:hAnsi="Arial" w:cs="Arial"/>
              </w:rPr>
              <w:t>GS13</w:t>
            </w:r>
            <w:r w:rsidR="00ED40EB">
              <w:rPr>
                <w:rFonts w:ascii="Arial" w:hAnsi="Arial" w:cs="Arial"/>
              </w:rPr>
              <w:t xml:space="preserve"> - </w:t>
            </w:r>
            <w:r w:rsidRPr="00F11613">
              <w:rPr>
                <w:rFonts w:ascii="Arial" w:hAnsi="Arial" w:cs="Arial"/>
              </w:rPr>
              <w:t>4</w:t>
            </w:r>
          </w:p>
        </w:tc>
        <w:tc>
          <w:tcPr>
            <w:tcW w:w="1080" w:type="dxa"/>
          </w:tcPr>
          <w:p w:rsidR="00A62A5E" w:rsidRPr="00F11613" w:rsidP="009F162F" w14:paraId="2CAB9446" w14:textId="638531B3">
            <w:pPr>
              <w:rPr>
                <w:rFonts w:ascii="Arial" w:hAnsi="Arial" w:cs="Arial"/>
              </w:rPr>
            </w:pPr>
            <w:r w:rsidRPr="00F11613">
              <w:rPr>
                <w:rFonts w:ascii="Arial" w:hAnsi="Arial" w:cs="Arial"/>
              </w:rPr>
              <w:t>180</w:t>
            </w:r>
          </w:p>
        </w:tc>
        <w:tc>
          <w:tcPr>
            <w:tcW w:w="1080" w:type="dxa"/>
          </w:tcPr>
          <w:p w:rsidR="00A62A5E" w:rsidRPr="00A42539" w:rsidP="009F162F" w14:paraId="755CC239" w14:textId="6F091A1C">
            <w:pPr>
              <w:rPr>
                <w:rFonts w:ascii="Arial" w:hAnsi="Arial" w:cs="Arial"/>
              </w:rPr>
            </w:pPr>
            <w:r>
              <w:rPr>
                <w:rFonts w:ascii="Arial" w:hAnsi="Arial" w:cs="Arial"/>
              </w:rPr>
              <w:t>270</w:t>
            </w:r>
          </w:p>
        </w:tc>
        <w:tc>
          <w:tcPr>
            <w:tcW w:w="900" w:type="dxa"/>
          </w:tcPr>
          <w:p w:rsidR="00A62A5E" w:rsidRPr="00F11613" w:rsidP="009F162F" w14:paraId="4D640F6E" w14:textId="0F8FDD1F">
            <w:pPr>
              <w:rPr>
                <w:rFonts w:ascii="Arial" w:hAnsi="Arial" w:cs="Arial"/>
              </w:rPr>
            </w:pPr>
            <w:r>
              <w:rPr>
                <w:rFonts w:ascii="Arial" w:hAnsi="Arial" w:cs="Arial"/>
              </w:rPr>
              <w:t>64.19</w:t>
            </w:r>
          </w:p>
        </w:tc>
        <w:tc>
          <w:tcPr>
            <w:tcW w:w="1440" w:type="dxa"/>
          </w:tcPr>
          <w:p w:rsidR="00A62A5E" w:rsidRPr="00EF6E1C" w:rsidP="009F162F" w14:paraId="12B0D7AD" w14:textId="03C072FA">
            <w:pPr>
              <w:rPr>
                <w:rFonts w:ascii="Arial" w:hAnsi="Arial" w:cs="Arial"/>
              </w:rPr>
            </w:pPr>
            <w:r w:rsidRPr="00EF6E1C">
              <w:rPr>
                <w:rFonts w:ascii="Arial" w:hAnsi="Arial" w:cs="Arial"/>
              </w:rPr>
              <w:t>17,331.30</w:t>
            </w:r>
          </w:p>
        </w:tc>
      </w:tr>
      <w:tr w14:paraId="26FD4CA3" w14:textId="77777777" w:rsidTr="00C97A7D">
        <w:tblPrEx>
          <w:tblW w:w="10525" w:type="dxa"/>
          <w:tblLayout w:type="fixed"/>
          <w:tblLook w:val="06A0"/>
        </w:tblPrEx>
        <w:tc>
          <w:tcPr>
            <w:tcW w:w="3055" w:type="dxa"/>
          </w:tcPr>
          <w:p w:rsidR="00A62A5E" w:rsidRPr="00F11613" w:rsidP="009F162F" w14:paraId="26F8B23F" w14:textId="21B8C6F5">
            <w:pPr>
              <w:rPr>
                <w:rFonts w:ascii="Arial" w:hAnsi="Arial" w:cs="Arial"/>
              </w:rPr>
            </w:pPr>
            <w:r w:rsidRPr="00F11613">
              <w:rPr>
                <w:rFonts w:ascii="Arial" w:hAnsi="Arial" w:cs="Arial"/>
              </w:rPr>
              <w:t xml:space="preserve">Compliance </w:t>
            </w:r>
            <w:r w:rsidR="008F739A">
              <w:rPr>
                <w:rFonts w:ascii="Arial" w:hAnsi="Arial" w:cs="Arial"/>
              </w:rPr>
              <w:t>–</w:t>
            </w:r>
            <w:r>
              <w:rPr>
                <w:rFonts w:ascii="Arial" w:hAnsi="Arial" w:cs="Arial"/>
              </w:rPr>
              <w:t xml:space="preserve"> </w:t>
            </w:r>
            <w:r w:rsidR="008F739A">
              <w:rPr>
                <w:rFonts w:ascii="Arial" w:hAnsi="Arial" w:cs="Arial"/>
              </w:rPr>
              <w:t>Mid-year</w:t>
            </w:r>
            <w:r w:rsidRPr="00F11613">
              <w:rPr>
                <w:rFonts w:ascii="Arial" w:hAnsi="Arial" w:cs="Arial"/>
              </w:rPr>
              <w:t xml:space="preserve"> Performance Report  </w:t>
            </w:r>
          </w:p>
        </w:tc>
        <w:tc>
          <w:tcPr>
            <w:tcW w:w="1710" w:type="dxa"/>
          </w:tcPr>
          <w:p w:rsidR="00A62A5E" w:rsidRPr="00F11613" w:rsidP="009F162F" w14:paraId="2DDADB8D" w14:textId="03EDCEBD">
            <w:pPr>
              <w:spacing w:line="259" w:lineRule="auto"/>
              <w:rPr>
                <w:rFonts w:ascii="Arial" w:hAnsi="Arial" w:cs="Arial"/>
              </w:rPr>
            </w:pPr>
            <w:r w:rsidRPr="00F11613">
              <w:rPr>
                <w:rFonts w:ascii="Arial" w:hAnsi="Arial" w:cs="Arial"/>
              </w:rPr>
              <w:t>90</w:t>
            </w:r>
          </w:p>
        </w:tc>
        <w:tc>
          <w:tcPr>
            <w:tcW w:w="1260" w:type="dxa"/>
          </w:tcPr>
          <w:p w:rsidR="00A62A5E" w:rsidRPr="00F11613" w:rsidP="009F162F" w14:paraId="402580B2" w14:textId="5E084DED">
            <w:pPr>
              <w:rPr>
                <w:rFonts w:ascii="Arial" w:hAnsi="Arial" w:cs="Arial"/>
              </w:rPr>
            </w:pPr>
            <w:r w:rsidRPr="00F11613">
              <w:rPr>
                <w:rFonts w:ascii="Arial" w:hAnsi="Arial" w:cs="Arial"/>
              </w:rPr>
              <w:t>GS13</w:t>
            </w:r>
            <w:r w:rsidR="00ED40EB">
              <w:rPr>
                <w:rFonts w:ascii="Arial" w:hAnsi="Arial" w:cs="Arial"/>
              </w:rPr>
              <w:t xml:space="preserve"> - </w:t>
            </w:r>
            <w:r w:rsidRPr="00F11613">
              <w:rPr>
                <w:rFonts w:ascii="Arial" w:hAnsi="Arial" w:cs="Arial"/>
              </w:rPr>
              <w:t>4</w:t>
            </w:r>
          </w:p>
        </w:tc>
        <w:tc>
          <w:tcPr>
            <w:tcW w:w="1080" w:type="dxa"/>
          </w:tcPr>
          <w:p w:rsidR="00A62A5E" w:rsidRPr="00F11613" w:rsidP="009F162F" w14:paraId="79C709A6" w14:textId="6E64FF46">
            <w:pPr>
              <w:rPr>
                <w:rFonts w:ascii="Arial" w:hAnsi="Arial" w:cs="Arial"/>
              </w:rPr>
            </w:pPr>
            <w:r w:rsidRPr="00F11613">
              <w:rPr>
                <w:rFonts w:ascii="Arial" w:hAnsi="Arial" w:cs="Arial"/>
              </w:rPr>
              <w:t>60</w:t>
            </w:r>
          </w:p>
        </w:tc>
        <w:tc>
          <w:tcPr>
            <w:tcW w:w="1080" w:type="dxa"/>
          </w:tcPr>
          <w:p w:rsidR="00A62A5E" w:rsidRPr="00D27602" w:rsidP="009F162F" w14:paraId="4427BC24" w14:textId="166B4FA2">
            <w:pPr>
              <w:rPr>
                <w:rFonts w:ascii="Arial" w:hAnsi="Arial" w:cs="Arial"/>
              </w:rPr>
            </w:pPr>
            <w:r>
              <w:rPr>
                <w:rFonts w:ascii="Arial" w:hAnsi="Arial" w:cs="Arial"/>
              </w:rPr>
              <w:t>90</w:t>
            </w:r>
          </w:p>
        </w:tc>
        <w:tc>
          <w:tcPr>
            <w:tcW w:w="900" w:type="dxa"/>
          </w:tcPr>
          <w:p w:rsidR="00A62A5E" w:rsidRPr="00F11613" w:rsidP="009F162F" w14:paraId="63CA0F1A" w14:textId="016F394B">
            <w:pPr>
              <w:rPr>
                <w:rFonts w:ascii="Arial" w:hAnsi="Arial" w:cs="Arial"/>
              </w:rPr>
            </w:pPr>
            <w:r>
              <w:rPr>
                <w:rFonts w:ascii="Arial" w:hAnsi="Arial" w:cs="Arial"/>
              </w:rPr>
              <w:t>64.19</w:t>
            </w:r>
          </w:p>
        </w:tc>
        <w:tc>
          <w:tcPr>
            <w:tcW w:w="1440" w:type="dxa"/>
          </w:tcPr>
          <w:p w:rsidR="00A62A5E" w:rsidRPr="00EF6E1C" w:rsidP="009F162F" w14:paraId="59B24491" w14:textId="56D1C68D">
            <w:pPr>
              <w:rPr>
                <w:rFonts w:ascii="Arial" w:hAnsi="Arial" w:cs="Arial"/>
                <w:strike/>
              </w:rPr>
            </w:pPr>
            <w:r w:rsidRPr="00EF6E1C">
              <w:rPr>
                <w:rFonts w:ascii="Arial" w:hAnsi="Arial" w:cs="Arial"/>
              </w:rPr>
              <w:t>5,777.10</w:t>
            </w:r>
          </w:p>
        </w:tc>
      </w:tr>
      <w:tr w14:paraId="3C78E2E0" w14:textId="77777777" w:rsidTr="00C97A7D">
        <w:tblPrEx>
          <w:tblW w:w="10525" w:type="dxa"/>
          <w:tblLayout w:type="fixed"/>
          <w:tblLook w:val="06A0"/>
        </w:tblPrEx>
        <w:tc>
          <w:tcPr>
            <w:tcW w:w="3055" w:type="dxa"/>
          </w:tcPr>
          <w:p w:rsidR="00A62A5E" w:rsidRPr="00F11613" w:rsidP="009F162F" w14:paraId="5E71DA83" w14:textId="6A2EA917">
            <w:pPr>
              <w:rPr>
                <w:rFonts w:ascii="Arial" w:hAnsi="Arial" w:cs="Arial"/>
              </w:rPr>
            </w:pPr>
            <w:r w:rsidRPr="00F11613">
              <w:rPr>
                <w:rFonts w:ascii="Arial" w:hAnsi="Arial" w:cs="Arial"/>
              </w:rPr>
              <w:t xml:space="preserve">Compliance </w:t>
            </w:r>
            <w:r>
              <w:rPr>
                <w:rFonts w:ascii="Arial" w:hAnsi="Arial" w:cs="Arial"/>
              </w:rPr>
              <w:t xml:space="preserve">– </w:t>
            </w:r>
            <w:r w:rsidR="008F739A">
              <w:rPr>
                <w:rFonts w:ascii="Arial" w:hAnsi="Arial" w:cs="Arial"/>
              </w:rPr>
              <w:t>End-of</w:t>
            </w:r>
            <w:r>
              <w:rPr>
                <w:rFonts w:ascii="Arial" w:hAnsi="Arial" w:cs="Arial"/>
              </w:rPr>
              <w:t xml:space="preserve">-year </w:t>
            </w:r>
            <w:r w:rsidRPr="00F11613">
              <w:rPr>
                <w:rFonts w:ascii="Arial" w:hAnsi="Arial" w:cs="Arial"/>
              </w:rPr>
              <w:t>Performance Repor</w:t>
            </w:r>
            <w:r>
              <w:rPr>
                <w:rFonts w:ascii="Arial" w:hAnsi="Arial" w:cs="Arial"/>
              </w:rPr>
              <w:t xml:space="preserve">t </w:t>
            </w:r>
          </w:p>
        </w:tc>
        <w:tc>
          <w:tcPr>
            <w:tcW w:w="1710" w:type="dxa"/>
          </w:tcPr>
          <w:p w:rsidR="00A62A5E" w:rsidRPr="00F11613" w:rsidP="009F162F" w14:paraId="50D8B080" w14:textId="3310F903">
            <w:pPr>
              <w:rPr>
                <w:rFonts w:ascii="Arial" w:hAnsi="Arial" w:cs="Arial"/>
              </w:rPr>
            </w:pPr>
            <w:r>
              <w:rPr>
                <w:rFonts w:ascii="Arial" w:hAnsi="Arial" w:cs="Arial"/>
              </w:rPr>
              <w:t>9</w:t>
            </w:r>
            <w:r w:rsidRPr="00F11613">
              <w:rPr>
                <w:rFonts w:ascii="Arial" w:hAnsi="Arial" w:cs="Arial"/>
              </w:rPr>
              <w:t>0</w:t>
            </w:r>
          </w:p>
        </w:tc>
        <w:tc>
          <w:tcPr>
            <w:tcW w:w="1260" w:type="dxa"/>
          </w:tcPr>
          <w:p w:rsidR="00A62A5E" w:rsidRPr="00F11613" w:rsidP="009F162F" w14:paraId="23F80155" w14:textId="021F5A1A">
            <w:pPr>
              <w:rPr>
                <w:rFonts w:ascii="Arial" w:hAnsi="Arial" w:cs="Arial"/>
              </w:rPr>
            </w:pPr>
            <w:r w:rsidRPr="00F11613">
              <w:rPr>
                <w:rFonts w:ascii="Arial" w:hAnsi="Arial" w:cs="Arial"/>
              </w:rPr>
              <w:t>GS13</w:t>
            </w:r>
            <w:r w:rsidR="00ED40EB">
              <w:rPr>
                <w:rFonts w:ascii="Arial" w:hAnsi="Arial" w:cs="Arial"/>
              </w:rPr>
              <w:t xml:space="preserve"> - </w:t>
            </w:r>
            <w:r w:rsidRPr="00F11613">
              <w:rPr>
                <w:rFonts w:ascii="Arial" w:hAnsi="Arial" w:cs="Arial"/>
              </w:rPr>
              <w:t>4</w:t>
            </w:r>
          </w:p>
        </w:tc>
        <w:tc>
          <w:tcPr>
            <w:tcW w:w="1080" w:type="dxa"/>
          </w:tcPr>
          <w:p w:rsidR="00A62A5E" w:rsidRPr="00F11613" w:rsidP="009F162F" w14:paraId="7C57E3C1" w14:textId="375F9CBD">
            <w:pPr>
              <w:spacing w:line="259" w:lineRule="auto"/>
              <w:rPr>
                <w:rFonts w:ascii="Arial" w:hAnsi="Arial" w:cs="Arial"/>
              </w:rPr>
            </w:pPr>
            <w:r w:rsidRPr="00F11613">
              <w:rPr>
                <w:rFonts w:ascii="Arial" w:hAnsi="Arial" w:cs="Arial"/>
              </w:rPr>
              <w:t>60</w:t>
            </w:r>
          </w:p>
        </w:tc>
        <w:tc>
          <w:tcPr>
            <w:tcW w:w="1080" w:type="dxa"/>
          </w:tcPr>
          <w:p w:rsidR="00A62A5E" w:rsidRPr="00D27602" w:rsidP="009F162F" w14:paraId="7EA36B76" w14:textId="0101E3D0">
            <w:pPr>
              <w:rPr>
                <w:rFonts w:ascii="Arial" w:hAnsi="Arial" w:cs="Arial"/>
              </w:rPr>
            </w:pPr>
            <w:r>
              <w:rPr>
                <w:rFonts w:ascii="Arial" w:hAnsi="Arial" w:cs="Arial"/>
              </w:rPr>
              <w:t>90</w:t>
            </w:r>
          </w:p>
        </w:tc>
        <w:tc>
          <w:tcPr>
            <w:tcW w:w="900" w:type="dxa"/>
          </w:tcPr>
          <w:p w:rsidR="00A62A5E" w:rsidRPr="00F11613" w:rsidP="009F162F" w14:paraId="52C96710" w14:textId="22F593D1">
            <w:pPr>
              <w:rPr>
                <w:rFonts w:ascii="Arial" w:hAnsi="Arial" w:cs="Arial"/>
              </w:rPr>
            </w:pPr>
            <w:r>
              <w:rPr>
                <w:rFonts w:ascii="Arial" w:hAnsi="Arial" w:cs="Arial"/>
              </w:rPr>
              <w:t>64.19</w:t>
            </w:r>
          </w:p>
        </w:tc>
        <w:tc>
          <w:tcPr>
            <w:tcW w:w="1440" w:type="dxa"/>
          </w:tcPr>
          <w:p w:rsidR="00A62A5E" w:rsidRPr="00EF6E1C" w:rsidP="009F162F" w14:paraId="1383A5B6" w14:textId="48BAE397">
            <w:pPr>
              <w:rPr>
                <w:rFonts w:ascii="Arial" w:hAnsi="Arial" w:cs="Arial"/>
              </w:rPr>
            </w:pPr>
            <w:r w:rsidRPr="00EF6E1C">
              <w:rPr>
                <w:rFonts w:ascii="Arial" w:hAnsi="Arial" w:cs="Arial"/>
              </w:rPr>
              <w:t>5,777.10</w:t>
            </w:r>
          </w:p>
        </w:tc>
      </w:tr>
      <w:tr w14:paraId="3F0CBBBD" w14:textId="77777777" w:rsidTr="00C97A7D">
        <w:tblPrEx>
          <w:tblW w:w="10525" w:type="dxa"/>
          <w:tblLayout w:type="fixed"/>
          <w:tblLook w:val="06A0"/>
        </w:tblPrEx>
        <w:tc>
          <w:tcPr>
            <w:tcW w:w="3055" w:type="dxa"/>
          </w:tcPr>
          <w:p w:rsidR="00A62A5E" w:rsidRPr="00F11613" w:rsidP="009F162F" w14:paraId="257E18D8" w14:textId="5E3C0D4F">
            <w:pPr>
              <w:rPr>
                <w:rFonts w:ascii="Arial" w:hAnsi="Arial" w:cs="Arial"/>
              </w:rPr>
            </w:pPr>
            <w:r w:rsidRPr="00F11613">
              <w:rPr>
                <w:rFonts w:ascii="Arial" w:hAnsi="Arial" w:cs="Arial"/>
              </w:rPr>
              <w:t xml:space="preserve">Compliance </w:t>
            </w:r>
            <w:r>
              <w:rPr>
                <w:rFonts w:ascii="Arial" w:hAnsi="Arial" w:cs="Arial"/>
              </w:rPr>
              <w:t xml:space="preserve">- </w:t>
            </w:r>
            <w:r w:rsidRPr="00F11613">
              <w:rPr>
                <w:rFonts w:ascii="Arial" w:hAnsi="Arial" w:cs="Arial"/>
              </w:rPr>
              <w:t xml:space="preserve">Annual Financial Expenditure </w:t>
            </w:r>
            <w:r w:rsidR="00ED40EB">
              <w:rPr>
                <w:rFonts w:ascii="Arial" w:hAnsi="Arial" w:cs="Arial"/>
              </w:rPr>
              <w:t xml:space="preserve">Rep </w:t>
            </w:r>
          </w:p>
        </w:tc>
        <w:tc>
          <w:tcPr>
            <w:tcW w:w="1710" w:type="dxa"/>
          </w:tcPr>
          <w:p w:rsidR="00A62A5E" w:rsidRPr="00F11613" w:rsidP="009F162F" w14:paraId="718BDBED" w14:textId="3046D927">
            <w:pPr>
              <w:rPr>
                <w:rFonts w:ascii="Arial" w:hAnsi="Arial" w:cs="Arial"/>
              </w:rPr>
            </w:pPr>
            <w:r w:rsidRPr="00F11613">
              <w:rPr>
                <w:rFonts w:ascii="Arial" w:hAnsi="Arial" w:cs="Arial"/>
              </w:rPr>
              <w:t>90</w:t>
            </w:r>
          </w:p>
        </w:tc>
        <w:tc>
          <w:tcPr>
            <w:tcW w:w="1260" w:type="dxa"/>
          </w:tcPr>
          <w:p w:rsidR="00A62A5E" w:rsidRPr="00F11613" w:rsidP="009F162F" w14:paraId="1D80FB8D" w14:textId="53263F6C">
            <w:pPr>
              <w:rPr>
                <w:rFonts w:ascii="Arial" w:hAnsi="Arial" w:cs="Arial"/>
              </w:rPr>
            </w:pPr>
            <w:r w:rsidRPr="00F11613">
              <w:rPr>
                <w:rFonts w:ascii="Arial" w:hAnsi="Arial" w:cs="Arial"/>
              </w:rPr>
              <w:t>GS13</w:t>
            </w:r>
            <w:r w:rsidR="00ED40EB">
              <w:rPr>
                <w:rFonts w:ascii="Arial" w:hAnsi="Arial" w:cs="Arial"/>
              </w:rPr>
              <w:t xml:space="preserve"> - </w:t>
            </w:r>
            <w:r w:rsidRPr="00F11613">
              <w:rPr>
                <w:rFonts w:ascii="Arial" w:hAnsi="Arial" w:cs="Arial"/>
              </w:rPr>
              <w:t>4</w:t>
            </w:r>
          </w:p>
        </w:tc>
        <w:tc>
          <w:tcPr>
            <w:tcW w:w="1080" w:type="dxa"/>
          </w:tcPr>
          <w:p w:rsidR="00A62A5E" w:rsidRPr="00F11613" w:rsidP="009F162F" w14:paraId="783F0BCA" w14:textId="530255F1">
            <w:pPr>
              <w:rPr>
                <w:rFonts w:ascii="Arial" w:hAnsi="Arial" w:cs="Arial"/>
              </w:rPr>
            </w:pPr>
            <w:r w:rsidRPr="00F11613">
              <w:rPr>
                <w:rFonts w:ascii="Arial" w:hAnsi="Arial" w:cs="Arial"/>
              </w:rPr>
              <w:t>60</w:t>
            </w:r>
          </w:p>
        </w:tc>
        <w:tc>
          <w:tcPr>
            <w:tcW w:w="1080" w:type="dxa"/>
          </w:tcPr>
          <w:p w:rsidR="00A62A5E" w:rsidRPr="00D27602" w:rsidP="009F162F" w14:paraId="012ACD07" w14:textId="61D1918A">
            <w:pPr>
              <w:rPr>
                <w:rFonts w:ascii="Arial" w:hAnsi="Arial" w:cs="Arial"/>
              </w:rPr>
            </w:pPr>
            <w:r>
              <w:rPr>
                <w:rFonts w:ascii="Arial" w:hAnsi="Arial" w:cs="Arial"/>
              </w:rPr>
              <w:t>90</w:t>
            </w:r>
          </w:p>
        </w:tc>
        <w:tc>
          <w:tcPr>
            <w:tcW w:w="900" w:type="dxa"/>
          </w:tcPr>
          <w:p w:rsidR="00A62A5E" w:rsidRPr="00F11613" w:rsidP="009F162F" w14:paraId="25B42DBC" w14:textId="42347ACA">
            <w:pPr>
              <w:rPr>
                <w:rFonts w:ascii="Arial" w:hAnsi="Arial" w:cs="Arial"/>
              </w:rPr>
            </w:pPr>
            <w:r>
              <w:rPr>
                <w:rFonts w:ascii="Arial" w:hAnsi="Arial" w:cs="Arial"/>
              </w:rPr>
              <w:t>64.19</w:t>
            </w:r>
          </w:p>
        </w:tc>
        <w:tc>
          <w:tcPr>
            <w:tcW w:w="1440" w:type="dxa"/>
          </w:tcPr>
          <w:p w:rsidR="00A62A5E" w:rsidRPr="00EF6E1C" w:rsidP="009F162F" w14:paraId="0C4B47C3" w14:textId="4FF243D1">
            <w:pPr>
              <w:rPr>
                <w:rFonts w:ascii="Arial" w:hAnsi="Arial" w:cs="Arial"/>
              </w:rPr>
            </w:pPr>
            <w:r w:rsidRPr="00EF6E1C">
              <w:rPr>
                <w:rFonts w:ascii="Arial" w:hAnsi="Arial" w:cs="Arial"/>
              </w:rPr>
              <w:t>5,</w:t>
            </w:r>
            <w:r w:rsidRPr="00EF6E1C" w:rsidR="00432855">
              <w:rPr>
                <w:rFonts w:ascii="Arial" w:hAnsi="Arial" w:cs="Arial"/>
              </w:rPr>
              <w:t>777.10</w:t>
            </w:r>
          </w:p>
        </w:tc>
      </w:tr>
      <w:tr w14:paraId="04247023" w14:textId="77777777" w:rsidTr="00C97A7D">
        <w:tblPrEx>
          <w:tblW w:w="10525" w:type="dxa"/>
          <w:tblLayout w:type="fixed"/>
          <w:tblLook w:val="06A0"/>
        </w:tblPrEx>
        <w:trPr>
          <w:trHeight w:val="620"/>
        </w:trPr>
        <w:tc>
          <w:tcPr>
            <w:tcW w:w="3055" w:type="dxa"/>
          </w:tcPr>
          <w:p w:rsidR="0050288A" w:rsidRPr="00377A26" w:rsidP="00D81627" w14:paraId="7FF4B379" w14:textId="56B14A38">
            <w:pPr>
              <w:rPr>
                <w:rFonts w:ascii="Arial" w:hAnsi="Arial" w:cs="Arial"/>
              </w:rPr>
            </w:pPr>
            <w:r w:rsidRPr="001D3A83">
              <w:rPr>
                <w:rFonts w:ascii="Arial" w:hAnsi="Arial" w:cs="Arial"/>
              </w:rPr>
              <w:t>Compliance - Program &amp; Budget Changes</w:t>
            </w:r>
          </w:p>
        </w:tc>
        <w:tc>
          <w:tcPr>
            <w:tcW w:w="1710" w:type="dxa"/>
          </w:tcPr>
          <w:p w:rsidR="0050288A" w:rsidRPr="00377A26" w:rsidP="00D81627" w14:paraId="69961514" w14:textId="3C87A3E9">
            <w:pPr>
              <w:rPr>
                <w:rFonts w:ascii="Arial" w:hAnsi="Arial" w:cs="Arial"/>
              </w:rPr>
            </w:pPr>
            <w:r>
              <w:rPr>
                <w:rFonts w:ascii="Arial" w:hAnsi="Arial" w:cs="Arial"/>
              </w:rPr>
              <w:t>90</w:t>
            </w:r>
          </w:p>
        </w:tc>
        <w:tc>
          <w:tcPr>
            <w:tcW w:w="1260" w:type="dxa"/>
          </w:tcPr>
          <w:p w:rsidR="0050288A" w:rsidRPr="00377A26" w:rsidP="00D81627" w14:paraId="3DB3953B" w14:textId="376B9BB2">
            <w:pPr>
              <w:rPr>
                <w:rFonts w:ascii="Arial" w:hAnsi="Arial" w:cs="Arial"/>
              </w:rPr>
            </w:pPr>
            <w:r w:rsidRPr="00F11613">
              <w:rPr>
                <w:rFonts w:ascii="Arial" w:hAnsi="Arial" w:cs="Arial"/>
              </w:rPr>
              <w:t>GS13</w:t>
            </w:r>
            <w:r>
              <w:rPr>
                <w:rFonts w:ascii="Arial" w:hAnsi="Arial" w:cs="Arial"/>
              </w:rPr>
              <w:t xml:space="preserve"> - </w:t>
            </w:r>
            <w:r w:rsidRPr="00F11613">
              <w:rPr>
                <w:rFonts w:ascii="Arial" w:hAnsi="Arial" w:cs="Arial"/>
              </w:rPr>
              <w:t>4</w:t>
            </w:r>
          </w:p>
        </w:tc>
        <w:tc>
          <w:tcPr>
            <w:tcW w:w="1080" w:type="dxa"/>
          </w:tcPr>
          <w:p w:rsidR="0050288A" w:rsidRPr="00377A26" w:rsidP="00D81627" w14:paraId="2D70C0AA" w14:textId="28E908C4">
            <w:pPr>
              <w:rPr>
                <w:rFonts w:ascii="Arial" w:hAnsi="Arial" w:cs="Arial"/>
              </w:rPr>
            </w:pPr>
            <w:r w:rsidRPr="00F11613">
              <w:rPr>
                <w:rFonts w:ascii="Arial" w:hAnsi="Arial" w:cs="Arial"/>
              </w:rPr>
              <w:t>60</w:t>
            </w:r>
          </w:p>
        </w:tc>
        <w:tc>
          <w:tcPr>
            <w:tcW w:w="1080" w:type="dxa"/>
          </w:tcPr>
          <w:p w:rsidR="0050288A" w:rsidRPr="00377A26" w:rsidP="00D81627" w14:paraId="599C177E" w14:textId="1875F24B">
            <w:pPr>
              <w:rPr>
                <w:rFonts w:ascii="Arial" w:hAnsi="Arial" w:cs="Arial"/>
              </w:rPr>
            </w:pPr>
            <w:r>
              <w:rPr>
                <w:rFonts w:ascii="Arial" w:hAnsi="Arial" w:cs="Arial"/>
              </w:rPr>
              <w:t>90</w:t>
            </w:r>
          </w:p>
        </w:tc>
        <w:tc>
          <w:tcPr>
            <w:tcW w:w="900" w:type="dxa"/>
          </w:tcPr>
          <w:p w:rsidR="0050288A" w:rsidRPr="00377A26" w:rsidP="00D81627" w14:paraId="543E1F87" w14:textId="502CF0EB">
            <w:pPr>
              <w:rPr>
                <w:rFonts w:ascii="Arial" w:hAnsi="Arial" w:cs="Arial"/>
              </w:rPr>
            </w:pPr>
            <w:r>
              <w:rPr>
                <w:rFonts w:ascii="Arial" w:hAnsi="Arial" w:cs="Arial"/>
              </w:rPr>
              <w:t>64.19</w:t>
            </w:r>
          </w:p>
        </w:tc>
        <w:tc>
          <w:tcPr>
            <w:tcW w:w="1440" w:type="dxa"/>
          </w:tcPr>
          <w:p w:rsidR="0050288A" w:rsidRPr="00377A26" w:rsidP="00D81627" w14:paraId="6E4C6751" w14:textId="26F98111">
            <w:pPr>
              <w:rPr>
                <w:rFonts w:ascii="Arial" w:hAnsi="Arial" w:cs="Arial"/>
              </w:rPr>
            </w:pPr>
            <w:r w:rsidRPr="00EF6E1C">
              <w:rPr>
                <w:rFonts w:ascii="Arial" w:hAnsi="Arial" w:cs="Arial"/>
              </w:rPr>
              <w:t>5,777.10</w:t>
            </w:r>
          </w:p>
        </w:tc>
      </w:tr>
      <w:tr w14:paraId="6ABE1A55" w14:textId="77777777" w:rsidTr="00C97A7D">
        <w:tblPrEx>
          <w:tblW w:w="10525" w:type="dxa"/>
          <w:tblLayout w:type="fixed"/>
          <w:tblLook w:val="06A0"/>
        </w:tblPrEx>
        <w:trPr>
          <w:trHeight w:val="620"/>
        </w:trPr>
        <w:tc>
          <w:tcPr>
            <w:tcW w:w="3055" w:type="dxa"/>
          </w:tcPr>
          <w:p w:rsidR="00A62A5E" w:rsidRPr="00377A26" w:rsidP="00D81627" w14:paraId="6DAF7EFB" w14:textId="0581A4EB">
            <w:pPr>
              <w:rPr>
                <w:rFonts w:ascii="Arial" w:hAnsi="Arial" w:cs="Arial"/>
              </w:rPr>
            </w:pPr>
            <w:r w:rsidRPr="00377A26">
              <w:rPr>
                <w:rFonts w:ascii="Arial" w:hAnsi="Arial" w:cs="Arial"/>
              </w:rPr>
              <w:t xml:space="preserve">Compliance - Corrective Action Plan  </w:t>
            </w:r>
          </w:p>
        </w:tc>
        <w:tc>
          <w:tcPr>
            <w:tcW w:w="1710" w:type="dxa"/>
          </w:tcPr>
          <w:p w:rsidR="00A62A5E" w:rsidRPr="00377A26" w:rsidP="00D81627" w14:paraId="00A75740" w14:textId="7EE0E581">
            <w:pPr>
              <w:rPr>
                <w:rFonts w:ascii="Arial" w:hAnsi="Arial" w:cs="Arial"/>
              </w:rPr>
            </w:pPr>
            <w:r w:rsidRPr="00377A26">
              <w:rPr>
                <w:rFonts w:ascii="Arial" w:hAnsi="Arial" w:cs="Arial"/>
              </w:rPr>
              <w:t>25</w:t>
            </w:r>
          </w:p>
        </w:tc>
        <w:tc>
          <w:tcPr>
            <w:tcW w:w="1260" w:type="dxa"/>
          </w:tcPr>
          <w:p w:rsidR="00A62A5E" w:rsidRPr="00377A26" w:rsidP="00D81627" w14:paraId="2ECAF3AA" w14:textId="69E3BBC9">
            <w:pPr>
              <w:rPr>
                <w:rFonts w:ascii="Arial" w:hAnsi="Arial" w:cs="Arial"/>
              </w:rPr>
            </w:pPr>
            <w:r w:rsidRPr="00377A26">
              <w:rPr>
                <w:rFonts w:ascii="Arial" w:hAnsi="Arial" w:cs="Arial"/>
              </w:rPr>
              <w:t>GS13</w:t>
            </w:r>
            <w:r w:rsidRPr="00377A26" w:rsidR="00ED40EB">
              <w:rPr>
                <w:rFonts w:ascii="Arial" w:hAnsi="Arial" w:cs="Arial"/>
              </w:rPr>
              <w:t xml:space="preserve"> - </w:t>
            </w:r>
            <w:r w:rsidRPr="00377A26">
              <w:rPr>
                <w:rFonts w:ascii="Arial" w:hAnsi="Arial" w:cs="Arial"/>
              </w:rPr>
              <w:t>4</w:t>
            </w:r>
          </w:p>
        </w:tc>
        <w:tc>
          <w:tcPr>
            <w:tcW w:w="1080" w:type="dxa"/>
          </w:tcPr>
          <w:p w:rsidR="00A62A5E" w:rsidRPr="00377A26" w:rsidP="00D81627" w14:paraId="3AF28A30" w14:textId="1843A493">
            <w:pPr>
              <w:rPr>
                <w:rFonts w:ascii="Arial" w:hAnsi="Arial" w:cs="Arial"/>
              </w:rPr>
            </w:pPr>
            <w:r w:rsidRPr="00377A26">
              <w:rPr>
                <w:rFonts w:ascii="Arial" w:hAnsi="Arial" w:cs="Arial"/>
              </w:rPr>
              <w:t>30</w:t>
            </w:r>
          </w:p>
        </w:tc>
        <w:tc>
          <w:tcPr>
            <w:tcW w:w="1080" w:type="dxa"/>
          </w:tcPr>
          <w:p w:rsidR="00A62A5E" w:rsidRPr="00377A26" w:rsidP="00D81627" w14:paraId="5BBC5B9A" w14:textId="7EEC04E7">
            <w:pPr>
              <w:rPr>
                <w:rFonts w:ascii="Arial" w:hAnsi="Arial" w:cs="Arial"/>
              </w:rPr>
            </w:pPr>
            <w:r w:rsidRPr="00377A26">
              <w:rPr>
                <w:rFonts w:ascii="Arial" w:hAnsi="Arial" w:cs="Arial"/>
              </w:rPr>
              <w:t>12</w:t>
            </w:r>
            <w:r w:rsidRPr="00377A26" w:rsidR="00432855">
              <w:rPr>
                <w:rFonts w:ascii="Arial" w:hAnsi="Arial" w:cs="Arial"/>
              </w:rPr>
              <w:t>.5</w:t>
            </w:r>
          </w:p>
        </w:tc>
        <w:tc>
          <w:tcPr>
            <w:tcW w:w="900" w:type="dxa"/>
          </w:tcPr>
          <w:p w:rsidR="00A62A5E" w:rsidRPr="00377A26" w:rsidP="00D81627" w14:paraId="05AC3915" w14:textId="1F675BDE">
            <w:pPr>
              <w:rPr>
                <w:rFonts w:ascii="Arial" w:hAnsi="Arial" w:cs="Arial"/>
              </w:rPr>
            </w:pPr>
            <w:r w:rsidRPr="00377A26">
              <w:rPr>
                <w:rFonts w:ascii="Arial" w:hAnsi="Arial" w:cs="Arial"/>
              </w:rPr>
              <w:t>64.19</w:t>
            </w:r>
          </w:p>
        </w:tc>
        <w:tc>
          <w:tcPr>
            <w:tcW w:w="1440" w:type="dxa"/>
          </w:tcPr>
          <w:p w:rsidR="00A62A5E" w:rsidRPr="00377A26" w:rsidP="00D81627" w14:paraId="3B168A22" w14:textId="4D32DA83">
            <w:pPr>
              <w:rPr>
                <w:rFonts w:ascii="Arial" w:hAnsi="Arial" w:cs="Arial"/>
              </w:rPr>
            </w:pPr>
            <w:r w:rsidRPr="00377A26">
              <w:rPr>
                <w:rFonts w:ascii="Arial" w:hAnsi="Arial" w:cs="Arial"/>
              </w:rPr>
              <w:t>802.38</w:t>
            </w:r>
          </w:p>
        </w:tc>
      </w:tr>
      <w:tr w14:paraId="1B5C4569" w14:textId="77777777" w:rsidTr="00C97A7D">
        <w:tblPrEx>
          <w:tblW w:w="10525" w:type="dxa"/>
          <w:tblLayout w:type="fixed"/>
          <w:tblLook w:val="06A0"/>
        </w:tblPrEx>
        <w:trPr>
          <w:trHeight w:val="350"/>
        </w:trPr>
        <w:tc>
          <w:tcPr>
            <w:tcW w:w="3055" w:type="dxa"/>
          </w:tcPr>
          <w:p w:rsidR="00A62A5E" w:rsidRPr="00377A26" w:rsidP="000C7AA1" w14:paraId="34D7530F" w14:textId="77777777">
            <w:pPr>
              <w:rPr>
                <w:rFonts w:ascii="Arial" w:hAnsi="Arial" w:cs="Arial"/>
                <w:b/>
                <w:bCs/>
              </w:rPr>
            </w:pPr>
            <w:r w:rsidRPr="00377A26">
              <w:rPr>
                <w:rFonts w:ascii="Arial" w:hAnsi="Arial" w:cs="Arial"/>
                <w:b/>
                <w:bCs/>
              </w:rPr>
              <w:t>Totals</w:t>
            </w:r>
          </w:p>
        </w:tc>
        <w:tc>
          <w:tcPr>
            <w:tcW w:w="1710" w:type="dxa"/>
          </w:tcPr>
          <w:p w:rsidR="00A62A5E" w:rsidRPr="00377A26" w:rsidP="000C7AA1" w14:paraId="7EAEC99B" w14:textId="0ECCEF1C">
            <w:pPr>
              <w:rPr>
                <w:rFonts w:ascii="Arial" w:hAnsi="Arial" w:cs="Arial"/>
              </w:rPr>
            </w:pPr>
          </w:p>
        </w:tc>
        <w:tc>
          <w:tcPr>
            <w:tcW w:w="1260" w:type="dxa"/>
          </w:tcPr>
          <w:p w:rsidR="00A62A5E" w:rsidRPr="00377A26" w:rsidP="000C7AA1" w14:paraId="75845A01" w14:textId="50D97473">
            <w:pPr>
              <w:rPr>
                <w:rFonts w:ascii="Arial" w:hAnsi="Arial" w:cs="Arial"/>
              </w:rPr>
            </w:pPr>
          </w:p>
        </w:tc>
        <w:tc>
          <w:tcPr>
            <w:tcW w:w="1080" w:type="dxa"/>
          </w:tcPr>
          <w:p w:rsidR="00A62A5E" w:rsidRPr="00377A26" w:rsidP="000C7AA1" w14:paraId="09730D90" w14:textId="7CBE5D82">
            <w:pPr>
              <w:spacing w:line="259" w:lineRule="auto"/>
              <w:rPr>
                <w:rFonts w:ascii="Arial" w:hAnsi="Arial" w:cs="Arial"/>
              </w:rPr>
            </w:pPr>
            <w:r w:rsidRPr="00377A26">
              <w:rPr>
                <w:rFonts w:ascii="Arial" w:hAnsi="Arial" w:cs="Arial"/>
              </w:rPr>
              <w:t xml:space="preserve"> </w:t>
            </w:r>
          </w:p>
        </w:tc>
        <w:tc>
          <w:tcPr>
            <w:tcW w:w="1080" w:type="dxa"/>
          </w:tcPr>
          <w:p w:rsidR="00A62A5E" w:rsidRPr="00377A26" w:rsidP="000C7AA1" w14:paraId="4FB33942" w14:textId="77777777">
            <w:pPr>
              <w:rPr>
                <w:rFonts w:ascii="Arial" w:hAnsi="Arial" w:cs="Arial"/>
              </w:rPr>
            </w:pPr>
          </w:p>
        </w:tc>
        <w:tc>
          <w:tcPr>
            <w:tcW w:w="900" w:type="dxa"/>
          </w:tcPr>
          <w:p w:rsidR="00A62A5E" w:rsidRPr="00377A26" w:rsidP="000C7AA1" w14:paraId="7EA99459" w14:textId="41553426">
            <w:pPr>
              <w:rPr>
                <w:rFonts w:ascii="Arial" w:hAnsi="Arial" w:cs="Arial"/>
              </w:rPr>
            </w:pPr>
          </w:p>
        </w:tc>
        <w:tc>
          <w:tcPr>
            <w:tcW w:w="1440" w:type="dxa"/>
          </w:tcPr>
          <w:p w:rsidR="00A62A5E" w:rsidRPr="00377A26" w:rsidP="000C7AA1" w14:paraId="1830A1B0" w14:textId="630C7EE0">
            <w:pPr>
              <w:spacing w:line="259" w:lineRule="auto"/>
              <w:rPr>
                <w:rFonts w:ascii="Arial" w:hAnsi="Arial" w:cs="Arial"/>
              </w:rPr>
            </w:pPr>
            <w:r>
              <w:rPr>
                <w:rFonts w:ascii="Arial" w:hAnsi="Arial" w:cs="Arial"/>
              </w:rPr>
              <w:t>~</w:t>
            </w:r>
            <w:r w:rsidRPr="00377A26" w:rsidR="00432855">
              <w:rPr>
                <w:rFonts w:ascii="Arial" w:hAnsi="Arial" w:cs="Arial"/>
              </w:rPr>
              <w:t>$133,67</w:t>
            </w:r>
            <w:r w:rsidR="00CB0BA4">
              <w:rPr>
                <w:rFonts w:ascii="Arial" w:hAnsi="Arial" w:cs="Arial"/>
              </w:rPr>
              <w:t>5</w:t>
            </w:r>
          </w:p>
        </w:tc>
      </w:tr>
    </w:tbl>
    <w:p w:rsidR="0043790D" w:rsidRPr="00377A26" w:rsidP="55907079" w14:paraId="41D4132B" w14:textId="1FF6B3CB">
      <w:pPr>
        <w:tabs>
          <w:tab w:val="left" w:pos="547"/>
          <w:tab w:val="left" w:pos="1080"/>
          <w:tab w:val="left" w:pos="1627"/>
          <w:tab w:val="left" w:pos="2160"/>
          <w:tab w:val="left" w:pos="2880"/>
        </w:tabs>
        <w:rPr>
          <w:rFonts w:ascii="Arial" w:hAnsi="Arial" w:cs="Arial"/>
        </w:rPr>
      </w:pPr>
      <w:r w:rsidRPr="00377A26">
        <w:br/>
      </w:r>
    </w:p>
    <w:p w:rsidR="006F1074" w:rsidRPr="00EE53F3" w:rsidP="003D77C7" w14:paraId="773E15B1" w14:textId="4B83B378">
      <w:pPr>
        <w:spacing w:line="259" w:lineRule="auto"/>
        <w:rPr>
          <w:rFonts w:ascii="Arial" w:hAnsi="Arial" w:cs="Arial"/>
          <w:b/>
          <w:bCs/>
        </w:rPr>
      </w:pPr>
      <w:r w:rsidRPr="00377A26">
        <w:rPr>
          <w:rFonts w:ascii="Arial" w:hAnsi="Arial" w:cs="Arial"/>
        </w:rPr>
        <w:t xml:space="preserve">The total </w:t>
      </w:r>
      <w:r w:rsidRPr="00377A26" w:rsidR="00432855">
        <w:rPr>
          <w:rFonts w:ascii="Arial" w:hAnsi="Arial" w:cs="Arial"/>
        </w:rPr>
        <w:t xml:space="preserve">estimated </w:t>
      </w:r>
      <w:r w:rsidRPr="00377A26" w:rsidR="00116127">
        <w:rPr>
          <w:rFonts w:ascii="Arial" w:hAnsi="Arial" w:cs="Arial"/>
        </w:rPr>
        <w:t xml:space="preserve">annual </w:t>
      </w:r>
      <w:r w:rsidRPr="00377A26">
        <w:rPr>
          <w:rFonts w:ascii="Arial" w:hAnsi="Arial" w:cs="Arial"/>
        </w:rPr>
        <w:t xml:space="preserve">cost estimate </w:t>
      </w:r>
      <w:r w:rsidRPr="00377A26" w:rsidR="00432855">
        <w:rPr>
          <w:rFonts w:ascii="Arial" w:hAnsi="Arial" w:cs="Arial"/>
        </w:rPr>
        <w:t xml:space="preserve">to the </w:t>
      </w:r>
      <w:r w:rsidRPr="00377A26" w:rsidR="00116127">
        <w:rPr>
          <w:rFonts w:ascii="Arial" w:hAnsi="Arial" w:cs="Arial"/>
        </w:rPr>
        <w:t xml:space="preserve">Federal Government </w:t>
      </w:r>
      <w:r w:rsidRPr="00377A26">
        <w:rPr>
          <w:rFonts w:ascii="Arial" w:hAnsi="Arial" w:cs="Arial"/>
        </w:rPr>
        <w:t>is</w:t>
      </w:r>
      <w:r w:rsidRPr="00377A26" w:rsidR="00432855">
        <w:rPr>
          <w:rFonts w:ascii="Arial" w:hAnsi="Arial" w:cs="Arial"/>
        </w:rPr>
        <w:t xml:space="preserve">: </w:t>
      </w:r>
      <w:r w:rsidRPr="00377A26">
        <w:rPr>
          <w:rFonts w:ascii="Arial" w:hAnsi="Arial" w:cs="Arial"/>
        </w:rPr>
        <w:t xml:space="preserve"> </w:t>
      </w:r>
      <w:r w:rsidRPr="00377A26">
        <w:rPr>
          <w:rFonts w:ascii="Arial" w:hAnsi="Arial" w:cs="Arial"/>
          <w:b/>
          <w:bCs/>
        </w:rPr>
        <w:t>$</w:t>
      </w:r>
      <w:r w:rsidRPr="00377A26" w:rsidR="00432855">
        <w:rPr>
          <w:rFonts w:ascii="Arial" w:hAnsi="Arial" w:cs="Arial"/>
          <w:b/>
          <w:bCs/>
        </w:rPr>
        <w:t>133,675</w:t>
      </w:r>
      <w:r w:rsidR="00CB0BA4">
        <w:rPr>
          <w:rFonts w:ascii="Arial" w:hAnsi="Arial" w:cs="Arial"/>
          <w:b/>
          <w:bCs/>
        </w:rPr>
        <w:t xml:space="preserve"> </w:t>
      </w:r>
    </w:p>
    <w:p w:rsidR="006F1074" w:rsidP="5045B95B" w14:paraId="3629A838" w14:textId="77911795">
      <w:pPr>
        <w:ind w:right="54"/>
        <w:rPr>
          <w:rFonts w:ascii="Arial" w:hAnsi="Arial" w:cs="Arial"/>
        </w:rPr>
      </w:pPr>
    </w:p>
    <w:p w:rsidR="00351F93" w:rsidP="006D030D" w14:paraId="07F56FAD" w14:textId="77777777">
      <w:pPr>
        <w:tabs>
          <w:tab w:val="left" w:pos="547"/>
          <w:tab w:val="left" w:pos="1080"/>
          <w:tab w:val="left" w:pos="1627"/>
          <w:tab w:val="left" w:pos="2160"/>
          <w:tab w:val="left" w:pos="2880"/>
        </w:tabs>
        <w:rPr>
          <w:rFonts w:ascii="Arial" w:hAnsi="Arial" w:cs="Arial"/>
        </w:rPr>
      </w:pPr>
    </w:p>
    <w:p w:rsidR="00536A11" w:rsidRPr="00AD106D" w14:paraId="5A2D98F4"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15.</w:t>
      </w:r>
      <w:r w:rsidRPr="00AD106D">
        <w:rPr>
          <w:rFonts w:ascii="Arial" w:hAnsi="Arial" w:cs="Arial"/>
          <w:b/>
        </w:rPr>
        <w:tab/>
        <w:t>Explain the reason for any burden hour changes</w:t>
      </w:r>
      <w:r w:rsidRPr="00AD106D">
        <w:rPr>
          <w:rFonts w:ascii="Arial" w:hAnsi="Arial" w:cs="Arial"/>
          <w:b/>
          <w:color w:val="0000FF"/>
        </w:rPr>
        <w:t xml:space="preserve"> </w:t>
      </w:r>
      <w:r w:rsidRPr="00AD106D" w:rsidR="00B16AAF">
        <w:rPr>
          <w:rFonts w:ascii="Arial" w:hAnsi="Arial" w:cs="Arial"/>
          <w:b/>
        </w:rPr>
        <w:t>or adjustments reported in items 13 or 1</w:t>
      </w:r>
      <w:r w:rsidRPr="00AD106D" w:rsidR="007A010B">
        <w:rPr>
          <w:rFonts w:ascii="Arial" w:hAnsi="Arial" w:cs="Arial"/>
          <w:b/>
        </w:rPr>
        <w:t>4</w:t>
      </w:r>
      <w:r w:rsidRPr="00AD106D">
        <w:rPr>
          <w:rFonts w:ascii="Arial" w:hAnsi="Arial" w:cs="Arial"/>
          <w:b/>
        </w:rPr>
        <w:t>.</w:t>
      </w:r>
    </w:p>
    <w:p w:rsidR="00536A11" w:rsidRPr="00AD106D" w14:paraId="2251B7D6" w14:textId="77777777">
      <w:pPr>
        <w:tabs>
          <w:tab w:val="left" w:pos="547"/>
          <w:tab w:val="left" w:pos="1080"/>
          <w:tab w:val="left" w:pos="1627"/>
          <w:tab w:val="left" w:pos="2160"/>
          <w:tab w:val="left" w:pos="2880"/>
        </w:tabs>
        <w:rPr>
          <w:rFonts w:ascii="Arial" w:hAnsi="Arial" w:cs="Arial"/>
        </w:rPr>
      </w:pPr>
    </w:p>
    <w:p w:rsidR="00163C80" w:rsidRPr="00AD106D" w:rsidP="00163C80" w14:paraId="7C8F1806" w14:textId="581CCB66">
      <w:pPr>
        <w:tabs>
          <w:tab w:val="left" w:pos="547"/>
          <w:tab w:val="left" w:pos="1080"/>
          <w:tab w:val="left" w:pos="1627"/>
          <w:tab w:val="left" w:pos="2160"/>
          <w:tab w:val="left" w:pos="2880"/>
        </w:tabs>
        <w:rPr>
          <w:rFonts w:ascii="Arial" w:hAnsi="Arial" w:cs="Arial"/>
        </w:rPr>
      </w:pPr>
      <w:r>
        <w:rPr>
          <w:rFonts w:ascii="Arial" w:hAnsi="Arial" w:cs="Arial"/>
        </w:rPr>
        <w:t>There are</w:t>
      </w:r>
      <w:r w:rsidRPr="00AD106D">
        <w:rPr>
          <w:rFonts w:ascii="Arial" w:hAnsi="Arial" w:cs="Arial"/>
        </w:rPr>
        <w:t xml:space="preserve"> </w:t>
      </w:r>
      <w:r w:rsidR="00F5354B">
        <w:rPr>
          <w:rFonts w:ascii="Arial" w:hAnsi="Arial" w:cs="Arial"/>
        </w:rPr>
        <w:t>changes in the numbers of respondents and burden hours based upon program data since the last PRA clearance</w:t>
      </w:r>
      <w:r>
        <w:rPr>
          <w:rFonts w:ascii="Arial" w:hAnsi="Arial" w:cs="Arial"/>
        </w:rPr>
        <w:t>.</w:t>
      </w:r>
    </w:p>
    <w:p w:rsidR="00536A11" w14:paraId="720AD149" w14:textId="1D966C95">
      <w:pPr>
        <w:tabs>
          <w:tab w:val="left" w:pos="547"/>
          <w:tab w:val="left" w:pos="1080"/>
          <w:tab w:val="left" w:pos="1627"/>
          <w:tab w:val="left" w:pos="2160"/>
          <w:tab w:val="left" w:pos="2880"/>
        </w:tabs>
        <w:rPr>
          <w:rFonts w:ascii="Arial" w:hAnsi="Arial" w:cs="Arial"/>
        </w:rPr>
      </w:pPr>
    </w:p>
    <w:p w:rsidR="00377A26" w14:paraId="1AEA8AD6" w14:textId="77777777">
      <w:pPr>
        <w:tabs>
          <w:tab w:val="left" w:pos="547"/>
          <w:tab w:val="left" w:pos="1080"/>
          <w:tab w:val="left" w:pos="1627"/>
          <w:tab w:val="left" w:pos="2160"/>
          <w:tab w:val="left" w:pos="2880"/>
        </w:tabs>
        <w:rPr>
          <w:rFonts w:ascii="Arial" w:hAnsi="Arial" w:cs="Arial"/>
        </w:rPr>
      </w:pPr>
    </w:p>
    <w:p w:rsidR="00536A11" w:rsidRPr="00AD106D" w14:paraId="240BC9C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r w:rsidRPr="001D3A83">
        <w:rPr>
          <w:rFonts w:ascii="Arial" w:hAnsi="Arial" w:cs="Arial"/>
          <w:sz w:val="24"/>
        </w:rPr>
        <w:t>16.</w:t>
      </w:r>
      <w:r w:rsidRPr="001D3A83">
        <w:rPr>
          <w:rFonts w:ascii="Arial" w:hAnsi="Arial" w:cs="Arial"/>
          <w:sz w:val="24"/>
        </w:rPr>
        <w:tab/>
        <w:t>For collections of information whose results will be published, outline plans for tabulation and publication</w:t>
      </w:r>
      <w:r w:rsidRPr="00AD106D">
        <w:rPr>
          <w:rFonts w:ascii="Arial" w:hAnsi="Arial" w:cs="Arial"/>
          <w:sz w:val="24"/>
        </w:rPr>
        <w:t>.  Address any complex analytical techniques that will be used.  Provide the time schedule for the entire project, including beginning and ending dates of the collection of information, completion of report, publication dates, and other actions.</w:t>
      </w:r>
    </w:p>
    <w:p w:rsidR="00536A11" w:rsidRPr="00AD106D" w14:paraId="7349365A" w14:textId="77777777">
      <w:pPr>
        <w:tabs>
          <w:tab w:val="left" w:pos="547"/>
          <w:tab w:val="left" w:pos="1080"/>
          <w:tab w:val="left" w:pos="1627"/>
          <w:tab w:val="left" w:pos="2160"/>
          <w:tab w:val="left" w:pos="2880"/>
        </w:tabs>
        <w:rPr>
          <w:rFonts w:ascii="Arial" w:hAnsi="Arial" w:cs="Arial"/>
        </w:rPr>
      </w:pPr>
    </w:p>
    <w:p w:rsidR="006D030D" w:rsidRPr="006D030D" w:rsidP="0039337D" w14:paraId="3C172C2B" w14:textId="18DC6DB5">
      <w:pPr>
        <w:widowControl w:val="0"/>
        <w:tabs>
          <w:tab w:val="left" w:pos="540"/>
        </w:tabs>
        <w:spacing w:after="40"/>
        <w:rPr>
          <w:rFonts w:ascii="Arial" w:hAnsi="Arial" w:cs="Arial"/>
          <w:szCs w:val="20"/>
        </w:rPr>
      </w:pPr>
      <w:r w:rsidRPr="006D030D">
        <w:rPr>
          <w:rFonts w:ascii="Arial" w:hAnsi="Arial" w:cs="Arial"/>
          <w:u w:val="single"/>
        </w:rPr>
        <w:t>Application</w:t>
      </w:r>
      <w:r w:rsidRPr="00617628">
        <w:rPr>
          <w:rFonts w:ascii="Arial" w:hAnsi="Arial" w:cs="Arial"/>
          <w:bCs/>
        </w:rPr>
        <w:t>:</w:t>
      </w:r>
      <w:r w:rsidRPr="006D030D">
        <w:rPr>
          <w:rFonts w:ascii="Arial" w:hAnsi="Arial" w:cs="Arial"/>
          <w:bCs/>
        </w:rPr>
        <w:t xml:space="preserve"> </w:t>
      </w:r>
      <w:r w:rsidR="00C672B3">
        <w:rPr>
          <w:rFonts w:ascii="Arial" w:hAnsi="Arial" w:cs="Arial"/>
          <w:bCs/>
        </w:rPr>
        <w:t xml:space="preserve"> </w:t>
      </w:r>
      <w:r w:rsidRPr="006D030D">
        <w:rPr>
          <w:rFonts w:ascii="Arial" w:hAnsi="Arial" w:cs="Arial"/>
          <w:szCs w:val="20"/>
        </w:rPr>
        <w:t xml:space="preserve">VA does not intend to publish this data, except to notify the selected applicants of their grant award and announce to the public the list of grant awards. This form </w:t>
      </w:r>
      <w:r w:rsidR="00210A46">
        <w:rPr>
          <w:rFonts w:ascii="Arial" w:hAnsi="Arial" w:cs="Arial"/>
          <w:szCs w:val="20"/>
        </w:rPr>
        <w:t xml:space="preserve">is </w:t>
      </w:r>
      <w:r w:rsidRPr="006D030D">
        <w:rPr>
          <w:rFonts w:ascii="Arial" w:hAnsi="Arial" w:cs="Arial"/>
          <w:szCs w:val="20"/>
        </w:rPr>
        <w:t>published along with</w:t>
      </w:r>
      <w:r w:rsidR="00003699">
        <w:rPr>
          <w:rFonts w:ascii="Arial" w:hAnsi="Arial" w:cs="Arial"/>
          <w:szCs w:val="20"/>
        </w:rPr>
        <w:t xml:space="preserve"> the NOFO</w:t>
      </w:r>
      <w:r w:rsidRPr="006D030D">
        <w:rPr>
          <w:rFonts w:ascii="Arial" w:hAnsi="Arial" w:cs="Arial"/>
          <w:szCs w:val="20"/>
        </w:rPr>
        <w:t>. Once the NOF</w:t>
      </w:r>
      <w:r>
        <w:rPr>
          <w:rFonts w:ascii="Arial" w:hAnsi="Arial" w:cs="Arial"/>
          <w:szCs w:val="20"/>
        </w:rPr>
        <w:t>O</w:t>
      </w:r>
      <w:r w:rsidRPr="006D030D">
        <w:rPr>
          <w:rFonts w:ascii="Arial" w:hAnsi="Arial" w:cs="Arial"/>
          <w:szCs w:val="20"/>
        </w:rPr>
        <w:t xml:space="preserve"> has been published, applicants have 30 to 45 days to submit a completed application package. Once the application period is over, the information </w:t>
      </w:r>
      <w:r w:rsidR="00210A46">
        <w:rPr>
          <w:rFonts w:ascii="Arial" w:hAnsi="Arial" w:cs="Arial"/>
          <w:szCs w:val="20"/>
        </w:rPr>
        <w:t xml:space="preserve">is </w:t>
      </w:r>
      <w:r w:rsidRPr="006D030D">
        <w:rPr>
          <w:rFonts w:ascii="Arial" w:hAnsi="Arial" w:cs="Arial"/>
          <w:szCs w:val="20"/>
        </w:rPr>
        <w:t xml:space="preserve">reviewed during an approximately 6-month VA evaluation period, after which </w:t>
      </w:r>
      <w:r w:rsidR="00003699">
        <w:rPr>
          <w:rFonts w:ascii="Arial" w:hAnsi="Arial" w:cs="Arial"/>
        </w:rPr>
        <w:t>SSG Fox SPGP</w:t>
      </w:r>
      <w:r w:rsidRPr="006D030D">
        <w:rPr>
          <w:rFonts w:ascii="Arial" w:hAnsi="Arial" w:cs="Arial"/>
          <w:szCs w:val="20"/>
        </w:rPr>
        <w:t xml:space="preserve"> grants </w:t>
      </w:r>
      <w:r w:rsidR="00210A46">
        <w:rPr>
          <w:rFonts w:ascii="Arial" w:hAnsi="Arial" w:cs="Arial"/>
          <w:szCs w:val="20"/>
        </w:rPr>
        <w:t>are</w:t>
      </w:r>
      <w:r w:rsidRPr="006D030D">
        <w:rPr>
          <w:rFonts w:ascii="Arial" w:hAnsi="Arial" w:cs="Arial"/>
          <w:szCs w:val="20"/>
        </w:rPr>
        <w:t xml:space="preserve"> awarded.</w:t>
      </w:r>
    </w:p>
    <w:p w:rsidR="00351F93" w:rsidRPr="006D030D" w:rsidP="006D030D" w14:paraId="3067E2BB" w14:textId="77777777">
      <w:pPr>
        <w:widowControl w:val="0"/>
        <w:tabs>
          <w:tab w:val="left" w:pos="540"/>
        </w:tabs>
        <w:rPr>
          <w:rFonts w:ascii="Arial" w:hAnsi="Arial" w:cs="Arial"/>
          <w:szCs w:val="20"/>
        </w:rPr>
      </w:pPr>
    </w:p>
    <w:p w:rsidR="006D030D" w:rsidRPr="006D030D" w:rsidP="006D030D" w14:paraId="72A08730" w14:textId="3042DA3F">
      <w:pPr>
        <w:tabs>
          <w:tab w:val="left" w:pos="547"/>
          <w:tab w:val="left" w:pos="1080"/>
          <w:tab w:val="left" w:pos="1627"/>
          <w:tab w:val="left" w:pos="2160"/>
          <w:tab w:val="left" w:pos="2880"/>
        </w:tabs>
        <w:spacing w:after="40"/>
        <w:rPr>
          <w:rFonts w:ascii="Arial" w:hAnsi="Arial" w:cs="Arial"/>
        </w:rPr>
      </w:pPr>
      <w:r w:rsidRPr="00B46CAB">
        <w:rPr>
          <w:rFonts w:ascii="Arial" w:hAnsi="Arial" w:cs="Arial"/>
          <w:u w:val="single"/>
        </w:rPr>
        <w:t xml:space="preserve">Renewal </w:t>
      </w:r>
      <w:r w:rsidR="004804DF">
        <w:rPr>
          <w:rFonts w:ascii="Arial" w:hAnsi="Arial" w:cs="Arial"/>
          <w:u w:val="single"/>
        </w:rPr>
        <w:t>A</w:t>
      </w:r>
      <w:r w:rsidRPr="00B46CAB">
        <w:rPr>
          <w:rFonts w:ascii="Arial" w:hAnsi="Arial" w:cs="Arial"/>
          <w:u w:val="single"/>
        </w:rPr>
        <w:t>pplication</w:t>
      </w:r>
      <w:r w:rsidRPr="00617628">
        <w:rPr>
          <w:rFonts w:ascii="Arial" w:hAnsi="Arial" w:cs="Arial"/>
        </w:rPr>
        <w:t>:</w:t>
      </w:r>
      <w:r w:rsidRPr="006D030D">
        <w:rPr>
          <w:rFonts w:ascii="Arial" w:hAnsi="Arial" w:cs="Arial"/>
        </w:rPr>
        <w:t xml:space="preserve"> </w:t>
      </w:r>
      <w:r w:rsidR="00C672B3">
        <w:rPr>
          <w:rFonts w:ascii="Arial" w:hAnsi="Arial" w:cs="Arial"/>
        </w:rPr>
        <w:t xml:space="preserve"> </w:t>
      </w:r>
      <w:r w:rsidRPr="006D030D">
        <w:rPr>
          <w:rFonts w:ascii="Arial" w:hAnsi="Arial" w:cs="Arial"/>
          <w:szCs w:val="20"/>
        </w:rPr>
        <w:t xml:space="preserve">VA does not intend to publish this data, except to notify the selected applicants of their grant renewal and announce to the public the list of grant awards. This form </w:t>
      </w:r>
      <w:r w:rsidR="007714DB">
        <w:rPr>
          <w:rFonts w:ascii="Arial" w:hAnsi="Arial" w:cs="Arial"/>
          <w:szCs w:val="20"/>
        </w:rPr>
        <w:t xml:space="preserve">is </w:t>
      </w:r>
      <w:r w:rsidRPr="006D030D">
        <w:rPr>
          <w:rFonts w:ascii="Arial" w:hAnsi="Arial" w:cs="Arial"/>
          <w:szCs w:val="20"/>
        </w:rPr>
        <w:t xml:space="preserve">published along with a </w:t>
      </w:r>
      <w:r>
        <w:rPr>
          <w:rFonts w:ascii="Arial" w:hAnsi="Arial" w:cs="Arial"/>
          <w:szCs w:val="20"/>
        </w:rPr>
        <w:t>NOFO</w:t>
      </w:r>
      <w:r w:rsidRPr="006D030D">
        <w:rPr>
          <w:rFonts w:ascii="Arial" w:hAnsi="Arial" w:cs="Arial"/>
          <w:szCs w:val="20"/>
        </w:rPr>
        <w:t>. Once the NOF</w:t>
      </w:r>
      <w:r>
        <w:rPr>
          <w:rFonts w:ascii="Arial" w:hAnsi="Arial" w:cs="Arial"/>
          <w:szCs w:val="20"/>
        </w:rPr>
        <w:t>O</w:t>
      </w:r>
      <w:r w:rsidRPr="006D030D">
        <w:rPr>
          <w:rFonts w:ascii="Arial" w:hAnsi="Arial" w:cs="Arial"/>
          <w:szCs w:val="20"/>
        </w:rPr>
        <w:t xml:space="preserve"> has been published, applicants have approximately 30 to 45 days to submit a completed renewal application package. Once the application period is over, the information </w:t>
      </w:r>
      <w:r w:rsidR="007714DB">
        <w:rPr>
          <w:rFonts w:ascii="Arial" w:hAnsi="Arial" w:cs="Arial"/>
          <w:szCs w:val="20"/>
        </w:rPr>
        <w:t>is</w:t>
      </w:r>
      <w:r w:rsidRPr="006D030D">
        <w:rPr>
          <w:rFonts w:ascii="Arial" w:hAnsi="Arial" w:cs="Arial"/>
          <w:szCs w:val="20"/>
        </w:rPr>
        <w:t xml:space="preserve"> reviewed during an approximately 6-month VA evaluation period, after which </w:t>
      </w:r>
      <w:r w:rsidR="00003699">
        <w:rPr>
          <w:rFonts w:ascii="Arial" w:hAnsi="Arial" w:cs="Arial"/>
        </w:rPr>
        <w:t>SSG Fox SPGP</w:t>
      </w:r>
      <w:r w:rsidRPr="006D030D">
        <w:rPr>
          <w:rFonts w:ascii="Arial" w:hAnsi="Arial" w:cs="Arial"/>
          <w:szCs w:val="20"/>
        </w:rPr>
        <w:t xml:space="preserve"> grants </w:t>
      </w:r>
      <w:r w:rsidR="007714DB">
        <w:rPr>
          <w:rFonts w:ascii="Arial" w:hAnsi="Arial" w:cs="Arial"/>
          <w:szCs w:val="20"/>
        </w:rPr>
        <w:t>are</w:t>
      </w:r>
      <w:r w:rsidRPr="006D030D">
        <w:rPr>
          <w:rFonts w:ascii="Arial" w:hAnsi="Arial" w:cs="Arial"/>
          <w:szCs w:val="20"/>
        </w:rPr>
        <w:t xml:space="preserve"> renewed.</w:t>
      </w:r>
    </w:p>
    <w:p w:rsidR="006D030D" w:rsidP="006D030D" w14:paraId="136F347A" w14:textId="77777777">
      <w:pPr>
        <w:tabs>
          <w:tab w:val="left" w:pos="547"/>
          <w:tab w:val="left" w:pos="1080"/>
          <w:tab w:val="left" w:pos="1627"/>
          <w:tab w:val="left" w:pos="2160"/>
          <w:tab w:val="left" w:pos="2880"/>
        </w:tabs>
        <w:rPr>
          <w:rFonts w:ascii="Arial" w:hAnsi="Arial" w:cs="Arial"/>
        </w:rPr>
      </w:pPr>
    </w:p>
    <w:p w:rsidR="00C73838" w:rsidP="00C73838" w14:paraId="7C24BDCE" w14:textId="5B6987CD">
      <w:pPr>
        <w:tabs>
          <w:tab w:val="left" w:pos="547"/>
          <w:tab w:val="left" w:pos="1080"/>
          <w:tab w:val="left" w:pos="1627"/>
          <w:tab w:val="left" w:pos="2160"/>
          <w:tab w:val="left" w:pos="2880"/>
        </w:tabs>
        <w:spacing w:after="40"/>
        <w:rPr>
          <w:rFonts w:ascii="Arial" w:hAnsi="Arial" w:cs="Arial"/>
        </w:rPr>
      </w:pPr>
      <w:r w:rsidRPr="5045B95B">
        <w:rPr>
          <w:rFonts w:ascii="Arial" w:hAnsi="Arial" w:cs="Arial"/>
          <w:u w:val="single"/>
        </w:rPr>
        <w:t>Compliance Reports</w:t>
      </w:r>
      <w:r w:rsidRPr="00617628">
        <w:rPr>
          <w:rFonts w:ascii="Arial" w:hAnsi="Arial" w:cs="Arial"/>
        </w:rPr>
        <w:t xml:space="preserve">:  </w:t>
      </w:r>
      <w:r w:rsidRPr="5045B95B">
        <w:rPr>
          <w:rFonts w:ascii="Arial" w:hAnsi="Arial" w:cs="Arial"/>
        </w:rPr>
        <w:t xml:space="preserve">VA does not intend to publish this data. Collections </w:t>
      </w:r>
      <w:r w:rsidRPr="005F66A0">
        <w:rPr>
          <w:rFonts w:ascii="Arial" w:hAnsi="Arial" w:cs="Arial"/>
        </w:rPr>
        <w:t>occur on an annual</w:t>
      </w:r>
      <w:r w:rsidR="004C466E">
        <w:rPr>
          <w:rFonts w:ascii="Arial" w:hAnsi="Arial" w:cs="Arial"/>
        </w:rPr>
        <w:t xml:space="preserve">, mid-year, </w:t>
      </w:r>
      <w:r w:rsidRPr="005F66A0">
        <w:rPr>
          <w:rFonts w:ascii="Arial" w:hAnsi="Arial" w:cs="Arial"/>
        </w:rPr>
        <w:t>and ad hoc basis upon execution of the grant agreements</w:t>
      </w:r>
      <w:r w:rsidR="004C466E">
        <w:rPr>
          <w:rFonts w:ascii="Arial" w:hAnsi="Arial" w:cs="Arial"/>
        </w:rPr>
        <w:t>. These include Performance Reports,</w:t>
      </w:r>
      <w:r w:rsidRPr="005F66A0">
        <w:rPr>
          <w:rFonts w:ascii="Arial" w:hAnsi="Arial" w:cs="Arial"/>
        </w:rPr>
        <w:t xml:space="preserve"> Program</w:t>
      </w:r>
      <w:r w:rsidRPr="5045B95B">
        <w:rPr>
          <w:rFonts w:ascii="Arial" w:hAnsi="Arial" w:cs="Arial"/>
        </w:rPr>
        <w:t xml:space="preserve"> Changes</w:t>
      </w:r>
      <w:r>
        <w:rPr>
          <w:rFonts w:ascii="Arial" w:hAnsi="Arial" w:cs="Arial"/>
        </w:rPr>
        <w:t>, Corrective Action Plans</w:t>
      </w:r>
      <w:r w:rsidR="004C466E">
        <w:rPr>
          <w:rFonts w:ascii="Arial" w:hAnsi="Arial" w:cs="Arial"/>
        </w:rPr>
        <w:t>,</w:t>
      </w:r>
      <w:r>
        <w:rPr>
          <w:rFonts w:ascii="Arial" w:hAnsi="Arial" w:cs="Arial"/>
        </w:rPr>
        <w:t xml:space="preserve"> </w:t>
      </w:r>
      <w:r w:rsidRPr="5045B95B">
        <w:rPr>
          <w:rFonts w:ascii="Arial" w:hAnsi="Arial" w:cs="Arial"/>
        </w:rPr>
        <w:t xml:space="preserve">and Financial Expenditure Reports.  </w:t>
      </w:r>
    </w:p>
    <w:p w:rsidR="00C73838" w:rsidP="006D030D" w14:paraId="0388DEF2" w14:textId="77777777">
      <w:pPr>
        <w:tabs>
          <w:tab w:val="left" w:pos="547"/>
          <w:tab w:val="left" w:pos="1080"/>
          <w:tab w:val="left" w:pos="1627"/>
          <w:tab w:val="left" w:pos="2160"/>
          <w:tab w:val="left" w:pos="2880"/>
        </w:tabs>
        <w:rPr>
          <w:rFonts w:ascii="Arial" w:hAnsi="Arial" w:cs="Arial"/>
        </w:rPr>
      </w:pPr>
    </w:p>
    <w:p w:rsidR="00C73838" w:rsidP="00C73838" w14:paraId="7179624F" w14:textId="70D6130C">
      <w:pPr>
        <w:tabs>
          <w:tab w:val="left" w:pos="547"/>
          <w:tab w:val="left" w:pos="1080"/>
          <w:tab w:val="left" w:pos="1627"/>
          <w:tab w:val="left" w:pos="2160"/>
          <w:tab w:val="left" w:pos="2880"/>
        </w:tabs>
        <w:spacing w:after="40"/>
        <w:rPr>
          <w:rFonts w:ascii="Arial" w:hAnsi="Arial" w:cs="Arial"/>
        </w:rPr>
      </w:pPr>
      <w:r>
        <w:rPr>
          <w:rFonts w:ascii="Arial" w:hAnsi="Arial" w:cs="Arial"/>
          <w:szCs w:val="20"/>
          <w:u w:val="single"/>
        </w:rPr>
        <w:t>Eligibility Screening</w:t>
      </w:r>
      <w:r>
        <w:rPr>
          <w:rFonts w:ascii="Arial" w:hAnsi="Arial" w:cs="Arial"/>
          <w:szCs w:val="20"/>
        </w:rPr>
        <w:t>:</w:t>
      </w:r>
      <w:r w:rsidRPr="00662675">
        <w:rPr>
          <w:rFonts w:ascii="Arial" w:hAnsi="Arial" w:cs="Arial"/>
          <w:szCs w:val="20"/>
        </w:rPr>
        <w:t xml:space="preserve"> </w:t>
      </w:r>
      <w:r>
        <w:rPr>
          <w:rFonts w:ascii="Arial" w:hAnsi="Arial" w:cs="Arial"/>
          <w:szCs w:val="20"/>
        </w:rPr>
        <w:t xml:space="preserve"> </w:t>
      </w:r>
      <w:r w:rsidRPr="006D030D">
        <w:rPr>
          <w:rFonts w:ascii="Arial" w:hAnsi="Arial" w:cs="Arial"/>
        </w:rPr>
        <w:t>VA publish</w:t>
      </w:r>
      <w:r>
        <w:rPr>
          <w:rFonts w:ascii="Arial" w:hAnsi="Arial" w:cs="Arial"/>
        </w:rPr>
        <w:t>es</w:t>
      </w:r>
      <w:r w:rsidRPr="006D030D">
        <w:rPr>
          <w:rFonts w:ascii="Arial" w:hAnsi="Arial" w:cs="Arial"/>
        </w:rPr>
        <w:t xml:space="preserve"> </w:t>
      </w:r>
      <w:r>
        <w:rPr>
          <w:rFonts w:ascii="Arial" w:hAnsi="Arial" w:cs="Arial"/>
        </w:rPr>
        <w:t xml:space="preserve">aggregate </w:t>
      </w:r>
      <w:r w:rsidRPr="006D030D">
        <w:rPr>
          <w:rFonts w:ascii="Arial" w:hAnsi="Arial" w:cs="Arial"/>
        </w:rPr>
        <w:t>data in its annual reports</w:t>
      </w:r>
      <w:r>
        <w:rPr>
          <w:rFonts w:ascii="Arial" w:hAnsi="Arial" w:cs="Arial"/>
        </w:rPr>
        <w:t>.</w:t>
      </w:r>
    </w:p>
    <w:p w:rsidR="00C73838" w:rsidRPr="006D030D" w:rsidP="006D030D" w14:paraId="3392E685" w14:textId="77777777">
      <w:pPr>
        <w:tabs>
          <w:tab w:val="left" w:pos="547"/>
          <w:tab w:val="left" w:pos="1080"/>
          <w:tab w:val="left" w:pos="1627"/>
          <w:tab w:val="left" w:pos="2160"/>
          <w:tab w:val="left" w:pos="2880"/>
        </w:tabs>
        <w:rPr>
          <w:rFonts w:ascii="Arial" w:hAnsi="Arial" w:cs="Arial"/>
        </w:rPr>
      </w:pPr>
    </w:p>
    <w:p w:rsidR="006B30FC" w:rsidP="006B30FC" w14:paraId="71B66861" w14:textId="201EE842">
      <w:pPr>
        <w:pStyle w:val="Header"/>
        <w:tabs>
          <w:tab w:val="left" w:pos="547"/>
          <w:tab w:val="left" w:pos="1080"/>
          <w:tab w:val="left" w:pos="1627"/>
          <w:tab w:val="left" w:pos="2160"/>
          <w:tab w:val="left" w:pos="2880"/>
          <w:tab w:val="clear" w:pos="4320"/>
          <w:tab w:val="clear" w:pos="8640"/>
        </w:tabs>
        <w:spacing w:after="40"/>
        <w:rPr>
          <w:rFonts w:ascii="Arial" w:hAnsi="Arial" w:cs="Arial"/>
          <w:sz w:val="24"/>
          <w:szCs w:val="24"/>
        </w:rPr>
      </w:pPr>
      <w:r w:rsidRPr="00F2229B">
        <w:rPr>
          <w:rFonts w:ascii="Arial" w:hAnsi="Arial" w:cs="Arial"/>
          <w:sz w:val="24"/>
          <w:szCs w:val="24"/>
          <w:u w:val="single"/>
        </w:rPr>
        <w:t>Intake</w:t>
      </w:r>
      <w:r w:rsidRPr="00F2229B" w:rsidR="007032E9">
        <w:rPr>
          <w:rFonts w:ascii="Arial" w:hAnsi="Arial" w:cs="Arial"/>
          <w:sz w:val="24"/>
          <w:szCs w:val="24"/>
          <w:u w:val="single"/>
        </w:rPr>
        <w:t xml:space="preserve"> Form</w:t>
      </w:r>
      <w:r w:rsidRPr="006B30FC">
        <w:rPr>
          <w:rFonts w:ascii="Arial" w:hAnsi="Arial" w:cs="Arial"/>
          <w:sz w:val="24"/>
          <w:szCs w:val="24"/>
        </w:rPr>
        <w:t>:</w:t>
      </w:r>
      <w:r>
        <w:rPr>
          <w:rFonts w:ascii="Arial" w:hAnsi="Arial" w:cs="Arial"/>
        </w:rPr>
        <w:t xml:space="preserve"> </w:t>
      </w:r>
      <w:r w:rsidR="00C672B3">
        <w:rPr>
          <w:rFonts w:ascii="Arial" w:hAnsi="Arial" w:cs="Arial"/>
        </w:rPr>
        <w:t xml:space="preserve"> </w:t>
      </w:r>
      <w:r w:rsidRPr="006D030D">
        <w:rPr>
          <w:rFonts w:ascii="Arial" w:hAnsi="Arial" w:cs="Arial"/>
          <w:sz w:val="24"/>
          <w:szCs w:val="24"/>
        </w:rPr>
        <w:t>VA publish</w:t>
      </w:r>
      <w:r w:rsidR="00776540">
        <w:rPr>
          <w:rFonts w:ascii="Arial" w:hAnsi="Arial" w:cs="Arial"/>
          <w:sz w:val="24"/>
          <w:szCs w:val="24"/>
        </w:rPr>
        <w:t>es</w:t>
      </w:r>
      <w:r w:rsidRPr="006D030D">
        <w:rPr>
          <w:rFonts w:ascii="Arial" w:hAnsi="Arial" w:cs="Arial"/>
          <w:sz w:val="24"/>
          <w:szCs w:val="24"/>
        </w:rPr>
        <w:t xml:space="preserve"> </w:t>
      </w:r>
      <w:r w:rsidRPr="006D030D" w:rsidR="00B6571C">
        <w:rPr>
          <w:rFonts w:ascii="Arial" w:hAnsi="Arial" w:cs="Arial"/>
          <w:sz w:val="24"/>
          <w:szCs w:val="24"/>
        </w:rPr>
        <w:t xml:space="preserve">this </w:t>
      </w:r>
      <w:r w:rsidR="00B6571C">
        <w:rPr>
          <w:rFonts w:ascii="Arial" w:hAnsi="Arial" w:cs="Arial"/>
          <w:sz w:val="24"/>
          <w:szCs w:val="24"/>
        </w:rPr>
        <w:t>de</w:t>
      </w:r>
      <w:r>
        <w:rPr>
          <w:rFonts w:ascii="Arial" w:hAnsi="Arial" w:cs="Arial"/>
          <w:sz w:val="24"/>
          <w:szCs w:val="24"/>
        </w:rPr>
        <w:t xml:space="preserve">-identified </w:t>
      </w:r>
      <w:r w:rsidRPr="006D030D">
        <w:rPr>
          <w:rFonts w:ascii="Arial" w:hAnsi="Arial" w:cs="Arial"/>
          <w:sz w:val="24"/>
          <w:szCs w:val="24"/>
        </w:rPr>
        <w:t xml:space="preserve">data in </w:t>
      </w:r>
      <w:r>
        <w:rPr>
          <w:rFonts w:ascii="Arial" w:hAnsi="Arial" w:cs="Arial"/>
          <w:sz w:val="24"/>
          <w:szCs w:val="24"/>
        </w:rPr>
        <w:t>aggreg</w:t>
      </w:r>
      <w:r w:rsidRPr="006D030D">
        <w:rPr>
          <w:rFonts w:ascii="Arial" w:hAnsi="Arial" w:cs="Arial"/>
          <w:sz w:val="24"/>
          <w:szCs w:val="24"/>
        </w:rPr>
        <w:t>ate</w:t>
      </w:r>
      <w:r>
        <w:rPr>
          <w:rFonts w:ascii="Arial" w:hAnsi="Arial" w:cs="Arial"/>
          <w:sz w:val="24"/>
          <w:szCs w:val="24"/>
        </w:rPr>
        <w:t xml:space="preserve"> f</w:t>
      </w:r>
      <w:r w:rsidR="004804DF">
        <w:rPr>
          <w:rFonts w:ascii="Arial" w:hAnsi="Arial" w:cs="Arial"/>
          <w:sz w:val="24"/>
          <w:szCs w:val="24"/>
        </w:rPr>
        <w:t>or</w:t>
      </w:r>
      <w:r>
        <w:rPr>
          <w:rFonts w:ascii="Arial" w:hAnsi="Arial" w:cs="Arial"/>
          <w:sz w:val="24"/>
          <w:szCs w:val="24"/>
        </w:rPr>
        <w:t>m within</w:t>
      </w:r>
      <w:r w:rsidRPr="006D030D">
        <w:rPr>
          <w:rFonts w:ascii="Arial" w:hAnsi="Arial" w:cs="Arial"/>
          <w:sz w:val="24"/>
          <w:szCs w:val="24"/>
        </w:rPr>
        <w:t xml:space="preserve"> annual reports. These </w:t>
      </w:r>
      <w:r w:rsidRPr="001D3A83">
        <w:rPr>
          <w:rFonts w:ascii="Arial" w:hAnsi="Arial" w:cs="Arial"/>
          <w:sz w:val="24"/>
          <w:szCs w:val="24"/>
        </w:rPr>
        <w:t xml:space="preserve">collections </w:t>
      </w:r>
      <w:r w:rsidR="00776540">
        <w:rPr>
          <w:rFonts w:ascii="Arial" w:hAnsi="Arial" w:cs="Arial"/>
          <w:sz w:val="24"/>
          <w:szCs w:val="24"/>
        </w:rPr>
        <w:t>are</w:t>
      </w:r>
      <w:r w:rsidRPr="001D3A83">
        <w:rPr>
          <w:rFonts w:ascii="Arial" w:hAnsi="Arial" w:cs="Arial"/>
          <w:sz w:val="24"/>
          <w:szCs w:val="24"/>
        </w:rPr>
        <w:t xml:space="preserve"> ongoing throughout the duration of the program. </w:t>
      </w:r>
    </w:p>
    <w:p w:rsidR="001D05B2" w:rsidP="006B30FC" w14:paraId="297BA4E2" w14:textId="77777777">
      <w:pPr>
        <w:pStyle w:val="Header"/>
        <w:tabs>
          <w:tab w:val="left" w:pos="547"/>
          <w:tab w:val="left" w:pos="1080"/>
          <w:tab w:val="left" w:pos="1627"/>
          <w:tab w:val="left" w:pos="2160"/>
          <w:tab w:val="left" w:pos="2880"/>
          <w:tab w:val="clear" w:pos="4320"/>
          <w:tab w:val="clear" w:pos="8640"/>
        </w:tabs>
        <w:spacing w:after="40"/>
        <w:rPr>
          <w:rFonts w:ascii="Arial" w:hAnsi="Arial" w:cs="Arial"/>
          <w:sz w:val="24"/>
          <w:szCs w:val="24"/>
        </w:rPr>
      </w:pPr>
    </w:p>
    <w:p w:rsidR="001D05B2" w:rsidRPr="006D030D" w:rsidP="001D05B2" w14:paraId="59DA3B2A" w14:textId="77777777">
      <w:pPr>
        <w:pStyle w:val="Header"/>
        <w:tabs>
          <w:tab w:val="left" w:pos="547"/>
          <w:tab w:val="left" w:pos="1080"/>
          <w:tab w:val="left" w:pos="1627"/>
          <w:tab w:val="left" w:pos="2160"/>
          <w:tab w:val="left" w:pos="2880"/>
          <w:tab w:val="clear" w:pos="4320"/>
          <w:tab w:val="clear" w:pos="8640"/>
        </w:tabs>
        <w:spacing w:after="40"/>
        <w:rPr>
          <w:rFonts w:ascii="Arial" w:hAnsi="Arial" w:cs="Arial"/>
          <w:sz w:val="24"/>
          <w:szCs w:val="24"/>
        </w:rPr>
      </w:pPr>
      <w:r w:rsidRPr="00B46CAB">
        <w:rPr>
          <w:rFonts w:ascii="Arial" w:hAnsi="Arial" w:cs="Arial"/>
          <w:sz w:val="24"/>
          <w:szCs w:val="24"/>
          <w:u w:val="single"/>
        </w:rPr>
        <w:t xml:space="preserve">Participant </w:t>
      </w:r>
      <w:r>
        <w:rPr>
          <w:rFonts w:ascii="Arial" w:hAnsi="Arial" w:cs="Arial"/>
          <w:sz w:val="24"/>
          <w:szCs w:val="24"/>
          <w:u w:val="single"/>
        </w:rPr>
        <w:t>S</w:t>
      </w:r>
      <w:r w:rsidRPr="00B46CAB">
        <w:rPr>
          <w:rFonts w:ascii="Arial" w:hAnsi="Arial" w:cs="Arial"/>
          <w:sz w:val="24"/>
          <w:szCs w:val="24"/>
          <w:u w:val="single"/>
        </w:rPr>
        <w:t xml:space="preserve">atisfaction </w:t>
      </w:r>
      <w:r>
        <w:rPr>
          <w:rFonts w:ascii="Arial" w:hAnsi="Arial" w:cs="Arial"/>
          <w:sz w:val="24"/>
          <w:szCs w:val="24"/>
          <w:u w:val="single"/>
        </w:rPr>
        <w:t>S</w:t>
      </w:r>
      <w:r w:rsidRPr="00B46CAB">
        <w:rPr>
          <w:rFonts w:ascii="Arial" w:hAnsi="Arial" w:cs="Arial"/>
          <w:sz w:val="24"/>
          <w:szCs w:val="24"/>
          <w:u w:val="single"/>
        </w:rPr>
        <w:t>urvey</w:t>
      </w:r>
      <w:r w:rsidRPr="00617628">
        <w:rPr>
          <w:rFonts w:ascii="Arial" w:hAnsi="Arial" w:cs="Arial"/>
          <w:sz w:val="24"/>
          <w:szCs w:val="24"/>
        </w:rPr>
        <w:t>:</w:t>
      </w:r>
      <w:r w:rsidRPr="006D030D">
        <w:rPr>
          <w:rFonts w:ascii="Arial" w:hAnsi="Arial" w:cs="Arial"/>
          <w:sz w:val="24"/>
          <w:szCs w:val="24"/>
        </w:rPr>
        <w:t xml:space="preserve"> </w:t>
      </w:r>
      <w:r>
        <w:rPr>
          <w:rFonts w:ascii="Arial" w:hAnsi="Arial" w:cs="Arial"/>
          <w:sz w:val="24"/>
          <w:szCs w:val="24"/>
        </w:rPr>
        <w:t xml:space="preserve"> </w:t>
      </w:r>
      <w:r w:rsidRPr="006D030D">
        <w:rPr>
          <w:rFonts w:ascii="Arial" w:hAnsi="Arial" w:cs="Arial"/>
          <w:sz w:val="24"/>
          <w:szCs w:val="24"/>
        </w:rPr>
        <w:t>VA publish</w:t>
      </w:r>
      <w:r>
        <w:rPr>
          <w:rFonts w:ascii="Arial" w:hAnsi="Arial" w:cs="Arial"/>
          <w:sz w:val="24"/>
          <w:szCs w:val="24"/>
        </w:rPr>
        <w:t>es</w:t>
      </w:r>
      <w:r w:rsidRPr="006D030D">
        <w:rPr>
          <w:rFonts w:ascii="Arial" w:hAnsi="Arial" w:cs="Arial"/>
          <w:sz w:val="24"/>
          <w:szCs w:val="24"/>
        </w:rPr>
        <w:t xml:space="preserve"> this data in its annual reports. Grantees </w:t>
      </w:r>
      <w:r>
        <w:rPr>
          <w:rFonts w:ascii="Arial" w:hAnsi="Arial" w:cs="Arial"/>
          <w:sz w:val="24"/>
          <w:szCs w:val="24"/>
        </w:rPr>
        <w:t xml:space="preserve">are </w:t>
      </w:r>
      <w:r w:rsidRPr="006D030D">
        <w:rPr>
          <w:rFonts w:ascii="Arial" w:hAnsi="Arial" w:cs="Arial"/>
          <w:sz w:val="24"/>
          <w:szCs w:val="24"/>
        </w:rPr>
        <w:t xml:space="preserve">required to provide surveys to participants within 30 days of such participant's pending exit from the grantee's program. These collections </w:t>
      </w:r>
      <w:r>
        <w:rPr>
          <w:rFonts w:ascii="Arial" w:hAnsi="Arial" w:cs="Arial"/>
          <w:sz w:val="24"/>
          <w:szCs w:val="24"/>
        </w:rPr>
        <w:t>are</w:t>
      </w:r>
      <w:r w:rsidRPr="006D030D">
        <w:rPr>
          <w:rFonts w:ascii="Arial" w:hAnsi="Arial" w:cs="Arial"/>
          <w:sz w:val="24"/>
          <w:szCs w:val="24"/>
        </w:rPr>
        <w:t xml:space="preserve"> ongoing throughout the duration of the program. </w:t>
      </w:r>
    </w:p>
    <w:p w:rsidR="001D05B2" w:rsidRPr="006D030D" w:rsidP="001D05B2" w14:paraId="241C9EAA" w14:textId="77777777">
      <w:pPr>
        <w:pStyle w:val="Header"/>
        <w:tabs>
          <w:tab w:val="left" w:pos="547"/>
          <w:tab w:val="left" w:pos="1080"/>
          <w:tab w:val="left" w:pos="1627"/>
          <w:tab w:val="left" w:pos="2160"/>
          <w:tab w:val="left" w:pos="2880"/>
          <w:tab w:val="clear" w:pos="4320"/>
          <w:tab w:val="clear" w:pos="8640"/>
        </w:tabs>
        <w:rPr>
          <w:rFonts w:ascii="Arial" w:hAnsi="Arial" w:cs="Arial"/>
          <w:b/>
          <w:sz w:val="24"/>
        </w:rPr>
      </w:pPr>
    </w:p>
    <w:p w:rsidR="00F2229B" w:rsidRPr="001D3A83" w:rsidP="006B30FC" w14:paraId="2020206C" w14:textId="66D49EB9">
      <w:pPr>
        <w:pStyle w:val="Header"/>
        <w:tabs>
          <w:tab w:val="left" w:pos="547"/>
          <w:tab w:val="left" w:pos="1080"/>
          <w:tab w:val="left" w:pos="1627"/>
          <w:tab w:val="left" w:pos="2160"/>
          <w:tab w:val="left" w:pos="2880"/>
          <w:tab w:val="clear" w:pos="4320"/>
          <w:tab w:val="clear" w:pos="8640"/>
        </w:tabs>
        <w:spacing w:after="40"/>
        <w:rPr>
          <w:rFonts w:ascii="Arial" w:hAnsi="Arial" w:cs="Arial"/>
          <w:sz w:val="24"/>
          <w:szCs w:val="24"/>
        </w:rPr>
      </w:pPr>
      <w:r>
        <w:rPr>
          <w:rFonts w:ascii="Arial" w:hAnsi="Arial" w:cs="Arial"/>
          <w:sz w:val="24"/>
          <w:szCs w:val="24"/>
          <w:u w:val="single"/>
        </w:rPr>
        <w:t xml:space="preserve">Baseline Mental Health and </w:t>
      </w:r>
      <w:r w:rsidRPr="00F2229B">
        <w:rPr>
          <w:rFonts w:ascii="Arial" w:hAnsi="Arial" w:cs="Arial"/>
          <w:sz w:val="24"/>
          <w:szCs w:val="24"/>
          <w:u w:val="single"/>
        </w:rPr>
        <w:t xml:space="preserve">Program Exit </w:t>
      </w:r>
      <w:r>
        <w:rPr>
          <w:rFonts w:ascii="Arial" w:hAnsi="Arial" w:cs="Arial"/>
          <w:sz w:val="24"/>
          <w:szCs w:val="24"/>
          <w:u w:val="single"/>
        </w:rPr>
        <w:t>Screenings</w:t>
      </w:r>
      <w:r w:rsidRPr="006B30FC">
        <w:rPr>
          <w:rFonts w:ascii="Arial" w:hAnsi="Arial" w:cs="Arial"/>
          <w:sz w:val="24"/>
          <w:szCs w:val="24"/>
        </w:rPr>
        <w:t>:</w:t>
      </w:r>
      <w:r>
        <w:rPr>
          <w:rFonts w:ascii="Arial" w:hAnsi="Arial" w:cs="Arial"/>
        </w:rPr>
        <w:t xml:space="preserve">  </w:t>
      </w:r>
      <w:r w:rsidRPr="006D030D">
        <w:rPr>
          <w:rFonts w:ascii="Arial" w:hAnsi="Arial" w:cs="Arial"/>
          <w:sz w:val="24"/>
          <w:szCs w:val="24"/>
        </w:rPr>
        <w:t>VA publish</w:t>
      </w:r>
      <w:r>
        <w:rPr>
          <w:rFonts w:ascii="Arial" w:hAnsi="Arial" w:cs="Arial"/>
          <w:sz w:val="24"/>
          <w:szCs w:val="24"/>
        </w:rPr>
        <w:t>es</w:t>
      </w:r>
      <w:r w:rsidRPr="006D030D">
        <w:rPr>
          <w:rFonts w:ascii="Arial" w:hAnsi="Arial" w:cs="Arial"/>
          <w:sz w:val="24"/>
          <w:szCs w:val="24"/>
        </w:rPr>
        <w:t xml:space="preserve"> this </w:t>
      </w:r>
      <w:r>
        <w:rPr>
          <w:rFonts w:ascii="Arial" w:hAnsi="Arial" w:cs="Arial"/>
          <w:sz w:val="24"/>
          <w:szCs w:val="24"/>
        </w:rPr>
        <w:t xml:space="preserve">de-identified </w:t>
      </w:r>
      <w:r w:rsidRPr="006D030D">
        <w:rPr>
          <w:rFonts w:ascii="Arial" w:hAnsi="Arial" w:cs="Arial"/>
          <w:sz w:val="24"/>
          <w:szCs w:val="24"/>
        </w:rPr>
        <w:t xml:space="preserve">data in </w:t>
      </w:r>
      <w:r>
        <w:rPr>
          <w:rFonts w:ascii="Arial" w:hAnsi="Arial" w:cs="Arial"/>
          <w:sz w:val="24"/>
          <w:szCs w:val="24"/>
        </w:rPr>
        <w:t>aggreg</w:t>
      </w:r>
      <w:r w:rsidRPr="006D030D">
        <w:rPr>
          <w:rFonts w:ascii="Arial" w:hAnsi="Arial" w:cs="Arial"/>
          <w:sz w:val="24"/>
          <w:szCs w:val="24"/>
        </w:rPr>
        <w:t>ate</w:t>
      </w:r>
      <w:r>
        <w:rPr>
          <w:rFonts w:ascii="Arial" w:hAnsi="Arial" w:cs="Arial"/>
          <w:sz w:val="24"/>
          <w:szCs w:val="24"/>
        </w:rPr>
        <w:t xml:space="preserve"> form within</w:t>
      </w:r>
      <w:r w:rsidRPr="006D030D">
        <w:rPr>
          <w:rFonts w:ascii="Arial" w:hAnsi="Arial" w:cs="Arial"/>
          <w:sz w:val="24"/>
          <w:szCs w:val="24"/>
        </w:rPr>
        <w:t xml:space="preserve"> annual reports. These </w:t>
      </w:r>
      <w:r w:rsidRPr="001D3A83">
        <w:rPr>
          <w:rFonts w:ascii="Arial" w:hAnsi="Arial" w:cs="Arial"/>
          <w:sz w:val="24"/>
          <w:szCs w:val="24"/>
        </w:rPr>
        <w:t xml:space="preserve">collections </w:t>
      </w:r>
      <w:r>
        <w:rPr>
          <w:rFonts w:ascii="Arial" w:hAnsi="Arial" w:cs="Arial"/>
          <w:sz w:val="24"/>
          <w:szCs w:val="24"/>
        </w:rPr>
        <w:t>are</w:t>
      </w:r>
      <w:r w:rsidRPr="001D3A83">
        <w:rPr>
          <w:rFonts w:ascii="Arial" w:hAnsi="Arial" w:cs="Arial"/>
          <w:sz w:val="24"/>
          <w:szCs w:val="24"/>
        </w:rPr>
        <w:t xml:space="preserve"> ongoing throughout the duration of the program</w:t>
      </w:r>
      <w:r>
        <w:rPr>
          <w:rFonts w:ascii="Arial" w:hAnsi="Arial" w:cs="Arial"/>
          <w:sz w:val="24"/>
          <w:szCs w:val="24"/>
        </w:rPr>
        <w:t xml:space="preserve">. </w:t>
      </w:r>
    </w:p>
    <w:p w:rsidR="00F16FE3" w:rsidRPr="001D3A83" w:rsidP="00F16FE3" w14:paraId="3837509A" w14:textId="282F8AA7">
      <w:pPr>
        <w:pStyle w:val="Header"/>
        <w:tabs>
          <w:tab w:val="left" w:pos="547"/>
          <w:tab w:val="left" w:pos="1080"/>
          <w:tab w:val="left" w:pos="1627"/>
          <w:tab w:val="left" w:pos="2160"/>
          <w:tab w:val="left" w:pos="2880"/>
          <w:tab w:val="clear" w:pos="4320"/>
          <w:tab w:val="clear" w:pos="8640"/>
        </w:tabs>
        <w:spacing w:after="40"/>
        <w:ind w:left="547"/>
        <w:rPr>
          <w:rFonts w:ascii="Arial" w:hAnsi="Arial" w:cs="Arial"/>
          <w:sz w:val="24"/>
          <w:szCs w:val="24"/>
        </w:rPr>
      </w:pPr>
      <w:r w:rsidRPr="001D3A83">
        <w:rPr>
          <w:rFonts w:ascii="Arial" w:hAnsi="Arial" w:cs="Arial"/>
          <w:sz w:val="24"/>
          <w:szCs w:val="24"/>
          <w:u w:val="single"/>
        </w:rPr>
        <w:t>Socio-Economic Status (SES)</w:t>
      </w:r>
      <w:r w:rsidRPr="001D3A83">
        <w:rPr>
          <w:rFonts w:ascii="Arial" w:hAnsi="Arial" w:cs="Arial"/>
          <w:sz w:val="24"/>
          <w:szCs w:val="24"/>
        </w:rPr>
        <w:t>: VA publish</w:t>
      </w:r>
      <w:r w:rsidR="00776540">
        <w:rPr>
          <w:rFonts w:ascii="Arial" w:hAnsi="Arial" w:cs="Arial"/>
          <w:sz w:val="24"/>
          <w:szCs w:val="24"/>
        </w:rPr>
        <w:t>es</w:t>
      </w:r>
      <w:r w:rsidRPr="001D3A83">
        <w:rPr>
          <w:rFonts w:ascii="Arial" w:hAnsi="Arial" w:cs="Arial"/>
          <w:sz w:val="24"/>
          <w:szCs w:val="24"/>
        </w:rPr>
        <w:t xml:space="preserve"> this de-identified data in aggregate form within annual reports. These collections </w:t>
      </w:r>
      <w:r w:rsidR="00776540">
        <w:rPr>
          <w:rFonts w:ascii="Arial" w:hAnsi="Arial" w:cs="Arial"/>
          <w:sz w:val="24"/>
          <w:szCs w:val="24"/>
        </w:rPr>
        <w:t>are</w:t>
      </w:r>
      <w:r w:rsidRPr="001D3A83">
        <w:rPr>
          <w:rFonts w:ascii="Arial" w:hAnsi="Arial" w:cs="Arial"/>
          <w:sz w:val="24"/>
          <w:szCs w:val="24"/>
        </w:rPr>
        <w:t xml:space="preserve"> ongoing throughout the duration of the program. </w:t>
      </w:r>
    </w:p>
    <w:p w:rsidR="00F16FE3" w:rsidRPr="001D3A83" w:rsidP="006B30FC" w14:paraId="1C068397" w14:textId="60F17590">
      <w:pPr>
        <w:pStyle w:val="Header"/>
        <w:tabs>
          <w:tab w:val="left" w:pos="547"/>
          <w:tab w:val="left" w:pos="1080"/>
          <w:tab w:val="left" w:pos="1627"/>
          <w:tab w:val="left" w:pos="2160"/>
          <w:tab w:val="left" w:pos="2880"/>
          <w:tab w:val="clear" w:pos="4320"/>
          <w:tab w:val="clear" w:pos="8640"/>
        </w:tabs>
        <w:spacing w:after="40"/>
        <w:rPr>
          <w:rFonts w:ascii="Arial" w:hAnsi="Arial" w:cs="Arial"/>
          <w:sz w:val="24"/>
          <w:szCs w:val="24"/>
        </w:rPr>
      </w:pPr>
    </w:p>
    <w:p w:rsidR="00F16FE3" w:rsidP="00F16FE3" w14:paraId="708A76D4" w14:textId="3E1DC1A5">
      <w:pPr>
        <w:pStyle w:val="Header"/>
        <w:tabs>
          <w:tab w:val="left" w:pos="547"/>
          <w:tab w:val="left" w:pos="1080"/>
          <w:tab w:val="left" w:pos="1627"/>
          <w:tab w:val="left" w:pos="2160"/>
          <w:tab w:val="left" w:pos="2880"/>
          <w:tab w:val="clear" w:pos="4320"/>
          <w:tab w:val="clear" w:pos="8640"/>
        </w:tabs>
        <w:spacing w:after="40"/>
        <w:ind w:left="547"/>
        <w:rPr>
          <w:rFonts w:ascii="Arial" w:hAnsi="Arial" w:cs="Arial"/>
          <w:sz w:val="24"/>
          <w:szCs w:val="24"/>
        </w:rPr>
      </w:pPr>
      <w:r w:rsidRPr="001D3A83">
        <w:rPr>
          <w:rFonts w:ascii="Arial" w:hAnsi="Arial" w:cs="Arial"/>
          <w:sz w:val="24"/>
          <w:szCs w:val="24"/>
          <w:u w:val="single"/>
        </w:rPr>
        <w:t>Patient Health Questionnaire (PHQ-9)</w:t>
      </w:r>
      <w:r w:rsidRPr="001D3A83">
        <w:rPr>
          <w:rFonts w:ascii="Arial" w:hAnsi="Arial" w:cs="Arial"/>
          <w:sz w:val="24"/>
          <w:szCs w:val="24"/>
        </w:rPr>
        <w:t>: VA publish</w:t>
      </w:r>
      <w:r w:rsidR="00776540">
        <w:rPr>
          <w:rFonts w:ascii="Arial" w:hAnsi="Arial" w:cs="Arial"/>
          <w:sz w:val="24"/>
          <w:szCs w:val="24"/>
        </w:rPr>
        <w:t>es</w:t>
      </w:r>
      <w:r w:rsidRPr="001D3A83">
        <w:rPr>
          <w:rFonts w:ascii="Arial" w:hAnsi="Arial" w:cs="Arial"/>
          <w:sz w:val="24"/>
          <w:szCs w:val="24"/>
        </w:rPr>
        <w:t xml:space="preserve"> this de-identified data in aggregate form within annual reports. These collections </w:t>
      </w:r>
      <w:r w:rsidR="00776540">
        <w:rPr>
          <w:rFonts w:ascii="Arial" w:hAnsi="Arial" w:cs="Arial"/>
          <w:sz w:val="24"/>
          <w:szCs w:val="24"/>
        </w:rPr>
        <w:t>are</w:t>
      </w:r>
      <w:r w:rsidRPr="001D3A83">
        <w:rPr>
          <w:rFonts w:ascii="Arial" w:hAnsi="Arial" w:cs="Arial"/>
          <w:sz w:val="24"/>
          <w:szCs w:val="24"/>
        </w:rPr>
        <w:t xml:space="preserve"> ongoing throughout the duration of the program. </w:t>
      </w:r>
    </w:p>
    <w:p w:rsidR="00890155" w:rsidRPr="001D3A83" w:rsidP="00F16FE3" w14:paraId="23CC4B69" w14:textId="77777777">
      <w:pPr>
        <w:pStyle w:val="Header"/>
        <w:tabs>
          <w:tab w:val="left" w:pos="547"/>
          <w:tab w:val="left" w:pos="1080"/>
          <w:tab w:val="left" w:pos="1627"/>
          <w:tab w:val="left" w:pos="2160"/>
          <w:tab w:val="left" w:pos="2880"/>
          <w:tab w:val="clear" w:pos="4320"/>
          <w:tab w:val="clear" w:pos="8640"/>
        </w:tabs>
        <w:spacing w:after="40"/>
        <w:ind w:left="547"/>
        <w:rPr>
          <w:rFonts w:ascii="Arial" w:hAnsi="Arial" w:cs="Arial"/>
          <w:sz w:val="24"/>
          <w:szCs w:val="24"/>
        </w:rPr>
      </w:pPr>
    </w:p>
    <w:p w:rsidR="00F16FE3" w:rsidRPr="001D3A83" w:rsidP="00F16FE3" w14:paraId="2370C2C8" w14:textId="1D8E50AC">
      <w:pPr>
        <w:pStyle w:val="Header"/>
        <w:tabs>
          <w:tab w:val="left" w:pos="547"/>
          <w:tab w:val="left" w:pos="1080"/>
          <w:tab w:val="left" w:pos="1627"/>
          <w:tab w:val="left" w:pos="2160"/>
          <w:tab w:val="left" w:pos="2880"/>
          <w:tab w:val="clear" w:pos="4320"/>
          <w:tab w:val="clear" w:pos="8640"/>
        </w:tabs>
        <w:spacing w:after="40"/>
        <w:ind w:left="547"/>
        <w:rPr>
          <w:rFonts w:ascii="Arial" w:hAnsi="Arial" w:cs="Arial"/>
          <w:sz w:val="24"/>
          <w:szCs w:val="24"/>
        </w:rPr>
      </w:pPr>
      <w:r w:rsidRPr="001D3A83">
        <w:rPr>
          <w:rFonts w:ascii="Arial" w:hAnsi="Arial" w:cs="Arial"/>
          <w:sz w:val="24"/>
          <w:szCs w:val="24"/>
          <w:u w:val="single"/>
        </w:rPr>
        <w:t>Warwick Edinburgh Mental Wellbeing Scale (WEMWS)</w:t>
      </w:r>
      <w:r w:rsidRPr="001D3A83">
        <w:rPr>
          <w:rFonts w:ascii="Arial" w:hAnsi="Arial" w:cs="Arial"/>
          <w:sz w:val="24"/>
          <w:szCs w:val="24"/>
        </w:rPr>
        <w:t>: VA publish</w:t>
      </w:r>
      <w:r w:rsidR="00776540">
        <w:rPr>
          <w:rFonts w:ascii="Arial" w:hAnsi="Arial" w:cs="Arial"/>
          <w:sz w:val="24"/>
          <w:szCs w:val="24"/>
        </w:rPr>
        <w:t>es</w:t>
      </w:r>
      <w:r w:rsidRPr="001D3A83">
        <w:rPr>
          <w:rFonts w:ascii="Arial" w:hAnsi="Arial" w:cs="Arial"/>
          <w:sz w:val="24"/>
          <w:szCs w:val="24"/>
        </w:rPr>
        <w:t xml:space="preserve"> this de-identified data in aggregate form within annual reports. These collections </w:t>
      </w:r>
      <w:r w:rsidR="00776540">
        <w:rPr>
          <w:rFonts w:ascii="Arial" w:hAnsi="Arial" w:cs="Arial"/>
          <w:sz w:val="24"/>
          <w:szCs w:val="24"/>
        </w:rPr>
        <w:t xml:space="preserve">are </w:t>
      </w:r>
      <w:r w:rsidRPr="001D3A83">
        <w:rPr>
          <w:rFonts w:ascii="Arial" w:hAnsi="Arial" w:cs="Arial"/>
          <w:sz w:val="24"/>
          <w:szCs w:val="24"/>
        </w:rPr>
        <w:t xml:space="preserve">ongoing throughout the duration of the program. </w:t>
      </w:r>
    </w:p>
    <w:p w:rsidR="00B6571C" w:rsidRPr="001D3A83" w:rsidP="00B6571C" w14:paraId="7D5EA16E" w14:textId="77777777">
      <w:pPr>
        <w:tabs>
          <w:tab w:val="left" w:pos="547"/>
          <w:tab w:val="left" w:pos="1080"/>
          <w:tab w:val="left" w:pos="1627"/>
          <w:tab w:val="left" w:pos="2160"/>
          <w:tab w:val="left" w:pos="2880"/>
        </w:tabs>
        <w:rPr>
          <w:rFonts w:ascii="Arial" w:hAnsi="Arial" w:cs="Arial"/>
        </w:rPr>
      </w:pPr>
    </w:p>
    <w:p w:rsidR="00B6571C" w:rsidRPr="00B6571C" w:rsidP="0006012B" w14:paraId="322DF189" w14:textId="7D267FAE">
      <w:pPr>
        <w:pStyle w:val="Header"/>
        <w:tabs>
          <w:tab w:val="left" w:pos="547"/>
          <w:tab w:val="left" w:pos="1080"/>
          <w:tab w:val="left" w:pos="1627"/>
          <w:tab w:val="left" w:pos="2160"/>
          <w:tab w:val="left" w:pos="2880"/>
          <w:tab w:val="clear" w:pos="4320"/>
          <w:tab w:val="clear" w:pos="8640"/>
        </w:tabs>
        <w:spacing w:after="40"/>
        <w:ind w:left="547"/>
        <w:rPr>
          <w:rFonts w:ascii="Arial" w:hAnsi="Arial" w:cs="Arial"/>
          <w:sz w:val="24"/>
          <w:szCs w:val="24"/>
        </w:rPr>
      </w:pPr>
      <w:r w:rsidRPr="001D3A83">
        <w:rPr>
          <w:rFonts w:ascii="Arial" w:hAnsi="Arial" w:cs="Arial"/>
          <w:sz w:val="24"/>
          <w:szCs w:val="24"/>
          <w:u w:val="single"/>
        </w:rPr>
        <w:t>Interpersonal Support Evaluation List (ISEL-12)</w:t>
      </w:r>
      <w:r w:rsidRPr="001D3A83">
        <w:rPr>
          <w:rFonts w:ascii="Arial" w:hAnsi="Arial" w:cs="Arial"/>
          <w:sz w:val="24"/>
          <w:szCs w:val="24"/>
        </w:rPr>
        <w:t>: VA publish</w:t>
      </w:r>
      <w:r w:rsidR="00776540">
        <w:rPr>
          <w:rFonts w:ascii="Arial" w:hAnsi="Arial" w:cs="Arial"/>
          <w:sz w:val="24"/>
          <w:szCs w:val="24"/>
        </w:rPr>
        <w:t>es</w:t>
      </w:r>
      <w:r w:rsidRPr="001D3A83">
        <w:rPr>
          <w:rFonts w:ascii="Arial" w:hAnsi="Arial" w:cs="Arial"/>
          <w:sz w:val="24"/>
          <w:szCs w:val="24"/>
        </w:rPr>
        <w:t xml:space="preserve"> this de-identified data in aggregate f</w:t>
      </w:r>
      <w:r w:rsidRPr="001D3A83" w:rsidR="004804DF">
        <w:rPr>
          <w:rFonts w:ascii="Arial" w:hAnsi="Arial" w:cs="Arial"/>
          <w:sz w:val="24"/>
          <w:szCs w:val="24"/>
        </w:rPr>
        <w:t>or</w:t>
      </w:r>
      <w:r w:rsidRPr="001D3A83">
        <w:rPr>
          <w:rFonts w:ascii="Arial" w:hAnsi="Arial" w:cs="Arial"/>
          <w:sz w:val="24"/>
          <w:szCs w:val="24"/>
        </w:rPr>
        <w:t>m within annual reports. These</w:t>
      </w:r>
      <w:r w:rsidRPr="00B6571C">
        <w:rPr>
          <w:rFonts w:ascii="Arial" w:hAnsi="Arial" w:cs="Arial"/>
          <w:sz w:val="24"/>
          <w:szCs w:val="24"/>
        </w:rPr>
        <w:t xml:space="preserve"> collections </w:t>
      </w:r>
      <w:r w:rsidR="00776540">
        <w:rPr>
          <w:rFonts w:ascii="Arial" w:hAnsi="Arial" w:cs="Arial"/>
          <w:sz w:val="24"/>
          <w:szCs w:val="24"/>
        </w:rPr>
        <w:t>are</w:t>
      </w:r>
      <w:r w:rsidRPr="00B6571C">
        <w:rPr>
          <w:rFonts w:ascii="Arial" w:hAnsi="Arial" w:cs="Arial"/>
          <w:sz w:val="24"/>
          <w:szCs w:val="24"/>
        </w:rPr>
        <w:t xml:space="preserve"> ongoing throughout the duration of the program. </w:t>
      </w:r>
    </w:p>
    <w:p w:rsidR="001640B0" w:rsidP="001640B0" w14:paraId="4EEB8E68" w14:textId="77777777">
      <w:pPr>
        <w:tabs>
          <w:tab w:val="left" w:pos="547"/>
          <w:tab w:val="left" w:pos="1080"/>
          <w:tab w:val="left" w:pos="1627"/>
          <w:tab w:val="left" w:pos="2160"/>
          <w:tab w:val="left" w:pos="2880"/>
        </w:tabs>
        <w:spacing w:after="40"/>
        <w:rPr>
          <w:rFonts w:ascii="Arial" w:hAnsi="Arial" w:cs="Arial"/>
        </w:rPr>
      </w:pPr>
    </w:p>
    <w:p w:rsidR="00536A11" w14:paraId="210EBAC5" w14:textId="1A0FC024">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r w:rsidRPr="00AD106D">
        <w:rPr>
          <w:rFonts w:ascii="Arial" w:hAnsi="Arial" w:cs="Arial"/>
          <w:sz w:val="24"/>
        </w:rPr>
        <w:t>17.</w:t>
      </w:r>
      <w:r w:rsidRPr="00AD106D">
        <w:rPr>
          <w:rFonts w:ascii="Arial" w:hAnsi="Arial" w:cs="Arial"/>
          <w:sz w:val="24"/>
        </w:rPr>
        <w:tab/>
        <w:t xml:space="preserve">If seeking approval to omit the expiration date for OMB approval of the information collection, explain the reasons that display would be inappropriate. </w:t>
      </w:r>
    </w:p>
    <w:p w:rsidR="001813F6" w:rsidRPr="00AD106D" w14:paraId="694AF3A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 w:val="24"/>
        </w:rPr>
      </w:pPr>
    </w:p>
    <w:p w:rsidR="001813F6" w:rsidP="001813F6" w14:paraId="5CDFC82E" w14:textId="24189763">
      <w:pPr>
        <w:tabs>
          <w:tab w:val="left" w:pos="547"/>
          <w:tab w:val="left" w:pos="1080"/>
          <w:tab w:val="left" w:pos="1627"/>
          <w:tab w:val="left" w:pos="2160"/>
          <w:tab w:val="left" w:pos="2880"/>
        </w:tabs>
        <w:spacing w:after="40"/>
        <w:rPr>
          <w:rFonts w:ascii="Arial" w:hAnsi="Arial" w:cs="Arial"/>
        </w:rPr>
      </w:pPr>
      <w:r w:rsidRPr="00AD106D">
        <w:rPr>
          <w:rFonts w:ascii="Arial" w:hAnsi="Arial" w:cs="Arial"/>
          <w:b/>
          <w:color w:val="FF0000"/>
        </w:rPr>
        <w:tab/>
      </w:r>
      <w:r w:rsidRPr="00AD106D" w:rsidR="0056629F">
        <w:rPr>
          <w:rFonts w:ascii="Arial" w:hAnsi="Arial" w:cs="Arial"/>
        </w:rPr>
        <w:t xml:space="preserve">VA </w:t>
      </w:r>
      <w:r w:rsidR="008F0CF3">
        <w:rPr>
          <w:rFonts w:ascii="Arial" w:hAnsi="Arial" w:cs="Arial"/>
        </w:rPr>
        <w:t xml:space="preserve">will </w:t>
      </w:r>
      <w:r w:rsidRPr="00AD106D" w:rsidR="0056629F">
        <w:rPr>
          <w:rFonts w:ascii="Arial" w:hAnsi="Arial" w:cs="Arial"/>
        </w:rPr>
        <w:t>include the expiration date on all forms.</w:t>
      </w:r>
      <w:r w:rsidR="004804DF">
        <w:rPr>
          <w:rFonts w:ascii="Arial" w:hAnsi="Arial" w:cs="Arial"/>
        </w:rPr>
        <w:t xml:space="preserve"> </w:t>
      </w:r>
    </w:p>
    <w:p w:rsidR="00890155" w:rsidP="001813F6" w14:paraId="2AF2507E" w14:textId="77777777">
      <w:pPr>
        <w:tabs>
          <w:tab w:val="left" w:pos="547"/>
          <w:tab w:val="left" w:pos="1080"/>
          <w:tab w:val="left" w:pos="1627"/>
          <w:tab w:val="left" w:pos="2160"/>
          <w:tab w:val="left" w:pos="2700"/>
          <w:tab w:val="left" w:pos="3240"/>
        </w:tabs>
        <w:rPr>
          <w:rFonts w:ascii="Arial" w:hAnsi="Arial" w:cs="Arial"/>
        </w:rPr>
      </w:pPr>
    </w:p>
    <w:p w:rsidR="00536A11" w:rsidRPr="001813F6" w:rsidP="001813F6" w14:paraId="3DA00C88" w14:textId="4F785EE3">
      <w:pPr>
        <w:tabs>
          <w:tab w:val="left" w:pos="547"/>
          <w:tab w:val="left" w:pos="1080"/>
          <w:tab w:val="left" w:pos="1627"/>
          <w:tab w:val="left" w:pos="2160"/>
          <w:tab w:val="left" w:pos="2700"/>
          <w:tab w:val="left" w:pos="3240"/>
        </w:tabs>
        <w:rPr>
          <w:rFonts w:ascii="Arial" w:hAnsi="Arial" w:cs="Arial"/>
          <w:b/>
          <w:bCs/>
        </w:rPr>
      </w:pPr>
      <w:r w:rsidRPr="001813F6">
        <w:rPr>
          <w:rFonts w:ascii="Arial" w:hAnsi="Arial" w:cs="Arial"/>
          <w:b/>
          <w:bCs/>
        </w:rPr>
        <w:t>18.</w:t>
      </w:r>
      <w:r w:rsidRPr="001813F6">
        <w:rPr>
          <w:rFonts w:ascii="Arial" w:hAnsi="Arial" w:cs="Arial"/>
          <w:b/>
          <w:bCs/>
        </w:rPr>
        <w:tab/>
        <w:t>Explain each exception to the certification statement identified in Item 19, “Certification for Paperwork Reduction Act Submissions,” of OMB 83-I.</w:t>
      </w:r>
    </w:p>
    <w:p w:rsidR="00536A11" w:rsidRPr="00AD106D" w14:paraId="400D8962" w14:textId="77777777">
      <w:pPr>
        <w:tabs>
          <w:tab w:val="left" w:pos="547"/>
          <w:tab w:val="left" w:pos="1080"/>
          <w:tab w:val="left" w:pos="1627"/>
          <w:tab w:val="left" w:pos="2160"/>
          <w:tab w:val="left" w:pos="2880"/>
        </w:tabs>
        <w:rPr>
          <w:rFonts w:ascii="Arial" w:hAnsi="Arial" w:cs="Arial"/>
        </w:rPr>
      </w:pPr>
    </w:p>
    <w:p w:rsidR="00536A11" w:rsidRPr="00AD106D" w:rsidP="00E61871" w14:paraId="625C557B" w14:textId="77777777">
      <w:pPr>
        <w:tabs>
          <w:tab w:val="left" w:pos="547"/>
          <w:tab w:val="left" w:pos="1080"/>
          <w:tab w:val="left" w:pos="1627"/>
          <w:tab w:val="left" w:pos="2160"/>
          <w:tab w:val="left" w:pos="2880"/>
        </w:tabs>
        <w:rPr>
          <w:rFonts w:ascii="Arial" w:hAnsi="Arial" w:cs="Arial"/>
        </w:rPr>
      </w:pPr>
      <w:r w:rsidRPr="00AD106D">
        <w:rPr>
          <w:rFonts w:ascii="Arial" w:hAnsi="Arial" w:cs="Arial"/>
          <w:color w:val="FF0000"/>
        </w:rPr>
        <w:tab/>
      </w:r>
      <w:r w:rsidRPr="00AD106D">
        <w:rPr>
          <w:rFonts w:ascii="Arial" w:hAnsi="Arial" w:cs="Arial"/>
        </w:rPr>
        <w:t>There are no exceptions.</w:t>
      </w:r>
    </w:p>
    <w:sectPr>
      <w:footerReference w:type="default" r:id="rId10"/>
      <w:headerReference w:type="first" r:id="rId11"/>
      <w:footerReference w:type="first" r:id="rId12"/>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05" w14:paraId="71870D2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05" w14:paraId="400EF15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05" w:rsidRPr="005D2B8A" w:rsidP="005D2B8A" w14:paraId="21EE4D97" w14:textId="77777777">
    <w:pPr>
      <w:pStyle w:val="Header"/>
      <w:jc w:val="center"/>
      <w:rPr>
        <w:rFonts w:ascii="Arial" w:hAnsi="Arial" w:cs="Arial"/>
        <w:sz w:val="22"/>
        <w:szCs w:val="22"/>
      </w:rPr>
    </w:pPr>
    <w:r w:rsidRPr="005D2B8A">
      <w:rPr>
        <w:rFonts w:ascii="Arial" w:hAnsi="Arial" w:cs="Arial"/>
        <w:sz w:val="22"/>
        <w:szCs w:val="22"/>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5AD9"/>
    <w:multiLevelType w:val="multilevel"/>
    <w:tmpl w:val="22BC0BE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990189C"/>
    <w:multiLevelType w:val="hybridMultilevel"/>
    <w:tmpl w:val="0BE843F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0B492FB7"/>
    <w:multiLevelType w:val="hybridMultilevel"/>
    <w:tmpl w:val="9850C2A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7A4DAA"/>
    <w:multiLevelType w:val="hybridMultilevel"/>
    <w:tmpl w:val="EF4A90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F33002D"/>
    <w:multiLevelType w:val="hybridMultilevel"/>
    <w:tmpl w:val="C2CC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8E251F"/>
    <w:multiLevelType w:val="hybridMultilevel"/>
    <w:tmpl w:val="963E4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E308A4"/>
    <w:multiLevelType w:val="hybridMultilevel"/>
    <w:tmpl w:val="C0AC0C76"/>
    <w:lvl w:ilvl="0">
      <w:start w:val="1"/>
      <w:numFmt w:val="lowerLetter"/>
      <w:lvlText w:val="%1."/>
      <w:lvlJc w:val="left"/>
      <w:pPr>
        <w:ind w:left="1080" w:hanging="540"/>
      </w:pPr>
      <w:rPr>
        <w:rFonts w:hint="default"/>
        <w:color w:val="00000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858541265">
    <w:abstractNumId w:val="4"/>
  </w:num>
  <w:num w:numId="2" w16cid:durableId="343553928">
    <w:abstractNumId w:val="5"/>
  </w:num>
  <w:num w:numId="3" w16cid:durableId="1438522374">
    <w:abstractNumId w:val="2"/>
  </w:num>
  <w:num w:numId="4" w16cid:durableId="1726835297">
    <w:abstractNumId w:val="6"/>
  </w:num>
  <w:num w:numId="5" w16cid:durableId="154660313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4138016">
    <w:abstractNumId w:val="8"/>
  </w:num>
  <w:num w:numId="7" w16cid:durableId="1279140200">
    <w:abstractNumId w:val="1"/>
  </w:num>
  <w:num w:numId="8" w16cid:durableId="15515787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0825876">
    <w:abstractNumId w:val="11"/>
  </w:num>
  <w:num w:numId="10" w16cid:durableId="21515275">
    <w:abstractNumId w:val="0"/>
  </w:num>
  <w:num w:numId="11" w16cid:durableId="1724401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005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16C"/>
    <w:rsid w:val="00000C5B"/>
    <w:rsid w:val="00003699"/>
    <w:rsid w:val="00007191"/>
    <w:rsid w:val="00013F4A"/>
    <w:rsid w:val="00014DE9"/>
    <w:rsid w:val="00014E97"/>
    <w:rsid w:val="00017B8C"/>
    <w:rsid w:val="00020009"/>
    <w:rsid w:val="00020E88"/>
    <w:rsid w:val="0002119C"/>
    <w:rsid w:val="000218B6"/>
    <w:rsid w:val="00022D68"/>
    <w:rsid w:val="000314A5"/>
    <w:rsid w:val="000315F1"/>
    <w:rsid w:val="00032ECC"/>
    <w:rsid w:val="000336C7"/>
    <w:rsid w:val="000344F8"/>
    <w:rsid w:val="00035367"/>
    <w:rsid w:val="00043AAC"/>
    <w:rsid w:val="00044B38"/>
    <w:rsid w:val="0005172E"/>
    <w:rsid w:val="00051CA4"/>
    <w:rsid w:val="00056470"/>
    <w:rsid w:val="000569CD"/>
    <w:rsid w:val="0006012B"/>
    <w:rsid w:val="00060A40"/>
    <w:rsid w:val="0006187A"/>
    <w:rsid w:val="0006375D"/>
    <w:rsid w:val="00063F62"/>
    <w:rsid w:val="00064146"/>
    <w:rsid w:val="00065A54"/>
    <w:rsid w:val="0006749E"/>
    <w:rsid w:val="0006758D"/>
    <w:rsid w:val="00067BE6"/>
    <w:rsid w:val="00070F92"/>
    <w:rsid w:val="00071B98"/>
    <w:rsid w:val="00072481"/>
    <w:rsid w:val="00072F3F"/>
    <w:rsid w:val="00072F9A"/>
    <w:rsid w:val="00075377"/>
    <w:rsid w:val="00075492"/>
    <w:rsid w:val="00081F70"/>
    <w:rsid w:val="00082980"/>
    <w:rsid w:val="000850EB"/>
    <w:rsid w:val="0008577B"/>
    <w:rsid w:val="000876AA"/>
    <w:rsid w:val="000908A1"/>
    <w:rsid w:val="00090A51"/>
    <w:rsid w:val="000932CC"/>
    <w:rsid w:val="0009405D"/>
    <w:rsid w:val="00094C6E"/>
    <w:rsid w:val="000964A2"/>
    <w:rsid w:val="000967B1"/>
    <w:rsid w:val="0009724A"/>
    <w:rsid w:val="000A5043"/>
    <w:rsid w:val="000A71F7"/>
    <w:rsid w:val="000A7E84"/>
    <w:rsid w:val="000B03B1"/>
    <w:rsid w:val="000B0C5D"/>
    <w:rsid w:val="000B1F73"/>
    <w:rsid w:val="000C0526"/>
    <w:rsid w:val="000C08BF"/>
    <w:rsid w:val="000C2092"/>
    <w:rsid w:val="000C7AA1"/>
    <w:rsid w:val="000D0ED6"/>
    <w:rsid w:val="000D1997"/>
    <w:rsid w:val="000D4671"/>
    <w:rsid w:val="000D6074"/>
    <w:rsid w:val="000E38FA"/>
    <w:rsid w:val="000E5809"/>
    <w:rsid w:val="000E6D13"/>
    <w:rsid w:val="000F0823"/>
    <w:rsid w:val="000F3F52"/>
    <w:rsid w:val="00100EF3"/>
    <w:rsid w:val="00102B1C"/>
    <w:rsid w:val="00105F28"/>
    <w:rsid w:val="00107DA4"/>
    <w:rsid w:val="00110143"/>
    <w:rsid w:val="001104F9"/>
    <w:rsid w:val="00110B4B"/>
    <w:rsid w:val="001131CD"/>
    <w:rsid w:val="001144F1"/>
    <w:rsid w:val="00116127"/>
    <w:rsid w:val="001216B9"/>
    <w:rsid w:val="00123CFA"/>
    <w:rsid w:val="0012461F"/>
    <w:rsid w:val="00132A12"/>
    <w:rsid w:val="00133146"/>
    <w:rsid w:val="0013387E"/>
    <w:rsid w:val="00133C89"/>
    <w:rsid w:val="0013570F"/>
    <w:rsid w:val="00135CAE"/>
    <w:rsid w:val="001401E6"/>
    <w:rsid w:val="00141868"/>
    <w:rsid w:val="001427D4"/>
    <w:rsid w:val="001429A3"/>
    <w:rsid w:val="001437A4"/>
    <w:rsid w:val="001446A4"/>
    <w:rsid w:val="00147BA1"/>
    <w:rsid w:val="001514C9"/>
    <w:rsid w:val="00153927"/>
    <w:rsid w:val="001540A8"/>
    <w:rsid w:val="00154797"/>
    <w:rsid w:val="0015492B"/>
    <w:rsid w:val="00156675"/>
    <w:rsid w:val="001572EF"/>
    <w:rsid w:val="00157BDA"/>
    <w:rsid w:val="001616E0"/>
    <w:rsid w:val="00163C80"/>
    <w:rsid w:val="001640B0"/>
    <w:rsid w:val="001674BD"/>
    <w:rsid w:val="00167A12"/>
    <w:rsid w:val="00167C6C"/>
    <w:rsid w:val="00170A56"/>
    <w:rsid w:val="00170ED3"/>
    <w:rsid w:val="00171511"/>
    <w:rsid w:val="00172886"/>
    <w:rsid w:val="00173026"/>
    <w:rsid w:val="00176551"/>
    <w:rsid w:val="001813F6"/>
    <w:rsid w:val="00183048"/>
    <w:rsid w:val="00192638"/>
    <w:rsid w:val="00194CAA"/>
    <w:rsid w:val="001953A5"/>
    <w:rsid w:val="00195B03"/>
    <w:rsid w:val="001A007E"/>
    <w:rsid w:val="001A05E0"/>
    <w:rsid w:val="001A34F7"/>
    <w:rsid w:val="001A38A2"/>
    <w:rsid w:val="001A4974"/>
    <w:rsid w:val="001A64C7"/>
    <w:rsid w:val="001A7B50"/>
    <w:rsid w:val="001B04A3"/>
    <w:rsid w:val="001B052E"/>
    <w:rsid w:val="001B1323"/>
    <w:rsid w:val="001B40E9"/>
    <w:rsid w:val="001C1B8F"/>
    <w:rsid w:val="001C4445"/>
    <w:rsid w:val="001C472C"/>
    <w:rsid w:val="001C75A3"/>
    <w:rsid w:val="001C75A5"/>
    <w:rsid w:val="001C7B36"/>
    <w:rsid w:val="001D0378"/>
    <w:rsid w:val="001D05B2"/>
    <w:rsid w:val="001D05EC"/>
    <w:rsid w:val="001D1D56"/>
    <w:rsid w:val="001D2DC6"/>
    <w:rsid w:val="001D3A83"/>
    <w:rsid w:val="001D66BF"/>
    <w:rsid w:val="001E0EF2"/>
    <w:rsid w:val="001E0F8E"/>
    <w:rsid w:val="001E33FD"/>
    <w:rsid w:val="001E5A32"/>
    <w:rsid w:val="001E6EA3"/>
    <w:rsid w:val="001F0BAD"/>
    <w:rsid w:val="001F2F37"/>
    <w:rsid w:val="00205261"/>
    <w:rsid w:val="00207068"/>
    <w:rsid w:val="00207F5D"/>
    <w:rsid w:val="00210A46"/>
    <w:rsid w:val="00211087"/>
    <w:rsid w:val="002164DB"/>
    <w:rsid w:val="00217717"/>
    <w:rsid w:val="00217DCB"/>
    <w:rsid w:val="00220332"/>
    <w:rsid w:val="002221BE"/>
    <w:rsid w:val="002236FE"/>
    <w:rsid w:val="0022449C"/>
    <w:rsid w:val="002267D2"/>
    <w:rsid w:val="00227E76"/>
    <w:rsid w:val="00230F6C"/>
    <w:rsid w:val="002334CD"/>
    <w:rsid w:val="00235359"/>
    <w:rsid w:val="00237C3C"/>
    <w:rsid w:val="00241410"/>
    <w:rsid w:val="002415E4"/>
    <w:rsid w:val="00243A52"/>
    <w:rsid w:val="002454A0"/>
    <w:rsid w:val="00246572"/>
    <w:rsid w:val="00246646"/>
    <w:rsid w:val="00247BCF"/>
    <w:rsid w:val="00251221"/>
    <w:rsid w:val="0025306C"/>
    <w:rsid w:val="002557A8"/>
    <w:rsid w:val="00257EB2"/>
    <w:rsid w:val="002607F9"/>
    <w:rsid w:val="00260CA4"/>
    <w:rsid w:val="0026174F"/>
    <w:rsid w:val="00261B07"/>
    <w:rsid w:val="00263BFC"/>
    <w:rsid w:val="002651A2"/>
    <w:rsid w:val="002721B8"/>
    <w:rsid w:val="00273E35"/>
    <w:rsid w:val="0028055B"/>
    <w:rsid w:val="0029140C"/>
    <w:rsid w:val="00293039"/>
    <w:rsid w:val="002933BC"/>
    <w:rsid w:val="00294B5E"/>
    <w:rsid w:val="002A0625"/>
    <w:rsid w:val="002A0B26"/>
    <w:rsid w:val="002A0EB9"/>
    <w:rsid w:val="002A354E"/>
    <w:rsid w:val="002A3D71"/>
    <w:rsid w:val="002A526C"/>
    <w:rsid w:val="002A55DA"/>
    <w:rsid w:val="002A691E"/>
    <w:rsid w:val="002A7CB3"/>
    <w:rsid w:val="002B2A87"/>
    <w:rsid w:val="002B2C92"/>
    <w:rsid w:val="002C0814"/>
    <w:rsid w:val="002C2A26"/>
    <w:rsid w:val="002C2D66"/>
    <w:rsid w:val="002C38B3"/>
    <w:rsid w:val="002C7734"/>
    <w:rsid w:val="002D1482"/>
    <w:rsid w:val="002D1FE9"/>
    <w:rsid w:val="002D63BC"/>
    <w:rsid w:val="002E2ECD"/>
    <w:rsid w:val="002E339E"/>
    <w:rsid w:val="002E3685"/>
    <w:rsid w:val="002E6262"/>
    <w:rsid w:val="002E6E07"/>
    <w:rsid w:val="002F51D3"/>
    <w:rsid w:val="002F54C3"/>
    <w:rsid w:val="00300944"/>
    <w:rsid w:val="00300A3A"/>
    <w:rsid w:val="00301F6D"/>
    <w:rsid w:val="00301F9D"/>
    <w:rsid w:val="003030EA"/>
    <w:rsid w:val="00305017"/>
    <w:rsid w:val="0030537B"/>
    <w:rsid w:val="00305CE7"/>
    <w:rsid w:val="003076F3"/>
    <w:rsid w:val="003135AD"/>
    <w:rsid w:val="00313FFF"/>
    <w:rsid w:val="00315249"/>
    <w:rsid w:val="003160DD"/>
    <w:rsid w:val="0032240F"/>
    <w:rsid w:val="00334426"/>
    <w:rsid w:val="00335AE1"/>
    <w:rsid w:val="0033647C"/>
    <w:rsid w:val="00337282"/>
    <w:rsid w:val="0034013E"/>
    <w:rsid w:val="003438B6"/>
    <w:rsid w:val="00344930"/>
    <w:rsid w:val="00351BC0"/>
    <w:rsid w:val="00351F93"/>
    <w:rsid w:val="00353971"/>
    <w:rsid w:val="00356259"/>
    <w:rsid w:val="00363593"/>
    <w:rsid w:val="0037186D"/>
    <w:rsid w:val="003721AA"/>
    <w:rsid w:val="00374402"/>
    <w:rsid w:val="00374B40"/>
    <w:rsid w:val="00377A26"/>
    <w:rsid w:val="00381E16"/>
    <w:rsid w:val="00382482"/>
    <w:rsid w:val="00391B20"/>
    <w:rsid w:val="0039337D"/>
    <w:rsid w:val="00394205"/>
    <w:rsid w:val="003948FE"/>
    <w:rsid w:val="00395205"/>
    <w:rsid w:val="00395298"/>
    <w:rsid w:val="003A63A3"/>
    <w:rsid w:val="003A6E39"/>
    <w:rsid w:val="003A73F3"/>
    <w:rsid w:val="003B0103"/>
    <w:rsid w:val="003B1C6C"/>
    <w:rsid w:val="003B2028"/>
    <w:rsid w:val="003B3CF4"/>
    <w:rsid w:val="003B46D2"/>
    <w:rsid w:val="003C2392"/>
    <w:rsid w:val="003C28D5"/>
    <w:rsid w:val="003C67FE"/>
    <w:rsid w:val="003C6D2A"/>
    <w:rsid w:val="003C7E23"/>
    <w:rsid w:val="003D13A1"/>
    <w:rsid w:val="003D1B6B"/>
    <w:rsid w:val="003D2B01"/>
    <w:rsid w:val="003D4388"/>
    <w:rsid w:val="003D6582"/>
    <w:rsid w:val="003D65F8"/>
    <w:rsid w:val="003D77C7"/>
    <w:rsid w:val="003E1673"/>
    <w:rsid w:val="003E18AA"/>
    <w:rsid w:val="003E5A37"/>
    <w:rsid w:val="003E6B28"/>
    <w:rsid w:val="003F0C05"/>
    <w:rsid w:val="003F14D4"/>
    <w:rsid w:val="003F3753"/>
    <w:rsid w:val="003F644E"/>
    <w:rsid w:val="003F775F"/>
    <w:rsid w:val="003F7C6F"/>
    <w:rsid w:val="004025E1"/>
    <w:rsid w:val="00404051"/>
    <w:rsid w:val="00404DC3"/>
    <w:rsid w:val="004067C3"/>
    <w:rsid w:val="00407746"/>
    <w:rsid w:val="00407E08"/>
    <w:rsid w:val="004139EF"/>
    <w:rsid w:val="0041421D"/>
    <w:rsid w:val="004163FD"/>
    <w:rsid w:val="00420AF0"/>
    <w:rsid w:val="00424F66"/>
    <w:rsid w:val="00425D68"/>
    <w:rsid w:val="00425DDB"/>
    <w:rsid w:val="004262A4"/>
    <w:rsid w:val="00430705"/>
    <w:rsid w:val="00432855"/>
    <w:rsid w:val="0043309B"/>
    <w:rsid w:val="00434653"/>
    <w:rsid w:val="004346C5"/>
    <w:rsid w:val="00435D66"/>
    <w:rsid w:val="0043761D"/>
    <w:rsid w:val="0043790D"/>
    <w:rsid w:val="00444309"/>
    <w:rsid w:val="00446CEB"/>
    <w:rsid w:val="00450CC7"/>
    <w:rsid w:val="00452F85"/>
    <w:rsid w:val="004531AA"/>
    <w:rsid w:val="00453F8F"/>
    <w:rsid w:val="00461439"/>
    <w:rsid w:val="00462052"/>
    <w:rsid w:val="00462C87"/>
    <w:rsid w:val="0046685E"/>
    <w:rsid w:val="00467062"/>
    <w:rsid w:val="00467431"/>
    <w:rsid w:val="004677CF"/>
    <w:rsid w:val="00470CD7"/>
    <w:rsid w:val="00472692"/>
    <w:rsid w:val="004740F2"/>
    <w:rsid w:val="00474536"/>
    <w:rsid w:val="00475E52"/>
    <w:rsid w:val="0048017B"/>
    <w:rsid w:val="004804DF"/>
    <w:rsid w:val="00480CE6"/>
    <w:rsid w:val="00482F63"/>
    <w:rsid w:val="00483680"/>
    <w:rsid w:val="00486458"/>
    <w:rsid w:val="00490183"/>
    <w:rsid w:val="00490412"/>
    <w:rsid w:val="00490CB8"/>
    <w:rsid w:val="00492192"/>
    <w:rsid w:val="00493A54"/>
    <w:rsid w:val="004953CA"/>
    <w:rsid w:val="0049565E"/>
    <w:rsid w:val="00496B80"/>
    <w:rsid w:val="004972BD"/>
    <w:rsid w:val="004A092C"/>
    <w:rsid w:val="004A0BC3"/>
    <w:rsid w:val="004A19AA"/>
    <w:rsid w:val="004A1C0A"/>
    <w:rsid w:val="004A2D08"/>
    <w:rsid w:val="004A46DE"/>
    <w:rsid w:val="004B0A06"/>
    <w:rsid w:val="004B4D29"/>
    <w:rsid w:val="004B636C"/>
    <w:rsid w:val="004C11CC"/>
    <w:rsid w:val="004C2395"/>
    <w:rsid w:val="004C466E"/>
    <w:rsid w:val="004C7D8D"/>
    <w:rsid w:val="004D05CA"/>
    <w:rsid w:val="004D12A5"/>
    <w:rsid w:val="004D568D"/>
    <w:rsid w:val="004D6478"/>
    <w:rsid w:val="004D71EA"/>
    <w:rsid w:val="004E30DD"/>
    <w:rsid w:val="004E3603"/>
    <w:rsid w:val="004E3D11"/>
    <w:rsid w:val="004E4511"/>
    <w:rsid w:val="004E53E7"/>
    <w:rsid w:val="004E620E"/>
    <w:rsid w:val="004F09AB"/>
    <w:rsid w:val="004F2129"/>
    <w:rsid w:val="004F2808"/>
    <w:rsid w:val="004F53A3"/>
    <w:rsid w:val="0050288A"/>
    <w:rsid w:val="00502E0F"/>
    <w:rsid w:val="00503DE2"/>
    <w:rsid w:val="005054B6"/>
    <w:rsid w:val="00505561"/>
    <w:rsid w:val="00507886"/>
    <w:rsid w:val="00507E08"/>
    <w:rsid w:val="005115E5"/>
    <w:rsid w:val="00512E3C"/>
    <w:rsid w:val="00513E92"/>
    <w:rsid w:val="005163E4"/>
    <w:rsid w:val="00516D92"/>
    <w:rsid w:val="0051782B"/>
    <w:rsid w:val="0052156A"/>
    <w:rsid w:val="00521BB3"/>
    <w:rsid w:val="00523C19"/>
    <w:rsid w:val="00524330"/>
    <w:rsid w:val="005272DC"/>
    <w:rsid w:val="00536018"/>
    <w:rsid w:val="00536716"/>
    <w:rsid w:val="00536A11"/>
    <w:rsid w:val="00540165"/>
    <w:rsid w:val="00542F62"/>
    <w:rsid w:val="00544D8F"/>
    <w:rsid w:val="005468D1"/>
    <w:rsid w:val="00546CA1"/>
    <w:rsid w:val="00553136"/>
    <w:rsid w:val="00553C1A"/>
    <w:rsid w:val="00553C97"/>
    <w:rsid w:val="005546F1"/>
    <w:rsid w:val="00554CBD"/>
    <w:rsid w:val="0056011D"/>
    <w:rsid w:val="00562A01"/>
    <w:rsid w:val="005661C6"/>
    <w:rsid w:val="0056629F"/>
    <w:rsid w:val="005675F4"/>
    <w:rsid w:val="00570A2F"/>
    <w:rsid w:val="0057310B"/>
    <w:rsid w:val="005732DC"/>
    <w:rsid w:val="00573556"/>
    <w:rsid w:val="005742A7"/>
    <w:rsid w:val="00574A60"/>
    <w:rsid w:val="00577FCD"/>
    <w:rsid w:val="00581754"/>
    <w:rsid w:val="0058644A"/>
    <w:rsid w:val="005933EB"/>
    <w:rsid w:val="005937F3"/>
    <w:rsid w:val="00596F3B"/>
    <w:rsid w:val="005A0155"/>
    <w:rsid w:val="005A0D44"/>
    <w:rsid w:val="005A4380"/>
    <w:rsid w:val="005B63B6"/>
    <w:rsid w:val="005C0192"/>
    <w:rsid w:val="005C2F8F"/>
    <w:rsid w:val="005C3A44"/>
    <w:rsid w:val="005C5FE9"/>
    <w:rsid w:val="005C6086"/>
    <w:rsid w:val="005C7D7A"/>
    <w:rsid w:val="005D2A97"/>
    <w:rsid w:val="005D2B8A"/>
    <w:rsid w:val="005D479D"/>
    <w:rsid w:val="005D5EF6"/>
    <w:rsid w:val="005D6BEE"/>
    <w:rsid w:val="005E1F8C"/>
    <w:rsid w:val="005E333C"/>
    <w:rsid w:val="005E3F57"/>
    <w:rsid w:val="005F0F40"/>
    <w:rsid w:val="005F302A"/>
    <w:rsid w:val="005F4B77"/>
    <w:rsid w:val="005F5709"/>
    <w:rsid w:val="005F66A0"/>
    <w:rsid w:val="005F763B"/>
    <w:rsid w:val="006003FB"/>
    <w:rsid w:val="0060306F"/>
    <w:rsid w:val="00603655"/>
    <w:rsid w:val="00605E40"/>
    <w:rsid w:val="00610C1E"/>
    <w:rsid w:val="00616BCD"/>
    <w:rsid w:val="006172DF"/>
    <w:rsid w:val="00617628"/>
    <w:rsid w:val="00617EED"/>
    <w:rsid w:val="0062329D"/>
    <w:rsid w:val="00626C7F"/>
    <w:rsid w:val="00632901"/>
    <w:rsid w:val="00634AAD"/>
    <w:rsid w:val="006352E1"/>
    <w:rsid w:val="00635961"/>
    <w:rsid w:val="0063659F"/>
    <w:rsid w:val="0064086D"/>
    <w:rsid w:val="006411AA"/>
    <w:rsid w:val="006414DD"/>
    <w:rsid w:val="006415DD"/>
    <w:rsid w:val="006432B7"/>
    <w:rsid w:val="00645957"/>
    <w:rsid w:val="00645F82"/>
    <w:rsid w:val="0064683C"/>
    <w:rsid w:val="00646AC0"/>
    <w:rsid w:val="0065076E"/>
    <w:rsid w:val="00651C15"/>
    <w:rsid w:val="00652510"/>
    <w:rsid w:val="00652C9F"/>
    <w:rsid w:val="0065580D"/>
    <w:rsid w:val="0065629F"/>
    <w:rsid w:val="00656771"/>
    <w:rsid w:val="006618E9"/>
    <w:rsid w:val="00661A11"/>
    <w:rsid w:val="00662675"/>
    <w:rsid w:val="0066418C"/>
    <w:rsid w:val="00664E16"/>
    <w:rsid w:val="00670637"/>
    <w:rsid w:val="00683DE2"/>
    <w:rsid w:val="00686C2F"/>
    <w:rsid w:val="0069017E"/>
    <w:rsid w:val="006906C5"/>
    <w:rsid w:val="00691F7E"/>
    <w:rsid w:val="006968A3"/>
    <w:rsid w:val="00696ABD"/>
    <w:rsid w:val="006A2CA5"/>
    <w:rsid w:val="006A3E16"/>
    <w:rsid w:val="006A5DBA"/>
    <w:rsid w:val="006A7EF2"/>
    <w:rsid w:val="006B0E7F"/>
    <w:rsid w:val="006B1111"/>
    <w:rsid w:val="006B30FC"/>
    <w:rsid w:val="006B4A2E"/>
    <w:rsid w:val="006B5F3A"/>
    <w:rsid w:val="006B7CF3"/>
    <w:rsid w:val="006C1761"/>
    <w:rsid w:val="006C3294"/>
    <w:rsid w:val="006D030D"/>
    <w:rsid w:val="006D0837"/>
    <w:rsid w:val="006D1A93"/>
    <w:rsid w:val="006D269F"/>
    <w:rsid w:val="006D5FB2"/>
    <w:rsid w:val="006D74D4"/>
    <w:rsid w:val="006E1DF6"/>
    <w:rsid w:val="006E2972"/>
    <w:rsid w:val="006E41F9"/>
    <w:rsid w:val="006E43AA"/>
    <w:rsid w:val="006F0008"/>
    <w:rsid w:val="006F00E3"/>
    <w:rsid w:val="006F0978"/>
    <w:rsid w:val="006F1074"/>
    <w:rsid w:val="006F13CD"/>
    <w:rsid w:val="006F1CAE"/>
    <w:rsid w:val="006F30A5"/>
    <w:rsid w:val="006F6DFE"/>
    <w:rsid w:val="0070026A"/>
    <w:rsid w:val="00700370"/>
    <w:rsid w:val="00700E79"/>
    <w:rsid w:val="0070145A"/>
    <w:rsid w:val="00701BC3"/>
    <w:rsid w:val="007032E9"/>
    <w:rsid w:val="00704B06"/>
    <w:rsid w:val="0070692E"/>
    <w:rsid w:val="00706AAE"/>
    <w:rsid w:val="0070731B"/>
    <w:rsid w:val="007125BA"/>
    <w:rsid w:val="007142A1"/>
    <w:rsid w:val="00715D05"/>
    <w:rsid w:val="00716736"/>
    <w:rsid w:val="007224BD"/>
    <w:rsid w:val="0072260E"/>
    <w:rsid w:val="007258F3"/>
    <w:rsid w:val="00736FAD"/>
    <w:rsid w:val="007405B0"/>
    <w:rsid w:val="0074162E"/>
    <w:rsid w:val="00743263"/>
    <w:rsid w:val="007437B5"/>
    <w:rsid w:val="00743EAC"/>
    <w:rsid w:val="00745534"/>
    <w:rsid w:val="00757B3A"/>
    <w:rsid w:val="00760FBF"/>
    <w:rsid w:val="00761F28"/>
    <w:rsid w:val="00766353"/>
    <w:rsid w:val="0076681A"/>
    <w:rsid w:val="007714DB"/>
    <w:rsid w:val="0077215D"/>
    <w:rsid w:val="0077248B"/>
    <w:rsid w:val="00773A46"/>
    <w:rsid w:val="00776540"/>
    <w:rsid w:val="0077662F"/>
    <w:rsid w:val="00777814"/>
    <w:rsid w:val="00786E77"/>
    <w:rsid w:val="0079090D"/>
    <w:rsid w:val="00790CB9"/>
    <w:rsid w:val="007913F9"/>
    <w:rsid w:val="007917D1"/>
    <w:rsid w:val="007925EB"/>
    <w:rsid w:val="00793150"/>
    <w:rsid w:val="00795AEE"/>
    <w:rsid w:val="0079608C"/>
    <w:rsid w:val="007976E7"/>
    <w:rsid w:val="007A010B"/>
    <w:rsid w:val="007A31DD"/>
    <w:rsid w:val="007A4081"/>
    <w:rsid w:val="007B1194"/>
    <w:rsid w:val="007B3191"/>
    <w:rsid w:val="007B43A9"/>
    <w:rsid w:val="007B4482"/>
    <w:rsid w:val="007B4AD5"/>
    <w:rsid w:val="007B6E62"/>
    <w:rsid w:val="007C11E2"/>
    <w:rsid w:val="007C23F0"/>
    <w:rsid w:val="007C39AF"/>
    <w:rsid w:val="007C3E06"/>
    <w:rsid w:val="007C7884"/>
    <w:rsid w:val="007C7B05"/>
    <w:rsid w:val="007D0456"/>
    <w:rsid w:val="007D6640"/>
    <w:rsid w:val="007D6D0D"/>
    <w:rsid w:val="007E1EDB"/>
    <w:rsid w:val="007E2138"/>
    <w:rsid w:val="007E5426"/>
    <w:rsid w:val="007E5796"/>
    <w:rsid w:val="007E6C86"/>
    <w:rsid w:val="007F1C5F"/>
    <w:rsid w:val="007F25D4"/>
    <w:rsid w:val="007F50BE"/>
    <w:rsid w:val="007F5667"/>
    <w:rsid w:val="007F7295"/>
    <w:rsid w:val="00800EC2"/>
    <w:rsid w:val="0080282B"/>
    <w:rsid w:val="00804E48"/>
    <w:rsid w:val="00807F60"/>
    <w:rsid w:val="00810376"/>
    <w:rsid w:val="00810824"/>
    <w:rsid w:val="00810FCD"/>
    <w:rsid w:val="00811FD6"/>
    <w:rsid w:val="00815DD5"/>
    <w:rsid w:val="00815ED1"/>
    <w:rsid w:val="00820753"/>
    <w:rsid w:val="00821D3D"/>
    <w:rsid w:val="008231F2"/>
    <w:rsid w:val="008265DC"/>
    <w:rsid w:val="008270C1"/>
    <w:rsid w:val="0082C36C"/>
    <w:rsid w:val="00830101"/>
    <w:rsid w:val="008347D5"/>
    <w:rsid w:val="00837379"/>
    <w:rsid w:val="00837B71"/>
    <w:rsid w:val="00842E61"/>
    <w:rsid w:val="00861468"/>
    <w:rsid w:val="008618F0"/>
    <w:rsid w:val="008645AD"/>
    <w:rsid w:val="0086771A"/>
    <w:rsid w:val="0087606B"/>
    <w:rsid w:val="00880904"/>
    <w:rsid w:val="008812EC"/>
    <w:rsid w:val="00883CB9"/>
    <w:rsid w:val="00885A7C"/>
    <w:rsid w:val="00886F41"/>
    <w:rsid w:val="00890155"/>
    <w:rsid w:val="00892643"/>
    <w:rsid w:val="00892EA0"/>
    <w:rsid w:val="00895906"/>
    <w:rsid w:val="008A38D5"/>
    <w:rsid w:val="008A51A4"/>
    <w:rsid w:val="008B1D77"/>
    <w:rsid w:val="008B1ED2"/>
    <w:rsid w:val="008B2BE4"/>
    <w:rsid w:val="008B45D0"/>
    <w:rsid w:val="008B5863"/>
    <w:rsid w:val="008B6AF6"/>
    <w:rsid w:val="008B7678"/>
    <w:rsid w:val="008C0F78"/>
    <w:rsid w:val="008C15FA"/>
    <w:rsid w:val="008C18DA"/>
    <w:rsid w:val="008C4949"/>
    <w:rsid w:val="008C6199"/>
    <w:rsid w:val="008C6B78"/>
    <w:rsid w:val="008D1762"/>
    <w:rsid w:val="008D18FF"/>
    <w:rsid w:val="008D1B66"/>
    <w:rsid w:val="008D368B"/>
    <w:rsid w:val="008D452E"/>
    <w:rsid w:val="008D74E9"/>
    <w:rsid w:val="008E265D"/>
    <w:rsid w:val="008E3C55"/>
    <w:rsid w:val="008E3CF5"/>
    <w:rsid w:val="008E4A13"/>
    <w:rsid w:val="008E5550"/>
    <w:rsid w:val="008E7C28"/>
    <w:rsid w:val="008F0CF3"/>
    <w:rsid w:val="008F3BE5"/>
    <w:rsid w:val="008F44D6"/>
    <w:rsid w:val="008F6829"/>
    <w:rsid w:val="008F6C72"/>
    <w:rsid w:val="008F739A"/>
    <w:rsid w:val="00901D2A"/>
    <w:rsid w:val="00902471"/>
    <w:rsid w:val="009024C7"/>
    <w:rsid w:val="009045EF"/>
    <w:rsid w:val="0090601F"/>
    <w:rsid w:val="00906983"/>
    <w:rsid w:val="00906DAD"/>
    <w:rsid w:val="00907271"/>
    <w:rsid w:val="00910096"/>
    <w:rsid w:val="00910B3C"/>
    <w:rsid w:val="00920806"/>
    <w:rsid w:val="00921A65"/>
    <w:rsid w:val="00923444"/>
    <w:rsid w:val="00924BBA"/>
    <w:rsid w:val="00930179"/>
    <w:rsid w:val="009307A8"/>
    <w:rsid w:val="009319C6"/>
    <w:rsid w:val="00932503"/>
    <w:rsid w:val="00934182"/>
    <w:rsid w:val="00934F36"/>
    <w:rsid w:val="009373A4"/>
    <w:rsid w:val="00937875"/>
    <w:rsid w:val="00940182"/>
    <w:rsid w:val="0094026C"/>
    <w:rsid w:val="00942393"/>
    <w:rsid w:val="0094447A"/>
    <w:rsid w:val="00953863"/>
    <w:rsid w:val="009548AA"/>
    <w:rsid w:val="00956D82"/>
    <w:rsid w:val="0096341C"/>
    <w:rsid w:val="00970BF8"/>
    <w:rsid w:val="0097111E"/>
    <w:rsid w:val="009717F1"/>
    <w:rsid w:val="00974F0E"/>
    <w:rsid w:val="00976DCE"/>
    <w:rsid w:val="00980875"/>
    <w:rsid w:val="00982FEE"/>
    <w:rsid w:val="00983064"/>
    <w:rsid w:val="00986D61"/>
    <w:rsid w:val="00987315"/>
    <w:rsid w:val="00990F35"/>
    <w:rsid w:val="0099487F"/>
    <w:rsid w:val="00995052"/>
    <w:rsid w:val="009A0753"/>
    <w:rsid w:val="009A0BE1"/>
    <w:rsid w:val="009A21E0"/>
    <w:rsid w:val="009A22C4"/>
    <w:rsid w:val="009A5633"/>
    <w:rsid w:val="009A5A4B"/>
    <w:rsid w:val="009A623C"/>
    <w:rsid w:val="009A6652"/>
    <w:rsid w:val="009A6859"/>
    <w:rsid w:val="009B3337"/>
    <w:rsid w:val="009B491E"/>
    <w:rsid w:val="009B4B08"/>
    <w:rsid w:val="009B7A35"/>
    <w:rsid w:val="009B7CBA"/>
    <w:rsid w:val="009D086E"/>
    <w:rsid w:val="009D124A"/>
    <w:rsid w:val="009D1BDB"/>
    <w:rsid w:val="009D3206"/>
    <w:rsid w:val="009D7323"/>
    <w:rsid w:val="009E39E2"/>
    <w:rsid w:val="009E5C04"/>
    <w:rsid w:val="009E71AF"/>
    <w:rsid w:val="009F0AAD"/>
    <w:rsid w:val="009F102F"/>
    <w:rsid w:val="009F162F"/>
    <w:rsid w:val="009F4003"/>
    <w:rsid w:val="009F4D94"/>
    <w:rsid w:val="00A0135F"/>
    <w:rsid w:val="00A0243C"/>
    <w:rsid w:val="00A03977"/>
    <w:rsid w:val="00A04475"/>
    <w:rsid w:val="00A0479C"/>
    <w:rsid w:val="00A069F9"/>
    <w:rsid w:val="00A10812"/>
    <w:rsid w:val="00A1083B"/>
    <w:rsid w:val="00A14502"/>
    <w:rsid w:val="00A16763"/>
    <w:rsid w:val="00A16A28"/>
    <w:rsid w:val="00A17541"/>
    <w:rsid w:val="00A274FC"/>
    <w:rsid w:val="00A303E0"/>
    <w:rsid w:val="00A31F60"/>
    <w:rsid w:val="00A35129"/>
    <w:rsid w:val="00A3577D"/>
    <w:rsid w:val="00A35E09"/>
    <w:rsid w:val="00A4249B"/>
    <w:rsid w:val="00A42539"/>
    <w:rsid w:val="00A442BA"/>
    <w:rsid w:val="00A45830"/>
    <w:rsid w:val="00A46D4E"/>
    <w:rsid w:val="00A5300A"/>
    <w:rsid w:val="00A60230"/>
    <w:rsid w:val="00A60FEF"/>
    <w:rsid w:val="00A61912"/>
    <w:rsid w:val="00A61C5C"/>
    <w:rsid w:val="00A62192"/>
    <w:rsid w:val="00A62A5E"/>
    <w:rsid w:val="00A63C7F"/>
    <w:rsid w:val="00A65784"/>
    <w:rsid w:val="00A66BA7"/>
    <w:rsid w:val="00A67158"/>
    <w:rsid w:val="00A7191C"/>
    <w:rsid w:val="00A72935"/>
    <w:rsid w:val="00A730BC"/>
    <w:rsid w:val="00A81112"/>
    <w:rsid w:val="00A821C5"/>
    <w:rsid w:val="00A84533"/>
    <w:rsid w:val="00A8656F"/>
    <w:rsid w:val="00A9175A"/>
    <w:rsid w:val="00A9333A"/>
    <w:rsid w:val="00A9516A"/>
    <w:rsid w:val="00A9648A"/>
    <w:rsid w:val="00A9672B"/>
    <w:rsid w:val="00A97654"/>
    <w:rsid w:val="00AA464D"/>
    <w:rsid w:val="00AB2630"/>
    <w:rsid w:val="00AB273F"/>
    <w:rsid w:val="00AB3849"/>
    <w:rsid w:val="00AB5E3A"/>
    <w:rsid w:val="00AC6772"/>
    <w:rsid w:val="00AC6900"/>
    <w:rsid w:val="00AD0EF1"/>
    <w:rsid w:val="00AD106D"/>
    <w:rsid w:val="00AD4A31"/>
    <w:rsid w:val="00AD5C90"/>
    <w:rsid w:val="00AD6047"/>
    <w:rsid w:val="00AD785D"/>
    <w:rsid w:val="00AD7D95"/>
    <w:rsid w:val="00AE159A"/>
    <w:rsid w:val="00AE39E5"/>
    <w:rsid w:val="00AE459B"/>
    <w:rsid w:val="00AE48AF"/>
    <w:rsid w:val="00AF0815"/>
    <w:rsid w:val="00AF0887"/>
    <w:rsid w:val="00AF0F46"/>
    <w:rsid w:val="00AF17E9"/>
    <w:rsid w:val="00AF1A2D"/>
    <w:rsid w:val="00AF4FC9"/>
    <w:rsid w:val="00AF5A0D"/>
    <w:rsid w:val="00AF649A"/>
    <w:rsid w:val="00AF703C"/>
    <w:rsid w:val="00B006D0"/>
    <w:rsid w:val="00B02A4A"/>
    <w:rsid w:val="00B0424C"/>
    <w:rsid w:val="00B04814"/>
    <w:rsid w:val="00B068AF"/>
    <w:rsid w:val="00B074CF"/>
    <w:rsid w:val="00B0772F"/>
    <w:rsid w:val="00B118B9"/>
    <w:rsid w:val="00B16AAF"/>
    <w:rsid w:val="00B2009F"/>
    <w:rsid w:val="00B208A9"/>
    <w:rsid w:val="00B24327"/>
    <w:rsid w:val="00B3121D"/>
    <w:rsid w:val="00B31FE8"/>
    <w:rsid w:val="00B37AED"/>
    <w:rsid w:val="00B41ACB"/>
    <w:rsid w:val="00B434B3"/>
    <w:rsid w:val="00B440EA"/>
    <w:rsid w:val="00B452CD"/>
    <w:rsid w:val="00B45A7C"/>
    <w:rsid w:val="00B46CAB"/>
    <w:rsid w:val="00B46D28"/>
    <w:rsid w:val="00B47D0D"/>
    <w:rsid w:val="00B52402"/>
    <w:rsid w:val="00B52971"/>
    <w:rsid w:val="00B553C0"/>
    <w:rsid w:val="00B568B3"/>
    <w:rsid w:val="00B56DBD"/>
    <w:rsid w:val="00B6278D"/>
    <w:rsid w:val="00B64FD6"/>
    <w:rsid w:val="00B6571C"/>
    <w:rsid w:val="00B7254F"/>
    <w:rsid w:val="00B740FC"/>
    <w:rsid w:val="00B757A6"/>
    <w:rsid w:val="00B776E4"/>
    <w:rsid w:val="00B804C3"/>
    <w:rsid w:val="00B808A5"/>
    <w:rsid w:val="00B80A61"/>
    <w:rsid w:val="00B80E5F"/>
    <w:rsid w:val="00B82BCF"/>
    <w:rsid w:val="00B840B6"/>
    <w:rsid w:val="00B84523"/>
    <w:rsid w:val="00B84AE6"/>
    <w:rsid w:val="00B84FE8"/>
    <w:rsid w:val="00B85F5A"/>
    <w:rsid w:val="00B8608F"/>
    <w:rsid w:val="00B9026F"/>
    <w:rsid w:val="00B926D4"/>
    <w:rsid w:val="00B92C1E"/>
    <w:rsid w:val="00B953AF"/>
    <w:rsid w:val="00B9556F"/>
    <w:rsid w:val="00BA0CA1"/>
    <w:rsid w:val="00BA4083"/>
    <w:rsid w:val="00BA705D"/>
    <w:rsid w:val="00BA73D3"/>
    <w:rsid w:val="00BB0653"/>
    <w:rsid w:val="00BC3455"/>
    <w:rsid w:val="00BD17D0"/>
    <w:rsid w:val="00BD2E85"/>
    <w:rsid w:val="00BD30BD"/>
    <w:rsid w:val="00BD449F"/>
    <w:rsid w:val="00BD58BA"/>
    <w:rsid w:val="00BE1F2B"/>
    <w:rsid w:val="00BE25CB"/>
    <w:rsid w:val="00BE284E"/>
    <w:rsid w:val="00BE5040"/>
    <w:rsid w:val="00BE7047"/>
    <w:rsid w:val="00BF1BDA"/>
    <w:rsid w:val="00BF2EAF"/>
    <w:rsid w:val="00C010B6"/>
    <w:rsid w:val="00C02967"/>
    <w:rsid w:val="00C06452"/>
    <w:rsid w:val="00C07453"/>
    <w:rsid w:val="00C07FC9"/>
    <w:rsid w:val="00C10827"/>
    <w:rsid w:val="00C10B99"/>
    <w:rsid w:val="00C14EA3"/>
    <w:rsid w:val="00C20228"/>
    <w:rsid w:val="00C20BAA"/>
    <w:rsid w:val="00C218A5"/>
    <w:rsid w:val="00C21C27"/>
    <w:rsid w:val="00C2225C"/>
    <w:rsid w:val="00C23A04"/>
    <w:rsid w:val="00C2485C"/>
    <w:rsid w:val="00C302B1"/>
    <w:rsid w:val="00C3307B"/>
    <w:rsid w:val="00C351F6"/>
    <w:rsid w:val="00C36879"/>
    <w:rsid w:val="00C3792A"/>
    <w:rsid w:val="00C427AD"/>
    <w:rsid w:val="00C51632"/>
    <w:rsid w:val="00C51E54"/>
    <w:rsid w:val="00C51F58"/>
    <w:rsid w:val="00C53083"/>
    <w:rsid w:val="00C54A76"/>
    <w:rsid w:val="00C57BD3"/>
    <w:rsid w:val="00C62BC4"/>
    <w:rsid w:val="00C63147"/>
    <w:rsid w:val="00C63524"/>
    <w:rsid w:val="00C653DC"/>
    <w:rsid w:val="00C66AFC"/>
    <w:rsid w:val="00C672B3"/>
    <w:rsid w:val="00C70287"/>
    <w:rsid w:val="00C7075A"/>
    <w:rsid w:val="00C71E4E"/>
    <w:rsid w:val="00C73838"/>
    <w:rsid w:val="00C7453B"/>
    <w:rsid w:val="00C759FE"/>
    <w:rsid w:val="00C77C82"/>
    <w:rsid w:val="00C828C5"/>
    <w:rsid w:val="00C8382B"/>
    <w:rsid w:val="00C84B86"/>
    <w:rsid w:val="00C84C4F"/>
    <w:rsid w:val="00C85064"/>
    <w:rsid w:val="00C91D58"/>
    <w:rsid w:val="00C91F74"/>
    <w:rsid w:val="00C92172"/>
    <w:rsid w:val="00C96724"/>
    <w:rsid w:val="00C97A7D"/>
    <w:rsid w:val="00CA28E0"/>
    <w:rsid w:val="00CA4B3F"/>
    <w:rsid w:val="00CA4CDE"/>
    <w:rsid w:val="00CA5ABB"/>
    <w:rsid w:val="00CA7150"/>
    <w:rsid w:val="00CA7829"/>
    <w:rsid w:val="00CA7FCA"/>
    <w:rsid w:val="00CB0BA4"/>
    <w:rsid w:val="00CB164B"/>
    <w:rsid w:val="00CC024D"/>
    <w:rsid w:val="00CC6C6C"/>
    <w:rsid w:val="00CC71CC"/>
    <w:rsid w:val="00CD2C0B"/>
    <w:rsid w:val="00CD31DE"/>
    <w:rsid w:val="00CD3D2F"/>
    <w:rsid w:val="00CD5E3A"/>
    <w:rsid w:val="00CD6329"/>
    <w:rsid w:val="00CD6A7B"/>
    <w:rsid w:val="00CD6B7B"/>
    <w:rsid w:val="00CE26AB"/>
    <w:rsid w:val="00CE57E8"/>
    <w:rsid w:val="00CF0F47"/>
    <w:rsid w:val="00CF1158"/>
    <w:rsid w:val="00CF1A89"/>
    <w:rsid w:val="00CF5736"/>
    <w:rsid w:val="00CF60FC"/>
    <w:rsid w:val="00CF6EF4"/>
    <w:rsid w:val="00D03A4A"/>
    <w:rsid w:val="00D04433"/>
    <w:rsid w:val="00D04A6D"/>
    <w:rsid w:val="00D05B68"/>
    <w:rsid w:val="00D07DEA"/>
    <w:rsid w:val="00D13708"/>
    <w:rsid w:val="00D13C3F"/>
    <w:rsid w:val="00D15369"/>
    <w:rsid w:val="00D167FC"/>
    <w:rsid w:val="00D17930"/>
    <w:rsid w:val="00D203E2"/>
    <w:rsid w:val="00D21572"/>
    <w:rsid w:val="00D23528"/>
    <w:rsid w:val="00D24810"/>
    <w:rsid w:val="00D24EDE"/>
    <w:rsid w:val="00D25973"/>
    <w:rsid w:val="00D27602"/>
    <w:rsid w:val="00D3372F"/>
    <w:rsid w:val="00D36A47"/>
    <w:rsid w:val="00D36DED"/>
    <w:rsid w:val="00D3793B"/>
    <w:rsid w:val="00D40265"/>
    <w:rsid w:val="00D411D1"/>
    <w:rsid w:val="00D473B1"/>
    <w:rsid w:val="00D475E0"/>
    <w:rsid w:val="00D50066"/>
    <w:rsid w:val="00D514DE"/>
    <w:rsid w:val="00D51F6D"/>
    <w:rsid w:val="00D576A9"/>
    <w:rsid w:val="00D634E7"/>
    <w:rsid w:val="00D63745"/>
    <w:rsid w:val="00D708AF"/>
    <w:rsid w:val="00D70F8C"/>
    <w:rsid w:val="00D71A8C"/>
    <w:rsid w:val="00D73F74"/>
    <w:rsid w:val="00D750C4"/>
    <w:rsid w:val="00D764F6"/>
    <w:rsid w:val="00D76E9C"/>
    <w:rsid w:val="00D770C6"/>
    <w:rsid w:val="00D77D0C"/>
    <w:rsid w:val="00D81627"/>
    <w:rsid w:val="00D81963"/>
    <w:rsid w:val="00D81F52"/>
    <w:rsid w:val="00D8316F"/>
    <w:rsid w:val="00D8389D"/>
    <w:rsid w:val="00D84D43"/>
    <w:rsid w:val="00D87511"/>
    <w:rsid w:val="00D87D28"/>
    <w:rsid w:val="00D92331"/>
    <w:rsid w:val="00D93D53"/>
    <w:rsid w:val="00DA0AAD"/>
    <w:rsid w:val="00DA0B21"/>
    <w:rsid w:val="00DA0CB1"/>
    <w:rsid w:val="00DA2C20"/>
    <w:rsid w:val="00DA5796"/>
    <w:rsid w:val="00DA76D9"/>
    <w:rsid w:val="00DB1C33"/>
    <w:rsid w:val="00DB5935"/>
    <w:rsid w:val="00DB6255"/>
    <w:rsid w:val="00DB6A7A"/>
    <w:rsid w:val="00DB7030"/>
    <w:rsid w:val="00DC1650"/>
    <w:rsid w:val="00DD1C33"/>
    <w:rsid w:val="00DD2D5A"/>
    <w:rsid w:val="00DD3B5F"/>
    <w:rsid w:val="00DD3D3A"/>
    <w:rsid w:val="00DD4F92"/>
    <w:rsid w:val="00DD6254"/>
    <w:rsid w:val="00DE133B"/>
    <w:rsid w:val="00DE2AA8"/>
    <w:rsid w:val="00DE3125"/>
    <w:rsid w:val="00DE632A"/>
    <w:rsid w:val="00DF0813"/>
    <w:rsid w:val="00DF1DE4"/>
    <w:rsid w:val="00DF4556"/>
    <w:rsid w:val="00DF78C3"/>
    <w:rsid w:val="00DF7C33"/>
    <w:rsid w:val="00E00436"/>
    <w:rsid w:val="00E01A84"/>
    <w:rsid w:val="00E01F91"/>
    <w:rsid w:val="00E05FE9"/>
    <w:rsid w:val="00E10A39"/>
    <w:rsid w:val="00E125B4"/>
    <w:rsid w:val="00E1350D"/>
    <w:rsid w:val="00E21612"/>
    <w:rsid w:val="00E22316"/>
    <w:rsid w:val="00E2236D"/>
    <w:rsid w:val="00E22ABB"/>
    <w:rsid w:val="00E24F0D"/>
    <w:rsid w:val="00E26765"/>
    <w:rsid w:val="00E272CB"/>
    <w:rsid w:val="00E304BB"/>
    <w:rsid w:val="00E33769"/>
    <w:rsid w:val="00E34317"/>
    <w:rsid w:val="00E4068B"/>
    <w:rsid w:val="00E41968"/>
    <w:rsid w:val="00E41B22"/>
    <w:rsid w:val="00E438BF"/>
    <w:rsid w:val="00E56615"/>
    <w:rsid w:val="00E61871"/>
    <w:rsid w:val="00E61C6F"/>
    <w:rsid w:val="00E63137"/>
    <w:rsid w:val="00E6326A"/>
    <w:rsid w:val="00E659A8"/>
    <w:rsid w:val="00E6685B"/>
    <w:rsid w:val="00E66C2F"/>
    <w:rsid w:val="00E716F1"/>
    <w:rsid w:val="00E74069"/>
    <w:rsid w:val="00E74AFE"/>
    <w:rsid w:val="00E768D2"/>
    <w:rsid w:val="00E76F54"/>
    <w:rsid w:val="00E803B6"/>
    <w:rsid w:val="00E84413"/>
    <w:rsid w:val="00E84DDA"/>
    <w:rsid w:val="00E858BF"/>
    <w:rsid w:val="00E917F2"/>
    <w:rsid w:val="00E92DE6"/>
    <w:rsid w:val="00EA0C5D"/>
    <w:rsid w:val="00EA208F"/>
    <w:rsid w:val="00EA2C3F"/>
    <w:rsid w:val="00EA368D"/>
    <w:rsid w:val="00EA3DB4"/>
    <w:rsid w:val="00EA4A1C"/>
    <w:rsid w:val="00EA5570"/>
    <w:rsid w:val="00EA5DFF"/>
    <w:rsid w:val="00EA6F4F"/>
    <w:rsid w:val="00EBB054"/>
    <w:rsid w:val="00EC0E94"/>
    <w:rsid w:val="00EC1562"/>
    <w:rsid w:val="00EC1EB8"/>
    <w:rsid w:val="00EC2185"/>
    <w:rsid w:val="00EC61BD"/>
    <w:rsid w:val="00EC69DD"/>
    <w:rsid w:val="00EC7510"/>
    <w:rsid w:val="00EC7599"/>
    <w:rsid w:val="00ED0B63"/>
    <w:rsid w:val="00ED15A0"/>
    <w:rsid w:val="00ED40EB"/>
    <w:rsid w:val="00EE12CD"/>
    <w:rsid w:val="00EE3797"/>
    <w:rsid w:val="00EE3F38"/>
    <w:rsid w:val="00EE44BE"/>
    <w:rsid w:val="00EE53F3"/>
    <w:rsid w:val="00EE553C"/>
    <w:rsid w:val="00EF0789"/>
    <w:rsid w:val="00EF1A36"/>
    <w:rsid w:val="00EF2D1F"/>
    <w:rsid w:val="00EF3278"/>
    <w:rsid w:val="00EF35DC"/>
    <w:rsid w:val="00EF41F5"/>
    <w:rsid w:val="00EF4292"/>
    <w:rsid w:val="00EF53AD"/>
    <w:rsid w:val="00EF6E1C"/>
    <w:rsid w:val="00EF7232"/>
    <w:rsid w:val="00F02429"/>
    <w:rsid w:val="00F02CDC"/>
    <w:rsid w:val="00F052FB"/>
    <w:rsid w:val="00F11613"/>
    <w:rsid w:val="00F118A2"/>
    <w:rsid w:val="00F15E02"/>
    <w:rsid w:val="00F16FE3"/>
    <w:rsid w:val="00F2229B"/>
    <w:rsid w:val="00F23D6C"/>
    <w:rsid w:val="00F267B3"/>
    <w:rsid w:val="00F27399"/>
    <w:rsid w:val="00F32C74"/>
    <w:rsid w:val="00F33CD4"/>
    <w:rsid w:val="00F34468"/>
    <w:rsid w:val="00F348B8"/>
    <w:rsid w:val="00F3513C"/>
    <w:rsid w:val="00F36EDC"/>
    <w:rsid w:val="00F415F9"/>
    <w:rsid w:val="00F41693"/>
    <w:rsid w:val="00F41AA2"/>
    <w:rsid w:val="00F434D6"/>
    <w:rsid w:val="00F46A2F"/>
    <w:rsid w:val="00F51603"/>
    <w:rsid w:val="00F5174C"/>
    <w:rsid w:val="00F5354B"/>
    <w:rsid w:val="00F54B31"/>
    <w:rsid w:val="00F575C6"/>
    <w:rsid w:val="00F6088C"/>
    <w:rsid w:val="00F62EA4"/>
    <w:rsid w:val="00F63CAE"/>
    <w:rsid w:val="00F65104"/>
    <w:rsid w:val="00F655AE"/>
    <w:rsid w:val="00F662F4"/>
    <w:rsid w:val="00F66989"/>
    <w:rsid w:val="00F67095"/>
    <w:rsid w:val="00F67251"/>
    <w:rsid w:val="00F67482"/>
    <w:rsid w:val="00F71630"/>
    <w:rsid w:val="00F722C9"/>
    <w:rsid w:val="00F81ADC"/>
    <w:rsid w:val="00F8241D"/>
    <w:rsid w:val="00F83E11"/>
    <w:rsid w:val="00F86325"/>
    <w:rsid w:val="00F86CA3"/>
    <w:rsid w:val="00F92367"/>
    <w:rsid w:val="00F946EE"/>
    <w:rsid w:val="00F9533B"/>
    <w:rsid w:val="00F96E34"/>
    <w:rsid w:val="00FA5601"/>
    <w:rsid w:val="00FA5C9C"/>
    <w:rsid w:val="00FA5E89"/>
    <w:rsid w:val="00FB1E13"/>
    <w:rsid w:val="00FB2151"/>
    <w:rsid w:val="00FB6120"/>
    <w:rsid w:val="00FC496A"/>
    <w:rsid w:val="00FC76DF"/>
    <w:rsid w:val="00FD38BE"/>
    <w:rsid w:val="00FD4197"/>
    <w:rsid w:val="00FD477F"/>
    <w:rsid w:val="00FD6964"/>
    <w:rsid w:val="00FE3980"/>
    <w:rsid w:val="00FE4D37"/>
    <w:rsid w:val="00FE7A3C"/>
    <w:rsid w:val="00FF0846"/>
    <w:rsid w:val="00FF2EB4"/>
    <w:rsid w:val="01F5AC9B"/>
    <w:rsid w:val="02409E56"/>
    <w:rsid w:val="0270D7E2"/>
    <w:rsid w:val="0285E7CB"/>
    <w:rsid w:val="03471413"/>
    <w:rsid w:val="03B55222"/>
    <w:rsid w:val="0433807D"/>
    <w:rsid w:val="04341354"/>
    <w:rsid w:val="048BE349"/>
    <w:rsid w:val="05CE501E"/>
    <w:rsid w:val="05E0C8F6"/>
    <w:rsid w:val="060200F9"/>
    <w:rsid w:val="0611F62E"/>
    <w:rsid w:val="0680B65E"/>
    <w:rsid w:val="06B27DC3"/>
    <w:rsid w:val="06FB6E8A"/>
    <w:rsid w:val="07A846F9"/>
    <w:rsid w:val="07BA9FDA"/>
    <w:rsid w:val="07C40A6D"/>
    <w:rsid w:val="0865FF5B"/>
    <w:rsid w:val="088628AC"/>
    <w:rsid w:val="0890D947"/>
    <w:rsid w:val="098CBC09"/>
    <w:rsid w:val="09A8BA86"/>
    <w:rsid w:val="09B14275"/>
    <w:rsid w:val="09EA1E85"/>
    <w:rsid w:val="09F5F9A6"/>
    <w:rsid w:val="0A0D6B32"/>
    <w:rsid w:val="0A73D889"/>
    <w:rsid w:val="0AB82C27"/>
    <w:rsid w:val="0AD31630"/>
    <w:rsid w:val="0BC87A09"/>
    <w:rsid w:val="0BC9B6E5"/>
    <w:rsid w:val="0BE70A43"/>
    <w:rsid w:val="0C0FA8EA"/>
    <w:rsid w:val="0D187DAE"/>
    <w:rsid w:val="0D790722"/>
    <w:rsid w:val="0DCB1479"/>
    <w:rsid w:val="0E8F552D"/>
    <w:rsid w:val="0E9DB5F4"/>
    <w:rsid w:val="0EBAB1E6"/>
    <w:rsid w:val="0F37A4F4"/>
    <w:rsid w:val="0F77A29A"/>
    <w:rsid w:val="0F789B74"/>
    <w:rsid w:val="1040BD32"/>
    <w:rsid w:val="116E983C"/>
    <w:rsid w:val="12726884"/>
    <w:rsid w:val="12F86278"/>
    <w:rsid w:val="13370072"/>
    <w:rsid w:val="138AA3FB"/>
    <w:rsid w:val="1485193E"/>
    <w:rsid w:val="14A638FE"/>
    <w:rsid w:val="14BF615B"/>
    <w:rsid w:val="153E2D36"/>
    <w:rsid w:val="15735722"/>
    <w:rsid w:val="1723CD65"/>
    <w:rsid w:val="173E51C3"/>
    <w:rsid w:val="17EC69BF"/>
    <w:rsid w:val="17FB225F"/>
    <w:rsid w:val="183A80D0"/>
    <w:rsid w:val="186E963E"/>
    <w:rsid w:val="1889C2C0"/>
    <w:rsid w:val="198D7B35"/>
    <w:rsid w:val="1997BC0E"/>
    <w:rsid w:val="19AF3693"/>
    <w:rsid w:val="19B3FCAF"/>
    <w:rsid w:val="19BE8CC8"/>
    <w:rsid w:val="1A114DE3"/>
    <w:rsid w:val="1A496E80"/>
    <w:rsid w:val="1B04C5D5"/>
    <w:rsid w:val="1CE010C6"/>
    <w:rsid w:val="1E0E2230"/>
    <w:rsid w:val="1E673CB5"/>
    <w:rsid w:val="1E7A7780"/>
    <w:rsid w:val="1F109167"/>
    <w:rsid w:val="1F390C30"/>
    <w:rsid w:val="1F991783"/>
    <w:rsid w:val="1FF34415"/>
    <w:rsid w:val="209A2375"/>
    <w:rsid w:val="21397028"/>
    <w:rsid w:val="216ED11B"/>
    <w:rsid w:val="21BF0E94"/>
    <w:rsid w:val="21DA24E3"/>
    <w:rsid w:val="226F0988"/>
    <w:rsid w:val="23285F68"/>
    <w:rsid w:val="23C2A5BA"/>
    <w:rsid w:val="240AD9E9"/>
    <w:rsid w:val="2421FECF"/>
    <w:rsid w:val="2423E28C"/>
    <w:rsid w:val="2441129C"/>
    <w:rsid w:val="2478D39C"/>
    <w:rsid w:val="2535A7BA"/>
    <w:rsid w:val="256BC044"/>
    <w:rsid w:val="258A1413"/>
    <w:rsid w:val="260A42B8"/>
    <w:rsid w:val="26898E1B"/>
    <w:rsid w:val="2812E8D1"/>
    <w:rsid w:val="2827BA15"/>
    <w:rsid w:val="28C07813"/>
    <w:rsid w:val="293C69EA"/>
    <w:rsid w:val="2952931F"/>
    <w:rsid w:val="29C22984"/>
    <w:rsid w:val="29F317BC"/>
    <w:rsid w:val="2A5307FA"/>
    <w:rsid w:val="2A5D4660"/>
    <w:rsid w:val="2AD70293"/>
    <w:rsid w:val="2B4352A8"/>
    <w:rsid w:val="2B5DE13E"/>
    <w:rsid w:val="2B6ACB12"/>
    <w:rsid w:val="2B754858"/>
    <w:rsid w:val="2BC829A5"/>
    <w:rsid w:val="2BDD931D"/>
    <w:rsid w:val="2C20B31C"/>
    <w:rsid w:val="2C3943C2"/>
    <w:rsid w:val="2CBB8DAA"/>
    <w:rsid w:val="2DBF0BB9"/>
    <w:rsid w:val="2DF70D87"/>
    <w:rsid w:val="2EA37F87"/>
    <w:rsid w:val="2F5DA30F"/>
    <w:rsid w:val="2FF79890"/>
    <w:rsid w:val="300053A8"/>
    <w:rsid w:val="300BE685"/>
    <w:rsid w:val="30134F89"/>
    <w:rsid w:val="30C72578"/>
    <w:rsid w:val="320E5311"/>
    <w:rsid w:val="321BC77C"/>
    <w:rsid w:val="32383F9A"/>
    <w:rsid w:val="32CAB17B"/>
    <w:rsid w:val="342C2EE0"/>
    <w:rsid w:val="343B661C"/>
    <w:rsid w:val="347045E2"/>
    <w:rsid w:val="34BAABAC"/>
    <w:rsid w:val="34E10F26"/>
    <w:rsid w:val="352A51F5"/>
    <w:rsid w:val="35B5EF01"/>
    <w:rsid w:val="35CB2D15"/>
    <w:rsid w:val="36A63196"/>
    <w:rsid w:val="36C1FE44"/>
    <w:rsid w:val="37FDD00D"/>
    <w:rsid w:val="38600354"/>
    <w:rsid w:val="3867BDED"/>
    <w:rsid w:val="38E9250F"/>
    <w:rsid w:val="39070EA9"/>
    <w:rsid w:val="3A2BB3EF"/>
    <w:rsid w:val="3A45EEAE"/>
    <w:rsid w:val="3A9067CA"/>
    <w:rsid w:val="3B1FDC8C"/>
    <w:rsid w:val="3C3F73A3"/>
    <w:rsid w:val="3CCEC263"/>
    <w:rsid w:val="3D370285"/>
    <w:rsid w:val="3F5C5109"/>
    <w:rsid w:val="3F751351"/>
    <w:rsid w:val="3FB2C56B"/>
    <w:rsid w:val="41A3E905"/>
    <w:rsid w:val="41E74C5D"/>
    <w:rsid w:val="4236E1D9"/>
    <w:rsid w:val="42C9D37E"/>
    <w:rsid w:val="432FE5D0"/>
    <w:rsid w:val="43562AFA"/>
    <w:rsid w:val="43BBD482"/>
    <w:rsid w:val="44559279"/>
    <w:rsid w:val="4482027B"/>
    <w:rsid w:val="44A7F597"/>
    <w:rsid w:val="456708AC"/>
    <w:rsid w:val="45725F29"/>
    <w:rsid w:val="45ABEE02"/>
    <w:rsid w:val="469092B9"/>
    <w:rsid w:val="473E9351"/>
    <w:rsid w:val="475AA4EB"/>
    <w:rsid w:val="47AC2DA0"/>
    <w:rsid w:val="4810035B"/>
    <w:rsid w:val="4812E5D9"/>
    <w:rsid w:val="49F6902D"/>
    <w:rsid w:val="4A18418C"/>
    <w:rsid w:val="4A3ED4A6"/>
    <w:rsid w:val="4A4EDAEC"/>
    <w:rsid w:val="4A73E6C2"/>
    <w:rsid w:val="4AB2829C"/>
    <w:rsid w:val="4B3C8897"/>
    <w:rsid w:val="4B64FED8"/>
    <w:rsid w:val="4BB2C6C7"/>
    <w:rsid w:val="4BE353F2"/>
    <w:rsid w:val="4BFA818F"/>
    <w:rsid w:val="4C74C08A"/>
    <w:rsid w:val="4D343A5E"/>
    <w:rsid w:val="4E0A0A7F"/>
    <w:rsid w:val="4E76F5F0"/>
    <w:rsid w:val="4F46A5F8"/>
    <w:rsid w:val="4FFFD973"/>
    <w:rsid w:val="5045B95B"/>
    <w:rsid w:val="50DD6AC7"/>
    <w:rsid w:val="5114802D"/>
    <w:rsid w:val="516D2615"/>
    <w:rsid w:val="51993522"/>
    <w:rsid w:val="51B2D9EC"/>
    <w:rsid w:val="51D9D002"/>
    <w:rsid w:val="52117C59"/>
    <w:rsid w:val="5302F167"/>
    <w:rsid w:val="537F2F3E"/>
    <w:rsid w:val="544AAB53"/>
    <w:rsid w:val="5489C906"/>
    <w:rsid w:val="54D3BC3E"/>
    <w:rsid w:val="54E89BF8"/>
    <w:rsid w:val="55660EF3"/>
    <w:rsid w:val="55683913"/>
    <w:rsid w:val="55907079"/>
    <w:rsid w:val="56B996FD"/>
    <w:rsid w:val="57567734"/>
    <w:rsid w:val="579643B5"/>
    <w:rsid w:val="5831819C"/>
    <w:rsid w:val="58BF1AEB"/>
    <w:rsid w:val="58F4C6A7"/>
    <w:rsid w:val="5903E8E9"/>
    <w:rsid w:val="594BC21E"/>
    <w:rsid w:val="59AD5818"/>
    <w:rsid w:val="5A1FD6F3"/>
    <w:rsid w:val="5A3AFD30"/>
    <w:rsid w:val="5AB5B7C3"/>
    <w:rsid w:val="5ACE783F"/>
    <w:rsid w:val="5AF5257A"/>
    <w:rsid w:val="5BA9514D"/>
    <w:rsid w:val="5BC8991B"/>
    <w:rsid w:val="5BE3B4E1"/>
    <w:rsid w:val="5C9C474B"/>
    <w:rsid w:val="5CEE056B"/>
    <w:rsid w:val="5D2D95CB"/>
    <w:rsid w:val="5D2DFF98"/>
    <w:rsid w:val="5D7E36F4"/>
    <w:rsid w:val="5DBBE8DA"/>
    <w:rsid w:val="5DC2C9AF"/>
    <w:rsid w:val="5E012717"/>
    <w:rsid w:val="5E131CD3"/>
    <w:rsid w:val="5E559FC4"/>
    <w:rsid w:val="5EA17F2D"/>
    <w:rsid w:val="5EE5E804"/>
    <w:rsid w:val="5FB43322"/>
    <w:rsid w:val="607F0A14"/>
    <w:rsid w:val="6080CF7E"/>
    <w:rsid w:val="60D4902C"/>
    <w:rsid w:val="61360403"/>
    <w:rsid w:val="620A4870"/>
    <w:rsid w:val="62D48801"/>
    <w:rsid w:val="62E46F40"/>
    <w:rsid w:val="636C3011"/>
    <w:rsid w:val="639F5770"/>
    <w:rsid w:val="63C0AA1F"/>
    <w:rsid w:val="63CBE28B"/>
    <w:rsid w:val="63F3563F"/>
    <w:rsid w:val="643EFA1B"/>
    <w:rsid w:val="6487EA83"/>
    <w:rsid w:val="653BCE5A"/>
    <w:rsid w:val="6581EE49"/>
    <w:rsid w:val="664E4E9E"/>
    <w:rsid w:val="66A40F75"/>
    <w:rsid w:val="66C28CE4"/>
    <w:rsid w:val="6725ABD9"/>
    <w:rsid w:val="676D48C0"/>
    <w:rsid w:val="68B0E865"/>
    <w:rsid w:val="690C6F12"/>
    <w:rsid w:val="693BEBE4"/>
    <w:rsid w:val="693E4F08"/>
    <w:rsid w:val="69FEAF65"/>
    <w:rsid w:val="6ABFC6A0"/>
    <w:rsid w:val="6C2CC60E"/>
    <w:rsid w:val="6C557AB9"/>
    <w:rsid w:val="6E6E5039"/>
    <w:rsid w:val="6F1205BE"/>
    <w:rsid w:val="6F9EE761"/>
    <w:rsid w:val="703E534B"/>
    <w:rsid w:val="70A7B35A"/>
    <w:rsid w:val="7235EB7A"/>
    <w:rsid w:val="7255966E"/>
    <w:rsid w:val="726C0809"/>
    <w:rsid w:val="72CE3077"/>
    <w:rsid w:val="72D144F1"/>
    <w:rsid w:val="72D21AE7"/>
    <w:rsid w:val="734299BB"/>
    <w:rsid w:val="737BB8ED"/>
    <w:rsid w:val="73871CF2"/>
    <w:rsid w:val="738DE441"/>
    <w:rsid w:val="73DC92A1"/>
    <w:rsid w:val="73EC4B52"/>
    <w:rsid w:val="744FBAEA"/>
    <w:rsid w:val="74ED987A"/>
    <w:rsid w:val="7567CAC0"/>
    <w:rsid w:val="764AC21B"/>
    <w:rsid w:val="766039C1"/>
    <w:rsid w:val="76D32A51"/>
    <w:rsid w:val="76E6AF67"/>
    <w:rsid w:val="7753D96C"/>
    <w:rsid w:val="776EB8A8"/>
    <w:rsid w:val="782627DB"/>
    <w:rsid w:val="78B079DC"/>
    <w:rsid w:val="79B87CC0"/>
    <w:rsid w:val="7A4F508F"/>
    <w:rsid w:val="7AFAE546"/>
    <w:rsid w:val="7B33AAE4"/>
    <w:rsid w:val="7B458C44"/>
    <w:rsid w:val="7C075914"/>
    <w:rsid w:val="7CC7D37D"/>
    <w:rsid w:val="7D463919"/>
    <w:rsid w:val="7D645A17"/>
    <w:rsid w:val="7D677ADB"/>
    <w:rsid w:val="7D88E4B5"/>
    <w:rsid w:val="7DA2E1C9"/>
    <w:rsid w:val="7E2F2F72"/>
    <w:rsid w:val="7E2F4127"/>
    <w:rsid w:val="7E3E1924"/>
    <w:rsid w:val="7EA6BF24"/>
    <w:rsid w:val="7EE209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FA7A7F"/>
  <w15:chartTrackingRefBased/>
  <w15:docId w15:val="{641B8EEF-0987-45AE-954F-8F2E4544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link w:val="BodyText3Char"/>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34013E"/>
    <w:rPr>
      <w:rFonts w:ascii="Segoe UI" w:hAnsi="Segoe UI" w:cs="Segoe UI"/>
      <w:sz w:val="18"/>
      <w:szCs w:val="18"/>
    </w:rPr>
  </w:style>
  <w:style w:type="character" w:customStyle="1" w:styleId="BalloonTextChar">
    <w:name w:val="Balloon Text Char"/>
    <w:link w:val="BalloonText"/>
    <w:rsid w:val="0034013E"/>
    <w:rPr>
      <w:rFonts w:ascii="Segoe UI" w:hAnsi="Segoe UI" w:cs="Segoe UI"/>
      <w:sz w:val="18"/>
      <w:szCs w:val="18"/>
    </w:rPr>
  </w:style>
  <w:style w:type="character" w:styleId="CommentReference">
    <w:name w:val="annotation reference"/>
    <w:rsid w:val="00691F7E"/>
    <w:rPr>
      <w:sz w:val="16"/>
      <w:szCs w:val="16"/>
    </w:rPr>
  </w:style>
  <w:style w:type="paragraph" w:styleId="CommentText">
    <w:name w:val="annotation text"/>
    <w:basedOn w:val="Normal"/>
    <w:link w:val="CommentTextChar"/>
    <w:rsid w:val="00691F7E"/>
    <w:rPr>
      <w:sz w:val="20"/>
      <w:szCs w:val="20"/>
    </w:rPr>
  </w:style>
  <w:style w:type="character" w:customStyle="1" w:styleId="CommentTextChar">
    <w:name w:val="Comment Text Char"/>
    <w:basedOn w:val="DefaultParagraphFont"/>
    <w:link w:val="CommentText"/>
    <w:rsid w:val="00691F7E"/>
  </w:style>
  <w:style w:type="paragraph" w:styleId="CommentSubject">
    <w:name w:val="annotation subject"/>
    <w:basedOn w:val="CommentText"/>
    <w:next w:val="CommentText"/>
    <w:link w:val="CommentSubjectChar"/>
    <w:rsid w:val="00691F7E"/>
    <w:rPr>
      <w:b/>
      <w:bCs/>
    </w:rPr>
  </w:style>
  <w:style w:type="character" w:customStyle="1" w:styleId="CommentSubjectChar">
    <w:name w:val="Comment Subject Char"/>
    <w:link w:val="CommentSubject"/>
    <w:rsid w:val="00691F7E"/>
    <w:rPr>
      <w:b/>
      <w:bCs/>
    </w:rPr>
  </w:style>
  <w:style w:type="character" w:customStyle="1" w:styleId="HeaderChar">
    <w:name w:val="Header Char"/>
    <w:link w:val="Header"/>
    <w:rsid w:val="00982FEE"/>
  </w:style>
  <w:style w:type="character" w:customStyle="1" w:styleId="BodyText3Char">
    <w:name w:val="Body Text 3 Char"/>
    <w:link w:val="BodyText3"/>
    <w:rsid w:val="004F53A3"/>
    <w:rPr>
      <w:b/>
    </w:rPr>
  </w:style>
  <w:style w:type="paragraph" w:styleId="HTMLPreformatted">
    <w:name w:val="HTML Preformatted"/>
    <w:basedOn w:val="Normal"/>
    <w:link w:val="HTMLPreformattedChar"/>
    <w:uiPriority w:val="99"/>
    <w:unhideWhenUsed/>
    <w:rsid w:val="0042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425D68"/>
    <w:rPr>
      <w:rFonts w:ascii="Courier New" w:eastAsia="Calibri" w:hAnsi="Courier New" w:cs="Courier New"/>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425D68"/>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Numbered Para 1 Char,POCG Table Text Char"/>
    <w:link w:val="ListParagraph"/>
    <w:uiPriority w:val="34"/>
    <w:qFormat/>
    <w:rsid w:val="00425D68"/>
    <w:rPr>
      <w:rFonts w:ascii="Calibri" w:eastAsia="Calibri" w:hAnsi="Calibri"/>
      <w:sz w:val="22"/>
      <w:szCs w:val="22"/>
    </w:rPr>
  </w:style>
  <w:style w:type="paragraph" w:styleId="Revision">
    <w:name w:val="Revision"/>
    <w:hidden/>
    <w:uiPriority w:val="99"/>
    <w:semiHidden/>
    <w:rsid w:val="00645F82"/>
    <w:rPr>
      <w:sz w:val="24"/>
      <w:szCs w:val="24"/>
    </w:rPr>
  </w:style>
  <w:style w:type="paragraph" w:customStyle="1" w:styleId="paragraph">
    <w:name w:val="paragraph"/>
    <w:basedOn w:val="Normal"/>
    <w:rsid w:val="00F41AA2"/>
    <w:pPr>
      <w:spacing w:before="100" w:beforeAutospacing="1" w:after="100" w:afterAutospacing="1"/>
    </w:pPr>
  </w:style>
  <w:style w:type="character" w:customStyle="1" w:styleId="normaltextrun">
    <w:name w:val="normaltextrun"/>
    <w:basedOn w:val="DefaultParagraphFont"/>
    <w:rsid w:val="00F41AA2"/>
  </w:style>
  <w:style w:type="character" w:customStyle="1" w:styleId="eop">
    <w:name w:val="eop"/>
    <w:basedOn w:val="DefaultParagraphFont"/>
    <w:rsid w:val="00F41AA2"/>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access.gov/privacyact/index.html" TargetMode="External" /><Relationship Id="rId9" Type="http://schemas.openxmlformats.org/officeDocument/2006/relationships/hyperlink" Target="https://gcc02.safelinks.protection.outlook.com/?url=https%3A%2F%2Fwww.bls.gov%2Foes%2Fcurrent%2Foes_nat.htm&amp;data=04%7C01%7C%7Cff71c0fd8d774c8675a308da18a7a0cf%7Ce95f1b23abaf45ee821db7ab251ab3bf%7C0%7C0%7C637849405475418880%7CUnknown%7CTWFpbGZsb3d8eyJWIjoiMC4wLjAwMDAiLCJQIjoiV2luMzIiLCJBTiI6Ik1haWwiLCJXVCI6Mn0%3D%7C3000&amp;sdata=X1RyNbE%2FnAAiPiJfcwk%2BOAtNqiB%2BYGe3l3bw44X5HsM%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F516F-ADE5-4027-BBA8-1022668DD27E}">
  <ds:schemaRefs>
    <ds:schemaRef ds:uri="http://schemas.openxmlformats.org/officeDocument/2006/bibliography"/>
  </ds:schemaRefs>
</ds:datastoreItem>
</file>

<file path=customXml/itemProps2.xml><?xml version="1.0" encoding="utf-8"?>
<ds:datastoreItem xmlns:ds="http://schemas.openxmlformats.org/officeDocument/2006/customXml" ds:itemID="{E4D2EB4A-2FE1-4FDC-B100-4DE061A7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041DC-A6B2-4D06-BB25-040C9EF7226B}">
  <ds:schemaRefs>
    <ds:schemaRef ds:uri="http://schemas.microsoft.com/sharepoint/v3/contenttype/forms"/>
  </ds:schemaRefs>
</ds:datastoreItem>
</file>

<file path=customXml/itemProps4.xml><?xml version="1.0" encoding="utf-8"?>
<ds:datastoreItem xmlns:ds="http://schemas.openxmlformats.org/officeDocument/2006/customXml" ds:itemID="{A2FE3ADE-AB9E-44B2-81AB-1E2FAE9964C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2</cp:revision>
  <cp:lastPrinted>2009-07-20T22:27:00Z</cp:lastPrinted>
  <dcterms:created xsi:type="dcterms:W3CDTF">2026-05-13T14:12:00Z</dcterms:created>
  <dcterms:modified xsi:type="dcterms:W3CDTF">2026-05-13T14:12:00Z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