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734AD" w:rsidP="00273389" w14:paraId="00E2B5C2" w14:textId="77777777">
      <w:pPr>
        <w:rPr>
          <w:b/>
          <w:sz w:val="24"/>
          <w:szCs w:val="24"/>
        </w:rPr>
      </w:pPr>
      <w:r w:rsidRPr="00167E53">
        <w:rPr>
          <w:b/>
          <w:sz w:val="24"/>
          <w:szCs w:val="24"/>
        </w:rPr>
        <w:t>Supporting Statement for Paperwork Reduction Act Submissions</w:t>
      </w:r>
    </w:p>
    <w:p w:rsidR="006734AD" w:rsidRPr="00167E53" w:rsidP="006734AD" w14:paraId="14637E0A" w14:textId="0E74DA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Pr>
          <w:b/>
          <w:sz w:val="24"/>
          <w:szCs w:val="24"/>
        </w:rPr>
        <w:t xml:space="preserve">Capital Fund </w:t>
      </w:r>
      <w:r w:rsidR="00B81B87">
        <w:rPr>
          <w:b/>
          <w:sz w:val="24"/>
          <w:szCs w:val="24"/>
        </w:rPr>
        <w:t xml:space="preserve">High </w:t>
      </w:r>
      <w:r>
        <w:rPr>
          <w:b/>
          <w:sz w:val="24"/>
          <w:szCs w:val="24"/>
        </w:rPr>
        <w:t>Risk</w:t>
      </w:r>
      <w:r w:rsidR="00C90331">
        <w:rPr>
          <w:b/>
          <w:sz w:val="24"/>
          <w:szCs w:val="24"/>
        </w:rPr>
        <w:t>/</w:t>
      </w:r>
      <w:r>
        <w:rPr>
          <w:b/>
          <w:sz w:val="24"/>
          <w:szCs w:val="24"/>
        </w:rPr>
        <w:t xml:space="preserve">Receivership/Substandard/Troubled Program </w:t>
      </w:r>
    </w:p>
    <w:p w:rsidR="006734AD" w:rsidRPr="002C5ABC" w:rsidP="006734AD" w14:paraId="47E6FFB4" w14:textId="39CA4B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2C5ABC">
        <w:rPr>
          <w:b/>
          <w:sz w:val="24"/>
          <w:szCs w:val="24"/>
        </w:rPr>
        <w:t>OMB#</w:t>
      </w:r>
      <w:r w:rsidRPr="002C5ABC" w:rsidR="00207025">
        <w:rPr>
          <w:b/>
          <w:sz w:val="24"/>
          <w:szCs w:val="24"/>
        </w:rPr>
        <w:t xml:space="preserve"> Control No.: </w:t>
      </w:r>
      <w:r w:rsidRPr="002C5ABC">
        <w:rPr>
          <w:b/>
          <w:sz w:val="24"/>
        </w:rPr>
        <w:t>2577-0301</w:t>
      </w:r>
    </w:p>
    <w:p w:rsidR="006734AD" w:rsidRPr="00167E53" w:rsidP="006734AD" w14:paraId="03EC78F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p>
    <w:p w:rsidR="006734AD" w:rsidP="006734AD" w14:paraId="21E9725A" w14:textId="77777777">
      <w:pPr>
        <w:rPr>
          <w:b/>
          <w:sz w:val="24"/>
          <w:szCs w:val="24"/>
        </w:rPr>
      </w:pPr>
    </w:p>
    <w:p w:rsidR="006734AD" w:rsidRPr="00D566D7" w:rsidP="006734AD" w14:paraId="13D49946" w14:textId="5768F25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D566D7">
        <w:rPr>
          <w:b/>
          <w:sz w:val="24"/>
          <w:szCs w:val="24"/>
        </w:rPr>
        <w:t>A</w:t>
      </w:r>
      <w:r w:rsidRPr="00D566D7" w:rsidR="00D601BF">
        <w:rPr>
          <w:b/>
          <w:sz w:val="24"/>
          <w:szCs w:val="24"/>
        </w:rPr>
        <w:t>. Justification</w:t>
      </w:r>
    </w:p>
    <w:p w:rsidR="006734AD" w:rsidRPr="006C7FAE" w:rsidP="006734AD" w14:paraId="5E08DD3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6734AD" w:rsidRPr="006C7FAE" w:rsidP="006734AD" w14:paraId="151B1EBC" w14:textId="77777777">
      <w:pPr>
        <w:keepLines/>
        <w:tabs>
          <w:tab w:val="left" w:pos="360"/>
        </w:tabs>
        <w:spacing w:after="80"/>
        <w:ind w:left="360" w:hanging="360"/>
        <w:rPr>
          <w:sz w:val="24"/>
          <w:szCs w:val="24"/>
        </w:rPr>
      </w:pPr>
      <w:r w:rsidRPr="006C7FAE">
        <w:rPr>
          <w:sz w:val="24"/>
          <w:szCs w:val="24"/>
        </w:rPr>
        <w:t>1.</w:t>
      </w:r>
      <w:r w:rsidRPr="006C7FAE">
        <w:rPr>
          <w:sz w:val="24"/>
          <w:szCs w:val="24"/>
        </w:rPr>
        <w:tab/>
      </w:r>
      <w:r w:rsidRPr="00FA492F">
        <w:rPr>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734AD" w:rsidP="006734AD" w14:paraId="4C76DC07" w14:textId="77777777">
      <w:pPr>
        <w:tabs>
          <w:tab w:val="left" w:pos="360"/>
        </w:tabs>
        <w:ind w:left="360" w:hanging="360"/>
        <w:rPr>
          <w:sz w:val="24"/>
          <w:szCs w:val="24"/>
        </w:rPr>
      </w:pPr>
    </w:p>
    <w:p w:rsidR="00104934" w:rsidP="00A13D50" w14:paraId="5FB46845" w14:textId="38C19E59">
      <w:pPr>
        <w:pStyle w:val="paragraph"/>
        <w:spacing w:before="0" w:beforeAutospacing="0" w:after="0" w:afterAutospacing="0"/>
        <w:ind w:left="720"/>
        <w:textAlignment w:val="baseline"/>
        <w:rPr>
          <w:rStyle w:val="normaltextrun"/>
          <w:rFonts w:eastAsiaTheme="majorEastAsia"/>
          <w:color w:val="000000"/>
        </w:rPr>
      </w:pPr>
      <w:r>
        <w:rPr>
          <w:rStyle w:val="normaltextrun"/>
          <w:rFonts w:eastAsiaTheme="majorEastAsia"/>
          <w:color w:val="000000"/>
        </w:rPr>
        <w:t>This is a reinstatement with change to a previously approved collection. The previously approved collection</w:t>
      </w:r>
      <w:r>
        <w:t xml:space="preserve"> included both pre-award and post-award collection information. </w:t>
      </w:r>
      <w:r w:rsidRPr="009C476B">
        <w:t>This</w:t>
      </w:r>
      <w:r>
        <w:t xml:space="preserve"> supporting statement includes </w:t>
      </w:r>
      <w:r w:rsidR="007333B8">
        <w:t xml:space="preserve">only </w:t>
      </w:r>
      <w:r w:rsidRPr="009C476B">
        <w:t>post</w:t>
      </w:r>
      <w:r w:rsidRPr="009C476B">
        <w:noBreakHyphen/>
        <w:t xml:space="preserve">award </w:t>
      </w:r>
      <w:r>
        <w:t xml:space="preserve">information </w:t>
      </w:r>
      <w:r w:rsidR="00B51841">
        <w:rPr>
          <w:rStyle w:val="normaltextrun"/>
          <w:rFonts w:eastAsiaTheme="majorEastAsia"/>
          <w:color w:val="000000"/>
        </w:rPr>
        <w:t>for grantees awarded competitive funds under the Capital Fund Program, starting with the fiscal year (FY) 2024 Notice of Funding Opportunity (NOFO) number FR-6800-N-81. A</w:t>
      </w:r>
      <w:r w:rsidRPr="009C476B">
        <w:t>ll pre</w:t>
      </w:r>
      <w:r w:rsidRPr="009C476B">
        <w:noBreakHyphen/>
        <w:t xml:space="preserve">award information has been submitted under the </w:t>
      </w:r>
      <w:r w:rsidRPr="00016212">
        <w:t>Generic NOFO OMB Control Number</w:t>
      </w:r>
      <w:r w:rsidRPr="009C476B">
        <w:rPr>
          <w:b/>
          <w:bCs/>
        </w:rPr>
        <w:t xml:space="preserve"> </w:t>
      </w:r>
      <w:r w:rsidRPr="009C476B">
        <w:t>2501</w:t>
      </w:r>
      <w:r w:rsidRPr="009C476B">
        <w:noBreakHyphen/>
        <w:t>0044</w:t>
      </w:r>
      <w:r>
        <w:t>.</w:t>
      </w:r>
      <w:r>
        <w:rPr>
          <w:rStyle w:val="normaltextrun"/>
          <w:rFonts w:eastAsiaTheme="majorEastAsia"/>
          <w:color w:val="000000"/>
        </w:rPr>
        <w:t xml:space="preserve"> </w:t>
      </w:r>
      <w:r w:rsidR="00900639">
        <w:rPr>
          <w:rStyle w:val="normaltextrun"/>
          <w:rFonts w:eastAsiaTheme="majorEastAsia"/>
          <w:color w:val="000000"/>
        </w:rPr>
        <w:t>Post-award information includes annual financial and performance reporting, audits, a</w:t>
      </w:r>
      <w:r w:rsidR="009B31CA">
        <w:rPr>
          <w:rStyle w:val="normaltextrun"/>
          <w:rFonts w:eastAsiaTheme="majorEastAsia"/>
          <w:color w:val="000000"/>
        </w:rPr>
        <w:t xml:space="preserve">nd award closeout. </w:t>
      </w:r>
      <w:r w:rsidR="00641EBA">
        <w:rPr>
          <w:rStyle w:val="normaltextrun"/>
          <w:rFonts w:eastAsiaTheme="majorEastAsia"/>
          <w:color w:val="000000"/>
        </w:rPr>
        <w:t xml:space="preserve">Reporting also includes </w:t>
      </w:r>
      <w:r w:rsidR="00A161E3">
        <w:rPr>
          <w:rStyle w:val="normaltextrun"/>
          <w:rFonts w:eastAsiaTheme="majorEastAsia"/>
          <w:color w:val="000000"/>
        </w:rPr>
        <w:t xml:space="preserve">compliance with the Award Term in Appendix A of 2 CFR Part 170. Grantees must also </w:t>
      </w:r>
      <w:r w:rsidR="00EA71B2">
        <w:rPr>
          <w:rStyle w:val="normaltextrun"/>
          <w:rFonts w:eastAsiaTheme="majorEastAsia"/>
          <w:color w:val="000000"/>
        </w:rPr>
        <w:t xml:space="preserve">adhere to the application submission requirements in the NOFO, including how use of funding </w:t>
      </w:r>
      <w:r w:rsidR="00DC4D92">
        <w:rPr>
          <w:rStyle w:val="normaltextrun"/>
          <w:rFonts w:eastAsiaTheme="majorEastAsia"/>
          <w:color w:val="000000"/>
        </w:rPr>
        <w:t xml:space="preserve">the identified Asset Management Property (AMP) will improve the targeted AMP. Further, </w:t>
      </w:r>
      <w:r w:rsidR="000F4EA3">
        <w:rPr>
          <w:rStyle w:val="normaltextrun"/>
          <w:rFonts w:eastAsiaTheme="majorEastAsia"/>
          <w:color w:val="000000"/>
        </w:rPr>
        <w:t xml:space="preserve">Grantees are required to maintain eligibility for the life of the award, including </w:t>
      </w:r>
      <w:r w:rsidR="00AF27ED">
        <w:rPr>
          <w:rStyle w:val="normaltextrun"/>
          <w:rFonts w:eastAsiaTheme="majorEastAsia"/>
          <w:color w:val="000000"/>
        </w:rPr>
        <w:t xml:space="preserve">program-specific threshold eligibility requirements. Failure to maintain eligibility requirements </w:t>
      </w:r>
      <w:r w:rsidR="00FE0455">
        <w:rPr>
          <w:rStyle w:val="normaltextrun"/>
          <w:rFonts w:eastAsiaTheme="majorEastAsia"/>
          <w:color w:val="000000"/>
        </w:rPr>
        <w:t xml:space="preserve">may result in termination of HUD funding. </w:t>
      </w:r>
      <w:r w:rsidR="0088627F">
        <w:rPr>
          <w:rStyle w:val="normaltextrun"/>
          <w:rFonts w:eastAsiaTheme="majorEastAsia"/>
          <w:color w:val="000000"/>
        </w:rPr>
        <w:t xml:space="preserve"> </w:t>
      </w:r>
    </w:p>
    <w:p w:rsidR="00104934" w:rsidP="00A13D50" w14:paraId="50F31069" w14:textId="77777777">
      <w:pPr>
        <w:pStyle w:val="paragraph"/>
        <w:spacing w:before="0" w:beforeAutospacing="0" w:after="0" w:afterAutospacing="0"/>
        <w:ind w:left="720"/>
        <w:textAlignment w:val="baseline"/>
        <w:rPr>
          <w:rStyle w:val="normaltextrun"/>
          <w:rFonts w:eastAsiaTheme="majorEastAsia"/>
          <w:color w:val="000000"/>
        </w:rPr>
      </w:pPr>
    </w:p>
    <w:p w:rsidR="006734AD" w:rsidRPr="000C2988" w:rsidP="006734AD" w14:paraId="06E3C832" w14:textId="03408131">
      <w:pPr>
        <w:pStyle w:val="paragraph"/>
        <w:spacing w:before="0" w:beforeAutospacing="0" w:after="0" w:afterAutospacing="0"/>
        <w:ind w:left="720"/>
        <w:textAlignment w:val="baseline"/>
        <w:rPr>
          <w:rFonts w:ascii="Segoe UI" w:hAnsi="Segoe UI" w:cs="Segoe UI"/>
          <w:sz w:val="18"/>
          <w:szCs w:val="18"/>
        </w:rPr>
      </w:pPr>
      <w:r w:rsidRPr="00681F36">
        <w:rPr>
          <w:rFonts w:eastAsiaTheme="majorEastAsia"/>
          <w:color w:val="000000"/>
        </w:rPr>
        <w:t xml:space="preserve">This burden includes making the information available to HUD for monitoring the performance of the grantees and ensuring compliance with all </w:t>
      </w:r>
      <w:r w:rsidR="007616ED">
        <w:rPr>
          <w:rFonts w:eastAsiaTheme="majorEastAsia"/>
          <w:color w:val="000000"/>
        </w:rPr>
        <w:t xml:space="preserve">eligibility and administrative requirements. </w:t>
      </w:r>
      <w:r w:rsidR="00D910C7">
        <w:rPr>
          <w:rFonts w:eastAsiaTheme="majorEastAsia"/>
          <w:color w:val="000000"/>
        </w:rPr>
        <w:t xml:space="preserve"> </w:t>
      </w:r>
      <w:r w:rsidR="0009711C">
        <w:rPr>
          <w:rStyle w:val="normaltextrun"/>
          <w:rFonts w:eastAsiaTheme="majorEastAsia"/>
          <w:color w:val="000000"/>
        </w:rPr>
        <w:t xml:space="preserve"> </w:t>
      </w:r>
      <w:bookmarkStart w:id="0" w:name="_Hlk201057073"/>
      <w:r w:rsidR="000A06D8">
        <w:rPr>
          <w:rStyle w:val="normaltextrun"/>
          <w:rFonts w:eastAsiaTheme="majorEastAsia"/>
        </w:rPr>
        <w:t xml:space="preserve">Authorization for the information collection </w:t>
      </w:r>
      <w:r w:rsidR="00DE5DD8">
        <w:rPr>
          <w:rStyle w:val="normaltextrun"/>
          <w:rFonts w:eastAsiaTheme="majorEastAsia"/>
        </w:rPr>
        <w:t>include</w:t>
      </w:r>
      <w:r w:rsidR="0079309A">
        <w:rPr>
          <w:rStyle w:val="normaltextrun"/>
          <w:rFonts w:eastAsiaTheme="majorEastAsia"/>
        </w:rPr>
        <w:t>s</w:t>
      </w:r>
      <w:r w:rsidR="00DE5DD8">
        <w:rPr>
          <w:rStyle w:val="normaltextrun"/>
          <w:rFonts w:eastAsiaTheme="majorEastAsia"/>
        </w:rPr>
        <w:t xml:space="preserve"> </w:t>
      </w:r>
      <w:r w:rsidRPr="000C2988">
        <w:t xml:space="preserve">Section 9 of the United States Housing Act of 1937 (42 U.S.C. 1437g) (1937 Act), </w:t>
      </w:r>
      <w:r w:rsidR="00DE5DD8">
        <w:t>Public Housing Capital Fund Program regulations</w:t>
      </w:r>
      <w:r w:rsidR="007C3A67">
        <w:t xml:space="preserve"> (24 CFR Part 905) including rel</w:t>
      </w:r>
      <w:r w:rsidR="00DF2E5D">
        <w:t>oc</w:t>
      </w:r>
      <w:r w:rsidR="007C3A67">
        <w:t>ation requirements (</w:t>
      </w:r>
      <w:r w:rsidR="00DF2E5D">
        <w:t>24 CFR Part 905</w:t>
      </w:r>
      <w:r w:rsidR="00376334">
        <w:t xml:space="preserve">, Subparts B and C). </w:t>
      </w:r>
      <w:r w:rsidR="00D2521F">
        <w:t xml:space="preserve">Activities under the NOFO are subject to 24 CFR Part 58 or 50 in accordance with 24 CFR 905.308(b)(2), </w:t>
      </w:r>
      <w:r w:rsidR="00917D4A">
        <w:t>2 CFR Part 200, and a</w:t>
      </w:r>
      <w:r w:rsidR="004F1564">
        <w:t xml:space="preserve">uthorized </w:t>
      </w:r>
      <w:r w:rsidR="00917D4A">
        <w:t xml:space="preserve">under the Consolidated Appropriations Act, 2024 (Public Law 118-42, approved March 9, 2024). </w:t>
      </w:r>
    </w:p>
    <w:bookmarkEnd w:id="0"/>
    <w:p w:rsidR="006734AD" w:rsidP="006734AD" w14:paraId="6B83DCDC" w14:textId="77777777">
      <w:pPr>
        <w:pStyle w:val="paragraph"/>
        <w:spacing w:before="0" w:beforeAutospacing="0" w:after="0" w:afterAutospacing="0"/>
        <w:ind w:left="720"/>
        <w:textAlignment w:val="baseline"/>
        <w:rPr>
          <w:rFonts w:ascii="Segoe UI" w:hAnsi="Segoe UI" w:cs="Segoe UI"/>
          <w:sz w:val="18"/>
          <w:szCs w:val="18"/>
        </w:rPr>
      </w:pPr>
    </w:p>
    <w:p w:rsidR="006734AD" w:rsidP="006734AD" w14:paraId="11C8F465" w14:textId="77777777">
      <w:pPr>
        <w:keepLines/>
        <w:tabs>
          <w:tab w:val="left" w:pos="360"/>
        </w:tabs>
        <w:spacing w:after="80"/>
        <w:ind w:left="360" w:hanging="360"/>
        <w:rPr>
          <w:sz w:val="24"/>
          <w:szCs w:val="24"/>
        </w:rPr>
      </w:pPr>
      <w:r w:rsidRPr="006C7FAE">
        <w:rPr>
          <w:sz w:val="24"/>
          <w:szCs w:val="24"/>
        </w:rPr>
        <w:t>2.</w:t>
      </w:r>
      <w:r w:rsidRPr="006C7FAE">
        <w:rPr>
          <w:sz w:val="24"/>
          <w:szCs w:val="24"/>
        </w:rPr>
        <w:tab/>
      </w:r>
      <w:r w:rsidRPr="00FA492F">
        <w:rPr>
          <w:b/>
          <w:bCs/>
          <w:sz w:val="24"/>
          <w:szCs w:val="24"/>
        </w:rPr>
        <w:t>Indicate how, by whom and for what purpose the information is to be used.  Except for a new collection, indicate the actual use the agency has made of the information received from the current collection.</w:t>
      </w:r>
    </w:p>
    <w:p w:rsidR="006734AD" w:rsidP="006734AD" w14:paraId="65549058" w14:textId="77777777">
      <w:pPr>
        <w:ind w:left="720"/>
        <w:rPr>
          <w:sz w:val="24"/>
          <w:szCs w:val="24"/>
        </w:rPr>
      </w:pPr>
    </w:p>
    <w:p w:rsidR="00BB27F0" w:rsidP="00B6627D" w14:paraId="7E6F6D85" w14:textId="77777777">
      <w:pPr>
        <w:pStyle w:val="paragraph"/>
        <w:spacing w:before="0" w:beforeAutospacing="0" w:after="0" w:afterAutospacing="0"/>
        <w:ind w:left="720"/>
        <w:textAlignment w:val="baseline"/>
      </w:pPr>
      <w:r>
        <w:rPr>
          <w:rStyle w:val="normaltextrun"/>
          <w:rFonts w:eastAsiaTheme="majorEastAsia"/>
          <w:color w:val="000000"/>
        </w:rPr>
        <w:t>This is a reinstatement with change to a previously approved</w:t>
      </w:r>
      <w:r w:rsidR="00CC4D0B">
        <w:rPr>
          <w:rStyle w:val="normaltextrun"/>
          <w:rFonts w:eastAsiaTheme="majorEastAsia"/>
          <w:color w:val="000000"/>
        </w:rPr>
        <w:t xml:space="preserve"> collection. </w:t>
      </w:r>
      <w:r w:rsidR="0046352D">
        <w:rPr>
          <w:rStyle w:val="normaltextrun"/>
          <w:rFonts w:eastAsiaTheme="majorEastAsia"/>
          <w:color w:val="000000"/>
        </w:rPr>
        <w:t>The previously approved collection</w:t>
      </w:r>
      <w:r w:rsidR="0046352D">
        <w:t xml:space="preserve"> included both pre-award and post</w:t>
      </w:r>
      <w:r w:rsidR="00CC4D0B">
        <w:t>-</w:t>
      </w:r>
      <w:r w:rsidR="0046352D">
        <w:t xml:space="preserve">award collection information. </w:t>
      </w:r>
      <w:r w:rsidRPr="009C476B" w:rsidR="0046352D">
        <w:t>This</w:t>
      </w:r>
      <w:r w:rsidR="00AE42B0">
        <w:t xml:space="preserve"> supporting statement includes </w:t>
      </w:r>
      <w:r w:rsidRPr="009C476B" w:rsidR="0046352D">
        <w:t>post</w:t>
      </w:r>
      <w:r w:rsidRPr="009C476B" w:rsidR="0046352D">
        <w:noBreakHyphen/>
        <w:t xml:space="preserve">award </w:t>
      </w:r>
      <w:r w:rsidR="00AE42B0">
        <w:t>information o</w:t>
      </w:r>
      <w:r w:rsidR="0046352D">
        <w:t>nly</w:t>
      </w:r>
      <w:r w:rsidRPr="009C476B" w:rsidR="0046352D">
        <w:t>. All pre</w:t>
      </w:r>
      <w:r w:rsidRPr="009C476B" w:rsidR="0046352D">
        <w:noBreakHyphen/>
        <w:t xml:space="preserve">award information has been submitted under the </w:t>
      </w:r>
      <w:r w:rsidRPr="00474201" w:rsidR="0046352D">
        <w:t>Generic NOFO OMB Control Number 2501</w:t>
      </w:r>
      <w:r w:rsidRPr="009C476B" w:rsidR="0046352D">
        <w:noBreakHyphen/>
        <w:t>0044</w:t>
      </w:r>
      <w:r w:rsidR="00B34170">
        <w:t>.</w:t>
      </w:r>
      <w:r w:rsidR="001E25ED">
        <w:t xml:space="preserve"> As </w:t>
      </w:r>
      <w:r w:rsidR="008A65B1">
        <w:t xml:space="preserve">a result of the removal of pre-award </w:t>
      </w:r>
      <w:r w:rsidR="00392451">
        <w:t>information</w:t>
      </w:r>
      <w:r w:rsidR="008A65B1">
        <w:t>, the burden summary has</w:t>
      </w:r>
      <w:r w:rsidR="00CD7C49">
        <w:t xml:space="preserve"> significantly decreased</w:t>
      </w:r>
      <w:r w:rsidR="008A65B1">
        <w:t xml:space="preserve"> from 110 </w:t>
      </w:r>
      <w:r w:rsidR="00392451">
        <w:t>respondents</w:t>
      </w:r>
      <w:r w:rsidR="008A65B1">
        <w:t xml:space="preserve"> to </w:t>
      </w:r>
      <w:r w:rsidR="0043635C">
        <w:t>15</w:t>
      </w:r>
      <w:r w:rsidR="00157DF1">
        <w:t xml:space="preserve"> </w:t>
      </w:r>
      <w:r w:rsidR="00392451">
        <w:t>respondents</w:t>
      </w:r>
      <w:r w:rsidR="00157DF1">
        <w:t xml:space="preserve"> and 680 burden hours to 10 bur</w:t>
      </w:r>
      <w:r w:rsidR="00D77D64">
        <w:t>d</w:t>
      </w:r>
      <w:r w:rsidR="00157DF1">
        <w:t xml:space="preserve">en hours. </w:t>
      </w:r>
      <w:r w:rsidR="001540E7">
        <w:t>T</w:t>
      </w:r>
      <w:r w:rsidR="00D77D64">
        <w:t>h</w:t>
      </w:r>
      <w:r w:rsidR="001540E7">
        <w:t>e narrative and fo</w:t>
      </w:r>
      <w:r w:rsidR="00D77D64">
        <w:t>r</w:t>
      </w:r>
      <w:r w:rsidR="001540E7">
        <w:t xml:space="preserve">m HUD-50075.1, </w:t>
      </w:r>
      <w:r w:rsidR="001540E7">
        <w:t xml:space="preserve">Annual Statement/Budget, </w:t>
      </w:r>
      <w:r w:rsidR="00A075F9">
        <w:t xml:space="preserve">have been removed from this collection and is collected under the </w:t>
      </w:r>
      <w:r w:rsidRPr="00BB27F0" w:rsidR="00A075F9">
        <w:t>Generic NOFO OMB Control Number</w:t>
      </w:r>
      <w:r w:rsidRPr="009C476B" w:rsidR="00A075F9">
        <w:rPr>
          <w:b/>
          <w:bCs/>
        </w:rPr>
        <w:t xml:space="preserve"> </w:t>
      </w:r>
      <w:r w:rsidRPr="009C476B" w:rsidR="00A075F9">
        <w:t>2501</w:t>
      </w:r>
      <w:r w:rsidRPr="009C476B" w:rsidR="00A075F9">
        <w:noBreakHyphen/>
        <w:t>0044</w:t>
      </w:r>
      <w:r w:rsidR="00A075F9">
        <w:t>.</w:t>
      </w:r>
    </w:p>
    <w:p w:rsidR="00BB27F0" w:rsidP="00B6627D" w14:paraId="32DA083D" w14:textId="77777777">
      <w:pPr>
        <w:pStyle w:val="paragraph"/>
        <w:spacing w:before="0" w:beforeAutospacing="0" w:after="0" w:afterAutospacing="0"/>
        <w:ind w:left="720"/>
        <w:textAlignment w:val="baseline"/>
      </w:pPr>
    </w:p>
    <w:p w:rsidR="00452A75" w:rsidP="00B6627D" w14:paraId="7144973C" w14:textId="13C976AA">
      <w:pPr>
        <w:pStyle w:val="paragraph"/>
        <w:spacing w:before="0" w:beforeAutospacing="0" w:after="0" w:afterAutospacing="0"/>
        <w:ind w:left="720"/>
        <w:textAlignment w:val="baseline"/>
      </w:pPr>
      <w:r>
        <w:t xml:space="preserve">In FY2024, funding of approximately </w:t>
      </w:r>
      <w:r w:rsidR="00984E22">
        <w:t xml:space="preserve">$12,500,000 was publicly announced via the subject NOFO. </w:t>
      </w:r>
      <w:r w:rsidR="004B268E">
        <w:t xml:space="preserve">HUD made approximately </w:t>
      </w:r>
      <w:r w:rsidR="00FE0955">
        <w:t xml:space="preserve">five (5) awards, with a minimum award amount of $250,000 and a maximum award amount of </w:t>
      </w:r>
      <w:r w:rsidR="002417DE">
        <w:t xml:space="preserve">$3,000,000. </w:t>
      </w:r>
    </w:p>
    <w:p w:rsidR="00A416F0" w:rsidRPr="00452A75" w:rsidP="00A416F0" w14:paraId="48CB19D1" w14:textId="77777777">
      <w:pPr>
        <w:ind w:left="720"/>
        <w:rPr>
          <w:sz w:val="24"/>
          <w:szCs w:val="24"/>
        </w:rPr>
      </w:pPr>
    </w:p>
    <w:p w:rsidR="00D6049D" w:rsidP="00D6049D" w14:paraId="5C0092ED" w14:textId="5A75153F">
      <w:pPr>
        <w:pStyle w:val="paragraph"/>
        <w:spacing w:before="0" w:beforeAutospacing="0" w:after="0" w:afterAutospacing="0"/>
        <w:ind w:left="720"/>
        <w:textAlignment w:val="baseline"/>
        <w:rPr>
          <w:rStyle w:val="normaltextrun"/>
          <w:rFonts w:eastAsiaTheme="majorEastAsia"/>
          <w:color w:val="000000"/>
        </w:rPr>
      </w:pPr>
      <w:bookmarkStart w:id="1" w:name="_Hlk195516201"/>
      <w:r w:rsidRPr="007E750C">
        <w:rPr>
          <w:rStyle w:val="normaltextrun"/>
          <w:rFonts w:eastAsiaTheme="majorEastAsia"/>
          <w:color w:val="000000"/>
        </w:rPr>
        <w:t xml:space="preserve">To measure the effectiveness of funding, HUD will assess physical inspection scores and occupancy data </w:t>
      </w:r>
      <w:r w:rsidR="003F6039">
        <w:rPr>
          <w:rStyle w:val="normaltextrun"/>
          <w:rFonts w:eastAsiaTheme="majorEastAsia"/>
          <w:color w:val="000000"/>
        </w:rPr>
        <w:t xml:space="preserve">of the </w:t>
      </w:r>
      <w:r w:rsidR="00E87D3C">
        <w:rPr>
          <w:rStyle w:val="normaltextrun"/>
          <w:rFonts w:eastAsiaTheme="majorEastAsia"/>
          <w:color w:val="000000"/>
        </w:rPr>
        <w:t>grantees</w:t>
      </w:r>
      <w:r w:rsidR="00E60120">
        <w:rPr>
          <w:rStyle w:val="normaltextrun"/>
          <w:rFonts w:eastAsiaTheme="majorEastAsia"/>
          <w:color w:val="000000"/>
        </w:rPr>
        <w:t xml:space="preserve"> throughout the grant period</w:t>
      </w:r>
      <w:r w:rsidR="00E87D3C">
        <w:rPr>
          <w:rStyle w:val="normaltextrun"/>
          <w:rFonts w:eastAsiaTheme="majorEastAsia"/>
          <w:color w:val="000000"/>
        </w:rPr>
        <w:t>.</w:t>
      </w:r>
      <w:r w:rsidR="009379A1">
        <w:rPr>
          <w:rStyle w:val="normaltextrun"/>
          <w:rFonts w:eastAsiaTheme="majorEastAsia"/>
          <w:color w:val="000000"/>
        </w:rPr>
        <w:t xml:space="preserve"> </w:t>
      </w:r>
      <w:r w:rsidR="00E60120">
        <w:rPr>
          <w:rStyle w:val="normaltextrun"/>
          <w:rFonts w:eastAsiaTheme="majorEastAsia"/>
          <w:color w:val="000000"/>
        </w:rPr>
        <w:t xml:space="preserve">Grantees </w:t>
      </w:r>
      <w:r w:rsidR="00063021">
        <w:rPr>
          <w:rStyle w:val="normaltextrun"/>
          <w:rFonts w:eastAsiaTheme="majorEastAsia"/>
          <w:color w:val="000000"/>
        </w:rPr>
        <w:t>are required to submit</w:t>
      </w:r>
      <w:r>
        <w:rPr>
          <w:rStyle w:val="normaltextrun"/>
          <w:rFonts w:eastAsiaTheme="majorEastAsia"/>
          <w:color w:val="000000"/>
        </w:rPr>
        <w:t xml:space="preserve"> obligation documents (signed contracts) and expenditure documentation (e.g., invoices) to the local field office</w:t>
      </w:r>
      <w:r w:rsidR="00084473">
        <w:rPr>
          <w:rStyle w:val="normaltextrun"/>
          <w:rFonts w:eastAsiaTheme="majorEastAsia"/>
          <w:color w:val="000000"/>
        </w:rPr>
        <w:t>.</w:t>
      </w:r>
      <w:r>
        <w:rPr>
          <w:rStyle w:val="normaltextrun"/>
          <w:rFonts w:eastAsiaTheme="majorEastAsia"/>
          <w:color w:val="000000"/>
        </w:rPr>
        <w:t xml:space="preserve"> </w:t>
      </w:r>
    </w:p>
    <w:p w:rsidR="00BB27F0" w:rsidP="00D6049D" w14:paraId="10161F5C" w14:textId="77777777">
      <w:pPr>
        <w:pStyle w:val="paragraph"/>
        <w:spacing w:before="0" w:beforeAutospacing="0" w:after="0" w:afterAutospacing="0"/>
        <w:ind w:left="720"/>
        <w:textAlignment w:val="baseline"/>
        <w:rPr>
          <w:rStyle w:val="normaltextrun"/>
          <w:rFonts w:eastAsiaTheme="majorEastAsia"/>
          <w:color w:val="000000"/>
        </w:rPr>
      </w:pPr>
    </w:p>
    <w:p w:rsidR="00106B9A" w:rsidP="00B80D53" w14:paraId="36E65E12" w14:textId="77777777">
      <w:pPr>
        <w:pStyle w:val="paragraph"/>
        <w:spacing w:before="0" w:beforeAutospacing="0" w:after="0" w:afterAutospacing="0"/>
        <w:ind w:left="720"/>
        <w:textAlignment w:val="baseline"/>
        <w:rPr>
          <w:rFonts w:eastAsiaTheme="majorEastAsia"/>
          <w:color w:val="000000"/>
        </w:rPr>
      </w:pPr>
      <w:r w:rsidRPr="009137D3">
        <w:rPr>
          <w:rFonts w:eastAsiaTheme="majorEastAsia"/>
          <w:color w:val="000000"/>
        </w:rPr>
        <w:t xml:space="preserve">Post-award reporting requires PHAs awarded under this program to use Energy Performance Information Center (EPIC) to complete annual reports within 60 days of each annual anniversary of award. </w:t>
      </w:r>
    </w:p>
    <w:p w:rsidR="0025719A" w:rsidP="00B80D53" w14:paraId="1F099EC7" w14:textId="77777777">
      <w:pPr>
        <w:pStyle w:val="paragraph"/>
        <w:spacing w:before="0" w:beforeAutospacing="0" w:after="0" w:afterAutospacing="0"/>
        <w:ind w:left="720"/>
        <w:textAlignment w:val="baseline"/>
        <w:rPr>
          <w:rFonts w:eastAsiaTheme="majorEastAsia"/>
          <w:color w:val="000000"/>
        </w:rPr>
      </w:pPr>
    </w:p>
    <w:p w:rsidR="001154E8" w:rsidP="00B80D53" w14:paraId="5C35A67A" w14:textId="416410D4">
      <w:pPr>
        <w:pStyle w:val="paragraph"/>
        <w:spacing w:before="0" w:beforeAutospacing="0" w:after="0" w:afterAutospacing="0"/>
        <w:ind w:left="720"/>
        <w:textAlignment w:val="baseline"/>
        <w:rPr>
          <w:rStyle w:val="normaltextrun"/>
          <w:rFonts w:eastAsiaTheme="majorEastAsia"/>
          <w:color w:val="000000"/>
        </w:rPr>
      </w:pPr>
      <w:r>
        <w:rPr>
          <w:rFonts w:eastAsiaTheme="majorEastAsia"/>
          <w:color w:val="000000"/>
        </w:rPr>
        <w:t>A</w:t>
      </w:r>
      <w:r w:rsidR="00B80D53">
        <w:rPr>
          <w:rFonts w:eastAsiaTheme="majorEastAsia"/>
          <w:color w:val="000000"/>
        </w:rPr>
        <w:t xml:space="preserve"> </w:t>
      </w:r>
      <w:r w:rsidR="00B80D53">
        <w:rPr>
          <w:rStyle w:val="normaltextrun"/>
          <w:rFonts w:eastAsiaTheme="majorEastAsia"/>
          <w:color w:val="000000"/>
        </w:rPr>
        <w:t xml:space="preserve">Final Performance and Evaluation report is required </w:t>
      </w:r>
      <w:r w:rsidR="004317A5">
        <w:rPr>
          <w:rStyle w:val="normaltextrun"/>
          <w:rFonts w:eastAsiaTheme="majorEastAsia"/>
          <w:color w:val="000000"/>
        </w:rPr>
        <w:t>at the</w:t>
      </w:r>
      <w:r w:rsidR="00554AD4">
        <w:rPr>
          <w:rStyle w:val="normaltextrun"/>
          <w:rFonts w:eastAsiaTheme="majorEastAsia"/>
          <w:color w:val="000000"/>
        </w:rPr>
        <w:t xml:space="preserve"> end of the grant performance period</w:t>
      </w:r>
      <w:r w:rsidR="006B2896">
        <w:rPr>
          <w:rStyle w:val="normaltextrun"/>
          <w:rFonts w:eastAsiaTheme="majorEastAsia"/>
          <w:color w:val="000000"/>
        </w:rPr>
        <w:t xml:space="preserve"> prior</w:t>
      </w:r>
      <w:r w:rsidR="00554AD4">
        <w:rPr>
          <w:rStyle w:val="normaltextrun"/>
          <w:rFonts w:eastAsiaTheme="majorEastAsia"/>
          <w:color w:val="000000"/>
        </w:rPr>
        <w:t xml:space="preserve"> </w:t>
      </w:r>
      <w:r w:rsidR="00B80D53">
        <w:rPr>
          <w:rStyle w:val="normaltextrun"/>
          <w:rFonts w:eastAsiaTheme="majorEastAsia"/>
          <w:color w:val="000000"/>
        </w:rPr>
        <w:t xml:space="preserve">to </w:t>
      </w:r>
      <w:r w:rsidR="006B2896">
        <w:rPr>
          <w:rStyle w:val="normaltextrun"/>
          <w:rFonts w:eastAsiaTheme="majorEastAsia"/>
          <w:color w:val="000000"/>
        </w:rPr>
        <w:t xml:space="preserve">grant </w:t>
      </w:r>
      <w:r w:rsidR="00B80D53">
        <w:rPr>
          <w:rStyle w:val="normaltextrun"/>
          <w:rFonts w:eastAsiaTheme="majorEastAsia"/>
          <w:color w:val="000000"/>
        </w:rPr>
        <w:t>clos</w:t>
      </w:r>
      <w:r w:rsidR="004317A5">
        <w:rPr>
          <w:rStyle w:val="normaltextrun"/>
          <w:rFonts w:eastAsiaTheme="majorEastAsia"/>
          <w:color w:val="000000"/>
        </w:rPr>
        <w:t>e</w:t>
      </w:r>
      <w:r w:rsidR="00B80D53">
        <w:rPr>
          <w:rStyle w:val="normaltextrun"/>
          <w:rFonts w:eastAsiaTheme="majorEastAsia"/>
          <w:color w:val="000000"/>
        </w:rPr>
        <w:t>out</w:t>
      </w:r>
      <w:r w:rsidR="006B2896">
        <w:rPr>
          <w:rStyle w:val="normaltextrun"/>
          <w:rFonts w:eastAsiaTheme="majorEastAsia"/>
          <w:color w:val="000000"/>
        </w:rPr>
        <w:t xml:space="preserve">. </w:t>
      </w:r>
      <w:r w:rsidR="003D7C46">
        <w:rPr>
          <w:rStyle w:val="normaltextrun"/>
          <w:rFonts w:eastAsiaTheme="majorEastAsia"/>
          <w:color w:val="000000"/>
        </w:rPr>
        <w:t>This report documents</w:t>
      </w:r>
      <w:r w:rsidR="00E37759">
        <w:rPr>
          <w:rStyle w:val="normaltextrun"/>
          <w:rFonts w:eastAsiaTheme="majorEastAsia"/>
          <w:color w:val="000000"/>
        </w:rPr>
        <w:t xml:space="preserve"> accomplishments and assesses </w:t>
      </w:r>
      <w:r w:rsidR="00106B9A">
        <w:rPr>
          <w:rStyle w:val="normaltextrun"/>
          <w:rFonts w:eastAsiaTheme="majorEastAsia"/>
          <w:color w:val="000000"/>
        </w:rPr>
        <w:t>effectiveness</w:t>
      </w:r>
      <w:r w:rsidR="00E37759">
        <w:rPr>
          <w:rStyle w:val="normaltextrun"/>
          <w:rFonts w:eastAsiaTheme="majorEastAsia"/>
          <w:color w:val="000000"/>
        </w:rPr>
        <w:t xml:space="preserve"> of the </w:t>
      </w:r>
      <w:r w:rsidR="00106B9A">
        <w:rPr>
          <w:rStyle w:val="normaltextrun"/>
          <w:rFonts w:eastAsiaTheme="majorEastAsia"/>
          <w:color w:val="000000"/>
        </w:rPr>
        <w:t>grant</w:t>
      </w:r>
      <w:r w:rsidR="00E37759">
        <w:rPr>
          <w:rStyle w:val="normaltextrun"/>
          <w:rFonts w:eastAsiaTheme="majorEastAsia"/>
          <w:color w:val="000000"/>
        </w:rPr>
        <w:t xml:space="preserve"> activities</w:t>
      </w:r>
      <w:r w:rsidR="00182D36">
        <w:rPr>
          <w:rStyle w:val="normaltextrun"/>
          <w:rFonts w:eastAsiaTheme="majorEastAsia"/>
          <w:color w:val="000000"/>
        </w:rPr>
        <w:t>.</w:t>
      </w:r>
      <w:r w:rsidRPr="00182D36" w:rsidR="00182D36">
        <w:rPr>
          <w:rStyle w:val="normaltextrun"/>
          <w:rFonts w:eastAsiaTheme="majorEastAsia"/>
          <w:color w:val="000000"/>
        </w:rPr>
        <w:t xml:space="preserve"> </w:t>
      </w:r>
      <w:r w:rsidR="00106B9A">
        <w:rPr>
          <w:rStyle w:val="normaltextrun"/>
          <w:rFonts w:eastAsiaTheme="majorEastAsia"/>
          <w:color w:val="000000"/>
        </w:rPr>
        <w:t xml:space="preserve">The report is generated and submitted in EPIC. </w:t>
      </w:r>
      <w:r w:rsidR="00182D36">
        <w:rPr>
          <w:rStyle w:val="normaltextrun"/>
          <w:rFonts w:eastAsiaTheme="majorEastAsia"/>
          <w:color w:val="000000"/>
        </w:rPr>
        <w:t xml:space="preserve">HUD may request periodic reports throughout the grant period. </w:t>
      </w:r>
    </w:p>
    <w:p w:rsidR="0025719A" w:rsidP="00B80D53" w14:paraId="7ACD3DAA" w14:textId="77777777">
      <w:pPr>
        <w:pStyle w:val="paragraph"/>
        <w:spacing w:before="0" w:beforeAutospacing="0" w:after="0" w:afterAutospacing="0"/>
        <w:ind w:left="720"/>
        <w:textAlignment w:val="baseline"/>
        <w:rPr>
          <w:rStyle w:val="normaltextrun"/>
          <w:rFonts w:eastAsiaTheme="majorEastAsia"/>
          <w:color w:val="000000"/>
        </w:rPr>
      </w:pPr>
    </w:p>
    <w:p w:rsidR="0047652B" w:rsidP="00B80D53" w14:paraId="2B972B7F" w14:textId="77777777">
      <w:pPr>
        <w:pStyle w:val="paragraph"/>
        <w:spacing w:before="0" w:beforeAutospacing="0" w:after="0" w:afterAutospacing="0"/>
        <w:ind w:left="720"/>
        <w:textAlignment w:val="baseline"/>
        <w:rPr>
          <w:rStyle w:val="normaltextrun"/>
          <w:rFonts w:eastAsiaTheme="majorEastAsia"/>
          <w:color w:val="000000"/>
        </w:rPr>
      </w:pPr>
      <w:r>
        <w:rPr>
          <w:rStyle w:val="normaltextrun"/>
          <w:rFonts w:eastAsiaTheme="majorEastAsia"/>
          <w:color w:val="000000"/>
        </w:rPr>
        <w:t xml:space="preserve">PHAs are required to submit an </w:t>
      </w:r>
      <w:r w:rsidR="0010773E">
        <w:rPr>
          <w:rStyle w:val="normaltextrun"/>
          <w:rFonts w:eastAsiaTheme="majorEastAsia"/>
          <w:color w:val="000000"/>
        </w:rPr>
        <w:t xml:space="preserve">Actual Modernization Cost Certificate </w:t>
      </w:r>
      <w:r w:rsidR="00653F8B">
        <w:rPr>
          <w:rStyle w:val="normaltextrun"/>
          <w:rFonts w:eastAsiaTheme="majorEastAsia"/>
          <w:color w:val="000000"/>
        </w:rPr>
        <w:t>in EPIC</w:t>
      </w:r>
      <w:r w:rsidR="004A4D52">
        <w:rPr>
          <w:rStyle w:val="normaltextrun"/>
          <w:rFonts w:eastAsiaTheme="majorEastAsia"/>
          <w:color w:val="000000"/>
        </w:rPr>
        <w:t xml:space="preserve"> prior to grant closeout</w:t>
      </w:r>
      <w:r w:rsidR="00653F8B">
        <w:rPr>
          <w:rStyle w:val="normaltextrun"/>
          <w:rFonts w:eastAsiaTheme="majorEastAsia"/>
          <w:color w:val="000000"/>
        </w:rPr>
        <w:t xml:space="preserve">. </w:t>
      </w:r>
      <w:r w:rsidR="0070203D">
        <w:rPr>
          <w:rStyle w:val="normaltextrun"/>
          <w:rFonts w:eastAsiaTheme="majorEastAsia"/>
          <w:color w:val="000000"/>
        </w:rPr>
        <w:t xml:space="preserve">The purpose </w:t>
      </w:r>
      <w:r w:rsidR="00BE465F">
        <w:rPr>
          <w:rStyle w:val="normaltextrun"/>
          <w:rFonts w:eastAsiaTheme="majorEastAsia"/>
          <w:color w:val="000000"/>
        </w:rPr>
        <w:t>is</w:t>
      </w:r>
      <w:r w:rsidR="0070203D">
        <w:rPr>
          <w:rStyle w:val="normaltextrun"/>
          <w:rFonts w:eastAsiaTheme="majorEastAsia"/>
          <w:color w:val="000000"/>
        </w:rPr>
        <w:t xml:space="preserve"> to report final, </w:t>
      </w:r>
      <w:r w:rsidR="00BE465F">
        <w:rPr>
          <w:rStyle w:val="normaltextrun"/>
          <w:rFonts w:eastAsiaTheme="majorEastAsia"/>
          <w:color w:val="000000"/>
        </w:rPr>
        <w:t>audited</w:t>
      </w:r>
      <w:r w:rsidR="0070203D">
        <w:rPr>
          <w:rStyle w:val="normaltextrun"/>
          <w:rFonts w:eastAsiaTheme="majorEastAsia"/>
          <w:color w:val="000000"/>
        </w:rPr>
        <w:t xml:space="preserve"> </w:t>
      </w:r>
      <w:r w:rsidR="00BE465F">
        <w:rPr>
          <w:rStyle w:val="normaltextrun"/>
          <w:rFonts w:eastAsiaTheme="majorEastAsia"/>
          <w:color w:val="000000"/>
        </w:rPr>
        <w:t>expenses</w:t>
      </w:r>
      <w:r w:rsidR="0070203D">
        <w:rPr>
          <w:rStyle w:val="normaltextrun"/>
          <w:rFonts w:eastAsiaTheme="majorEastAsia"/>
          <w:color w:val="000000"/>
        </w:rPr>
        <w:t xml:space="preserve"> for modernization projects. </w:t>
      </w:r>
      <w:r w:rsidR="00653F8B">
        <w:rPr>
          <w:rStyle w:val="normaltextrun"/>
          <w:rFonts w:eastAsiaTheme="majorEastAsia"/>
          <w:color w:val="000000"/>
        </w:rPr>
        <w:t xml:space="preserve">This was formerly collected </w:t>
      </w:r>
      <w:r w:rsidR="000A2B27">
        <w:rPr>
          <w:rStyle w:val="normaltextrun"/>
          <w:rFonts w:eastAsiaTheme="majorEastAsia"/>
          <w:color w:val="000000"/>
        </w:rPr>
        <w:t xml:space="preserve">on form </w:t>
      </w:r>
      <w:r w:rsidR="0027170D">
        <w:rPr>
          <w:rStyle w:val="normaltextrun"/>
          <w:rFonts w:eastAsiaTheme="majorEastAsia"/>
          <w:color w:val="000000"/>
        </w:rPr>
        <w:t>HUD-</w:t>
      </w:r>
      <w:r w:rsidR="0019394A">
        <w:rPr>
          <w:rStyle w:val="normaltextrun"/>
          <w:rFonts w:eastAsiaTheme="majorEastAsia"/>
          <w:color w:val="000000"/>
        </w:rPr>
        <w:t>53001,</w:t>
      </w:r>
      <w:r w:rsidR="0056782A">
        <w:rPr>
          <w:rStyle w:val="normaltextrun"/>
          <w:rFonts w:eastAsiaTheme="majorEastAsia"/>
          <w:color w:val="000000"/>
        </w:rPr>
        <w:t xml:space="preserve"> but the </w:t>
      </w:r>
      <w:r w:rsidR="0027170D">
        <w:rPr>
          <w:rStyle w:val="normaltextrun"/>
          <w:rFonts w:eastAsiaTheme="majorEastAsia"/>
          <w:color w:val="000000"/>
        </w:rPr>
        <w:t>data</w:t>
      </w:r>
      <w:r w:rsidR="0056782A">
        <w:rPr>
          <w:rStyle w:val="normaltextrun"/>
          <w:rFonts w:eastAsiaTheme="majorEastAsia"/>
          <w:color w:val="000000"/>
        </w:rPr>
        <w:t xml:space="preserve"> is now collected electronically</w:t>
      </w:r>
      <w:r w:rsidR="00B8364F">
        <w:rPr>
          <w:rStyle w:val="normaltextrun"/>
          <w:rFonts w:eastAsiaTheme="majorEastAsia"/>
          <w:color w:val="000000"/>
        </w:rPr>
        <w:t xml:space="preserve"> in EPI</w:t>
      </w:r>
      <w:r>
        <w:rPr>
          <w:rStyle w:val="normaltextrun"/>
          <w:rFonts w:eastAsiaTheme="majorEastAsia"/>
          <w:color w:val="000000"/>
        </w:rPr>
        <w:t>C</w:t>
      </w:r>
      <w:r w:rsidR="0056782A">
        <w:rPr>
          <w:rStyle w:val="normaltextrun"/>
          <w:rFonts w:eastAsiaTheme="majorEastAsia"/>
          <w:color w:val="000000"/>
        </w:rPr>
        <w:t>.</w:t>
      </w:r>
    </w:p>
    <w:p w:rsidR="0047652B" w:rsidP="00B80D53" w14:paraId="6AD3AC8A" w14:textId="77777777">
      <w:pPr>
        <w:pStyle w:val="paragraph"/>
        <w:spacing w:before="0" w:beforeAutospacing="0" w:after="0" w:afterAutospacing="0"/>
        <w:ind w:left="720"/>
        <w:textAlignment w:val="baseline"/>
        <w:rPr>
          <w:rFonts w:eastAsiaTheme="majorEastAsia"/>
          <w:color w:val="000000"/>
        </w:rPr>
      </w:pPr>
      <w:r w:rsidRPr="009137D3">
        <w:rPr>
          <w:rFonts w:eastAsiaTheme="majorEastAsia"/>
          <w:color w:val="000000"/>
        </w:rPr>
        <w:t>All other reporting (e.g. in financial systems) already required in the Capital Fund formula grant program or the Moving to Work program shall continue to apply.</w:t>
      </w:r>
    </w:p>
    <w:p w:rsidR="0025719A" w:rsidP="00B80D53" w14:paraId="294D9AE0" w14:textId="77777777">
      <w:pPr>
        <w:pStyle w:val="paragraph"/>
        <w:spacing w:before="0" w:beforeAutospacing="0" w:after="0" w:afterAutospacing="0"/>
        <w:ind w:left="720"/>
        <w:textAlignment w:val="baseline"/>
        <w:rPr>
          <w:rFonts w:eastAsiaTheme="majorEastAsia"/>
          <w:color w:val="000000"/>
        </w:rPr>
      </w:pPr>
    </w:p>
    <w:p w:rsidR="00B80D53" w:rsidP="00B80D53" w14:paraId="4E7438AD" w14:textId="558F264A">
      <w:pPr>
        <w:pStyle w:val="paragraph"/>
        <w:spacing w:before="0" w:beforeAutospacing="0" w:after="0" w:afterAutospacing="0"/>
        <w:ind w:left="720"/>
        <w:textAlignment w:val="baseline"/>
        <w:rPr>
          <w:rStyle w:val="normaltextrun"/>
          <w:rFonts w:eastAsiaTheme="majorEastAsia"/>
          <w:color w:val="000000"/>
        </w:rPr>
      </w:pPr>
      <w:r>
        <w:rPr>
          <w:rStyle w:val="normaltextrun"/>
          <w:rFonts w:eastAsiaTheme="majorEastAsia"/>
          <w:color w:val="000000"/>
        </w:rPr>
        <w:t>If a</w:t>
      </w:r>
      <w:r w:rsidR="00FB6742">
        <w:rPr>
          <w:rStyle w:val="normaltextrun"/>
          <w:rFonts w:eastAsiaTheme="majorEastAsia"/>
          <w:color w:val="000000"/>
        </w:rPr>
        <w:t xml:space="preserve"> PHA</w:t>
      </w:r>
      <w:r>
        <w:rPr>
          <w:rStyle w:val="normaltextrun"/>
          <w:rFonts w:eastAsiaTheme="majorEastAsia"/>
          <w:color w:val="000000"/>
        </w:rPr>
        <w:t xml:space="preserve"> is unable to complete </w:t>
      </w:r>
      <w:r w:rsidR="002A4DD0">
        <w:rPr>
          <w:rStyle w:val="normaltextrun"/>
          <w:rFonts w:eastAsiaTheme="majorEastAsia"/>
          <w:color w:val="000000"/>
        </w:rPr>
        <w:t>any EPIC-related reports or data input</w:t>
      </w:r>
      <w:r>
        <w:rPr>
          <w:rStyle w:val="normaltextrun"/>
          <w:rFonts w:eastAsiaTheme="majorEastAsia"/>
          <w:color w:val="000000"/>
        </w:rPr>
        <w:t xml:space="preserve"> due to technological </w:t>
      </w:r>
      <w:r w:rsidR="004E0C7E">
        <w:rPr>
          <w:rStyle w:val="normaltextrun"/>
          <w:rFonts w:eastAsiaTheme="majorEastAsia"/>
          <w:color w:val="000000"/>
        </w:rPr>
        <w:t>difficulties</w:t>
      </w:r>
      <w:r>
        <w:rPr>
          <w:rStyle w:val="normaltextrun"/>
          <w:rFonts w:eastAsiaTheme="majorEastAsia"/>
          <w:color w:val="000000"/>
        </w:rPr>
        <w:t>, it can contact the Field Office o</w:t>
      </w:r>
      <w:r w:rsidR="006C6F22">
        <w:rPr>
          <w:rStyle w:val="normaltextrun"/>
          <w:rFonts w:eastAsiaTheme="majorEastAsia"/>
          <w:color w:val="000000"/>
        </w:rPr>
        <w:t>r</w:t>
      </w:r>
      <w:r>
        <w:rPr>
          <w:rStyle w:val="normaltextrun"/>
          <w:rFonts w:eastAsiaTheme="majorEastAsia"/>
          <w:color w:val="000000"/>
        </w:rPr>
        <w:t xml:space="preserve"> </w:t>
      </w:r>
      <w:hyperlink r:id="rId4" w:history="1">
        <w:r w:rsidRPr="004738C7">
          <w:rPr>
            <w:rStyle w:val="Hyperlink"/>
            <w:rFonts w:eastAsiaTheme="majorEastAsia"/>
          </w:rPr>
          <w:t>PIHOCI@hud.gov</w:t>
        </w:r>
      </w:hyperlink>
      <w:r>
        <w:rPr>
          <w:rStyle w:val="normaltextrun"/>
          <w:rFonts w:eastAsiaTheme="majorEastAsia"/>
          <w:color w:val="000000"/>
        </w:rPr>
        <w:t xml:space="preserve"> and HUD staff will upload the information on the </w:t>
      </w:r>
      <w:r w:rsidR="0019394A">
        <w:rPr>
          <w:rStyle w:val="normaltextrun"/>
          <w:rFonts w:eastAsiaTheme="majorEastAsia"/>
          <w:color w:val="000000"/>
        </w:rPr>
        <w:t>PHA</w:t>
      </w:r>
      <w:r>
        <w:rPr>
          <w:rStyle w:val="normaltextrun"/>
          <w:rFonts w:eastAsiaTheme="majorEastAsia"/>
          <w:color w:val="000000"/>
        </w:rPr>
        <w:t>’s behalf.</w:t>
      </w:r>
    </w:p>
    <w:p w:rsidR="0025719A" w:rsidP="00B80D53" w14:paraId="023D36CD" w14:textId="77777777">
      <w:pPr>
        <w:pStyle w:val="paragraph"/>
        <w:spacing w:before="0" w:beforeAutospacing="0" w:after="0" w:afterAutospacing="0"/>
        <w:ind w:left="720"/>
        <w:textAlignment w:val="baseline"/>
        <w:rPr>
          <w:rStyle w:val="normaltextrun"/>
          <w:rFonts w:eastAsiaTheme="majorEastAsia"/>
          <w:color w:val="000000"/>
        </w:rPr>
      </w:pPr>
    </w:p>
    <w:p w:rsidR="00893C17" w:rsidP="00D6049D" w14:paraId="217E377F" w14:textId="202D42A9">
      <w:pPr>
        <w:pStyle w:val="paragraph"/>
        <w:spacing w:before="0" w:beforeAutospacing="0" w:after="0" w:afterAutospacing="0"/>
        <w:ind w:left="720"/>
        <w:textAlignment w:val="baseline"/>
        <w:rPr>
          <w:rStyle w:val="normaltextrun"/>
          <w:rFonts w:eastAsiaTheme="majorEastAsia"/>
          <w:color w:val="000000"/>
        </w:rPr>
      </w:pPr>
      <w:r>
        <w:rPr>
          <w:rStyle w:val="normaltextrun"/>
          <w:rFonts w:eastAsiaTheme="majorEastAsia"/>
          <w:color w:val="000000"/>
        </w:rPr>
        <w:t xml:space="preserve">Grantees </w:t>
      </w:r>
      <w:r w:rsidR="004D5171">
        <w:rPr>
          <w:rStyle w:val="normaltextrun"/>
          <w:rFonts w:eastAsiaTheme="majorEastAsia"/>
          <w:color w:val="000000"/>
        </w:rPr>
        <w:t xml:space="preserve">are expected to use Standard Form 425, Federal Financial Report, to provide comprehensive financial accounting </w:t>
      </w:r>
      <w:r w:rsidR="00D538FC">
        <w:rPr>
          <w:rStyle w:val="normaltextrun"/>
          <w:rFonts w:eastAsiaTheme="majorEastAsia"/>
          <w:color w:val="000000"/>
        </w:rPr>
        <w:t>of federal grant funds</w:t>
      </w:r>
      <w:r w:rsidR="00836BAF">
        <w:rPr>
          <w:rStyle w:val="normaltextrun"/>
          <w:rFonts w:eastAsiaTheme="majorEastAsia"/>
          <w:color w:val="000000"/>
        </w:rPr>
        <w:t xml:space="preserve">, to report project performance for the costs that are billed, and </w:t>
      </w:r>
      <w:r w:rsidR="00235D03">
        <w:rPr>
          <w:rStyle w:val="normaltextrun"/>
          <w:rFonts w:eastAsiaTheme="majorEastAsia"/>
          <w:color w:val="000000"/>
        </w:rPr>
        <w:t xml:space="preserve">whether on track to complete the project as described in the application. This performance data is required by </w:t>
      </w:r>
      <w:r w:rsidR="00E13D58">
        <w:rPr>
          <w:rStyle w:val="normaltextrun"/>
          <w:rFonts w:eastAsiaTheme="majorEastAsia"/>
          <w:color w:val="000000"/>
        </w:rPr>
        <w:t>2 CFR 200.329 (</w:t>
      </w:r>
      <w:hyperlink r:id="rId5" w:history="1">
        <w:r w:rsidRPr="003F626B" w:rsidR="005303DC">
          <w:rPr>
            <w:rStyle w:val="Hyperlink"/>
            <w:rFonts w:eastAsiaTheme="majorEastAsia"/>
          </w:rPr>
          <w:t>https://www.ecfr.gov/current/title-2/section-200.329</w:t>
        </w:r>
      </w:hyperlink>
      <w:r w:rsidR="005303DC">
        <w:rPr>
          <w:rStyle w:val="normaltextrun"/>
          <w:rFonts w:eastAsiaTheme="majorEastAsia"/>
          <w:color w:val="000000"/>
        </w:rPr>
        <w:t xml:space="preserve"> ).</w:t>
      </w:r>
    </w:p>
    <w:p w:rsidR="00867A43" w:rsidP="00D6049D" w14:paraId="3FD841F1" w14:textId="77777777">
      <w:pPr>
        <w:pStyle w:val="paragraph"/>
        <w:spacing w:before="0" w:beforeAutospacing="0" w:after="0" w:afterAutospacing="0"/>
        <w:ind w:left="720"/>
        <w:textAlignment w:val="baseline"/>
        <w:rPr>
          <w:rStyle w:val="normaltextrun"/>
          <w:rFonts w:eastAsiaTheme="majorEastAsia"/>
          <w:color w:val="000000"/>
        </w:rPr>
      </w:pPr>
    </w:p>
    <w:p w:rsidR="00B34170" w:rsidP="00016212" w14:paraId="5C6B477A" w14:textId="05CC9D84">
      <w:pPr>
        <w:pStyle w:val="paragraph"/>
        <w:spacing w:before="0" w:beforeAutospacing="0" w:after="0" w:afterAutospacing="0"/>
        <w:textAlignment w:val="baseline"/>
        <w:rPr>
          <w:rStyle w:val="normaltextrun"/>
          <w:rFonts w:eastAsiaTheme="majorEastAsia"/>
          <w:color w:val="000000"/>
        </w:rPr>
      </w:pPr>
    </w:p>
    <w:p w:rsidR="00B34170" w:rsidP="00D6049D" w14:paraId="43A622A7" w14:textId="77777777">
      <w:pPr>
        <w:pStyle w:val="paragraph"/>
        <w:spacing w:before="0" w:beforeAutospacing="0" w:after="0" w:afterAutospacing="0"/>
        <w:ind w:left="720"/>
        <w:textAlignment w:val="baseline"/>
        <w:rPr>
          <w:rStyle w:val="normaltextrun"/>
          <w:rFonts w:eastAsiaTheme="majorEastAsia"/>
          <w:color w:val="000000"/>
        </w:rPr>
      </w:pPr>
    </w:p>
    <w:bookmarkEnd w:id="1"/>
    <w:p w:rsidR="006734AD" w:rsidRPr="006C7FAE" w:rsidP="006734AD" w14:paraId="106FC3E4" w14:textId="77777777">
      <w:pPr>
        <w:keepLines/>
        <w:tabs>
          <w:tab w:val="left" w:pos="360"/>
        </w:tabs>
        <w:spacing w:after="80"/>
        <w:ind w:left="360" w:hanging="360"/>
        <w:rPr>
          <w:sz w:val="24"/>
          <w:szCs w:val="24"/>
        </w:rPr>
      </w:pPr>
      <w:r w:rsidRPr="006C7FAE">
        <w:rPr>
          <w:sz w:val="24"/>
          <w:szCs w:val="24"/>
        </w:rPr>
        <w:t>3.</w:t>
      </w:r>
      <w:r w:rsidRPr="006C7FAE">
        <w:rPr>
          <w:sz w:val="24"/>
          <w:szCs w:val="24"/>
        </w:rPr>
        <w:tab/>
      </w:r>
      <w:r w:rsidRPr="00FA492F">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to adopt this means of collection.  Also describe any consideration of using information technology to reduce burden.</w:t>
      </w:r>
    </w:p>
    <w:p w:rsidR="006734AD" w:rsidP="006734AD" w14:paraId="2ABAB8D4" w14:textId="77777777">
      <w:pPr>
        <w:tabs>
          <w:tab w:val="left" w:pos="360"/>
        </w:tabs>
        <w:ind w:left="360" w:hanging="360"/>
        <w:rPr>
          <w:sz w:val="24"/>
          <w:szCs w:val="24"/>
        </w:rPr>
      </w:pPr>
    </w:p>
    <w:p w:rsidR="00941D36" w:rsidP="00941D36" w14:paraId="74AA5A42" w14:textId="5DCA7B44">
      <w:pPr>
        <w:pStyle w:val="paragraph"/>
        <w:spacing w:before="0" w:beforeAutospacing="0" w:after="0" w:afterAutospacing="0"/>
        <w:ind w:left="720"/>
        <w:textAlignment w:val="baseline"/>
        <w:rPr>
          <w:rStyle w:val="normaltextrun"/>
          <w:rFonts w:eastAsiaTheme="majorEastAsia"/>
          <w:color w:val="000000"/>
        </w:rPr>
      </w:pPr>
      <w:r>
        <w:rPr>
          <w:rStyle w:val="normaltextrun"/>
          <w:rFonts w:eastAsiaTheme="majorEastAsia"/>
          <w:color w:val="000000"/>
        </w:rPr>
        <w:t>For purposes of this collection, t</w:t>
      </w:r>
      <w:r>
        <w:rPr>
          <w:rStyle w:val="normaltextrun"/>
          <w:rFonts w:eastAsiaTheme="majorEastAsia"/>
          <w:color w:val="000000"/>
        </w:rPr>
        <w:t xml:space="preserve">he field office is responsible for the review of the documentation to ensure compliance with the conditions of the award and approve the payment </w:t>
      </w:r>
      <w:r w:rsidR="00CB554D">
        <w:rPr>
          <w:rStyle w:val="normaltextrun"/>
          <w:rFonts w:eastAsiaTheme="majorEastAsia"/>
          <w:color w:val="000000"/>
        </w:rPr>
        <w:t xml:space="preserve">voucher </w:t>
      </w:r>
      <w:r>
        <w:rPr>
          <w:rStyle w:val="normaltextrun"/>
          <w:rFonts w:eastAsiaTheme="majorEastAsia"/>
          <w:color w:val="000000"/>
        </w:rPr>
        <w:t>requests</w:t>
      </w:r>
      <w:r w:rsidR="00844327">
        <w:rPr>
          <w:rStyle w:val="normaltextrun"/>
          <w:rFonts w:eastAsiaTheme="majorEastAsia"/>
          <w:color w:val="000000"/>
        </w:rPr>
        <w:t xml:space="preserve"> to grant recipients </w:t>
      </w:r>
      <w:r>
        <w:rPr>
          <w:rStyle w:val="normaltextrun"/>
          <w:rFonts w:eastAsiaTheme="majorEastAsia"/>
          <w:color w:val="000000"/>
        </w:rPr>
        <w:t>through HUD’s electronic Line of Credit Control System (</w:t>
      </w:r>
      <w:r>
        <w:rPr>
          <w:rStyle w:val="normaltextrun"/>
          <w:rFonts w:eastAsiaTheme="majorEastAsia"/>
          <w:color w:val="000000"/>
        </w:rPr>
        <w:t>eLOCCS</w:t>
      </w:r>
      <w:r>
        <w:rPr>
          <w:rStyle w:val="normaltextrun"/>
          <w:rFonts w:eastAsiaTheme="majorEastAsia"/>
          <w:color w:val="000000"/>
        </w:rPr>
        <w:t xml:space="preserve">). </w:t>
      </w:r>
    </w:p>
    <w:p w:rsidR="00D862A4" w:rsidP="00941D36" w14:paraId="1C1A98C5" w14:textId="77777777">
      <w:pPr>
        <w:pStyle w:val="paragraph"/>
        <w:spacing w:before="0" w:beforeAutospacing="0" w:after="0" w:afterAutospacing="0"/>
        <w:ind w:left="720"/>
        <w:textAlignment w:val="baseline"/>
        <w:rPr>
          <w:rStyle w:val="normaltextrun"/>
          <w:rFonts w:eastAsiaTheme="majorEastAsia"/>
          <w:color w:val="000000"/>
        </w:rPr>
      </w:pPr>
    </w:p>
    <w:p w:rsidR="00D862A4" w:rsidP="00D862A4" w14:paraId="7F542232" w14:textId="20E0F4F8">
      <w:pPr>
        <w:pStyle w:val="paragraph"/>
        <w:spacing w:before="0" w:beforeAutospacing="0" w:after="0" w:afterAutospacing="0"/>
        <w:ind w:left="720"/>
        <w:textAlignment w:val="baseline"/>
        <w:rPr>
          <w:rStyle w:val="normaltextrun"/>
          <w:rFonts w:eastAsiaTheme="majorEastAsia"/>
          <w:color w:val="000000"/>
        </w:rPr>
      </w:pPr>
      <w:r w:rsidRPr="00826751">
        <w:rPr>
          <w:rFonts w:eastAsiaTheme="majorEastAsia"/>
          <w:color w:val="000000"/>
        </w:rPr>
        <w:t>The PHA is required to maintain a file with</w:t>
      </w:r>
      <w:r>
        <w:rPr>
          <w:rFonts w:eastAsiaTheme="majorEastAsia"/>
          <w:color w:val="000000"/>
        </w:rPr>
        <w:t xml:space="preserve"> sufficient </w:t>
      </w:r>
      <w:r w:rsidRPr="00826751">
        <w:rPr>
          <w:rFonts w:eastAsiaTheme="majorEastAsia"/>
          <w:color w:val="000000"/>
        </w:rPr>
        <w:t>back</w:t>
      </w:r>
      <w:r>
        <w:rPr>
          <w:rFonts w:eastAsiaTheme="majorEastAsia"/>
          <w:color w:val="000000"/>
        </w:rPr>
        <w:t>-</w:t>
      </w:r>
      <w:r w:rsidRPr="00826751">
        <w:rPr>
          <w:rFonts w:eastAsiaTheme="majorEastAsia"/>
          <w:color w:val="000000"/>
        </w:rPr>
        <w:t xml:space="preserve">up documentation to support the </w:t>
      </w:r>
      <w:r>
        <w:rPr>
          <w:rFonts w:eastAsiaTheme="majorEastAsia"/>
          <w:color w:val="000000"/>
        </w:rPr>
        <w:t xml:space="preserve">payment request </w:t>
      </w:r>
      <w:r w:rsidRPr="00826751">
        <w:rPr>
          <w:rFonts w:eastAsiaTheme="majorEastAsia"/>
          <w:color w:val="000000"/>
        </w:rPr>
        <w:t>voucher. The PHA has a direct deposit form SF-1199A on file with the HUD Fort Worth Accounting Center</w:t>
      </w:r>
      <w:r w:rsidRPr="00826751">
        <w:rPr>
          <w:rFonts w:eastAsiaTheme="majorEastAsia"/>
          <w:b/>
          <w:bCs/>
          <w:color w:val="000000"/>
        </w:rPr>
        <w:t xml:space="preserve"> </w:t>
      </w:r>
      <w:r w:rsidRPr="00335062">
        <w:rPr>
          <w:rFonts w:eastAsiaTheme="majorEastAsia"/>
          <w:color w:val="000000"/>
        </w:rPr>
        <w:t>with the banking information for the account to which the funds are deposited 2-3 business days after the voucher is submitted in LOCCS.</w:t>
      </w:r>
      <w:r w:rsidRPr="00826751">
        <w:rPr>
          <w:rFonts w:eastAsiaTheme="majorEastAsia"/>
          <w:b/>
          <w:bCs/>
          <w:color w:val="000000"/>
        </w:rPr>
        <w:t xml:space="preserve">  </w:t>
      </w:r>
      <w:r w:rsidRPr="00BC7368">
        <w:rPr>
          <w:rStyle w:val="normaltextrun"/>
          <w:rFonts w:eastAsiaTheme="majorEastAsia"/>
          <w:color w:val="000000"/>
        </w:rPr>
        <w:t>PHAs report progress related to this grant on a</w:t>
      </w:r>
      <w:r w:rsidR="009F36AD">
        <w:rPr>
          <w:rStyle w:val="normaltextrun"/>
          <w:rFonts w:eastAsiaTheme="majorEastAsia"/>
          <w:color w:val="000000"/>
        </w:rPr>
        <w:t xml:space="preserve"> quarterly </w:t>
      </w:r>
      <w:r w:rsidRPr="00BC7368">
        <w:rPr>
          <w:rStyle w:val="normaltextrun"/>
          <w:rFonts w:eastAsiaTheme="majorEastAsia"/>
          <w:color w:val="000000"/>
        </w:rPr>
        <w:t xml:space="preserve">basis. </w:t>
      </w:r>
      <w:r>
        <w:rPr>
          <w:rStyle w:val="normaltextrun"/>
          <w:rFonts w:eastAsiaTheme="majorEastAsia"/>
          <w:color w:val="000000"/>
        </w:rPr>
        <w:t>Required reports</w:t>
      </w:r>
      <w:r w:rsidR="006A7779">
        <w:rPr>
          <w:rStyle w:val="normaltextrun"/>
          <w:rFonts w:eastAsiaTheme="majorEastAsia"/>
          <w:color w:val="000000"/>
        </w:rPr>
        <w:t>, including the SF-425 Federal Financial Report,</w:t>
      </w:r>
      <w:r>
        <w:rPr>
          <w:rStyle w:val="normaltextrun"/>
          <w:rFonts w:eastAsiaTheme="majorEastAsia"/>
          <w:color w:val="000000"/>
        </w:rPr>
        <w:t xml:space="preserve"> are submitted electronically via email to </w:t>
      </w:r>
      <w:hyperlink r:id="rId4" w:history="1">
        <w:r w:rsidRPr="00C33E73">
          <w:rPr>
            <w:rStyle w:val="Hyperlink"/>
            <w:rFonts w:eastAsiaTheme="majorEastAsia"/>
          </w:rPr>
          <w:t>PIHOCI@hud.gov</w:t>
        </w:r>
      </w:hyperlink>
      <w:r>
        <w:rPr>
          <w:rStyle w:val="normaltextrun"/>
          <w:rFonts w:eastAsiaTheme="majorEastAsia"/>
          <w:color w:val="000000"/>
        </w:rPr>
        <w:t>.</w:t>
      </w:r>
    </w:p>
    <w:p w:rsidR="007F6B2F" w:rsidP="00D862A4" w14:paraId="143F5494" w14:textId="36D400E7">
      <w:pPr>
        <w:pStyle w:val="paragraph"/>
        <w:spacing w:before="0" w:beforeAutospacing="0" w:after="0" w:afterAutospacing="0"/>
        <w:ind w:left="720"/>
        <w:textAlignment w:val="baseline"/>
        <w:rPr>
          <w:rStyle w:val="normaltextrun"/>
          <w:rFonts w:eastAsiaTheme="majorEastAsia"/>
          <w:color w:val="000000"/>
        </w:rPr>
      </w:pPr>
    </w:p>
    <w:p w:rsidR="006734AD" w:rsidP="006734AD" w14:paraId="58515CEE" w14:textId="43A5509B">
      <w:pPr>
        <w:tabs>
          <w:tab w:val="left" w:pos="720"/>
        </w:tabs>
        <w:ind w:left="720"/>
        <w:rPr>
          <w:sz w:val="24"/>
          <w:szCs w:val="24"/>
        </w:rPr>
      </w:pPr>
      <w:r w:rsidRPr="000C2988">
        <w:rPr>
          <w:sz w:val="24"/>
          <w:szCs w:val="24"/>
        </w:rPr>
        <w:t xml:space="preserve">HUD electronically collects public housing finance, inventory and development data from the PHAs through its Public Housing </w:t>
      </w:r>
      <w:r w:rsidR="00A674AD">
        <w:rPr>
          <w:sz w:val="24"/>
          <w:szCs w:val="24"/>
        </w:rPr>
        <w:t>Portal</w:t>
      </w:r>
      <w:r w:rsidR="003D4732">
        <w:rPr>
          <w:sz w:val="24"/>
          <w:szCs w:val="24"/>
        </w:rPr>
        <w:t xml:space="preserve"> via </w:t>
      </w:r>
      <w:hyperlink r:id="rId6" w:history="1">
        <w:r w:rsidRPr="003D4732" w:rsidR="003D4732">
          <w:rPr>
            <w:rStyle w:val="Hyperlink"/>
            <w:sz w:val="24"/>
            <w:szCs w:val="24"/>
          </w:rPr>
          <w:t>Secure Systems</w:t>
        </w:r>
      </w:hyperlink>
      <w:r w:rsidR="003D4732">
        <w:rPr>
          <w:sz w:val="24"/>
          <w:szCs w:val="24"/>
        </w:rPr>
        <w:t xml:space="preserve">, </w:t>
      </w:r>
      <w:r w:rsidRPr="000C2988">
        <w:rPr>
          <w:sz w:val="24"/>
          <w:szCs w:val="24"/>
        </w:rPr>
        <w:t xml:space="preserve">an automated database system.  This data is reported under other collection numbers throughout HUD’s Office of Public and Indian Housing.  Some of this data is used by the Capital Fund Program to determine the amount of funding that each PHA should receive through annual formula grants.  HUD is now requiring each PHA to certify the accuracy and timeliness of the data that they submitted.  This certification is </w:t>
      </w:r>
      <w:r w:rsidR="00804ECB">
        <w:rPr>
          <w:sz w:val="24"/>
          <w:szCs w:val="24"/>
        </w:rPr>
        <w:t xml:space="preserve">also </w:t>
      </w:r>
      <w:r w:rsidRPr="000C2988">
        <w:rPr>
          <w:sz w:val="24"/>
          <w:szCs w:val="24"/>
        </w:rPr>
        <w:t>collected electronically.</w:t>
      </w:r>
    </w:p>
    <w:p w:rsidR="00F53B90" w:rsidP="006734AD" w14:paraId="7CACB7DA" w14:textId="27F93751">
      <w:pPr>
        <w:tabs>
          <w:tab w:val="left" w:pos="720"/>
        </w:tabs>
        <w:ind w:left="720"/>
        <w:rPr>
          <w:sz w:val="24"/>
          <w:szCs w:val="24"/>
        </w:rPr>
      </w:pPr>
    </w:p>
    <w:p w:rsidR="00E55015" w:rsidP="006734AD" w14:paraId="4C2F4338" w14:textId="77777777">
      <w:pPr>
        <w:tabs>
          <w:tab w:val="left" w:pos="720"/>
        </w:tabs>
        <w:ind w:left="720"/>
        <w:rPr>
          <w:sz w:val="24"/>
          <w:szCs w:val="24"/>
        </w:rPr>
      </w:pPr>
    </w:p>
    <w:p w:rsidR="006734AD" w:rsidRPr="006C7FAE" w:rsidP="006734AD" w14:paraId="3BC46FA7" w14:textId="77777777">
      <w:pPr>
        <w:keepLines/>
        <w:tabs>
          <w:tab w:val="left" w:pos="360"/>
        </w:tabs>
        <w:spacing w:after="80"/>
        <w:ind w:left="360" w:hanging="360"/>
        <w:rPr>
          <w:sz w:val="24"/>
          <w:szCs w:val="24"/>
        </w:rPr>
      </w:pPr>
      <w:r w:rsidRPr="006C7FAE">
        <w:rPr>
          <w:sz w:val="24"/>
          <w:szCs w:val="24"/>
        </w:rPr>
        <w:t>4.</w:t>
      </w:r>
      <w:r w:rsidRPr="006C7FAE">
        <w:rPr>
          <w:sz w:val="24"/>
          <w:szCs w:val="24"/>
        </w:rPr>
        <w:tab/>
      </w:r>
      <w:r w:rsidRPr="00FA492F">
        <w:rPr>
          <w:b/>
          <w:bCs/>
          <w:sz w:val="24"/>
          <w:szCs w:val="24"/>
        </w:rPr>
        <w:t>Describe efforts to identify duplication.  Show specifically why any similar information already available cannot be used or modified for use for the purposes described in Item 2 above.</w:t>
      </w:r>
    </w:p>
    <w:p w:rsidR="006734AD" w:rsidP="006734AD" w14:paraId="79FC3FB8" w14:textId="77777777">
      <w:pPr>
        <w:ind w:left="720"/>
        <w:rPr>
          <w:sz w:val="24"/>
          <w:szCs w:val="24"/>
        </w:rPr>
      </w:pPr>
    </w:p>
    <w:p w:rsidR="006734AD" w:rsidP="006734AD" w14:paraId="5D255ED1" w14:textId="1FE57C32">
      <w:pPr>
        <w:ind w:left="720"/>
        <w:rPr>
          <w:sz w:val="24"/>
          <w:szCs w:val="24"/>
        </w:rPr>
      </w:pPr>
      <w:r w:rsidRPr="00921E33">
        <w:rPr>
          <w:sz w:val="24"/>
          <w:szCs w:val="24"/>
        </w:rPr>
        <w:t xml:space="preserve">There will be no duplication of information.  </w:t>
      </w:r>
    </w:p>
    <w:p w:rsidR="006734AD" w:rsidRPr="007607C8" w:rsidP="006734AD" w14:paraId="7DB36432" w14:textId="77777777">
      <w:pPr>
        <w:ind w:left="360"/>
        <w:rPr>
          <w:color w:val="000000"/>
          <w:sz w:val="24"/>
          <w:szCs w:val="24"/>
        </w:rPr>
      </w:pPr>
    </w:p>
    <w:p w:rsidR="006734AD" w:rsidRPr="006C7FAE" w:rsidP="006734AD" w14:paraId="6617BE0F" w14:textId="1F9B3D4F">
      <w:pPr>
        <w:keepLines/>
        <w:tabs>
          <w:tab w:val="left" w:pos="360"/>
        </w:tabs>
        <w:spacing w:after="80"/>
        <w:ind w:left="360" w:hanging="360"/>
        <w:rPr>
          <w:sz w:val="24"/>
          <w:szCs w:val="24"/>
        </w:rPr>
      </w:pPr>
      <w:r w:rsidRPr="006C7FAE">
        <w:rPr>
          <w:sz w:val="24"/>
          <w:szCs w:val="24"/>
        </w:rPr>
        <w:t>5.</w:t>
      </w:r>
      <w:r w:rsidRPr="006C7FAE">
        <w:rPr>
          <w:sz w:val="24"/>
          <w:szCs w:val="24"/>
        </w:rPr>
        <w:tab/>
      </w:r>
      <w:r w:rsidRPr="00FA492F">
        <w:rPr>
          <w:b/>
          <w:bCs/>
          <w:sz w:val="24"/>
          <w:szCs w:val="24"/>
        </w:rPr>
        <w:t>If the collection of information impacts small businesses or other small entities describe any methods used to minimize burden.</w:t>
      </w:r>
      <w:r w:rsidR="00004FAF">
        <w:rPr>
          <w:b/>
          <w:bCs/>
          <w:sz w:val="24"/>
          <w:szCs w:val="24"/>
        </w:rPr>
        <w:t xml:space="preserve"> </w:t>
      </w:r>
    </w:p>
    <w:p w:rsidR="006734AD" w:rsidP="006734AD" w14:paraId="37E334DE" w14:textId="77777777">
      <w:pPr>
        <w:keepLines/>
        <w:tabs>
          <w:tab w:val="left" w:pos="360"/>
        </w:tabs>
        <w:ind w:left="720" w:hanging="360"/>
        <w:rPr>
          <w:color w:val="000000"/>
          <w:sz w:val="24"/>
          <w:szCs w:val="24"/>
        </w:rPr>
      </w:pPr>
      <w:r w:rsidRPr="007607C8">
        <w:rPr>
          <w:color w:val="000000"/>
          <w:sz w:val="24"/>
          <w:szCs w:val="24"/>
        </w:rPr>
        <w:tab/>
      </w:r>
    </w:p>
    <w:p w:rsidR="006734AD" w:rsidRPr="007607C8" w:rsidP="006734AD" w14:paraId="22700650" w14:textId="7ADEAFDE">
      <w:pPr>
        <w:keepLines/>
        <w:tabs>
          <w:tab w:val="left" w:pos="360"/>
        </w:tabs>
        <w:ind w:left="1080" w:hanging="360"/>
        <w:rPr>
          <w:color w:val="000000"/>
          <w:sz w:val="24"/>
          <w:szCs w:val="24"/>
        </w:rPr>
      </w:pPr>
      <w:r>
        <w:rPr>
          <w:color w:val="000000"/>
          <w:sz w:val="24"/>
          <w:szCs w:val="24"/>
        </w:rPr>
        <w:t xml:space="preserve">The collection of information </w:t>
      </w:r>
      <w:r w:rsidRPr="00BD2C8B">
        <w:rPr>
          <w:b/>
          <w:bCs/>
          <w:color w:val="000000"/>
          <w:sz w:val="24"/>
          <w:szCs w:val="24"/>
        </w:rPr>
        <w:t>does not</w:t>
      </w:r>
      <w:r>
        <w:rPr>
          <w:color w:val="000000"/>
          <w:sz w:val="24"/>
          <w:szCs w:val="24"/>
        </w:rPr>
        <w:t xml:space="preserve"> impact small businesses or other small entities. </w:t>
      </w:r>
    </w:p>
    <w:p w:rsidR="006734AD" w:rsidP="006734AD" w14:paraId="3EAEE07D" w14:textId="77777777">
      <w:pPr>
        <w:tabs>
          <w:tab w:val="left" w:pos="360"/>
        </w:tabs>
        <w:ind w:left="360" w:hanging="360"/>
        <w:rPr>
          <w:sz w:val="24"/>
          <w:szCs w:val="24"/>
        </w:rPr>
      </w:pPr>
    </w:p>
    <w:p w:rsidR="006734AD" w:rsidP="006734AD" w14:paraId="5B3762F4" w14:textId="77777777">
      <w:pPr>
        <w:keepLines/>
        <w:tabs>
          <w:tab w:val="left" w:pos="360"/>
        </w:tabs>
        <w:spacing w:before="240" w:after="80"/>
        <w:ind w:left="360" w:hanging="360"/>
        <w:rPr>
          <w:sz w:val="24"/>
          <w:szCs w:val="24"/>
        </w:rPr>
      </w:pPr>
      <w:r w:rsidRPr="006C7FAE">
        <w:rPr>
          <w:sz w:val="24"/>
          <w:szCs w:val="24"/>
        </w:rPr>
        <w:t>6.</w:t>
      </w:r>
      <w:r w:rsidRPr="006C7FAE">
        <w:rPr>
          <w:sz w:val="24"/>
          <w:szCs w:val="24"/>
        </w:rPr>
        <w:tab/>
      </w:r>
      <w:r w:rsidRPr="00FA492F">
        <w:rPr>
          <w:b/>
          <w:bCs/>
          <w:sz w:val="24"/>
          <w:szCs w:val="24"/>
        </w:rPr>
        <w:t xml:space="preserve">Describe the consequences </w:t>
      </w:r>
      <w:r w:rsidRPr="00FA492F">
        <w:rPr>
          <w:b/>
          <w:bCs/>
          <w:sz w:val="24"/>
          <w:szCs w:val="24"/>
        </w:rPr>
        <w:t>to</w:t>
      </w:r>
      <w:r w:rsidRPr="00FA492F">
        <w:rPr>
          <w:b/>
          <w:bCs/>
          <w:sz w:val="24"/>
          <w:szCs w:val="24"/>
        </w:rPr>
        <w:t xml:space="preserve"> Federal program or policy activities if the collection is not conducted or is conducted less frequently, as well as any technical or legal obstacles to reducing burden.</w:t>
      </w:r>
    </w:p>
    <w:p w:rsidR="006734AD" w:rsidP="006734AD" w14:paraId="76DC1E54" w14:textId="2AE39538">
      <w:pPr>
        <w:spacing w:before="240"/>
        <w:ind w:left="720"/>
        <w:rPr>
          <w:sz w:val="24"/>
          <w:szCs w:val="24"/>
        </w:rPr>
      </w:pPr>
      <w:r>
        <w:rPr>
          <w:sz w:val="24"/>
          <w:szCs w:val="24"/>
        </w:rPr>
        <w:t xml:space="preserve">If the collection is not </w:t>
      </w:r>
      <w:r w:rsidR="00804ECB">
        <w:rPr>
          <w:sz w:val="24"/>
          <w:szCs w:val="24"/>
        </w:rPr>
        <w:t>conducted and</w:t>
      </w:r>
      <w:r w:rsidR="00466FB3">
        <w:rPr>
          <w:sz w:val="24"/>
          <w:szCs w:val="24"/>
        </w:rPr>
        <w:t xml:space="preserve"> not done so in accordance with 2 CFR 200, </w:t>
      </w:r>
      <w:r>
        <w:rPr>
          <w:sz w:val="24"/>
          <w:szCs w:val="24"/>
        </w:rPr>
        <w:t>t</w:t>
      </w:r>
      <w:r w:rsidRPr="007607C8">
        <w:rPr>
          <w:sz w:val="24"/>
          <w:szCs w:val="24"/>
        </w:rPr>
        <w:t>he</w:t>
      </w:r>
      <w:r w:rsidR="00466FB3">
        <w:rPr>
          <w:sz w:val="24"/>
          <w:szCs w:val="24"/>
        </w:rPr>
        <w:t xml:space="preserve"> unintended </w:t>
      </w:r>
      <w:r>
        <w:rPr>
          <w:sz w:val="24"/>
          <w:szCs w:val="24"/>
        </w:rPr>
        <w:t xml:space="preserve">misuse of Congressionally appropriated federal dollars intended to improve public housing assets in receivership, designated troubled or substandard, or otherwise </w:t>
      </w:r>
      <w:r w:rsidR="00CE6D95">
        <w:rPr>
          <w:sz w:val="24"/>
          <w:szCs w:val="24"/>
        </w:rPr>
        <w:t xml:space="preserve">is probable. </w:t>
      </w:r>
      <w:r>
        <w:rPr>
          <w:sz w:val="24"/>
          <w:szCs w:val="24"/>
        </w:rPr>
        <w:t xml:space="preserve"> </w:t>
      </w:r>
    </w:p>
    <w:p w:rsidR="006734AD" w:rsidP="006734AD" w14:paraId="758467BC" w14:textId="77777777">
      <w:pPr>
        <w:keepLines/>
        <w:tabs>
          <w:tab w:val="left" w:pos="360"/>
          <w:tab w:val="left" w:pos="720"/>
        </w:tabs>
        <w:ind w:left="360"/>
        <w:rPr>
          <w:sz w:val="24"/>
          <w:szCs w:val="24"/>
        </w:rPr>
      </w:pPr>
    </w:p>
    <w:p w:rsidR="006765F4" w:rsidRPr="006C7FAE" w:rsidP="006734AD" w14:paraId="75112798" w14:textId="77777777">
      <w:pPr>
        <w:keepLines/>
        <w:tabs>
          <w:tab w:val="left" w:pos="360"/>
          <w:tab w:val="left" w:pos="720"/>
        </w:tabs>
        <w:ind w:left="360"/>
        <w:rPr>
          <w:sz w:val="24"/>
          <w:szCs w:val="24"/>
        </w:rPr>
      </w:pPr>
    </w:p>
    <w:p w:rsidR="006734AD" w:rsidRPr="00FA492F" w:rsidP="006734AD" w14:paraId="738C94CD" w14:textId="77777777">
      <w:pPr>
        <w:numPr>
          <w:ilvl w:val="0"/>
          <w:numId w:val="1"/>
        </w:numPr>
        <w:tabs>
          <w:tab w:val="left" w:pos="360"/>
        </w:tabs>
        <w:rPr>
          <w:b/>
          <w:bCs/>
          <w:sz w:val="24"/>
          <w:szCs w:val="24"/>
        </w:rPr>
      </w:pPr>
      <w:r w:rsidRPr="00FA492F">
        <w:rPr>
          <w:b/>
          <w:bCs/>
          <w:sz w:val="24"/>
          <w:szCs w:val="24"/>
        </w:rPr>
        <w:t>Explain any special circumstances that would cause an information collection to be conducted in a manner:</w:t>
      </w:r>
    </w:p>
    <w:p w:rsidR="006734AD" w:rsidRPr="006C7FAE" w:rsidP="006734AD" w14:paraId="73355FE6" w14:textId="77777777">
      <w:pPr>
        <w:tabs>
          <w:tab w:val="left" w:pos="360"/>
        </w:tabs>
        <w:ind w:left="360"/>
        <w:rPr>
          <w:sz w:val="24"/>
          <w:szCs w:val="24"/>
        </w:rPr>
      </w:pPr>
    </w:p>
    <w:p w:rsidR="006734AD" w:rsidRPr="006C7FAE" w:rsidP="006734AD" w14:paraId="61ACFC41" w14:textId="77777777">
      <w:pPr>
        <w:numPr>
          <w:ilvl w:val="0"/>
          <w:numId w:val="2"/>
        </w:numPr>
        <w:tabs>
          <w:tab w:val="left" w:pos="600"/>
        </w:tabs>
        <w:rPr>
          <w:sz w:val="24"/>
          <w:szCs w:val="24"/>
        </w:rPr>
      </w:pPr>
      <w:r w:rsidRPr="006C7FAE">
        <w:rPr>
          <w:sz w:val="24"/>
          <w:szCs w:val="24"/>
        </w:rPr>
        <w:t xml:space="preserve">requiring respondents to report information to the agency more than quarterly; </w:t>
      </w:r>
      <w:bookmarkStart w:id="2" w:name="_Hlk192765321"/>
      <w:r w:rsidRPr="00843B6D">
        <w:rPr>
          <w:b/>
          <w:bCs/>
          <w:sz w:val="24"/>
          <w:szCs w:val="24"/>
        </w:rPr>
        <w:t>Not Applicable</w:t>
      </w:r>
      <w:bookmarkEnd w:id="2"/>
    </w:p>
    <w:p w:rsidR="006734AD" w:rsidP="006734AD" w14:paraId="445633A3" w14:textId="77777777">
      <w:pPr>
        <w:tabs>
          <w:tab w:val="left" w:pos="600"/>
        </w:tabs>
        <w:ind w:left="684"/>
        <w:rPr>
          <w:sz w:val="24"/>
          <w:szCs w:val="24"/>
        </w:rPr>
      </w:pPr>
    </w:p>
    <w:p w:rsidR="006734AD" w:rsidRPr="00804ECB" w:rsidP="006734AD" w14:paraId="3A07CEE1" w14:textId="77777777">
      <w:pPr>
        <w:numPr>
          <w:ilvl w:val="0"/>
          <w:numId w:val="2"/>
        </w:numPr>
        <w:tabs>
          <w:tab w:val="left" w:pos="600"/>
        </w:tabs>
        <w:rPr>
          <w:sz w:val="24"/>
          <w:szCs w:val="24"/>
        </w:rPr>
      </w:pPr>
      <w:r w:rsidRPr="006C7FAE">
        <w:rPr>
          <w:sz w:val="24"/>
          <w:szCs w:val="24"/>
        </w:rPr>
        <w:t xml:space="preserve">requiring respondents to prepare a written response to a collection of information in fewer than 30 days after receipt of it; </w:t>
      </w:r>
      <w:r w:rsidRPr="00843B6D">
        <w:rPr>
          <w:b/>
          <w:bCs/>
          <w:sz w:val="24"/>
          <w:szCs w:val="24"/>
        </w:rPr>
        <w:t>Not Applicable</w:t>
      </w:r>
    </w:p>
    <w:p w:rsidR="00804ECB" w:rsidP="00804ECB" w14:paraId="4B688AFD" w14:textId="77777777">
      <w:pPr>
        <w:pStyle w:val="ListParagraph"/>
        <w:rPr>
          <w:sz w:val="24"/>
          <w:szCs w:val="24"/>
        </w:rPr>
      </w:pPr>
    </w:p>
    <w:p w:rsidR="006734AD" w:rsidP="006734AD" w14:paraId="688E38A9" w14:textId="77777777">
      <w:pPr>
        <w:numPr>
          <w:ilvl w:val="0"/>
          <w:numId w:val="2"/>
        </w:numPr>
        <w:tabs>
          <w:tab w:val="left" w:pos="600"/>
        </w:tabs>
        <w:rPr>
          <w:sz w:val="24"/>
          <w:szCs w:val="24"/>
        </w:rPr>
      </w:pPr>
      <w:r w:rsidRPr="006C7FAE">
        <w:rPr>
          <w:sz w:val="24"/>
          <w:szCs w:val="24"/>
        </w:rPr>
        <w:t xml:space="preserve">requiring respondents to submit more than an original and two copies of any document; </w:t>
      </w:r>
      <w:r w:rsidRPr="00843B6D">
        <w:rPr>
          <w:b/>
          <w:bCs/>
          <w:sz w:val="24"/>
          <w:szCs w:val="24"/>
        </w:rPr>
        <w:t>Not Applicable</w:t>
      </w:r>
    </w:p>
    <w:p w:rsidR="006734AD" w:rsidP="006734AD" w14:paraId="3320A41B" w14:textId="77777777">
      <w:pPr>
        <w:pStyle w:val="ListParagraph"/>
        <w:rPr>
          <w:sz w:val="24"/>
          <w:szCs w:val="24"/>
        </w:rPr>
      </w:pPr>
    </w:p>
    <w:p w:rsidR="006734AD" w:rsidRPr="006C7FAE" w:rsidP="006734AD" w14:paraId="06446B31" w14:textId="77777777">
      <w:pPr>
        <w:numPr>
          <w:ilvl w:val="0"/>
          <w:numId w:val="2"/>
        </w:numPr>
        <w:tabs>
          <w:tab w:val="left" w:pos="600"/>
        </w:tabs>
        <w:rPr>
          <w:sz w:val="24"/>
          <w:szCs w:val="24"/>
        </w:rPr>
      </w:pPr>
      <w:r w:rsidRPr="006C7FAE">
        <w:rPr>
          <w:sz w:val="24"/>
          <w:szCs w:val="24"/>
        </w:rPr>
        <w:t xml:space="preserve">requiring respondents to retain records other than health, medical, government contract, grant-in-aid, or tax records for more than three years; </w:t>
      </w:r>
      <w:r w:rsidRPr="00843B6D">
        <w:rPr>
          <w:b/>
          <w:bCs/>
          <w:sz w:val="24"/>
          <w:szCs w:val="24"/>
        </w:rPr>
        <w:t>Not Applicable</w:t>
      </w:r>
    </w:p>
    <w:p w:rsidR="006734AD" w:rsidP="006734AD" w14:paraId="09D0DFF1" w14:textId="77777777">
      <w:pPr>
        <w:pStyle w:val="ListParagraph"/>
        <w:rPr>
          <w:sz w:val="24"/>
          <w:szCs w:val="24"/>
        </w:rPr>
      </w:pPr>
    </w:p>
    <w:p w:rsidR="006734AD" w:rsidRPr="00921E33" w:rsidP="006734AD" w14:paraId="2D2BC950" w14:textId="77777777">
      <w:pPr>
        <w:numPr>
          <w:ilvl w:val="0"/>
          <w:numId w:val="2"/>
        </w:numPr>
        <w:tabs>
          <w:tab w:val="left" w:pos="600"/>
        </w:tabs>
        <w:rPr>
          <w:sz w:val="24"/>
          <w:szCs w:val="24"/>
        </w:rPr>
      </w:pPr>
      <w:r w:rsidRPr="006C7FAE">
        <w:rPr>
          <w:sz w:val="24"/>
          <w:szCs w:val="24"/>
        </w:rPr>
        <w:t xml:space="preserve">in connection with a statistical survey that is not designed to produce valid and reliable results than can be generalized to the universe of study; </w:t>
      </w:r>
      <w:r w:rsidRPr="00843B6D">
        <w:rPr>
          <w:b/>
          <w:bCs/>
          <w:sz w:val="24"/>
          <w:szCs w:val="24"/>
        </w:rPr>
        <w:t>Not Applicable</w:t>
      </w:r>
    </w:p>
    <w:p w:rsidR="006734AD" w:rsidP="006734AD" w14:paraId="03D6D4B6" w14:textId="77777777">
      <w:pPr>
        <w:pStyle w:val="ListParagraph"/>
        <w:rPr>
          <w:sz w:val="24"/>
          <w:szCs w:val="24"/>
        </w:rPr>
      </w:pPr>
    </w:p>
    <w:p w:rsidR="006734AD" w:rsidP="006734AD" w14:paraId="63AB0B01" w14:textId="77777777">
      <w:pPr>
        <w:numPr>
          <w:ilvl w:val="0"/>
          <w:numId w:val="2"/>
        </w:numPr>
        <w:tabs>
          <w:tab w:val="left" w:pos="600"/>
        </w:tabs>
        <w:rPr>
          <w:sz w:val="24"/>
          <w:szCs w:val="24"/>
        </w:rPr>
      </w:pPr>
      <w:r w:rsidRPr="006C7FAE">
        <w:rPr>
          <w:sz w:val="24"/>
          <w:szCs w:val="24"/>
        </w:rPr>
        <w:t>requiring the use of a statistical data classification that has not been reviewed and approved by OMB;</w:t>
      </w:r>
      <w:r w:rsidRPr="00843B6D">
        <w:rPr>
          <w:b/>
          <w:bCs/>
          <w:sz w:val="24"/>
          <w:szCs w:val="24"/>
        </w:rPr>
        <w:t xml:space="preserve"> Not Applicable</w:t>
      </w:r>
    </w:p>
    <w:p w:rsidR="006734AD" w:rsidP="006734AD" w14:paraId="33D20ABE" w14:textId="77777777">
      <w:pPr>
        <w:pStyle w:val="ListParagraph"/>
        <w:rPr>
          <w:sz w:val="24"/>
          <w:szCs w:val="24"/>
        </w:rPr>
      </w:pPr>
    </w:p>
    <w:p w:rsidR="006734AD" w:rsidRPr="006C7FAE" w:rsidP="006734AD" w14:paraId="1BF2EBA6" w14:textId="76A3BE1F">
      <w:pPr>
        <w:numPr>
          <w:ilvl w:val="0"/>
          <w:numId w:val="2"/>
        </w:numPr>
        <w:tabs>
          <w:tab w:val="left" w:pos="600"/>
        </w:tabs>
        <w:rPr>
          <w:sz w:val="24"/>
          <w:szCs w:val="24"/>
        </w:rPr>
      </w:pPr>
      <w:r w:rsidRPr="006C7FAE">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r w:rsidRPr="008913F5" w:rsidR="008913F5">
        <w:rPr>
          <w:b/>
          <w:bCs/>
          <w:sz w:val="24"/>
          <w:szCs w:val="24"/>
        </w:rPr>
        <w:t>Not Applicable</w:t>
      </w:r>
      <w:r w:rsidR="008913F5">
        <w:rPr>
          <w:sz w:val="24"/>
          <w:szCs w:val="24"/>
        </w:rPr>
        <w:t xml:space="preserve"> </w:t>
      </w:r>
      <w:r w:rsidRPr="006C7FAE">
        <w:rPr>
          <w:sz w:val="24"/>
          <w:szCs w:val="24"/>
        </w:rPr>
        <w:t xml:space="preserve">or </w:t>
      </w:r>
    </w:p>
    <w:p w:rsidR="006734AD" w:rsidP="006734AD" w14:paraId="514703DD" w14:textId="77777777">
      <w:pPr>
        <w:pStyle w:val="ListParagraph"/>
        <w:rPr>
          <w:sz w:val="24"/>
          <w:szCs w:val="24"/>
        </w:rPr>
      </w:pPr>
    </w:p>
    <w:p w:rsidR="006734AD" w:rsidRPr="006C7FAE" w:rsidP="006734AD" w14:paraId="2C6C16D8" w14:textId="77777777">
      <w:pPr>
        <w:keepLines/>
        <w:numPr>
          <w:ilvl w:val="0"/>
          <w:numId w:val="2"/>
        </w:numPr>
        <w:tabs>
          <w:tab w:val="left" w:pos="600"/>
        </w:tabs>
        <w:spacing w:after="80"/>
        <w:rPr>
          <w:sz w:val="24"/>
          <w:szCs w:val="24"/>
        </w:rPr>
      </w:pPr>
      <w:r w:rsidRPr="006C7FAE">
        <w:rPr>
          <w:sz w:val="24"/>
          <w:szCs w:val="24"/>
        </w:rPr>
        <w:t>requiring respondents to submit proprietary trade secrets, or other confidential information unless the agency can demonstrate that it has instituted procedures to protect the information</w:t>
      </w:r>
      <w:r>
        <w:rPr>
          <w:sz w:val="24"/>
          <w:szCs w:val="24"/>
        </w:rPr>
        <w:t>’</w:t>
      </w:r>
      <w:r w:rsidRPr="006C7FAE">
        <w:rPr>
          <w:sz w:val="24"/>
          <w:szCs w:val="24"/>
        </w:rPr>
        <w:t>s confidentiality to the extent permitted by law.</w:t>
      </w:r>
      <w:r w:rsidRPr="00843B6D">
        <w:rPr>
          <w:b/>
          <w:bCs/>
          <w:sz w:val="24"/>
          <w:szCs w:val="24"/>
        </w:rPr>
        <w:t xml:space="preserve"> Not Applicable</w:t>
      </w:r>
    </w:p>
    <w:p w:rsidR="006734AD" w:rsidP="006734AD" w14:paraId="49B522FA" w14:textId="77777777">
      <w:pPr>
        <w:pStyle w:val="ListParagraph"/>
        <w:rPr>
          <w:sz w:val="24"/>
          <w:szCs w:val="24"/>
        </w:rPr>
      </w:pPr>
    </w:p>
    <w:p w:rsidR="006734AD" w:rsidRPr="00FA492F" w:rsidP="006734AD" w14:paraId="6B2ECC1C" w14:textId="77777777">
      <w:pPr>
        <w:numPr>
          <w:ilvl w:val="0"/>
          <w:numId w:val="1"/>
        </w:numPr>
        <w:tabs>
          <w:tab w:val="left" w:pos="360"/>
        </w:tabs>
        <w:rPr>
          <w:b/>
          <w:bCs/>
          <w:sz w:val="24"/>
          <w:szCs w:val="24"/>
        </w:rPr>
      </w:pPr>
      <w:r w:rsidRPr="00FA492F">
        <w:rPr>
          <w:b/>
          <w:bCs/>
          <w:sz w:val="24"/>
          <w:szCs w:val="24"/>
        </w:rPr>
        <w:t>If applicable, provide a copy and identify the date and page number of publications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734AD" w:rsidRPr="004F38BF" w:rsidP="006734AD" w14:paraId="7D592ED3" w14:textId="77777777">
      <w:pPr>
        <w:tabs>
          <w:tab w:val="left" w:pos="360"/>
        </w:tabs>
        <w:rPr>
          <w:sz w:val="24"/>
          <w:szCs w:val="24"/>
        </w:rPr>
      </w:pPr>
    </w:p>
    <w:p w:rsidR="006734AD" w:rsidRPr="00B4711B" w:rsidP="00EB4391" w14:paraId="2FA99219" w14:textId="6EFD21FB">
      <w:pPr>
        <w:tabs>
          <w:tab w:val="left" w:pos="360"/>
        </w:tabs>
        <w:ind w:left="720"/>
        <w:rPr>
          <w:sz w:val="24"/>
          <w:szCs w:val="24"/>
        </w:rPr>
      </w:pPr>
      <w:r>
        <w:rPr>
          <w:sz w:val="24"/>
          <w:szCs w:val="24"/>
        </w:rPr>
        <w:t>In accordance with 5 CFR 1320.8</w:t>
      </w:r>
      <w:r w:rsidR="005B14D1">
        <w:rPr>
          <w:sz w:val="24"/>
          <w:szCs w:val="24"/>
        </w:rPr>
        <w:t xml:space="preserve">(d), the agency’s notice announcing this collection of information </w:t>
      </w:r>
      <w:r w:rsidR="00B218BD">
        <w:rPr>
          <w:sz w:val="24"/>
          <w:szCs w:val="24"/>
        </w:rPr>
        <w:t xml:space="preserve">appeared in the Federal Register on </w:t>
      </w:r>
      <w:r w:rsidR="00396182">
        <w:rPr>
          <w:sz w:val="24"/>
          <w:szCs w:val="24"/>
        </w:rPr>
        <w:t>June 26, 2025</w:t>
      </w:r>
      <w:r w:rsidR="00B218BD">
        <w:rPr>
          <w:sz w:val="24"/>
          <w:szCs w:val="24"/>
        </w:rPr>
        <w:t xml:space="preserve">, (Volume </w:t>
      </w:r>
      <w:r w:rsidR="00396182">
        <w:rPr>
          <w:sz w:val="24"/>
          <w:szCs w:val="24"/>
        </w:rPr>
        <w:t>90</w:t>
      </w:r>
      <w:r w:rsidR="00B218BD">
        <w:rPr>
          <w:sz w:val="24"/>
          <w:szCs w:val="24"/>
        </w:rPr>
        <w:t xml:space="preserve">, No </w:t>
      </w:r>
      <w:r w:rsidR="00396182">
        <w:rPr>
          <w:sz w:val="24"/>
          <w:szCs w:val="24"/>
        </w:rPr>
        <w:t>121</w:t>
      </w:r>
      <w:r w:rsidR="00B218BD">
        <w:rPr>
          <w:sz w:val="24"/>
          <w:szCs w:val="24"/>
        </w:rPr>
        <w:t xml:space="preserve">, page </w:t>
      </w:r>
      <w:r w:rsidR="00396182">
        <w:rPr>
          <w:sz w:val="24"/>
          <w:szCs w:val="24"/>
        </w:rPr>
        <w:t>27333</w:t>
      </w:r>
      <w:r w:rsidR="000B7671">
        <w:rPr>
          <w:sz w:val="24"/>
          <w:szCs w:val="24"/>
        </w:rPr>
        <w:t>). The p</w:t>
      </w:r>
      <w:r w:rsidR="00753F3C">
        <w:rPr>
          <w:sz w:val="24"/>
          <w:szCs w:val="24"/>
        </w:rPr>
        <w:t xml:space="preserve">ublic was given until </w:t>
      </w:r>
      <w:r w:rsidR="00396182">
        <w:rPr>
          <w:sz w:val="24"/>
          <w:szCs w:val="24"/>
        </w:rPr>
        <w:t>August 25, 2025,</w:t>
      </w:r>
      <w:r w:rsidR="00753F3C">
        <w:rPr>
          <w:sz w:val="24"/>
          <w:szCs w:val="24"/>
        </w:rPr>
        <w:t xml:space="preserve"> to submit comments on the proposed information. </w:t>
      </w:r>
      <w:r w:rsidRPr="00396D58" w:rsidR="00396D58">
        <w:rPr>
          <w:sz w:val="24"/>
          <w:szCs w:val="24"/>
        </w:rPr>
        <w:t>no</w:t>
      </w:r>
      <w:r w:rsidRPr="00396182" w:rsidR="00EB4391">
        <w:rPr>
          <w:b/>
          <w:bCs/>
          <w:sz w:val="24"/>
          <w:szCs w:val="24"/>
        </w:rPr>
        <w:t xml:space="preserve"> </w:t>
      </w:r>
      <w:r w:rsidR="00396D58">
        <w:rPr>
          <w:sz w:val="24"/>
          <w:szCs w:val="24"/>
        </w:rPr>
        <w:t>c</w:t>
      </w:r>
      <w:r w:rsidR="00EB4391">
        <w:rPr>
          <w:sz w:val="24"/>
          <w:szCs w:val="24"/>
        </w:rPr>
        <w:t>omment</w:t>
      </w:r>
      <w:r w:rsidR="00884A77">
        <w:rPr>
          <w:sz w:val="24"/>
          <w:szCs w:val="24"/>
        </w:rPr>
        <w:t>(</w:t>
      </w:r>
      <w:r w:rsidR="00EB4391">
        <w:rPr>
          <w:sz w:val="24"/>
          <w:szCs w:val="24"/>
        </w:rPr>
        <w:t>s</w:t>
      </w:r>
      <w:r w:rsidR="00884A77">
        <w:rPr>
          <w:sz w:val="24"/>
          <w:szCs w:val="24"/>
        </w:rPr>
        <w:t>)</w:t>
      </w:r>
      <w:r w:rsidR="00EB4391">
        <w:rPr>
          <w:sz w:val="24"/>
          <w:szCs w:val="24"/>
        </w:rPr>
        <w:t xml:space="preserve"> were received. </w:t>
      </w:r>
    </w:p>
    <w:p w:rsidR="006734AD" w:rsidRPr="006C7FAE" w:rsidP="006734AD" w14:paraId="175691C4" w14:textId="77777777">
      <w:pPr>
        <w:tabs>
          <w:tab w:val="left" w:pos="360"/>
        </w:tabs>
        <w:ind w:left="360"/>
        <w:rPr>
          <w:sz w:val="24"/>
          <w:szCs w:val="24"/>
        </w:rPr>
      </w:pPr>
      <w:r w:rsidRPr="006C7FAE">
        <w:rPr>
          <w:sz w:val="24"/>
          <w:szCs w:val="24"/>
        </w:rPr>
        <w:t xml:space="preserve"> </w:t>
      </w:r>
    </w:p>
    <w:p w:rsidR="006734AD" w:rsidP="00254B23" w14:paraId="6F22C705" w14:textId="77777777">
      <w:pPr>
        <w:pStyle w:val="ListParagraph"/>
        <w:keepLines/>
        <w:numPr>
          <w:ilvl w:val="0"/>
          <w:numId w:val="1"/>
        </w:numPr>
        <w:tabs>
          <w:tab w:val="left" w:pos="360"/>
        </w:tabs>
        <w:spacing w:after="80" w:line="276" w:lineRule="auto"/>
        <w:contextualSpacing w:val="0"/>
        <w:rPr>
          <w:b/>
          <w:bCs/>
          <w:sz w:val="24"/>
          <w:szCs w:val="24"/>
        </w:rPr>
      </w:pPr>
      <w:r w:rsidRPr="00254B23">
        <w:rPr>
          <w:b/>
          <w:bCs/>
          <w:sz w:val="24"/>
          <w:szCs w:val="24"/>
        </w:rPr>
        <w:t>Explain any decision to provide any payment or gift to respondents, other than renumeration of contractors or grantees.</w:t>
      </w:r>
    </w:p>
    <w:p w:rsidR="006734AD" w:rsidP="00703DDE" w14:paraId="2439FB36" w14:textId="6BB9763B">
      <w:pPr>
        <w:pStyle w:val="ListParagraph"/>
        <w:keepLines/>
        <w:tabs>
          <w:tab w:val="left" w:pos="360"/>
        </w:tabs>
        <w:spacing w:after="80"/>
        <w:contextualSpacing w:val="0"/>
        <w:rPr>
          <w:sz w:val="24"/>
          <w:szCs w:val="24"/>
        </w:rPr>
      </w:pPr>
      <w:r>
        <w:rPr>
          <w:sz w:val="24"/>
          <w:szCs w:val="24"/>
        </w:rPr>
        <w:t>No payment or gift is provided to respondents.</w:t>
      </w:r>
    </w:p>
    <w:p w:rsidR="006734AD" w:rsidRPr="006C7FAE" w:rsidP="006734AD" w14:paraId="5F670BC6" w14:textId="77777777">
      <w:pPr>
        <w:tabs>
          <w:tab w:val="left" w:pos="360"/>
        </w:tabs>
        <w:rPr>
          <w:sz w:val="24"/>
          <w:szCs w:val="24"/>
        </w:rPr>
      </w:pPr>
    </w:p>
    <w:p w:rsidR="006734AD" w:rsidRPr="00703DDE" w:rsidP="006734AD" w14:paraId="0F3B9DDF" w14:textId="77777777">
      <w:pPr>
        <w:pStyle w:val="ListParagraph"/>
        <w:keepLines/>
        <w:numPr>
          <w:ilvl w:val="0"/>
          <w:numId w:val="1"/>
        </w:numPr>
        <w:tabs>
          <w:tab w:val="left" w:pos="360"/>
        </w:tabs>
        <w:spacing w:after="80"/>
        <w:contextualSpacing w:val="0"/>
        <w:rPr>
          <w:b/>
          <w:bCs/>
          <w:sz w:val="24"/>
          <w:szCs w:val="24"/>
        </w:rPr>
      </w:pPr>
      <w:r w:rsidRPr="00703DDE">
        <w:rPr>
          <w:b/>
          <w:bCs/>
          <w:sz w:val="24"/>
          <w:szCs w:val="24"/>
        </w:rPr>
        <w:t>Describe any assurance of confidentiality provided to respondents and the basis for assurance in statute, regulation or agency policy.</w:t>
      </w:r>
      <w:r w:rsidRPr="00703DDE">
        <w:rPr>
          <w:b/>
          <w:bCs/>
        </w:rPr>
        <w:t xml:space="preserve"> </w:t>
      </w:r>
      <w:r w:rsidRPr="00703DDE">
        <w:rPr>
          <w:b/>
          <w:bCs/>
          <w:sz w:val="24"/>
          <w:szCs w:val="24"/>
        </w:rPr>
        <w:t>If the collection requires a system of records notice (SORN) or privacy impact assessment (PIA), those should be cited and described here.</w:t>
      </w:r>
    </w:p>
    <w:p w:rsidR="006734AD" w:rsidP="006734AD" w14:paraId="7D243FE9" w14:textId="77777777">
      <w:pPr>
        <w:pStyle w:val="ListParagraph"/>
        <w:keepLines/>
        <w:tabs>
          <w:tab w:val="left" w:pos="360"/>
        </w:tabs>
        <w:spacing w:after="80"/>
        <w:ind w:left="360"/>
        <w:rPr>
          <w:sz w:val="24"/>
          <w:szCs w:val="24"/>
        </w:rPr>
      </w:pPr>
    </w:p>
    <w:p w:rsidR="006734AD" w:rsidP="006734AD" w14:paraId="72B4CDEB" w14:textId="0FBFDDFA">
      <w:pPr>
        <w:pStyle w:val="ListParagraph"/>
        <w:keepLines/>
        <w:tabs>
          <w:tab w:val="left" w:pos="360"/>
        </w:tabs>
        <w:spacing w:after="80"/>
        <w:rPr>
          <w:sz w:val="24"/>
          <w:szCs w:val="24"/>
        </w:rPr>
      </w:pPr>
      <w:r>
        <w:rPr>
          <w:sz w:val="24"/>
          <w:szCs w:val="24"/>
        </w:rPr>
        <w:t xml:space="preserve">PHAs may be required </w:t>
      </w:r>
      <w:r w:rsidR="0012568B">
        <w:rPr>
          <w:sz w:val="24"/>
          <w:szCs w:val="24"/>
        </w:rPr>
        <w:t xml:space="preserve">to </w:t>
      </w:r>
      <w:r w:rsidR="004C603F">
        <w:rPr>
          <w:sz w:val="24"/>
          <w:szCs w:val="24"/>
        </w:rPr>
        <w:t>provide</w:t>
      </w:r>
      <w:r w:rsidR="0012568B">
        <w:rPr>
          <w:sz w:val="24"/>
          <w:szCs w:val="24"/>
        </w:rPr>
        <w:t xml:space="preserve"> vouchers to relocate affected tenants during the repair of units. </w:t>
      </w:r>
      <w:r w:rsidR="004C603F">
        <w:rPr>
          <w:sz w:val="24"/>
          <w:szCs w:val="24"/>
        </w:rPr>
        <w:t xml:space="preserve">Most PHAs use an internal software system to track and monitor relocation efforts. </w:t>
      </w:r>
      <w:r w:rsidRPr="00486171" w:rsidR="0027533D">
        <w:rPr>
          <w:sz w:val="24"/>
          <w:szCs w:val="24"/>
        </w:rPr>
        <w:t xml:space="preserve">This information </w:t>
      </w:r>
      <w:r w:rsidRPr="00486171" w:rsidR="00617EEB">
        <w:rPr>
          <w:sz w:val="24"/>
          <w:szCs w:val="24"/>
        </w:rPr>
        <w:t>collection,</w:t>
      </w:r>
      <w:r w:rsidR="004C603F">
        <w:rPr>
          <w:sz w:val="24"/>
          <w:szCs w:val="24"/>
        </w:rPr>
        <w:t xml:space="preserve"> however, </w:t>
      </w:r>
      <w:r w:rsidRPr="00486171" w:rsidR="0027533D">
        <w:rPr>
          <w:b/>
          <w:bCs/>
          <w:sz w:val="24"/>
          <w:szCs w:val="24"/>
        </w:rPr>
        <w:t>does not</w:t>
      </w:r>
      <w:r w:rsidRPr="00486171" w:rsidR="0027533D">
        <w:rPr>
          <w:sz w:val="24"/>
          <w:szCs w:val="24"/>
        </w:rPr>
        <w:t xml:space="preserve"> collect individual or personal information</w:t>
      </w:r>
      <w:r w:rsidRPr="00486171" w:rsidR="00B35E96">
        <w:rPr>
          <w:sz w:val="24"/>
          <w:szCs w:val="24"/>
        </w:rPr>
        <w:t>;</w:t>
      </w:r>
      <w:r w:rsidRPr="00486171" w:rsidR="00010EAC">
        <w:rPr>
          <w:sz w:val="24"/>
          <w:szCs w:val="24"/>
        </w:rPr>
        <w:t xml:space="preserve"> therefore, it </w:t>
      </w:r>
      <w:r w:rsidRPr="00486171" w:rsidR="00084865">
        <w:rPr>
          <w:sz w:val="24"/>
          <w:szCs w:val="24"/>
        </w:rPr>
        <w:t>does not require a system of records</w:t>
      </w:r>
      <w:r w:rsidRPr="00486171" w:rsidR="00010EAC">
        <w:rPr>
          <w:sz w:val="24"/>
          <w:szCs w:val="24"/>
        </w:rPr>
        <w:t xml:space="preserve"> notice or privacy impact assessment.</w:t>
      </w:r>
      <w:r w:rsidR="00010EAC">
        <w:rPr>
          <w:sz w:val="24"/>
          <w:szCs w:val="24"/>
        </w:rPr>
        <w:t xml:space="preserve"> </w:t>
      </w:r>
      <w:r w:rsidR="0027533D">
        <w:rPr>
          <w:sz w:val="24"/>
          <w:szCs w:val="24"/>
        </w:rPr>
        <w:t xml:space="preserve"> </w:t>
      </w:r>
      <w:r w:rsidR="00F06313">
        <w:rPr>
          <w:sz w:val="24"/>
          <w:szCs w:val="24"/>
        </w:rPr>
        <w:t xml:space="preserve"> </w:t>
      </w:r>
    </w:p>
    <w:p w:rsidR="00486171" w:rsidP="006734AD" w14:paraId="76F50137" w14:textId="77777777">
      <w:pPr>
        <w:pStyle w:val="ListParagraph"/>
        <w:keepLines/>
        <w:tabs>
          <w:tab w:val="left" w:pos="360"/>
        </w:tabs>
        <w:spacing w:after="80"/>
        <w:rPr>
          <w:sz w:val="24"/>
          <w:szCs w:val="24"/>
        </w:rPr>
      </w:pPr>
    </w:p>
    <w:p w:rsidR="00BD2C8B" w:rsidP="006734AD" w14:paraId="2E63A014" w14:textId="77777777">
      <w:pPr>
        <w:pStyle w:val="ListParagraph"/>
        <w:keepLines/>
        <w:tabs>
          <w:tab w:val="left" w:pos="360"/>
        </w:tabs>
        <w:spacing w:after="80"/>
        <w:rPr>
          <w:sz w:val="24"/>
          <w:szCs w:val="24"/>
        </w:rPr>
      </w:pPr>
    </w:p>
    <w:p w:rsidR="006734AD" w:rsidRPr="00703DDE" w:rsidP="006734AD" w14:paraId="21F0CB38" w14:textId="4BB77076">
      <w:pPr>
        <w:pStyle w:val="ListParagraph"/>
        <w:keepLines/>
        <w:numPr>
          <w:ilvl w:val="0"/>
          <w:numId w:val="1"/>
        </w:numPr>
        <w:tabs>
          <w:tab w:val="left" w:pos="360"/>
        </w:tabs>
        <w:spacing w:after="80"/>
        <w:contextualSpacing w:val="0"/>
        <w:rPr>
          <w:b/>
          <w:bCs/>
          <w:sz w:val="24"/>
          <w:szCs w:val="24"/>
        </w:rPr>
      </w:pPr>
      <w:r w:rsidRPr="00703DDE">
        <w:rPr>
          <w:b/>
          <w:bCs/>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703DDE">
        <w:rPr>
          <w:b/>
          <w:bCs/>
          <w:sz w:val="24"/>
          <w:szCs w:val="24"/>
        </w:rPr>
        <w:t>persons</w:t>
      </w:r>
      <w:r w:rsidRPr="00703DDE">
        <w:rPr>
          <w:b/>
          <w:bCs/>
          <w:sz w:val="24"/>
          <w:szCs w:val="24"/>
        </w:rPr>
        <w:t xml:space="preserve"> from whom the information is requested, and any steps to be taken to obtain their consent.</w:t>
      </w:r>
    </w:p>
    <w:p w:rsidR="006734AD" w:rsidRPr="00B66662" w:rsidP="006734AD" w14:paraId="2DB0F8EA" w14:textId="77777777">
      <w:pPr>
        <w:pStyle w:val="ListParagraph"/>
        <w:keepLines/>
        <w:tabs>
          <w:tab w:val="left" w:pos="360"/>
        </w:tabs>
        <w:spacing w:after="80"/>
        <w:ind w:left="360"/>
        <w:rPr>
          <w:sz w:val="24"/>
          <w:szCs w:val="24"/>
        </w:rPr>
      </w:pPr>
    </w:p>
    <w:p w:rsidR="006734AD" w:rsidRPr="007607C8" w:rsidP="006734AD" w14:paraId="7949ED1D" w14:textId="77777777">
      <w:pPr>
        <w:spacing w:after="240" w:line="276" w:lineRule="auto"/>
        <w:ind w:left="720"/>
        <w:rPr>
          <w:color w:val="000000"/>
          <w:sz w:val="24"/>
          <w:szCs w:val="24"/>
        </w:rPr>
      </w:pPr>
      <w:r w:rsidRPr="007607C8">
        <w:rPr>
          <w:sz w:val="24"/>
          <w:szCs w:val="24"/>
        </w:rPr>
        <w:t xml:space="preserve">No sensitive questions are asked.  </w:t>
      </w:r>
    </w:p>
    <w:p w:rsidR="006734AD" w:rsidP="006734AD" w14:paraId="241A7603" w14:textId="77777777">
      <w:pPr>
        <w:tabs>
          <w:tab w:val="left" w:pos="360"/>
        </w:tabs>
        <w:ind w:left="360" w:hanging="360"/>
        <w:rPr>
          <w:sz w:val="24"/>
          <w:szCs w:val="24"/>
        </w:rPr>
      </w:pPr>
      <w:r w:rsidRPr="006C7FAE">
        <w:rPr>
          <w:sz w:val="24"/>
          <w:szCs w:val="24"/>
        </w:rPr>
        <w:t>12.</w:t>
      </w:r>
      <w:r w:rsidRPr="006C7FAE">
        <w:rPr>
          <w:sz w:val="24"/>
          <w:szCs w:val="24"/>
        </w:rPr>
        <w:tab/>
      </w:r>
      <w:r w:rsidRPr="00703DDE">
        <w:rPr>
          <w:b/>
          <w:bCs/>
          <w:sz w:val="24"/>
          <w:szCs w:val="24"/>
        </w:rPr>
        <w:t>Provide estimates of the hour burden of the collection of information.  The statement should:</w:t>
      </w:r>
    </w:p>
    <w:p w:rsidR="006734AD" w:rsidRPr="006C7FAE" w:rsidP="006734AD" w14:paraId="262E09F6" w14:textId="77777777">
      <w:pPr>
        <w:tabs>
          <w:tab w:val="left" w:pos="360"/>
        </w:tabs>
        <w:ind w:left="360" w:hanging="360"/>
        <w:rPr>
          <w:sz w:val="24"/>
          <w:szCs w:val="24"/>
        </w:rPr>
      </w:pPr>
      <w:r w:rsidRPr="006C7FAE">
        <w:rPr>
          <w:sz w:val="24"/>
          <w:szCs w:val="24"/>
        </w:rPr>
        <w:t xml:space="preserve"> </w:t>
      </w:r>
    </w:p>
    <w:p w:rsidR="006734AD" w:rsidP="006734AD" w14:paraId="4F40F709" w14:textId="77777777">
      <w:pPr>
        <w:numPr>
          <w:ilvl w:val="0"/>
          <w:numId w:val="2"/>
        </w:numPr>
        <w:tabs>
          <w:tab w:val="left" w:pos="480"/>
        </w:tabs>
        <w:ind w:left="480"/>
        <w:rPr>
          <w:sz w:val="24"/>
          <w:szCs w:val="24"/>
        </w:rPr>
      </w:pPr>
      <w:r>
        <w:rPr>
          <w:sz w:val="24"/>
          <w:szCs w:val="24"/>
        </w:rPr>
        <w:t>I</w:t>
      </w:r>
      <w:r w:rsidRPr="006C7FAE">
        <w:rPr>
          <w:sz w:val="24"/>
          <w:szCs w:val="24"/>
        </w:rPr>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w:t>
      </w:r>
      <w:r w:rsidRPr="006C7FAE">
        <w:rPr>
          <w:sz w:val="24"/>
          <w:szCs w:val="24"/>
        </w:rPr>
        <w:t>practices;</w:t>
      </w:r>
      <w:r w:rsidRPr="006C7FAE">
        <w:rPr>
          <w:sz w:val="24"/>
          <w:szCs w:val="24"/>
        </w:rPr>
        <w:t xml:space="preserve"> </w:t>
      </w:r>
    </w:p>
    <w:p w:rsidR="006734AD" w:rsidRPr="006C7FAE" w:rsidP="006734AD" w14:paraId="0A51F7DA" w14:textId="77777777">
      <w:pPr>
        <w:tabs>
          <w:tab w:val="left" w:pos="480"/>
        </w:tabs>
        <w:ind w:left="480"/>
        <w:rPr>
          <w:sz w:val="24"/>
          <w:szCs w:val="24"/>
        </w:rPr>
      </w:pPr>
    </w:p>
    <w:p w:rsidR="006734AD" w:rsidP="006734AD" w14:paraId="059E2909" w14:textId="48A9CE81">
      <w:pPr>
        <w:numPr>
          <w:ilvl w:val="0"/>
          <w:numId w:val="2"/>
        </w:numPr>
        <w:tabs>
          <w:tab w:val="left" w:pos="480"/>
        </w:tabs>
        <w:ind w:left="480"/>
        <w:rPr>
          <w:sz w:val="24"/>
          <w:szCs w:val="24"/>
        </w:rPr>
      </w:pPr>
      <w:r>
        <w:rPr>
          <w:sz w:val="24"/>
          <w:szCs w:val="24"/>
        </w:rPr>
        <w:t>I</w:t>
      </w:r>
      <w:r w:rsidRPr="006C7FAE">
        <w:rPr>
          <w:sz w:val="24"/>
          <w:szCs w:val="24"/>
        </w:rPr>
        <w:t xml:space="preserve">f this request covers more than one form, provide separate hour burden estimates for each form and aggregate the hour burdens in </w:t>
      </w:r>
      <w:r w:rsidR="00D601BF">
        <w:rPr>
          <w:sz w:val="24"/>
          <w:szCs w:val="24"/>
        </w:rPr>
        <w:t>the chart</w:t>
      </w:r>
      <w:r>
        <w:rPr>
          <w:sz w:val="24"/>
          <w:szCs w:val="24"/>
        </w:rPr>
        <w:t xml:space="preserve"> below</w:t>
      </w:r>
      <w:r w:rsidRPr="006C7FAE">
        <w:rPr>
          <w:sz w:val="24"/>
          <w:szCs w:val="24"/>
        </w:rPr>
        <w:t xml:space="preserve">; and </w:t>
      </w:r>
    </w:p>
    <w:p w:rsidR="00A2171F" w:rsidP="00A2171F" w14:paraId="7340EB68" w14:textId="77777777">
      <w:pPr>
        <w:pStyle w:val="ListParagraph"/>
        <w:rPr>
          <w:sz w:val="24"/>
          <w:szCs w:val="24"/>
        </w:rPr>
      </w:pPr>
    </w:p>
    <w:p w:rsidR="006734AD" w:rsidP="006734AD" w14:paraId="1F98F2A6" w14:textId="77777777">
      <w:pPr>
        <w:keepLines/>
        <w:numPr>
          <w:ilvl w:val="0"/>
          <w:numId w:val="2"/>
        </w:numPr>
        <w:tabs>
          <w:tab w:val="left" w:pos="480"/>
        </w:tabs>
        <w:spacing w:after="80"/>
        <w:ind w:left="480"/>
        <w:rPr>
          <w:sz w:val="24"/>
          <w:szCs w:val="24"/>
        </w:rPr>
      </w:pPr>
      <w:r>
        <w:rPr>
          <w:sz w:val="24"/>
          <w:szCs w:val="24"/>
        </w:rPr>
        <w:t>P</w:t>
      </w:r>
      <w:r w:rsidRPr="006C7FAE">
        <w:rPr>
          <w:sz w:val="24"/>
          <w:szCs w:val="24"/>
        </w:rPr>
        <w:t>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D0505E" w:rsidP="00F87D5C" w14:paraId="56C098BB" w14:textId="77777777">
      <w:pPr>
        <w:keepLines/>
        <w:tabs>
          <w:tab w:val="left" w:pos="480"/>
        </w:tabs>
        <w:spacing w:after="80"/>
        <w:ind w:left="480"/>
        <w:rPr>
          <w:sz w:val="24"/>
          <w:szCs w:val="24"/>
        </w:rPr>
      </w:pPr>
    </w:p>
    <w:p w:rsidR="0077168E" w:rsidP="00F87D5C" w14:paraId="59F99AA2" w14:textId="53985678">
      <w:pPr>
        <w:keepLines/>
        <w:tabs>
          <w:tab w:val="left" w:pos="480"/>
        </w:tabs>
        <w:spacing w:after="80"/>
        <w:ind w:left="480"/>
        <w:rPr>
          <w:sz w:val="24"/>
          <w:szCs w:val="24"/>
        </w:rPr>
      </w:pPr>
      <w:r>
        <w:rPr>
          <w:sz w:val="24"/>
          <w:szCs w:val="24"/>
        </w:rPr>
        <w:t xml:space="preserve">The table below </w:t>
      </w:r>
      <w:r w:rsidR="003425F2">
        <w:rPr>
          <w:sz w:val="24"/>
          <w:szCs w:val="24"/>
        </w:rPr>
        <w:t xml:space="preserve">assumes a </w:t>
      </w:r>
      <w:r w:rsidR="00E03F91">
        <w:rPr>
          <w:sz w:val="24"/>
          <w:szCs w:val="24"/>
        </w:rPr>
        <w:t>Management Analyst</w:t>
      </w:r>
      <w:r w:rsidR="00375FB0">
        <w:rPr>
          <w:sz w:val="24"/>
          <w:szCs w:val="24"/>
        </w:rPr>
        <w:t xml:space="preserve"> </w:t>
      </w:r>
      <w:r w:rsidR="003425F2">
        <w:rPr>
          <w:sz w:val="24"/>
          <w:szCs w:val="24"/>
        </w:rPr>
        <w:t>individual, at an hourly rate of $</w:t>
      </w:r>
      <w:r w:rsidR="00E06EDD">
        <w:rPr>
          <w:sz w:val="24"/>
          <w:szCs w:val="24"/>
        </w:rPr>
        <w:t>55.15</w:t>
      </w:r>
      <w:r w:rsidR="009B1114">
        <w:rPr>
          <w:sz w:val="24"/>
          <w:szCs w:val="24"/>
        </w:rPr>
        <w:t xml:space="preserve"> at the Federal, State and Local government level, excluding State and Local Government Schools and Hospitals and the U.S. Postal Service</w:t>
      </w:r>
      <w:r w:rsidR="003425F2">
        <w:rPr>
          <w:sz w:val="24"/>
          <w:szCs w:val="24"/>
        </w:rPr>
        <w:t xml:space="preserve">. The total annual burden </w:t>
      </w:r>
      <w:r w:rsidR="00636975">
        <w:rPr>
          <w:sz w:val="24"/>
          <w:szCs w:val="24"/>
        </w:rPr>
        <w:t xml:space="preserve">of this collection is expected to be </w:t>
      </w:r>
      <w:r w:rsidR="008C09E6">
        <w:rPr>
          <w:sz w:val="24"/>
          <w:szCs w:val="24"/>
        </w:rPr>
        <w:t xml:space="preserve">ten (10) </w:t>
      </w:r>
      <w:r w:rsidR="00636975">
        <w:rPr>
          <w:sz w:val="24"/>
          <w:szCs w:val="24"/>
        </w:rPr>
        <w:t xml:space="preserve">hours. The total estimated annual cost for this information collection </w:t>
      </w:r>
      <w:r w:rsidR="007E3671">
        <w:rPr>
          <w:sz w:val="24"/>
          <w:szCs w:val="24"/>
        </w:rPr>
        <w:t xml:space="preserve">is </w:t>
      </w:r>
      <w:r w:rsidRPr="00BD57B6" w:rsidR="007E3671">
        <w:rPr>
          <w:sz w:val="24"/>
          <w:szCs w:val="24"/>
        </w:rPr>
        <w:t>$</w:t>
      </w:r>
      <w:r w:rsidR="0047574C">
        <w:rPr>
          <w:sz w:val="24"/>
          <w:szCs w:val="24"/>
        </w:rPr>
        <w:t>551.50</w:t>
      </w:r>
      <w:r w:rsidRPr="00BD57B6" w:rsidR="007801D4">
        <w:rPr>
          <w:sz w:val="24"/>
          <w:szCs w:val="24"/>
        </w:rPr>
        <w:t>.</w:t>
      </w:r>
      <w:r w:rsidR="007801D4">
        <w:rPr>
          <w:sz w:val="24"/>
          <w:szCs w:val="24"/>
        </w:rPr>
        <w:t xml:space="preserve"> To </w:t>
      </w:r>
      <w:r w:rsidR="00C04773">
        <w:rPr>
          <w:sz w:val="24"/>
          <w:szCs w:val="24"/>
        </w:rPr>
        <w:t>estimate the hourly cost per respondent, HUD used the Department of Labor</w:t>
      </w:r>
      <w:r w:rsidR="00991BA8">
        <w:rPr>
          <w:sz w:val="24"/>
          <w:szCs w:val="24"/>
        </w:rPr>
        <w:t>,</w:t>
      </w:r>
      <w:r w:rsidR="00C04773">
        <w:rPr>
          <w:sz w:val="24"/>
          <w:szCs w:val="24"/>
        </w:rPr>
        <w:t xml:space="preserve"> Bureau of Labor Statistic</w:t>
      </w:r>
      <w:r w:rsidR="00897B8F">
        <w:rPr>
          <w:sz w:val="24"/>
          <w:szCs w:val="24"/>
        </w:rPr>
        <w:t xml:space="preserve">s’ </w:t>
      </w:r>
      <w:r w:rsidR="00885AE5">
        <w:rPr>
          <w:sz w:val="24"/>
          <w:szCs w:val="24"/>
        </w:rPr>
        <w:t>Occupational Employment and Wage</w:t>
      </w:r>
      <w:r w:rsidR="00991BA8">
        <w:rPr>
          <w:sz w:val="24"/>
          <w:szCs w:val="24"/>
        </w:rPr>
        <w:t xml:space="preserve"> rate</w:t>
      </w:r>
      <w:r w:rsidR="00885AE5">
        <w:rPr>
          <w:sz w:val="24"/>
          <w:szCs w:val="24"/>
        </w:rPr>
        <w:t xml:space="preserve"> </w:t>
      </w:r>
      <w:r w:rsidR="00D1671E">
        <w:rPr>
          <w:sz w:val="24"/>
          <w:szCs w:val="24"/>
        </w:rPr>
        <w:t>(M</w:t>
      </w:r>
      <w:r w:rsidR="00885AE5">
        <w:rPr>
          <w:sz w:val="24"/>
          <w:szCs w:val="24"/>
        </w:rPr>
        <w:t>a</w:t>
      </w:r>
      <w:r w:rsidR="00D1671E">
        <w:rPr>
          <w:sz w:val="24"/>
          <w:szCs w:val="24"/>
        </w:rPr>
        <w:t>na</w:t>
      </w:r>
      <w:r w:rsidR="00885AE5">
        <w:rPr>
          <w:sz w:val="24"/>
          <w:szCs w:val="24"/>
        </w:rPr>
        <w:t>gement Analyst</w:t>
      </w:r>
      <w:r w:rsidR="00991BA8">
        <w:rPr>
          <w:sz w:val="24"/>
          <w:szCs w:val="24"/>
        </w:rPr>
        <w:t>)</w:t>
      </w:r>
      <w:r w:rsidR="008B56C8">
        <w:rPr>
          <w:sz w:val="24"/>
          <w:szCs w:val="24"/>
        </w:rPr>
        <w:t xml:space="preserve"> in 2024 (the most recently published)</w:t>
      </w:r>
      <w:r w:rsidR="00965F55">
        <w:rPr>
          <w:sz w:val="24"/>
          <w:szCs w:val="24"/>
        </w:rPr>
        <w:t xml:space="preserve"> </w:t>
      </w:r>
      <w:hyperlink r:id="rId7" w:history="1">
        <w:r w:rsidRPr="00D17499" w:rsidR="006D2D79">
          <w:rPr>
            <w:rStyle w:val="Hyperlink"/>
            <w:sz w:val="24"/>
            <w:szCs w:val="24"/>
          </w:rPr>
          <w:t>https://data.bls.gov/oesprofile/</w:t>
        </w:r>
      </w:hyperlink>
      <w:r w:rsidR="00986227">
        <w:rPr>
          <w:sz w:val="24"/>
          <w:szCs w:val="24"/>
        </w:rPr>
        <w:t>.</w:t>
      </w:r>
    </w:p>
    <w:p w:rsidR="00D0505E" w:rsidP="00F87D5C" w14:paraId="2A1FA820" w14:textId="77777777">
      <w:pPr>
        <w:keepLines/>
        <w:tabs>
          <w:tab w:val="left" w:pos="480"/>
        </w:tabs>
        <w:spacing w:after="80"/>
        <w:ind w:left="480"/>
        <w:rPr>
          <w:sz w:val="24"/>
          <w:szCs w:val="24"/>
        </w:rPr>
      </w:pPr>
    </w:p>
    <w:tbl>
      <w:tblPr>
        <w:tblStyle w:val="TableGrid"/>
        <w:tblW w:w="9834" w:type="dxa"/>
        <w:tblInd w:w="535" w:type="dxa"/>
        <w:tblLook w:val="04A0"/>
      </w:tblPr>
      <w:tblGrid>
        <w:gridCol w:w="1159"/>
        <w:gridCol w:w="1245"/>
        <w:gridCol w:w="1244"/>
        <w:gridCol w:w="1240"/>
        <w:gridCol w:w="1238"/>
        <w:gridCol w:w="1233"/>
        <w:gridCol w:w="1238"/>
        <w:gridCol w:w="1237"/>
      </w:tblGrid>
      <w:tr w14:paraId="6A67D0CA" w14:textId="719027F7" w:rsidTr="00524B7F">
        <w:tblPrEx>
          <w:tblW w:w="9834" w:type="dxa"/>
          <w:tblInd w:w="535" w:type="dxa"/>
          <w:tblLook w:val="04A0"/>
        </w:tblPrEx>
        <w:trPr>
          <w:trHeight w:val="254"/>
        </w:trPr>
        <w:tc>
          <w:tcPr>
            <w:tcW w:w="1159" w:type="dxa"/>
          </w:tcPr>
          <w:p w:rsidR="00BC4220" w:rsidRPr="0077168E" w:rsidP="00C114CB" w14:paraId="59608D24" w14:textId="45B48979">
            <w:pPr>
              <w:keepLines/>
              <w:tabs>
                <w:tab w:val="left" w:pos="360"/>
                <w:tab w:val="left" w:pos="720"/>
                <w:tab w:val="center" w:pos="1680"/>
                <w:tab w:val="center" w:pos="3120"/>
                <w:tab w:val="center" w:pos="4560"/>
                <w:tab w:val="center" w:pos="6000"/>
                <w:tab w:val="center" w:pos="7440"/>
                <w:tab w:val="center" w:pos="8880"/>
              </w:tabs>
              <w:jc w:val="center"/>
              <w:rPr>
                <w:sz w:val="16"/>
                <w:szCs w:val="16"/>
              </w:rPr>
            </w:pPr>
            <w:bookmarkStart w:id="3" w:name="_Hlk193114144"/>
            <w:r w:rsidRPr="0077168E">
              <w:rPr>
                <w:sz w:val="16"/>
                <w:szCs w:val="16"/>
              </w:rPr>
              <w:t>Information Collection</w:t>
            </w:r>
          </w:p>
        </w:tc>
        <w:tc>
          <w:tcPr>
            <w:tcW w:w="1245" w:type="dxa"/>
          </w:tcPr>
          <w:p w:rsidR="00BC4220" w:rsidRPr="0077168E" w:rsidP="00C63425" w14:paraId="681388B3" w14:textId="69E02741">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sidRPr="0077168E">
              <w:rPr>
                <w:sz w:val="16"/>
                <w:szCs w:val="16"/>
              </w:rPr>
              <w:t>Number of Respondents</w:t>
            </w:r>
          </w:p>
        </w:tc>
        <w:tc>
          <w:tcPr>
            <w:tcW w:w="1244" w:type="dxa"/>
          </w:tcPr>
          <w:p w:rsidR="00BC4220" w:rsidRPr="0077168E" w:rsidP="00E2011E" w14:paraId="50702713" w14:textId="09117C14">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sidRPr="0077168E">
              <w:rPr>
                <w:sz w:val="16"/>
                <w:szCs w:val="16"/>
              </w:rPr>
              <w:t>Frequency of Response per Respondents</w:t>
            </w:r>
          </w:p>
        </w:tc>
        <w:tc>
          <w:tcPr>
            <w:tcW w:w="1240" w:type="dxa"/>
          </w:tcPr>
          <w:p w:rsidR="00BC4220" w:rsidRPr="0077168E" w:rsidP="00E2011E" w14:paraId="7997DAE4" w14:textId="52AA32F2">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sidRPr="0077168E">
              <w:rPr>
                <w:sz w:val="16"/>
                <w:szCs w:val="16"/>
              </w:rPr>
              <w:t xml:space="preserve">Total Annual </w:t>
            </w:r>
            <w:r w:rsidRPr="0077168E" w:rsidR="00CB5C35">
              <w:rPr>
                <w:sz w:val="16"/>
                <w:szCs w:val="16"/>
              </w:rPr>
              <w:t xml:space="preserve">Responses </w:t>
            </w:r>
          </w:p>
        </w:tc>
        <w:tc>
          <w:tcPr>
            <w:tcW w:w="1238" w:type="dxa"/>
          </w:tcPr>
          <w:p w:rsidR="00BC4220" w:rsidRPr="0077168E" w:rsidP="006A4F6C" w14:paraId="51B5589C" w14:textId="7605C61F">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sidRPr="0077168E">
              <w:rPr>
                <w:sz w:val="16"/>
                <w:szCs w:val="16"/>
              </w:rPr>
              <w:t>Burden Hour Per Response</w:t>
            </w:r>
          </w:p>
        </w:tc>
        <w:tc>
          <w:tcPr>
            <w:tcW w:w="1233" w:type="dxa"/>
          </w:tcPr>
          <w:p w:rsidR="00BC4220" w:rsidRPr="0077168E" w:rsidP="001A7D4A" w14:paraId="35153536" w14:textId="1C083AED">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sidRPr="0077168E">
              <w:rPr>
                <w:sz w:val="16"/>
                <w:szCs w:val="16"/>
              </w:rPr>
              <w:t>Annual Burden Hours</w:t>
            </w:r>
          </w:p>
        </w:tc>
        <w:tc>
          <w:tcPr>
            <w:tcW w:w="1238" w:type="dxa"/>
          </w:tcPr>
          <w:p w:rsidR="00BC4220" w:rsidRPr="0077168E" w:rsidP="00C97F9B" w14:paraId="09A7189C" w14:textId="5E83D973">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sidRPr="0077168E">
              <w:rPr>
                <w:sz w:val="16"/>
                <w:szCs w:val="16"/>
              </w:rPr>
              <w:t>Hourly Cost Per Response</w:t>
            </w:r>
          </w:p>
        </w:tc>
        <w:tc>
          <w:tcPr>
            <w:tcW w:w="1237" w:type="dxa"/>
          </w:tcPr>
          <w:p w:rsidR="00BC4220" w:rsidRPr="0077168E" w:rsidP="00C72D83" w14:paraId="425A18C1" w14:textId="466D3050">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sidRPr="0077168E">
              <w:rPr>
                <w:sz w:val="16"/>
                <w:szCs w:val="16"/>
              </w:rPr>
              <w:t>Annual Cost</w:t>
            </w:r>
          </w:p>
        </w:tc>
      </w:tr>
      <w:tr w14:paraId="655F6707" w14:textId="77777777" w:rsidTr="00524B7F">
        <w:tblPrEx>
          <w:tblW w:w="9834" w:type="dxa"/>
          <w:tblInd w:w="535" w:type="dxa"/>
          <w:tblLook w:val="04A0"/>
        </w:tblPrEx>
        <w:trPr>
          <w:trHeight w:val="254"/>
        </w:trPr>
        <w:tc>
          <w:tcPr>
            <w:tcW w:w="1159" w:type="dxa"/>
          </w:tcPr>
          <w:p w:rsidR="00DB657C" w:rsidP="006734AD" w14:paraId="141EC521" w14:textId="039FE5FB">
            <w:pPr>
              <w:keepLines/>
              <w:tabs>
                <w:tab w:val="left" w:pos="360"/>
                <w:tab w:val="left" w:pos="720"/>
                <w:tab w:val="center" w:pos="1680"/>
                <w:tab w:val="center" w:pos="3120"/>
                <w:tab w:val="center" w:pos="4560"/>
                <w:tab w:val="center" w:pos="6000"/>
                <w:tab w:val="center" w:pos="7440"/>
                <w:tab w:val="center" w:pos="8880"/>
              </w:tabs>
              <w:rPr>
                <w:sz w:val="16"/>
                <w:szCs w:val="16"/>
              </w:rPr>
            </w:pPr>
            <w:r>
              <w:rPr>
                <w:sz w:val="16"/>
                <w:szCs w:val="16"/>
              </w:rPr>
              <w:t xml:space="preserve">Annual SF-425, </w:t>
            </w:r>
            <w:r w:rsidR="00273389">
              <w:rPr>
                <w:sz w:val="16"/>
                <w:szCs w:val="16"/>
              </w:rPr>
              <w:t>Federal Financial Report</w:t>
            </w:r>
          </w:p>
        </w:tc>
        <w:tc>
          <w:tcPr>
            <w:tcW w:w="1245" w:type="dxa"/>
          </w:tcPr>
          <w:p w:rsidR="00DB657C" w:rsidRPr="0077168E" w:rsidP="00C63425" w14:paraId="7B7D5136" w14:textId="479D105D">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Pr>
                <w:sz w:val="16"/>
                <w:szCs w:val="16"/>
              </w:rPr>
              <w:t>5</w:t>
            </w:r>
          </w:p>
        </w:tc>
        <w:tc>
          <w:tcPr>
            <w:tcW w:w="1244" w:type="dxa"/>
          </w:tcPr>
          <w:p w:rsidR="00DB657C" w:rsidRPr="0077168E" w:rsidP="00E2011E" w14:paraId="11A176BC" w14:textId="6F89943A">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Pr>
                <w:sz w:val="16"/>
                <w:szCs w:val="16"/>
              </w:rPr>
              <w:t>4</w:t>
            </w:r>
          </w:p>
        </w:tc>
        <w:tc>
          <w:tcPr>
            <w:tcW w:w="1240" w:type="dxa"/>
          </w:tcPr>
          <w:p w:rsidR="00DB657C" w:rsidRPr="0077168E" w:rsidP="00E2011E" w14:paraId="7A54D659" w14:textId="39DB8386">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Pr>
                <w:sz w:val="16"/>
                <w:szCs w:val="16"/>
              </w:rPr>
              <w:t>20</w:t>
            </w:r>
          </w:p>
        </w:tc>
        <w:tc>
          <w:tcPr>
            <w:tcW w:w="1238" w:type="dxa"/>
          </w:tcPr>
          <w:p w:rsidR="00DB657C" w:rsidP="006A4F6C" w14:paraId="23AFFC2F" w14:textId="09639B7C">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Pr>
                <w:sz w:val="16"/>
                <w:szCs w:val="16"/>
              </w:rPr>
              <w:t>0</w:t>
            </w:r>
          </w:p>
        </w:tc>
        <w:tc>
          <w:tcPr>
            <w:tcW w:w="1233" w:type="dxa"/>
          </w:tcPr>
          <w:p w:rsidR="00DB657C" w:rsidP="001A7D4A" w14:paraId="316A67A0" w14:textId="38C02E3B">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Pr>
                <w:sz w:val="16"/>
                <w:szCs w:val="16"/>
              </w:rPr>
              <w:t>0</w:t>
            </w:r>
          </w:p>
        </w:tc>
        <w:tc>
          <w:tcPr>
            <w:tcW w:w="1238" w:type="dxa"/>
          </w:tcPr>
          <w:p w:rsidR="00DB657C" w:rsidP="00C97F9B" w14:paraId="5A1622B7" w14:textId="53753F5D">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Pr>
                <w:sz w:val="16"/>
                <w:szCs w:val="16"/>
              </w:rPr>
              <w:t>55.15</w:t>
            </w:r>
          </w:p>
        </w:tc>
        <w:tc>
          <w:tcPr>
            <w:tcW w:w="1237" w:type="dxa"/>
          </w:tcPr>
          <w:p w:rsidR="00DB657C" w:rsidP="00C72D83" w14:paraId="1E3EAC29" w14:textId="626A628B">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Pr>
                <w:sz w:val="16"/>
                <w:szCs w:val="16"/>
              </w:rPr>
              <w:t>0</w:t>
            </w:r>
          </w:p>
        </w:tc>
      </w:tr>
      <w:tr w14:paraId="0D8BDDF0" w14:textId="77777777" w:rsidTr="00524B7F">
        <w:tblPrEx>
          <w:tblW w:w="9834" w:type="dxa"/>
          <w:tblInd w:w="535" w:type="dxa"/>
          <w:tblLook w:val="04A0"/>
        </w:tblPrEx>
        <w:trPr>
          <w:trHeight w:val="254"/>
        </w:trPr>
        <w:tc>
          <w:tcPr>
            <w:tcW w:w="1159" w:type="dxa"/>
          </w:tcPr>
          <w:p w:rsidR="002B3586" w:rsidP="006734AD" w14:paraId="02729907" w14:textId="3E263FB1">
            <w:pPr>
              <w:keepLines/>
              <w:tabs>
                <w:tab w:val="left" w:pos="360"/>
                <w:tab w:val="left" w:pos="720"/>
                <w:tab w:val="center" w:pos="1680"/>
                <w:tab w:val="center" w:pos="3120"/>
                <w:tab w:val="center" w:pos="4560"/>
                <w:tab w:val="center" w:pos="6000"/>
                <w:tab w:val="center" w:pos="7440"/>
                <w:tab w:val="center" w:pos="8880"/>
              </w:tabs>
              <w:rPr>
                <w:sz w:val="16"/>
                <w:szCs w:val="16"/>
              </w:rPr>
            </w:pPr>
            <w:bookmarkStart w:id="4" w:name="_Hlk202944736"/>
            <w:r>
              <w:rPr>
                <w:sz w:val="16"/>
                <w:szCs w:val="16"/>
              </w:rPr>
              <w:t>SF-1199A</w:t>
            </w:r>
            <w:r w:rsidR="00262577">
              <w:rPr>
                <w:sz w:val="16"/>
                <w:szCs w:val="16"/>
              </w:rPr>
              <w:t>, Direct De</w:t>
            </w:r>
            <w:r w:rsidR="007A7B74">
              <w:rPr>
                <w:sz w:val="16"/>
                <w:szCs w:val="16"/>
              </w:rPr>
              <w:t>posit Sign-up Form</w:t>
            </w:r>
          </w:p>
        </w:tc>
        <w:tc>
          <w:tcPr>
            <w:tcW w:w="1245" w:type="dxa"/>
          </w:tcPr>
          <w:p w:rsidR="002B3586" w:rsidRPr="0077168E" w:rsidP="00C63425" w14:paraId="01654BBC" w14:textId="7C9DB523">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Pr>
                <w:sz w:val="16"/>
                <w:szCs w:val="16"/>
              </w:rPr>
              <w:t>5</w:t>
            </w:r>
          </w:p>
        </w:tc>
        <w:tc>
          <w:tcPr>
            <w:tcW w:w="1244" w:type="dxa"/>
          </w:tcPr>
          <w:p w:rsidR="002B3586" w:rsidRPr="0077168E" w:rsidP="00E2011E" w14:paraId="261710E7" w14:textId="05D19048">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Pr>
                <w:sz w:val="16"/>
                <w:szCs w:val="16"/>
              </w:rPr>
              <w:t>1</w:t>
            </w:r>
          </w:p>
        </w:tc>
        <w:tc>
          <w:tcPr>
            <w:tcW w:w="1240" w:type="dxa"/>
          </w:tcPr>
          <w:p w:rsidR="002B3586" w:rsidRPr="0077168E" w:rsidP="00E2011E" w14:paraId="5DF0288C" w14:textId="70E286F2">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Pr>
                <w:sz w:val="16"/>
                <w:szCs w:val="16"/>
              </w:rPr>
              <w:t>5</w:t>
            </w:r>
          </w:p>
        </w:tc>
        <w:tc>
          <w:tcPr>
            <w:tcW w:w="1238" w:type="dxa"/>
          </w:tcPr>
          <w:p w:rsidR="002B3586" w:rsidP="006A4F6C" w14:paraId="61506982" w14:textId="27F15FEE">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Pr>
                <w:sz w:val="16"/>
                <w:szCs w:val="16"/>
              </w:rPr>
              <w:t>0</w:t>
            </w:r>
          </w:p>
        </w:tc>
        <w:tc>
          <w:tcPr>
            <w:tcW w:w="1233" w:type="dxa"/>
          </w:tcPr>
          <w:p w:rsidR="002B3586" w:rsidP="001A7D4A" w14:paraId="64EC9A95" w14:textId="6C975FEB">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Pr>
                <w:sz w:val="16"/>
                <w:szCs w:val="16"/>
              </w:rPr>
              <w:t>0</w:t>
            </w:r>
          </w:p>
        </w:tc>
        <w:tc>
          <w:tcPr>
            <w:tcW w:w="1238" w:type="dxa"/>
          </w:tcPr>
          <w:p w:rsidR="002B3586" w:rsidP="00C97F9B" w14:paraId="63F337B8" w14:textId="22069F7E">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Pr>
                <w:sz w:val="16"/>
                <w:szCs w:val="16"/>
              </w:rPr>
              <w:t>55.15</w:t>
            </w:r>
          </w:p>
        </w:tc>
        <w:tc>
          <w:tcPr>
            <w:tcW w:w="1237" w:type="dxa"/>
          </w:tcPr>
          <w:p w:rsidR="002B3586" w:rsidP="00C72D83" w14:paraId="04AD75C6" w14:textId="01858A41">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Pr>
                <w:sz w:val="16"/>
                <w:szCs w:val="16"/>
              </w:rPr>
              <w:t>0</w:t>
            </w:r>
          </w:p>
        </w:tc>
      </w:tr>
      <w:bookmarkEnd w:id="4"/>
      <w:tr w14:paraId="04279DA7" w14:textId="77777777" w:rsidTr="00524B7F">
        <w:tblPrEx>
          <w:tblW w:w="9834" w:type="dxa"/>
          <w:tblInd w:w="535" w:type="dxa"/>
          <w:tblLook w:val="04A0"/>
        </w:tblPrEx>
        <w:trPr>
          <w:trHeight w:val="254"/>
        </w:trPr>
        <w:tc>
          <w:tcPr>
            <w:tcW w:w="1159" w:type="dxa"/>
          </w:tcPr>
          <w:p w:rsidR="00FD4E3A" w:rsidRPr="0077168E" w:rsidP="006734AD" w14:paraId="1EBD7A7D" w14:textId="347A17B5">
            <w:pPr>
              <w:keepLines/>
              <w:tabs>
                <w:tab w:val="left" w:pos="360"/>
                <w:tab w:val="left" w:pos="720"/>
                <w:tab w:val="center" w:pos="1680"/>
                <w:tab w:val="center" w:pos="3120"/>
                <w:tab w:val="center" w:pos="4560"/>
                <w:tab w:val="center" w:pos="6000"/>
                <w:tab w:val="center" w:pos="7440"/>
                <w:tab w:val="center" w:pos="8880"/>
              </w:tabs>
              <w:rPr>
                <w:sz w:val="16"/>
                <w:szCs w:val="16"/>
              </w:rPr>
            </w:pPr>
            <w:r>
              <w:rPr>
                <w:sz w:val="16"/>
                <w:szCs w:val="16"/>
              </w:rPr>
              <w:t>Post Award Reporting</w:t>
            </w:r>
          </w:p>
        </w:tc>
        <w:tc>
          <w:tcPr>
            <w:tcW w:w="1245" w:type="dxa"/>
          </w:tcPr>
          <w:p w:rsidR="00FD4E3A" w:rsidRPr="0077168E" w:rsidP="00C63425" w14:paraId="6610D6B0" w14:textId="6F87DC2C">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sidRPr="0077168E">
              <w:rPr>
                <w:sz w:val="16"/>
                <w:szCs w:val="16"/>
              </w:rPr>
              <w:t>5</w:t>
            </w:r>
          </w:p>
        </w:tc>
        <w:tc>
          <w:tcPr>
            <w:tcW w:w="1244" w:type="dxa"/>
          </w:tcPr>
          <w:p w:rsidR="00FD4E3A" w:rsidRPr="0077168E" w:rsidP="00E2011E" w14:paraId="2F091081" w14:textId="6B023979">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sidRPr="0077168E">
              <w:rPr>
                <w:sz w:val="16"/>
                <w:szCs w:val="16"/>
              </w:rPr>
              <w:t>1</w:t>
            </w:r>
          </w:p>
        </w:tc>
        <w:tc>
          <w:tcPr>
            <w:tcW w:w="1240" w:type="dxa"/>
          </w:tcPr>
          <w:p w:rsidR="00FD4E3A" w:rsidRPr="0077168E" w:rsidP="00E2011E" w14:paraId="09CAF44A" w14:textId="1D87E488">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sidRPr="0077168E">
              <w:rPr>
                <w:sz w:val="16"/>
                <w:szCs w:val="16"/>
              </w:rPr>
              <w:t>5</w:t>
            </w:r>
          </w:p>
        </w:tc>
        <w:tc>
          <w:tcPr>
            <w:tcW w:w="1238" w:type="dxa"/>
          </w:tcPr>
          <w:p w:rsidR="00FD4E3A" w:rsidRPr="0077168E" w:rsidP="006A4F6C" w14:paraId="4A0A830A" w14:textId="3F8E5984">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Pr>
                <w:sz w:val="16"/>
                <w:szCs w:val="16"/>
              </w:rPr>
              <w:t>2</w:t>
            </w:r>
          </w:p>
        </w:tc>
        <w:tc>
          <w:tcPr>
            <w:tcW w:w="1233" w:type="dxa"/>
          </w:tcPr>
          <w:p w:rsidR="00FD4E3A" w:rsidRPr="0077168E" w:rsidP="001A7D4A" w14:paraId="1051ED67" w14:textId="4B97FC4F">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Pr>
                <w:sz w:val="16"/>
                <w:szCs w:val="16"/>
              </w:rPr>
              <w:t>10</w:t>
            </w:r>
          </w:p>
        </w:tc>
        <w:tc>
          <w:tcPr>
            <w:tcW w:w="1238" w:type="dxa"/>
          </w:tcPr>
          <w:p w:rsidR="00FD4E3A" w:rsidRPr="0077168E" w:rsidP="00C97F9B" w14:paraId="320D48EF" w14:textId="4A4C11F2">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Pr>
                <w:sz w:val="16"/>
                <w:szCs w:val="16"/>
              </w:rPr>
              <w:t>55.15</w:t>
            </w:r>
          </w:p>
        </w:tc>
        <w:tc>
          <w:tcPr>
            <w:tcW w:w="1237" w:type="dxa"/>
          </w:tcPr>
          <w:p w:rsidR="00FD4E3A" w:rsidRPr="0077168E" w:rsidP="00C72D83" w14:paraId="42B3BB5C" w14:textId="19E7509D">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Pr>
                <w:sz w:val="16"/>
                <w:szCs w:val="16"/>
              </w:rPr>
              <w:t>551.50</w:t>
            </w:r>
          </w:p>
        </w:tc>
      </w:tr>
      <w:tr w14:paraId="7457EF48" w14:textId="77777777" w:rsidTr="00524B7F">
        <w:tblPrEx>
          <w:tblW w:w="9834" w:type="dxa"/>
          <w:tblInd w:w="535" w:type="dxa"/>
          <w:tblLook w:val="04A0"/>
        </w:tblPrEx>
        <w:trPr>
          <w:trHeight w:val="254"/>
        </w:trPr>
        <w:tc>
          <w:tcPr>
            <w:tcW w:w="1159" w:type="dxa"/>
          </w:tcPr>
          <w:p w:rsidR="00FD4E3A" w:rsidRPr="0077168E" w:rsidP="006734AD" w14:paraId="5FFFAFCE" w14:textId="329B3FA1">
            <w:pPr>
              <w:keepLines/>
              <w:tabs>
                <w:tab w:val="left" w:pos="360"/>
                <w:tab w:val="left" w:pos="720"/>
                <w:tab w:val="center" w:pos="1680"/>
                <w:tab w:val="center" w:pos="3120"/>
                <w:tab w:val="center" w:pos="4560"/>
                <w:tab w:val="center" w:pos="6000"/>
                <w:tab w:val="center" w:pos="7440"/>
                <w:tab w:val="center" w:pos="8880"/>
              </w:tabs>
              <w:rPr>
                <w:sz w:val="16"/>
                <w:szCs w:val="16"/>
              </w:rPr>
            </w:pPr>
            <w:r w:rsidRPr="0077168E">
              <w:rPr>
                <w:sz w:val="16"/>
                <w:szCs w:val="16"/>
              </w:rPr>
              <w:t>Totals</w:t>
            </w:r>
          </w:p>
        </w:tc>
        <w:tc>
          <w:tcPr>
            <w:tcW w:w="1245" w:type="dxa"/>
          </w:tcPr>
          <w:p w:rsidR="00FD4E3A" w:rsidRPr="0077168E" w:rsidP="00C63425" w14:paraId="6F08672C" w14:textId="76257347">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Pr>
                <w:sz w:val="16"/>
                <w:szCs w:val="16"/>
              </w:rPr>
              <w:t>1</w:t>
            </w:r>
            <w:r w:rsidR="002A2AFF">
              <w:rPr>
                <w:sz w:val="16"/>
                <w:szCs w:val="16"/>
              </w:rPr>
              <w:t>5</w:t>
            </w:r>
          </w:p>
        </w:tc>
        <w:tc>
          <w:tcPr>
            <w:tcW w:w="1244" w:type="dxa"/>
          </w:tcPr>
          <w:p w:rsidR="00FD4E3A" w:rsidRPr="0077168E" w:rsidP="00E2011E" w14:paraId="306AEE0F" w14:textId="6618BC9D">
            <w:pPr>
              <w:keepLines/>
              <w:tabs>
                <w:tab w:val="left" w:pos="360"/>
                <w:tab w:val="left" w:pos="720"/>
                <w:tab w:val="center" w:pos="1680"/>
                <w:tab w:val="center" w:pos="3120"/>
                <w:tab w:val="center" w:pos="4560"/>
                <w:tab w:val="center" w:pos="6000"/>
                <w:tab w:val="center" w:pos="7440"/>
                <w:tab w:val="center" w:pos="8880"/>
              </w:tabs>
              <w:jc w:val="center"/>
              <w:rPr>
                <w:sz w:val="16"/>
                <w:szCs w:val="16"/>
              </w:rPr>
            </w:pPr>
          </w:p>
        </w:tc>
        <w:tc>
          <w:tcPr>
            <w:tcW w:w="1240" w:type="dxa"/>
          </w:tcPr>
          <w:p w:rsidR="00FD4E3A" w:rsidRPr="0077168E" w:rsidP="00E2011E" w14:paraId="113B7EA8" w14:textId="0D3D312B">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Pr>
                <w:sz w:val="16"/>
                <w:szCs w:val="16"/>
              </w:rPr>
              <w:t>30</w:t>
            </w:r>
          </w:p>
        </w:tc>
        <w:tc>
          <w:tcPr>
            <w:tcW w:w="1238" w:type="dxa"/>
          </w:tcPr>
          <w:p w:rsidR="00FD4E3A" w:rsidRPr="0077168E" w:rsidP="006A4F6C" w14:paraId="3276B844" w14:textId="0318B65D">
            <w:pPr>
              <w:keepLines/>
              <w:tabs>
                <w:tab w:val="left" w:pos="360"/>
                <w:tab w:val="left" w:pos="720"/>
                <w:tab w:val="center" w:pos="1680"/>
                <w:tab w:val="center" w:pos="3120"/>
                <w:tab w:val="center" w:pos="4560"/>
                <w:tab w:val="center" w:pos="6000"/>
                <w:tab w:val="center" w:pos="7440"/>
                <w:tab w:val="center" w:pos="8880"/>
              </w:tabs>
              <w:jc w:val="center"/>
              <w:rPr>
                <w:sz w:val="16"/>
                <w:szCs w:val="16"/>
              </w:rPr>
            </w:pPr>
          </w:p>
        </w:tc>
        <w:tc>
          <w:tcPr>
            <w:tcW w:w="1233" w:type="dxa"/>
          </w:tcPr>
          <w:p w:rsidR="00FD4E3A" w:rsidRPr="0077168E" w:rsidP="001A7D4A" w14:paraId="0F87DC40" w14:textId="6866EE13">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Pr>
                <w:sz w:val="16"/>
                <w:szCs w:val="16"/>
              </w:rPr>
              <w:t>10</w:t>
            </w:r>
          </w:p>
        </w:tc>
        <w:tc>
          <w:tcPr>
            <w:tcW w:w="1238" w:type="dxa"/>
          </w:tcPr>
          <w:p w:rsidR="00FD4E3A" w:rsidRPr="0077168E" w:rsidP="00C97F9B" w14:paraId="6A194B07" w14:textId="32384F90">
            <w:pPr>
              <w:keepLines/>
              <w:tabs>
                <w:tab w:val="left" w:pos="360"/>
                <w:tab w:val="left" w:pos="720"/>
                <w:tab w:val="center" w:pos="1680"/>
                <w:tab w:val="center" w:pos="3120"/>
                <w:tab w:val="center" w:pos="4560"/>
                <w:tab w:val="center" w:pos="6000"/>
                <w:tab w:val="center" w:pos="7440"/>
                <w:tab w:val="center" w:pos="8880"/>
              </w:tabs>
              <w:jc w:val="center"/>
              <w:rPr>
                <w:sz w:val="16"/>
                <w:szCs w:val="16"/>
              </w:rPr>
            </w:pPr>
          </w:p>
        </w:tc>
        <w:tc>
          <w:tcPr>
            <w:tcW w:w="1237" w:type="dxa"/>
          </w:tcPr>
          <w:p w:rsidR="00FD4E3A" w:rsidRPr="0077168E" w:rsidP="00C72D83" w14:paraId="67604C31" w14:textId="0C05DBE4">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sidRPr="0077168E">
              <w:rPr>
                <w:sz w:val="16"/>
                <w:szCs w:val="16"/>
              </w:rPr>
              <w:t>$</w:t>
            </w:r>
            <w:r w:rsidR="00482C58">
              <w:rPr>
                <w:sz w:val="16"/>
                <w:szCs w:val="16"/>
              </w:rPr>
              <w:t>551.50</w:t>
            </w:r>
          </w:p>
        </w:tc>
      </w:tr>
      <w:bookmarkEnd w:id="3"/>
    </w:tbl>
    <w:p w:rsidR="00B20A8F" w:rsidP="006734AD" w14:paraId="6B4B14A3" w14:textId="6F3A4359">
      <w:pPr>
        <w:keepLines/>
        <w:tabs>
          <w:tab w:val="left" w:pos="360"/>
          <w:tab w:val="left" w:pos="720"/>
          <w:tab w:val="center" w:pos="1680"/>
          <w:tab w:val="center" w:pos="3120"/>
          <w:tab w:val="center" w:pos="4560"/>
          <w:tab w:val="center" w:pos="6000"/>
          <w:tab w:val="center" w:pos="7440"/>
          <w:tab w:val="center" w:pos="8880"/>
        </w:tabs>
        <w:ind w:left="360"/>
      </w:pPr>
    </w:p>
    <w:p w:rsidR="00A11A9F" w:rsidP="006734AD" w14:paraId="769D0345" w14:textId="71719174">
      <w:pPr>
        <w:tabs>
          <w:tab w:val="left" w:pos="360"/>
        </w:tabs>
        <w:ind w:left="360" w:hanging="360"/>
        <w:rPr>
          <w:sz w:val="24"/>
          <w:szCs w:val="24"/>
        </w:rPr>
      </w:pPr>
    </w:p>
    <w:p w:rsidR="006734AD" w:rsidRPr="00703DDE" w:rsidP="006734AD" w14:paraId="2A94DA54" w14:textId="0396D378">
      <w:pPr>
        <w:tabs>
          <w:tab w:val="left" w:pos="360"/>
        </w:tabs>
        <w:ind w:left="360" w:hanging="360"/>
        <w:rPr>
          <w:b/>
          <w:bCs/>
          <w:sz w:val="24"/>
          <w:szCs w:val="24"/>
        </w:rPr>
      </w:pPr>
      <w:r>
        <w:rPr>
          <w:sz w:val="24"/>
          <w:szCs w:val="24"/>
        </w:rPr>
        <w:t xml:space="preserve">13. </w:t>
      </w:r>
      <w:r w:rsidRPr="00703DDE">
        <w:rPr>
          <w:b/>
          <w:bCs/>
          <w:sz w:val="24"/>
          <w:szCs w:val="24"/>
        </w:rPr>
        <w:t>Provide an estimate of the total annual cost burden to respondents or recordkeepers resulting from the collection of information. (Do not include the cost of any hour burden already reflected on the burden worksheet shown in Items 12 and 14).</w:t>
      </w:r>
    </w:p>
    <w:p w:rsidR="006734AD" w:rsidRPr="006C7FAE" w:rsidP="006734AD" w14:paraId="2B88A2BB" w14:textId="77777777">
      <w:pPr>
        <w:tabs>
          <w:tab w:val="left" w:pos="360"/>
        </w:tabs>
        <w:ind w:left="360" w:hanging="360"/>
        <w:rPr>
          <w:sz w:val="24"/>
          <w:szCs w:val="24"/>
        </w:rPr>
      </w:pPr>
      <w:r w:rsidRPr="006C7FAE">
        <w:rPr>
          <w:sz w:val="24"/>
          <w:szCs w:val="24"/>
        </w:rPr>
        <w:t xml:space="preserve"> </w:t>
      </w:r>
    </w:p>
    <w:p w:rsidR="006734AD" w:rsidP="006734AD" w14:paraId="33D7AE16" w14:textId="54535EC9">
      <w:pPr>
        <w:keepLines/>
        <w:tabs>
          <w:tab w:val="left" w:pos="360"/>
        </w:tabs>
        <w:spacing w:after="80"/>
        <w:ind w:left="720"/>
        <w:rPr>
          <w:sz w:val="24"/>
          <w:szCs w:val="24"/>
        </w:rPr>
      </w:pPr>
      <w:r>
        <w:rPr>
          <w:sz w:val="24"/>
          <w:szCs w:val="24"/>
        </w:rPr>
        <w:t xml:space="preserve">There </w:t>
      </w:r>
      <w:r w:rsidR="006968D0">
        <w:rPr>
          <w:sz w:val="24"/>
          <w:szCs w:val="24"/>
        </w:rPr>
        <w:t>is</w:t>
      </w:r>
      <w:r w:rsidR="002D38AB">
        <w:rPr>
          <w:sz w:val="24"/>
          <w:szCs w:val="24"/>
        </w:rPr>
        <w:t xml:space="preserve"> </w:t>
      </w:r>
      <w:r>
        <w:rPr>
          <w:sz w:val="24"/>
          <w:szCs w:val="24"/>
        </w:rPr>
        <w:t xml:space="preserve">no additional cost </w:t>
      </w:r>
      <w:r w:rsidR="0011298E">
        <w:rPr>
          <w:sz w:val="24"/>
          <w:szCs w:val="24"/>
        </w:rPr>
        <w:t>for</w:t>
      </w:r>
      <w:r w:rsidR="006968D0">
        <w:rPr>
          <w:sz w:val="24"/>
          <w:szCs w:val="24"/>
        </w:rPr>
        <w:t xml:space="preserve"> </w:t>
      </w:r>
      <w:r>
        <w:rPr>
          <w:sz w:val="24"/>
          <w:szCs w:val="24"/>
        </w:rPr>
        <w:t>respondents</w:t>
      </w:r>
      <w:r w:rsidRPr="006C7FAE">
        <w:rPr>
          <w:sz w:val="24"/>
          <w:szCs w:val="24"/>
        </w:rPr>
        <w:t>.</w:t>
      </w:r>
    </w:p>
    <w:p w:rsidR="006734AD" w:rsidRPr="006C7FAE" w:rsidP="006734AD" w14:paraId="743E46C6" w14:textId="77777777">
      <w:pPr>
        <w:keepLines/>
        <w:tabs>
          <w:tab w:val="left" w:pos="360"/>
        </w:tabs>
        <w:spacing w:after="80"/>
        <w:rPr>
          <w:sz w:val="24"/>
          <w:szCs w:val="24"/>
        </w:rPr>
      </w:pPr>
    </w:p>
    <w:p w:rsidR="006734AD" w:rsidP="006734AD" w14:paraId="142E1065" w14:textId="77777777">
      <w:pPr>
        <w:keepLines/>
        <w:tabs>
          <w:tab w:val="left" w:pos="360"/>
        </w:tabs>
        <w:spacing w:after="80"/>
        <w:ind w:left="360" w:hanging="360"/>
        <w:rPr>
          <w:sz w:val="24"/>
          <w:szCs w:val="24"/>
        </w:rPr>
      </w:pPr>
      <w:r w:rsidRPr="006C7FAE">
        <w:rPr>
          <w:sz w:val="24"/>
          <w:szCs w:val="24"/>
        </w:rPr>
        <w:t>14.</w:t>
      </w:r>
      <w:r w:rsidRPr="00703DDE">
        <w:rPr>
          <w:b/>
          <w:bCs/>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703DDE">
        <w:rPr>
          <w:b/>
          <w:bCs/>
          <w:sz w:val="24"/>
          <w:szCs w:val="24"/>
        </w:rPr>
        <w:t>expense</w:t>
      </w:r>
      <w:r w:rsidRPr="00703DDE">
        <w:rPr>
          <w:b/>
          <w:bCs/>
          <w:sz w:val="24"/>
          <w:szCs w:val="24"/>
        </w:rPr>
        <w:t xml:space="preserve"> that would not have been incurred without this collection of information.  Agencies also may aggregate cost estimates from Items 12, 13, and 14 in a single table.</w:t>
      </w:r>
    </w:p>
    <w:p w:rsidR="00A2171F" w:rsidP="006734AD" w14:paraId="7B3CBA40" w14:textId="77777777">
      <w:pPr>
        <w:keepLines/>
        <w:tabs>
          <w:tab w:val="left" w:pos="360"/>
        </w:tabs>
        <w:spacing w:after="80"/>
        <w:ind w:left="360" w:hanging="360"/>
        <w:rPr>
          <w:sz w:val="24"/>
          <w:szCs w:val="24"/>
        </w:rPr>
      </w:pPr>
    </w:p>
    <w:p w:rsidR="00A2171F" w:rsidP="00B4439D" w14:paraId="29670834" w14:textId="7B439260">
      <w:pPr>
        <w:keepLines/>
        <w:tabs>
          <w:tab w:val="left" w:pos="360"/>
        </w:tabs>
        <w:spacing w:after="80"/>
        <w:ind w:left="720" w:hanging="360"/>
        <w:rPr>
          <w:sz w:val="24"/>
          <w:szCs w:val="24"/>
        </w:rPr>
      </w:pPr>
      <w:r>
        <w:rPr>
          <w:sz w:val="24"/>
          <w:szCs w:val="24"/>
        </w:rPr>
        <w:tab/>
      </w:r>
      <w:r>
        <w:rPr>
          <w:sz w:val="24"/>
          <w:szCs w:val="24"/>
        </w:rPr>
        <w:t>The estimated annualized cost to the Federal Government is based on the hourly rate of $</w:t>
      </w:r>
      <w:r w:rsidR="00FF653D">
        <w:rPr>
          <w:sz w:val="24"/>
          <w:szCs w:val="24"/>
        </w:rPr>
        <w:t>6</w:t>
      </w:r>
      <w:r w:rsidR="00834EA4">
        <w:rPr>
          <w:sz w:val="24"/>
          <w:szCs w:val="24"/>
        </w:rPr>
        <w:t>8.</w:t>
      </w:r>
      <w:r w:rsidR="00FC29F4">
        <w:rPr>
          <w:sz w:val="24"/>
          <w:szCs w:val="24"/>
        </w:rPr>
        <w:t>96</w:t>
      </w:r>
      <w:r w:rsidR="002A489A">
        <w:rPr>
          <w:sz w:val="24"/>
          <w:szCs w:val="24"/>
        </w:rPr>
        <w:t xml:space="preserve"> </w:t>
      </w:r>
      <w:r w:rsidRPr="00EB0F64" w:rsidR="002A489A">
        <w:rPr>
          <w:sz w:val="24"/>
          <w:szCs w:val="24"/>
        </w:rPr>
        <w:t>of the 202</w:t>
      </w:r>
      <w:r w:rsidRPr="00EB0F64" w:rsidR="00FC29F4">
        <w:rPr>
          <w:sz w:val="24"/>
          <w:szCs w:val="24"/>
        </w:rPr>
        <w:t>6</w:t>
      </w:r>
      <w:r w:rsidRPr="00EB0F64" w:rsidR="002A489A">
        <w:rPr>
          <w:sz w:val="24"/>
          <w:szCs w:val="24"/>
        </w:rPr>
        <w:t xml:space="preserve"> Pay Scale for a </w:t>
      </w:r>
      <w:r w:rsidRPr="00EB0F64" w:rsidR="00977744">
        <w:rPr>
          <w:sz w:val="24"/>
          <w:szCs w:val="24"/>
        </w:rPr>
        <w:t>GS 1</w:t>
      </w:r>
      <w:r w:rsidRPr="00EB0F64" w:rsidR="00834EA4">
        <w:rPr>
          <w:sz w:val="24"/>
          <w:szCs w:val="24"/>
        </w:rPr>
        <w:t>4,</w:t>
      </w:r>
      <w:r w:rsidRPr="00EB0F64" w:rsidR="00FC1437">
        <w:rPr>
          <w:sz w:val="24"/>
          <w:szCs w:val="24"/>
        </w:rPr>
        <w:t xml:space="preserve"> Step 1, </w:t>
      </w:r>
      <w:r w:rsidRPr="00EB0F64" w:rsidR="005861B8">
        <w:rPr>
          <w:sz w:val="24"/>
          <w:szCs w:val="24"/>
        </w:rPr>
        <w:t>Management Analyst</w:t>
      </w:r>
      <w:r w:rsidRPr="00EB0F64" w:rsidR="0044493E">
        <w:rPr>
          <w:sz w:val="24"/>
          <w:szCs w:val="24"/>
        </w:rPr>
        <w:t xml:space="preserve">, </w:t>
      </w:r>
      <w:r w:rsidRPr="00EB0F64" w:rsidR="00FC1437">
        <w:rPr>
          <w:sz w:val="24"/>
          <w:szCs w:val="24"/>
        </w:rPr>
        <w:t>which represents the staff of HUD’s Office of Public Housing Investments</w:t>
      </w:r>
      <w:r w:rsidR="00FC1437">
        <w:rPr>
          <w:sz w:val="24"/>
          <w:szCs w:val="24"/>
        </w:rPr>
        <w:t xml:space="preserve"> (OPHI). This office primarily administers the Capital Fund Program</w:t>
      </w:r>
      <w:r w:rsidR="00E7495F">
        <w:rPr>
          <w:sz w:val="24"/>
          <w:szCs w:val="24"/>
        </w:rPr>
        <w:t>, and both administers and implements the Capital Fund Financing Program, and Mixed-Finance transactions</w:t>
      </w:r>
      <w:r w:rsidR="00600051">
        <w:rPr>
          <w:sz w:val="24"/>
          <w:szCs w:val="24"/>
        </w:rPr>
        <w:t xml:space="preserve"> for the Capital Fund, Capital Fund Financing, and HOPE VI Programs. </w:t>
      </w:r>
    </w:p>
    <w:p w:rsidR="0020608F" w:rsidP="006734AD" w14:paraId="4E27D24B" w14:textId="77777777">
      <w:pPr>
        <w:keepLines/>
        <w:tabs>
          <w:tab w:val="left" w:pos="360"/>
        </w:tabs>
        <w:spacing w:after="80"/>
        <w:ind w:left="360" w:hanging="360"/>
        <w:rPr>
          <w:sz w:val="24"/>
          <w:szCs w:val="24"/>
        </w:rPr>
      </w:pPr>
    </w:p>
    <w:tbl>
      <w:tblPr>
        <w:tblStyle w:val="TableGrid"/>
        <w:tblW w:w="9900" w:type="dxa"/>
        <w:tblInd w:w="535" w:type="dxa"/>
        <w:tblLook w:val="04A0"/>
      </w:tblPr>
      <w:tblGrid>
        <w:gridCol w:w="1162"/>
        <w:gridCol w:w="1245"/>
        <w:gridCol w:w="1244"/>
        <w:gridCol w:w="1239"/>
        <w:gridCol w:w="1237"/>
        <w:gridCol w:w="1233"/>
        <w:gridCol w:w="1237"/>
        <w:gridCol w:w="1303"/>
      </w:tblGrid>
      <w:tr w14:paraId="654596BA" w14:textId="77777777" w:rsidTr="004B26F8">
        <w:tblPrEx>
          <w:tblW w:w="9900" w:type="dxa"/>
          <w:tblInd w:w="535" w:type="dxa"/>
          <w:tblLook w:val="04A0"/>
        </w:tblPrEx>
        <w:trPr>
          <w:trHeight w:val="254"/>
        </w:trPr>
        <w:tc>
          <w:tcPr>
            <w:tcW w:w="1162" w:type="dxa"/>
          </w:tcPr>
          <w:p w:rsidR="0020608F" w:rsidRPr="0077168E" w:rsidP="00E565CC" w14:paraId="22DB3298" w14:textId="77777777">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sidRPr="0077168E">
              <w:rPr>
                <w:sz w:val="16"/>
                <w:szCs w:val="16"/>
              </w:rPr>
              <w:t>Information Collection</w:t>
            </w:r>
          </w:p>
        </w:tc>
        <w:tc>
          <w:tcPr>
            <w:tcW w:w="1245" w:type="dxa"/>
          </w:tcPr>
          <w:p w:rsidR="0020608F" w:rsidRPr="0077168E" w:rsidP="00E565CC" w14:paraId="4E30B1E2" w14:textId="77777777">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sidRPr="0077168E">
              <w:rPr>
                <w:sz w:val="16"/>
                <w:szCs w:val="16"/>
              </w:rPr>
              <w:t>Number of Respondents</w:t>
            </w:r>
          </w:p>
        </w:tc>
        <w:tc>
          <w:tcPr>
            <w:tcW w:w="1244" w:type="dxa"/>
          </w:tcPr>
          <w:p w:rsidR="0020608F" w:rsidRPr="0077168E" w:rsidP="00E565CC" w14:paraId="3D250714" w14:textId="77777777">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sidRPr="0077168E">
              <w:rPr>
                <w:sz w:val="16"/>
                <w:szCs w:val="16"/>
              </w:rPr>
              <w:t>Frequency of Response per Respondents</w:t>
            </w:r>
          </w:p>
        </w:tc>
        <w:tc>
          <w:tcPr>
            <w:tcW w:w="1239" w:type="dxa"/>
          </w:tcPr>
          <w:p w:rsidR="0020608F" w:rsidRPr="0077168E" w:rsidP="00E565CC" w14:paraId="508D4F80" w14:textId="77777777">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sidRPr="0077168E">
              <w:rPr>
                <w:sz w:val="16"/>
                <w:szCs w:val="16"/>
              </w:rPr>
              <w:t xml:space="preserve">Total Annual Responses </w:t>
            </w:r>
          </w:p>
        </w:tc>
        <w:tc>
          <w:tcPr>
            <w:tcW w:w="1237" w:type="dxa"/>
          </w:tcPr>
          <w:p w:rsidR="0020608F" w:rsidRPr="0077168E" w:rsidP="00E565CC" w14:paraId="582FB50B" w14:textId="77777777">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sidRPr="0077168E">
              <w:rPr>
                <w:sz w:val="16"/>
                <w:szCs w:val="16"/>
              </w:rPr>
              <w:t>Burden Hour Per Response</w:t>
            </w:r>
          </w:p>
        </w:tc>
        <w:tc>
          <w:tcPr>
            <w:tcW w:w="1233" w:type="dxa"/>
          </w:tcPr>
          <w:p w:rsidR="0020608F" w:rsidRPr="0077168E" w:rsidP="00E565CC" w14:paraId="39415524" w14:textId="77777777">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sidRPr="0077168E">
              <w:rPr>
                <w:sz w:val="16"/>
                <w:szCs w:val="16"/>
              </w:rPr>
              <w:t>Annual Burden Hours</w:t>
            </w:r>
          </w:p>
        </w:tc>
        <w:tc>
          <w:tcPr>
            <w:tcW w:w="1237" w:type="dxa"/>
          </w:tcPr>
          <w:p w:rsidR="0020608F" w:rsidRPr="00D8618C" w:rsidP="00E565CC" w14:paraId="1A6C205F" w14:textId="77777777">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sidRPr="00D8618C">
              <w:rPr>
                <w:sz w:val="16"/>
                <w:szCs w:val="16"/>
              </w:rPr>
              <w:t>Hourly Cost Per Response</w:t>
            </w:r>
          </w:p>
        </w:tc>
        <w:tc>
          <w:tcPr>
            <w:tcW w:w="1303" w:type="dxa"/>
          </w:tcPr>
          <w:p w:rsidR="0020608F" w:rsidRPr="0077168E" w:rsidP="00E565CC" w14:paraId="41228B44" w14:textId="77777777">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sidRPr="0077168E">
              <w:rPr>
                <w:sz w:val="16"/>
                <w:szCs w:val="16"/>
              </w:rPr>
              <w:t>Annual Cost</w:t>
            </w:r>
          </w:p>
        </w:tc>
      </w:tr>
      <w:tr w14:paraId="2D1789A2" w14:textId="77777777" w:rsidTr="004B26F8">
        <w:tblPrEx>
          <w:tblW w:w="9900" w:type="dxa"/>
          <w:tblInd w:w="535" w:type="dxa"/>
          <w:tblLook w:val="04A0"/>
        </w:tblPrEx>
        <w:trPr>
          <w:trHeight w:val="254"/>
        </w:trPr>
        <w:tc>
          <w:tcPr>
            <w:tcW w:w="1162" w:type="dxa"/>
          </w:tcPr>
          <w:p w:rsidR="004B26F8" w:rsidP="00EC2973" w14:paraId="49A43598" w14:textId="77777777">
            <w:pPr>
              <w:keepLines/>
              <w:tabs>
                <w:tab w:val="left" w:pos="360"/>
                <w:tab w:val="left" w:pos="720"/>
                <w:tab w:val="center" w:pos="1680"/>
                <w:tab w:val="center" w:pos="3120"/>
                <w:tab w:val="center" w:pos="4560"/>
                <w:tab w:val="center" w:pos="6000"/>
                <w:tab w:val="center" w:pos="7440"/>
                <w:tab w:val="center" w:pos="8880"/>
              </w:tabs>
              <w:rPr>
                <w:sz w:val="16"/>
                <w:szCs w:val="16"/>
              </w:rPr>
            </w:pPr>
            <w:r>
              <w:rPr>
                <w:sz w:val="16"/>
                <w:szCs w:val="16"/>
              </w:rPr>
              <w:t>SF-1199A</w:t>
            </w:r>
          </w:p>
        </w:tc>
        <w:tc>
          <w:tcPr>
            <w:tcW w:w="1245" w:type="dxa"/>
          </w:tcPr>
          <w:p w:rsidR="004B26F8" w:rsidRPr="0077168E" w:rsidP="00EC2973" w14:paraId="3BA8D851" w14:textId="77777777">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Pr>
                <w:sz w:val="16"/>
                <w:szCs w:val="16"/>
              </w:rPr>
              <w:t>5</w:t>
            </w:r>
          </w:p>
        </w:tc>
        <w:tc>
          <w:tcPr>
            <w:tcW w:w="1244" w:type="dxa"/>
          </w:tcPr>
          <w:p w:rsidR="004B26F8" w:rsidRPr="0077168E" w:rsidP="00EC2973" w14:paraId="577F7BEF" w14:textId="77777777">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Pr>
                <w:sz w:val="16"/>
                <w:szCs w:val="16"/>
              </w:rPr>
              <w:t>1</w:t>
            </w:r>
          </w:p>
        </w:tc>
        <w:tc>
          <w:tcPr>
            <w:tcW w:w="1239" w:type="dxa"/>
          </w:tcPr>
          <w:p w:rsidR="004B26F8" w:rsidRPr="0077168E" w:rsidP="00EC2973" w14:paraId="50C257DD" w14:textId="77777777">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Pr>
                <w:sz w:val="16"/>
                <w:szCs w:val="16"/>
              </w:rPr>
              <w:t>5</w:t>
            </w:r>
          </w:p>
        </w:tc>
        <w:tc>
          <w:tcPr>
            <w:tcW w:w="1237" w:type="dxa"/>
          </w:tcPr>
          <w:p w:rsidR="004B26F8" w:rsidP="00EC2973" w14:paraId="4AB1A388" w14:textId="2F868A6A">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Pr>
                <w:sz w:val="16"/>
                <w:szCs w:val="16"/>
              </w:rPr>
              <w:t>1</w:t>
            </w:r>
          </w:p>
        </w:tc>
        <w:tc>
          <w:tcPr>
            <w:tcW w:w="1233" w:type="dxa"/>
          </w:tcPr>
          <w:p w:rsidR="004B26F8" w:rsidP="00EC2973" w14:paraId="1BDB87FA" w14:textId="77777777">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Pr>
                <w:sz w:val="16"/>
                <w:szCs w:val="16"/>
              </w:rPr>
              <w:t>5</w:t>
            </w:r>
          </w:p>
        </w:tc>
        <w:tc>
          <w:tcPr>
            <w:tcW w:w="1237" w:type="dxa"/>
          </w:tcPr>
          <w:p w:rsidR="004B26F8" w:rsidRPr="00D8618C" w:rsidP="00EC2973" w14:paraId="4FFC470E" w14:textId="57DE2349">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sidRPr="00D8618C">
              <w:rPr>
                <w:sz w:val="16"/>
                <w:szCs w:val="16"/>
              </w:rPr>
              <w:t>68.</w:t>
            </w:r>
            <w:r w:rsidRPr="00D8618C" w:rsidR="00EB0F64">
              <w:rPr>
                <w:sz w:val="16"/>
                <w:szCs w:val="16"/>
              </w:rPr>
              <w:t>96</w:t>
            </w:r>
          </w:p>
        </w:tc>
        <w:tc>
          <w:tcPr>
            <w:tcW w:w="1303" w:type="dxa"/>
          </w:tcPr>
          <w:p w:rsidR="004B26F8" w:rsidP="00EC2973" w14:paraId="1C3EB7A2" w14:textId="6189B07D">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Pr>
                <w:sz w:val="16"/>
                <w:szCs w:val="16"/>
              </w:rPr>
              <w:t>34</w:t>
            </w:r>
            <w:r w:rsidR="00D8618C">
              <w:rPr>
                <w:sz w:val="16"/>
                <w:szCs w:val="16"/>
              </w:rPr>
              <w:t>4</w:t>
            </w:r>
            <w:r>
              <w:rPr>
                <w:sz w:val="16"/>
                <w:szCs w:val="16"/>
              </w:rPr>
              <w:t>.</w:t>
            </w:r>
            <w:r w:rsidR="00D8618C">
              <w:rPr>
                <w:sz w:val="16"/>
                <w:szCs w:val="16"/>
              </w:rPr>
              <w:t>8</w:t>
            </w:r>
            <w:r>
              <w:rPr>
                <w:sz w:val="16"/>
                <w:szCs w:val="16"/>
              </w:rPr>
              <w:t>0</w:t>
            </w:r>
          </w:p>
        </w:tc>
      </w:tr>
      <w:tr w14:paraId="0E3CDCC0" w14:textId="77777777" w:rsidTr="004B26F8">
        <w:tblPrEx>
          <w:tblW w:w="9900" w:type="dxa"/>
          <w:tblInd w:w="535" w:type="dxa"/>
          <w:tblLook w:val="04A0"/>
        </w:tblPrEx>
        <w:trPr>
          <w:trHeight w:val="254"/>
        </w:trPr>
        <w:tc>
          <w:tcPr>
            <w:tcW w:w="1162" w:type="dxa"/>
          </w:tcPr>
          <w:p w:rsidR="0020608F" w:rsidRPr="0077168E" w:rsidP="00E565CC" w14:paraId="1B0F7A4A" w14:textId="5BBC84E8">
            <w:pPr>
              <w:keepLines/>
              <w:tabs>
                <w:tab w:val="left" w:pos="360"/>
                <w:tab w:val="left" w:pos="720"/>
                <w:tab w:val="center" w:pos="1680"/>
                <w:tab w:val="center" w:pos="3120"/>
                <w:tab w:val="center" w:pos="4560"/>
                <w:tab w:val="center" w:pos="6000"/>
                <w:tab w:val="center" w:pos="7440"/>
                <w:tab w:val="center" w:pos="8880"/>
              </w:tabs>
              <w:rPr>
                <w:sz w:val="16"/>
                <w:szCs w:val="16"/>
              </w:rPr>
            </w:pPr>
            <w:r w:rsidRPr="0077168E">
              <w:rPr>
                <w:sz w:val="16"/>
                <w:szCs w:val="16"/>
              </w:rPr>
              <w:t>Post-award report</w:t>
            </w:r>
            <w:r w:rsidR="0051382A">
              <w:rPr>
                <w:sz w:val="16"/>
                <w:szCs w:val="16"/>
              </w:rPr>
              <w:t>ing</w:t>
            </w:r>
          </w:p>
        </w:tc>
        <w:tc>
          <w:tcPr>
            <w:tcW w:w="1245" w:type="dxa"/>
          </w:tcPr>
          <w:p w:rsidR="0020608F" w:rsidRPr="0077168E" w:rsidP="00E565CC" w14:paraId="3BD32A98" w14:textId="77777777">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sidRPr="0077168E">
              <w:rPr>
                <w:sz w:val="16"/>
                <w:szCs w:val="16"/>
              </w:rPr>
              <w:t>5</w:t>
            </w:r>
          </w:p>
        </w:tc>
        <w:tc>
          <w:tcPr>
            <w:tcW w:w="1244" w:type="dxa"/>
          </w:tcPr>
          <w:p w:rsidR="0020608F" w:rsidRPr="0077168E" w:rsidP="00E565CC" w14:paraId="2F15EE86" w14:textId="77777777">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sidRPr="0077168E">
              <w:rPr>
                <w:sz w:val="16"/>
                <w:szCs w:val="16"/>
              </w:rPr>
              <w:t>1</w:t>
            </w:r>
          </w:p>
        </w:tc>
        <w:tc>
          <w:tcPr>
            <w:tcW w:w="1239" w:type="dxa"/>
          </w:tcPr>
          <w:p w:rsidR="0020608F" w:rsidRPr="0077168E" w:rsidP="00E565CC" w14:paraId="776C5455" w14:textId="77777777">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sidRPr="0077168E">
              <w:rPr>
                <w:sz w:val="16"/>
                <w:szCs w:val="16"/>
              </w:rPr>
              <w:t>5</w:t>
            </w:r>
          </w:p>
        </w:tc>
        <w:tc>
          <w:tcPr>
            <w:tcW w:w="1237" w:type="dxa"/>
          </w:tcPr>
          <w:p w:rsidR="0020608F" w:rsidRPr="0077168E" w:rsidP="00E565CC" w14:paraId="11EC2FED" w14:textId="65FEC6FF">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Pr>
                <w:sz w:val="16"/>
                <w:szCs w:val="16"/>
              </w:rPr>
              <w:t>2</w:t>
            </w:r>
          </w:p>
        </w:tc>
        <w:tc>
          <w:tcPr>
            <w:tcW w:w="1233" w:type="dxa"/>
          </w:tcPr>
          <w:p w:rsidR="0020608F" w:rsidRPr="0077168E" w:rsidP="00E565CC" w14:paraId="2CF75211" w14:textId="3F4F30E1">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Pr>
                <w:sz w:val="16"/>
                <w:szCs w:val="16"/>
              </w:rPr>
              <w:t>10</w:t>
            </w:r>
          </w:p>
        </w:tc>
        <w:tc>
          <w:tcPr>
            <w:tcW w:w="1237" w:type="dxa"/>
          </w:tcPr>
          <w:p w:rsidR="0020608F" w:rsidRPr="00D326E0" w:rsidP="00E565CC" w14:paraId="27142E25" w14:textId="72AD9B4D">
            <w:pPr>
              <w:keepLines/>
              <w:tabs>
                <w:tab w:val="left" w:pos="360"/>
                <w:tab w:val="left" w:pos="720"/>
                <w:tab w:val="center" w:pos="1680"/>
                <w:tab w:val="center" w:pos="3120"/>
                <w:tab w:val="center" w:pos="4560"/>
                <w:tab w:val="center" w:pos="6000"/>
                <w:tab w:val="center" w:pos="7440"/>
                <w:tab w:val="center" w:pos="8880"/>
              </w:tabs>
              <w:jc w:val="center"/>
              <w:rPr>
                <w:sz w:val="16"/>
                <w:szCs w:val="16"/>
                <w:highlight w:val="yellow"/>
              </w:rPr>
            </w:pPr>
            <w:r w:rsidRPr="00FB0C12">
              <w:rPr>
                <w:sz w:val="16"/>
                <w:szCs w:val="16"/>
              </w:rPr>
              <w:t>68.</w:t>
            </w:r>
            <w:r w:rsidRPr="00FB0C12" w:rsidR="00EB0F64">
              <w:rPr>
                <w:sz w:val="16"/>
                <w:szCs w:val="16"/>
              </w:rPr>
              <w:t>9</w:t>
            </w:r>
            <w:r w:rsidRPr="00FB0C12" w:rsidR="00D8618C">
              <w:rPr>
                <w:sz w:val="16"/>
                <w:szCs w:val="16"/>
              </w:rPr>
              <w:t>6</w:t>
            </w:r>
          </w:p>
        </w:tc>
        <w:tc>
          <w:tcPr>
            <w:tcW w:w="1303" w:type="dxa"/>
          </w:tcPr>
          <w:p w:rsidR="0020608F" w:rsidRPr="0077168E" w:rsidP="00E565CC" w14:paraId="4C3AFE5C" w14:textId="30155CA2">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Pr>
                <w:sz w:val="16"/>
                <w:szCs w:val="16"/>
              </w:rPr>
              <w:t>68</w:t>
            </w:r>
            <w:r w:rsidR="00FB0C12">
              <w:rPr>
                <w:sz w:val="16"/>
                <w:szCs w:val="16"/>
              </w:rPr>
              <w:t>9</w:t>
            </w:r>
            <w:r>
              <w:rPr>
                <w:sz w:val="16"/>
                <w:szCs w:val="16"/>
              </w:rPr>
              <w:t>.</w:t>
            </w:r>
            <w:r w:rsidR="00FB0C12">
              <w:rPr>
                <w:sz w:val="16"/>
                <w:szCs w:val="16"/>
              </w:rPr>
              <w:t>6</w:t>
            </w:r>
            <w:r>
              <w:rPr>
                <w:sz w:val="16"/>
                <w:szCs w:val="16"/>
              </w:rPr>
              <w:t>0</w:t>
            </w:r>
          </w:p>
        </w:tc>
      </w:tr>
      <w:tr w14:paraId="6A548D26" w14:textId="77777777" w:rsidTr="004B26F8">
        <w:tblPrEx>
          <w:tblW w:w="9900" w:type="dxa"/>
          <w:tblInd w:w="535" w:type="dxa"/>
          <w:tblLook w:val="04A0"/>
        </w:tblPrEx>
        <w:trPr>
          <w:trHeight w:val="254"/>
        </w:trPr>
        <w:tc>
          <w:tcPr>
            <w:tcW w:w="1162" w:type="dxa"/>
          </w:tcPr>
          <w:p w:rsidR="0020608F" w:rsidRPr="0077168E" w:rsidP="00E565CC" w14:paraId="4FED769C" w14:textId="77777777">
            <w:pPr>
              <w:keepLines/>
              <w:tabs>
                <w:tab w:val="left" w:pos="360"/>
                <w:tab w:val="left" w:pos="720"/>
                <w:tab w:val="center" w:pos="1680"/>
                <w:tab w:val="center" w:pos="3120"/>
                <w:tab w:val="center" w:pos="4560"/>
                <w:tab w:val="center" w:pos="6000"/>
                <w:tab w:val="center" w:pos="7440"/>
                <w:tab w:val="center" w:pos="8880"/>
              </w:tabs>
              <w:rPr>
                <w:sz w:val="16"/>
                <w:szCs w:val="16"/>
              </w:rPr>
            </w:pPr>
            <w:r w:rsidRPr="0077168E">
              <w:rPr>
                <w:sz w:val="16"/>
                <w:szCs w:val="16"/>
              </w:rPr>
              <w:t>Totals</w:t>
            </w:r>
          </w:p>
        </w:tc>
        <w:tc>
          <w:tcPr>
            <w:tcW w:w="1245" w:type="dxa"/>
          </w:tcPr>
          <w:p w:rsidR="0020608F" w:rsidRPr="0077168E" w:rsidP="00E565CC" w14:paraId="63EC15BD" w14:textId="22B813E2">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Pr>
                <w:sz w:val="16"/>
                <w:szCs w:val="16"/>
              </w:rPr>
              <w:t>10</w:t>
            </w:r>
          </w:p>
        </w:tc>
        <w:tc>
          <w:tcPr>
            <w:tcW w:w="1244" w:type="dxa"/>
          </w:tcPr>
          <w:p w:rsidR="0020608F" w:rsidRPr="0077168E" w:rsidP="00E565CC" w14:paraId="730AD00B" w14:textId="77777777">
            <w:pPr>
              <w:keepLines/>
              <w:tabs>
                <w:tab w:val="left" w:pos="360"/>
                <w:tab w:val="left" w:pos="720"/>
                <w:tab w:val="center" w:pos="1680"/>
                <w:tab w:val="center" w:pos="3120"/>
                <w:tab w:val="center" w:pos="4560"/>
                <w:tab w:val="center" w:pos="6000"/>
                <w:tab w:val="center" w:pos="7440"/>
                <w:tab w:val="center" w:pos="8880"/>
              </w:tabs>
              <w:jc w:val="center"/>
              <w:rPr>
                <w:sz w:val="16"/>
                <w:szCs w:val="16"/>
              </w:rPr>
            </w:pPr>
          </w:p>
        </w:tc>
        <w:tc>
          <w:tcPr>
            <w:tcW w:w="1239" w:type="dxa"/>
          </w:tcPr>
          <w:p w:rsidR="0020608F" w:rsidRPr="0077168E" w:rsidP="00E565CC" w14:paraId="00DC34C7" w14:textId="5B27FBFE">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Pr>
                <w:sz w:val="16"/>
                <w:szCs w:val="16"/>
              </w:rPr>
              <w:t>10</w:t>
            </w:r>
          </w:p>
        </w:tc>
        <w:tc>
          <w:tcPr>
            <w:tcW w:w="1237" w:type="dxa"/>
          </w:tcPr>
          <w:p w:rsidR="0020608F" w:rsidRPr="0077168E" w:rsidP="00E565CC" w14:paraId="1AE176A9" w14:textId="77777777">
            <w:pPr>
              <w:keepLines/>
              <w:tabs>
                <w:tab w:val="left" w:pos="360"/>
                <w:tab w:val="left" w:pos="720"/>
                <w:tab w:val="center" w:pos="1680"/>
                <w:tab w:val="center" w:pos="3120"/>
                <w:tab w:val="center" w:pos="4560"/>
                <w:tab w:val="center" w:pos="6000"/>
                <w:tab w:val="center" w:pos="7440"/>
                <w:tab w:val="center" w:pos="8880"/>
              </w:tabs>
              <w:jc w:val="center"/>
              <w:rPr>
                <w:sz w:val="16"/>
                <w:szCs w:val="16"/>
              </w:rPr>
            </w:pPr>
          </w:p>
        </w:tc>
        <w:tc>
          <w:tcPr>
            <w:tcW w:w="1233" w:type="dxa"/>
          </w:tcPr>
          <w:p w:rsidR="0020608F" w:rsidRPr="0077168E" w:rsidP="00E565CC" w14:paraId="5691E5FF" w14:textId="5BF72D39">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Pr>
                <w:sz w:val="16"/>
                <w:szCs w:val="16"/>
              </w:rPr>
              <w:t>1</w:t>
            </w:r>
            <w:r w:rsidR="004B2316">
              <w:rPr>
                <w:sz w:val="16"/>
                <w:szCs w:val="16"/>
              </w:rPr>
              <w:t>5</w:t>
            </w:r>
          </w:p>
        </w:tc>
        <w:tc>
          <w:tcPr>
            <w:tcW w:w="1237" w:type="dxa"/>
          </w:tcPr>
          <w:p w:rsidR="0020608F" w:rsidRPr="00D326E0" w:rsidP="00E565CC" w14:paraId="36313A3F" w14:textId="77777777">
            <w:pPr>
              <w:keepLines/>
              <w:tabs>
                <w:tab w:val="left" w:pos="360"/>
                <w:tab w:val="left" w:pos="720"/>
                <w:tab w:val="center" w:pos="1680"/>
                <w:tab w:val="center" w:pos="3120"/>
                <w:tab w:val="center" w:pos="4560"/>
                <w:tab w:val="center" w:pos="6000"/>
                <w:tab w:val="center" w:pos="7440"/>
                <w:tab w:val="center" w:pos="8880"/>
              </w:tabs>
              <w:jc w:val="center"/>
              <w:rPr>
                <w:sz w:val="16"/>
                <w:szCs w:val="16"/>
                <w:highlight w:val="yellow"/>
              </w:rPr>
            </w:pPr>
          </w:p>
        </w:tc>
        <w:tc>
          <w:tcPr>
            <w:tcW w:w="1303" w:type="dxa"/>
          </w:tcPr>
          <w:p w:rsidR="0020608F" w:rsidRPr="0077168E" w:rsidP="00E565CC" w14:paraId="19945383" w14:textId="22D3DCE5">
            <w:pPr>
              <w:keepLines/>
              <w:tabs>
                <w:tab w:val="left" w:pos="360"/>
                <w:tab w:val="left" w:pos="720"/>
                <w:tab w:val="center" w:pos="1680"/>
                <w:tab w:val="center" w:pos="3120"/>
                <w:tab w:val="center" w:pos="4560"/>
                <w:tab w:val="center" w:pos="6000"/>
                <w:tab w:val="center" w:pos="7440"/>
                <w:tab w:val="center" w:pos="8880"/>
              </w:tabs>
              <w:jc w:val="center"/>
              <w:rPr>
                <w:sz w:val="16"/>
                <w:szCs w:val="16"/>
              </w:rPr>
            </w:pPr>
            <w:r w:rsidRPr="0077168E">
              <w:rPr>
                <w:sz w:val="16"/>
                <w:szCs w:val="16"/>
              </w:rPr>
              <w:t>$</w:t>
            </w:r>
            <w:r w:rsidR="00022427">
              <w:t xml:space="preserve"> </w:t>
            </w:r>
            <w:r w:rsidRPr="00602A01" w:rsidR="00602A01">
              <w:rPr>
                <w:sz w:val="16"/>
                <w:szCs w:val="16"/>
              </w:rPr>
              <w:t>1</w:t>
            </w:r>
            <w:r w:rsidRPr="00022427" w:rsidR="00022427">
              <w:rPr>
                <w:sz w:val="16"/>
                <w:szCs w:val="16"/>
              </w:rPr>
              <w:t>,0</w:t>
            </w:r>
            <w:r w:rsidR="00917FA4">
              <w:rPr>
                <w:sz w:val="16"/>
                <w:szCs w:val="16"/>
              </w:rPr>
              <w:t>34</w:t>
            </w:r>
            <w:r w:rsidRPr="00022427" w:rsidR="00022427">
              <w:rPr>
                <w:sz w:val="16"/>
                <w:szCs w:val="16"/>
              </w:rPr>
              <w:t>.</w:t>
            </w:r>
            <w:r w:rsidR="001C22ED">
              <w:rPr>
                <w:sz w:val="16"/>
                <w:szCs w:val="16"/>
              </w:rPr>
              <w:t>40</w:t>
            </w:r>
          </w:p>
        </w:tc>
      </w:tr>
    </w:tbl>
    <w:p w:rsidR="00BD682E" w:rsidP="006734AD" w14:paraId="13A7D366" w14:textId="77777777">
      <w:pPr>
        <w:keepLines/>
        <w:tabs>
          <w:tab w:val="left" w:pos="360"/>
        </w:tabs>
        <w:spacing w:after="80"/>
        <w:ind w:left="360" w:hanging="360"/>
        <w:rPr>
          <w:sz w:val="24"/>
          <w:szCs w:val="24"/>
        </w:rPr>
      </w:pPr>
    </w:p>
    <w:p w:rsidR="006734AD" w:rsidRPr="006C7FAE" w:rsidP="006734AD" w14:paraId="0E552DE0" w14:textId="51D92D33">
      <w:pPr>
        <w:keepLines/>
        <w:tabs>
          <w:tab w:val="left" w:pos="360"/>
        </w:tabs>
        <w:spacing w:after="80"/>
        <w:ind w:left="360" w:hanging="360"/>
        <w:rPr>
          <w:sz w:val="24"/>
          <w:szCs w:val="24"/>
        </w:rPr>
      </w:pPr>
      <w:r>
        <w:rPr>
          <w:sz w:val="24"/>
          <w:szCs w:val="24"/>
        </w:rPr>
        <w:t xml:space="preserve">15. </w:t>
      </w:r>
      <w:r w:rsidRPr="00703DDE">
        <w:rPr>
          <w:b/>
          <w:bCs/>
          <w:sz w:val="24"/>
          <w:szCs w:val="24"/>
        </w:rPr>
        <w:t>Explain the reasons for any program changes or adjustments reported in Items 12 and 14 of the Supporting Statement.</w:t>
      </w:r>
    </w:p>
    <w:p w:rsidR="00F87D5C" w:rsidP="006734AD" w14:paraId="3D97B026" w14:textId="77777777">
      <w:pPr>
        <w:keepLines/>
        <w:tabs>
          <w:tab w:val="left" w:pos="360"/>
          <w:tab w:val="left" w:pos="720"/>
        </w:tabs>
        <w:ind w:left="360"/>
        <w:rPr>
          <w:sz w:val="24"/>
          <w:szCs w:val="24"/>
        </w:rPr>
      </w:pPr>
    </w:p>
    <w:p w:rsidR="006734AD" w:rsidRPr="00C82CBE" w:rsidP="00F87D5C" w14:paraId="74CDB35A" w14:textId="759353E0">
      <w:pPr>
        <w:keepLines/>
        <w:tabs>
          <w:tab w:val="left" w:pos="360"/>
          <w:tab w:val="left" w:pos="720"/>
        </w:tabs>
        <w:ind w:left="720"/>
        <w:rPr>
          <w:sz w:val="24"/>
          <w:szCs w:val="24"/>
        </w:rPr>
      </w:pPr>
      <w:r w:rsidRPr="00C82CBE">
        <w:rPr>
          <w:rStyle w:val="normaltextrun"/>
          <w:rFonts w:eastAsiaTheme="majorEastAsia"/>
          <w:color w:val="000000"/>
          <w:sz w:val="24"/>
          <w:szCs w:val="24"/>
        </w:rPr>
        <w:t>This is a reinstatement with change to a previously approved collection. The previously approved collection</w:t>
      </w:r>
      <w:r w:rsidRPr="00C82CBE">
        <w:rPr>
          <w:sz w:val="24"/>
          <w:szCs w:val="24"/>
        </w:rPr>
        <w:t xml:space="preserve"> included both pre-award and post-award collection information. </w:t>
      </w:r>
      <w:r w:rsidRPr="00C82CBE" w:rsidR="009C476B">
        <w:rPr>
          <w:sz w:val="24"/>
          <w:szCs w:val="24"/>
        </w:rPr>
        <w:t>This collection is a post</w:t>
      </w:r>
      <w:r w:rsidRPr="00C82CBE" w:rsidR="009C476B">
        <w:rPr>
          <w:sz w:val="24"/>
          <w:szCs w:val="24"/>
        </w:rPr>
        <w:noBreakHyphen/>
        <w:t>award submission. All pre</w:t>
      </w:r>
      <w:r w:rsidRPr="00C82CBE" w:rsidR="009C476B">
        <w:rPr>
          <w:sz w:val="24"/>
          <w:szCs w:val="24"/>
        </w:rPr>
        <w:noBreakHyphen/>
        <w:t>award information has been submitted under the Generic NOFO OMB Control Number 2501</w:t>
      </w:r>
      <w:r w:rsidRPr="00C82CBE" w:rsidR="009C476B">
        <w:rPr>
          <w:sz w:val="24"/>
          <w:szCs w:val="24"/>
        </w:rPr>
        <w:noBreakHyphen/>
        <w:t>0044</w:t>
      </w:r>
      <w:r w:rsidRPr="00C82CBE" w:rsidR="000904E0">
        <w:rPr>
          <w:sz w:val="24"/>
          <w:szCs w:val="24"/>
        </w:rPr>
        <w:t xml:space="preserve">. </w:t>
      </w:r>
      <w:r w:rsidRPr="00C82CBE" w:rsidR="00D852FC">
        <w:rPr>
          <w:sz w:val="24"/>
          <w:szCs w:val="24"/>
        </w:rPr>
        <w:t>As a result of the removal of pre-award information, the burden summary has significantly decreased from 110 respondents to 15 respondents and 680 burden hours to 10 burden hours. The narrative and form HUD-50075.1, Annual Statement/Budget, have been removed from this collection and is collected under the Generic NOFO OMB Control Number 2501</w:t>
      </w:r>
      <w:r w:rsidRPr="00C82CBE" w:rsidR="00D852FC">
        <w:rPr>
          <w:sz w:val="24"/>
          <w:szCs w:val="24"/>
        </w:rPr>
        <w:noBreakHyphen/>
        <w:t>0044.</w:t>
      </w:r>
    </w:p>
    <w:p w:rsidR="00B93DC6" w:rsidP="00F87D5C" w14:paraId="277D4BD2" w14:textId="77777777">
      <w:pPr>
        <w:keepLines/>
        <w:tabs>
          <w:tab w:val="left" w:pos="360"/>
          <w:tab w:val="left" w:pos="720"/>
        </w:tabs>
        <w:ind w:left="720"/>
        <w:rPr>
          <w:sz w:val="24"/>
          <w:szCs w:val="24"/>
        </w:rPr>
      </w:pPr>
    </w:p>
    <w:p w:rsidR="006734AD" w:rsidRPr="006C7FAE" w:rsidP="006734AD" w14:paraId="016625BD" w14:textId="77777777">
      <w:pPr>
        <w:keepLines/>
        <w:tabs>
          <w:tab w:val="left" w:pos="360"/>
        </w:tabs>
        <w:spacing w:after="80"/>
        <w:ind w:left="360" w:hanging="360"/>
        <w:rPr>
          <w:sz w:val="24"/>
          <w:szCs w:val="24"/>
        </w:rPr>
      </w:pPr>
      <w:r w:rsidRPr="006C7FAE">
        <w:rPr>
          <w:sz w:val="24"/>
          <w:szCs w:val="24"/>
        </w:rPr>
        <w:t>16.</w:t>
      </w:r>
      <w:r w:rsidRPr="006C7FAE">
        <w:rPr>
          <w:sz w:val="24"/>
          <w:szCs w:val="24"/>
        </w:rPr>
        <w:tab/>
      </w:r>
      <w:r w:rsidRPr="00703DDE">
        <w:rPr>
          <w:b/>
          <w:bCs/>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734AD" w:rsidP="006734AD" w14:paraId="46C26AEC" w14:textId="77777777">
      <w:pPr>
        <w:tabs>
          <w:tab w:val="left" w:pos="360"/>
        </w:tabs>
        <w:ind w:left="360" w:hanging="360"/>
        <w:rPr>
          <w:sz w:val="24"/>
          <w:szCs w:val="24"/>
        </w:rPr>
      </w:pPr>
    </w:p>
    <w:p w:rsidR="006734AD" w:rsidP="006734AD" w14:paraId="2B8CC078" w14:textId="77777777">
      <w:pPr>
        <w:ind w:left="1080" w:hanging="360"/>
        <w:rPr>
          <w:sz w:val="24"/>
          <w:szCs w:val="24"/>
        </w:rPr>
      </w:pPr>
      <w:r w:rsidRPr="00F87D5C">
        <w:rPr>
          <w:sz w:val="24"/>
          <w:szCs w:val="24"/>
        </w:rPr>
        <w:t xml:space="preserve">This information will not be published. </w:t>
      </w:r>
    </w:p>
    <w:p w:rsidR="006734AD" w:rsidRPr="006C7FAE" w:rsidP="006734AD" w14:paraId="51C08DA4" w14:textId="77777777">
      <w:pPr>
        <w:tabs>
          <w:tab w:val="left" w:pos="360"/>
        </w:tabs>
        <w:ind w:left="360" w:hanging="360"/>
        <w:rPr>
          <w:sz w:val="24"/>
          <w:szCs w:val="24"/>
        </w:rPr>
      </w:pPr>
    </w:p>
    <w:p w:rsidR="006734AD" w:rsidRPr="006C7FAE" w:rsidP="006734AD" w14:paraId="6306A272" w14:textId="77777777">
      <w:pPr>
        <w:keepLines/>
        <w:tabs>
          <w:tab w:val="left" w:pos="360"/>
        </w:tabs>
        <w:spacing w:after="80"/>
        <w:ind w:left="360" w:hanging="360"/>
        <w:rPr>
          <w:sz w:val="24"/>
          <w:szCs w:val="24"/>
        </w:rPr>
      </w:pPr>
      <w:r w:rsidRPr="006C7FAE">
        <w:rPr>
          <w:sz w:val="24"/>
          <w:szCs w:val="24"/>
        </w:rPr>
        <w:t>17.</w:t>
      </w:r>
      <w:r w:rsidRPr="00703DDE">
        <w:rPr>
          <w:b/>
          <w:bCs/>
          <w:sz w:val="24"/>
          <w:szCs w:val="24"/>
        </w:rPr>
        <w:tab/>
        <w:t>If seeking approval to not display the expiration date for OMB approval of the information collection, explain the reasons that display would be inappropriate.</w:t>
      </w:r>
    </w:p>
    <w:p w:rsidR="00F145F8" w:rsidP="006734AD" w14:paraId="216535BA" w14:textId="77777777">
      <w:pPr>
        <w:keepLines/>
        <w:tabs>
          <w:tab w:val="left" w:pos="360"/>
          <w:tab w:val="left" w:pos="720"/>
        </w:tabs>
        <w:spacing w:before="80"/>
        <w:ind w:left="720"/>
        <w:rPr>
          <w:color w:val="000000"/>
          <w:sz w:val="24"/>
          <w:szCs w:val="24"/>
        </w:rPr>
      </w:pPr>
    </w:p>
    <w:p w:rsidR="006734AD" w:rsidRPr="007607C8" w:rsidP="006734AD" w14:paraId="1092CF67" w14:textId="02AF7D43">
      <w:pPr>
        <w:keepLines/>
        <w:tabs>
          <w:tab w:val="left" w:pos="360"/>
          <w:tab w:val="left" w:pos="720"/>
        </w:tabs>
        <w:spacing w:before="80"/>
        <w:ind w:left="720"/>
        <w:rPr>
          <w:color w:val="000000"/>
          <w:sz w:val="24"/>
          <w:szCs w:val="24"/>
        </w:rPr>
      </w:pPr>
      <w:r w:rsidRPr="007607C8">
        <w:rPr>
          <w:color w:val="000000"/>
          <w:sz w:val="24"/>
          <w:szCs w:val="24"/>
        </w:rPr>
        <w:t>No request is made not to display the expiration date.</w:t>
      </w:r>
    </w:p>
    <w:p w:rsidR="006734AD" w:rsidRPr="006C7FAE" w:rsidP="006734AD" w14:paraId="6B2B49AE" w14:textId="77777777">
      <w:pPr>
        <w:keepLines/>
        <w:tabs>
          <w:tab w:val="left" w:pos="360"/>
          <w:tab w:val="left" w:pos="720"/>
        </w:tabs>
        <w:ind w:left="360"/>
        <w:rPr>
          <w:sz w:val="24"/>
          <w:szCs w:val="24"/>
        </w:rPr>
      </w:pPr>
    </w:p>
    <w:p w:rsidR="006734AD" w:rsidRPr="00703DDE" w:rsidP="006734AD" w14:paraId="76B678F1" w14:textId="1A486F07">
      <w:pPr>
        <w:keepLines/>
        <w:tabs>
          <w:tab w:val="left" w:pos="360"/>
        </w:tabs>
        <w:spacing w:after="80"/>
        <w:ind w:left="360" w:hanging="360"/>
        <w:rPr>
          <w:rFonts w:ascii="Courier" w:hAnsi="Courier"/>
          <w:b/>
          <w:bCs/>
          <w:sz w:val="24"/>
          <w:szCs w:val="24"/>
        </w:rPr>
      </w:pPr>
      <w:r w:rsidRPr="006C7FAE">
        <w:rPr>
          <w:sz w:val="24"/>
          <w:szCs w:val="24"/>
        </w:rPr>
        <w:t>18.</w:t>
      </w:r>
      <w:r w:rsidRPr="006C7FAE">
        <w:rPr>
          <w:sz w:val="24"/>
          <w:szCs w:val="24"/>
        </w:rPr>
        <w:tab/>
      </w:r>
      <w:r w:rsidRPr="00703DDE">
        <w:rPr>
          <w:b/>
          <w:bCs/>
          <w:sz w:val="24"/>
          <w:szCs w:val="24"/>
        </w:rPr>
        <w:t>Explain each exception to the certification statement identified.</w:t>
      </w:r>
    </w:p>
    <w:p w:rsidR="006734AD" w:rsidRPr="006C7FAE" w:rsidP="006734AD" w14:paraId="514AA292" w14:textId="77777777">
      <w:pPr>
        <w:keepLines/>
        <w:tabs>
          <w:tab w:val="left" w:pos="360"/>
          <w:tab w:val="left" w:pos="720"/>
        </w:tabs>
        <w:ind w:left="360"/>
        <w:rPr>
          <w:sz w:val="24"/>
          <w:szCs w:val="24"/>
        </w:rPr>
      </w:pPr>
    </w:p>
    <w:p w:rsidR="006734AD" w:rsidRPr="007607C8" w:rsidP="006734AD" w14:paraId="374B9FF8" w14:textId="4804FB9E">
      <w:pPr>
        <w:keepLines/>
        <w:tabs>
          <w:tab w:val="left" w:pos="360"/>
        </w:tabs>
        <w:spacing w:after="80"/>
        <w:ind w:left="720"/>
        <w:rPr>
          <w:color w:val="000000"/>
          <w:sz w:val="24"/>
          <w:szCs w:val="24"/>
        </w:rPr>
      </w:pPr>
      <w:r w:rsidRPr="007607C8">
        <w:rPr>
          <w:color w:val="000000"/>
          <w:sz w:val="24"/>
          <w:szCs w:val="24"/>
        </w:rPr>
        <w:t xml:space="preserve">There are no exceptions to the certification statement. </w:t>
      </w:r>
    </w:p>
    <w:p w:rsidR="006734AD" w:rsidRPr="00CE1548" w:rsidP="006734AD" w14:paraId="6B44BA44" w14:textId="77777777">
      <w:pPr>
        <w:tabs>
          <w:tab w:val="left" w:pos="360"/>
          <w:tab w:val="left" w:pos="720"/>
        </w:tabs>
        <w:rPr>
          <w:color w:val="000000"/>
          <w:sz w:val="22"/>
          <w:szCs w:val="22"/>
        </w:rPr>
      </w:pPr>
    </w:p>
    <w:p w:rsidR="006734AD" w:rsidRPr="006C7FAE" w:rsidP="006734AD" w14:paraId="46AAC65A" w14:textId="77777777">
      <w:pPr>
        <w:tabs>
          <w:tab w:val="left" w:pos="360"/>
          <w:tab w:val="left" w:pos="720"/>
        </w:tabs>
        <w:rPr>
          <w:sz w:val="24"/>
          <w:szCs w:val="24"/>
        </w:rPr>
      </w:pPr>
    </w:p>
    <w:p w:rsidR="00AE1845" w14:paraId="3C724E62" w14:textId="77777777"/>
    <w:sectPr w:rsidSect="006734AD">
      <w:pgSz w:w="12240" w:h="15840"/>
      <w:pgMar w:top="1440" w:right="1440" w:bottom="1440" w:left="900" w:header="480" w:footer="480" w:gutter="0"/>
      <w:cols w:space="480" w:equalWidth="0">
        <w:col w:w="10080" w:space="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10E42536"/>
    <w:multiLevelType w:val="multilevel"/>
    <w:tmpl w:val="6CC07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num w:numId="1" w16cid:durableId="962225968">
    <w:abstractNumId w:val="2"/>
  </w:num>
  <w:num w:numId="2" w16cid:durableId="1774594277">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3" w16cid:durableId="1830170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4AD"/>
    <w:rsid w:val="000025CA"/>
    <w:rsid w:val="000034E9"/>
    <w:rsid w:val="00004FAF"/>
    <w:rsid w:val="0000565E"/>
    <w:rsid w:val="00010EAC"/>
    <w:rsid w:val="00011220"/>
    <w:rsid w:val="00013364"/>
    <w:rsid w:val="00016212"/>
    <w:rsid w:val="00016A0E"/>
    <w:rsid w:val="00017390"/>
    <w:rsid w:val="0001787B"/>
    <w:rsid w:val="00022427"/>
    <w:rsid w:val="000235A9"/>
    <w:rsid w:val="00024E48"/>
    <w:rsid w:val="00026233"/>
    <w:rsid w:val="00027C5C"/>
    <w:rsid w:val="0003060A"/>
    <w:rsid w:val="000339F7"/>
    <w:rsid w:val="00047C06"/>
    <w:rsid w:val="000507E4"/>
    <w:rsid w:val="00052132"/>
    <w:rsid w:val="00060B28"/>
    <w:rsid w:val="00062F5D"/>
    <w:rsid w:val="00063021"/>
    <w:rsid w:val="00064788"/>
    <w:rsid w:val="00070899"/>
    <w:rsid w:val="00084473"/>
    <w:rsid w:val="00084865"/>
    <w:rsid w:val="00086283"/>
    <w:rsid w:val="000904E0"/>
    <w:rsid w:val="0009139E"/>
    <w:rsid w:val="000949A0"/>
    <w:rsid w:val="00094DC9"/>
    <w:rsid w:val="0009711C"/>
    <w:rsid w:val="000A06D8"/>
    <w:rsid w:val="000A1FAE"/>
    <w:rsid w:val="000A2B27"/>
    <w:rsid w:val="000A7817"/>
    <w:rsid w:val="000B069C"/>
    <w:rsid w:val="000B0AB2"/>
    <w:rsid w:val="000B146B"/>
    <w:rsid w:val="000B7671"/>
    <w:rsid w:val="000C2988"/>
    <w:rsid w:val="000D43D4"/>
    <w:rsid w:val="000E1580"/>
    <w:rsid w:val="000E3317"/>
    <w:rsid w:val="000F14A9"/>
    <w:rsid w:val="000F1FA1"/>
    <w:rsid w:val="000F4EA3"/>
    <w:rsid w:val="0010170C"/>
    <w:rsid w:val="00104934"/>
    <w:rsid w:val="00106B9A"/>
    <w:rsid w:val="0010773E"/>
    <w:rsid w:val="0011298E"/>
    <w:rsid w:val="001154E8"/>
    <w:rsid w:val="00117D7B"/>
    <w:rsid w:val="0012461A"/>
    <w:rsid w:val="0012568B"/>
    <w:rsid w:val="001311F5"/>
    <w:rsid w:val="00136CBC"/>
    <w:rsid w:val="00140887"/>
    <w:rsid w:val="001442DD"/>
    <w:rsid w:val="00144D50"/>
    <w:rsid w:val="0014544A"/>
    <w:rsid w:val="001475B4"/>
    <w:rsid w:val="00150EE3"/>
    <w:rsid w:val="001540E7"/>
    <w:rsid w:val="00157DF1"/>
    <w:rsid w:val="001668AD"/>
    <w:rsid w:val="00167E53"/>
    <w:rsid w:val="00170B40"/>
    <w:rsid w:val="00176692"/>
    <w:rsid w:val="00180B16"/>
    <w:rsid w:val="00182D36"/>
    <w:rsid w:val="00185D59"/>
    <w:rsid w:val="001869BC"/>
    <w:rsid w:val="0018754D"/>
    <w:rsid w:val="0019394A"/>
    <w:rsid w:val="001A58BC"/>
    <w:rsid w:val="001A5EB1"/>
    <w:rsid w:val="001A6B2F"/>
    <w:rsid w:val="001A7D4A"/>
    <w:rsid w:val="001B1FC5"/>
    <w:rsid w:val="001C22ED"/>
    <w:rsid w:val="001C2D01"/>
    <w:rsid w:val="001C4A30"/>
    <w:rsid w:val="001C4D4B"/>
    <w:rsid w:val="001D6421"/>
    <w:rsid w:val="001D7D12"/>
    <w:rsid w:val="001E25ED"/>
    <w:rsid w:val="001E2FE3"/>
    <w:rsid w:val="00201468"/>
    <w:rsid w:val="0020608F"/>
    <w:rsid w:val="00207025"/>
    <w:rsid w:val="00211DCF"/>
    <w:rsid w:val="002200EB"/>
    <w:rsid w:val="00221747"/>
    <w:rsid w:val="00226894"/>
    <w:rsid w:val="00227792"/>
    <w:rsid w:val="00234694"/>
    <w:rsid w:val="00235D03"/>
    <w:rsid w:val="002417DE"/>
    <w:rsid w:val="00241C78"/>
    <w:rsid w:val="00252648"/>
    <w:rsid w:val="00254B23"/>
    <w:rsid w:val="00255B55"/>
    <w:rsid w:val="0025719A"/>
    <w:rsid w:val="00262577"/>
    <w:rsid w:val="0027170D"/>
    <w:rsid w:val="00272CD7"/>
    <w:rsid w:val="00273389"/>
    <w:rsid w:val="0027533D"/>
    <w:rsid w:val="00281772"/>
    <w:rsid w:val="002918AA"/>
    <w:rsid w:val="00295DAF"/>
    <w:rsid w:val="002A2AFF"/>
    <w:rsid w:val="002A2E5F"/>
    <w:rsid w:val="002A34A8"/>
    <w:rsid w:val="002A489A"/>
    <w:rsid w:val="002A4B0A"/>
    <w:rsid w:val="002A4DD0"/>
    <w:rsid w:val="002A77D4"/>
    <w:rsid w:val="002B3586"/>
    <w:rsid w:val="002B479A"/>
    <w:rsid w:val="002C5432"/>
    <w:rsid w:val="002C5ABC"/>
    <w:rsid w:val="002C5E4D"/>
    <w:rsid w:val="002D288B"/>
    <w:rsid w:val="002D38AB"/>
    <w:rsid w:val="002E01E3"/>
    <w:rsid w:val="002E1E5B"/>
    <w:rsid w:val="002F0960"/>
    <w:rsid w:val="002F64DB"/>
    <w:rsid w:val="00301151"/>
    <w:rsid w:val="003015D0"/>
    <w:rsid w:val="00301AE2"/>
    <w:rsid w:val="003078A0"/>
    <w:rsid w:val="003151E6"/>
    <w:rsid w:val="00321D43"/>
    <w:rsid w:val="00326647"/>
    <w:rsid w:val="003336D1"/>
    <w:rsid w:val="0033494A"/>
    <w:rsid w:val="00335062"/>
    <w:rsid w:val="003425F2"/>
    <w:rsid w:val="00342C88"/>
    <w:rsid w:val="00343FBA"/>
    <w:rsid w:val="00352C9D"/>
    <w:rsid w:val="003561FC"/>
    <w:rsid w:val="003565B0"/>
    <w:rsid w:val="00362201"/>
    <w:rsid w:val="00375FB0"/>
    <w:rsid w:val="0037604A"/>
    <w:rsid w:val="00376334"/>
    <w:rsid w:val="00380842"/>
    <w:rsid w:val="00384E9E"/>
    <w:rsid w:val="003874F4"/>
    <w:rsid w:val="00392451"/>
    <w:rsid w:val="003954BD"/>
    <w:rsid w:val="00396182"/>
    <w:rsid w:val="00396D58"/>
    <w:rsid w:val="003A2BAE"/>
    <w:rsid w:val="003A7B64"/>
    <w:rsid w:val="003B3575"/>
    <w:rsid w:val="003B6E17"/>
    <w:rsid w:val="003B7DDE"/>
    <w:rsid w:val="003C31B5"/>
    <w:rsid w:val="003C466F"/>
    <w:rsid w:val="003C751A"/>
    <w:rsid w:val="003D4732"/>
    <w:rsid w:val="003D7C46"/>
    <w:rsid w:val="003E156D"/>
    <w:rsid w:val="003F0901"/>
    <w:rsid w:val="003F6039"/>
    <w:rsid w:val="003F626B"/>
    <w:rsid w:val="003F630D"/>
    <w:rsid w:val="003F7C06"/>
    <w:rsid w:val="00401149"/>
    <w:rsid w:val="0040377B"/>
    <w:rsid w:val="004044D3"/>
    <w:rsid w:val="004055F3"/>
    <w:rsid w:val="004148EB"/>
    <w:rsid w:val="00416462"/>
    <w:rsid w:val="0041767F"/>
    <w:rsid w:val="00427A0F"/>
    <w:rsid w:val="00430BE4"/>
    <w:rsid w:val="004317A5"/>
    <w:rsid w:val="0043635C"/>
    <w:rsid w:val="00436FCE"/>
    <w:rsid w:val="0044493E"/>
    <w:rsid w:val="00452A75"/>
    <w:rsid w:val="0045450E"/>
    <w:rsid w:val="00456FBC"/>
    <w:rsid w:val="00460085"/>
    <w:rsid w:val="00460E6C"/>
    <w:rsid w:val="0046352D"/>
    <w:rsid w:val="00465A65"/>
    <w:rsid w:val="00466FB3"/>
    <w:rsid w:val="00471C59"/>
    <w:rsid w:val="004738C7"/>
    <w:rsid w:val="00474201"/>
    <w:rsid w:val="0047574C"/>
    <w:rsid w:val="0047652B"/>
    <w:rsid w:val="00482C58"/>
    <w:rsid w:val="0048350B"/>
    <w:rsid w:val="0048354E"/>
    <w:rsid w:val="00483982"/>
    <w:rsid w:val="004846D2"/>
    <w:rsid w:val="00486171"/>
    <w:rsid w:val="00496A0F"/>
    <w:rsid w:val="004A1471"/>
    <w:rsid w:val="004A3B0B"/>
    <w:rsid w:val="004A3D98"/>
    <w:rsid w:val="004A4D52"/>
    <w:rsid w:val="004A633E"/>
    <w:rsid w:val="004B2316"/>
    <w:rsid w:val="004B268E"/>
    <w:rsid w:val="004B26F8"/>
    <w:rsid w:val="004B4F1A"/>
    <w:rsid w:val="004C31AA"/>
    <w:rsid w:val="004C55F2"/>
    <w:rsid w:val="004C603F"/>
    <w:rsid w:val="004D189D"/>
    <w:rsid w:val="004D194A"/>
    <w:rsid w:val="004D5171"/>
    <w:rsid w:val="004E0A4D"/>
    <w:rsid w:val="004E0C7E"/>
    <w:rsid w:val="004E774B"/>
    <w:rsid w:val="004F1564"/>
    <w:rsid w:val="004F28F6"/>
    <w:rsid w:val="004F38BF"/>
    <w:rsid w:val="00507341"/>
    <w:rsid w:val="0051382A"/>
    <w:rsid w:val="00514107"/>
    <w:rsid w:val="00521676"/>
    <w:rsid w:val="00524B7F"/>
    <w:rsid w:val="005303DC"/>
    <w:rsid w:val="00534EFF"/>
    <w:rsid w:val="00540850"/>
    <w:rsid w:val="00550EA7"/>
    <w:rsid w:val="00554AD4"/>
    <w:rsid w:val="00556EB4"/>
    <w:rsid w:val="00560C5E"/>
    <w:rsid w:val="00562A62"/>
    <w:rsid w:val="0056782A"/>
    <w:rsid w:val="00567F9F"/>
    <w:rsid w:val="00571943"/>
    <w:rsid w:val="00573E43"/>
    <w:rsid w:val="00580C93"/>
    <w:rsid w:val="00580CC9"/>
    <w:rsid w:val="00582B57"/>
    <w:rsid w:val="00585993"/>
    <w:rsid w:val="005861B8"/>
    <w:rsid w:val="005A5D32"/>
    <w:rsid w:val="005A6061"/>
    <w:rsid w:val="005B14D1"/>
    <w:rsid w:val="005C5C05"/>
    <w:rsid w:val="005D6AA5"/>
    <w:rsid w:val="005E0C1B"/>
    <w:rsid w:val="005E6628"/>
    <w:rsid w:val="005F1DB1"/>
    <w:rsid w:val="00600051"/>
    <w:rsid w:val="006016DE"/>
    <w:rsid w:val="00602A01"/>
    <w:rsid w:val="00606A00"/>
    <w:rsid w:val="00617EEB"/>
    <w:rsid w:val="00627787"/>
    <w:rsid w:val="00636975"/>
    <w:rsid w:val="00641129"/>
    <w:rsid w:val="00641DF3"/>
    <w:rsid w:val="00641EBA"/>
    <w:rsid w:val="00653F8B"/>
    <w:rsid w:val="00656410"/>
    <w:rsid w:val="00660BC2"/>
    <w:rsid w:val="006634C8"/>
    <w:rsid w:val="006638E1"/>
    <w:rsid w:val="006660A8"/>
    <w:rsid w:val="00667075"/>
    <w:rsid w:val="0066728A"/>
    <w:rsid w:val="006734AD"/>
    <w:rsid w:val="006765F4"/>
    <w:rsid w:val="00681C20"/>
    <w:rsid w:val="00681F36"/>
    <w:rsid w:val="0068335D"/>
    <w:rsid w:val="0068406A"/>
    <w:rsid w:val="006968D0"/>
    <w:rsid w:val="00697238"/>
    <w:rsid w:val="006A43EB"/>
    <w:rsid w:val="006A4F6C"/>
    <w:rsid w:val="006A7779"/>
    <w:rsid w:val="006A7ED0"/>
    <w:rsid w:val="006B1E08"/>
    <w:rsid w:val="006B2896"/>
    <w:rsid w:val="006B3880"/>
    <w:rsid w:val="006B67C2"/>
    <w:rsid w:val="006B71A8"/>
    <w:rsid w:val="006C6F22"/>
    <w:rsid w:val="006C7FAE"/>
    <w:rsid w:val="006D0E6B"/>
    <w:rsid w:val="006D2D79"/>
    <w:rsid w:val="006D4019"/>
    <w:rsid w:val="006D5AB1"/>
    <w:rsid w:val="006D6D4C"/>
    <w:rsid w:val="006E5678"/>
    <w:rsid w:val="006E61D7"/>
    <w:rsid w:val="006F0674"/>
    <w:rsid w:val="0070203D"/>
    <w:rsid w:val="007020C6"/>
    <w:rsid w:val="00703DDE"/>
    <w:rsid w:val="0071070F"/>
    <w:rsid w:val="00712FE9"/>
    <w:rsid w:val="0071660D"/>
    <w:rsid w:val="00717212"/>
    <w:rsid w:val="00721098"/>
    <w:rsid w:val="00722AFB"/>
    <w:rsid w:val="00722DC0"/>
    <w:rsid w:val="00725C4D"/>
    <w:rsid w:val="00727927"/>
    <w:rsid w:val="00732E9F"/>
    <w:rsid w:val="007333B8"/>
    <w:rsid w:val="00735963"/>
    <w:rsid w:val="00737B79"/>
    <w:rsid w:val="00753F3C"/>
    <w:rsid w:val="007569F3"/>
    <w:rsid w:val="007607C8"/>
    <w:rsid w:val="007616ED"/>
    <w:rsid w:val="00770571"/>
    <w:rsid w:val="0077168E"/>
    <w:rsid w:val="00772985"/>
    <w:rsid w:val="0077493B"/>
    <w:rsid w:val="00776090"/>
    <w:rsid w:val="007801D4"/>
    <w:rsid w:val="0078328C"/>
    <w:rsid w:val="00785419"/>
    <w:rsid w:val="00786250"/>
    <w:rsid w:val="00786889"/>
    <w:rsid w:val="00786905"/>
    <w:rsid w:val="00786DF6"/>
    <w:rsid w:val="0078743F"/>
    <w:rsid w:val="0079309A"/>
    <w:rsid w:val="007A7B74"/>
    <w:rsid w:val="007A7E2C"/>
    <w:rsid w:val="007B23A9"/>
    <w:rsid w:val="007B2ED5"/>
    <w:rsid w:val="007B3E71"/>
    <w:rsid w:val="007B43D8"/>
    <w:rsid w:val="007C272F"/>
    <w:rsid w:val="007C3A67"/>
    <w:rsid w:val="007C5414"/>
    <w:rsid w:val="007D5CCF"/>
    <w:rsid w:val="007D73F4"/>
    <w:rsid w:val="007E1D9D"/>
    <w:rsid w:val="007E3671"/>
    <w:rsid w:val="007E46AE"/>
    <w:rsid w:val="007E750C"/>
    <w:rsid w:val="007F6B2F"/>
    <w:rsid w:val="0080295D"/>
    <w:rsid w:val="00804ECB"/>
    <w:rsid w:val="00810850"/>
    <w:rsid w:val="00813965"/>
    <w:rsid w:val="00814BF4"/>
    <w:rsid w:val="008202C9"/>
    <w:rsid w:val="00822DA3"/>
    <w:rsid w:val="00826751"/>
    <w:rsid w:val="0083123E"/>
    <w:rsid w:val="00831E54"/>
    <w:rsid w:val="00833079"/>
    <w:rsid w:val="00834EA4"/>
    <w:rsid w:val="0083623D"/>
    <w:rsid w:val="00836BAF"/>
    <w:rsid w:val="00843B6D"/>
    <w:rsid w:val="00844327"/>
    <w:rsid w:val="008526D9"/>
    <w:rsid w:val="00853FF9"/>
    <w:rsid w:val="00854EFF"/>
    <w:rsid w:val="0086463B"/>
    <w:rsid w:val="00864869"/>
    <w:rsid w:val="008658C1"/>
    <w:rsid w:val="00867A43"/>
    <w:rsid w:val="00870E70"/>
    <w:rsid w:val="00876888"/>
    <w:rsid w:val="00883F20"/>
    <w:rsid w:val="00884A77"/>
    <w:rsid w:val="00885AE5"/>
    <w:rsid w:val="0088627F"/>
    <w:rsid w:val="008913F5"/>
    <w:rsid w:val="00893C17"/>
    <w:rsid w:val="00897B8F"/>
    <w:rsid w:val="008A0554"/>
    <w:rsid w:val="008A65B1"/>
    <w:rsid w:val="008B39DC"/>
    <w:rsid w:val="008B4715"/>
    <w:rsid w:val="008B56C8"/>
    <w:rsid w:val="008B7914"/>
    <w:rsid w:val="008C09E6"/>
    <w:rsid w:val="008C0F0C"/>
    <w:rsid w:val="008C2623"/>
    <w:rsid w:val="008C3135"/>
    <w:rsid w:val="008C57F2"/>
    <w:rsid w:val="008D048C"/>
    <w:rsid w:val="008E4BA1"/>
    <w:rsid w:val="008E528A"/>
    <w:rsid w:val="008E532C"/>
    <w:rsid w:val="008E605C"/>
    <w:rsid w:val="008F3C85"/>
    <w:rsid w:val="008F7BF5"/>
    <w:rsid w:val="00900639"/>
    <w:rsid w:val="009137D3"/>
    <w:rsid w:val="00917D4A"/>
    <w:rsid w:val="00917FA4"/>
    <w:rsid w:val="00921E33"/>
    <w:rsid w:val="009254FD"/>
    <w:rsid w:val="00927B03"/>
    <w:rsid w:val="009300AC"/>
    <w:rsid w:val="00932071"/>
    <w:rsid w:val="009379A1"/>
    <w:rsid w:val="00941D36"/>
    <w:rsid w:val="00946440"/>
    <w:rsid w:val="009500DD"/>
    <w:rsid w:val="0096498B"/>
    <w:rsid w:val="00965F55"/>
    <w:rsid w:val="009663FC"/>
    <w:rsid w:val="00972E52"/>
    <w:rsid w:val="009747D1"/>
    <w:rsid w:val="00975503"/>
    <w:rsid w:val="00975506"/>
    <w:rsid w:val="00976D24"/>
    <w:rsid w:val="00977744"/>
    <w:rsid w:val="0098025C"/>
    <w:rsid w:val="009832B8"/>
    <w:rsid w:val="00983B6D"/>
    <w:rsid w:val="00984E22"/>
    <w:rsid w:val="00985E94"/>
    <w:rsid w:val="00986227"/>
    <w:rsid w:val="00991BA8"/>
    <w:rsid w:val="00991FBC"/>
    <w:rsid w:val="00992C31"/>
    <w:rsid w:val="009952A3"/>
    <w:rsid w:val="00995759"/>
    <w:rsid w:val="009A6C6E"/>
    <w:rsid w:val="009B0779"/>
    <w:rsid w:val="009B1114"/>
    <w:rsid w:val="009B31CA"/>
    <w:rsid w:val="009C476B"/>
    <w:rsid w:val="009C6069"/>
    <w:rsid w:val="009E1348"/>
    <w:rsid w:val="009E3CF6"/>
    <w:rsid w:val="009E57BE"/>
    <w:rsid w:val="009E60C4"/>
    <w:rsid w:val="009E6AA3"/>
    <w:rsid w:val="009F36AD"/>
    <w:rsid w:val="009F5ED1"/>
    <w:rsid w:val="009F6723"/>
    <w:rsid w:val="009F709E"/>
    <w:rsid w:val="00A075F9"/>
    <w:rsid w:val="00A1000B"/>
    <w:rsid w:val="00A11A9F"/>
    <w:rsid w:val="00A13D50"/>
    <w:rsid w:val="00A161E3"/>
    <w:rsid w:val="00A20C0A"/>
    <w:rsid w:val="00A2171F"/>
    <w:rsid w:val="00A27D33"/>
    <w:rsid w:val="00A35E9E"/>
    <w:rsid w:val="00A416F0"/>
    <w:rsid w:val="00A46A06"/>
    <w:rsid w:val="00A51402"/>
    <w:rsid w:val="00A519FC"/>
    <w:rsid w:val="00A5471E"/>
    <w:rsid w:val="00A552E9"/>
    <w:rsid w:val="00A61C77"/>
    <w:rsid w:val="00A63AAA"/>
    <w:rsid w:val="00A64CFC"/>
    <w:rsid w:val="00A673E3"/>
    <w:rsid w:val="00A674AD"/>
    <w:rsid w:val="00A73A56"/>
    <w:rsid w:val="00A73F53"/>
    <w:rsid w:val="00A75E09"/>
    <w:rsid w:val="00A76893"/>
    <w:rsid w:val="00A81C1F"/>
    <w:rsid w:val="00A90727"/>
    <w:rsid w:val="00A93AA2"/>
    <w:rsid w:val="00AA3027"/>
    <w:rsid w:val="00AA3730"/>
    <w:rsid w:val="00AB142C"/>
    <w:rsid w:val="00AB55FF"/>
    <w:rsid w:val="00AC0FCC"/>
    <w:rsid w:val="00AD2DC2"/>
    <w:rsid w:val="00AD4BB1"/>
    <w:rsid w:val="00AD53C8"/>
    <w:rsid w:val="00AE148F"/>
    <w:rsid w:val="00AE1845"/>
    <w:rsid w:val="00AE3785"/>
    <w:rsid w:val="00AE42B0"/>
    <w:rsid w:val="00AE5D1B"/>
    <w:rsid w:val="00AE5EEF"/>
    <w:rsid w:val="00AF13F1"/>
    <w:rsid w:val="00AF27ED"/>
    <w:rsid w:val="00B044FD"/>
    <w:rsid w:val="00B10AF1"/>
    <w:rsid w:val="00B1669B"/>
    <w:rsid w:val="00B20A8F"/>
    <w:rsid w:val="00B218BD"/>
    <w:rsid w:val="00B2530B"/>
    <w:rsid w:val="00B26172"/>
    <w:rsid w:val="00B26B82"/>
    <w:rsid w:val="00B3342B"/>
    <w:rsid w:val="00B34170"/>
    <w:rsid w:val="00B3432D"/>
    <w:rsid w:val="00B35A8F"/>
    <w:rsid w:val="00B35E96"/>
    <w:rsid w:val="00B37AB9"/>
    <w:rsid w:val="00B42004"/>
    <w:rsid w:val="00B4439D"/>
    <w:rsid w:val="00B4711B"/>
    <w:rsid w:val="00B51841"/>
    <w:rsid w:val="00B52FB0"/>
    <w:rsid w:val="00B53DEF"/>
    <w:rsid w:val="00B54FC8"/>
    <w:rsid w:val="00B57FAF"/>
    <w:rsid w:val="00B60EE8"/>
    <w:rsid w:val="00B6627D"/>
    <w:rsid w:val="00B66662"/>
    <w:rsid w:val="00B7189C"/>
    <w:rsid w:val="00B72CAD"/>
    <w:rsid w:val="00B77435"/>
    <w:rsid w:val="00B7788B"/>
    <w:rsid w:val="00B80D53"/>
    <w:rsid w:val="00B81B87"/>
    <w:rsid w:val="00B8364F"/>
    <w:rsid w:val="00B83F07"/>
    <w:rsid w:val="00B85DA9"/>
    <w:rsid w:val="00B87040"/>
    <w:rsid w:val="00B93DC6"/>
    <w:rsid w:val="00BA228C"/>
    <w:rsid w:val="00BA5B5E"/>
    <w:rsid w:val="00BB27F0"/>
    <w:rsid w:val="00BB7DE9"/>
    <w:rsid w:val="00BC371B"/>
    <w:rsid w:val="00BC3F2D"/>
    <w:rsid w:val="00BC4220"/>
    <w:rsid w:val="00BC51D3"/>
    <w:rsid w:val="00BC7368"/>
    <w:rsid w:val="00BD2C8B"/>
    <w:rsid w:val="00BD57B6"/>
    <w:rsid w:val="00BD682E"/>
    <w:rsid w:val="00BE33D9"/>
    <w:rsid w:val="00BE465F"/>
    <w:rsid w:val="00BF0419"/>
    <w:rsid w:val="00BF18C9"/>
    <w:rsid w:val="00BF2902"/>
    <w:rsid w:val="00BF3B94"/>
    <w:rsid w:val="00C04773"/>
    <w:rsid w:val="00C114CB"/>
    <w:rsid w:val="00C11706"/>
    <w:rsid w:val="00C14679"/>
    <w:rsid w:val="00C155CC"/>
    <w:rsid w:val="00C2098B"/>
    <w:rsid w:val="00C23747"/>
    <w:rsid w:val="00C2693C"/>
    <w:rsid w:val="00C27E48"/>
    <w:rsid w:val="00C321F1"/>
    <w:rsid w:val="00C324BA"/>
    <w:rsid w:val="00C33E73"/>
    <w:rsid w:val="00C37E9D"/>
    <w:rsid w:val="00C41EA4"/>
    <w:rsid w:val="00C42D0C"/>
    <w:rsid w:val="00C431C4"/>
    <w:rsid w:val="00C45565"/>
    <w:rsid w:val="00C46023"/>
    <w:rsid w:val="00C46E1E"/>
    <w:rsid w:val="00C53517"/>
    <w:rsid w:val="00C63425"/>
    <w:rsid w:val="00C67A37"/>
    <w:rsid w:val="00C728A2"/>
    <w:rsid w:val="00C72D83"/>
    <w:rsid w:val="00C76BFD"/>
    <w:rsid w:val="00C82CBD"/>
    <w:rsid w:val="00C82CBE"/>
    <w:rsid w:val="00C8332B"/>
    <w:rsid w:val="00C8369D"/>
    <w:rsid w:val="00C862AA"/>
    <w:rsid w:val="00C86B59"/>
    <w:rsid w:val="00C90331"/>
    <w:rsid w:val="00C9338E"/>
    <w:rsid w:val="00C93FD6"/>
    <w:rsid w:val="00C955B4"/>
    <w:rsid w:val="00C97F9B"/>
    <w:rsid w:val="00CA0BB2"/>
    <w:rsid w:val="00CA0BFD"/>
    <w:rsid w:val="00CB212D"/>
    <w:rsid w:val="00CB2D6C"/>
    <w:rsid w:val="00CB3957"/>
    <w:rsid w:val="00CB485F"/>
    <w:rsid w:val="00CB554D"/>
    <w:rsid w:val="00CB5C35"/>
    <w:rsid w:val="00CB617E"/>
    <w:rsid w:val="00CB7734"/>
    <w:rsid w:val="00CC0DA3"/>
    <w:rsid w:val="00CC30A9"/>
    <w:rsid w:val="00CC4ACD"/>
    <w:rsid w:val="00CC4D0B"/>
    <w:rsid w:val="00CC5E54"/>
    <w:rsid w:val="00CC78AF"/>
    <w:rsid w:val="00CD7C49"/>
    <w:rsid w:val="00CE1548"/>
    <w:rsid w:val="00CE4463"/>
    <w:rsid w:val="00CE6D95"/>
    <w:rsid w:val="00CE72AA"/>
    <w:rsid w:val="00CE7E77"/>
    <w:rsid w:val="00CF4CC5"/>
    <w:rsid w:val="00D04DB2"/>
    <w:rsid w:val="00D0505E"/>
    <w:rsid w:val="00D058FA"/>
    <w:rsid w:val="00D12ADA"/>
    <w:rsid w:val="00D157F6"/>
    <w:rsid w:val="00D1671E"/>
    <w:rsid w:val="00D17499"/>
    <w:rsid w:val="00D2521F"/>
    <w:rsid w:val="00D25566"/>
    <w:rsid w:val="00D266B1"/>
    <w:rsid w:val="00D326E0"/>
    <w:rsid w:val="00D36DB9"/>
    <w:rsid w:val="00D45004"/>
    <w:rsid w:val="00D4751D"/>
    <w:rsid w:val="00D47D88"/>
    <w:rsid w:val="00D51EB1"/>
    <w:rsid w:val="00D538FC"/>
    <w:rsid w:val="00D566D7"/>
    <w:rsid w:val="00D56AA6"/>
    <w:rsid w:val="00D57416"/>
    <w:rsid w:val="00D601BF"/>
    <w:rsid w:val="00D6049D"/>
    <w:rsid w:val="00D63D62"/>
    <w:rsid w:val="00D671FB"/>
    <w:rsid w:val="00D755B8"/>
    <w:rsid w:val="00D77D64"/>
    <w:rsid w:val="00D85036"/>
    <w:rsid w:val="00D852FC"/>
    <w:rsid w:val="00D8618C"/>
    <w:rsid w:val="00D862A4"/>
    <w:rsid w:val="00D910C7"/>
    <w:rsid w:val="00D93F75"/>
    <w:rsid w:val="00D95BA3"/>
    <w:rsid w:val="00D97252"/>
    <w:rsid w:val="00DA0675"/>
    <w:rsid w:val="00DA3A87"/>
    <w:rsid w:val="00DB657C"/>
    <w:rsid w:val="00DC0258"/>
    <w:rsid w:val="00DC4D92"/>
    <w:rsid w:val="00DE0005"/>
    <w:rsid w:val="00DE5920"/>
    <w:rsid w:val="00DE5DD8"/>
    <w:rsid w:val="00DE5E34"/>
    <w:rsid w:val="00DE6D65"/>
    <w:rsid w:val="00DF2E5D"/>
    <w:rsid w:val="00DF720B"/>
    <w:rsid w:val="00E03F91"/>
    <w:rsid w:val="00E04579"/>
    <w:rsid w:val="00E06EDD"/>
    <w:rsid w:val="00E0744E"/>
    <w:rsid w:val="00E1102C"/>
    <w:rsid w:val="00E13D58"/>
    <w:rsid w:val="00E2011E"/>
    <w:rsid w:val="00E37759"/>
    <w:rsid w:val="00E40C7E"/>
    <w:rsid w:val="00E42CDF"/>
    <w:rsid w:val="00E5084D"/>
    <w:rsid w:val="00E5306B"/>
    <w:rsid w:val="00E55015"/>
    <w:rsid w:val="00E565CC"/>
    <w:rsid w:val="00E60120"/>
    <w:rsid w:val="00E627AE"/>
    <w:rsid w:val="00E62F9F"/>
    <w:rsid w:val="00E661F6"/>
    <w:rsid w:val="00E7495F"/>
    <w:rsid w:val="00E76C19"/>
    <w:rsid w:val="00E82792"/>
    <w:rsid w:val="00E8614C"/>
    <w:rsid w:val="00E87D3C"/>
    <w:rsid w:val="00E92BC6"/>
    <w:rsid w:val="00EA0F2F"/>
    <w:rsid w:val="00EA4E71"/>
    <w:rsid w:val="00EA71B2"/>
    <w:rsid w:val="00EA7AED"/>
    <w:rsid w:val="00EB0F64"/>
    <w:rsid w:val="00EB32AC"/>
    <w:rsid w:val="00EB4391"/>
    <w:rsid w:val="00EB7033"/>
    <w:rsid w:val="00EB77B2"/>
    <w:rsid w:val="00EB7B8D"/>
    <w:rsid w:val="00EC00E5"/>
    <w:rsid w:val="00EC2973"/>
    <w:rsid w:val="00ED2C93"/>
    <w:rsid w:val="00EE65AD"/>
    <w:rsid w:val="00EF2F7F"/>
    <w:rsid w:val="00F0142A"/>
    <w:rsid w:val="00F06313"/>
    <w:rsid w:val="00F113F4"/>
    <w:rsid w:val="00F145F8"/>
    <w:rsid w:val="00F204CF"/>
    <w:rsid w:val="00F213BD"/>
    <w:rsid w:val="00F22FC3"/>
    <w:rsid w:val="00F24808"/>
    <w:rsid w:val="00F263C3"/>
    <w:rsid w:val="00F37F2E"/>
    <w:rsid w:val="00F44E3D"/>
    <w:rsid w:val="00F45A07"/>
    <w:rsid w:val="00F472F8"/>
    <w:rsid w:val="00F502CA"/>
    <w:rsid w:val="00F505AB"/>
    <w:rsid w:val="00F50B45"/>
    <w:rsid w:val="00F52638"/>
    <w:rsid w:val="00F52C86"/>
    <w:rsid w:val="00F53B90"/>
    <w:rsid w:val="00F62E4A"/>
    <w:rsid w:val="00F85493"/>
    <w:rsid w:val="00F87833"/>
    <w:rsid w:val="00F87D5C"/>
    <w:rsid w:val="00F9647F"/>
    <w:rsid w:val="00F9740D"/>
    <w:rsid w:val="00FA0454"/>
    <w:rsid w:val="00FA492F"/>
    <w:rsid w:val="00FA766A"/>
    <w:rsid w:val="00FB0C12"/>
    <w:rsid w:val="00FB60B9"/>
    <w:rsid w:val="00FB6742"/>
    <w:rsid w:val="00FC1437"/>
    <w:rsid w:val="00FC29F4"/>
    <w:rsid w:val="00FC2B0E"/>
    <w:rsid w:val="00FC4126"/>
    <w:rsid w:val="00FC66D8"/>
    <w:rsid w:val="00FD3262"/>
    <w:rsid w:val="00FD3D7A"/>
    <w:rsid w:val="00FD4E3A"/>
    <w:rsid w:val="00FD4EE6"/>
    <w:rsid w:val="00FE0455"/>
    <w:rsid w:val="00FE0955"/>
    <w:rsid w:val="00FE2E4D"/>
    <w:rsid w:val="00FE35F0"/>
    <w:rsid w:val="00FE6760"/>
    <w:rsid w:val="00FF016C"/>
    <w:rsid w:val="00FF0F83"/>
    <w:rsid w:val="00FF2EC9"/>
    <w:rsid w:val="00FF653D"/>
    <w:rsid w:val="097889E6"/>
    <w:rsid w:val="139BD8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4835D7"/>
  <w15:chartTrackingRefBased/>
  <w15:docId w15:val="{0760B3FD-7AA4-4299-93CB-7FA559CEA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2E5F"/>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rPr>
  </w:style>
  <w:style w:type="paragraph" w:styleId="Heading1">
    <w:name w:val="heading 1"/>
    <w:basedOn w:val="Normal"/>
    <w:next w:val="Normal"/>
    <w:link w:val="Heading1Char"/>
    <w:uiPriority w:val="9"/>
    <w:qFormat/>
    <w:rsid w:val="006734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4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4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4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34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34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34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34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34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4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34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34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4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34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34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34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34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34AD"/>
    <w:rPr>
      <w:rFonts w:eastAsiaTheme="majorEastAsia" w:cstheme="majorBidi"/>
      <w:color w:val="272727" w:themeColor="text1" w:themeTint="D8"/>
    </w:rPr>
  </w:style>
  <w:style w:type="paragraph" w:styleId="Title">
    <w:name w:val="Title"/>
    <w:basedOn w:val="Normal"/>
    <w:next w:val="Normal"/>
    <w:link w:val="TitleChar"/>
    <w:uiPriority w:val="10"/>
    <w:qFormat/>
    <w:rsid w:val="006734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4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4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4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4AD"/>
    <w:pPr>
      <w:spacing w:before="160"/>
      <w:jc w:val="center"/>
    </w:pPr>
    <w:rPr>
      <w:i/>
      <w:iCs/>
      <w:color w:val="404040" w:themeColor="text1" w:themeTint="BF"/>
    </w:rPr>
  </w:style>
  <w:style w:type="character" w:customStyle="1" w:styleId="QuoteChar">
    <w:name w:val="Quote Char"/>
    <w:basedOn w:val="DefaultParagraphFont"/>
    <w:link w:val="Quote"/>
    <w:uiPriority w:val="29"/>
    <w:rsid w:val="006734AD"/>
    <w:rPr>
      <w:i/>
      <w:iCs/>
      <w:color w:val="404040" w:themeColor="text1" w:themeTint="BF"/>
    </w:rPr>
  </w:style>
  <w:style w:type="paragraph" w:styleId="ListParagraph">
    <w:name w:val="List Paragraph"/>
    <w:basedOn w:val="Normal"/>
    <w:uiPriority w:val="34"/>
    <w:qFormat/>
    <w:rsid w:val="006734AD"/>
    <w:pPr>
      <w:ind w:left="720"/>
      <w:contextualSpacing/>
    </w:pPr>
  </w:style>
  <w:style w:type="character" w:styleId="IntenseEmphasis">
    <w:name w:val="Intense Emphasis"/>
    <w:basedOn w:val="DefaultParagraphFont"/>
    <w:uiPriority w:val="21"/>
    <w:qFormat/>
    <w:rsid w:val="006734AD"/>
    <w:rPr>
      <w:i/>
      <w:iCs/>
      <w:color w:val="0F4761" w:themeColor="accent1" w:themeShade="BF"/>
    </w:rPr>
  </w:style>
  <w:style w:type="paragraph" w:styleId="IntenseQuote">
    <w:name w:val="Intense Quote"/>
    <w:basedOn w:val="Normal"/>
    <w:next w:val="Normal"/>
    <w:link w:val="IntenseQuoteChar"/>
    <w:uiPriority w:val="30"/>
    <w:qFormat/>
    <w:rsid w:val="006734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4AD"/>
    <w:rPr>
      <w:i/>
      <w:iCs/>
      <w:color w:val="0F4761" w:themeColor="accent1" w:themeShade="BF"/>
    </w:rPr>
  </w:style>
  <w:style w:type="character" w:styleId="IntenseReference">
    <w:name w:val="Intense Reference"/>
    <w:basedOn w:val="DefaultParagraphFont"/>
    <w:uiPriority w:val="32"/>
    <w:qFormat/>
    <w:rsid w:val="006734AD"/>
    <w:rPr>
      <w:b/>
      <w:bCs/>
      <w:smallCaps/>
      <w:color w:val="0F4761" w:themeColor="accent1" w:themeShade="BF"/>
      <w:spacing w:val="5"/>
    </w:rPr>
  </w:style>
  <w:style w:type="paragraph" w:customStyle="1" w:styleId="paragraph">
    <w:name w:val="paragraph"/>
    <w:basedOn w:val="Normal"/>
    <w:rsid w:val="006734AD"/>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6734AD"/>
  </w:style>
  <w:style w:type="character" w:customStyle="1" w:styleId="eop">
    <w:name w:val="eop"/>
    <w:basedOn w:val="DefaultParagraphFont"/>
    <w:rsid w:val="006734AD"/>
  </w:style>
  <w:style w:type="character" w:customStyle="1" w:styleId="uv3um">
    <w:name w:val="uv3um"/>
    <w:basedOn w:val="DefaultParagraphFont"/>
    <w:rsid w:val="006734AD"/>
  </w:style>
  <w:style w:type="character" w:styleId="CommentReference">
    <w:name w:val="annotation reference"/>
    <w:basedOn w:val="DefaultParagraphFont"/>
    <w:uiPriority w:val="99"/>
    <w:semiHidden/>
    <w:unhideWhenUsed/>
    <w:rsid w:val="006734AD"/>
    <w:rPr>
      <w:sz w:val="16"/>
      <w:szCs w:val="16"/>
    </w:rPr>
  </w:style>
  <w:style w:type="paragraph" w:styleId="CommentText">
    <w:name w:val="annotation text"/>
    <w:basedOn w:val="Normal"/>
    <w:link w:val="CommentTextChar"/>
    <w:uiPriority w:val="99"/>
    <w:unhideWhenUsed/>
    <w:rsid w:val="006734AD"/>
  </w:style>
  <w:style w:type="character" w:customStyle="1" w:styleId="CommentTextChar">
    <w:name w:val="Comment Text Char"/>
    <w:basedOn w:val="DefaultParagraphFont"/>
    <w:link w:val="CommentText"/>
    <w:uiPriority w:val="99"/>
    <w:rsid w:val="006734AD"/>
    <w:rPr>
      <w:rFonts w:ascii="Times New Roman" w:eastAsia="Times New Roman" w:hAnsi="Times New Roman" w:cs="Times New Roman"/>
      <w:kern w:val="0"/>
      <w:sz w:val="20"/>
      <w:szCs w:val="20"/>
    </w:rPr>
  </w:style>
  <w:style w:type="paragraph" w:styleId="BodyTextIndent2">
    <w:name w:val="Body Text Indent 2"/>
    <w:basedOn w:val="Normal"/>
    <w:link w:val="BodyTextIndent2Char"/>
    <w:rsid w:val="006734AD"/>
    <w:pPr>
      <w:tabs>
        <w:tab w:val="left" w:pos="600"/>
      </w:tabs>
      <w:ind w:left="600" w:hanging="240"/>
    </w:pPr>
    <w:rPr>
      <w:sz w:val="22"/>
    </w:rPr>
  </w:style>
  <w:style w:type="character" w:customStyle="1" w:styleId="BodyTextIndent2Char">
    <w:name w:val="Body Text Indent 2 Char"/>
    <w:basedOn w:val="DefaultParagraphFont"/>
    <w:link w:val="BodyTextIndent2"/>
    <w:rsid w:val="006734AD"/>
    <w:rPr>
      <w:rFonts w:ascii="Times New Roman" w:eastAsia="Times New Roman" w:hAnsi="Times New Roman" w:cs="Times New Roman"/>
      <w:kern w:val="0"/>
      <w:szCs w:val="20"/>
    </w:rPr>
  </w:style>
  <w:style w:type="paragraph" w:styleId="NoSpacing">
    <w:name w:val="No Spacing"/>
    <w:uiPriority w:val="1"/>
    <w:qFormat/>
    <w:rsid w:val="006734AD"/>
    <w:pPr>
      <w:spacing w:after="0" w:line="240" w:lineRule="auto"/>
    </w:pPr>
    <w:rPr>
      <w:rFonts w:ascii="Calibri" w:eastAsia="Calibri" w:hAnsi="Calibri" w:cs="Times New Roman"/>
      <w:kern w:val="0"/>
    </w:rPr>
  </w:style>
  <w:style w:type="character" w:styleId="Hyperlink">
    <w:name w:val="Hyperlink"/>
    <w:basedOn w:val="DefaultParagraphFont"/>
    <w:uiPriority w:val="99"/>
    <w:unhideWhenUsed/>
    <w:rsid w:val="00965F55"/>
    <w:rPr>
      <w:color w:val="467886" w:themeColor="hyperlink"/>
      <w:u w:val="single"/>
    </w:rPr>
  </w:style>
  <w:style w:type="character" w:styleId="UnresolvedMention">
    <w:name w:val="Unresolved Mention"/>
    <w:basedOn w:val="DefaultParagraphFont"/>
    <w:uiPriority w:val="99"/>
    <w:semiHidden/>
    <w:unhideWhenUsed/>
    <w:rsid w:val="00965F55"/>
    <w:rPr>
      <w:color w:val="605E5C"/>
      <w:shd w:val="clear" w:color="auto" w:fill="E1DFDD"/>
    </w:rPr>
  </w:style>
  <w:style w:type="table" w:styleId="TableGrid">
    <w:name w:val="Table Grid"/>
    <w:basedOn w:val="TableNormal"/>
    <w:uiPriority w:val="39"/>
    <w:rsid w:val="00BC4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025C"/>
    <w:pPr>
      <w:spacing w:after="0" w:line="240" w:lineRule="auto"/>
    </w:pPr>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CC5E54"/>
    <w:rPr>
      <w:b/>
      <w:bCs/>
    </w:rPr>
  </w:style>
  <w:style w:type="character" w:customStyle="1" w:styleId="CommentSubjectChar">
    <w:name w:val="Comment Subject Char"/>
    <w:basedOn w:val="CommentTextChar"/>
    <w:link w:val="CommentSubject"/>
    <w:uiPriority w:val="99"/>
    <w:semiHidden/>
    <w:rsid w:val="00CC5E54"/>
    <w:rPr>
      <w:rFonts w:ascii="Times New Roman" w:eastAsia="Times New Roman" w:hAnsi="Times New Roman" w:cs="Times New Roman"/>
      <w:b/>
      <w:bCs/>
      <w:kern w:val="0"/>
      <w:sz w:val="20"/>
      <w:szCs w:val="20"/>
    </w:rPr>
  </w:style>
  <w:style w:type="character" w:styleId="FollowedHyperlink">
    <w:name w:val="FollowedHyperlink"/>
    <w:basedOn w:val="DefaultParagraphFont"/>
    <w:uiPriority w:val="99"/>
    <w:semiHidden/>
    <w:unhideWhenUsed/>
    <w:rsid w:val="003D473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IHOCI@hud.gov" TargetMode="External" /><Relationship Id="rId5" Type="http://schemas.openxmlformats.org/officeDocument/2006/relationships/hyperlink" Target="https://www.ecfr.gov/current/title-2/section-200.329" TargetMode="External" /><Relationship Id="rId6" Type="http://schemas.openxmlformats.org/officeDocument/2006/relationships/hyperlink" Target="https://hudapps.hud.gov/wass/mainmenu/mainmenu_page.jsp" TargetMode="External" /><Relationship Id="rId7" Type="http://schemas.openxmlformats.org/officeDocument/2006/relationships/hyperlink" Target="https://data.bls.gov/oesprofile/"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2519</Words>
  <Characters>14217</Characters>
  <Application>Microsoft Office Word</Application>
  <DocSecurity>0</DocSecurity>
  <Lines>361</Lines>
  <Paragraphs>127</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16685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Rashida L</dc:creator>
  <cp:lastModifiedBy>Martin, Dawn E</cp:lastModifiedBy>
  <cp:revision>3</cp:revision>
  <cp:lastPrinted>2025-05-14T16:55:00Z</cp:lastPrinted>
  <dcterms:created xsi:type="dcterms:W3CDTF">2026-03-03T17:06:00Z</dcterms:created>
  <dcterms:modified xsi:type="dcterms:W3CDTF">2026-03-03T17:06:00Z</dcterms:modified>
</cp:coreProperties>
</file>