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0552" w:rsidP="00960552" w14:paraId="7E5CC2E6" w14:textId="77777777">
      <w:pPr>
        <w:jc w:val="center"/>
        <w:rPr>
          <w:b/>
          <w:sz w:val="24"/>
          <w:szCs w:val="24"/>
        </w:rPr>
      </w:pPr>
      <w:r w:rsidRPr="007D342E">
        <w:rPr>
          <w:b/>
          <w:sz w:val="24"/>
          <w:szCs w:val="24"/>
        </w:rPr>
        <w:t>Supporting Statement for Paperwork Reduction Act Submissions</w:t>
      </w:r>
    </w:p>
    <w:p w:rsidR="00D20F14" w:rsidRPr="00196D38" w:rsidP="00D20F14" w14:paraId="1F17EA15" w14:textId="77777777">
      <w:pPr>
        <w:jc w:val="center"/>
        <w:rPr>
          <w:b/>
          <w:sz w:val="24"/>
          <w:szCs w:val="24"/>
        </w:rPr>
      </w:pPr>
      <w:r w:rsidRPr="00196D38">
        <w:rPr>
          <w:b/>
          <w:sz w:val="24"/>
          <w:szCs w:val="24"/>
        </w:rPr>
        <w:t xml:space="preserve">License for the Use of Personally Identifiable Information Protected Under the </w:t>
      </w:r>
    </w:p>
    <w:p w:rsidR="00D20F14" w:rsidRPr="00196D38" w:rsidP="00D20F14" w14:paraId="737BDA5A" w14:textId="77777777">
      <w:pPr>
        <w:jc w:val="center"/>
        <w:rPr>
          <w:b/>
          <w:sz w:val="24"/>
          <w:szCs w:val="24"/>
        </w:rPr>
      </w:pPr>
      <w:r w:rsidRPr="00196D38">
        <w:rPr>
          <w:b/>
          <w:sz w:val="24"/>
          <w:szCs w:val="24"/>
        </w:rPr>
        <w:t>Privacy Act of 1974</w:t>
      </w:r>
    </w:p>
    <w:p w:rsidR="00960552" w:rsidRPr="007D342E" w:rsidP="00D20F14" w14:paraId="772BF0B4" w14:textId="2AB8E8F5">
      <w:pPr>
        <w:jc w:val="center"/>
        <w:rPr>
          <w:b/>
          <w:sz w:val="24"/>
          <w:szCs w:val="24"/>
        </w:rPr>
      </w:pPr>
      <w:r>
        <w:rPr>
          <w:b/>
          <w:sz w:val="24"/>
          <w:szCs w:val="24"/>
        </w:rPr>
        <w:t>(</w:t>
      </w:r>
      <w:r w:rsidRPr="00196D38">
        <w:rPr>
          <w:b/>
          <w:sz w:val="24"/>
          <w:szCs w:val="24"/>
        </w:rPr>
        <w:t>OMB Control # 2528-0297</w:t>
      </w:r>
      <w:r>
        <w:rPr>
          <w:b/>
          <w:sz w:val="24"/>
          <w:szCs w:val="24"/>
        </w:rPr>
        <w:t>)</w:t>
      </w:r>
    </w:p>
    <w:p w:rsidR="009E13B1" w:rsidRPr="007428A9" w:rsidP="006C7FAE" w14:paraId="6BBE1FA0" w14:textId="77777777">
      <w:pPr>
        <w:rPr>
          <w:b/>
          <w:sz w:val="24"/>
          <w:szCs w:val="24"/>
        </w:rPr>
      </w:pPr>
    </w:p>
    <w:p w:rsidR="009E13B1" w:rsidRPr="007428A9" w14:paraId="77D02F3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r w:rsidRPr="007428A9">
        <w:rPr>
          <w:b/>
          <w:sz w:val="24"/>
          <w:szCs w:val="24"/>
        </w:rPr>
        <w:t xml:space="preserve">A. </w:t>
      </w:r>
      <w:r w:rsidRPr="007428A9">
        <w:rPr>
          <w:b/>
          <w:sz w:val="24"/>
          <w:szCs w:val="24"/>
        </w:rPr>
        <w:tab/>
        <w:t>Justification</w:t>
      </w:r>
    </w:p>
    <w:p w:rsidR="009E13B1" w:rsidRPr="007D342E" w14:paraId="08B1299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b/>
          <w:sz w:val="24"/>
          <w:szCs w:val="24"/>
        </w:rPr>
      </w:pPr>
    </w:p>
    <w:p w:rsidR="00C74D39" w:rsidP="00E229D6" w14:paraId="0F94D455" w14:textId="77777777">
      <w:pPr>
        <w:pStyle w:val="ListParagraph"/>
        <w:keepLines/>
        <w:numPr>
          <w:ilvl w:val="0"/>
          <w:numId w:val="26"/>
        </w:numPr>
        <w:tabs>
          <w:tab w:val="left" w:pos="360"/>
        </w:tabs>
        <w:spacing w:after="80"/>
        <w:rPr>
          <w:b/>
          <w:sz w:val="24"/>
          <w:szCs w:val="24"/>
        </w:rPr>
      </w:pPr>
      <w:r w:rsidRPr="00E229D6">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428A9" w:rsidP="007428A9" w14:paraId="12F6F7C9" w14:textId="77777777">
      <w:pPr>
        <w:pStyle w:val="ListParagraph"/>
        <w:keepLines/>
        <w:tabs>
          <w:tab w:val="left" w:pos="360"/>
        </w:tabs>
        <w:spacing w:after="80"/>
        <w:ind w:left="360"/>
        <w:rPr>
          <w:b/>
          <w:sz w:val="24"/>
          <w:szCs w:val="24"/>
        </w:rPr>
      </w:pPr>
    </w:p>
    <w:p w:rsidR="00972BE7" w:rsidP="007428A9" w14:paraId="5FD48262" w14:textId="47242A01">
      <w:pPr>
        <w:ind w:left="360"/>
        <w:rPr>
          <w:sz w:val="24"/>
          <w:szCs w:val="24"/>
        </w:rPr>
      </w:pPr>
      <w:r>
        <w:rPr>
          <w:sz w:val="24"/>
          <w:szCs w:val="24"/>
        </w:rPr>
        <w:t>This ICR submission is a reinstatement of a previously approved collection.</w:t>
      </w:r>
    </w:p>
    <w:p w:rsidR="00972BE7" w:rsidP="007428A9" w14:paraId="678C13E4" w14:textId="77777777">
      <w:pPr>
        <w:ind w:left="360"/>
        <w:rPr>
          <w:sz w:val="24"/>
          <w:szCs w:val="24"/>
        </w:rPr>
      </w:pPr>
    </w:p>
    <w:p w:rsidR="007428A9" w:rsidRPr="005529B7" w:rsidP="007428A9" w14:paraId="246F2BB2" w14:textId="573BE40C">
      <w:pPr>
        <w:ind w:left="360"/>
        <w:rPr>
          <w:sz w:val="24"/>
          <w:szCs w:val="24"/>
        </w:rPr>
      </w:pPr>
      <w:r w:rsidRPr="005529B7">
        <w:rPr>
          <w:sz w:val="24"/>
          <w:szCs w:val="24"/>
        </w:rPr>
        <w:t xml:space="preserve">The United States Department of Housing and Urban Development (HUD) collects and maintains personally identifiable information on tenants in public and assisted housing, the confidentiality of which is protected by the Privacy Act of 1974 (5 U.S.C. 552a).  On occasion, HUD shares this information with researchers subject to stringent requirements to protect these households from unauthorized disclosure of information.  The purpose for sharing is to further policy-relevant research on the effectiveness of HUD programs.  </w:t>
      </w:r>
    </w:p>
    <w:p w:rsidR="007428A9" w:rsidRPr="005529B7" w:rsidP="007428A9" w14:paraId="57EC0582" w14:textId="77777777">
      <w:pPr>
        <w:ind w:left="360"/>
        <w:rPr>
          <w:sz w:val="24"/>
          <w:szCs w:val="24"/>
        </w:rPr>
      </w:pPr>
    </w:p>
    <w:p w:rsidR="007428A9" w:rsidRPr="005529B7" w:rsidP="007428A9" w14:paraId="149C2EC3" w14:textId="100DB67B">
      <w:pPr>
        <w:ind w:left="360"/>
        <w:rPr>
          <w:sz w:val="24"/>
          <w:szCs w:val="24"/>
        </w:rPr>
      </w:pPr>
      <w:r w:rsidRPr="005529B7">
        <w:rPr>
          <w:sz w:val="24"/>
          <w:szCs w:val="24"/>
        </w:rPr>
        <w:t xml:space="preserve">HUD may, under the terms of </w:t>
      </w:r>
      <w:r w:rsidR="00C25519">
        <w:rPr>
          <w:sz w:val="24"/>
          <w:szCs w:val="24"/>
        </w:rPr>
        <w:t xml:space="preserve">the </w:t>
      </w:r>
      <w:r w:rsidRPr="005529B7">
        <w:rPr>
          <w:sz w:val="24"/>
          <w:szCs w:val="24"/>
        </w:rPr>
        <w:t>Routine Use</w:t>
      </w:r>
      <w:r w:rsidR="00C25519">
        <w:rPr>
          <w:sz w:val="24"/>
          <w:szCs w:val="24"/>
        </w:rPr>
        <w:t xml:space="preserve">s published in its various System of Records Notices, </w:t>
      </w:r>
      <w:r w:rsidRPr="005529B7">
        <w:rPr>
          <w:sz w:val="24"/>
          <w:szCs w:val="24"/>
        </w:rPr>
        <w:t>share these data with researchers whom HUD has awarded contracts, grants, service agreements</w:t>
      </w:r>
      <w:r w:rsidR="00C25519">
        <w:rPr>
          <w:sz w:val="24"/>
          <w:szCs w:val="24"/>
        </w:rPr>
        <w:t>, or other agreements</w:t>
      </w:r>
      <w:r w:rsidRPr="005529B7">
        <w:rPr>
          <w:sz w:val="24"/>
          <w:szCs w:val="24"/>
        </w:rPr>
        <w:t xml:space="preserve">.  HUD has shared data with contractors and grantees and will continue to share data under service agreements because it has a legal form for effectuating such an agreement.  HUD does not limit access to the information to parties that have received specific funding to carry out a study through a grant or contract.  Instead, HUD also shares the data with legitimate research organizations that have conceived policy-relevant analyses and that are able and willing to protect the data from unauthorized disclosure.  The legal form for the service agreement is herein called a “license.”  </w:t>
      </w:r>
    </w:p>
    <w:p w:rsidR="007428A9" w:rsidRPr="005529B7" w:rsidP="007428A9" w14:paraId="46BA9CD9" w14:textId="77777777">
      <w:pPr>
        <w:rPr>
          <w:sz w:val="24"/>
          <w:szCs w:val="24"/>
        </w:rPr>
      </w:pPr>
    </w:p>
    <w:p w:rsidR="007428A9" w:rsidRPr="005529B7" w:rsidP="007428A9" w14:paraId="001FF88B" w14:textId="77777777">
      <w:pPr>
        <w:ind w:left="360"/>
        <w:rPr>
          <w:sz w:val="24"/>
          <w:szCs w:val="24"/>
        </w:rPr>
      </w:pPr>
      <w:r w:rsidRPr="005529B7">
        <w:rPr>
          <w:sz w:val="24"/>
          <w:szCs w:val="24"/>
        </w:rPr>
        <w:t>HUD will continue making the data available for statistical, research, or evaluation purposes to organizations qualified and capable of research and analysis consistent with the statistical, research, or evaluation purposes for which the data were provided or are maintained, but only if the data are used and protected in accordance with the terms and condition stated in the license, upon receipt of such assurance of qualification and capability, and it is agreed by the organization requesting such information and HUD.</w:t>
      </w:r>
    </w:p>
    <w:p w:rsidR="007428A9" w:rsidP="007428A9" w14:paraId="658E9973" w14:textId="77777777">
      <w:pPr>
        <w:ind w:left="360"/>
        <w:rPr>
          <w:sz w:val="24"/>
          <w:szCs w:val="24"/>
        </w:rPr>
      </w:pPr>
    </w:p>
    <w:p w:rsidR="007428A9" w:rsidRPr="008064C8" w:rsidP="007428A9" w14:paraId="2AA1D062" w14:textId="77777777">
      <w:pPr>
        <w:ind w:left="360"/>
        <w:rPr>
          <w:sz w:val="24"/>
        </w:rPr>
      </w:pPr>
      <w:r w:rsidRPr="008064C8">
        <w:rPr>
          <w:sz w:val="24"/>
        </w:rPr>
        <w:t>All data containing personally identifiable information maintained by HUD that are provided the Licensee and all information derived from that data, and all data resulting from mergers, matches, or other uses of the data provided by HUD with other data are subject to the License and are referred to in this License as subject data.</w:t>
      </w:r>
    </w:p>
    <w:p w:rsidR="007428A9" w:rsidRPr="008064C8" w:rsidP="007428A9" w14:paraId="1CC40E47" w14:textId="77777777">
      <w:pPr>
        <w:ind w:left="360"/>
        <w:rPr>
          <w:sz w:val="24"/>
        </w:rPr>
      </w:pPr>
    </w:p>
    <w:p w:rsidR="007428A9" w:rsidP="007428A9" w14:paraId="286488FE" w14:textId="77777777">
      <w:pPr>
        <w:ind w:left="360"/>
        <w:rPr>
          <w:sz w:val="24"/>
        </w:rPr>
      </w:pPr>
      <w:r w:rsidRPr="008064C8">
        <w:rPr>
          <w:sz w:val="24"/>
        </w:rPr>
        <w:t xml:space="preserve">Subject data under this License may be in the form of CD-ROMs, electronic data, hard copy, etc.  The Licensee may only use the subject data in a manner and to purpose consistent with the statistical, research, or evaluation purpose for which the data are maintained.  All subject data that </w:t>
      </w:r>
      <w:r w:rsidRPr="008064C8">
        <w:rPr>
          <w:sz w:val="24"/>
        </w:rPr>
        <w:t>include personally identifiable information are protected under the Privacy Act and may be used only for statistical, research, or evaluation purposes consistent with the purposes for which the data was collected and or is maintained.</w:t>
      </w:r>
    </w:p>
    <w:p w:rsidR="00972BE7" w:rsidP="007428A9" w14:paraId="38D62AE0" w14:textId="77777777">
      <w:pPr>
        <w:ind w:left="360"/>
        <w:rPr>
          <w:sz w:val="24"/>
        </w:rPr>
      </w:pPr>
    </w:p>
    <w:p w:rsidR="00012598" w:rsidP="007428A9" w14:paraId="1C6718F4" w14:textId="791E4B65">
      <w:pPr>
        <w:ind w:left="360"/>
        <w:rPr>
          <w:sz w:val="24"/>
        </w:rPr>
      </w:pPr>
      <w:r>
        <w:rPr>
          <w:sz w:val="24"/>
        </w:rPr>
        <w:t xml:space="preserve">This ICR includes </w:t>
      </w:r>
      <w:r w:rsidR="00BF6740">
        <w:rPr>
          <w:sz w:val="24"/>
        </w:rPr>
        <w:t>f</w:t>
      </w:r>
      <w:r w:rsidR="0029394B">
        <w:rPr>
          <w:sz w:val="24"/>
        </w:rPr>
        <w:t>our</w:t>
      </w:r>
      <w:r w:rsidR="00BF6740">
        <w:rPr>
          <w:sz w:val="24"/>
        </w:rPr>
        <w:t xml:space="preserve"> </w:t>
      </w:r>
      <w:r w:rsidR="00162284">
        <w:rPr>
          <w:sz w:val="24"/>
        </w:rPr>
        <w:t xml:space="preserve">requirements that may result in burden on the public: </w:t>
      </w:r>
    </w:p>
    <w:p w:rsidR="00012598" w:rsidP="007428A9" w14:paraId="44AC015A" w14:textId="77777777">
      <w:pPr>
        <w:ind w:left="360"/>
        <w:rPr>
          <w:sz w:val="24"/>
        </w:rPr>
      </w:pPr>
    </w:p>
    <w:p w:rsidR="00E46DF8" w:rsidP="00012598" w14:paraId="3A82BB86" w14:textId="32462124">
      <w:pPr>
        <w:pStyle w:val="ListParagraph"/>
        <w:numPr>
          <w:ilvl w:val="0"/>
          <w:numId w:val="30"/>
        </w:numPr>
        <w:rPr>
          <w:sz w:val="24"/>
        </w:rPr>
      </w:pPr>
      <w:r>
        <w:rPr>
          <w:sz w:val="24"/>
        </w:rPr>
        <w:t xml:space="preserve">Application for </w:t>
      </w:r>
      <w:r>
        <w:rPr>
          <w:sz w:val="24"/>
        </w:rPr>
        <w:t>Data License</w:t>
      </w:r>
      <w:r w:rsidR="0037251D">
        <w:rPr>
          <w:sz w:val="24"/>
        </w:rPr>
        <w:t>- Interested parties must complete and submit a Data License Application for HUD review and consideration.</w:t>
      </w:r>
    </w:p>
    <w:p w:rsidR="00012598" w:rsidP="00012598" w14:paraId="1FEA7FB2" w14:textId="02778ECF">
      <w:pPr>
        <w:pStyle w:val="ListParagraph"/>
        <w:numPr>
          <w:ilvl w:val="0"/>
          <w:numId w:val="30"/>
        </w:numPr>
        <w:rPr>
          <w:sz w:val="24"/>
        </w:rPr>
      </w:pPr>
      <w:r>
        <w:rPr>
          <w:sz w:val="24"/>
        </w:rPr>
        <w:t xml:space="preserve"> </w:t>
      </w:r>
      <w:r>
        <w:rPr>
          <w:sz w:val="24"/>
        </w:rPr>
        <w:t>Data License Agreement</w:t>
      </w:r>
      <w:r w:rsidR="0037251D">
        <w:rPr>
          <w:sz w:val="24"/>
        </w:rPr>
        <w:t xml:space="preserve">- Approved applicants will be required to complete a Data License Agreement. </w:t>
      </w:r>
    </w:p>
    <w:p w:rsidR="00012598" w:rsidP="00012598" w14:paraId="7C1C5661" w14:textId="3FAE4AA1">
      <w:pPr>
        <w:pStyle w:val="ListParagraph"/>
        <w:numPr>
          <w:ilvl w:val="0"/>
          <w:numId w:val="30"/>
        </w:numPr>
        <w:rPr>
          <w:sz w:val="24"/>
        </w:rPr>
      </w:pPr>
      <w:r>
        <w:rPr>
          <w:sz w:val="24"/>
        </w:rPr>
        <w:t>Affidavit of Nondisclosure</w:t>
      </w:r>
      <w:r w:rsidR="0037251D">
        <w:rPr>
          <w:sz w:val="24"/>
        </w:rPr>
        <w:t>- A</w:t>
      </w:r>
      <w:r w:rsidR="00786EC3">
        <w:rPr>
          <w:sz w:val="24"/>
        </w:rPr>
        <w:t xml:space="preserve">ll researchers associated with </w:t>
      </w:r>
      <w:r w:rsidR="0026799F">
        <w:rPr>
          <w:sz w:val="24"/>
        </w:rPr>
        <w:t xml:space="preserve">an </w:t>
      </w:r>
      <w:r w:rsidR="00786EC3">
        <w:rPr>
          <w:sz w:val="24"/>
        </w:rPr>
        <w:t>approved applicant</w:t>
      </w:r>
      <w:r w:rsidR="0026799F">
        <w:rPr>
          <w:sz w:val="24"/>
        </w:rPr>
        <w:t xml:space="preserve"> </w:t>
      </w:r>
      <w:r w:rsidR="00B7031D">
        <w:rPr>
          <w:sz w:val="24"/>
        </w:rPr>
        <w:t xml:space="preserve">who </w:t>
      </w:r>
      <w:r w:rsidR="00F13F65">
        <w:rPr>
          <w:sz w:val="24"/>
        </w:rPr>
        <w:t>will be gra</w:t>
      </w:r>
      <w:r w:rsidR="007D2C39">
        <w:rPr>
          <w:sz w:val="24"/>
        </w:rPr>
        <w:t>n</w:t>
      </w:r>
      <w:r w:rsidR="00F13F65">
        <w:rPr>
          <w:sz w:val="24"/>
        </w:rPr>
        <w:t xml:space="preserve">ted access to data must complete an Affidavit of Nondisclosure.  </w:t>
      </w:r>
    </w:p>
    <w:p w:rsidR="00535C0D" w:rsidP="00535C0D" w14:paraId="685E28C7" w14:textId="07FC7A55">
      <w:pPr>
        <w:pStyle w:val="ListParagraph"/>
        <w:numPr>
          <w:ilvl w:val="0"/>
          <w:numId w:val="30"/>
        </w:numPr>
        <w:rPr>
          <w:sz w:val="24"/>
          <w:szCs w:val="24"/>
        </w:rPr>
      </w:pPr>
      <w:r>
        <w:rPr>
          <w:sz w:val="24"/>
        </w:rPr>
        <w:t xml:space="preserve">Data Destruction </w:t>
      </w:r>
      <w:r w:rsidR="00F1186D">
        <w:rPr>
          <w:sz w:val="24"/>
        </w:rPr>
        <w:t xml:space="preserve">Certification </w:t>
      </w:r>
      <w:r w:rsidRPr="00816985">
        <w:rPr>
          <w:sz w:val="24"/>
          <w:szCs w:val="24"/>
        </w:rPr>
        <w:t>Form</w:t>
      </w:r>
      <w:r w:rsidRPr="00816985" w:rsidR="00933E53">
        <w:rPr>
          <w:sz w:val="24"/>
          <w:szCs w:val="24"/>
        </w:rPr>
        <w:t>-</w:t>
      </w:r>
      <w:r w:rsidRPr="00972BE7" w:rsidR="00574244">
        <w:rPr>
          <w:sz w:val="24"/>
          <w:szCs w:val="24"/>
        </w:rPr>
        <w:t xml:space="preserve"> </w:t>
      </w:r>
      <w:r w:rsidRPr="00972BE7" w:rsidR="00816985">
        <w:rPr>
          <w:sz w:val="24"/>
          <w:szCs w:val="24"/>
        </w:rPr>
        <w:t xml:space="preserve">At the conclusion of each project, the research institution must </w:t>
      </w:r>
      <w:r w:rsidRPr="00816985" w:rsidR="00574244">
        <w:rPr>
          <w:sz w:val="24"/>
          <w:szCs w:val="24"/>
        </w:rPr>
        <w:t xml:space="preserve">attest to </w:t>
      </w:r>
      <w:r w:rsidRPr="00816985" w:rsidR="00816985">
        <w:rPr>
          <w:sz w:val="24"/>
          <w:szCs w:val="24"/>
        </w:rPr>
        <w:t xml:space="preserve">the </w:t>
      </w:r>
      <w:r w:rsidRPr="00816985" w:rsidR="00574244">
        <w:rPr>
          <w:sz w:val="24"/>
          <w:szCs w:val="24"/>
        </w:rPr>
        <w:t>destruction of all personally identifiable information received from HUD</w:t>
      </w:r>
      <w:r w:rsidR="00816985">
        <w:rPr>
          <w:sz w:val="24"/>
          <w:szCs w:val="24"/>
        </w:rPr>
        <w:t xml:space="preserve"> under the data license agreement</w:t>
      </w:r>
      <w:r w:rsidRPr="00816985" w:rsidR="00574244">
        <w:rPr>
          <w:sz w:val="24"/>
          <w:szCs w:val="24"/>
        </w:rPr>
        <w:t>.</w:t>
      </w:r>
      <w:r w:rsidRPr="00816985" w:rsidR="00933E53">
        <w:rPr>
          <w:sz w:val="24"/>
          <w:szCs w:val="24"/>
        </w:rPr>
        <w:t xml:space="preserve"> </w:t>
      </w:r>
    </w:p>
    <w:p w:rsidR="00535C0D" w:rsidP="00535C0D" w14:paraId="2D5B8196" w14:textId="77777777">
      <w:pPr>
        <w:rPr>
          <w:sz w:val="24"/>
        </w:rPr>
      </w:pPr>
    </w:p>
    <w:p w:rsidR="00535C0D" w:rsidRPr="00544640" w:rsidP="00535C0D" w14:paraId="197E55FC" w14:textId="3C280528">
      <w:pPr>
        <w:tabs>
          <w:tab w:val="left" w:pos="-720"/>
        </w:tabs>
        <w:suppressAutoHyphens/>
        <w:ind w:left="360"/>
        <w:rPr>
          <w:rFonts w:eastAsia="Calibri"/>
          <w:iCs/>
          <w:color w:val="000000"/>
          <w:sz w:val="24"/>
          <w:szCs w:val="24"/>
        </w:rPr>
      </w:pPr>
      <w:r w:rsidRPr="00FC2444">
        <w:rPr>
          <w:sz w:val="24"/>
          <w:szCs w:val="24"/>
        </w:rPr>
        <w:t>The authority to collect information is in Sections 501 and 502 of the Housing and Urban Development Act of 1970 (Public Law 91-609) (12 U.S.C. §§ 1701z-1; 1701z-2(d) and (g))</w:t>
      </w:r>
      <w:r w:rsidR="00C25519">
        <w:rPr>
          <w:sz w:val="24"/>
          <w:szCs w:val="24"/>
        </w:rPr>
        <w:t xml:space="preserve"> and Routine Use Inventory (77 FR 17361)</w:t>
      </w:r>
      <w:r w:rsidRPr="00FC2444">
        <w:rPr>
          <w:sz w:val="24"/>
          <w:szCs w:val="24"/>
        </w:rPr>
        <w:t>.</w:t>
      </w:r>
      <w:r>
        <w:rPr>
          <w:sz w:val="24"/>
          <w:szCs w:val="24"/>
        </w:rPr>
        <w:t xml:space="preserve">  </w:t>
      </w:r>
      <w:r w:rsidR="00757277">
        <w:rPr>
          <w:sz w:val="24"/>
          <w:szCs w:val="24"/>
        </w:rPr>
        <w:t>T</w:t>
      </w:r>
      <w:r>
        <w:rPr>
          <w:sz w:val="24"/>
          <w:szCs w:val="24"/>
        </w:rPr>
        <w:t>he relevant section of HUD’s statutory authority</w:t>
      </w:r>
      <w:r w:rsidR="00757277">
        <w:rPr>
          <w:sz w:val="24"/>
          <w:szCs w:val="24"/>
        </w:rPr>
        <w:t xml:space="preserve"> is included as part of this ICR</w:t>
      </w:r>
      <w:r>
        <w:rPr>
          <w:sz w:val="24"/>
          <w:szCs w:val="24"/>
        </w:rPr>
        <w:t>.</w:t>
      </w:r>
    </w:p>
    <w:p w:rsidR="00535C0D" w:rsidRPr="00972BE7" w:rsidP="00972BE7" w14:paraId="4E270030" w14:textId="77777777">
      <w:pPr>
        <w:rPr>
          <w:sz w:val="24"/>
        </w:rPr>
      </w:pPr>
    </w:p>
    <w:p w:rsidR="009E13B1" w:rsidRPr="007428A9" w:rsidP="007428A9" w14:paraId="71B1670B" w14:textId="0B640DBE">
      <w:pPr>
        <w:pStyle w:val="ListParagraph"/>
        <w:keepLines/>
        <w:numPr>
          <w:ilvl w:val="0"/>
          <w:numId w:val="26"/>
        </w:numPr>
        <w:tabs>
          <w:tab w:val="left" w:pos="360"/>
        </w:tabs>
        <w:spacing w:after="80"/>
        <w:rPr>
          <w:b/>
          <w:sz w:val="24"/>
          <w:szCs w:val="24"/>
        </w:rPr>
      </w:pPr>
      <w:r w:rsidRPr="007428A9">
        <w:rPr>
          <w:b/>
          <w:sz w:val="24"/>
          <w:szCs w:val="24"/>
        </w:rPr>
        <w:t>Indicate how, by whom and for what purpose the information is to be used.  Except for a new collection, indicate the actual use the agency has made of the information received from the current collection.</w:t>
      </w:r>
    </w:p>
    <w:p w:rsidR="007428A9" w:rsidP="008A3BDE" w14:paraId="5B2090E8" w14:textId="77777777">
      <w:pPr>
        <w:pStyle w:val="NoSpacing"/>
      </w:pPr>
    </w:p>
    <w:p w:rsidR="007428A9" w:rsidRPr="008064C8" w:rsidP="007428A9" w14:paraId="1C639026" w14:textId="6F82EB20">
      <w:pPr>
        <w:ind w:left="360"/>
        <w:rPr>
          <w:sz w:val="24"/>
          <w:szCs w:val="24"/>
        </w:rPr>
      </w:pPr>
      <w:r w:rsidRPr="008064C8">
        <w:rPr>
          <w:sz w:val="24"/>
          <w:szCs w:val="24"/>
        </w:rPr>
        <w:t xml:space="preserve">The United States Department of Housing and Urban Development (HUD) has collected and maintains personally identifiable information (PII), the confidentiality of which is protected by the Privacy Act of 1974 (5 U.S.C. 552a), which it intends to make available to qualified researchers.  The information </w:t>
      </w:r>
      <w:r>
        <w:rPr>
          <w:sz w:val="24"/>
          <w:szCs w:val="24"/>
        </w:rPr>
        <w:t>collect</w:t>
      </w:r>
      <w:r w:rsidRPr="008064C8">
        <w:rPr>
          <w:sz w:val="24"/>
          <w:szCs w:val="24"/>
        </w:rPr>
        <w:t xml:space="preserve">ed will enable HUD to determine whether a data license permitting access to such PII by legitimate research organizations is in the public interest. </w:t>
      </w:r>
      <w:r w:rsidR="001027E0">
        <w:rPr>
          <w:sz w:val="24"/>
          <w:szCs w:val="24"/>
        </w:rPr>
        <w:t>HUD has issued numerous data licenses over the years to qualified researchers</w:t>
      </w:r>
      <w:r w:rsidR="00EC6111">
        <w:rPr>
          <w:sz w:val="24"/>
          <w:szCs w:val="24"/>
        </w:rPr>
        <w:t xml:space="preserve">, and continually refines the documents required to ensure that applicants for a data license are submitting the necessary information to help reviewers assess </w:t>
      </w:r>
      <w:r w:rsidR="00EC6111">
        <w:rPr>
          <w:sz w:val="24"/>
          <w:szCs w:val="24"/>
        </w:rPr>
        <w:t>whether or not</w:t>
      </w:r>
      <w:r w:rsidR="00EC6111">
        <w:rPr>
          <w:sz w:val="24"/>
          <w:szCs w:val="24"/>
        </w:rPr>
        <w:t xml:space="preserve"> a data license should be granted</w:t>
      </w:r>
      <w:r w:rsidR="00CC1FE1">
        <w:rPr>
          <w:sz w:val="24"/>
          <w:szCs w:val="24"/>
        </w:rPr>
        <w:t xml:space="preserve">. This ICR includes a revised set of </w:t>
      </w:r>
      <w:r w:rsidR="00BE6294">
        <w:rPr>
          <w:sz w:val="24"/>
          <w:szCs w:val="24"/>
        </w:rPr>
        <w:t xml:space="preserve">application materials from prior years that better reflects the information HUD requires to </w:t>
      </w:r>
      <w:r w:rsidR="00BE6294">
        <w:rPr>
          <w:sz w:val="24"/>
          <w:szCs w:val="24"/>
        </w:rPr>
        <w:t>make a determination</w:t>
      </w:r>
      <w:r w:rsidR="00BE6294">
        <w:rPr>
          <w:sz w:val="24"/>
          <w:szCs w:val="24"/>
        </w:rPr>
        <w:t xml:space="preserve"> about the suitability of the applicant</w:t>
      </w:r>
      <w:r w:rsidR="0057359D">
        <w:rPr>
          <w:sz w:val="24"/>
          <w:szCs w:val="24"/>
        </w:rPr>
        <w:t xml:space="preserve"> for a data license.  In addition, the reporting requirements were dropped as the reports were not found to add value to the process and served only to add burden to </w:t>
      </w:r>
      <w:r w:rsidR="00F6253C">
        <w:rPr>
          <w:sz w:val="24"/>
          <w:szCs w:val="24"/>
        </w:rPr>
        <w:t>data license holders.</w:t>
      </w:r>
    </w:p>
    <w:p w:rsidR="00C74D39" w:rsidP="00C74D39" w14:paraId="3DCB09B5" w14:textId="77777777">
      <w:pPr>
        <w:ind w:left="360"/>
        <w:jc w:val="both"/>
        <w:rPr>
          <w:bCs/>
          <w:sz w:val="24"/>
          <w:szCs w:val="24"/>
        </w:rPr>
      </w:pPr>
    </w:p>
    <w:p w:rsidR="009E13B1" w:rsidP="007428A9" w14:paraId="0DD81F39" w14:textId="1431C0C1">
      <w:pPr>
        <w:pStyle w:val="ListParagraph"/>
        <w:keepLines/>
        <w:numPr>
          <w:ilvl w:val="0"/>
          <w:numId w:val="26"/>
        </w:numPr>
        <w:tabs>
          <w:tab w:val="left" w:pos="360"/>
        </w:tabs>
        <w:spacing w:after="80"/>
        <w:rPr>
          <w:b/>
          <w:sz w:val="24"/>
          <w:szCs w:val="24"/>
        </w:rPr>
      </w:pPr>
      <w:r w:rsidRPr="007428A9">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A3BDE" w:rsidP="008A3BDE" w14:paraId="4AA92B88" w14:textId="77777777">
      <w:pPr>
        <w:pStyle w:val="NoSpacing"/>
      </w:pPr>
    </w:p>
    <w:p w:rsidR="007428A9" w:rsidP="007428A9" w14:paraId="4E605CC1" w14:textId="3DE66478">
      <w:pPr>
        <w:pStyle w:val="ListParagraph"/>
        <w:ind w:left="360"/>
        <w:rPr>
          <w:sz w:val="24"/>
          <w:szCs w:val="24"/>
        </w:rPr>
      </w:pPr>
      <w:r w:rsidRPr="007428A9">
        <w:rPr>
          <w:sz w:val="24"/>
          <w:szCs w:val="24"/>
        </w:rPr>
        <w:t>We have maximized the use of email for transmission of documents.  Some wet-ink documents must still be physically transmitted.</w:t>
      </w:r>
    </w:p>
    <w:p w:rsidR="008A3BDE" w:rsidRPr="007428A9" w:rsidP="007428A9" w14:paraId="02D198FA" w14:textId="77777777">
      <w:pPr>
        <w:pStyle w:val="ListParagraph"/>
        <w:ind w:left="360"/>
        <w:rPr>
          <w:sz w:val="24"/>
          <w:szCs w:val="24"/>
        </w:rPr>
      </w:pPr>
    </w:p>
    <w:p w:rsidR="009E13B1" w:rsidRPr="007D342E" w14:paraId="2B4C1544" w14:textId="77777777">
      <w:pPr>
        <w:keepLines/>
        <w:tabs>
          <w:tab w:val="left" w:pos="360"/>
        </w:tabs>
        <w:spacing w:after="80"/>
        <w:ind w:left="360" w:hanging="360"/>
        <w:rPr>
          <w:b/>
          <w:sz w:val="24"/>
          <w:szCs w:val="24"/>
        </w:rPr>
      </w:pPr>
      <w:r w:rsidRPr="007D342E">
        <w:rPr>
          <w:b/>
          <w:sz w:val="24"/>
          <w:szCs w:val="24"/>
        </w:rPr>
        <w:t>4.</w:t>
      </w:r>
      <w:r w:rsidRPr="007D342E">
        <w:rPr>
          <w:b/>
          <w:sz w:val="24"/>
          <w:szCs w:val="24"/>
        </w:rPr>
        <w:tab/>
        <w:t>Describe efforts to identify duplication.  Show specifically why any similar information already available cannot be used or modified for use for the purposes described in Item 2 above.</w:t>
      </w:r>
    </w:p>
    <w:p w:rsidR="007428A9" w:rsidP="007428A9" w14:paraId="69E6A022" w14:textId="77777777">
      <w:pPr>
        <w:ind w:left="360"/>
        <w:rPr>
          <w:sz w:val="24"/>
          <w:szCs w:val="24"/>
        </w:rPr>
      </w:pPr>
      <w:r w:rsidRPr="008064C8">
        <w:rPr>
          <w:sz w:val="24"/>
          <w:szCs w:val="24"/>
        </w:rPr>
        <w:t xml:space="preserve">There is no other source of the required information.  Data licenses are issued only for unique research projects, which must be uniquely described.  Assurances by research organizations and affidavits by project staff promising not to disclose the PII provided to them must be uniquely subscribed. </w:t>
      </w:r>
    </w:p>
    <w:p w:rsidR="00F911D6" w:rsidRPr="008064C8" w:rsidP="007428A9" w14:paraId="3EC19774" w14:textId="77777777">
      <w:pPr>
        <w:ind w:left="360"/>
        <w:rPr>
          <w:sz w:val="24"/>
          <w:szCs w:val="24"/>
        </w:rPr>
      </w:pPr>
    </w:p>
    <w:p w:rsidR="009E13B1" w:rsidRPr="007D342E" w:rsidP="00960552" w14:paraId="1C63CDA6" w14:textId="77777777">
      <w:pPr>
        <w:keepLines/>
        <w:tabs>
          <w:tab w:val="left" w:pos="360"/>
        </w:tabs>
        <w:spacing w:after="80"/>
        <w:ind w:left="360" w:hanging="360"/>
        <w:rPr>
          <w:b/>
          <w:sz w:val="24"/>
          <w:szCs w:val="24"/>
        </w:rPr>
      </w:pPr>
      <w:r w:rsidRPr="007D342E">
        <w:rPr>
          <w:b/>
          <w:sz w:val="24"/>
          <w:szCs w:val="24"/>
        </w:rPr>
        <w:t>5.</w:t>
      </w:r>
      <w:r w:rsidRPr="007D342E">
        <w:rPr>
          <w:b/>
          <w:sz w:val="24"/>
          <w:szCs w:val="24"/>
        </w:rPr>
        <w:tab/>
        <w:t>If the collection of information impacts small businesses or other small entities describe any methods used to minimize burden.</w:t>
      </w:r>
    </w:p>
    <w:p w:rsidR="00960552" w14:paraId="79F8C810" w14:textId="77777777">
      <w:pPr>
        <w:tabs>
          <w:tab w:val="left" w:pos="360"/>
        </w:tabs>
        <w:ind w:left="360" w:hanging="360"/>
        <w:rPr>
          <w:b/>
          <w:sz w:val="24"/>
          <w:szCs w:val="24"/>
        </w:rPr>
      </w:pPr>
    </w:p>
    <w:p w:rsidR="007428A9" w:rsidRPr="008064C8" w:rsidP="007428A9" w14:paraId="6DF68727" w14:textId="03AF8277">
      <w:pPr>
        <w:ind w:left="360"/>
        <w:rPr>
          <w:sz w:val="24"/>
          <w:szCs w:val="24"/>
        </w:rPr>
      </w:pPr>
      <w:r w:rsidRPr="008064C8">
        <w:rPr>
          <w:sz w:val="24"/>
          <w:szCs w:val="24"/>
        </w:rPr>
        <w:t>There is no negative impact on small business or other small entities.  In fact, they will benefit from Departmental collected and maintained statistical data that they otherwise would not have access to.</w:t>
      </w:r>
    </w:p>
    <w:p w:rsidR="007428A9" w:rsidRPr="007D342E" w14:paraId="11337029" w14:textId="77777777">
      <w:pPr>
        <w:tabs>
          <w:tab w:val="left" w:pos="360"/>
        </w:tabs>
        <w:ind w:left="360" w:hanging="360"/>
        <w:rPr>
          <w:b/>
          <w:sz w:val="24"/>
          <w:szCs w:val="24"/>
        </w:rPr>
      </w:pPr>
    </w:p>
    <w:p w:rsidR="009E13B1" w:rsidRPr="00E229D6" w:rsidP="00E229D6" w14:paraId="58200852" w14:textId="6932C74B">
      <w:pPr>
        <w:pStyle w:val="ListParagraph"/>
        <w:keepLines/>
        <w:numPr>
          <w:ilvl w:val="0"/>
          <w:numId w:val="27"/>
        </w:numPr>
        <w:tabs>
          <w:tab w:val="left" w:pos="360"/>
        </w:tabs>
        <w:spacing w:after="80"/>
        <w:rPr>
          <w:b/>
          <w:sz w:val="24"/>
          <w:szCs w:val="24"/>
        </w:rPr>
      </w:pPr>
      <w:r w:rsidRPr="00E229D6">
        <w:rPr>
          <w:b/>
          <w:sz w:val="24"/>
          <w:szCs w:val="24"/>
        </w:rPr>
        <w:t>Describe the consequence to Federal program or policy activities if the collection is not conducted or is conducted less frequently, as well as any technical or legal obstacles to reducing burden.</w:t>
      </w:r>
    </w:p>
    <w:p w:rsidR="007428A9" w:rsidRPr="007D342E" w:rsidP="007428A9" w14:paraId="713C822F" w14:textId="77777777">
      <w:pPr>
        <w:pStyle w:val="NoSpacing"/>
        <w:ind w:left="360"/>
      </w:pPr>
    </w:p>
    <w:p w:rsidR="007428A9" w:rsidRPr="008064C8" w:rsidP="009757BA" w14:paraId="7CE80D43" w14:textId="6F876A47">
      <w:pPr>
        <w:ind w:left="360"/>
        <w:rPr>
          <w:sz w:val="24"/>
          <w:szCs w:val="24"/>
        </w:rPr>
      </w:pPr>
      <w:r w:rsidRPr="005529B7">
        <w:rPr>
          <w:sz w:val="24"/>
          <w:szCs w:val="24"/>
        </w:rPr>
        <w:t xml:space="preserve">HUD may, under the terms of </w:t>
      </w:r>
      <w:r>
        <w:rPr>
          <w:sz w:val="24"/>
          <w:szCs w:val="24"/>
        </w:rPr>
        <w:t xml:space="preserve">the </w:t>
      </w:r>
      <w:r w:rsidRPr="005529B7">
        <w:rPr>
          <w:sz w:val="24"/>
          <w:szCs w:val="24"/>
        </w:rPr>
        <w:t>Routine Use</w:t>
      </w:r>
      <w:r>
        <w:rPr>
          <w:sz w:val="24"/>
          <w:szCs w:val="24"/>
        </w:rPr>
        <w:t xml:space="preserve">s published in its various System of Records Notices, </w:t>
      </w:r>
      <w:r w:rsidRPr="005529B7">
        <w:rPr>
          <w:sz w:val="24"/>
          <w:szCs w:val="24"/>
        </w:rPr>
        <w:t>share personally identifiable information on tenants in public and assisted housing with researchers whom HUD has awarded contracts, grants, service agreements</w:t>
      </w:r>
      <w:r>
        <w:rPr>
          <w:sz w:val="24"/>
          <w:szCs w:val="24"/>
        </w:rPr>
        <w:t xml:space="preserve">, or other agreements </w:t>
      </w:r>
      <w:r w:rsidRPr="005529B7">
        <w:rPr>
          <w:sz w:val="24"/>
          <w:szCs w:val="24"/>
        </w:rPr>
        <w:t xml:space="preserve">to further policy-relevant research on the effectiveness of HUD programs. </w:t>
      </w:r>
      <w:r>
        <w:rPr>
          <w:sz w:val="24"/>
          <w:szCs w:val="24"/>
        </w:rPr>
        <w:t xml:space="preserve">The Data License process described in this Information Collection Request requires awardees to protect the data in accordance with the terms and conditions stated in the license. </w:t>
      </w:r>
      <w:r w:rsidRPr="008064C8">
        <w:rPr>
          <w:sz w:val="24"/>
          <w:szCs w:val="24"/>
        </w:rPr>
        <w:t>If th</w:t>
      </w:r>
      <w:r>
        <w:rPr>
          <w:sz w:val="24"/>
          <w:szCs w:val="24"/>
        </w:rPr>
        <w:t xml:space="preserve">is </w:t>
      </w:r>
      <w:r w:rsidRPr="008064C8">
        <w:rPr>
          <w:sz w:val="24"/>
          <w:szCs w:val="24"/>
        </w:rPr>
        <w:t xml:space="preserve">information is not collected, the Department would not be able to </w:t>
      </w:r>
      <w:r>
        <w:rPr>
          <w:sz w:val="24"/>
          <w:szCs w:val="24"/>
        </w:rPr>
        <w:t xml:space="preserve">operate the license program and would not be able to make these data available for research purposes.  </w:t>
      </w:r>
      <w:r w:rsidRPr="008064C8">
        <w:rPr>
          <w:sz w:val="24"/>
          <w:szCs w:val="24"/>
        </w:rPr>
        <w:t>The applicant would not be able to conduct the research, and the Department and the public would lose the results of the research.</w:t>
      </w:r>
    </w:p>
    <w:p w:rsidR="00C74D39" w:rsidP="00C74D39" w14:paraId="4AAB3C29" w14:textId="77777777">
      <w:pPr>
        <w:ind w:left="360"/>
        <w:rPr>
          <w:bCs/>
          <w:sz w:val="24"/>
          <w:szCs w:val="24"/>
        </w:rPr>
      </w:pPr>
    </w:p>
    <w:p w:rsidR="00A65F9E" w14:paraId="7ACBC0F1" w14:textId="77777777">
      <w:pPr>
        <w:numPr>
          <w:ilvl w:val="0"/>
          <w:numId w:val="13"/>
        </w:numPr>
        <w:tabs>
          <w:tab w:val="left" w:pos="360"/>
        </w:tabs>
        <w:rPr>
          <w:b/>
          <w:sz w:val="24"/>
          <w:szCs w:val="24"/>
        </w:rPr>
      </w:pPr>
      <w:r w:rsidRPr="007D342E">
        <w:rPr>
          <w:b/>
          <w:sz w:val="24"/>
          <w:szCs w:val="24"/>
        </w:rPr>
        <w:t>Explain any special circumstances that would cause an information collection to be conducted in a manner:</w:t>
      </w:r>
    </w:p>
    <w:p w:rsidR="00C74D39" w:rsidRPr="007D342E" w:rsidP="00C74D39" w14:paraId="75B5CA6B" w14:textId="77777777">
      <w:pPr>
        <w:tabs>
          <w:tab w:val="left" w:pos="360"/>
        </w:tabs>
        <w:ind w:left="360"/>
        <w:rPr>
          <w:b/>
          <w:sz w:val="24"/>
          <w:szCs w:val="24"/>
        </w:rPr>
      </w:pPr>
    </w:p>
    <w:p w:rsidR="00960552" w:rsidRPr="007D342E" w:rsidP="00C74D39" w14:paraId="5A23683A" w14:textId="77777777">
      <w:pPr>
        <w:ind w:left="360"/>
        <w:rPr>
          <w:b/>
          <w:sz w:val="24"/>
          <w:szCs w:val="24"/>
        </w:rPr>
      </w:pPr>
      <w:r w:rsidRPr="007D342E">
        <w:rPr>
          <w:bCs/>
          <w:sz w:val="24"/>
          <w:szCs w:val="24"/>
        </w:rPr>
        <w:t xml:space="preserve">The proposed data collection activities are consistent with the guidelines set forth in 5 CFR 1320.6 (Controlling Paperwork Burdens on the Public – General Information Collection Guidelines). There are no special circumstances that would require this information collection to be conducted in a manner that would be inconsistent with OMB guidelines. The following below are </w:t>
      </w:r>
      <w:bookmarkStart w:id="0" w:name="_Hlk154061034"/>
      <w:r w:rsidRPr="007D342E">
        <w:rPr>
          <w:bCs/>
          <w:sz w:val="24"/>
          <w:szCs w:val="24"/>
        </w:rPr>
        <w:t xml:space="preserve">“Not Applicable” </w:t>
      </w:r>
      <w:bookmarkEnd w:id="0"/>
      <w:r w:rsidRPr="007D342E">
        <w:rPr>
          <w:bCs/>
          <w:sz w:val="24"/>
          <w:szCs w:val="24"/>
        </w:rPr>
        <w:t>to this collection:</w:t>
      </w:r>
    </w:p>
    <w:p w:rsidR="009E13B1" w:rsidRPr="007D342E" w:rsidP="00C74D39" w14:paraId="1B624E91" w14:textId="77777777">
      <w:pPr>
        <w:tabs>
          <w:tab w:val="left" w:pos="360"/>
        </w:tabs>
        <w:ind w:left="360"/>
        <w:rPr>
          <w:b/>
          <w:sz w:val="24"/>
          <w:szCs w:val="24"/>
        </w:rPr>
      </w:pPr>
    </w:p>
    <w:p w:rsidR="009E13B1" w:rsidRPr="007D342E" w:rsidP="00C74D39" w14:paraId="256CCDD2" w14:textId="77777777">
      <w:pPr>
        <w:numPr>
          <w:ilvl w:val="0"/>
          <w:numId w:val="14"/>
        </w:numPr>
        <w:tabs>
          <w:tab w:val="left" w:pos="600"/>
        </w:tabs>
        <w:rPr>
          <w:bCs/>
          <w:sz w:val="24"/>
          <w:szCs w:val="24"/>
        </w:rPr>
      </w:pPr>
      <w:r w:rsidRPr="007D342E">
        <w:rPr>
          <w:bCs/>
          <w:sz w:val="24"/>
          <w:szCs w:val="24"/>
        </w:rPr>
        <w:t xml:space="preserve">requiring respondents to report information to the agency more than quarterly; </w:t>
      </w:r>
      <w:r w:rsidRPr="007D342E" w:rsidR="00960552">
        <w:rPr>
          <w:bCs/>
          <w:sz w:val="24"/>
          <w:szCs w:val="24"/>
        </w:rPr>
        <w:t>“Not Applicable”</w:t>
      </w:r>
    </w:p>
    <w:p w:rsidR="00A65F9E" w:rsidRPr="007D342E" w:rsidP="00C74D39" w14:paraId="5A20AD28" w14:textId="77777777">
      <w:pPr>
        <w:tabs>
          <w:tab w:val="left" w:pos="600"/>
        </w:tabs>
        <w:ind w:left="684"/>
        <w:rPr>
          <w:bCs/>
          <w:sz w:val="24"/>
          <w:szCs w:val="24"/>
        </w:rPr>
      </w:pPr>
    </w:p>
    <w:p w:rsidR="009E13B1" w:rsidRPr="007D342E" w:rsidP="00C74D39" w14:paraId="329FB664" w14:textId="77777777">
      <w:pPr>
        <w:numPr>
          <w:ilvl w:val="0"/>
          <w:numId w:val="14"/>
        </w:numPr>
        <w:tabs>
          <w:tab w:val="left" w:pos="600"/>
        </w:tabs>
        <w:rPr>
          <w:bCs/>
          <w:sz w:val="24"/>
          <w:szCs w:val="24"/>
        </w:rPr>
      </w:pPr>
      <w:r w:rsidRPr="007D342E">
        <w:rPr>
          <w:bCs/>
          <w:sz w:val="24"/>
          <w:szCs w:val="24"/>
        </w:rPr>
        <w:t xml:space="preserve">requiring respondents to prepare a written response to a collection of information in fewer than 30 days after receipt of </w:t>
      </w:r>
      <w:r w:rsidRPr="007D342E">
        <w:rPr>
          <w:bCs/>
          <w:sz w:val="24"/>
          <w:szCs w:val="24"/>
        </w:rPr>
        <w:t>it;</w:t>
      </w:r>
      <w:r w:rsidRPr="007D342E">
        <w:rPr>
          <w:bCs/>
          <w:sz w:val="24"/>
          <w:szCs w:val="24"/>
        </w:rPr>
        <w:t xml:space="preserve"> </w:t>
      </w:r>
      <w:r w:rsidRPr="00C74D39" w:rsidR="00960552">
        <w:rPr>
          <w:b/>
          <w:sz w:val="24"/>
          <w:szCs w:val="24"/>
        </w:rPr>
        <w:t>“Not Applicable”</w:t>
      </w:r>
    </w:p>
    <w:p w:rsidR="00A65F9E" w:rsidRPr="007D342E" w:rsidP="00C74D39" w14:paraId="3424F285" w14:textId="77777777">
      <w:pPr>
        <w:pStyle w:val="ListParagraph"/>
        <w:rPr>
          <w:bCs/>
          <w:sz w:val="24"/>
          <w:szCs w:val="24"/>
        </w:rPr>
      </w:pPr>
    </w:p>
    <w:p w:rsidR="009E13B1" w:rsidRPr="00C74D39" w:rsidP="00C74D39" w14:paraId="0878AA24" w14:textId="77777777">
      <w:pPr>
        <w:numPr>
          <w:ilvl w:val="0"/>
          <w:numId w:val="14"/>
        </w:numPr>
        <w:tabs>
          <w:tab w:val="left" w:pos="600"/>
        </w:tabs>
        <w:rPr>
          <w:b/>
          <w:sz w:val="24"/>
          <w:szCs w:val="24"/>
        </w:rPr>
      </w:pPr>
      <w:r w:rsidRPr="007D342E">
        <w:rPr>
          <w:bCs/>
          <w:sz w:val="24"/>
          <w:szCs w:val="24"/>
        </w:rPr>
        <w:t xml:space="preserve">requiring respondents to submit more than an original and two copies of any </w:t>
      </w:r>
      <w:r w:rsidRPr="007D342E">
        <w:rPr>
          <w:bCs/>
          <w:sz w:val="24"/>
          <w:szCs w:val="24"/>
        </w:rPr>
        <w:t>document;</w:t>
      </w:r>
      <w:r w:rsidRPr="007D342E">
        <w:rPr>
          <w:bCs/>
          <w:sz w:val="24"/>
          <w:szCs w:val="24"/>
        </w:rPr>
        <w:t xml:space="preserve"> </w:t>
      </w:r>
      <w:r w:rsidRPr="00C74D39" w:rsidR="00960552">
        <w:rPr>
          <w:b/>
          <w:sz w:val="24"/>
          <w:szCs w:val="24"/>
        </w:rPr>
        <w:t>“Not Applicable”</w:t>
      </w:r>
    </w:p>
    <w:p w:rsidR="00A65F9E" w:rsidRPr="007D342E" w:rsidP="00C74D39" w14:paraId="1823E80B" w14:textId="77777777">
      <w:pPr>
        <w:pStyle w:val="ListParagraph"/>
        <w:rPr>
          <w:bCs/>
          <w:sz w:val="24"/>
          <w:szCs w:val="24"/>
        </w:rPr>
      </w:pPr>
    </w:p>
    <w:p w:rsidR="009E13B1" w:rsidRPr="007D342E" w:rsidP="00C74D39" w14:paraId="3489B3FB" w14:textId="77777777">
      <w:pPr>
        <w:numPr>
          <w:ilvl w:val="0"/>
          <w:numId w:val="14"/>
        </w:numPr>
        <w:tabs>
          <w:tab w:val="left" w:pos="600"/>
        </w:tabs>
        <w:rPr>
          <w:bCs/>
          <w:sz w:val="24"/>
          <w:szCs w:val="24"/>
        </w:rPr>
      </w:pPr>
      <w:r w:rsidRPr="007D342E">
        <w:rPr>
          <w:bCs/>
          <w:sz w:val="24"/>
          <w:szCs w:val="24"/>
        </w:rPr>
        <w:t xml:space="preserve">requiring respondents to retain records other than health, medical, government contract, grant-in-aid, or tax records for more than three years; </w:t>
      </w:r>
      <w:r w:rsidRPr="00C74D39" w:rsidR="00960552">
        <w:rPr>
          <w:b/>
          <w:sz w:val="24"/>
          <w:szCs w:val="24"/>
        </w:rPr>
        <w:t>“Not Applicable”</w:t>
      </w:r>
    </w:p>
    <w:p w:rsidR="00A65F9E" w:rsidRPr="007D342E" w:rsidP="00C74D39" w14:paraId="21CA70B0" w14:textId="77777777">
      <w:pPr>
        <w:tabs>
          <w:tab w:val="left" w:pos="600"/>
        </w:tabs>
        <w:ind w:left="684"/>
        <w:rPr>
          <w:bCs/>
          <w:sz w:val="24"/>
          <w:szCs w:val="24"/>
        </w:rPr>
      </w:pPr>
    </w:p>
    <w:p w:rsidR="009E13B1" w:rsidRPr="00C74D39" w:rsidP="00C74D39" w14:paraId="6E51D4DE" w14:textId="77777777">
      <w:pPr>
        <w:numPr>
          <w:ilvl w:val="0"/>
          <w:numId w:val="14"/>
        </w:numPr>
        <w:tabs>
          <w:tab w:val="left" w:pos="600"/>
        </w:tabs>
        <w:rPr>
          <w:bCs/>
          <w:sz w:val="24"/>
          <w:szCs w:val="24"/>
        </w:rPr>
      </w:pPr>
      <w:r w:rsidRPr="007D342E">
        <w:rPr>
          <w:bCs/>
          <w:sz w:val="24"/>
          <w:szCs w:val="24"/>
        </w:rPr>
        <w:t xml:space="preserve">in connection with a statistical survey, that is not designed to produce valid and reliable results than can be generalized to the universe of study; </w:t>
      </w:r>
      <w:r w:rsidRPr="00C74D39" w:rsidR="00960552">
        <w:rPr>
          <w:b/>
          <w:sz w:val="24"/>
          <w:szCs w:val="24"/>
        </w:rPr>
        <w:t>“Not Applicable”</w:t>
      </w:r>
    </w:p>
    <w:p w:rsidR="00C74D39" w:rsidP="00C74D39" w14:paraId="54604D0C" w14:textId="77777777">
      <w:pPr>
        <w:pStyle w:val="ListParagraph"/>
        <w:rPr>
          <w:bCs/>
          <w:sz w:val="24"/>
          <w:szCs w:val="24"/>
        </w:rPr>
      </w:pPr>
    </w:p>
    <w:p w:rsidR="00A65F9E" w:rsidRPr="007D342E" w:rsidP="00C74D39" w14:paraId="0D789DB4" w14:textId="77777777">
      <w:pPr>
        <w:numPr>
          <w:ilvl w:val="0"/>
          <w:numId w:val="14"/>
        </w:numPr>
        <w:tabs>
          <w:tab w:val="left" w:pos="600"/>
        </w:tabs>
        <w:rPr>
          <w:bCs/>
          <w:sz w:val="24"/>
          <w:szCs w:val="24"/>
        </w:rPr>
      </w:pPr>
      <w:r w:rsidRPr="007D342E">
        <w:rPr>
          <w:bCs/>
          <w:sz w:val="24"/>
          <w:szCs w:val="24"/>
        </w:rPr>
        <w:t>requiring the use of a statistical data classification that has not been reviewed and approved by OMB;</w:t>
      </w:r>
      <w:r w:rsidRPr="007D342E" w:rsidR="00960552">
        <w:rPr>
          <w:bCs/>
          <w:sz w:val="24"/>
          <w:szCs w:val="24"/>
        </w:rPr>
        <w:t xml:space="preserve"> </w:t>
      </w:r>
      <w:r w:rsidRPr="00C74D39" w:rsidR="00960552">
        <w:rPr>
          <w:b/>
          <w:sz w:val="24"/>
          <w:szCs w:val="24"/>
        </w:rPr>
        <w:t>“Not Applicable”</w:t>
      </w:r>
    </w:p>
    <w:p w:rsidR="009E13B1" w:rsidRPr="007D342E" w:rsidP="00C74D39" w14:paraId="6746BBC9" w14:textId="77777777">
      <w:pPr>
        <w:tabs>
          <w:tab w:val="left" w:pos="600"/>
        </w:tabs>
        <w:ind w:left="684"/>
        <w:rPr>
          <w:bCs/>
          <w:sz w:val="24"/>
          <w:szCs w:val="24"/>
        </w:rPr>
      </w:pPr>
      <w:r w:rsidRPr="007D342E">
        <w:rPr>
          <w:bCs/>
          <w:sz w:val="24"/>
          <w:szCs w:val="24"/>
        </w:rPr>
        <w:t xml:space="preserve"> </w:t>
      </w:r>
    </w:p>
    <w:p w:rsidR="009E13B1" w:rsidRPr="007D342E" w:rsidP="00C74D39" w14:paraId="1F9EED1B" w14:textId="77777777">
      <w:pPr>
        <w:numPr>
          <w:ilvl w:val="0"/>
          <w:numId w:val="14"/>
        </w:numPr>
        <w:tabs>
          <w:tab w:val="left" w:pos="600"/>
        </w:tabs>
        <w:rPr>
          <w:bCs/>
          <w:sz w:val="24"/>
          <w:szCs w:val="24"/>
        </w:rPr>
      </w:pPr>
      <w:r w:rsidRPr="007D342E">
        <w:rPr>
          <w:bCs/>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C74D39" w:rsidR="00960552">
        <w:rPr>
          <w:b/>
          <w:sz w:val="24"/>
          <w:szCs w:val="24"/>
        </w:rPr>
        <w:t>“Not Applicable”</w:t>
      </w:r>
    </w:p>
    <w:p w:rsidR="00C74D39" w:rsidP="00C74D39" w14:paraId="2EFAEB8B" w14:textId="77777777">
      <w:pPr>
        <w:keepLines/>
        <w:tabs>
          <w:tab w:val="left" w:pos="600"/>
        </w:tabs>
        <w:spacing w:after="80"/>
        <w:ind w:left="684"/>
        <w:rPr>
          <w:bCs/>
          <w:sz w:val="24"/>
          <w:szCs w:val="24"/>
        </w:rPr>
      </w:pPr>
    </w:p>
    <w:p w:rsidR="009E13B1" w:rsidRPr="007D342E" w:rsidP="00C74D39" w14:paraId="6B2AF8F4" w14:textId="77777777">
      <w:pPr>
        <w:keepLines/>
        <w:numPr>
          <w:ilvl w:val="0"/>
          <w:numId w:val="14"/>
        </w:numPr>
        <w:tabs>
          <w:tab w:val="left" w:pos="600"/>
        </w:tabs>
        <w:spacing w:after="80"/>
        <w:rPr>
          <w:bCs/>
          <w:sz w:val="24"/>
          <w:szCs w:val="24"/>
        </w:rPr>
      </w:pPr>
      <w:r w:rsidRPr="007D342E">
        <w:rPr>
          <w:bCs/>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7D342E" w:rsidR="00960552">
        <w:rPr>
          <w:bCs/>
          <w:sz w:val="24"/>
          <w:szCs w:val="24"/>
        </w:rPr>
        <w:t xml:space="preserve"> </w:t>
      </w:r>
      <w:r w:rsidRPr="00C74D39" w:rsidR="00960552">
        <w:rPr>
          <w:b/>
          <w:sz w:val="24"/>
          <w:szCs w:val="24"/>
        </w:rPr>
        <w:t>“Not Applicable”</w:t>
      </w:r>
    </w:p>
    <w:p w:rsidR="009E13B1" w:rsidRPr="007D342E" w14:paraId="6A9D9117" w14:textId="77777777">
      <w:pPr>
        <w:tabs>
          <w:tab w:val="left" w:pos="360"/>
        </w:tabs>
        <w:ind w:left="360" w:hanging="360"/>
        <w:rPr>
          <w:b/>
          <w:sz w:val="24"/>
          <w:szCs w:val="24"/>
        </w:rPr>
      </w:pPr>
    </w:p>
    <w:p w:rsidR="00A65F9E" w:rsidRPr="007D342E" w:rsidP="00A65F9E" w14:paraId="39D4014A" w14:textId="77777777">
      <w:pPr>
        <w:numPr>
          <w:ilvl w:val="0"/>
          <w:numId w:val="13"/>
        </w:numPr>
        <w:tabs>
          <w:tab w:val="left" w:pos="360"/>
        </w:tabs>
        <w:rPr>
          <w:b/>
          <w:sz w:val="24"/>
          <w:szCs w:val="24"/>
        </w:rPr>
      </w:pPr>
      <w:r w:rsidRPr="007D342E">
        <w:rPr>
          <w:b/>
          <w:sz w:val="24"/>
          <w:szCs w:val="24"/>
        </w:rPr>
        <w:t xml:space="preserve">If applicable, provide a copy and identify the date and page number of </w:t>
      </w:r>
      <w:r w:rsidRPr="007D342E">
        <w:rPr>
          <w:b/>
          <w:sz w:val="24"/>
          <w:szCs w:val="24"/>
        </w:rPr>
        <w:t>publication</w:t>
      </w:r>
      <w:r w:rsidRPr="007D342E">
        <w:rPr>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E13B1" w:rsidRPr="007D342E" w:rsidP="00A65F9E" w14:paraId="154236DF" w14:textId="77777777">
      <w:pPr>
        <w:tabs>
          <w:tab w:val="left" w:pos="360"/>
        </w:tabs>
        <w:ind w:left="360"/>
        <w:rPr>
          <w:b/>
          <w:sz w:val="24"/>
          <w:szCs w:val="24"/>
        </w:rPr>
      </w:pPr>
      <w:r w:rsidRPr="007D342E">
        <w:rPr>
          <w:b/>
          <w:sz w:val="24"/>
          <w:szCs w:val="24"/>
        </w:rPr>
        <w:t xml:space="preserve"> </w:t>
      </w:r>
    </w:p>
    <w:p w:rsidR="009E13B1" w:rsidRPr="007D342E" w14:paraId="283FCB53" w14:textId="77777777">
      <w:pPr>
        <w:numPr>
          <w:ilvl w:val="0"/>
          <w:numId w:val="14"/>
        </w:numPr>
        <w:tabs>
          <w:tab w:val="left" w:pos="360"/>
        </w:tabs>
        <w:ind w:left="480"/>
        <w:rPr>
          <w:b/>
          <w:sz w:val="24"/>
          <w:szCs w:val="24"/>
        </w:rPr>
      </w:pPr>
      <w:r w:rsidRPr="007D342E">
        <w:rPr>
          <w:b/>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A65F9E" w:rsidRPr="007D342E" w:rsidP="00A65F9E" w14:paraId="3267FF7A" w14:textId="77777777">
      <w:pPr>
        <w:keepLines/>
        <w:tabs>
          <w:tab w:val="left" w:pos="360"/>
        </w:tabs>
        <w:spacing w:after="80"/>
        <w:ind w:left="480"/>
        <w:rPr>
          <w:b/>
          <w:sz w:val="24"/>
          <w:szCs w:val="24"/>
        </w:rPr>
      </w:pPr>
    </w:p>
    <w:p w:rsidR="009E13B1" w:rsidRPr="007D342E" w14:paraId="5AC0BA5E" w14:textId="77777777">
      <w:pPr>
        <w:keepLines/>
        <w:numPr>
          <w:ilvl w:val="0"/>
          <w:numId w:val="14"/>
        </w:numPr>
        <w:tabs>
          <w:tab w:val="left" w:pos="360"/>
        </w:tabs>
        <w:spacing w:after="80"/>
        <w:ind w:left="480"/>
        <w:rPr>
          <w:b/>
          <w:sz w:val="24"/>
          <w:szCs w:val="24"/>
        </w:rPr>
      </w:pPr>
      <w:r w:rsidRPr="007D342E">
        <w:rPr>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9E13B1" w:rsidRPr="007D342E" w:rsidP="00D240DF" w14:paraId="2EBA9A31" w14:textId="77777777">
      <w:pPr>
        <w:pStyle w:val="NoSpacing"/>
      </w:pPr>
    </w:p>
    <w:p w:rsidR="007428A9" w:rsidRPr="008064C8" w:rsidP="007428A9" w14:paraId="5A41938F" w14:textId="0B04D1D8">
      <w:pPr>
        <w:tabs>
          <w:tab w:val="left" w:pos="360"/>
        </w:tabs>
        <w:ind w:left="336"/>
        <w:rPr>
          <w:color w:val="000000"/>
          <w:sz w:val="24"/>
          <w:szCs w:val="24"/>
        </w:rPr>
      </w:pPr>
      <w:r w:rsidRPr="00983921">
        <w:rPr>
          <w:color w:val="000000"/>
          <w:sz w:val="24"/>
          <w:szCs w:val="24"/>
        </w:rPr>
        <w:t xml:space="preserve">On </w:t>
      </w:r>
      <w:r w:rsidR="00C25519">
        <w:rPr>
          <w:color w:val="000000"/>
          <w:sz w:val="24"/>
          <w:szCs w:val="24"/>
        </w:rPr>
        <w:t>March 12, 2024</w:t>
      </w:r>
      <w:r w:rsidRPr="00983921">
        <w:rPr>
          <w:color w:val="000000"/>
          <w:sz w:val="24"/>
          <w:szCs w:val="24"/>
        </w:rPr>
        <w:t xml:space="preserve">, a 60-Day Federal Register Notice was published at Volume </w:t>
      </w:r>
      <w:r w:rsidR="00C25519">
        <w:rPr>
          <w:color w:val="000000"/>
          <w:sz w:val="24"/>
          <w:szCs w:val="24"/>
        </w:rPr>
        <w:t>89</w:t>
      </w:r>
      <w:r w:rsidRPr="00983921">
        <w:rPr>
          <w:color w:val="000000"/>
          <w:sz w:val="24"/>
          <w:szCs w:val="24"/>
        </w:rPr>
        <w:t xml:space="preserve">, No. </w:t>
      </w:r>
      <w:r w:rsidR="00C25519">
        <w:rPr>
          <w:color w:val="000000"/>
          <w:sz w:val="24"/>
          <w:szCs w:val="24"/>
        </w:rPr>
        <w:t>49</w:t>
      </w:r>
      <w:r w:rsidRPr="00983921">
        <w:rPr>
          <w:color w:val="000000"/>
          <w:sz w:val="24"/>
          <w:szCs w:val="24"/>
        </w:rPr>
        <w:t>, page</w:t>
      </w:r>
      <w:r w:rsidR="00C25519">
        <w:rPr>
          <w:color w:val="000000"/>
          <w:sz w:val="24"/>
          <w:szCs w:val="24"/>
        </w:rPr>
        <w:t xml:space="preserve"> 17864. </w:t>
      </w:r>
      <w:r w:rsidRPr="008064C8">
        <w:rPr>
          <w:color w:val="000000"/>
          <w:sz w:val="24"/>
          <w:szCs w:val="24"/>
        </w:rPr>
        <w:t xml:space="preserve">No public comments were received. </w:t>
      </w:r>
      <w:r w:rsidRPr="005927C1" w:rsidR="005927C1">
        <w:rPr>
          <w:color w:val="000000"/>
          <w:sz w:val="24"/>
          <w:szCs w:val="24"/>
        </w:rPr>
        <w:t xml:space="preserve">The 60-Day Federal Register Notice is included in this ICR.  </w:t>
      </w:r>
    </w:p>
    <w:p w:rsidR="007428A9" w:rsidP="007428A9" w14:paraId="20C6ABB8" w14:textId="77777777">
      <w:pPr>
        <w:rPr>
          <w:sz w:val="24"/>
          <w:szCs w:val="24"/>
        </w:rPr>
      </w:pPr>
    </w:p>
    <w:p w:rsidR="00960552" w:rsidRPr="007D342E" w14:paraId="47D70034" w14:textId="77777777">
      <w:pPr>
        <w:tabs>
          <w:tab w:val="left" w:pos="360"/>
        </w:tabs>
        <w:ind w:left="360" w:hanging="360"/>
        <w:rPr>
          <w:b/>
          <w:sz w:val="24"/>
          <w:szCs w:val="24"/>
        </w:rPr>
      </w:pPr>
    </w:p>
    <w:p w:rsidR="009E13B1" w:rsidRPr="007428A9" w:rsidP="007428A9" w14:paraId="1E2F9F0A" w14:textId="54300F58">
      <w:pPr>
        <w:pStyle w:val="ListParagraph"/>
        <w:keepLines/>
        <w:numPr>
          <w:ilvl w:val="0"/>
          <w:numId w:val="13"/>
        </w:numPr>
        <w:tabs>
          <w:tab w:val="left" w:pos="360"/>
        </w:tabs>
        <w:spacing w:after="80"/>
        <w:rPr>
          <w:b/>
          <w:sz w:val="24"/>
          <w:szCs w:val="24"/>
        </w:rPr>
      </w:pPr>
      <w:r w:rsidRPr="007428A9">
        <w:rPr>
          <w:b/>
          <w:sz w:val="24"/>
          <w:szCs w:val="24"/>
        </w:rPr>
        <w:t>Explain any decision to provide any payment or gift to respondents, other than renumeration of contractors or grantees.</w:t>
      </w:r>
    </w:p>
    <w:p w:rsidR="007428A9" w:rsidP="007428A9" w14:paraId="43F89EAE" w14:textId="77777777">
      <w:pPr>
        <w:pStyle w:val="ListParagraph"/>
        <w:ind w:left="360"/>
        <w:rPr>
          <w:sz w:val="24"/>
          <w:szCs w:val="24"/>
        </w:rPr>
      </w:pPr>
    </w:p>
    <w:p w:rsidR="007428A9" w:rsidRPr="007428A9" w:rsidP="007428A9" w14:paraId="36219BAC" w14:textId="6134DC69">
      <w:pPr>
        <w:pStyle w:val="ListParagraph"/>
        <w:ind w:left="360"/>
        <w:rPr>
          <w:sz w:val="24"/>
          <w:szCs w:val="24"/>
        </w:rPr>
      </w:pPr>
      <w:r w:rsidRPr="007428A9">
        <w:rPr>
          <w:sz w:val="24"/>
          <w:szCs w:val="24"/>
        </w:rPr>
        <w:t>None</w:t>
      </w:r>
    </w:p>
    <w:p w:rsidR="00E229D6" w:rsidP="00E229D6" w14:paraId="4D5F59C3" w14:textId="19AD5352">
      <w:pPr>
        <w:overflowPunct/>
        <w:autoSpaceDE/>
        <w:autoSpaceDN/>
        <w:adjustRightInd/>
        <w:spacing w:line="259" w:lineRule="auto"/>
        <w:textAlignment w:val="auto"/>
        <w:rPr>
          <w:bCs/>
          <w:sz w:val="24"/>
          <w:szCs w:val="24"/>
        </w:rPr>
      </w:pPr>
      <w:r>
        <w:rPr>
          <w:bCs/>
          <w:sz w:val="24"/>
          <w:szCs w:val="24"/>
        </w:rPr>
        <w:tab/>
      </w:r>
    </w:p>
    <w:p w:rsidR="009E13B1" w:rsidRPr="00E229D6" w:rsidP="00E229D6" w14:paraId="59D1B842" w14:textId="0F9F18E8">
      <w:pPr>
        <w:pStyle w:val="ListParagraph"/>
        <w:numPr>
          <w:ilvl w:val="0"/>
          <w:numId w:val="28"/>
        </w:numPr>
        <w:overflowPunct/>
        <w:autoSpaceDE/>
        <w:autoSpaceDN/>
        <w:adjustRightInd/>
        <w:spacing w:line="259" w:lineRule="auto"/>
        <w:textAlignment w:val="auto"/>
        <w:rPr>
          <w:b/>
          <w:sz w:val="24"/>
          <w:szCs w:val="24"/>
        </w:rPr>
      </w:pPr>
      <w:r w:rsidRPr="00E229D6">
        <w:rPr>
          <w:b/>
          <w:sz w:val="24"/>
          <w:szCs w:val="24"/>
        </w:rPr>
        <w:t>Describe any assurance of confidentiality provided to respondents and the basis for assurance in statute, regulation or agency policy.</w:t>
      </w:r>
      <w:r w:rsidRPr="00E229D6" w:rsidR="000D5079">
        <w:rPr>
          <w:b/>
        </w:rPr>
        <w:t xml:space="preserve"> </w:t>
      </w:r>
      <w:r w:rsidRPr="00E229D6" w:rsidR="000D5079">
        <w:rPr>
          <w:b/>
          <w:sz w:val="24"/>
          <w:szCs w:val="24"/>
        </w:rPr>
        <w:t xml:space="preserve">If the collection requires a </w:t>
      </w:r>
      <w:r w:rsidRPr="00E229D6" w:rsidR="00BB2518">
        <w:rPr>
          <w:b/>
          <w:sz w:val="24"/>
          <w:szCs w:val="24"/>
        </w:rPr>
        <w:t>system of records notice (SORN)</w:t>
      </w:r>
      <w:r w:rsidRPr="00E229D6" w:rsidR="000D5079">
        <w:rPr>
          <w:b/>
          <w:sz w:val="24"/>
          <w:szCs w:val="24"/>
        </w:rPr>
        <w:t xml:space="preserve"> or privacy impact assessment (PIA), those should be cited and described here.</w:t>
      </w:r>
    </w:p>
    <w:p w:rsidR="00D240DF" w:rsidP="00D240DF" w14:paraId="5D969ECE" w14:textId="77777777">
      <w:pPr>
        <w:overflowPunct/>
        <w:autoSpaceDE/>
        <w:autoSpaceDN/>
        <w:adjustRightInd/>
        <w:spacing w:line="259" w:lineRule="auto"/>
        <w:ind w:left="360"/>
        <w:textAlignment w:val="auto"/>
        <w:rPr>
          <w:bCs/>
          <w:sz w:val="24"/>
          <w:szCs w:val="24"/>
        </w:rPr>
      </w:pPr>
    </w:p>
    <w:p w:rsidR="007428A9" w:rsidP="007428A9" w14:paraId="3B9DC345" w14:textId="77777777">
      <w:pPr>
        <w:ind w:left="360"/>
        <w:rPr>
          <w:sz w:val="24"/>
        </w:rPr>
      </w:pPr>
      <w:r>
        <w:rPr>
          <w:sz w:val="24"/>
        </w:rPr>
        <w:t xml:space="preserve">With respect to the institutions and affiliated researchers applying for the licenses:  we make no assurance of confidentiality with respect to the documents submitted in support of any data license, whether the application, the license, the non-disclosure affidavit, or the certificate of data destruction    </w:t>
      </w:r>
    </w:p>
    <w:p w:rsidR="007428A9" w:rsidP="007428A9" w14:paraId="2E59068F" w14:textId="77777777">
      <w:pPr>
        <w:ind w:left="360"/>
        <w:rPr>
          <w:sz w:val="24"/>
        </w:rPr>
      </w:pPr>
    </w:p>
    <w:p w:rsidR="007428A9" w:rsidP="007428A9" w14:paraId="285D6348" w14:textId="77777777">
      <w:pPr>
        <w:ind w:left="360"/>
        <w:rPr>
          <w:sz w:val="24"/>
        </w:rPr>
      </w:pPr>
      <w:r>
        <w:rPr>
          <w:sz w:val="24"/>
        </w:rPr>
        <w:t xml:space="preserve">With respect to the HUD-assisted tenants or other parties whose personal or sensitive information is requested, the licensee undertakes to share that information only with members of the research team, to protect the information from disclosure to others, to store the data on a non-networked computer in a locked room, and to publish research based on the information only after review by HUD to prevent unlawful disclosures. </w:t>
      </w:r>
    </w:p>
    <w:p w:rsidR="007428A9" w:rsidP="007428A9" w14:paraId="21B69800" w14:textId="77777777">
      <w:pPr>
        <w:ind w:left="360"/>
        <w:rPr>
          <w:sz w:val="24"/>
        </w:rPr>
      </w:pPr>
    </w:p>
    <w:p w:rsidR="007428A9" w:rsidRPr="00196D38" w:rsidP="007428A9" w14:paraId="74F1FF7B" w14:textId="77777777">
      <w:pPr>
        <w:ind w:left="360"/>
        <w:rPr>
          <w:color w:val="000000"/>
          <w:sz w:val="24"/>
          <w:szCs w:val="24"/>
        </w:rPr>
      </w:pPr>
      <w:r w:rsidRPr="00196D38">
        <w:rPr>
          <w:color w:val="000000"/>
          <w:sz w:val="24"/>
          <w:szCs w:val="24"/>
        </w:rPr>
        <w:t>Any forms in this information collection that do contain person/sensitive information do contain the appropriate Privacy Act Notice in the document and are protected under the Privacy Act and Freedom of Information Act (FOIA)</w:t>
      </w:r>
      <w:r w:rsidRPr="00196D38">
        <w:rPr>
          <w:sz w:val="24"/>
          <w:szCs w:val="24"/>
        </w:rPr>
        <w:t xml:space="preserve"> - </w:t>
      </w:r>
      <w:r w:rsidRPr="00196D38">
        <w:rPr>
          <w:color w:val="000000"/>
          <w:sz w:val="24"/>
          <w:szCs w:val="24"/>
        </w:rPr>
        <w:t>5 U.S. Code § 552.  HUD assures confidentiality to respondent on other information collected if it would result in competitive harm in accord with the FOIA provision and/or Department’s mission.</w:t>
      </w:r>
    </w:p>
    <w:p w:rsidR="007428A9" w:rsidP="00D240DF" w14:paraId="43E350A0" w14:textId="77777777">
      <w:pPr>
        <w:overflowPunct/>
        <w:autoSpaceDE/>
        <w:autoSpaceDN/>
        <w:adjustRightInd/>
        <w:spacing w:line="259" w:lineRule="auto"/>
        <w:ind w:left="360"/>
        <w:textAlignment w:val="auto"/>
        <w:rPr>
          <w:bCs/>
          <w:sz w:val="24"/>
          <w:szCs w:val="24"/>
        </w:rPr>
      </w:pPr>
    </w:p>
    <w:p w:rsidR="009E13B1" w:rsidRPr="007D342E" w14:paraId="27A07553" w14:textId="77777777">
      <w:pPr>
        <w:keepLines/>
        <w:tabs>
          <w:tab w:val="left" w:pos="360"/>
        </w:tabs>
        <w:spacing w:after="80"/>
        <w:ind w:left="360" w:hanging="360"/>
        <w:rPr>
          <w:b/>
          <w:sz w:val="24"/>
          <w:szCs w:val="24"/>
        </w:rPr>
      </w:pPr>
      <w:r w:rsidRPr="007D342E">
        <w:rPr>
          <w:b/>
          <w:sz w:val="24"/>
          <w:szCs w:val="24"/>
        </w:rPr>
        <w:t>11.</w:t>
      </w:r>
      <w:r w:rsidRPr="007D342E">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E13B1" w:rsidRPr="007D342E" w:rsidP="004B0DE6" w14:paraId="51C1B410" w14:textId="77777777">
      <w:pPr>
        <w:tabs>
          <w:tab w:val="left" w:pos="360"/>
        </w:tabs>
        <w:ind w:left="360" w:hanging="360"/>
        <w:rPr>
          <w:b/>
          <w:sz w:val="24"/>
          <w:szCs w:val="24"/>
        </w:rPr>
      </w:pPr>
    </w:p>
    <w:p w:rsidR="007428A9" w:rsidP="007428A9" w14:paraId="05A434B6" w14:textId="6496AEE9">
      <w:pPr>
        <w:overflowPunct/>
        <w:autoSpaceDE/>
        <w:autoSpaceDN/>
        <w:adjustRightInd/>
        <w:spacing w:line="259" w:lineRule="auto"/>
        <w:ind w:left="360"/>
        <w:textAlignment w:val="auto"/>
        <w:rPr>
          <w:color w:val="000000"/>
          <w:sz w:val="24"/>
          <w:szCs w:val="24"/>
        </w:rPr>
      </w:pPr>
      <w:r w:rsidRPr="00544640">
        <w:rPr>
          <w:color w:val="000000"/>
          <w:sz w:val="24"/>
          <w:szCs w:val="24"/>
        </w:rPr>
        <w:t xml:space="preserve">No questions of a sensitive nature </w:t>
      </w:r>
      <w:r>
        <w:rPr>
          <w:color w:val="000000"/>
          <w:sz w:val="24"/>
          <w:szCs w:val="24"/>
        </w:rPr>
        <w:t xml:space="preserve">are </w:t>
      </w:r>
      <w:r w:rsidRPr="00544640">
        <w:rPr>
          <w:color w:val="000000"/>
          <w:sz w:val="24"/>
          <w:szCs w:val="24"/>
        </w:rPr>
        <w:t xml:space="preserve">included </w:t>
      </w:r>
      <w:r>
        <w:rPr>
          <w:color w:val="000000"/>
          <w:sz w:val="24"/>
          <w:szCs w:val="24"/>
        </w:rPr>
        <w:t>in any of the data license materials</w:t>
      </w:r>
      <w:r w:rsidR="00223D46">
        <w:rPr>
          <w:color w:val="000000"/>
          <w:sz w:val="24"/>
          <w:szCs w:val="24"/>
        </w:rPr>
        <w:t>.</w:t>
      </w:r>
    </w:p>
    <w:p w:rsidR="00223D46" w:rsidRPr="007D342E" w:rsidP="007428A9" w14:paraId="39144698" w14:textId="77777777">
      <w:pPr>
        <w:overflowPunct/>
        <w:autoSpaceDE/>
        <w:autoSpaceDN/>
        <w:adjustRightInd/>
        <w:spacing w:line="259" w:lineRule="auto"/>
        <w:ind w:left="360"/>
        <w:textAlignment w:val="auto"/>
        <w:rPr>
          <w:b/>
          <w:sz w:val="24"/>
          <w:szCs w:val="24"/>
        </w:rPr>
      </w:pPr>
    </w:p>
    <w:p w:rsidR="000D5079" w:rsidRPr="007D342E" w14:paraId="1AB5CB28" w14:textId="77777777">
      <w:pPr>
        <w:tabs>
          <w:tab w:val="left" w:pos="360"/>
        </w:tabs>
        <w:ind w:left="360" w:hanging="360"/>
        <w:rPr>
          <w:b/>
          <w:sz w:val="24"/>
          <w:szCs w:val="24"/>
        </w:rPr>
      </w:pPr>
      <w:r w:rsidRPr="007D342E">
        <w:rPr>
          <w:b/>
          <w:sz w:val="24"/>
          <w:szCs w:val="24"/>
        </w:rPr>
        <w:t>12.</w:t>
      </w:r>
      <w:r w:rsidRPr="007D342E">
        <w:rPr>
          <w:b/>
          <w:sz w:val="24"/>
          <w:szCs w:val="24"/>
        </w:rPr>
        <w:tab/>
        <w:t>Provide estimates of the hour burden of the collection of information.  The statement should:</w:t>
      </w:r>
    </w:p>
    <w:p w:rsidR="009E13B1" w:rsidRPr="007D342E" w14:paraId="4B3F70C8" w14:textId="77777777">
      <w:pPr>
        <w:tabs>
          <w:tab w:val="left" w:pos="360"/>
        </w:tabs>
        <w:ind w:left="360" w:hanging="360"/>
        <w:rPr>
          <w:b/>
          <w:sz w:val="24"/>
          <w:szCs w:val="24"/>
        </w:rPr>
      </w:pPr>
      <w:r w:rsidRPr="007D342E">
        <w:rPr>
          <w:b/>
          <w:sz w:val="24"/>
          <w:szCs w:val="24"/>
        </w:rPr>
        <w:t xml:space="preserve"> </w:t>
      </w:r>
    </w:p>
    <w:p w:rsidR="009E13B1" w14:paraId="5BD68BC9" w14:textId="77777777">
      <w:pPr>
        <w:numPr>
          <w:ilvl w:val="0"/>
          <w:numId w:val="14"/>
        </w:numPr>
        <w:tabs>
          <w:tab w:val="left" w:pos="480"/>
        </w:tabs>
        <w:ind w:left="480"/>
        <w:rPr>
          <w:b/>
          <w:sz w:val="24"/>
          <w:szCs w:val="24"/>
        </w:rPr>
      </w:pPr>
      <w:r w:rsidRPr="007D342E">
        <w:rPr>
          <w:b/>
          <w:sz w:val="24"/>
          <w:szCs w:val="24"/>
        </w:rPr>
        <w:t>I</w:t>
      </w:r>
      <w:r w:rsidRPr="007D342E">
        <w:rPr>
          <w:b/>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w:t>
      </w:r>
      <w:r w:rsidRPr="007D342E">
        <w:rPr>
          <w:b/>
          <w:sz w:val="24"/>
          <w:szCs w:val="24"/>
        </w:rPr>
        <w:t>hour</w:t>
      </w:r>
      <w:r w:rsidRPr="007D342E">
        <w:rPr>
          <w:b/>
          <w:sz w:val="24"/>
          <w:szCs w:val="24"/>
        </w:rPr>
        <w:t xml:space="preserve">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7D342E" w:rsidR="006C7FAE">
        <w:rPr>
          <w:b/>
          <w:sz w:val="24"/>
          <w:szCs w:val="24"/>
        </w:rPr>
        <w:t>Generally,</w:t>
      </w:r>
      <w:r w:rsidRPr="007D342E">
        <w:rPr>
          <w:b/>
          <w:sz w:val="24"/>
          <w:szCs w:val="24"/>
        </w:rPr>
        <w:t xml:space="preserve"> estimates should not include burden hours for customary and usual business </w:t>
      </w:r>
      <w:r w:rsidRPr="007D342E">
        <w:rPr>
          <w:b/>
          <w:sz w:val="24"/>
          <w:szCs w:val="24"/>
        </w:rPr>
        <w:t>practices;</w:t>
      </w:r>
      <w:r w:rsidRPr="007D342E">
        <w:rPr>
          <w:b/>
          <w:sz w:val="24"/>
          <w:szCs w:val="24"/>
        </w:rPr>
        <w:t xml:space="preserve"> </w:t>
      </w:r>
    </w:p>
    <w:p w:rsidR="00064AD6" w:rsidP="00064AD6" w14:paraId="1CF9F8ED" w14:textId="77777777">
      <w:pPr>
        <w:tabs>
          <w:tab w:val="left" w:pos="480"/>
        </w:tabs>
        <w:rPr>
          <w:b/>
          <w:sz w:val="24"/>
          <w:szCs w:val="24"/>
        </w:rPr>
      </w:pPr>
    </w:p>
    <w:p w:rsidR="00064AD6" w:rsidP="00064AD6" w14:paraId="7A2F14EC" w14:textId="77777777">
      <w:pPr>
        <w:tabs>
          <w:tab w:val="left" w:pos="480"/>
        </w:tabs>
        <w:rPr>
          <w:b/>
          <w:sz w:val="24"/>
          <w:szCs w:val="24"/>
        </w:rPr>
      </w:pPr>
    </w:p>
    <w:p w:rsidR="00064AD6" w:rsidP="00064AD6" w14:paraId="44E9B5C4" w14:textId="77777777">
      <w:pPr>
        <w:tabs>
          <w:tab w:val="left" w:pos="480"/>
        </w:tabs>
        <w:rPr>
          <w:b/>
          <w:sz w:val="24"/>
          <w:szCs w:val="24"/>
        </w:rPr>
      </w:pPr>
    </w:p>
    <w:p w:rsidR="00064AD6" w:rsidP="00064AD6" w14:paraId="70263C37" w14:textId="77777777">
      <w:pPr>
        <w:tabs>
          <w:tab w:val="left" w:pos="480"/>
        </w:tabs>
        <w:rPr>
          <w:b/>
          <w:sz w:val="24"/>
          <w:szCs w:val="24"/>
        </w:rPr>
      </w:pPr>
    </w:p>
    <w:p w:rsidR="00064AD6" w:rsidP="00064AD6" w14:paraId="24424AFB" w14:textId="77777777">
      <w:pPr>
        <w:tabs>
          <w:tab w:val="left" w:pos="480"/>
        </w:tabs>
        <w:rPr>
          <w:b/>
          <w:sz w:val="24"/>
          <w:szCs w:val="24"/>
        </w:rPr>
      </w:pPr>
    </w:p>
    <w:p w:rsidR="00064AD6" w:rsidP="00064AD6" w14:paraId="14851D5A" w14:textId="77777777">
      <w:pPr>
        <w:tabs>
          <w:tab w:val="left" w:pos="480"/>
        </w:tabs>
        <w:rPr>
          <w:b/>
          <w:sz w:val="24"/>
          <w:szCs w:val="24"/>
        </w:rPr>
      </w:pPr>
    </w:p>
    <w:p w:rsidR="00064AD6" w:rsidP="00064AD6" w14:paraId="5E332CAE" w14:textId="77777777">
      <w:pPr>
        <w:tabs>
          <w:tab w:val="left" w:pos="480"/>
        </w:tabs>
        <w:rPr>
          <w:b/>
          <w:sz w:val="24"/>
          <w:szCs w:val="24"/>
        </w:rPr>
      </w:pPr>
    </w:p>
    <w:p w:rsidR="009E13B1" w:rsidRPr="007D342E" w14:paraId="50BD83C5" w14:textId="77777777">
      <w:pPr>
        <w:numPr>
          <w:ilvl w:val="0"/>
          <w:numId w:val="14"/>
        </w:numPr>
        <w:tabs>
          <w:tab w:val="left" w:pos="480"/>
        </w:tabs>
        <w:ind w:left="480"/>
        <w:rPr>
          <w:b/>
          <w:sz w:val="24"/>
          <w:szCs w:val="24"/>
        </w:rPr>
      </w:pPr>
      <w:r w:rsidRPr="007D342E">
        <w:rPr>
          <w:b/>
          <w:sz w:val="24"/>
          <w:szCs w:val="24"/>
        </w:rPr>
        <w:t>I</w:t>
      </w:r>
      <w:r w:rsidRPr="007D342E">
        <w:rPr>
          <w:b/>
          <w:sz w:val="24"/>
          <w:szCs w:val="24"/>
        </w:rPr>
        <w:t xml:space="preserve">f this request covers more than one form, provide separate hour burden estimates for each form and aggregate the hour burdens in </w:t>
      </w:r>
      <w:r w:rsidRPr="007D342E" w:rsidR="00CA06CC">
        <w:rPr>
          <w:b/>
          <w:sz w:val="24"/>
          <w:szCs w:val="24"/>
        </w:rPr>
        <w:t>chart below</w:t>
      </w:r>
      <w:r w:rsidRPr="007D342E">
        <w:rPr>
          <w:b/>
          <w:sz w:val="24"/>
          <w:szCs w:val="24"/>
        </w:rPr>
        <w:t xml:space="preserve">; and </w:t>
      </w:r>
    </w:p>
    <w:p w:rsidR="009E13B1" w14:paraId="11751009" w14:textId="77777777">
      <w:pPr>
        <w:keepLines/>
        <w:numPr>
          <w:ilvl w:val="0"/>
          <w:numId w:val="14"/>
        </w:numPr>
        <w:tabs>
          <w:tab w:val="left" w:pos="480"/>
        </w:tabs>
        <w:spacing w:after="80"/>
        <w:ind w:left="480"/>
        <w:rPr>
          <w:b/>
          <w:sz w:val="24"/>
          <w:szCs w:val="24"/>
        </w:rPr>
      </w:pPr>
      <w:r w:rsidRPr="007D342E">
        <w:rPr>
          <w:b/>
          <w:sz w:val="24"/>
          <w:szCs w:val="24"/>
        </w:rPr>
        <w:t>P</w:t>
      </w:r>
      <w:r w:rsidRPr="007D342E">
        <w:rPr>
          <w:b/>
          <w:sz w:val="24"/>
          <w:szCs w:val="24"/>
        </w:rPr>
        <w:t xml:space="preserve">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7D342E" w:rsidR="00CA06CC">
        <w:rPr>
          <w:b/>
          <w:sz w:val="24"/>
          <w:szCs w:val="24"/>
        </w:rPr>
        <w:t>Instead,</w:t>
      </w:r>
      <w:r w:rsidRPr="007D342E">
        <w:rPr>
          <w:b/>
          <w:sz w:val="24"/>
          <w:szCs w:val="24"/>
        </w:rPr>
        <w:t xml:space="preserve"> this cost should be included in Item 13.</w:t>
      </w:r>
    </w:p>
    <w:p w:rsidR="007428A9" w:rsidP="007428A9" w14:paraId="098F297F" w14:textId="77777777">
      <w:pPr>
        <w:keepLines/>
        <w:tabs>
          <w:tab w:val="left" w:pos="480"/>
        </w:tabs>
        <w:spacing w:after="80"/>
        <w:rPr>
          <w:b/>
          <w:sz w:val="24"/>
          <w:szCs w:val="24"/>
        </w:rPr>
      </w:pPr>
    </w:p>
    <w:p w:rsidR="00223D46" w:rsidP="00FE420F" w14:paraId="0A7A7AAE" w14:textId="15741FFD">
      <w:pPr>
        <w:overflowPunct/>
        <w:autoSpaceDE/>
        <w:autoSpaceDN/>
        <w:adjustRightInd/>
        <w:ind w:left="336"/>
        <w:textAlignment w:val="auto"/>
        <w:rPr>
          <w:bCs/>
          <w:sz w:val="24"/>
        </w:rPr>
      </w:pPr>
      <w:r>
        <w:rPr>
          <w:bCs/>
          <w:sz w:val="24"/>
        </w:rPr>
        <w:t>T</w:t>
      </w:r>
      <w:r w:rsidRPr="00223D46">
        <w:rPr>
          <w:bCs/>
          <w:sz w:val="24"/>
        </w:rPr>
        <w:t xml:space="preserve">he total annual burden of this ICR is </w:t>
      </w:r>
      <w:r w:rsidR="007D1DFF">
        <w:rPr>
          <w:bCs/>
          <w:sz w:val="24"/>
        </w:rPr>
        <w:t>4</w:t>
      </w:r>
      <w:r w:rsidRPr="00223D46">
        <w:rPr>
          <w:bCs/>
          <w:sz w:val="24"/>
        </w:rPr>
        <w:t xml:space="preserve">2.75 hours </w:t>
      </w:r>
      <w:r w:rsidR="00FE420F">
        <w:rPr>
          <w:bCs/>
          <w:sz w:val="24"/>
        </w:rPr>
        <w:t xml:space="preserve">and has an </w:t>
      </w:r>
      <w:r w:rsidRPr="00223D46">
        <w:rPr>
          <w:bCs/>
          <w:sz w:val="24"/>
        </w:rPr>
        <w:t>estimated annual cost of $</w:t>
      </w:r>
      <w:r w:rsidR="007D1DFF">
        <w:rPr>
          <w:bCs/>
          <w:sz w:val="24"/>
        </w:rPr>
        <w:t xml:space="preserve">1,910.74 </w:t>
      </w:r>
      <w:r w:rsidRPr="00223D46">
        <w:rPr>
          <w:bCs/>
          <w:sz w:val="24"/>
        </w:rPr>
        <w:t>.</w:t>
      </w:r>
      <w:r w:rsidR="00FE420F">
        <w:rPr>
          <w:bCs/>
          <w:sz w:val="24"/>
        </w:rPr>
        <w:t xml:space="preserve"> Table 1 details the data collection activities and their anticipated burden. </w:t>
      </w:r>
      <w:r w:rsidRPr="00223D46">
        <w:rPr>
          <w:bCs/>
          <w:sz w:val="24"/>
        </w:rPr>
        <w:t xml:space="preserve"> </w:t>
      </w:r>
    </w:p>
    <w:p w:rsidR="00064AD6" w:rsidP="00FE420F" w14:paraId="34CA9CE7" w14:textId="77777777">
      <w:pPr>
        <w:overflowPunct/>
        <w:autoSpaceDE/>
        <w:autoSpaceDN/>
        <w:adjustRightInd/>
        <w:ind w:left="336"/>
        <w:textAlignment w:val="auto"/>
        <w:rPr>
          <w:b/>
          <w:sz w:val="24"/>
          <w:szCs w:val="24"/>
        </w:rPr>
      </w:pPr>
    </w:p>
    <w:p w:rsidR="007428A9" w:rsidRPr="00EA10E6" w:rsidP="007428A9" w14:paraId="04BAC800" w14:textId="6C1A3703">
      <w:pPr>
        <w:spacing w:after="200"/>
        <w:jc w:val="center"/>
        <w:rPr>
          <w:b/>
          <w:sz w:val="24"/>
          <w:szCs w:val="24"/>
        </w:rPr>
      </w:pPr>
      <w:r w:rsidRPr="00EA10E6">
        <w:rPr>
          <w:b/>
          <w:sz w:val="24"/>
          <w:szCs w:val="24"/>
        </w:rPr>
        <w:t xml:space="preserve">Table 1: Data Collection Activities and </w:t>
      </w:r>
      <w:r w:rsidR="004C4199">
        <w:rPr>
          <w:b/>
          <w:sz w:val="24"/>
          <w:szCs w:val="24"/>
        </w:rPr>
        <w:t>Annualized</w:t>
      </w:r>
      <w:r w:rsidRPr="00EA10E6">
        <w:rPr>
          <w:b/>
          <w:sz w:val="24"/>
          <w:szCs w:val="24"/>
        </w:rPr>
        <w:t xml:space="preserve"> Burden</w:t>
      </w:r>
    </w:p>
    <w:tbl>
      <w:tblPr>
        <w:tblStyle w:val="TableGrid"/>
        <w:tblW w:w="10070" w:type="dxa"/>
        <w:tblInd w:w="0" w:type="dxa"/>
        <w:tblLook w:val="04A0"/>
      </w:tblPr>
      <w:tblGrid>
        <w:gridCol w:w="2335"/>
        <w:gridCol w:w="1687"/>
        <w:gridCol w:w="1111"/>
        <w:gridCol w:w="1079"/>
        <w:gridCol w:w="1003"/>
        <w:gridCol w:w="850"/>
        <w:gridCol w:w="1003"/>
        <w:gridCol w:w="1002"/>
      </w:tblGrid>
      <w:tr w14:paraId="1FD335BC" w14:textId="77777777" w:rsidTr="005C3EE4">
        <w:tblPrEx>
          <w:tblW w:w="10070" w:type="dxa"/>
          <w:tblInd w:w="0" w:type="dxa"/>
          <w:tblLook w:val="04A0"/>
        </w:tblPrEx>
        <w:tc>
          <w:tcPr>
            <w:tcW w:w="2335" w:type="dxa"/>
          </w:tcPr>
          <w:p w:rsidR="003D5CC6" w:rsidRPr="005C3EE4" w:rsidP="003D5CC6" w14:paraId="7AF7FFCC" w14:textId="7E5F52D0">
            <w:pPr>
              <w:spacing w:after="200"/>
              <w:jc w:val="center"/>
              <w:rPr>
                <w:rFonts w:ascii="Times New Roman" w:hAnsi="Times New Roman" w:cs="Times New Roman"/>
                <w:b/>
                <w:sz w:val="18"/>
                <w:szCs w:val="18"/>
              </w:rPr>
            </w:pPr>
            <w:r w:rsidRPr="005C3EE4">
              <w:rPr>
                <w:rFonts w:ascii="Times New Roman" w:hAnsi="Times New Roman" w:cs="Times New Roman"/>
                <w:b/>
                <w:bCs/>
                <w:color w:val="000000"/>
                <w:sz w:val="18"/>
                <w:szCs w:val="18"/>
              </w:rPr>
              <w:t>Information Collection</w:t>
            </w:r>
          </w:p>
        </w:tc>
        <w:tc>
          <w:tcPr>
            <w:tcW w:w="1687" w:type="dxa"/>
          </w:tcPr>
          <w:p w:rsidR="003D5CC6" w:rsidRPr="005C3EE4" w:rsidP="003D5CC6" w14:paraId="171D2907" w14:textId="29F8E150">
            <w:pPr>
              <w:spacing w:after="200"/>
              <w:jc w:val="center"/>
              <w:rPr>
                <w:rFonts w:ascii="Times New Roman" w:hAnsi="Times New Roman" w:cs="Times New Roman"/>
                <w:b/>
                <w:sz w:val="18"/>
                <w:szCs w:val="18"/>
              </w:rPr>
            </w:pPr>
            <w:r w:rsidRPr="005C3EE4">
              <w:rPr>
                <w:rFonts w:ascii="Times New Roman" w:hAnsi="Times New Roman" w:cs="Times New Roman"/>
                <w:b/>
                <w:bCs/>
                <w:color w:val="000000"/>
                <w:sz w:val="18"/>
                <w:szCs w:val="18"/>
              </w:rPr>
              <w:t>Number of Respondents</w:t>
            </w:r>
          </w:p>
        </w:tc>
        <w:tc>
          <w:tcPr>
            <w:tcW w:w="1111" w:type="dxa"/>
          </w:tcPr>
          <w:p w:rsidR="003D5CC6" w:rsidRPr="005C3EE4" w:rsidP="003D5CC6" w14:paraId="54BBA505" w14:textId="4BE87555">
            <w:pPr>
              <w:spacing w:after="200"/>
              <w:jc w:val="center"/>
              <w:rPr>
                <w:rFonts w:ascii="Times New Roman" w:hAnsi="Times New Roman" w:cs="Times New Roman"/>
                <w:b/>
                <w:sz w:val="18"/>
                <w:szCs w:val="18"/>
              </w:rPr>
            </w:pPr>
            <w:r w:rsidRPr="005C3EE4">
              <w:rPr>
                <w:rFonts w:ascii="Times New Roman" w:hAnsi="Times New Roman" w:cs="Times New Roman"/>
                <w:b/>
                <w:bCs/>
                <w:color w:val="000000"/>
                <w:sz w:val="18"/>
                <w:szCs w:val="18"/>
              </w:rPr>
              <w:t>Frequency of Response</w:t>
            </w:r>
          </w:p>
        </w:tc>
        <w:tc>
          <w:tcPr>
            <w:tcW w:w="1079" w:type="dxa"/>
          </w:tcPr>
          <w:p w:rsidR="003D5CC6" w:rsidRPr="005C3EE4" w:rsidP="003D5CC6" w14:paraId="3DB6827D" w14:textId="2FEA0B5B">
            <w:pPr>
              <w:spacing w:after="200"/>
              <w:jc w:val="center"/>
              <w:rPr>
                <w:rFonts w:ascii="Times New Roman" w:hAnsi="Times New Roman" w:cs="Times New Roman"/>
                <w:b/>
                <w:sz w:val="18"/>
                <w:szCs w:val="18"/>
              </w:rPr>
            </w:pPr>
            <w:r w:rsidRPr="005C3EE4">
              <w:rPr>
                <w:rFonts w:ascii="Times New Roman" w:hAnsi="Times New Roman" w:cs="Times New Roman"/>
                <w:b/>
                <w:bCs/>
                <w:color w:val="000000"/>
                <w:sz w:val="18"/>
                <w:szCs w:val="18"/>
              </w:rPr>
              <w:t>Responses Per Annum</w:t>
            </w:r>
          </w:p>
        </w:tc>
        <w:tc>
          <w:tcPr>
            <w:tcW w:w="1003" w:type="dxa"/>
          </w:tcPr>
          <w:p w:rsidR="003D5CC6" w:rsidRPr="005C3EE4" w:rsidP="003D5CC6" w14:paraId="1DB8CECD" w14:textId="40C274DB">
            <w:pPr>
              <w:spacing w:after="200"/>
              <w:jc w:val="center"/>
              <w:rPr>
                <w:rFonts w:ascii="Times New Roman" w:hAnsi="Times New Roman" w:cs="Times New Roman"/>
                <w:b/>
                <w:sz w:val="18"/>
                <w:szCs w:val="18"/>
              </w:rPr>
            </w:pPr>
            <w:r w:rsidRPr="005C3EE4">
              <w:rPr>
                <w:rFonts w:ascii="Times New Roman" w:hAnsi="Times New Roman" w:cs="Times New Roman"/>
                <w:b/>
                <w:bCs/>
                <w:color w:val="000000"/>
                <w:sz w:val="18"/>
                <w:szCs w:val="18"/>
              </w:rPr>
              <w:t>Burden Hours per Response</w:t>
            </w:r>
          </w:p>
        </w:tc>
        <w:tc>
          <w:tcPr>
            <w:tcW w:w="850" w:type="dxa"/>
          </w:tcPr>
          <w:p w:rsidR="003D5CC6" w:rsidRPr="005C3EE4" w:rsidP="003D5CC6" w14:paraId="55E25CB2" w14:textId="7F09C461">
            <w:pPr>
              <w:spacing w:after="200"/>
              <w:jc w:val="center"/>
              <w:rPr>
                <w:rFonts w:ascii="Times New Roman" w:hAnsi="Times New Roman" w:cs="Times New Roman"/>
                <w:b/>
                <w:sz w:val="18"/>
                <w:szCs w:val="18"/>
              </w:rPr>
            </w:pPr>
            <w:r w:rsidRPr="005C3EE4">
              <w:rPr>
                <w:rFonts w:ascii="Times New Roman" w:hAnsi="Times New Roman" w:cs="Times New Roman"/>
                <w:b/>
                <w:bCs/>
                <w:color w:val="000000"/>
                <w:sz w:val="18"/>
                <w:szCs w:val="18"/>
              </w:rPr>
              <w:t>Annual Burden Hours</w:t>
            </w:r>
          </w:p>
        </w:tc>
        <w:tc>
          <w:tcPr>
            <w:tcW w:w="1003" w:type="dxa"/>
          </w:tcPr>
          <w:p w:rsidR="003D5CC6" w:rsidRPr="005C3EE4" w:rsidP="003D5CC6" w14:paraId="680B0AC7" w14:textId="34BFC0BD">
            <w:pPr>
              <w:spacing w:after="200"/>
              <w:jc w:val="center"/>
              <w:rPr>
                <w:rFonts w:ascii="Times New Roman" w:hAnsi="Times New Roman" w:cs="Times New Roman"/>
                <w:b/>
                <w:sz w:val="18"/>
                <w:szCs w:val="18"/>
              </w:rPr>
            </w:pPr>
            <w:r w:rsidRPr="005C3EE4">
              <w:rPr>
                <w:rFonts w:ascii="Times New Roman" w:hAnsi="Times New Roman" w:cs="Times New Roman"/>
                <w:b/>
                <w:bCs/>
                <w:color w:val="000000"/>
                <w:sz w:val="18"/>
                <w:szCs w:val="18"/>
              </w:rPr>
              <w:t>Hourly Cost per Response</w:t>
            </w:r>
          </w:p>
        </w:tc>
        <w:tc>
          <w:tcPr>
            <w:tcW w:w="1002" w:type="dxa"/>
          </w:tcPr>
          <w:p w:rsidR="003D5CC6" w:rsidRPr="005C3EE4" w:rsidP="003D5CC6" w14:paraId="0AA966A3" w14:textId="3B51E41C">
            <w:pPr>
              <w:spacing w:after="200"/>
              <w:jc w:val="center"/>
              <w:rPr>
                <w:rFonts w:ascii="Times New Roman" w:hAnsi="Times New Roman" w:cs="Times New Roman"/>
                <w:b/>
                <w:sz w:val="18"/>
                <w:szCs w:val="18"/>
              </w:rPr>
            </w:pPr>
            <w:r w:rsidRPr="005C3EE4">
              <w:rPr>
                <w:rFonts w:ascii="Times New Roman" w:hAnsi="Times New Roman" w:cs="Times New Roman"/>
                <w:b/>
                <w:bCs/>
                <w:color w:val="000000"/>
                <w:sz w:val="18"/>
                <w:szCs w:val="18"/>
              </w:rPr>
              <w:t>Annual Cost</w:t>
            </w:r>
          </w:p>
        </w:tc>
      </w:tr>
      <w:tr w14:paraId="3CA62529" w14:textId="77777777" w:rsidTr="005C3EE4">
        <w:tblPrEx>
          <w:tblW w:w="10070" w:type="dxa"/>
          <w:tblInd w:w="0" w:type="dxa"/>
          <w:tblLook w:val="04A0"/>
        </w:tblPrEx>
        <w:tc>
          <w:tcPr>
            <w:tcW w:w="2335" w:type="dxa"/>
          </w:tcPr>
          <w:p w:rsidR="003D5CC6" w:rsidRPr="005C3EE4" w:rsidP="003D5CC6" w14:paraId="04C141D2" w14:textId="3940937E">
            <w:pPr>
              <w:spacing w:after="200"/>
              <w:jc w:val="center"/>
              <w:rPr>
                <w:rFonts w:ascii="Times New Roman" w:hAnsi="Times New Roman" w:cs="Times New Roman"/>
                <w:b/>
                <w:sz w:val="18"/>
                <w:szCs w:val="18"/>
              </w:rPr>
            </w:pPr>
            <w:r w:rsidRPr="005C3EE4">
              <w:rPr>
                <w:rFonts w:ascii="Times New Roman" w:hAnsi="Times New Roman" w:cs="Times New Roman"/>
                <w:b/>
                <w:sz w:val="18"/>
                <w:szCs w:val="18"/>
              </w:rPr>
              <w:t xml:space="preserve"> </w:t>
            </w:r>
            <w:r w:rsidRPr="005C3EE4" w:rsidR="002C2B01">
              <w:rPr>
                <w:rFonts w:ascii="Times New Roman" w:hAnsi="Times New Roman" w:cs="Times New Roman"/>
                <w:b/>
                <w:sz w:val="18"/>
                <w:szCs w:val="18"/>
              </w:rPr>
              <w:t xml:space="preserve">Application for </w:t>
            </w:r>
            <w:r w:rsidRPr="005C3EE4">
              <w:rPr>
                <w:rFonts w:ascii="Times New Roman" w:hAnsi="Times New Roman" w:cs="Times New Roman"/>
                <w:b/>
                <w:sz w:val="18"/>
                <w:szCs w:val="18"/>
              </w:rPr>
              <w:t xml:space="preserve">Data License </w:t>
            </w:r>
          </w:p>
        </w:tc>
        <w:tc>
          <w:tcPr>
            <w:tcW w:w="1687" w:type="dxa"/>
          </w:tcPr>
          <w:p w:rsidR="003D5CC6" w:rsidRPr="005C3EE4" w:rsidP="003D5CC6" w14:paraId="0506C493" w14:textId="563DDCE5">
            <w:pPr>
              <w:spacing w:after="200"/>
              <w:jc w:val="center"/>
              <w:rPr>
                <w:rFonts w:ascii="Times New Roman" w:hAnsi="Times New Roman" w:cs="Times New Roman"/>
                <w:b/>
                <w:sz w:val="18"/>
                <w:szCs w:val="18"/>
              </w:rPr>
            </w:pPr>
            <w:r w:rsidRPr="005C3EE4">
              <w:rPr>
                <w:rFonts w:ascii="Times New Roman" w:hAnsi="Times New Roman" w:cs="Times New Roman"/>
                <w:b/>
                <w:sz w:val="18"/>
                <w:szCs w:val="18"/>
              </w:rPr>
              <w:t>15</w:t>
            </w:r>
          </w:p>
        </w:tc>
        <w:tc>
          <w:tcPr>
            <w:tcW w:w="1111" w:type="dxa"/>
          </w:tcPr>
          <w:p w:rsidR="003D5CC6" w:rsidRPr="005C3EE4" w:rsidP="003D5CC6" w14:paraId="6FAFE01D" w14:textId="6F602910">
            <w:pPr>
              <w:spacing w:after="200"/>
              <w:jc w:val="center"/>
              <w:rPr>
                <w:rFonts w:ascii="Times New Roman" w:hAnsi="Times New Roman" w:cs="Times New Roman"/>
                <w:b/>
                <w:sz w:val="18"/>
                <w:szCs w:val="18"/>
              </w:rPr>
            </w:pPr>
            <w:r w:rsidRPr="005C3EE4">
              <w:rPr>
                <w:rFonts w:ascii="Times New Roman" w:hAnsi="Times New Roman" w:cs="Times New Roman"/>
                <w:b/>
                <w:sz w:val="18"/>
                <w:szCs w:val="18"/>
              </w:rPr>
              <w:t>1</w:t>
            </w:r>
          </w:p>
        </w:tc>
        <w:tc>
          <w:tcPr>
            <w:tcW w:w="1079" w:type="dxa"/>
          </w:tcPr>
          <w:p w:rsidR="003D5CC6" w:rsidRPr="005C3EE4" w:rsidP="003D5CC6" w14:paraId="4935B8E3" w14:textId="7542F881">
            <w:pPr>
              <w:spacing w:after="200"/>
              <w:jc w:val="center"/>
              <w:rPr>
                <w:rFonts w:ascii="Times New Roman" w:hAnsi="Times New Roman" w:cs="Times New Roman"/>
                <w:b/>
                <w:sz w:val="18"/>
                <w:szCs w:val="18"/>
              </w:rPr>
            </w:pPr>
            <w:r w:rsidRPr="005C3EE4">
              <w:rPr>
                <w:rFonts w:ascii="Times New Roman" w:hAnsi="Times New Roman" w:cs="Times New Roman"/>
                <w:b/>
                <w:sz w:val="18"/>
                <w:szCs w:val="18"/>
              </w:rPr>
              <w:t>15</w:t>
            </w:r>
          </w:p>
        </w:tc>
        <w:tc>
          <w:tcPr>
            <w:tcW w:w="1003" w:type="dxa"/>
          </w:tcPr>
          <w:p w:rsidR="003D5CC6" w:rsidRPr="005C3EE4" w:rsidP="003D5CC6" w14:paraId="2D02BC26" w14:textId="6D61F887">
            <w:pPr>
              <w:spacing w:after="200"/>
              <w:jc w:val="center"/>
              <w:rPr>
                <w:rFonts w:ascii="Times New Roman" w:hAnsi="Times New Roman" w:cs="Times New Roman"/>
                <w:b/>
                <w:sz w:val="18"/>
                <w:szCs w:val="18"/>
              </w:rPr>
            </w:pPr>
            <w:r w:rsidRPr="005C3EE4">
              <w:rPr>
                <w:rFonts w:ascii="Times New Roman" w:hAnsi="Times New Roman" w:cs="Times New Roman"/>
                <w:b/>
                <w:sz w:val="18"/>
                <w:szCs w:val="18"/>
              </w:rPr>
              <w:t>1</w:t>
            </w:r>
          </w:p>
        </w:tc>
        <w:tc>
          <w:tcPr>
            <w:tcW w:w="850" w:type="dxa"/>
          </w:tcPr>
          <w:p w:rsidR="003D5CC6" w:rsidRPr="005C3EE4" w:rsidP="003D5CC6" w14:paraId="5CF8D5EB" w14:textId="78C33A7A">
            <w:pPr>
              <w:spacing w:after="200"/>
              <w:jc w:val="center"/>
              <w:rPr>
                <w:rFonts w:ascii="Times New Roman" w:hAnsi="Times New Roman" w:cs="Times New Roman"/>
                <w:b/>
                <w:sz w:val="18"/>
                <w:szCs w:val="18"/>
              </w:rPr>
            </w:pPr>
            <w:r w:rsidRPr="005C3EE4">
              <w:rPr>
                <w:rFonts w:ascii="Times New Roman" w:hAnsi="Times New Roman" w:cs="Times New Roman"/>
                <w:b/>
                <w:sz w:val="18"/>
                <w:szCs w:val="18"/>
              </w:rPr>
              <w:t>15</w:t>
            </w:r>
          </w:p>
        </w:tc>
        <w:tc>
          <w:tcPr>
            <w:tcW w:w="1003" w:type="dxa"/>
          </w:tcPr>
          <w:p w:rsidR="003D5CC6" w:rsidRPr="005C3EE4" w:rsidP="003D5CC6" w14:paraId="51338996" w14:textId="7B097B2F">
            <w:pPr>
              <w:spacing w:after="200"/>
              <w:jc w:val="center"/>
              <w:rPr>
                <w:rFonts w:ascii="Times New Roman" w:hAnsi="Times New Roman" w:cs="Times New Roman"/>
                <w:b/>
                <w:sz w:val="18"/>
                <w:szCs w:val="18"/>
              </w:rPr>
            </w:pPr>
            <w:r w:rsidRPr="005C3EE4">
              <w:rPr>
                <w:rFonts w:ascii="Times New Roman" w:hAnsi="Times New Roman" w:cs="Times New Roman"/>
                <w:b/>
                <w:sz w:val="18"/>
                <w:szCs w:val="18"/>
              </w:rPr>
              <w:t>$</w:t>
            </w:r>
            <w:r w:rsidRPr="005C3EE4" w:rsidR="00450899">
              <w:rPr>
                <w:rFonts w:ascii="Times New Roman" w:hAnsi="Times New Roman" w:cs="Times New Roman"/>
                <w:b/>
                <w:sz w:val="18"/>
                <w:szCs w:val="18"/>
              </w:rPr>
              <w:t>47.31</w:t>
            </w:r>
          </w:p>
        </w:tc>
        <w:tc>
          <w:tcPr>
            <w:tcW w:w="1002" w:type="dxa"/>
          </w:tcPr>
          <w:p w:rsidR="003D5CC6" w:rsidRPr="005C3EE4" w:rsidP="003D5CC6" w14:paraId="41322AF1" w14:textId="35C7B21C">
            <w:pPr>
              <w:spacing w:after="200"/>
              <w:jc w:val="center"/>
              <w:rPr>
                <w:rFonts w:ascii="Times New Roman" w:hAnsi="Times New Roman" w:cs="Times New Roman"/>
                <w:b/>
                <w:sz w:val="18"/>
                <w:szCs w:val="18"/>
              </w:rPr>
            </w:pPr>
            <w:r w:rsidRPr="005C3EE4">
              <w:rPr>
                <w:rFonts w:ascii="Times New Roman" w:hAnsi="Times New Roman" w:cs="Times New Roman"/>
                <w:b/>
                <w:sz w:val="18"/>
                <w:szCs w:val="18"/>
              </w:rPr>
              <w:t>$7</w:t>
            </w:r>
            <w:r w:rsidRPr="005C3EE4" w:rsidR="00450899">
              <w:rPr>
                <w:rFonts w:ascii="Times New Roman" w:hAnsi="Times New Roman" w:cs="Times New Roman"/>
                <w:b/>
                <w:sz w:val="18"/>
                <w:szCs w:val="18"/>
              </w:rPr>
              <w:t>09.65</w:t>
            </w:r>
          </w:p>
        </w:tc>
      </w:tr>
      <w:tr w14:paraId="71D61224" w14:textId="77777777" w:rsidTr="005C3EE4">
        <w:tblPrEx>
          <w:tblW w:w="10070" w:type="dxa"/>
          <w:tblInd w:w="0" w:type="dxa"/>
          <w:tblLook w:val="04A0"/>
        </w:tblPrEx>
        <w:tc>
          <w:tcPr>
            <w:tcW w:w="2335" w:type="dxa"/>
          </w:tcPr>
          <w:p w:rsidR="003D5CC6" w:rsidRPr="005C3EE4" w:rsidP="003D5CC6" w14:paraId="4CEC65EB" w14:textId="1F89E9D4">
            <w:pPr>
              <w:spacing w:after="200"/>
              <w:jc w:val="center"/>
              <w:rPr>
                <w:rFonts w:ascii="Times New Roman" w:hAnsi="Times New Roman" w:cs="Times New Roman"/>
                <w:b/>
                <w:sz w:val="18"/>
                <w:szCs w:val="18"/>
              </w:rPr>
            </w:pPr>
            <w:r w:rsidRPr="005C3EE4">
              <w:rPr>
                <w:rFonts w:ascii="Times New Roman" w:hAnsi="Times New Roman" w:cs="Times New Roman"/>
                <w:b/>
                <w:sz w:val="18"/>
                <w:szCs w:val="18"/>
              </w:rPr>
              <w:t>Data License Agreement</w:t>
            </w:r>
          </w:p>
        </w:tc>
        <w:tc>
          <w:tcPr>
            <w:tcW w:w="1687" w:type="dxa"/>
          </w:tcPr>
          <w:p w:rsidR="003D5CC6" w:rsidRPr="005C3EE4" w:rsidP="003D5CC6" w14:paraId="240EC1EA" w14:textId="17D2405E">
            <w:pPr>
              <w:spacing w:after="200"/>
              <w:jc w:val="center"/>
              <w:rPr>
                <w:rFonts w:ascii="Times New Roman" w:hAnsi="Times New Roman" w:cs="Times New Roman"/>
                <w:b/>
                <w:sz w:val="18"/>
                <w:szCs w:val="18"/>
              </w:rPr>
            </w:pPr>
            <w:r w:rsidRPr="005C3EE4">
              <w:rPr>
                <w:rFonts w:ascii="Times New Roman" w:hAnsi="Times New Roman" w:cs="Times New Roman"/>
                <w:b/>
                <w:sz w:val="18"/>
                <w:szCs w:val="18"/>
              </w:rPr>
              <w:t>15</w:t>
            </w:r>
          </w:p>
        </w:tc>
        <w:tc>
          <w:tcPr>
            <w:tcW w:w="1111" w:type="dxa"/>
          </w:tcPr>
          <w:p w:rsidR="003D5CC6" w:rsidRPr="005C3EE4" w:rsidP="003D5CC6" w14:paraId="6531E3CE" w14:textId="5E18C924">
            <w:pPr>
              <w:spacing w:after="200"/>
              <w:jc w:val="center"/>
              <w:rPr>
                <w:rFonts w:ascii="Times New Roman" w:hAnsi="Times New Roman" w:cs="Times New Roman"/>
                <w:b/>
                <w:sz w:val="18"/>
                <w:szCs w:val="18"/>
              </w:rPr>
            </w:pPr>
            <w:r w:rsidRPr="005C3EE4">
              <w:rPr>
                <w:rFonts w:ascii="Times New Roman" w:hAnsi="Times New Roman" w:cs="Times New Roman"/>
                <w:b/>
                <w:sz w:val="18"/>
                <w:szCs w:val="18"/>
              </w:rPr>
              <w:t>1</w:t>
            </w:r>
          </w:p>
        </w:tc>
        <w:tc>
          <w:tcPr>
            <w:tcW w:w="1079" w:type="dxa"/>
          </w:tcPr>
          <w:p w:rsidR="003D5CC6" w:rsidRPr="005C3EE4" w:rsidP="003D5CC6" w14:paraId="45FD3FB6" w14:textId="2238A426">
            <w:pPr>
              <w:spacing w:after="200"/>
              <w:jc w:val="center"/>
              <w:rPr>
                <w:rFonts w:ascii="Times New Roman" w:hAnsi="Times New Roman" w:cs="Times New Roman"/>
                <w:b/>
                <w:sz w:val="18"/>
                <w:szCs w:val="18"/>
              </w:rPr>
            </w:pPr>
            <w:r w:rsidRPr="005C3EE4">
              <w:rPr>
                <w:rFonts w:ascii="Times New Roman" w:hAnsi="Times New Roman" w:cs="Times New Roman"/>
                <w:b/>
                <w:sz w:val="18"/>
                <w:szCs w:val="18"/>
              </w:rPr>
              <w:t>15</w:t>
            </w:r>
          </w:p>
        </w:tc>
        <w:tc>
          <w:tcPr>
            <w:tcW w:w="1003" w:type="dxa"/>
          </w:tcPr>
          <w:p w:rsidR="003D5CC6" w:rsidRPr="005C3EE4" w:rsidP="003D5CC6" w14:paraId="1F81F5D9" w14:textId="5E134454">
            <w:pPr>
              <w:spacing w:after="200"/>
              <w:jc w:val="center"/>
              <w:rPr>
                <w:rFonts w:ascii="Times New Roman" w:hAnsi="Times New Roman" w:cs="Times New Roman"/>
                <w:b/>
                <w:sz w:val="18"/>
                <w:szCs w:val="18"/>
              </w:rPr>
            </w:pPr>
            <w:r w:rsidRPr="005C3EE4">
              <w:rPr>
                <w:rFonts w:ascii="Times New Roman" w:hAnsi="Times New Roman" w:cs="Times New Roman"/>
                <w:b/>
                <w:sz w:val="18"/>
                <w:szCs w:val="18"/>
              </w:rPr>
              <w:t>1</w:t>
            </w:r>
          </w:p>
        </w:tc>
        <w:tc>
          <w:tcPr>
            <w:tcW w:w="850" w:type="dxa"/>
          </w:tcPr>
          <w:p w:rsidR="003D5CC6" w:rsidRPr="005C3EE4" w:rsidP="003D5CC6" w14:paraId="57C1394F" w14:textId="0E9B8580">
            <w:pPr>
              <w:spacing w:after="200"/>
              <w:jc w:val="center"/>
              <w:rPr>
                <w:rFonts w:ascii="Times New Roman" w:hAnsi="Times New Roman" w:cs="Times New Roman"/>
                <w:b/>
                <w:sz w:val="18"/>
                <w:szCs w:val="18"/>
              </w:rPr>
            </w:pPr>
            <w:r w:rsidRPr="005C3EE4">
              <w:rPr>
                <w:rFonts w:ascii="Times New Roman" w:hAnsi="Times New Roman" w:cs="Times New Roman"/>
                <w:b/>
                <w:sz w:val="18"/>
                <w:szCs w:val="18"/>
              </w:rPr>
              <w:t>15</w:t>
            </w:r>
          </w:p>
        </w:tc>
        <w:tc>
          <w:tcPr>
            <w:tcW w:w="1003" w:type="dxa"/>
          </w:tcPr>
          <w:p w:rsidR="003D5CC6" w:rsidRPr="005C3EE4" w:rsidP="003D5CC6" w14:paraId="2AC05D5F" w14:textId="4908B5B6">
            <w:pPr>
              <w:spacing w:after="200"/>
              <w:jc w:val="center"/>
              <w:rPr>
                <w:rFonts w:ascii="Times New Roman" w:hAnsi="Times New Roman" w:cs="Times New Roman"/>
                <w:b/>
                <w:sz w:val="18"/>
                <w:szCs w:val="18"/>
              </w:rPr>
            </w:pPr>
            <w:r w:rsidRPr="005C3EE4">
              <w:rPr>
                <w:rFonts w:ascii="Times New Roman" w:hAnsi="Times New Roman" w:cs="Times New Roman"/>
                <w:b/>
                <w:sz w:val="18"/>
                <w:szCs w:val="18"/>
              </w:rPr>
              <w:t>$</w:t>
            </w:r>
            <w:r w:rsidRPr="005C3EE4" w:rsidR="00A57E4D">
              <w:rPr>
                <w:rFonts w:ascii="Times New Roman" w:hAnsi="Times New Roman" w:cs="Times New Roman"/>
                <w:b/>
                <w:sz w:val="18"/>
                <w:szCs w:val="18"/>
              </w:rPr>
              <w:t>57.63</w:t>
            </w:r>
          </w:p>
        </w:tc>
        <w:tc>
          <w:tcPr>
            <w:tcW w:w="1002" w:type="dxa"/>
          </w:tcPr>
          <w:p w:rsidR="003D5CC6" w:rsidRPr="005C3EE4" w:rsidP="003D5CC6" w14:paraId="30CADEE7" w14:textId="76BB54FF">
            <w:pPr>
              <w:spacing w:after="200"/>
              <w:jc w:val="center"/>
              <w:rPr>
                <w:rFonts w:ascii="Times New Roman" w:hAnsi="Times New Roman" w:cs="Times New Roman"/>
                <w:b/>
                <w:sz w:val="18"/>
                <w:szCs w:val="18"/>
              </w:rPr>
            </w:pPr>
            <w:r w:rsidRPr="005C3EE4">
              <w:rPr>
                <w:rFonts w:ascii="Times New Roman" w:hAnsi="Times New Roman" w:cs="Times New Roman"/>
                <w:b/>
                <w:sz w:val="18"/>
                <w:szCs w:val="18"/>
              </w:rPr>
              <w:t>$</w:t>
            </w:r>
            <w:r w:rsidRPr="005C3EE4" w:rsidR="00A57E4D">
              <w:rPr>
                <w:rFonts w:ascii="Times New Roman" w:hAnsi="Times New Roman" w:cs="Times New Roman"/>
                <w:b/>
                <w:sz w:val="18"/>
                <w:szCs w:val="18"/>
              </w:rPr>
              <w:t>864.45</w:t>
            </w:r>
          </w:p>
        </w:tc>
      </w:tr>
      <w:tr w14:paraId="23D7F591" w14:textId="77777777" w:rsidTr="005C3EE4">
        <w:tblPrEx>
          <w:tblW w:w="10070" w:type="dxa"/>
          <w:tblInd w:w="0" w:type="dxa"/>
          <w:tblLook w:val="04A0"/>
        </w:tblPrEx>
        <w:tc>
          <w:tcPr>
            <w:tcW w:w="2335" w:type="dxa"/>
          </w:tcPr>
          <w:p w:rsidR="003D5CC6" w:rsidRPr="005C3EE4" w:rsidP="003D5CC6" w14:paraId="5CAA0CF3" w14:textId="7BCEB3B9">
            <w:pPr>
              <w:spacing w:after="200"/>
              <w:jc w:val="center"/>
              <w:rPr>
                <w:rFonts w:ascii="Times New Roman" w:hAnsi="Times New Roman" w:cs="Times New Roman"/>
                <w:b/>
                <w:sz w:val="18"/>
                <w:szCs w:val="18"/>
              </w:rPr>
            </w:pPr>
            <w:r w:rsidRPr="005C3EE4">
              <w:rPr>
                <w:rFonts w:ascii="Times New Roman" w:hAnsi="Times New Roman" w:cs="Times New Roman"/>
                <w:b/>
                <w:sz w:val="18"/>
                <w:szCs w:val="18"/>
              </w:rPr>
              <w:t>Affidavit of Nondisclosure</w:t>
            </w:r>
          </w:p>
        </w:tc>
        <w:tc>
          <w:tcPr>
            <w:tcW w:w="1687" w:type="dxa"/>
          </w:tcPr>
          <w:p w:rsidR="003D5CC6" w:rsidRPr="005C3EE4" w:rsidP="003D5CC6" w14:paraId="02BFB600" w14:textId="6CFF2205">
            <w:pPr>
              <w:spacing w:after="200"/>
              <w:jc w:val="center"/>
              <w:rPr>
                <w:rFonts w:ascii="Times New Roman" w:hAnsi="Times New Roman" w:cs="Times New Roman"/>
                <w:b/>
                <w:sz w:val="18"/>
                <w:szCs w:val="18"/>
              </w:rPr>
            </w:pPr>
            <w:r w:rsidRPr="005C3EE4">
              <w:rPr>
                <w:rFonts w:ascii="Times New Roman" w:hAnsi="Times New Roman" w:cs="Times New Roman"/>
                <w:b/>
                <w:sz w:val="18"/>
                <w:szCs w:val="18"/>
              </w:rPr>
              <w:t>4</w:t>
            </w:r>
            <w:r w:rsidRPr="005C3EE4" w:rsidR="00BF4D2A">
              <w:rPr>
                <w:rFonts w:ascii="Times New Roman" w:hAnsi="Times New Roman" w:cs="Times New Roman"/>
                <w:b/>
                <w:sz w:val="18"/>
                <w:szCs w:val="18"/>
              </w:rPr>
              <w:t>5</w:t>
            </w:r>
          </w:p>
        </w:tc>
        <w:tc>
          <w:tcPr>
            <w:tcW w:w="1111" w:type="dxa"/>
          </w:tcPr>
          <w:p w:rsidR="003D5CC6" w:rsidRPr="005C3EE4" w:rsidP="003D5CC6" w14:paraId="0FB5CACF" w14:textId="4B3BEA5B">
            <w:pPr>
              <w:spacing w:after="200"/>
              <w:jc w:val="center"/>
              <w:rPr>
                <w:rFonts w:ascii="Times New Roman" w:hAnsi="Times New Roman" w:cs="Times New Roman"/>
                <w:b/>
                <w:sz w:val="18"/>
                <w:szCs w:val="18"/>
              </w:rPr>
            </w:pPr>
            <w:r w:rsidRPr="005C3EE4">
              <w:rPr>
                <w:rFonts w:ascii="Times New Roman" w:hAnsi="Times New Roman" w:cs="Times New Roman"/>
                <w:b/>
                <w:sz w:val="18"/>
                <w:szCs w:val="18"/>
              </w:rPr>
              <w:t>1</w:t>
            </w:r>
          </w:p>
        </w:tc>
        <w:tc>
          <w:tcPr>
            <w:tcW w:w="1079" w:type="dxa"/>
          </w:tcPr>
          <w:p w:rsidR="003D5CC6" w:rsidRPr="005C3EE4" w:rsidP="003D5CC6" w14:paraId="4C323281" w14:textId="204D4080">
            <w:pPr>
              <w:spacing w:after="200"/>
              <w:jc w:val="center"/>
              <w:rPr>
                <w:rFonts w:ascii="Times New Roman" w:hAnsi="Times New Roman" w:cs="Times New Roman"/>
                <w:b/>
                <w:sz w:val="18"/>
                <w:szCs w:val="18"/>
              </w:rPr>
            </w:pPr>
            <w:r w:rsidRPr="005C3EE4">
              <w:rPr>
                <w:rFonts w:ascii="Times New Roman" w:hAnsi="Times New Roman" w:cs="Times New Roman"/>
                <w:b/>
                <w:sz w:val="18"/>
                <w:szCs w:val="18"/>
              </w:rPr>
              <w:t>4</w:t>
            </w:r>
            <w:r w:rsidRPr="005C3EE4" w:rsidR="00BF4D2A">
              <w:rPr>
                <w:rFonts w:ascii="Times New Roman" w:hAnsi="Times New Roman" w:cs="Times New Roman"/>
                <w:b/>
                <w:sz w:val="18"/>
                <w:szCs w:val="18"/>
              </w:rPr>
              <w:t>5</w:t>
            </w:r>
          </w:p>
        </w:tc>
        <w:tc>
          <w:tcPr>
            <w:tcW w:w="1003" w:type="dxa"/>
          </w:tcPr>
          <w:p w:rsidR="003D5CC6" w:rsidRPr="005C3EE4" w:rsidP="003D5CC6" w14:paraId="3CC85E66" w14:textId="2FEF88CF">
            <w:pPr>
              <w:spacing w:after="200"/>
              <w:jc w:val="center"/>
              <w:rPr>
                <w:rFonts w:ascii="Times New Roman" w:hAnsi="Times New Roman" w:cs="Times New Roman"/>
                <w:b/>
                <w:sz w:val="18"/>
                <w:szCs w:val="18"/>
              </w:rPr>
            </w:pPr>
            <w:r w:rsidRPr="005C3EE4">
              <w:rPr>
                <w:rFonts w:ascii="Times New Roman" w:hAnsi="Times New Roman" w:cs="Times New Roman"/>
                <w:b/>
                <w:sz w:val="18"/>
                <w:szCs w:val="18"/>
              </w:rPr>
              <w:t>0.25</w:t>
            </w:r>
          </w:p>
        </w:tc>
        <w:tc>
          <w:tcPr>
            <w:tcW w:w="850" w:type="dxa"/>
          </w:tcPr>
          <w:p w:rsidR="003D5CC6" w:rsidRPr="005C3EE4" w:rsidP="003D5CC6" w14:paraId="6DDA393B" w14:textId="4A007A3F">
            <w:pPr>
              <w:spacing w:after="200"/>
              <w:jc w:val="center"/>
              <w:rPr>
                <w:rFonts w:ascii="Times New Roman" w:hAnsi="Times New Roman" w:cs="Times New Roman"/>
                <w:b/>
                <w:sz w:val="18"/>
                <w:szCs w:val="18"/>
              </w:rPr>
            </w:pPr>
            <w:r w:rsidRPr="005C3EE4">
              <w:rPr>
                <w:rFonts w:ascii="Times New Roman" w:hAnsi="Times New Roman" w:cs="Times New Roman"/>
                <w:b/>
                <w:sz w:val="18"/>
                <w:szCs w:val="18"/>
              </w:rPr>
              <w:t>11.25</w:t>
            </w:r>
          </w:p>
        </w:tc>
        <w:tc>
          <w:tcPr>
            <w:tcW w:w="1003" w:type="dxa"/>
          </w:tcPr>
          <w:p w:rsidR="003D5CC6" w:rsidRPr="005C3EE4" w:rsidP="003D5CC6" w14:paraId="67D285E4" w14:textId="3E2F04AB">
            <w:pPr>
              <w:spacing w:after="200"/>
              <w:jc w:val="center"/>
              <w:rPr>
                <w:rFonts w:ascii="Times New Roman" w:hAnsi="Times New Roman" w:cs="Times New Roman"/>
                <w:b/>
                <w:sz w:val="18"/>
                <w:szCs w:val="18"/>
              </w:rPr>
            </w:pPr>
            <w:r w:rsidRPr="005C3EE4">
              <w:rPr>
                <w:rFonts w:ascii="Times New Roman" w:hAnsi="Times New Roman" w:cs="Times New Roman"/>
                <w:b/>
                <w:sz w:val="18"/>
                <w:szCs w:val="18"/>
              </w:rPr>
              <w:t>$</w:t>
            </w:r>
            <w:r w:rsidRPr="005C3EE4" w:rsidR="00A57E4D">
              <w:rPr>
                <w:rFonts w:ascii="Times New Roman" w:hAnsi="Times New Roman" w:cs="Times New Roman"/>
                <w:b/>
                <w:sz w:val="18"/>
                <w:szCs w:val="18"/>
              </w:rPr>
              <w:t>23.41</w:t>
            </w:r>
          </w:p>
        </w:tc>
        <w:tc>
          <w:tcPr>
            <w:tcW w:w="1002" w:type="dxa"/>
          </w:tcPr>
          <w:p w:rsidR="003D5CC6" w:rsidRPr="005C3EE4" w:rsidP="003D5CC6" w14:paraId="1267669B" w14:textId="2CD2E0ED">
            <w:pPr>
              <w:spacing w:after="200"/>
              <w:jc w:val="center"/>
              <w:rPr>
                <w:rFonts w:ascii="Times New Roman" w:hAnsi="Times New Roman" w:cs="Times New Roman"/>
                <w:b/>
                <w:sz w:val="18"/>
                <w:szCs w:val="18"/>
              </w:rPr>
            </w:pPr>
            <w:r w:rsidRPr="005C3EE4">
              <w:rPr>
                <w:rFonts w:ascii="Times New Roman" w:hAnsi="Times New Roman" w:cs="Times New Roman"/>
                <w:b/>
                <w:sz w:val="18"/>
                <w:szCs w:val="18"/>
              </w:rPr>
              <w:t>$</w:t>
            </w:r>
            <w:r w:rsidRPr="005C3EE4" w:rsidR="00A57E4D">
              <w:rPr>
                <w:rFonts w:ascii="Times New Roman" w:hAnsi="Times New Roman" w:cs="Times New Roman"/>
                <w:b/>
                <w:sz w:val="18"/>
                <w:szCs w:val="18"/>
              </w:rPr>
              <w:t>263.36</w:t>
            </w:r>
          </w:p>
        </w:tc>
      </w:tr>
      <w:tr w14:paraId="503AED73" w14:textId="77777777" w:rsidTr="005C3EE4">
        <w:tblPrEx>
          <w:tblW w:w="10070" w:type="dxa"/>
          <w:tblInd w:w="0" w:type="dxa"/>
          <w:tblLook w:val="04A0"/>
        </w:tblPrEx>
        <w:tc>
          <w:tcPr>
            <w:tcW w:w="2335" w:type="dxa"/>
          </w:tcPr>
          <w:p w:rsidR="00BF6740" w:rsidRPr="005C3EE4" w:rsidP="003D5CC6" w14:paraId="6E4F7E91" w14:textId="43D1AEF3">
            <w:pPr>
              <w:spacing w:after="200"/>
              <w:jc w:val="center"/>
              <w:rPr>
                <w:rFonts w:ascii="Times New Roman" w:hAnsi="Times New Roman" w:cs="Times New Roman"/>
                <w:b/>
                <w:sz w:val="18"/>
                <w:szCs w:val="18"/>
              </w:rPr>
            </w:pPr>
            <w:r w:rsidRPr="005C3EE4">
              <w:rPr>
                <w:rFonts w:ascii="Times New Roman" w:hAnsi="Times New Roman" w:cs="Times New Roman"/>
                <w:b/>
                <w:sz w:val="18"/>
                <w:szCs w:val="18"/>
              </w:rPr>
              <w:t xml:space="preserve"> </w:t>
            </w:r>
            <w:r w:rsidRPr="005C3EE4" w:rsidR="00C35FDF">
              <w:rPr>
                <w:rFonts w:ascii="Times New Roman" w:hAnsi="Times New Roman" w:cs="Times New Roman"/>
                <w:b/>
                <w:sz w:val="18"/>
                <w:szCs w:val="18"/>
              </w:rPr>
              <w:t xml:space="preserve">Data Destruction </w:t>
            </w:r>
            <w:r w:rsidRPr="005C3EE4" w:rsidR="002C2B01">
              <w:rPr>
                <w:rFonts w:ascii="Times New Roman" w:hAnsi="Times New Roman" w:cs="Times New Roman"/>
                <w:b/>
                <w:sz w:val="18"/>
                <w:szCs w:val="18"/>
              </w:rPr>
              <w:t xml:space="preserve">Certification </w:t>
            </w:r>
            <w:r w:rsidRPr="005C3EE4" w:rsidR="00C35FDF">
              <w:rPr>
                <w:rFonts w:ascii="Times New Roman" w:hAnsi="Times New Roman" w:cs="Times New Roman"/>
                <w:b/>
                <w:sz w:val="18"/>
                <w:szCs w:val="18"/>
              </w:rPr>
              <w:t>Form</w:t>
            </w:r>
          </w:p>
        </w:tc>
        <w:tc>
          <w:tcPr>
            <w:tcW w:w="1687" w:type="dxa"/>
          </w:tcPr>
          <w:p w:rsidR="00BF6740" w:rsidRPr="005C3EE4" w:rsidP="003D5CC6" w14:paraId="7AB762FA" w14:textId="461A4935">
            <w:pPr>
              <w:spacing w:after="200"/>
              <w:jc w:val="center"/>
              <w:rPr>
                <w:rFonts w:ascii="Times New Roman" w:hAnsi="Times New Roman" w:cs="Times New Roman"/>
                <w:b/>
                <w:sz w:val="18"/>
                <w:szCs w:val="18"/>
              </w:rPr>
            </w:pPr>
            <w:r w:rsidRPr="005C3EE4">
              <w:rPr>
                <w:rFonts w:ascii="Times New Roman" w:hAnsi="Times New Roman" w:cs="Times New Roman"/>
                <w:b/>
                <w:sz w:val="18"/>
                <w:szCs w:val="18"/>
              </w:rPr>
              <w:t>6</w:t>
            </w:r>
          </w:p>
        </w:tc>
        <w:tc>
          <w:tcPr>
            <w:tcW w:w="1111" w:type="dxa"/>
          </w:tcPr>
          <w:p w:rsidR="00BF6740" w:rsidRPr="005C3EE4" w:rsidP="003D5CC6" w14:paraId="685D1D02" w14:textId="00DD10CB">
            <w:pPr>
              <w:spacing w:after="200"/>
              <w:jc w:val="center"/>
              <w:rPr>
                <w:rFonts w:ascii="Times New Roman" w:hAnsi="Times New Roman" w:cs="Times New Roman"/>
                <w:b/>
                <w:sz w:val="18"/>
                <w:szCs w:val="18"/>
              </w:rPr>
            </w:pPr>
            <w:r w:rsidRPr="005C3EE4">
              <w:rPr>
                <w:rFonts w:ascii="Times New Roman" w:hAnsi="Times New Roman" w:cs="Times New Roman"/>
                <w:b/>
                <w:sz w:val="18"/>
                <w:szCs w:val="18"/>
              </w:rPr>
              <w:t>1</w:t>
            </w:r>
          </w:p>
        </w:tc>
        <w:tc>
          <w:tcPr>
            <w:tcW w:w="1079" w:type="dxa"/>
          </w:tcPr>
          <w:p w:rsidR="00BF6740" w:rsidRPr="005C3EE4" w:rsidP="003D5CC6" w14:paraId="572ED03C" w14:textId="5E7AC277">
            <w:pPr>
              <w:spacing w:after="200"/>
              <w:jc w:val="center"/>
              <w:rPr>
                <w:rFonts w:ascii="Times New Roman" w:hAnsi="Times New Roman" w:cs="Times New Roman"/>
                <w:b/>
                <w:sz w:val="18"/>
                <w:szCs w:val="18"/>
              </w:rPr>
            </w:pPr>
            <w:r w:rsidRPr="005C3EE4">
              <w:rPr>
                <w:rFonts w:ascii="Times New Roman" w:hAnsi="Times New Roman" w:cs="Times New Roman"/>
                <w:b/>
                <w:sz w:val="18"/>
                <w:szCs w:val="18"/>
              </w:rPr>
              <w:t>6</w:t>
            </w:r>
          </w:p>
        </w:tc>
        <w:tc>
          <w:tcPr>
            <w:tcW w:w="1003" w:type="dxa"/>
          </w:tcPr>
          <w:p w:rsidR="00BF6740" w:rsidRPr="005C3EE4" w:rsidP="003D5CC6" w14:paraId="39F766F6" w14:textId="164CAA6A">
            <w:pPr>
              <w:spacing w:after="200"/>
              <w:jc w:val="center"/>
              <w:rPr>
                <w:rFonts w:ascii="Times New Roman" w:hAnsi="Times New Roman" w:cs="Times New Roman"/>
                <w:b/>
                <w:sz w:val="18"/>
                <w:szCs w:val="18"/>
              </w:rPr>
            </w:pPr>
            <w:r w:rsidRPr="005C3EE4">
              <w:rPr>
                <w:rFonts w:ascii="Times New Roman" w:hAnsi="Times New Roman" w:cs="Times New Roman"/>
                <w:b/>
                <w:sz w:val="18"/>
                <w:szCs w:val="18"/>
              </w:rPr>
              <w:t>0.25</w:t>
            </w:r>
          </w:p>
        </w:tc>
        <w:tc>
          <w:tcPr>
            <w:tcW w:w="850" w:type="dxa"/>
          </w:tcPr>
          <w:p w:rsidR="00BF6740" w:rsidRPr="005C3EE4" w:rsidP="003D5CC6" w14:paraId="6335CB0C" w14:textId="121911AE">
            <w:pPr>
              <w:spacing w:after="200"/>
              <w:jc w:val="center"/>
              <w:rPr>
                <w:rFonts w:ascii="Times New Roman" w:hAnsi="Times New Roman" w:cs="Times New Roman"/>
                <w:b/>
                <w:sz w:val="18"/>
                <w:szCs w:val="18"/>
              </w:rPr>
            </w:pPr>
            <w:r w:rsidRPr="005C3EE4">
              <w:rPr>
                <w:rFonts w:ascii="Times New Roman" w:hAnsi="Times New Roman" w:cs="Times New Roman"/>
                <w:b/>
                <w:sz w:val="18"/>
                <w:szCs w:val="18"/>
              </w:rPr>
              <w:t>1.5</w:t>
            </w:r>
          </w:p>
        </w:tc>
        <w:tc>
          <w:tcPr>
            <w:tcW w:w="1003" w:type="dxa"/>
          </w:tcPr>
          <w:p w:rsidR="00BF6740" w:rsidRPr="005C3EE4" w:rsidP="003D5CC6" w14:paraId="21BB89D7" w14:textId="4B956522">
            <w:pPr>
              <w:spacing w:after="200"/>
              <w:jc w:val="center"/>
              <w:rPr>
                <w:rFonts w:ascii="Times New Roman" w:hAnsi="Times New Roman" w:cs="Times New Roman"/>
                <w:b/>
                <w:sz w:val="18"/>
                <w:szCs w:val="18"/>
              </w:rPr>
            </w:pPr>
            <w:r w:rsidRPr="005C3EE4">
              <w:rPr>
                <w:rFonts w:ascii="Times New Roman" w:hAnsi="Times New Roman" w:cs="Times New Roman"/>
                <w:b/>
                <w:sz w:val="18"/>
                <w:szCs w:val="18"/>
              </w:rPr>
              <w:t>$</w:t>
            </w:r>
            <w:r w:rsidRPr="005C3EE4" w:rsidR="00422062">
              <w:rPr>
                <w:rFonts w:ascii="Times New Roman" w:hAnsi="Times New Roman" w:cs="Times New Roman"/>
                <w:b/>
                <w:sz w:val="18"/>
                <w:szCs w:val="18"/>
              </w:rPr>
              <w:t>48.85</w:t>
            </w:r>
          </w:p>
        </w:tc>
        <w:tc>
          <w:tcPr>
            <w:tcW w:w="1002" w:type="dxa"/>
          </w:tcPr>
          <w:p w:rsidR="00BF6740" w:rsidRPr="005C3EE4" w:rsidP="003D5CC6" w14:paraId="32A3C7F6" w14:textId="5647EEB8">
            <w:pPr>
              <w:spacing w:after="200"/>
              <w:jc w:val="center"/>
              <w:rPr>
                <w:rFonts w:ascii="Times New Roman" w:hAnsi="Times New Roman" w:cs="Times New Roman"/>
                <w:b/>
                <w:sz w:val="18"/>
                <w:szCs w:val="18"/>
              </w:rPr>
            </w:pPr>
            <w:r w:rsidRPr="005C3EE4">
              <w:rPr>
                <w:rFonts w:ascii="Times New Roman" w:hAnsi="Times New Roman" w:cs="Times New Roman"/>
                <w:b/>
                <w:sz w:val="18"/>
                <w:szCs w:val="18"/>
              </w:rPr>
              <w:t>$</w:t>
            </w:r>
            <w:r w:rsidRPr="005C3EE4" w:rsidR="00422062">
              <w:rPr>
                <w:rFonts w:ascii="Times New Roman" w:hAnsi="Times New Roman" w:cs="Times New Roman"/>
                <w:b/>
                <w:sz w:val="18"/>
                <w:szCs w:val="18"/>
              </w:rPr>
              <w:t>73.28</w:t>
            </w:r>
          </w:p>
        </w:tc>
      </w:tr>
      <w:tr w14:paraId="4CD97C86" w14:textId="77777777" w:rsidTr="005C3EE4">
        <w:tblPrEx>
          <w:tblW w:w="10070" w:type="dxa"/>
          <w:tblInd w:w="0" w:type="dxa"/>
          <w:tblLook w:val="04A0"/>
        </w:tblPrEx>
        <w:tc>
          <w:tcPr>
            <w:tcW w:w="2335" w:type="dxa"/>
          </w:tcPr>
          <w:p w:rsidR="00D01FAA" w:rsidRPr="005C3EE4" w:rsidP="003D5CC6" w14:paraId="2CEC9257" w14:textId="4C7872CE">
            <w:pPr>
              <w:spacing w:after="200"/>
              <w:jc w:val="center"/>
              <w:rPr>
                <w:rFonts w:ascii="Times New Roman" w:hAnsi="Times New Roman" w:cs="Times New Roman"/>
                <w:b/>
                <w:sz w:val="18"/>
                <w:szCs w:val="18"/>
              </w:rPr>
            </w:pPr>
            <w:r w:rsidRPr="005C3EE4">
              <w:rPr>
                <w:rFonts w:ascii="Times New Roman" w:hAnsi="Times New Roman" w:cs="Times New Roman"/>
                <w:b/>
                <w:sz w:val="18"/>
                <w:szCs w:val="18"/>
              </w:rPr>
              <w:t>Total Burden Hours</w:t>
            </w:r>
          </w:p>
        </w:tc>
        <w:tc>
          <w:tcPr>
            <w:tcW w:w="1687" w:type="dxa"/>
          </w:tcPr>
          <w:p w:rsidR="00D01FAA" w:rsidRPr="005C3EE4" w:rsidP="003D5CC6" w14:paraId="0AB6E1FC" w14:textId="65B55CEA">
            <w:pPr>
              <w:spacing w:after="200"/>
              <w:jc w:val="center"/>
              <w:rPr>
                <w:rFonts w:ascii="Times New Roman" w:hAnsi="Times New Roman" w:cs="Times New Roman"/>
                <w:b/>
                <w:sz w:val="18"/>
                <w:szCs w:val="18"/>
              </w:rPr>
            </w:pPr>
            <w:r>
              <w:rPr>
                <w:rFonts w:ascii="Times New Roman" w:hAnsi="Times New Roman" w:cs="Times New Roman"/>
                <w:b/>
                <w:sz w:val="18"/>
                <w:szCs w:val="18"/>
              </w:rPr>
              <w:t>81</w:t>
            </w:r>
          </w:p>
        </w:tc>
        <w:tc>
          <w:tcPr>
            <w:tcW w:w="1111" w:type="dxa"/>
          </w:tcPr>
          <w:p w:rsidR="00D01FAA" w:rsidRPr="005C3EE4" w:rsidP="003D5CC6" w14:paraId="250833E0" w14:textId="77777777">
            <w:pPr>
              <w:spacing w:after="200"/>
              <w:jc w:val="center"/>
              <w:rPr>
                <w:rFonts w:ascii="Times New Roman" w:hAnsi="Times New Roman" w:cs="Times New Roman"/>
                <w:b/>
                <w:sz w:val="18"/>
                <w:szCs w:val="18"/>
              </w:rPr>
            </w:pPr>
          </w:p>
        </w:tc>
        <w:tc>
          <w:tcPr>
            <w:tcW w:w="1079" w:type="dxa"/>
          </w:tcPr>
          <w:p w:rsidR="00D01FAA" w:rsidRPr="005C3EE4" w:rsidP="003D5CC6" w14:paraId="46BADC1C" w14:textId="77777777">
            <w:pPr>
              <w:spacing w:after="200"/>
              <w:jc w:val="center"/>
              <w:rPr>
                <w:rFonts w:ascii="Times New Roman" w:hAnsi="Times New Roman" w:cs="Times New Roman"/>
                <w:b/>
                <w:sz w:val="18"/>
                <w:szCs w:val="18"/>
              </w:rPr>
            </w:pPr>
          </w:p>
        </w:tc>
        <w:tc>
          <w:tcPr>
            <w:tcW w:w="1003" w:type="dxa"/>
          </w:tcPr>
          <w:p w:rsidR="00D01FAA" w:rsidRPr="005C3EE4" w:rsidP="003D5CC6" w14:paraId="099AFFCF" w14:textId="77777777">
            <w:pPr>
              <w:spacing w:after="200"/>
              <w:jc w:val="center"/>
              <w:rPr>
                <w:rFonts w:ascii="Times New Roman" w:hAnsi="Times New Roman" w:cs="Times New Roman"/>
                <w:b/>
                <w:sz w:val="18"/>
                <w:szCs w:val="18"/>
              </w:rPr>
            </w:pPr>
          </w:p>
        </w:tc>
        <w:tc>
          <w:tcPr>
            <w:tcW w:w="850" w:type="dxa"/>
          </w:tcPr>
          <w:p w:rsidR="00D01FAA" w:rsidRPr="005C3EE4" w:rsidP="003D5CC6" w14:paraId="1A544F50" w14:textId="5D2C60A6">
            <w:pPr>
              <w:spacing w:after="200"/>
              <w:jc w:val="center"/>
              <w:rPr>
                <w:rFonts w:ascii="Times New Roman" w:hAnsi="Times New Roman" w:cs="Times New Roman"/>
                <w:b/>
                <w:sz w:val="18"/>
                <w:szCs w:val="18"/>
              </w:rPr>
            </w:pPr>
            <w:r w:rsidRPr="005C3EE4">
              <w:rPr>
                <w:rFonts w:ascii="Times New Roman" w:hAnsi="Times New Roman" w:cs="Times New Roman"/>
                <w:b/>
                <w:sz w:val="18"/>
                <w:szCs w:val="18"/>
              </w:rPr>
              <w:t>4</w:t>
            </w:r>
            <w:r w:rsidRPr="005C3EE4" w:rsidR="00585818">
              <w:rPr>
                <w:rFonts w:ascii="Times New Roman" w:hAnsi="Times New Roman" w:cs="Times New Roman"/>
                <w:b/>
                <w:sz w:val="18"/>
                <w:szCs w:val="18"/>
              </w:rPr>
              <w:t>2.75</w:t>
            </w:r>
          </w:p>
        </w:tc>
        <w:tc>
          <w:tcPr>
            <w:tcW w:w="1003" w:type="dxa"/>
          </w:tcPr>
          <w:p w:rsidR="00D01FAA" w:rsidRPr="005C3EE4" w:rsidP="003D5CC6" w14:paraId="2F7382DC" w14:textId="77777777">
            <w:pPr>
              <w:spacing w:after="200"/>
              <w:jc w:val="center"/>
              <w:rPr>
                <w:rFonts w:ascii="Times New Roman" w:hAnsi="Times New Roman" w:cs="Times New Roman"/>
                <w:b/>
                <w:sz w:val="18"/>
                <w:szCs w:val="18"/>
              </w:rPr>
            </w:pPr>
          </w:p>
        </w:tc>
        <w:tc>
          <w:tcPr>
            <w:tcW w:w="1002" w:type="dxa"/>
          </w:tcPr>
          <w:p w:rsidR="00D01FAA" w:rsidRPr="005C3EE4" w:rsidP="003D5CC6" w14:paraId="7D7000BE" w14:textId="0A84B472">
            <w:pPr>
              <w:spacing w:after="200"/>
              <w:jc w:val="center"/>
              <w:rPr>
                <w:rFonts w:ascii="Times New Roman" w:hAnsi="Times New Roman" w:cs="Times New Roman"/>
                <w:b/>
                <w:sz w:val="18"/>
                <w:szCs w:val="18"/>
              </w:rPr>
            </w:pPr>
            <w:r w:rsidRPr="005C3EE4">
              <w:rPr>
                <w:rFonts w:ascii="Times New Roman" w:hAnsi="Times New Roman" w:cs="Times New Roman"/>
                <w:b/>
                <w:sz w:val="18"/>
                <w:szCs w:val="18"/>
              </w:rPr>
              <w:t>$</w:t>
            </w:r>
            <w:r w:rsidRPr="005C3EE4" w:rsidR="00B01271">
              <w:rPr>
                <w:rFonts w:ascii="Times New Roman" w:hAnsi="Times New Roman" w:cs="Times New Roman"/>
                <w:b/>
                <w:sz w:val="18"/>
                <w:szCs w:val="18"/>
              </w:rPr>
              <w:t>1,910.74</w:t>
            </w:r>
          </w:p>
        </w:tc>
      </w:tr>
    </w:tbl>
    <w:p w:rsidR="00442BB1" w:rsidRPr="00225624" w:rsidP="007428A9" w14:paraId="258B3CB5" w14:textId="77777777">
      <w:pPr>
        <w:spacing w:after="200"/>
        <w:jc w:val="center"/>
        <w:rPr>
          <w:b/>
          <w:sz w:val="24"/>
          <w:szCs w:val="24"/>
        </w:rPr>
      </w:pPr>
    </w:p>
    <w:p w:rsidR="007428A9" w:rsidP="007428A9" w14:paraId="2CF104F4" w14:textId="386354B4">
      <w:pPr>
        <w:rPr>
          <w:sz w:val="24"/>
        </w:rPr>
      </w:pPr>
      <w:r>
        <w:rPr>
          <w:b/>
          <w:sz w:val="24"/>
        </w:rPr>
        <w:t>Application for Data License</w:t>
      </w:r>
      <w:r w:rsidRPr="00F769CF">
        <w:rPr>
          <w:b/>
          <w:sz w:val="24"/>
        </w:rPr>
        <w:t>.</w:t>
      </w:r>
      <w:r>
        <w:rPr>
          <w:sz w:val="24"/>
        </w:rPr>
        <w:t xml:space="preserve"> </w:t>
      </w:r>
      <w:bookmarkStart w:id="1" w:name="_Hlk158623254"/>
      <w:r>
        <w:rPr>
          <w:sz w:val="24"/>
        </w:rPr>
        <w:t xml:space="preserve">Estimate assumes each applicant spends about </w:t>
      </w:r>
      <w:r w:rsidR="007F2F33">
        <w:rPr>
          <w:sz w:val="24"/>
        </w:rPr>
        <w:t>one</w:t>
      </w:r>
      <w:r>
        <w:rPr>
          <w:sz w:val="24"/>
        </w:rPr>
        <w:t xml:space="preserve"> person-hour to complete the </w:t>
      </w:r>
      <w:r w:rsidRPr="009A5AD8" w:rsidR="009A5AD8">
        <w:rPr>
          <w:i/>
          <w:iCs/>
          <w:sz w:val="24"/>
        </w:rPr>
        <w:t>Application for</w:t>
      </w:r>
      <w:r w:rsidR="009A5AD8">
        <w:rPr>
          <w:sz w:val="24"/>
        </w:rPr>
        <w:t xml:space="preserve"> </w:t>
      </w:r>
      <w:r w:rsidRPr="00797EE6" w:rsidR="002B6461">
        <w:rPr>
          <w:i/>
          <w:iCs/>
          <w:sz w:val="24"/>
        </w:rPr>
        <w:t>Data License</w:t>
      </w:r>
      <w:r>
        <w:rPr>
          <w:sz w:val="24"/>
        </w:rPr>
        <w:t>. Most of this time is invested by a professor or other senior staff person</w:t>
      </w:r>
      <w:r w:rsidR="00EA10E6">
        <w:rPr>
          <w:sz w:val="24"/>
        </w:rPr>
        <w:t xml:space="preserve"> associated with the institution.  For purposes of estimating, we use the</w:t>
      </w:r>
      <w:r w:rsidR="00450899">
        <w:rPr>
          <w:sz w:val="24"/>
        </w:rPr>
        <w:t xml:space="preserve"> </w:t>
      </w:r>
      <w:r w:rsidR="00EA10E6">
        <w:rPr>
          <w:sz w:val="24"/>
        </w:rPr>
        <w:t xml:space="preserve">Postsecondary wage rate for a </w:t>
      </w:r>
      <w:r w:rsidR="00450899">
        <w:rPr>
          <w:sz w:val="24"/>
        </w:rPr>
        <w:t>Political Science Teacher</w:t>
      </w:r>
      <w:r w:rsidR="00EA10E6">
        <w:rPr>
          <w:sz w:val="24"/>
        </w:rPr>
        <w:t xml:space="preserve"> </w:t>
      </w:r>
      <w:r w:rsidR="00797EE6">
        <w:rPr>
          <w:sz w:val="24"/>
        </w:rPr>
        <w:t>for an a</w:t>
      </w:r>
      <w:r>
        <w:rPr>
          <w:sz w:val="24"/>
        </w:rPr>
        <w:t xml:space="preserve">verage hourly rate </w:t>
      </w:r>
      <w:r w:rsidR="00797EE6">
        <w:rPr>
          <w:sz w:val="24"/>
        </w:rPr>
        <w:t xml:space="preserve">of </w:t>
      </w:r>
      <w:r>
        <w:rPr>
          <w:sz w:val="24"/>
        </w:rPr>
        <w:t>$</w:t>
      </w:r>
      <w:r w:rsidR="00450899">
        <w:rPr>
          <w:sz w:val="24"/>
        </w:rPr>
        <w:t>47.31</w:t>
      </w:r>
      <w:r>
        <w:rPr>
          <w:rStyle w:val="FootnoteReference"/>
          <w:sz w:val="24"/>
        </w:rPr>
        <w:footnoteReference w:id="2"/>
      </w:r>
      <w:r>
        <w:rPr>
          <w:sz w:val="24"/>
        </w:rPr>
        <w:t>. Each applicant would incur costs equal to</w:t>
      </w:r>
      <w:r w:rsidR="007F2F33">
        <w:rPr>
          <w:sz w:val="24"/>
        </w:rPr>
        <w:t xml:space="preserve"> one</w:t>
      </w:r>
      <w:r>
        <w:rPr>
          <w:sz w:val="24"/>
        </w:rPr>
        <w:t xml:space="preserve"> hour x $</w:t>
      </w:r>
      <w:r w:rsidR="009A5AD8">
        <w:rPr>
          <w:sz w:val="24"/>
        </w:rPr>
        <w:t>47</w:t>
      </w:r>
      <w:r w:rsidR="0024289F">
        <w:rPr>
          <w:sz w:val="24"/>
        </w:rPr>
        <w:t>.31</w:t>
      </w:r>
      <w:r>
        <w:rPr>
          <w:sz w:val="24"/>
        </w:rPr>
        <w:t xml:space="preserve"> = $</w:t>
      </w:r>
      <w:r w:rsidR="00450899">
        <w:rPr>
          <w:sz w:val="24"/>
        </w:rPr>
        <w:t>47.31</w:t>
      </w:r>
      <w:r>
        <w:rPr>
          <w:sz w:val="24"/>
        </w:rPr>
        <w:t>.  Total costs to applicants, assuming 15 applicants, will equal 15 x $</w:t>
      </w:r>
      <w:r w:rsidR="00450899">
        <w:rPr>
          <w:sz w:val="24"/>
        </w:rPr>
        <w:t>47.31</w:t>
      </w:r>
      <w:r>
        <w:rPr>
          <w:sz w:val="24"/>
        </w:rPr>
        <w:t>= $7</w:t>
      </w:r>
      <w:r w:rsidR="00450899">
        <w:rPr>
          <w:sz w:val="24"/>
        </w:rPr>
        <w:t>09.65</w:t>
      </w:r>
      <w:r>
        <w:rPr>
          <w:sz w:val="24"/>
        </w:rPr>
        <w:t>.</w:t>
      </w:r>
    </w:p>
    <w:bookmarkEnd w:id="1"/>
    <w:p w:rsidR="007428A9" w:rsidP="007428A9" w14:paraId="3557DBA2" w14:textId="77777777">
      <w:pPr>
        <w:rPr>
          <w:b/>
          <w:sz w:val="24"/>
        </w:rPr>
      </w:pPr>
    </w:p>
    <w:p w:rsidR="00166962" w:rsidRPr="008A733C" w:rsidP="007428A9" w14:paraId="098EB415" w14:textId="06046611">
      <w:pPr>
        <w:rPr>
          <w:bCs/>
          <w:sz w:val="24"/>
        </w:rPr>
      </w:pPr>
      <w:r>
        <w:rPr>
          <w:b/>
          <w:sz w:val="24"/>
        </w:rPr>
        <w:t>Data License Agreement</w:t>
      </w:r>
      <w:r w:rsidRPr="00F769CF" w:rsidR="007428A9">
        <w:rPr>
          <w:b/>
          <w:sz w:val="24"/>
        </w:rPr>
        <w:t xml:space="preserve">. </w:t>
      </w:r>
      <w:r w:rsidRPr="008A733C">
        <w:rPr>
          <w:bCs/>
          <w:sz w:val="24"/>
        </w:rPr>
        <w:t>Each awardee</w:t>
      </w:r>
      <w:r>
        <w:rPr>
          <w:b/>
          <w:sz w:val="24"/>
        </w:rPr>
        <w:t xml:space="preserve"> </w:t>
      </w:r>
      <w:r w:rsidRPr="008A733C">
        <w:rPr>
          <w:bCs/>
          <w:sz w:val="24"/>
        </w:rPr>
        <w:t xml:space="preserve">will be required to complete and submit a </w:t>
      </w:r>
      <w:r w:rsidRPr="008A733C">
        <w:rPr>
          <w:bCs/>
          <w:i/>
          <w:iCs/>
          <w:sz w:val="24"/>
        </w:rPr>
        <w:t>Data License Agreement</w:t>
      </w:r>
      <w:r w:rsidRPr="008A733C">
        <w:rPr>
          <w:bCs/>
          <w:sz w:val="24"/>
        </w:rPr>
        <w:t xml:space="preserve"> </w:t>
      </w:r>
      <w:r w:rsidRPr="008A733C" w:rsidR="007F2F33">
        <w:rPr>
          <w:bCs/>
          <w:sz w:val="24"/>
        </w:rPr>
        <w:t xml:space="preserve">that outlines the terms and conditions under which the data will be made available to the research institution. </w:t>
      </w:r>
      <w:r w:rsidRPr="007F2F33" w:rsidR="007F2F33">
        <w:rPr>
          <w:bCs/>
          <w:sz w:val="24"/>
        </w:rPr>
        <w:t xml:space="preserve">Estimate assumes </w:t>
      </w:r>
      <w:r w:rsidR="007F2F33">
        <w:rPr>
          <w:bCs/>
          <w:sz w:val="24"/>
        </w:rPr>
        <w:t xml:space="preserve">that </w:t>
      </w:r>
      <w:r w:rsidR="00DB093E">
        <w:rPr>
          <w:bCs/>
          <w:sz w:val="24"/>
        </w:rPr>
        <w:t xml:space="preserve">the agreement will be completed by the institution’s </w:t>
      </w:r>
      <w:r w:rsidR="00DB093E">
        <w:rPr>
          <w:sz w:val="24"/>
        </w:rPr>
        <w:t>information security officer</w:t>
      </w:r>
      <w:r w:rsidR="008A733C">
        <w:rPr>
          <w:sz w:val="24"/>
        </w:rPr>
        <w:t xml:space="preserve">. </w:t>
      </w:r>
      <w:r w:rsidR="00DB093E">
        <w:rPr>
          <w:sz w:val="24"/>
        </w:rPr>
        <w:t xml:space="preserve"> </w:t>
      </w:r>
      <w:r w:rsidRPr="008A733C" w:rsidR="008A733C">
        <w:rPr>
          <w:sz w:val="24"/>
        </w:rPr>
        <w:t>For purposes of estimating</w:t>
      </w:r>
      <w:r w:rsidR="008A733C">
        <w:rPr>
          <w:sz w:val="24"/>
        </w:rPr>
        <w:t xml:space="preserve">, we use the </w:t>
      </w:r>
      <w:r w:rsidR="00A57E4D">
        <w:rPr>
          <w:sz w:val="24"/>
        </w:rPr>
        <w:t xml:space="preserve">Information Security Analyst wage rate </w:t>
      </w:r>
      <w:r w:rsidR="00DB093E">
        <w:rPr>
          <w:sz w:val="24"/>
        </w:rPr>
        <w:t>at an estimated rate at $</w:t>
      </w:r>
      <w:r w:rsidR="00A57E4D">
        <w:rPr>
          <w:sz w:val="24"/>
        </w:rPr>
        <w:t>57.63</w:t>
      </w:r>
      <w:r w:rsidR="00DB093E">
        <w:rPr>
          <w:sz w:val="24"/>
        </w:rPr>
        <w:t xml:space="preserve"> per hour</w:t>
      </w:r>
      <w:r w:rsidR="00B06991">
        <w:rPr>
          <w:sz w:val="24"/>
        </w:rPr>
        <w:t xml:space="preserve">.  We estimate that </w:t>
      </w:r>
      <w:r w:rsidR="00DB093E">
        <w:rPr>
          <w:sz w:val="24"/>
        </w:rPr>
        <w:t xml:space="preserve">will take approximately </w:t>
      </w:r>
      <w:r w:rsidR="007F2F33">
        <w:rPr>
          <w:bCs/>
          <w:sz w:val="24"/>
        </w:rPr>
        <w:t>one</w:t>
      </w:r>
      <w:r w:rsidRPr="007F2F33" w:rsidR="007F2F33">
        <w:rPr>
          <w:bCs/>
          <w:sz w:val="24"/>
        </w:rPr>
        <w:t xml:space="preserve"> person-hour to complete the </w:t>
      </w:r>
      <w:r w:rsidR="007F2F33">
        <w:rPr>
          <w:bCs/>
          <w:sz w:val="24"/>
        </w:rPr>
        <w:t>data license agreement</w:t>
      </w:r>
      <w:r w:rsidRPr="007F2F33" w:rsidR="007F2F33">
        <w:rPr>
          <w:bCs/>
          <w:sz w:val="24"/>
        </w:rPr>
        <w:t>. Total costs to a</w:t>
      </w:r>
      <w:r w:rsidR="00DB093E">
        <w:rPr>
          <w:bCs/>
          <w:sz w:val="24"/>
        </w:rPr>
        <w:t>wardees</w:t>
      </w:r>
      <w:r w:rsidRPr="007F2F33" w:rsidR="007F2F33">
        <w:rPr>
          <w:bCs/>
          <w:sz w:val="24"/>
        </w:rPr>
        <w:t>, assuming 15 applicants, will equal 15 x $</w:t>
      </w:r>
      <w:r w:rsidR="00A57E4D">
        <w:rPr>
          <w:bCs/>
          <w:sz w:val="24"/>
        </w:rPr>
        <w:t>57.63</w:t>
      </w:r>
      <w:r w:rsidRPr="007F2F33" w:rsidR="007F2F33">
        <w:rPr>
          <w:bCs/>
          <w:sz w:val="24"/>
        </w:rPr>
        <w:t>= $</w:t>
      </w:r>
      <w:r w:rsidR="00A57E4D">
        <w:rPr>
          <w:bCs/>
          <w:sz w:val="24"/>
        </w:rPr>
        <w:t>864.45</w:t>
      </w:r>
      <w:r w:rsidRPr="007F2F33" w:rsidR="007F2F33">
        <w:rPr>
          <w:bCs/>
          <w:sz w:val="24"/>
        </w:rPr>
        <w:t>.</w:t>
      </w:r>
    </w:p>
    <w:p w:rsidR="00166962" w:rsidP="007428A9" w14:paraId="0A833D05" w14:textId="77777777">
      <w:pPr>
        <w:rPr>
          <w:b/>
          <w:sz w:val="24"/>
        </w:rPr>
      </w:pPr>
    </w:p>
    <w:p w:rsidR="007428A9" w:rsidP="007428A9" w14:paraId="0691AB46" w14:textId="2394EE16">
      <w:pPr>
        <w:rPr>
          <w:sz w:val="24"/>
        </w:rPr>
      </w:pPr>
      <w:r w:rsidRPr="00B20390">
        <w:rPr>
          <w:b/>
          <w:sz w:val="24"/>
          <w:szCs w:val="24"/>
        </w:rPr>
        <w:t>Affidavit of Nondisclosure</w:t>
      </w:r>
      <w:r>
        <w:rPr>
          <w:b/>
          <w:sz w:val="24"/>
          <w:szCs w:val="24"/>
        </w:rPr>
        <w:t>.</w:t>
      </w:r>
      <w:r>
        <w:rPr>
          <w:sz w:val="24"/>
        </w:rPr>
        <w:t xml:space="preserve"> </w:t>
      </w:r>
      <w:r>
        <w:rPr>
          <w:sz w:val="24"/>
        </w:rPr>
        <w:t xml:space="preserve">Each person having access to the data would be required to fill out and notarize an </w:t>
      </w:r>
      <w:r w:rsidRPr="009953A6" w:rsidR="005571A7">
        <w:rPr>
          <w:i/>
          <w:iCs/>
          <w:sz w:val="24"/>
        </w:rPr>
        <w:t>Affidavit of Nondisclosure</w:t>
      </w:r>
      <w:r w:rsidR="005571A7">
        <w:rPr>
          <w:sz w:val="24"/>
        </w:rPr>
        <w:t xml:space="preserve"> </w:t>
      </w:r>
      <w:r>
        <w:rPr>
          <w:sz w:val="24"/>
        </w:rPr>
        <w:t xml:space="preserve">promising not to disclose the data to third parties.  It is expected that </w:t>
      </w:r>
      <w:r w:rsidR="00236D4D">
        <w:rPr>
          <w:sz w:val="24"/>
        </w:rPr>
        <w:t xml:space="preserve">completing the </w:t>
      </w:r>
      <w:r w:rsidR="00561925">
        <w:rPr>
          <w:sz w:val="24"/>
        </w:rPr>
        <w:t>affidavit will take appr</w:t>
      </w:r>
      <w:r w:rsidR="004E5A5C">
        <w:rPr>
          <w:sz w:val="24"/>
        </w:rPr>
        <w:t>oximately 15 minutes</w:t>
      </w:r>
      <w:r w:rsidR="00FB651F">
        <w:rPr>
          <w:sz w:val="24"/>
        </w:rPr>
        <w:t xml:space="preserve"> per person, and it </w:t>
      </w:r>
      <w:r w:rsidR="004E5A5C">
        <w:rPr>
          <w:sz w:val="24"/>
        </w:rPr>
        <w:t>is expected that</w:t>
      </w:r>
      <w:r>
        <w:rPr>
          <w:sz w:val="24"/>
        </w:rPr>
        <w:t xml:space="preserve"> there will be</w:t>
      </w:r>
      <w:r w:rsidR="004E5A5C">
        <w:rPr>
          <w:sz w:val="24"/>
        </w:rPr>
        <w:t xml:space="preserve">, on average, </w:t>
      </w:r>
      <w:r>
        <w:rPr>
          <w:sz w:val="24"/>
        </w:rPr>
        <w:t>three such persons per license</w:t>
      </w:r>
      <w:r w:rsidR="00FB651F">
        <w:rPr>
          <w:sz w:val="24"/>
        </w:rPr>
        <w:t xml:space="preserve">.  </w:t>
      </w:r>
      <w:r w:rsidR="009953A6">
        <w:rPr>
          <w:sz w:val="24"/>
        </w:rPr>
        <w:t xml:space="preserve">For the purposes of estimating, </w:t>
      </w:r>
      <w:r w:rsidR="003809E0">
        <w:rPr>
          <w:sz w:val="24"/>
        </w:rPr>
        <w:t xml:space="preserve">we use the </w:t>
      </w:r>
      <w:r w:rsidR="00FB651F">
        <w:rPr>
          <w:sz w:val="24"/>
        </w:rPr>
        <w:t xml:space="preserve">average wage </w:t>
      </w:r>
      <w:r w:rsidR="00FA1396">
        <w:rPr>
          <w:sz w:val="24"/>
        </w:rPr>
        <w:t xml:space="preserve">of the likely respondent, </w:t>
      </w:r>
      <w:r>
        <w:rPr>
          <w:sz w:val="24"/>
        </w:rPr>
        <w:t>a graduate assistant</w:t>
      </w:r>
      <w:r w:rsidR="003809E0">
        <w:rPr>
          <w:sz w:val="24"/>
        </w:rPr>
        <w:t xml:space="preserve">, categorized as </w:t>
      </w:r>
      <w:r w:rsidR="00A57E4D">
        <w:rPr>
          <w:sz w:val="24"/>
        </w:rPr>
        <w:t>Other Teachers and Instructors</w:t>
      </w:r>
      <w:r w:rsidR="007316B3">
        <w:rPr>
          <w:sz w:val="24"/>
        </w:rPr>
        <w:t xml:space="preserve">, at an estimated </w:t>
      </w:r>
      <w:r>
        <w:rPr>
          <w:sz w:val="24"/>
        </w:rPr>
        <w:t>$</w:t>
      </w:r>
      <w:r w:rsidR="00A57E4D">
        <w:rPr>
          <w:sz w:val="24"/>
        </w:rPr>
        <w:t>23.41</w:t>
      </w:r>
      <w:r>
        <w:rPr>
          <w:sz w:val="24"/>
        </w:rPr>
        <w:t xml:space="preserve"> per hour. Assuming 15 awardees per year</w:t>
      </w:r>
      <w:r w:rsidR="00FA07A9">
        <w:rPr>
          <w:sz w:val="24"/>
        </w:rPr>
        <w:t xml:space="preserve"> and three respondents per awardee</w:t>
      </w:r>
      <w:r>
        <w:rPr>
          <w:sz w:val="24"/>
        </w:rPr>
        <w:t xml:space="preserve">, total annual </w:t>
      </w:r>
      <w:r w:rsidR="005571A7">
        <w:rPr>
          <w:sz w:val="24"/>
        </w:rPr>
        <w:t xml:space="preserve">burden </w:t>
      </w:r>
      <w:r>
        <w:rPr>
          <w:sz w:val="24"/>
        </w:rPr>
        <w:t xml:space="preserve">would be 45 x </w:t>
      </w:r>
      <w:r w:rsidR="004368C9">
        <w:rPr>
          <w:sz w:val="24"/>
        </w:rPr>
        <w:t>0.25 hours (</w:t>
      </w:r>
      <w:r w:rsidR="00DD4274">
        <w:rPr>
          <w:sz w:val="24"/>
        </w:rPr>
        <w:t xml:space="preserve">11.25 hours total) at </w:t>
      </w:r>
      <w:r>
        <w:rPr>
          <w:sz w:val="24"/>
        </w:rPr>
        <w:t>$</w:t>
      </w:r>
      <w:r w:rsidR="00A57E4D">
        <w:rPr>
          <w:sz w:val="24"/>
        </w:rPr>
        <w:t>23.41</w:t>
      </w:r>
      <w:r w:rsidR="00DD4274">
        <w:rPr>
          <w:sz w:val="24"/>
        </w:rPr>
        <w:t>/hour for an annual cost of $</w:t>
      </w:r>
      <w:r w:rsidR="00422062">
        <w:rPr>
          <w:sz w:val="24"/>
        </w:rPr>
        <w:t>263.36</w:t>
      </w:r>
      <w:r w:rsidR="00DD4274">
        <w:rPr>
          <w:sz w:val="24"/>
        </w:rPr>
        <w:t xml:space="preserve">.  </w:t>
      </w:r>
    </w:p>
    <w:p w:rsidR="007428A9" w:rsidP="007428A9" w14:paraId="20947619" w14:textId="77777777">
      <w:pPr>
        <w:rPr>
          <w:sz w:val="24"/>
        </w:rPr>
      </w:pPr>
    </w:p>
    <w:p w:rsidR="00A177F4" w:rsidP="007428A9" w14:paraId="7FA64C5A" w14:textId="7FE9EC77">
      <w:pPr>
        <w:rPr>
          <w:sz w:val="24"/>
        </w:rPr>
      </w:pPr>
      <w:r>
        <w:rPr>
          <w:b/>
          <w:bCs/>
          <w:sz w:val="24"/>
        </w:rPr>
        <w:t xml:space="preserve">Data Destruction </w:t>
      </w:r>
      <w:r w:rsidR="007D1DFF">
        <w:rPr>
          <w:b/>
          <w:bCs/>
          <w:sz w:val="24"/>
        </w:rPr>
        <w:t xml:space="preserve">Certification </w:t>
      </w:r>
      <w:r w:rsidR="00F16888">
        <w:rPr>
          <w:b/>
          <w:bCs/>
          <w:sz w:val="24"/>
        </w:rPr>
        <w:t xml:space="preserve">From.  </w:t>
      </w:r>
      <w:r w:rsidR="000E7BFD">
        <w:rPr>
          <w:sz w:val="24"/>
        </w:rPr>
        <w:t xml:space="preserve">Finally, at the conclusion of each project, the institution must submit a </w:t>
      </w:r>
      <w:r w:rsidRPr="000E58D8" w:rsidR="000E7BFD">
        <w:rPr>
          <w:i/>
          <w:iCs/>
          <w:sz w:val="24"/>
        </w:rPr>
        <w:t xml:space="preserve">Data Destruction </w:t>
      </w:r>
      <w:r w:rsidR="007D1DFF">
        <w:rPr>
          <w:i/>
          <w:iCs/>
          <w:sz w:val="24"/>
        </w:rPr>
        <w:t xml:space="preserve">Certification </w:t>
      </w:r>
      <w:r w:rsidRPr="000E58D8" w:rsidR="000E7BFD">
        <w:rPr>
          <w:i/>
          <w:iCs/>
          <w:sz w:val="24"/>
        </w:rPr>
        <w:t>Form</w:t>
      </w:r>
      <w:r w:rsidR="000E7BFD">
        <w:rPr>
          <w:sz w:val="24"/>
        </w:rPr>
        <w:t xml:space="preserve">, </w:t>
      </w:r>
      <w:r w:rsidR="007428A9">
        <w:rPr>
          <w:sz w:val="24"/>
        </w:rPr>
        <w:t>attesting to destruction of all personally identifiable information received from HUD</w:t>
      </w:r>
      <w:r w:rsidR="000E7BFD">
        <w:rPr>
          <w:sz w:val="24"/>
        </w:rPr>
        <w:t xml:space="preserve">.  </w:t>
      </w:r>
      <w:r>
        <w:rPr>
          <w:sz w:val="24"/>
        </w:rPr>
        <w:t xml:space="preserve">It is expected that completing the </w:t>
      </w:r>
      <w:r w:rsidR="00536E65">
        <w:rPr>
          <w:sz w:val="24"/>
        </w:rPr>
        <w:t>form</w:t>
      </w:r>
      <w:r>
        <w:rPr>
          <w:sz w:val="24"/>
        </w:rPr>
        <w:t xml:space="preserve"> will take approximately 15 minutes per person, and it is expected that there will be, on average, six projects concluding each year.  The average wage of the likely respondent, </w:t>
      </w:r>
      <w:r w:rsidR="00536E65">
        <w:rPr>
          <w:sz w:val="24"/>
        </w:rPr>
        <w:t>the Project Director</w:t>
      </w:r>
      <w:r w:rsidR="00422062">
        <w:rPr>
          <w:sz w:val="24"/>
        </w:rPr>
        <w:t xml:space="preserve"> (Project Management Specialist wage rate)</w:t>
      </w:r>
      <w:r>
        <w:rPr>
          <w:sz w:val="24"/>
        </w:rPr>
        <w:t>, is estimated at</w:t>
      </w:r>
      <w:r w:rsidR="00536E65">
        <w:rPr>
          <w:sz w:val="24"/>
        </w:rPr>
        <w:t xml:space="preserve"> </w:t>
      </w:r>
      <w:r>
        <w:rPr>
          <w:sz w:val="24"/>
        </w:rPr>
        <w:t>$</w:t>
      </w:r>
      <w:r w:rsidR="00422062">
        <w:rPr>
          <w:sz w:val="24"/>
        </w:rPr>
        <w:t>48.85</w:t>
      </w:r>
      <w:r>
        <w:rPr>
          <w:sz w:val="24"/>
        </w:rPr>
        <w:t xml:space="preserve"> per hour. Assuming </w:t>
      </w:r>
      <w:r w:rsidR="00536E65">
        <w:rPr>
          <w:sz w:val="24"/>
        </w:rPr>
        <w:t>6</w:t>
      </w:r>
      <w:r>
        <w:rPr>
          <w:sz w:val="24"/>
        </w:rPr>
        <w:t xml:space="preserve"> </w:t>
      </w:r>
      <w:r w:rsidR="00536E65">
        <w:rPr>
          <w:sz w:val="24"/>
        </w:rPr>
        <w:t>project close</w:t>
      </w:r>
      <w:r w:rsidR="002F54DB">
        <w:rPr>
          <w:sz w:val="24"/>
        </w:rPr>
        <w:t xml:space="preserve">-outs </w:t>
      </w:r>
      <w:r>
        <w:rPr>
          <w:sz w:val="24"/>
        </w:rPr>
        <w:t xml:space="preserve">per year, total annual burden would be </w:t>
      </w:r>
      <w:r w:rsidR="002F54DB">
        <w:rPr>
          <w:sz w:val="24"/>
        </w:rPr>
        <w:t>6</w:t>
      </w:r>
      <w:r>
        <w:rPr>
          <w:sz w:val="24"/>
        </w:rPr>
        <w:t xml:space="preserve"> x 0.25 hours (1.5 hours total) at $</w:t>
      </w:r>
      <w:r w:rsidR="00422062">
        <w:rPr>
          <w:sz w:val="24"/>
        </w:rPr>
        <w:t>48.85</w:t>
      </w:r>
      <w:r>
        <w:rPr>
          <w:sz w:val="24"/>
        </w:rPr>
        <w:t>/hour for an annual cost of $</w:t>
      </w:r>
      <w:r w:rsidR="00422062">
        <w:rPr>
          <w:sz w:val="24"/>
        </w:rPr>
        <w:t>73.28</w:t>
      </w:r>
      <w:r>
        <w:rPr>
          <w:sz w:val="24"/>
        </w:rPr>
        <w:t xml:space="preserve">.  </w:t>
      </w:r>
    </w:p>
    <w:p w:rsidR="007428A9" w:rsidP="007428A9" w14:paraId="1AFE2C64" w14:textId="77777777">
      <w:pPr>
        <w:rPr>
          <w:sz w:val="24"/>
        </w:rPr>
      </w:pPr>
    </w:p>
    <w:p w:rsidR="000D5079" w:rsidRPr="007D342E" w14:paraId="1007E3D5" w14:textId="77777777">
      <w:pPr>
        <w:tabs>
          <w:tab w:val="left" w:pos="360"/>
        </w:tabs>
        <w:ind w:left="360" w:hanging="360"/>
        <w:rPr>
          <w:b/>
          <w:sz w:val="24"/>
          <w:szCs w:val="24"/>
        </w:rPr>
      </w:pPr>
      <w:r w:rsidRPr="007D342E">
        <w:rPr>
          <w:b/>
          <w:sz w:val="24"/>
          <w:szCs w:val="24"/>
        </w:rPr>
        <w:t>13.</w:t>
      </w:r>
      <w:r w:rsidRPr="007D342E">
        <w:rPr>
          <w:b/>
          <w:sz w:val="24"/>
          <w:szCs w:val="24"/>
        </w:rPr>
        <w:tab/>
        <w:t>Provide an estimate of the total annual cost burden to respondents or recordkeepers resulting from the collection of information</w:t>
      </w:r>
      <w:r w:rsidRPr="007D342E">
        <w:rPr>
          <w:b/>
          <w:sz w:val="24"/>
          <w:szCs w:val="24"/>
        </w:rPr>
        <w:t>. (Do not include the cost of any hour burden already reflected on the burden worksheet</w:t>
      </w:r>
      <w:r w:rsidRPr="007D342E">
        <w:rPr>
          <w:b/>
          <w:sz w:val="24"/>
          <w:szCs w:val="24"/>
        </w:rPr>
        <w:t xml:space="preserve"> shown in Items 12 and 14).</w:t>
      </w:r>
    </w:p>
    <w:p w:rsidR="009E13B1" w:rsidRPr="007D342E" w14:paraId="19BC2CB6" w14:textId="77777777">
      <w:pPr>
        <w:tabs>
          <w:tab w:val="left" w:pos="360"/>
        </w:tabs>
        <w:ind w:left="360" w:hanging="360"/>
        <w:rPr>
          <w:b/>
          <w:sz w:val="24"/>
          <w:szCs w:val="24"/>
        </w:rPr>
      </w:pPr>
      <w:r w:rsidRPr="007D342E">
        <w:rPr>
          <w:b/>
          <w:sz w:val="24"/>
          <w:szCs w:val="24"/>
        </w:rPr>
        <w:t xml:space="preserve"> </w:t>
      </w:r>
    </w:p>
    <w:p w:rsidR="009E13B1" w:rsidRPr="007D342E" w14:paraId="630BFCC9" w14:textId="77777777">
      <w:pPr>
        <w:numPr>
          <w:ilvl w:val="0"/>
          <w:numId w:val="14"/>
        </w:numPr>
        <w:tabs>
          <w:tab w:val="left" w:pos="360"/>
        </w:tabs>
        <w:ind w:left="480"/>
        <w:rPr>
          <w:b/>
          <w:sz w:val="24"/>
          <w:szCs w:val="24"/>
        </w:rPr>
      </w:pPr>
      <w:r w:rsidRPr="007D342E">
        <w:rPr>
          <w:b/>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7D342E">
        <w:rPr>
          <w:b/>
          <w:sz w:val="24"/>
          <w:szCs w:val="24"/>
        </w:rPr>
        <w:t>take into account</w:t>
      </w:r>
      <w:r w:rsidRPr="007D342E">
        <w:rPr>
          <w:b/>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7D342E">
        <w:rPr>
          <w:b/>
          <w:sz w:val="24"/>
          <w:szCs w:val="24"/>
        </w:rPr>
        <w:t>time period</w:t>
      </w:r>
      <w:r w:rsidRPr="007D342E">
        <w:rPr>
          <w:b/>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r w:rsidRPr="007D342E">
        <w:rPr>
          <w:b/>
          <w:sz w:val="24"/>
          <w:szCs w:val="24"/>
        </w:rPr>
        <w:t>facilities;</w:t>
      </w:r>
      <w:r w:rsidRPr="007D342E">
        <w:rPr>
          <w:b/>
          <w:sz w:val="24"/>
          <w:szCs w:val="24"/>
        </w:rPr>
        <w:t xml:space="preserve"> </w:t>
      </w:r>
    </w:p>
    <w:p w:rsidR="009E13B1" w:rsidRPr="007D342E" w14:paraId="5DED8D79" w14:textId="77777777">
      <w:pPr>
        <w:numPr>
          <w:ilvl w:val="0"/>
          <w:numId w:val="14"/>
        </w:numPr>
        <w:tabs>
          <w:tab w:val="left" w:pos="360"/>
        </w:tabs>
        <w:ind w:left="480"/>
        <w:rPr>
          <w:b/>
          <w:sz w:val="24"/>
          <w:szCs w:val="24"/>
        </w:rPr>
      </w:pPr>
      <w:r w:rsidRPr="007D342E">
        <w:rPr>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rsidRPr="007D342E" w14:paraId="7D594EB8" w14:textId="77777777">
      <w:pPr>
        <w:keepLines/>
        <w:numPr>
          <w:ilvl w:val="0"/>
          <w:numId w:val="14"/>
        </w:numPr>
        <w:tabs>
          <w:tab w:val="left" w:pos="360"/>
        </w:tabs>
        <w:spacing w:after="80"/>
        <w:ind w:left="480"/>
        <w:rPr>
          <w:b/>
          <w:sz w:val="24"/>
          <w:szCs w:val="24"/>
        </w:rPr>
      </w:pPr>
      <w:r w:rsidRPr="007D342E">
        <w:rPr>
          <w:b/>
          <w:sz w:val="24"/>
          <w:szCs w:val="24"/>
        </w:rPr>
        <w:t>G</w:t>
      </w:r>
      <w:r w:rsidRPr="007D342E">
        <w:rPr>
          <w:b/>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428A9" w:rsidP="004B0DE6" w14:paraId="68A49E9F" w14:textId="77777777">
      <w:pPr>
        <w:keepLines/>
        <w:tabs>
          <w:tab w:val="left" w:pos="360"/>
        </w:tabs>
        <w:spacing w:after="80"/>
        <w:ind w:left="336"/>
        <w:rPr>
          <w:bCs/>
          <w:sz w:val="24"/>
          <w:szCs w:val="24"/>
        </w:rPr>
      </w:pPr>
    </w:p>
    <w:p w:rsidR="007428A9" w:rsidP="007428A9" w14:paraId="4667E87F" w14:textId="77777777">
      <w:pPr>
        <w:keepLines/>
        <w:tabs>
          <w:tab w:val="left" w:pos="480"/>
        </w:tabs>
        <w:spacing w:after="80"/>
        <w:ind w:left="336"/>
        <w:rPr>
          <w:color w:val="000000"/>
          <w:sz w:val="24"/>
          <w:szCs w:val="24"/>
        </w:rPr>
      </w:pPr>
      <w:r w:rsidRPr="00DF4E4E">
        <w:rPr>
          <w:color w:val="000000"/>
          <w:sz w:val="24"/>
          <w:szCs w:val="24"/>
        </w:rPr>
        <w:t>There is no additional total annual cost burden to respondents or record-keepers beyond the labor cost of burden-hours described in item 12 above</w:t>
      </w:r>
      <w:r>
        <w:rPr>
          <w:color w:val="000000"/>
          <w:sz w:val="24"/>
          <w:szCs w:val="24"/>
        </w:rPr>
        <w:t>.</w:t>
      </w:r>
    </w:p>
    <w:p w:rsidR="007428A9" w:rsidP="004B0DE6" w14:paraId="02858D83" w14:textId="77777777">
      <w:pPr>
        <w:keepLines/>
        <w:tabs>
          <w:tab w:val="left" w:pos="360"/>
        </w:tabs>
        <w:spacing w:after="80"/>
        <w:ind w:left="336"/>
        <w:rPr>
          <w:bCs/>
          <w:sz w:val="24"/>
          <w:szCs w:val="24"/>
        </w:rPr>
      </w:pPr>
    </w:p>
    <w:p w:rsidR="009E13B1" w:rsidRPr="002A7C2B" w14:paraId="037309BF" w14:textId="77777777">
      <w:pPr>
        <w:keepLines/>
        <w:tabs>
          <w:tab w:val="left" w:pos="360"/>
        </w:tabs>
        <w:spacing w:after="80"/>
        <w:ind w:left="360" w:hanging="360"/>
        <w:rPr>
          <w:b/>
          <w:sz w:val="24"/>
          <w:szCs w:val="24"/>
        </w:rPr>
      </w:pPr>
      <w:r w:rsidRPr="007D342E">
        <w:rPr>
          <w:b/>
          <w:sz w:val="24"/>
          <w:szCs w:val="24"/>
        </w:rPr>
        <w:t>14.</w:t>
      </w:r>
      <w:r w:rsidRPr="007D342E">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w:t>
      </w:r>
      <w:r w:rsidRPr="002A7C2B">
        <w:rPr>
          <w:b/>
          <w:sz w:val="24"/>
          <w:szCs w:val="24"/>
        </w:rPr>
        <w:t>aggregate cost estimates from Items 12, 13, and 14 in a single table.</w:t>
      </w:r>
    </w:p>
    <w:p w:rsidR="003A1095" w:rsidRPr="002A7C2B" w:rsidP="003A1095" w14:paraId="6F4992EA" w14:textId="77777777">
      <w:pPr>
        <w:rPr>
          <w:bCs/>
          <w:sz w:val="24"/>
          <w:szCs w:val="24"/>
        </w:rPr>
      </w:pPr>
    </w:p>
    <w:p w:rsidR="00A30851" w:rsidP="00A30851" w14:paraId="2DCF2776" w14:textId="4F7BAACE">
      <w:pPr>
        <w:ind w:left="360"/>
        <w:rPr>
          <w:sz w:val="24"/>
          <w:szCs w:val="24"/>
        </w:rPr>
      </w:pPr>
      <w:bookmarkStart w:id="2" w:name="_Hlk30586677"/>
      <w:bookmarkStart w:id="3" w:name="_Hlk30588046"/>
      <w:r>
        <w:rPr>
          <w:sz w:val="24"/>
          <w:szCs w:val="24"/>
        </w:rPr>
        <w:t>The e</w:t>
      </w:r>
      <w:r w:rsidR="00D20F14">
        <w:rPr>
          <w:sz w:val="24"/>
          <w:szCs w:val="24"/>
        </w:rPr>
        <w:t xml:space="preserve">stimated annual cost to the Federal government </w:t>
      </w:r>
      <w:r>
        <w:rPr>
          <w:sz w:val="24"/>
          <w:szCs w:val="24"/>
        </w:rPr>
        <w:t>is</w:t>
      </w:r>
      <w:r w:rsidR="00D20F14">
        <w:rPr>
          <w:sz w:val="24"/>
          <w:szCs w:val="24"/>
        </w:rPr>
        <w:t xml:space="preserve"> $</w:t>
      </w:r>
      <w:r w:rsidR="007628B4">
        <w:rPr>
          <w:sz w:val="24"/>
          <w:szCs w:val="24"/>
        </w:rPr>
        <w:t>1</w:t>
      </w:r>
      <w:r>
        <w:rPr>
          <w:sz w:val="24"/>
          <w:szCs w:val="24"/>
        </w:rPr>
        <w:t>,</w:t>
      </w:r>
      <w:r w:rsidR="007628B4">
        <w:rPr>
          <w:sz w:val="24"/>
          <w:szCs w:val="24"/>
        </w:rPr>
        <w:t>102.05</w:t>
      </w:r>
      <w:r>
        <w:rPr>
          <w:sz w:val="24"/>
          <w:szCs w:val="24"/>
        </w:rPr>
        <w:t xml:space="preserve">, which is </w:t>
      </w:r>
      <w:r w:rsidR="00D20F14">
        <w:rPr>
          <w:sz w:val="24"/>
          <w:szCs w:val="24"/>
        </w:rPr>
        <w:t>approximately 15 hours of HUD staff time</w:t>
      </w:r>
      <w:r>
        <w:rPr>
          <w:sz w:val="24"/>
          <w:szCs w:val="24"/>
        </w:rPr>
        <w:t xml:space="preserve"> per year</w:t>
      </w:r>
      <w:r w:rsidR="00D20F14">
        <w:rPr>
          <w:sz w:val="24"/>
          <w:szCs w:val="24"/>
        </w:rPr>
        <w:t>.</w:t>
      </w:r>
      <w:r w:rsidRPr="00A30851">
        <w:rPr>
          <w:sz w:val="24"/>
          <w:szCs w:val="24"/>
        </w:rPr>
        <w:t xml:space="preserve"> </w:t>
      </w:r>
      <w:r>
        <w:rPr>
          <w:sz w:val="24"/>
          <w:szCs w:val="24"/>
        </w:rPr>
        <w:t xml:space="preserve"> Application review is typically conducted by HUD GS-14 staff at $73.47 an hour</w:t>
      </w:r>
      <w:r>
        <w:rPr>
          <w:rStyle w:val="CommentReference"/>
          <w:sz w:val="24"/>
          <w:szCs w:val="24"/>
        </w:rPr>
        <w:t>, e</w:t>
      </w:r>
      <w:r>
        <w:rPr>
          <w:sz w:val="24"/>
          <w:szCs w:val="24"/>
        </w:rPr>
        <w:t>quivalent to a GS-14 step 4</w:t>
      </w:r>
      <w:r>
        <w:rPr>
          <w:rStyle w:val="FootnoteReference"/>
          <w:sz w:val="24"/>
          <w:szCs w:val="24"/>
        </w:rPr>
        <w:footnoteReference w:id="3"/>
      </w:r>
      <w:r>
        <w:rPr>
          <w:sz w:val="24"/>
          <w:szCs w:val="24"/>
        </w:rPr>
        <w:t>.</w:t>
      </w:r>
    </w:p>
    <w:p w:rsidR="00D20F14" w:rsidP="00D20F14" w14:paraId="457DE452" w14:textId="7F29ACCF">
      <w:pPr>
        <w:ind w:left="360"/>
        <w:rPr>
          <w:sz w:val="24"/>
          <w:szCs w:val="24"/>
        </w:rPr>
      </w:pPr>
    </w:p>
    <w:p w:rsidR="00D20F14" w:rsidP="00D20F14" w14:paraId="4ADE5615" w14:textId="77777777">
      <w:pPr>
        <w:ind w:firstLine="360"/>
        <w:rPr>
          <w:sz w:val="24"/>
          <w:szCs w:val="24"/>
        </w:rPr>
      </w:pPr>
      <w:r>
        <w:rPr>
          <w:sz w:val="24"/>
          <w:szCs w:val="24"/>
        </w:rPr>
        <w:t>The data license application is reviewed by 3 different people to establish:</w:t>
      </w:r>
    </w:p>
    <w:p w:rsidR="00D20F14" w:rsidP="00D20F14" w14:paraId="4E994CD4" w14:textId="77777777">
      <w:pPr>
        <w:ind w:firstLine="360"/>
        <w:rPr>
          <w:sz w:val="24"/>
          <w:szCs w:val="24"/>
        </w:rPr>
      </w:pPr>
    </w:p>
    <w:p w:rsidR="00D20F14" w:rsidP="00D20F14" w14:paraId="6A253BC0" w14:textId="77777777">
      <w:pPr>
        <w:pStyle w:val="ListParagraph"/>
        <w:numPr>
          <w:ilvl w:val="0"/>
          <w:numId w:val="29"/>
        </w:numPr>
        <w:overflowPunct/>
        <w:autoSpaceDE/>
        <w:autoSpaceDN/>
        <w:adjustRightInd/>
        <w:spacing w:after="200" w:line="276" w:lineRule="auto"/>
        <w:contextualSpacing/>
        <w:textAlignment w:val="auto"/>
        <w:rPr>
          <w:sz w:val="24"/>
          <w:szCs w:val="24"/>
        </w:rPr>
      </w:pPr>
      <w:r>
        <w:rPr>
          <w:sz w:val="24"/>
          <w:szCs w:val="24"/>
        </w:rPr>
        <w:t>Applicant proposes data security provisions consistent with HUD regulations.  (20 minutes)</w:t>
      </w:r>
    </w:p>
    <w:p w:rsidR="00D20F14" w:rsidP="00D20F14" w14:paraId="317233AE" w14:textId="77777777">
      <w:pPr>
        <w:pStyle w:val="ListParagraph"/>
        <w:numPr>
          <w:ilvl w:val="0"/>
          <w:numId w:val="29"/>
        </w:numPr>
        <w:overflowPunct/>
        <w:autoSpaceDE/>
        <w:autoSpaceDN/>
        <w:adjustRightInd/>
        <w:spacing w:after="200" w:line="276" w:lineRule="auto"/>
        <w:contextualSpacing/>
        <w:textAlignment w:val="auto"/>
        <w:rPr>
          <w:sz w:val="24"/>
          <w:szCs w:val="24"/>
        </w:rPr>
      </w:pPr>
      <w:r>
        <w:rPr>
          <w:sz w:val="24"/>
          <w:szCs w:val="24"/>
        </w:rPr>
        <w:t>Applicant presents a plausible policy-relevant scientific hypothesis to be tested.  (20 minutes)</w:t>
      </w:r>
    </w:p>
    <w:p w:rsidR="00D20F14" w:rsidP="00D20F14" w14:paraId="05356884" w14:textId="77777777">
      <w:pPr>
        <w:pStyle w:val="ListParagraph"/>
        <w:numPr>
          <w:ilvl w:val="0"/>
          <w:numId w:val="29"/>
        </w:numPr>
        <w:overflowPunct/>
        <w:autoSpaceDE/>
        <w:autoSpaceDN/>
        <w:adjustRightInd/>
        <w:spacing w:after="200" w:line="276" w:lineRule="auto"/>
        <w:contextualSpacing/>
        <w:textAlignment w:val="auto"/>
        <w:rPr>
          <w:sz w:val="24"/>
          <w:szCs w:val="24"/>
        </w:rPr>
      </w:pPr>
      <w:r>
        <w:rPr>
          <w:sz w:val="24"/>
          <w:szCs w:val="24"/>
        </w:rPr>
        <w:t>Applicant’s proposal would not unreasonably burden HUD-PD&amp;R resources.  (20 minutes)</w:t>
      </w:r>
    </w:p>
    <w:p w:rsidR="00D20F14" w:rsidRPr="002E6B68" w:rsidP="002E6B68" w14:paraId="63D190EB" w14:textId="79307EBC">
      <w:pPr>
        <w:ind w:left="360"/>
        <w:jc w:val="center"/>
        <w:rPr>
          <w:b/>
          <w:bCs/>
          <w:sz w:val="24"/>
          <w:szCs w:val="24"/>
        </w:rPr>
      </w:pPr>
      <w:r w:rsidRPr="002E6B68">
        <w:rPr>
          <w:b/>
          <w:bCs/>
          <w:sz w:val="24"/>
          <w:szCs w:val="24"/>
        </w:rPr>
        <w:t>Table 2: Annualized Cost to the Federal Government</w:t>
      </w:r>
    </w:p>
    <w:p w:rsidR="00D20F14" w:rsidP="00D20F14" w14:paraId="79B168B3" w14:textId="77777777">
      <w:pPr>
        <w:rPr>
          <w:sz w:val="24"/>
          <w:szCs w:val="24"/>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130"/>
        <w:gridCol w:w="857"/>
        <w:gridCol w:w="1710"/>
        <w:gridCol w:w="1800"/>
      </w:tblGrid>
      <w:tr w14:paraId="613B1EC9" w14:textId="77777777" w:rsidTr="0041042E">
        <w:tblPrEx>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45"/>
          <w:jc w:val="center"/>
        </w:trPr>
        <w:tc>
          <w:tcPr>
            <w:tcW w:w="5130" w:type="dxa"/>
            <w:noWrap/>
            <w:tcMar>
              <w:top w:w="0" w:type="dxa"/>
              <w:left w:w="108" w:type="dxa"/>
              <w:bottom w:w="0" w:type="dxa"/>
              <w:right w:w="108" w:type="dxa"/>
            </w:tcMar>
            <w:vAlign w:val="bottom"/>
            <w:hideMark/>
          </w:tcPr>
          <w:p w:rsidR="00D20F14" w:rsidRPr="002E6B68" w:rsidP="00BF322F" w14:paraId="260A995C" w14:textId="77777777">
            <w:pPr>
              <w:rPr>
                <w:b/>
                <w:bCs/>
                <w:color w:val="000000"/>
              </w:rPr>
            </w:pPr>
            <w:r w:rsidRPr="002E6B68">
              <w:rPr>
                <w:b/>
                <w:bCs/>
                <w:color w:val="000000"/>
              </w:rPr>
              <w:t>Cost Item</w:t>
            </w:r>
          </w:p>
        </w:tc>
        <w:tc>
          <w:tcPr>
            <w:tcW w:w="857" w:type="dxa"/>
            <w:noWrap/>
            <w:tcMar>
              <w:top w:w="0" w:type="dxa"/>
              <w:left w:w="108" w:type="dxa"/>
              <w:bottom w:w="0" w:type="dxa"/>
              <w:right w:w="108" w:type="dxa"/>
            </w:tcMar>
            <w:vAlign w:val="bottom"/>
            <w:hideMark/>
          </w:tcPr>
          <w:p w:rsidR="00D20F14" w:rsidRPr="002E6B68" w:rsidP="00BF322F" w14:paraId="7FAA1B7C" w14:textId="77777777">
            <w:pPr>
              <w:rPr>
                <w:b/>
                <w:bCs/>
                <w:color w:val="000000"/>
              </w:rPr>
            </w:pPr>
            <w:r w:rsidRPr="002E6B68">
              <w:rPr>
                <w:b/>
                <w:bCs/>
                <w:color w:val="000000"/>
              </w:rPr>
              <w:t>Hours</w:t>
            </w:r>
          </w:p>
        </w:tc>
        <w:tc>
          <w:tcPr>
            <w:tcW w:w="1710" w:type="dxa"/>
            <w:noWrap/>
            <w:tcMar>
              <w:top w:w="0" w:type="dxa"/>
              <w:left w:w="108" w:type="dxa"/>
              <w:bottom w:w="0" w:type="dxa"/>
              <w:right w:w="108" w:type="dxa"/>
            </w:tcMar>
            <w:vAlign w:val="bottom"/>
            <w:hideMark/>
          </w:tcPr>
          <w:p w:rsidR="00D20F14" w:rsidRPr="002E6B68" w:rsidP="00BF322F" w14:paraId="3BED65AC" w14:textId="77777777">
            <w:pPr>
              <w:rPr>
                <w:b/>
                <w:bCs/>
                <w:color w:val="000000"/>
              </w:rPr>
            </w:pPr>
            <w:r w:rsidRPr="002E6B68">
              <w:rPr>
                <w:b/>
                <w:bCs/>
                <w:color w:val="000000"/>
              </w:rPr>
              <w:t>Hourly Rate</w:t>
            </w:r>
          </w:p>
        </w:tc>
        <w:tc>
          <w:tcPr>
            <w:tcW w:w="1800" w:type="dxa"/>
            <w:noWrap/>
            <w:tcMar>
              <w:top w:w="0" w:type="dxa"/>
              <w:left w:w="108" w:type="dxa"/>
              <w:bottom w:w="0" w:type="dxa"/>
              <w:right w:w="108" w:type="dxa"/>
            </w:tcMar>
            <w:vAlign w:val="bottom"/>
            <w:hideMark/>
          </w:tcPr>
          <w:p w:rsidR="00D20F14" w:rsidRPr="002E6B68" w:rsidP="00BF322F" w14:paraId="1D625A9E" w14:textId="77777777">
            <w:pPr>
              <w:rPr>
                <w:b/>
                <w:bCs/>
                <w:color w:val="000000"/>
              </w:rPr>
            </w:pPr>
            <w:r w:rsidRPr="002E6B68">
              <w:rPr>
                <w:b/>
                <w:bCs/>
                <w:color w:val="000000"/>
              </w:rPr>
              <w:t>Annual Cost</w:t>
            </w:r>
          </w:p>
        </w:tc>
      </w:tr>
      <w:tr w14:paraId="6EAC7CA7" w14:textId="77777777" w:rsidTr="0041042E">
        <w:tblPrEx>
          <w:tblW w:w="9497" w:type="dxa"/>
          <w:jc w:val="center"/>
          <w:tblCellMar>
            <w:left w:w="0" w:type="dxa"/>
            <w:right w:w="0" w:type="dxa"/>
          </w:tblCellMar>
          <w:tblLook w:val="04A0"/>
        </w:tblPrEx>
        <w:trPr>
          <w:trHeight w:val="345"/>
          <w:jc w:val="center"/>
        </w:trPr>
        <w:tc>
          <w:tcPr>
            <w:tcW w:w="5130" w:type="dxa"/>
            <w:noWrap/>
            <w:tcMar>
              <w:top w:w="0" w:type="dxa"/>
              <w:left w:w="108" w:type="dxa"/>
              <w:bottom w:w="0" w:type="dxa"/>
              <w:right w:w="108" w:type="dxa"/>
            </w:tcMar>
            <w:vAlign w:val="bottom"/>
          </w:tcPr>
          <w:p w:rsidR="00D20F14" w:rsidRPr="002E6B68" w:rsidP="00BF322F" w14:paraId="3418F87C" w14:textId="77777777">
            <w:pPr>
              <w:rPr>
                <w:color w:val="000000"/>
              </w:rPr>
            </w:pPr>
            <w:r w:rsidRPr="002E6B68">
              <w:t>Applicant proposes data security provisions consistent with HUD regulations.</w:t>
            </w:r>
          </w:p>
        </w:tc>
        <w:tc>
          <w:tcPr>
            <w:tcW w:w="857" w:type="dxa"/>
            <w:noWrap/>
            <w:tcMar>
              <w:top w:w="0" w:type="dxa"/>
              <w:left w:w="108" w:type="dxa"/>
              <w:bottom w:w="0" w:type="dxa"/>
              <w:right w:w="108" w:type="dxa"/>
            </w:tcMar>
            <w:vAlign w:val="bottom"/>
          </w:tcPr>
          <w:p w:rsidR="00D20F14" w:rsidRPr="002E6B68" w:rsidP="00BF322F" w14:paraId="3D01835D" w14:textId="77777777">
            <w:pPr>
              <w:jc w:val="right"/>
              <w:rPr>
                <w:color w:val="000000"/>
              </w:rPr>
            </w:pPr>
            <w:r w:rsidRPr="002E6B68">
              <w:rPr>
                <w:color w:val="000000"/>
              </w:rPr>
              <w:t>5</w:t>
            </w:r>
          </w:p>
        </w:tc>
        <w:tc>
          <w:tcPr>
            <w:tcW w:w="1710" w:type="dxa"/>
            <w:noWrap/>
            <w:tcMar>
              <w:top w:w="0" w:type="dxa"/>
              <w:left w:w="108" w:type="dxa"/>
              <w:bottom w:w="0" w:type="dxa"/>
              <w:right w:w="108" w:type="dxa"/>
            </w:tcMar>
            <w:vAlign w:val="bottom"/>
          </w:tcPr>
          <w:p w:rsidR="00D20F14" w:rsidRPr="002E6B68" w:rsidP="00BF322F" w14:paraId="7E196A36" w14:textId="5E9043A9">
            <w:pPr>
              <w:jc w:val="right"/>
              <w:rPr>
                <w:color w:val="000000"/>
              </w:rPr>
            </w:pPr>
            <w:r w:rsidRPr="002E6B68">
              <w:rPr>
                <w:color w:val="000000"/>
              </w:rPr>
              <w:t>$</w:t>
            </w:r>
            <w:r w:rsidRPr="002E6B68" w:rsidR="007628B4">
              <w:rPr>
                <w:color w:val="000000"/>
              </w:rPr>
              <w:t>73.47</w:t>
            </w:r>
          </w:p>
        </w:tc>
        <w:tc>
          <w:tcPr>
            <w:tcW w:w="1800" w:type="dxa"/>
            <w:noWrap/>
            <w:tcMar>
              <w:top w:w="0" w:type="dxa"/>
              <w:left w:w="108" w:type="dxa"/>
              <w:bottom w:w="0" w:type="dxa"/>
              <w:right w:w="108" w:type="dxa"/>
            </w:tcMar>
            <w:vAlign w:val="bottom"/>
          </w:tcPr>
          <w:p w:rsidR="00D20F14" w:rsidRPr="002E6B68" w:rsidP="00BF322F" w14:paraId="300C9B3F" w14:textId="2EC3D60F">
            <w:pPr>
              <w:jc w:val="right"/>
              <w:rPr>
                <w:color w:val="000000"/>
              </w:rPr>
            </w:pPr>
            <w:r w:rsidRPr="002E6B68">
              <w:rPr>
                <w:color w:val="000000"/>
              </w:rPr>
              <w:t>$</w:t>
            </w:r>
            <w:r w:rsidRPr="002E6B68" w:rsidR="007628B4">
              <w:rPr>
                <w:color w:val="000000"/>
              </w:rPr>
              <w:t>367.35</w:t>
            </w:r>
          </w:p>
        </w:tc>
      </w:tr>
      <w:tr w14:paraId="161216E9" w14:textId="77777777" w:rsidTr="0041042E">
        <w:tblPrEx>
          <w:tblW w:w="9497" w:type="dxa"/>
          <w:jc w:val="center"/>
          <w:tblCellMar>
            <w:left w:w="0" w:type="dxa"/>
            <w:right w:w="0" w:type="dxa"/>
          </w:tblCellMar>
          <w:tblLook w:val="04A0"/>
        </w:tblPrEx>
        <w:trPr>
          <w:trHeight w:val="345"/>
          <w:jc w:val="center"/>
        </w:trPr>
        <w:tc>
          <w:tcPr>
            <w:tcW w:w="5130" w:type="dxa"/>
            <w:noWrap/>
            <w:tcMar>
              <w:top w:w="0" w:type="dxa"/>
              <w:left w:w="108" w:type="dxa"/>
              <w:bottom w:w="0" w:type="dxa"/>
              <w:right w:w="108" w:type="dxa"/>
            </w:tcMar>
            <w:vAlign w:val="bottom"/>
          </w:tcPr>
          <w:p w:rsidR="00D20F14" w:rsidRPr="002E6B68" w:rsidP="00BF322F" w14:paraId="6A36F86B" w14:textId="77777777">
            <w:pPr>
              <w:rPr>
                <w:color w:val="000000"/>
              </w:rPr>
            </w:pPr>
            <w:r w:rsidRPr="002E6B68">
              <w:t>Applicant presents a plausible policy-relevant scientific hypothesis to be tested.</w:t>
            </w:r>
          </w:p>
        </w:tc>
        <w:tc>
          <w:tcPr>
            <w:tcW w:w="857" w:type="dxa"/>
            <w:noWrap/>
            <w:tcMar>
              <w:top w:w="0" w:type="dxa"/>
              <w:left w:w="108" w:type="dxa"/>
              <w:bottom w:w="0" w:type="dxa"/>
              <w:right w:w="108" w:type="dxa"/>
            </w:tcMar>
            <w:vAlign w:val="bottom"/>
          </w:tcPr>
          <w:p w:rsidR="00D20F14" w:rsidRPr="002E6B68" w:rsidP="00BF322F" w14:paraId="59E5147C" w14:textId="77777777">
            <w:pPr>
              <w:jc w:val="right"/>
              <w:rPr>
                <w:color w:val="000000"/>
              </w:rPr>
            </w:pPr>
            <w:r w:rsidRPr="002E6B68">
              <w:rPr>
                <w:color w:val="000000"/>
              </w:rPr>
              <w:t>5</w:t>
            </w:r>
          </w:p>
        </w:tc>
        <w:tc>
          <w:tcPr>
            <w:tcW w:w="1710" w:type="dxa"/>
            <w:noWrap/>
            <w:tcMar>
              <w:top w:w="0" w:type="dxa"/>
              <w:left w:w="108" w:type="dxa"/>
              <w:bottom w:w="0" w:type="dxa"/>
              <w:right w:w="108" w:type="dxa"/>
            </w:tcMar>
            <w:vAlign w:val="bottom"/>
          </w:tcPr>
          <w:p w:rsidR="00D20F14" w:rsidRPr="002E6B68" w:rsidP="00BF322F" w14:paraId="444FBD4D" w14:textId="396F80C0">
            <w:pPr>
              <w:jc w:val="right"/>
              <w:rPr>
                <w:color w:val="000000"/>
              </w:rPr>
            </w:pPr>
            <w:r w:rsidRPr="002E6B68">
              <w:rPr>
                <w:color w:val="000000"/>
              </w:rPr>
              <w:t>$</w:t>
            </w:r>
            <w:r w:rsidRPr="002E6B68" w:rsidR="007628B4">
              <w:rPr>
                <w:color w:val="000000"/>
              </w:rPr>
              <w:t>73.47</w:t>
            </w:r>
          </w:p>
        </w:tc>
        <w:tc>
          <w:tcPr>
            <w:tcW w:w="1800" w:type="dxa"/>
            <w:noWrap/>
            <w:tcMar>
              <w:top w:w="0" w:type="dxa"/>
              <w:left w:w="108" w:type="dxa"/>
              <w:bottom w:w="0" w:type="dxa"/>
              <w:right w:w="108" w:type="dxa"/>
            </w:tcMar>
            <w:vAlign w:val="bottom"/>
          </w:tcPr>
          <w:p w:rsidR="00D20F14" w:rsidRPr="002E6B68" w:rsidP="00BF322F" w14:paraId="421E0E29" w14:textId="2CDB7D70">
            <w:pPr>
              <w:jc w:val="right"/>
              <w:rPr>
                <w:color w:val="000000"/>
              </w:rPr>
            </w:pPr>
            <w:r w:rsidRPr="002E6B68">
              <w:rPr>
                <w:color w:val="000000"/>
              </w:rPr>
              <w:t>$</w:t>
            </w:r>
            <w:r w:rsidRPr="002E6B68" w:rsidR="007628B4">
              <w:rPr>
                <w:color w:val="000000"/>
              </w:rPr>
              <w:t>367.35</w:t>
            </w:r>
          </w:p>
        </w:tc>
      </w:tr>
      <w:tr w14:paraId="1AB0CB57" w14:textId="77777777" w:rsidTr="0041042E">
        <w:tblPrEx>
          <w:tblW w:w="9497" w:type="dxa"/>
          <w:jc w:val="center"/>
          <w:tblCellMar>
            <w:left w:w="0" w:type="dxa"/>
            <w:right w:w="0" w:type="dxa"/>
          </w:tblCellMar>
          <w:tblLook w:val="04A0"/>
        </w:tblPrEx>
        <w:trPr>
          <w:trHeight w:val="345"/>
          <w:jc w:val="center"/>
        </w:trPr>
        <w:tc>
          <w:tcPr>
            <w:tcW w:w="5130" w:type="dxa"/>
            <w:noWrap/>
            <w:tcMar>
              <w:top w:w="0" w:type="dxa"/>
              <w:left w:w="108" w:type="dxa"/>
              <w:bottom w:w="0" w:type="dxa"/>
              <w:right w:w="108" w:type="dxa"/>
            </w:tcMar>
            <w:vAlign w:val="bottom"/>
          </w:tcPr>
          <w:p w:rsidR="00D20F14" w:rsidRPr="002E6B68" w:rsidP="00BF322F" w14:paraId="4F059E38" w14:textId="77777777">
            <w:pPr>
              <w:rPr>
                <w:color w:val="000000"/>
              </w:rPr>
            </w:pPr>
            <w:r w:rsidRPr="002E6B68">
              <w:t>Applicant’s proposal would not unreasonably burden HUD-PD&amp;R resources. </w:t>
            </w:r>
          </w:p>
        </w:tc>
        <w:tc>
          <w:tcPr>
            <w:tcW w:w="857" w:type="dxa"/>
            <w:noWrap/>
            <w:tcMar>
              <w:top w:w="0" w:type="dxa"/>
              <w:left w:w="108" w:type="dxa"/>
              <w:bottom w:w="0" w:type="dxa"/>
              <w:right w:w="108" w:type="dxa"/>
            </w:tcMar>
            <w:vAlign w:val="bottom"/>
          </w:tcPr>
          <w:p w:rsidR="00D20F14" w:rsidRPr="002E6B68" w:rsidP="00BF322F" w14:paraId="25939F50" w14:textId="77777777">
            <w:pPr>
              <w:jc w:val="right"/>
              <w:rPr>
                <w:color w:val="000000"/>
              </w:rPr>
            </w:pPr>
            <w:r w:rsidRPr="002E6B68">
              <w:rPr>
                <w:color w:val="000000"/>
              </w:rPr>
              <w:t>5</w:t>
            </w:r>
          </w:p>
        </w:tc>
        <w:tc>
          <w:tcPr>
            <w:tcW w:w="1710" w:type="dxa"/>
            <w:noWrap/>
            <w:tcMar>
              <w:top w:w="0" w:type="dxa"/>
              <w:left w:w="108" w:type="dxa"/>
              <w:bottom w:w="0" w:type="dxa"/>
              <w:right w:w="108" w:type="dxa"/>
            </w:tcMar>
            <w:vAlign w:val="bottom"/>
          </w:tcPr>
          <w:p w:rsidR="00D20F14" w:rsidRPr="002E6B68" w:rsidP="00BF322F" w14:paraId="2B539927" w14:textId="45B86B0F">
            <w:pPr>
              <w:jc w:val="right"/>
              <w:rPr>
                <w:color w:val="000000"/>
              </w:rPr>
            </w:pPr>
            <w:r w:rsidRPr="002E6B68">
              <w:rPr>
                <w:color w:val="000000"/>
              </w:rPr>
              <w:t>$</w:t>
            </w:r>
            <w:r w:rsidRPr="002E6B68" w:rsidR="007628B4">
              <w:rPr>
                <w:color w:val="000000"/>
              </w:rPr>
              <w:t>73.47</w:t>
            </w:r>
          </w:p>
        </w:tc>
        <w:tc>
          <w:tcPr>
            <w:tcW w:w="1800" w:type="dxa"/>
            <w:noWrap/>
            <w:tcMar>
              <w:top w:w="0" w:type="dxa"/>
              <w:left w:w="108" w:type="dxa"/>
              <w:bottom w:w="0" w:type="dxa"/>
              <w:right w:w="108" w:type="dxa"/>
            </w:tcMar>
            <w:vAlign w:val="bottom"/>
          </w:tcPr>
          <w:p w:rsidR="00D20F14" w:rsidRPr="002E6B68" w:rsidP="00BF322F" w14:paraId="412745E2" w14:textId="0B6C6F39">
            <w:pPr>
              <w:jc w:val="right"/>
              <w:rPr>
                <w:color w:val="000000"/>
              </w:rPr>
            </w:pPr>
            <w:r w:rsidRPr="002E6B68">
              <w:rPr>
                <w:color w:val="000000"/>
              </w:rPr>
              <w:t>$</w:t>
            </w:r>
            <w:r w:rsidRPr="002E6B68" w:rsidR="007628B4">
              <w:rPr>
                <w:color w:val="000000"/>
              </w:rPr>
              <w:t>367.35</w:t>
            </w:r>
          </w:p>
        </w:tc>
      </w:tr>
      <w:tr w14:paraId="02353D6F" w14:textId="77777777" w:rsidTr="00B92190">
        <w:tblPrEx>
          <w:tblW w:w="9497" w:type="dxa"/>
          <w:jc w:val="center"/>
          <w:tblCellMar>
            <w:left w:w="0" w:type="dxa"/>
            <w:right w:w="0" w:type="dxa"/>
          </w:tblCellMar>
          <w:tblLook w:val="04A0"/>
        </w:tblPrEx>
        <w:trPr>
          <w:cantSplit/>
          <w:trHeight w:val="215"/>
          <w:jc w:val="center"/>
        </w:trPr>
        <w:tc>
          <w:tcPr>
            <w:tcW w:w="5130" w:type="dxa"/>
            <w:noWrap/>
            <w:tcMar>
              <w:top w:w="0" w:type="dxa"/>
              <w:left w:w="108" w:type="dxa"/>
              <w:bottom w:w="0" w:type="dxa"/>
              <w:right w:w="108" w:type="dxa"/>
            </w:tcMar>
            <w:vAlign w:val="bottom"/>
          </w:tcPr>
          <w:p w:rsidR="009C13B4" w:rsidRPr="002E6B68" w:rsidP="0041042E" w14:paraId="517C2B3F" w14:textId="16BC5B0A">
            <w:pPr>
              <w:jc w:val="right"/>
              <w:rPr>
                <w:b/>
                <w:bCs/>
              </w:rPr>
            </w:pPr>
            <w:r w:rsidRPr="002E6B68">
              <w:rPr>
                <w:b/>
                <w:bCs/>
              </w:rPr>
              <w:t>TOTAL</w:t>
            </w:r>
          </w:p>
        </w:tc>
        <w:tc>
          <w:tcPr>
            <w:tcW w:w="857" w:type="dxa"/>
            <w:noWrap/>
            <w:tcMar>
              <w:top w:w="0" w:type="dxa"/>
              <w:left w:w="108" w:type="dxa"/>
              <w:bottom w:w="0" w:type="dxa"/>
              <w:right w:w="108" w:type="dxa"/>
            </w:tcMar>
            <w:vAlign w:val="bottom"/>
          </w:tcPr>
          <w:p w:rsidR="009C13B4" w:rsidRPr="00B92190" w:rsidP="00BF322F" w14:paraId="2393E442" w14:textId="540AAF46">
            <w:pPr>
              <w:jc w:val="right"/>
              <w:rPr>
                <w:b/>
                <w:bCs/>
                <w:color w:val="000000"/>
              </w:rPr>
            </w:pPr>
            <w:r w:rsidRPr="00B92190">
              <w:rPr>
                <w:b/>
                <w:bCs/>
                <w:color w:val="000000"/>
              </w:rPr>
              <w:t>15</w:t>
            </w:r>
          </w:p>
        </w:tc>
        <w:tc>
          <w:tcPr>
            <w:tcW w:w="1710" w:type="dxa"/>
            <w:noWrap/>
            <w:tcMar>
              <w:top w:w="0" w:type="dxa"/>
              <w:left w:w="108" w:type="dxa"/>
              <w:bottom w:w="0" w:type="dxa"/>
              <w:right w:w="108" w:type="dxa"/>
            </w:tcMar>
            <w:vAlign w:val="bottom"/>
          </w:tcPr>
          <w:p w:rsidR="009C13B4" w:rsidRPr="002E6B68" w:rsidP="00BF322F" w14:paraId="7BA87FAE" w14:textId="77777777">
            <w:pPr>
              <w:jc w:val="right"/>
              <w:rPr>
                <w:color w:val="000000"/>
              </w:rPr>
            </w:pPr>
          </w:p>
        </w:tc>
        <w:tc>
          <w:tcPr>
            <w:tcW w:w="1800" w:type="dxa"/>
            <w:noWrap/>
            <w:tcMar>
              <w:top w:w="0" w:type="dxa"/>
              <w:left w:w="108" w:type="dxa"/>
              <w:bottom w:w="0" w:type="dxa"/>
              <w:right w:w="108" w:type="dxa"/>
            </w:tcMar>
            <w:vAlign w:val="bottom"/>
          </w:tcPr>
          <w:p w:rsidR="009C13B4" w:rsidRPr="00B92190" w:rsidP="00BF322F" w14:paraId="45080DAD" w14:textId="47E59C53">
            <w:pPr>
              <w:jc w:val="right"/>
              <w:rPr>
                <w:b/>
                <w:bCs/>
                <w:color w:val="000000"/>
              </w:rPr>
            </w:pPr>
            <w:r w:rsidRPr="00B92190">
              <w:rPr>
                <w:b/>
                <w:bCs/>
                <w:color w:val="000000"/>
              </w:rPr>
              <w:t>$1,</w:t>
            </w:r>
            <w:r w:rsidRPr="00B92190" w:rsidR="0041042E">
              <w:rPr>
                <w:b/>
                <w:bCs/>
                <w:color w:val="000000"/>
              </w:rPr>
              <w:t>102.05</w:t>
            </w:r>
          </w:p>
          <w:p w:rsidR="0041042E" w:rsidRPr="002E6B68" w:rsidP="00BF322F" w14:paraId="0A372FE6" w14:textId="3178FCF1">
            <w:pPr>
              <w:jc w:val="right"/>
              <w:rPr>
                <w:color w:val="000000"/>
              </w:rPr>
            </w:pPr>
          </w:p>
        </w:tc>
      </w:tr>
      <w:bookmarkEnd w:id="2"/>
      <w:bookmarkEnd w:id="3"/>
    </w:tbl>
    <w:p w:rsidR="006C7FAE" w14:paraId="1C52E5A5" w14:textId="77777777">
      <w:pPr>
        <w:tabs>
          <w:tab w:val="left" w:pos="360"/>
        </w:tabs>
        <w:ind w:left="360" w:hanging="360"/>
        <w:rPr>
          <w:b/>
          <w:sz w:val="24"/>
          <w:szCs w:val="24"/>
        </w:rPr>
      </w:pPr>
    </w:p>
    <w:p w:rsidR="007628B4" w:rsidRPr="007D342E" w14:paraId="29D31E92" w14:textId="77777777">
      <w:pPr>
        <w:tabs>
          <w:tab w:val="left" w:pos="360"/>
        </w:tabs>
        <w:ind w:left="360" w:hanging="360"/>
        <w:rPr>
          <w:b/>
          <w:sz w:val="24"/>
          <w:szCs w:val="24"/>
        </w:rPr>
      </w:pPr>
    </w:p>
    <w:p w:rsidR="009E13B1" w:rsidRPr="007D342E" w14:paraId="3340B426" w14:textId="77777777">
      <w:pPr>
        <w:keepLines/>
        <w:tabs>
          <w:tab w:val="left" w:pos="360"/>
        </w:tabs>
        <w:spacing w:after="80"/>
        <w:ind w:left="360" w:hanging="360"/>
        <w:rPr>
          <w:b/>
          <w:sz w:val="24"/>
          <w:szCs w:val="24"/>
        </w:rPr>
      </w:pPr>
      <w:r w:rsidRPr="007D342E">
        <w:rPr>
          <w:b/>
          <w:sz w:val="24"/>
          <w:szCs w:val="24"/>
        </w:rPr>
        <w:t>15.</w:t>
      </w:r>
      <w:r w:rsidRPr="007D342E">
        <w:rPr>
          <w:b/>
          <w:sz w:val="24"/>
          <w:szCs w:val="24"/>
        </w:rPr>
        <w:tab/>
        <w:t>Explain the reasons for any program changes or adjustments reported in Items 1</w:t>
      </w:r>
      <w:r w:rsidRPr="007D342E" w:rsidR="000D5079">
        <w:rPr>
          <w:b/>
          <w:sz w:val="24"/>
          <w:szCs w:val="24"/>
        </w:rPr>
        <w:t>2</w:t>
      </w:r>
      <w:r w:rsidRPr="007D342E">
        <w:rPr>
          <w:b/>
          <w:sz w:val="24"/>
          <w:szCs w:val="24"/>
        </w:rPr>
        <w:t xml:space="preserve"> and 14 of the </w:t>
      </w:r>
      <w:r w:rsidRPr="007D342E" w:rsidR="00CA06CC">
        <w:rPr>
          <w:b/>
          <w:sz w:val="24"/>
          <w:szCs w:val="24"/>
        </w:rPr>
        <w:t>Supporting Statement</w:t>
      </w:r>
      <w:r w:rsidRPr="007D342E">
        <w:rPr>
          <w:b/>
          <w:sz w:val="24"/>
          <w:szCs w:val="24"/>
        </w:rPr>
        <w:t>.</w:t>
      </w:r>
    </w:p>
    <w:p w:rsidR="00D20F14" w:rsidP="00D20F14" w14:paraId="3389AEA3" w14:textId="77777777">
      <w:pPr>
        <w:ind w:firstLine="360"/>
        <w:rPr>
          <w:sz w:val="24"/>
          <w:szCs w:val="24"/>
        </w:rPr>
      </w:pPr>
      <w:bookmarkStart w:id="4" w:name="_Hlk12525343"/>
    </w:p>
    <w:p w:rsidR="0059789E" w:rsidRPr="008064C8" w:rsidP="0059789E" w14:paraId="410A867D" w14:textId="1DE7D6A1">
      <w:pPr>
        <w:ind w:left="360"/>
        <w:rPr>
          <w:sz w:val="24"/>
          <w:szCs w:val="24"/>
        </w:rPr>
      </w:pPr>
      <w:r>
        <w:rPr>
          <w:sz w:val="24"/>
          <w:szCs w:val="24"/>
        </w:rPr>
        <w:t xml:space="preserve">This ICR submission is a reinstatement </w:t>
      </w:r>
      <w:r w:rsidR="00431597">
        <w:rPr>
          <w:sz w:val="24"/>
          <w:szCs w:val="24"/>
        </w:rPr>
        <w:t xml:space="preserve">of a previously approved collection. </w:t>
      </w:r>
      <w:r>
        <w:rPr>
          <w:sz w:val="24"/>
          <w:szCs w:val="24"/>
        </w:rPr>
        <w:t>The total burden o</w:t>
      </w:r>
      <w:r w:rsidR="003D43A2">
        <w:rPr>
          <w:sz w:val="24"/>
          <w:szCs w:val="24"/>
        </w:rPr>
        <w:t>f</w:t>
      </w:r>
      <w:r>
        <w:rPr>
          <w:sz w:val="24"/>
          <w:szCs w:val="24"/>
        </w:rPr>
        <w:t xml:space="preserve"> this information collection has been reduced since the last submission as the reporting requirements have been eliminated. </w:t>
      </w:r>
      <w:r w:rsidR="003D43A2">
        <w:rPr>
          <w:sz w:val="24"/>
          <w:szCs w:val="24"/>
        </w:rPr>
        <w:t xml:space="preserve">The information collection now includes only the materials that an applicant must submit to HUD </w:t>
      </w:r>
      <w:r w:rsidR="001D6BDD">
        <w:rPr>
          <w:sz w:val="24"/>
          <w:szCs w:val="24"/>
        </w:rPr>
        <w:t xml:space="preserve">such that HUD can </w:t>
      </w:r>
      <w:r w:rsidR="001D6BDD">
        <w:rPr>
          <w:sz w:val="24"/>
          <w:szCs w:val="24"/>
        </w:rPr>
        <w:t>make a determination</w:t>
      </w:r>
      <w:r w:rsidR="001D6BDD">
        <w:rPr>
          <w:sz w:val="24"/>
          <w:szCs w:val="24"/>
        </w:rPr>
        <w:t xml:space="preserve"> as to whether or not an applicant should be issue</w:t>
      </w:r>
      <w:r w:rsidR="00400D90">
        <w:rPr>
          <w:sz w:val="24"/>
          <w:szCs w:val="24"/>
        </w:rPr>
        <w:t>d</w:t>
      </w:r>
      <w:r w:rsidR="001D6BDD">
        <w:rPr>
          <w:sz w:val="24"/>
          <w:szCs w:val="24"/>
        </w:rPr>
        <w:t xml:space="preserve"> a data license.  </w:t>
      </w:r>
      <w:r w:rsidR="00400D90">
        <w:rPr>
          <w:sz w:val="24"/>
          <w:szCs w:val="24"/>
        </w:rPr>
        <w:t>T</w:t>
      </w:r>
      <w:r>
        <w:rPr>
          <w:sz w:val="24"/>
          <w:szCs w:val="24"/>
        </w:rPr>
        <w:t xml:space="preserve">he </w:t>
      </w:r>
      <w:r w:rsidR="00400D90">
        <w:rPr>
          <w:sz w:val="24"/>
          <w:szCs w:val="24"/>
        </w:rPr>
        <w:t xml:space="preserve">prior </w:t>
      </w:r>
      <w:r>
        <w:rPr>
          <w:sz w:val="24"/>
          <w:szCs w:val="24"/>
        </w:rPr>
        <w:t>reporting requirements were dropped as the reports were not found to add value to the process and served only to add burden to data license holders.</w:t>
      </w:r>
    </w:p>
    <w:bookmarkEnd w:id="4"/>
    <w:p w:rsidR="00D20F14" w:rsidP="00D20F14" w14:paraId="38CD5E92" w14:textId="77777777">
      <w:pPr>
        <w:keepLines/>
        <w:tabs>
          <w:tab w:val="left" w:pos="360"/>
          <w:tab w:val="left" w:pos="720"/>
        </w:tabs>
        <w:ind w:left="360"/>
        <w:rPr>
          <w:sz w:val="24"/>
          <w:szCs w:val="24"/>
        </w:rPr>
      </w:pPr>
    </w:p>
    <w:p w:rsidR="005E49AF" w:rsidP="005E49AF" w14:paraId="24D7C67F" w14:textId="77777777">
      <w:pPr>
        <w:keepLines/>
        <w:tabs>
          <w:tab w:val="left" w:pos="360"/>
        </w:tabs>
        <w:spacing w:after="80"/>
        <w:ind w:left="360" w:hanging="360"/>
        <w:rPr>
          <w:b/>
          <w:sz w:val="24"/>
          <w:szCs w:val="24"/>
        </w:rPr>
      </w:pPr>
      <w:r w:rsidRPr="007D342E">
        <w:rPr>
          <w:b/>
          <w:sz w:val="24"/>
          <w:szCs w:val="24"/>
        </w:rPr>
        <w:t>16.</w:t>
      </w:r>
      <w:r w:rsidRPr="007D342E">
        <w:rPr>
          <w:b/>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20F14" w:rsidP="00D20F14" w14:paraId="45714A3F" w14:textId="77777777">
      <w:pPr>
        <w:rPr>
          <w:b/>
          <w:sz w:val="24"/>
        </w:rPr>
      </w:pPr>
    </w:p>
    <w:p w:rsidR="00D20F14" w:rsidP="00D20F14" w14:paraId="263A3CD6" w14:textId="77777777">
      <w:pPr>
        <w:ind w:firstLine="360"/>
        <w:rPr>
          <w:sz w:val="24"/>
        </w:rPr>
      </w:pPr>
      <w:r>
        <w:rPr>
          <w:sz w:val="24"/>
        </w:rPr>
        <w:t>Not applicable</w:t>
      </w:r>
    </w:p>
    <w:p w:rsidR="00311231" w14:paraId="1325616E" w14:textId="77777777">
      <w:pPr>
        <w:keepLines/>
        <w:tabs>
          <w:tab w:val="left" w:pos="360"/>
        </w:tabs>
        <w:spacing w:after="80"/>
        <w:ind w:left="360" w:hanging="360"/>
        <w:rPr>
          <w:b/>
          <w:sz w:val="24"/>
          <w:szCs w:val="24"/>
        </w:rPr>
      </w:pPr>
    </w:p>
    <w:p w:rsidR="009E13B1" w:rsidRPr="007D342E" w14:paraId="68F72BB3" w14:textId="06EB7CF4">
      <w:pPr>
        <w:keepLines/>
        <w:tabs>
          <w:tab w:val="left" w:pos="360"/>
        </w:tabs>
        <w:spacing w:after="80"/>
        <w:ind w:left="360" w:hanging="360"/>
        <w:rPr>
          <w:b/>
          <w:sz w:val="24"/>
          <w:szCs w:val="24"/>
        </w:rPr>
      </w:pPr>
      <w:r w:rsidRPr="007D342E">
        <w:rPr>
          <w:b/>
          <w:sz w:val="24"/>
          <w:szCs w:val="24"/>
        </w:rPr>
        <w:t>17.</w:t>
      </w:r>
      <w:r w:rsidRPr="007D342E">
        <w:rPr>
          <w:b/>
          <w:sz w:val="24"/>
          <w:szCs w:val="24"/>
        </w:rPr>
        <w:tab/>
        <w:t>If seeking approval to not display the expiration date for OMB approval of the information collection, explain the reasons that display would be inappropriate.</w:t>
      </w:r>
    </w:p>
    <w:p w:rsidR="00D20F14" w:rsidP="00D20F14" w14:paraId="5F449979" w14:textId="77777777">
      <w:pPr>
        <w:rPr>
          <w:b/>
          <w:sz w:val="24"/>
        </w:rPr>
      </w:pPr>
    </w:p>
    <w:p w:rsidR="004B0DE6" w:rsidRPr="007D342E" w:rsidP="005E49AF" w14:paraId="6D546D22" w14:textId="77777777">
      <w:pPr>
        <w:spacing w:after="180"/>
        <w:ind w:left="360"/>
        <w:rPr>
          <w:bCs/>
          <w:sz w:val="24"/>
          <w:szCs w:val="24"/>
        </w:rPr>
      </w:pPr>
      <w:r w:rsidRPr="007D342E">
        <w:rPr>
          <w:bCs/>
          <w:sz w:val="24"/>
          <w:szCs w:val="24"/>
          <w:lang w:eastAsia="zh-CN" w:bidi="hi-IN"/>
        </w:rPr>
        <w:t>The expiration date for OMB approval will be displayed on all forms completed as part of the data collection.</w:t>
      </w:r>
    </w:p>
    <w:p w:rsidR="009E13B1" w:rsidRPr="007D342E" w14:paraId="5AEB9BE6" w14:textId="77777777">
      <w:pPr>
        <w:keepLines/>
        <w:tabs>
          <w:tab w:val="left" w:pos="360"/>
        </w:tabs>
        <w:spacing w:after="80"/>
        <w:ind w:left="360" w:hanging="360"/>
        <w:rPr>
          <w:b/>
          <w:sz w:val="24"/>
          <w:szCs w:val="24"/>
        </w:rPr>
      </w:pPr>
      <w:r w:rsidRPr="007D342E">
        <w:rPr>
          <w:b/>
          <w:sz w:val="24"/>
          <w:szCs w:val="24"/>
        </w:rPr>
        <w:t>18.</w:t>
      </w:r>
      <w:r w:rsidRPr="007D342E">
        <w:rPr>
          <w:b/>
          <w:sz w:val="24"/>
          <w:szCs w:val="24"/>
        </w:rPr>
        <w:tab/>
        <w:t>Explain each exception to the certification statement identified in item 19.</w:t>
      </w:r>
    </w:p>
    <w:p w:rsidR="009E13B1" w:rsidRPr="007D342E" w:rsidP="005E49AF" w14:paraId="1BC8ABC9" w14:textId="77777777">
      <w:pPr>
        <w:ind w:left="360"/>
        <w:rPr>
          <w:bCs/>
          <w:sz w:val="24"/>
          <w:szCs w:val="24"/>
        </w:rPr>
      </w:pPr>
      <w:r w:rsidRPr="007D342E">
        <w:rPr>
          <w:bCs/>
          <w:sz w:val="24"/>
          <w:szCs w:val="24"/>
        </w:rPr>
        <w:t>This submission describing data collection requests no exceptions to the Certificate for Paperwork Reduction Act (5 CFR 1320.9).</w:t>
      </w:r>
    </w:p>
    <w:p w:rsidR="009E13B1" w:rsidRPr="007D342E" w14:paraId="7C7300B4" w14:textId="77777777">
      <w:pPr>
        <w:tabs>
          <w:tab w:val="left" w:pos="360"/>
          <w:tab w:val="left" w:pos="720"/>
        </w:tabs>
        <w:rPr>
          <w:b/>
          <w:sz w:val="24"/>
          <w:szCs w:val="24"/>
        </w:rPr>
      </w:pPr>
    </w:p>
    <w:p w:rsidR="009E13B1" w:rsidP="00167E53" w14:paraId="62EEEC8E"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r w:rsidRPr="00D20F14">
        <w:rPr>
          <w:b/>
          <w:sz w:val="24"/>
          <w:szCs w:val="24"/>
        </w:rPr>
        <w:t xml:space="preserve">B. </w:t>
      </w:r>
      <w:r w:rsidRPr="00D20F14">
        <w:rPr>
          <w:b/>
          <w:sz w:val="24"/>
          <w:szCs w:val="24"/>
        </w:rPr>
        <w:tab/>
        <w:t>Collections of Information Employing Statistical Methods</w:t>
      </w:r>
    </w:p>
    <w:p w:rsidR="00D20F14" w:rsidP="00167E53" w14:paraId="13AF2787"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p>
    <w:p w:rsidR="00D20F14" w:rsidRPr="00D20F14" w:rsidP="00167E53" w14:paraId="2C1E58CE" w14:textId="19FC4EA8">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r>
        <w:rPr>
          <w:sz w:val="24"/>
        </w:rPr>
        <w:tab/>
        <w:t xml:space="preserve">No statistical methods will be used to study applicants for this license. </w:t>
      </w:r>
    </w:p>
    <w:sectPr w:rsidSect="00000DA4">
      <w:headerReference w:type="default" r:id="rId10"/>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42076" w14:paraId="75A1BA09" w14:textId="77777777">
      <w:r>
        <w:separator/>
      </w:r>
    </w:p>
  </w:footnote>
  <w:footnote w:type="continuationSeparator" w:id="1">
    <w:p w:rsidR="00C42076" w14:paraId="15321CD0" w14:textId="77777777">
      <w:r>
        <w:continuationSeparator/>
      </w:r>
    </w:p>
  </w:footnote>
  <w:footnote w:id="2">
    <w:p w:rsidR="001A3736" w:rsidRPr="00150B3A" w14:paraId="5DB9441D" w14:textId="68BC9F42">
      <w:pPr>
        <w:pStyle w:val="FootnoteText"/>
        <w:rPr>
          <w:rFonts w:ascii="Times New Roman" w:hAnsi="Times New Roman" w:cs="Times New Roman"/>
          <w:sz w:val="20"/>
          <w:szCs w:val="20"/>
        </w:rPr>
      </w:pPr>
      <w:r w:rsidRPr="00150B3A">
        <w:rPr>
          <w:rStyle w:val="FootnoteReference"/>
          <w:rFonts w:ascii="Times New Roman" w:hAnsi="Times New Roman" w:cs="Times New Roman"/>
          <w:sz w:val="20"/>
          <w:szCs w:val="20"/>
        </w:rPr>
        <w:footnoteRef/>
      </w:r>
      <w:r w:rsidRPr="00150B3A">
        <w:rPr>
          <w:rFonts w:ascii="Times New Roman" w:hAnsi="Times New Roman" w:cs="Times New Roman"/>
          <w:sz w:val="20"/>
          <w:szCs w:val="20"/>
        </w:rPr>
        <w:t xml:space="preserve"> </w:t>
      </w:r>
      <w:r w:rsidRPr="00150B3A" w:rsidR="00150B3A">
        <w:rPr>
          <w:rFonts w:ascii="Times New Roman" w:hAnsi="Times New Roman" w:cs="Times New Roman"/>
          <w:sz w:val="20"/>
          <w:szCs w:val="20"/>
        </w:rPr>
        <w:t xml:space="preserve">Average wage rates </w:t>
      </w:r>
      <w:r w:rsidR="00B06991">
        <w:rPr>
          <w:rFonts w:ascii="Times New Roman" w:hAnsi="Times New Roman" w:cs="Times New Roman"/>
          <w:sz w:val="20"/>
          <w:szCs w:val="20"/>
        </w:rPr>
        <w:t xml:space="preserve">for all three labor categories cited </w:t>
      </w:r>
      <w:r w:rsidRPr="00150B3A" w:rsidR="00150B3A">
        <w:rPr>
          <w:rFonts w:ascii="Times New Roman" w:hAnsi="Times New Roman" w:cs="Times New Roman"/>
          <w:sz w:val="20"/>
          <w:szCs w:val="20"/>
        </w:rPr>
        <w:t xml:space="preserve">were derived from the May 2022 National Occupational Employment and Wage Estimates </w:t>
      </w:r>
      <w:r w:rsidR="00150B3A">
        <w:rPr>
          <w:rFonts w:ascii="Times New Roman" w:hAnsi="Times New Roman" w:cs="Times New Roman"/>
          <w:sz w:val="20"/>
          <w:szCs w:val="20"/>
        </w:rPr>
        <w:t>produced by the U.S. Bureau of Labor</w:t>
      </w:r>
      <w:r w:rsidRPr="00150B3A" w:rsidR="00150B3A">
        <w:rPr>
          <w:rFonts w:ascii="Times New Roman" w:hAnsi="Times New Roman" w:cs="Times New Roman"/>
          <w:sz w:val="20"/>
          <w:szCs w:val="20"/>
        </w:rPr>
        <w:t xml:space="preserve"> </w:t>
      </w:r>
      <w:r w:rsidR="00150B3A">
        <w:rPr>
          <w:rFonts w:ascii="Times New Roman" w:hAnsi="Times New Roman" w:cs="Times New Roman"/>
          <w:sz w:val="20"/>
          <w:szCs w:val="20"/>
        </w:rPr>
        <w:t xml:space="preserve">Statistics and found here: </w:t>
      </w:r>
      <w:r w:rsidRPr="00150B3A" w:rsidR="00150B3A">
        <w:rPr>
          <w:rFonts w:ascii="Times New Roman" w:hAnsi="Times New Roman" w:cs="Times New Roman"/>
          <w:sz w:val="20"/>
          <w:szCs w:val="20"/>
        </w:rPr>
        <w:t xml:space="preserve"> </w:t>
      </w:r>
      <w:hyperlink r:id="rId1" w:history="1">
        <w:r w:rsidRPr="00744C66">
          <w:rPr>
            <w:rStyle w:val="Hyperlink"/>
            <w:rFonts w:ascii="Times New Roman" w:hAnsi="Times New Roman" w:cs="Times New Roman"/>
            <w:sz w:val="20"/>
            <w:szCs w:val="20"/>
          </w:rPr>
          <w:t>https://www.bls.gov/oes/current/oes_nat.htm</w:t>
        </w:r>
      </w:hyperlink>
      <w:r>
        <w:rPr>
          <w:rFonts w:ascii="Times New Roman" w:hAnsi="Times New Roman" w:cs="Times New Roman"/>
          <w:sz w:val="20"/>
          <w:szCs w:val="20"/>
        </w:rPr>
        <w:t xml:space="preserve">  </w:t>
      </w:r>
    </w:p>
  </w:footnote>
  <w:footnote w:id="3">
    <w:p w:rsidR="00864BDE" w:rsidP="00864BDE" w14:paraId="7787AABB" w14:textId="38FEDB1E">
      <w:pPr>
        <w:tabs>
          <w:tab w:val="left" w:pos="360"/>
        </w:tabs>
        <w:ind w:left="360" w:hanging="360"/>
      </w:pPr>
      <w:r>
        <w:rPr>
          <w:rStyle w:val="FootnoteReference"/>
        </w:rPr>
        <w:footnoteRef/>
      </w:r>
      <w:r>
        <w:t xml:space="preserve"> </w:t>
      </w:r>
      <w:r w:rsidRPr="00864BDE">
        <w:tab/>
      </w:r>
      <w:hyperlink r:id="rId2" w:history="1">
        <w:r w:rsidRPr="00744C66" w:rsidR="008449C0">
          <w:rPr>
            <w:rStyle w:val="Hyperlink"/>
          </w:rPr>
          <w:t>https://www.opm.gov/policy-data-oversight/pay-leave/salaries-wages/salary-tables/24Tables/html/DCB_h.aspx</w:t>
        </w:r>
      </w:hyperlink>
    </w:p>
    <w:p w:rsidR="00864BDE" w14:paraId="56547B59" w14:textId="2AADC10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3B1" w14:paraId="17A9E96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0E603B8"/>
    <w:multiLevelType w:val="hybridMultilevel"/>
    <w:tmpl w:val="3C9805B4"/>
    <w:lvl w:ilvl="0">
      <w:start w:val="6"/>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12F32170"/>
    <w:multiLevelType w:val="hybridMultilevel"/>
    <w:tmpl w:val="DCA0835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2B953598"/>
    <w:multiLevelType w:val="hybridMultilevel"/>
    <w:tmpl w:val="83BA1B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0B79A0"/>
    <w:multiLevelType w:val="hybridMultilevel"/>
    <w:tmpl w:val="A07648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273C4D"/>
    <w:multiLevelType w:val="hybridMultilevel"/>
    <w:tmpl w:val="339672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3F0614D6"/>
    <w:multiLevelType w:val="hybridMultilevel"/>
    <w:tmpl w:val="F28A5812"/>
    <w:lvl w:ilvl="0">
      <w:start w:val="1"/>
      <w:numFmt w:val="bullet"/>
      <w:lvlText w:val=""/>
      <w:lvlJc w:val="left"/>
      <w:pPr>
        <w:ind w:left="630" w:hanging="360"/>
      </w:pPr>
      <w:rPr>
        <w:rFonts w:ascii="Symbol" w:hAnsi="Symbol"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2">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nsid w:val="43722079"/>
    <w:multiLevelType w:val="hybridMultilevel"/>
    <w:tmpl w:val="0DB67AE0"/>
    <w:lvl w:ilvl="0">
      <w:start w:val="1"/>
      <w:numFmt w:val="bullet"/>
      <w:lvlText w:val=""/>
      <w:lvlJc w:val="left"/>
      <w:pPr>
        <w:ind w:left="72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4">
    <w:nsid w:val="47B5A83F"/>
    <w:multiLevelType w:val="hybridMultilevel"/>
    <w:tmpl w:val="1D2C9FDE"/>
    <w:lvl w:ilvl="0">
      <w:start w:val="1"/>
      <w:numFmt w:val="decimal"/>
      <w:lvlText w:val="%1."/>
      <w:lvlJc w:val="left"/>
      <w:pPr>
        <w:ind w:left="360" w:hanging="36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15">
    <w:nsid w:val="484D0558"/>
    <w:multiLevelType w:val="hybridMultilevel"/>
    <w:tmpl w:val="B7E8CB62"/>
    <w:lvl w:ilvl="0">
      <w:start w:val="1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96C7333"/>
    <w:multiLevelType w:val="hybridMultilevel"/>
    <w:tmpl w:val="1B2258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B206095"/>
    <w:multiLevelType w:val="singleLevel"/>
    <w:tmpl w:val="470CEDAA"/>
    <w:lvl w:ilvl="0">
      <w:start w:val="7"/>
      <w:numFmt w:val="decimal"/>
      <w:lvlText w:val="%1. "/>
      <w:lvlJc w:val="left"/>
      <w:pPr>
        <w:ind w:left="360" w:hanging="360"/>
      </w:pPr>
      <w:rPr>
        <w:rFonts w:ascii="Times New Roman" w:hAnsi="Times New Roman" w:hint="default"/>
        <w:b/>
        <w:bCs/>
        <w:i w:val="0"/>
        <w:sz w:val="24"/>
        <w:szCs w:val="24"/>
        <w:u w:val="none"/>
      </w:rPr>
    </w:lvl>
  </w:abstractNum>
  <w:abstractNum w:abstractNumId="18">
    <w:nsid w:val="4BEC5B59"/>
    <w:multiLevelType w:val="hybridMultilevel"/>
    <w:tmpl w:val="5B04216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9B653B0"/>
    <w:multiLevelType w:val="hybridMultilevel"/>
    <w:tmpl w:val="A1B29FD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1">
    <w:nsid w:val="5DC28CD5"/>
    <w:multiLevelType w:val="hybridMultilevel"/>
    <w:tmpl w:val="E26018D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87D4067"/>
    <w:multiLevelType w:val="hybridMultilevel"/>
    <w:tmpl w:val="E55A441E"/>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8E27687"/>
    <w:multiLevelType w:val="hybridMultilevel"/>
    <w:tmpl w:val="2500D3B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195392B"/>
    <w:multiLevelType w:val="hybridMultilevel"/>
    <w:tmpl w:val="F78EB7C4"/>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288171595">
    <w:abstractNumId w:val="6"/>
  </w:num>
  <w:num w:numId="2" w16cid:durableId="1426460088">
    <w:abstractNumId w:val="2"/>
  </w:num>
  <w:num w:numId="3" w16cid:durableId="93793676">
    <w:abstractNumId w:val="20"/>
  </w:num>
  <w:num w:numId="4" w16cid:durableId="49959506">
    <w:abstractNumId w:val="10"/>
  </w:num>
  <w:num w:numId="5" w16cid:durableId="1355153638">
    <w:abstractNumId w:val="12"/>
  </w:num>
  <w:num w:numId="6" w16cid:durableId="856231533">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217859410">
    <w:abstractNumId w:val="4"/>
  </w:num>
  <w:num w:numId="8" w16cid:durableId="636186554">
    <w:abstractNumId w:val="27"/>
  </w:num>
  <w:num w:numId="9" w16cid:durableId="1949964017">
    <w:abstractNumId w:val="1"/>
  </w:num>
  <w:num w:numId="10" w16cid:durableId="1144393549">
    <w:abstractNumId w:val="26"/>
  </w:num>
  <w:num w:numId="11" w16cid:durableId="993147924">
    <w:abstractNumId w:val="25"/>
  </w:num>
  <w:num w:numId="12" w16cid:durableId="2146192766">
    <w:abstractNumId w:val="2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779908452">
    <w:abstractNumId w:val="17"/>
  </w:num>
  <w:num w:numId="14" w16cid:durableId="1607691447">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5" w16cid:durableId="1936547325">
    <w:abstractNumId w:val="21"/>
  </w:num>
  <w:num w:numId="16" w16cid:durableId="1844852967">
    <w:abstractNumId w:val="14"/>
  </w:num>
  <w:num w:numId="17" w16cid:durableId="595332907">
    <w:abstractNumId w:val="11"/>
  </w:num>
  <w:num w:numId="18" w16cid:durableId="697389432">
    <w:abstractNumId w:val="16"/>
  </w:num>
  <w:num w:numId="19" w16cid:durableId="1052076659">
    <w:abstractNumId w:val="23"/>
  </w:num>
  <w:num w:numId="20" w16cid:durableId="430393685">
    <w:abstractNumId w:val="13"/>
  </w:num>
  <w:num w:numId="21" w16cid:durableId="1966501443">
    <w:abstractNumId w:val="24"/>
  </w:num>
  <w:num w:numId="22" w16cid:durableId="1546941486">
    <w:abstractNumId w:val="19"/>
  </w:num>
  <w:num w:numId="23" w16cid:durableId="1474104011">
    <w:abstractNumId w:val="8"/>
  </w:num>
  <w:num w:numId="24" w16cid:durableId="1503427045">
    <w:abstractNumId w:val="7"/>
  </w:num>
  <w:num w:numId="25" w16cid:durableId="1240795825">
    <w:abstractNumId w:val="22"/>
  </w:num>
  <w:num w:numId="26" w16cid:durableId="808548598">
    <w:abstractNumId w:val="18"/>
  </w:num>
  <w:num w:numId="27" w16cid:durableId="1745183477">
    <w:abstractNumId w:val="3"/>
  </w:num>
  <w:num w:numId="28" w16cid:durableId="682780564">
    <w:abstractNumId w:val="15"/>
  </w:num>
  <w:num w:numId="29" w16cid:durableId="684793593">
    <w:abstractNumId w:val="5"/>
  </w:num>
  <w:num w:numId="30" w16cid:durableId="20384635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0"/>
    <w:footnote w:id="1"/>
  </w:foot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00DA4"/>
    <w:rsid w:val="000011E2"/>
    <w:rsid w:val="00012598"/>
    <w:rsid w:val="00047C68"/>
    <w:rsid w:val="0005644F"/>
    <w:rsid w:val="00064AD6"/>
    <w:rsid w:val="00071BEA"/>
    <w:rsid w:val="000A1639"/>
    <w:rsid w:val="000C117C"/>
    <w:rsid w:val="000C38FD"/>
    <w:rsid w:val="000D5079"/>
    <w:rsid w:val="000E00A8"/>
    <w:rsid w:val="000E2A89"/>
    <w:rsid w:val="000E3C0B"/>
    <w:rsid w:val="000E58D8"/>
    <w:rsid w:val="000E7BFD"/>
    <w:rsid w:val="000F424D"/>
    <w:rsid w:val="001027E0"/>
    <w:rsid w:val="00121E9B"/>
    <w:rsid w:val="001330E2"/>
    <w:rsid w:val="00150B3A"/>
    <w:rsid w:val="00160A79"/>
    <w:rsid w:val="00162284"/>
    <w:rsid w:val="00164009"/>
    <w:rsid w:val="00166962"/>
    <w:rsid w:val="00167E53"/>
    <w:rsid w:val="00182137"/>
    <w:rsid w:val="00191F22"/>
    <w:rsid w:val="00196D38"/>
    <w:rsid w:val="001A3736"/>
    <w:rsid w:val="001B139C"/>
    <w:rsid w:val="001D6BDD"/>
    <w:rsid w:val="001E4535"/>
    <w:rsid w:val="00205695"/>
    <w:rsid w:val="002134B6"/>
    <w:rsid w:val="00213F5D"/>
    <w:rsid w:val="00214356"/>
    <w:rsid w:val="00223D46"/>
    <w:rsid w:val="00225624"/>
    <w:rsid w:val="00226C17"/>
    <w:rsid w:val="0023256B"/>
    <w:rsid w:val="00236D4D"/>
    <w:rsid w:val="0024289F"/>
    <w:rsid w:val="0026799F"/>
    <w:rsid w:val="0029394B"/>
    <w:rsid w:val="002A7C2B"/>
    <w:rsid w:val="002B6461"/>
    <w:rsid w:val="002C2B01"/>
    <w:rsid w:val="002C5BA8"/>
    <w:rsid w:val="002E1B22"/>
    <w:rsid w:val="002E2B67"/>
    <w:rsid w:val="002E6B68"/>
    <w:rsid w:val="002F54DB"/>
    <w:rsid w:val="002F6CE8"/>
    <w:rsid w:val="00311231"/>
    <w:rsid w:val="00317736"/>
    <w:rsid w:val="00325834"/>
    <w:rsid w:val="003410EE"/>
    <w:rsid w:val="00360090"/>
    <w:rsid w:val="00371661"/>
    <w:rsid w:val="0037251D"/>
    <w:rsid w:val="00377975"/>
    <w:rsid w:val="003809E0"/>
    <w:rsid w:val="00393028"/>
    <w:rsid w:val="003A1095"/>
    <w:rsid w:val="003B7617"/>
    <w:rsid w:val="003D43A2"/>
    <w:rsid w:val="003D55F0"/>
    <w:rsid w:val="003D5CC6"/>
    <w:rsid w:val="00400D90"/>
    <w:rsid w:val="00406221"/>
    <w:rsid w:val="0041042E"/>
    <w:rsid w:val="00420D31"/>
    <w:rsid w:val="00422062"/>
    <w:rsid w:val="00431597"/>
    <w:rsid w:val="00435464"/>
    <w:rsid w:val="004368C9"/>
    <w:rsid w:val="00442BB1"/>
    <w:rsid w:val="00450591"/>
    <w:rsid w:val="00450605"/>
    <w:rsid w:val="00450899"/>
    <w:rsid w:val="00464074"/>
    <w:rsid w:val="004B0DE6"/>
    <w:rsid w:val="004C03A3"/>
    <w:rsid w:val="004C4199"/>
    <w:rsid w:val="004E5A5C"/>
    <w:rsid w:val="005219A8"/>
    <w:rsid w:val="00532200"/>
    <w:rsid w:val="00535C0D"/>
    <w:rsid w:val="00536E65"/>
    <w:rsid w:val="00544640"/>
    <w:rsid w:val="005529B7"/>
    <w:rsid w:val="005571A7"/>
    <w:rsid w:val="00561925"/>
    <w:rsid w:val="0057359D"/>
    <w:rsid w:val="00574244"/>
    <w:rsid w:val="00581606"/>
    <w:rsid w:val="00585818"/>
    <w:rsid w:val="0058747D"/>
    <w:rsid w:val="005904DC"/>
    <w:rsid w:val="005927C1"/>
    <w:rsid w:val="0059789E"/>
    <w:rsid w:val="005A2CC4"/>
    <w:rsid w:val="005C3644"/>
    <w:rsid w:val="005C3EE4"/>
    <w:rsid w:val="005E49AF"/>
    <w:rsid w:val="006068FE"/>
    <w:rsid w:val="00666D3C"/>
    <w:rsid w:val="00670D8C"/>
    <w:rsid w:val="00671BA0"/>
    <w:rsid w:val="00675037"/>
    <w:rsid w:val="006B7674"/>
    <w:rsid w:val="006C4830"/>
    <w:rsid w:val="006C7FAE"/>
    <w:rsid w:val="007316B3"/>
    <w:rsid w:val="007428A9"/>
    <w:rsid w:val="00744C66"/>
    <w:rsid w:val="00757277"/>
    <w:rsid w:val="007628B4"/>
    <w:rsid w:val="007669DF"/>
    <w:rsid w:val="00776DF7"/>
    <w:rsid w:val="00786EC3"/>
    <w:rsid w:val="00790681"/>
    <w:rsid w:val="00790E89"/>
    <w:rsid w:val="00790F86"/>
    <w:rsid w:val="00791BB4"/>
    <w:rsid w:val="00795AA8"/>
    <w:rsid w:val="00797EE6"/>
    <w:rsid w:val="007A49B5"/>
    <w:rsid w:val="007B4A33"/>
    <w:rsid w:val="007B4B33"/>
    <w:rsid w:val="007D1DFF"/>
    <w:rsid w:val="007D2C39"/>
    <w:rsid w:val="007D342E"/>
    <w:rsid w:val="007E4167"/>
    <w:rsid w:val="007F0E4C"/>
    <w:rsid w:val="007F2F33"/>
    <w:rsid w:val="007F71F2"/>
    <w:rsid w:val="007F7F7A"/>
    <w:rsid w:val="008007AC"/>
    <w:rsid w:val="008064C8"/>
    <w:rsid w:val="00816985"/>
    <w:rsid w:val="008314BA"/>
    <w:rsid w:val="008449C0"/>
    <w:rsid w:val="00864BDE"/>
    <w:rsid w:val="0087067F"/>
    <w:rsid w:val="00873E20"/>
    <w:rsid w:val="00873ED3"/>
    <w:rsid w:val="00874E00"/>
    <w:rsid w:val="00885C64"/>
    <w:rsid w:val="00897097"/>
    <w:rsid w:val="008A3BDE"/>
    <w:rsid w:val="008A7175"/>
    <w:rsid w:val="008A733C"/>
    <w:rsid w:val="008C0D4A"/>
    <w:rsid w:val="008C66AA"/>
    <w:rsid w:val="00914093"/>
    <w:rsid w:val="00915DD8"/>
    <w:rsid w:val="00933E53"/>
    <w:rsid w:val="00934578"/>
    <w:rsid w:val="009355A7"/>
    <w:rsid w:val="00943A61"/>
    <w:rsid w:val="00952718"/>
    <w:rsid w:val="009527F5"/>
    <w:rsid w:val="00960552"/>
    <w:rsid w:val="00972BE7"/>
    <w:rsid w:val="00972F2F"/>
    <w:rsid w:val="009757BA"/>
    <w:rsid w:val="00983921"/>
    <w:rsid w:val="00994130"/>
    <w:rsid w:val="009953A6"/>
    <w:rsid w:val="009A5AD8"/>
    <w:rsid w:val="009C13B4"/>
    <w:rsid w:val="009C1B1A"/>
    <w:rsid w:val="009D5F49"/>
    <w:rsid w:val="009E0C3E"/>
    <w:rsid w:val="009E13B1"/>
    <w:rsid w:val="009F6B99"/>
    <w:rsid w:val="00A0570F"/>
    <w:rsid w:val="00A14778"/>
    <w:rsid w:val="00A177F4"/>
    <w:rsid w:val="00A252E6"/>
    <w:rsid w:val="00A257C6"/>
    <w:rsid w:val="00A30851"/>
    <w:rsid w:val="00A40A30"/>
    <w:rsid w:val="00A57E4D"/>
    <w:rsid w:val="00A65F9E"/>
    <w:rsid w:val="00A667C6"/>
    <w:rsid w:val="00A83E46"/>
    <w:rsid w:val="00AB3746"/>
    <w:rsid w:val="00AD5BD4"/>
    <w:rsid w:val="00B01271"/>
    <w:rsid w:val="00B01940"/>
    <w:rsid w:val="00B03398"/>
    <w:rsid w:val="00B04BA6"/>
    <w:rsid w:val="00B06991"/>
    <w:rsid w:val="00B11E5D"/>
    <w:rsid w:val="00B201BF"/>
    <w:rsid w:val="00B20390"/>
    <w:rsid w:val="00B23B87"/>
    <w:rsid w:val="00B7031D"/>
    <w:rsid w:val="00B92190"/>
    <w:rsid w:val="00B9390F"/>
    <w:rsid w:val="00B94401"/>
    <w:rsid w:val="00BA1440"/>
    <w:rsid w:val="00BA631B"/>
    <w:rsid w:val="00BA7D1F"/>
    <w:rsid w:val="00BB1945"/>
    <w:rsid w:val="00BB2518"/>
    <w:rsid w:val="00BC10AF"/>
    <w:rsid w:val="00BC50C0"/>
    <w:rsid w:val="00BD5E34"/>
    <w:rsid w:val="00BE6294"/>
    <w:rsid w:val="00BF322F"/>
    <w:rsid w:val="00BF4D2A"/>
    <w:rsid w:val="00BF54B2"/>
    <w:rsid w:val="00BF6740"/>
    <w:rsid w:val="00C25519"/>
    <w:rsid w:val="00C329A5"/>
    <w:rsid w:val="00C35FDF"/>
    <w:rsid w:val="00C42076"/>
    <w:rsid w:val="00C435E9"/>
    <w:rsid w:val="00C73FCE"/>
    <w:rsid w:val="00C74D39"/>
    <w:rsid w:val="00C90520"/>
    <w:rsid w:val="00C95071"/>
    <w:rsid w:val="00CA06CC"/>
    <w:rsid w:val="00CB5268"/>
    <w:rsid w:val="00CC1FE1"/>
    <w:rsid w:val="00CC36DB"/>
    <w:rsid w:val="00CE1567"/>
    <w:rsid w:val="00D01FAA"/>
    <w:rsid w:val="00D03ABF"/>
    <w:rsid w:val="00D20F14"/>
    <w:rsid w:val="00D22BB1"/>
    <w:rsid w:val="00D240DF"/>
    <w:rsid w:val="00D309A1"/>
    <w:rsid w:val="00D426A0"/>
    <w:rsid w:val="00D6232A"/>
    <w:rsid w:val="00D717DB"/>
    <w:rsid w:val="00D73F30"/>
    <w:rsid w:val="00D74136"/>
    <w:rsid w:val="00D7712B"/>
    <w:rsid w:val="00D7731A"/>
    <w:rsid w:val="00D81506"/>
    <w:rsid w:val="00D94157"/>
    <w:rsid w:val="00DB093E"/>
    <w:rsid w:val="00DC1699"/>
    <w:rsid w:val="00DC530F"/>
    <w:rsid w:val="00DC5AEF"/>
    <w:rsid w:val="00DD3286"/>
    <w:rsid w:val="00DD4274"/>
    <w:rsid w:val="00DE7040"/>
    <w:rsid w:val="00DF4E4E"/>
    <w:rsid w:val="00E01140"/>
    <w:rsid w:val="00E01170"/>
    <w:rsid w:val="00E11071"/>
    <w:rsid w:val="00E161D5"/>
    <w:rsid w:val="00E229D6"/>
    <w:rsid w:val="00E26EC2"/>
    <w:rsid w:val="00E4260B"/>
    <w:rsid w:val="00E46DF8"/>
    <w:rsid w:val="00E7009D"/>
    <w:rsid w:val="00E80B37"/>
    <w:rsid w:val="00E86466"/>
    <w:rsid w:val="00E864B7"/>
    <w:rsid w:val="00EA10E6"/>
    <w:rsid w:val="00EB0A7A"/>
    <w:rsid w:val="00EB634D"/>
    <w:rsid w:val="00EC2E6C"/>
    <w:rsid w:val="00EC6111"/>
    <w:rsid w:val="00EF063E"/>
    <w:rsid w:val="00EF0AF2"/>
    <w:rsid w:val="00EF6F4D"/>
    <w:rsid w:val="00F1186D"/>
    <w:rsid w:val="00F13F65"/>
    <w:rsid w:val="00F16888"/>
    <w:rsid w:val="00F27C8F"/>
    <w:rsid w:val="00F5145B"/>
    <w:rsid w:val="00F6030E"/>
    <w:rsid w:val="00F6253C"/>
    <w:rsid w:val="00F732AA"/>
    <w:rsid w:val="00F769CF"/>
    <w:rsid w:val="00F911D6"/>
    <w:rsid w:val="00F937A4"/>
    <w:rsid w:val="00FA07A9"/>
    <w:rsid w:val="00FA1396"/>
    <w:rsid w:val="00FA2F9E"/>
    <w:rsid w:val="00FA3340"/>
    <w:rsid w:val="00FA7A1F"/>
    <w:rsid w:val="00FB2247"/>
    <w:rsid w:val="00FB651F"/>
    <w:rsid w:val="00FB72FD"/>
    <w:rsid w:val="00FC2444"/>
    <w:rsid w:val="00FC793D"/>
    <w:rsid w:val="00FD7881"/>
    <w:rsid w:val="00FE420F"/>
    <w:rsid w:val="00FE6F59"/>
    <w:rsid w:val="00FF54E1"/>
    <w:rsid w:val="00FF62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F6CE313"/>
  <w15:chartTrackingRefBased/>
  <w15:docId w15:val="{8D5A1A0F-C160-414D-99E6-B1B0C5568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1BA0"/>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uiPriority w:val="34"/>
    <w:qFormat/>
    <w:rsid w:val="00A65F9E"/>
    <w:pPr>
      <w:ind w:left="720"/>
    </w:pPr>
  </w:style>
  <w:style w:type="character" w:styleId="Hyperlink">
    <w:name w:val="Hyperlink"/>
    <w:unhideWhenUsed/>
    <w:rsid w:val="004B0DE6"/>
    <w:rPr>
      <w:color w:val="0000FF"/>
      <w:u w:val="single"/>
    </w:rPr>
  </w:style>
  <w:style w:type="paragraph" w:styleId="FootnoteText">
    <w:name w:val="footnote text"/>
    <w:basedOn w:val="Normal"/>
    <w:link w:val="FootnoteTextChar"/>
    <w:uiPriority w:val="99"/>
    <w:semiHidden/>
    <w:unhideWhenUsed/>
    <w:rsid w:val="004B0DE6"/>
    <w:pPr>
      <w:overflowPunct/>
      <w:autoSpaceDE/>
      <w:autoSpaceDN/>
      <w:adjustRightInd/>
      <w:spacing w:after="200" w:line="276" w:lineRule="auto"/>
      <w:textAlignment w:val="auto"/>
    </w:pPr>
    <w:rPr>
      <w:rFonts w:ascii="Calibri" w:eastAsia="Yu Mincho" w:hAnsi="Calibri" w:cs="Arial"/>
      <w:sz w:val="22"/>
      <w:szCs w:val="22"/>
    </w:rPr>
  </w:style>
  <w:style w:type="character" w:customStyle="1" w:styleId="FootnoteTextChar">
    <w:name w:val="Footnote Text Char"/>
    <w:link w:val="FootnoteText"/>
    <w:uiPriority w:val="99"/>
    <w:semiHidden/>
    <w:rsid w:val="004B0DE6"/>
    <w:rPr>
      <w:rFonts w:ascii="Calibri" w:eastAsia="Yu Mincho" w:hAnsi="Calibri" w:cs="Arial"/>
      <w:sz w:val="22"/>
      <w:szCs w:val="22"/>
    </w:rPr>
  </w:style>
  <w:style w:type="character" w:styleId="FootnoteReference">
    <w:name w:val="footnote reference"/>
    <w:uiPriority w:val="99"/>
    <w:semiHidden/>
    <w:unhideWhenUsed/>
    <w:rsid w:val="004B0DE6"/>
    <w:rPr>
      <w:vertAlign w:val="superscript"/>
    </w:rPr>
  </w:style>
  <w:style w:type="table" w:styleId="TableGrid">
    <w:name w:val="Table Grid"/>
    <w:basedOn w:val="TableNormal"/>
    <w:uiPriority w:val="39"/>
    <w:rsid w:val="004B0DE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1095"/>
  </w:style>
  <w:style w:type="paragraph" w:styleId="NoSpacing">
    <w:name w:val="No Spacing"/>
    <w:uiPriority w:val="1"/>
    <w:qFormat/>
    <w:rsid w:val="00C74D39"/>
    <w:pPr>
      <w:overflowPunct w:val="0"/>
      <w:autoSpaceDE w:val="0"/>
      <w:autoSpaceDN w:val="0"/>
      <w:adjustRightInd w:val="0"/>
      <w:textAlignment w:val="baseline"/>
    </w:pPr>
  </w:style>
  <w:style w:type="character" w:styleId="CommentReference">
    <w:name w:val="annotation reference"/>
    <w:uiPriority w:val="99"/>
    <w:semiHidden/>
    <w:unhideWhenUsed/>
    <w:rsid w:val="00A667C6"/>
    <w:rPr>
      <w:sz w:val="16"/>
      <w:szCs w:val="16"/>
    </w:rPr>
  </w:style>
  <w:style w:type="paragraph" w:styleId="CommentText">
    <w:name w:val="annotation text"/>
    <w:basedOn w:val="Normal"/>
    <w:link w:val="CommentTextChar"/>
    <w:uiPriority w:val="99"/>
    <w:unhideWhenUsed/>
    <w:rsid w:val="00A667C6"/>
  </w:style>
  <w:style w:type="character" w:customStyle="1" w:styleId="CommentTextChar">
    <w:name w:val="Comment Text Char"/>
    <w:basedOn w:val="DefaultParagraphFont"/>
    <w:link w:val="CommentText"/>
    <w:uiPriority w:val="99"/>
    <w:rsid w:val="00A667C6"/>
  </w:style>
  <w:style w:type="paragraph" w:styleId="CommentSubject">
    <w:name w:val="annotation subject"/>
    <w:basedOn w:val="CommentText"/>
    <w:next w:val="CommentText"/>
    <w:link w:val="CommentSubjectChar"/>
    <w:uiPriority w:val="99"/>
    <w:semiHidden/>
    <w:unhideWhenUsed/>
    <w:rsid w:val="00A667C6"/>
    <w:rPr>
      <w:b/>
      <w:bCs/>
    </w:rPr>
  </w:style>
  <w:style w:type="character" w:customStyle="1" w:styleId="CommentSubjectChar">
    <w:name w:val="Comment Subject Char"/>
    <w:link w:val="CommentSubject"/>
    <w:uiPriority w:val="99"/>
    <w:semiHidden/>
    <w:rsid w:val="00A667C6"/>
    <w:rPr>
      <w:b/>
      <w:bCs/>
    </w:rPr>
  </w:style>
  <w:style w:type="character" w:styleId="UnresolvedMention">
    <w:name w:val="Unresolved Mention"/>
    <w:basedOn w:val="DefaultParagraphFont"/>
    <w:uiPriority w:val="99"/>
    <w:semiHidden/>
    <w:unhideWhenUsed/>
    <w:rsid w:val="007628B4"/>
    <w:rPr>
      <w:color w:val="605E5C"/>
      <w:shd w:val="clear" w:color="auto" w:fill="E1DFDD"/>
    </w:rPr>
  </w:style>
  <w:style w:type="character" w:styleId="FollowedHyperlink">
    <w:name w:val="FollowedHyperlink"/>
    <w:basedOn w:val="DefaultParagraphFont"/>
    <w:uiPriority w:val="99"/>
    <w:semiHidden/>
    <w:unhideWhenUsed/>
    <w:rsid w:val="00797EE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opm.gov/policy-data-oversight/pay-leave/salaries-wages/salary-tables/24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736E4F931D214190F18E93C27963DA" ma:contentTypeVersion="5" ma:contentTypeDescription="Create a new document." ma:contentTypeScope="" ma:versionID="dd2efa70f04f1d581a30910c643c57c2">
  <xsd:schema xmlns:xsd="http://www.w3.org/2001/XMLSchema" xmlns:xs="http://www.w3.org/2001/XMLSchema" xmlns:p="http://schemas.microsoft.com/office/2006/metadata/properties" xmlns:ns2="7d53fd11-2a22-4582-9c54-c831a3162de8" xmlns:ns3="4c38136a-cdeb-4d96-8526-20949eee4bfc" targetNamespace="http://schemas.microsoft.com/office/2006/metadata/properties" ma:root="true" ma:fieldsID="833fb9ef7118837c5194bcafd949a0c0" ns2:_="" ns3:_="">
    <xsd:import namespace="7d53fd11-2a22-4582-9c54-c831a3162de8"/>
    <xsd:import namespace="4c38136a-cdeb-4d96-8526-20949eee4b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3fd11-2a22-4582-9c54-c831a3162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8136a-cdeb-4d96-8526-20949eee4bf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A78B7C3-0EAA-4A97-875F-9A4075BE8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3fd11-2a22-4582-9c54-c831a3162de8"/>
    <ds:schemaRef ds:uri="4c38136a-cdeb-4d96-8526-20949eee4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C9C2EE-FBEF-48F9-92D2-6C76C3FB69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F9F7FF-3F3F-4284-B362-E677D71A9684}">
  <ds:schemaRefs>
    <ds:schemaRef ds:uri="http://schemas.openxmlformats.org/officeDocument/2006/bibliography"/>
  </ds:schemaRefs>
</ds:datastoreItem>
</file>

<file path=customXml/itemProps4.xml><?xml version="1.0" encoding="utf-8"?>
<ds:datastoreItem xmlns:ds="http://schemas.openxmlformats.org/officeDocument/2006/customXml" ds:itemID="{8EFABAD7-1E10-41AE-9318-C48C70676D42}">
  <ds:schemaRefs>
    <ds:schemaRef ds:uri="http://schemas.microsoft.com/sharepoint/v3/contenttype/forms"/>
  </ds:schemaRefs>
</ds:datastoreItem>
</file>

<file path=customXml/itemProps5.xml><?xml version="1.0" encoding="utf-8"?>
<ds:datastoreItem xmlns:ds="http://schemas.openxmlformats.org/officeDocument/2006/customXml" ds:itemID="{48919DCA-A180-455D-933C-A027F75D0A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3528</Words>
  <Characters>19650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Guido, Anna P</cp:lastModifiedBy>
  <cp:revision>2</cp:revision>
  <cp:lastPrinted>2016-10-19T20:19:00Z</cp:lastPrinted>
  <dcterms:created xsi:type="dcterms:W3CDTF">2024-07-17T14:45:00Z</dcterms:created>
  <dcterms:modified xsi:type="dcterms:W3CDTF">2024-07-17T14:45:00Z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display_urn:schemas-microsoft-com:office:office#SharedWithUsers">
    <vt:lpwstr>Leggitt, John S</vt:lpwstr>
  </property>
  <property fmtid="{D5CDD505-2E9C-101B-9397-08002B2CF9AE}" pid="4" name="SharedWithUsers">
    <vt:lpwstr>15;#Leggitt, John S</vt:lpwstr>
  </property>
  <property fmtid="{D5CDD505-2E9C-101B-9397-08002B2CF9AE}" pid="5" name="_ip_UnifiedCompliancePolicyProperties">
    <vt:lpwstr/>
  </property>
  <property fmtid="{D5CDD505-2E9C-101B-9397-08002B2CF9AE}" pid="6" name="_ip_UnifiedCompliancePolicyUIAction">
    <vt:lpwstr/>
  </property>
  <property fmtid="{D5CDD505-2E9C-101B-9397-08002B2CF9AE}" pid="7" name="_NewReviewCycle">
    <vt:lpwstr/>
  </property>
</Properties>
</file>