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313A" w:rsidRPr="0016313A" w:rsidP="0016313A" w14:paraId="36774C0C" w14:textId="77777777">
      <w:pPr>
        <w:widowControl w:val="0"/>
        <w:adjustRightInd w:val="0"/>
        <w:ind w:left="90"/>
        <w:jc w:val="center"/>
        <w:rPr>
          <w:sz w:val="25"/>
          <w:szCs w:val="25"/>
        </w:rPr>
      </w:pPr>
      <w:r w:rsidRPr="0016313A">
        <w:rPr>
          <w:b/>
          <w:bCs/>
          <w:sz w:val="25"/>
          <w:szCs w:val="25"/>
        </w:rPr>
        <w:t>DEPARTMENT OF TRANSPORTATION</w:t>
      </w:r>
    </w:p>
    <w:p w:rsidR="0016313A" w:rsidRPr="0016313A" w:rsidP="0016313A" w14:paraId="10426FF2" w14:textId="77777777">
      <w:pPr>
        <w:widowControl w:val="0"/>
        <w:adjustRightInd w:val="0"/>
        <w:ind w:left="90"/>
        <w:jc w:val="center"/>
        <w:rPr>
          <w:b/>
          <w:bCs/>
          <w:sz w:val="25"/>
          <w:szCs w:val="25"/>
        </w:rPr>
      </w:pPr>
      <w:r w:rsidRPr="0016313A">
        <w:rPr>
          <w:b/>
          <w:bCs/>
          <w:sz w:val="25"/>
          <w:szCs w:val="25"/>
        </w:rPr>
        <w:t>SUPPORTING STATEMENT</w:t>
      </w:r>
      <w:r w:rsidRPr="0016313A">
        <w:rPr>
          <w:b/>
          <w:bCs/>
          <w:sz w:val="25"/>
          <w:szCs w:val="25"/>
        </w:rPr>
        <w:t xml:space="preserve"> A</w:t>
      </w:r>
    </w:p>
    <w:p w:rsidR="00377F84" w:rsidRPr="008F139E" w:rsidP="0016313A" w14:paraId="021B7EB3" w14:textId="76584589">
      <w:pPr>
        <w:widowControl w:val="0"/>
        <w:adjustRightInd w:val="0"/>
        <w:ind w:left="90"/>
        <w:jc w:val="center"/>
        <w:rPr>
          <w:sz w:val="25"/>
          <w:szCs w:val="25"/>
          <w:u w:val="single"/>
        </w:rPr>
      </w:pPr>
      <w:r w:rsidRPr="0016313A">
        <w:rPr>
          <w:b/>
          <w:bCs/>
          <w:sz w:val="25"/>
          <w:szCs w:val="25"/>
        </w:rPr>
        <w:t>OMB Control No. 2138-0014</w:t>
      </w:r>
    </w:p>
    <w:p w:rsidR="00377F84" w:rsidRPr="00582F03" w:rsidP="00377F84" w14:paraId="73D841DC" w14:textId="77777777">
      <w:pPr>
        <w:rPr>
          <w:sz w:val="25"/>
          <w:szCs w:val="25"/>
        </w:rPr>
      </w:pPr>
    </w:p>
    <w:p w:rsidR="00377F84" w:rsidRPr="00582F03" w:rsidP="002E766F" w14:paraId="4A6394E7" w14:textId="77777777">
      <w:pPr>
        <w:ind w:left="1440" w:hanging="360"/>
        <w:rPr>
          <w:sz w:val="25"/>
          <w:szCs w:val="25"/>
        </w:rPr>
      </w:pPr>
      <w:r w:rsidRPr="00582F03">
        <w:rPr>
          <w:sz w:val="25"/>
          <w:szCs w:val="25"/>
        </w:rPr>
        <w:t xml:space="preserve">          14 CFR Part 241   Origin and Destination </w:t>
      </w:r>
      <w:r w:rsidR="00820393">
        <w:rPr>
          <w:sz w:val="25"/>
          <w:szCs w:val="25"/>
        </w:rPr>
        <w:t xml:space="preserve">(O&amp;D) </w:t>
      </w:r>
      <w:r w:rsidR="00863727">
        <w:rPr>
          <w:sz w:val="25"/>
          <w:szCs w:val="25"/>
        </w:rPr>
        <w:t>Survey</w:t>
      </w:r>
    </w:p>
    <w:p w:rsidR="00377F84" w:rsidP="00377F84" w14:paraId="695435C3" w14:textId="77777777">
      <w:pPr>
        <w:rPr>
          <w:sz w:val="25"/>
          <w:szCs w:val="25"/>
        </w:rPr>
      </w:pPr>
    </w:p>
    <w:p w:rsidR="00377F84" w:rsidRPr="00582F03" w:rsidP="00377F84" w14:paraId="048EE62C" w14:textId="77777777">
      <w:pPr>
        <w:rPr>
          <w:sz w:val="25"/>
          <w:szCs w:val="25"/>
        </w:rPr>
      </w:pPr>
      <w:r w:rsidRPr="00582F03">
        <w:rPr>
          <w:sz w:val="25"/>
          <w:szCs w:val="25"/>
        </w:rPr>
        <w:t xml:space="preserve">A. </w:t>
      </w:r>
      <w:r>
        <w:rPr>
          <w:sz w:val="25"/>
          <w:szCs w:val="25"/>
          <w:u w:val="single"/>
        </w:rPr>
        <w:t>Justificat</w:t>
      </w:r>
      <w:r w:rsidRPr="00582F03">
        <w:rPr>
          <w:sz w:val="25"/>
          <w:szCs w:val="25"/>
          <w:u w:val="single"/>
        </w:rPr>
        <w:t>ion</w:t>
      </w:r>
    </w:p>
    <w:p w:rsidR="00377F84" w:rsidRPr="00582F03" w:rsidP="00377F84" w14:paraId="7920D88F" w14:textId="77777777">
      <w:pPr>
        <w:rPr>
          <w:sz w:val="25"/>
          <w:szCs w:val="25"/>
        </w:rPr>
      </w:pPr>
    </w:p>
    <w:p w:rsidR="00377F84" w:rsidRPr="00582F03" w:rsidP="00377F84" w14:paraId="7C20D716" w14:textId="77777777">
      <w:pPr>
        <w:rPr>
          <w:sz w:val="25"/>
          <w:szCs w:val="25"/>
        </w:rPr>
      </w:pPr>
      <w:r w:rsidRPr="00582F03">
        <w:rPr>
          <w:b/>
          <w:bCs/>
          <w:sz w:val="25"/>
          <w:szCs w:val="25"/>
        </w:rPr>
        <w:t>1.  Explain the circumstances that make the collection of information necessary.  Identify any legal or administrative requirements that necessitate the collection.</w:t>
      </w:r>
    </w:p>
    <w:p w:rsidR="00377F84" w:rsidRPr="00582F03" w:rsidP="00377F84" w14:paraId="12E871FD" w14:textId="77777777">
      <w:pPr>
        <w:rPr>
          <w:sz w:val="25"/>
          <w:szCs w:val="25"/>
        </w:rPr>
      </w:pPr>
    </w:p>
    <w:p w:rsidR="00377F84" w:rsidRPr="00582F03" w:rsidP="00377F84" w14:paraId="7A69A849" w14:textId="77777777">
      <w:pPr>
        <w:rPr>
          <w:sz w:val="25"/>
          <w:szCs w:val="25"/>
        </w:rPr>
      </w:pPr>
      <w:r w:rsidRPr="00582F03">
        <w:rPr>
          <w:sz w:val="25"/>
          <w:szCs w:val="25"/>
        </w:rPr>
        <w:t xml:space="preserve">The Secretary of Transportation is required by 49 U.S.C. §329(b)(1) to collect and disseminate information on the origins and destinations of airline passengers.  </w:t>
      </w:r>
    </w:p>
    <w:p w:rsidR="00377F84" w:rsidP="00377F84" w14:paraId="4269ED42" w14:textId="77777777">
      <w:pPr>
        <w:rPr>
          <w:sz w:val="25"/>
          <w:szCs w:val="25"/>
        </w:rPr>
      </w:pPr>
    </w:p>
    <w:p w:rsidR="005F328D" w:rsidP="00377F84" w14:paraId="74BFD6D0" w14:textId="18FFD353">
      <w:pPr>
        <w:rPr>
          <w:sz w:val="25"/>
          <w:szCs w:val="25"/>
        </w:rPr>
      </w:pPr>
      <w:r>
        <w:rPr>
          <w:sz w:val="25"/>
          <w:szCs w:val="25"/>
        </w:rPr>
        <w:t xml:space="preserve">The current Passenger </w:t>
      </w:r>
      <w:r w:rsidR="00377F84">
        <w:rPr>
          <w:sz w:val="25"/>
          <w:szCs w:val="25"/>
        </w:rPr>
        <w:t xml:space="preserve">Origin and Destination </w:t>
      </w:r>
      <w:r w:rsidR="004E7F45">
        <w:rPr>
          <w:sz w:val="25"/>
          <w:szCs w:val="25"/>
        </w:rPr>
        <w:t>(O&amp;</w:t>
      </w:r>
      <w:r>
        <w:rPr>
          <w:sz w:val="25"/>
          <w:szCs w:val="25"/>
        </w:rPr>
        <w:t xml:space="preserve">D) </w:t>
      </w:r>
      <w:r w:rsidR="00551ADC">
        <w:rPr>
          <w:sz w:val="25"/>
          <w:szCs w:val="25"/>
        </w:rPr>
        <w:t xml:space="preserve">Survey </w:t>
      </w:r>
      <w:r>
        <w:rPr>
          <w:sz w:val="25"/>
          <w:szCs w:val="25"/>
        </w:rPr>
        <w:t>data collection</w:t>
      </w:r>
      <w:r w:rsidRPr="00974BBB" w:rsidR="00377F84">
        <w:rPr>
          <w:sz w:val="25"/>
          <w:szCs w:val="25"/>
        </w:rPr>
        <w:t>, as outlined in 14 CFR Part 241</w:t>
      </w:r>
      <w:r w:rsidR="00963A16">
        <w:rPr>
          <w:sz w:val="25"/>
          <w:szCs w:val="25"/>
        </w:rPr>
        <w:t xml:space="preserve"> Section </w:t>
      </w:r>
      <w:r w:rsidRPr="00974BBB" w:rsidR="00377F84">
        <w:rPr>
          <w:sz w:val="25"/>
          <w:szCs w:val="25"/>
        </w:rPr>
        <w:t>19-</w:t>
      </w:r>
      <w:r w:rsidR="00A22ACD">
        <w:rPr>
          <w:sz w:val="25"/>
          <w:szCs w:val="25"/>
        </w:rPr>
        <w:t>8</w:t>
      </w:r>
      <w:r>
        <w:rPr>
          <w:sz w:val="25"/>
          <w:szCs w:val="25"/>
        </w:rPr>
        <w:t>,</w:t>
      </w:r>
      <w:r w:rsidR="00377F84">
        <w:rPr>
          <w:sz w:val="25"/>
          <w:szCs w:val="25"/>
        </w:rPr>
        <w:t xml:space="preserve"> with an effective date of 0</w:t>
      </w:r>
      <w:r w:rsidR="00A22ACD">
        <w:rPr>
          <w:sz w:val="25"/>
          <w:szCs w:val="25"/>
        </w:rPr>
        <w:t>7</w:t>
      </w:r>
      <w:r w:rsidR="00377F84">
        <w:rPr>
          <w:sz w:val="25"/>
          <w:szCs w:val="25"/>
        </w:rPr>
        <w:t>/01/</w:t>
      </w:r>
      <w:r w:rsidR="00A22ACD">
        <w:rPr>
          <w:sz w:val="25"/>
          <w:szCs w:val="25"/>
        </w:rPr>
        <w:t>2025</w:t>
      </w:r>
      <w:r w:rsidR="008335CB">
        <w:rPr>
          <w:sz w:val="25"/>
          <w:szCs w:val="25"/>
          <w:vertAlign w:val="superscript"/>
        </w:rPr>
        <w:t xml:space="preserve"> </w:t>
      </w:r>
      <w:r w:rsidR="008335CB">
        <w:rPr>
          <w:sz w:val="25"/>
          <w:szCs w:val="25"/>
        </w:rPr>
        <w:t>(</w:t>
      </w:r>
      <w:r w:rsidR="008335CB">
        <w:rPr>
          <w:i/>
          <w:iCs/>
          <w:sz w:val="25"/>
          <w:szCs w:val="25"/>
        </w:rPr>
        <w:t>please see Appendix A)</w:t>
      </w:r>
      <w:r w:rsidRPr="00974BBB" w:rsidR="00377F84">
        <w:rPr>
          <w:sz w:val="25"/>
          <w:szCs w:val="25"/>
        </w:rPr>
        <w:t xml:space="preserve">, collects </w:t>
      </w:r>
      <w:r w:rsidR="00A22ACD">
        <w:rPr>
          <w:sz w:val="25"/>
          <w:szCs w:val="25"/>
        </w:rPr>
        <w:t>4</w:t>
      </w:r>
      <w:r w:rsidRPr="00974BBB" w:rsidR="00377F84">
        <w:rPr>
          <w:sz w:val="25"/>
          <w:szCs w:val="25"/>
        </w:rPr>
        <w:t>0%</w:t>
      </w:r>
      <w:r w:rsidR="00377F84">
        <w:rPr>
          <w:sz w:val="25"/>
          <w:szCs w:val="25"/>
        </w:rPr>
        <w:t xml:space="preserve"> of revenue airline carrier passenger t</w:t>
      </w:r>
      <w:r w:rsidR="00FE14F6">
        <w:rPr>
          <w:sz w:val="25"/>
          <w:szCs w:val="25"/>
        </w:rPr>
        <w:t>ickets</w:t>
      </w:r>
      <w:r w:rsidR="00377F84">
        <w:rPr>
          <w:sz w:val="25"/>
          <w:szCs w:val="25"/>
        </w:rPr>
        <w:t xml:space="preserve"> moving in whole or in part on domestic and/or international scheduled air carrier services each </w:t>
      </w:r>
      <w:r w:rsidR="00677503">
        <w:rPr>
          <w:sz w:val="25"/>
          <w:szCs w:val="25"/>
        </w:rPr>
        <w:t>month</w:t>
      </w:r>
      <w:r w:rsidR="00377F84">
        <w:rPr>
          <w:sz w:val="25"/>
          <w:szCs w:val="25"/>
        </w:rPr>
        <w:t>.  The</w:t>
      </w:r>
      <w:r w:rsidR="005714C1">
        <w:rPr>
          <w:sz w:val="25"/>
          <w:szCs w:val="25"/>
        </w:rPr>
        <w:t xml:space="preserve"> O&amp;D</w:t>
      </w:r>
      <w:r w:rsidR="00377F84">
        <w:rPr>
          <w:sz w:val="25"/>
          <w:szCs w:val="25"/>
        </w:rPr>
        <w:t xml:space="preserve"> data are reported by </w:t>
      </w:r>
      <w:r w:rsidR="00A22ACD">
        <w:rPr>
          <w:sz w:val="25"/>
          <w:szCs w:val="25"/>
        </w:rPr>
        <w:t xml:space="preserve">any US airline carrier that </w:t>
      </w:r>
      <w:r w:rsidR="00377F84">
        <w:rPr>
          <w:sz w:val="25"/>
          <w:szCs w:val="25"/>
        </w:rPr>
        <w:t xml:space="preserve">operate scheduled passenger service </w:t>
      </w:r>
      <w:r w:rsidR="00A22ACD">
        <w:rPr>
          <w:sz w:val="25"/>
          <w:szCs w:val="25"/>
        </w:rPr>
        <w:t xml:space="preserve">and issue passenger tickets for travel.  </w:t>
      </w:r>
      <w:r w:rsidR="00377F84">
        <w:rPr>
          <w:sz w:val="25"/>
          <w:szCs w:val="25"/>
        </w:rPr>
        <w:t xml:space="preserve">  </w:t>
      </w:r>
    </w:p>
    <w:p w:rsidR="005F328D" w:rsidP="00377F84" w14:paraId="7EA0E198" w14:textId="77777777">
      <w:pPr>
        <w:rPr>
          <w:sz w:val="25"/>
          <w:szCs w:val="25"/>
        </w:rPr>
      </w:pPr>
    </w:p>
    <w:p w:rsidR="00A3242A" w:rsidP="00EA2F8F" w14:paraId="5808757F" w14:textId="13CD5917">
      <w:pPr>
        <w:rPr>
          <w:sz w:val="25"/>
          <w:szCs w:val="25"/>
        </w:rPr>
      </w:pPr>
      <w:r>
        <w:rPr>
          <w:sz w:val="25"/>
          <w:szCs w:val="25"/>
        </w:rPr>
        <w:t xml:space="preserve">Carriers that report </w:t>
      </w:r>
      <w:r w:rsidR="005714C1">
        <w:rPr>
          <w:sz w:val="25"/>
          <w:szCs w:val="25"/>
        </w:rPr>
        <w:t>O&amp;D</w:t>
      </w:r>
      <w:r w:rsidR="004E7F45">
        <w:rPr>
          <w:sz w:val="25"/>
          <w:szCs w:val="25"/>
        </w:rPr>
        <w:t xml:space="preserve"> d</w:t>
      </w:r>
      <w:r w:rsidR="008931BB">
        <w:rPr>
          <w:sz w:val="25"/>
          <w:szCs w:val="25"/>
        </w:rPr>
        <w:t>ata are known as reporting c</w:t>
      </w:r>
      <w:r w:rsidRPr="00974BBB" w:rsidR="00377F84">
        <w:rPr>
          <w:sz w:val="25"/>
          <w:szCs w:val="25"/>
        </w:rPr>
        <w:t>arriers</w:t>
      </w:r>
      <w:r w:rsidR="005F328D">
        <w:rPr>
          <w:sz w:val="25"/>
          <w:szCs w:val="25"/>
        </w:rPr>
        <w:t xml:space="preserve">.  There are currently </w:t>
      </w:r>
      <w:r w:rsidRPr="00E15F12" w:rsidR="00A22ACD">
        <w:rPr>
          <w:sz w:val="25"/>
          <w:szCs w:val="25"/>
        </w:rPr>
        <w:t>100</w:t>
      </w:r>
      <w:r w:rsidRPr="00E15F12" w:rsidR="00A716DD">
        <w:rPr>
          <w:sz w:val="25"/>
          <w:szCs w:val="25"/>
        </w:rPr>
        <w:t xml:space="preserve"> </w:t>
      </w:r>
      <w:r w:rsidR="00A716DD">
        <w:rPr>
          <w:sz w:val="25"/>
          <w:szCs w:val="25"/>
        </w:rPr>
        <w:t>reporting c</w:t>
      </w:r>
      <w:r w:rsidR="005F328D">
        <w:rPr>
          <w:sz w:val="25"/>
          <w:szCs w:val="25"/>
        </w:rPr>
        <w:t xml:space="preserve">arriers.  </w:t>
      </w:r>
      <w:r w:rsidR="00E86658">
        <w:rPr>
          <w:sz w:val="25"/>
          <w:szCs w:val="25"/>
        </w:rPr>
        <w:t xml:space="preserve">The reporting carriers </w:t>
      </w:r>
      <w:r w:rsidR="008335CB">
        <w:rPr>
          <w:sz w:val="25"/>
          <w:szCs w:val="25"/>
        </w:rPr>
        <w:t>includes all</w:t>
      </w:r>
      <w:r w:rsidR="00E86658">
        <w:rPr>
          <w:sz w:val="25"/>
          <w:szCs w:val="25"/>
        </w:rPr>
        <w:t xml:space="preserve"> Certificated Air carriers, including Small Certificate and Commuter Air Carriers, that conduct scheduled passenger services (</w:t>
      </w:r>
      <w:r w:rsidR="00E86658">
        <w:rPr>
          <w:i/>
          <w:sz w:val="25"/>
          <w:szCs w:val="25"/>
        </w:rPr>
        <w:t>please see Appendix D</w:t>
      </w:r>
      <w:r w:rsidRPr="00804D76" w:rsidR="00E86658">
        <w:rPr>
          <w:i/>
          <w:sz w:val="25"/>
          <w:szCs w:val="25"/>
        </w:rPr>
        <w:t xml:space="preserve"> for definitions</w:t>
      </w:r>
      <w:r w:rsidR="00E86658">
        <w:rPr>
          <w:sz w:val="25"/>
          <w:szCs w:val="25"/>
        </w:rPr>
        <w:t xml:space="preserve">). </w:t>
      </w:r>
      <w:r w:rsidR="00377F84">
        <w:rPr>
          <w:sz w:val="25"/>
          <w:szCs w:val="25"/>
        </w:rPr>
        <w:t xml:space="preserve">Data reported </w:t>
      </w:r>
      <w:r w:rsidR="00E86658">
        <w:rPr>
          <w:sz w:val="25"/>
          <w:szCs w:val="25"/>
        </w:rPr>
        <w:t xml:space="preserve">on a monthly basis </w:t>
      </w:r>
      <w:r w:rsidR="00377F84">
        <w:rPr>
          <w:sz w:val="25"/>
          <w:szCs w:val="25"/>
        </w:rPr>
        <w:t xml:space="preserve">are </w:t>
      </w:r>
      <w:r w:rsidR="0072116E">
        <w:rPr>
          <w:sz w:val="25"/>
          <w:szCs w:val="25"/>
        </w:rPr>
        <w:t xml:space="preserve">single flight </w:t>
      </w:r>
      <w:r w:rsidR="00377F84">
        <w:rPr>
          <w:sz w:val="25"/>
          <w:szCs w:val="25"/>
        </w:rPr>
        <w:t>revenue passenger t</w:t>
      </w:r>
      <w:r w:rsidR="0072116E">
        <w:rPr>
          <w:sz w:val="25"/>
          <w:szCs w:val="25"/>
        </w:rPr>
        <w:t>ickets</w:t>
      </w:r>
      <w:r w:rsidR="00377F84">
        <w:rPr>
          <w:sz w:val="25"/>
          <w:szCs w:val="25"/>
        </w:rPr>
        <w:t xml:space="preserve"> with a ticket sequence number ending in “0” (zero)</w:t>
      </w:r>
      <w:r w:rsidR="00A22ACD">
        <w:rPr>
          <w:sz w:val="25"/>
          <w:szCs w:val="25"/>
        </w:rPr>
        <w:t>, “2” (two), “7” (seven) or “9” (nine)</w:t>
      </w:r>
      <w:r w:rsidR="00377F84">
        <w:rPr>
          <w:sz w:val="25"/>
          <w:szCs w:val="25"/>
        </w:rPr>
        <w:t xml:space="preserve">.  </w:t>
      </w:r>
      <w:r w:rsidR="0072116E">
        <w:rPr>
          <w:sz w:val="25"/>
          <w:szCs w:val="25"/>
        </w:rPr>
        <w:t>Revenue passenger ticket</w:t>
      </w:r>
      <w:r w:rsidR="00377F84">
        <w:rPr>
          <w:sz w:val="25"/>
          <w:szCs w:val="25"/>
        </w:rPr>
        <w:t xml:space="preserve"> sequence numbers are unique numbers generated by the reservation system when sold to the passenger for travel.  </w:t>
      </w:r>
      <w:r w:rsidRPr="004D4B08" w:rsidR="000E0F73">
        <w:rPr>
          <w:sz w:val="25"/>
          <w:szCs w:val="25"/>
        </w:rPr>
        <w:t>For air carriers without a ticketing numbering system, an alternative internal management control system has been set up and is being used per approval of the Office of Airline</w:t>
      </w:r>
      <w:r w:rsidR="005714C1">
        <w:rPr>
          <w:sz w:val="25"/>
          <w:szCs w:val="25"/>
        </w:rPr>
        <w:t xml:space="preserve"> </w:t>
      </w:r>
      <w:r w:rsidRPr="004D4B08" w:rsidR="000E0F73">
        <w:rPr>
          <w:sz w:val="25"/>
          <w:szCs w:val="25"/>
        </w:rPr>
        <w:t>Information</w:t>
      </w:r>
      <w:r w:rsidR="0038050F">
        <w:rPr>
          <w:sz w:val="25"/>
          <w:szCs w:val="25"/>
        </w:rPr>
        <w:t xml:space="preserve"> and Statistics (OAI)</w:t>
      </w:r>
      <w:r w:rsidRPr="004D4B08" w:rsidR="000E0F73">
        <w:rPr>
          <w:sz w:val="25"/>
          <w:szCs w:val="25"/>
        </w:rPr>
        <w:t xml:space="preserve"> Director.</w:t>
      </w:r>
      <w:r w:rsidR="000E0F73">
        <w:rPr>
          <w:sz w:val="25"/>
          <w:szCs w:val="25"/>
        </w:rPr>
        <w:t xml:space="preserve">  </w:t>
      </w:r>
      <w:r w:rsidR="00377F84">
        <w:rPr>
          <w:sz w:val="25"/>
          <w:szCs w:val="25"/>
        </w:rPr>
        <w:t xml:space="preserve">Essentially, </w:t>
      </w:r>
      <w:r w:rsidR="00A22ACD">
        <w:rPr>
          <w:sz w:val="25"/>
          <w:szCs w:val="25"/>
        </w:rPr>
        <w:t>4</w:t>
      </w:r>
      <w:r w:rsidR="00377F84">
        <w:rPr>
          <w:sz w:val="25"/>
          <w:szCs w:val="25"/>
        </w:rPr>
        <w:t xml:space="preserve"> out of every 10 pass</w:t>
      </w:r>
      <w:r w:rsidR="00820056">
        <w:rPr>
          <w:sz w:val="25"/>
          <w:szCs w:val="25"/>
        </w:rPr>
        <w:t>enger tickets collected by the r</w:t>
      </w:r>
      <w:r w:rsidR="00377F84">
        <w:rPr>
          <w:sz w:val="25"/>
          <w:szCs w:val="25"/>
        </w:rPr>
        <w:t>eporting</w:t>
      </w:r>
      <w:r w:rsidR="00820056">
        <w:rPr>
          <w:sz w:val="25"/>
          <w:szCs w:val="25"/>
        </w:rPr>
        <w:t xml:space="preserve"> c</w:t>
      </w:r>
      <w:r w:rsidR="004E7F45">
        <w:rPr>
          <w:sz w:val="25"/>
          <w:szCs w:val="25"/>
        </w:rPr>
        <w:t>arriers are reported in the O&amp;</w:t>
      </w:r>
      <w:r w:rsidR="00377F84">
        <w:rPr>
          <w:sz w:val="25"/>
          <w:szCs w:val="25"/>
        </w:rPr>
        <w:t xml:space="preserve">D </w:t>
      </w:r>
      <w:r w:rsidR="005F328D">
        <w:rPr>
          <w:sz w:val="25"/>
          <w:szCs w:val="25"/>
        </w:rPr>
        <w:t>dat</w:t>
      </w:r>
      <w:r w:rsidR="004D745A">
        <w:rPr>
          <w:sz w:val="25"/>
          <w:szCs w:val="25"/>
        </w:rPr>
        <w:t>a</w:t>
      </w:r>
      <w:r w:rsidR="00E86658">
        <w:rPr>
          <w:sz w:val="25"/>
          <w:szCs w:val="25"/>
        </w:rPr>
        <w:t xml:space="preserve"> </w:t>
      </w:r>
      <w:r w:rsidR="00E86658">
        <w:rPr>
          <w:i/>
          <w:sz w:val="25"/>
          <w:szCs w:val="25"/>
        </w:rPr>
        <w:t>(please see Appendix B for further details on the reporting requirements)</w:t>
      </w:r>
      <w:r w:rsidR="005F328D">
        <w:rPr>
          <w:sz w:val="25"/>
          <w:szCs w:val="25"/>
        </w:rPr>
        <w:t>.</w:t>
      </w:r>
      <w:r w:rsidR="00CB255F">
        <w:rPr>
          <w:sz w:val="25"/>
          <w:szCs w:val="25"/>
        </w:rPr>
        <w:t xml:space="preserve">  </w:t>
      </w:r>
    </w:p>
    <w:p w:rsidR="00E86658" w:rsidP="00377F84" w14:paraId="156EF40A" w14:textId="77777777">
      <w:pPr>
        <w:rPr>
          <w:i/>
          <w:sz w:val="25"/>
          <w:szCs w:val="25"/>
        </w:rPr>
      </w:pPr>
    </w:p>
    <w:p w:rsidR="00E80B75" w:rsidP="008B53F2" w14:paraId="03E47A38" w14:textId="64D6BF45">
      <w:pPr>
        <w:rPr>
          <w:sz w:val="25"/>
          <w:szCs w:val="25"/>
        </w:rPr>
      </w:pPr>
      <w:r w:rsidRPr="00A62F67">
        <w:rPr>
          <w:sz w:val="25"/>
          <w:szCs w:val="25"/>
        </w:rPr>
        <w:t>Th</w:t>
      </w:r>
      <w:r w:rsidR="00067007">
        <w:rPr>
          <w:sz w:val="25"/>
          <w:szCs w:val="25"/>
        </w:rPr>
        <w:t>is rule</w:t>
      </w:r>
      <w:r w:rsidRPr="00A62F67">
        <w:rPr>
          <w:sz w:val="25"/>
          <w:szCs w:val="25"/>
        </w:rPr>
        <w:t xml:space="preserve"> enable</w:t>
      </w:r>
      <w:r w:rsidR="00E86658">
        <w:rPr>
          <w:sz w:val="25"/>
          <w:szCs w:val="25"/>
        </w:rPr>
        <w:t>d</w:t>
      </w:r>
      <w:r w:rsidRPr="00A62F67">
        <w:rPr>
          <w:sz w:val="25"/>
          <w:szCs w:val="25"/>
        </w:rPr>
        <w:t xml:space="preserve"> the DOT to</w:t>
      </w:r>
      <w:r w:rsidR="008335CB">
        <w:rPr>
          <w:sz w:val="25"/>
          <w:szCs w:val="25"/>
        </w:rPr>
        <w:t xml:space="preserve"> </w:t>
      </w:r>
      <w:r w:rsidRPr="00A62F67">
        <w:rPr>
          <w:sz w:val="25"/>
          <w:szCs w:val="25"/>
        </w:rPr>
        <w:t xml:space="preserve">increase the frequency of data dissemination, the sample size from which the data </w:t>
      </w:r>
      <w:r>
        <w:rPr>
          <w:sz w:val="25"/>
          <w:szCs w:val="25"/>
        </w:rPr>
        <w:t>are</w:t>
      </w:r>
      <w:r w:rsidRPr="00A62F67">
        <w:rPr>
          <w:sz w:val="25"/>
          <w:szCs w:val="25"/>
        </w:rPr>
        <w:t xml:space="preserve"> pulled, and the number of data elements reported, withou</w:t>
      </w:r>
      <w:r w:rsidR="008931BB">
        <w:rPr>
          <w:sz w:val="25"/>
          <w:szCs w:val="25"/>
        </w:rPr>
        <w:t>t imposing additional costs on reporting c</w:t>
      </w:r>
      <w:r w:rsidRPr="00A62F67">
        <w:rPr>
          <w:sz w:val="25"/>
          <w:szCs w:val="25"/>
        </w:rPr>
        <w:t>arriers.  Through reduced human i</w:t>
      </w:r>
      <w:r w:rsidR="004E7F45">
        <w:rPr>
          <w:sz w:val="25"/>
          <w:szCs w:val="25"/>
        </w:rPr>
        <w:t>ntervention in submitting the O&amp;</w:t>
      </w:r>
      <w:r w:rsidRPr="00A62F67">
        <w:rPr>
          <w:sz w:val="25"/>
          <w:szCs w:val="25"/>
        </w:rPr>
        <w:t xml:space="preserve">D </w:t>
      </w:r>
      <w:r w:rsidR="00CF5EBE">
        <w:rPr>
          <w:sz w:val="25"/>
          <w:szCs w:val="25"/>
        </w:rPr>
        <w:t>data</w:t>
      </w:r>
      <w:r w:rsidRPr="00A62F67">
        <w:rPr>
          <w:sz w:val="25"/>
          <w:szCs w:val="25"/>
        </w:rPr>
        <w:t xml:space="preserve">, significant cost reductions </w:t>
      </w:r>
      <w:r w:rsidR="00E86658">
        <w:rPr>
          <w:sz w:val="25"/>
          <w:szCs w:val="25"/>
        </w:rPr>
        <w:t xml:space="preserve">have been </w:t>
      </w:r>
      <w:r w:rsidRPr="00A62F67">
        <w:rPr>
          <w:sz w:val="25"/>
          <w:szCs w:val="25"/>
        </w:rPr>
        <w:t>experienced by the reporting carriers</w:t>
      </w:r>
      <w:r w:rsidR="00E86658">
        <w:rPr>
          <w:sz w:val="25"/>
          <w:szCs w:val="25"/>
        </w:rPr>
        <w:t xml:space="preserve">.  </w:t>
      </w:r>
    </w:p>
    <w:p w:rsidR="00E86658" w:rsidP="008B53F2" w14:paraId="767625F3" w14:textId="77777777">
      <w:pPr>
        <w:rPr>
          <w:sz w:val="25"/>
          <w:szCs w:val="25"/>
        </w:rPr>
      </w:pPr>
    </w:p>
    <w:p w:rsidR="00602F0F" w:rsidP="002C573E" w14:paraId="5EBAC923" w14:textId="202CA0F0">
      <w:pPr>
        <w:rPr>
          <w:sz w:val="25"/>
          <w:szCs w:val="25"/>
        </w:rPr>
      </w:pPr>
      <w:r>
        <w:rPr>
          <w:sz w:val="25"/>
          <w:szCs w:val="25"/>
        </w:rPr>
        <w:t xml:space="preserve">Benefits </w:t>
      </w:r>
      <w:r w:rsidR="00E80B75">
        <w:rPr>
          <w:sz w:val="25"/>
          <w:szCs w:val="25"/>
        </w:rPr>
        <w:t>of th</w:t>
      </w:r>
      <w:r>
        <w:rPr>
          <w:sz w:val="25"/>
          <w:szCs w:val="25"/>
        </w:rPr>
        <w:t>is</w:t>
      </w:r>
      <w:r w:rsidR="00E80B75">
        <w:rPr>
          <w:sz w:val="25"/>
          <w:szCs w:val="25"/>
        </w:rPr>
        <w:t xml:space="preserve"> collection are (1) Easier to determine monthly trends, (2) </w:t>
      </w:r>
      <w:r w:rsidR="00D91037">
        <w:rPr>
          <w:sz w:val="25"/>
          <w:szCs w:val="25"/>
        </w:rPr>
        <w:t>The reporting of time</w:t>
      </w:r>
      <w:r w:rsidR="006E1C51">
        <w:rPr>
          <w:sz w:val="25"/>
          <w:szCs w:val="25"/>
        </w:rPr>
        <w:t xml:space="preserve"> in hours, </w:t>
      </w:r>
      <w:r w:rsidR="007E77C5">
        <w:rPr>
          <w:sz w:val="25"/>
          <w:szCs w:val="25"/>
        </w:rPr>
        <w:t>known as dwell time,</w:t>
      </w:r>
      <w:r w:rsidR="00D91037">
        <w:rPr>
          <w:sz w:val="25"/>
          <w:szCs w:val="25"/>
        </w:rPr>
        <w:t xml:space="preserve"> that </w:t>
      </w:r>
      <w:r w:rsidRPr="00C834EA" w:rsidR="00B7111F">
        <w:rPr>
          <w:sz w:val="25"/>
          <w:szCs w:val="25"/>
        </w:rPr>
        <w:t>a passenger waits between</w:t>
      </w:r>
      <w:r w:rsidR="006E1C51">
        <w:rPr>
          <w:sz w:val="25"/>
          <w:szCs w:val="25"/>
        </w:rPr>
        <w:t xml:space="preserve"> the arrival on one flight at an airport and their departure on another flight from the same airport </w:t>
      </w:r>
      <w:r w:rsidR="00E80B75">
        <w:rPr>
          <w:sz w:val="25"/>
          <w:szCs w:val="25"/>
        </w:rPr>
        <w:t xml:space="preserve">(with the knowing </w:t>
      </w:r>
      <w:r w:rsidRPr="00C834EA" w:rsidR="00B7111F">
        <w:rPr>
          <w:sz w:val="25"/>
          <w:szCs w:val="25"/>
        </w:rPr>
        <w:t xml:space="preserve">of where the passenger is changing planes and where the passenger is ending each one-way trip, </w:t>
      </w:r>
      <w:r w:rsidR="00E80B75">
        <w:rPr>
          <w:sz w:val="25"/>
          <w:szCs w:val="25"/>
        </w:rPr>
        <w:t xml:space="preserve">which is </w:t>
      </w:r>
      <w:r w:rsidRPr="00C834EA" w:rsidR="00B7111F">
        <w:rPr>
          <w:sz w:val="25"/>
          <w:szCs w:val="25"/>
        </w:rPr>
        <w:t>consistent with industry practice</w:t>
      </w:r>
      <w:r w:rsidR="00E80B75">
        <w:rPr>
          <w:sz w:val="25"/>
          <w:szCs w:val="25"/>
        </w:rPr>
        <w:t>), (3) T</w:t>
      </w:r>
      <w:r w:rsidRPr="00C834EA" w:rsidR="00B7111F">
        <w:rPr>
          <w:sz w:val="25"/>
          <w:szCs w:val="25"/>
        </w:rPr>
        <w:t>he sample size increas</w:t>
      </w:r>
      <w:r>
        <w:rPr>
          <w:sz w:val="25"/>
          <w:szCs w:val="25"/>
        </w:rPr>
        <w:t>ed</w:t>
      </w:r>
      <w:r w:rsidRPr="00C834EA" w:rsidR="00B7111F">
        <w:rPr>
          <w:sz w:val="25"/>
          <w:szCs w:val="25"/>
        </w:rPr>
        <w:t xml:space="preserve"> to more reliably </w:t>
      </w:r>
      <w:r w:rsidRPr="00C834EA" w:rsidR="00B7111F">
        <w:rPr>
          <w:sz w:val="25"/>
          <w:szCs w:val="25"/>
        </w:rPr>
        <w:t xml:space="preserve">measure travel to small and rural airport markets.  </w:t>
      </w:r>
      <w:r w:rsidR="00E80B75">
        <w:rPr>
          <w:sz w:val="25"/>
          <w:szCs w:val="25"/>
        </w:rPr>
        <w:t>The r</w:t>
      </w:r>
      <w:r w:rsidR="008B53F2">
        <w:rPr>
          <w:sz w:val="25"/>
          <w:szCs w:val="25"/>
        </w:rPr>
        <w:t xml:space="preserve">eporting </w:t>
      </w:r>
      <w:r w:rsidR="00E80B75">
        <w:rPr>
          <w:sz w:val="25"/>
          <w:szCs w:val="25"/>
        </w:rPr>
        <w:t xml:space="preserve">of </w:t>
      </w:r>
      <w:r w:rsidR="008B53F2">
        <w:rPr>
          <w:sz w:val="25"/>
          <w:szCs w:val="25"/>
        </w:rPr>
        <w:t xml:space="preserve">a larger sample size to capture small and rural markets with the statistically significant equivalence of larger </w:t>
      </w:r>
    </w:p>
    <w:p w:rsidR="00602F0F" w:rsidP="002C573E" w14:paraId="2D52E0AB" w14:textId="42D7240E">
      <w:pPr>
        <w:rPr>
          <w:sz w:val="25"/>
          <w:szCs w:val="25"/>
        </w:rPr>
      </w:pPr>
      <w:r>
        <w:rPr>
          <w:sz w:val="25"/>
          <w:szCs w:val="25"/>
        </w:rPr>
        <w:t xml:space="preserve">markets </w:t>
      </w:r>
      <w:r>
        <w:rPr>
          <w:sz w:val="25"/>
          <w:szCs w:val="25"/>
        </w:rPr>
        <w:t>reduces</w:t>
      </w:r>
      <w:r>
        <w:rPr>
          <w:sz w:val="25"/>
          <w:szCs w:val="25"/>
        </w:rPr>
        <w:t xml:space="preserve"> the cost of making manual statistical adjustments to the data available fo</w:t>
      </w:r>
      <w:r w:rsidR="00312BF0">
        <w:rPr>
          <w:sz w:val="25"/>
          <w:szCs w:val="25"/>
        </w:rPr>
        <w:t xml:space="preserve">r </w:t>
      </w:r>
    </w:p>
    <w:p w:rsidR="002C573E" w:rsidP="002C573E" w14:paraId="57141F2F" w14:textId="09CB078A">
      <w:pPr>
        <w:rPr>
          <w:sz w:val="25"/>
          <w:szCs w:val="25"/>
        </w:rPr>
      </w:pPr>
      <w:r>
        <w:rPr>
          <w:sz w:val="25"/>
          <w:szCs w:val="25"/>
        </w:rPr>
        <w:t xml:space="preserve">the analysis of small markets, </w:t>
      </w:r>
      <w:r w:rsidR="00E80B75">
        <w:rPr>
          <w:sz w:val="25"/>
          <w:szCs w:val="25"/>
        </w:rPr>
        <w:t>(4) This</w:t>
      </w:r>
      <w:r w:rsidRPr="00C834EA" w:rsidR="00B7111F">
        <w:rPr>
          <w:sz w:val="25"/>
          <w:szCs w:val="25"/>
        </w:rPr>
        <w:t xml:space="preserve"> </w:t>
      </w:r>
      <w:r w:rsidR="003754EA">
        <w:rPr>
          <w:sz w:val="25"/>
          <w:szCs w:val="25"/>
        </w:rPr>
        <w:t>collection</w:t>
      </w:r>
      <w:r w:rsidRPr="00C834EA" w:rsidR="00B7111F">
        <w:rPr>
          <w:sz w:val="25"/>
          <w:szCs w:val="25"/>
        </w:rPr>
        <w:t xml:space="preserve"> provides separate reporting of fees and tax amounts collected by non-air carrier entities from the fare reported, clarifying the fare amount collected by the Issuing Carrier</w:t>
      </w:r>
      <w:r w:rsidR="00E86658">
        <w:rPr>
          <w:sz w:val="25"/>
          <w:szCs w:val="25"/>
        </w:rPr>
        <w:t xml:space="preserve">.  </w:t>
      </w:r>
    </w:p>
    <w:p w:rsidR="00E86658" w:rsidP="002C573E" w14:paraId="21501424" w14:textId="77777777">
      <w:pPr>
        <w:rPr>
          <w:i/>
          <w:sz w:val="25"/>
          <w:szCs w:val="25"/>
        </w:rPr>
      </w:pPr>
    </w:p>
    <w:p w:rsidR="008227D7" w:rsidP="002C573E" w14:paraId="39FD236B" w14:textId="3DE8000E">
      <w:pPr>
        <w:rPr>
          <w:sz w:val="25"/>
          <w:szCs w:val="25"/>
        </w:rPr>
      </w:pPr>
      <w:r>
        <w:rPr>
          <w:sz w:val="25"/>
          <w:szCs w:val="25"/>
        </w:rPr>
        <w:t>Every</w:t>
      </w:r>
      <w:r w:rsidRPr="00B90DA7">
        <w:rPr>
          <w:sz w:val="25"/>
          <w:szCs w:val="25"/>
        </w:rPr>
        <w:t xml:space="preserve"> passenger ticket contains at least one flight coupon</w:t>
      </w:r>
      <w:r>
        <w:rPr>
          <w:sz w:val="25"/>
          <w:szCs w:val="25"/>
        </w:rPr>
        <w:t xml:space="preserve">, known as a flight coupon stage.  </w:t>
      </w:r>
      <w:r>
        <w:rPr>
          <w:sz w:val="25"/>
          <w:szCs w:val="25"/>
        </w:rPr>
        <w:t>If there are multiple stops in an itinerary,</w:t>
      </w:r>
      <w:r w:rsidR="00C817BC">
        <w:rPr>
          <w:sz w:val="25"/>
          <w:szCs w:val="25"/>
        </w:rPr>
        <w:t xml:space="preserve"> a passenger will have multiple flight coupon</w:t>
      </w:r>
      <w:r w:rsidR="00A528BF">
        <w:rPr>
          <w:sz w:val="25"/>
          <w:szCs w:val="25"/>
        </w:rPr>
        <w:t xml:space="preserve"> stages.  E</w:t>
      </w:r>
      <w:r>
        <w:rPr>
          <w:sz w:val="25"/>
          <w:szCs w:val="25"/>
        </w:rPr>
        <w:t xml:space="preserve">ach coupon </w:t>
      </w:r>
      <w:r w:rsidR="00E86658">
        <w:rPr>
          <w:sz w:val="25"/>
          <w:szCs w:val="25"/>
        </w:rPr>
        <w:t xml:space="preserve">has </w:t>
      </w:r>
      <w:r>
        <w:rPr>
          <w:sz w:val="25"/>
          <w:szCs w:val="25"/>
        </w:rPr>
        <w:t xml:space="preserve">a year and month of travel.  </w:t>
      </w:r>
      <w:r>
        <w:rPr>
          <w:sz w:val="25"/>
          <w:szCs w:val="25"/>
        </w:rPr>
        <w:t>In th</w:t>
      </w:r>
      <w:r w:rsidR="00E86658">
        <w:rPr>
          <w:sz w:val="25"/>
          <w:szCs w:val="25"/>
        </w:rPr>
        <w:t xml:space="preserve">is </w:t>
      </w:r>
      <w:r>
        <w:rPr>
          <w:sz w:val="25"/>
          <w:szCs w:val="25"/>
        </w:rPr>
        <w:t xml:space="preserve">collection, the year and month of each coupon </w:t>
      </w:r>
      <w:r w:rsidR="00E86658">
        <w:rPr>
          <w:sz w:val="25"/>
          <w:szCs w:val="25"/>
        </w:rPr>
        <w:t xml:space="preserve">is </w:t>
      </w:r>
      <w:r>
        <w:rPr>
          <w:sz w:val="25"/>
          <w:szCs w:val="25"/>
        </w:rPr>
        <w:t xml:space="preserve">reported.  This </w:t>
      </w:r>
      <w:r w:rsidR="00E86658">
        <w:rPr>
          <w:sz w:val="25"/>
          <w:szCs w:val="25"/>
        </w:rPr>
        <w:t xml:space="preserve">has </w:t>
      </w:r>
      <w:r>
        <w:rPr>
          <w:sz w:val="25"/>
          <w:szCs w:val="25"/>
        </w:rPr>
        <w:t>provide</w:t>
      </w:r>
      <w:r w:rsidR="00E86658">
        <w:rPr>
          <w:sz w:val="25"/>
          <w:szCs w:val="25"/>
        </w:rPr>
        <w:t>d</w:t>
      </w:r>
      <w:r>
        <w:rPr>
          <w:sz w:val="25"/>
          <w:szCs w:val="25"/>
        </w:rPr>
        <w:t xml:space="preserve"> great benefit</w:t>
      </w:r>
      <w:r w:rsidR="00E86658">
        <w:rPr>
          <w:sz w:val="25"/>
          <w:szCs w:val="25"/>
        </w:rPr>
        <w:t>s</w:t>
      </w:r>
      <w:r>
        <w:rPr>
          <w:sz w:val="25"/>
          <w:szCs w:val="25"/>
        </w:rPr>
        <w:t xml:space="preserve"> as it </w:t>
      </w:r>
      <w:r w:rsidR="002C573E">
        <w:rPr>
          <w:sz w:val="25"/>
          <w:szCs w:val="25"/>
        </w:rPr>
        <w:t>reduce</w:t>
      </w:r>
      <w:r w:rsidR="00E86658">
        <w:rPr>
          <w:sz w:val="25"/>
          <w:szCs w:val="25"/>
        </w:rPr>
        <w:t>d</w:t>
      </w:r>
      <w:r w:rsidR="002C573E">
        <w:rPr>
          <w:sz w:val="25"/>
          <w:szCs w:val="25"/>
        </w:rPr>
        <w:t xml:space="preserve"> the cost and complexity of determining market trends</w:t>
      </w:r>
      <w:r w:rsidR="00E86658">
        <w:rPr>
          <w:sz w:val="25"/>
          <w:szCs w:val="25"/>
        </w:rPr>
        <w:t xml:space="preserve"> of travel.  </w:t>
      </w:r>
    </w:p>
    <w:p w:rsidR="008227D7" w:rsidP="002C573E" w14:paraId="3F449571" w14:textId="77777777">
      <w:pPr>
        <w:rPr>
          <w:sz w:val="25"/>
          <w:szCs w:val="25"/>
        </w:rPr>
      </w:pPr>
    </w:p>
    <w:p w:rsidR="00E86658" w:rsidP="00A528BF" w14:paraId="0C2DAEB4" w14:textId="4902FBCB">
      <w:pPr>
        <w:rPr>
          <w:sz w:val="25"/>
          <w:szCs w:val="25"/>
        </w:rPr>
      </w:pPr>
      <w:r>
        <w:rPr>
          <w:sz w:val="25"/>
          <w:szCs w:val="25"/>
        </w:rPr>
        <w:t>The current 19.</w:t>
      </w:r>
      <w:r>
        <w:rPr>
          <w:sz w:val="25"/>
          <w:szCs w:val="25"/>
        </w:rPr>
        <w:t>8</w:t>
      </w:r>
      <w:r>
        <w:rPr>
          <w:sz w:val="25"/>
          <w:szCs w:val="25"/>
        </w:rPr>
        <w:t xml:space="preserve"> collection requires the reporting </w:t>
      </w:r>
      <w:r w:rsidRPr="00582F03">
        <w:rPr>
          <w:sz w:val="25"/>
          <w:szCs w:val="25"/>
        </w:rPr>
        <w:t>carrier to identify both the operating and marketing air carriers</w:t>
      </w:r>
      <w:r>
        <w:rPr>
          <w:sz w:val="25"/>
          <w:szCs w:val="25"/>
        </w:rPr>
        <w:t xml:space="preserve"> on each flight coupon stage because of widespread code-sharing operations</w:t>
      </w:r>
      <w:r w:rsidRPr="00582F03">
        <w:rPr>
          <w:sz w:val="25"/>
          <w:szCs w:val="25"/>
        </w:rPr>
        <w:t xml:space="preserve">.  Code sharing is where one carrier operates a service under the name and marketing code of another air carrier.  Congress </w:t>
      </w:r>
      <w:r>
        <w:rPr>
          <w:sz w:val="25"/>
          <w:szCs w:val="25"/>
        </w:rPr>
        <w:t>continues to urge</w:t>
      </w:r>
      <w:r w:rsidRPr="00582F03">
        <w:rPr>
          <w:sz w:val="25"/>
          <w:szCs w:val="25"/>
        </w:rPr>
        <w:t xml:space="preserve"> the DOT to analyze more thoroughly the effects of international code sharing on air transportation and on U.S. air carriers.  In the United States, regional carrier service</w:t>
      </w:r>
      <w:r>
        <w:rPr>
          <w:sz w:val="25"/>
          <w:szCs w:val="25"/>
        </w:rPr>
        <w:t xml:space="preserve"> has become a significant component to the carriers’ business model.  Service to small communities can also be affected by</w:t>
      </w:r>
      <w:r w:rsidRPr="00582F03">
        <w:rPr>
          <w:sz w:val="25"/>
          <w:szCs w:val="25"/>
        </w:rPr>
        <w:t xml:space="preserve"> code sharing, creating a need for DOT to monitor the impact on the communities from code-share services.</w:t>
      </w:r>
      <w:r>
        <w:rPr>
          <w:sz w:val="25"/>
          <w:szCs w:val="25"/>
        </w:rPr>
        <w:t xml:space="preserve">  </w:t>
      </w:r>
    </w:p>
    <w:p w:rsidR="00E86658" w:rsidRPr="00582F03" w:rsidP="00A528BF" w14:paraId="76597CFE" w14:textId="77777777">
      <w:pPr>
        <w:rPr>
          <w:sz w:val="25"/>
          <w:szCs w:val="25"/>
        </w:rPr>
      </w:pPr>
    </w:p>
    <w:p w:rsidR="002C573E" w:rsidP="002C573E" w14:paraId="279E9099" w14:textId="069B2CCB">
      <w:pPr>
        <w:rPr>
          <w:sz w:val="25"/>
          <w:szCs w:val="25"/>
        </w:rPr>
      </w:pPr>
      <w:r>
        <w:rPr>
          <w:sz w:val="25"/>
          <w:szCs w:val="25"/>
        </w:rPr>
        <w:t xml:space="preserve">The providers of the data, the air carriers, have agreed </w:t>
      </w:r>
      <w:r w:rsidR="00E86658">
        <w:rPr>
          <w:sz w:val="25"/>
          <w:szCs w:val="25"/>
        </w:rPr>
        <w:t xml:space="preserve">to provide the data and stated </w:t>
      </w:r>
      <w:r>
        <w:rPr>
          <w:sz w:val="25"/>
          <w:szCs w:val="25"/>
        </w:rPr>
        <w:t>that it is reasonable and statistically significant to capture and send what the DOT</w:t>
      </w:r>
      <w:r w:rsidR="0043506D">
        <w:rPr>
          <w:sz w:val="25"/>
          <w:szCs w:val="25"/>
        </w:rPr>
        <w:t xml:space="preserve"> requires in order to analyze.  The data provides </w:t>
      </w:r>
      <w:r w:rsidRPr="009F18E8">
        <w:rPr>
          <w:sz w:val="25"/>
          <w:szCs w:val="25"/>
        </w:rPr>
        <w:t>air carriers real and measurable increases in data utility with substantial reductions in the cost of using this data.</w:t>
      </w:r>
      <w:r>
        <w:rPr>
          <w:sz w:val="25"/>
          <w:szCs w:val="25"/>
        </w:rPr>
        <w:t xml:space="preserve">  </w:t>
      </w:r>
      <w:r w:rsidR="0043506D">
        <w:rPr>
          <w:sz w:val="25"/>
          <w:szCs w:val="25"/>
        </w:rPr>
        <w:t>I</w:t>
      </w:r>
      <w:r>
        <w:rPr>
          <w:sz w:val="25"/>
          <w:szCs w:val="25"/>
        </w:rPr>
        <w:t xml:space="preserve">ndustry-related entities such as airports, </w:t>
      </w:r>
      <w:r w:rsidR="007764A8">
        <w:rPr>
          <w:sz w:val="25"/>
          <w:szCs w:val="25"/>
        </w:rPr>
        <w:t xml:space="preserve">Airlines for America (A4A), </w:t>
      </w:r>
      <w:r>
        <w:rPr>
          <w:sz w:val="25"/>
          <w:szCs w:val="25"/>
        </w:rPr>
        <w:t>manufacturers, rese</w:t>
      </w:r>
      <w:r w:rsidR="00AC66E5">
        <w:rPr>
          <w:sz w:val="25"/>
          <w:szCs w:val="25"/>
        </w:rPr>
        <w:t>arche</w:t>
      </w:r>
      <w:r w:rsidR="0043506D">
        <w:rPr>
          <w:sz w:val="25"/>
          <w:szCs w:val="25"/>
        </w:rPr>
        <w:t>r</w:t>
      </w:r>
      <w:r w:rsidR="00AC66E5">
        <w:rPr>
          <w:sz w:val="25"/>
          <w:szCs w:val="25"/>
        </w:rPr>
        <w:t>s and investors cite the O&amp;</w:t>
      </w:r>
      <w:r>
        <w:rPr>
          <w:sz w:val="25"/>
          <w:szCs w:val="25"/>
        </w:rPr>
        <w:t xml:space="preserve">D </w:t>
      </w:r>
      <w:r w:rsidR="00D64690">
        <w:rPr>
          <w:sz w:val="25"/>
          <w:szCs w:val="25"/>
        </w:rPr>
        <w:t>data</w:t>
      </w:r>
      <w:r>
        <w:rPr>
          <w:sz w:val="25"/>
          <w:szCs w:val="25"/>
        </w:rPr>
        <w:t xml:space="preserve"> as one of the most critical datasets used to formulate short and long-term plans and forecast aviation industry trends.  These entities will enjoy the same benefits as the air carriers, which will reduce the cost of providing their goods and services to the marketplace.</w:t>
      </w:r>
    </w:p>
    <w:p w:rsidR="00E10024" w:rsidP="00377F84" w14:paraId="7BB4824A" w14:textId="77777777">
      <w:pPr>
        <w:rPr>
          <w:b/>
          <w:bCs/>
          <w:sz w:val="25"/>
          <w:szCs w:val="25"/>
        </w:rPr>
      </w:pPr>
    </w:p>
    <w:p w:rsidR="00377F84" w:rsidP="00377F84" w14:paraId="5A7B0199" w14:textId="77777777">
      <w:pPr>
        <w:rPr>
          <w:b/>
          <w:bCs/>
          <w:sz w:val="25"/>
          <w:szCs w:val="25"/>
        </w:rPr>
      </w:pPr>
      <w:r w:rsidRPr="00582F03">
        <w:rPr>
          <w:b/>
          <w:bCs/>
          <w:sz w:val="25"/>
          <w:szCs w:val="25"/>
        </w:rPr>
        <w:t>2.  Indicate how, by whom, and for what purpose the information is to be used.  Indicate the actual use the agency has made of the information received from the current collection.</w:t>
      </w:r>
    </w:p>
    <w:p w:rsidR="00377F84" w:rsidP="00377F84" w14:paraId="3BF9241F" w14:textId="77777777">
      <w:pPr>
        <w:rPr>
          <w:b/>
          <w:bCs/>
          <w:sz w:val="25"/>
          <w:szCs w:val="25"/>
        </w:rPr>
      </w:pPr>
    </w:p>
    <w:p w:rsidR="00377F84" w:rsidRPr="00974BBB" w:rsidP="00377F84" w14:paraId="5FEB956C" w14:textId="77777777">
      <w:pPr>
        <w:rPr>
          <w:sz w:val="25"/>
          <w:szCs w:val="25"/>
        </w:rPr>
      </w:pPr>
      <w:r w:rsidRPr="00974BBB">
        <w:rPr>
          <w:sz w:val="25"/>
          <w:szCs w:val="25"/>
        </w:rPr>
        <w:t>The DOT is obligated by statute to collect and disseminate this informatio</w:t>
      </w:r>
      <w:r>
        <w:rPr>
          <w:sz w:val="25"/>
          <w:szCs w:val="25"/>
        </w:rPr>
        <w:t xml:space="preserve">n.  </w:t>
      </w:r>
      <w:r w:rsidRPr="00974BBB">
        <w:rPr>
          <w:sz w:val="25"/>
          <w:szCs w:val="25"/>
        </w:rPr>
        <w:t xml:space="preserve">There are many private and public </w:t>
      </w:r>
      <w:r w:rsidR="00AA67D0">
        <w:rPr>
          <w:sz w:val="25"/>
          <w:szCs w:val="25"/>
        </w:rPr>
        <w:t>stakeholders that depend on these</w:t>
      </w:r>
      <w:r w:rsidRPr="00974BBB">
        <w:rPr>
          <w:sz w:val="25"/>
          <w:szCs w:val="25"/>
        </w:rPr>
        <w:t xml:space="preserve"> data to make decisions on aviation business and policy.</w:t>
      </w:r>
      <w:r>
        <w:rPr>
          <w:sz w:val="25"/>
          <w:szCs w:val="25"/>
        </w:rPr>
        <w:t xml:space="preserve"> </w:t>
      </w:r>
      <w:r w:rsidRPr="00974BBB">
        <w:rPr>
          <w:sz w:val="25"/>
          <w:szCs w:val="25"/>
        </w:rPr>
        <w:t xml:space="preserve"> For example, th</w:t>
      </w:r>
      <w:r w:rsidR="00A62F67">
        <w:rPr>
          <w:sz w:val="25"/>
          <w:szCs w:val="25"/>
        </w:rPr>
        <w:t>ese</w:t>
      </w:r>
      <w:r w:rsidRPr="00974BBB">
        <w:rPr>
          <w:sz w:val="25"/>
          <w:szCs w:val="25"/>
        </w:rPr>
        <w:t xml:space="preserve"> data </w:t>
      </w:r>
      <w:r>
        <w:rPr>
          <w:sz w:val="25"/>
          <w:szCs w:val="25"/>
        </w:rPr>
        <w:t>are</w:t>
      </w:r>
      <w:r w:rsidRPr="00974BBB">
        <w:rPr>
          <w:sz w:val="25"/>
          <w:szCs w:val="25"/>
        </w:rPr>
        <w:t xml:space="preserve"> used by the </w:t>
      </w:r>
      <w:r>
        <w:rPr>
          <w:sz w:val="25"/>
          <w:szCs w:val="25"/>
        </w:rPr>
        <w:t xml:space="preserve">aviation </w:t>
      </w:r>
      <w:r w:rsidRPr="00974BBB">
        <w:rPr>
          <w:sz w:val="25"/>
          <w:szCs w:val="25"/>
        </w:rPr>
        <w:t>industry to plan air services, develop commercial aviation infrastructure, measure the economic impact of passenger flows, and create business plans for start-up airlines.  The O</w:t>
      </w:r>
      <w:r w:rsidR="002D5539">
        <w:rPr>
          <w:sz w:val="25"/>
          <w:szCs w:val="25"/>
        </w:rPr>
        <w:t>&amp;</w:t>
      </w:r>
      <w:r w:rsidRPr="00974BBB">
        <w:rPr>
          <w:sz w:val="25"/>
          <w:szCs w:val="25"/>
        </w:rPr>
        <w:t>D</w:t>
      </w:r>
      <w:r w:rsidR="00D64690">
        <w:rPr>
          <w:sz w:val="25"/>
          <w:szCs w:val="25"/>
        </w:rPr>
        <w:t xml:space="preserve"> </w:t>
      </w:r>
      <w:r w:rsidR="002D5539">
        <w:rPr>
          <w:sz w:val="25"/>
          <w:szCs w:val="25"/>
        </w:rPr>
        <w:t xml:space="preserve">data </w:t>
      </w:r>
      <w:r w:rsidRPr="00974BBB">
        <w:rPr>
          <w:sz w:val="25"/>
          <w:szCs w:val="25"/>
        </w:rPr>
        <w:t xml:space="preserve">is also a primary source of information used to quantify and evaluate the effectiveness of Federal </w:t>
      </w:r>
      <w:r>
        <w:rPr>
          <w:sz w:val="25"/>
          <w:szCs w:val="25"/>
        </w:rPr>
        <w:t>A</w:t>
      </w:r>
      <w:r w:rsidRPr="00974BBB">
        <w:rPr>
          <w:sz w:val="25"/>
          <w:szCs w:val="25"/>
        </w:rPr>
        <w:t>viation</w:t>
      </w:r>
      <w:r>
        <w:rPr>
          <w:sz w:val="25"/>
          <w:szCs w:val="25"/>
        </w:rPr>
        <w:t xml:space="preserve"> </w:t>
      </w:r>
      <w:r w:rsidRPr="00974BBB">
        <w:rPr>
          <w:sz w:val="25"/>
          <w:szCs w:val="25"/>
        </w:rPr>
        <w:t xml:space="preserve">policy and programs as well as develop and implement new policies and infrastructure initiatives.  </w:t>
      </w:r>
    </w:p>
    <w:p w:rsidR="00377F84" w:rsidP="00377F84" w14:paraId="6BD03A1B" w14:textId="77777777">
      <w:pPr>
        <w:rPr>
          <w:sz w:val="25"/>
          <w:szCs w:val="25"/>
        </w:rPr>
      </w:pPr>
    </w:p>
    <w:p w:rsidR="00377F84" w:rsidP="00377F84" w14:paraId="2E5210E6" w14:textId="0263A9F4">
      <w:pPr>
        <w:rPr>
          <w:sz w:val="25"/>
          <w:szCs w:val="25"/>
        </w:rPr>
      </w:pPr>
      <w:r w:rsidRPr="00582F03">
        <w:rPr>
          <w:sz w:val="25"/>
          <w:szCs w:val="25"/>
        </w:rPr>
        <w:t xml:space="preserve">Data from the </w:t>
      </w:r>
      <w:r w:rsidR="00820393">
        <w:rPr>
          <w:sz w:val="25"/>
          <w:szCs w:val="25"/>
        </w:rPr>
        <w:t>O&amp;D data set</w:t>
      </w:r>
      <w:r w:rsidRPr="00582F03">
        <w:rPr>
          <w:sz w:val="25"/>
          <w:szCs w:val="25"/>
        </w:rPr>
        <w:t xml:space="preserve"> are used by the Department to fulfill its aviation mission as described below</w:t>
      </w:r>
      <w:r>
        <w:rPr>
          <w:sz w:val="25"/>
          <w:szCs w:val="25"/>
        </w:rPr>
        <w:t xml:space="preserve">.  </w:t>
      </w:r>
    </w:p>
    <w:p w:rsidR="00377F84" w:rsidRPr="00582F03" w:rsidP="00377F84" w14:paraId="1D5F2165" w14:textId="77777777">
      <w:pPr>
        <w:rPr>
          <w:sz w:val="25"/>
          <w:szCs w:val="25"/>
        </w:rPr>
      </w:pPr>
      <w:r w:rsidRPr="00582F03">
        <w:rPr>
          <w:sz w:val="25"/>
          <w:szCs w:val="25"/>
        </w:rPr>
        <w:t xml:space="preserve"> </w:t>
      </w:r>
    </w:p>
    <w:p w:rsidR="00DE1C7F" w:rsidRPr="00DE1C7F" w:rsidP="00377F84" w14:paraId="6590F15C" w14:textId="77777777">
      <w:pPr>
        <w:pStyle w:val="Heading1"/>
        <w:jc w:val="left"/>
        <w:rPr>
          <w:sz w:val="25"/>
          <w:szCs w:val="25"/>
          <w:u w:val="none"/>
        </w:rPr>
      </w:pPr>
      <w:r>
        <w:rPr>
          <w:sz w:val="25"/>
          <w:szCs w:val="25"/>
          <w:u w:val="none"/>
        </w:rPr>
        <w:t xml:space="preserve">The following departments/agencies/programs benefit greatly from the O&amp;D </w:t>
      </w:r>
      <w:r w:rsidR="00D64690">
        <w:rPr>
          <w:sz w:val="25"/>
          <w:szCs w:val="25"/>
          <w:u w:val="none"/>
        </w:rPr>
        <w:t>data</w:t>
      </w:r>
      <w:r>
        <w:rPr>
          <w:sz w:val="25"/>
          <w:szCs w:val="25"/>
          <w:u w:val="none"/>
        </w:rPr>
        <w:t>:</w:t>
      </w:r>
    </w:p>
    <w:p w:rsidR="00DE1C7F" w:rsidP="00377F84" w14:paraId="0488562E" w14:textId="77777777">
      <w:pPr>
        <w:pStyle w:val="Heading1"/>
        <w:jc w:val="left"/>
        <w:rPr>
          <w:sz w:val="25"/>
          <w:szCs w:val="25"/>
        </w:rPr>
      </w:pPr>
    </w:p>
    <w:p w:rsidR="00377F84" w:rsidRPr="00B24783" w:rsidP="00377F84" w14:paraId="7D5ECA92" w14:textId="77777777">
      <w:pPr>
        <w:pStyle w:val="Heading1"/>
        <w:jc w:val="left"/>
        <w:rPr>
          <w:sz w:val="25"/>
          <w:szCs w:val="25"/>
        </w:rPr>
      </w:pPr>
      <w:r w:rsidRPr="00B24783">
        <w:rPr>
          <w:sz w:val="25"/>
          <w:szCs w:val="25"/>
        </w:rPr>
        <w:t>Department of Transportation</w:t>
      </w:r>
    </w:p>
    <w:p w:rsidR="00377F84" w:rsidRPr="00582F03" w:rsidP="00377F84" w14:paraId="388E3528" w14:textId="77777777">
      <w:pPr>
        <w:rPr>
          <w:sz w:val="25"/>
          <w:szCs w:val="25"/>
        </w:rPr>
      </w:pPr>
    </w:p>
    <w:p w:rsidR="00377F84" w:rsidRPr="00D514AA" w:rsidP="00377F84" w14:paraId="429A0B95" w14:textId="77777777">
      <w:pPr>
        <w:rPr>
          <w:i/>
          <w:sz w:val="25"/>
          <w:szCs w:val="25"/>
        </w:rPr>
      </w:pPr>
      <w:bookmarkStart w:id="0" w:name="OLE_LINK1"/>
      <w:r w:rsidRPr="00D514AA">
        <w:rPr>
          <w:i/>
          <w:sz w:val="25"/>
          <w:szCs w:val="25"/>
        </w:rPr>
        <w:t>International Air Service Program</w:t>
      </w:r>
    </w:p>
    <w:p w:rsidR="00377F84" w:rsidRPr="00582F03" w:rsidP="00377F84" w14:paraId="2ABB3AFB" w14:textId="77777777">
      <w:pPr>
        <w:pStyle w:val="BodyText"/>
        <w:rPr>
          <w:sz w:val="25"/>
          <w:szCs w:val="25"/>
        </w:rPr>
      </w:pPr>
      <w:r>
        <w:rPr>
          <w:sz w:val="25"/>
          <w:szCs w:val="25"/>
        </w:rPr>
        <w:t xml:space="preserve">The needs for </w:t>
      </w:r>
      <w:r w:rsidRPr="00582F03">
        <w:rPr>
          <w:sz w:val="25"/>
          <w:szCs w:val="25"/>
        </w:rPr>
        <w:t>data are most critical in the Department’s administering of its international aviation po</w:t>
      </w:r>
      <w:r w:rsidR="00F20067">
        <w:rPr>
          <w:sz w:val="25"/>
          <w:szCs w:val="25"/>
        </w:rPr>
        <w:t>licy and programs.  Without these</w:t>
      </w:r>
      <w:r w:rsidRPr="00582F03">
        <w:rPr>
          <w:sz w:val="25"/>
          <w:szCs w:val="25"/>
        </w:rPr>
        <w:t xml:space="preserve"> data, the United States’ negotiating position would be severely compromised.  The </w:t>
      </w:r>
      <w:r>
        <w:rPr>
          <w:sz w:val="25"/>
          <w:szCs w:val="25"/>
        </w:rPr>
        <w:t>data</w:t>
      </w:r>
      <w:r w:rsidRPr="00582F03">
        <w:rPr>
          <w:sz w:val="25"/>
          <w:szCs w:val="25"/>
        </w:rPr>
        <w:t xml:space="preserve"> provides characteristics concerning those travelers flying on a U.S. carrier and those traveling on a foreign carrier that interlined with a U.S. carrier.  Bilateral agreements are negotiated between the United States and Foreign countries. These agreements have many features including capacity controls, number of selected air carriers</w:t>
      </w:r>
      <w:r>
        <w:rPr>
          <w:sz w:val="25"/>
          <w:szCs w:val="25"/>
        </w:rPr>
        <w:t xml:space="preserve"> and</w:t>
      </w:r>
      <w:r w:rsidRPr="00582F03">
        <w:rPr>
          <w:sz w:val="25"/>
          <w:szCs w:val="25"/>
        </w:rPr>
        <w:t xml:space="preserve"> identification of gateway cities.  Code-share rights between U.S. and foreign air carriers are in</w:t>
      </w:r>
      <w:r w:rsidR="006E6BBB">
        <w:rPr>
          <w:sz w:val="25"/>
          <w:szCs w:val="25"/>
        </w:rPr>
        <w:t xml:space="preserve">cluded in many agreements.  The </w:t>
      </w:r>
      <w:r>
        <w:rPr>
          <w:sz w:val="25"/>
          <w:szCs w:val="25"/>
        </w:rPr>
        <w:t xml:space="preserve">data </w:t>
      </w:r>
      <w:r w:rsidR="006E6BBB">
        <w:rPr>
          <w:sz w:val="25"/>
          <w:szCs w:val="25"/>
        </w:rPr>
        <w:t>are</w:t>
      </w:r>
      <w:r w:rsidRPr="00582F03">
        <w:rPr>
          <w:sz w:val="25"/>
          <w:szCs w:val="25"/>
        </w:rPr>
        <w:t xml:space="preserve"> used as a spur for new service by showing that there are sufficient numbers of passengers moving between the U</w:t>
      </w:r>
      <w:r>
        <w:rPr>
          <w:sz w:val="25"/>
          <w:szCs w:val="25"/>
        </w:rPr>
        <w:t>S</w:t>
      </w:r>
      <w:r w:rsidRPr="00582F03">
        <w:rPr>
          <w:sz w:val="25"/>
          <w:szCs w:val="25"/>
        </w:rPr>
        <w:t xml:space="preserve"> and a particular country to warrant direct or additional service.  The </w:t>
      </w:r>
      <w:r>
        <w:rPr>
          <w:sz w:val="25"/>
          <w:szCs w:val="25"/>
        </w:rPr>
        <w:t>data</w:t>
      </w:r>
      <w:r w:rsidRPr="00582F03">
        <w:rPr>
          <w:sz w:val="25"/>
          <w:szCs w:val="25"/>
        </w:rPr>
        <w:t xml:space="preserve"> supports new gateway destinations by showing that feed traffic from domestic interior points to existing gateways may flow better over a different gateway or a new gateway point.  The </w:t>
      </w:r>
      <w:r>
        <w:rPr>
          <w:sz w:val="25"/>
          <w:szCs w:val="25"/>
        </w:rPr>
        <w:t>data</w:t>
      </w:r>
      <w:r w:rsidRPr="00582F03">
        <w:rPr>
          <w:sz w:val="25"/>
          <w:szCs w:val="25"/>
        </w:rPr>
        <w:t xml:space="preserve"> </w:t>
      </w:r>
      <w:r w:rsidR="006E6BBB">
        <w:rPr>
          <w:sz w:val="25"/>
          <w:szCs w:val="25"/>
        </w:rPr>
        <w:t>are</w:t>
      </w:r>
      <w:r w:rsidRPr="00582F03">
        <w:rPr>
          <w:sz w:val="25"/>
          <w:szCs w:val="25"/>
        </w:rPr>
        <w:t xml:space="preserve"> an important data source for evaluating pricing articles in bilateral agreements by providing insight into volume of revenue traffic moving on specific fares and the yield for the communities of interest.  The </w:t>
      </w:r>
      <w:r>
        <w:rPr>
          <w:sz w:val="25"/>
          <w:szCs w:val="25"/>
        </w:rPr>
        <w:t>data</w:t>
      </w:r>
      <w:r w:rsidRPr="00582F03">
        <w:rPr>
          <w:sz w:val="25"/>
          <w:szCs w:val="25"/>
        </w:rPr>
        <w:t xml:space="preserve"> can be used to justify an increase in service in international markets that have capacity control restrictions by showing that passengers are forced to take circuitous routings between the points in question.  </w:t>
      </w:r>
    </w:p>
    <w:p w:rsidR="00377F84" w:rsidP="00377F84" w14:paraId="6BD27F94" w14:textId="77777777">
      <w:pPr>
        <w:pStyle w:val="BodyText"/>
        <w:rPr>
          <w:sz w:val="25"/>
          <w:szCs w:val="25"/>
        </w:rPr>
      </w:pPr>
    </w:p>
    <w:p w:rsidR="00377F84" w:rsidRPr="00D514AA" w:rsidP="00377F84" w14:paraId="05754D27" w14:textId="6DCFBBB0">
      <w:pPr>
        <w:pStyle w:val="BodyText"/>
        <w:rPr>
          <w:i/>
          <w:sz w:val="25"/>
          <w:szCs w:val="25"/>
        </w:rPr>
      </w:pPr>
      <w:r w:rsidRPr="00D514AA">
        <w:rPr>
          <w:i/>
          <w:sz w:val="25"/>
          <w:szCs w:val="25"/>
        </w:rPr>
        <w:t>Carrier and Airport Selection</w:t>
      </w:r>
    </w:p>
    <w:p w:rsidR="00377F84" w:rsidRPr="00582F03" w:rsidP="00377F84" w14:paraId="001D725E" w14:textId="77777777">
      <w:pPr>
        <w:pStyle w:val="BodyText"/>
        <w:rPr>
          <w:sz w:val="25"/>
          <w:szCs w:val="25"/>
        </w:rPr>
      </w:pPr>
      <w:r w:rsidRPr="00582F03">
        <w:rPr>
          <w:sz w:val="25"/>
          <w:szCs w:val="25"/>
        </w:rPr>
        <w:t>After a</w:t>
      </w:r>
      <w:r w:rsidR="00E85EE4">
        <w:rPr>
          <w:sz w:val="25"/>
          <w:szCs w:val="25"/>
        </w:rPr>
        <w:t xml:space="preserve"> </w:t>
      </w:r>
      <w:r w:rsidRPr="00582F03">
        <w:rPr>
          <w:sz w:val="25"/>
          <w:szCs w:val="25"/>
        </w:rPr>
        <w:t xml:space="preserve">bilateral agreement is signed, the Department selects carrier and airport for all newly authorized services.  The </w:t>
      </w:r>
      <w:r w:rsidR="00D64690">
        <w:rPr>
          <w:sz w:val="25"/>
          <w:szCs w:val="25"/>
        </w:rPr>
        <w:t>data</w:t>
      </w:r>
      <w:r w:rsidR="00E85EE4">
        <w:rPr>
          <w:sz w:val="25"/>
          <w:szCs w:val="25"/>
        </w:rPr>
        <w:t xml:space="preserve"> are</w:t>
      </w:r>
      <w:r w:rsidRPr="00582F03">
        <w:rPr>
          <w:sz w:val="25"/>
          <w:szCs w:val="25"/>
        </w:rPr>
        <w:t xml:space="preserve"> the primary tool for traffic forecasting and carrier or airport selections, because it displays the true origin and destination of passengers between the United States and the pertinent foreign country.  This information is critical in assessing the potential for a carrier</w:t>
      </w:r>
      <w:r w:rsidR="007D2515">
        <w:rPr>
          <w:sz w:val="25"/>
          <w:szCs w:val="25"/>
        </w:rPr>
        <w:t xml:space="preserve"> to initiate service</w:t>
      </w:r>
      <w:r w:rsidRPr="00582F03">
        <w:rPr>
          <w:sz w:val="25"/>
          <w:szCs w:val="25"/>
        </w:rPr>
        <w:t xml:space="preserve"> at a gateway point where domestic feed traffic is needed to make the international route a success.   In reviewing an operating plan, the Department examines the carrier’s revenue generation estimates by analyzing historic fare levels and projecting traffic patterns.  </w:t>
      </w:r>
      <w:r w:rsidR="00D64690">
        <w:rPr>
          <w:sz w:val="25"/>
          <w:szCs w:val="25"/>
        </w:rPr>
        <w:t>O&amp;D</w:t>
      </w:r>
      <w:r w:rsidRPr="00582F03">
        <w:rPr>
          <w:sz w:val="25"/>
          <w:szCs w:val="25"/>
        </w:rPr>
        <w:t xml:space="preserve"> data are universally accepted as reliable; and are used as evidence in court and administrative proceedings with minimum of legal debate.  The Department’s regulations (14 CFR 302.24(g)(iv) </w:t>
      </w:r>
      <w:r w:rsidRPr="00582F03">
        <w:rPr>
          <w:sz w:val="25"/>
          <w:szCs w:val="25"/>
        </w:rPr>
        <w:t>identifies</w:t>
      </w:r>
      <w:r w:rsidRPr="00582F03">
        <w:rPr>
          <w:sz w:val="25"/>
          <w:szCs w:val="25"/>
        </w:rPr>
        <w:t xml:space="preserve"> </w:t>
      </w:r>
      <w:r w:rsidR="00E85EE4">
        <w:rPr>
          <w:sz w:val="25"/>
          <w:szCs w:val="25"/>
        </w:rPr>
        <w:t>the d</w:t>
      </w:r>
      <w:r w:rsidRPr="00582F03">
        <w:rPr>
          <w:sz w:val="25"/>
          <w:szCs w:val="25"/>
        </w:rPr>
        <w:t>ata as “officially noticed” data in proceedings before the Department.</w:t>
      </w:r>
    </w:p>
    <w:p w:rsidR="00377F84" w:rsidRPr="00582F03" w:rsidP="00377F84" w14:paraId="04B91F2C" w14:textId="77777777">
      <w:pPr>
        <w:pStyle w:val="BodyText"/>
        <w:rPr>
          <w:sz w:val="25"/>
          <w:szCs w:val="25"/>
        </w:rPr>
      </w:pPr>
    </w:p>
    <w:p w:rsidR="00377F84" w:rsidRPr="00D514AA" w:rsidP="00377F84" w14:paraId="4CED961B" w14:textId="77777777">
      <w:pPr>
        <w:pStyle w:val="BodyText"/>
        <w:rPr>
          <w:i/>
          <w:sz w:val="25"/>
          <w:szCs w:val="25"/>
        </w:rPr>
      </w:pPr>
      <w:r w:rsidRPr="00D514AA">
        <w:rPr>
          <w:i/>
          <w:sz w:val="25"/>
          <w:szCs w:val="25"/>
        </w:rPr>
        <w:t>Airport Programs</w:t>
      </w:r>
    </w:p>
    <w:p w:rsidR="00377F84" w:rsidP="00377F84" w14:paraId="51A457B8" w14:textId="77777777">
      <w:pPr>
        <w:pStyle w:val="BodyText"/>
        <w:rPr>
          <w:sz w:val="25"/>
          <w:szCs w:val="25"/>
        </w:rPr>
      </w:pPr>
      <w:r w:rsidRPr="00582F03">
        <w:rPr>
          <w:sz w:val="25"/>
          <w:szCs w:val="25"/>
        </w:rPr>
        <w:t xml:space="preserve">The airport planning program has a continuous need for </w:t>
      </w:r>
      <w:r w:rsidR="00D64690">
        <w:rPr>
          <w:sz w:val="25"/>
          <w:szCs w:val="25"/>
        </w:rPr>
        <w:t>O&amp;D</w:t>
      </w:r>
      <w:r w:rsidRPr="00582F03">
        <w:rPr>
          <w:sz w:val="25"/>
          <w:szCs w:val="25"/>
        </w:rPr>
        <w:t xml:space="preserve"> data to determine the impact of true origin-destination traffic flows on airports and to identify trends for growth and development </w:t>
      </w:r>
      <w:r w:rsidR="00D64690">
        <w:rPr>
          <w:sz w:val="25"/>
          <w:szCs w:val="25"/>
        </w:rPr>
        <w:t>in specific markets.  The data are</w:t>
      </w:r>
      <w:r w:rsidRPr="00582F03">
        <w:rPr>
          <w:sz w:val="25"/>
          <w:szCs w:val="25"/>
        </w:rPr>
        <w:t xml:space="preserve"> used for airport planning analysis by enabling the Department to keep current with market developments, such as the impact on </w:t>
      </w:r>
      <w:r w:rsidR="007D2515">
        <w:rPr>
          <w:sz w:val="25"/>
          <w:szCs w:val="25"/>
        </w:rPr>
        <w:t>airports that are “hub and spokes” for air carriers a</w:t>
      </w:r>
      <w:r w:rsidRPr="00582F03">
        <w:rPr>
          <w:sz w:val="25"/>
          <w:szCs w:val="25"/>
        </w:rPr>
        <w:t xml:space="preserve">nd the impact of new or de-emphasized hubs and </w:t>
      </w:r>
      <w:r w:rsidRPr="00582F03">
        <w:rPr>
          <w:sz w:val="25"/>
          <w:szCs w:val="25"/>
        </w:rPr>
        <w:t xml:space="preserve">related operational realignments.  Some hub airports might not be able </w:t>
      </w:r>
      <w:r>
        <w:rPr>
          <w:sz w:val="25"/>
          <w:szCs w:val="25"/>
        </w:rPr>
        <w:t xml:space="preserve">to </w:t>
      </w:r>
      <w:r w:rsidRPr="00582F03">
        <w:rPr>
          <w:sz w:val="25"/>
          <w:szCs w:val="25"/>
        </w:rPr>
        <w:t xml:space="preserve">sustain service if they relied only on passengers originating at those facilities – as opposed to the much larger number of passengers flowing through such airports.  The </w:t>
      </w:r>
      <w:r w:rsidR="00D64690">
        <w:rPr>
          <w:sz w:val="25"/>
          <w:szCs w:val="25"/>
        </w:rPr>
        <w:t>data are</w:t>
      </w:r>
      <w:r w:rsidRPr="00582F03">
        <w:rPr>
          <w:sz w:val="25"/>
          <w:szCs w:val="25"/>
        </w:rPr>
        <w:t xml:space="preserve"> needed to ascertain where these flow passengers originated, where they are going, and the amount of revenue generated.  Reliable historic flow data are needed to accurately forecast passenger flows between city pairs for each hub airport.  </w:t>
      </w:r>
    </w:p>
    <w:p w:rsidR="00377F84" w:rsidRPr="00582F03" w:rsidP="00377F84" w14:paraId="28C61399" w14:textId="77777777">
      <w:pPr>
        <w:pStyle w:val="BodyText"/>
        <w:rPr>
          <w:sz w:val="25"/>
          <w:szCs w:val="25"/>
        </w:rPr>
      </w:pPr>
    </w:p>
    <w:p w:rsidR="00377F84" w:rsidRPr="00D514AA" w:rsidP="00377F84" w14:paraId="51EAA1AF" w14:textId="77777777">
      <w:pPr>
        <w:pStyle w:val="BodyText"/>
        <w:rPr>
          <w:i/>
          <w:sz w:val="25"/>
          <w:szCs w:val="25"/>
        </w:rPr>
      </w:pPr>
      <w:r w:rsidRPr="00D514AA">
        <w:rPr>
          <w:i/>
          <w:sz w:val="25"/>
          <w:szCs w:val="25"/>
        </w:rPr>
        <w:t>Aviation Policy and Plans Program</w:t>
      </w:r>
    </w:p>
    <w:p w:rsidR="00377F84" w:rsidRPr="00582F03" w:rsidP="00377F84" w14:paraId="31498CE5" w14:textId="77777777">
      <w:pPr>
        <w:pStyle w:val="BodyText"/>
        <w:rPr>
          <w:sz w:val="25"/>
          <w:szCs w:val="25"/>
        </w:rPr>
      </w:pPr>
      <w:r>
        <w:rPr>
          <w:sz w:val="25"/>
          <w:szCs w:val="25"/>
        </w:rPr>
        <w:t>The O&amp;D d</w:t>
      </w:r>
      <w:r w:rsidRPr="00582F03">
        <w:rPr>
          <w:sz w:val="25"/>
          <w:szCs w:val="25"/>
        </w:rPr>
        <w:t xml:space="preserve">ata are a source for analyzing passenger demand in modeling studies that support development of the National Air Space System Plan.  The </w:t>
      </w:r>
      <w:r w:rsidR="00820393">
        <w:rPr>
          <w:sz w:val="25"/>
          <w:szCs w:val="25"/>
        </w:rPr>
        <w:t>data are</w:t>
      </w:r>
      <w:r w:rsidRPr="00582F03">
        <w:rPr>
          <w:sz w:val="25"/>
          <w:szCs w:val="25"/>
        </w:rPr>
        <w:t xml:space="preserve"> a basic data source for resp</w:t>
      </w:r>
      <w:r>
        <w:rPr>
          <w:sz w:val="25"/>
          <w:szCs w:val="25"/>
        </w:rPr>
        <w:t>onding</w:t>
      </w:r>
      <w:r w:rsidRPr="00582F03">
        <w:rPr>
          <w:sz w:val="25"/>
          <w:szCs w:val="25"/>
        </w:rPr>
        <w:t xml:space="preserve"> to Congressional Inquiries and can be used </w:t>
      </w:r>
      <w:r>
        <w:rPr>
          <w:sz w:val="25"/>
          <w:szCs w:val="25"/>
        </w:rPr>
        <w:t>for assessing policy proposals designed</w:t>
      </w:r>
      <w:r w:rsidRPr="00582F03">
        <w:rPr>
          <w:sz w:val="25"/>
          <w:szCs w:val="25"/>
        </w:rPr>
        <w:t xml:space="preserve"> to promote competition and the health of the </w:t>
      </w:r>
      <w:r w:rsidRPr="00582F03">
        <w:rPr>
          <w:sz w:val="25"/>
          <w:szCs w:val="25"/>
        </w:rPr>
        <w:t>industry, or</w:t>
      </w:r>
      <w:r w:rsidRPr="00582F03">
        <w:rPr>
          <w:sz w:val="25"/>
          <w:szCs w:val="25"/>
        </w:rPr>
        <w:t xml:space="preserve"> enhance the strength and responsiveness of the air transportation system.  Additionally, the </w:t>
      </w:r>
      <w:r w:rsidR="00A10B6A">
        <w:rPr>
          <w:sz w:val="25"/>
          <w:szCs w:val="25"/>
        </w:rPr>
        <w:t>data have</w:t>
      </w:r>
      <w:r w:rsidRPr="00582F03">
        <w:rPr>
          <w:sz w:val="25"/>
          <w:szCs w:val="25"/>
        </w:rPr>
        <w:t xml:space="preserve"> been used in energy efficiency studies.</w:t>
      </w:r>
    </w:p>
    <w:p w:rsidR="00377F84" w:rsidP="00377F84" w14:paraId="6DAEEA41" w14:textId="77777777">
      <w:pPr>
        <w:rPr>
          <w:sz w:val="25"/>
          <w:szCs w:val="25"/>
        </w:rPr>
      </w:pPr>
    </w:p>
    <w:p w:rsidR="001104ED" w:rsidRPr="00582F03" w:rsidP="001104ED" w14:paraId="6A5DC13D" w14:textId="77777777">
      <w:pPr>
        <w:pStyle w:val="Heading1"/>
        <w:jc w:val="left"/>
        <w:rPr>
          <w:sz w:val="25"/>
          <w:szCs w:val="25"/>
        </w:rPr>
      </w:pPr>
      <w:r>
        <w:rPr>
          <w:sz w:val="25"/>
          <w:szCs w:val="25"/>
        </w:rPr>
        <w:t>Department of Federal Aviation Administration</w:t>
      </w:r>
    </w:p>
    <w:p w:rsidR="001104ED" w:rsidRPr="001C2C6E" w:rsidP="001104ED" w14:paraId="29CB244B" w14:textId="77777777">
      <w:pPr>
        <w:rPr>
          <w:sz w:val="25"/>
          <w:szCs w:val="25"/>
        </w:rPr>
      </w:pPr>
      <w:r w:rsidRPr="00582F03">
        <w:rPr>
          <w:sz w:val="25"/>
          <w:szCs w:val="25"/>
        </w:rPr>
        <w:t xml:space="preserve">The </w:t>
      </w:r>
      <w:r>
        <w:rPr>
          <w:sz w:val="25"/>
          <w:szCs w:val="25"/>
        </w:rPr>
        <w:t xml:space="preserve">Federal Aviation Administration uses the data to </w:t>
      </w:r>
      <w:r w:rsidRPr="001C2C6E">
        <w:rPr>
          <w:sz w:val="25"/>
          <w:szCs w:val="25"/>
        </w:rPr>
        <w:t>qualify</w:t>
      </w:r>
      <w:r>
        <w:rPr>
          <w:sz w:val="25"/>
          <w:szCs w:val="25"/>
        </w:rPr>
        <w:t xml:space="preserve">, </w:t>
      </w:r>
      <w:r w:rsidRPr="001C2C6E">
        <w:rPr>
          <w:sz w:val="25"/>
          <w:szCs w:val="25"/>
        </w:rPr>
        <w:t>plan</w:t>
      </w:r>
      <w:r>
        <w:rPr>
          <w:sz w:val="25"/>
          <w:szCs w:val="25"/>
        </w:rPr>
        <w:t xml:space="preserve">, </w:t>
      </w:r>
      <w:r w:rsidRPr="001C2C6E">
        <w:rPr>
          <w:sz w:val="25"/>
          <w:szCs w:val="25"/>
        </w:rPr>
        <w:t>allocat</w:t>
      </w:r>
      <w:r>
        <w:rPr>
          <w:sz w:val="25"/>
          <w:szCs w:val="25"/>
        </w:rPr>
        <w:t>e and</w:t>
      </w:r>
      <w:r w:rsidRPr="001C2C6E">
        <w:rPr>
          <w:sz w:val="25"/>
          <w:szCs w:val="25"/>
        </w:rPr>
        <w:t xml:space="preserve"> monitor</w:t>
      </w:r>
      <w:r>
        <w:rPr>
          <w:sz w:val="25"/>
          <w:szCs w:val="25"/>
        </w:rPr>
        <w:t xml:space="preserve"> the</w:t>
      </w:r>
      <w:r w:rsidRPr="001C2C6E">
        <w:rPr>
          <w:sz w:val="25"/>
          <w:szCs w:val="25"/>
        </w:rPr>
        <w:t xml:space="preserve"> Airport Improvement Program</w:t>
      </w:r>
      <w:r>
        <w:rPr>
          <w:sz w:val="25"/>
          <w:szCs w:val="25"/>
        </w:rPr>
        <w:t>’s</w:t>
      </w:r>
      <w:r w:rsidRPr="001C2C6E">
        <w:rPr>
          <w:sz w:val="25"/>
          <w:szCs w:val="25"/>
        </w:rPr>
        <w:t xml:space="preserve"> (AIP) funds</w:t>
      </w:r>
      <w:r>
        <w:rPr>
          <w:sz w:val="25"/>
          <w:szCs w:val="25"/>
        </w:rPr>
        <w:t>.  Data are also used to</w:t>
      </w:r>
      <w:r w:rsidRPr="001C2C6E">
        <w:rPr>
          <w:sz w:val="25"/>
          <w:szCs w:val="25"/>
        </w:rPr>
        <w:t xml:space="preserve"> justify the need for Passenger Facility Charges (PFC’s).</w:t>
      </w:r>
    </w:p>
    <w:p w:rsidR="001104ED" w:rsidP="001104ED" w14:paraId="713C10A2" w14:textId="77777777">
      <w:pPr>
        <w:rPr>
          <w:sz w:val="25"/>
          <w:szCs w:val="25"/>
        </w:rPr>
      </w:pPr>
    </w:p>
    <w:p w:rsidR="001104ED" w:rsidRPr="00582F03" w:rsidP="001104ED" w14:paraId="28570A51" w14:textId="77777777">
      <w:pPr>
        <w:pStyle w:val="Heading1"/>
        <w:jc w:val="left"/>
        <w:rPr>
          <w:sz w:val="25"/>
          <w:szCs w:val="25"/>
        </w:rPr>
      </w:pPr>
      <w:r>
        <w:rPr>
          <w:sz w:val="25"/>
          <w:szCs w:val="25"/>
        </w:rPr>
        <w:t>Department of Justice</w:t>
      </w:r>
    </w:p>
    <w:p w:rsidR="00F75519" w:rsidP="00820A09" w14:paraId="504C836B" w14:textId="0C344A80">
      <w:pPr>
        <w:rPr>
          <w:sz w:val="25"/>
          <w:szCs w:val="25"/>
        </w:rPr>
      </w:pPr>
      <w:r w:rsidRPr="00582F03">
        <w:rPr>
          <w:sz w:val="25"/>
          <w:szCs w:val="25"/>
        </w:rPr>
        <w:t xml:space="preserve">The </w:t>
      </w:r>
      <w:r>
        <w:rPr>
          <w:sz w:val="25"/>
          <w:szCs w:val="25"/>
        </w:rPr>
        <w:t xml:space="preserve">Department of Justice uses the O&amp;D data to </w:t>
      </w:r>
      <w:r w:rsidRPr="001C2C6E">
        <w:rPr>
          <w:sz w:val="25"/>
          <w:szCs w:val="25"/>
        </w:rPr>
        <w:t>assist in the prevention of anti-competitive conduct that is subject to criminal and civil action under the</w:t>
      </w:r>
      <w:r>
        <w:rPr>
          <w:sz w:val="25"/>
          <w:szCs w:val="25"/>
        </w:rPr>
        <w:t xml:space="preserve"> Sherman and Clayton Acts.  </w:t>
      </w:r>
    </w:p>
    <w:p w:rsidR="00820A09" w:rsidP="00820A09" w14:paraId="4D1ACB05" w14:textId="77777777">
      <w:pPr>
        <w:rPr>
          <w:sz w:val="25"/>
          <w:szCs w:val="25"/>
        </w:rPr>
      </w:pPr>
    </w:p>
    <w:p w:rsidR="00377F84" w:rsidRPr="00582F03" w:rsidP="00377F84" w14:paraId="1006C64C" w14:textId="6B41A464">
      <w:pPr>
        <w:pStyle w:val="Heading1"/>
        <w:jc w:val="left"/>
        <w:rPr>
          <w:sz w:val="25"/>
          <w:szCs w:val="25"/>
        </w:rPr>
      </w:pPr>
      <w:r>
        <w:rPr>
          <w:sz w:val="25"/>
          <w:szCs w:val="25"/>
        </w:rPr>
        <w:t>Department of Homeland Security</w:t>
      </w:r>
    </w:p>
    <w:p w:rsidR="00377F84" w:rsidRPr="00582F03" w:rsidP="00377F84" w14:paraId="6EF20E99" w14:textId="77777777">
      <w:pPr>
        <w:rPr>
          <w:sz w:val="25"/>
          <w:szCs w:val="25"/>
        </w:rPr>
      </w:pPr>
      <w:r w:rsidRPr="00582F03">
        <w:rPr>
          <w:sz w:val="25"/>
          <w:szCs w:val="25"/>
        </w:rPr>
        <w:t xml:space="preserve">The Transportation Security Administration uses </w:t>
      </w:r>
      <w:r w:rsidR="00A10B6A">
        <w:rPr>
          <w:sz w:val="25"/>
          <w:szCs w:val="25"/>
        </w:rPr>
        <w:t>the data</w:t>
      </w:r>
      <w:r w:rsidRPr="00582F03">
        <w:rPr>
          <w:sz w:val="25"/>
          <w:szCs w:val="25"/>
        </w:rPr>
        <w:t xml:space="preserve"> to assess the level of security personnel and equipment needed at the various airports.  While the department’s passenger enplanement data from Schedule T-100 has the number of passengers that departed from an airport</w:t>
      </w:r>
      <w:r w:rsidR="00A10B6A">
        <w:rPr>
          <w:sz w:val="25"/>
          <w:szCs w:val="25"/>
        </w:rPr>
        <w:t>,</w:t>
      </w:r>
      <w:r w:rsidRPr="00582F03">
        <w:rPr>
          <w:sz w:val="25"/>
          <w:szCs w:val="25"/>
        </w:rPr>
        <w:t xml:space="preserve"> it does not give you the number of passengers originating their journey at that airport.  Originating passengers must pass through security screening while the vast majority of connecting passengers have already passed through the screening area at their origin airport.</w:t>
      </w:r>
    </w:p>
    <w:p w:rsidR="00E83F39" w:rsidP="00377F84" w14:paraId="5726FE3D" w14:textId="77777777">
      <w:pPr>
        <w:pStyle w:val="Heading1"/>
        <w:jc w:val="left"/>
        <w:rPr>
          <w:sz w:val="25"/>
          <w:szCs w:val="25"/>
        </w:rPr>
      </w:pPr>
    </w:p>
    <w:p w:rsidR="00377F84" w:rsidRPr="00582F03" w:rsidP="00377F84" w14:paraId="0DF45157" w14:textId="77777777">
      <w:pPr>
        <w:pStyle w:val="Heading1"/>
        <w:jc w:val="left"/>
        <w:rPr>
          <w:sz w:val="25"/>
          <w:szCs w:val="25"/>
        </w:rPr>
      </w:pPr>
      <w:r>
        <w:rPr>
          <w:sz w:val="25"/>
          <w:szCs w:val="25"/>
        </w:rPr>
        <w:t>Department of Labor’s Bureau of Labor Statistics</w:t>
      </w:r>
    </w:p>
    <w:p w:rsidR="00377F84" w:rsidRPr="00582F03" w:rsidP="00377F84" w14:paraId="70E12EA6" w14:textId="77777777">
      <w:pPr>
        <w:rPr>
          <w:sz w:val="25"/>
          <w:szCs w:val="25"/>
        </w:rPr>
      </w:pPr>
      <w:r>
        <w:rPr>
          <w:sz w:val="25"/>
          <w:szCs w:val="25"/>
        </w:rPr>
        <w:t>O&amp;D data</w:t>
      </w:r>
      <w:r w:rsidRPr="00582F03">
        <w:rPr>
          <w:sz w:val="25"/>
          <w:szCs w:val="25"/>
        </w:rPr>
        <w:t xml:space="preserve"> are used in the Consumer Price Index (CPI) calculations.  </w:t>
      </w:r>
      <w:r>
        <w:rPr>
          <w:sz w:val="25"/>
          <w:szCs w:val="25"/>
        </w:rPr>
        <w:t xml:space="preserve">Data </w:t>
      </w:r>
      <w:r w:rsidRPr="00582F03">
        <w:rPr>
          <w:sz w:val="25"/>
          <w:szCs w:val="25"/>
        </w:rPr>
        <w:t>are used to establish the sample trips that are priced for airline fare components of the CPI.</w:t>
      </w:r>
    </w:p>
    <w:p w:rsidR="00377F84" w:rsidRPr="00582F03" w:rsidP="00377F84" w14:paraId="09C7916A" w14:textId="77777777">
      <w:pPr>
        <w:rPr>
          <w:sz w:val="25"/>
          <w:szCs w:val="25"/>
        </w:rPr>
      </w:pPr>
    </w:p>
    <w:p w:rsidR="00377F84" w:rsidRPr="00582F03" w:rsidP="00377F84" w14:paraId="482253C4" w14:textId="77777777">
      <w:pPr>
        <w:pStyle w:val="BodyText2"/>
        <w:jc w:val="left"/>
        <w:rPr>
          <w:sz w:val="25"/>
          <w:szCs w:val="25"/>
        </w:rPr>
      </w:pPr>
      <w:r>
        <w:rPr>
          <w:sz w:val="25"/>
          <w:szCs w:val="25"/>
        </w:rPr>
        <w:t>Department of Commerce’s Bureau of Economic Analysis and Census</w:t>
      </w:r>
    </w:p>
    <w:p w:rsidR="00377F84" w:rsidP="00377F84" w14:paraId="67F4723F" w14:textId="77777777">
      <w:pPr>
        <w:rPr>
          <w:sz w:val="25"/>
          <w:szCs w:val="25"/>
        </w:rPr>
      </w:pPr>
      <w:r>
        <w:rPr>
          <w:sz w:val="25"/>
          <w:szCs w:val="25"/>
        </w:rPr>
        <w:t xml:space="preserve">O&amp;D data </w:t>
      </w:r>
      <w:r w:rsidRPr="00582F03">
        <w:rPr>
          <w:sz w:val="25"/>
          <w:szCs w:val="25"/>
        </w:rPr>
        <w:t>are used in estimating the Gross National Product, providing analyses of International Trade Accounts and compiling the Input-Output Tables of the United States.</w:t>
      </w:r>
    </w:p>
    <w:p w:rsidR="00A10B6A" w:rsidRPr="00582F03" w:rsidP="00377F84" w14:paraId="27CFD83E" w14:textId="77777777">
      <w:pPr>
        <w:rPr>
          <w:sz w:val="25"/>
          <w:szCs w:val="25"/>
        </w:rPr>
      </w:pPr>
    </w:p>
    <w:p w:rsidR="00377F84" w:rsidRPr="00582F03" w:rsidP="00377F84" w14:paraId="6BA797F0" w14:textId="77777777">
      <w:pPr>
        <w:pStyle w:val="BodyText2"/>
        <w:jc w:val="left"/>
        <w:rPr>
          <w:sz w:val="25"/>
          <w:szCs w:val="25"/>
        </w:rPr>
      </w:pPr>
      <w:r>
        <w:rPr>
          <w:sz w:val="25"/>
          <w:szCs w:val="25"/>
        </w:rPr>
        <w:t>International Trade Administration’s Office of Service Industries</w:t>
      </w:r>
    </w:p>
    <w:p w:rsidR="00377F84" w:rsidRPr="00582F03" w:rsidP="00377F84" w14:paraId="177CD517" w14:textId="77777777">
      <w:pPr>
        <w:pStyle w:val="BodyText"/>
        <w:rPr>
          <w:sz w:val="25"/>
          <w:szCs w:val="25"/>
        </w:rPr>
      </w:pPr>
      <w:r>
        <w:rPr>
          <w:sz w:val="25"/>
          <w:szCs w:val="25"/>
        </w:rPr>
        <w:t xml:space="preserve">O&amp;D data </w:t>
      </w:r>
      <w:r w:rsidRPr="00582F03">
        <w:rPr>
          <w:sz w:val="25"/>
          <w:szCs w:val="25"/>
        </w:rPr>
        <w:t>are used to help improve access to foreign markets for U.S. industries.</w:t>
      </w:r>
    </w:p>
    <w:p w:rsidR="00377F84" w:rsidRPr="00582F03" w:rsidP="00377F84" w14:paraId="2B07936C" w14:textId="77777777">
      <w:pPr>
        <w:rPr>
          <w:sz w:val="25"/>
          <w:szCs w:val="25"/>
        </w:rPr>
      </w:pPr>
    </w:p>
    <w:p w:rsidR="00377F84" w:rsidRPr="00582F03" w:rsidP="00377F84" w14:paraId="5CAF5553" w14:textId="77777777">
      <w:pPr>
        <w:pStyle w:val="Heading1"/>
        <w:jc w:val="left"/>
        <w:rPr>
          <w:sz w:val="25"/>
          <w:szCs w:val="25"/>
        </w:rPr>
      </w:pPr>
      <w:r>
        <w:rPr>
          <w:sz w:val="25"/>
          <w:szCs w:val="25"/>
        </w:rPr>
        <w:t>Government Accountability Office</w:t>
      </w:r>
    </w:p>
    <w:p w:rsidR="00377F84" w:rsidRPr="00582F03" w:rsidP="00377F84" w14:paraId="4D6928BE" w14:textId="77777777">
      <w:pPr>
        <w:pStyle w:val="BodyText"/>
        <w:rPr>
          <w:sz w:val="25"/>
          <w:szCs w:val="25"/>
        </w:rPr>
      </w:pPr>
      <w:r w:rsidRPr="00582F03">
        <w:rPr>
          <w:sz w:val="25"/>
          <w:szCs w:val="25"/>
        </w:rPr>
        <w:t>Congress often requests GAO to c</w:t>
      </w:r>
      <w:r>
        <w:rPr>
          <w:sz w:val="25"/>
          <w:szCs w:val="25"/>
        </w:rPr>
        <w:t>onduct</w:t>
      </w:r>
      <w:r w:rsidRPr="00582F03">
        <w:rPr>
          <w:sz w:val="25"/>
          <w:szCs w:val="25"/>
        </w:rPr>
        <w:t xml:space="preserve"> special studies on air transportations.  The </w:t>
      </w:r>
      <w:r w:rsidR="00A10B6A">
        <w:rPr>
          <w:sz w:val="25"/>
          <w:szCs w:val="25"/>
        </w:rPr>
        <w:t xml:space="preserve">O&amp;D </w:t>
      </w:r>
      <w:r w:rsidR="00A10B6A">
        <w:rPr>
          <w:sz w:val="25"/>
          <w:szCs w:val="25"/>
        </w:rPr>
        <w:t xml:space="preserve">data </w:t>
      </w:r>
      <w:r w:rsidRPr="00582F03">
        <w:rPr>
          <w:sz w:val="25"/>
          <w:szCs w:val="25"/>
        </w:rPr>
        <w:t>is one of three</w:t>
      </w:r>
      <w:r>
        <w:rPr>
          <w:sz w:val="25"/>
          <w:szCs w:val="25"/>
        </w:rPr>
        <w:t xml:space="preserve"> DOT Bureau of Transportation Statistics (</w:t>
      </w:r>
      <w:r w:rsidRPr="00582F03">
        <w:rPr>
          <w:sz w:val="25"/>
          <w:szCs w:val="25"/>
        </w:rPr>
        <w:t>BTS</w:t>
      </w:r>
      <w:r>
        <w:rPr>
          <w:sz w:val="25"/>
          <w:szCs w:val="25"/>
        </w:rPr>
        <w:t>)</w:t>
      </w:r>
      <w:r w:rsidRPr="00582F03">
        <w:rPr>
          <w:sz w:val="25"/>
          <w:szCs w:val="25"/>
        </w:rPr>
        <w:t xml:space="preserve"> data bases used by GAO.</w:t>
      </w:r>
    </w:p>
    <w:p w:rsidR="00377F84" w:rsidRPr="00582F03" w:rsidP="00377F84" w14:paraId="564CE7D3" w14:textId="77777777">
      <w:pPr>
        <w:rPr>
          <w:sz w:val="25"/>
          <w:szCs w:val="25"/>
        </w:rPr>
      </w:pPr>
    </w:p>
    <w:p w:rsidR="00377F84" w:rsidRPr="00582F03" w:rsidP="00377F84" w14:paraId="5F666B95" w14:textId="77777777">
      <w:pPr>
        <w:pStyle w:val="Heading1"/>
        <w:jc w:val="left"/>
        <w:rPr>
          <w:sz w:val="25"/>
          <w:szCs w:val="25"/>
        </w:rPr>
      </w:pPr>
      <w:r>
        <w:rPr>
          <w:sz w:val="25"/>
          <w:szCs w:val="25"/>
        </w:rPr>
        <w:t xml:space="preserve">Other Parties That Use </w:t>
      </w:r>
      <w:r w:rsidR="00820393">
        <w:rPr>
          <w:sz w:val="25"/>
          <w:szCs w:val="25"/>
        </w:rPr>
        <w:t>O&amp;D</w:t>
      </w:r>
      <w:r>
        <w:rPr>
          <w:sz w:val="25"/>
          <w:szCs w:val="25"/>
        </w:rPr>
        <w:t xml:space="preserve"> Data</w:t>
      </w:r>
    </w:p>
    <w:p w:rsidR="00377F84" w:rsidRPr="00582F03" w:rsidP="00377F84" w14:paraId="773A1C7A" w14:textId="77777777">
      <w:pPr>
        <w:pStyle w:val="BodyText"/>
        <w:rPr>
          <w:sz w:val="25"/>
          <w:szCs w:val="25"/>
        </w:rPr>
      </w:pPr>
      <w:r w:rsidRPr="00582F03">
        <w:rPr>
          <w:sz w:val="25"/>
          <w:szCs w:val="25"/>
        </w:rPr>
        <w:t xml:space="preserve">Many state and local aeronautical agencies, airport commissions, aircraft manufacturers, and the air carriers all use </w:t>
      </w:r>
      <w:r w:rsidR="00A10B6A">
        <w:rPr>
          <w:sz w:val="25"/>
          <w:szCs w:val="25"/>
        </w:rPr>
        <w:t>the O&amp;D</w:t>
      </w:r>
      <w:r w:rsidRPr="00582F03">
        <w:rPr>
          <w:sz w:val="25"/>
          <w:szCs w:val="25"/>
        </w:rPr>
        <w:t xml:space="preserve"> data.</w:t>
      </w:r>
    </w:p>
    <w:p w:rsidR="00377F84" w:rsidP="00377F84" w14:paraId="0B635D00" w14:textId="77777777">
      <w:pPr>
        <w:rPr>
          <w:sz w:val="25"/>
          <w:szCs w:val="25"/>
        </w:rPr>
      </w:pPr>
    </w:p>
    <w:p w:rsidR="00377F84" w:rsidRPr="00582F03" w:rsidP="00377F84" w14:paraId="7F90F649" w14:textId="77777777">
      <w:pPr>
        <w:rPr>
          <w:sz w:val="25"/>
          <w:szCs w:val="25"/>
        </w:rPr>
      </w:pPr>
      <w:r w:rsidRPr="00582F03">
        <w:rPr>
          <w:b/>
          <w:bCs/>
          <w:sz w:val="25"/>
          <w:szCs w:val="25"/>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377F84" w:rsidRPr="00582F03" w:rsidP="00377F84" w14:paraId="77453C70" w14:textId="77777777">
      <w:pPr>
        <w:rPr>
          <w:sz w:val="25"/>
          <w:szCs w:val="25"/>
        </w:rPr>
      </w:pPr>
    </w:p>
    <w:p w:rsidR="00F20067" w:rsidP="00377F84" w14:paraId="362C8083" w14:textId="77777777">
      <w:pPr>
        <w:rPr>
          <w:sz w:val="25"/>
          <w:szCs w:val="25"/>
        </w:rPr>
      </w:pPr>
      <w:r>
        <w:rPr>
          <w:sz w:val="25"/>
          <w:szCs w:val="25"/>
        </w:rPr>
        <w:t xml:space="preserve">BTS </w:t>
      </w:r>
      <w:r w:rsidRPr="00582F03">
        <w:rPr>
          <w:sz w:val="25"/>
          <w:szCs w:val="25"/>
        </w:rPr>
        <w:t>ha</w:t>
      </w:r>
      <w:r>
        <w:rPr>
          <w:sz w:val="25"/>
          <w:szCs w:val="25"/>
        </w:rPr>
        <w:t>s</w:t>
      </w:r>
      <w:r w:rsidRPr="00582F03">
        <w:rPr>
          <w:sz w:val="25"/>
          <w:szCs w:val="25"/>
        </w:rPr>
        <w:t xml:space="preserve"> attempted to ensure that the form and format of the data collection are designed to minimize the burden of the reporting carriers.  Carriers </w:t>
      </w:r>
      <w:r>
        <w:rPr>
          <w:sz w:val="25"/>
          <w:szCs w:val="25"/>
        </w:rPr>
        <w:t xml:space="preserve">are enabled to electronically submit files to BTS, thus reducing their burden.  The Airline Tariff Publishing Company (ATPCO), the leading distributor of airline fares and airline fare information, </w:t>
      </w:r>
      <w:r w:rsidRPr="008745BA">
        <w:rPr>
          <w:sz w:val="25"/>
          <w:szCs w:val="25"/>
        </w:rPr>
        <w:t>notified the DOT that it can create software to assemble the O</w:t>
      </w:r>
      <w:r>
        <w:rPr>
          <w:sz w:val="25"/>
          <w:szCs w:val="25"/>
        </w:rPr>
        <w:t>&amp;</w:t>
      </w:r>
      <w:r w:rsidRPr="008745BA">
        <w:rPr>
          <w:sz w:val="25"/>
          <w:szCs w:val="25"/>
        </w:rPr>
        <w:t xml:space="preserve">D </w:t>
      </w:r>
      <w:r w:rsidR="00A10B6A">
        <w:rPr>
          <w:sz w:val="25"/>
          <w:szCs w:val="25"/>
        </w:rPr>
        <w:t>data to</w:t>
      </w:r>
      <w:r w:rsidRPr="008745BA">
        <w:rPr>
          <w:sz w:val="25"/>
          <w:szCs w:val="25"/>
        </w:rPr>
        <w:t xml:space="preserve"> report for any air carrier that exchanges ticket information using their services.</w:t>
      </w:r>
    </w:p>
    <w:p w:rsidR="00377F84" w:rsidP="00377F84" w14:paraId="644AE3C0" w14:textId="17EB5357">
      <w:pPr>
        <w:rPr>
          <w:sz w:val="25"/>
          <w:szCs w:val="25"/>
        </w:rPr>
      </w:pPr>
    </w:p>
    <w:p w:rsidR="00377F84" w:rsidRPr="00582F03" w:rsidP="00377F84" w14:paraId="0E7B76CB" w14:textId="77777777">
      <w:pPr>
        <w:rPr>
          <w:sz w:val="25"/>
          <w:szCs w:val="25"/>
        </w:rPr>
      </w:pPr>
      <w:r w:rsidRPr="00582F03">
        <w:rPr>
          <w:b/>
          <w:bCs/>
          <w:sz w:val="25"/>
          <w:szCs w:val="25"/>
        </w:rPr>
        <w:t>4.  Describe efforts to identify duplication.  Show specifically why similar information already available cannot be used or modified for use for the purposes described in Item 2 above</w:t>
      </w:r>
      <w:r w:rsidRPr="00582F03">
        <w:rPr>
          <w:sz w:val="25"/>
          <w:szCs w:val="25"/>
        </w:rPr>
        <w:t>.</w:t>
      </w:r>
    </w:p>
    <w:p w:rsidR="00377F84" w:rsidRPr="00582F03" w:rsidP="00377F84" w14:paraId="318914AD" w14:textId="77777777">
      <w:pPr>
        <w:rPr>
          <w:sz w:val="25"/>
          <w:szCs w:val="25"/>
        </w:rPr>
      </w:pPr>
    </w:p>
    <w:p w:rsidR="0009396B" w:rsidP="00377F84" w14:paraId="72EAFCE6" w14:textId="77777777">
      <w:pPr>
        <w:rPr>
          <w:sz w:val="25"/>
          <w:szCs w:val="25"/>
        </w:rPr>
      </w:pPr>
      <w:r>
        <w:rPr>
          <w:sz w:val="25"/>
          <w:szCs w:val="25"/>
        </w:rPr>
        <w:t>BTS</w:t>
      </w:r>
      <w:r w:rsidRPr="00582F03">
        <w:rPr>
          <w:sz w:val="25"/>
          <w:szCs w:val="25"/>
        </w:rPr>
        <w:t xml:space="preserve"> ha</w:t>
      </w:r>
      <w:r>
        <w:rPr>
          <w:sz w:val="25"/>
          <w:szCs w:val="25"/>
        </w:rPr>
        <w:t>s</w:t>
      </w:r>
      <w:r w:rsidRPr="00582F03">
        <w:rPr>
          <w:sz w:val="25"/>
          <w:szCs w:val="25"/>
        </w:rPr>
        <w:t xml:space="preserve"> studied the possible use of data from the air carrier reporting clearing house (ACRCH) as an alternative data source.  The use of this data has the potential to reduce carriers’ reporting burden.  However, while ACRCH’s record format </w:t>
      </w:r>
      <w:r>
        <w:rPr>
          <w:sz w:val="25"/>
          <w:szCs w:val="25"/>
        </w:rPr>
        <w:t>includes</w:t>
      </w:r>
      <w:r w:rsidRPr="00582F03">
        <w:rPr>
          <w:sz w:val="25"/>
          <w:szCs w:val="25"/>
        </w:rPr>
        <w:t xml:space="preserve"> all the information needed by DOT, most carriers do not fill in all the ACRCH data fields. Moreover, not all carriers participate in the clearing house.  </w:t>
      </w:r>
      <w:r>
        <w:rPr>
          <w:sz w:val="25"/>
          <w:szCs w:val="25"/>
        </w:rPr>
        <w:t>BTS</w:t>
      </w:r>
      <w:r w:rsidRPr="00582F03">
        <w:rPr>
          <w:sz w:val="25"/>
          <w:szCs w:val="25"/>
        </w:rPr>
        <w:t xml:space="preserve"> looked at other data sources </w:t>
      </w:r>
      <w:r w:rsidRPr="00582F03">
        <w:rPr>
          <w:sz w:val="25"/>
          <w:szCs w:val="25"/>
        </w:rPr>
        <w:t>namely, but</w:t>
      </w:r>
      <w:r w:rsidRPr="00582F03">
        <w:rPr>
          <w:sz w:val="25"/>
          <w:szCs w:val="25"/>
        </w:rPr>
        <w:t xml:space="preserve"> found none that satisfied DOT needs.</w:t>
      </w:r>
      <w:r>
        <w:rPr>
          <w:sz w:val="25"/>
          <w:szCs w:val="25"/>
        </w:rPr>
        <w:t xml:space="preserve">  Other sources reviewed were the:</w:t>
      </w:r>
    </w:p>
    <w:p w:rsidR="000A507F" w:rsidP="00377F84" w14:paraId="3BF4EB68" w14:textId="77777777">
      <w:pPr>
        <w:rPr>
          <w:sz w:val="25"/>
          <w:szCs w:val="25"/>
        </w:rPr>
      </w:pPr>
    </w:p>
    <w:p w:rsidR="00377F84" w:rsidRPr="0009396B" w:rsidP="0009396B" w14:paraId="3DF7C554" w14:textId="77777777">
      <w:pPr>
        <w:pStyle w:val="ListParagraph"/>
        <w:numPr>
          <w:ilvl w:val="0"/>
          <w:numId w:val="24"/>
        </w:numPr>
        <w:rPr>
          <w:sz w:val="25"/>
          <w:szCs w:val="25"/>
        </w:rPr>
      </w:pPr>
      <w:r w:rsidRPr="0009396B">
        <w:rPr>
          <w:sz w:val="25"/>
          <w:szCs w:val="25"/>
        </w:rPr>
        <w:t>The International Passenger Data (IPD) collected by Homeland Security</w:t>
      </w:r>
      <w:r w:rsidR="0009396B">
        <w:rPr>
          <w:sz w:val="25"/>
          <w:szCs w:val="25"/>
        </w:rPr>
        <w:t>, which</w:t>
      </w:r>
      <w:r w:rsidRPr="0009396B">
        <w:rPr>
          <w:sz w:val="25"/>
          <w:szCs w:val="25"/>
        </w:rPr>
        <w:t xml:space="preserve"> provides information </w:t>
      </w:r>
      <w:r w:rsidR="0009396B">
        <w:rPr>
          <w:sz w:val="25"/>
          <w:szCs w:val="25"/>
        </w:rPr>
        <w:t>on international traffic demand.  However, this collection</w:t>
      </w:r>
      <w:r w:rsidRPr="0009396B">
        <w:rPr>
          <w:sz w:val="25"/>
          <w:szCs w:val="25"/>
        </w:rPr>
        <w:t xml:space="preserve"> lacks pure domestic traffic data.  Also, </w:t>
      </w:r>
      <w:r w:rsidR="0009396B">
        <w:rPr>
          <w:sz w:val="25"/>
          <w:szCs w:val="25"/>
        </w:rPr>
        <w:t xml:space="preserve">the </w:t>
      </w:r>
      <w:r w:rsidRPr="0009396B">
        <w:rPr>
          <w:sz w:val="25"/>
          <w:szCs w:val="25"/>
        </w:rPr>
        <w:t xml:space="preserve">IPD does not include the price or total value of the ticket (fare plus taxes and user fees), </w:t>
      </w:r>
      <w:r w:rsidRPr="0009396B" w:rsidR="0009396B">
        <w:rPr>
          <w:sz w:val="25"/>
          <w:szCs w:val="25"/>
        </w:rPr>
        <w:t>and</w:t>
      </w:r>
      <w:r w:rsidR="0009396B">
        <w:rPr>
          <w:sz w:val="25"/>
          <w:szCs w:val="25"/>
        </w:rPr>
        <w:t xml:space="preserve"> also does not have</w:t>
      </w:r>
      <w:r w:rsidRPr="0009396B">
        <w:rPr>
          <w:sz w:val="25"/>
          <w:szCs w:val="25"/>
        </w:rPr>
        <w:t xml:space="preserve"> the comple</w:t>
      </w:r>
      <w:r w:rsidR="00AD0164">
        <w:rPr>
          <w:sz w:val="25"/>
          <w:szCs w:val="25"/>
        </w:rPr>
        <w:t>te passenger itinerary with all reporting</w:t>
      </w:r>
      <w:r w:rsidRPr="0009396B">
        <w:rPr>
          <w:sz w:val="25"/>
          <w:szCs w:val="25"/>
        </w:rPr>
        <w:t xml:space="preserve"> carriers.</w:t>
      </w:r>
    </w:p>
    <w:p w:rsidR="00377F84" w:rsidRPr="00582F03" w:rsidP="00377F84" w14:paraId="655A0B78" w14:textId="77777777">
      <w:pPr>
        <w:rPr>
          <w:sz w:val="25"/>
          <w:szCs w:val="25"/>
        </w:rPr>
      </w:pPr>
    </w:p>
    <w:p w:rsidR="00377F84" w:rsidRPr="0009396B" w:rsidP="0009396B" w14:paraId="4A76E045" w14:textId="77777777">
      <w:pPr>
        <w:pStyle w:val="ListParagraph"/>
        <w:numPr>
          <w:ilvl w:val="0"/>
          <w:numId w:val="24"/>
        </w:numPr>
        <w:rPr>
          <w:sz w:val="25"/>
          <w:szCs w:val="25"/>
        </w:rPr>
      </w:pPr>
      <w:r w:rsidRPr="0009396B">
        <w:rPr>
          <w:sz w:val="25"/>
          <w:szCs w:val="25"/>
        </w:rPr>
        <w:t xml:space="preserve">The Official Airline Guide </w:t>
      </w:r>
      <w:r w:rsidR="0009396B">
        <w:rPr>
          <w:sz w:val="25"/>
          <w:szCs w:val="25"/>
        </w:rPr>
        <w:t>(OAG).  The OAG contains flight s</w:t>
      </w:r>
      <w:r w:rsidRPr="0009396B">
        <w:rPr>
          <w:sz w:val="25"/>
          <w:szCs w:val="25"/>
        </w:rPr>
        <w:t xml:space="preserve">chedules </w:t>
      </w:r>
      <w:r w:rsidR="0009396B">
        <w:rPr>
          <w:sz w:val="25"/>
          <w:szCs w:val="25"/>
        </w:rPr>
        <w:t xml:space="preserve">which </w:t>
      </w:r>
      <w:r w:rsidRPr="0009396B">
        <w:rPr>
          <w:sz w:val="25"/>
          <w:szCs w:val="25"/>
        </w:rPr>
        <w:t xml:space="preserve">are extremely useful data, but </w:t>
      </w:r>
      <w:r w:rsidR="000A507F">
        <w:rPr>
          <w:sz w:val="25"/>
          <w:szCs w:val="25"/>
        </w:rPr>
        <w:t xml:space="preserve">the </w:t>
      </w:r>
      <w:r w:rsidRPr="0009396B">
        <w:rPr>
          <w:sz w:val="25"/>
          <w:szCs w:val="25"/>
        </w:rPr>
        <w:t xml:space="preserve">flight schedules are different from actual passenger flow data.  Flight schedules track the movements of aircraft.  The </w:t>
      </w:r>
      <w:r w:rsidR="00A10B6A">
        <w:rPr>
          <w:sz w:val="25"/>
          <w:szCs w:val="25"/>
        </w:rPr>
        <w:t>O&amp;D data</w:t>
      </w:r>
      <w:r w:rsidRPr="0009396B">
        <w:rPr>
          <w:sz w:val="25"/>
          <w:szCs w:val="25"/>
        </w:rPr>
        <w:t xml:space="preserve"> tracks the movements of passengers.  </w:t>
      </w:r>
    </w:p>
    <w:p w:rsidR="00377F84" w:rsidRPr="00582F03" w:rsidP="00377F84" w14:paraId="4D86A390" w14:textId="77777777">
      <w:pPr>
        <w:rPr>
          <w:sz w:val="25"/>
          <w:szCs w:val="25"/>
        </w:rPr>
      </w:pPr>
    </w:p>
    <w:p w:rsidR="00377F84" w:rsidRPr="0009396B" w:rsidP="0009396B" w14:paraId="413DA5C0" w14:textId="77777777">
      <w:pPr>
        <w:pStyle w:val="ListParagraph"/>
        <w:numPr>
          <w:ilvl w:val="0"/>
          <w:numId w:val="24"/>
        </w:numPr>
        <w:rPr>
          <w:sz w:val="25"/>
          <w:szCs w:val="25"/>
        </w:rPr>
      </w:pPr>
      <w:r>
        <w:rPr>
          <w:sz w:val="25"/>
          <w:szCs w:val="25"/>
        </w:rPr>
        <w:t>The voluntary surveys performed by t</w:t>
      </w:r>
      <w:r w:rsidRPr="0009396B">
        <w:rPr>
          <w:sz w:val="25"/>
          <w:szCs w:val="25"/>
        </w:rPr>
        <w:t>he United States Travel and Tourism Administration</w:t>
      </w:r>
      <w:r>
        <w:rPr>
          <w:sz w:val="25"/>
          <w:szCs w:val="25"/>
        </w:rPr>
        <w:t xml:space="preserve">.  These surveys studied </w:t>
      </w:r>
      <w:r w:rsidRPr="0009396B">
        <w:rPr>
          <w:sz w:val="25"/>
          <w:szCs w:val="25"/>
        </w:rPr>
        <w:t>travel to Mexico and other international</w:t>
      </w:r>
      <w:r>
        <w:rPr>
          <w:sz w:val="25"/>
          <w:szCs w:val="25"/>
        </w:rPr>
        <w:t xml:space="preserve"> countries.  These surveys were not beneficial as they </w:t>
      </w:r>
      <w:r w:rsidRPr="0009396B">
        <w:rPr>
          <w:sz w:val="25"/>
          <w:szCs w:val="25"/>
        </w:rPr>
        <w:t>suffered from poor partic</w:t>
      </w:r>
      <w:r>
        <w:rPr>
          <w:sz w:val="25"/>
          <w:szCs w:val="25"/>
        </w:rPr>
        <w:t xml:space="preserve">ipation </w:t>
      </w:r>
      <w:r>
        <w:rPr>
          <w:sz w:val="25"/>
          <w:szCs w:val="25"/>
        </w:rPr>
        <w:t xml:space="preserve">response rates and </w:t>
      </w:r>
      <w:r w:rsidRPr="0009396B">
        <w:rPr>
          <w:sz w:val="25"/>
          <w:szCs w:val="25"/>
        </w:rPr>
        <w:t xml:space="preserve">coverage.  Further, domestic operations and service to Canada </w:t>
      </w:r>
      <w:r>
        <w:rPr>
          <w:sz w:val="25"/>
          <w:szCs w:val="25"/>
        </w:rPr>
        <w:t>were</w:t>
      </w:r>
      <w:r w:rsidRPr="0009396B">
        <w:rPr>
          <w:sz w:val="25"/>
          <w:szCs w:val="25"/>
        </w:rPr>
        <w:t xml:space="preserve"> omitted from these surveys.</w:t>
      </w:r>
    </w:p>
    <w:p w:rsidR="00377F84" w:rsidRPr="00582F03" w:rsidP="00377F84" w14:paraId="750C99CD" w14:textId="77777777">
      <w:pPr>
        <w:rPr>
          <w:sz w:val="25"/>
          <w:szCs w:val="25"/>
        </w:rPr>
      </w:pPr>
    </w:p>
    <w:p w:rsidR="00377F84" w:rsidRPr="00582F03" w:rsidP="000A507F" w14:paraId="7F75529E" w14:textId="77777777">
      <w:pPr>
        <w:pStyle w:val="BodyText"/>
        <w:numPr>
          <w:ilvl w:val="0"/>
          <w:numId w:val="24"/>
        </w:numPr>
        <w:rPr>
          <w:sz w:val="25"/>
          <w:szCs w:val="25"/>
        </w:rPr>
      </w:pPr>
      <w:r w:rsidRPr="00582F03">
        <w:rPr>
          <w:sz w:val="25"/>
          <w:szCs w:val="25"/>
        </w:rPr>
        <w:t>Various airport authorities and commissions have c</w:t>
      </w:r>
      <w:r>
        <w:rPr>
          <w:sz w:val="25"/>
          <w:szCs w:val="25"/>
        </w:rPr>
        <w:t>onducted</w:t>
      </w:r>
      <w:r w:rsidRPr="00582F03">
        <w:rPr>
          <w:sz w:val="25"/>
          <w:szCs w:val="25"/>
        </w:rPr>
        <w:t xml:space="preserve"> surveys on operations at their</w:t>
      </w:r>
      <w:r>
        <w:rPr>
          <w:sz w:val="25"/>
          <w:szCs w:val="25"/>
        </w:rPr>
        <w:t xml:space="preserve"> respective</w:t>
      </w:r>
      <w:r w:rsidRPr="00582F03">
        <w:rPr>
          <w:sz w:val="25"/>
          <w:szCs w:val="25"/>
        </w:rPr>
        <w:t xml:space="preserve"> airports.  </w:t>
      </w:r>
      <w:r w:rsidR="000A507F">
        <w:rPr>
          <w:sz w:val="25"/>
          <w:szCs w:val="25"/>
        </w:rPr>
        <w:t xml:space="preserve">Though useful, these surveys lacked </w:t>
      </w:r>
      <w:r w:rsidRPr="00582F03">
        <w:rPr>
          <w:sz w:val="25"/>
          <w:szCs w:val="25"/>
        </w:rPr>
        <w:t>universal coverage</w:t>
      </w:r>
      <w:r w:rsidR="000A507F">
        <w:rPr>
          <w:sz w:val="25"/>
          <w:szCs w:val="25"/>
        </w:rPr>
        <w:t xml:space="preserve"> and were considered a </w:t>
      </w:r>
      <w:r w:rsidRPr="00582F03">
        <w:rPr>
          <w:sz w:val="25"/>
          <w:szCs w:val="25"/>
        </w:rPr>
        <w:t xml:space="preserve">poor replacement for </w:t>
      </w:r>
      <w:r>
        <w:rPr>
          <w:sz w:val="25"/>
          <w:szCs w:val="25"/>
        </w:rPr>
        <w:t xml:space="preserve">the </w:t>
      </w:r>
      <w:r w:rsidRPr="00582F03">
        <w:rPr>
          <w:sz w:val="25"/>
          <w:szCs w:val="25"/>
        </w:rPr>
        <w:t xml:space="preserve">DOT </w:t>
      </w:r>
      <w:r w:rsidR="00820393">
        <w:rPr>
          <w:sz w:val="25"/>
          <w:szCs w:val="25"/>
        </w:rPr>
        <w:t>O&amp;D data</w:t>
      </w:r>
      <w:r w:rsidRPr="00582F03">
        <w:rPr>
          <w:sz w:val="25"/>
          <w:szCs w:val="25"/>
        </w:rPr>
        <w:t xml:space="preserve">. </w:t>
      </w:r>
    </w:p>
    <w:p w:rsidR="00377F84" w:rsidRPr="00582F03" w:rsidP="00377F84" w14:paraId="52EF6F0F" w14:textId="77777777">
      <w:pPr>
        <w:rPr>
          <w:b/>
          <w:bCs/>
          <w:sz w:val="25"/>
          <w:szCs w:val="25"/>
        </w:rPr>
      </w:pPr>
    </w:p>
    <w:bookmarkEnd w:id="0"/>
    <w:p w:rsidR="00377F84" w:rsidRPr="00582F03" w:rsidP="00377F84" w14:paraId="61B3DF1F" w14:textId="77777777">
      <w:pPr>
        <w:rPr>
          <w:b/>
          <w:bCs/>
          <w:sz w:val="25"/>
          <w:szCs w:val="25"/>
        </w:rPr>
      </w:pPr>
      <w:r w:rsidRPr="00582F03">
        <w:rPr>
          <w:b/>
          <w:bCs/>
          <w:sz w:val="25"/>
          <w:szCs w:val="25"/>
        </w:rPr>
        <w:t>5.  If the collection of information impacts small businesses or other small entities, describe efforts to minimize burden.</w:t>
      </w:r>
    </w:p>
    <w:p w:rsidR="00377F84" w:rsidRPr="00582F03" w:rsidP="00377F84" w14:paraId="4C839462" w14:textId="77777777">
      <w:pPr>
        <w:rPr>
          <w:sz w:val="25"/>
          <w:szCs w:val="25"/>
        </w:rPr>
      </w:pPr>
    </w:p>
    <w:p w:rsidR="00377F84" w:rsidP="00377F84" w14:paraId="6EE0518F" w14:textId="77777777">
      <w:pPr>
        <w:rPr>
          <w:sz w:val="25"/>
          <w:szCs w:val="25"/>
        </w:rPr>
      </w:pPr>
      <w:r w:rsidRPr="00582F03">
        <w:rPr>
          <w:sz w:val="25"/>
          <w:szCs w:val="25"/>
        </w:rPr>
        <w:t xml:space="preserve">The Department </w:t>
      </w:r>
      <w:r>
        <w:rPr>
          <w:sz w:val="25"/>
          <w:szCs w:val="25"/>
        </w:rPr>
        <w:t>can work with outside vendors, such as t</w:t>
      </w:r>
      <w:r w:rsidRPr="008745BA">
        <w:rPr>
          <w:sz w:val="25"/>
          <w:szCs w:val="25"/>
        </w:rPr>
        <w:t xml:space="preserve">he </w:t>
      </w:r>
      <w:r w:rsidR="00F20067">
        <w:rPr>
          <w:sz w:val="25"/>
          <w:szCs w:val="25"/>
        </w:rPr>
        <w:t>ATPCO</w:t>
      </w:r>
      <w:r>
        <w:rPr>
          <w:sz w:val="25"/>
          <w:szCs w:val="25"/>
        </w:rPr>
        <w:t xml:space="preserve"> to make </w:t>
      </w:r>
      <w:r w:rsidR="00F20067">
        <w:rPr>
          <w:sz w:val="25"/>
          <w:szCs w:val="25"/>
        </w:rPr>
        <w:t xml:space="preserve">these </w:t>
      </w:r>
      <w:r>
        <w:rPr>
          <w:sz w:val="25"/>
          <w:szCs w:val="25"/>
        </w:rPr>
        <w:t xml:space="preserve">data collection and reporting services available.  </w:t>
      </w:r>
      <w:r w:rsidR="008F34D4">
        <w:rPr>
          <w:sz w:val="25"/>
          <w:szCs w:val="25"/>
        </w:rPr>
        <w:t xml:space="preserve">The </w:t>
      </w:r>
      <w:r w:rsidRPr="008745BA">
        <w:rPr>
          <w:sz w:val="25"/>
          <w:szCs w:val="25"/>
        </w:rPr>
        <w:t xml:space="preserve">ATPCO is a non-profit industry consortium that provides tariff services and other ticket-related services to air carriers and foreign air carriers “at-cost.”  ATPCO’s shared software will release the air carriers from the cost of each maintaining separate systems, each of which carries attendant secondary expenses of training and technical maintenance.  This option will not only simplify the information technology operations, but it also amortizes the cost of creating and maintaining the software into the future. Therefore, these upfront costs resulting from this proposed action include the expenses related to developing, installing, and maintaining an automated reporting system.  </w:t>
      </w:r>
    </w:p>
    <w:p w:rsidR="00377F84" w:rsidP="00377F84" w14:paraId="2A8D87A9" w14:textId="77777777">
      <w:pPr>
        <w:rPr>
          <w:sz w:val="25"/>
          <w:szCs w:val="25"/>
        </w:rPr>
      </w:pPr>
      <w:r>
        <w:rPr>
          <w:sz w:val="25"/>
          <w:szCs w:val="25"/>
        </w:rPr>
        <w:t xml:space="preserve">The </w:t>
      </w:r>
      <w:r>
        <w:rPr>
          <w:sz w:val="25"/>
          <w:szCs w:val="25"/>
        </w:rPr>
        <w:t xml:space="preserve">ATPCO is not required to perform this, but because of the nature of their business and unique position as an airline ticketing clearing house, they have the infrastructure, knowledge and the most data available.  If airlines prefer, they can still perform the compiling and reporting.  ATPCO will work with any reporting carrier and they can report for that carrier if need be.  In most cases, ATPCO already has the data of the carrier.  </w:t>
      </w:r>
    </w:p>
    <w:p w:rsidR="007C60DC" w:rsidRPr="008745BA" w:rsidP="00377F84" w14:paraId="3E10AE23" w14:textId="77777777">
      <w:pPr>
        <w:rPr>
          <w:sz w:val="25"/>
          <w:szCs w:val="25"/>
        </w:rPr>
      </w:pPr>
    </w:p>
    <w:p w:rsidR="00377F84" w:rsidRPr="00582F03" w:rsidP="00377F84" w14:paraId="20F552AD" w14:textId="77777777">
      <w:pPr>
        <w:rPr>
          <w:b/>
          <w:bCs/>
          <w:sz w:val="25"/>
          <w:szCs w:val="25"/>
        </w:rPr>
      </w:pPr>
      <w:r w:rsidRPr="00582F03">
        <w:rPr>
          <w:b/>
          <w:bCs/>
          <w:sz w:val="25"/>
          <w:szCs w:val="25"/>
        </w:rPr>
        <w:t>6.  Describe the consequence to the Federal Program or policy activities if the collection were not collected or c</w:t>
      </w:r>
      <w:r>
        <w:rPr>
          <w:b/>
          <w:bCs/>
          <w:sz w:val="25"/>
          <w:szCs w:val="25"/>
        </w:rPr>
        <w:t>onducted</w:t>
      </w:r>
      <w:r w:rsidRPr="00582F03">
        <w:rPr>
          <w:b/>
          <w:bCs/>
          <w:sz w:val="25"/>
          <w:szCs w:val="25"/>
        </w:rPr>
        <w:t xml:space="preserve"> less frequently.</w:t>
      </w:r>
    </w:p>
    <w:p w:rsidR="00377F84" w:rsidRPr="00582F03" w:rsidP="00377F84" w14:paraId="7E718824" w14:textId="77777777">
      <w:pPr>
        <w:rPr>
          <w:sz w:val="25"/>
          <w:szCs w:val="25"/>
        </w:rPr>
      </w:pPr>
    </w:p>
    <w:p w:rsidR="00377F84" w:rsidRPr="00582F03" w:rsidP="00377F84" w14:paraId="6480D05A" w14:textId="77777777">
      <w:pPr>
        <w:rPr>
          <w:sz w:val="25"/>
          <w:szCs w:val="25"/>
        </w:rPr>
      </w:pPr>
      <w:r w:rsidRPr="00582F03">
        <w:rPr>
          <w:sz w:val="25"/>
          <w:szCs w:val="25"/>
        </w:rPr>
        <w:t xml:space="preserve">Less frequent </w:t>
      </w:r>
      <w:r w:rsidR="00E85EE4">
        <w:rPr>
          <w:sz w:val="25"/>
          <w:szCs w:val="25"/>
        </w:rPr>
        <w:t xml:space="preserve">O&amp;D </w:t>
      </w:r>
      <w:r w:rsidRPr="00582F03">
        <w:rPr>
          <w:sz w:val="25"/>
          <w:szCs w:val="25"/>
        </w:rPr>
        <w:t>data collection</w:t>
      </w:r>
      <w:r w:rsidR="00AF2AEF">
        <w:rPr>
          <w:sz w:val="25"/>
          <w:szCs w:val="25"/>
        </w:rPr>
        <w:t>, or no data collection at all,</w:t>
      </w:r>
      <w:r w:rsidRPr="00582F03">
        <w:rPr>
          <w:sz w:val="25"/>
          <w:szCs w:val="25"/>
        </w:rPr>
        <w:t xml:space="preserve"> would seriously erode DOT’s ability to monitor the c</w:t>
      </w:r>
      <w:r>
        <w:rPr>
          <w:sz w:val="25"/>
          <w:szCs w:val="25"/>
        </w:rPr>
        <w:t>ondition</w:t>
      </w:r>
      <w:r w:rsidRPr="00582F03">
        <w:rPr>
          <w:sz w:val="25"/>
          <w:szCs w:val="25"/>
        </w:rPr>
        <w:t xml:space="preserve"> of the </w:t>
      </w:r>
      <w:r>
        <w:rPr>
          <w:sz w:val="25"/>
          <w:szCs w:val="25"/>
        </w:rPr>
        <w:t xml:space="preserve">U.S. </w:t>
      </w:r>
      <w:r w:rsidRPr="00582F03">
        <w:rPr>
          <w:sz w:val="25"/>
          <w:szCs w:val="25"/>
        </w:rPr>
        <w:t>air transport industry.  The timeliness and frequency of data collection are critical in evaluating trends as well as monitoring individual carrier operations.  The filing frequencies were chosen after careful analysis that balanced the degree of reporting burden against DOT’s need for current data to oversee the air transportation industry.</w:t>
      </w:r>
    </w:p>
    <w:p w:rsidR="00377F84" w:rsidRPr="00582F03" w:rsidP="00377F84" w14:paraId="3CC5EF87" w14:textId="77777777">
      <w:pPr>
        <w:rPr>
          <w:sz w:val="25"/>
          <w:szCs w:val="25"/>
        </w:rPr>
      </w:pPr>
    </w:p>
    <w:p w:rsidR="00377F84" w:rsidRPr="00582F03" w:rsidP="00377F84" w14:paraId="1082D7ED" w14:textId="77777777">
      <w:pPr>
        <w:rPr>
          <w:sz w:val="25"/>
          <w:szCs w:val="25"/>
        </w:rPr>
      </w:pPr>
      <w:r w:rsidRPr="00582F03">
        <w:rPr>
          <w:sz w:val="25"/>
          <w:szCs w:val="25"/>
        </w:rPr>
        <w:t xml:space="preserve">The </w:t>
      </w:r>
      <w:r w:rsidR="002E7075">
        <w:rPr>
          <w:sz w:val="25"/>
          <w:szCs w:val="25"/>
        </w:rPr>
        <w:t xml:space="preserve">change to monthly reporting will provide greater benefit to the current required </w:t>
      </w:r>
      <w:r w:rsidRPr="00B92EA6">
        <w:rPr>
          <w:sz w:val="25"/>
          <w:szCs w:val="25"/>
        </w:rPr>
        <w:t>crit</w:t>
      </w:r>
      <w:r w:rsidRPr="00582F03">
        <w:rPr>
          <w:sz w:val="25"/>
          <w:szCs w:val="25"/>
        </w:rPr>
        <w:t xml:space="preserve">ical program requirements </w:t>
      </w:r>
      <w:r w:rsidR="002E7075">
        <w:rPr>
          <w:sz w:val="25"/>
          <w:szCs w:val="25"/>
        </w:rPr>
        <w:t xml:space="preserve">of </w:t>
      </w:r>
      <w:r w:rsidRPr="00582F03">
        <w:rPr>
          <w:sz w:val="25"/>
          <w:szCs w:val="25"/>
        </w:rPr>
        <w:t>timely data on passenger itineraries a</w:t>
      </w:r>
      <w:r w:rsidR="002E7075">
        <w:rPr>
          <w:sz w:val="25"/>
          <w:szCs w:val="25"/>
        </w:rPr>
        <w:t xml:space="preserve">nd dollar amount of fares.  One area that will experience great benefits is the </w:t>
      </w:r>
      <w:r w:rsidRPr="00582F03">
        <w:rPr>
          <w:sz w:val="25"/>
          <w:szCs w:val="25"/>
        </w:rPr>
        <w:t>international program area</w:t>
      </w:r>
      <w:r w:rsidR="002E7075">
        <w:rPr>
          <w:sz w:val="25"/>
          <w:szCs w:val="25"/>
        </w:rPr>
        <w:t>.  This program area</w:t>
      </w:r>
      <w:r w:rsidRPr="00582F03">
        <w:rPr>
          <w:sz w:val="25"/>
          <w:szCs w:val="25"/>
        </w:rPr>
        <w:t xml:space="preserve"> is concerned with </w:t>
      </w:r>
      <w:r w:rsidR="002E7075">
        <w:rPr>
          <w:sz w:val="25"/>
          <w:szCs w:val="25"/>
        </w:rPr>
        <w:t xml:space="preserve">the </w:t>
      </w:r>
      <w:r w:rsidRPr="00582F03">
        <w:rPr>
          <w:sz w:val="25"/>
          <w:szCs w:val="25"/>
        </w:rPr>
        <w:t xml:space="preserve">tracking </w:t>
      </w:r>
      <w:r w:rsidR="002E7075">
        <w:rPr>
          <w:sz w:val="25"/>
          <w:szCs w:val="25"/>
        </w:rPr>
        <w:t xml:space="preserve">of </w:t>
      </w:r>
      <w:r w:rsidRPr="00582F03">
        <w:rPr>
          <w:sz w:val="25"/>
          <w:szCs w:val="25"/>
        </w:rPr>
        <w:t>changes in traffic flows due to seasonality</w:t>
      </w:r>
      <w:r w:rsidR="002E7075">
        <w:rPr>
          <w:sz w:val="25"/>
          <w:szCs w:val="25"/>
        </w:rPr>
        <w:t xml:space="preserve"> changes</w:t>
      </w:r>
      <w:r w:rsidRPr="00582F03">
        <w:rPr>
          <w:sz w:val="25"/>
          <w:szCs w:val="25"/>
        </w:rPr>
        <w:t>, carrier route changes, and carrier preference</w:t>
      </w:r>
      <w:r w:rsidR="002E7075">
        <w:rPr>
          <w:sz w:val="25"/>
          <w:szCs w:val="25"/>
        </w:rPr>
        <w:t>s</w:t>
      </w:r>
      <w:r w:rsidRPr="00582F03">
        <w:rPr>
          <w:sz w:val="25"/>
          <w:szCs w:val="25"/>
        </w:rPr>
        <w:t xml:space="preserve">.  In assessing the U.S. position in international negotiations, </w:t>
      </w:r>
      <w:r w:rsidR="002E7075">
        <w:rPr>
          <w:sz w:val="25"/>
          <w:szCs w:val="25"/>
        </w:rPr>
        <w:t xml:space="preserve">the latest data </w:t>
      </w:r>
      <w:r w:rsidRPr="00582F03">
        <w:rPr>
          <w:sz w:val="25"/>
          <w:szCs w:val="25"/>
        </w:rPr>
        <w:t xml:space="preserve">is </w:t>
      </w:r>
      <w:r>
        <w:rPr>
          <w:sz w:val="25"/>
          <w:szCs w:val="25"/>
        </w:rPr>
        <w:t>critical</w:t>
      </w:r>
      <w:r w:rsidRPr="00582F03">
        <w:rPr>
          <w:sz w:val="25"/>
          <w:szCs w:val="25"/>
        </w:rPr>
        <w:t xml:space="preserve">.  </w:t>
      </w:r>
      <w:r w:rsidR="002E7075">
        <w:rPr>
          <w:sz w:val="25"/>
          <w:szCs w:val="25"/>
        </w:rPr>
        <w:t xml:space="preserve">Less frequent data collections </w:t>
      </w:r>
      <w:r w:rsidRPr="00582F03">
        <w:rPr>
          <w:sz w:val="25"/>
          <w:szCs w:val="25"/>
        </w:rPr>
        <w:t>could compromise the U.S. position in sensitive negotiations.  The dynamic</w:t>
      </w:r>
      <w:r>
        <w:rPr>
          <w:sz w:val="25"/>
          <w:szCs w:val="25"/>
        </w:rPr>
        <w:t xml:space="preserve"> nature</w:t>
      </w:r>
      <w:r w:rsidRPr="00582F03">
        <w:rPr>
          <w:sz w:val="25"/>
          <w:szCs w:val="25"/>
        </w:rPr>
        <w:t xml:space="preserve"> of the air transportation industry requires that U.S. negotiators have the latest available information to protect U.S. interests.</w:t>
      </w:r>
    </w:p>
    <w:p w:rsidR="00377F84" w:rsidRPr="00582F03" w:rsidP="00377F84" w14:paraId="06A25653" w14:textId="77777777">
      <w:pPr>
        <w:rPr>
          <w:sz w:val="25"/>
          <w:szCs w:val="25"/>
        </w:rPr>
      </w:pPr>
    </w:p>
    <w:p w:rsidR="00377F84" w:rsidRPr="00582F03" w:rsidP="00377F84" w14:paraId="1CD65C9C" w14:textId="77777777">
      <w:pPr>
        <w:rPr>
          <w:sz w:val="25"/>
          <w:szCs w:val="25"/>
        </w:rPr>
      </w:pPr>
      <w:r w:rsidRPr="00582F03">
        <w:rPr>
          <w:sz w:val="25"/>
          <w:szCs w:val="25"/>
        </w:rPr>
        <w:t xml:space="preserve">If </w:t>
      </w:r>
      <w:r w:rsidR="00E85EE4">
        <w:rPr>
          <w:sz w:val="25"/>
          <w:szCs w:val="25"/>
        </w:rPr>
        <w:t xml:space="preserve">the </w:t>
      </w:r>
      <w:r w:rsidRPr="00582F03">
        <w:rPr>
          <w:sz w:val="25"/>
          <w:szCs w:val="25"/>
        </w:rPr>
        <w:t>data were no</w:t>
      </w:r>
      <w:r>
        <w:rPr>
          <w:sz w:val="25"/>
          <w:szCs w:val="25"/>
        </w:rPr>
        <w:t>t collected and processed by BTS</w:t>
      </w:r>
      <w:r w:rsidRPr="00582F03">
        <w:rPr>
          <w:sz w:val="25"/>
          <w:szCs w:val="25"/>
        </w:rPr>
        <w:t xml:space="preserve">, carriers would have to meet a myriad of reporting requirements that would be generated by the Department, </w:t>
      </w:r>
      <w:r>
        <w:rPr>
          <w:sz w:val="25"/>
          <w:szCs w:val="25"/>
        </w:rPr>
        <w:t>or other Federal</w:t>
      </w:r>
      <w:r w:rsidRPr="00582F03">
        <w:rPr>
          <w:sz w:val="25"/>
          <w:szCs w:val="25"/>
        </w:rPr>
        <w:t xml:space="preserve">, state and local agencies for the many programs needs that </w:t>
      </w:r>
      <w:r w:rsidR="002E7075">
        <w:rPr>
          <w:sz w:val="25"/>
          <w:szCs w:val="25"/>
        </w:rPr>
        <w:t>currently</w:t>
      </w:r>
      <w:r w:rsidRPr="00582F03">
        <w:rPr>
          <w:sz w:val="25"/>
          <w:szCs w:val="25"/>
        </w:rPr>
        <w:t xml:space="preserve"> rely on</w:t>
      </w:r>
      <w:r w:rsidR="002E7075">
        <w:rPr>
          <w:sz w:val="25"/>
          <w:szCs w:val="25"/>
        </w:rPr>
        <w:t xml:space="preserve"> the</w:t>
      </w:r>
      <w:r w:rsidR="00E85EE4">
        <w:rPr>
          <w:sz w:val="25"/>
          <w:szCs w:val="25"/>
        </w:rPr>
        <w:t xml:space="preserve"> </w:t>
      </w:r>
      <w:r w:rsidRPr="00582F03">
        <w:rPr>
          <w:sz w:val="25"/>
          <w:szCs w:val="25"/>
        </w:rPr>
        <w:t>data.</w:t>
      </w:r>
    </w:p>
    <w:p w:rsidR="00610A74" w:rsidP="00377F84" w14:paraId="5FEC5A9C" w14:textId="77777777">
      <w:pPr>
        <w:rPr>
          <w:b/>
          <w:bCs/>
          <w:sz w:val="25"/>
          <w:szCs w:val="25"/>
        </w:rPr>
      </w:pPr>
    </w:p>
    <w:p w:rsidR="00377F84" w:rsidRPr="00582F03" w:rsidP="00377F84" w14:paraId="095CEE2A" w14:textId="77777777">
      <w:pPr>
        <w:rPr>
          <w:b/>
          <w:bCs/>
          <w:sz w:val="25"/>
          <w:szCs w:val="25"/>
        </w:rPr>
      </w:pPr>
      <w:r w:rsidRPr="00582F03">
        <w:rPr>
          <w:b/>
          <w:bCs/>
          <w:sz w:val="25"/>
          <w:szCs w:val="25"/>
        </w:rPr>
        <w:t xml:space="preserve">7.  Explain any special circumstances that would cause an information collection to be </w:t>
      </w:r>
      <w:r>
        <w:rPr>
          <w:b/>
          <w:bCs/>
          <w:sz w:val="25"/>
          <w:szCs w:val="25"/>
        </w:rPr>
        <w:t xml:space="preserve">conducted </w:t>
      </w:r>
      <w:r w:rsidRPr="00582F03">
        <w:rPr>
          <w:b/>
          <w:bCs/>
          <w:sz w:val="25"/>
          <w:szCs w:val="25"/>
        </w:rPr>
        <w:t>in a manner:</w:t>
      </w:r>
    </w:p>
    <w:p w:rsidR="00377F84" w:rsidRPr="00582F03" w:rsidP="00377F84" w14:paraId="4D296C6B" w14:textId="77777777">
      <w:pPr>
        <w:rPr>
          <w:b/>
          <w:bCs/>
          <w:sz w:val="25"/>
          <w:szCs w:val="25"/>
        </w:rPr>
      </w:pPr>
    </w:p>
    <w:p w:rsidR="00377F84" w:rsidRPr="00582F03" w:rsidP="00377F84" w14:paraId="49311053" w14:textId="77777777">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report information to the agency more often than quarterly;</w:t>
      </w:r>
    </w:p>
    <w:p w:rsidR="00377F84" w:rsidRPr="00582F03" w:rsidP="00377F84" w14:paraId="7A4C169E" w14:textId="77777777">
      <w:pPr>
        <w:jc w:val="both"/>
        <w:rPr>
          <w:b/>
          <w:bCs/>
          <w:sz w:val="25"/>
          <w:szCs w:val="25"/>
        </w:rPr>
      </w:pPr>
    </w:p>
    <w:p w:rsidR="00377F84" w:rsidRPr="00582F03" w:rsidP="00377F84" w14:paraId="540C9CC4" w14:textId="77777777">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prepare a written response to a collection of information in fewer than 30 days after receipt of it;</w:t>
      </w:r>
    </w:p>
    <w:p w:rsidR="00377F84" w:rsidRPr="00582F03" w:rsidP="00377F84" w14:paraId="02E6DE4D" w14:textId="77777777">
      <w:pPr>
        <w:jc w:val="both"/>
        <w:rPr>
          <w:b/>
          <w:bCs/>
          <w:sz w:val="25"/>
          <w:szCs w:val="25"/>
        </w:rPr>
      </w:pPr>
    </w:p>
    <w:p w:rsidR="00377F84" w:rsidRPr="00582F03" w:rsidP="00377F84" w14:paraId="6DEAF44E" w14:textId="77777777">
      <w:pPr>
        <w:pStyle w:val="Level1"/>
        <w:numPr>
          <w:ilvl w:val="0"/>
          <w:numId w:val="3"/>
        </w:numPr>
        <w:tabs>
          <w:tab w:val="left" w:pos="-1440"/>
        </w:tabs>
        <w:jc w:val="both"/>
        <w:rPr>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submit more than an original and two copies of any document;</w:t>
      </w:r>
    </w:p>
    <w:p w:rsidR="00377F84" w:rsidRPr="00582F03" w:rsidP="00377F84" w14:paraId="69AB475A" w14:textId="77777777">
      <w:pPr>
        <w:jc w:val="both"/>
        <w:rPr>
          <w:sz w:val="25"/>
          <w:szCs w:val="25"/>
        </w:rPr>
      </w:pPr>
    </w:p>
    <w:p w:rsidR="00377F84" w:rsidRPr="00582F03" w:rsidP="00377F84" w14:paraId="6ADD3191" w14:textId="77777777">
      <w:pPr>
        <w:pStyle w:val="Level1"/>
        <w:numPr>
          <w:ilvl w:val="0"/>
          <w:numId w:val="3"/>
        </w:numPr>
        <w:tabs>
          <w:tab w:val="left" w:pos="-1440"/>
        </w:tabs>
        <w:jc w:val="both"/>
        <w:rPr>
          <w:b/>
          <w:bCs/>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retain records, other than health, government contracts, grant-in-aid, or tax records for more than 3 years;</w:t>
      </w:r>
    </w:p>
    <w:p w:rsidR="00377F84" w:rsidRPr="00582F03" w:rsidP="00377F84" w14:paraId="42C37AC4" w14:textId="77777777">
      <w:pPr>
        <w:pStyle w:val="Level1"/>
        <w:numPr>
          <w:ilvl w:val="0"/>
          <w:numId w:val="3"/>
        </w:numPr>
        <w:tabs>
          <w:tab w:val="left" w:pos="-1440"/>
        </w:tabs>
        <w:jc w:val="both"/>
        <w:rPr>
          <w:b/>
          <w:bCs/>
          <w:sz w:val="25"/>
          <w:szCs w:val="25"/>
        </w:rPr>
      </w:pPr>
      <w:r w:rsidRPr="00582F03">
        <w:rPr>
          <w:b/>
          <w:bCs/>
          <w:sz w:val="25"/>
          <w:szCs w:val="25"/>
        </w:rPr>
        <w:t>in connection with a statistical survey, that is not designed to produce valid and reliable results that can be generalized to the universe of study;</w:t>
      </w:r>
    </w:p>
    <w:p w:rsidR="00377F84" w:rsidRPr="00582F03" w:rsidP="00377F84" w14:paraId="60498B0A" w14:textId="77777777">
      <w:pPr>
        <w:jc w:val="both"/>
        <w:rPr>
          <w:b/>
          <w:bCs/>
          <w:sz w:val="25"/>
          <w:szCs w:val="25"/>
        </w:rPr>
      </w:pPr>
    </w:p>
    <w:p w:rsidR="00377F84" w:rsidRPr="00582F03" w:rsidP="00377F84" w14:paraId="0067F6AC" w14:textId="77777777">
      <w:pPr>
        <w:pStyle w:val="Level1"/>
        <w:numPr>
          <w:ilvl w:val="0"/>
          <w:numId w:val="3"/>
        </w:numPr>
        <w:tabs>
          <w:tab w:val="left" w:pos="-1440"/>
        </w:tabs>
        <w:jc w:val="both"/>
        <w:rPr>
          <w:b/>
          <w:bCs/>
          <w:sz w:val="25"/>
          <w:szCs w:val="25"/>
        </w:rPr>
      </w:pPr>
      <w:r w:rsidRPr="00582F03">
        <w:rPr>
          <w:b/>
          <w:bCs/>
          <w:sz w:val="25"/>
          <w:szCs w:val="25"/>
        </w:rPr>
        <w:t>requiring the use of statistical data classification that has not been reviewed and approved by OMB;</w:t>
      </w:r>
    </w:p>
    <w:p w:rsidR="00377F84" w:rsidRPr="00582F03" w:rsidP="00377F84" w14:paraId="2F6ED783" w14:textId="77777777">
      <w:pPr>
        <w:jc w:val="both"/>
        <w:rPr>
          <w:b/>
          <w:bCs/>
          <w:sz w:val="25"/>
          <w:szCs w:val="25"/>
        </w:rPr>
      </w:pPr>
    </w:p>
    <w:p w:rsidR="00377F84" w:rsidRPr="00582F03" w:rsidP="00377F84" w14:paraId="4A4E8AD1" w14:textId="77777777">
      <w:pPr>
        <w:pStyle w:val="Level1"/>
        <w:numPr>
          <w:ilvl w:val="0"/>
          <w:numId w:val="3"/>
        </w:numPr>
        <w:tabs>
          <w:tab w:val="left" w:pos="-1440"/>
        </w:tabs>
        <w:jc w:val="both"/>
        <w:rPr>
          <w:b/>
          <w:bCs/>
          <w:sz w:val="25"/>
          <w:szCs w:val="25"/>
        </w:rPr>
      </w:pPr>
      <w:r w:rsidRPr="00582F03">
        <w:rPr>
          <w:b/>
          <w:bCs/>
          <w:sz w:val="25"/>
          <w:szCs w:val="2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77F84" w:rsidRPr="00582F03" w:rsidP="00377F84" w14:paraId="42304E11" w14:textId="77777777">
      <w:pPr>
        <w:jc w:val="both"/>
        <w:rPr>
          <w:b/>
          <w:bCs/>
          <w:sz w:val="25"/>
          <w:szCs w:val="25"/>
        </w:rPr>
      </w:pPr>
    </w:p>
    <w:p w:rsidR="00377F84" w:rsidRPr="00582F03" w:rsidP="00377F84" w14:paraId="522FA95B" w14:textId="77777777">
      <w:pPr>
        <w:pStyle w:val="Level1"/>
        <w:numPr>
          <w:ilvl w:val="0"/>
          <w:numId w:val="3"/>
        </w:numPr>
        <w:tabs>
          <w:tab w:val="left" w:pos="-1440"/>
        </w:tabs>
        <w:jc w:val="both"/>
        <w:rPr>
          <w:sz w:val="25"/>
          <w:szCs w:val="25"/>
        </w:rPr>
      </w:pPr>
      <w:r w:rsidRPr="00582F03">
        <w:rPr>
          <w:b/>
          <w:bCs/>
          <w:sz w:val="25"/>
          <w:szCs w:val="25"/>
        </w:rPr>
        <w:t xml:space="preserve">requiring </w:t>
      </w:r>
      <w:r>
        <w:rPr>
          <w:b/>
          <w:bCs/>
          <w:sz w:val="25"/>
          <w:szCs w:val="25"/>
        </w:rPr>
        <w:t>respondents</w:t>
      </w:r>
      <w:r w:rsidRPr="00582F03">
        <w:rPr>
          <w:b/>
          <w:bCs/>
          <w:sz w:val="25"/>
          <w:szCs w:val="25"/>
        </w:rPr>
        <w:t xml:space="preserve"> to submit proprietary trade secrets, or other confidential information unless the agency can demonstrate that it has instituted procedures to protect the information’s confidentiality to the extent permitted by law.</w:t>
      </w:r>
    </w:p>
    <w:p w:rsidR="006A7420" w:rsidP="00377F84" w14:paraId="0980F755" w14:textId="77777777">
      <w:pPr>
        <w:jc w:val="both"/>
        <w:rPr>
          <w:sz w:val="25"/>
          <w:szCs w:val="25"/>
        </w:rPr>
      </w:pPr>
    </w:p>
    <w:p w:rsidR="00377F84" w:rsidRPr="00582F03" w:rsidP="00377F84" w14:paraId="339D213E" w14:textId="77777777">
      <w:pPr>
        <w:rPr>
          <w:sz w:val="25"/>
          <w:szCs w:val="25"/>
        </w:rPr>
      </w:pPr>
      <w:r w:rsidRPr="00582F03">
        <w:rPr>
          <w:sz w:val="25"/>
          <w:szCs w:val="25"/>
        </w:rPr>
        <w:t>There are no special circumstances that pertain to this data collection.</w:t>
      </w:r>
    </w:p>
    <w:p w:rsidR="00377F84" w:rsidP="00377F84" w14:paraId="2E110531" w14:textId="77777777">
      <w:pPr>
        <w:rPr>
          <w:sz w:val="25"/>
          <w:szCs w:val="25"/>
        </w:rPr>
      </w:pPr>
    </w:p>
    <w:p w:rsidR="00377F84" w:rsidRPr="00582F03" w:rsidP="00377F84" w14:paraId="64E0E101" w14:textId="77777777">
      <w:pPr>
        <w:rPr>
          <w:sz w:val="25"/>
          <w:szCs w:val="25"/>
        </w:rPr>
      </w:pPr>
      <w:r w:rsidRPr="00582F03">
        <w:rPr>
          <w:b/>
          <w:bCs/>
          <w:sz w:val="25"/>
          <w:szCs w:val="25"/>
        </w:rPr>
        <w:t xml:space="preserve">8.  If applicable, provide a copy and identify the date and page number of </w:t>
      </w:r>
      <w:r w:rsidRPr="00582F03">
        <w:rPr>
          <w:b/>
          <w:bCs/>
          <w:sz w:val="25"/>
          <w:szCs w:val="25"/>
        </w:rPr>
        <w:t>publication</w:t>
      </w:r>
      <w:r w:rsidRPr="00582F03">
        <w:rPr>
          <w:b/>
          <w:bCs/>
          <w:sz w:val="25"/>
          <w:szCs w:val="25"/>
        </w:rPr>
        <w:t xml:space="preserve">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sidRPr="00582F03">
        <w:rPr>
          <w:sz w:val="25"/>
          <w:szCs w:val="25"/>
        </w:rPr>
        <w:t>.</w:t>
      </w:r>
    </w:p>
    <w:p w:rsidR="00377F84" w:rsidRPr="00582F03" w:rsidP="00377F84" w14:paraId="2224BE2E" w14:textId="77777777">
      <w:pPr>
        <w:rPr>
          <w:sz w:val="25"/>
          <w:szCs w:val="25"/>
        </w:rPr>
      </w:pPr>
    </w:p>
    <w:p w:rsidR="00E15F12" w:rsidRPr="00582F03" w:rsidP="00E15F12" w14:paraId="1CEE74DF" w14:textId="77777777">
      <w:pPr>
        <w:rPr>
          <w:sz w:val="25"/>
          <w:szCs w:val="25"/>
        </w:rPr>
      </w:pPr>
      <w:r w:rsidRPr="00582F03">
        <w:rPr>
          <w:sz w:val="25"/>
          <w:szCs w:val="25"/>
        </w:rPr>
        <w:t xml:space="preserve">The 60-day notice was published on </w:t>
      </w:r>
      <w:r>
        <w:rPr>
          <w:sz w:val="25"/>
          <w:szCs w:val="25"/>
        </w:rPr>
        <w:t xml:space="preserve">August 11, </w:t>
      </w:r>
      <w:r>
        <w:rPr>
          <w:sz w:val="25"/>
          <w:szCs w:val="25"/>
        </w:rPr>
        <w:t>2025</w:t>
      </w:r>
      <w:r>
        <w:rPr>
          <w:sz w:val="25"/>
          <w:szCs w:val="25"/>
        </w:rPr>
        <w:t xml:space="preserve"> </w:t>
      </w:r>
      <w:r w:rsidRPr="00582F03">
        <w:rPr>
          <w:sz w:val="25"/>
          <w:szCs w:val="25"/>
        </w:rPr>
        <w:t xml:space="preserve">in </w:t>
      </w:r>
      <w:r>
        <w:rPr>
          <w:sz w:val="25"/>
          <w:szCs w:val="25"/>
        </w:rPr>
        <w:t>90</w:t>
      </w:r>
      <w:r w:rsidRPr="00582F03">
        <w:rPr>
          <w:sz w:val="25"/>
          <w:szCs w:val="25"/>
        </w:rPr>
        <w:t xml:space="preserve"> FR </w:t>
      </w:r>
      <w:r>
        <w:rPr>
          <w:sz w:val="25"/>
          <w:szCs w:val="25"/>
        </w:rPr>
        <w:t xml:space="preserve">38695.  </w:t>
      </w:r>
      <w:r w:rsidRPr="00582F03">
        <w:rPr>
          <w:sz w:val="25"/>
          <w:szCs w:val="25"/>
        </w:rPr>
        <w:t>No comments were received.</w:t>
      </w:r>
    </w:p>
    <w:p w:rsidR="00E15F12" w:rsidRPr="00582F03" w:rsidP="00E15F12" w14:paraId="030646B0" w14:textId="77777777">
      <w:pPr>
        <w:rPr>
          <w:sz w:val="25"/>
          <w:szCs w:val="25"/>
        </w:rPr>
      </w:pPr>
    </w:p>
    <w:p w:rsidR="00E15F12" w:rsidRPr="00582F03" w:rsidP="00E15F12" w14:paraId="22D27FD8" w14:textId="77777777">
      <w:pPr>
        <w:rPr>
          <w:sz w:val="25"/>
          <w:szCs w:val="25"/>
        </w:rPr>
      </w:pPr>
      <w:r w:rsidRPr="00582F03">
        <w:rPr>
          <w:sz w:val="25"/>
          <w:szCs w:val="25"/>
        </w:rPr>
        <w:t xml:space="preserve">The 30-day notice was published on </w:t>
      </w:r>
      <w:r>
        <w:rPr>
          <w:sz w:val="25"/>
          <w:szCs w:val="25"/>
        </w:rPr>
        <w:t xml:space="preserve">November 17, </w:t>
      </w:r>
      <w:r>
        <w:rPr>
          <w:sz w:val="25"/>
          <w:szCs w:val="25"/>
        </w:rPr>
        <w:t>2025</w:t>
      </w:r>
      <w:r w:rsidRPr="00582F03">
        <w:rPr>
          <w:sz w:val="25"/>
          <w:szCs w:val="25"/>
        </w:rPr>
        <w:t xml:space="preserve"> in </w:t>
      </w:r>
      <w:r>
        <w:rPr>
          <w:sz w:val="25"/>
          <w:szCs w:val="25"/>
        </w:rPr>
        <w:t>90</w:t>
      </w:r>
      <w:r w:rsidRPr="00582F03">
        <w:rPr>
          <w:sz w:val="25"/>
          <w:szCs w:val="25"/>
        </w:rPr>
        <w:t xml:space="preserve"> FR </w:t>
      </w:r>
      <w:r>
        <w:rPr>
          <w:sz w:val="25"/>
          <w:szCs w:val="25"/>
        </w:rPr>
        <w:t xml:space="preserve">51440.  </w:t>
      </w:r>
      <w:r w:rsidRPr="00582F03">
        <w:rPr>
          <w:sz w:val="25"/>
          <w:szCs w:val="25"/>
        </w:rPr>
        <w:t>No comments were received.</w:t>
      </w:r>
    </w:p>
    <w:p w:rsidR="00377F84" w:rsidRPr="00582F03" w:rsidP="00377F84" w14:paraId="0BBBDF49" w14:textId="77777777">
      <w:pPr>
        <w:rPr>
          <w:sz w:val="25"/>
          <w:szCs w:val="25"/>
        </w:rPr>
      </w:pPr>
    </w:p>
    <w:p w:rsidR="00377F84" w:rsidRPr="00582F03" w:rsidP="00377F84" w14:paraId="5DCE24BC" w14:textId="77777777">
      <w:pPr>
        <w:rPr>
          <w:b/>
          <w:bCs/>
          <w:sz w:val="25"/>
          <w:szCs w:val="25"/>
        </w:rPr>
      </w:pPr>
      <w:r w:rsidRPr="00582F03">
        <w:rPr>
          <w:b/>
          <w:bCs/>
          <w:sz w:val="25"/>
          <w:szCs w:val="25"/>
        </w:rPr>
        <w:t xml:space="preserve">9. Explain any decision to provide any payment or gift to </w:t>
      </w:r>
      <w:r>
        <w:rPr>
          <w:b/>
          <w:bCs/>
          <w:sz w:val="25"/>
          <w:szCs w:val="25"/>
        </w:rPr>
        <w:t>respondents</w:t>
      </w:r>
      <w:r w:rsidRPr="00582F03">
        <w:rPr>
          <w:b/>
          <w:bCs/>
          <w:sz w:val="25"/>
          <w:szCs w:val="25"/>
        </w:rPr>
        <w:t>, other than re-enumeration of contractors or grantees.</w:t>
      </w:r>
    </w:p>
    <w:p w:rsidR="00377F84" w:rsidRPr="00582F03" w:rsidP="00377F84" w14:paraId="48643569" w14:textId="77777777">
      <w:pPr>
        <w:rPr>
          <w:sz w:val="25"/>
          <w:szCs w:val="25"/>
        </w:rPr>
      </w:pPr>
    </w:p>
    <w:p w:rsidR="00377F84" w:rsidRPr="00582F03" w:rsidP="00377F84" w14:paraId="4761D350" w14:textId="77777777">
      <w:pPr>
        <w:rPr>
          <w:sz w:val="25"/>
          <w:szCs w:val="25"/>
        </w:rPr>
      </w:pPr>
      <w:r w:rsidRPr="00582F03">
        <w:rPr>
          <w:sz w:val="25"/>
          <w:szCs w:val="25"/>
        </w:rPr>
        <w:t xml:space="preserve">No payment or gift of any kind is being made to any </w:t>
      </w:r>
      <w:r>
        <w:rPr>
          <w:sz w:val="25"/>
          <w:szCs w:val="25"/>
        </w:rPr>
        <w:t>respondents</w:t>
      </w:r>
      <w:r w:rsidRPr="00582F03">
        <w:rPr>
          <w:sz w:val="25"/>
          <w:szCs w:val="25"/>
        </w:rPr>
        <w:t>.</w:t>
      </w:r>
    </w:p>
    <w:p w:rsidR="00377F84" w:rsidP="00377F84" w14:paraId="0EF4798F" w14:textId="77777777">
      <w:pPr>
        <w:rPr>
          <w:sz w:val="25"/>
          <w:szCs w:val="25"/>
        </w:rPr>
      </w:pPr>
    </w:p>
    <w:p w:rsidR="00637738" w:rsidRPr="00582F03" w:rsidP="00377F84" w14:paraId="53E82017" w14:textId="77777777">
      <w:pPr>
        <w:rPr>
          <w:sz w:val="25"/>
          <w:szCs w:val="25"/>
        </w:rPr>
      </w:pPr>
    </w:p>
    <w:p w:rsidR="00377F84" w:rsidRPr="00582F03" w:rsidP="00377F84" w14:paraId="0B23F497" w14:textId="77777777">
      <w:pPr>
        <w:rPr>
          <w:b/>
          <w:bCs/>
          <w:sz w:val="25"/>
          <w:szCs w:val="25"/>
        </w:rPr>
      </w:pPr>
      <w:r w:rsidRPr="00582F03">
        <w:rPr>
          <w:b/>
          <w:bCs/>
          <w:sz w:val="25"/>
          <w:szCs w:val="25"/>
        </w:rPr>
        <w:t xml:space="preserve">10.  Describe any assurances of confidentiality provided to </w:t>
      </w:r>
      <w:r>
        <w:rPr>
          <w:b/>
          <w:bCs/>
          <w:sz w:val="25"/>
          <w:szCs w:val="25"/>
        </w:rPr>
        <w:t>respondents</w:t>
      </w:r>
      <w:r w:rsidRPr="00582F03">
        <w:rPr>
          <w:b/>
          <w:bCs/>
          <w:sz w:val="25"/>
          <w:szCs w:val="25"/>
        </w:rPr>
        <w:t>.</w:t>
      </w:r>
    </w:p>
    <w:p w:rsidR="00377F84" w:rsidRPr="00582F03" w:rsidP="00377F84" w14:paraId="7D6AFD59" w14:textId="77777777">
      <w:pPr>
        <w:rPr>
          <w:sz w:val="25"/>
          <w:szCs w:val="25"/>
        </w:rPr>
      </w:pPr>
    </w:p>
    <w:p w:rsidR="00377F84" w:rsidRPr="00582F03" w:rsidP="00377F84" w14:paraId="0C863DE4" w14:textId="18D288DE">
      <w:pPr>
        <w:rPr>
          <w:sz w:val="25"/>
          <w:szCs w:val="25"/>
        </w:rPr>
      </w:pPr>
      <w:r w:rsidRPr="00582F03">
        <w:rPr>
          <w:sz w:val="25"/>
          <w:szCs w:val="25"/>
        </w:rPr>
        <w:t xml:space="preserve">International </w:t>
      </w:r>
      <w:r w:rsidR="00820393">
        <w:rPr>
          <w:sz w:val="25"/>
          <w:szCs w:val="25"/>
        </w:rPr>
        <w:t>O&amp;D</w:t>
      </w:r>
      <w:r w:rsidRPr="00582F03">
        <w:rPr>
          <w:sz w:val="25"/>
          <w:szCs w:val="25"/>
        </w:rPr>
        <w:t xml:space="preserve"> data</w:t>
      </w:r>
      <w:r w:rsidR="00B94BCC">
        <w:rPr>
          <w:sz w:val="25"/>
          <w:szCs w:val="25"/>
        </w:rPr>
        <w:t>, collected from foreign air carriers,</w:t>
      </w:r>
      <w:r w:rsidRPr="00582F03">
        <w:rPr>
          <w:sz w:val="25"/>
          <w:szCs w:val="25"/>
        </w:rPr>
        <w:t xml:space="preserve"> are res</w:t>
      </w:r>
      <w:r w:rsidR="004A2B60">
        <w:rPr>
          <w:sz w:val="25"/>
          <w:szCs w:val="25"/>
        </w:rPr>
        <w:t xml:space="preserve">tricted as set forth in 14 CFR </w:t>
      </w:r>
      <w:r w:rsidR="00E10549">
        <w:rPr>
          <w:sz w:val="25"/>
          <w:szCs w:val="25"/>
        </w:rPr>
        <w:t xml:space="preserve">Part </w:t>
      </w:r>
      <w:r w:rsidRPr="00582F03">
        <w:rPr>
          <w:sz w:val="25"/>
          <w:szCs w:val="25"/>
        </w:rPr>
        <w:t>241</w:t>
      </w:r>
      <w:r w:rsidR="00E10549">
        <w:rPr>
          <w:sz w:val="25"/>
          <w:szCs w:val="25"/>
        </w:rPr>
        <w:t xml:space="preserve"> Section </w:t>
      </w:r>
      <w:r w:rsidRPr="00582F03">
        <w:rPr>
          <w:sz w:val="25"/>
          <w:szCs w:val="25"/>
        </w:rPr>
        <w:t>19-7(d) of the Department’s regulations.  U.S. carriers’</w:t>
      </w:r>
      <w:r w:rsidR="004A2B60">
        <w:rPr>
          <w:sz w:val="25"/>
          <w:szCs w:val="25"/>
        </w:rPr>
        <w:t xml:space="preserve"> domestic to</w:t>
      </w:r>
      <w:r w:rsidRPr="00582F03">
        <w:rPr>
          <w:sz w:val="25"/>
          <w:szCs w:val="25"/>
        </w:rPr>
        <w:t xml:space="preserve"> international data are restricted because comparable foreign data are not available.  All requests for access to these data must be submitted in writing to the Department for approval and criteria established for the release of data</w:t>
      </w:r>
      <w:r>
        <w:rPr>
          <w:sz w:val="25"/>
          <w:szCs w:val="25"/>
        </w:rPr>
        <w:t xml:space="preserve"> must be met, including certification that</w:t>
      </w:r>
      <w:r w:rsidRPr="00582F03">
        <w:rPr>
          <w:sz w:val="25"/>
          <w:szCs w:val="25"/>
        </w:rPr>
        <w:t xml:space="preserve"> international </w:t>
      </w:r>
      <w:r w:rsidR="00A10B6A">
        <w:rPr>
          <w:sz w:val="25"/>
          <w:szCs w:val="25"/>
        </w:rPr>
        <w:t>O&amp;D data</w:t>
      </w:r>
      <w:r w:rsidRPr="00582F03">
        <w:rPr>
          <w:sz w:val="25"/>
          <w:szCs w:val="25"/>
        </w:rPr>
        <w:t xml:space="preserve"> </w:t>
      </w:r>
      <w:r>
        <w:rPr>
          <w:sz w:val="25"/>
          <w:szCs w:val="25"/>
        </w:rPr>
        <w:t>will</w:t>
      </w:r>
      <w:r w:rsidRPr="00582F03">
        <w:rPr>
          <w:sz w:val="25"/>
          <w:szCs w:val="25"/>
        </w:rPr>
        <w:t xml:space="preserve"> only </w:t>
      </w:r>
      <w:r>
        <w:rPr>
          <w:sz w:val="25"/>
          <w:szCs w:val="25"/>
        </w:rPr>
        <w:t xml:space="preserve">be </w:t>
      </w:r>
      <w:r w:rsidRPr="00582F03">
        <w:rPr>
          <w:sz w:val="25"/>
          <w:szCs w:val="25"/>
        </w:rPr>
        <w:t>use</w:t>
      </w:r>
      <w:r>
        <w:rPr>
          <w:sz w:val="25"/>
          <w:szCs w:val="25"/>
        </w:rPr>
        <w:t>d</w:t>
      </w:r>
      <w:r w:rsidRPr="00582F03">
        <w:rPr>
          <w:sz w:val="25"/>
          <w:szCs w:val="25"/>
        </w:rPr>
        <w:t xml:space="preserve"> for internal purposes and cannot </w:t>
      </w:r>
      <w:r>
        <w:rPr>
          <w:sz w:val="25"/>
          <w:szCs w:val="25"/>
        </w:rPr>
        <w:t xml:space="preserve">be </w:t>
      </w:r>
      <w:r w:rsidRPr="00582F03">
        <w:rPr>
          <w:sz w:val="25"/>
          <w:szCs w:val="25"/>
        </w:rPr>
        <w:t>divulge</w:t>
      </w:r>
      <w:r>
        <w:rPr>
          <w:sz w:val="25"/>
          <w:szCs w:val="25"/>
        </w:rPr>
        <w:t>d</w:t>
      </w:r>
      <w:r w:rsidRPr="00582F03">
        <w:rPr>
          <w:sz w:val="25"/>
          <w:szCs w:val="25"/>
        </w:rPr>
        <w:t xml:space="preserve"> to other parties.</w:t>
      </w:r>
    </w:p>
    <w:p w:rsidR="00377F84" w:rsidP="00377F84" w14:paraId="1500FF5D" w14:textId="77777777">
      <w:pPr>
        <w:rPr>
          <w:sz w:val="25"/>
          <w:szCs w:val="25"/>
        </w:rPr>
      </w:pPr>
    </w:p>
    <w:p w:rsidR="00377F84" w:rsidRPr="00582F03" w:rsidP="00377F84" w14:paraId="661206B4" w14:textId="77777777">
      <w:pPr>
        <w:rPr>
          <w:b/>
          <w:bCs/>
          <w:sz w:val="25"/>
          <w:szCs w:val="25"/>
        </w:rPr>
      </w:pPr>
      <w:r w:rsidRPr="00582F03">
        <w:rPr>
          <w:b/>
          <w:bCs/>
          <w:sz w:val="25"/>
          <w:szCs w:val="25"/>
        </w:rPr>
        <w:t>11.  Are there any questions of a sensitive nature?</w:t>
      </w:r>
    </w:p>
    <w:p w:rsidR="00E83F39" w:rsidP="00377F84" w14:paraId="5C981AA1" w14:textId="77777777">
      <w:pPr>
        <w:rPr>
          <w:sz w:val="25"/>
          <w:szCs w:val="25"/>
        </w:rPr>
      </w:pPr>
    </w:p>
    <w:p w:rsidR="00377F84" w:rsidRPr="00582F03" w:rsidP="00377F84" w14:paraId="52427A43" w14:textId="77777777">
      <w:pPr>
        <w:rPr>
          <w:sz w:val="25"/>
          <w:szCs w:val="25"/>
        </w:rPr>
      </w:pPr>
      <w:r w:rsidRPr="00582F03">
        <w:rPr>
          <w:sz w:val="25"/>
          <w:szCs w:val="25"/>
        </w:rPr>
        <w:t>There are no questions of a sensitive nature.</w:t>
      </w:r>
    </w:p>
    <w:p w:rsidR="00E83F39" w:rsidP="00377F84" w14:paraId="5B594C22" w14:textId="77777777">
      <w:pPr>
        <w:rPr>
          <w:b/>
          <w:bCs/>
          <w:sz w:val="25"/>
          <w:szCs w:val="25"/>
        </w:rPr>
      </w:pPr>
    </w:p>
    <w:p w:rsidR="00377F84" w:rsidRPr="00582F03" w:rsidP="00377F84" w14:paraId="74C93EF4" w14:textId="77777777">
      <w:pPr>
        <w:rPr>
          <w:sz w:val="25"/>
          <w:szCs w:val="25"/>
        </w:rPr>
      </w:pPr>
      <w:r w:rsidRPr="00582F03">
        <w:rPr>
          <w:b/>
          <w:bCs/>
          <w:sz w:val="25"/>
          <w:szCs w:val="25"/>
        </w:rPr>
        <w:t>12.  Provide estimates of reporting burden</w:t>
      </w:r>
      <w:r w:rsidRPr="00582F03">
        <w:rPr>
          <w:sz w:val="25"/>
          <w:szCs w:val="25"/>
        </w:rPr>
        <w:t>.</w:t>
      </w:r>
    </w:p>
    <w:p w:rsidR="00F90747" w:rsidP="00377F84" w14:paraId="678105E8" w14:textId="77777777">
      <w:pPr>
        <w:rPr>
          <w:sz w:val="25"/>
          <w:szCs w:val="25"/>
        </w:rPr>
      </w:pPr>
    </w:p>
    <w:p w:rsidR="00377F84" w:rsidP="00377F84" w14:paraId="5BCC8B71" w14:textId="77777777">
      <w:pPr>
        <w:rPr>
          <w:sz w:val="25"/>
          <w:szCs w:val="25"/>
        </w:rPr>
      </w:pPr>
      <w:r>
        <w:rPr>
          <w:sz w:val="25"/>
          <w:szCs w:val="25"/>
        </w:rPr>
        <w:t xml:space="preserve">Below are the estimates of reporting burden on the </w:t>
      </w:r>
      <w:r w:rsidR="000D4A1A">
        <w:rPr>
          <w:sz w:val="25"/>
          <w:szCs w:val="25"/>
        </w:rPr>
        <w:t>r</w:t>
      </w:r>
      <w:r>
        <w:rPr>
          <w:sz w:val="25"/>
          <w:szCs w:val="25"/>
        </w:rPr>
        <w:t>eporting carriers:</w:t>
      </w:r>
    </w:p>
    <w:p w:rsidR="00F90747" w:rsidP="00377F84" w14:paraId="510E590C" w14:textId="77777777">
      <w:pPr>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9"/>
        <w:gridCol w:w="1331"/>
      </w:tblGrid>
      <w:tr w14:paraId="4CF84B45" w14:textId="77777777" w:rsidTr="00312B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2"/>
            <w:tcBorders>
              <w:bottom w:val="single" w:sz="4" w:space="0" w:color="auto"/>
            </w:tcBorders>
            <w:shd w:val="clear" w:color="auto" w:fill="FFFFCC"/>
          </w:tcPr>
          <w:p w:rsidR="00320D24" w:rsidRPr="00115F3C" w:rsidP="00312BF0" w14:paraId="35D1CED3" w14:textId="77777777">
            <w:pPr>
              <w:rPr>
                <w:b/>
                <w:bCs/>
                <w:sz w:val="25"/>
                <w:szCs w:val="25"/>
              </w:rPr>
            </w:pPr>
            <w:r w:rsidRPr="009E3BD4">
              <w:rPr>
                <w:rFonts w:ascii="Arial" w:hAnsi="Arial" w:cs="Arial"/>
                <w:color w:val="0000FF"/>
              </w:rPr>
              <w:t xml:space="preserve">Estimates of </w:t>
            </w:r>
            <w:r>
              <w:rPr>
                <w:rFonts w:ascii="Arial" w:hAnsi="Arial" w:cs="Arial"/>
                <w:color w:val="0000FF"/>
              </w:rPr>
              <w:t>Reporting Burden for O&amp;D Carriers</w:t>
            </w:r>
          </w:p>
        </w:tc>
      </w:tr>
      <w:tr w14:paraId="16EB6A82" w14:textId="77777777" w:rsidTr="00312BF0">
        <w:tblPrEx>
          <w:tblW w:w="0" w:type="auto"/>
          <w:tblLook w:val="04A0"/>
        </w:tblPrEx>
        <w:tc>
          <w:tcPr>
            <w:tcW w:w="8790" w:type="dxa"/>
            <w:gridSpan w:val="2"/>
            <w:shd w:val="clear" w:color="auto" w:fill="auto"/>
          </w:tcPr>
          <w:p w:rsidR="00320D24" w:rsidRPr="00897094" w:rsidP="00312BF0" w14:paraId="6C6C6F01" w14:textId="77777777">
            <w:pPr>
              <w:keepNext/>
              <w:spacing w:line="0" w:lineRule="atLeast"/>
              <w:jc w:val="both"/>
              <w:textAlignment w:val="baseline"/>
              <w:rPr>
                <w:rFonts w:ascii="Arial" w:hAnsi="Arial" w:cs="Arial"/>
                <w:b/>
                <w:color w:val="0000FF"/>
                <w:sz w:val="16"/>
                <w:szCs w:val="16"/>
              </w:rPr>
            </w:pPr>
            <w:r>
              <w:rPr>
                <w:rFonts w:ascii="Arial" w:hAnsi="Arial" w:cs="Arial"/>
                <w:b/>
                <w:color w:val="FF0000"/>
                <w:sz w:val="16"/>
                <w:szCs w:val="16"/>
              </w:rPr>
              <w:t>New 4</w:t>
            </w:r>
            <w:r w:rsidRPr="00897094">
              <w:rPr>
                <w:rFonts w:ascii="Arial" w:hAnsi="Arial" w:cs="Arial"/>
                <w:b/>
                <w:color w:val="FF0000"/>
                <w:sz w:val="16"/>
                <w:szCs w:val="16"/>
              </w:rPr>
              <w:t>0% Collection</w:t>
            </w:r>
          </w:p>
        </w:tc>
      </w:tr>
      <w:tr w14:paraId="03E4BE76" w14:textId="77777777" w:rsidTr="00312BF0">
        <w:tblPrEx>
          <w:tblW w:w="0" w:type="auto"/>
          <w:tblLook w:val="04A0"/>
        </w:tblPrEx>
        <w:tc>
          <w:tcPr>
            <w:tcW w:w="7459" w:type="dxa"/>
            <w:shd w:val="clear" w:color="auto" w:fill="auto"/>
          </w:tcPr>
          <w:p w:rsidR="00320D24" w:rsidRPr="00182FB3" w:rsidP="00312BF0" w14:paraId="6061BB7E" w14:textId="77777777">
            <w:pPr>
              <w:textAlignment w:val="baseline"/>
              <w:rPr>
                <w:rFonts w:ascii="Arial" w:hAnsi="Arial" w:cs="Arial"/>
                <w:b/>
                <w:sz w:val="16"/>
                <w:szCs w:val="16"/>
              </w:rPr>
            </w:pPr>
            <w:r>
              <w:rPr>
                <w:rFonts w:ascii="Arial" w:hAnsi="Arial" w:cs="Arial"/>
                <w:sz w:val="16"/>
                <w:szCs w:val="16"/>
              </w:rPr>
              <w:t>Number of Respondents</w:t>
            </w:r>
          </w:p>
        </w:tc>
        <w:tc>
          <w:tcPr>
            <w:tcW w:w="1331" w:type="dxa"/>
            <w:shd w:val="clear" w:color="auto" w:fill="auto"/>
          </w:tcPr>
          <w:p w:rsidR="00320D24" w:rsidRPr="002D4282" w:rsidP="00312BF0" w14:paraId="2062A871" w14:textId="1C1E7A38">
            <w:pPr>
              <w:keepNext/>
              <w:spacing w:line="0" w:lineRule="atLeast"/>
              <w:jc w:val="both"/>
              <w:textAlignment w:val="baseline"/>
              <w:rPr>
                <w:rFonts w:ascii="Arial" w:hAnsi="Arial" w:cs="Arial"/>
                <w:sz w:val="16"/>
                <w:szCs w:val="16"/>
              </w:rPr>
            </w:pPr>
            <w:r w:rsidRPr="00E15F12">
              <w:rPr>
                <w:rFonts w:ascii="Arial" w:hAnsi="Arial" w:cs="Arial"/>
                <w:sz w:val="16"/>
                <w:szCs w:val="16"/>
              </w:rPr>
              <w:t>100</w:t>
            </w:r>
          </w:p>
        </w:tc>
      </w:tr>
      <w:tr w14:paraId="5D6E5E3F" w14:textId="77777777" w:rsidTr="00312BF0">
        <w:tblPrEx>
          <w:tblW w:w="0" w:type="auto"/>
          <w:tblLook w:val="04A0"/>
        </w:tblPrEx>
        <w:tc>
          <w:tcPr>
            <w:tcW w:w="7459" w:type="dxa"/>
            <w:shd w:val="clear" w:color="auto" w:fill="auto"/>
          </w:tcPr>
          <w:p w:rsidR="00320D24" w:rsidRPr="009E3BD4" w:rsidP="00312BF0" w14:paraId="796B6C50" w14:textId="77777777">
            <w:pPr>
              <w:textAlignment w:val="baseline"/>
              <w:rPr>
                <w:rFonts w:ascii="Arial" w:hAnsi="Arial" w:cs="Arial"/>
                <w:sz w:val="16"/>
                <w:szCs w:val="16"/>
              </w:rPr>
            </w:pPr>
            <w:r>
              <w:rPr>
                <w:rFonts w:ascii="Arial" w:hAnsi="Arial" w:cs="Arial"/>
                <w:sz w:val="16"/>
                <w:szCs w:val="16"/>
              </w:rPr>
              <w:t>Frequency of Responses (per year)</w:t>
            </w:r>
          </w:p>
        </w:tc>
        <w:tc>
          <w:tcPr>
            <w:tcW w:w="1331" w:type="dxa"/>
            <w:shd w:val="clear" w:color="auto" w:fill="auto"/>
          </w:tcPr>
          <w:p w:rsidR="00320D24" w:rsidRPr="009E3BD4" w:rsidP="00312BF0" w14:paraId="292722CA" w14:textId="77777777">
            <w:pPr>
              <w:keepNext/>
              <w:spacing w:line="0" w:lineRule="atLeast"/>
              <w:jc w:val="both"/>
              <w:textAlignment w:val="baseline"/>
              <w:rPr>
                <w:rFonts w:ascii="Arial" w:hAnsi="Arial" w:cs="Arial"/>
                <w:sz w:val="16"/>
                <w:szCs w:val="16"/>
              </w:rPr>
            </w:pPr>
            <w:r>
              <w:rPr>
                <w:rFonts w:ascii="Arial" w:hAnsi="Arial" w:cs="Arial"/>
                <w:sz w:val="16"/>
                <w:szCs w:val="16"/>
              </w:rPr>
              <w:t>12</w:t>
            </w:r>
          </w:p>
        </w:tc>
      </w:tr>
      <w:tr w14:paraId="6AB458CA" w14:textId="77777777" w:rsidTr="00312BF0">
        <w:tblPrEx>
          <w:tblW w:w="0" w:type="auto"/>
          <w:tblLook w:val="04A0"/>
        </w:tblPrEx>
        <w:tc>
          <w:tcPr>
            <w:tcW w:w="7459" w:type="dxa"/>
            <w:shd w:val="clear" w:color="auto" w:fill="auto"/>
          </w:tcPr>
          <w:p w:rsidR="00320D24" w:rsidRPr="009E3BD4" w:rsidP="00312BF0" w14:paraId="6E227FEF" w14:textId="77777777">
            <w:pPr>
              <w:textAlignment w:val="baseline"/>
              <w:rPr>
                <w:rFonts w:ascii="Arial" w:hAnsi="Arial" w:cs="Arial"/>
                <w:sz w:val="16"/>
                <w:szCs w:val="16"/>
              </w:rPr>
            </w:pPr>
            <w:r>
              <w:rPr>
                <w:rFonts w:ascii="Arial" w:hAnsi="Arial" w:cs="Arial"/>
                <w:sz w:val="16"/>
                <w:szCs w:val="16"/>
              </w:rPr>
              <w:t>Annual Responses</w:t>
            </w:r>
          </w:p>
        </w:tc>
        <w:tc>
          <w:tcPr>
            <w:tcW w:w="1331" w:type="dxa"/>
            <w:shd w:val="clear" w:color="auto" w:fill="auto"/>
          </w:tcPr>
          <w:p w:rsidR="00320D24" w:rsidRPr="009E3BD4" w:rsidP="00312BF0" w14:paraId="3C92E6FD" w14:textId="155020CC">
            <w:pPr>
              <w:keepNext/>
              <w:spacing w:line="0" w:lineRule="atLeast"/>
              <w:jc w:val="both"/>
              <w:textAlignment w:val="baseline"/>
              <w:rPr>
                <w:rFonts w:ascii="Arial" w:hAnsi="Arial" w:cs="Arial"/>
                <w:sz w:val="16"/>
                <w:szCs w:val="16"/>
              </w:rPr>
            </w:pPr>
            <w:r>
              <w:rPr>
                <w:rFonts w:ascii="Arial" w:hAnsi="Arial" w:cs="Arial"/>
                <w:sz w:val="16"/>
                <w:szCs w:val="16"/>
              </w:rPr>
              <w:t>1,2</w:t>
            </w:r>
            <w:r w:rsidR="00E15F12">
              <w:rPr>
                <w:rFonts w:ascii="Arial" w:hAnsi="Arial" w:cs="Arial"/>
                <w:sz w:val="16"/>
                <w:szCs w:val="16"/>
              </w:rPr>
              <w:t>00</w:t>
            </w:r>
          </w:p>
        </w:tc>
      </w:tr>
      <w:tr w14:paraId="62D64769" w14:textId="77777777" w:rsidTr="00312BF0">
        <w:tblPrEx>
          <w:tblW w:w="0" w:type="auto"/>
          <w:tblLook w:val="04A0"/>
        </w:tblPrEx>
        <w:tc>
          <w:tcPr>
            <w:tcW w:w="7459" w:type="dxa"/>
            <w:shd w:val="clear" w:color="auto" w:fill="auto"/>
          </w:tcPr>
          <w:p w:rsidR="00320D24" w:rsidRPr="009E3BD4" w:rsidP="00312BF0" w14:paraId="23BF3844" w14:textId="77777777">
            <w:pPr>
              <w:textAlignment w:val="baseline"/>
              <w:rPr>
                <w:rFonts w:ascii="Arial" w:hAnsi="Arial" w:cs="Arial"/>
                <w:sz w:val="16"/>
                <w:szCs w:val="16"/>
              </w:rPr>
            </w:pPr>
            <w:r>
              <w:rPr>
                <w:rFonts w:ascii="Arial" w:hAnsi="Arial" w:cs="Arial"/>
                <w:sz w:val="16"/>
                <w:szCs w:val="16"/>
              </w:rPr>
              <w:t>Burden per Response (Hours)</w:t>
            </w:r>
          </w:p>
        </w:tc>
        <w:tc>
          <w:tcPr>
            <w:tcW w:w="1331" w:type="dxa"/>
            <w:shd w:val="clear" w:color="auto" w:fill="auto"/>
          </w:tcPr>
          <w:p w:rsidR="00320D24" w:rsidRPr="002D4282" w:rsidP="00312BF0" w14:paraId="79DE5E58" w14:textId="77777777">
            <w:pPr>
              <w:keepNext/>
              <w:spacing w:line="0" w:lineRule="atLeast"/>
              <w:jc w:val="both"/>
              <w:textAlignment w:val="baseline"/>
              <w:rPr>
                <w:rFonts w:ascii="Arial" w:hAnsi="Arial" w:cs="Arial"/>
                <w:sz w:val="16"/>
                <w:szCs w:val="16"/>
                <w:u w:val="single"/>
              </w:rPr>
            </w:pPr>
            <w:r>
              <w:rPr>
                <w:rFonts w:ascii="Arial" w:hAnsi="Arial" w:cs="Arial"/>
                <w:sz w:val="16"/>
                <w:szCs w:val="16"/>
                <w:u w:val="single"/>
              </w:rPr>
              <w:t>3</w:t>
            </w:r>
            <w:r w:rsidRPr="002D4282">
              <w:rPr>
                <w:rFonts w:ascii="Arial" w:hAnsi="Arial" w:cs="Arial"/>
                <w:sz w:val="16"/>
                <w:szCs w:val="16"/>
                <w:u w:val="single"/>
              </w:rPr>
              <w:t>0</w:t>
            </w:r>
          </w:p>
        </w:tc>
      </w:tr>
      <w:tr w14:paraId="20C6664C" w14:textId="77777777" w:rsidTr="00312BF0">
        <w:tblPrEx>
          <w:tblW w:w="0" w:type="auto"/>
          <w:tblLook w:val="04A0"/>
        </w:tblPrEx>
        <w:tc>
          <w:tcPr>
            <w:tcW w:w="7459" w:type="dxa"/>
            <w:shd w:val="clear" w:color="auto" w:fill="auto"/>
          </w:tcPr>
          <w:p w:rsidR="00320D24" w:rsidRPr="009E3BD4" w:rsidP="00312BF0" w14:paraId="517E6148" w14:textId="77777777">
            <w:pPr>
              <w:textAlignment w:val="baseline"/>
              <w:rPr>
                <w:rFonts w:ascii="Arial" w:hAnsi="Arial" w:cs="Arial"/>
                <w:sz w:val="16"/>
                <w:szCs w:val="16"/>
              </w:rPr>
            </w:pPr>
            <w:r>
              <w:rPr>
                <w:rFonts w:ascii="Arial" w:hAnsi="Arial" w:cs="Arial"/>
                <w:sz w:val="16"/>
                <w:szCs w:val="16"/>
              </w:rPr>
              <w:t>Annual Burden Hours</w:t>
            </w:r>
          </w:p>
        </w:tc>
        <w:tc>
          <w:tcPr>
            <w:tcW w:w="1331" w:type="dxa"/>
            <w:shd w:val="clear" w:color="auto" w:fill="auto"/>
          </w:tcPr>
          <w:p w:rsidR="00320D24" w:rsidRPr="009E3BD4" w:rsidP="00312BF0" w14:paraId="7866F4B3" w14:textId="683D9C94">
            <w:pPr>
              <w:keepNext/>
              <w:spacing w:line="0" w:lineRule="atLeast"/>
              <w:jc w:val="both"/>
              <w:textAlignment w:val="baseline"/>
              <w:rPr>
                <w:rFonts w:ascii="Arial" w:hAnsi="Arial" w:cs="Arial"/>
                <w:sz w:val="16"/>
                <w:szCs w:val="16"/>
              </w:rPr>
            </w:pPr>
            <w:r>
              <w:rPr>
                <w:rFonts w:ascii="Arial" w:hAnsi="Arial" w:cs="Arial"/>
                <w:sz w:val="16"/>
                <w:szCs w:val="16"/>
              </w:rPr>
              <w:t>36,</w:t>
            </w:r>
            <w:r w:rsidR="00E15F12">
              <w:rPr>
                <w:rFonts w:ascii="Arial" w:hAnsi="Arial" w:cs="Arial"/>
                <w:sz w:val="16"/>
                <w:szCs w:val="16"/>
              </w:rPr>
              <w:t>000</w:t>
            </w:r>
          </w:p>
        </w:tc>
      </w:tr>
    </w:tbl>
    <w:p w:rsidR="00855E96" w:rsidP="00377F84" w14:paraId="0CFD15E4" w14:textId="77777777">
      <w:pPr>
        <w:rPr>
          <w:b/>
          <w:bCs/>
          <w:sz w:val="25"/>
          <w:szCs w:val="25"/>
        </w:rPr>
      </w:pPr>
    </w:p>
    <w:p w:rsidR="00377F84" w:rsidRPr="00582F03" w:rsidP="00377F84" w14:paraId="764F4168" w14:textId="49062D1A">
      <w:pPr>
        <w:rPr>
          <w:sz w:val="25"/>
          <w:szCs w:val="25"/>
        </w:rPr>
      </w:pPr>
      <w:r w:rsidRPr="00582F03">
        <w:rPr>
          <w:b/>
          <w:bCs/>
          <w:sz w:val="25"/>
          <w:szCs w:val="25"/>
        </w:rPr>
        <w:t xml:space="preserve">13.  Provide an estimate of cost to the </w:t>
      </w:r>
      <w:r>
        <w:rPr>
          <w:b/>
          <w:bCs/>
          <w:sz w:val="25"/>
          <w:szCs w:val="25"/>
        </w:rPr>
        <w:t>respondents</w:t>
      </w:r>
      <w:r w:rsidRPr="00582F03">
        <w:rPr>
          <w:b/>
          <w:bCs/>
          <w:sz w:val="25"/>
          <w:szCs w:val="25"/>
        </w:rPr>
        <w:t xml:space="preserve">.  Do not include the cost of any hour burden shown in items 12 and 14.  General estimates should not include purchase of equipment or services or portions thereof made prior to </w:t>
      </w:r>
      <w:r w:rsidRPr="00582F03">
        <w:rPr>
          <w:b/>
          <w:bCs/>
          <w:sz w:val="25"/>
          <w:szCs w:val="25"/>
        </w:rPr>
        <w:t>October,</w:t>
      </w:r>
      <w:r w:rsidRPr="00582F03">
        <w:rPr>
          <w:b/>
          <w:bCs/>
          <w:sz w:val="25"/>
          <w:szCs w:val="25"/>
        </w:rPr>
        <w:t xml:space="preserve"> 1995.</w:t>
      </w:r>
    </w:p>
    <w:p w:rsidR="00377F84" w:rsidRPr="00582F03" w:rsidP="00377F84" w14:paraId="598D1DC7" w14:textId="77777777">
      <w:pPr>
        <w:rPr>
          <w:sz w:val="25"/>
          <w:szCs w:val="25"/>
        </w:rPr>
      </w:pPr>
    </w:p>
    <w:p w:rsidR="00413C57" w:rsidP="00377F84" w14:paraId="15BC43D2" w14:textId="77777777">
      <w:pPr>
        <w:rPr>
          <w:sz w:val="25"/>
          <w:szCs w:val="25"/>
        </w:rPr>
      </w:pPr>
      <w:r w:rsidRPr="00582F03">
        <w:rPr>
          <w:sz w:val="25"/>
          <w:szCs w:val="25"/>
        </w:rPr>
        <w:t xml:space="preserve">Most of the cost of this data collection is imbedded in the </w:t>
      </w:r>
      <w:r>
        <w:rPr>
          <w:sz w:val="25"/>
          <w:szCs w:val="25"/>
        </w:rPr>
        <w:t xml:space="preserve">normal administrative costs normally incurred by </w:t>
      </w:r>
      <w:r w:rsidRPr="00582F03">
        <w:rPr>
          <w:sz w:val="25"/>
          <w:szCs w:val="25"/>
        </w:rPr>
        <w:t>the carriers</w:t>
      </w:r>
      <w:r>
        <w:rPr>
          <w:sz w:val="25"/>
          <w:szCs w:val="25"/>
        </w:rPr>
        <w:t xml:space="preserve">, including personnel expenses and computer time.  </w:t>
      </w:r>
      <w:r w:rsidR="00202702">
        <w:rPr>
          <w:sz w:val="25"/>
          <w:szCs w:val="25"/>
        </w:rPr>
        <w:t xml:space="preserve"> </w:t>
      </w:r>
    </w:p>
    <w:p w:rsidR="00F75A42" w:rsidP="00072CDB" w14:paraId="728291AC" w14:textId="77777777">
      <w:pPr>
        <w:rPr>
          <w:sz w:val="25"/>
          <w:szCs w:val="25"/>
        </w:rPr>
      </w:pPr>
      <w:r>
        <w:rPr>
          <w:color w:val="000000"/>
          <w:sz w:val="24"/>
          <w:szCs w:val="24"/>
        </w:rPr>
        <w:t>The following categories of hourly costs were taken from the Bureau o</w:t>
      </w:r>
      <w:r w:rsidR="003E5D14">
        <w:rPr>
          <w:color w:val="000000"/>
          <w:sz w:val="24"/>
          <w:szCs w:val="24"/>
        </w:rPr>
        <w:t xml:space="preserve">f Labor Statistics (BLS) site: </w:t>
      </w:r>
      <w:r w:rsidR="00072CDB">
        <w:rPr>
          <w:color w:val="000000"/>
          <w:sz w:val="24"/>
          <w:szCs w:val="24"/>
        </w:rPr>
        <w:t>“</w:t>
      </w:r>
      <w:r>
        <w:rPr>
          <w:color w:val="000000"/>
          <w:sz w:val="24"/>
          <w:szCs w:val="24"/>
        </w:rPr>
        <w:t>Accounting and Auditing Clerks</w:t>
      </w:r>
      <w:r w:rsidR="00072CDB">
        <w:rPr>
          <w:color w:val="000000"/>
          <w:sz w:val="24"/>
          <w:szCs w:val="24"/>
        </w:rPr>
        <w:t>”</w:t>
      </w:r>
      <w:r>
        <w:rPr>
          <w:color w:val="000000"/>
          <w:sz w:val="24"/>
          <w:szCs w:val="24"/>
        </w:rPr>
        <w:t>, wage scale for 43-031 (bookkeeping personnel), $20.65</w:t>
      </w:r>
      <w:r w:rsidR="00072CDB">
        <w:rPr>
          <w:color w:val="000000"/>
          <w:sz w:val="24"/>
          <w:szCs w:val="24"/>
        </w:rPr>
        <w:t xml:space="preserve">; median pay per hour for </w:t>
      </w:r>
      <w:r>
        <w:rPr>
          <w:color w:val="000000"/>
          <w:sz w:val="24"/>
          <w:szCs w:val="24"/>
        </w:rPr>
        <w:t>“Computer Systems Analyst”</w:t>
      </w:r>
      <w:r w:rsidR="00072CDB">
        <w:rPr>
          <w:color w:val="000000"/>
          <w:sz w:val="24"/>
          <w:szCs w:val="24"/>
        </w:rPr>
        <w:t xml:space="preserve"> of $43.71</w:t>
      </w:r>
      <w:r w:rsidR="006D1793">
        <w:rPr>
          <w:color w:val="000000"/>
          <w:sz w:val="24"/>
          <w:szCs w:val="24"/>
        </w:rPr>
        <w:t>,</w:t>
      </w:r>
      <w:r w:rsidR="00072CDB">
        <w:rPr>
          <w:color w:val="000000"/>
          <w:sz w:val="24"/>
          <w:szCs w:val="24"/>
        </w:rPr>
        <w:t xml:space="preserve"> according to 15-1211 Computer Systems Analyst; median pay per hour for “Computer Programming Analyst, $40.52, according to 15-1131 Computer Programmers.</w:t>
      </w:r>
    </w:p>
    <w:p w:rsidR="00377F84" w:rsidP="00377F84" w14:paraId="161B7124" w14:textId="77777777">
      <w:pPr>
        <w:rPr>
          <w:b/>
          <w:bCs/>
          <w:sz w:val="25"/>
          <w:szCs w:val="25"/>
        </w:rPr>
      </w:pPr>
    </w:p>
    <w:p w:rsidR="008335CB" w:rsidP="00377F84" w14:paraId="7D2B6BE0" w14:textId="77777777">
      <w:pPr>
        <w:rPr>
          <w:b/>
          <w:bCs/>
          <w:sz w:val="25"/>
          <w:szCs w:val="25"/>
        </w:rPr>
      </w:pPr>
    </w:p>
    <w:p w:rsidR="000D3E2D" w:rsidRPr="00820A09" w:rsidP="00377F84" w14:paraId="330C1803" w14:textId="77777777">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1620"/>
        <w:gridCol w:w="1614"/>
        <w:gridCol w:w="1331"/>
      </w:tblGrid>
      <w:tr w14:paraId="4FAF90B9" w14:textId="77777777" w:rsidTr="00975D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4"/>
            <w:tcBorders>
              <w:bottom w:val="single" w:sz="4" w:space="0" w:color="auto"/>
            </w:tcBorders>
            <w:shd w:val="clear" w:color="auto" w:fill="FFFFCC"/>
          </w:tcPr>
          <w:p w:rsidR="00897094" w:rsidRPr="00115F3C" w:rsidP="00975D06" w14:paraId="7201F20B" w14:textId="77777777">
            <w:pPr>
              <w:rPr>
                <w:b/>
                <w:bCs/>
                <w:sz w:val="25"/>
                <w:szCs w:val="25"/>
              </w:rPr>
            </w:pPr>
            <w:r w:rsidRPr="009E3BD4">
              <w:rPr>
                <w:rFonts w:ascii="Arial" w:hAnsi="Arial" w:cs="Arial"/>
                <w:color w:val="0000FF"/>
              </w:rPr>
              <w:t xml:space="preserve">Estimates of </w:t>
            </w:r>
            <w:r>
              <w:rPr>
                <w:rFonts w:ascii="Arial" w:hAnsi="Arial" w:cs="Arial"/>
                <w:color w:val="0000FF"/>
              </w:rPr>
              <w:t>C</w:t>
            </w:r>
            <w:r w:rsidRPr="009E3BD4">
              <w:rPr>
                <w:rFonts w:ascii="Arial" w:hAnsi="Arial" w:cs="Arial"/>
                <w:color w:val="0000FF"/>
              </w:rPr>
              <w:t xml:space="preserve">ost to </w:t>
            </w:r>
            <w:r>
              <w:rPr>
                <w:rFonts w:ascii="Arial" w:hAnsi="Arial" w:cs="Arial"/>
                <w:color w:val="0000FF"/>
              </w:rPr>
              <w:t>Carriers</w:t>
            </w:r>
          </w:p>
        </w:tc>
      </w:tr>
      <w:tr w14:paraId="1D2210E5" w14:textId="77777777" w:rsidTr="00975D06">
        <w:tblPrEx>
          <w:tblW w:w="0" w:type="auto"/>
          <w:tblLook w:val="04A0"/>
        </w:tblPrEx>
        <w:tc>
          <w:tcPr>
            <w:tcW w:w="8790" w:type="dxa"/>
            <w:gridSpan w:val="4"/>
            <w:tcBorders>
              <w:bottom w:val="single" w:sz="4" w:space="0" w:color="auto"/>
            </w:tcBorders>
            <w:shd w:val="clear" w:color="auto" w:fill="FFFFCC"/>
          </w:tcPr>
          <w:p w:rsidR="00897094" w:rsidRPr="00E06102" w:rsidP="00975D06" w14:paraId="1D4FE572" w14:textId="77777777">
            <w:pPr>
              <w:jc w:val="both"/>
              <w:textAlignment w:val="baseline"/>
              <w:rPr>
                <w:rFonts w:ascii="Arial" w:hAnsi="Arial" w:cs="Arial"/>
                <w:sz w:val="18"/>
                <w:szCs w:val="18"/>
              </w:rPr>
            </w:pPr>
            <w:r>
              <w:rPr>
                <w:rFonts w:ascii="Arial" w:hAnsi="Arial" w:cs="Arial"/>
              </w:rPr>
              <w:t>Investment Costs</w:t>
            </w:r>
          </w:p>
        </w:tc>
      </w:tr>
      <w:tr w14:paraId="6E8C1152" w14:textId="77777777" w:rsidTr="00975D06">
        <w:tblPrEx>
          <w:tblW w:w="0" w:type="auto"/>
          <w:tblLook w:val="04A0"/>
        </w:tblPrEx>
        <w:tc>
          <w:tcPr>
            <w:tcW w:w="8790" w:type="dxa"/>
            <w:gridSpan w:val="4"/>
            <w:shd w:val="clear" w:color="auto" w:fill="auto"/>
          </w:tcPr>
          <w:p w:rsidR="00897094" w:rsidRPr="00897094" w:rsidP="00975D06" w14:paraId="3EEEE9CC" w14:textId="31AD4632">
            <w:pPr>
              <w:keepNext/>
              <w:spacing w:line="0" w:lineRule="atLeast"/>
              <w:jc w:val="both"/>
              <w:textAlignment w:val="baseline"/>
              <w:rPr>
                <w:rFonts w:ascii="Arial" w:hAnsi="Arial" w:cs="Arial"/>
                <w:b/>
                <w:color w:val="0000FF"/>
                <w:sz w:val="16"/>
                <w:szCs w:val="16"/>
              </w:rPr>
            </w:pPr>
            <w:r w:rsidRPr="00897094">
              <w:rPr>
                <w:rFonts w:ascii="Arial" w:hAnsi="Arial" w:cs="Arial"/>
                <w:b/>
                <w:color w:val="FF0000"/>
                <w:sz w:val="16"/>
                <w:szCs w:val="16"/>
              </w:rPr>
              <w:t>40% Collection</w:t>
            </w:r>
          </w:p>
        </w:tc>
      </w:tr>
      <w:tr w14:paraId="36EFB8B5" w14:textId="77777777" w:rsidTr="00975D06">
        <w:tblPrEx>
          <w:tblW w:w="0" w:type="auto"/>
          <w:tblLook w:val="04A0"/>
        </w:tblPrEx>
        <w:tc>
          <w:tcPr>
            <w:tcW w:w="4225" w:type="dxa"/>
            <w:shd w:val="clear" w:color="auto" w:fill="auto"/>
          </w:tcPr>
          <w:p w:rsidR="00897094" w:rsidRPr="00182FB3" w:rsidP="00975D06" w14:paraId="0E816B4E" w14:textId="77777777">
            <w:pPr>
              <w:textAlignment w:val="baseline"/>
              <w:rPr>
                <w:rFonts w:ascii="Arial" w:hAnsi="Arial" w:cs="Arial"/>
                <w:b/>
                <w:sz w:val="16"/>
                <w:szCs w:val="16"/>
              </w:rPr>
            </w:pPr>
            <w:r w:rsidRPr="00182FB3">
              <w:rPr>
                <w:rFonts w:ascii="Arial" w:hAnsi="Arial" w:cs="Arial"/>
                <w:b/>
                <w:sz w:val="16"/>
                <w:szCs w:val="16"/>
              </w:rPr>
              <w:t>Category</w:t>
            </w:r>
          </w:p>
        </w:tc>
        <w:tc>
          <w:tcPr>
            <w:tcW w:w="1620" w:type="dxa"/>
            <w:shd w:val="clear" w:color="auto" w:fill="auto"/>
          </w:tcPr>
          <w:p w:rsidR="00897094" w:rsidRPr="00182FB3" w:rsidP="00975D06" w14:paraId="15FE5433"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Hourly Cost</w:t>
            </w:r>
          </w:p>
        </w:tc>
        <w:tc>
          <w:tcPr>
            <w:tcW w:w="1614" w:type="dxa"/>
            <w:shd w:val="clear" w:color="auto" w:fill="auto"/>
          </w:tcPr>
          <w:p w:rsidR="00897094" w:rsidRPr="00182FB3" w:rsidP="00975D06" w14:paraId="58F0D93B" w14:textId="77777777">
            <w:pPr>
              <w:textAlignment w:val="baseline"/>
              <w:rPr>
                <w:rFonts w:ascii="Arial" w:hAnsi="Arial" w:cs="Arial"/>
                <w:b/>
                <w:sz w:val="16"/>
                <w:szCs w:val="16"/>
              </w:rPr>
            </w:pPr>
            <w:r w:rsidRPr="00182FB3">
              <w:rPr>
                <w:rFonts w:ascii="Arial" w:hAnsi="Arial" w:cs="Arial"/>
                <w:b/>
                <w:sz w:val="16"/>
                <w:szCs w:val="16"/>
              </w:rPr>
              <w:t>Hours</w:t>
            </w:r>
          </w:p>
        </w:tc>
        <w:tc>
          <w:tcPr>
            <w:tcW w:w="1331" w:type="dxa"/>
            <w:shd w:val="clear" w:color="auto" w:fill="auto"/>
          </w:tcPr>
          <w:p w:rsidR="00897094" w:rsidRPr="00182FB3" w:rsidP="00975D06" w14:paraId="2ACA88D2"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14:paraId="49D28A55" w14:textId="77777777" w:rsidTr="00975D06">
        <w:tblPrEx>
          <w:tblW w:w="0" w:type="auto"/>
          <w:tblLook w:val="04A0"/>
        </w:tblPrEx>
        <w:tc>
          <w:tcPr>
            <w:tcW w:w="4225" w:type="dxa"/>
            <w:shd w:val="clear" w:color="auto" w:fill="auto"/>
          </w:tcPr>
          <w:p w:rsidR="00897094" w:rsidRPr="009E3BD4" w:rsidP="00975D06" w14:paraId="258DB81F" w14:textId="77777777">
            <w:pPr>
              <w:textAlignment w:val="baseline"/>
              <w:rPr>
                <w:rFonts w:ascii="Arial" w:hAnsi="Arial" w:cs="Arial"/>
                <w:sz w:val="16"/>
                <w:szCs w:val="16"/>
              </w:rPr>
            </w:pPr>
            <w:r>
              <w:rPr>
                <w:rFonts w:ascii="Arial" w:hAnsi="Arial" w:cs="Arial"/>
                <w:sz w:val="16"/>
                <w:szCs w:val="16"/>
              </w:rPr>
              <w:t>Accounting and Auditing Clerks</w:t>
            </w:r>
          </w:p>
        </w:tc>
        <w:tc>
          <w:tcPr>
            <w:tcW w:w="1620" w:type="dxa"/>
            <w:shd w:val="clear" w:color="auto" w:fill="auto"/>
          </w:tcPr>
          <w:p w:rsidR="00897094" w:rsidRPr="009E3BD4" w:rsidP="00975D06" w14:paraId="48DD31DC" w14:textId="77777777">
            <w:pPr>
              <w:keepNext/>
              <w:spacing w:line="0" w:lineRule="atLeast"/>
              <w:jc w:val="both"/>
              <w:textAlignment w:val="baseline"/>
              <w:rPr>
                <w:rFonts w:ascii="Arial" w:hAnsi="Arial" w:cs="Arial"/>
                <w:sz w:val="16"/>
                <w:szCs w:val="16"/>
              </w:rPr>
            </w:pPr>
            <w:r>
              <w:rPr>
                <w:rFonts w:ascii="Arial" w:hAnsi="Arial" w:cs="Arial"/>
                <w:sz w:val="16"/>
                <w:szCs w:val="16"/>
              </w:rPr>
              <w:t>$20.65</w:t>
            </w:r>
          </w:p>
        </w:tc>
        <w:tc>
          <w:tcPr>
            <w:tcW w:w="1614" w:type="dxa"/>
            <w:shd w:val="clear" w:color="auto" w:fill="auto"/>
          </w:tcPr>
          <w:p w:rsidR="00897094" w:rsidRPr="009E3BD4" w:rsidP="00975D06" w14:paraId="68CEB264" w14:textId="77777777">
            <w:pPr>
              <w:textAlignment w:val="baseline"/>
              <w:rPr>
                <w:rFonts w:ascii="Arial" w:hAnsi="Arial" w:cs="Arial"/>
                <w:sz w:val="16"/>
                <w:szCs w:val="16"/>
              </w:rPr>
            </w:pPr>
            <w:r>
              <w:rPr>
                <w:rFonts w:ascii="Arial" w:hAnsi="Arial" w:cs="Arial"/>
                <w:sz w:val="16"/>
                <w:szCs w:val="16"/>
              </w:rPr>
              <w:t>30</w:t>
            </w:r>
          </w:p>
        </w:tc>
        <w:tc>
          <w:tcPr>
            <w:tcW w:w="1331" w:type="dxa"/>
            <w:shd w:val="clear" w:color="auto" w:fill="auto"/>
          </w:tcPr>
          <w:p w:rsidR="00897094" w:rsidRPr="009E3BD4" w:rsidP="00975D06" w14:paraId="5C9E8EA0" w14:textId="77777777">
            <w:pPr>
              <w:keepNext/>
              <w:spacing w:line="0" w:lineRule="atLeast"/>
              <w:jc w:val="both"/>
              <w:textAlignment w:val="baseline"/>
              <w:rPr>
                <w:rFonts w:ascii="Arial" w:hAnsi="Arial" w:cs="Arial"/>
                <w:sz w:val="16"/>
                <w:szCs w:val="16"/>
              </w:rPr>
            </w:pPr>
            <w:r>
              <w:rPr>
                <w:rFonts w:ascii="Arial" w:hAnsi="Arial" w:cs="Arial"/>
                <w:sz w:val="16"/>
                <w:szCs w:val="16"/>
              </w:rPr>
              <w:t>$620</w:t>
            </w:r>
          </w:p>
        </w:tc>
      </w:tr>
      <w:tr w14:paraId="246C5A42" w14:textId="77777777" w:rsidTr="00975D06">
        <w:tblPrEx>
          <w:tblW w:w="0" w:type="auto"/>
          <w:tblLook w:val="04A0"/>
        </w:tblPrEx>
        <w:tc>
          <w:tcPr>
            <w:tcW w:w="4225" w:type="dxa"/>
            <w:shd w:val="clear" w:color="auto" w:fill="auto"/>
          </w:tcPr>
          <w:p w:rsidR="00897094" w:rsidRPr="009E3BD4" w:rsidP="00975D06" w14:paraId="2D11C289" w14:textId="77777777">
            <w:pPr>
              <w:textAlignment w:val="baseline"/>
              <w:rPr>
                <w:rFonts w:ascii="Arial" w:hAnsi="Arial" w:cs="Arial"/>
                <w:sz w:val="16"/>
                <w:szCs w:val="16"/>
              </w:rPr>
            </w:pPr>
            <w:r>
              <w:rPr>
                <w:rFonts w:ascii="Arial" w:hAnsi="Arial" w:cs="Arial"/>
                <w:sz w:val="16"/>
                <w:szCs w:val="16"/>
              </w:rPr>
              <w:t>Computer Systems Analyst</w:t>
            </w:r>
          </w:p>
        </w:tc>
        <w:tc>
          <w:tcPr>
            <w:tcW w:w="1620" w:type="dxa"/>
            <w:shd w:val="clear" w:color="auto" w:fill="auto"/>
          </w:tcPr>
          <w:p w:rsidR="00897094" w:rsidRPr="009E3BD4" w:rsidP="00975D06" w14:paraId="1D60CB94" w14:textId="77777777">
            <w:pPr>
              <w:keepNext/>
              <w:spacing w:line="0" w:lineRule="atLeast"/>
              <w:jc w:val="both"/>
              <w:textAlignment w:val="baseline"/>
              <w:rPr>
                <w:rFonts w:ascii="Arial" w:hAnsi="Arial" w:cs="Arial"/>
                <w:sz w:val="16"/>
                <w:szCs w:val="16"/>
              </w:rPr>
            </w:pPr>
            <w:r>
              <w:rPr>
                <w:rFonts w:ascii="Arial" w:hAnsi="Arial" w:cs="Arial"/>
                <w:sz w:val="16"/>
                <w:szCs w:val="16"/>
              </w:rPr>
              <w:t>$43.71</w:t>
            </w:r>
          </w:p>
        </w:tc>
        <w:tc>
          <w:tcPr>
            <w:tcW w:w="1614" w:type="dxa"/>
            <w:shd w:val="clear" w:color="auto" w:fill="auto"/>
          </w:tcPr>
          <w:p w:rsidR="00897094" w:rsidRPr="009E3BD4" w:rsidP="00975D06" w14:paraId="256E9D05" w14:textId="77777777">
            <w:pPr>
              <w:textAlignment w:val="baseline"/>
              <w:rPr>
                <w:rFonts w:ascii="Arial" w:hAnsi="Arial" w:cs="Arial"/>
                <w:sz w:val="16"/>
                <w:szCs w:val="16"/>
              </w:rPr>
            </w:pPr>
            <w:r>
              <w:rPr>
                <w:rFonts w:ascii="Arial" w:hAnsi="Arial" w:cs="Arial"/>
                <w:sz w:val="16"/>
                <w:szCs w:val="16"/>
              </w:rPr>
              <w:t>20</w:t>
            </w:r>
          </w:p>
        </w:tc>
        <w:tc>
          <w:tcPr>
            <w:tcW w:w="1331" w:type="dxa"/>
            <w:shd w:val="clear" w:color="auto" w:fill="auto"/>
          </w:tcPr>
          <w:p w:rsidR="00897094" w:rsidRPr="009E3BD4" w:rsidP="00975D06" w14:paraId="1F8AA1C2" w14:textId="30F9E765">
            <w:pPr>
              <w:keepNext/>
              <w:spacing w:line="0" w:lineRule="atLeast"/>
              <w:jc w:val="both"/>
              <w:textAlignment w:val="baseline"/>
              <w:rPr>
                <w:rFonts w:ascii="Arial" w:hAnsi="Arial" w:cs="Arial"/>
                <w:sz w:val="16"/>
                <w:szCs w:val="16"/>
              </w:rPr>
            </w:pPr>
            <w:r>
              <w:rPr>
                <w:rFonts w:ascii="Arial" w:hAnsi="Arial" w:cs="Arial"/>
                <w:sz w:val="16"/>
                <w:szCs w:val="16"/>
              </w:rPr>
              <w:t>$</w:t>
            </w:r>
            <w:r w:rsidR="00072CDB">
              <w:rPr>
                <w:rFonts w:ascii="Arial" w:hAnsi="Arial" w:cs="Arial"/>
                <w:sz w:val="16"/>
                <w:szCs w:val="16"/>
              </w:rPr>
              <w:t>874</w:t>
            </w:r>
          </w:p>
        </w:tc>
      </w:tr>
      <w:tr w14:paraId="00D468CD" w14:textId="77777777" w:rsidTr="00975D06">
        <w:tblPrEx>
          <w:tblW w:w="0" w:type="auto"/>
          <w:tblLook w:val="04A0"/>
        </w:tblPrEx>
        <w:tc>
          <w:tcPr>
            <w:tcW w:w="4225" w:type="dxa"/>
            <w:shd w:val="clear" w:color="auto" w:fill="auto"/>
          </w:tcPr>
          <w:p w:rsidR="00897094" w:rsidRPr="009E3BD4" w:rsidP="00975D06" w14:paraId="6BCF5417" w14:textId="77777777">
            <w:pPr>
              <w:textAlignment w:val="baseline"/>
              <w:rPr>
                <w:rFonts w:ascii="Arial" w:hAnsi="Arial" w:cs="Arial"/>
                <w:sz w:val="16"/>
                <w:szCs w:val="16"/>
              </w:rPr>
            </w:pPr>
            <w:r>
              <w:rPr>
                <w:rFonts w:ascii="Arial" w:hAnsi="Arial" w:cs="Arial"/>
                <w:sz w:val="16"/>
                <w:szCs w:val="16"/>
              </w:rPr>
              <w:t>Computer Programming Analyst</w:t>
            </w:r>
          </w:p>
        </w:tc>
        <w:tc>
          <w:tcPr>
            <w:tcW w:w="1620" w:type="dxa"/>
            <w:shd w:val="clear" w:color="auto" w:fill="auto"/>
          </w:tcPr>
          <w:p w:rsidR="00897094" w:rsidRPr="009E3BD4" w:rsidP="00975D06" w14:paraId="0BD9E674" w14:textId="77777777">
            <w:pPr>
              <w:keepNext/>
              <w:spacing w:line="0" w:lineRule="atLeast"/>
              <w:jc w:val="both"/>
              <w:textAlignment w:val="baseline"/>
              <w:rPr>
                <w:rFonts w:ascii="Arial" w:hAnsi="Arial" w:cs="Arial"/>
                <w:sz w:val="16"/>
                <w:szCs w:val="16"/>
              </w:rPr>
            </w:pPr>
            <w:r>
              <w:rPr>
                <w:rFonts w:ascii="Arial" w:hAnsi="Arial" w:cs="Arial"/>
                <w:sz w:val="16"/>
                <w:szCs w:val="16"/>
              </w:rPr>
              <w:t>$40.52</w:t>
            </w:r>
          </w:p>
        </w:tc>
        <w:tc>
          <w:tcPr>
            <w:tcW w:w="1614" w:type="dxa"/>
            <w:shd w:val="clear" w:color="auto" w:fill="auto"/>
          </w:tcPr>
          <w:p w:rsidR="00897094" w:rsidRPr="009E3BD4" w:rsidP="00975D06" w14:paraId="416A996D" w14:textId="77777777">
            <w:pPr>
              <w:textAlignment w:val="baseline"/>
              <w:rPr>
                <w:rFonts w:ascii="Arial" w:hAnsi="Arial" w:cs="Arial"/>
                <w:sz w:val="16"/>
                <w:szCs w:val="16"/>
              </w:rPr>
            </w:pPr>
            <w:r>
              <w:rPr>
                <w:rFonts w:ascii="Arial" w:hAnsi="Arial" w:cs="Arial"/>
                <w:sz w:val="16"/>
                <w:szCs w:val="16"/>
              </w:rPr>
              <w:t>200</w:t>
            </w:r>
          </w:p>
        </w:tc>
        <w:tc>
          <w:tcPr>
            <w:tcW w:w="1331" w:type="dxa"/>
            <w:shd w:val="clear" w:color="auto" w:fill="auto"/>
          </w:tcPr>
          <w:p w:rsidR="00897094" w:rsidRPr="009E3BD4" w:rsidP="00975D06" w14:paraId="318CC7A9" w14:textId="77777777">
            <w:pPr>
              <w:keepNext/>
              <w:spacing w:line="0" w:lineRule="atLeast"/>
              <w:jc w:val="both"/>
              <w:textAlignment w:val="baseline"/>
              <w:rPr>
                <w:rFonts w:ascii="Arial" w:hAnsi="Arial" w:cs="Arial"/>
                <w:sz w:val="16"/>
                <w:szCs w:val="16"/>
              </w:rPr>
            </w:pPr>
            <w:r>
              <w:rPr>
                <w:rFonts w:ascii="Arial" w:hAnsi="Arial" w:cs="Arial"/>
                <w:sz w:val="16"/>
                <w:szCs w:val="16"/>
              </w:rPr>
              <w:t>$8,104</w:t>
            </w:r>
          </w:p>
        </w:tc>
      </w:tr>
      <w:tr w14:paraId="217E7AC0" w14:textId="77777777" w:rsidTr="00975D06">
        <w:tblPrEx>
          <w:tblW w:w="0" w:type="auto"/>
          <w:tblLook w:val="04A0"/>
        </w:tblPrEx>
        <w:tc>
          <w:tcPr>
            <w:tcW w:w="4225" w:type="dxa"/>
            <w:shd w:val="clear" w:color="auto" w:fill="auto"/>
          </w:tcPr>
          <w:p w:rsidR="00897094" w:rsidRPr="009E3BD4" w:rsidP="00975D06" w14:paraId="6FC5421B" w14:textId="77777777">
            <w:pPr>
              <w:textAlignment w:val="baseline"/>
              <w:rPr>
                <w:rFonts w:ascii="Arial" w:hAnsi="Arial" w:cs="Arial"/>
                <w:sz w:val="16"/>
                <w:szCs w:val="16"/>
              </w:rPr>
            </w:pPr>
          </w:p>
        </w:tc>
        <w:tc>
          <w:tcPr>
            <w:tcW w:w="1620" w:type="dxa"/>
            <w:shd w:val="clear" w:color="auto" w:fill="auto"/>
          </w:tcPr>
          <w:p w:rsidR="00897094" w:rsidRPr="009E3BD4" w:rsidP="00975D06" w14:paraId="7D860A81" w14:textId="77777777">
            <w:pPr>
              <w:keepNext/>
              <w:spacing w:line="0" w:lineRule="atLeast"/>
              <w:jc w:val="both"/>
              <w:textAlignment w:val="baseline"/>
              <w:rPr>
                <w:rFonts w:ascii="Arial" w:hAnsi="Arial" w:cs="Arial"/>
                <w:sz w:val="16"/>
                <w:szCs w:val="16"/>
              </w:rPr>
            </w:pPr>
          </w:p>
        </w:tc>
        <w:tc>
          <w:tcPr>
            <w:tcW w:w="1614" w:type="dxa"/>
            <w:shd w:val="clear" w:color="auto" w:fill="auto"/>
          </w:tcPr>
          <w:p w:rsidR="00897094" w:rsidRPr="009E3BD4" w:rsidP="00975D06" w14:paraId="1A4DF69E" w14:textId="77777777">
            <w:pPr>
              <w:textAlignment w:val="baseline"/>
              <w:rPr>
                <w:rFonts w:ascii="Arial" w:hAnsi="Arial" w:cs="Arial"/>
                <w:sz w:val="16"/>
                <w:szCs w:val="16"/>
              </w:rPr>
            </w:pPr>
          </w:p>
        </w:tc>
        <w:tc>
          <w:tcPr>
            <w:tcW w:w="1331" w:type="dxa"/>
            <w:shd w:val="clear" w:color="auto" w:fill="auto"/>
          </w:tcPr>
          <w:p w:rsidR="00897094" w:rsidRPr="009E3BD4" w:rsidP="00975D06" w14:paraId="3BFAD9B3" w14:textId="77777777">
            <w:pPr>
              <w:keepNext/>
              <w:spacing w:line="0" w:lineRule="atLeast"/>
              <w:jc w:val="both"/>
              <w:textAlignment w:val="baseline"/>
              <w:rPr>
                <w:rFonts w:ascii="Arial" w:hAnsi="Arial" w:cs="Arial"/>
                <w:sz w:val="16"/>
                <w:szCs w:val="16"/>
              </w:rPr>
            </w:pPr>
          </w:p>
        </w:tc>
      </w:tr>
      <w:tr w14:paraId="0BC371AD" w14:textId="77777777" w:rsidTr="00975D06">
        <w:tblPrEx>
          <w:tblW w:w="0" w:type="auto"/>
          <w:tblLook w:val="04A0"/>
        </w:tblPrEx>
        <w:tc>
          <w:tcPr>
            <w:tcW w:w="7459" w:type="dxa"/>
            <w:gridSpan w:val="3"/>
            <w:shd w:val="clear" w:color="auto" w:fill="auto"/>
          </w:tcPr>
          <w:p w:rsidR="00C165DB" w:rsidRPr="009E3BD4" w:rsidP="00975D06" w14:paraId="0C37DF9C" w14:textId="77777777">
            <w:pPr>
              <w:textAlignment w:val="baseline"/>
              <w:rPr>
                <w:rFonts w:ascii="Arial" w:hAnsi="Arial" w:cs="Arial"/>
                <w:sz w:val="16"/>
                <w:szCs w:val="16"/>
              </w:rPr>
            </w:pPr>
            <w:r>
              <w:rPr>
                <w:rFonts w:ascii="Arial" w:hAnsi="Arial" w:cs="Arial"/>
                <w:sz w:val="16"/>
                <w:szCs w:val="16"/>
              </w:rPr>
              <w:t>Total</w:t>
            </w:r>
          </w:p>
        </w:tc>
        <w:tc>
          <w:tcPr>
            <w:tcW w:w="1331" w:type="dxa"/>
            <w:shd w:val="clear" w:color="auto" w:fill="auto"/>
          </w:tcPr>
          <w:p w:rsidR="00C165DB" w:rsidRPr="009E3BD4" w:rsidP="00975D06" w14:paraId="568A1E91" w14:textId="77777777">
            <w:pPr>
              <w:keepNext/>
              <w:spacing w:line="0" w:lineRule="atLeast"/>
              <w:jc w:val="both"/>
              <w:textAlignment w:val="baseline"/>
              <w:rPr>
                <w:rFonts w:ascii="Arial" w:hAnsi="Arial" w:cs="Arial"/>
                <w:sz w:val="16"/>
                <w:szCs w:val="16"/>
              </w:rPr>
            </w:pPr>
            <w:r>
              <w:rPr>
                <w:rFonts w:ascii="Arial" w:hAnsi="Arial" w:cs="Arial"/>
                <w:sz w:val="16"/>
                <w:szCs w:val="16"/>
              </w:rPr>
              <w:t>$9</w:t>
            </w:r>
            <w:r w:rsidR="00975D06">
              <w:rPr>
                <w:rFonts w:ascii="Arial" w:hAnsi="Arial" w:cs="Arial"/>
                <w:sz w:val="16"/>
                <w:szCs w:val="16"/>
              </w:rPr>
              <w:t>,</w:t>
            </w:r>
            <w:r w:rsidR="00610110">
              <w:rPr>
                <w:rFonts w:ascii="Arial" w:hAnsi="Arial" w:cs="Arial"/>
                <w:sz w:val="16"/>
                <w:szCs w:val="16"/>
              </w:rPr>
              <w:t>598</w:t>
            </w:r>
          </w:p>
        </w:tc>
      </w:tr>
    </w:tbl>
    <w:p w:rsidR="00283264" w:rsidP="00377F84" w14:paraId="62F936C7" w14:textId="77777777">
      <w:pPr>
        <w:rPr>
          <w:b/>
          <w:bCs/>
          <w:sz w:val="25"/>
          <w:szCs w:val="25"/>
        </w:rPr>
      </w:pPr>
    </w:p>
    <w:p w:rsidR="00377F84" w:rsidP="00377F84" w14:paraId="0BCA636B" w14:textId="6459C576">
      <w:pPr>
        <w:rPr>
          <w:b/>
          <w:bCs/>
          <w:sz w:val="25"/>
          <w:szCs w:val="25"/>
        </w:rPr>
      </w:pPr>
      <w:r w:rsidRPr="00582F03">
        <w:rPr>
          <w:b/>
          <w:bCs/>
          <w:sz w:val="25"/>
          <w:szCs w:val="25"/>
        </w:rPr>
        <w:t>14.  Provide estimates of annualized cost to the Federal Government.</w:t>
      </w:r>
    </w:p>
    <w:p w:rsidR="00FC6951" w:rsidP="00377F84" w14:paraId="6E54C840" w14:textId="77777777">
      <w:pPr>
        <w:rPr>
          <w:b/>
          <w:bCs/>
          <w:sz w:val="25"/>
          <w:szCs w:val="25"/>
        </w:rPr>
      </w:pPr>
    </w:p>
    <w:p w:rsidR="00A526D7" w:rsidP="00A526D7" w14:paraId="45932AEC" w14:textId="77777777">
      <w:pPr>
        <w:rPr>
          <w:sz w:val="26"/>
          <w:szCs w:val="26"/>
        </w:rPr>
      </w:pPr>
      <w:r>
        <w:rPr>
          <w:sz w:val="26"/>
          <w:szCs w:val="26"/>
        </w:rPr>
        <w:t>The estimated cost to the Federal Government is:</w:t>
      </w:r>
    </w:p>
    <w:p w:rsidR="008364F0" w:rsidP="00377F84" w14:paraId="39E27A53" w14:textId="77777777">
      <w:pPr>
        <w:rPr>
          <w:b/>
          <w:bCs/>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3485"/>
      </w:tblGrid>
      <w:tr w14:paraId="715C98F0" w14:textId="77777777" w:rsidTr="00975D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90" w:type="dxa"/>
            <w:gridSpan w:val="2"/>
            <w:tcBorders>
              <w:bottom w:val="single" w:sz="4" w:space="0" w:color="auto"/>
            </w:tcBorders>
            <w:shd w:val="clear" w:color="auto" w:fill="FFFFCC"/>
          </w:tcPr>
          <w:p w:rsidR="00603525" w:rsidRPr="00C47D1E" w:rsidP="00975D06" w14:paraId="0EA52A83" w14:textId="77777777">
            <w:pPr>
              <w:rPr>
                <w:sz w:val="25"/>
                <w:szCs w:val="25"/>
                <w:u w:val="single"/>
              </w:rPr>
            </w:pPr>
            <w:r w:rsidRPr="009E3BD4">
              <w:rPr>
                <w:rFonts w:ascii="Arial" w:hAnsi="Arial" w:cs="Arial"/>
                <w:color w:val="0000FF"/>
              </w:rPr>
              <w:t>Estimates of Annualized Cost to Federal Government</w:t>
            </w:r>
          </w:p>
        </w:tc>
      </w:tr>
      <w:tr w14:paraId="029E0D91" w14:textId="77777777" w:rsidTr="00975D06">
        <w:tblPrEx>
          <w:tblW w:w="0" w:type="auto"/>
          <w:tblLook w:val="04A0"/>
        </w:tblPrEx>
        <w:tc>
          <w:tcPr>
            <w:tcW w:w="8790" w:type="dxa"/>
            <w:gridSpan w:val="2"/>
            <w:tcBorders>
              <w:bottom w:val="single" w:sz="4" w:space="0" w:color="auto"/>
            </w:tcBorders>
            <w:shd w:val="clear" w:color="auto" w:fill="FFFFCC"/>
          </w:tcPr>
          <w:p w:rsidR="00603525" w:rsidRPr="00E06102" w:rsidP="00975D06" w14:paraId="0864159E" w14:textId="77777777">
            <w:pPr>
              <w:jc w:val="both"/>
              <w:textAlignment w:val="baseline"/>
              <w:rPr>
                <w:rFonts w:ascii="Arial" w:hAnsi="Arial" w:cs="Arial"/>
                <w:sz w:val="18"/>
                <w:szCs w:val="18"/>
              </w:rPr>
            </w:pPr>
            <w:r>
              <w:rPr>
                <w:rFonts w:ascii="Arial" w:hAnsi="Arial" w:cs="Arial"/>
              </w:rPr>
              <w:t>Investment Costs</w:t>
            </w:r>
          </w:p>
        </w:tc>
      </w:tr>
      <w:tr w14:paraId="044EECB3" w14:textId="77777777" w:rsidTr="00975D06">
        <w:tblPrEx>
          <w:tblW w:w="0" w:type="auto"/>
          <w:tblLook w:val="04A0"/>
        </w:tblPrEx>
        <w:tc>
          <w:tcPr>
            <w:tcW w:w="8790" w:type="dxa"/>
            <w:gridSpan w:val="2"/>
            <w:shd w:val="clear" w:color="auto" w:fill="auto"/>
          </w:tcPr>
          <w:p w:rsidR="00603525" w:rsidRPr="00897094" w:rsidP="00975D06" w14:paraId="047B2BE0" w14:textId="35331F30">
            <w:pPr>
              <w:keepNext/>
              <w:spacing w:line="0" w:lineRule="atLeast"/>
              <w:jc w:val="both"/>
              <w:textAlignment w:val="baseline"/>
              <w:rPr>
                <w:rFonts w:ascii="Arial" w:hAnsi="Arial" w:cs="Arial"/>
                <w:b/>
                <w:color w:val="0000FF"/>
                <w:sz w:val="16"/>
                <w:szCs w:val="16"/>
              </w:rPr>
            </w:pPr>
            <w:r>
              <w:rPr>
                <w:rFonts w:ascii="Arial" w:hAnsi="Arial" w:cs="Arial"/>
                <w:b/>
                <w:color w:val="FF0000"/>
                <w:sz w:val="16"/>
                <w:szCs w:val="16"/>
              </w:rPr>
              <w:t>4</w:t>
            </w:r>
            <w:r w:rsidRPr="00897094">
              <w:rPr>
                <w:rFonts w:ascii="Arial" w:hAnsi="Arial" w:cs="Arial"/>
                <w:b/>
                <w:color w:val="FF0000"/>
                <w:sz w:val="16"/>
                <w:szCs w:val="16"/>
              </w:rPr>
              <w:t>0% Collection</w:t>
            </w:r>
          </w:p>
        </w:tc>
      </w:tr>
      <w:tr w14:paraId="483D25FE" w14:textId="77777777" w:rsidTr="00975D06">
        <w:tblPrEx>
          <w:tblW w:w="0" w:type="auto"/>
          <w:tblLook w:val="04A0"/>
        </w:tblPrEx>
        <w:tc>
          <w:tcPr>
            <w:tcW w:w="5305" w:type="dxa"/>
            <w:shd w:val="clear" w:color="auto" w:fill="auto"/>
          </w:tcPr>
          <w:p w:rsidR="00603525" w:rsidRPr="00182FB3" w:rsidP="00975D06" w14:paraId="62DB3B99" w14:textId="77777777">
            <w:pPr>
              <w:textAlignment w:val="baseline"/>
              <w:rPr>
                <w:rFonts w:ascii="Arial" w:hAnsi="Arial" w:cs="Arial"/>
                <w:b/>
                <w:sz w:val="16"/>
                <w:szCs w:val="16"/>
              </w:rPr>
            </w:pPr>
            <w:r w:rsidRPr="00182FB3">
              <w:rPr>
                <w:rFonts w:ascii="Arial" w:hAnsi="Arial" w:cs="Arial"/>
                <w:b/>
                <w:sz w:val="16"/>
                <w:szCs w:val="16"/>
              </w:rPr>
              <w:t>Category</w:t>
            </w:r>
          </w:p>
        </w:tc>
        <w:tc>
          <w:tcPr>
            <w:tcW w:w="3485" w:type="dxa"/>
            <w:shd w:val="clear" w:color="auto" w:fill="auto"/>
          </w:tcPr>
          <w:p w:rsidR="00603525" w:rsidRPr="00182FB3" w:rsidP="00975D06" w14:paraId="0F8A5074" w14:textId="77777777">
            <w:pPr>
              <w:keepNext/>
              <w:spacing w:line="0" w:lineRule="atLeast"/>
              <w:jc w:val="both"/>
              <w:textAlignment w:val="baseline"/>
              <w:rPr>
                <w:rFonts w:ascii="Arial" w:hAnsi="Arial" w:cs="Arial"/>
                <w:b/>
                <w:sz w:val="16"/>
                <w:szCs w:val="16"/>
              </w:rPr>
            </w:pPr>
            <w:r w:rsidRPr="00182FB3">
              <w:rPr>
                <w:rFonts w:ascii="Arial" w:hAnsi="Arial" w:cs="Arial"/>
                <w:b/>
                <w:sz w:val="16"/>
                <w:szCs w:val="16"/>
              </w:rPr>
              <w:t>Total</w:t>
            </w:r>
          </w:p>
        </w:tc>
      </w:tr>
      <w:tr w14:paraId="7E79F8D9" w14:textId="77777777" w:rsidTr="00975D06">
        <w:tblPrEx>
          <w:tblW w:w="0" w:type="auto"/>
          <w:tblLook w:val="04A0"/>
        </w:tblPrEx>
        <w:tc>
          <w:tcPr>
            <w:tcW w:w="5305" w:type="dxa"/>
            <w:shd w:val="clear" w:color="auto" w:fill="auto"/>
          </w:tcPr>
          <w:p w:rsidR="00603525" w:rsidRPr="009E3BD4" w:rsidP="00975D06" w14:paraId="6CE74F6C" w14:textId="77777777">
            <w:pPr>
              <w:textAlignment w:val="baseline"/>
              <w:rPr>
                <w:rFonts w:ascii="Arial" w:hAnsi="Arial" w:cs="Arial"/>
                <w:sz w:val="16"/>
                <w:szCs w:val="16"/>
              </w:rPr>
            </w:pPr>
            <w:r>
              <w:rPr>
                <w:rFonts w:ascii="Arial" w:hAnsi="Arial" w:cs="Arial"/>
                <w:sz w:val="16"/>
                <w:szCs w:val="16"/>
              </w:rPr>
              <w:t>Overhead N Miscellaneous Expenses</w:t>
            </w:r>
          </w:p>
        </w:tc>
        <w:tc>
          <w:tcPr>
            <w:tcW w:w="3485" w:type="dxa"/>
            <w:shd w:val="clear" w:color="auto" w:fill="auto"/>
          </w:tcPr>
          <w:p w:rsidR="00603525" w:rsidRPr="009E3BD4" w:rsidP="00975D06" w14:paraId="00DECD63"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E243E0">
              <w:rPr>
                <w:rFonts w:ascii="Arial" w:hAnsi="Arial" w:cs="Arial"/>
                <w:sz w:val="16"/>
                <w:szCs w:val="16"/>
              </w:rPr>
              <w:t>63,000</w:t>
            </w:r>
          </w:p>
        </w:tc>
      </w:tr>
      <w:tr w14:paraId="4B2D21F0" w14:textId="77777777" w:rsidTr="00975D06">
        <w:tblPrEx>
          <w:tblW w:w="0" w:type="auto"/>
          <w:tblLook w:val="04A0"/>
        </w:tblPrEx>
        <w:tc>
          <w:tcPr>
            <w:tcW w:w="5305" w:type="dxa"/>
            <w:shd w:val="clear" w:color="auto" w:fill="auto"/>
          </w:tcPr>
          <w:p w:rsidR="00603525" w:rsidRPr="009E3BD4" w:rsidP="00975D06" w14:paraId="284C8B47" w14:textId="77777777">
            <w:pPr>
              <w:textAlignment w:val="baseline"/>
              <w:rPr>
                <w:rFonts w:ascii="Arial" w:hAnsi="Arial" w:cs="Arial"/>
                <w:sz w:val="16"/>
                <w:szCs w:val="16"/>
              </w:rPr>
            </w:pPr>
            <w:r>
              <w:rPr>
                <w:rFonts w:ascii="Arial" w:hAnsi="Arial" w:cs="Arial"/>
                <w:sz w:val="16"/>
                <w:szCs w:val="16"/>
              </w:rPr>
              <w:t>Manpower</w:t>
            </w:r>
          </w:p>
        </w:tc>
        <w:tc>
          <w:tcPr>
            <w:tcW w:w="3485" w:type="dxa"/>
            <w:shd w:val="clear" w:color="auto" w:fill="auto"/>
          </w:tcPr>
          <w:p w:rsidR="00603525" w:rsidRPr="009E3BD4" w:rsidP="00975D06" w14:paraId="1B87FE22" w14:textId="77777777">
            <w:pPr>
              <w:keepNext/>
              <w:spacing w:line="0" w:lineRule="atLeast"/>
              <w:jc w:val="both"/>
              <w:textAlignment w:val="baseline"/>
              <w:rPr>
                <w:rFonts w:ascii="Arial" w:hAnsi="Arial" w:cs="Arial"/>
                <w:sz w:val="16"/>
                <w:szCs w:val="16"/>
              </w:rPr>
            </w:pPr>
            <w:r>
              <w:rPr>
                <w:rFonts w:ascii="Arial" w:hAnsi="Arial" w:cs="Arial"/>
                <w:sz w:val="16"/>
                <w:szCs w:val="16"/>
              </w:rPr>
              <w:t>$125,000</w:t>
            </w:r>
          </w:p>
        </w:tc>
      </w:tr>
      <w:tr w14:paraId="6ACF9055" w14:textId="77777777" w:rsidTr="00975D06">
        <w:tblPrEx>
          <w:tblW w:w="0" w:type="auto"/>
          <w:tblLook w:val="04A0"/>
        </w:tblPrEx>
        <w:tc>
          <w:tcPr>
            <w:tcW w:w="5305" w:type="dxa"/>
            <w:shd w:val="clear" w:color="auto" w:fill="auto"/>
          </w:tcPr>
          <w:p w:rsidR="00603525" w:rsidRPr="009E3BD4" w:rsidP="00975D06" w14:paraId="1D7BC7E3" w14:textId="77777777">
            <w:pPr>
              <w:textAlignment w:val="baseline"/>
              <w:rPr>
                <w:rFonts w:ascii="Arial" w:hAnsi="Arial" w:cs="Arial"/>
                <w:sz w:val="16"/>
                <w:szCs w:val="16"/>
              </w:rPr>
            </w:pPr>
            <w:r>
              <w:rPr>
                <w:rFonts w:ascii="Arial" w:hAnsi="Arial" w:cs="Arial"/>
                <w:sz w:val="16"/>
                <w:szCs w:val="16"/>
              </w:rPr>
              <w:t>ADP Resources</w:t>
            </w:r>
          </w:p>
        </w:tc>
        <w:tc>
          <w:tcPr>
            <w:tcW w:w="3485" w:type="dxa"/>
            <w:shd w:val="clear" w:color="auto" w:fill="auto"/>
          </w:tcPr>
          <w:p w:rsidR="00603525" w:rsidRPr="009E3BD4" w:rsidP="00975D06" w14:paraId="30AFFED2"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EC4BDF">
              <w:rPr>
                <w:rFonts w:ascii="Arial" w:hAnsi="Arial" w:cs="Arial"/>
                <w:sz w:val="16"/>
                <w:szCs w:val="16"/>
              </w:rPr>
              <w:t>60,000</w:t>
            </w:r>
          </w:p>
        </w:tc>
      </w:tr>
      <w:tr w14:paraId="334D26E6" w14:textId="77777777" w:rsidTr="00975D06">
        <w:tblPrEx>
          <w:tblW w:w="0" w:type="auto"/>
          <w:tblLook w:val="04A0"/>
        </w:tblPrEx>
        <w:tc>
          <w:tcPr>
            <w:tcW w:w="5305" w:type="dxa"/>
            <w:shd w:val="clear" w:color="auto" w:fill="auto"/>
          </w:tcPr>
          <w:p w:rsidR="00603525" w:rsidRPr="009E3BD4" w:rsidP="00975D06" w14:paraId="37E1091C" w14:textId="77777777">
            <w:pPr>
              <w:textAlignment w:val="baseline"/>
              <w:rPr>
                <w:rFonts w:ascii="Arial" w:hAnsi="Arial" w:cs="Arial"/>
                <w:sz w:val="16"/>
                <w:szCs w:val="16"/>
              </w:rPr>
            </w:pPr>
          </w:p>
        </w:tc>
        <w:tc>
          <w:tcPr>
            <w:tcW w:w="3485" w:type="dxa"/>
            <w:shd w:val="clear" w:color="auto" w:fill="auto"/>
          </w:tcPr>
          <w:p w:rsidR="00603525" w:rsidRPr="009E3BD4" w:rsidP="00975D06" w14:paraId="4F27574E" w14:textId="77777777">
            <w:pPr>
              <w:keepNext/>
              <w:spacing w:line="0" w:lineRule="atLeast"/>
              <w:jc w:val="both"/>
              <w:textAlignment w:val="baseline"/>
              <w:rPr>
                <w:rFonts w:ascii="Arial" w:hAnsi="Arial" w:cs="Arial"/>
                <w:sz w:val="16"/>
                <w:szCs w:val="16"/>
              </w:rPr>
            </w:pPr>
          </w:p>
        </w:tc>
      </w:tr>
      <w:tr w14:paraId="27AC5225" w14:textId="77777777" w:rsidTr="00975D06">
        <w:tblPrEx>
          <w:tblW w:w="0" w:type="auto"/>
          <w:tblLook w:val="04A0"/>
        </w:tblPrEx>
        <w:tc>
          <w:tcPr>
            <w:tcW w:w="5305" w:type="dxa"/>
            <w:shd w:val="clear" w:color="auto" w:fill="auto"/>
          </w:tcPr>
          <w:p w:rsidR="00603525" w:rsidRPr="009E3BD4" w:rsidP="00975D06" w14:paraId="31DA1E0C" w14:textId="77777777">
            <w:pPr>
              <w:textAlignment w:val="baseline"/>
              <w:rPr>
                <w:rFonts w:ascii="Arial" w:hAnsi="Arial" w:cs="Arial"/>
                <w:sz w:val="16"/>
                <w:szCs w:val="16"/>
              </w:rPr>
            </w:pPr>
            <w:r>
              <w:rPr>
                <w:rFonts w:ascii="Arial" w:hAnsi="Arial" w:cs="Arial"/>
                <w:sz w:val="16"/>
                <w:szCs w:val="16"/>
              </w:rPr>
              <w:t>Total</w:t>
            </w:r>
          </w:p>
        </w:tc>
        <w:tc>
          <w:tcPr>
            <w:tcW w:w="3485" w:type="dxa"/>
            <w:shd w:val="clear" w:color="auto" w:fill="auto"/>
          </w:tcPr>
          <w:p w:rsidR="00603525" w:rsidRPr="009E3BD4" w:rsidP="00975D06" w14:paraId="17BF79B2" w14:textId="77777777">
            <w:pPr>
              <w:keepNext/>
              <w:spacing w:line="0" w:lineRule="atLeast"/>
              <w:jc w:val="both"/>
              <w:textAlignment w:val="baseline"/>
              <w:rPr>
                <w:rFonts w:ascii="Arial" w:hAnsi="Arial" w:cs="Arial"/>
                <w:sz w:val="16"/>
                <w:szCs w:val="16"/>
              </w:rPr>
            </w:pPr>
            <w:r>
              <w:rPr>
                <w:rFonts w:ascii="Arial" w:hAnsi="Arial" w:cs="Arial"/>
                <w:sz w:val="16"/>
                <w:szCs w:val="16"/>
              </w:rPr>
              <w:t>$</w:t>
            </w:r>
            <w:r w:rsidR="00EC4BDF">
              <w:rPr>
                <w:rFonts w:ascii="Arial" w:hAnsi="Arial" w:cs="Arial"/>
                <w:sz w:val="16"/>
                <w:szCs w:val="16"/>
              </w:rPr>
              <w:t>248,000</w:t>
            </w:r>
          </w:p>
        </w:tc>
      </w:tr>
    </w:tbl>
    <w:p w:rsidR="00855E96" w:rsidP="00377F84" w14:paraId="233D3143" w14:textId="77777777">
      <w:pPr>
        <w:rPr>
          <w:b/>
          <w:bCs/>
          <w:sz w:val="25"/>
          <w:szCs w:val="25"/>
        </w:rPr>
      </w:pPr>
    </w:p>
    <w:p w:rsidR="00377F84" w:rsidRPr="00582F03" w:rsidP="00377F84" w14:paraId="18D81CED" w14:textId="7B7A7090">
      <w:pPr>
        <w:rPr>
          <w:sz w:val="25"/>
          <w:szCs w:val="25"/>
        </w:rPr>
      </w:pPr>
      <w:r>
        <w:rPr>
          <w:b/>
          <w:bCs/>
          <w:sz w:val="25"/>
          <w:szCs w:val="25"/>
        </w:rPr>
        <w:t>1</w:t>
      </w:r>
      <w:r w:rsidRPr="00582F03">
        <w:rPr>
          <w:b/>
          <w:bCs/>
          <w:sz w:val="25"/>
          <w:szCs w:val="25"/>
        </w:rPr>
        <w:t>5. Explain the reasons for any program changes or adjustments in Items 13 or 14 of OMB 83-I</w:t>
      </w:r>
      <w:r w:rsidRPr="00582F03">
        <w:rPr>
          <w:sz w:val="25"/>
          <w:szCs w:val="25"/>
        </w:rPr>
        <w:t>.</w:t>
      </w:r>
    </w:p>
    <w:p w:rsidR="00377F84" w:rsidRPr="00582F03" w:rsidP="00377F84" w14:paraId="35DA6E84" w14:textId="77777777">
      <w:pPr>
        <w:ind w:firstLine="6480"/>
        <w:rPr>
          <w:sz w:val="25"/>
          <w:szCs w:val="25"/>
        </w:rPr>
      </w:pPr>
    </w:p>
    <w:p w:rsidR="00377F84" w:rsidRPr="000D4A1A" w:rsidP="00377F84" w14:paraId="17CE7D32" w14:textId="2E1374B8">
      <w:pPr>
        <w:rPr>
          <w:sz w:val="24"/>
        </w:rPr>
      </w:pPr>
      <w:r>
        <w:rPr>
          <w:sz w:val="24"/>
        </w:rPr>
        <w:t>In Section 12</w:t>
      </w:r>
      <w:r w:rsidR="00C85513">
        <w:rPr>
          <w:sz w:val="24"/>
        </w:rPr>
        <w:t>,</w:t>
      </w:r>
      <w:r>
        <w:rPr>
          <w:sz w:val="24"/>
        </w:rPr>
        <w:t xml:space="preserve"> the Burden of response hours decreased from 60 to 30</w:t>
      </w:r>
      <w:r w:rsidR="00E10549">
        <w:rPr>
          <w:sz w:val="24"/>
        </w:rPr>
        <w:t>.  T</w:t>
      </w:r>
      <w:r>
        <w:rPr>
          <w:sz w:val="24"/>
        </w:rPr>
        <w:t xml:space="preserve">he </w:t>
      </w:r>
      <w:r w:rsidRPr="000D4A1A">
        <w:rPr>
          <w:sz w:val="24"/>
        </w:rPr>
        <w:t xml:space="preserve">number of Respondents increased </w:t>
      </w:r>
      <w:r w:rsidR="00855E96">
        <w:rPr>
          <w:sz w:val="24"/>
        </w:rPr>
        <w:t>due to more carriers being required to report.</w:t>
      </w:r>
    </w:p>
    <w:p w:rsidR="00610A74" w:rsidP="00377F84" w14:paraId="58EAC313" w14:textId="77777777">
      <w:pPr>
        <w:rPr>
          <w:b/>
          <w:bCs/>
          <w:sz w:val="25"/>
          <w:szCs w:val="25"/>
        </w:rPr>
      </w:pPr>
    </w:p>
    <w:p w:rsidR="00377F84" w:rsidP="00377F84" w14:paraId="414A9295" w14:textId="77777777">
      <w:pPr>
        <w:rPr>
          <w:b/>
          <w:bCs/>
          <w:sz w:val="25"/>
          <w:szCs w:val="25"/>
        </w:rPr>
      </w:pPr>
      <w:r w:rsidRPr="00582F03">
        <w:rPr>
          <w:b/>
          <w:bCs/>
          <w:sz w:val="25"/>
          <w:szCs w:val="25"/>
        </w:rPr>
        <w:t>16.  Is the information received published?</w:t>
      </w:r>
    </w:p>
    <w:p w:rsidR="00C85513" w:rsidP="00377F84" w14:paraId="64E6406F" w14:textId="77777777">
      <w:pPr>
        <w:rPr>
          <w:b/>
          <w:bCs/>
          <w:sz w:val="25"/>
          <w:szCs w:val="25"/>
        </w:rPr>
      </w:pPr>
    </w:p>
    <w:p w:rsidR="00377F84" w:rsidP="00377F84" w14:paraId="7042C826" w14:textId="45909F69">
      <w:pPr>
        <w:rPr>
          <w:sz w:val="25"/>
          <w:szCs w:val="25"/>
        </w:rPr>
      </w:pPr>
      <w:r>
        <w:rPr>
          <w:bCs/>
          <w:sz w:val="25"/>
          <w:szCs w:val="25"/>
        </w:rPr>
        <w:t>The</w:t>
      </w:r>
      <w:r w:rsidR="00C85513">
        <w:rPr>
          <w:bCs/>
          <w:sz w:val="25"/>
          <w:szCs w:val="25"/>
        </w:rPr>
        <w:t xml:space="preserve"> abbreviated summaries of the data will be published approximately 5-6 weeks after submission.  The </w:t>
      </w:r>
      <w:r w:rsidR="00820393">
        <w:rPr>
          <w:bCs/>
          <w:sz w:val="25"/>
          <w:szCs w:val="25"/>
        </w:rPr>
        <w:t>O&amp;D data</w:t>
      </w:r>
      <w:r w:rsidRPr="00582F03">
        <w:rPr>
          <w:sz w:val="25"/>
          <w:szCs w:val="25"/>
        </w:rPr>
        <w:t xml:space="preserve"> are available on BTS’ searchable web site at</w:t>
      </w:r>
      <w:r w:rsidR="00781243">
        <w:rPr>
          <w:sz w:val="25"/>
          <w:szCs w:val="25"/>
        </w:rPr>
        <w:t xml:space="preserve"> </w:t>
      </w:r>
      <w:hyperlink r:id="rId5" w:history="1">
        <w:r w:rsidRPr="00366A7A" w:rsidR="00DB3CFE">
          <w:rPr>
            <w:rStyle w:val="Hyperlink"/>
            <w:sz w:val="25"/>
            <w:szCs w:val="25"/>
          </w:rPr>
          <w:t>www.transtats.bts.gov</w:t>
        </w:r>
      </w:hyperlink>
      <w:r w:rsidR="00DB3CFE">
        <w:rPr>
          <w:sz w:val="25"/>
          <w:szCs w:val="25"/>
        </w:rPr>
        <w:t xml:space="preserve"> and </w:t>
      </w:r>
      <w:r w:rsidR="00781243">
        <w:rPr>
          <w:sz w:val="25"/>
          <w:szCs w:val="25"/>
        </w:rPr>
        <w:t xml:space="preserve"> </w:t>
      </w:r>
      <w:hyperlink r:id="rId6" w:history="1">
        <w:r w:rsidRPr="00366A7A" w:rsidR="00DB3CFE">
          <w:rPr>
            <w:rStyle w:val="Hyperlink"/>
            <w:sz w:val="25"/>
            <w:szCs w:val="25"/>
          </w:rPr>
          <w:t>https://www.bts.dot.gov/topics/airlines-and-airports/origin-and-destination-survey-data</w:t>
        </w:r>
      </w:hyperlink>
      <w:r w:rsidR="00781243">
        <w:rPr>
          <w:sz w:val="25"/>
          <w:szCs w:val="25"/>
        </w:rPr>
        <w:t>.</w:t>
      </w:r>
    </w:p>
    <w:p w:rsidR="00C97271" w:rsidP="00377F84" w14:paraId="4D05543D" w14:textId="77777777">
      <w:pPr>
        <w:rPr>
          <w:sz w:val="25"/>
          <w:szCs w:val="25"/>
        </w:rPr>
      </w:pPr>
    </w:p>
    <w:p w:rsidR="00377F84" w:rsidRPr="00582F03" w:rsidP="00377F84" w14:paraId="48D1989B" w14:textId="77777777">
      <w:pPr>
        <w:widowControl w:val="0"/>
        <w:numPr>
          <w:ilvl w:val="0"/>
          <w:numId w:val="2"/>
        </w:numPr>
        <w:adjustRightInd w:val="0"/>
        <w:rPr>
          <w:b/>
          <w:sz w:val="25"/>
          <w:szCs w:val="25"/>
        </w:rPr>
      </w:pPr>
      <w:r w:rsidRPr="00582F03">
        <w:rPr>
          <w:b/>
          <w:sz w:val="25"/>
          <w:szCs w:val="25"/>
        </w:rPr>
        <w:t>Is the agency seeking approval not to display the expiration date for OMB approval?</w:t>
      </w:r>
    </w:p>
    <w:p w:rsidR="00377F84" w:rsidRPr="00582F03" w:rsidP="00377F84" w14:paraId="2BD841CF" w14:textId="77777777">
      <w:pPr>
        <w:rPr>
          <w:sz w:val="25"/>
          <w:szCs w:val="25"/>
        </w:rPr>
      </w:pPr>
    </w:p>
    <w:p w:rsidR="00377F84" w:rsidRPr="00582F03" w:rsidP="00377F84" w14:paraId="22617153" w14:textId="77777777">
      <w:pPr>
        <w:rPr>
          <w:sz w:val="25"/>
          <w:szCs w:val="25"/>
        </w:rPr>
      </w:pPr>
      <w:r w:rsidRPr="00582F03">
        <w:rPr>
          <w:sz w:val="25"/>
          <w:szCs w:val="25"/>
        </w:rPr>
        <w:t>We are not seeking approval to not display the OMB expiration date on the data.</w:t>
      </w:r>
    </w:p>
    <w:p w:rsidR="00377F84" w:rsidRPr="00582F03" w:rsidP="00377F84" w14:paraId="71132C5C" w14:textId="77777777">
      <w:pPr>
        <w:rPr>
          <w:sz w:val="25"/>
          <w:szCs w:val="25"/>
        </w:rPr>
      </w:pPr>
      <w:r w:rsidRPr="00582F03">
        <w:rPr>
          <w:sz w:val="25"/>
          <w:szCs w:val="25"/>
        </w:rPr>
        <w:t xml:space="preserve"> </w:t>
      </w:r>
    </w:p>
    <w:p w:rsidR="00377F84" w:rsidRPr="00582F03" w:rsidP="00377F84" w14:paraId="0799AACE" w14:textId="77777777">
      <w:pPr>
        <w:widowControl w:val="0"/>
        <w:numPr>
          <w:ilvl w:val="0"/>
          <w:numId w:val="2"/>
        </w:numPr>
        <w:adjustRightInd w:val="0"/>
        <w:rPr>
          <w:b/>
          <w:sz w:val="25"/>
          <w:szCs w:val="25"/>
        </w:rPr>
      </w:pPr>
      <w:r w:rsidRPr="00582F03">
        <w:rPr>
          <w:sz w:val="25"/>
          <w:szCs w:val="25"/>
        </w:rPr>
        <w:t xml:space="preserve"> </w:t>
      </w:r>
      <w:r w:rsidRPr="00582F03">
        <w:rPr>
          <w:b/>
          <w:sz w:val="25"/>
          <w:szCs w:val="25"/>
        </w:rPr>
        <w:t>Explain each exception to the Paperwork Reduction Act certification statements.</w:t>
      </w:r>
    </w:p>
    <w:p w:rsidR="00377F84" w:rsidRPr="00582F03" w:rsidP="00377F84" w14:paraId="2D3A4B2C" w14:textId="77777777">
      <w:pPr>
        <w:ind w:left="450"/>
        <w:rPr>
          <w:sz w:val="25"/>
          <w:szCs w:val="25"/>
        </w:rPr>
      </w:pPr>
    </w:p>
    <w:p w:rsidR="00377F84" w:rsidP="00377F84" w14:paraId="3062A283" w14:textId="77777777">
      <w:pPr>
        <w:ind w:left="450"/>
        <w:rPr>
          <w:sz w:val="25"/>
          <w:szCs w:val="25"/>
        </w:rPr>
      </w:pPr>
      <w:r w:rsidRPr="00582F03">
        <w:rPr>
          <w:sz w:val="25"/>
          <w:szCs w:val="25"/>
        </w:rPr>
        <w:t>There are no exceptions.</w:t>
      </w:r>
    </w:p>
    <w:p w:rsidR="008C7A67" w:rsidP="00377F84" w14:paraId="53015906" w14:textId="77777777">
      <w:pPr>
        <w:ind w:left="450"/>
        <w:rPr>
          <w:sz w:val="25"/>
          <w:szCs w:val="25"/>
        </w:rPr>
      </w:pPr>
    </w:p>
    <w:p w:rsidR="008C7A67" w:rsidRPr="00582F03" w:rsidP="008C7A67" w14:paraId="2FEAE08F" w14:textId="77777777">
      <w:pPr>
        <w:rPr>
          <w:b/>
          <w:bCs/>
          <w:sz w:val="25"/>
          <w:szCs w:val="25"/>
          <w:u w:val="single"/>
        </w:rPr>
      </w:pPr>
      <w:r w:rsidRPr="00582F03">
        <w:rPr>
          <w:b/>
          <w:bCs/>
          <w:sz w:val="25"/>
          <w:szCs w:val="25"/>
          <w:u w:val="single"/>
        </w:rPr>
        <w:t>MISSION STATEMENT</w:t>
      </w:r>
    </w:p>
    <w:p w:rsidR="008C7A67" w:rsidRPr="00582F03" w:rsidP="008C7A67" w14:paraId="60B59115" w14:textId="77777777">
      <w:pPr>
        <w:rPr>
          <w:b/>
          <w:bCs/>
          <w:sz w:val="25"/>
          <w:szCs w:val="25"/>
        </w:rPr>
      </w:pPr>
    </w:p>
    <w:p w:rsidR="008C7A67" w:rsidRPr="00582F03" w:rsidP="008C7A67" w14:paraId="308BC93E" w14:textId="7777777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8C7A67" w:rsidRPr="00582F03" w:rsidP="008C7A67" w14:paraId="7DB4179A" w14:textId="77777777">
      <w:pPr>
        <w:rPr>
          <w:sz w:val="25"/>
          <w:szCs w:val="25"/>
        </w:rPr>
      </w:pPr>
    </w:p>
    <w:p w:rsidR="008C7A67" w:rsidRPr="00582F03" w:rsidP="008C7A67" w14:paraId="00FA651D" w14:textId="7777777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8C7A67" w:rsidP="00377F84" w14:paraId="2105A7E2" w14:textId="77777777">
      <w:pPr>
        <w:ind w:left="450"/>
        <w:rPr>
          <w:sz w:val="25"/>
          <w:szCs w:val="25"/>
        </w:rPr>
      </w:pPr>
    </w:p>
    <w:p w:rsidR="008C7A67" w:rsidP="00377F84" w14:paraId="7106523B" w14:textId="77777777">
      <w:pPr>
        <w:ind w:left="450"/>
        <w:rPr>
          <w:sz w:val="25"/>
          <w:szCs w:val="25"/>
        </w:rPr>
      </w:pPr>
    </w:p>
    <w:p w:rsidR="008C7A67" w:rsidP="00377F84" w14:paraId="1A8D9191" w14:textId="77777777">
      <w:pPr>
        <w:ind w:left="450"/>
        <w:rPr>
          <w:sz w:val="25"/>
          <w:szCs w:val="25"/>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0580276"/>
      <w:docPartObj>
        <w:docPartGallery w:val="Page Numbers (Bottom of Page)"/>
        <w:docPartUnique/>
      </w:docPartObj>
    </w:sdtPr>
    <w:sdtEndPr>
      <w:rPr>
        <w:noProof/>
      </w:rPr>
    </w:sdtEndPr>
    <w:sdtContent>
      <w:p w:rsidR="00183366" w14:paraId="05FC8B66" w14:textId="77777777">
        <w:pPr>
          <w:pStyle w:val="Footer"/>
          <w:jc w:val="right"/>
        </w:pPr>
        <w:r>
          <w:fldChar w:fldCharType="begin"/>
        </w:r>
        <w:r>
          <w:instrText xml:space="preserve"> PAGE   </w:instrText>
        </w:r>
        <w:r>
          <w:fldChar w:fldCharType="separate"/>
        </w:r>
        <w:r w:rsidR="001104ED">
          <w:rPr>
            <w:noProof/>
          </w:rPr>
          <w:t>1</w:t>
        </w:r>
        <w:r>
          <w:rPr>
            <w:noProof/>
          </w:rPr>
          <w:fldChar w:fldCharType="end"/>
        </w:r>
      </w:p>
    </w:sdtContent>
  </w:sdt>
  <w:p w:rsidR="00183366" w14:paraId="447C8D37" w14:textId="77777777">
    <w:pPr>
      <w:pStyle w:val="BodyText"/>
      <w:spacing w:line="14"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BF03A40"/>
    <w:lvl w:ilvl="0">
      <w:start w:val="0"/>
      <w:numFmt w:val="decimal"/>
      <w:lvlText w:val="*"/>
      <w:lvlJc w:val="left"/>
    </w:lvl>
  </w:abstractNum>
  <w:abstractNum w:abstractNumId="1">
    <w:nsid w:val="0273279C"/>
    <w:multiLevelType w:val="hybridMultilevel"/>
    <w:tmpl w:val="9AD6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643427"/>
    <w:multiLevelType w:val="hybridMultilevel"/>
    <w:tmpl w:val="48648E72"/>
    <w:lvl w:ilvl="0">
      <w:start w:val="1"/>
      <w:numFmt w:val="decimal"/>
      <w:lvlText w:val="%1."/>
      <w:lvlJc w:val="left"/>
      <w:pPr>
        <w:ind w:left="720" w:hanging="360"/>
      </w:pPr>
      <w:rPr>
        <w:rFonts w:hint="default"/>
        <w:sz w:val="2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916E3"/>
    <w:multiLevelType w:val="hybridMultilevel"/>
    <w:tmpl w:val="4EB254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1B49BC"/>
    <w:multiLevelType w:val="hybridMultilevel"/>
    <w:tmpl w:val="C76C38C2"/>
    <w:lvl w:ilvl="0">
      <w:start w:val="0"/>
      <w:numFmt w:val="bullet"/>
      <w:lvlText w:val="·"/>
      <w:lvlJc w:val="left"/>
      <w:pPr>
        <w:ind w:left="170" w:hanging="157"/>
      </w:pPr>
      <w:rPr>
        <w:rFonts w:ascii="Palatino Linotype" w:eastAsia="Palatino Linotype" w:hAnsi="Palatino Linotype" w:cs="Palatino Linotype" w:hint="default"/>
        <w:i/>
        <w:w w:val="110"/>
        <w:sz w:val="20"/>
        <w:szCs w:val="20"/>
      </w:rPr>
    </w:lvl>
    <w:lvl w:ilvl="1">
      <w:start w:val="0"/>
      <w:numFmt w:val="bullet"/>
      <w:lvlText w:val="•"/>
      <w:lvlJc w:val="left"/>
      <w:pPr>
        <w:ind w:left="583" w:hanging="157"/>
      </w:pPr>
      <w:rPr>
        <w:rFonts w:hint="default"/>
      </w:rPr>
    </w:lvl>
    <w:lvl w:ilvl="2">
      <w:start w:val="0"/>
      <w:numFmt w:val="bullet"/>
      <w:lvlText w:val="•"/>
      <w:lvlJc w:val="left"/>
      <w:pPr>
        <w:ind w:left="986" w:hanging="157"/>
      </w:pPr>
      <w:rPr>
        <w:rFonts w:hint="default"/>
      </w:rPr>
    </w:lvl>
    <w:lvl w:ilvl="3">
      <w:start w:val="0"/>
      <w:numFmt w:val="bullet"/>
      <w:lvlText w:val="•"/>
      <w:lvlJc w:val="left"/>
      <w:pPr>
        <w:ind w:left="1390" w:hanging="157"/>
      </w:pPr>
      <w:rPr>
        <w:rFonts w:hint="default"/>
      </w:rPr>
    </w:lvl>
    <w:lvl w:ilvl="4">
      <w:start w:val="0"/>
      <w:numFmt w:val="bullet"/>
      <w:lvlText w:val="•"/>
      <w:lvlJc w:val="left"/>
      <w:pPr>
        <w:ind w:left="1793" w:hanging="157"/>
      </w:pPr>
      <w:rPr>
        <w:rFonts w:hint="default"/>
      </w:rPr>
    </w:lvl>
    <w:lvl w:ilvl="5">
      <w:start w:val="0"/>
      <w:numFmt w:val="bullet"/>
      <w:lvlText w:val="•"/>
      <w:lvlJc w:val="left"/>
      <w:pPr>
        <w:ind w:left="2196" w:hanging="157"/>
      </w:pPr>
      <w:rPr>
        <w:rFonts w:hint="default"/>
      </w:rPr>
    </w:lvl>
    <w:lvl w:ilvl="6">
      <w:start w:val="0"/>
      <w:numFmt w:val="bullet"/>
      <w:lvlText w:val="•"/>
      <w:lvlJc w:val="left"/>
      <w:pPr>
        <w:ind w:left="2600" w:hanging="157"/>
      </w:pPr>
      <w:rPr>
        <w:rFonts w:hint="default"/>
      </w:rPr>
    </w:lvl>
    <w:lvl w:ilvl="7">
      <w:start w:val="0"/>
      <w:numFmt w:val="bullet"/>
      <w:lvlText w:val="•"/>
      <w:lvlJc w:val="left"/>
      <w:pPr>
        <w:ind w:left="3003" w:hanging="157"/>
      </w:pPr>
      <w:rPr>
        <w:rFonts w:hint="default"/>
      </w:rPr>
    </w:lvl>
    <w:lvl w:ilvl="8">
      <w:start w:val="0"/>
      <w:numFmt w:val="bullet"/>
      <w:lvlText w:val="•"/>
      <w:lvlJc w:val="left"/>
      <w:pPr>
        <w:ind w:left="3406" w:hanging="157"/>
      </w:pPr>
      <w:rPr>
        <w:rFonts w:hint="default"/>
      </w:rPr>
    </w:lvl>
  </w:abstractNum>
  <w:abstractNum w:abstractNumId="5">
    <w:nsid w:val="0892072B"/>
    <w:multiLevelType w:val="hybridMultilevel"/>
    <w:tmpl w:val="42FAE8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DD3CA9"/>
    <w:multiLevelType w:val="hybridMultilevel"/>
    <w:tmpl w:val="B6F2F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1C5CB0"/>
    <w:multiLevelType w:val="hybridMultilevel"/>
    <w:tmpl w:val="EABA69A0"/>
    <w:lvl w:ilvl="0">
      <w:start w:val="1"/>
      <w:numFmt w:val="upperLetter"/>
      <w:lvlText w:val="%1."/>
      <w:lvlJc w:val="left"/>
      <w:pPr>
        <w:ind w:left="3240" w:hanging="360"/>
      </w:pPr>
      <w:rPr>
        <w:rFonts w:hint="default"/>
        <w:b/>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13D45E64"/>
    <w:multiLevelType w:val="hybridMultilevel"/>
    <w:tmpl w:val="EB20D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7415B"/>
    <w:multiLevelType w:val="hybridMultilevel"/>
    <w:tmpl w:val="DD8E340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89049EB"/>
    <w:multiLevelType w:val="hybridMultilevel"/>
    <w:tmpl w:val="3BDCE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8A1546F"/>
    <w:multiLevelType w:val="hybridMultilevel"/>
    <w:tmpl w:val="BD8AC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F563C3"/>
    <w:multiLevelType w:val="hybridMultilevel"/>
    <w:tmpl w:val="13EE1564"/>
    <w:lvl w:ilvl="0">
      <w:start w:val="0"/>
      <w:numFmt w:val="bullet"/>
      <w:lvlText w:val="-"/>
      <w:lvlJc w:val="left"/>
      <w:pPr>
        <w:ind w:left="1080" w:hanging="360"/>
      </w:pPr>
      <w:rPr>
        <w:rFonts w:ascii="Times New Roman" w:eastAsia="Times New Roman" w:hAnsi="Times New Roman" w:cs="Times New Roman"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497B1D"/>
    <w:multiLevelType w:val="hybridMultilevel"/>
    <w:tmpl w:val="B2DC3B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D04C58"/>
    <w:multiLevelType w:val="hybridMultilevel"/>
    <w:tmpl w:val="16CCD87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864075"/>
    <w:multiLevelType w:val="hybridMultilevel"/>
    <w:tmpl w:val="7690FECA"/>
    <w:lvl w:ilvl="0">
      <w:start w:val="1"/>
      <w:numFmt w:val="decimal"/>
      <w:lvlText w:val="%1."/>
      <w:lvlJc w:val="left"/>
      <w:pPr>
        <w:ind w:left="938" w:hanging="255"/>
      </w:pPr>
      <w:rPr>
        <w:rFonts w:ascii="Times New Roman" w:hAnsi="Times New Roman" w:eastAsiaTheme="minorHAnsi" w:cs="Times New Roman"/>
        <w:w w:val="103"/>
        <w:sz w:val="20"/>
        <w:szCs w:val="20"/>
      </w:rPr>
    </w:lvl>
    <w:lvl w:ilvl="1">
      <w:start w:val="0"/>
      <w:numFmt w:val="bullet"/>
      <w:lvlText w:val="•"/>
      <w:lvlJc w:val="left"/>
      <w:pPr>
        <w:ind w:left="5120" w:hanging="255"/>
      </w:pPr>
      <w:rPr>
        <w:rFonts w:hint="default"/>
      </w:rPr>
    </w:lvl>
    <w:lvl w:ilvl="2">
      <w:start w:val="0"/>
      <w:numFmt w:val="bullet"/>
      <w:lvlText w:val="•"/>
      <w:lvlJc w:val="left"/>
      <w:pPr>
        <w:ind w:left="5528" w:hanging="255"/>
      </w:pPr>
      <w:rPr>
        <w:rFonts w:hint="default"/>
      </w:rPr>
    </w:lvl>
    <w:lvl w:ilvl="3">
      <w:start w:val="0"/>
      <w:numFmt w:val="bullet"/>
      <w:lvlText w:val="•"/>
      <w:lvlJc w:val="left"/>
      <w:pPr>
        <w:ind w:left="5937" w:hanging="255"/>
      </w:pPr>
      <w:rPr>
        <w:rFonts w:hint="default"/>
      </w:rPr>
    </w:lvl>
    <w:lvl w:ilvl="4">
      <w:start w:val="0"/>
      <w:numFmt w:val="bullet"/>
      <w:lvlText w:val="•"/>
      <w:lvlJc w:val="left"/>
      <w:pPr>
        <w:ind w:left="6346" w:hanging="255"/>
      </w:pPr>
      <w:rPr>
        <w:rFonts w:hint="default"/>
      </w:rPr>
    </w:lvl>
    <w:lvl w:ilvl="5">
      <w:start w:val="0"/>
      <w:numFmt w:val="bullet"/>
      <w:lvlText w:val="•"/>
      <w:lvlJc w:val="left"/>
      <w:pPr>
        <w:ind w:left="6755" w:hanging="255"/>
      </w:pPr>
      <w:rPr>
        <w:rFonts w:hint="default"/>
      </w:rPr>
    </w:lvl>
    <w:lvl w:ilvl="6">
      <w:start w:val="0"/>
      <w:numFmt w:val="bullet"/>
      <w:lvlText w:val="•"/>
      <w:lvlJc w:val="left"/>
      <w:pPr>
        <w:ind w:left="7164" w:hanging="255"/>
      </w:pPr>
      <w:rPr>
        <w:rFonts w:hint="default"/>
      </w:rPr>
    </w:lvl>
    <w:lvl w:ilvl="7">
      <w:start w:val="0"/>
      <w:numFmt w:val="bullet"/>
      <w:lvlText w:val="•"/>
      <w:lvlJc w:val="left"/>
      <w:pPr>
        <w:ind w:left="7573" w:hanging="255"/>
      </w:pPr>
      <w:rPr>
        <w:rFonts w:hint="default"/>
      </w:rPr>
    </w:lvl>
    <w:lvl w:ilvl="8">
      <w:start w:val="0"/>
      <w:numFmt w:val="bullet"/>
      <w:lvlText w:val="•"/>
      <w:lvlJc w:val="left"/>
      <w:pPr>
        <w:ind w:left="7982" w:hanging="255"/>
      </w:pPr>
      <w:rPr>
        <w:rFonts w:hint="default"/>
      </w:rPr>
    </w:lvl>
  </w:abstractNum>
  <w:abstractNum w:abstractNumId="16">
    <w:nsid w:val="5EDC6CC0"/>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
    <w:nsid w:val="5EDC76E2"/>
    <w:multiLevelType w:val="hybridMultilevel"/>
    <w:tmpl w:val="00BC8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7347AB7"/>
    <w:multiLevelType w:val="hybridMultilevel"/>
    <w:tmpl w:val="06124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1E66D9"/>
    <w:multiLevelType w:val="hybridMultilevel"/>
    <w:tmpl w:val="2B560B32"/>
    <w:lvl w:ilvl="0">
      <w:start w:val="17"/>
      <w:numFmt w:val="decimal"/>
      <w:lvlText w:val="%1."/>
      <w:lvlJc w:val="left"/>
      <w:pPr>
        <w:tabs>
          <w:tab w:val="num" w:pos="450"/>
        </w:tabs>
        <w:ind w:left="450" w:hanging="450"/>
      </w:pPr>
      <w:rPr>
        <w:rFonts w:hint="default"/>
      </w:rPr>
    </w:lvl>
    <w:lvl w:ilvl="1">
      <w:start w:val="2"/>
      <w:numFmt w:val="upperLetter"/>
      <w:lvlText w:val="%2."/>
      <w:lvlJc w:val="left"/>
      <w:pPr>
        <w:tabs>
          <w:tab w:val="num" w:pos="1170"/>
        </w:tabs>
        <w:ind w:left="1170" w:hanging="360"/>
      </w:pPr>
      <w:rPr>
        <w:rFonts w:hint="default"/>
        <w:u w:val="singl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A0522A8"/>
    <w:multiLevelType w:val="hybridMultilevel"/>
    <w:tmpl w:val="77BCDF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79D53AC3"/>
    <w:multiLevelType w:val="hybridMultilevel"/>
    <w:tmpl w:val="2A881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B8E524B"/>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7C8F4C3C"/>
    <w:multiLevelType w:val="hybridMultilevel"/>
    <w:tmpl w:val="244CC21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7684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11232">
    <w:abstractNumId w:val="19"/>
  </w:num>
  <w:num w:numId="3" w16cid:durableId="1048454716">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4" w16cid:durableId="2096856744">
    <w:abstractNumId w:val="22"/>
  </w:num>
  <w:num w:numId="5" w16cid:durableId="1746686588">
    <w:abstractNumId w:val="17"/>
  </w:num>
  <w:num w:numId="6" w16cid:durableId="1813281340">
    <w:abstractNumId w:val="11"/>
  </w:num>
  <w:num w:numId="7" w16cid:durableId="1940988198">
    <w:abstractNumId w:val="13"/>
  </w:num>
  <w:num w:numId="8" w16cid:durableId="2042784877">
    <w:abstractNumId w:val="18"/>
  </w:num>
  <w:num w:numId="9" w16cid:durableId="1172183282">
    <w:abstractNumId w:val="7"/>
  </w:num>
  <w:num w:numId="10" w16cid:durableId="1264143996">
    <w:abstractNumId w:val="4"/>
  </w:num>
  <w:num w:numId="11" w16cid:durableId="1471551373">
    <w:abstractNumId w:val="15"/>
  </w:num>
  <w:num w:numId="12" w16cid:durableId="447043501">
    <w:abstractNumId w:val="6"/>
  </w:num>
  <w:num w:numId="13" w16cid:durableId="496962682">
    <w:abstractNumId w:val="12"/>
  </w:num>
  <w:num w:numId="14" w16cid:durableId="164588765">
    <w:abstractNumId w:val="9"/>
  </w:num>
  <w:num w:numId="15" w16cid:durableId="1774784912">
    <w:abstractNumId w:val="3"/>
  </w:num>
  <w:num w:numId="16" w16cid:durableId="150216565">
    <w:abstractNumId w:val="5"/>
  </w:num>
  <w:num w:numId="17" w16cid:durableId="93476092">
    <w:abstractNumId w:val="23"/>
  </w:num>
  <w:num w:numId="18" w16cid:durableId="2104448694">
    <w:abstractNumId w:val="2"/>
  </w:num>
  <w:num w:numId="19" w16cid:durableId="557519736">
    <w:abstractNumId w:val="8"/>
  </w:num>
  <w:num w:numId="20" w16cid:durableId="1960524528">
    <w:abstractNumId w:val="21"/>
  </w:num>
  <w:num w:numId="21" w16cid:durableId="1894582920">
    <w:abstractNumId w:val="20"/>
  </w:num>
  <w:num w:numId="22" w16cid:durableId="2044750032">
    <w:abstractNumId w:val="16"/>
  </w:num>
  <w:num w:numId="23" w16cid:durableId="914584332">
    <w:abstractNumId w:val="1"/>
  </w:num>
  <w:num w:numId="24" w16cid:durableId="1759525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23"/>
    <w:rsid w:val="00006572"/>
    <w:rsid w:val="00017BB9"/>
    <w:rsid w:val="000233AC"/>
    <w:rsid w:val="000267EF"/>
    <w:rsid w:val="00063D75"/>
    <w:rsid w:val="00067007"/>
    <w:rsid w:val="00070CBB"/>
    <w:rsid w:val="00072CDB"/>
    <w:rsid w:val="0007715D"/>
    <w:rsid w:val="0009396B"/>
    <w:rsid w:val="00095E18"/>
    <w:rsid w:val="0009665A"/>
    <w:rsid w:val="000A1142"/>
    <w:rsid w:val="000A1FA9"/>
    <w:rsid w:val="000A507F"/>
    <w:rsid w:val="000B18B2"/>
    <w:rsid w:val="000D2EFC"/>
    <w:rsid w:val="000D3291"/>
    <w:rsid w:val="000D3E2D"/>
    <w:rsid w:val="000D4A1A"/>
    <w:rsid w:val="000E0F73"/>
    <w:rsid w:val="000E17E5"/>
    <w:rsid w:val="000F0150"/>
    <w:rsid w:val="000F1A62"/>
    <w:rsid w:val="000F224A"/>
    <w:rsid w:val="00103052"/>
    <w:rsid w:val="0010770D"/>
    <w:rsid w:val="00107F17"/>
    <w:rsid w:val="001104ED"/>
    <w:rsid w:val="0011511E"/>
    <w:rsid w:val="00115F3C"/>
    <w:rsid w:val="00123759"/>
    <w:rsid w:val="0012497F"/>
    <w:rsid w:val="00137B40"/>
    <w:rsid w:val="00151D68"/>
    <w:rsid w:val="0016313A"/>
    <w:rsid w:val="00164903"/>
    <w:rsid w:val="001666EA"/>
    <w:rsid w:val="00175AB6"/>
    <w:rsid w:val="00182FB3"/>
    <w:rsid w:val="00183366"/>
    <w:rsid w:val="00185024"/>
    <w:rsid w:val="0018583C"/>
    <w:rsid w:val="0019067E"/>
    <w:rsid w:val="001B4B82"/>
    <w:rsid w:val="001B7FAA"/>
    <w:rsid w:val="001C0A5B"/>
    <w:rsid w:val="001C1BC7"/>
    <w:rsid w:val="001C2C6E"/>
    <w:rsid w:val="001D0641"/>
    <w:rsid w:val="001E6DA4"/>
    <w:rsid w:val="001E7193"/>
    <w:rsid w:val="001F7ED4"/>
    <w:rsid w:val="00202702"/>
    <w:rsid w:val="00205864"/>
    <w:rsid w:val="002248EF"/>
    <w:rsid w:val="00233592"/>
    <w:rsid w:val="00234216"/>
    <w:rsid w:val="00234B48"/>
    <w:rsid w:val="00235BEB"/>
    <w:rsid w:val="00237E9D"/>
    <w:rsid w:val="00242029"/>
    <w:rsid w:val="002448C0"/>
    <w:rsid w:val="00245E28"/>
    <w:rsid w:val="00251432"/>
    <w:rsid w:val="00261486"/>
    <w:rsid w:val="00265977"/>
    <w:rsid w:val="00267266"/>
    <w:rsid w:val="002748B5"/>
    <w:rsid w:val="00283264"/>
    <w:rsid w:val="00287B76"/>
    <w:rsid w:val="002B5716"/>
    <w:rsid w:val="002B6DF6"/>
    <w:rsid w:val="002C5139"/>
    <w:rsid w:val="002C573E"/>
    <w:rsid w:val="002C5915"/>
    <w:rsid w:val="002D28FB"/>
    <w:rsid w:val="002D4282"/>
    <w:rsid w:val="002D5539"/>
    <w:rsid w:val="002E1D7D"/>
    <w:rsid w:val="002E7075"/>
    <w:rsid w:val="002E766F"/>
    <w:rsid w:val="00300BD6"/>
    <w:rsid w:val="00304703"/>
    <w:rsid w:val="003121AD"/>
    <w:rsid w:val="00312BF0"/>
    <w:rsid w:val="00313853"/>
    <w:rsid w:val="00320D24"/>
    <w:rsid w:val="00323F8F"/>
    <w:rsid w:val="00356184"/>
    <w:rsid w:val="00357293"/>
    <w:rsid w:val="00357917"/>
    <w:rsid w:val="00360C27"/>
    <w:rsid w:val="003620C4"/>
    <w:rsid w:val="00362C86"/>
    <w:rsid w:val="00366A7A"/>
    <w:rsid w:val="003754EA"/>
    <w:rsid w:val="00375B2C"/>
    <w:rsid w:val="00377F84"/>
    <w:rsid w:val="0038050F"/>
    <w:rsid w:val="00380F56"/>
    <w:rsid w:val="003929FD"/>
    <w:rsid w:val="00393954"/>
    <w:rsid w:val="003955B7"/>
    <w:rsid w:val="003A3466"/>
    <w:rsid w:val="003A4076"/>
    <w:rsid w:val="003A6805"/>
    <w:rsid w:val="003A767B"/>
    <w:rsid w:val="003B1E32"/>
    <w:rsid w:val="003C080C"/>
    <w:rsid w:val="003C5DDC"/>
    <w:rsid w:val="003D4415"/>
    <w:rsid w:val="003E1547"/>
    <w:rsid w:val="003E3D1A"/>
    <w:rsid w:val="003E5D14"/>
    <w:rsid w:val="003F618F"/>
    <w:rsid w:val="00401BE6"/>
    <w:rsid w:val="00413C57"/>
    <w:rsid w:val="004168A1"/>
    <w:rsid w:val="00427E94"/>
    <w:rsid w:val="00434087"/>
    <w:rsid w:val="0043506D"/>
    <w:rsid w:val="004350FF"/>
    <w:rsid w:val="004556C9"/>
    <w:rsid w:val="00461184"/>
    <w:rsid w:val="0047169E"/>
    <w:rsid w:val="004861F9"/>
    <w:rsid w:val="004863B5"/>
    <w:rsid w:val="00491E3D"/>
    <w:rsid w:val="0049782E"/>
    <w:rsid w:val="004A28F1"/>
    <w:rsid w:val="004A2B60"/>
    <w:rsid w:val="004B029C"/>
    <w:rsid w:val="004C28F2"/>
    <w:rsid w:val="004D4B08"/>
    <w:rsid w:val="004D745A"/>
    <w:rsid w:val="004D7BF2"/>
    <w:rsid w:val="004E7F45"/>
    <w:rsid w:val="004F38C0"/>
    <w:rsid w:val="004F504F"/>
    <w:rsid w:val="00504259"/>
    <w:rsid w:val="0052561D"/>
    <w:rsid w:val="00534B5C"/>
    <w:rsid w:val="0053570C"/>
    <w:rsid w:val="00537E1B"/>
    <w:rsid w:val="00541E60"/>
    <w:rsid w:val="00542828"/>
    <w:rsid w:val="00547A0E"/>
    <w:rsid w:val="00551ADC"/>
    <w:rsid w:val="00553414"/>
    <w:rsid w:val="00555C3C"/>
    <w:rsid w:val="00556214"/>
    <w:rsid w:val="00561AB3"/>
    <w:rsid w:val="005714C1"/>
    <w:rsid w:val="005825E5"/>
    <w:rsid w:val="00582F03"/>
    <w:rsid w:val="00586517"/>
    <w:rsid w:val="0059481B"/>
    <w:rsid w:val="005B0279"/>
    <w:rsid w:val="005B6CDD"/>
    <w:rsid w:val="005C7EC9"/>
    <w:rsid w:val="005D06A8"/>
    <w:rsid w:val="005D644B"/>
    <w:rsid w:val="005E0A75"/>
    <w:rsid w:val="005E4A03"/>
    <w:rsid w:val="005F328D"/>
    <w:rsid w:val="006017B3"/>
    <w:rsid w:val="00602F0F"/>
    <w:rsid w:val="00603525"/>
    <w:rsid w:val="00605210"/>
    <w:rsid w:val="00606A7A"/>
    <w:rsid w:val="00610110"/>
    <w:rsid w:val="00610A74"/>
    <w:rsid w:val="00613D7E"/>
    <w:rsid w:val="006301FE"/>
    <w:rsid w:val="00633F1C"/>
    <w:rsid w:val="00637738"/>
    <w:rsid w:val="006527BC"/>
    <w:rsid w:val="00653748"/>
    <w:rsid w:val="00661CB0"/>
    <w:rsid w:val="00663A32"/>
    <w:rsid w:val="00672F80"/>
    <w:rsid w:val="00673FE0"/>
    <w:rsid w:val="00676AFC"/>
    <w:rsid w:val="00677503"/>
    <w:rsid w:val="006A7420"/>
    <w:rsid w:val="006D1793"/>
    <w:rsid w:val="006E1C51"/>
    <w:rsid w:val="006E6BBB"/>
    <w:rsid w:val="006F0F07"/>
    <w:rsid w:val="006F68FE"/>
    <w:rsid w:val="00700D1A"/>
    <w:rsid w:val="00701992"/>
    <w:rsid w:val="0072116E"/>
    <w:rsid w:val="0072141D"/>
    <w:rsid w:val="00722746"/>
    <w:rsid w:val="00736991"/>
    <w:rsid w:val="00737A63"/>
    <w:rsid w:val="00741542"/>
    <w:rsid w:val="00741C79"/>
    <w:rsid w:val="0074616C"/>
    <w:rsid w:val="007478B8"/>
    <w:rsid w:val="00747CA7"/>
    <w:rsid w:val="00774684"/>
    <w:rsid w:val="0077620E"/>
    <w:rsid w:val="007764A8"/>
    <w:rsid w:val="00781243"/>
    <w:rsid w:val="00783084"/>
    <w:rsid w:val="007915CE"/>
    <w:rsid w:val="007950FA"/>
    <w:rsid w:val="00796469"/>
    <w:rsid w:val="007A76E0"/>
    <w:rsid w:val="007B472D"/>
    <w:rsid w:val="007C60DC"/>
    <w:rsid w:val="007D0EE5"/>
    <w:rsid w:val="007D1024"/>
    <w:rsid w:val="007D2515"/>
    <w:rsid w:val="007E1D96"/>
    <w:rsid w:val="007E77C5"/>
    <w:rsid w:val="007F092C"/>
    <w:rsid w:val="00804D76"/>
    <w:rsid w:val="00820056"/>
    <w:rsid w:val="00820393"/>
    <w:rsid w:val="00820A09"/>
    <w:rsid w:val="008227D7"/>
    <w:rsid w:val="008248D1"/>
    <w:rsid w:val="00824B68"/>
    <w:rsid w:val="008326C5"/>
    <w:rsid w:val="0083316B"/>
    <w:rsid w:val="008335CB"/>
    <w:rsid w:val="008341E8"/>
    <w:rsid w:val="008364F0"/>
    <w:rsid w:val="008411B4"/>
    <w:rsid w:val="00850E11"/>
    <w:rsid w:val="00852441"/>
    <w:rsid w:val="00855E96"/>
    <w:rsid w:val="00863727"/>
    <w:rsid w:val="008745BA"/>
    <w:rsid w:val="00876E02"/>
    <w:rsid w:val="008931BB"/>
    <w:rsid w:val="0089633D"/>
    <w:rsid w:val="00897094"/>
    <w:rsid w:val="008A0B19"/>
    <w:rsid w:val="008A36B6"/>
    <w:rsid w:val="008B53F2"/>
    <w:rsid w:val="008C0043"/>
    <w:rsid w:val="008C459B"/>
    <w:rsid w:val="008C497A"/>
    <w:rsid w:val="008C7A67"/>
    <w:rsid w:val="008C7DC6"/>
    <w:rsid w:val="008D6128"/>
    <w:rsid w:val="008E2F07"/>
    <w:rsid w:val="008F139E"/>
    <w:rsid w:val="008F34D4"/>
    <w:rsid w:val="00913430"/>
    <w:rsid w:val="00920E38"/>
    <w:rsid w:val="00923E34"/>
    <w:rsid w:val="00925B4B"/>
    <w:rsid w:val="00953EE2"/>
    <w:rsid w:val="009564D3"/>
    <w:rsid w:val="00963A16"/>
    <w:rsid w:val="00974BBB"/>
    <w:rsid w:val="00975D06"/>
    <w:rsid w:val="00981FB6"/>
    <w:rsid w:val="0098256B"/>
    <w:rsid w:val="0098652C"/>
    <w:rsid w:val="00996158"/>
    <w:rsid w:val="009B1FF3"/>
    <w:rsid w:val="009D27D8"/>
    <w:rsid w:val="009E3BD4"/>
    <w:rsid w:val="009F18E8"/>
    <w:rsid w:val="009F3D55"/>
    <w:rsid w:val="009F7D7B"/>
    <w:rsid w:val="00A04EB8"/>
    <w:rsid w:val="00A10B6A"/>
    <w:rsid w:val="00A17A32"/>
    <w:rsid w:val="00A21D66"/>
    <w:rsid w:val="00A22ACD"/>
    <w:rsid w:val="00A3242A"/>
    <w:rsid w:val="00A427B1"/>
    <w:rsid w:val="00A43A53"/>
    <w:rsid w:val="00A4699B"/>
    <w:rsid w:val="00A526D7"/>
    <w:rsid w:val="00A528BF"/>
    <w:rsid w:val="00A5373E"/>
    <w:rsid w:val="00A62F67"/>
    <w:rsid w:val="00A6463C"/>
    <w:rsid w:val="00A66941"/>
    <w:rsid w:val="00A66F07"/>
    <w:rsid w:val="00A716DD"/>
    <w:rsid w:val="00A82AEB"/>
    <w:rsid w:val="00A97280"/>
    <w:rsid w:val="00AA01B9"/>
    <w:rsid w:val="00AA2F68"/>
    <w:rsid w:val="00AA67D0"/>
    <w:rsid w:val="00AA6BEC"/>
    <w:rsid w:val="00AC0E55"/>
    <w:rsid w:val="00AC66E5"/>
    <w:rsid w:val="00AD0164"/>
    <w:rsid w:val="00AD7514"/>
    <w:rsid w:val="00AE068A"/>
    <w:rsid w:val="00AE42A4"/>
    <w:rsid w:val="00AE659C"/>
    <w:rsid w:val="00AF2204"/>
    <w:rsid w:val="00AF2AEF"/>
    <w:rsid w:val="00B00237"/>
    <w:rsid w:val="00B05A0C"/>
    <w:rsid w:val="00B24783"/>
    <w:rsid w:val="00B252FB"/>
    <w:rsid w:val="00B31E63"/>
    <w:rsid w:val="00B51C75"/>
    <w:rsid w:val="00B53A57"/>
    <w:rsid w:val="00B60B29"/>
    <w:rsid w:val="00B66128"/>
    <w:rsid w:val="00B671AF"/>
    <w:rsid w:val="00B7111F"/>
    <w:rsid w:val="00B74B97"/>
    <w:rsid w:val="00B7796E"/>
    <w:rsid w:val="00B77DF0"/>
    <w:rsid w:val="00B8095F"/>
    <w:rsid w:val="00B846F0"/>
    <w:rsid w:val="00B864E1"/>
    <w:rsid w:val="00B90DA7"/>
    <w:rsid w:val="00B92EA6"/>
    <w:rsid w:val="00B94BCC"/>
    <w:rsid w:val="00BA102B"/>
    <w:rsid w:val="00BA3A16"/>
    <w:rsid w:val="00BA5C4F"/>
    <w:rsid w:val="00BB1FBE"/>
    <w:rsid w:val="00BC0533"/>
    <w:rsid w:val="00BD27BB"/>
    <w:rsid w:val="00BD3846"/>
    <w:rsid w:val="00BE04E9"/>
    <w:rsid w:val="00BE09A6"/>
    <w:rsid w:val="00BE3002"/>
    <w:rsid w:val="00BF6F83"/>
    <w:rsid w:val="00C0515A"/>
    <w:rsid w:val="00C067FB"/>
    <w:rsid w:val="00C079FC"/>
    <w:rsid w:val="00C11260"/>
    <w:rsid w:val="00C165DB"/>
    <w:rsid w:val="00C20CB1"/>
    <w:rsid w:val="00C227BD"/>
    <w:rsid w:val="00C22F76"/>
    <w:rsid w:val="00C34CE1"/>
    <w:rsid w:val="00C41FB8"/>
    <w:rsid w:val="00C47CAC"/>
    <w:rsid w:val="00C47D1E"/>
    <w:rsid w:val="00C526E9"/>
    <w:rsid w:val="00C64A7B"/>
    <w:rsid w:val="00C67432"/>
    <w:rsid w:val="00C70B9A"/>
    <w:rsid w:val="00C71801"/>
    <w:rsid w:val="00C76239"/>
    <w:rsid w:val="00C817BC"/>
    <w:rsid w:val="00C834EA"/>
    <w:rsid w:val="00C85513"/>
    <w:rsid w:val="00C94A0C"/>
    <w:rsid w:val="00C97271"/>
    <w:rsid w:val="00CB19A8"/>
    <w:rsid w:val="00CB255F"/>
    <w:rsid w:val="00CB4881"/>
    <w:rsid w:val="00CB5270"/>
    <w:rsid w:val="00CB5AA5"/>
    <w:rsid w:val="00CB7D9A"/>
    <w:rsid w:val="00CC75F2"/>
    <w:rsid w:val="00CE4D5A"/>
    <w:rsid w:val="00CF5EBE"/>
    <w:rsid w:val="00D02C09"/>
    <w:rsid w:val="00D101DA"/>
    <w:rsid w:val="00D13A6B"/>
    <w:rsid w:val="00D13C1E"/>
    <w:rsid w:val="00D2582A"/>
    <w:rsid w:val="00D27EE2"/>
    <w:rsid w:val="00D514AA"/>
    <w:rsid w:val="00D532B3"/>
    <w:rsid w:val="00D64690"/>
    <w:rsid w:val="00D72AB9"/>
    <w:rsid w:val="00D74C69"/>
    <w:rsid w:val="00D75942"/>
    <w:rsid w:val="00D91037"/>
    <w:rsid w:val="00D9166C"/>
    <w:rsid w:val="00D9445E"/>
    <w:rsid w:val="00D96564"/>
    <w:rsid w:val="00DA0D32"/>
    <w:rsid w:val="00DB0D01"/>
    <w:rsid w:val="00DB1139"/>
    <w:rsid w:val="00DB3CFE"/>
    <w:rsid w:val="00DB68F2"/>
    <w:rsid w:val="00DC571D"/>
    <w:rsid w:val="00DD0216"/>
    <w:rsid w:val="00DD4AB0"/>
    <w:rsid w:val="00DD7D65"/>
    <w:rsid w:val="00DE1C7F"/>
    <w:rsid w:val="00DF0223"/>
    <w:rsid w:val="00E06102"/>
    <w:rsid w:val="00E10024"/>
    <w:rsid w:val="00E10549"/>
    <w:rsid w:val="00E15F12"/>
    <w:rsid w:val="00E17525"/>
    <w:rsid w:val="00E1786C"/>
    <w:rsid w:val="00E243E0"/>
    <w:rsid w:val="00E307DD"/>
    <w:rsid w:val="00E43342"/>
    <w:rsid w:val="00E44EF6"/>
    <w:rsid w:val="00E469E9"/>
    <w:rsid w:val="00E515A0"/>
    <w:rsid w:val="00E5208C"/>
    <w:rsid w:val="00E56804"/>
    <w:rsid w:val="00E60108"/>
    <w:rsid w:val="00E617CD"/>
    <w:rsid w:val="00E74935"/>
    <w:rsid w:val="00E75F93"/>
    <w:rsid w:val="00E77434"/>
    <w:rsid w:val="00E80B75"/>
    <w:rsid w:val="00E80F4E"/>
    <w:rsid w:val="00E83F39"/>
    <w:rsid w:val="00E85EE4"/>
    <w:rsid w:val="00E86658"/>
    <w:rsid w:val="00E9572B"/>
    <w:rsid w:val="00EA117A"/>
    <w:rsid w:val="00EA2F8F"/>
    <w:rsid w:val="00EC3D53"/>
    <w:rsid w:val="00EC4BDF"/>
    <w:rsid w:val="00ED2673"/>
    <w:rsid w:val="00F037B6"/>
    <w:rsid w:val="00F07DBD"/>
    <w:rsid w:val="00F10F63"/>
    <w:rsid w:val="00F14387"/>
    <w:rsid w:val="00F17326"/>
    <w:rsid w:val="00F20067"/>
    <w:rsid w:val="00F21FDA"/>
    <w:rsid w:val="00F33092"/>
    <w:rsid w:val="00F37509"/>
    <w:rsid w:val="00F4020C"/>
    <w:rsid w:val="00F51FE6"/>
    <w:rsid w:val="00F52364"/>
    <w:rsid w:val="00F61D49"/>
    <w:rsid w:val="00F62458"/>
    <w:rsid w:val="00F667C0"/>
    <w:rsid w:val="00F714C0"/>
    <w:rsid w:val="00F73EA5"/>
    <w:rsid w:val="00F75519"/>
    <w:rsid w:val="00F75A42"/>
    <w:rsid w:val="00F81813"/>
    <w:rsid w:val="00F90747"/>
    <w:rsid w:val="00F955F5"/>
    <w:rsid w:val="00FA01C2"/>
    <w:rsid w:val="00FA0B0E"/>
    <w:rsid w:val="00FA3AB9"/>
    <w:rsid w:val="00FA6FDC"/>
    <w:rsid w:val="00FA76F1"/>
    <w:rsid w:val="00FB2489"/>
    <w:rsid w:val="00FB28EF"/>
    <w:rsid w:val="00FB5A02"/>
    <w:rsid w:val="00FC6951"/>
    <w:rsid w:val="00FC7077"/>
    <w:rsid w:val="00FE14F6"/>
    <w:rsid w:val="00FE27A1"/>
    <w:rsid w:val="00FF2D89"/>
    <w:rsid w:val="00FF3CD5"/>
    <w:rsid w:val="00FF6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B57712"/>
  <w15:docId w15:val="{4ED0BE22-91AD-4247-AA60-CA0D1D4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23"/>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1"/>
    <w:qFormat/>
    <w:rsid w:val="00377F84"/>
    <w:pPr>
      <w:keepNext/>
      <w:widowControl w:val="0"/>
      <w:adjustRightInd w:val="0"/>
      <w:jc w:val="center"/>
      <w:outlineLvl w:val="0"/>
    </w:pPr>
    <w:rPr>
      <w:rFonts w:eastAsia="Times New Roman"/>
      <w:sz w:val="26"/>
      <w:szCs w:val="26"/>
      <w:u w:val="single"/>
    </w:rPr>
  </w:style>
  <w:style w:type="paragraph" w:styleId="Heading2">
    <w:name w:val="heading 2"/>
    <w:basedOn w:val="Normal"/>
    <w:next w:val="Normal"/>
    <w:link w:val="Heading2Char"/>
    <w:qFormat/>
    <w:rsid w:val="00F21FDA"/>
    <w:pPr>
      <w:keepNext/>
      <w:widowControl w:val="0"/>
      <w:adjustRightInd w:val="0"/>
      <w:outlineLvl w:val="1"/>
    </w:pPr>
    <w:rPr>
      <w:rFonts w:eastAsia="Times New Roman"/>
      <w:sz w:val="26"/>
      <w:szCs w:val="26"/>
    </w:rPr>
  </w:style>
  <w:style w:type="paragraph" w:styleId="Heading3">
    <w:name w:val="heading 3"/>
    <w:basedOn w:val="Normal"/>
    <w:next w:val="Normal"/>
    <w:link w:val="Heading3Char"/>
    <w:qFormat/>
    <w:rsid w:val="00F21FDA"/>
    <w:pPr>
      <w:keepNext/>
      <w:widowControl w:val="0"/>
      <w:adjustRightInd w:val="0"/>
      <w:ind w:firstLine="720"/>
      <w:outlineLvl w:val="2"/>
    </w:pPr>
    <w:rPr>
      <w:rFonts w:eastAsia="Times New Roman"/>
      <w:sz w:val="26"/>
      <w:szCs w:val="26"/>
    </w:rPr>
  </w:style>
  <w:style w:type="paragraph" w:styleId="Heading5">
    <w:name w:val="heading 5"/>
    <w:basedOn w:val="Normal"/>
    <w:next w:val="Normal"/>
    <w:link w:val="Heading5Char"/>
    <w:uiPriority w:val="9"/>
    <w:unhideWhenUsed/>
    <w:qFormat/>
    <w:rsid w:val="00555C3C"/>
    <w:pPr>
      <w:keepNext/>
      <w:keepLines/>
      <w:autoSpaceDE/>
      <w:autoSpaceDN/>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23"/>
    <w:pPr>
      <w:ind w:left="720"/>
    </w:pPr>
  </w:style>
  <w:style w:type="paragraph" w:customStyle="1" w:styleId="MTDisplayEquation">
    <w:name w:val="MTDisplayEquation"/>
    <w:basedOn w:val="NormalWeb"/>
    <w:next w:val="Normal"/>
    <w:link w:val="MTDisplayEquationChar"/>
    <w:rsid w:val="00D27EE2"/>
    <w:pPr>
      <w:tabs>
        <w:tab w:val="center" w:pos="4680"/>
        <w:tab w:val="right" w:pos="9360"/>
      </w:tabs>
      <w:autoSpaceDE/>
      <w:autoSpaceDN/>
      <w:spacing w:before="100" w:beforeAutospacing="1" w:after="100" w:afterAutospacing="1"/>
    </w:pPr>
    <w:rPr>
      <w:rFonts w:eastAsia="Times New Roman"/>
      <w:color w:val="000000"/>
    </w:rPr>
  </w:style>
  <w:style w:type="character" w:customStyle="1" w:styleId="MTDisplayEquationChar">
    <w:name w:val="MTDisplayEquation Char"/>
    <w:link w:val="MTDisplayEquation"/>
    <w:rsid w:val="00D27EE2"/>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27EE2"/>
    <w:rPr>
      <w:sz w:val="24"/>
      <w:szCs w:val="24"/>
    </w:rPr>
  </w:style>
  <w:style w:type="character" w:customStyle="1" w:styleId="Heading1Char">
    <w:name w:val="Heading 1 Char"/>
    <w:basedOn w:val="DefaultParagraphFont"/>
    <w:link w:val="Heading1"/>
    <w:uiPriority w:val="1"/>
    <w:rsid w:val="00377F84"/>
    <w:rPr>
      <w:rFonts w:ascii="Times New Roman" w:eastAsia="Times New Roman" w:hAnsi="Times New Roman" w:cs="Times New Roman"/>
      <w:sz w:val="26"/>
      <w:szCs w:val="26"/>
      <w:u w:val="single"/>
    </w:rPr>
  </w:style>
  <w:style w:type="paragraph" w:customStyle="1" w:styleId="Level1">
    <w:name w:val="Level 1"/>
    <w:basedOn w:val="Normal"/>
    <w:rsid w:val="00377F84"/>
    <w:pPr>
      <w:widowControl w:val="0"/>
      <w:adjustRightInd w:val="0"/>
      <w:ind w:left="720" w:hanging="720"/>
    </w:pPr>
    <w:rPr>
      <w:rFonts w:eastAsia="Times New Roman"/>
      <w:szCs w:val="24"/>
    </w:rPr>
  </w:style>
  <w:style w:type="paragraph" w:styleId="BodyText">
    <w:name w:val="Body Text"/>
    <w:basedOn w:val="Normal"/>
    <w:link w:val="BodyTextChar"/>
    <w:uiPriority w:val="1"/>
    <w:qFormat/>
    <w:rsid w:val="00377F84"/>
    <w:pPr>
      <w:widowControl w:val="0"/>
      <w:adjustRightInd w:val="0"/>
    </w:pPr>
    <w:rPr>
      <w:rFonts w:eastAsia="Times New Roman"/>
      <w:sz w:val="26"/>
      <w:szCs w:val="26"/>
    </w:rPr>
  </w:style>
  <w:style w:type="character" w:customStyle="1" w:styleId="BodyTextChar">
    <w:name w:val="Body Text Char"/>
    <w:basedOn w:val="DefaultParagraphFont"/>
    <w:link w:val="BodyText"/>
    <w:uiPriority w:val="1"/>
    <w:rsid w:val="00377F84"/>
    <w:rPr>
      <w:rFonts w:ascii="Times New Roman" w:eastAsia="Times New Roman" w:hAnsi="Times New Roman" w:cs="Times New Roman"/>
      <w:sz w:val="26"/>
      <w:szCs w:val="26"/>
    </w:rPr>
  </w:style>
  <w:style w:type="paragraph" w:styleId="BodyText2">
    <w:name w:val="Body Text 2"/>
    <w:basedOn w:val="Normal"/>
    <w:link w:val="BodyText2Char"/>
    <w:rsid w:val="00377F84"/>
    <w:pPr>
      <w:widowControl w:val="0"/>
      <w:adjustRightInd w:val="0"/>
      <w:jc w:val="center"/>
    </w:pPr>
    <w:rPr>
      <w:rFonts w:eastAsia="Times New Roman"/>
      <w:sz w:val="26"/>
      <w:szCs w:val="26"/>
      <w:u w:val="single"/>
    </w:rPr>
  </w:style>
  <w:style w:type="character" w:customStyle="1" w:styleId="BodyText2Char">
    <w:name w:val="Body Text 2 Char"/>
    <w:basedOn w:val="DefaultParagraphFont"/>
    <w:link w:val="BodyText2"/>
    <w:rsid w:val="00377F84"/>
    <w:rPr>
      <w:rFonts w:ascii="Times New Roman" w:eastAsia="Times New Roman" w:hAnsi="Times New Roman" w:cs="Times New Roman"/>
      <w:sz w:val="26"/>
      <w:szCs w:val="26"/>
      <w:u w:val="single"/>
    </w:rPr>
  </w:style>
  <w:style w:type="character" w:styleId="Hyperlink">
    <w:name w:val="Hyperlink"/>
    <w:rsid w:val="00377F84"/>
    <w:rPr>
      <w:color w:val="0000FF"/>
      <w:u w:val="single"/>
    </w:rPr>
  </w:style>
  <w:style w:type="paragraph" w:styleId="NoSpacing">
    <w:name w:val="No Spacing"/>
    <w:uiPriority w:val="1"/>
    <w:qFormat/>
    <w:rsid w:val="00377F8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er">
    <w:name w:val="footer"/>
    <w:basedOn w:val="Normal"/>
    <w:link w:val="FooterChar"/>
    <w:uiPriority w:val="99"/>
    <w:rsid w:val="00377F84"/>
    <w:pPr>
      <w:widowControl w:val="0"/>
      <w:tabs>
        <w:tab w:val="center" w:pos="4680"/>
        <w:tab w:val="right" w:pos="9360"/>
      </w:tabs>
      <w:adjustRightInd w:val="0"/>
    </w:pPr>
    <w:rPr>
      <w:rFonts w:eastAsia="Times New Roman"/>
      <w:szCs w:val="24"/>
    </w:rPr>
  </w:style>
  <w:style w:type="character" w:customStyle="1" w:styleId="FooterChar">
    <w:name w:val="Footer Char"/>
    <w:basedOn w:val="DefaultParagraphFont"/>
    <w:link w:val="Footer"/>
    <w:uiPriority w:val="99"/>
    <w:rsid w:val="00377F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F21FDA"/>
    <w:rPr>
      <w:rFonts w:ascii="Times New Roman" w:eastAsia="Times New Roman" w:hAnsi="Times New Roman" w:cs="Times New Roman"/>
      <w:sz w:val="26"/>
      <w:szCs w:val="26"/>
    </w:rPr>
  </w:style>
  <w:style w:type="character" w:customStyle="1" w:styleId="Heading3Char">
    <w:name w:val="Heading 3 Char"/>
    <w:basedOn w:val="DefaultParagraphFont"/>
    <w:link w:val="Heading3"/>
    <w:rsid w:val="00F21FDA"/>
    <w:rPr>
      <w:rFonts w:ascii="Times New Roman" w:eastAsia="Times New Roman" w:hAnsi="Times New Roman" w:cs="Times New Roman"/>
      <w:sz w:val="26"/>
      <w:szCs w:val="26"/>
    </w:rPr>
  </w:style>
  <w:style w:type="character" w:styleId="FootnoteReference">
    <w:name w:val="footnote reference"/>
    <w:semiHidden/>
    <w:rsid w:val="00F21FDA"/>
  </w:style>
  <w:style w:type="paragraph" w:styleId="BalloonText">
    <w:name w:val="Balloon Text"/>
    <w:basedOn w:val="Normal"/>
    <w:link w:val="BalloonTextChar"/>
    <w:rsid w:val="00F21FDA"/>
    <w:pPr>
      <w:widowControl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21FDA"/>
    <w:rPr>
      <w:rFonts w:ascii="Tahoma" w:eastAsia="Times New Roman" w:hAnsi="Tahoma" w:cs="Tahoma"/>
      <w:sz w:val="16"/>
      <w:szCs w:val="16"/>
    </w:rPr>
  </w:style>
  <w:style w:type="table" w:styleId="TableGrid">
    <w:name w:val="Table Grid"/>
    <w:basedOn w:val="TableNormal"/>
    <w:uiPriority w:val="59"/>
    <w:rsid w:val="00F21FDA"/>
    <w:pPr>
      <w:widowControl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1FDA"/>
    <w:rPr>
      <w:sz w:val="16"/>
      <w:szCs w:val="16"/>
    </w:rPr>
  </w:style>
  <w:style w:type="paragraph" w:styleId="CommentText">
    <w:name w:val="annotation text"/>
    <w:basedOn w:val="Normal"/>
    <w:link w:val="CommentTextChar"/>
    <w:uiPriority w:val="99"/>
    <w:unhideWhenUsed/>
    <w:rsid w:val="00F21FDA"/>
    <w:pPr>
      <w:autoSpaceDE/>
      <w:autoSpaceDN/>
      <w:spacing w:after="80"/>
    </w:pPr>
    <w:rPr>
      <w:rFonts w:eastAsia="Calibri"/>
    </w:rPr>
  </w:style>
  <w:style w:type="character" w:customStyle="1" w:styleId="CommentTextChar">
    <w:name w:val="Comment Text Char"/>
    <w:basedOn w:val="DefaultParagraphFont"/>
    <w:link w:val="CommentText"/>
    <w:uiPriority w:val="99"/>
    <w:rsid w:val="00F21FDA"/>
    <w:rPr>
      <w:rFonts w:ascii="Times New Roman" w:eastAsia="Calibri" w:hAnsi="Times New Roman" w:cs="Times New Roman"/>
      <w:sz w:val="20"/>
      <w:szCs w:val="20"/>
    </w:rPr>
  </w:style>
  <w:style w:type="paragraph" w:styleId="FootnoteText">
    <w:name w:val="footnote text"/>
    <w:basedOn w:val="Normal"/>
    <w:link w:val="FootnoteTextChar"/>
    <w:uiPriority w:val="99"/>
    <w:rsid w:val="00F21FDA"/>
    <w:pPr>
      <w:widowControl w:val="0"/>
      <w:adjustRightInd w:val="0"/>
    </w:pPr>
    <w:rPr>
      <w:rFonts w:eastAsia="Times New Roman"/>
    </w:rPr>
  </w:style>
  <w:style w:type="character" w:customStyle="1" w:styleId="FootnoteTextChar">
    <w:name w:val="Footnote Text Char"/>
    <w:basedOn w:val="DefaultParagraphFont"/>
    <w:link w:val="FootnoteText"/>
    <w:uiPriority w:val="99"/>
    <w:rsid w:val="00F21FD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21FDA"/>
    <w:pPr>
      <w:widowControl w:val="0"/>
      <w:spacing w:line="213" w:lineRule="exact"/>
      <w:ind w:left="100" w:right="100"/>
      <w:jc w:val="center"/>
    </w:pPr>
    <w:rPr>
      <w:rFonts w:eastAsia="Times New Roman"/>
      <w:sz w:val="22"/>
      <w:szCs w:val="22"/>
    </w:rPr>
  </w:style>
  <w:style w:type="paragraph" w:styleId="CommentSubject">
    <w:name w:val="annotation subject"/>
    <w:basedOn w:val="CommentText"/>
    <w:next w:val="CommentText"/>
    <w:link w:val="CommentSubjectChar"/>
    <w:rsid w:val="00F21FDA"/>
    <w:pPr>
      <w:widowControl w:val="0"/>
      <w:autoSpaceDE w:val="0"/>
      <w:autoSpaceDN w:val="0"/>
      <w:adjustRightInd w:val="0"/>
      <w:spacing w:after="0"/>
    </w:pPr>
    <w:rPr>
      <w:rFonts w:eastAsia="Times New Roman"/>
      <w:b/>
      <w:bCs/>
    </w:rPr>
  </w:style>
  <w:style w:type="character" w:customStyle="1" w:styleId="CommentSubjectChar">
    <w:name w:val="Comment Subject Char"/>
    <w:basedOn w:val="CommentTextChar"/>
    <w:link w:val="CommentSubject"/>
    <w:rsid w:val="00F21FDA"/>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F21FDA"/>
    <w:pPr>
      <w:numPr>
        <w:ilvl w:val="1"/>
      </w:numPr>
      <w:autoSpaceDE/>
      <w:autoSpaceDN/>
      <w:spacing w:after="80"/>
    </w:pPr>
    <w:rPr>
      <w:rFonts w:ascii="Calibri" w:eastAsia="Times New Roman" w:hAnsi="Calibri"/>
      <w:i/>
      <w:iCs/>
      <w:color w:val="4F81BD"/>
      <w:spacing w:val="15"/>
      <w:sz w:val="24"/>
      <w:szCs w:val="24"/>
    </w:rPr>
  </w:style>
  <w:style w:type="character" w:customStyle="1" w:styleId="SubtitleChar">
    <w:name w:val="Subtitle Char"/>
    <w:basedOn w:val="DefaultParagraphFont"/>
    <w:link w:val="Subtitle"/>
    <w:uiPriority w:val="11"/>
    <w:rsid w:val="00F21FDA"/>
    <w:rPr>
      <w:rFonts w:ascii="Calibri" w:eastAsia="Times New Roman" w:hAnsi="Calibri" w:cs="Times New Roman"/>
      <w:i/>
      <w:iCs/>
      <w:color w:val="4F81BD"/>
      <w:spacing w:val="15"/>
      <w:sz w:val="24"/>
      <w:szCs w:val="24"/>
    </w:rPr>
  </w:style>
  <w:style w:type="paragraph" w:styleId="Header">
    <w:name w:val="header"/>
    <w:basedOn w:val="Normal"/>
    <w:link w:val="HeaderChar"/>
    <w:uiPriority w:val="99"/>
    <w:rsid w:val="00F21FDA"/>
    <w:pPr>
      <w:widowControl w:val="0"/>
      <w:tabs>
        <w:tab w:val="center" w:pos="4680"/>
        <w:tab w:val="right" w:pos="9360"/>
      </w:tabs>
      <w:adjustRightInd w:val="0"/>
    </w:pPr>
    <w:rPr>
      <w:rFonts w:eastAsia="Times New Roman"/>
      <w:szCs w:val="24"/>
    </w:rPr>
  </w:style>
  <w:style w:type="character" w:customStyle="1" w:styleId="HeaderChar">
    <w:name w:val="Header Char"/>
    <w:basedOn w:val="DefaultParagraphFont"/>
    <w:link w:val="Header"/>
    <w:uiPriority w:val="99"/>
    <w:rsid w:val="00F21FDA"/>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19067E"/>
    <w:rPr>
      <w:color w:val="808080"/>
      <w:shd w:val="clear" w:color="auto" w:fill="E6E6E6"/>
    </w:rPr>
  </w:style>
  <w:style w:type="character" w:customStyle="1" w:styleId="et03">
    <w:name w:val="et03"/>
    <w:basedOn w:val="DefaultParagraphFont"/>
    <w:rsid w:val="003955B7"/>
  </w:style>
  <w:style w:type="character" w:styleId="UnresolvedMention">
    <w:name w:val="Unresolved Mention"/>
    <w:basedOn w:val="DefaultParagraphFont"/>
    <w:uiPriority w:val="99"/>
    <w:semiHidden/>
    <w:unhideWhenUsed/>
    <w:rsid w:val="0098652C"/>
    <w:rPr>
      <w:color w:val="808080"/>
      <w:shd w:val="clear" w:color="auto" w:fill="E6E6E6"/>
    </w:rPr>
  </w:style>
  <w:style w:type="character" w:customStyle="1" w:styleId="Heading5Char">
    <w:name w:val="Heading 5 Char"/>
    <w:basedOn w:val="DefaultParagraphFont"/>
    <w:link w:val="Heading5"/>
    <w:uiPriority w:val="9"/>
    <w:rsid w:val="00555C3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transtats.bts.gov" TargetMode="External" /><Relationship Id="rId6" Type="http://schemas.openxmlformats.org/officeDocument/2006/relationships/hyperlink" Target="https://www.bts.dot.gov/topics/airlines-and-airports/origin-and-destination-survey-data"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1542-AFCE-405D-AA91-A8430D1A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Ivy (OST)</dc:creator>
  <cp:lastModifiedBy>Toone, Kim (OST)</cp:lastModifiedBy>
  <cp:revision>2</cp:revision>
  <cp:lastPrinted>2020-08-17T00:30:00Z</cp:lastPrinted>
  <dcterms:created xsi:type="dcterms:W3CDTF">2026-01-13T11:09:00Z</dcterms:created>
  <dcterms:modified xsi:type="dcterms:W3CDTF">2026-01-13T11:09:00Z</dcterms:modified>
</cp:coreProperties>
</file>