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50D3E" w:rsidP="00436775" w14:paraId="400F272A" w14:textId="30D8CC69">
      <w:pPr>
        <w:tabs>
          <w:tab w:val="center" w:pos="4680"/>
        </w:tabs>
        <w:jc w:val="center"/>
        <w:rPr>
          <w:b/>
          <w:szCs w:val="24"/>
        </w:rPr>
      </w:pPr>
      <w:r>
        <w:rPr>
          <w:b/>
          <w:szCs w:val="24"/>
        </w:rPr>
        <w:t>Department of Transportation</w:t>
      </w:r>
    </w:p>
    <w:p w:rsidR="00850D3E" w:rsidP="00436775" w14:paraId="7B83D1D1" w14:textId="4D404A5E">
      <w:pPr>
        <w:tabs>
          <w:tab w:val="center" w:pos="4680"/>
        </w:tabs>
        <w:jc w:val="center"/>
        <w:rPr>
          <w:b/>
          <w:szCs w:val="24"/>
        </w:rPr>
      </w:pPr>
      <w:r>
        <w:rPr>
          <w:b/>
          <w:szCs w:val="24"/>
        </w:rPr>
        <w:t>Maritime Administration</w:t>
      </w:r>
      <w:r w:rsidR="00206FB5">
        <w:rPr>
          <w:b/>
          <w:szCs w:val="24"/>
        </w:rPr>
        <w:t xml:space="preserve"> (MARAD)</w:t>
      </w:r>
    </w:p>
    <w:p w:rsidR="00850D3E" w:rsidP="00850D3E" w14:paraId="3A66F719" w14:textId="38EC9343">
      <w:pPr>
        <w:tabs>
          <w:tab w:val="center" w:pos="4680"/>
        </w:tabs>
        <w:jc w:val="center"/>
        <w:rPr>
          <w:b/>
          <w:szCs w:val="24"/>
        </w:rPr>
      </w:pPr>
      <w:r w:rsidRPr="00850D3E">
        <w:rPr>
          <w:b/>
          <w:szCs w:val="24"/>
        </w:rPr>
        <w:t>Information Collection</w:t>
      </w:r>
      <w:r>
        <w:rPr>
          <w:b/>
          <w:szCs w:val="24"/>
        </w:rPr>
        <w:t xml:space="preserve"> Request (ICR)</w:t>
      </w:r>
    </w:p>
    <w:p w:rsidR="00850D3E" w:rsidP="00850D3E" w14:paraId="4AD337F1" w14:textId="45D3D832">
      <w:pPr>
        <w:tabs>
          <w:tab w:val="center" w:pos="4680"/>
        </w:tabs>
        <w:jc w:val="center"/>
        <w:rPr>
          <w:b/>
          <w:szCs w:val="24"/>
        </w:rPr>
      </w:pPr>
      <w:r>
        <w:rPr>
          <w:b/>
          <w:szCs w:val="24"/>
        </w:rPr>
        <w:t xml:space="preserve">OMB </w:t>
      </w:r>
      <w:r w:rsidRPr="00850D3E">
        <w:rPr>
          <w:b/>
          <w:szCs w:val="24"/>
        </w:rPr>
        <w:t>2133-0514</w:t>
      </w:r>
    </w:p>
    <w:p w:rsidR="00850D3E" w:rsidP="00436775" w14:paraId="396784E5" w14:textId="37688FE6">
      <w:pPr>
        <w:tabs>
          <w:tab w:val="center" w:pos="4680"/>
        </w:tabs>
        <w:jc w:val="center"/>
        <w:rPr>
          <w:b/>
          <w:szCs w:val="24"/>
        </w:rPr>
      </w:pPr>
      <w:r>
        <w:rPr>
          <w:b/>
          <w:szCs w:val="24"/>
        </w:rPr>
        <w:t>(</w:t>
      </w:r>
      <w:r w:rsidRPr="00225D1D">
        <w:rPr>
          <w:b/>
          <w:szCs w:val="24"/>
        </w:rPr>
        <w:t xml:space="preserve">Determination of Fair and Reasonable </w:t>
      </w:r>
      <w:r w:rsidRPr="006903F7">
        <w:rPr>
          <w:b/>
          <w:szCs w:val="24"/>
        </w:rPr>
        <w:t>Rates for Carriage of Agriculture Cargoes on U.S.-</w:t>
      </w:r>
      <w:r w:rsidR="00270BBB">
        <w:rPr>
          <w:b/>
          <w:szCs w:val="24"/>
        </w:rPr>
        <w:t>F</w:t>
      </w:r>
      <w:r w:rsidRPr="006903F7">
        <w:rPr>
          <w:b/>
          <w:szCs w:val="24"/>
        </w:rPr>
        <w:t>lag Commercial Vessels</w:t>
      </w:r>
      <w:r w:rsidR="00206FB5">
        <w:rPr>
          <w:b/>
          <w:szCs w:val="24"/>
        </w:rPr>
        <w:t>—46 CFR</w:t>
      </w:r>
      <w:r w:rsidR="009607D7">
        <w:rPr>
          <w:b/>
          <w:szCs w:val="24"/>
        </w:rPr>
        <w:t xml:space="preserve"> Part 382</w:t>
      </w:r>
      <w:r>
        <w:rPr>
          <w:b/>
          <w:szCs w:val="24"/>
        </w:rPr>
        <w:t>)</w:t>
      </w:r>
    </w:p>
    <w:p w:rsidR="005E53D4" w14:paraId="5054FF3F" w14:textId="7DEA50B8">
      <w:pPr>
        <w:tabs>
          <w:tab w:val="center" w:pos="4680"/>
        </w:tabs>
        <w:rPr>
          <w:b/>
          <w:szCs w:val="24"/>
        </w:rPr>
      </w:pPr>
    </w:p>
    <w:p w:rsidR="00850D3E" w:rsidP="00436775" w14:paraId="43F82A8C" w14:textId="77777777">
      <w:pPr>
        <w:tabs>
          <w:tab w:val="center" w:pos="4680"/>
        </w:tabs>
        <w:jc w:val="center"/>
        <w:rPr>
          <w:b/>
          <w:szCs w:val="24"/>
        </w:rPr>
      </w:pPr>
    </w:p>
    <w:p w:rsidR="00850D3E" w:rsidP="00436775" w14:paraId="0237F324" w14:textId="6D14FF09">
      <w:pPr>
        <w:tabs>
          <w:tab w:val="center" w:pos="4680"/>
        </w:tabs>
        <w:jc w:val="center"/>
        <w:rPr>
          <w:b/>
          <w:szCs w:val="24"/>
        </w:rPr>
      </w:pPr>
      <w:r w:rsidRPr="00225D1D">
        <w:rPr>
          <w:b/>
          <w:szCs w:val="24"/>
        </w:rPr>
        <w:t>SUPPORTING STATEMENT</w:t>
      </w:r>
    </w:p>
    <w:p w:rsidR="005E53D4" w:rsidRPr="00225D1D" w14:paraId="67D0E149" w14:textId="77777777">
      <w:pPr>
        <w:rPr>
          <w:b/>
          <w:szCs w:val="24"/>
        </w:rPr>
      </w:pPr>
    </w:p>
    <w:p w:rsidR="00BF54D6" w:rsidP="00436775" w14:paraId="1290C1CA" w14:textId="07BDFFA9">
      <w:pPr>
        <w:ind w:left="360"/>
        <w:rPr>
          <w:b/>
          <w:szCs w:val="24"/>
        </w:rPr>
      </w:pPr>
      <w:r w:rsidRPr="00436775">
        <w:rPr>
          <w:b/>
          <w:szCs w:val="24"/>
        </w:rPr>
        <w:t>INTRODUCTION</w:t>
      </w:r>
      <w:r w:rsidRPr="00225D1D" w:rsidR="00982931">
        <w:rPr>
          <w:b/>
          <w:szCs w:val="24"/>
        </w:rPr>
        <w:t xml:space="preserve"> </w:t>
      </w:r>
    </w:p>
    <w:p w:rsidR="00BF54D6" w:rsidP="00436775" w14:paraId="456B2440" w14:textId="77777777">
      <w:pPr>
        <w:ind w:left="360"/>
        <w:rPr>
          <w:b/>
          <w:szCs w:val="24"/>
        </w:rPr>
      </w:pPr>
    </w:p>
    <w:p w:rsidR="00847CBA" w:rsidRPr="00436775" w:rsidP="00436775" w14:paraId="535F9FB6" w14:textId="214E368F">
      <w:pPr>
        <w:ind w:left="360"/>
        <w:rPr>
          <w:bCs/>
          <w:szCs w:val="24"/>
        </w:rPr>
      </w:pPr>
      <w:r w:rsidRPr="00436775">
        <w:rPr>
          <w:bCs/>
          <w:szCs w:val="24"/>
        </w:rPr>
        <w:t>This submission is to request a three-year approval from the office of Management and Budget for the i</w:t>
      </w:r>
      <w:r w:rsidRPr="00436775" w:rsidR="00982931">
        <w:rPr>
          <w:bCs/>
          <w:szCs w:val="24"/>
        </w:rPr>
        <w:t xml:space="preserve">nformation </w:t>
      </w:r>
      <w:r w:rsidRPr="00436775">
        <w:rPr>
          <w:bCs/>
          <w:szCs w:val="24"/>
        </w:rPr>
        <w:t xml:space="preserve">collection entitled OMB </w:t>
      </w:r>
      <w:r w:rsidRPr="00436775" w:rsidR="00982931">
        <w:rPr>
          <w:bCs/>
          <w:szCs w:val="24"/>
        </w:rPr>
        <w:t xml:space="preserve">2133-0514 </w:t>
      </w:r>
      <w:bookmarkStart w:id="0" w:name="_Hlk209013733"/>
      <w:r w:rsidRPr="00436775">
        <w:rPr>
          <w:bCs/>
          <w:szCs w:val="24"/>
        </w:rPr>
        <w:t>(</w:t>
      </w:r>
      <w:r w:rsidRPr="00436775" w:rsidR="00982931">
        <w:rPr>
          <w:bCs/>
          <w:szCs w:val="24"/>
        </w:rPr>
        <w:t>Determination of Fair and Reasonable Rates for Carriage of Agriculture Cargoes on U.S.-</w:t>
      </w:r>
      <w:r w:rsidR="00DB2BC3">
        <w:rPr>
          <w:bCs/>
          <w:szCs w:val="24"/>
        </w:rPr>
        <w:t>F</w:t>
      </w:r>
      <w:r w:rsidRPr="00436775" w:rsidR="00982931">
        <w:rPr>
          <w:bCs/>
          <w:szCs w:val="24"/>
        </w:rPr>
        <w:t>lag Commercial Vessels</w:t>
      </w:r>
      <w:bookmarkEnd w:id="0"/>
      <w:r w:rsidR="00206FB5">
        <w:rPr>
          <w:bCs/>
          <w:szCs w:val="24"/>
        </w:rPr>
        <w:t>—46 CFR</w:t>
      </w:r>
      <w:r w:rsidR="009607D7">
        <w:rPr>
          <w:bCs/>
          <w:szCs w:val="24"/>
        </w:rPr>
        <w:t xml:space="preserve"> Part 382</w:t>
      </w:r>
      <w:r w:rsidRPr="00436775">
        <w:rPr>
          <w:bCs/>
          <w:szCs w:val="24"/>
        </w:rPr>
        <w:t xml:space="preserve">), which expires on January </w:t>
      </w:r>
      <w:r w:rsidRPr="00436775" w:rsidR="00581F88">
        <w:rPr>
          <w:bCs/>
          <w:szCs w:val="24"/>
        </w:rPr>
        <w:t>31, 202</w:t>
      </w:r>
      <w:r w:rsidRPr="00436775" w:rsidR="00B523FE">
        <w:rPr>
          <w:bCs/>
          <w:szCs w:val="24"/>
        </w:rPr>
        <w:t>6</w:t>
      </w:r>
      <w:r w:rsidRPr="00436775">
        <w:rPr>
          <w:bCs/>
          <w:szCs w:val="24"/>
        </w:rPr>
        <w:t>.</w:t>
      </w:r>
      <w:r w:rsidRPr="00436775" w:rsidR="00400D0F">
        <w:rPr>
          <w:bCs/>
          <w:szCs w:val="24"/>
        </w:rPr>
        <w:t xml:space="preserve">  </w:t>
      </w:r>
      <w:r w:rsidRPr="00436775">
        <w:rPr>
          <w:bCs/>
          <w:szCs w:val="24"/>
        </w:rPr>
        <w:t xml:space="preserve">Since the last renewal, there </w:t>
      </w:r>
      <w:r w:rsidR="00206FB5">
        <w:rPr>
          <w:bCs/>
          <w:szCs w:val="24"/>
        </w:rPr>
        <w:t>were</w:t>
      </w:r>
      <w:r w:rsidRPr="00436775">
        <w:rPr>
          <w:bCs/>
          <w:szCs w:val="24"/>
        </w:rPr>
        <w:t xml:space="preserve"> less respondents </w:t>
      </w:r>
      <w:r w:rsidRPr="00436775" w:rsidR="00400D0F">
        <w:rPr>
          <w:bCs/>
          <w:szCs w:val="24"/>
        </w:rPr>
        <w:t xml:space="preserve">due to a reduction in </w:t>
      </w:r>
      <w:r w:rsidR="00206FB5">
        <w:rPr>
          <w:bCs/>
          <w:szCs w:val="24"/>
        </w:rPr>
        <w:t xml:space="preserve">the </w:t>
      </w:r>
      <w:r w:rsidRPr="00436775" w:rsidR="00400D0F">
        <w:rPr>
          <w:bCs/>
          <w:szCs w:val="24"/>
        </w:rPr>
        <w:t>fair and reasonable guideline rate calculation requests by the United States Department of Agriculture and Agency for International Development for MARAD to process.</w:t>
      </w:r>
      <w:r w:rsidRPr="00436775" w:rsidR="00133FE4">
        <w:rPr>
          <w:bCs/>
          <w:szCs w:val="24"/>
        </w:rPr>
        <w:t xml:space="preserve"> </w:t>
      </w:r>
      <w:r w:rsidR="00206FB5">
        <w:rPr>
          <w:bCs/>
          <w:szCs w:val="24"/>
        </w:rPr>
        <w:t xml:space="preserve"> </w:t>
      </w:r>
      <w:r w:rsidRPr="00436775">
        <w:rPr>
          <w:bCs/>
          <w:szCs w:val="24"/>
        </w:rPr>
        <w:t xml:space="preserve">As such this collection will be submitted as an </w:t>
      </w:r>
      <w:r w:rsidRPr="00436775">
        <w:rPr>
          <w:bCs/>
          <w:i/>
          <w:iCs/>
          <w:szCs w:val="24"/>
        </w:rPr>
        <w:t>extension without change of a currently approved collection</w:t>
      </w:r>
      <w:r w:rsidRPr="00436775">
        <w:rPr>
          <w:bCs/>
          <w:szCs w:val="24"/>
        </w:rPr>
        <w:t xml:space="preserve">. </w:t>
      </w:r>
    </w:p>
    <w:p w:rsidR="00982931" w:rsidRPr="006903F7" w14:paraId="167EDC11" w14:textId="77777777">
      <w:pPr>
        <w:rPr>
          <w:b/>
          <w:szCs w:val="24"/>
        </w:rPr>
      </w:pPr>
      <w:r w:rsidRPr="006903F7">
        <w:rPr>
          <w:b/>
          <w:szCs w:val="24"/>
        </w:rPr>
        <w:t xml:space="preserve"> </w:t>
      </w:r>
    </w:p>
    <w:p w:rsidR="005E53D4" w:rsidRPr="00FF79B9" w:rsidP="00436775" w14:paraId="1BCD2E94" w14:textId="055E1921">
      <w:pPr>
        <w:pStyle w:val="ListParagraph"/>
        <w:numPr>
          <w:ilvl w:val="0"/>
          <w:numId w:val="18"/>
        </w:numPr>
        <w:rPr>
          <w:szCs w:val="24"/>
        </w:rPr>
      </w:pPr>
      <w:r w:rsidRPr="00FF79B9">
        <w:rPr>
          <w:b/>
          <w:szCs w:val="24"/>
        </w:rPr>
        <w:t>JUSTIFICATION</w:t>
      </w:r>
    </w:p>
    <w:p w:rsidR="005E53D4" w:rsidRPr="006903F7" w14:paraId="2980924C" w14:textId="77777777">
      <w:pPr>
        <w:rPr>
          <w:szCs w:val="24"/>
        </w:rPr>
      </w:pPr>
    </w:p>
    <w:p w:rsidR="005E53D4" w:rsidRPr="00F23C9B" w:rsidP="00F23C9B" w14:paraId="7A8EC5C4" w14:textId="799B0F2A">
      <w:pPr>
        <w:numPr>
          <w:ilvl w:val="0"/>
          <w:numId w:val="20"/>
        </w:numPr>
        <w:tabs>
          <w:tab w:val="left" w:pos="-1440"/>
        </w:tabs>
        <w:rPr>
          <w:b/>
          <w:szCs w:val="24"/>
        </w:rPr>
      </w:pPr>
      <w:r w:rsidRPr="00FF79B9">
        <w:rPr>
          <w:b/>
          <w:szCs w:val="24"/>
        </w:rPr>
        <w:t>C</w:t>
      </w:r>
      <w:r w:rsidRPr="00FF79B9">
        <w:rPr>
          <w:b/>
          <w:szCs w:val="24"/>
        </w:rPr>
        <w:t xml:space="preserve">ircumstances </w:t>
      </w:r>
      <w:r w:rsidRPr="00FF79B9">
        <w:rPr>
          <w:b/>
          <w:szCs w:val="24"/>
        </w:rPr>
        <w:t>M</w:t>
      </w:r>
      <w:r w:rsidRPr="00FF79B9">
        <w:rPr>
          <w:b/>
          <w:szCs w:val="24"/>
        </w:rPr>
        <w:t>ak</w:t>
      </w:r>
      <w:r>
        <w:rPr>
          <w:b/>
          <w:szCs w:val="24"/>
        </w:rPr>
        <w:t>ing</w:t>
      </w:r>
      <w:r w:rsidRPr="00FF79B9">
        <w:rPr>
          <w:b/>
          <w:szCs w:val="24"/>
        </w:rPr>
        <w:t xml:space="preserve"> the </w:t>
      </w:r>
      <w:r w:rsidRPr="00FF79B9">
        <w:rPr>
          <w:b/>
          <w:szCs w:val="24"/>
        </w:rPr>
        <w:t xml:space="preserve">Collection </w:t>
      </w:r>
      <w:r w:rsidRPr="00FF79B9">
        <w:rPr>
          <w:b/>
          <w:szCs w:val="24"/>
        </w:rPr>
        <w:t xml:space="preserve">of </w:t>
      </w:r>
      <w:r w:rsidRPr="00FF79B9">
        <w:rPr>
          <w:b/>
          <w:szCs w:val="24"/>
        </w:rPr>
        <w:t>Information Necessary</w:t>
      </w:r>
    </w:p>
    <w:p w:rsidR="000E14F6" w:rsidRPr="006903F7" w:rsidP="00F23C9B" w14:paraId="6072341C" w14:textId="4CA1ADAD">
      <w:pPr>
        <w:pStyle w:val="pf0"/>
        <w:ind w:left="1440"/>
      </w:pPr>
      <w:r w:rsidRPr="006903F7">
        <w:t xml:space="preserve">46 </w:t>
      </w:r>
      <w:r w:rsidR="00FF79B9">
        <w:t>United States Code (</w:t>
      </w:r>
      <w:r w:rsidRPr="006903F7">
        <w:t>U.S.C.</w:t>
      </w:r>
      <w:r w:rsidR="00FF79B9">
        <w:t>) Section (§)</w:t>
      </w:r>
      <w:r w:rsidRPr="006903F7">
        <w:t xml:space="preserve"> 55305 and the Food Security Act of 1985 require that at least </w:t>
      </w:r>
      <w:r w:rsidRPr="006903F7" w:rsidR="00FE003A">
        <w:t>50</w:t>
      </w:r>
      <w:r w:rsidRPr="006903F7">
        <w:t xml:space="preserve">% of </w:t>
      </w:r>
      <w:bookmarkStart w:id="1" w:name="_Hlk4419512"/>
      <w:r w:rsidR="00FF79B9">
        <w:t xml:space="preserve"> </w:t>
      </w:r>
      <w:r w:rsidRPr="006903F7">
        <w:t>U.S. government</w:t>
      </w:r>
      <w:r w:rsidR="00FF79B9">
        <w:t>-</w:t>
      </w:r>
      <w:r w:rsidRPr="006903F7">
        <w:t xml:space="preserve">sponsored agriculture bulk and packaged cargoes </w:t>
      </w:r>
      <w:bookmarkEnd w:id="1"/>
      <w:r w:rsidRPr="006903F7">
        <w:t>be shipped on U.S.-</w:t>
      </w:r>
      <w:r w:rsidR="00DB2BC3">
        <w:t>f</w:t>
      </w:r>
      <w:r w:rsidRPr="006903F7">
        <w:t>lag vessels</w:t>
      </w:r>
      <w:r w:rsidR="00FF79B9">
        <w:t>,</w:t>
      </w:r>
      <w:r w:rsidRPr="006903F7">
        <w:t xml:space="preserve"> to the extent that such vessels are available at fair and reasonable rates.  Pursuant to 46 </w:t>
      </w:r>
      <w:r w:rsidR="00FF79B9">
        <w:t>Code of Federal Regulations (</w:t>
      </w:r>
      <w:r w:rsidRPr="006903F7">
        <w:t>CFR</w:t>
      </w:r>
      <w:r w:rsidR="00FF79B9">
        <w:t xml:space="preserve">) </w:t>
      </w:r>
      <w:r w:rsidRPr="006903F7">
        <w:t xml:space="preserve">Part </w:t>
      </w:r>
      <w:r w:rsidR="009607D7">
        <w:t>382</w:t>
      </w:r>
      <w:r w:rsidRPr="006903F7">
        <w:t>, Government agencies must comply with cargo preference laws and submit data to MARAD</w:t>
      </w:r>
      <w:r w:rsidR="00206FB5">
        <w:t xml:space="preserve"> </w:t>
      </w:r>
      <w:r w:rsidRPr="006903F7">
        <w:t xml:space="preserve">on U.S. and foreign-flag carriage of preference cargoes under their control. </w:t>
      </w:r>
      <w:r w:rsidR="00720DD7">
        <w:t xml:space="preserve"> </w:t>
      </w:r>
      <w:r w:rsidRPr="006903F7">
        <w:t xml:space="preserve">Part 382 requires U.S. operators to submit specific data to MARAD regarding fair and reasonable guideline rates for the carriage of preference cargoes on U.S.-flag vessels.  </w:t>
      </w:r>
      <w:r w:rsidRPr="00E14603">
        <w:t>The collection of vessel data contributes to the U.S. Department of Transportation’s strategic goal of National Security</w:t>
      </w:r>
      <w:r w:rsidRPr="00E14603" w:rsidR="003E6367">
        <w:t xml:space="preserve"> </w:t>
      </w:r>
      <w:r w:rsidRPr="00E14603" w:rsidR="00E14603">
        <w:t xml:space="preserve">by supporting </w:t>
      </w:r>
      <w:r w:rsidRPr="00E14603" w:rsidR="00775671">
        <w:t>efforts to protect commercial shipping for U.S. Flag vessels.</w:t>
      </w:r>
      <w:r w:rsidR="003E6367">
        <w:t xml:space="preserve"> </w:t>
      </w:r>
    </w:p>
    <w:p w:rsidR="000E14F6" w:rsidRPr="00436775" w:rsidP="00436775" w14:paraId="18460152" w14:textId="0D5B6802">
      <w:pPr>
        <w:tabs>
          <w:tab w:val="left" w:pos="-1440"/>
        </w:tabs>
        <w:ind w:left="1440"/>
        <w:rPr>
          <w:szCs w:val="24"/>
        </w:rPr>
      </w:pPr>
      <w:r w:rsidRPr="006903F7">
        <w:rPr>
          <w:szCs w:val="24"/>
        </w:rPr>
        <w:t>The information requested on</w:t>
      </w:r>
      <w:r w:rsidR="00E9008E">
        <w:rPr>
          <w:szCs w:val="24"/>
        </w:rPr>
        <w:t xml:space="preserve"> Form</w:t>
      </w:r>
      <w:r w:rsidRPr="006903F7">
        <w:rPr>
          <w:szCs w:val="24"/>
        </w:rPr>
        <w:t xml:space="preserve"> </w:t>
      </w:r>
      <w:bookmarkStart w:id="2" w:name="_Hlk209438526"/>
      <w:r w:rsidRPr="00436775" w:rsidR="00720DD7">
        <w:rPr>
          <w:i/>
          <w:iCs/>
          <w:szCs w:val="24"/>
        </w:rPr>
        <w:t xml:space="preserve">MA-1025 </w:t>
      </w:r>
      <w:r w:rsidRPr="00436775">
        <w:rPr>
          <w:i/>
          <w:iCs/>
          <w:szCs w:val="24"/>
        </w:rPr>
        <w:t>Vessel Data</w:t>
      </w:r>
      <w:r w:rsidR="00E9008E">
        <w:rPr>
          <w:szCs w:val="24"/>
        </w:rPr>
        <w:t xml:space="preserve"> (MA-1025)</w:t>
      </w:r>
      <w:bookmarkEnd w:id="2"/>
      <w:r w:rsidR="00E9008E">
        <w:rPr>
          <w:szCs w:val="24"/>
        </w:rPr>
        <w:t xml:space="preserve"> </w:t>
      </w:r>
      <w:r w:rsidR="00206FB5">
        <w:rPr>
          <w:szCs w:val="24"/>
        </w:rPr>
        <w:t xml:space="preserve">and </w:t>
      </w:r>
      <w:bookmarkStart w:id="3" w:name="_Hlk209438361"/>
      <w:r w:rsidRPr="00436775" w:rsidR="00E9008E">
        <w:rPr>
          <w:i/>
          <w:iCs/>
          <w:szCs w:val="24"/>
        </w:rPr>
        <w:t xml:space="preserve">MA-172 Financial Report of Ship </w:t>
      </w:r>
      <w:r w:rsidRPr="00436775" w:rsidR="000D2E35">
        <w:rPr>
          <w:i/>
          <w:iCs/>
          <w:szCs w:val="24"/>
        </w:rPr>
        <w:t>Carriers,</w:t>
      </w:r>
      <w:r w:rsidRPr="00436775" w:rsidR="00E9008E">
        <w:rPr>
          <w:i/>
          <w:iCs/>
          <w:szCs w:val="24"/>
        </w:rPr>
        <w:t xml:space="preserve"> or the Capital Cost Form</w:t>
      </w:r>
      <w:r w:rsidR="00E9008E">
        <w:rPr>
          <w:szCs w:val="24"/>
        </w:rPr>
        <w:t xml:space="preserve"> (MA-172)</w:t>
      </w:r>
      <w:r w:rsidRPr="00E9008E" w:rsidR="00E9008E">
        <w:rPr>
          <w:szCs w:val="24"/>
        </w:rPr>
        <w:t xml:space="preserve"> </w:t>
      </w:r>
      <w:bookmarkEnd w:id="3"/>
      <w:r w:rsidRPr="006903F7">
        <w:rPr>
          <w:szCs w:val="24"/>
        </w:rPr>
        <w:t>corresponds to information required in 46 CFR Part 382.2(b) (1-7)</w:t>
      </w:r>
      <w:r w:rsidR="00E9008E">
        <w:rPr>
          <w:szCs w:val="24"/>
        </w:rPr>
        <w:t xml:space="preserve">. </w:t>
      </w:r>
      <w:r w:rsidR="00206FB5">
        <w:rPr>
          <w:szCs w:val="24"/>
        </w:rPr>
        <w:t xml:space="preserve"> </w:t>
      </w:r>
      <w:r w:rsidR="00E9008E">
        <w:rPr>
          <w:szCs w:val="24"/>
        </w:rPr>
        <w:t xml:space="preserve">On the other hand, </w:t>
      </w:r>
      <w:r w:rsidR="00720DD7">
        <w:rPr>
          <w:szCs w:val="24"/>
        </w:rPr>
        <w:t xml:space="preserve">data requested on form </w:t>
      </w:r>
      <w:bookmarkStart w:id="4" w:name="_Hlk209438402"/>
      <w:r w:rsidRPr="00436775" w:rsidR="00720DD7">
        <w:rPr>
          <w:i/>
          <w:iCs/>
          <w:szCs w:val="24"/>
        </w:rPr>
        <w:t xml:space="preserve">MA-1026 </w:t>
      </w:r>
      <w:r w:rsidRPr="00436775">
        <w:rPr>
          <w:i/>
          <w:iCs/>
          <w:szCs w:val="24"/>
        </w:rPr>
        <w:t>Post Voyage Report</w:t>
      </w:r>
      <w:r w:rsidRPr="00FB7869">
        <w:rPr>
          <w:szCs w:val="24"/>
        </w:rPr>
        <w:t xml:space="preserve"> </w:t>
      </w:r>
      <w:r w:rsidRPr="00FB7869" w:rsidR="00FB7869">
        <w:rPr>
          <w:szCs w:val="24"/>
        </w:rPr>
        <w:t>(MA</w:t>
      </w:r>
      <w:r w:rsidR="00FB7869">
        <w:rPr>
          <w:szCs w:val="24"/>
        </w:rPr>
        <w:t>-</w:t>
      </w:r>
      <w:r w:rsidRPr="00FB7869" w:rsidR="00FB7869">
        <w:rPr>
          <w:szCs w:val="24"/>
        </w:rPr>
        <w:t>1026)</w:t>
      </w:r>
      <w:bookmarkEnd w:id="4"/>
      <w:r w:rsidRPr="00FB7869" w:rsidR="00FB7869">
        <w:rPr>
          <w:szCs w:val="24"/>
        </w:rPr>
        <w:t xml:space="preserve"> </w:t>
      </w:r>
      <w:r w:rsidRPr="00FB7869">
        <w:rPr>
          <w:szCs w:val="24"/>
        </w:rPr>
        <w:t xml:space="preserve">corresponds to information required in 46 CFR Part 382.2(c) (1-4). </w:t>
      </w:r>
    </w:p>
    <w:p w:rsidR="005E53D4" w:rsidRPr="006903F7" w14:paraId="50AD76E3" w14:textId="77777777">
      <w:pPr>
        <w:rPr>
          <w:szCs w:val="24"/>
        </w:rPr>
      </w:pPr>
    </w:p>
    <w:p w:rsidR="005E53D4" w:rsidRPr="00720DD7" w:rsidP="00436775" w14:paraId="6362A27F" w14:textId="60176780">
      <w:pPr>
        <w:pStyle w:val="ListParagraph"/>
        <w:numPr>
          <w:ilvl w:val="0"/>
          <w:numId w:val="20"/>
        </w:numPr>
        <w:tabs>
          <w:tab w:val="left" w:pos="-1440"/>
        </w:tabs>
        <w:rPr>
          <w:szCs w:val="24"/>
        </w:rPr>
      </w:pPr>
      <w:r w:rsidRPr="00720DD7">
        <w:rPr>
          <w:b/>
          <w:szCs w:val="24"/>
        </w:rPr>
        <w:t>P</w:t>
      </w:r>
      <w:r w:rsidRPr="00436775">
        <w:rPr>
          <w:b/>
          <w:szCs w:val="24"/>
        </w:rPr>
        <w:t xml:space="preserve">urpose </w:t>
      </w:r>
      <w:r w:rsidRPr="00720DD7">
        <w:rPr>
          <w:b/>
          <w:szCs w:val="24"/>
        </w:rPr>
        <w:t xml:space="preserve">and Use of </w:t>
      </w:r>
      <w:r w:rsidRPr="00436775">
        <w:rPr>
          <w:b/>
          <w:szCs w:val="24"/>
        </w:rPr>
        <w:t xml:space="preserve">the </w:t>
      </w:r>
      <w:r w:rsidRPr="00720DD7">
        <w:rPr>
          <w:b/>
          <w:szCs w:val="24"/>
        </w:rPr>
        <w:t>I</w:t>
      </w:r>
      <w:r w:rsidRPr="00436775">
        <w:rPr>
          <w:b/>
          <w:szCs w:val="24"/>
        </w:rPr>
        <w:t xml:space="preserve">nformation </w:t>
      </w:r>
      <w:r w:rsidRPr="00720DD7">
        <w:rPr>
          <w:b/>
          <w:szCs w:val="24"/>
        </w:rPr>
        <w:t>Collection</w:t>
      </w:r>
      <w:r w:rsidRPr="00436775">
        <w:rPr>
          <w:b/>
          <w:szCs w:val="24"/>
        </w:rPr>
        <w:t xml:space="preserve">  </w:t>
      </w:r>
      <w:r w:rsidRPr="00720DD7">
        <w:rPr>
          <w:szCs w:val="24"/>
        </w:rPr>
        <w:tab/>
      </w:r>
    </w:p>
    <w:p w:rsidR="00720DD7" w14:paraId="2938DC38" w14:textId="77777777">
      <w:pPr>
        <w:ind w:left="720"/>
        <w:rPr>
          <w:szCs w:val="24"/>
        </w:rPr>
      </w:pPr>
    </w:p>
    <w:p w:rsidR="005E53D4" w:rsidRPr="006903F7" w:rsidP="00436775" w14:paraId="5A00CC62" w14:textId="49158540">
      <w:pPr>
        <w:ind w:left="1440"/>
        <w:rPr>
          <w:szCs w:val="24"/>
        </w:rPr>
      </w:pPr>
      <w:r w:rsidRPr="006903F7">
        <w:rPr>
          <w:szCs w:val="24"/>
        </w:rPr>
        <w:t>This collection of information requires U.S.-flag</w:t>
      </w:r>
      <w:r w:rsidR="001B59A7">
        <w:rPr>
          <w:szCs w:val="24"/>
        </w:rPr>
        <w:t xml:space="preserve"> vessel</w:t>
      </w:r>
      <w:r w:rsidRPr="006903F7">
        <w:rPr>
          <w:szCs w:val="24"/>
        </w:rPr>
        <w:t xml:space="preserve"> operators to submit vessel-operating costs and capital costs data to MARAD officials on an annual basis.  MARAD </w:t>
      </w:r>
      <w:r w:rsidR="00FB7869">
        <w:rPr>
          <w:szCs w:val="24"/>
        </w:rPr>
        <w:t xml:space="preserve">uses this collection </w:t>
      </w:r>
      <w:r w:rsidRPr="006903F7">
        <w:rPr>
          <w:szCs w:val="24"/>
        </w:rPr>
        <w:t xml:space="preserve">to calculate fair and reasonable rates for U.S.-flag vessels engaged in the carriage of preference cargoes.  </w:t>
      </w:r>
    </w:p>
    <w:p w:rsidR="005E53D4" w:rsidRPr="006903F7" w:rsidP="00436775" w14:paraId="6BADBB2B" w14:textId="77777777">
      <w:pPr>
        <w:ind w:left="1440"/>
        <w:rPr>
          <w:szCs w:val="24"/>
        </w:rPr>
      </w:pPr>
    </w:p>
    <w:p w:rsidR="005E53D4" w:rsidP="00436775" w14:paraId="2462D3E4" w14:textId="218F950E">
      <w:pPr>
        <w:ind w:left="1440"/>
        <w:rPr>
          <w:szCs w:val="24"/>
        </w:rPr>
      </w:pPr>
      <w:r>
        <w:rPr>
          <w:szCs w:val="24"/>
        </w:rPr>
        <w:t>Fo</w:t>
      </w:r>
      <w:r w:rsidR="00206FB5">
        <w:rPr>
          <w:szCs w:val="24"/>
        </w:rPr>
        <w:t>rm</w:t>
      </w:r>
      <w:r>
        <w:rPr>
          <w:szCs w:val="24"/>
        </w:rPr>
        <w:t xml:space="preserve"> </w:t>
      </w:r>
      <w:r w:rsidR="00FB7869">
        <w:rPr>
          <w:szCs w:val="24"/>
        </w:rPr>
        <w:t>MA-1025 captures</w:t>
      </w:r>
      <w:r w:rsidRPr="006903F7" w:rsidR="00FB7869">
        <w:rPr>
          <w:szCs w:val="24"/>
        </w:rPr>
        <w:t xml:space="preserve"> </w:t>
      </w:r>
      <w:r w:rsidR="00FB7869">
        <w:rPr>
          <w:szCs w:val="24"/>
        </w:rPr>
        <w:t>data regarding a</w:t>
      </w:r>
      <w:r w:rsidRPr="006903F7">
        <w:rPr>
          <w:szCs w:val="24"/>
        </w:rPr>
        <w:t xml:space="preserve"> vessel’s </w:t>
      </w:r>
      <w:r w:rsidRPr="006903F7" w:rsidR="00CE2870">
        <w:rPr>
          <w:szCs w:val="24"/>
        </w:rPr>
        <w:t>measurements</w:t>
      </w:r>
      <w:r w:rsidR="00FB7869">
        <w:rPr>
          <w:szCs w:val="24"/>
        </w:rPr>
        <w:t xml:space="preserve"> (</w:t>
      </w:r>
      <w:r w:rsidRPr="006903F7">
        <w:rPr>
          <w:szCs w:val="24"/>
        </w:rPr>
        <w:t xml:space="preserve">i.e., </w:t>
      </w:r>
      <w:r w:rsidRPr="006903F7" w:rsidR="007E1EE0">
        <w:rPr>
          <w:szCs w:val="24"/>
        </w:rPr>
        <w:t xml:space="preserve">the vessel’s Panama Canal or Suez Canal </w:t>
      </w:r>
      <w:r w:rsidRPr="006903F7" w:rsidR="00CE2870">
        <w:rPr>
          <w:szCs w:val="24"/>
        </w:rPr>
        <w:t>t</w:t>
      </w:r>
      <w:r w:rsidRPr="006903F7" w:rsidR="007E1EE0">
        <w:rPr>
          <w:szCs w:val="24"/>
        </w:rPr>
        <w:t>onnage</w:t>
      </w:r>
      <w:r w:rsidRPr="006903F7">
        <w:rPr>
          <w:szCs w:val="24"/>
        </w:rPr>
        <w:t xml:space="preserve">, </w:t>
      </w:r>
      <w:r w:rsidRPr="006903F7" w:rsidR="00CE2870">
        <w:rPr>
          <w:szCs w:val="24"/>
        </w:rPr>
        <w:t>vessel deadweight</w:t>
      </w:r>
      <w:r w:rsidRPr="006903F7">
        <w:rPr>
          <w:szCs w:val="24"/>
        </w:rPr>
        <w:t>,</w:t>
      </w:r>
      <w:r w:rsidRPr="006903F7" w:rsidR="00CE2870">
        <w:rPr>
          <w:szCs w:val="24"/>
        </w:rPr>
        <w:t xml:space="preserve"> fuel consumption,</w:t>
      </w:r>
      <w:r w:rsidRPr="006903F7">
        <w:rPr>
          <w:szCs w:val="24"/>
        </w:rPr>
        <w:t xml:space="preserve"> etc.</w:t>
      </w:r>
      <w:r w:rsidR="00FB7869">
        <w:rPr>
          <w:szCs w:val="24"/>
        </w:rPr>
        <w:t xml:space="preserve">). </w:t>
      </w:r>
      <w:r w:rsidRPr="006903F7">
        <w:rPr>
          <w:szCs w:val="24"/>
        </w:rPr>
        <w:t xml:space="preserve"> </w:t>
      </w:r>
      <w:r w:rsidR="00E9008E">
        <w:rPr>
          <w:szCs w:val="24"/>
        </w:rPr>
        <w:t xml:space="preserve">Form MA-172 </w:t>
      </w:r>
      <w:r w:rsidRPr="006903F7" w:rsidR="006007F4">
        <w:rPr>
          <w:szCs w:val="24"/>
        </w:rPr>
        <w:t xml:space="preserve">provides the capital cost expenses for the vessel and </w:t>
      </w:r>
      <w:r w:rsidR="00FB7869">
        <w:rPr>
          <w:szCs w:val="24"/>
        </w:rPr>
        <w:t>facilitates the</w:t>
      </w:r>
      <w:r w:rsidRPr="006903F7">
        <w:rPr>
          <w:szCs w:val="24"/>
        </w:rPr>
        <w:t xml:space="preserve"> calculat</w:t>
      </w:r>
      <w:r w:rsidR="00FB7869">
        <w:rPr>
          <w:szCs w:val="24"/>
        </w:rPr>
        <w:t>ion of</w:t>
      </w:r>
      <w:r w:rsidRPr="006903F7">
        <w:rPr>
          <w:szCs w:val="24"/>
        </w:rPr>
        <w:t xml:space="preserve"> the vessel’s average daily capital costs.  This information is critical to determining the fair and reasonable cost of a specific </w:t>
      </w:r>
      <w:r w:rsidRPr="006903F7">
        <w:rPr>
          <w:szCs w:val="24"/>
        </w:rPr>
        <w:t xml:space="preserve">voyage.  </w:t>
      </w:r>
      <w:r w:rsidR="00E9008E">
        <w:rPr>
          <w:szCs w:val="24"/>
        </w:rPr>
        <w:t xml:space="preserve">In addition, </w:t>
      </w:r>
      <w:r>
        <w:rPr>
          <w:szCs w:val="24"/>
        </w:rPr>
        <w:t xml:space="preserve">form </w:t>
      </w:r>
      <w:r w:rsidR="00FB7869">
        <w:rPr>
          <w:szCs w:val="24"/>
        </w:rPr>
        <w:t>MA-1026</w:t>
      </w:r>
      <w:r w:rsidRPr="006903F7">
        <w:rPr>
          <w:szCs w:val="24"/>
        </w:rPr>
        <w:t xml:space="preserve"> </w:t>
      </w:r>
      <w:r w:rsidR="00FB7869">
        <w:rPr>
          <w:szCs w:val="24"/>
        </w:rPr>
        <w:t xml:space="preserve">is used to collect </w:t>
      </w:r>
      <w:r w:rsidRPr="006903F7">
        <w:rPr>
          <w:szCs w:val="24"/>
        </w:rPr>
        <w:t>details and costs of specif</w:t>
      </w:r>
      <w:r w:rsidRPr="006903F7" w:rsidR="0046148D">
        <w:rPr>
          <w:szCs w:val="24"/>
        </w:rPr>
        <w:t>ic voyages for specific vessels</w:t>
      </w:r>
      <w:r w:rsidRPr="006903F7" w:rsidR="00881EA0">
        <w:rPr>
          <w:szCs w:val="24"/>
        </w:rPr>
        <w:t xml:space="preserve">. </w:t>
      </w:r>
      <w:r w:rsidR="00FB7869">
        <w:rPr>
          <w:szCs w:val="24"/>
        </w:rPr>
        <w:t xml:space="preserve"> </w:t>
      </w:r>
      <w:r w:rsidRPr="006903F7" w:rsidR="00881EA0">
        <w:rPr>
          <w:szCs w:val="24"/>
        </w:rPr>
        <w:t xml:space="preserve">U.S.-flag operators </w:t>
      </w:r>
      <w:r w:rsidR="00FB7869">
        <w:rPr>
          <w:szCs w:val="24"/>
        </w:rPr>
        <w:t xml:space="preserve">are required </w:t>
      </w:r>
      <w:r w:rsidRPr="006903F7" w:rsidR="00881EA0">
        <w:rPr>
          <w:szCs w:val="24"/>
        </w:rPr>
        <w:t xml:space="preserve">to submit </w:t>
      </w:r>
      <w:r w:rsidR="00FB7869">
        <w:rPr>
          <w:szCs w:val="24"/>
        </w:rPr>
        <w:t>a completed form MA-1026 to</w:t>
      </w:r>
      <w:r w:rsidRPr="006903F7" w:rsidR="00881EA0">
        <w:rPr>
          <w:szCs w:val="24"/>
        </w:rPr>
        <w:t xml:space="preserve"> MARAD officials on a semi-annual basis.</w:t>
      </w:r>
      <w:r w:rsidRPr="006903F7">
        <w:rPr>
          <w:szCs w:val="24"/>
        </w:rPr>
        <w:t xml:space="preserve">  This historical guideline rate information is used to review trends and costs for the shipment of preference cargoes from specific origins to specific destinations</w:t>
      </w:r>
      <w:r w:rsidR="00FB7869">
        <w:rPr>
          <w:szCs w:val="24"/>
        </w:rPr>
        <w:t xml:space="preserve"> (e.g., the</w:t>
      </w:r>
      <w:r w:rsidRPr="006903F7">
        <w:rPr>
          <w:szCs w:val="24"/>
        </w:rPr>
        <w:t xml:space="preserve"> average waiting time to load or discharge at a port</w:t>
      </w:r>
      <w:r w:rsidR="00FB7869">
        <w:rPr>
          <w:szCs w:val="24"/>
        </w:rPr>
        <w:t>, etc.)</w:t>
      </w:r>
      <w:r w:rsidRPr="006903F7">
        <w:rPr>
          <w:szCs w:val="24"/>
        </w:rPr>
        <w:t xml:space="preserve">.  </w:t>
      </w:r>
    </w:p>
    <w:p w:rsidR="005E53D4" w:rsidRPr="006903F7" w:rsidP="00436775" w14:paraId="7E67999C" w14:textId="77777777">
      <w:pPr>
        <w:tabs>
          <w:tab w:val="left" w:pos="-1440"/>
        </w:tabs>
        <w:rPr>
          <w:szCs w:val="24"/>
        </w:rPr>
      </w:pPr>
    </w:p>
    <w:p w:rsidR="005E53D4" w:rsidRPr="000F318F" w:rsidP="00436775" w14:paraId="3DB55DC8" w14:textId="6EC7766E">
      <w:pPr>
        <w:pStyle w:val="ListParagraph"/>
        <w:numPr>
          <w:ilvl w:val="0"/>
          <w:numId w:val="20"/>
        </w:numPr>
      </w:pPr>
      <w:r w:rsidRPr="00436775">
        <w:rPr>
          <w:b/>
          <w:szCs w:val="24"/>
        </w:rPr>
        <w:t>A</w:t>
      </w:r>
      <w:r w:rsidRPr="00436775">
        <w:rPr>
          <w:b/>
          <w:szCs w:val="24"/>
        </w:rPr>
        <w:t>utomat</w:t>
      </w:r>
      <w:r w:rsidRPr="00436775">
        <w:rPr>
          <w:b/>
          <w:szCs w:val="24"/>
        </w:rPr>
        <w:t xml:space="preserve">ion or Use </w:t>
      </w:r>
      <w:r w:rsidRPr="00436775">
        <w:rPr>
          <w:b/>
          <w:szCs w:val="24"/>
        </w:rPr>
        <w:t xml:space="preserve">of </w:t>
      </w:r>
      <w:r w:rsidRPr="00436775">
        <w:rPr>
          <w:b/>
          <w:szCs w:val="24"/>
        </w:rPr>
        <w:t>Information Technology</w:t>
      </w:r>
    </w:p>
    <w:p w:rsidR="000F318F" w14:paraId="7835E7AD" w14:textId="77777777">
      <w:pPr>
        <w:tabs>
          <w:tab w:val="left" w:pos="-1440"/>
        </w:tabs>
        <w:ind w:left="720" w:hanging="720"/>
        <w:rPr>
          <w:szCs w:val="24"/>
        </w:rPr>
      </w:pPr>
      <w:r w:rsidRPr="006903F7">
        <w:rPr>
          <w:szCs w:val="24"/>
        </w:rPr>
        <w:tab/>
      </w:r>
    </w:p>
    <w:p w:rsidR="005E53D4" w:rsidRPr="006903F7" w:rsidP="00436775" w14:paraId="71DBA981" w14:textId="3DAE6EFB">
      <w:pPr>
        <w:tabs>
          <w:tab w:val="left" w:pos="-1440"/>
        </w:tabs>
        <w:ind w:left="1440" w:hanging="720"/>
        <w:rPr>
          <w:szCs w:val="24"/>
        </w:rPr>
      </w:pPr>
      <w:r>
        <w:rPr>
          <w:szCs w:val="24"/>
        </w:rPr>
        <w:tab/>
      </w:r>
      <w:r w:rsidRPr="006903F7">
        <w:rPr>
          <w:szCs w:val="24"/>
        </w:rPr>
        <w:t>MARAD provides a total electronic option for this collection</w:t>
      </w:r>
      <w:r>
        <w:rPr>
          <w:szCs w:val="24"/>
        </w:rPr>
        <w:t xml:space="preserve"> and continues to </w:t>
      </w:r>
      <w:r w:rsidRPr="006903F7" w:rsidR="004C1AF1">
        <w:rPr>
          <w:szCs w:val="24"/>
        </w:rPr>
        <w:t>encourag</w:t>
      </w:r>
      <w:r>
        <w:rPr>
          <w:szCs w:val="24"/>
        </w:rPr>
        <w:t>e</w:t>
      </w:r>
      <w:r w:rsidRPr="006903F7" w:rsidR="004C1AF1">
        <w:rPr>
          <w:szCs w:val="24"/>
        </w:rPr>
        <w:t xml:space="preserve"> U.S.</w:t>
      </w:r>
      <w:r>
        <w:rPr>
          <w:szCs w:val="24"/>
        </w:rPr>
        <w:t>-</w:t>
      </w:r>
      <w:r w:rsidRPr="006903F7" w:rsidR="004C1AF1">
        <w:rPr>
          <w:szCs w:val="24"/>
        </w:rPr>
        <w:t xml:space="preserve">flag operators to file </w:t>
      </w:r>
      <w:r>
        <w:rPr>
          <w:szCs w:val="24"/>
        </w:rPr>
        <w:t xml:space="preserve">forms associated with this collection </w:t>
      </w:r>
      <w:r w:rsidR="00397595">
        <w:rPr>
          <w:szCs w:val="24"/>
        </w:rPr>
        <w:t>by email</w:t>
      </w:r>
      <w:r w:rsidRPr="006903F7" w:rsidR="00705AB6">
        <w:rPr>
          <w:szCs w:val="24"/>
        </w:rPr>
        <w:t xml:space="preserve">.  To date, </w:t>
      </w:r>
      <w:r w:rsidRPr="006903F7" w:rsidR="00555DD1">
        <w:rPr>
          <w:szCs w:val="24"/>
        </w:rPr>
        <w:t>100</w:t>
      </w:r>
      <w:r w:rsidRPr="006903F7" w:rsidR="00705AB6">
        <w:rPr>
          <w:szCs w:val="24"/>
        </w:rPr>
        <w:t>% of the</w:t>
      </w:r>
      <w:r>
        <w:rPr>
          <w:szCs w:val="24"/>
        </w:rPr>
        <w:t>se</w:t>
      </w:r>
      <w:r w:rsidRPr="006903F7" w:rsidR="00705AB6">
        <w:rPr>
          <w:szCs w:val="24"/>
        </w:rPr>
        <w:t xml:space="preserve"> operators file their cargo preference data electronically.</w:t>
      </w:r>
      <w:r w:rsidRPr="006903F7" w:rsidR="004C1AF1">
        <w:rPr>
          <w:szCs w:val="24"/>
        </w:rPr>
        <w:t xml:space="preserve">  </w:t>
      </w:r>
    </w:p>
    <w:p w:rsidR="005E53D4" w:rsidRPr="006903F7" w:rsidP="00436775" w14:paraId="1302B0A1" w14:textId="77777777">
      <w:pPr>
        <w:tabs>
          <w:tab w:val="left" w:pos="-1440"/>
        </w:tabs>
        <w:ind w:left="1440" w:hanging="720"/>
        <w:rPr>
          <w:szCs w:val="24"/>
        </w:rPr>
      </w:pPr>
    </w:p>
    <w:p w:rsidR="005E53D4" w:rsidRPr="006903F7" w:rsidP="00436775" w14:paraId="693EC037" w14:textId="17151D01">
      <w:pPr>
        <w:tabs>
          <w:tab w:val="left" w:pos="-1440"/>
        </w:tabs>
        <w:ind w:left="1440" w:hanging="720"/>
        <w:rPr>
          <w:szCs w:val="24"/>
        </w:rPr>
      </w:pPr>
      <w:r w:rsidRPr="006903F7">
        <w:rPr>
          <w:szCs w:val="24"/>
        </w:rPr>
        <w:tab/>
        <w:t xml:space="preserve">Many of the particulars provided on form </w:t>
      </w:r>
      <w:r w:rsidR="000F318F">
        <w:rPr>
          <w:szCs w:val="24"/>
        </w:rPr>
        <w:t xml:space="preserve">MA-1025 </w:t>
      </w:r>
      <w:r w:rsidRPr="006903F7">
        <w:rPr>
          <w:szCs w:val="24"/>
        </w:rPr>
        <w:t xml:space="preserve">remain unchanged from year to year. </w:t>
      </w:r>
      <w:r w:rsidR="000F318F">
        <w:rPr>
          <w:szCs w:val="24"/>
        </w:rPr>
        <w:t xml:space="preserve"> Therefore,</w:t>
      </w:r>
      <w:r w:rsidRPr="006903F7">
        <w:rPr>
          <w:szCs w:val="24"/>
        </w:rPr>
        <w:t xml:space="preserve"> </w:t>
      </w:r>
      <w:r w:rsidR="000F318F">
        <w:rPr>
          <w:szCs w:val="24"/>
        </w:rPr>
        <w:t xml:space="preserve">a vessel </w:t>
      </w:r>
      <w:r w:rsidRPr="006903F7">
        <w:rPr>
          <w:szCs w:val="24"/>
        </w:rPr>
        <w:t xml:space="preserve">operator </w:t>
      </w:r>
      <w:r w:rsidRPr="006903F7" w:rsidR="000F318F">
        <w:rPr>
          <w:szCs w:val="24"/>
        </w:rPr>
        <w:t>c</w:t>
      </w:r>
      <w:r w:rsidR="000F318F">
        <w:rPr>
          <w:szCs w:val="24"/>
        </w:rPr>
        <w:t>an easily</w:t>
      </w:r>
      <w:r w:rsidRPr="006903F7" w:rsidR="000F318F">
        <w:rPr>
          <w:szCs w:val="24"/>
        </w:rPr>
        <w:t xml:space="preserve"> </w:t>
      </w:r>
      <w:r w:rsidRPr="006903F7">
        <w:rPr>
          <w:szCs w:val="24"/>
        </w:rPr>
        <w:t>enter</w:t>
      </w:r>
      <w:r w:rsidR="000F318F">
        <w:rPr>
          <w:szCs w:val="24"/>
        </w:rPr>
        <w:t xml:space="preserve"> required</w:t>
      </w:r>
      <w:r w:rsidRPr="006903F7">
        <w:rPr>
          <w:szCs w:val="24"/>
        </w:rPr>
        <w:t xml:space="preserve"> the data once and update it annually, as required</w:t>
      </w:r>
      <w:r w:rsidR="000F318F">
        <w:rPr>
          <w:szCs w:val="24"/>
        </w:rPr>
        <w:t xml:space="preserve">, which </w:t>
      </w:r>
      <w:r w:rsidRPr="006903F7">
        <w:rPr>
          <w:szCs w:val="24"/>
        </w:rPr>
        <w:t>save</w:t>
      </w:r>
      <w:r w:rsidR="000F318F">
        <w:rPr>
          <w:szCs w:val="24"/>
        </w:rPr>
        <w:t>s</w:t>
      </w:r>
      <w:r w:rsidRPr="006903F7">
        <w:rPr>
          <w:szCs w:val="24"/>
        </w:rPr>
        <w:t xml:space="preserve"> </w:t>
      </w:r>
      <w:r w:rsidR="000F318F">
        <w:rPr>
          <w:szCs w:val="24"/>
        </w:rPr>
        <w:t xml:space="preserve">them </w:t>
      </w:r>
      <w:r w:rsidRPr="006903F7">
        <w:rPr>
          <w:szCs w:val="24"/>
        </w:rPr>
        <w:t xml:space="preserve">time and money.  </w:t>
      </w:r>
    </w:p>
    <w:p w:rsidR="005E53D4" w:rsidRPr="006903F7" w:rsidP="00436775" w14:paraId="2760F2DF" w14:textId="77777777">
      <w:pPr>
        <w:tabs>
          <w:tab w:val="left" w:pos="-1440"/>
        </w:tabs>
        <w:ind w:left="1080"/>
        <w:rPr>
          <w:szCs w:val="24"/>
        </w:rPr>
      </w:pPr>
    </w:p>
    <w:p w:rsidR="005E53D4" w:rsidRPr="00E12ADF" w:rsidP="00436775" w14:paraId="4D521646" w14:textId="6FF6F52C">
      <w:pPr>
        <w:pStyle w:val="ListParagraph"/>
        <w:numPr>
          <w:ilvl w:val="0"/>
          <w:numId w:val="20"/>
        </w:numPr>
        <w:tabs>
          <w:tab w:val="left" w:pos="-1440"/>
        </w:tabs>
        <w:rPr>
          <w:szCs w:val="24"/>
        </w:rPr>
      </w:pPr>
      <w:r w:rsidRPr="00436775">
        <w:rPr>
          <w:b/>
          <w:szCs w:val="24"/>
        </w:rPr>
        <w:t>E</w:t>
      </w:r>
      <w:r w:rsidRPr="00436775">
        <w:rPr>
          <w:b/>
          <w:szCs w:val="24"/>
        </w:rPr>
        <w:t xml:space="preserve">fforts to </w:t>
      </w:r>
      <w:r w:rsidRPr="00436775">
        <w:rPr>
          <w:b/>
          <w:szCs w:val="24"/>
        </w:rPr>
        <w:t>Identify Duplication</w:t>
      </w:r>
    </w:p>
    <w:p w:rsidR="005E53D4" w:rsidRPr="006903F7" w14:paraId="612D5D49" w14:textId="77777777">
      <w:pPr>
        <w:tabs>
          <w:tab w:val="left" w:pos="-1440"/>
        </w:tabs>
        <w:rPr>
          <w:szCs w:val="24"/>
        </w:rPr>
      </w:pPr>
    </w:p>
    <w:p w:rsidR="005E53D4" w:rsidRPr="006903F7" w:rsidP="00436775" w14:paraId="24609BE7" w14:textId="77777777">
      <w:pPr>
        <w:ind w:left="1440"/>
        <w:rPr>
          <w:szCs w:val="24"/>
        </w:rPr>
      </w:pPr>
      <w:r w:rsidRPr="006903F7">
        <w:rPr>
          <w:szCs w:val="24"/>
        </w:rPr>
        <w:t>No other Federal agency is involved with the collection of this type of data, namely, vessel operating costs and vessel capital costs.  A survey of the Catalog of Federal Domestic Assistance does not reveal a program similar to this collection.</w:t>
      </w:r>
    </w:p>
    <w:p w:rsidR="005E53D4" w:rsidRPr="006903F7" w14:paraId="2949B35A" w14:textId="77777777">
      <w:pPr>
        <w:tabs>
          <w:tab w:val="left" w:pos="-1440"/>
        </w:tabs>
        <w:ind w:left="720" w:hanging="720"/>
        <w:rPr>
          <w:szCs w:val="24"/>
        </w:rPr>
      </w:pPr>
    </w:p>
    <w:p w:rsidR="005E53D4" w:rsidRPr="006903F7" w:rsidP="00436775" w14:paraId="0B7253A6" w14:textId="663E90F0">
      <w:pPr>
        <w:pStyle w:val="BodyTextIndent"/>
        <w:numPr>
          <w:ilvl w:val="0"/>
          <w:numId w:val="20"/>
        </w:numPr>
        <w:rPr>
          <w:szCs w:val="24"/>
        </w:rPr>
      </w:pPr>
      <w:r>
        <w:rPr>
          <w:szCs w:val="24"/>
        </w:rPr>
        <w:t>Impact on</w:t>
      </w:r>
      <w:r w:rsidRPr="006903F7">
        <w:rPr>
          <w:szCs w:val="24"/>
        </w:rPr>
        <w:t xml:space="preserve"> </w:t>
      </w:r>
      <w:r>
        <w:rPr>
          <w:szCs w:val="24"/>
        </w:rPr>
        <w:t>S</w:t>
      </w:r>
      <w:r w:rsidRPr="006903F7">
        <w:rPr>
          <w:szCs w:val="24"/>
        </w:rPr>
        <w:t xml:space="preserve">mall </w:t>
      </w:r>
      <w:r>
        <w:rPr>
          <w:szCs w:val="24"/>
        </w:rPr>
        <w:t>B</w:t>
      </w:r>
      <w:r w:rsidRPr="006903F7">
        <w:rPr>
          <w:szCs w:val="24"/>
        </w:rPr>
        <w:t xml:space="preserve">usinesses </w:t>
      </w:r>
      <w:r w:rsidRPr="006903F7">
        <w:rPr>
          <w:szCs w:val="24"/>
        </w:rPr>
        <w:t xml:space="preserve">or </w:t>
      </w:r>
      <w:r>
        <w:rPr>
          <w:szCs w:val="24"/>
        </w:rPr>
        <w:t>O</w:t>
      </w:r>
      <w:r w:rsidRPr="006903F7">
        <w:rPr>
          <w:szCs w:val="24"/>
        </w:rPr>
        <w:t xml:space="preserve">ther </w:t>
      </w:r>
      <w:r>
        <w:rPr>
          <w:szCs w:val="24"/>
        </w:rPr>
        <w:t>S</w:t>
      </w:r>
      <w:r w:rsidRPr="006903F7">
        <w:rPr>
          <w:szCs w:val="24"/>
        </w:rPr>
        <w:t xml:space="preserve">mall </w:t>
      </w:r>
      <w:r>
        <w:rPr>
          <w:szCs w:val="24"/>
        </w:rPr>
        <w:t>E</w:t>
      </w:r>
      <w:r w:rsidRPr="006903F7">
        <w:rPr>
          <w:szCs w:val="24"/>
        </w:rPr>
        <w:t>ntities</w:t>
      </w:r>
    </w:p>
    <w:p w:rsidR="005E53D4" w:rsidRPr="006903F7" w14:paraId="3BFFB383" w14:textId="77777777">
      <w:pPr>
        <w:tabs>
          <w:tab w:val="left" w:pos="-1440"/>
        </w:tabs>
        <w:ind w:left="720" w:hanging="720"/>
        <w:rPr>
          <w:szCs w:val="24"/>
        </w:rPr>
      </w:pPr>
      <w:r w:rsidRPr="006903F7">
        <w:rPr>
          <w:szCs w:val="24"/>
        </w:rPr>
        <w:tab/>
      </w:r>
    </w:p>
    <w:p w:rsidR="005E53D4" w:rsidRPr="006903F7" w:rsidP="00436775" w14:paraId="5B9688DF" w14:textId="7E9D7795">
      <w:pPr>
        <w:tabs>
          <w:tab w:val="left" w:pos="-1440"/>
        </w:tabs>
        <w:ind w:left="1440" w:hanging="720"/>
        <w:rPr>
          <w:szCs w:val="24"/>
        </w:rPr>
      </w:pPr>
      <w:r w:rsidRPr="006903F7">
        <w:rPr>
          <w:szCs w:val="24"/>
        </w:rPr>
        <w:tab/>
        <w:t xml:space="preserve">The information collected </w:t>
      </w:r>
      <w:r w:rsidR="00E12ADF">
        <w:rPr>
          <w:szCs w:val="24"/>
        </w:rPr>
        <w:t>has</w:t>
      </w:r>
      <w:r w:rsidRPr="006903F7">
        <w:rPr>
          <w:szCs w:val="24"/>
        </w:rPr>
        <w:t xml:space="preserve"> a minimal impact</w:t>
      </w:r>
      <w:r w:rsidR="00E12ADF">
        <w:rPr>
          <w:szCs w:val="24"/>
        </w:rPr>
        <w:t xml:space="preserve"> </w:t>
      </w:r>
      <w:r w:rsidRPr="006903F7">
        <w:rPr>
          <w:szCs w:val="24"/>
        </w:rPr>
        <w:t>on small businesses</w:t>
      </w:r>
      <w:r w:rsidR="00E12ADF">
        <w:rPr>
          <w:szCs w:val="24"/>
        </w:rPr>
        <w:t>,</w:t>
      </w:r>
      <w:r w:rsidRPr="006903F7">
        <w:rPr>
          <w:szCs w:val="24"/>
        </w:rPr>
        <w:t xml:space="preserve"> </w:t>
      </w:r>
      <w:r w:rsidR="00E12ADF">
        <w:rPr>
          <w:szCs w:val="24"/>
        </w:rPr>
        <w:t>since</w:t>
      </w:r>
      <w:r w:rsidRPr="006903F7">
        <w:rPr>
          <w:szCs w:val="24"/>
        </w:rPr>
        <w:t xml:space="preserve"> applicants generally</w:t>
      </w:r>
      <w:r w:rsidRPr="006903F7" w:rsidR="00003141">
        <w:rPr>
          <w:szCs w:val="24"/>
        </w:rPr>
        <w:t xml:space="preserve"> </w:t>
      </w:r>
      <w:r w:rsidRPr="006903F7">
        <w:rPr>
          <w:szCs w:val="24"/>
        </w:rPr>
        <w:t xml:space="preserve">exceed the Small Business Administration’s criteria for small business.  Every effort has been made </w:t>
      </w:r>
      <w:r w:rsidR="00397595">
        <w:rPr>
          <w:szCs w:val="24"/>
        </w:rPr>
        <w:t xml:space="preserve">to </w:t>
      </w:r>
      <w:r w:rsidRPr="006903F7">
        <w:rPr>
          <w:szCs w:val="24"/>
        </w:rPr>
        <w:t>design this information collection to minimize the burden.</w:t>
      </w:r>
      <w:r w:rsidRPr="006903F7" w:rsidR="00FF67AF">
        <w:rPr>
          <w:szCs w:val="24"/>
        </w:rPr>
        <w:t xml:space="preserve"> </w:t>
      </w:r>
      <w:r w:rsidRPr="006903F7" w:rsidR="00D039F5">
        <w:rPr>
          <w:szCs w:val="24"/>
        </w:rPr>
        <w:t xml:space="preserve"> MARAD encourages the filing of vessel data &amp; capital cost by </w:t>
      </w:r>
      <w:r w:rsidR="00397595">
        <w:rPr>
          <w:szCs w:val="24"/>
        </w:rPr>
        <w:t>e</w:t>
      </w:r>
      <w:r w:rsidRPr="006903F7" w:rsidR="00D039F5">
        <w:rPr>
          <w:szCs w:val="24"/>
        </w:rPr>
        <w:t>mail</w:t>
      </w:r>
      <w:r w:rsidRPr="006903F7" w:rsidR="00FF67AF">
        <w:rPr>
          <w:szCs w:val="24"/>
        </w:rPr>
        <w:t>.</w:t>
      </w:r>
      <w:r w:rsidRPr="006903F7" w:rsidR="00D039F5">
        <w:rPr>
          <w:szCs w:val="24"/>
        </w:rPr>
        <w:t xml:space="preserve">  </w:t>
      </w:r>
    </w:p>
    <w:p w:rsidR="005E53D4" w:rsidRPr="006903F7" w14:paraId="390DBC83" w14:textId="77777777">
      <w:pPr>
        <w:tabs>
          <w:tab w:val="left" w:pos="-1440"/>
        </w:tabs>
        <w:ind w:left="720" w:hanging="720"/>
        <w:rPr>
          <w:szCs w:val="24"/>
        </w:rPr>
      </w:pPr>
    </w:p>
    <w:p w:rsidR="005E53D4" w:rsidRPr="00397595" w:rsidP="00436775" w14:paraId="5F05BDD6" w14:textId="6BBF6397">
      <w:pPr>
        <w:pStyle w:val="BodyTextIndent"/>
        <w:numPr>
          <w:ilvl w:val="0"/>
          <w:numId w:val="20"/>
        </w:numPr>
        <w:rPr>
          <w:szCs w:val="24"/>
        </w:rPr>
      </w:pPr>
      <w:r>
        <w:rPr>
          <w:szCs w:val="24"/>
        </w:rPr>
        <w:t>Impact of</w:t>
      </w:r>
      <w:r w:rsidRPr="006903F7">
        <w:rPr>
          <w:szCs w:val="24"/>
        </w:rPr>
        <w:t xml:space="preserve"> </w:t>
      </w:r>
      <w:r>
        <w:rPr>
          <w:szCs w:val="24"/>
        </w:rPr>
        <w:t>N</w:t>
      </w:r>
      <w:r w:rsidRPr="006903F7">
        <w:rPr>
          <w:szCs w:val="24"/>
        </w:rPr>
        <w:t xml:space="preserve">ot </w:t>
      </w:r>
      <w:r>
        <w:rPr>
          <w:szCs w:val="24"/>
        </w:rPr>
        <w:t>C</w:t>
      </w:r>
      <w:r w:rsidRPr="006903F7">
        <w:rPr>
          <w:szCs w:val="24"/>
        </w:rPr>
        <w:t>onduct</w:t>
      </w:r>
      <w:r>
        <w:rPr>
          <w:szCs w:val="24"/>
        </w:rPr>
        <w:t>ing</w:t>
      </w:r>
      <w:r w:rsidRPr="006903F7">
        <w:rPr>
          <w:szCs w:val="24"/>
        </w:rPr>
        <w:t xml:space="preserve"> </w:t>
      </w:r>
      <w:r w:rsidRPr="006903F7">
        <w:rPr>
          <w:szCs w:val="24"/>
        </w:rPr>
        <w:t xml:space="preserve">or </w:t>
      </w:r>
      <w:r>
        <w:rPr>
          <w:szCs w:val="24"/>
        </w:rPr>
        <w:t>L</w:t>
      </w:r>
      <w:r w:rsidRPr="006903F7">
        <w:rPr>
          <w:szCs w:val="24"/>
        </w:rPr>
        <w:t xml:space="preserve">ess </w:t>
      </w:r>
      <w:r>
        <w:rPr>
          <w:szCs w:val="24"/>
        </w:rPr>
        <w:t>F</w:t>
      </w:r>
      <w:r w:rsidRPr="006903F7">
        <w:rPr>
          <w:szCs w:val="24"/>
        </w:rPr>
        <w:t>requent</w:t>
      </w:r>
      <w:r>
        <w:rPr>
          <w:szCs w:val="24"/>
        </w:rPr>
        <w:t xml:space="preserve"> Collection of Information</w:t>
      </w:r>
    </w:p>
    <w:p w:rsidR="005E53D4" w:rsidRPr="006903F7" w14:paraId="7A50A92F" w14:textId="77777777">
      <w:pPr>
        <w:tabs>
          <w:tab w:val="left" w:pos="-1440"/>
        </w:tabs>
        <w:ind w:left="720" w:hanging="720"/>
        <w:rPr>
          <w:b/>
          <w:szCs w:val="24"/>
        </w:rPr>
      </w:pPr>
    </w:p>
    <w:p w:rsidR="005E53D4" w:rsidRPr="006903F7" w:rsidP="00436775" w14:paraId="0377663D" w14:textId="5A6445F7">
      <w:pPr>
        <w:tabs>
          <w:tab w:val="left" w:pos="-1440"/>
        </w:tabs>
        <w:ind w:left="1440"/>
        <w:rPr>
          <w:szCs w:val="24"/>
        </w:rPr>
      </w:pPr>
      <w:r>
        <w:rPr>
          <w:szCs w:val="24"/>
        </w:rPr>
        <w:t>Vessel o</w:t>
      </w:r>
      <w:r w:rsidRPr="006903F7">
        <w:rPr>
          <w:szCs w:val="24"/>
        </w:rPr>
        <w:t>perators are required to submit</w:t>
      </w:r>
      <w:r>
        <w:rPr>
          <w:szCs w:val="24"/>
        </w:rPr>
        <w:t xml:space="preserve"> their</w:t>
      </w:r>
      <w:r w:rsidRPr="006903F7">
        <w:rPr>
          <w:szCs w:val="24"/>
        </w:rPr>
        <w:t xml:space="preserve"> </w:t>
      </w:r>
      <w:r>
        <w:rPr>
          <w:szCs w:val="24"/>
        </w:rPr>
        <w:t>completed</w:t>
      </w:r>
      <w:r w:rsidR="00206FB5">
        <w:rPr>
          <w:szCs w:val="24"/>
        </w:rPr>
        <w:t xml:space="preserve"> form</w:t>
      </w:r>
      <w:r>
        <w:rPr>
          <w:szCs w:val="24"/>
        </w:rPr>
        <w:t xml:space="preserve"> MA-1025</w:t>
      </w:r>
      <w:r w:rsidRPr="006903F7">
        <w:rPr>
          <w:szCs w:val="24"/>
        </w:rPr>
        <w:t xml:space="preserve"> no</w:t>
      </w:r>
      <w:r>
        <w:rPr>
          <w:szCs w:val="24"/>
        </w:rPr>
        <w:t xml:space="preserve"> </w:t>
      </w:r>
      <w:r w:rsidRPr="006903F7">
        <w:rPr>
          <w:szCs w:val="24"/>
        </w:rPr>
        <w:t xml:space="preserve">later than April 30 </w:t>
      </w:r>
      <w:r w:rsidR="000C77D3">
        <w:rPr>
          <w:szCs w:val="24"/>
        </w:rPr>
        <w:t>annually</w:t>
      </w:r>
      <w:r>
        <w:rPr>
          <w:szCs w:val="24"/>
        </w:rPr>
        <w:t>,</w:t>
      </w:r>
      <w:r w:rsidRPr="006903F7">
        <w:rPr>
          <w:szCs w:val="24"/>
        </w:rPr>
        <w:t xml:space="preserve"> or whenever they wish to have a new vessel participate in the cargo preference trades.  The information is updated </w:t>
      </w:r>
      <w:r>
        <w:rPr>
          <w:szCs w:val="24"/>
        </w:rPr>
        <w:t>at least</w:t>
      </w:r>
      <w:r w:rsidRPr="006903F7">
        <w:rPr>
          <w:szCs w:val="24"/>
        </w:rPr>
        <w:t xml:space="preserve"> once every </w:t>
      </w:r>
      <w:r w:rsidR="00206FB5">
        <w:rPr>
          <w:szCs w:val="24"/>
        </w:rPr>
        <w:t>twelve (</w:t>
      </w:r>
      <w:r w:rsidRPr="006903F7">
        <w:rPr>
          <w:szCs w:val="24"/>
        </w:rPr>
        <w:t>12</w:t>
      </w:r>
      <w:r w:rsidR="00206FB5">
        <w:rPr>
          <w:szCs w:val="24"/>
        </w:rPr>
        <w:t>)</w:t>
      </w:r>
      <w:r w:rsidRPr="006903F7">
        <w:rPr>
          <w:szCs w:val="24"/>
        </w:rPr>
        <w:t xml:space="preserve"> months. </w:t>
      </w:r>
      <w:r>
        <w:rPr>
          <w:szCs w:val="24"/>
        </w:rPr>
        <w:t xml:space="preserve"> D</w:t>
      </w:r>
      <w:r w:rsidRPr="006903F7">
        <w:rPr>
          <w:szCs w:val="24"/>
        </w:rPr>
        <w:t xml:space="preserve">ata </w:t>
      </w:r>
      <w:r>
        <w:rPr>
          <w:szCs w:val="24"/>
        </w:rPr>
        <w:t>must</w:t>
      </w:r>
      <w:r w:rsidRPr="006903F7">
        <w:rPr>
          <w:szCs w:val="24"/>
        </w:rPr>
        <w:t xml:space="preserve"> be submitted for each vessel participating in the cargo preference trades.</w:t>
      </w:r>
      <w:r w:rsidR="00206FB5">
        <w:rPr>
          <w:szCs w:val="24"/>
        </w:rPr>
        <w:t xml:space="preserve">  </w:t>
      </w:r>
      <w:r>
        <w:rPr>
          <w:szCs w:val="24"/>
        </w:rPr>
        <w:t>Vessel o</w:t>
      </w:r>
      <w:r w:rsidRPr="006903F7">
        <w:rPr>
          <w:szCs w:val="24"/>
        </w:rPr>
        <w:t xml:space="preserve">perators are asked to verify the data on an annual basis.  If </w:t>
      </w:r>
      <w:r>
        <w:rPr>
          <w:szCs w:val="24"/>
        </w:rPr>
        <w:t>there is no change in previously submitted data (</w:t>
      </w:r>
      <w:r w:rsidRPr="006903F7">
        <w:rPr>
          <w:szCs w:val="24"/>
        </w:rPr>
        <w:t>i.e., vessel characteristics or capital costs</w:t>
      </w:r>
      <w:r>
        <w:rPr>
          <w:szCs w:val="24"/>
        </w:rPr>
        <w:t>, etc.)</w:t>
      </w:r>
      <w:r w:rsidRPr="006903F7">
        <w:rPr>
          <w:szCs w:val="24"/>
        </w:rPr>
        <w:t>, the operator only needs to sign the form.  Since the data involves fluctuating costs, less frequent collection would lead to inaccuracies.</w:t>
      </w:r>
    </w:p>
    <w:p w:rsidR="002E600E" w:rsidRPr="006903F7" w:rsidP="00436775" w14:paraId="1699F6DF" w14:textId="77777777">
      <w:pPr>
        <w:tabs>
          <w:tab w:val="left" w:pos="-1440"/>
        </w:tabs>
        <w:ind w:left="1440" w:hanging="720"/>
        <w:rPr>
          <w:szCs w:val="24"/>
        </w:rPr>
      </w:pPr>
    </w:p>
    <w:p w:rsidR="005E53D4" w:rsidRPr="006903F7" w:rsidP="00436775" w14:paraId="2BA09225" w14:textId="6DAFD1AB">
      <w:pPr>
        <w:tabs>
          <w:tab w:val="left" w:pos="-1440"/>
        </w:tabs>
        <w:ind w:left="1440" w:hanging="720"/>
        <w:rPr>
          <w:szCs w:val="24"/>
        </w:rPr>
      </w:pPr>
      <w:r w:rsidRPr="006903F7">
        <w:rPr>
          <w:szCs w:val="24"/>
        </w:rPr>
        <w:tab/>
        <w:t>This information</w:t>
      </w:r>
      <w:r w:rsidR="00397595">
        <w:rPr>
          <w:szCs w:val="24"/>
        </w:rPr>
        <w:t xml:space="preserve"> collection</w:t>
      </w:r>
      <w:r w:rsidRPr="006903F7">
        <w:rPr>
          <w:szCs w:val="24"/>
        </w:rPr>
        <w:t xml:space="preserve"> is used to determine the average daily operating</w:t>
      </w:r>
      <w:r w:rsidR="00397595">
        <w:rPr>
          <w:szCs w:val="24"/>
        </w:rPr>
        <w:t xml:space="preserve"> and capital</w:t>
      </w:r>
      <w:r w:rsidRPr="006903F7">
        <w:rPr>
          <w:szCs w:val="24"/>
        </w:rPr>
        <w:t xml:space="preserve"> costs, average daily capital costs</w:t>
      </w:r>
      <w:r w:rsidR="00397595">
        <w:rPr>
          <w:szCs w:val="24"/>
        </w:rPr>
        <w:t xml:space="preserve">, as well as the </w:t>
      </w:r>
      <w:r w:rsidRPr="006903F7">
        <w:rPr>
          <w:szCs w:val="24"/>
        </w:rPr>
        <w:t>average vessel speed</w:t>
      </w:r>
      <w:r w:rsidRPr="006903F7" w:rsidR="00D039F5">
        <w:rPr>
          <w:szCs w:val="24"/>
        </w:rPr>
        <w:t xml:space="preserve"> and fuel consumption</w:t>
      </w:r>
      <w:r w:rsidRPr="006903F7">
        <w:rPr>
          <w:szCs w:val="24"/>
        </w:rPr>
        <w:t xml:space="preserve"> for each of our four categories.  </w:t>
      </w:r>
      <w:r w:rsidR="00397595">
        <w:rPr>
          <w:szCs w:val="24"/>
        </w:rPr>
        <w:t>Collected data helps</w:t>
      </w:r>
      <w:r w:rsidRPr="006903F7">
        <w:rPr>
          <w:szCs w:val="24"/>
        </w:rPr>
        <w:t xml:space="preserve"> to determine fair and reasonable guideline rates. </w:t>
      </w:r>
    </w:p>
    <w:p w:rsidR="005E53D4" w:rsidRPr="006903F7" w:rsidP="00436775" w14:paraId="4A1353B5" w14:textId="77777777">
      <w:pPr>
        <w:tabs>
          <w:tab w:val="left" w:pos="-1440"/>
        </w:tabs>
        <w:ind w:left="1440" w:hanging="720"/>
        <w:rPr>
          <w:szCs w:val="24"/>
        </w:rPr>
      </w:pPr>
    </w:p>
    <w:p w:rsidR="005E53D4" w:rsidP="00436775" w14:paraId="627F1E6B" w14:textId="52E34304">
      <w:pPr>
        <w:tabs>
          <w:tab w:val="left" w:pos="-1440"/>
        </w:tabs>
        <w:ind w:left="1440" w:hanging="720"/>
        <w:rPr>
          <w:szCs w:val="24"/>
        </w:rPr>
      </w:pPr>
      <w:r w:rsidRPr="006903F7">
        <w:rPr>
          <w:szCs w:val="24"/>
        </w:rPr>
        <w:tab/>
      </w:r>
      <w:r w:rsidR="00397595">
        <w:rPr>
          <w:szCs w:val="24"/>
        </w:rPr>
        <w:t>Form MA-1026</w:t>
      </w:r>
      <w:r w:rsidRPr="006903F7">
        <w:rPr>
          <w:szCs w:val="24"/>
        </w:rPr>
        <w:t xml:space="preserve"> </w:t>
      </w:r>
      <w:r w:rsidR="00206FB5">
        <w:rPr>
          <w:szCs w:val="24"/>
        </w:rPr>
        <w:t xml:space="preserve">is </w:t>
      </w:r>
      <w:r w:rsidRPr="006903F7">
        <w:rPr>
          <w:szCs w:val="24"/>
        </w:rPr>
        <w:t xml:space="preserve">required to be filed </w:t>
      </w:r>
      <w:r w:rsidR="00206FB5">
        <w:rPr>
          <w:szCs w:val="24"/>
        </w:rPr>
        <w:t>between</w:t>
      </w:r>
      <w:r w:rsidRPr="006903F7">
        <w:rPr>
          <w:szCs w:val="24"/>
        </w:rPr>
        <w:t xml:space="preserve"> January 1 and July 1 of each year for voyages that were completed within the past </w:t>
      </w:r>
      <w:r w:rsidR="00206FB5">
        <w:rPr>
          <w:szCs w:val="24"/>
        </w:rPr>
        <w:t>twelve (</w:t>
      </w:r>
      <w:r w:rsidRPr="006903F7">
        <w:rPr>
          <w:szCs w:val="24"/>
        </w:rPr>
        <w:t>12</w:t>
      </w:r>
      <w:r w:rsidR="00206FB5">
        <w:rPr>
          <w:szCs w:val="24"/>
        </w:rPr>
        <w:t>)</w:t>
      </w:r>
      <w:r w:rsidRPr="006903F7">
        <w:rPr>
          <w:szCs w:val="24"/>
        </w:rPr>
        <w:t xml:space="preserve"> months.  The data is analyzed twice a </w:t>
      </w:r>
      <w:r w:rsidRPr="006903F7" w:rsidR="00206FB5">
        <w:rPr>
          <w:szCs w:val="24"/>
        </w:rPr>
        <w:t>year,</w:t>
      </w:r>
      <w:r w:rsidRPr="006903F7">
        <w:rPr>
          <w:szCs w:val="24"/>
        </w:rPr>
        <w:t xml:space="preserve"> and the reported costs are used to determine the load port costs, load port stevedoring costs, discharging costs and canal transits for voyages to and from specific regions.  </w:t>
      </w:r>
    </w:p>
    <w:p w:rsidR="008B0B61" w:rsidP="00436775" w14:paraId="483A12BB" w14:textId="77777777">
      <w:pPr>
        <w:tabs>
          <w:tab w:val="left" w:pos="-1440"/>
        </w:tabs>
        <w:ind w:left="1440" w:hanging="720"/>
        <w:rPr>
          <w:szCs w:val="24"/>
        </w:rPr>
      </w:pPr>
    </w:p>
    <w:p w:rsidR="008B0B61" w14:paraId="0C44CB03" w14:textId="77777777">
      <w:pPr>
        <w:tabs>
          <w:tab w:val="left" w:pos="-1440"/>
        </w:tabs>
        <w:ind w:left="720" w:hanging="720"/>
        <w:rPr>
          <w:szCs w:val="24"/>
        </w:rPr>
      </w:pPr>
    </w:p>
    <w:p w:rsidR="008B0B61" w14:paraId="43477F29" w14:textId="77777777">
      <w:pPr>
        <w:tabs>
          <w:tab w:val="left" w:pos="-1440"/>
        </w:tabs>
        <w:ind w:left="720" w:hanging="720"/>
        <w:rPr>
          <w:szCs w:val="24"/>
        </w:rPr>
      </w:pPr>
    </w:p>
    <w:p w:rsidR="008B0B61" w14:paraId="1CBD9C99" w14:textId="77777777">
      <w:pPr>
        <w:tabs>
          <w:tab w:val="left" w:pos="-1440"/>
        </w:tabs>
        <w:ind w:left="720" w:hanging="720"/>
        <w:rPr>
          <w:szCs w:val="24"/>
        </w:rPr>
      </w:pPr>
    </w:p>
    <w:p w:rsidR="005E53D4" w:rsidRPr="006903F7" w14:paraId="41BEDCA4" w14:textId="77777777">
      <w:pPr>
        <w:tabs>
          <w:tab w:val="left" w:pos="-1440"/>
        </w:tabs>
        <w:ind w:left="720" w:hanging="720"/>
        <w:rPr>
          <w:szCs w:val="24"/>
        </w:rPr>
      </w:pPr>
    </w:p>
    <w:p w:rsidR="005E53D4" w:rsidP="008E7BC0" w14:paraId="52235D63" w14:textId="33ECC8FA">
      <w:pPr>
        <w:pStyle w:val="BodyTextIndent"/>
        <w:numPr>
          <w:ilvl w:val="0"/>
          <w:numId w:val="20"/>
        </w:numPr>
        <w:rPr>
          <w:szCs w:val="24"/>
        </w:rPr>
      </w:pPr>
      <w:r>
        <w:rPr>
          <w:szCs w:val="24"/>
        </w:rPr>
        <w:t>S</w:t>
      </w:r>
      <w:r w:rsidRPr="006903F7">
        <w:rPr>
          <w:szCs w:val="24"/>
        </w:rPr>
        <w:t xml:space="preserve">pecial </w:t>
      </w:r>
      <w:r>
        <w:rPr>
          <w:szCs w:val="24"/>
        </w:rPr>
        <w:t>C</w:t>
      </w:r>
      <w:r w:rsidRPr="006903F7">
        <w:rPr>
          <w:szCs w:val="24"/>
        </w:rPr>
        <w:t xml:space="preserve">ircumstances </w:t>
      </w:r>
      <w:r>
        <w:rPr>
          <w:szCs w:val="24"/>
        </w:rPr>
        <w:t>Relating to the Guidelines 5 CFR 1320.5</w:t>
      </w:r>
    </w:p>
    <w:p w:rsidR="008E7BC0" w:rsidP="008E7BC0" w14:paraId="47B169EC" w14:textId="77777777">
      <w:pPr>
        <w:pStyle w:val="BodyTextIndent"/>
        <w:ind w:left="1440" w:firstLine="0"/>
        <w:rPr>
          <w:szCs w:val="24"/>
        </w:rPr>
      </w:pPr>
    </w:p>
    <w:p w:rsidR="008E7BC0" w:rsidRPr="00436775" w:rsidP="00436775" w14:paraId="779BD021" w14:textId="64334723">
      <w:pPr>
        <w:pStyle w:val="BodyTextIndent"/>
        <w:ind w:left="1440"/>
        <w:rPr>
          <w:b w:val="0"/>
          <w:bCs/>
          <w:szCs w:val="24"/>
        </w:rPr>
      </w:pPr>
      <w:r>
        <w:rPr>
          <w:b w:val="0"/>
          <w:bCs/>
          <w:szCs w:val="24"/>
        </w:rPr>
        <w:tab/>
      </w:r>
      <w:r w:rsidRPr="00436775">
        <w:rPr>
          <w:b w:val="0"/>
          <w:bCs/>
          <w:szCs w:val="24"/>
        </w:rPr>
        <w:t xml:space="preserve">There are no special circumstances that require the collection of information to be conducted in a manner described </w:t>
      </w:r>
      <w:r>
        <w:rPr>
          <w:b w:val="0"/>
          <w:bCs/>
          <w:szCs w:val="24"/>
        </w:rPr>
        <w:t>below:</w:t>
      </w:r>
    </w:p>
    <w:p w:rsidR="005E53D4" w:rsidRPr="006903F7" w14:paraId="31C288B1" w14:textId="77777777">
      <w:pPr>
        <w:rPr>
          <w:szCs w:val="24"/>
        </w:rPr>
      </w:pPr>
    </w:p>
    <w:p w:rsidR="008E7BC0" w:rsidRPr="008E7BC0" w:rsidP="008E7BC0" w14:paraId="133FB6CC" w14:textId="77777777">
      <w:pPr>
        <w:numPr>
          <w:ilvl w:val="0"/>
          <w:numId w:val="22"/>
        </w:numPr>
        <w:rPr>
          <w:bCs/>
          <w:szCs w:val="24"/>
        </w:rPr>
      </w:pPr>
      <w:r w:rsidRPr="008E7BC0">
        <w:rPr>
          <w:bCs/>
          <w:szCs w:val="24"/>
        </w:rPr>
        <w:t>Requiring respondents to prepare a written response in fewer than 30 days after receipt of a collection instrument;</w:t>
      </w:r>
    </w:p>
    <w:p w:rsidR="008E7BC0" w:rsidRPr="008E7BC0" w:rsidP="008E7BC0" w14:paraId="0E5476FF" w14:textId="77777777">
      <w:pPr>
        <w:numPr>
          <w:ilvl w:val="0"/>
          <w:numId w:val="22"/>
        </w:numPr>
        <w:rPr>
          <w:bCs/>
          <w:szCs w:val="24"/>
        </w:rPr>
      </w:pPr>
      <w:r w:rsidRPr="008E7BC0">
        <w:rPr>
          <w:bCs/>
          <w:szCs w:val="24"/>
        </w:rPr>
        <w:t>Requiring respondents to submit more than one original copy of any document;</w:t>
      </w:r>
    </w:p>
    <w:p w:rsidR="008E7BC0" w:rsidRPr="008E7BC0" w:rsidP="008E7BC0" w14:paraId="5965C1AB" w14:textId="77777777">
      <w:pPr>
        <w:numPr>
          <w:ilvl w:val="0"/>
          <w:numId w:val="22"/>
        </w:numPr>
        <w:rPr>
          <w:bCs/>
          <w:szCs w:val="24"/>
        </w:rPr>
      </w:pPr>
      <w:r w:rsidRPr="008E7BC0">
        <w:rPr>
          <w:bCs/>
          <w:szCs w:val="24"/>
        </w:rPr>
        <w:t>Requiring respondents to retain records, other than health, medical, government contract, grant-in-aid, or tax records for more than three years;</w:t>
      </w:r>
    </w:p>
    <w:p w:rsidR="008E7BC0" w:rsidRPr="008E7BC0" w:rsidP="008E7BC0" w14:paraId="2FC39D55" w14:textId="77777777">
      <w:pPr>
        <w:numPr>
          <w:ilvl w:val="0"/>
          <w:numId w:val="22"/>
        </w:numPr>
        <w:rPr>
          <w:bCs/>
          <w:szCs w:val="24"/>
        </w:rPr>
      </w:pPr>
      <w:r w:rsidRPr="008E7BC0">
        <w:rPr>
          <w:bCs/>
          <w:szCs w:val="24"/>
        </w:rPr>
        <w:t>Requiring the use of any statistical data that is not designed to produce valid and reliable results that can be generalized to the universe of study;</w:t>
      </w:r>
    </w:p>
    <w:p w:rsidR="008E7BC0" w:rsidRPr="008E7BC0" w:rsidP="008E7BC0" w14:paraId="7E77820B" w14:textId="77777777">
      <w:pPr>
        <w:numPr>
          <w:ilvl w:val="0"/>
          <w:numId w:val="22"/>
        </w:numPr>
        <w:rPr>
          <w:bCs/>
          <w:szCs w:val="24"/>
        </w:rPr>
      </w:pPr>
      <w:r w:rsidRPr="008E7BC0">
        <w:rPr>
          <w:bCs/>
          <w:szCs w:val="24"/>
        </w:rPr>
        <w:t>Requiring the use of a statistical data classification that has not been reviewed and approved by OMB;</w:t>
      </w:r>
    </w:p>
    <w:p w:rsidR="008E7BC0" w:rsidRPr="008E7BC0" w:rsidP="008E7BC0" w14:paraId="49C4DABA" w14:textId="77777777">
      <w:pPr>
        <w:numPr>
          <w:ilvl w:val="0"/>
          <w:numId w:val="22"/>
        </w:numPr>
        <w:rPr>
          <w:bCs/>
          <w:szCs w:val="24"/>
        </w:rPr>
      </w:pPr>
      <w:r w:rsidRPr="008E7BC0">
        <w:rPr>
          <w:bCs/>
          <w:szCs w:val="24"/>
        </w:rPr>
        <w:t xml:space="preserve">Requiring any pledge of confidentiality; or </w:t>
      </w:r>
    </w:p>
    <w:p w:rsidR="008E7BC0" w:rsidRPr="008E7BC0" w:rsidP="008E7BC0" w14:paraId="2007FFCB" w14:textId="77777777">
      <w:pPr>
        <w:numPr>
          <w:ilvl w:val="0"/>
          <w:numId w:val="22"/>
        </w:numPr>
        <w:rPr>
          <w:bCs/>
          <w:szCs w:val="24"/>
        </w:rPr>
      </w:pPr>
      <w:r w:rsidRPr="008E7BC0">
        <w:rPr>
          <w:bCs/>
          <w:szCs w:val="24"/>
        </w:rPr>
        <w:t>Requiring respondents to submit any proprietary or trade secrets.</w:t>
      </w:r>
    </w:p>
    <w:p w:rsidR="00FA3149" w:rsidRPr="006903F7" w14:paraId="5183467B" w14:textId="77777777">
      <w:pPr>
        <w:ind w:left="720"/>
        <w:rPr>
          <w:szCs w:val="24"/>
        </w:rPr>
      </w:pPr>
    </w:p>
    <w:p w:rsidR="008E7BC0" w:rsidP="008E7BC0" w14:paraId="1149DBBB" w14:textId="023C4874">
      <w:pPr>
        <w:pStyle w:val="ListParagraph"/>
        <w:numPr>
          <w:ilvl w:val="0"/>
          <w:numId w:val="20"/>
        </w:numPr>
        <w:tabs>
          <w:tab w:val="left" w:pos="-1440"/>
        </w:tabs>
        <w:rPr>
          <w:b/>
          <w:szCs w:val="24"/>
        </w:rPr>
      </w:pPr>
      <w:r>
        <w:rPr>
          <w:b/>
          <w:szCs w:val="24"/>
        </w:rPr>
        <w:t>P</w:t>
      </w:r>
      <w:r w:rsidRPr="006903F7" w:rsidR="005E53D4">
        <w:rPr>
          <w:b/>
          <w:szCs w:val="24"/>
        </w:rPr>
        <w:t xml:space="preserve">ublic </w:t>
      </w:r>
      <w:r>
        <w:rPr>
          <w:b/>
          <w:szCs w:val="24"/>
        </w:rPr>
        <w:t>C</w:t>
      </w:r>
      <w:r w:rsidRPr="006903F7">
        <w:rPr>
          <w:b/>
          <w:szCs w:val="24"/>
        </w:rPr>
        <w:t xml:space="preserve">omments </w:t>
      </w:r>
      <w:r w:rsidRPr="006903F7" w:rsidR="005E53D4">
        <w:rPr>
          <w:b/>
          <w:szCs w:val="24"/>
        </w:rPr>
        <w:t xml:space="preserve">in </w:t>
      </w:r>
      <w:r>
        <w:rPr>
          <w:b/>
          <w:szCs w:val="24"/>
        </w:rPr>
        <w:t>R</w:t>
      </w:r>
      <w:r w:rsidRPr="006903F7">
        <w:rPr>
          <w:b/>
          <w:szCs w:val="24"/>
        </w:rPr>
        <w:t xml:space="preserve">esponse </w:t>
      </w:r>
      <w:r w:rsidRPr="006903F7" w:rsidR="005E53D4">
        <w:rPr>
          <w:b/>
          <w:szCs w:val="24"/>
        </w:rPr>
        <w:t xml:space="preserve">to </w:t>
      </w:r>
      <w:r>
        <w:rPr>
          <w:b/>
          <w:szCs w:val="24"/>
        </w:rPr>
        <w:t>the Federal Register N</w:t>
      </w:r>
      <w:r w:rsidRPr="006903F7" w:rsidR="005E53D4">
        <w:rPr>
          <w:b/>
          <w:szCs w:val="24"/>
        </w:rPr>
        <w:t xml:space="preserve">otice and </w:t>
      </w:r>
      <w:r w:rsidRPr="00436775">
        <w:rPr>
          <w:b/>
          <w:szCs w:val="24"/>
        </w:rPr>
        <w:t>O</w:t>
      </w:r>
      <w:r w:rsidRPr="00436775" w:rsidR="005E53D4">
        <w:rPr>
          <w:b/>
          <w:szCs w:val="24"/>
        </w:rPr>
        <w:t xml:space="preserve">utside </w:t>
      </w:r>
      <w:r w:rsidRPr="00436775">
        <w:rPr>
          <w:b/>
          <w:szCs w:val="24"/>
        </w:rPr>
        <w:t xml:space="preserve">Consultation </w:t>
      </w:r>
    </w:p>
    <w:p w:rsidR="008E7BC0" w:rsidRPr="00E26758" w:rsidP="008E7BC0" w14:paraId="45849F3E" w14:textId="77777777">
      <w:pPr>
        <w:tabs>
          <w:tab w:val="left" w:pos="-1440"/>
        </w:tabs>
        <w:rPr>
          <w:b/>
          <w:szCs w:val="24"/>
        </w:rPr>
      </w:pPr>
    </w:p>
    <w:p w:rsidR="008E7BC0" w:rsidRPr="00E26758" w:rsidP="00436775" w14:paraId="42206137" w14:textId="78F4E469">
      <w:pPr>
        <w:widowControl/>
        <w:tabs>
          <w:tab w:val="left" w:pos="-1440"/>
          <w:tab w:val="left" w:pos="540"/>
        </w:tabs>
        <w:spacing w:after="160" w:line="259" w:lineRule="auto"/>
        <w:ind w:left="1440"/>
        <w:rPr>
          <w:rFonts w:eastAsia="Calibri"/>
          <w:szCs w:val="24"/>
        </w:rPr>
      </w:pPr>
      <w:r w:rsidRPr="00E26758">
        <w:rPr>
          <w:szCs w:val="24"/>
        </w:rPr>
        <w:t xml:space="preserve">MARAD published a </w:t>
      </w:r>
      <w:r w:rsidRPr="00E26758" w:rsidR="00786B41">
        <w:rPr>
          <w:szCs w:val="24"/>
        </w:rPr>
        <w:t>60</w:t>
      </w:r>
      <w:r w:rsidRPr="00E26758">
        <w:rPr>
          <w:szCs w:val="24"/>
        </w:rPr>
        <w:t>-day notice and request for comments on this information collection in the Federal Register (</w:t>
      </w:r>
      <w:r w:rsidRPr="00E26758" w:rsidR="00786B41">
        <w:rPr>
          <w:szCs w:val="24"/>
        </w:rPr>
        <w:t>FR 54860, Vol. 90, No 227</w:t>
      </w:r>
      <w:r w:rsidRPr="00E26758">
        <w:rPr>
          <w:szCs w:val="24"/>
        </w:rPr>
        <w:t xml:space="preserve">) on </w:t>
      </w:r>
      <w:r w:rsidRPr="00E26758" w:rsidR="00786B41">
        <w:rPr>
          <w:szCs w:val="24"/>
        </w:rPr>
        <w:t>November 28, 2025</w:t>
      </w:r>
      <w:r w:rsidRPr="00E26758">
        <w:rPr>
          <w:szCs w:val="24"/>
        </w:rPr>
        <w:t>, indicating comments should be submitted on or before</w:t>
      </w:r>
      <w:r w:rsidRPr="00E26758" w:rsidR="00786B41">
        <w:rPr>
          <w:szCs w:val="24"/>
        </w:rPr>
        <w:t xml:space="preserve"> January 27, 2026</w:t>
      </w:r>
      <w:r w:rsidRPr="00E26758">
        <w:rPr>
          <w:rFonts w:eastAsia="Calibri"/>
          <w:szCs w:val="24"/>
        </w:rPr>
        <w:t>.</w:t>
      </w:r>
      <w:r w:rsidR="00280802">
        <w:rPr>
          <w:rFonts w:eastAsia="Calibri"/>
          <w:szCs w:val="24"/>
        </w:rPr>
        <w:t xml:space="preserve"> No comments were received.  A 30-day notice will now be published to solicit comments.</w:t>
      </w:r>
    </w:p>
    <w:p w:rsidR="005E53D4" w:rsidRPr="006903F7" w:rsidP="001728AB" w14:paraId="12893699" w14:textId="00350575">
      <w:pPr>
        <w:pStyle w:val="pf0"/>
        <w:ind w:left="1440"/>
      </w:pPr>
      <w:r w:rsidRPr="001728AB">
        <w:rPr>
          <w:bCs/>
        </w:rPr>
        <w:t xml:space="preserve">MARAD </w:t>
      </w:r>
      <w:r w:rsidRPr="001728AB" w:rsidR="001728AB">
        <w:rPr>
          <w:bCs/>
        </w:rPr>
        <w:t xml:space="preserve">also </w:t>
      </w:r>
      <w:r w:rsidRPr="001728AB">
        <w:rPr>
          <w:bCs/>
        </w:rPr>
        <w:t>consulted with</w:t>
      </w:r>
      <w:r w:rsidR="003E6367">
        <w:rPr>
          <w:bCs/>
        </w:rPr>
        <w:t xml:space="preserve"> </w:t>
      </w:r>
      <w:r w:rsidRPr="003E6367" w:rsidR="003E6367">
        <w:rPr>
          <w:rStyle w:val="cf01"/>
          <w:rFonts w:ascii="Times New Roman" w:hAnsi="Times New Roman" w:cs="Times New Roman"/>
          <w:sz w:val="24"/>
          <w:szCs w:val="24"/>
        </w:rPr>
        <w:t xml:space="preserve">shipping agencies </w:t>
      </w:r>
      <w:r w:rsidR="001728AB">
        <w:rPr>
          <w:rStyle w:val="cf01"/>
          <w:rFonts w:ascii="Times New Roman" w:hAnsi="Times New Roman" w:cs="Times New Roman"/>
          <w:sz w:val="24"/>
          <w:szCs w:val="24"/>
        </w:rPr>
        <w:t xml:space="preserve">focused </w:t>
      </w:r>
      <w:r w:rsidRPr="003E6367" w:rsidR="003E6367">
        <w:rPr>
          <w:rStyle w:val="cf01"/>
          <w:rFonts w:ascii="Times New Roman" w:hAnsi="Times New Roman" w:cs="Times New Roman"/>
          <w:sz w:val="24"/>
          <w:szCs w:val="24"/>
        </w:rPr>
        <w:t>on</w:t>
      </w:r>
      <w:r w:rsidR="001728AB">
        <w:rPr>
          <w:rStyle w:val="cf01"/>
          <w:rFonts w:ascii="Times New Roman" w:hAnsi="Times New Roman" w:cs="Times New Roman"/>
          <w:sz w:val="24"/>
          <w:szCs w:val="24"/>
        </w:rPr>
        <w:t xml:space="preserve"> enhancing</w:t>
      </w:r>
      <w:r w:rsidRPr="003E6367" w:rsidR="003E6367">
        <w:rPr>
          <w:rStyle w:val="cf01"/>
          <w:rFonts w:ascii="Times New Roman" w:hAnsi="Times New Roman" w:cs="Times New Roman"/>
          <w:sz w:val="24"/>
          <w:szCs w:val="24"/>
        </w:rPr>
        <w:t xml:space="preserve"> foreign market differential and </w:t>
      </w:r>
      <w:r w:rsidR="001728AB">
        <w:rPr>
          <w:rStyle w:val="cf01"/>
          <w:rFonts w:ascii="Times New Roman" w:hAnsi="Times New Roman" w:cs="Times New Roman"/>
          <w:sz w:val="24"/>
          <w:szCs w:val="24"/>
        </w:rPr>
        <w:t xml:space="preserve">improving </w:t>
      </w:r>
      <w:r w:rsidRPr="003E6367" w:rsidR="003E6367">
        <w:rPr>
          <w:rStyle w:val="cf01"/>
          <w:rFonts w:ascii="Times New Roman" w:hAnsi="Times New Roman" w:cs="Times New Roman"/>
          <w:sz w:val="24"/>
          <w:szCs w:val="24"/>
        </w:rPr>
        <w:t>cost averaging methodologies</w:t>
      </w:r>
      <w:r w:rsidR="001728AB">
        <w:rPr>
          <w:rStyle w:val="cf01"/>
          <w:rFonts w:ascii="Times New Roman" w:hAnsi="Times New Roman" w:cs="Times New Roman"/>
          <w:sz w:val="24"/>
          <w:szCs w:val="24"/>
        </w:rPr>
        <w:t xml:space="preserve"> when developing and maintaining this collection</w:t>
      </w:r>
      <w:r w:rsidRPr="003E6367" w:rsidR="003E6367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Pr="006903F7" w:rsidR="000E6A0A">
        <w:t xml:space="preserve"> </w:t>
      </w:r>
    </w:p>
    <w:p w:rsidR="005E53D4" w:rsidRPr="00436775" w:rsidP="00436775" w14:paraId="350057C9" w14:textId="729AFF48">
      <w:pPr>
        <w:pStyle w:val="ListParagraph"/>
        <w:numPr>
          <w:ilvl w:val="0"/>
          <w:numId w:val="20"/>
        </w:numPr>
        <w:tabs>
          <w:tab w:val="left" w:pos="-1440"/>
        </w:tabs>
        <w:rPr>
          <w:b/>
          <w:szCs w:val="24"/>
        </w:rPr>
      </w:pPr>
      <w:r w:rsidRPr="00436775">
        <w:rPr>
          <w:b/>
          <w:szCs w:val="24"/>
        </w:rPr>
        <w:t>Expla</w:t>
      </w:r>
      <w:r w:rsidRPr="00436775" w:rsidR="00776C63">
        <w:rPr>
          <w:b/>
          <w:szCs w:val="24"/>
        </w:rPr>
        <w:t>nation of A</w:t>
      </w:r>
      <w:r w:rsidRPr="00436775">
        <w:rPr>
          <w:b/>
          <w:szCs w:val="24"/>
        </w:rPr>
        <w:t xml:space="preserve">ny </w:t>
      </w:r>
      <w:r w:rsidRPr="00436775" w:rsidR="00776C63">
        <w:rPr>
          <w:b/>
          <w:szCs w:val="24"/>
        </w:rPr>
        <w:t xml:space="preserve">Payments </w:t>
      </w:r>
      <w:r w:rsidRPr="00436775">
        <w:rPr>
          <w:b/>
          <w:szCs w:val="24"/>
        </w:rPr>
        <w:t xml:space="preserve">or </w:t>
      </w:r>
      <w:r w:rsidRPr="00436775" w:rsidR="00776C63">
        <w:rPr>
          <w:b/>
          <w:szCs w:val="24"/>
        </w:rPr>
        <w:t xml:space="preserve">Gifts </w:t>
      </w:r>
      <w:r w:rsidRPr="00436775">
        <w:rPr>
          <w:b/>
          <w:szCs w:val="24"/>
        </w:rPr>
        <w:t xml:space="preserve">to </w:t>
      </w:r>
      <w:r w:rsidRPr="00436775" w:rsidR="00776C63">
        <w:rPr>
          <w:b/>
          <w:szCs w:val="24"/>
        </w:rPr>
        <w:t>Respondents</w:t>
      </w:r>
    </w:p>
    <w:p w:rsidR="005E53D4" w:rsidRPr="006903F7" w14:paraId="69348971" w14:textId="77777777">
      <w:pPr>
        <w:rPr>
          <w:b/>
          <w:szCs w:val="24"/>
        </w:rPr>
      </w:pPr>
    </w:p>
    <w:p w:rsidR="005E53D4" w:rsidRPr="006903F7" w:rsidP="00436775" w14:paraId="1F89A293" w14:textId="77777777">
      <w:pPr>
        <w:ind w:left="720"/>
        <w:rPr>
          <w:szCs w:val="24"/>
        </w:rPr>
      </w:pPr>
      <w:r w:rsidRPr="006903F7">
        <w:rPr>
          <w:szCs w:val="24"/>
        </w:rPr>
        <w:tab/>
        <w:t>No payments or gifts are provided to respondents.</w:t>
      </w:r>
      <w:r w:rsidRPr="006903F7">
        <w:rPr>
          <w:szCs w:val="24"/>
        </w:rPr>
        <w:tab/>
      </w:r>
    </w:p>
    <w:p w:rsidR="005E53D4" w:rsidRPr="006903F7" w14:paraId="7E2E91CD" w14:textId="77777777">
      <w:pPr>
        <w:rPr>
          <w:b/>
          <w:szCs w:val="24"/>
        </w:rPr>
      </w:pPr>
    </w:p>
    <w:p w:rsidR="00776C63" w:rsidRPr="006903F7" w:rsidP="00436775" w14:paraId="31D33F72" w14:textId="2B7C5E72">
      <w:pPr>
        <w:pStyle w:val="ListParagraph"/>
        <w:numPr>
          <w:ilvl w:val="0"/>
          <w:numId w:val="20"/>
        </w:numPr>
      </w:pPr>
      <w:r w:rsidRPr="00436775">
        <w:rPr>
          <w:b/>
          <w:szCs w:val="24"/>
        </w:rPr>
        <w:t>A</w:t>
      </w:r>
      <w:r w:rsidRPr="00436775" w:rsidR="005E53D4">
        <w:rPr>
          <w:b/>
          <w:szCs w:val="24"/>
        </w:rPr>
        <w:t xml:space="preserve">ssurance of </w:t>
      </w:r>
      <w:r w:rsidRPr="00436775">
        <w:rPr>
          <w:b/>
          <w:szCs w:val="24"/>
        </w:rPr>
        <w:t xml:space="preserve">Confidentiality </w:t>
      </w:r>
      <w:r w:rsidRPr="00436775" w:rsidR="005E53D4">
        <w:rPr>
          <w:b/>
          <w:szCs w:val="24"/>
        </w:rPr>
        <w:t>and</w:t>
      </w:r>
      <w:r w:rsidRPr="00436775">
        <w:rPr>
          <w:b/>
          <w:szCs w:val="24"/>
        </w:rPr>
        <w:t xml:space="preserve"> Protection of Privacy</w:t>
      </w:r>
      <w:r w:rsidRPr="00436775" w:rsidR="005E53D4">
        <w:rPr>
          <w:b/>
          <w:szCs w:val="24"/>
        </w:rPr>
        <w:t xml:space="preserve"> </w:t>
      </w:r>
    </w:p>
    <w:p w:rsidR="005E53D4" w:rsidRPr="00776C63" w:rsidP="00436775" w14:paraId="1BE99918" w14:textId="77777777">
      <w:pPr>
        <w:tabs>
          <w:tab w:val="left" w:pos="-1440"/>
        </w:tabs>
        <w:rPr>
          <w:b/>
          <w:szCs w:val="24"/>
        </w:rPr>
      </w:pPr>
    </w:p>
    <w:p w:rsidR="005E53D4" w:rsidRPr="006903F7" w:rsidP="00436775" w14:paraId="6BA2F38D" w14:textId="77777777">
      <w:pPr>
        <w:ind w:left="1440"/>
        <w:rPr>
          <w:szCs w:val="24"/>
        </w:rPr>
      </w:pPr>
      <w:r w:rsidRPr="006903F7">
        <w:rPr>
          <w:szCs w:val="24"/>
        </w:rPr>
        <w:t>Pursuant to the Freedom of Information Act, data submissions are considered confidential; commercial or financial information is not to be disclosed to the public (5 U.S.C. 552(b)(4).  A provision is included in the regulation under which data is held in confidence.</w:t>
      </w:r>
    </w:p>
    <w:p w:rsidR="005E53D4" w:rsidRPr="006903F7" w14:paraId="65664D26" w14:textId="77777777">
      <w:pPr>
        <w:ind w:left="720"/>
        <w:rPr>
          <w:b/>
          <w:szCs w:val="24"/>
        </w:rPr>
      </w:pPr>
    </w:p>
    <w:p w:rsidR="00776C63" w:rsidRPr="006903F7" w:rsidP="00436775" w14:paraId="4A3E940F" w14:textId="5C71C889">
      <w:pPr>
        <w:pStyle w:val="ListParagraph"/>
        <w:numPr>
          <w:ilvl w:val="0"/>
          <w:numId w:val="20"/>
        </w:numPr>
        <w:tabs>
          <w:tab w:val="left" w:pos="-1440"/>
        </w:tabs>
        <w:rPr>
          <w:b/>
          <w:szCs w:val="24"/>
        </w:rPr>
      </w:pPr>
      <w:r w:rsidRPr="00776C63">
        <w:rPr>
          <w:b/>
          <w:szCs w:val="24"/>
        </w:rPr>
        <w:t>J</w:t>
      </w:r>
      <w:r w:rsidRPr="00776C63" w:rsidR="005E53D4">
        <w:rPr>
          <w:b/>
          <w:szCs w:val="24"/>
        </w:rPr>
        <w:t xml:space="preserve">ustification for </w:t>
      </w:r>
      <w:r w:rsidRPr="00776C63">
        <w:rPr>
          <w:b/>
          <w:szCs w:val="24"/>
        </w:rPr>
        <w:t>S</w:t>
      </w:r>
      <w:r w:rsidRPr="00776C63" w:rsidR="005E53D4">
        <w:rPr>
          <w:b/>
          <w:szCs w:val="24"/>
        </w:rPr>
        <w:t xml:space="preserve">ensitive </w:t>
      </w:r>
      <w:r w:rsidRPr="00776C63">
        <w:rPr>
          <w:b/>
          <w:szCs w:val="24"/>
        </w:rPr>
        <w:t>Q</w:t>
      </w:r>
      <w:r w:rsidRPr="00776C63" w:rsidR="005E53D4">
        <w:rPr>
          <w:b/>
          <w:szCs w:val="24"/>
        </w:rPr>
        <w:t xml:space="preserve">uestions </w:t>
      </w:r>
    </w:p>
    <w:p w:rsidR="00274559" w:rsidRPr="00776C63" w:rsidP="00436775" w14:paraId="4C8C5320" w14:textId="77777777">
      <w:pPr>
        <w:pStyle w:val="ListParagraph"/>
        <w:tabs>
          <w:tab w:val="left" w:pos="-1440"/>
        </w:tabs>
        <w:ind w:left="1440"/>
        <w:rPr>
          <w:b/>
          <w:szCs w:val="24"/>
        </w:rPr>
      </w:pPr>
    </w:p>
    <w:p w:rsidR="005E53D4" w:rsidRPr="00E608E7" w14:paraId="3E5DCDD0" w14:textId="599BCBED">
      <w:pPr>
        <w:rPr>
          <w:szCs w:val="24"/>
        </w:rPr>
      </w:pPr>
      <w:r w:rsidRPr="006903F7">
        <w:rPr>
          <w:szCs w:val="24"/>
        </w:rPr>
        <w:tab/>
      </w:r>
      <w:r w:rsidR="00776C63">
        <w:rPr>
          <w:szCs w:val="24"/>
        </w:rPr>
        <w:tab/>
      </w:r>
      <w:r w:rsidRPr="00E608E7">
        <w:rPr>
          <w:szCs w:val="24"/>
        </w:rPr>
        <w:t>There are no questions of a sensitive nature.</w:t>
      </w:r>
    </w:p>
    <w:p w:rsidR="002E600E" w:rsidRPr="00E608E7" w14:paraId="2FAD8093" w14:textId="77777777">
      <w:pPr>
        <w:rPr>
          <w:szCs w:val="24"/>
        </w:rPr>
      </w:pPr>
    </w:p>
    <w:p w:rsidR="005E53D4" w:rsidP="00776C63" w14:paraId="2E2A6357" w14:textId="3C1AEFA4">
      <w:pPr>
        <w:pStyle w:val="ListParagraph"/>
        <w:numPr>
          <w:ilvl w:val="0"/>
          <w:numId w:val="20"/>
        </w:numPr>
        <w:tabs>
          <w:tab w:val="left" w:pos="-1440"/>
        </w:tabs>
        <w:rPr>
          <w:b/>
          <w:szCs w:val="24"/>
        </w:rPr>
      </w:pPr>
      <w:r w:rsidRPr="00436775">
        <w:rPr>
          <w:b/>
          <w:szCs w:val="24"/>
        </w:rPr>
        <w:t>E</w:t>
      </w:r>
      <w:r w:rsidRPr="00436775">
        <w:rPr>
          <w:b/>
          <w:szCs w:val="24"/>
        </w:rPr>
        <w:t xml:space="preserve">stimates of </w:t>
      </w:r>
      <w:r>
        <w:rPr>
          <w:b/>
          <w:szCs w:val="24"/>
        </w:rPr>
        <w:t xml:space="preserve">Annualized Burden  Hours and Cost </w:t>
      </w:r>
    </w:p>
    <w:p w:rsidR="00EB5871" w:rsidP="00EB5871" w14:paraId="25A1C2E2" w14:textId="77777777">
      <w:pPr>
        <w:tabs>
          <w:tab w:val="left" w:pos="-1440"/>
        </w:tabs>
        <w:rPr>
          <w:b/>
          <w:szCs w:val="24"/>
        </w:rPr>
      </w:pPr>
    </w:p>
    <w:p w:rsidR="00EB5871" w:rsidP="00EB5871" w14:paraId="52FD933B" w14:textId="079D4241">
      <w:pPr>
        <w:pStyle w:val="ListParagraph"/>
        <w:numPr>
          <w:ilvl w:val="0"/>
          <w:numId w:val="23"/>
        </w:numPr>
        <w:tabs>
          <w:tab w:val="left" w:pos="-1440"/>
        </w:tabs>
        <w:rPr>
          <w:b/>
          <w:szCs w:val="24"/>
        </w:rPr>
      </w:pPr>
      <w:r>
        <w:rPr>
          <w:b/>
          <w:szCs w:val="24"/>
        </w:rPr>
        <w:t xml:space="preserve">Estimated Annualized Burden Hours </w:t>
      </w:r>
    </w:p>
    <w:p w:rsidR="00EB5871" w:rsidP="00EB5871" w14:paraId="31CB254B" w14:textId="77777777">
      <w:pPr>
        <w:pStyle w:val="ListParagraph"/>
        <w:tabs>
          <w:tab w:val="left" w:pos="-1440"/>
        </w:tabs>
        <w:ind w:left="1440"/>
        <w:rPr>
          <w:b/>
          <w:szCs w:val="24"/>
        </w:rPr>
      </w:pPr>
    </w:p>
    <w:p w:rsidR="00691C72" w:rsidRPr="00585A5A" w:rsidP="00436775" w14:paraId="3D118848" w14:textId="7190A395">
      <w:pPr>
        <w:pStyle w:val="ListParagraph"/>
        <w:tabs>
          <w:tab w:val="left" w:pos="-1440"/>
        </w:tabs>
        <w:ind w:left="1440"/>
        <w:rPr>
          <w:bCs/>
          <w:szCs w:val="24"/>
        </w:rPr>
      </w:pPr>
      <w:r>
        <w:rPr>
          <w:bCs/>
          <w:szCs w:val="24"/>
        </w:rPr>
        <w:t xml:space="preserve">A total </w:t>
      </w:r>
      <w:r w:rsidR="007B07D7">
        <w:rPr>
          <w:bCs/>
          <w:szCs w:val="24"/>
        </w:rPr>
        <w:t>ten</w:t>
      </w:r>
      <w:r>
        <w:rPr>
          <w:bCs/>
          <w:szCs w:val="24"/>
        </w:rPr>
        <w:t xml:space="preserve"> </w:t>
      </w:r>
      <w:r w:rsidR="007B07D7">
        <w:rPr>
          <w:bCs/>
          <w:szCs w:val="24"/>
        </w:rPr>
        <w:t xml:space="preserve">(10) vessel operators will take one (1) hour to complete </w:t>
      </w:r>
      <w:r w:rsidR="00206FB5">
        <w:rPr>
          <w:bCs/>
          <w:szCs w:val="24"/>
        </w:rPr>
        <w:t>form</w:t>
      </w:r>
      <w:r w:rsidR="007B07D7">
        <w:rPr>
          <w:bCs/>
          <w:szCs w:val="24"/>
        </w:rPr>
        <w:t xml:space="preserve"> MA-1025 once annually for a total ten</w:t>
      </w:r>
      <w:r w:rsidR="00206FB5">
        <w:rPr>
          <w:bCs/>
          <w:szCs w:val="24"/>
        </w:rPr>
        <w:t xml:space="preserve"> (10)</w:t>
      </w:r>
      <w:r w:rsidR="007B07D7">
        <w:rPr>
          <w:bCs/>
          <w:szCs w:val="24"/>
        </w:rPr>
        <w:t xml:space="preserve"> hours.  A total ten </w:t>
      </w:r>
      <w:r w:rsidR="00CA644A">
        <w:rPr>
          <w:bCs/>
          <w:szCs w:val="24"/>
        </w:rPr>
        <w:t xml:space="preserve">(10) </w:t>
      </w:r>
      <w:r w:rsidR="007B07D7">
        <w:rPr>
          <w:bCs/>
          <w:szCs w:val="24"/>
        </w:rPr>
        <w:t xml:space="preserve">vessel operations will each take </w:t>
      </w:r>
      <w:r w:rsidR="00206FB5">
        <w:rPr>
          <w:bCs/>
          <w:szCs w:val="24"/>
        </w:rPr>
        <w:t>ten (</w:t>
      </w:r>
      <w:r w:rsidR="007B07D7">
        <w:rPr>
          <w:bCs/>
          <w:szCs w:val="24"/>
        </w:rPr>
        <w:t>10</w:t>
      </w:r>
      <w:r w:rsidR="00206FB5">
        <w:rPr>
          <w:bCs/>
          <w:szCs w:val="24"/>
        </w:rPr>
        <w:t>)</w:t>
      </w:r>
      <w:r w:rsidR="007B07D7">
        <w:rPr>
          <w:bCs/>
          <w:szCs w:val="24"/>
        </w:rPr>
        <w:t xml:space="preserve"> hours to </w:t>
      </w:r>
      <w:r w:rsidR="007B07D7">
        <w:rPr>
          <w:bCs/>
          <w:szCs w:val="24"/>
        </w:rPr>
        <w:t>complete the MA-172 once annually for a total</w:t>
      </w:r>
      <w:r w:rsidR="00206FB5">
        <w:rPr>
          <w:bCs/>
          <w:szCs w:val="24"/>
        </w:rPr>
        <w:t xml:space="preserve"> one hundred (</w:t>
      </w:r>
      <w:r w:rsidR="007B07D7">
        <w:rPr>
          <w:bCs/>
          <w:szCs w:val="24"/>
        </w:rPr>
        <w:t>100</w:t>
      </w:r>
      <w:r w:rsidR="00206FB5">
        <w:rPr>
          <w:bCs/>
          <w:szCs w:val="24"/>
        </w:rPr>
        <w:t>)</w:t>
      </w:r>
      <w:r w:rsidR="007B07D7">
        <w:rPr>
          <w:bCs/>
          <w:szCs w:val="24"/>
        </w:rPr>
        <w:t xml:space="preserve"> </w:t>
      </w:r>
      <w:r w:rsidR="00957D5A">
        <w:rPr>
          <w:bCs/>
          <w:szCs w:val="24"/>
        </w:rPr>
        <w:t>hours</w:t>
      </w:r>
      <w:r w:rsidR="007B07D7">
        <w:rPr>
          <w:bCs/>
          <w:szCs w:val="24"/>
        </w:rPr>
        <w:t xml:space="preserve">. </w:t>
      </w:r>
      <w:r w:rsidR="00CA644A">
        <w:rPr>
          <w:bCs/>
          <w:szCs w:val="24"/>
        </w:rPr>
        <w:t xml:space="preserve"> </w:t>
      </w:r>
      <w:r w:rsidR="007B07D7">
        <w:rPr>
          <w:bCs/>
          <w:szCs w:val="24"/>
        </w:rPr>
        <w:t>Additional</w:t>
      </w:r>
      <w:r w:rsidR="00592166">
        <w:rPr>
          <w:bCs/>
          <w:szCs w:val="24"/>
        </w:rPr>
        <w:t>ly</w:t>
      </w:r>
      <w:r w:rsidR="007B07D7">
        <w:rPr>
          <w:bCs/>
          <w:szCs w:val="24"/>
        </w:rPr>
        <w:t>, two (2) vessel own</w:t>
      </w:r>
      <w:r w:rsidR="00206FB5">
        <w:rPr>
          <w:bCs/>
          <w:szCs w:val="24"/>
        </w:rPr>
        <w:t>ers</w:t>
      </w:r>
      <w:r w:rsidR="007B07D7">
        <w:rPr>
          <w:bCs/>
          <w:szCs w:val="24"/>
        </w:rPr>
        <w:t xml:space="preserve"> will take four</w:t>
      </w:r>
      <w:r w:rsidR="00206FB5">
        <w:rPr>
          <w:bCs/>
          <w:szCs w:val="24"/>
        </w:rPr>
        <w:t xml:space="preserve"> (4)</w:t>
      </w:r>
      <w:r w:rsidR="007B07D7">
        <w:rPr>
          <w:bCs/>
          <w:szCs w:val="24"/>
        </w:rPr>
        <w:t xml:space="preserve"> hours to complete form MA-1026 three</w:t>
      </w:r>
      <w:r w:rsidR="00206FB5">
        <w:rPr>
          <w:bCs/>
          <w:szCs w:val="24"/>
        </w:rPr>
        <w:t xml:space="preserve"> (3)</w:t>
      </w:r>
      <w:r w:rsidR="007B07D7">
        <w:rPr>
          <w:bCs/>
          <w:szCs w:val="24"/>
        </w:rPr>
        <w:t xml:space="preserve"> times annually for a total </w:t>
      </w:r>
      <w:r w:rsidR="00957D5A">
        <w:rPr>
          <w:bCs/>
          <w:szCs w:val="24"/>
        </w:rPr>
        <w:t>24</w:t>
      </w:r>
      <w:r w:rsidR="007B07D7">
        <w:rPr>
          <w:bCs/>
          <w:szCs w:val="24"/>
        </w:rPr>
        <w:t xml:space="preserve"> hours. </w:t>
      </w:r>
      <w:r w:rsidR="00957D5A">
        <w:rPr>
          <w:bCs/>
          <w:szCs w:val="24"/>
        </w:rPr>
        <w:t>There</w:t>
      </w:r>
      <w:r w:rsidR="000C77D3">
        <w:rPr>
          <w:bCs/>
          <w:szCs w:val="24"/>
        </w:rPr>
        <w:t xml:space="preserve">fore, the total combined </w:t>
      </w:r>
      <w:r w:rsidR="00CA644A">
        <w:rPr>
          <w:bCs/>
          <w:szCs w:val="24"/>
        </w:rPr>
        <w:t>respondents associated with this collection is 22, the total responses are 26, while the</w:t>
      </w:r>
      <w:r>
        <w:rPr>
          <w:bCs/>
          <w:szCs w:val="24"/>
        </w:rPr>
        <w:t xml:space="preserve"> </w:t>
      </w:r>
      <w:r w:rsidR="00CA644A">
        <w:rPr>
          <w:bCs/>
          <w:szCs w:val="24"/>
        </w:rPr>
        <w:t xml:space="preserve">total </w:t>
      </w:r>
      <w:r w:rsidR="000C77D3">
        <w:rPr>
          <w:bCs/>
          <w:szCs w:val="24"/>
        </w:rPr>
        <w:t xml:space="preserve">burden </w:t>
      </w:r>
      <w:r w:rsidR="00FB0710">
        <w:rPr>
          <w:bCs/>
          <w:szCs w:val="24"/>
        </w:rPr>
        <w:t>hours</w:t>
      </w:r>
      <w:r w:rsidR="000C77D3">
        <w:rPr>
          <w:bCs/>
          <w:szCs w:val="24"/>
        </w:rPr>
        <w:t xml:space="preserve"> a</w:t>
      </w:r>
      <w:r w:rsidR="00CA644A">
        <w:rPr>
          <w:bCs/>
          <w:szCs w:val="24"/>
        </w:rPr>
        <w:t>re 134</w:t>
      </w:r>
      <w:r>
        <w:rPr>
          <w:bCs/>
          <w:szCs w:val="24"/>
        </w:rPr>
        <w:t xml:space="preserve">, which can be calculated as shown in the table below: </w:t>
      </w:r>
    </w:p>
    <w:p w:rsidR="005E53D4" w:rsidP="00436775" w14:paraId="33783EA1" w14:textId="77777777">
      <w:pPr>
        <w:tabs>
          <w:tab w:val="left" w:pos="-1440"/>
        </w:tabs>
        <w:ind w:left="1440"/>
        <w:rPr>
          <w:szCs w:val="24"/>
        </w:rPr>
      </w:pPr>
    </w:p>
    <w:p w:rsidR="008B0B61" w14:paraId="1519BB14" w14:textId="30727451">
      <w:pPr>
        <w:tabs>
          <w:tab w:val="left" w:pos="-1440"/>
        </w:tabs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</w:p>
    <w:p w:rsidR="008B0B61" w14:paraId="582FF758" w14:textId="77777777">
      <w:pPr>
        <w:tabs>
          <w:tab w:val="left" w:pos="-1440"/>
        </w:tabs>
        <w:rPr>
          <w:szCs w:val="24"/>
        </w:rPr>
      </w:pPr>
    </w:p>
    <w:tbl>
      <w:tblPr>
        <w:tblStyle w:val="TableGrid0"/>
        <w:tblW w:w="110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51"/>
        <w:gridCol w:w="1460"/>
        <w:gridCol w:w="583"/>
        <w:gridCol w:w="1679"/>
        <w:gridCol w:w="570"/>
        <w:gridCol w:w="1182"/>
        <w:gridCol w:w="530"/>
        <w:gridCol w:w="1568"/>
        <w:gridCol w:w="502"/>
        <w:gridCol w:w="1530"/>
      </w:tblGrid>
      <w:tr w14:paraId="245DD107" w14:textId="77777777" w:rsidTr="00436775">
        <w:tblPrEx>
          <w:tblW w:w="110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951"/>
        </w:trPr>
        <w:tc>
          <w:tcPr>
            <w:tcW w:w="1451" w:type="dxa"/>
            <w:shd w:val="clear" w:color="auto" w:fill="D9D9D9" w:themeFill="background1" w:themeFillShade="D9"/>
            <w:vAlign w:val="center"/>
            <w:hideMark/>
          </w:tcPr>
          <w:p w:rsidR="00691C72" w:rsidRPr="00436775" w:rsidP="00436775" w14:paraId="65ECC44D" w14:textId="77777777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36775">
              <w:rPr>
                <w:b/>
                <w:bCs/>
                <w:sz w:val="22"/>
                <w:szCs w:val="22"/>
              </w:rPr>
              <w:t>Type of Respondent</w:t>
            </w:r>
          </w:p>
        </w:tc>
        <w:tc>
          <w:tcPr>
            <w:tcW w:w="1460" w:type="dxa"/>
            <w:shd w:val="clear" w:color="auto" w:fill="D9D9D9" w:themeFill="background1" w:themeFillShade="D9"/>
            <w:vAlign w:val="center"/>
            <w:hideMark/>
          </w:tcPr>
          <w:p w:rsidR="00691C72" w:rsidRPr="00436775" w:rsidP="00436775" w14:paraId="4733B0B0" w14:textId="77777777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36775">
              <w:rPr>
                <w:b/>
                <w:bCs/>
                <w:sz w:val="22"/>
                <w:szCs w:val="22"/>
              </w:rPr>
              <w:t>Total Respondents</w:t>
            </w:r>
          </w:p>
        </w:tc>
        <w:tc>
          <w:tcPr>
            <w:tcW w:w="583" w:type="dxa"/>
            <w:shd w:val="clear" w:color="auto" w:fill="D9D9D9" w:themeFill="background1" w:themeFillShade="D9"/>
            <w:vAlign w:val="center"/>
            <w:hideMark/>
          </w:tcPr>
          <w:p w:rsidR="00691C72" w:rsidRPr="00436775" w:rsidP="00436775" w14:paraId="250E2D4D" w14:textId="194517C0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D9D9D9" w:themeFill="background1" w:themeFillShade="D9"/>
            <w:vAlign w:val="center"/>
            <w:hideMark/>
          </w:tcPr>
          <w:p w:rsidR="00691C72" w:rsidRPr="00436775" w:rsidP="00436775" w14:paraId="2BECA2E3" w14:textId="77777777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36775">
              <w:rPr>
                <w:b/>
                <w:bCs/>
                <w:sz w:val="22"/>
                <w:szCs w:val="22"/>
              </w:rPr>
              <w:t>Total Responses per Respondent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  <w:hideMark/>
          </w:tcPr>
          <w:p w:rsidR="00691C72" w:rsidRPr="00436775" w:rsidP="00436775" w14:paraId="3031B5FB" w14:textId="0AACEAA2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  <w:hideMark/>
          </w:tcPr>
          <w:p w:rsidR="00691C72" w:rsidRPr="00436775" w:rsidP="00436775" w14:paraId="7E1F3E03" w14:textId="77777777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36775">
              <w:rPr>
                <w:b/>
                <w:bCs/>
                <w:sz w:val="22"/>
                <w:szCs w:val="22"/>
              </w:rPr>
              <w:t>Total Responses</w:t>
            </w:r>
          </w:p>
        </w:tc>
        <w:tc>
          <w:tcPr>
            <w:tcW w:w="530" w:type="dxa"/>
            <w:shd w:val="clear" w:color="auto" w:fill="D9D9D9" w:themeFill="background1" w:themeFillShade="D9"/>
            <w:vAlign w:val="center"/>
            <w:hideMark/>
          </w:tcPr>
          <w:p w:rsidR="00691C72" w:rsidRPr="00436775" w:rsidP="00436775" w14:paraId="0F9B0582" w14:textId="26B20013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D9D9D9" w:themeFill="background1" w:themeFillShade="D9"/>
            <w:vAlign w:val="center"/>
            <w:hideMark/>
          </w:tcPr>
          <w:p w:rsidR="00691C72" w:rsidRPr="00436775" w:rsidP="00436775" w14:paraId="492F0EFD" w14:textId="77777777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36775">
              <w:rPr>
                <w:b/>
                <w:bCs/>
                <w:sz w:val="22"/>
                <w:szCs w:val="22"/>
              </w:rPr>
              <w:t>Average Time Taken to Respond (Hour)</w:t>
            </w:r>
          </w:p>
        </w:tc>
        <w:tc>
          <w:tcPr>
            <w:tcW w:w="502" w:type="dxa"/>
            <w:shd w:val="clear" w:color="auto" w:fill="D9D9D9" w:themeFill="background1" w:themeFillShade="D9"/>
            <w:vAlign w:val="center"/>
            <w:hideMark/>
          </w:tcPr>
          <w:p w:rsidR="00691C72" w:rsidRPr="00436775" w:rsidP="00436775" w14:paraId="2D5ED3AE" w14:textId="15B9ADB9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:rsidR="00691C72" w:rsidRPr="00436775" w:rsidP="00436775" w14:paraId="29EB96E6" w14:textId="77777777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36775">
              <w:rPr>
                <w:b/>
                <w:bCs/>
                <w:sz w:val="22"/>
                <w:szCs w:val="22"/>
              </w:rPr>
              <w:t>Total Burden Hours</w:t>
            </w:r>
          </w:p>
        </w:tc>
      </w:tr>
      <w:tr w14:paraId="25CBBA81" w14:textId="77777777" w:rsidTr="00436775">
        <w:tblPrEx>
          <w:tblW w:w="11055" w:type="dxa"/>
          <w:tblLook w:val="04A0"/>
        </w:tblPrEx>
        <w:trPr>
          <w:trHeight w:val="300"/>
        </w:trPr>
        <w:tc>
          <w:tcPr>
            <w:tcW w:w="1451" w:type="dxa"/>
            <w:hideMark/>
          </w:tcPr>
          <w:p w:rsidR="00691C72" w:rsidRPr="00436775" w:rsidP="00436775" w14:paraId="41401BED" w14:textId="77777777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36775">
              <w:rPr>
                <w:b/>
                <w:bCs/>
                <w:sz w:val="22"/>
                <w:szCs w:val="22"/>
              </w:rPr>
              <w:t>MA-1025</w:t>
            </w:r>
          </w:p>
        </w:tc>
        <w:tc>
          <w:tcPr>
            <w:tcW w:w="1460" w:type="dxa"/>
            <w:vAlign w:val="center"/>
            <w:hideMark/>
          </w:tcPr>
          <w:p w:rsidR="00691C72" w:rsidRPr="00436775" w:rsidP="00436775" w14:paraId="537C2F8F" w14:textId="77777777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>10</w:t>
            </w:r>
          </w:p>
        </w:tc>
        <w:tc>
          <w:tcPr>
            <w:tcW w:w="583" w:type="dxa"/>
            <w:vAlign w:val="center"/>
            <w:hideMark/>
          </w:tcPr>
          <w:p w:rsidR="00691C72" w:rsidRPr="00436775" w:rsidP="00436775" w14:paraId="5E396055" w14:textId="77777777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>*</w:t>
            </w:r>
          </w:p>
        </w:tc>
        <w:tc>
          <w:tcPr>
            <w:tcW w:w="1679" w:type="dxa"/>
            <w:vAlign w:val="center"/>
            <w:hideMark/>
          </w:tcPr>
          <w:p w:rsidR="00691C72" w:rsidRPr="00436775" w:rsidP="00436775" w14:paraId="5A317F7C" w14:textId="77777777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691C72" w:rsidRPr="00436775" w:rsidP="00436775" w14:paraId="37F49363" w14:textId="77777777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>=</w:t>
            </w:r>
          </w:p>
        </w:tc>
        <w:tc>
          <w:tcPr>
            <w:tcW w:w="1182" w:type="dxa"/>
            <w:vAlign w:val="center"/>
            <w:hideMark/>
          </w:tcPr>
          <w:p w:rsidR="00691C72" w:rsidRPr="00436775" w:rsidP="00436775" w14:paraId="3CC7008D" w14:textId="77777777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>10</w:t>
            </w:r>
          </w:p>
        </w:tc>
        <w:tc>
          <w:tcPr>
            <w:tcW w:w="530" w:type="dxa"/>
            <w:vAlign w:val="center"/>
            <w:hideMark/>
          </w:tcPr>
          <w:p w:rsidR="00691C72" w:rsidRPr="00436775" w:rsidP="00436775" w14:paraId="396CF4EB" w14:textId="77777777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>*</w:t>
            </w:r>
          </w:p>
        </w:tc>
        <w:tc>
          <w:tcPr>
            <w:tcW w:w="1568" w:type="dxa"/>
            <w:vAlign w:val="center"/>
            <w:hideMark/>
          </w:tcPr>
          <w:p w:rsidR="00691C72" w:rsidRPr="00436775" w:rsidP="00436775" w14:paraId="23FCB117" w14:textId="77777777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>1</w:t>
            </w:r>
          </w:p>
        </w:tc>
        <w:tc>
          <w:tcPr>
            <w:tcW w:w="502" w:type="dxa"/>
            <w:vAlign w:val="center"/>
            <w:hideMark/>
          </w:tcPr>
          <w:p w:rsidR="00691C72" w:rsidRPr="00436775" w:rsidP="00436775" w14:paraId="30229167" w14:textId="77777777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>=</w:t>
            </w:r>
          </w:p>
        </w:tc>
        <w:tc>
          <w:tcPr>
            <w:tcW w:w="1530" w:type="dxa"/>
            <w:vAlign w:val="center"/>
            <w:hideMark/>
          </w:tcPr>
          <w:p w:rsidR="00691C72" w:rsidRPr="00436775" w:rsidP="00436775" w14:paraId="3930F249" w14:textId="77777777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>10</w:t>
            </w:r>
          </w:p>
        </w:tc>
      </w:tr>
      <w:tr w14:paraId="27F984AA" w14:textId="77777777" w:rsidTr="00436775">
        <w:tblPrEx>
          <w:tblW w:w="11055" w:type="dxa"/>
          <w:tblLook w:val="04A0"/>
        </w:tblPrEx>
        <w:trPr>
          <w:trHeight w:val="300"/>
        </w:trPr>
        <w:tc>
          <w:tcPr>
            <w:tcW w:w="1451" w:type="dxa"/>
            <w:hideMark/>
          </w:tcPr>
          <w:p w:rsidR="00691C72" w:rsidRPr="00436775" w:rsidP="00436775" w14:paraId="13BEB47E" w14:textId="77777777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36775">
              <w:rPr>
                <w:b/>
                <w:bCs/>
                <w:sz w:val="22"/>
                <w:szCs w:val="22"/>
              </w:rPr>
              <w:t>MA-172</w:t>
            </w:r>
          </w:p>
        </w:tc>
        <w:tc>
          <w:tcPr>
            <w:tcW w:w="1460" w:type="dxa"/>
            <w:vAlign w:val="center"/>
            <w:hideMark/>
          </w:tcPr>
          <w:p w:rsidR="00691C72" w:rsidRPr="00436775" w:rsidP="00436775" w14:paraId="161F0025" w14:textId="77777777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>10</w:t>
            </w:r>
          </w:p>
        </w:tc>
        <w:tc>
          <w:tcPr>
            <w:tcW w:w="583" w:type="dxa"/>
            <w:vAlign w:val="center"/>
            <w:hideMark/>
          </w:tcPr>
          <w:p w:rsidR="00691C72" w:rsidRPr="00436775" w:rsidP="00436775" w14:paraId="3E555206" w14:textId="17AF14BB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Align w:val="center"/>
            <w:hideMark/>
          </w:tcPr>
          <w:p w:rsidR="00691C72" w:rsidRPr="00436775" w:rsidP="00436775" w14:paraId="6A388E10" w14:textId="77777777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691C72" w:rsidRPr="00436775" w:rsidP="00436775" w14:paraId="16AEEC82" w14:textId="32BAF624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Align w:val="center"/>
            <w:hideMark/>
          </w:tcPr>
          <w:p w:rsidR="00691C72" w:rsidRPr="00436775" w:rsidP="00436775" w14:paraId="4FB3F1E5" w14:textId="77777777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>10</w:t>
            </w:r>
          </w:p>
        </w:tc>
        <w:tc>
          <w:tcPr>
            <w:tcW w:w="530" w:type="dxa"/>
            <w:vAlign w:val="center"/>
            <w:hideMark/>
          </w:tcPr>
          <w:p w:rsidR="00691C72" w:rsidRPr="00436775" w:rsidP="00436775" w14:paraId="4553C0A6" w14:textId="4981A35C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Align w:val="center"/>
            <w:hideMark/>
          </w:tcPr>
          <w:p w:rsidR="00691C72" w:rsidRPr="00436775" w:rsidP="00436775" w14:paraId="39126DB5" w14:textId="77777777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>10</w:t>
            </w:r>
          </w:p>
        </w:tc>
        <w:tc>
          <w:tcPr>
            <w:tcW w:w="502" w:type="dxa"/>
            <w:vAlign w:val="center"/>
            <w:hideMark/>
          </w:tcPr>
          <w:p w:rsidR="00691C72" w:rsidRPr="00436775" w:rsidP="00436775" w14:paraId="13078496" w14:textId="0D64E9ED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  <w:hideMark/>
          </w:tcPr>
          <w:p w:rsidR="00691C72" w:rsidRPr="00436775" w:rsidP="00436775" w14:paraId="22761B14" w14:textId="77777777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>100</w:t>
            </w:r>
          </w:p>
        </w:tc>
      </w:tr>
      <w:tr w14:paraId="42ECF12F" w14:textId="77777777" w:rsidTr="00436775">
        <w:tblPrEx>
          <w:tblW w:w="11055" w:type="dxa"/>
          <w:tblLook w:val="04A0"/>
        </w:tblPrEx>
        <w:trPr>
          <w:trHeight w:val="315"/>
        </w:trPr>
        <w:tc>
          <w:tcPr>
            <w:tcW w:w="1451" w:type="dxa"/>
            <w:hideMark/>
          </w:tcPr>
          <w:p w:rsidR="00691C72" w:rsidRPr="00436775" w:rsidP="00436775" w14:paraId="2A6342A7" w14:textId="77777777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36775">
              <w:rPr>
                <w:b/>
                <w:bCs/>
                <w:sz w:val="22"/>
                <w:szCs w:val="22"/>
              </w:rPr>
              <w:t>MA-1026</w:t>
            </w:r>
          </w:p>
        </w:tc>
        <w:tc>
          <w:tcPr>
            <w:tcW w:w="1460" w:type="dxa"/>
            <w:vAlign w:val="center"/>
            <w:hideMark/>
          </w:tcPr>
          <w:p w:rsidR="00691C72" w:rsidRPr="00436775" w:rsidP="00436775" w14:paraId="3D00D2CA" w14:textId="77777777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  <w:vAlign w:val="center"/>
            <w:hideMark/>
          </w:tcPr>
          <w:p w:rsidR="00691C72" w:rsidRPr="00436775" w:rsidP="00436775" w14:paraId="63A36C38" w14:textId="736ED2FB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Align w:val="center"/>
            <w:hideMark/>
          </w:tcPr>
          <w:p w:rsidR="00691C72" w:rsidRPr="00436775" w:rsidP="00436775" w14:paraId="0F7B7C36" w14:textId="77777777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:rsidR="00691C72" w:rsidRPr="00436775" w:rsidP="00436775" w14:paraId="0F58CB42" w14:textId="7DA0D5A0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Align w:val="center"/>
            <w:hideMark/>
          </w:tcPr>
          <w:p w:rsidR="00691C72" w:rsidRPr="00436775" w:rsidP="00436775" w14:paraId="5C7A59D3" w14:textId="77777777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>6</w:t>
            </w:r>
          </w:p>
        </w:tc>
        <w:tc>
          <w:tcPr>
            <w:tcW w:w="530" w:type="dxa"/>
            <w:vAlign w:val="center"/>
            <w:hideMark/>
          </w:tcPr>
          <w:p w:rsidR="00691C72" w:rsidRPr="00436775" w:rsidP="00436775" w14:paraId="5CD4CBFE" w14:textId="1E305170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Align w:val="center"/>
            <w:hideMark/>
          </w:tcPr>
          <w:p w:rsidR="00691C72" w:rsidRPr="00436775" w:rsidP="00436775" w14:paraId="6AA2AF08" w14:textId="77777777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>4</w:t>
            </w:r>
          </w:p>
        </w:tc>
        <w:tc>
          <w:tcPr>
            <w:tcW w:w="502" w:type="dxa"/>
            <w:vAlign w:val="center"/>
            <w:hideMark/>
          </w:tcPr>
          <w:p w:rsidR="00691C72" w:rsidRPr="00436775" w:rsidP="00436775" w14:paraId="7E21A4FD" w14:textId="3EB10855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  <w:hideMark/>
          </w:tcPr>
          <w:p w:rsidR="00691C72" w:rsidRPr="00436775" w:rsidP="00436775" w14:paraId="6BC36B01" w14:textId="77777777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>24</w:t>
            </w:r>
          </w:p>
        </w:tc>
      </w:tr>
      <w:tr w14:paraId="63A5E523" w14:textId="77777777" w:rsidTr="00436775">
        <w:tblPrEx>
          <w:tblW w:w="11055" w:type="dxa"/>
          <w:tblLook w:val="04A0"/>
        </w:tblPrEx>
        <w:trPr>
          <w:trHeight w:val="315"/>
        </w:trPr>
        <w:tc>
          <w:tcPr>
            <w:tcW w:w="1451" w:type="dxa"/>
            <w:shd w:val="clear" w:color="auto" w:fill="D9D9D9" w:themeFill="background1" w:themeFillShade="D9"/>
            <w:noWrap/>
            <w:hideMark/>
          </w:tcPr>
          <w:p w:rsidR="00691C72" w:rsidRPr="00436775" w:rsidP="00691C72" w14:paraId="16ED809A" w14:textId="2C568566">
            <w:pPr>
              <w:tabs>
                <w:tab w:val="left" w:pos="-1440"/>
              </w:tabs>
              <w:rPr>
                <w:b/>
                <w:bCs/>
                <w:sz w:val="22"/>
                <w:szCs w:val="22"/>
              </w:rPr>
            </w:pPr>
            <w:r w:rsidRPr="00436775">
              <w:rPr>
                <w:b/>
                <w:bCs/>
                <w:sz w:val="22"/>
                <w:szCs w:val="22"/>
              </w:rPr>
              <w:t>COMBINED TOTAL</w:t>
            </w:r>
            <w:r w:rsidR="00120814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1460" w:type="dxa"/>
            <w:noWrap/>
            <w:vAlign w:val="center"/>
            <w:hideMark/>
          </w:tcPr>
          <w:p w:rsidR="00691C72" w:rsidRPr="00436775" w:rsidP="00436775" w14:paraId="306B5655" w14:textId="77777777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36775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583" w:type="dxa"/>
            <w:vAlign w:val="center"/>
            <w:hideMark/>
          </w:tcPr>
          <w:p w:rsidR="00691C72" w:rsidRPr="00436775" w:rsidP="00436775" w14:paraId="20DBD22C" w14:textId="101016DD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noWrap/>
            <w:vAlign w:val="center"/>
            <w:hideMark/>
          </w:tcPr>
          <w:p w:rsidR="00691C72" w:rsidRPr="00436775" w:rsidP="00436775" w14:paraId="2C1AACEA" w14:textId="5124637D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70" w:type="dxa"/>
            <w:vAlign w:val="center"/>
            <w:hideMark/>
          </w:tcPr>
          <w:p w:rsidR="00691C72" w:rsidRPr="00436775" w:rsidP="00436775" w14:paraId="16685910" w14:textId="2D7AEB9C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2" w:type="dxa"/>
            <w:noWrap/>
            <w:vAlign w:val="center"/>
            <w:hideMark/>
          </w:tcPr>
          <w:p w:rsidR="00691C72" w:rsidRPr="00436775" w:rsidP="00436775" w14:paraId="3C2D7C4D" w14:textId="77777777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36775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530" w:type="dxa"/>
            <w:vAlign w:val="center"/>
            <w:hideMark/>
          </w:tcPr>
          <w:p w:rsidR="00691C72" w:rsidRPr="00436775" w:rsidP="00436775" w14:paraId="3806665F" w14:textId="5FAD8DE5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8" w:type="dxa"/>
            <w:noWrap/>
            <w:vAlign w:val="center"/>
            <w:hideMark/>
          </w:tcPr>
          <w:p w:rsidR="00691C72" w:rsidRPr="00436775" w:rsidP="00436775" w14:paraId="68922087" w14:textId="6F79EDA5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02" w:type="dxa"/>
            <w:vAlign w:val="center"/>
            <w:hideMark/>
          </w:tcPr>
          <w:p w:rsidR="00691C72" w:rsidRPr="00436775" w:rsidP="00436775" w14:paraId="48F6C8F6" w14:textId="7292AEAC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noWrap/>
            <w:vAlign w:val="center"/>
            <w:hideMark/>
          </w:tcPr>
          <w:p w:rsidR="00691C72" w:rsidRPr="00436775" w:rsidP="00436775" w14:paraId="3E88711D" w14:textId="77777777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36775">
              <w:rPr>
                <w:b/>
                <w:bCs/>
                <w:sz w:val="22"/>
                <w:szCs w:val="22"/>
              </w:rPr>
              <w:t>134</w:t>
            </w:r>
          </w:p>
        </w:tc>
      </w:tr>
    </w:tbl>
    <w:p w:rsidR="008B0B61" w:rsidRPr="00436775" w14:paraId="40E6EBC7" w14:textId="77777777">
      <w:pPr>
        <w:tabs>
          <w:tab w:val="left" w:pos="-1440"/>
        </w:tabs>
        <w:rPr>
          <w:sz w:val="22"/>
          <w:szCs w:val="22"/>
        </w:rPr>
      </w:pPr>
    </w:p>
    <w:p w:rsidR="00691C72" w:rsidP="00EE5CE3" w14:paraId="32556857" w14:textId="740A4700">
      <w:pPr>
        <w:pStyle w:val="ListParagraph"/>
        <w:numPr>
          <w:ilvl w:val="0"/>
          <w:numId w:val="23"/>
        </w:numPr>
        <w:tabs>
          <w:tab w:val="left" w:pos="-1440"/>
        </w:tabs>
        <w:rPr>
          <w:b/>
          <w:bCs/>
          <w:szCs w:val="24"/>
        </w:rPr>
      </w:pPr>
      <w:r w:rsidRPr="00436775">
        <w:rPr>
          <w:b/>
          <w:bCs/>
          <w:szCs w:val="24"/>
        </w:rPr>
        <w:t>Estimated Annualized Cost Burden</w:t>
      </w:r>
    </w:p>
    <w:p w:rsidR="00EE5CE3" w:rsidP="00EE5CE3" w14:paraId="4EDE42B3" w14:textId="77777777">
      <w:pPr>
        <w:tabs>
          <w:tab w:val="left" w:pos="-1440"/>
        </w:tabs>
        <w:rPr>
          <w:b/>
          <w:bCs/>
          <w:szCs w:val="24"/>
        </w:rPr>
      </w:pPr>
    </w:p>
    <w:p w:rsidR="00EE5CE3" w:rsidP="00EE5CE3" w14:paraId="263086F1" w14:textId="77777777">
      <w:pPr>
        <w:tabs>
          <w:tab w:val="left" w:pos="-1440"/>
        </w:tabs>
        <w:rPr>
          <w:i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436775">
        <w:rPr>
          <w:iCs/>
          <w:szCs w:val="24"/>
        </w:rPr>
        <w:t>The Bureau of Labor and Statistics (BLS)</w:t>
      </w:r>
      <w:r>
        <w:rPr>
          <w:iCs/>
          <w:szCs w:val="24"/>
          <w:vertAlign w:val="superscript"/>
        </w:rPr>
        <w:footnoteReference w:id="2"/>
      </w:r>
      <w:r w:rsidRPr="00436775">
        <w:rPr>
          <w:iCs/>
          <w:szCs w:val="24"/>
        </w:rPr>
        <w:t xml:space="preserve"> estimates that the average hourly wage for</w:t>
      </w:r>
      <w:r>
        <w:rPr>
          <w:iCs/>
          <w:szCs w:val="24"/>
        </w:rPr>
        <w:t xml:space="preserve"> Auditors </w:t>
      </w:r>
    </w:p>
    <w:p w:rsidR="00691C72" w14:paraId="48D1B76D" w14:textId="5FCB8C5B">
      <w:pPr>
        <w:tabs>
          <w:tab w:val="left" w:pos="-1440"/>
        </w:tabs>
        <w:rPr>
          <w:iCs/>
          <w:szCs w:val="24"/>
        </w:rPr>
      </w:pPr>
      <w:r>
        <w:rPr>
          <w:iCs/>
          <w:szCs w:val="24"/>
        </w:rPr>
        <w:tab/>
      </w:r>
      <w:r>
        <w:rPr>
          <w:iCs/>
          <w:szCs w:val="24"/>
        </w:rPr>
        <w:tab/>
        <w:t xml:space="preserve">and Accountants (13-2011) is $ 44.96.  </w:t>
      </w:r>
      <w:r w:rsidRPr="00EE5CE3">
        <w:rPr>
          <w:iCs/>
          <w:szCs w:val="24"/>
        </w:rPr>
        <w:t>When combined the total compensation rate of 29%</w:t>
      </w:r>
      <w:r>
        <w:rPr>
          <w:iCs/>
          <w:szCs w:val="24"/>
          <w:vertAlign w:val="superscript"/>
        </w:rPr>
        <w:footnoteReference w:id="3"/>
      </w:r>
      <w:r>
        <w:rPr>
          <w:iCs/>
          <w:szCs w:val="24"/>
        </w:rPr>
        <w:t xml:space="preserve">, the </w:t>
      </w:r>
    </w:p>
    <w:p w:rsidR="00EE5CE3" w:rsidP="00EE5CE3" w14:paraId="23A9B341" w14:textId="1AA8B634">
      <w:pPr>
        <w:tabs>
          <w:tab w:val="left" w:pos="-1440"/>
        </w:tabs>
        <w:ind w:left="1440"/>
        <w:rPr>
          <w:iCs/>
          <w:szCs w:val="24"/>
        </w:rPr>
      </w:pPr>
      <w:r>
        <w:rPr>
          <w:iCs/>
          <w:szCs w:val="24"/>
        </w:rPr>
        <w:t xml:space="preserve">annualized hourly rate is $ 58.00.  Therefore, the total annualized cost burden for all tasks associated with preparing and submitting responses to this collection is $ 7,772.00, which can be calculated as shown in the table below: </w:t>
      </w:r>
    </w:p>
    <w:p w:rsidR="0053157F" w:rsidP="00EE5CE3" w14:paraId="1DDFD026" w14:textId="77777777">
      <w:pPr>
        <w:tabs>
          <w:tab w:val="left" w:pos="-1440"/>
        </w:tabs>
        <w:ind w:left="1440"/>
        <w:rPr>
          <w:iCs/>
          <w:szCs w:val="24"/>
        </w:rPr>
      </w:pPr>
    </w:p>
    <w:p w:rsidR="0053157F" w:rsidP="00436775" w14:paraId="1BFB5B46" w14:textId="77777777">
      <w:pPr>
        <w:tabs>
          <w:tab w:val="left" w:pos="-1440"/>
        </w:tabs>
        <w:ind w:left="1440"/>
        <w:rPr>
          <w:iCs/>
          <w:szCs w:val="24"/>
        </w:rPr>
      </w:pPr>
    </w:p>
    <w:tbl>
      <w:tblPr>
        <w:tblStyle w:val="TableGrid0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875"/>
        <w:gridCol w:w="1316"/>
        <w:gridCol w:w="1579"/>
        <w:gridCol w:w="450"/>
        <w:gridCol w:w="1368"/>
        <w:gridCol w:w="326"/>
        <w:gridCol w:w="1474"/>
        <w:gridCol w:w="474"/>
        <w:gridCol w:w="1923"/>
      </w:tblGrid>
      <w:tr w14:paraId="0A2B9C53" w14:textId="77777777" w:rsidTr="00436775">
        <w:tblPrEx>
          <w:tblW w:w="0" w:type="auto"/>
          <w:tblInd w:w="-1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836"/>
        </w:trPr>
        <w:tc>
          <w:tcPr>
            <w:tcW w:w="1875" w:type="dxa"/>
            <w:shd w:val="clear" w:color="auto" w:fill="D9D9D9" w:themeFill="background1" w:themeFillShade="D9"/>
            <w:vAlign w:val="center"/>
            <w:hideMark/>
          </w:tcPr>
          <w:p w:rsidR="0053157F" w:rsidRPr="00436775" w:rsidP="00436775" w14:paraId="79E0F1AF" w14:textId="1854699B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36775">
              <w:rPr>
                <w:b/>
                <w:bCs/>
                <w:sz w:val="22"/>
                <w:szCs w:val="22"/>
              </w:rPr>
              <w:t>Title and Code of  Respondents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  <w:hideMark/>
          </w:tcPr>
          <w:p w:rsidR="0053157F" w:rsidRPr="00436775" w:rsidP="00436775" w14:paraId="45A4C25B" w14:textId="79640C56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36775">
              <w:rPr>
                <w:b/>
                <w:bCs/>
                <w:sz w:val="22"/>
                <w:szCs w:val="22"/>
              </w:rPr>
              <w:t>Hourly Wage</w:t>
            </w:r>
          </w:p>
        </w:tc>
        <w:tc>
          <w:tcPr>
            <w:tcW w:w="1579" w:type="dxa"/>
            <w:shd w:val="clear" w:color="auto" w:fill="D9D9D9" w:themeFill="background1" w:themeFillShade="D9"/>
            <w:vAlign w:val="center"/>
            <w:hideMark/>
          </w:tcPr>
          <w:p w:rsidR="0053157F" w:rsidRPr="00436775" w:rsidP="00436775" w14:paraId="5CC0F998" w14:textId="0E3A45D1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36775">
              <w:rPr>
                <w:b/>
                <w:bCs/>
                <w:sz w:val="22"/>
                <w:szCs w:val="22"/>
              </w:rPr>
              <w:t>Compensation Rate of 29%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53157F" w:rsidRPr="0053157F" w:rsidP="00436775" w14:paraId="112F01A1" w14:textId="77777777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  <w:vAlign w:val="center"/>
            <w:hideMark/>
          </w:tcPr>
          <w:p w:rsidR="0053157F" w:rsidRPr="00436775" w:rsidP="00436775" w14:paraId="72342291" w14:textId="2FD6B017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36775">
              <w:rPr>
                <w:b/>
                <w:bCs/>
                <w:sz w:val="22"/>
                <w:szCs w:val="22"/>
              </w:rPr>
              <w:t>Number of Employees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53157F" w:rsidRPr="0053157F" w:rsidP="00436775" w14:paraId="6F15BA29" w14:textId="77777777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53157F" w:rsidRPr="00436775" w:rsidP="00436775" w14:paraId="551F1986" w14:textId="171A82B9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36775">
              <w:rPr>
                <w:b/>
                <w:bCs/>
                <w:sz w:val="22"/>
                <w:szCs w:val="22"/>
              </w:rPr>
              <w:t>Total Annualized Burden Hours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53157F" w:rsidRPr="0053157F" w:rsidP="00436775" w14:paraId="756662DD" w14:textId="77777777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3" w:type="dxa"/>
            <w:shd w:val="clear" w:color="auto" w:fill="D9D9D9" w:themeFill="background1" w:themeFillShade="D9"/>
            <w:vAlign w:val="center"/>
            <w:hideMark/>
          </w:tcPr>
          <w:p w:rsidR="0053157F" w:rsidRPr="00436775" w:rsidP="00436775" w14:paraId="25230578" w14:textId="5A2E2A36">
            <w:pPr>
              <w:tabs>
                <w:tab w:val="left" w:pos="-14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36775">
              <w:rPr>
                <w:b/>
                <w:bCs/>
                <w:sz w:val="22"/>
                <w:szCs w:val="22"/>
              </w:rPr>
              <w:t>Total Annualized Cost Burden</w:t>
            </w:r>
          </w:p>
        </w:tc>
      </w:tr>
      <w:tr w14:paraId="46112B96" w14:textId="77777777" w:rsidTr="00436775">
        <w:tblPrEx>
          <w:tblW w:w="0" w:type="auto"/>
          <w:tblInd w:w="-15" w:type="dxa"/>
          <w:tblLook w:val="04A0"/>
        </w:tblPrEx>
        <w:trPr>
          <w:trHeight w:val="915"/>
        </w:trPr>
        <w:tc>
          <w:tcPr>
            <w:tcW w:w="1875" w:type="dxa"/>
            <w:vAlign w:val="center"/>
            <w:hideMark/>
          </w:tcPr>
          <w:p w:rsidR="0053157F" w:rsidRPr="00436775" w:rsidP="00436775" w14:paraId="444D4275" w14:textId="32E06F43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 xml:space="preserve">Auditors and Accountants </w:t>
            </w:r>
            <w:r>
              <w:rPr>
                <w:sz w:val="22"/>
                <w:szCs w:val="22"/>
              </w:rPr>
              <w:t xml:space="preserve">              </w:t>
            </w:r>
            <w:r w:rsidRPr="00436775">
              <w:rPr>
                <w:sz w:val="22"/>
                <w:szCs w:val="22"/>
              </w:rPr>
              <w:t>(13-2011)</w:t>
            </w:r>
          </w:p>
        </w:tc>
        <w:tc>
          <w:tcPr>
            <w:tcW w:w="1316" w:type="dxa"/>
            <w:noWrap/>
            <w:vAlign w:val="center"/>
            <w:hideMark/>
          </w:tcPr>
          <w:p w:rsidR="0053157F" w:rsidRPr="00436775" w:rsidP="00436775" w14:paraId="62FB5A78" w14:textId="5FCA16EA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>$   44.96</w:t>
            </w:r>
          </w:p>
        </w:tc>
        <w:tc>
          <w:tcPr>
            <w:tcW w:w="1579" w:type="dxa"/>
            <w:noWrap/>
            <w:vAlign w:val="center"/>
            <w:hideMark/>
          </w:tcPr>
          <w:p w:rsidR="0053157F" w:rsidRPr="00436775" w:rsidP="00436775" w14:paraId="5FCA90DF" w14:textId="6BD88BE1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 xml:space="preserve">$  </w:t>
            </w:r>
            <w:r>
              <w:rPr>
                <w:sz w:val="22"/>
                <w:szCs w:val="22"/>
              </w:rPr>
              <w:t xml:space="preserve"> </w:t>
            </w:r>
            <w:r w:rsidRPr="00436775">
              <w:rPr>
                <w:sz w:val="22"/>
                <w:szCs w:val="22"/>
              </w:rPr>
              <w:t>58.00</w:t>
            </w:r>
          </w:p>
        </w:tc>
        <w:tc>
          <w:tcPr>
            <w:tcW w:w="450" w:type="dxa"/>
          </w:tcPr>
          <w:p w:rsidR="0053157F" w:rsidP="0053157F" w14:paraId="7066EAFA" w14:textId="77777777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</w:p>
          <w:p w:rsidR="0053157F" w:rsidRPr="0053157F" w:rsidP="0053157F" w14:paraId="6046FCDD" w14:textId="348BC08F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68" w:type="dxa"/>
            <w:noWrap/>
            <w:vAlign w:val="center"/>
            <w:hideMark/>
          </w:tcPr>
          <w:p w:rsidR="0053157F" w:rsidRPr="00436775" w:rsidP="00436775" w14:paraId="7924AEB3" w14:textId="535E35E9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</w:tcPr>
          <w:p w:rsidR="0053157F" w:rsidP="0053157F" w14:paraId="3850C508" w14:textId="77777777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53157F" w:rsidRPr="0053157F" w:rsidP="0053157F" w14:paraId="50F82AFF" w14:textId="02937C25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74" w:type="dxa"/>
            <w:noWrap/>
            <w:vAlign w:val="center"/>
            <w:hideMark/>
          </w:tcPr>
          <w:p w:rsidR="0053157F" w:rsidRPr="00436775" w:rsidP="00436775" w14:paraId="0F4EF441" w14:textId="2F93B79F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>134</w:t>
            </w:r>
          </w:p>
        </w:tc>
        <w:tc>
          <w:tcPr>
            <w:tcW w:w="474" w:type="dxa"/>
          </w:tcPr>
          <w:p w:rsidR="0053157F" w:rsidP="0053157F" w14:paraId="0BA4F7EC" w14:textId="77777777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</w:p>
          <w:p w:rsidR="0053157F" w:rsidRPr="0053157F" w:rsidP="0053157F" w14:paraId="3367F84C" w14:textId="4D83BA68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</w:t>
            </w:r>
          </w:p>
        </w:tc>
        <w:tc>
          <w:tcPr>
            <w:tcW w:w="1923" w:type="dxa"/>
            <w:noWrap/>
            <w:vAlign w:val="center"/>
            <w:hideMark/>
          </w:tcPr>
          <w:p w:rsidR="0053157F" w:rsidRPr="00436775" w:rsidP="00436775" w14:paraId="62FD1264" w14:textId="73EBAD65">
            <w:pPr>
              <w:tabs>
                <w:tab w:val="left" w:pos="-1440"/>
              </w:tabs>
              <w:jc w:val="center"/>
              <w:rPr>
                <w:sz w:val="22"/>
                <w:szCs w:val="22"/>
              </w:rPr>
            </w:pPr>
            <w:r w:rsidRPr="00436775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 xml:space="preserve">  </w:t>
            </w:r>
            <w:r w:rsidRPr="00436775">
              <w:rPr>
                <w:sz w:val="22"/>
                <w:szCs w:val="22"/>
              </w:rPr>
              <w:t>7,772.00</w:t>
            </w:r>
          </w:p>
        </w:tc>
      </w:tr>
    </w:tbl>
    <w:p w:rsidR="00F246F3" w:rsidRPr="00E608E7" w:rsidP="00436775" w14:paraId="35F5C597" w14:textId="77777777">
      <w:pPr>
        <w:tabs>
          <w:tab w:val="left" w:pos="-1440"/>
        </w:tabs>
        <w:rPr>
          <w:szCs w:val="24"/>
        </w:rPr>
      </w:pPr>
      <w:r w:rsidRPr="00E608E7">
        <w:rPr>
          <w:szCs w:val="24"/>
        </w:rPr>
        <w:tab/>
      </w:r>
    </w:p>
    <w:p w:rsidR="00920571" w:rsidRPr="00E608E7" w:rsidP="00436775" w14:paraId="1A1CBBB9" w14:textId="4749350A">
      <w:pPr>
        <w:pStyle w:val="ListParagraph"/>
        <w:numPr>
          <w:ilvl w:val="0"/>
          <w:numId w:val="20"/>
        </w:numPr>
      </w:pPr>
      <w:r w:rsidRPr="00436775">
        <w:rPr>
          <w:b/>
          <w:szCs w:val="24"/>
        </w:rPr>
        <w:t>E</w:t>
      </w:r>
      <w:r w:rsidRPr="00436775" w:rsidR="005E53D4">
        <w:rPr>
          <w:b/>
          <w:szCs w:val="24"/>
        </w:rPr>
        <w:t xml:space="preserve">stimate of the </w:t>
      </w:r>
      <w:r w:rsidRPr="00436775">
        <w:rPr>
          <w:b/>
          <w:szCs w:val="24"/>
        </w:rPr>
        <w:t xml:space="preserve">Total Annual Cost Burden </w:t>
      </w:r>
      <w:r w:rsidRPr="00436775" w:rsidR="005E53D4">
        <w:rPr>
          <w:b/>
          <w:szCs w:val="24"/>
        </w:rPr>
        <w:t xml:space="preserve">to </w:t>
      </w:r>
      <w:r w:rsidRPr="00436775">
        <w:rPr>
          <w:b/>
          <w:szCs w:val="24"/>
        </w:rPr>
        <w:t>Respondents and/</w:t>
      </w:r>
      <w:r w:rsidRPr="00436775" w:rsidR="005E53D4">
        <w:rPr>
          <w:b/>
          <w:szCs w:val="24"/>
        </w:rPr>
        <w:t xml:space="preserve">or </w:t>
      </w:r>
      <w:r w:rsidRPr="00436775">
        <w:rPr>
          <w:b/>
          <w:szCs w:val="24"/>
        </w:rPr>
        <w:t>Record</w:t>
      </w:r>
      <w:r w:rsidRPr="00436775" w:rsidR="005E53D4">
        <w:rPr>
          <w:b/>
          <w:szCs w:val="24"/>
        </w:rPr>
        <w:t xml:space="preserve">keepers </w:t>
      </w:r>
    </w:p>
    <w:p w:rsidR="005E53D4" w:rsidRPr="00920571" w:rsidP="00436775" w14:paraId="05088EEE" w14:textId="77777777">
      <w:pPr>
        <w:tabs>
          <w:tab w:val="left" w:pos="-1440"/>
        </w:tabs>
        <w:rPr>
          <w:b/>
          <w:szCs w:val="24"/>
        </w:rPr>
      </w:pPr>
    </w:p>
    <w:p w:rsidR="005E53D4" w:rsidRPr="00E608E7" w:rsidP="00436775" w14:paraId="30651ABD" w14:textId="7CD276CB">
      <w:pPr>
        <w:ind w:left="1440"/>
        <w:rPr>
          <w:szCs w:val="24"/>
        </w:rPr>
      </w:pPr>
      <w:r w:rsidRPr="00E608E7">
        <w:rPr>
          <w:szCs w:val="24"/>
        </w:rPr>
        <w:t xml:space="preserve">There </w:t>
      </w:r>
      <w:r w:rsidRPr="00E608E7" w:rsidR="00DC7405">
        <w:rPr>
          <w:szCs w:val="24"/>
        </w:rPr>
        <w:t>is</w:t>
      </w:r>
      <w:r w:rsidRPr="00E608E7">
        <w:rPr>
          <w:szCs w:val="24"/>
        </w:rPr>
        <w:t xml:space="preserve"> no capital</w:t>
      </w:r>
      <w:r w:rsidR="00DC7405">
        <w:rPr>
          <w:szCs w:val="24"/>
        </w:rPr>
        <w:t>,</w:t>
      </w:r>
      <w:r w:rsidRPr="00E608E7">
        <w:rPr>
          <w:szCs w:val="24"/>
        </w:rPr>
        <w:t xml:space="preserve"> start-up</w:t>
      </w:r>
      <w:r w:rsidR="00DC7405">
        <w:rPr>
          <w:szCs w:val="24"/>
        </w:rPr>
        <w:t>, maintenance or purchase of service</w:t>
      </w:r>
      <w:r w:rsidRPr="00E608E7">
        <w:rPr>
          <w:szCs w:val="24"/>
        </w:rPr>
        <w:t xml:space="preserve"> costs associated with this</w:t>
      </w:r>
      <w:r w:rsidR="00DC7405">
        <w:rPr>
          <w:szCs w:val="24"/>
        </w:rPr>
        <w:t xml:space="preserve"> </w:t>
      </w:r>
      <w:r w:rsidRPr="00E608E7">
        <w:rPr>
          <w:szCs w:val="24"/>
        </w:rPr>
        <w:t>information collection.</w:t>
      </w:r>
    </w:p>
    <w:p w:rsidR="000376FE" w:rsidRPr="00E608E7" w:rsidP="00436775" w14:paraId="44E13E4C" w14:textId="77777777">
      <w:pPr>
        <w:tabs>
          <w:tab w:val="left" w:pos="-1440"/>
        </w:tabs>
        <w:ind w:right="720"/>
        <w:rPr>
          <w:szCs w:val="24"/>
        </w:rPr>
      </w:pPr>
    </w:p>
    <w:p w:rsidR="00DC7405" w:rsidRPr="00E608E7" w:rsidP="00436775" w14:paraId="6C54A938" w14:textId="738EAF59">
      <w:pPr>
        <w:numPr>
          <w:ilvl w:val="0"/>
          <w:numId w:val="20"/>
        </w:numPr>
        <w:tabs>
          <w:tab w:val="left" w:pos="-1440"/>
        </w:tabs>
        <w:ind w:right="720"/>
        <w:rPr>
          <w:b/>
          <w:szCs w:val="24"/>
        </w:rPr>
      </w:pPr>
      <w:r w:rsidRPr="00DC7405">
        <w:rPr>
          <w:b/>
          <w:szCs w:val="24"/>
        </w:rPr>
        <w:t>E</w:t>
      </w:r>
      <w:r w:rsidRPr="00DC7405" w:rsidR="005E53D4">
        <w:rPr>
          <w:b/>
          <w:szCs w:val="24"/>
        </w:rPr>
        <w:t>stimate of Federal Government</w:t>
      </w:r>
      <w:r w:rsidRPr="00DC7405">
        <w:rPr>
          <w:b/>
          <w:szCs w:val="24"/>
        </w:rPr>
        <w:t xml:space="preserve"> Costs </w:t>
      </w:r>
    </w:p>
    <w:p w:rsidR="00F03527" w:rsidP="00436775" w14:paraId="180CE4BC" w14:textId="43E9E1F7">
      <w:pPr>
        <w:rPr>
          <w:szCs w:val="24"/>
        </w:rPr>
      </w:pPr>
    </w:p>
    <w:p w:rsidR="00F03527" w:rsidRPr="00F03527" w:rsidP="00F03527" w14:paraId="642CF688" w14:textId="35770538">
      <w:pPr>
        <w:ind w:firstLine="720"/>
        <w:rPr>
          <w:iCs/>
          <w:szCs w:val="24"/>
        </w:rPr>
      </w:pPr>
      <w:r>
        <w:rPr>
          <w:szCs w:val="24"/>
        </w:rPr>
        <w:tab/>
      </w:r>
      <w:r w:rsidRPr="00F03527">
        <w:rPr>
          <w:iCs/>
          <w:szCs w:val="24"/>
        </w:rPr>
        <w:t>According to the Office of Personnel Management (OPM)</w:t>
      </w:r>
      <w:r>
        <w:rPr>
          <w:rStyle w:val="FootnoteReference"/>
          <w:iCs/>
          <w:sz w:val="18"/>
          <w:szCs w:val="18"/>
        </w:rPr>
        <w:footnoteReference w:id="4"/>
      </w:r>
      <w:r w:rsidRPr="00436775">
        <w:rPr>
          <w:iCs/>
          <w:sz w:val="18"/>
          <w:szCs w:val="18"/>
        </w:rPr>
        <w:t xml:space="preserve"> </w:t>
      </w:r>
      <w:r w:rsidRPr="00F03527">
        <w:rPr>
          <w:iCs/>
          <w:szCs w:val="24"/>
        </w:rPr>
        <w:t xml:space="preserve">wage tables, the hourly rate </w:t>
      </w:r>
    </w:p>
    <w:p w:rsidR="00F03527" w:rsidRPr="00F03527" w:rsidP="00F03527" w14:paraId="2BFA9B58" w14:textId="5BE442CE">
      <w:pPr>
        <w:ind w:firstLine="720"/>
        <w:rPr>
          <w:iCs/>
          <w:szCs w:val="24"/>
        </w:rPr>
      </w:pPr>
      <w:r w:rsidRPr="00F03527">
        <w:rPr>
          <w:iCs/>
          <w:szCs w:val="24"/>
        </w:rPr>
        <w:tab/>
        <w:t>for a (GS 1</w:t>
      </w:r>
      <w:r>
        <w:rPr>
          <w:iCs/>
          <w:szCs w:val="24"/>
        </w:rPr>
        <w:t>4</w:t>
      </w:r>
      <w:r w:rsidRPr="00F03527">
        <w:rPr>
          <w:iCs/>
          <w:szCs w:val="24"/>
        </w:rPr>
        <w:t>, Step</w:t>
      </w:r>
      <w:r>
        <w:rPr>
          <w:iCs/>
          <w:szCs w:val="24"/>
        </w:rPr>
        <w:t xml:space="preserve"> 10</w:t>
      </w:r>
      <w:r w:rsidRPr="00F03527">
        <w:rPr>
          <w:iCs/>
          <w:szCs w:val="24"/>
        </w:rPr>
        <w:t xml:space="preserve">) Federal employees with a Washington-Baltimore-Arlington </w:t>
      </w:r>
    </w:p>
    <w:p w:rsidR="00F03527" w:rsidRPr="00F03527" w:rsidP="00F03527" w14:paraId="05CC0838" w14:textId="77777777">
      <w:pPr>
        <w:ind w:firstLine="720"/>
        <w:rPr>
          <w:iCs/>
          <w:szCs w:val="24"/>
        </w:rPr>
      </w:pPr>
      <w:r w:rsidRPr="00F03527">
        <w:rPr>
          <w:iCs/>
          <w:szCs w:val="24"/>
        </w:rPr>
        <w:tab/>
        <w:t>locality pay is</w:t>
      </w:r>
      <w:r>
        <w:rPr>
          <w:iCs/>
          <w:szCs w:val="24"/>
        </w:rPr>
        <w:t xml:space="preserve"> $ 88.76.  </w:t>
      </w:r>
      <w:r w:rsidRPr="00F03527">
        <w:rPr>
          <w:iCs/>
          <w:szCs w:val="24"/>
        </w:rPr>
        <w:t xml:space="preserve">When combined with the Federal Employee Compensation rate </w:t>
      </w:r>
    </w:p>
    <w:p w:rsidR="00F03527" w:rsidP="00F03527" w14:paraId="7618C01F" w14:textId="1E8FFFD8">
      <w:pPr>
        <w:ind w:firstLine="720"/>
        <w:rPr>
          <w:iCs/>
          <w:szCs w:val="24"/>
        </w:rPr>
      </w:pPr>
      <w:r w:rsidRPr="00F03527">
        <w:rPr>
          <w:iCs/>
          <w:szCs w:val="24"/>
        </w:rPr>
        <w:tab/>
        <w:t>of 31%</w:t>
      </w:r>
      <w:r>
        <w:rPr>
          <w:iCs/>
          <w:szCs w:val="24"/>
          <w:vertAlign w:val="superscript"/>
        </w:rPr>
        <w:footnoteReference w:id="5"/>
      </w:r>
      <w:r w:rsidRPr="00F03527">
        <w:rPr>
          <w:iCs/>
          <w:szCs w:val="24"/>
        </w:rPr>
        <w:t>, the total hourly wage rate for this employee is</w:t>
      </w:r>
      <w:r>
        <w:rPr>
          <w:iCs/>
          <w:szCs w:val="24"/>
        </w:rPr>
        <w:t xml:space="preserve">  $116.28. </w:t>
      </w:r>
      <w:r w:rsidR="00F01E90">
        <w:rPr>
          <w:iCs/>
          <w:szCs w:val="24"/>
        </w:rPr>
        <w:t xml:space="preserve"> </w:t>
      </w:r>
      <w:r>
        <w:rPr>
          <w:iCs/>
          <w:szCs w:val="24"/>
        </w:rPr>
        <w:t xml:space="preserve">This employee will take </w:t>
      </w:r>
    </w:p>
    <w:p w:rsidR="006E5C65" w:rsidP="006E5C65" w14:paraId="56C6A89F" w14:textId="169DFF2C">
      <w:pPr>
        <w:ind w:left="1440"/>
        <w:rPr>
          <w:iCs/>
          <w:szCs w:val="24"/>
        </w:rPr>
      </w:pPr>
      <w:r>
        <w:rPr>
          <w:iCs/>
          <w:szCs w:val="24"/>
        </w:rPr>
        <w:t xml:space="preserve">one hour to complete all tasks related </w:t>
      </w:r>
      <w:r>
        <w:rPr>
          <w:iCs/>
          <w:szCs w:val="24"/>
        </w:rPr>
        <w:t>to the processing of</w:t>
      </w:r>
      <w:r>
        <w:rPr>
          <w:iCs/>
          <w:szCs w:val="24"/>
        </w:rPr>
        <w:t xml:space="preserve"> </w:t>
      </w:r>
      <w:r w:rsidR="00120814">
        <w:rPr>
          <w:iCs/>
          <w:szCs w:val="24"/>
        </w:rPr>
        <w:t xml:space="preserve"> ten (</w:t>
      </w:r>
      <w:r>
        <w:rPr>
          <w:iCs/>
          <w:szCs w:val="24"/>
        </w:rPr>
        <w:t>10</w:t>
      </w:r>
      <w:r w:rsidR="00120814">
        <w:rPr>
          <w:iCs/>
          <w:szCs w:val="24"/>
        </w:rPr>
        <w:t xml:space="preserve">) </w:t>
      </w:r>
      <w:r>
        <w:rPr>
          <w:iCs/>
          <w:szCs w:val="24"/>
        </w:rPr>
        <w:t>completed</w:t>
      </w:r>
      <w:r>
        <w:rPr>
          <w:iCs/>
          <w:szCs w:val="24"/>
        </w:rPr>
        <w:t xml:space="preserve"> </w:t>
      </w:r>
      <w:r w:rsidR="00120814">
        <w:rPr>
          <w:iCs/>
          <w:szCs w:val="24"/>
        </w:rPr>
        <w:t xml:space="preserve">form </w:t>
      </w:r>
      <w:r>
        <w:rPr>
          <w:iCs/>
          <w:szCs w:val="24"/>
        </w:rPr>
        <w:t>MA-1025 for a total cost $ 1,162.80</w:t>
      </w:r>
      <w:r w:rsidR="00DF09B6">
        <w:rPr>
          <w:iCs/>
          <w:szCs w:val="24"/>
        </w:rPr>
        <w:t>.  This employee will also take</w:t>
      </w:r>
      <w:r w:rsidR="00120814">
        <w:rPr>
          <w:iCs/>
          <w:szCs w:val="24"/>
        </w:rPr>
        <w:t xml:space="preserve"> </w:t>
      </w:r>
      <w:r>
        <w:rPr>
          <w:iCs/>
          <w:szCs w:val="24"/>
        </w:rPr>
        <w:t xml:space="preserve">one (1) hour to complete all tasks related to processing ten (10) completed </w:t>
      </w:r>
      <w:r w:rsidR="00120814">
        <w:rPr>
          <w:iCs/>
          <w:szCs w:val="24"/>
        </w:rPr>
        <w:t xml:space="preserve">form </w:t>
      </w:r>
      <w:r>
        <w:rPr>
          <w:iCs/>
          <w:szCs w:val="24"/>
        </w:rPr>
        <w:t>MA-172 for a total cost of $ 1,162.20</w:t>
      </w:r>
      <w:r w:rsidR="00DF09B6">
        <w:rPr>
          <w:iCs/>
          <w:szCs w:val="24"/>
        </w:rPr>
        <w:t>.  In addition, this employee will also take</w:t>
      </w:r>
      <w:r>
        <w:rPr>
          <w:iCs/>
          <w:szCs w:val="24"/>
        </w:rPr>
        <w:t xml:space="preserve"> 153 hours to complete all tasks related to disseminating  material, processing responses, and capturing data related to two </w:t>
      </w:r>
      <w:r w:rsidR="00120814">
        <w:rPr>
          <w:iCs/>
          <w:szCs w:val="24"/>
        </w:rPr>
        <w:t xml:space="preserve">(2) </w:t>
      </w:r>
      <w:r>
        <w:rPr>
          <w:iCs/>
          <w:szCs w:val="24"/>
        </w:rPr>
        <w:t>completed</w:t>
      </w:r>
      <w:r w:rsidR="00DF09B6">
        <w:rPr>
          <w:iCs/>
          <w:szCs w:val="24"/>
        </w:rPr>
        <w:t xml:space="preserve"> form</w:t>
      </w:r>
      <w:r>
        <w:rPr>
          <w:iCs/>
          <w:szCs w:val="24"/>
        </w:rPr>
        <w:t xml:space="preserve"> MA-1025 three</w:t>
      </w:r>
      <w:r w:rsidR="00120814">
        <w:rPr>
          <w:iCs/>
          <w:szCs w:val="24"/>
        </w:rPr>
        <w:t xml:space="preserve"> (3)</w:t>
      </w:r>
      <w:r>
        <w:rPr>
          <w:iCs/>
          <w:szCs w:val="24"/>
        </w:rPr>
        <w:t xml:space="preserve"> times a year, for a total $ </w:t>
      </w:r>
      <w:r w:rsidR="00A13F3C">
        <w:rPr>
          <w:iCs/>
          <w:szCs w:val="24"/>
        </w:rPr>
        <w:t>106,745.04</w:t>
      </w:r>
      <w:r>
        <w:rPr>
          <w:iCs/>
          <w:szCs w:val="24"/>
        </w:rPr>
        <w:t>.</w:t>
      </w:r>
      <w:r w:rsidR="00A13F3C">
        <w:rPr>
          <w:iCs/>
          <w:szCs w:val="24"/>
        </w:rPr>
        <w:t xml:space="preserve"> </w:t>
      </w:r>
      <w:r>
        <w:rPr>
          <w:iCs/>
          <w:szCs w:val="24"/>
        </w:rPr>
        <w:t xml:space="preserve"> Therefore, the total combined Federal Government cost associated with this collection is $ </w:t>
      </w:r>
      <w:r w:rsidR="00A13F3C">
        <w:rPr>
          <w:iCs/>
          <w:szCs w:val="24"/>
        </w:rPr>
        <w:t>109,745.04</w:t>
      </w:r>
      <w:r>
        <w:rPr>
          <w:iCs/>
          <w:szCs w:val="24"/>
        </w:rPr>
        <w:t xml:space="preserve">, which can be calculated as shown in the table before: </w:t>
      </w:r>
    </w:p>
    <w:p w:rsidR="00723105" w:rsidP="006E5C65" w14:paraId="28BCDC2B" w14:textId="77777777">
      <w:pPr>
        <w:ind w:left="1440"/>
        <w:rPr>
          <w:iCs/>
          <w:szCs w:val="24"/>
        </w:rPr>
      </w:pPr>
    </w:p>
    <w:tbl>
      <w:tblPr>
        <w:tblW w:w="11160" w:type="dxa"/>
        <w:tblInd w:w="-5" w:type="dxa"/>
        <w:tblLayout w:type="fixed"/>
        <w:tblLook w:val="04A0"/>
      </w:tblPr>
      <w:tblGrid>
        <w:gridCol w:w="1884"/>
        <w:gridCol w:w="900"/>
        <w:gridCol w:w="1450"/>
        <w:gridCol w:w="316"/>
        <w:gridCol w:w="1139"/>
        <w:gridCol w:w="520"/>
        <w:gridCol w:w="1172"/>
        <w:gridCol w:w="471"/>
        <w:gridCol w:w="1350"/>
        <w:gridCol w:w="412"/>
        <w:gridCol w:w="1546"/>
      </w:tblGrid>
      <w:tr w14:paraId="71FC4142" w14:textId="77777777" w:rsidTr="00436775">
        <w:tblPrEx>
          <w:tblW w:w="11160" w:type="dxa"/>
          <w:tblInd w:w="-5" w:type="dxa"/>
          <w:tblLayout w:type="fixed"/>
          <w:tblLook w:val="04A0"/>
        </w:tblPrEx>
        <w:trPr>
          <w:trHeight w:val="1020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723105" w:rsidRPr="00436775" w:rsidP="00436775" w14:paraId="4B3609B1" w14:textId="77777777">
            <w:pPr>
              <w:widowControl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436775">
              <w:rPr>
                <w:b/>
                <w:bCs/>
                <w:snapToGrid/>
                <w:color w:val="000000"/>
                <w:sz w:val="20"/>
              </w:rPr>
              <w:t>FTE Grade and Step &amp; CRF Program Related  Task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723105" w:rsidRPr="00436775" w:rsidP="00120814" w14:paraId="731E9FBE" w14:textId="77777777">
            <w:pPr>
              <w:widowControl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436775">
              <w:rPr>
                <w:b/>
                <w:bCs/>
                <w:snapToGrid/>
                <w:color w:val="000000"/>
                <w:sz w:val="20"/>
              </w:rPr>
              <w:t>Hourly Wage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723105" w:rsidRPr="00436775" w:rsidP="00120814" w14:paraId="78E3310F" w14:textId="223779E0">
            <w:pPr>
              <w:widowControl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436775">
              <w:rPr>
                <w:b/>
                <w:bCs/>
                <w:snapToGrid/>
                <w:color w:val="000000"/>
                <w:sz w:val="20"/>
              </w:rPr>
              <w:t>Average Hourly Wage Rate with 31% Compensation</w:t>
            </w:r>
          </w:p>
        </w:tc>
        <w:tc>
          <w:tcPr>
            <w:tcW w:w="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723105" w:rsidRPr="00723105" w:rsidP="00120814" w14:paraId="47CF91F3" w14:textId="77777777">
            <w:pPr>
              <w:widowControl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723105" w:rsidRPr="00436775" w:rsidP="00120814" w14:paraId="3EDE0229" w14:textId="454B3B93">
            <w:pPr>
              <w:widowControl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436775">
              <w:rPr>
                <w:b/>
                <w:bCs/>
                <w:snapToGrid/>
                <w:color w:val="000000"/>
                <w:sz w:val="20"/>
              </w:rPr>
              <w:t>Total Employees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723105" w:rsidRPr="00723105" w:rsidP="00120814" w14:paraId="46527ECD" w14:textId="77777777">
            <w:pPr>
              <w:widowControl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723105" w:rsidRPr="00436775" w:rsidP="00120814" w14:paraId="6605C685" w14:textId="092AB445">
            <w:pPr>
              <w:widowControl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436775">
              <w:rPr>
                <w:b/>
                <w:bCs/>
                <w:snapToGrid/>
                <w:color w:val="000000"/>
                <w:sz w:val="20"/>
              </w:rPr>
              <w:t>Total Time for Per application  ( Avg. Hours)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723105" w:rsidRPr="00723105" w:rsidP="00120814" w14:paraId="1D27B1B2" w14:textId="77777777">
            <w:pPr>
              <w:widowControl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723105" w:rsidRPr="00436775" w:rsidP="00120814" w14:paraId="069DBE2D" w14:textId="72394EE4">
            <w:pPr>
              <w:widowControl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436775">
              <w:rPr>
                <w:b/>
                <w:bCs/>
                <w:snapToGrid/>
                <w:color w:val="000000"/>
                <w:sz w:val="20"/>
              </w:rPr>
              <w:t>Total Applications/ Total Responses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723105" w:rsidRPr="00723105" w:rsidP="00120814" w14:paraId="7971BBB9" w14:textId="77777777">
            <w:pPr>
              <w:widowControl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723105" w:rsidRPr="00436775" w:rsidP="00120814" w14:paraId="6C95805D" w14:textId="1B946E87">
            <w:pPr>
              <w:widowControl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436775">
              <w:rPr>
                <w:b/>
                <w:bCs/>
                <w:snapToGrid/>
                <w:color w:val="000000"/>
                <w:sz w:val="20"/>
              </w:rPr>
              <w:t>Total Federal Government Wages</w:t>
            </w:r>
          </w:p>
        </w:tc>
      </w:tr>
      <w:tr w14:paraId="6976ECA4" w14:textId="77777777" w:rsidTr="00120814">
        <w:tblPrEx>
          <w:tblW w:w="11160" w:type="dxa"/>
          <w:tblInd w:w="-5" w:type="dxa"/>
          <w:tblLayout w:type="fixed"/>
          <w:tblLook w:val="04A0"/>
        </w:tblPrEx>
        <w:trPr>
          <w:trHeight w:val="900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3105" w:rsidRPr="00436775" w:rsidP="00436775" w14:paraId="116E9015" w14:textId="3417169D">
            <w:pPr>
              <w:widowControl/>
              <w:jc w:val="center"/>
              <w:rPr>
                <w:snapToGrid/>
                <w:sz w:val="20"/>
              </w:rPr>
            </w:pPr>
            <w:r w:rsidRPr="00436775">
              <w:rPr>
                <w:snapToGrid/>
                <w:sz w:val="20"/>
              </w:rPr>
              <w:t>GS</w:t>
            </w:r>
            <w:r w:rsidR="00120814">
              <w:rPr>
                <w:snapToGrid/>
                <w:sz w:val="20"/>
              </w:rPr>
              <w:t xml:space="preserve"> </w:t>
            </w:r>
            <w:r w:rsidRPr="00436775">
              <w:rPr>
                <w:snapToGrid/>
                <w:sz w:val="20"/>
              </w:rPr>
              <w:t xml:space="preserve">14 (Step 10):  All tasks related to </w:t>
            </w:r>
            <w:r w:rsidR="00120814">
              <w:rPr>
                <w:snapToGrid/>
                <w:sz w:val="20"/>
              </w:rPr>
              <w:t xml:space="preserve">processing </w:t>
            </w:r>
            <w:r w:rsidRPr="00436775">
              <w:rPr>
                <w:snapToGrid/>
                <w:sz w:val="20"/>
              </w:rPr>
              <w:t>MA-1025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3105" w:rsidRPr="00436775" w:rsidP="00436775" w14:paraId="599A21D6" w14:textId="27B8992A">
            <w:pPr>
              <w:widowControl/>
              <w:jc w:val="center"/>
              <w:rPr>
                <w:snapToGrid/>
                <w:sz w:val="20"/>
              </w:rPr>
            </w:pPr>
            <w:r w:rsidRPr="00436775">
              <w:rPr>
                <w:snapToGrid/>
                <w:sz w:val="20"/>
              </w:rPr>
              <w:t>$ 88.76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3105" w:rsidRPr="00436775" w:rsidP="00120814" w14:paraId="0910EF07" w14:textId="644C1216">
            <w:pPr>
              <w:widowControl/>
              <w:jc w:val="center"/>
              <w:rPr>
                <w:snapToGrid/>
                <w:sz w:val="20"/>
              </w:rPr>
            </w:pPr>
            <w:r w:rsidRPr="00436775">
              <w:rPr>
                <w:snapToGrid/>
                <w:sz w:val="20"/>
              </w:rPr>
              <w:t>$ 116.28</w:t>
            </w:r>
          </w:p>
        </w:tc>
        <w:tc>
          <w:tcPr>
            <w:tcW w:w="3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3105" w:rsidRPr="00436775" w:rsidP="00120814" w14:paraId="1CB2CAF3" w14:textId="453C0C38">
            <w:pPr>
              <w:jc w:val="center"/>
              <w:rPr>
                <w:snapToGrid/>
                <w:sz w:val="20"/>
              </w:rPr>
            </w:pPr>
            <w:r w:rsidRPr="00436775">
              <w:rPr>
                <w:snapToGrid/>
                <w:sz w:val="20"/>
              </w:rPr>
              <w:t>*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3105" w:rsidRPr="00436775" w:rsidP="00120814" w14:paraId="69AEA2AD" w14:textId="011EFBE9">
            <w:pPr>
              <w:widowControl/>
              <w:jc w:val="center"/>
              <w:rPr>
                <w:snapToGrid/>
                <w:sz w:val="20"/>
              </w:rPr>
            </w:pPr>
            <w:r w:rsidRPr="00436775">
              <w:rPr>
                <w:snapToGrid/>
                <w:sz w:val="20"/>
              </w:rPr>
              <w:t>1</w:t>
            </w:r>
          </w:p>
        </w:tc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3105" w:rsidRPr="00436775" w:rsidP="00120814" w14:paraId="38A6B4A0" w14:textId="77777777">
            <w:pPr>
              <w:widowControl/>
              <w:jc w:val="center"/>
              <w:rPr>
                <w:snapToGrid/>
                <w:sz w:val="20"/>
              </w:rPr>
            </w:pPr>
          </w:p>
          <w:p w:rsidR="00723105" w:rsidRPr="00436775" w:rsidP="00120814" w14:paraId="6E6C3544" w14:textId="77777777">
            <w:pPr>
              <w:widowControl/>
              <w:jc w:val="center"/>
              <w:rPr>
                <w:snapToGrid/>
                <w:sz w:val="20"/>
              </w:rPr>
            </w:pPr>
          </w:p>
          <w:p w:rsidR="00723105" w:rsidRPr="00436775" w:rsidP="00120814" w14:paraId="128EB94A" w14:textId="4844550F">
            <w:pPr>
              <w:jc w:val="center"/>
              <w:rPr>
                <w:snapToGrid/>
                <w:sz w:val="20"/>
              </w:rPr>
            </w:pPr>
            <w:r w:rsidRPr="00436775">
              <w:rPr>
                <w:snapToGrid/>
                <w:sz w:val="20"/>
              </w:rPr>
              <w:t>*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3105" w:rsidRPr="00436775" w:rsidP="00120814" w14:paraId="6BA3BD75" w14:textId="65D7601A">
            <w:pPr>
              <w:widowControl/>
              <w:jc w:val="center"/>
              <w:rPr>
                <w:snapToGrid/>
                <w:sz w:val="20"/>
              </w:rPr>
            </w:pPr>
            <w:r w:rsidRPr="00436775">
              <w:rPr>
                <w:snapToGrid/>
                <w:sz w:val="20"/>
              </w:rPr>
              <w:t>1</w:t>
            </w:r>
          </w:p>
        </w:tc>
        <w:tc>
          <w:tcPr>
            <w:tcW w:w="4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3105" w:rsidRPr="00436775" w:rsidP="00120814" w14:paraId="111DF3C3" w14:textId="1119EC15">
            <w:pPr>
              <w:widowControl/>
              <w:jc w:val="center"/>
              <w:rPr>
                <w:snapToGrid/>
                <w:sz w:val="20"/>
              </w:rPr>
            </w:pPr>
            <w:r w:rsidRPr="00436775">
              <w:rPr>
                <w:snapToGrid/>
                <w:sz w:val="20"/>
              </w:rPr>
              <w:t>*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3105" w:rsidRPr="00436775" w:rsidP="00120814" w14:paraId="03A81FF4" w14:textId="16D8AAD2">
            <w:pPr>
              <w:widowControl/>
              <w:jc w:val="center"/>
              <w:rPr>
                <w:snapToGrid/>
                <w:sz w:val="20"/>
              </w:rPr>
            </w:pPr>
            <w:r w:rsidRPr="00436775">
              <w:rPr>
                <w:snapToGrid/>
                <w:sz w:val="20"/>
              </w:rPr>
              <w:t>10</w:t>
            </w:r>
          </w:p>
        </w:tc>
        <w:tc>
          <w:tcPr>
            <w:tcW w:w="4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3105" w:rsidRPr="00436775" w:rsidP="00436775" w14:paraId="2627DC81" w14:textId="77777777">
            <w:pPr>
              <w:widowControl/>
              <w:jc w:val="center"/>
              <w:rPr>
                <w:snapToGrid/>
                <w:sz w:val="20"/>
              </w:rPr>
            </w:pPr>
          </w:p>
          <w:p w:rsidR="00723105" w:rsidRPr="00436775" w:rsidP="00436775" w14:paraId="71EA3BB3" w14:textId="77777777">
            <w:pPr>
              <w:widowControl/>
              <w:jc w:val="center"/>
              <w:rPr>
                <w:snapToGrid/>
                <w:sz w:val="20"/>
              </w:rPr>
            </w:pPr>
          </w:p>
          <w:p w:rsidR="00723105" w:rsidRPr="00436775" w:rsidP="00436775" w14:paraId="18F0301B" w14:textId="77777777">
            <w:pPr>
              <w:widowControl/>
              <w:jc w:val="center"/>
              <w:rPr>
                <w:snapToGrid/>
                <w:sz w:val="20"/>
              </w:rPr>
            </w:pPr>
          </w:p>
          <w:p w:rsidR="00723105" w:rsidRPr="00436775" w:rsidP="00436775" w14:paraId="760DD5DE" w14:textId="77777777">
            <w:pPr>
              <w:widowControl/>
              <w:jc w:val="center"/>
              <w:rPr>
                <w:snapToGrid/>
                <w:sz w:val="20"/>
              </w:rPr>
            </w:pPr>
          </w:p>
          <w:p w:rsidR="00723105" w:rsidRPr="00436775" w:rsidP="00436775" w14:paraId="5AD274A7" w14:textId="4C6F3715">
            <w:pPr>
              <w:widowControl/>
              <w:jc w:val="center"/>
              <w:rPr>
                <w:snapToGrid/>
                <w:sz w:val="20"/>
              </w:rPr>
            </w:pPr>
            <w:r w:rsidRPr="00436775">
              <w:rPr>
                <w:snapToGrid/>
                <w:sz w:val="20"/>
              </w:rPr>
              <w:t>=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3105" w:rsidRPr="00436775" w:rsidP="00436775" w14:paraId="63DE7D39" w14:textId="2E4CBBE1">
            <w:pPr>
              <w:widowControl/>
              <w:jc w:val="center"/>
              <w:rPr>
                <w:snapToGrid/>
                <w:sz w:val="20"/>
              </w:rPr>
            </w:pPr>
            <w:r w:rsidRPr="00436775">
              <w:rPr>
                <w:snapToGrid/>
                <w:sz w:val="20"/>
              </w:rPr>
              <w:t>$ 1,162.80</w:t>
            </w:r>
          </w:p>
        </w:tc>
      </w:tr>
      <w:tr w14:paraId="6774AF91" w14:textId="77777777" w:rsidTr="00120814">
        <w:tblPrEx>
          <w:tblW w:w="11160" w:type="dxa"/>
          <w:tblInd w:w="-5" w:type="dxa"/>
          <w:tblLayout w:type="fixed"/>
          <w:tblLook w:val="04A0"/>
        </w:tblPrEx>
        <w:trPr>
          <w:trHeight w:val="765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3105" w:rsidRPr="00436775" w:rsidP="00436775" w14:paraId="12612FDD" w14:textId="50D0630E">
            <w:pPr>
              <w:widowControl/>
              <w:jc w:val="center"/>
              <w:rPr>
                <w:snapToGrid/>
                <w:sz w:val="20"/>
              </w:rPr>
            </w:pPr>
            <w:r w:rsidRPr="00436775">
              <w:rPr>
                <w:snapToGrid/>
                <w:sz w:val="20"/>
              </w:rPr>
              <w:t>GS</w:t>
            </w:r>
            <w:r w:rsidR="00120814">
              <w:rPr>
                <w:snapToGrid/>
                <w:sz w:val="20"/>
              </w:rPr>
              <w:t xml:space="preserve"> </w:t>
            </w:r>
            <w:r w:rsidRPr="00436775">
              <w:rPr>
                <w:snapToGrid/>
                <w:sz w:val="20"/>
              </w:rPr>
              <w:t xml:space="preserve">14 (Step 10): All tasks related to </w:t>
            </w:r>
            <w:r w:rsidR="00120814">
              <w:rPr>
                <w:snapToGrid/>
                <w:sz w:val="20"/>
              </w:rPr>
              <w:t xml:space="preserve">processing </w:t>
            </w:r>
            <w:r w:rsidRPr="00436775">
              <w:rPr>
                <w:snapToGrid/>
                <w:sz w:val="20"/>
              </w:rPr>
              <w:t>MA-172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3105" w:rsidRPr="00436775" w:rsidP="00436775" w14:paraId="3575F46C" w14:textId="5283CC28">
            <w:pPr>
              <w:widowControl/>
              <w:jc w:val="center"/>
              <w:rPr>
                <w:snapToGrid/>
                <w:sz w:val="20"/>
              </w:rPr>
            </w:pPr>
            <w:r w:rsidRPr="00436775">
              <w:rPr>
                <w:snapToGrid/>
                <w:sz w:val="20"/>
              </w:rPr>
              <w:t>$ 88.76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3105" w:rsidRPr="00436775" w:rsidP="00120814" w14:paraId="092EA37C" w14:textId="073D5C25">
            <w:pPr>
              <w:widowControl/>
              <w:jc w:val="center"/>
              <w:rPr>
                <w:snapToGrid/>
                <w:sz w:val="20"/>
              </w:rPr>
            </w:pPr>
            <w:r w:rsidRPr="00436775">
              <w:rPr>
                <w:snapToGrid/>
                <w:sz w:val="20"/>
              </w:rPr>
              <w:t>$ 116.28</w:t>
            </w:r>
          </w:p>
        </w:tc>
        <w:tc>
          <w:tcPr>
            <w:tcW w:w="3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3105" w:rsidRPr="00436775" w:rsidP="00120814" w14:paraId="06CE89E4" w14:textId="3E3D0029">
            <w:pPr>
              <w:widowControl/>
              <w:jc w:val="center"/>
              <w:rPr>
                <w:snapToGrid/>
                <w:sz w:val="20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3105" w:rsidRPr="00436775" w:rsidP="00120814" w14:paraId="5D429420" w14:textId="122093B0">
            <w:pPr>
              <w:widowControl/>
              <w:jc w:val="center"/>
              <w:rPr>
                <w:snapToGrid/>
                <w:sz w:val="20"/>
              </w:rPr>
            </w:pPr>
            <w:r w:rsidRPr="00436775">
              <w:rPr>
                <w:snapToGrid/>
                <w:sz w:val="20"/>
              </w:rPr>
              <w:t>1</w:t>
            </w:r>
          </w:p>
        </w:tc>
        <w:tc>
          <w:tcPr>
            <w:tcW w:w="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3105" w:rsidRPr="00436775" w:rsidP="00120814" w14:paraId="71510A3F" w14:textId="7F92AA93">
            <w:pPr>
              <w:widowControl/>
              <w:jc w:val="center"/>
              <w:rPr>
                <w:snapToGrid/>
                <w:sz w:val="20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3105" w:rsidRPr="00436775" w:rsidP="00120814" w14:paraId="5E3985C9" w14:textId="0866F852">
            <w:pPr>
              <w:widowControl/>
              <w:jc w:val="center"/>
              <w:rPr>
                <w:snapToGrid/>
                <w:sz w:val="20"/>
              </w:rPr>
            </w:pPr>
            <w:r w:rsidRPr="00436775">
              <w:rPr>
                <w:snapToGrid/>
                <w:sz w:val="20"/>
              </w:rPr>
              <w:t>1</w:t>
            </w:r>
          </w:p>
        </w:tc>
        <w:tc>
          <w:tcPr>
            <w:tcW w:w="4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3105" w:rsidRPr="00436775" w:rsidP="00436775" w14:paraId="0E1B0705" w14:textId="77777777">
            <w:pPr>
              <w:widowControl/>
              <w:jc w:val="center"/>
              <w:rPr>
                <w:snapToGrid/>
                <w:sz w:val="20"/>
              </w:rPr>
            </w:pPr>
          </w:p>
        </w:tc>
        <w:tc>
          <w:tcPr>
            <w:tcW w:w="13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3105" w:rsidRPr="00436775" w:rsidP="00436775" w14:paraId="5FCE5B04" w14:textId="451D3F87">
            <w:pPr>
              <w:widowControl/>
              <w:jc w:val="center"/>
              <w:rPr>
                <w:snapToGrid/>
                <w:sz w:val="20"/>
              </w:rPr>
            </w:pPr>
          </w:p>
        </w:tc>
        <w:tc>
          <w:tcPr>
            <w:tcW w:w="4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3105" w:rsidRPr="00436775" w:rsidP="00436775" w14:paraId="52235F7A" w14:textId="77777777">
            <w:pPr>
              <w:widowControl/>
              <w:jc w:val="center"/>
              <w:rPr>
                <w:snapToGrid/>
                <w:sz w:val="20"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3105" w:rsidRPr="00436775" w:rsidP="00436775" w14:paraId="0A8690FB" w14:textId="479C19D8">
            <w:pPr>
              <w:widowControl/>
              <w:jc w:val="center"/>
              <w:rPr>
                <w:snapToGrid/>
                <w:sz w:val="20"/>
              </w:rPr>
            </w:pPr>
            <w:r w:rsidRPr="00436775">
              <w:rPr>
                <w:snapToGrid/>
                <w:sz w:val="20"/>
              </w:rPr>
              <w:t>$ 1,162.80</w:t>
            </w:r>
          </w:p>
        </w:tc>
      </w:tr>
      <w:tr w14:paraId="1ACC4EC3" w14:textId="77777777" w:rsidTr="00120814">
        <w:tblPrEx>
          <w:tblW w:w="11160" w:type="dxa"/>
          <w:tblInd w:w="-5" w:type="dxa"/>
          <w:tblLayout w:type="fixed"/>
          <w:tblLook w:val="04A0"/>
        </w:tblPrEx>
        <w:trPr>
          <w:trHeight w:val="765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3105" w:rsidRPr="00436775" w:rsidP="00436775" w14:paraId="02804B56" w14:textId="0E98989C">
            <w:pPr>
              <w:widowControl/>
              <w:jc w:val="center"/>
              <w:rPr>
                <w:snapToGrid/>
                <w:sz w:val="20"/>
              </w:rPr>
            </w:pPr>
            <w:r w:rsidRPr="00436775">
              <w:rPr>
                <w:snapToGrid/>
                <w:sz w:val="20"/>
              </w:rPr>
              <w:t>GS</w:t>
            </w:r>
            <w:r w:rsidR="00120814">
              <w:rPr>
                <w:snapToGrid/>
                <w:sz w:val="20"/>
              </w:rPr>
              <w:t xml:space="preserve"> </w:t>
            </w:r>
            <w:r w:rsidRPr="00436775">
              <w:rPr>
                <w:snapToGrid/>
                <w:sz w:val="20"/>
              </w:rPr>
              <w:t xml:space="preserve">14 (Step 10):  All tasks related to </w:t>
            </w:r>
            <w:r w:rsidR="00120814">
              <w:rPr>
                <w:snapToGrid/>
                <w:sz w:val="20"/>
              </w:rPr>
              <w:t xml:space="preserve">processing </w:t>
            </w:r>
            <w:r w:rsidRPr="00436775">
              <w:rPr>
                <w:snapToGrid/>
                <w:sz w:val="20"/>
              </w:rPr>
              <w:t>MA-1026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3105" w:rsidRPr="00436775" w:rsidP="00436775" w14:paraId="0ED6C6CF" w14:textId="4E22D528">
            <w:pPr>
              <w:widowControl/>
              <w:jc w:val="center"/>
              <w:rPr>
                <w:snapToGrid/>
                <w:sz w:val="20"/>
              </w:rPr>
            </w:pPr>
            <w:r w:rsidRPr="00436775">
              <w:rPr>
                <w:snapToGrid/>
                <w:sz w:val="20"/>
              </w:rPr>
              <w:t>$ 88.76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3105" w:rsidRPr="00436775" w:rsidP="00120814" w14:paraId="6095BF41" w14:textId="3B0D871F">
            <w:pPr>
              <w:widowControl/>
              <w:jc w:val="center"/>
              <w:rPr>
                <w:snapToGrid/>
                <w:sz w:val="20"/>
              </w:rPr>
            </w:pPr>
            <w:r w:rsidRPr="00436775">
              <w:rPr>
                <w:snapToGrid/>
                <w:sz w:val="20"/>
              </w:rPr>
              <w:t>$ 116.28</w:t>
            </w:r>
          </w:p>
        </w:tc>
        <w:tc>
          <w:tcPr>
            <w:tcW w:w="3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3105" w:rsidRPr="00436775" w:rsidP="00120814" w14:paraId="79355685" w14:textId="77777777">
            <w:pPr>
              <w:widowControl/>
              <w:jc w:val="center"/>
              <w:rPr>
                <w:snapToGrid/>
                <w:sz w:val="20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3105" w:rsidRPr="00436775" w:rsidP="00120814" w14:paraId="6BD6F91A" w14:textId="3C8C9B79">
            <w:pPr>
              <w:widowControl/>
              <w:jc w:val="center"/>
              <w:rPr>
                <w:snapToGrid/>
                <w:sz w:val="20"/>
              </w:rPr>
            </w:pPr>
            <w:r w:rsidRPr="00436775">
              <w:rPr>
                <w:snapToGrid/>
                <w:sz w:val="20"/>
              </w:rPr>
              <w:t>1</w:t>
            </w:r>
          </w:p>
        </w:tc>
        <w:tc>
          <w:tcPr>
            <w:tcW w:w="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3105" w:rsidRPr="00436775" w:rsidP="00120814" w14:paraId="0A7EA56A" w14:textId="77777777">
            <w:pPr>
              <w:widowControl/>
              <w:jc w:val="center"/>
              <w:rPr>
                <w:snapToGrid/>
                <w:sz w:val="20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3105" w:rsidRPr="00436775" w:rsidP="00120814" w14:paraId="311F4824" w14:textId="4D031663">
            <w:pPr>
              <w:widowControl/>
              <w:jc w:val="center"/>
              <w:rPr>
                <w:snapToGrid/>
                <w:sz w:val="20"/>
              </w:rPr>
            </w:pPr>
            <w:r w:rsidRPr="00436775">
              <w:rPr>
                <w:snapToGrid/>
                <w:sz w:val="20"/>
              </w:rPr>
              <w:t>153</w:t>
            </w:r>
          </w:p>
        </w:tc>
        <w:tc>
          <w:tcPr>
            <w:tcW w:w="4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3105" w:rsidRPr="00436775" w:rsidP="00120814" w14:paraId="3130953C" w14:textId="77777777">
            <w:pPr>
              <w:widowControl/>
              <w:jc w:val="center"/>
              <w:rPr>
                <w:snapToGrid/>
                <w:sz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3105" w:rsidRPr="00436775" w:rsidP="00120814" w14:paraId="181F63EC" w14:textId="3DE910A6">
            <w:pPr>
              <w:widowControl/>
              <w:jc w:val="center"/>
              <w:rPr>
                <w:snapToGrid/>
                <w:sz w:val="20"/>
              </w:rPr>
            </w:pPr>
            <w:r w:rsidRPr="00436775">
              <w:rPr>
                <w:snapToGrid/>
                <w:sz w:val="20"/>
              </w:rPr>
              <w:t>6</w:t>
            </w:r>
          </w:p>
        </w:tc>
        <w:tc>
          <w:tcPr>
            <w:tcW w:w="4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3105" w:rsidRPr="00436775" w:rsidP="00436775" w14:paraId="0F3A545F" w14:textId="77777777">
            <w:pPr>
              <w:widowControl/>
              <w:jc w:val="center"/>
              <w:rPr>
                <w:snapToGrid/>
                <w:sz w:val="20"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3105" w:rsidRPr="00436775" w:rsidP="00436775" w14:paraId="07491C38" w14:textId="377D73CB">
            <w:pPr>
              <w:widowControl/>
              <w:jc w:val="center"/>
              <w:rPr>
                <w:snapToGrid/>
                <w:sz w:val="20"/>
              </w:rPr>
            </w:pPr>
            <w:r w:rsidRPr="00436775">
              <w:rPr>
                <w:snapToGrid/>
                <w:sz w:val="20"/>
              </w:rPr>
              <w:t xml:space="preserve">$ </w:t>
            </w:r>
            <w:r w:rsidR="00120814">
              <w:rPr>
                <w:snapToGrid/>
                <w:sz w:val="20"/>
              </w:rPr>
              <w:t>106,745.04</w:t>
            </w:r>
          </w:p>
        </w:tc>
      </w:tr>
      <w:tr w14:paraId="10C25C4F" w14:textId="77777777" w:rsidTr="00436775">
        <w:tblPrEx>
          <w:tblW w:w="11160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961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0814" w:rsidRPr="00436775" w:rsidP="00436775" w14:paraId="27DA7954" w14:textId="5F3B6513">
            <w:pPr>
              <w:widowControl/>
              <w:jc w:val="center"/>
              <w:rPr>
                <w:b/>
                <w:bCs/>
                <w:snapToGrid/>
                <w:sz w:val="20"/>
              </w:rPr>
            </w:pPr>
            <w:r w:rsidRPr="00120814">
              <w:rPr>
                <w:b/>
                <w:bCs/>
                <w:snapToGrid/>
                <w:sz w:val="20"/>
              </w:rPr>
              <w:t>TOTAL COMBINED FEDERAL WAGES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20814" w:rsidRPr="00436775" w:rsidP="00436775" w14:paraId="461E3ACB" w14:textId="62922A90">
            <w:pPr>
              <w:widowControl/>
              <w:jc w:val="center"/>
              <w:rPr>
                <w:b/>
                <w:bCs/>
                <w:snapToGrid/>
                <w:sz w:val="20"/>
              </w:rPr>
            </w:pPr>
            <w:r w:rsidRPr="00436775">
              <w:rPr>
                <w:b/>
                <w:bCs/>
                <w:snapToGrid/>
                <w:sz w:val="20"/>
              </w:rPr>
              <w:t xml:space="preserve">$     </w:t>
            </w:r>
            <w:r>
              <w:rPr>
                <w:b/>
                <w:bCs/>
                <w:snapToGrid/>
                <w:sz w:val="20"/>
              </w:rPr>
              <w:t>109,070.64</w:t>
            </w:r>
          </w:p>
        </w:tc>
      </w:tr>
    </w:tbl>
    <w:p w:rsidR="00F03527" w:rsidP="00436775" w14:paraId="55DE6AF7" w14:textId="77777777">
      <w:pPr>
        <w:rPr>
          <w:szCs w:val="24"/>
        </w:rPr>
      </w:pPr>
    </w:p>
    <w:p w:rsidR="005E53D4" w:rsidRPr="00E608E7" w14:paraId="50C19DB0" w14:textId="6A5F4EB1">
      <w:pPr>
        <w:numPr>
          <w:ilvl w:val="0"/>
          <w:numId w:val="4"/>
        </w:numPr>
        <w:tabs>
          <w:tab w:val="left" w:pos="-1440"/>
        </w:tabs>
        <w:rPr>
          <w:b/>
          <w:szCs w:val="24"/>
        </w:rPr>
      </w:pPr>
      <w:r w:rsidRPr="00E608E7">
        <w:rPr>
          <w:b/>
          <w:szCs w:val="24"/>
        </w:rPr>
        <w:t>Expla</w:t>
      </w:r>
      <w:r w:rsidR="00192684">
        <w:rPr>
          <w:b/>
          <w:szCs w:val="24"/>
        </w:rPr>
        <w:t>nation of P</w:t>
      </w:r>
      <w:r w:rsidRPr="00E608E7">
        <w:rPr>
          <w:b/>
          <w:szCs w:val="24"/>
        </w:rPr>
        <w:t xml:space="preserve">rogram </w:t>
      </w:r>
      <w:r w:rsidR="00192684">
        <w:rPr>
          <w:b/>
          <w:szCs w:val="24"/>
        </w:rPr>
        <w:t>C</w:t>
      </w:r>
      <w:r w:rsidRPr="00E608E7" w:rsidR="00192684">
        <w:rPr>
          <w:b/>
          <w:szCs w:val="24"/>
        </w:rPr>
        <w:t xml:space="preserve">hanges </w:t>
      </w:r>
      <w:r w:rsidRPr="00E608E7">
        <w:rPr>
          <w:b/>
          <w:szCs w:val="24"/>
        </w:rPr>
        <w:t xml:space="preserve">or </w:t>
      </w:r>
      <w:r w:rsidR="00192684">
        <w:rPr>
          <w:b/>
          <w:szCs w:val="24"/>
        </w:rPr>
        <w:t>A</w:t>
      </w:r>
      <w:r w:rsidRPr="00E608E7" w:rsidR="00192684">
        <w:rPr>
          <w:b/>
          <w:szCs w:val="24"/>
        </w:rPr>
        <w:t xml:space="preserve">djustments </w:t>
      </w:r>
    </w:p>
    <w:p w:rsidR="00DD0526" w:rsidRPr="00E608E7" w14:paraId="2ECB4733" w14:textId="77777777">
      <w:pPr>
        <w:pStyle w:val="BodyTextIndent3"/>
        <w:rPr>
          <w:szCs w:val="24"/>
        </w:rPr>
      </w:pPr>
    </w:p>
    <w:p w:rsidR="00555DD1" w:rsidRPr="00E608E7" w:rsidP="00555DD1" w14:paraId="47774D56" w14:textId="4AF77D45">
      <w:pPr>
        <w:pStyle w:val="BodyTextIndent3"/>
        <w:rPr>
          <w:szCs w:val="24"/>
        </w:rPr>
      </w:pPr>
      <w:r>
        <w:rPr>
          <w:szCs w:val="24"/>
        </w:rPr>
        <w:t xml:space="preserve">Since the last renewal the total the total respondents, responses, and burden hours have reduced from </w:t>
      </w:r>
      <w:r w:rsidR="00C803F5">
        <w:rPr>
          <w:szCs w:val="24"/>
        </w:rPr>
        <w:t>35</w:t>
      </w:r>
      <w:r>
        <w:rPr>
          <w:szCs w:val="24"/>
        </w:rPr>
        <w:t xml:space="preserve">, 62, and 170 </w:t>
      </w:r>
      <w:r w:rsidR="00DF09B6">
        <w:rPr>
          <w:szCs w:val="24"/>
        </w:rPr>
        <w:t xml:space="preserve">hours </w:t>
      </w:r>
      <w:r>
        <w:rPr>
          <w:szCs w:val="24"/>
        </w:rPr>
        <w:t>respectively, to 22, 26, and 134 hours</w:t>
      </w:r>
      <w:r w:rsidR="00DF09B6">
        <w:rPr>
          <w:szCs w:val="24"/>
        </w:rPr>
        <w:t xml:space="preserve">. </w:t>
      </w:r>
    </w:p>
    <w:p w:rsidR="00555DD1" w:rsidRPr="00E608E7" w:rsidP="00555DD1" w14:paraId="46DEC5F7" w14:textId="4C3874AE">
      <w:pPr>
        <w:pStyle w:val="BodyTextIndent3"/>
        <w:rPr>
          <w:szCs w:val="24"/>
        </w:rPr>
      </w:pPr>
    </w:p>
    <w:p w:rsidR="001C052F" w14:paraId="0180A461" w14:textId="6FED112B">
      <w:pPr>
        <w:tabs>
          <w:tab w:val="left" w:pos="-1440"/>
        </w:tabs>
        <w:ind w:left="720" w:hanging="720"/>
        <w:rPr>
          <w:b/>
          <w:szCs w:val="24"/>
        </w:rPr>
      </w:pPr>
      <w:r w:rsidRPr="00E608E7">
        <w:rPr>
          <w:b/>
          <w:szCs w:val="24"/>
        </w:rPr>
        <w:t>16.</w:t>
      </w:r>
      <w:r w:rsidRPr="00E608E7">
        <w:rPr>
          <w:b/>
          <w:szCs w:val="24"/>
        </w:rPr>
        <w:tab/>
      </w:r>
      <w:r w:rsidR="001B59A7">
        <w:rPr>
          <w:b/>
          <w:szCs w:val="24"/>
        </w:rPr>
        <w:t>P</w:t>
      </w:r>
      <w:r w:rsidRPr="00E608E7">
        <w:rPr>
          <w:b/>
          <w:szCs w:val="24"/>
        </w:rPr>
        <w:t>ublication</w:t>
      </w:r>
      <w:r w:rsidR="001B59A7">
        <w:rPr>
          <w:b/>
          <w:szCs w:val="24"/>
        </w:rPr>
        <w:t xml:space="preserve"> of Data C</w:t>
      </w:r>
      <w:r w:rsidRPr="00E608E7">
        <w:rPr>
          <w:b/>
          <w:szCs w:val="24"/>
        </w:rPr>
        <w:t xml:space="preserve">ollection </w:t>
      </w:r>
      <w:r w:rsidR="001B59A7">
        <w:rPr>
          <w:b/>
          <w:szCs w:val="24"/>
        </w:rPr>
        <w:t xml:space="preserve">Results </w:t>
      </w:r>
    </w:p>
    <w:p w:rsidR="001B59A7" w:rsidRPr="00E608E7" w14:paraId="12CF826C" w14:textId="77777777">
      <w:pPr>
        <w:tabs>
          <w:tab w:val="left" w:pos="-1440"/>
        </w:tabs>
        <w:ind w:left="720" w:hanging="720"/>
        <w:rPr>
          <w:szCs w:val="24"/>
        </w:rPr>
      </w:pPr>
    </w:p>
    <w:p w:rsidR="005E53D4" w:rsidRPr="00E608E7" w14:paraId="3F2EC699" w14:textId="08E783B5">
      <w:pPr>
        <w:rPr>
          <w:szCs w:val="24"/>
        </w:rPr>
      </w:pPr>
      <w:r w:rsidRPr="00E608E7">
        <w:rPr>
          <w:szCs w:val="24"/>
        </w:rPr>
        <w:tab/>
      </w:r>
      <w:r w:rsidR="001B59A7">
        <w:rPr>
          <w:szCs w:val="24"/>
        </w:rPr>
        <w:t>C</w:t>
      </w:r>
      <w:r w:rsidRPr="00E608E7">
        <w:rPr>
          <w:szCs w:val="24"/>
        </w:rPr>
        <w:t xml:space="preserve">ollected </w:t>
      </w:r>
      <w:r w:rsidR="001B59A7">
        <w:rPr>
          <w:szCs w:val="24"/>
        </w:rPr>
        <w:t xml:space="preserve">data </w:t>
      </w:r>
      <w:r w:rsidRPr="00E608E7">
        <w:rPr>
          <w:szCs w:val="24"/>
        </w:rPr>
        <w:t>will not be published.</w:t>
      </w:r>
    </w:p>
    <w:p w:rsidR="005E53D4" w:rsidRPr="00E608E7" w14:paraId="0085BF9E" w14:textId="77777777">
      <w:pPr>
        <w:rPr>
          <w:szCs w:val="24"/>
        </w:rPr>
      </w:pPr>
    </w:p>
    <w:p w:rsidR="005E53D4" w:rsidRPr="00E608E7" w14:paraId="2614BBC9" w14:textId="6AF56DE4">
      <w:pPr>
        <w:pStyle w:val="BodyTextIndent"/>
        <w:rPr>
          <w:szCs w:val="24"/>
        </w:rPr>
      </w:pPr>
      <w:r w:rsidRPr="00E608E7">
        <w:rPr>
          <w:szCs w:val="24"/>
        </w:rPr>
        <w:t>17.</w:t>
      </w:r>
      <w:r w:rsidRPr="00E608E7">
        <w:rPr>
          <w:szCs w:val="24"/>
        </w:rPr>
        <w:tab/>
      </w:r>
      <w:r w:rsidR="001B59A7">
        <w:rPr>
          <w:szCs w:val="24"/>
        </w:rPr>
        <w:t>D</w:t>
      </w:r>
      <w:r w:rsidRPr="00E608E7">
        <w:rPr>
          <w:szCs w:val="24"/>
        </w:rPr>
        <w:t>isplay</w:t>
      </w:r>
      <w:r w:rsidR="001B59A7">
        <w:rPr>
          <w:szCs w:val="24"/>
        </w:rPr>
        <w:t xml:space="preserve"> of</w:t>
      </w:r>
      <w:r w:rsidRPr="00E608E7">
        <w:rPr>
          <w:szCs w:val="24"/>
        </w:rPr>
        <w:t xml:space="preserve"> the</w:t>
      </w:r>
      <w:r w:rsidR="001B59A7">
        <w:rPr>
          <w:szCs w:val="24"/>
        </w:rPr>
        <w:t xml:space="preserve"> OMB</w:t>
      </w:r>
      <w:r w:rsidRPr="00E608E7">
        <w:rPr>
          <w:szCs w:val="24"/>
        </w:rPr>
        <w:t xml:space="preserve"> </w:t>
      </w:r>
      <w:r w:rsidR="001B59A7">
        <w:rPr>
          <w:szCs w:val="24"/>
        </w:rPr>
        <w:t>E</w:t>
      </w:r>
      <w:r w:rsidRPr="00E608E7" w:rsidR="001B59A7">
        <w:rPr>
          <w:szCs w:val="24"/>
        </w:rPr>
        <w:t xml:space="preserve">xpiration </w:t>
      </w:r>
      <w:r w:rsidR="001B59A7">
        <w:rPr>
          <w:szCs w:val="24"/>
        </w:rPr>
        <w:t>D</w:t>
      </w:r>
      <w:r w:rsidRPr="00E608E7" w:rsidR="001B59A7">
        <w:rPr>
          <w:szCs w:val="24"/>
        </w:rPr>
        <w:t xml:space="preserve">ate </w:t>
      </w:r>
    </w:p>
    <w:p w:rsidR="005E53D4" w:rsidRPr="00E608E7" w14:paraId="0474C805" w14:textId="77777777">
      <w:pPr>
        <w:rPr>
          <w:b/>
          <w:szCs w:val="24"/>
        </w:rPr>
      </w:pPr>
    </w:p>
    <w:p w:rsidR="00225D1D" w:rsidRPr="00E608E7" w:rsidP="00225D1D" w14:paraId="0F2A1710" w14:textId="586256BF">
      <w:pPr>
        <w:ind w:firstLine="720"/>
        <w:outlineLvl w:val="0"/>
        <w:rPr>
          <w:szCs w:val="24"/>
        </w:rPr>
      </w:pPr>
      <w:r w:rsidRPr="00E608E7">
        <w:rPr>
          <w:szCs w:val="24"/>
        </w:rPr>
        <w:t>MARAD is not seeking such approval</w:t>
      </w:r>
      <w:r w:rsidR="001B59A7">
        <w:rPr>
          <w:szCs w:val="24"/>
        </w:rPr>
        <w:t xml:space="preserve"> to avoid displaying the OMB expiration date for this collection</w:t>
      </w:r>
      <w:r w:rsidRPr="00E608E7">
        <w:rPr>
          <w:szCs w:val="24"/>
        </w:rPr>
        <w:t>.</w:t>
      </w:r>
    </w:p>
    <w:p w:rsidR="005E53D4" w:rsidRPr="00E608E7" w14:paraId="5CC37539" w14:textId="77777777">
      <w:pPr>
        <w:rPr>
          <w:b/>
          <w:szCs w:val="24"/>
        </w:rPr>
      </w:pPr>
    </w:p>
    <w:p w:rsidR="001B59A7" w:rsidRPr="00E608E7" w14:paraId="54F20CC2" w14:textId="49F5217E">
      <w:pPr>
        <w:pStyle w:val="BodyTextIndent"/>
        <w:rPr>
          <w:szCs w:val="24"/>
        </w:rPr>
      </w:pPr>
      <w:r w:rsidRPr="00E608E7">
        <w:rPr>
          <w:szCs w:val="24"/>
        </w:rPr>
        <w:t>18.</w:t>
      </w:r>
      <w:r w:rsidRPr="00E608E7">
        <w:rPr>
          <w:szCs w:val="24"/>
        </w:rPr>
        <w:tab/>
      </w:r>
      <w:r>
        <w:rPr>
          <w:szCs w:val="24"/>
        </w:rPr>
        <w:t>E</w:t>
      </w:r>
      <w:r w:rsidRPr="00E608E7">
        <w:rPr>
          <w:szCs w:val="24"/>
        </w:rPr>
        <w:t>xception to th</w:t>
      </w:r>
      <w:r>
        <w:rPr>
          <w:szCs w:val="24"/>
        </w:rPr>
        <w:t>is</w:t>
      </w:r>
      <w:r w:rsidRPr="00E608E7">
        <w:rPr>
          <w:szCs w:val="24"/>
        </w:rPr>
        <w:t xml:space="preserve"> </w:t>
      </w:r>
      <w:r>
        <w:rPr>
          <w:szCs w:val="24"/>
        </w:rPr>
        <w:t>C</w:t>
      </w:r>
      <w:r w:rsidRPr="00E608E7">
        <w:rPr>
          <w:szCs w:val="24"/>
        </w:rPr>
        <w:t xml:space="preserve">ertification </w:t>
      </w:r>
      <w:r>
        <w:rPr>
          <w:szCs w:val="24"/>
        </w:rPr>
        <w:t>S</w:t>
      </w:r>
      <w:r w:rsidRPr="00E608E7">
        <w:rPr>
          <w:szCs w:val="24"/>
        </w:rPr>
        <w:t xml:space="preserve">tatement </w:t>
      </w:r>
    </w:p>
    <w:p w:rsidR="005E53D4" w:rsidRPr="00E608E7" w:rsidP="00436775" w14:paraId="0FCBA8A6" w14:textId="77777777">
      <w:pPr>
        <w:pStyle w:val="BodyTextIndent"/>
        <w:rPr>
          <w:szCs w:val="24"/>
        </w:rPr>
      </w:pPr>
    </w:p>
    <w:p w:rsidR="005E53D4" w:rsidRPr="00E608E7" w14:paraId="1311AB85" w14:textId="77777777">
      <w:pPr>
        <w:tabs>
          <w:tab w:val="left" w:pos="-1440"/>
        </w:tabs>
        <w:ind w:left="720" w:hanging="720"/>
        <w:rPr>
          <w:szCs w:val="24"/>
        </w:rPr>
      </w:pPr>
      <w:r w:rsidRPr="00E608E7">
        <w:rPr>
          <w:szCs w:val="24"/>
        </w:rPr>
        <w:tab/>
        <w:t>There are no exceptions to the certificate statement.</w:t>
      </w:r>
    </w:p>
    <w:p w:rsidR="000E6A0A" w:rsidRPr="00E608E7" w14:paraId="27EDBE2C" w14:textId="77777777">
      <w:pPr>
        <w:tabs>
          <w:tab w:val="left" w:pos="-1440"/>
        </w:tabs>
        <w:ind w:left="720" w:hanging="720"/>
        <w:rPr>
          <w:szCs w:val="24"/>
        </w:rPr>
      </w:pPr>
    </w:p>
    <w:p w:rsidR="000E6A0A" w:rsidRPr="00E608E7" w14:paraId="66A561F1" w14:textId="77777777">
      <w:pPr>
        <w:tabs>
          <w:tab w:val="left" w:pos="-1440"/>
        </w:tabs>
        <w:ind w:left="720" w:hanging="720"/>
        <w:rPr>
          <w:szCs w:val="24"/>
        </w:rPr>
      </w:pPr>
    </w:p>
    <w:sectPr w:rsidSect="00B613C2">
      <w:footerReference w:type="default" r:id="rId6"/>
      <w:endnotePr>
        <w:numFmt w:val="decimal"/>
      </w:endnotePr>
      <w:type w:val="continuous"/>
      <w:pgSz w:w="12240" w:h="15840" w:code="1"/>
      <w:pgMar w:top="720" w:right="720" w:bottom="720" w:left="720" w:header="1008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2793725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236E" w14:paraId="22DE864B" w14:textId="70D605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41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6236E" w14:paraId="4DD2BB7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AB1DD6" w:rsidP="00522E8B" w14:paraId="52ECB3D2" w14:textId="77777777">
      <w:r>
        <w:separator/>
      </w:r>
    </w:p>
  </w:footnote>
  <w:footnote w:type="continuationSeparator" w:id="1">
    <w:p w:rsidR="00AB1DD6" w:rsidP="00522E8B" w14:paraId="79766037" w14:textId="77777777">
      <w:r>
        <w:continuationSeparator/>
      </w:r>
    </w:p>
  </w:footnote>
  <w:footnote w:id="2">
    <w:p w:rsidR="00EE5CE3" w:rsidRPr="009779D4" w:rsidP="00EE5CE3" w14:paraId="579C6E53" w14:textId="77777777">
      <w:pPr>
        <w:pStyle w:val="FootnoteText"/>
      </w:pPr>
      <w:r w:rsidRPr="009779D4">
        <w:rPr>
          <w:rStyle w:val="FootnoteReference"/>
        </w:rPr>
        <w:footnoteRef/>
      </w:r>
      <w:r w:rsidRPr="009779D4">
        <w:t xml:space="preserve"> The hourly wage estimate is taken from current BLS tables: </w:t>
      </w:r>
      <w:hyperlink r:id="rId1" w:anchor="/industry/000000" w:history="1">
        <w:r w:rsidRPr="00AA0112">
          <w:rPr>
            <w:rStyle w:val="Hyperlink"/>
          </w:rPr>
          <w:t>https://data.bls.gov/oes/#/industry/000000</w:t>
        </w:r>
      </w:hyperlink>
      <w:r>
        <w:t xml:space="preserve"> </w:t>
      </w:r>
      <w:r w:rsidRPr="009779D4">
        <w:t>.</w:t>
      </w:r>
    </w:p>
  </w:footnote>
  <w:footnote w:id="3">
    <w:p w:rsidR="00EE5CE3" w:rsidP="00EE5CE3" w14:paraId="4EEA38C3" w14:textId="77777777">
      <w:pPr>
        <w:pStyle w:val="FootnoteText"/>
      </w:pPr>
      <w:r w:rsidRPr="009779D4">
        <w:rPr>
          <w:rStyle w:val="FootnoteReference"/>
        </w:rPr>
        <w:footnoteRef/>
      </w:r>
      <w:r w:rsidRPr="009779D4">
        <w:t xml:space="preserve"> </w:t>
      </w:r>
      <w:bookmarkStart w:id="5" w:name="_Hlk164072686"/>
      <w:r w:rsidRPr="009779D4">
        <w:t>Per BLS Employee Compensation Memo, the total compensation rate for the private sector is 29%,  :</w:t>
      </w:r>
      <w:hyperlink r:id="rId2" w:history="1">
        <w:r w:rsidRPr="009779D4">
          <w:rPr>
            <w:rStyle w:val="Hyperlink"/>
          </w:rPr>
          <w:t>https://www.bls.gov/news.release/pdf/ecec.pdf</w:t>
        </w:r>
      </w:hyperlink>
      <w:bookmarkEnd w:id="5"/>
    </w:p>
  </w:footnote>
  <w:footnote w:id="4">
    <w:p w:rsidR="00A02D17" w14:paraId="32100225" w14:textId="13A10661">
      <w:pPr>
        <w:pStyle w:val="FootnoteText"/>
      </w:pPr>
      <w:r>
        <w:rPr>
          <w:rStyle w:val="FootnoteReference"/>
        </w:rPr>
        <w:footnoteRef/>
      </w:r>
      <w:r>
        <w:t xml:space="preserve"> The 2025 Federal Government hourly wage estimates are taken from OPM: </w:t>
      </w:r>
      <w:hyperlink r:id="rId3" w:history="1">
        <w:r w:rsidRPr="00092DEF">
          <w:rPr>
            <w:rStyle w:val="Hyperlink"/>
          </w:rPr>
          <w:t>https://www.opm.gov/policy-data-oversight/pay-leave/salaries-wages/salary-tables/25Tables/html/DCB_h.aspx</w:t>
        </w:r>
      </w:hyperlink>
      <w:r>
        <w:t xml:space="preserve"> </w:t>
      </w:r>
    </w:p>
  </w:footnote>
  <w:footnote w:id="5">
    <w:p w:rsidR="00F03527" w:rsidP="00F03527" w14:paraId="398256A9" w14:textId="77777777">
      <w:pPr>
        <w:pStyle w:val="FootnoteText"/>
      </w:pPr>
      <w:r w:rsidRPr="00952A06">
        <w:rPr>
          <w:rStyle w:val="FootnoteReference"/>
        </w:rPr>
        <w:footnoteRef/>
      </w:r>
      <w:r w:rsidRPr="00952A06">
        <w:t xml:space="preserve"> Per BLS Employee Compensation Memo, the total compensation rate for the Federal Government  is 31%,  :</w:t>
      </w:r>
      <w:hyperlink r:id="rId2" w:history="1">
        <w:r w:rsidRPr="00952A06">
          <w:rPr>
            <w:rStyle w:val="Hyperlink"/>
          </w:rPr>
          <w:t>https://www.bls.gov/news.release/pdf/ecec.pdf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46A7D5E"/>
    <w:multiLevelType w:val="singleLevel"/>
    <w:tmpl w:val="B4E8B7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5BF22F0"/>
    <w:multiLevelType w:val="singleLevel"/>
    <w:tmpl w:val="FFFFFFFF"/>
    <w:lvl w:ilvl="0">
      <w:start w:val="0"/>
      <w:numFmt w:val="bullet"/>
      <w:lvlText w:val=""/>
      <w:legacy w:legacy="1" w:legacySpace="0" w:legacyIndent="720"/>
      <w:lvlJc w:val="left"/>
      <w:pPr>
        <w:ind w:left="1440" w:hanging="720"/>
      </w:pPr>
      <w:rPr>
        <w:rFonts w:ascii="Symbol" w:hAnsi="Symbol" w:hint="default"/>
      </w:rPr>
    </w:lvl>
  </w:abstractNum>
  <w:abstractNum w:abstractNumId="3">
    <w:nsid w:val="0D2D39E5"/>
    <w:multiLevelType w:val="singleLevel"/>
    <w:tmpl w:val="944CC5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129641C9"/>
    <w:multiLevelType w:val="hybridMultilevel"/>
    <w:tmpl w:val="D638A606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4744ABA"/>
    <w:multiLevelType w:val="singleLevel"/>
    <w:tmpl w:val="FFFFFFFF"/>
    <w:lvl w:ilvl="0">
      <w:start w:val="0"/>
      <w:numFmt w:val="bullet"/>
      <w:lvlText w:val=""/>
      <w:legacy w:legacy="1" w:legacySpace="0" w:legacyIndent="720"/>
      <w:lvlJc w:val="left"/>
      <w:pPr>
        <w:ind w:left="1440" w:hanging="720"/>
      </w:pPr>
      <w:rPr>
        <w:rFonts w:ascii="Symbol" w:hAnsi="Symbol" w:hint="default"/>
      </w:rPr>
    </w:lvl>
  </w:abstractNum>
  <w:abstractNum w:abstractNumId="6">
    <w:nsid w:val="153262C4"/>
    <w:multiLevelType w:val="singleLevel"/>
    <w:tmpl w:val="FFFFFFFF"/>
    <w:lvl w:ilvl="0">
      <w:start w:val="0"/>
      <w:numFmt w:val="bullet"/>
      <w:lvlText w:val=""/>
      <w:legacy w:legacy="1" w:legacySpace="0" w:legacyIndent="720"/>
      <w:lvlJc w:val="left"/>
      <w:pPr>
        <w:ind w:left="1440" w:hanging="720"/>
      </w:pPr>
      <w:rPr>
        <w:rFonts w:ascii="Symbol" w:hAnsi="Symbol" w:hint="default"/>
      </w:rPr>
    </w:lvl>
  </w:abstractNum>
  <w:abstractNum w:abstractNumId="7">
    <w:nsid w:val="15F4699B"/>
    <w:multiLevelType w:val="singleLevel"/>
    <w:tmpl w:val="41248176"/>
    <w:lvl w:ilvl="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  <w:u w:val="none"/>
      </w:rPr>
    </w:lvl>
  </w:abstractNum>
  <w:abstractNum w:abstractNumId="8">
    <w:nsid w:val="1AB42C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CEC3270"/>
    <w:multiLevelType w:val="hybridMultilevel"/>
    <w:tmpl w:val="2C5C390A"/>
    <w:lvl w:ilvl="0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9D790C"/>
    <w:multiLevelType w:val="hybridMultilevel"/>
    <w:tmpl w:val="0CC66E6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D71988"/>
    <w:multiLevelType w:val="singleLevel"/>
    <w:tmpl w:val="51963D42"/>
    <w:lvl w:ilvl="0">
      <w:start w:val="2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>
    <w:nsid w:val="2A0A7FE3"/>
    <w:multiLevelType w:val="singleLevel"/>
    <w:tmpl w:val="155E05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2D55606E"/>
    <w:multiLevelType w:val="hybridMultilevel"/>
    <w:tmpl w:val="533E094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B3EF5"/>
    <w:multiLevelType w:val="singleLevel"/>
    <w:tmpl w:val="A59004C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5">
    <w:nsid w:val="36CF542F"/>
    <w:multiLevelType w:val="singleLevel"/>
    <w:tmpl w:val="A73664B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52CD539A"/>
    <w:multiLevelType w:val="singleLevel"/>
    <w:tmpl w:val="FFFFFFFF"/>
    <w:lvl w:ilvl="0">
      <w:start w:val="0"/>
      <w:numFmt w:val="bullet"/>
      <w:lvlText w:val=""/>
      <w:legacy w:legacy="1" w:legacySpace="0" w:legacyIndent="720"/>
      <w:lvlJc w:val="left"/>
      <w:pPr>
        <w:ind w:left="1440" w:hanging="720"/>
      </w:pPr>
      <w:rPr>
        <w:rFonts w:ascii="Symbol" w:hAnsi="Symbol" w:hint="default"/>
      </w:rPr>
    </w:lvl>
  </w:abstractNum>
  <w:abstractNum w:abstractNumId="17">
    <w:nsid w:val="54323BD2"/>
    <w:multiLevelType w:val="hybridMultilevel"/>
    <w:tmpl w:val="68E0CDA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6843BD3"/>
    <w:multiLevelType w:val="singleLevel"/>
    <w:tmpl w:val="FFFFFFFF"/>
    <w:lvl w:ilvl="0">
      <w:start w:val="0"/>
      <w:numFmt w:val="bullet"/>
      <w:lvlText w:val=""/>
      <w:legacy w:legacy="1" w:legacySpace="0" w:legacyIndent="720"/>
      <w:lvlJc w:val="left"/>
      <w:pPr>
        <w:ind w:left="1440" w:hanging="720"/>
      </w:pPr>
      <w:rPr>
        <w:rFonts w:ascii="Symbol" w:hAnsi="Symbol" w:hint="default"/>
      </w:rPr>
    </w:lvl>
  </w:abstractNum>
  <w:abstractNum w:abstractNumId="19">
    <w:nsid w:val="56DE52FD"/>
    <w:multiLevelType w:val="hybridMultilevel"/>
    <w:tmpl w:val="FA4AAF5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817CD"/>
    <w:multiLevelType w:val="singleLevel"/>
    <w:tmpl w:val="6F98A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726134CB"/>
    <w:multiLevelType w:val="singleLevel"/>
    <w:tmpl w:val="220806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7795679B"/>
    <w:multiLevelType w:val="singleLevel"/>
    <w:tmpl w:val="D86E92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>
    <w:nsid w:val="7C4D78E4"/>
    <w:multiLevelType w:val="hybridMultilevel"/>
    <w:tmpl w:val="234CA3A4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71955">
    <w:abstractNumId w:val="0"/>
    <w:lvlOverride w:ilvl="0">
      <w:lvl w:ilvl="0">
        <w:start w:val="0"/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2" w16cid:durableId="1195388712">
    <w:abstractNumId w:val="3"/>
  </w:num>
  <w:num w:numId="3" w16cid:durableId="277109785">
    <w:abstractNumId w:val="11"/>
  </w:num>
  <w:num w:numId="4" w16cid:durableId="1922829520">
    <w:abstractNumId w:val="15"/>
  </w:num>
  <w:num w:numId="5" w16cid:durableId="1122724354">
    <w:abstractNumId w:val="20"/>
  </w:num>
  <w:num w:numId="6" w16cid:durableId="496268991">
    <w:abstractNumId w:val="21"/>
  </w:num>
  <w:num w:numId="7" w16cid:durableId="262299351">
    <w:abstractNumId w:val="1"/>
  </w:num>
  <w:num w:numId="8" w16cid:durableId="1448622730">
    <w:abstractNumId w:val="14"/>
  </w:num>
  <w:num w:numId="9" w16cid:durableId="1082288721">
    <w:abstractNumId w:val="22"/>
  </w:num>
  <w:num w:numId="10" w16cid:durableId="719482351">
    <w:abstractNumId w:val="12"/>
  </w:num>
  <w:num w:numId="11" w16cid:durableId="1895190161">
    <w:abstractNumId w:val="8"/>
  </w:num>
  <w:num w:numId="12" w16cid:durableId="364790002">
    <w:abstractNumId w:val="2"/>
  </w:num>
  <w:num w:numId="13" w16cid:durableId="721829676">
    <w:abstractNumId w:val="6"/>
  </w:num>
  <w:num w:numId="14" w16cid:durableId="1692299969">
    <w:abstractNumId w:val="18"/>
  </w:num>
  <w:num w:numId="15" w16cid:durableId="1916628495">
    <w:abstractNumId w:val="16"/>
  </w:num>
  <w:num w:numId="16" w16cid:durableId="456029019">
    <w:abstractNumId w:val="5"/>
  </w:num>
  <w:num w:numId="17" w16cid:durableId="1404722242">
    <w:abstractNumId w:val="7"/>
  </w:num>
  <w:num w:numId="18" w16cid:durableId="1934388524">
    <w:abstractNumId w:val="23"/>
  </w:num>
  <w:num w:numId="19" w16cid:durableId="397896618">
    <w:abstractNumId w:val="13"/>
  </w:num>
  <w:num w:numId="20" w16cid:durableId="745305216">
    <w:abstractNumId w:val="9"/>
  </w:num>
  <w:num w:numId="21" w16cid:durableId="497964948">
    <w:abstractNumId w:val="10"/>
  </w:num>
  <w:num w:numId="22" w16cid:durableId="314532490">
    <w:abstractNumId w:val="4"/>
  </w:num>
  <w:num w:numId="23" w16cid:durableId="602424639">
    <w:abstractNumId w:val="17"/>
  </w:num>
  <w:num w:numId="24" w16cid:durableId="7087216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505"/>
    <w:rsid w:val="000007D5"/>
    <w:rsid w:val="00003141"/>
    <w:rsid w:val="000201F7"/>
    <w:rsid w:val="000223B7"/>
    <w:rsid w:val="000305F0"/>
    <w:rsid w:val="000310F8"/>
    <w:rsid w:val="0003598D"/>
    <w:rsid w:val="00036DBD"/>
    <w:rsid w:val="000376FE"/>
    <w:rsid w:val="000402B8"/>
    <w:rsid w:val="00042D70"/>
    <w:rsid w:val="00042F0B"/>
    <w:rsid w:val="000525C2"/>
    <w:rsid w:val="00062DCC"/>
    <w:rsid w:val="000657AB"/>
    <w:rsid w:val="000815DC"/>
    <w:rsid w:val="000823F3"/>
    <w:rsid w:val="00092DEF"/>
    <w:rsid w:val="0009739A"/>
    <w:rsid w:val="000A0CEC"/>
    <w:rsid w:val="000A3766"/>
    <w:rsid w:val="000A39C5"/>
    <w:rsid w:val="000A5C28"/>
    <w:rsid w:val="000B0AF6"/>
    <w:rsid w:val="000B1713"/>
    <w:rsid w:val="000B71DC"/>
    <w:rsid w:val="000C2EC1"/>
    <w:rsid w:val="000C6196"/>
    <w:rsid w:val="000C77D3"/>
    <w:rsid w:val="000D027C"/>
    <w:rsid w:val="000D1B9B"/>
    <w:rsid w:val="000D2E35"/>
    <w:rsid w:val="000E14F6"/>
    <w:rsid w:val="000E271D"/>
    <w:rsid w:val="000E37D7"/>
    <w:rsid w:val="000E6A0A"/>
    <w:rsid w:val="000F318F"/>
    <w:rsid w:val="001022B2"/>
    <w:rsid w:val="0010776C"/>
    <w:rsid w:val="00110310"/>
    <w:rsid w:val="00112DB0"/>
    <w:rsid w:val="001160DA"/>
    <w:rsid w:val="00120814"/>
    <w:rsid w:val="00126035"/>
    <w:rsid w:val="001313F0"/>
    <w:rsid w:val="00133696"/>
    <w:rsid w:val="00133FE4"/>
    <w:rsid w:val="00144E75"/>
    <w:rsid w:val="00147F7A"/>
    <w:rsid w:val="0015200B"/>
    <w:rsid w:val="00155BCD"/>
    <w:rsid w:val="001602CF"/>
    <w:rsid w:val="001614F6"/>
    <w:rsid w:val="001620B4"/>
    <w:rsid w:val="00167421"/>
    <w:rsid w:val="001706C5"/>
    <w:rsid w:val="001728AB"/>
    <w:rsid w:val="00176F30"/>
    <w:rsid w:val="00192684"/>
    <w:rsid w:val="001A67FA"/>
    <w:rsid w:val="001B59A7"/>
    <w:rsid w:val="001C052F"/>
    <w:rsid w:val="001C1829"/>
    <w:rsid w:val="001C3D44"/>
    <w:rsid w:val="001C40C8"/>
    <w:rsid w:val="001D1229"/>
    <w:rsid w:val="001D5938"/>
    <w:rsid w:val="001D68E7"/>
    <w:rsid w:val="001E05AE"/>
    <w:rsid w:val="001E3046"/>
    <w:rsid w:val="001F776A"/>
    <w:rsid w:val="002011C7"/>
    <w:rsid w:val="00206FB5"/>
    <w:rsid w:val="002124AC"/>
    <w:rsid w:val="00216ED4"/>
    <w:rsid w:val="00225D1D"/>
    <w:rsid w:val="0024328D"/>
    <w:rsid w:val="0024562C"/>
    <w:rsid w:val="00251757"/>
    <w:rsid w:val="00263260"/>
    <w:rsid w:val="00270BBB"/>
    <w:rsid w:val="00273CDC"/>
    <w:rsid w:val="00274559"/>
    <w:rsid w:val="002778E9"/>
    <w:rsid w:val="00280802"/>
    <w:rsid w:val="0028497C"/>
    <w:rsid w:val="002A4F2F"/>
    <w:rsid w:val="002B0EFD"/>
    <w:rsid w:val="002B17A5"/>
    <w:rsid w:val="002B22B8"/>
    <w:rsid w:val="002C295F"/>
    <w:rsid w:val="002C7974"/>
    <w:rsid w:val="002D3245"/>
    <w:rsid w:val="002E600E"/>
    <w:rsid w:val="002F05D5"/>
    <w:rsid w:val="00302AEF"/>
    <w:rsid w:val="003042E9"/>
    <w:rsid w:val="00310294"/>
    <w:rsid w:val="00313D3D"/>
    <w:rsid w:val="003241AB"/>
    <w:rsid w:val="003248F9"/>
    <w:rsid w:val="003279BA"/>
    <w:rsid w:val="00330217"/>
    <w:rsid w:val="00336360"/>
    <w:rsid w:val="003462AB"/>
    <w:rsid w:val="0035345F"/>
    <w:rsid w:val="003540B5"/>
    <w:rsid w:val="00355287"/>
    <w:rsid w:val="0035766B"/>
    <w:rsid w:val="00366DD1"/>
    <w:rsid w:val="00371F73"/>
    <w:rsid w:val="00375E97"/>
    <w:rsid w:val="00383070"/>
    <w:rsid w:val="00397595"/>
    <w:rsid w:val="003A2767"/>
    <w:rsid w:val="003D2A23"/>
    <w:rsid w:val="003D7A93"/>
    <w:rsid w:val="003E155B"/>
    <w:rsid w:val="003E40FB"/>
    <w:rsid w:val="003E6367"/>
    <w:rsid w:val="003F0DCA"/>
    <w:rsid w:val="00400D0F"/>
    <w:rsid w:val="0041062E"/>
    <w:rsid w:val="00436775"/>
    <w:rsid w:val="00436BD5"/>
    <w:rsid w:val="00441D62"/>
    <w:rsid w:val="00441F83"/>
    <w:rsid w:val="004422EF"/>
    <w:rsid w:val="00461431"/>
    <w:rsid w:val="0046148D"/>
    <w:rsid w:val="00462D15"/>
    <w:rsid w:val="0046565E"/>
    <w:rsid w:val="00472D33"/>
    <w:rsid w:val="0048092B"/>
    <w:rsid w:val="004840D7"/>
    <w:rsid w:val="004A390B"/>
    <w:rsid w:val="004A65AC"/>
    <w:rsid w:val="004B1CA3"/>
    <w:rsid w:val="004B226E"/>
    <w:rsid w:val="004B251E"/>
    <w:rsid w:val="004C1AF1"/>
    <w:rsid w:val="004C46EB"/>
    <w:rsid w:val="004D79A2"/>
    <w:rsid w:val="004F010C"/>
    <w:rsid w:val="004F128B"/>
    <w:rsid w:val="0050530C"/>
    <w:rsid w:val="00505F62"/>
    <w:rsid w:val="00511DC9"/>
    <w:rsid w:val="00522E8B"/>
    <w:rsid w:val="0053100C"/>
    <w:rsid w:val="0053157F"/>
    <w:rsid w:val="0053725A"/>
    <w:rsid w:val="005401B3"/>
    <w:rsid w:val="00550198"/>
    <w:rsid w:val="00555DD1"/>
    <w:rsid w:val="00563E3E"/>
    <w:rsid w:val="00564F16"/>
    <w:rsid w:val="00565261"/>
    <w:rsid w:val="00574CDD"/>
    <w:rsid w:val="00581F88"/>
    <w:rsid w:val="0058206B"/>
    <w:rsid w:val="00584D83"/>
    <w:rsid w:val="00585A5A"/>
    <w:rsid w:val="00591544"/>
    <w:rsid w:val="00592166"/>
    <w:rsid w:val="005C5E74"/>
    <w:rsid w:val="005C5F5D"/>
    <w:rsid w:val="005C73EE"/>
    <w:rsid w:val="005D3EF9"/>
    <w:rsid w:val="005D47F7"/>
    <w:rsid w:val="005E068A"/>
    <w:rsid w:val="005E53D4"/>
    <w:rsid w:val="005E7E52"/>
    <w:rsid w:val="006007F4"/>
    <w:rsid w:val="00604FCB"/>
    <w:rsid w:val="006110D6"/>
    <w:rsid w:val="00613505"/>
    <w:rsid w:val="00613D7C"/>
    <w:rsid w:val="00614B60"/>
    <w:rsid w:val="00614DBF"/>
    <w:rsid w:val="00631F13"/>
    <w:rsid w:val="00636BD1"/>
    <w:rsid w:val="006373C0"/>
    <w:rsid w:val="00637418"/>
    <w:rsid w:val="00641D93"/>
    <w:rsid w:val="00642EA7"/>
    <w:rsid w:val="00643176"/>
    <w:rsid w:val="00645363"/>
    <w:rsid w:val="00645F34"/>
    <w:rsid w:val="0065008D"/>
    <w:rsid w:val="0065598B"/>
    <w:rsid w:val="006562B1"/>
    <w:rsid w:val="00657CAB"/>
    <w:rsid w:val="00663DAA"/>
    <w:rsid w:val="00686670"/>
    <w:rsid w:val="006903F7"/>
    <w:rsid w:val="00691C72"/>
    <w:rsid w:val="00695E28"/>
    <w:rsid w:val="006A5655"/>
    <w:rsid w:val="006A78D2"/>
    <w:rsid w:val="006B097F"/>
    <w:rsid w:val="006B1EF7"/>
    <w:rsid w:val="006B4FE7"/>
    <w:rsid w:val="006C1F5E"/>
    <w:rsid w:val="006D1C47"/>
    <w:rsid w:val="006D1CFC"/>
    <w:rsid w:val="006D469D"/>
    <w:rsid w:val="006D7ACB"/>
    <w:rsid w:val="006E5C65"/>
    <w:rsid w:val="006F1B25"/>
    <w:rsid w:val="006F3DE4"/>
    <w:rsid w:val="006F4912"/>
    <w:rsid w:val="00701846"/>
    <w:rsid w:val="00701C63"/>
    <w:rsid w:val="00705AB6"/>
    <w:rsid w:val="007112B6"/>
    <w:rsid w:val="00720DD7"/>
    <w:rsid w:val="00722789"/>
    <w:rsid w:val="00723105"/>
    <w:rsid w:val="00723C94"/>
    <w:rsid w:val="007305B3"/>
    <w:rsid w:val="00731692"/>
    <w:rsid w:val="00734DBF"/>
    <w:rsid w:val="00736BCB"/>
    <w:rsid w:val="00740AF4"/>
    <w:rsid w:val="00740C70"/>
    <w:rsid w:val="007424EA"/>
    <w:rsid w:val="0074345B"/>
    <w:rsid w:val="00751AEF"/>
    <w:rsid w:val="007636DA"/>
    <w:rsid w:val="0077048F"/>
    <w:rsid w:val="00775671"/>
    <w:rsid w:val="00776C63"/>
    <w:rsid w:val="00777277"/>
    <w:rsid w:val="00781553"/>
    <w:rsid w:val="00786B41"/>
    <w:rsid w:val="0079429F"/>
    <w:rsid w:val="00797C6E"/>
    <w:rsid w:val="007B07D7"/>
    <w:rsid w:val="007C58B6"/>
    <w:rsid w:val="007C65DF"/>
    <w:rsid w:val="007D0CDC"/>
    <w:rsid w:val="007D1849"/>
    <w:rsid w:val="007E06B9"/>
    <w:rsid w:val="007E1EE0"/>
    <w:rsid w:val="007F5029"/>
    <w:rsid w:val="00804B49"/>
    <w:rsid w:val="00812B07"/>
    <w:rsid w:val="008160A5"/>
    <w:rsid w:val="00820D44"/>
    <w:rsid w:val="00831A5A"/>
    <w:rsid w:val="00847CBA"/>
    <w:rsid w:val="00850D3E"/>
    <w:rsid w:val="0085700F"/>
    <w:rsid w:val="00860FF1"/>
    <w:rsid w:val="008701EB"/>
    <w:rsid w:val="00870EE3"/>
    <w:rsid w:val="008716F1"/>
    <w:rsid w:val="00871B7C"/>
    <w:rsid w:val="008746BB"/>
    <w:rsid w:val="00875A51"/>
    <w:rsid w:val="00881EA0"/>
    <w:rsid w:val="00897C20"/>
    <w:rsid w:val="008A5DB5"/>
    <w:rsid w:val="008B0B61"/>
    <w:rsid w:val="008B5B0F"/>
    <w:rsid w:val="008D61CF"/>
    <w:rsid w:val="008E0BBB"/>
    <w:rsid w:val="008E15EC"/>
    <w:rsid w:val="008E2591"/>
    <w:rsid w:val="008E7BC0"/>
    <w:rsid w:val="008F69DE"/>
    <w:rsid w:val="008F76F7"/>
    <w:rsid w:val="00915ECD"/>
    <w:rsid w:val="00916117"/>
    <w:rsid w:val="00917607"/>
    <w:rsid w:val="00920571"/>
    <w:rsid w:val="00923CC0"/>
    <w:rsid w:val="009257AE"/>
    <w:rsid w:val="00932EB8"/>
    <w:rsid w:val="009371FA"/>
    <w:rsid w:val="009408D9"/>
    <w:rsid w:val="00945214"/>
    <w:rsid w:val="00945934"/>
    <w:rsid w:val="0094659E"/>
    <w:rsid w:val="00950420"/>
    <w:rsid w:val="00952A06"/>
    <w:rsid w:val="00955299"/>
    <w:rsid w:val="009565D8"/>
    <w:rsid w:val="00957D5A"/>
    <w:rsid w:val="009607D7"/>
    <w:rsid w:val="0096236E"/>
    <w:rsid w:val="009649C7"/>
    <w:rsid w:val="009720C6"/>
    <w:rsid w:val="00972C91"/>
    <w:rsid w:val="00973957"/>
    <w:rsid w:val="009754B2"/>
    <w:rsid w:val="009779D4"/>
    <w:rsid w:val="00982931"/>
    <w:rsid w:val="009842E8"/>
    <w:rsid w:val="009865FC"/>
    <w:rsid w:val="00987DA8"/>
    <w:rsid w:val="009A05E2"/>
    <w:rsid w:val="009A16F6"/>
    <w:rsid w:val="009A24A2"/>
    <w:rsid w:val="009B10FA"/>
    <w:rsid w:val="009C1104"/>
    <w:rsid w:val="009E3E2F"/>
    <w:rsid w:val="009E5CC2"/>
    <w:rsid w:val="009E6EE8"/>
    <w:rsid w:val="009E7D59"/>
    <w:rsid w:val="009F0605"/>
    <w:rsid w:val="009F23BE"/>
    <w:rsid w:val="00A00999"/>
    <w:rsid w:val="00A02D17"/>
    <w:rsid w:val="00A02F3D"/>
    <w:rsid w:val="00A072A7"/>
    <w:rsid w:val="00A13F3C"/>
    <w:rsid w:val="00A16314"/>
    <w:rsid w:val="00A16512"/>
    <w:rsid w:val="00A22422"/>
    <w:rsid w:val="00A32805"/>
    <w:rsid w:val="00A364BB"/>
    <w:rsid w:val="00A36932"/>
    <w:rsid w:val="00A37CC2"/>
    <w:rsid w:val="00A52E48"/>
    <w:rsid w:val="00A62689"/>
    <w:rsid w:val="00A75B72"/>
    <w:rsid w:val="00A77770"/>
    <w:rsid w:val="00A812D6"/>
    <w:rsid w:val="00A94C2C"/>
    <w:rsid w:val="00AA0112"/>
    <w:rsid w:val="00AA1E41"/>
    <w:rsid w:val="00AA4340"/>
    <w:rsid w:val="00AB1C63"/>
    <w:rsid w:val="00AB1DD6"/>
    <w:rsid w:val="00AB4B2D"/>
    <w:rsid w:val="00AB5493"/>
    <w:rsid w:val="00AC0FAC"/>
    <w:rsid w:val="00AD1E62"/>
    <w:rsid w:val="00AD3A5A"/>
    <w:rsid w:val="00AD4F74"/>
    <w:rsid w:val="00AE6225"/>
    <w:rsid w:val="00B1157C"/>
    <w:rsid w:val="00B162D9"/>
    <w:rsid w:val="00B16BF3"/>
    <w:rsid w:val="00B324AF"/>
    <w:rsid w:val="00B340F2"/>
    <w:rsid w:val="00B5084B"/>
    <w:rsid w:val="00B52054"/>
    <w:rsid w:val="00B523FE"/>
    <w:rsid w:val="00B52F36"/>
    <w:rsid w:val="00B57FF1"/>
    <w:rsid w:val="00B613C2"/>
    <w:rsid w:val="00B617F1"/>
    <w:rsid w:val="00B66F75"/>
    <w:rsid w:val="00B754F7"/>
    <w:rsid w:val="00B76FD2"/>
    <w:rsid w:val="00B77DDE"/>
    <w:rsid w:val="00B8700F"/>
    <w:rsid w:val="00B941EE"/>
    <w:rsid w:val="00BB7919"/>
    <w:rsid w:val="00BB7C42"/>
    <w:rsid w:val="00BC32A4"/>
    <w:rsid w:val="00BD27B4"/>
    <w:rsid w:val="00BD2CFF"/>
    <w:rsid w:val="00BD3DA1"/>
    <w:rsid w:val="00BE1B98"/>
    <w:rsid w:val="00BE2130"/>
    <w:rsid w:val="00BE3958"/>
    <w:rsid w:val="00BF54D6"/>
    <w:rsid w:val="00BF5BF9"/>
    <w:rsid w:val="00C012AB"/>
    <w:rsid w:val="00C12D57"/>
    <w:rsid w:val="00C15A02"/>
    <w:rsid w:val="00C25092"/>
    <w:rsid w:val="00C32DA6"/>
    <w:rsid w:val="00C343DC"/>
    <w:rsid w:val="00C35D11"/>
    <w:rsid w:val="00C37F6A"/>
    <w:rsid w:val="00C47EC7"/>
    <w:rsid w:val="00C518BA"/>
    <w:rsid w:val="00C64ADF"/>
    <w:rsid w:val="00C70E12"/>
    <w:rsid w:val="00C74AAB"/>
    <w:rsid w:val="00C7567C"/>
    <w:rsid w:val="00C803F5"/>
    <w:rsid w:val="00C82EA9"/>
    <w:rsid w:val="00C906CC"/>
    <w:rsid w:val="00C91FE7"/>
    <w:rsid w:val="00C9386A"/>
    <w:rsid w:val="00C94D3C"/>
    <w:rsid w:val="00CA1DF9"/>
    <w:rsid w:val="00CA262A"/>
    <w:rsid w:val="00CA46A8"/>
    <w:rsid w:val="00CA644A"/>
    <w:rsid w:val="00CA68A9"/>
    <w:rsid w:val="00CB4F30"/>
    <w:rsid w:val="00CC14B1"/>
    <w:rsid w:val="00CC1FE2"/>
    <w:rsid w:val="00CC7C73"/>
    <w:rsid w:val="00CD04CC"/>
    <w:rsid w:val="00CD4331"/>
    <w:rsid w:val="00CE15D3"/>
    <w:rsid w:val="00CE2044"/>
    <w:rsid w:val="00CE2870"/>
    <w:rsid w:val="00CF0EEA"/>
    <w:rsid w:val="00CF101F"/>
    <w:rsid w:val="00CF414F"/>
    <w:rsid w:val="00D039F5"/>
    <w:rsid w:val="00D061CC"/>
    <w:rsid w:val="00D21EF5"/>
    <w:rsid w:val="00D253D7"/>
    <w:rsid w:val="00D40CA1"/>
    <w:rsid w:val="00D635AB"/>
    <w:rsid w:val="00D82E3D"/>
    <w:rsid w:val="00D947F3"/>
    <w:rsid w:val="00DA1947"/>
    <w:rsid w:val="00DB2BC3"/>
    <w:rsid w:val="00DC1FAD"/>
    <w:rsid w:val="00DC47FC"/>
    <w:rsid w:val="00DC7405"/>
    <w:rsid w:val="00DD0526"/>
    <w:rsid w:val="00DD61BE"/>
    <w:rsid w:val="00DD774D"/>
    <w:rsid w:val="00DE2C7A"/>
    <w:rsid w:val="00DE51D5"/>
    <w:rsid w:val="00DF09B6"/>
    <w:rsid w:val="00DF0CDC"/>
    <w:rsid w:val="00DF2DF4"/>
    <w:rsid w:val="00DF4F4D"/>
    <w:rsid w:val="00DF598A"/>
    <w:rsid w:val="00DF6522"/>
    <w:rsid w:val="00DF65B4"/>
    <w:rsid w:val="00E0127B"/>
    <w:rsid w:val="00E044C1"/>
    <w:rsid w:val="00E12ADF"/>
    <w:rsid w:val="00E13E83"/>
    <w:rsid w:val="00E14603"/>
    <w:rsid w:val="00E205DC"/>
    <w:rsid w:val="00E26758"/>
    <w:rsid w:val="00E3448E"/>
    <w:rsid w:val="00E34614"/>
    <w:rsid w:val="00E3615F"/>
    <w:rsid w:val="00E36727"/>
    <w:rsid w:val="00E40931"/>
    <w:rsid w:val="00E41562"/>
    <w:rsid w:val="00E42767"/>
    <w:rsid w:val="00E46C3B"/>
    <w:rsid w:val="00E53256"/>
    <w:rsid w:val="00E608E7"/>
    <w:rsid w:val="00E64AD2"/>
    <w:rsid w:val="00E66631"/>
    <w:rsid w:val="00E67E99"/>
    <w:rsid w:val="00E71933"/>
    <w:rsid w:val="00E74B14"/>
    <w:rsid w:val="00E771C4"/>
    <w:rsid w:val="00E7752E"/>
    <w:rsid w:val="00E87068"/>
    <w:rsid w:val="00E87848"/>
    <w:rsid w:val="00E9008E"/>
    <w:rsid w:val="00E94A1D"/>
    <w:rsid w:val="00E96D2D"/>
    <w:rsid w:val="00E96DDF"/>
    <w:rsid w:val="00EA1B2E"/>
    <w:rsid w:val="00EB2414"/>
    <w:rsid w:val="00EB5871"/>
    <w:rsid w:val="00EC41E3"/>
    <w:rsid w:val="00EC4BA1"/>
    <w:rsid w:val="00EC6D7E"/>
    <w:rsid w:val="00EC78A0"/>
    <w:rsid w:val="00ED389D"/>
    <w:rsid w:val="00EE2116"/>
    <w:rsid w:val="00EE5CE3"/>
    <w:rsid w:val="00F01E90"/>
    <w:rsid w:val="00F03527"/>
    <w:rsid w:val="00F23C9B"/>
    <w:rsid w:val="00F246F3"/>
    <w:rsid w:val="00F25B9C"/>
    <w:rsid w:val="00F30774"/>
    <w:rsid w:val="00F36EE6"/>
    <w:rsid w:val="00F44C6A"/>
    <w:rsid w:val="00F65FC2"/>
    <w:rsid w:val="00F75239"/>
    <w:rsid w:val="00F75D01"/>
    <w:rsid w:val="00F76BA7"/>
    <w:rsid w:val="00F9270D"/>
    <w:rsid w:val="00F934D7"/>
    <w:rsid w:val="00F96BC0"/>
    <w:rsid w:val="00FA15C6"/>
    <w:rsid w:val="00FA1A7E"/>
    <w:rsid w:val="00FA3149"/>
    <w:rsid w:val="00FB0710"/>
    <w:rsid w:val="00FB075C"/>
    <w:rsid w:val="00FB7869"/>
    <w:rsid w:val="00FC47AB"/>
    <w:rsid w:val="00FE003A"/>
    <w:rsid w:val="00FE65CE"/>
    <w:rsid w:val="00FF0C30"/>
    <w:rsid w:val="00FF295F"/>
    <w:rsid w:val="00FF347D"/>
    <w:rsid w:val="00FF67AF"/>
    <w:rsid w:val="00FF79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407606D"/>
  <w15:docId w15:val="{68E4C404-963C-433D-B493-329C4441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04CC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CD04CC"/>
    <w:pPr>
      <w:keepNext/>
      <w:ind w:left="720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CD04CC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D04CC"/>
    <w:pPr>
      <w:keepNext/>
      <w:tabs>
        <w:tab w:val="left" w:pos="-1440"/>
      </w:tabs>
      <w:ind w:right="7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D04CC"/>
    <w:pPr>
      <w:keepNext/>
      <w:ind w:left="7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CD04CC"/>
  </w:style>
  <w:style w:type="paragraph" w:customStyle="1" w:styleId="a">
    <w:name w:val="_"/>
    <w:basedOn w:val="Normal"/>
    <w:rsid w:val="00CD04CC"/>
    <w:pPr>
      <w:ind w:left="1440" w:hanging="720"/>
    </w:pPr>
  </w:style>
  <w:style w:type="paragraph" w:styleId="BodyText">
    <w:name w:val="Body Text"/>
    <w:basedOn w:val="Normal"/>
    <w:rsid w:val="00CD04CC"/>
    <w:pPr>
      <w:tabs>
        <w:tab w:val="left" w:pos="-1440"/>
      </w:tabs>
      <w:ind w:right="720"/>
    </w:pPr>
    <w:rPr>
      <w:b/>
    </w:rPr>
  </w:style>
  <w:style w:type="paragraph" w:styleId="BodyTextIndent">
    <w:name w:val="Body Text Indent"/>
    <w:basedOn w:val="Normal"/>
    <w:rsid w:val="00CD04CC"/>
    <w:pPr>
      <w:tabs>
        <w:tab w:val="left" w:pos="-1440"/>
      </w:tabs>
      <w:ind w:left="720" w:hanging="720"/>
    </w:pPr>
    <w:rPr>
      <w:b/>
    </w:rPr>
  </w:style>
  <w:style w:type="paragraph" w:styleId="BodyTextIndent2">
    <w:name w:val="Body Text Indent 2"/>
    <w:basedOn w:val="Normal"/>
    <w:rsid w:val="00CD04CC"/>
    <w:pPr>
      <w:tabs>
        <w:tab w:val="left" w:pos="-1440"/>
      </w:tabs>
      <w:ind w:left="1440" w:hanging="720"/>
    </w:pPr>
    <w:rPr>
      <w:b/>
    </w:rPr>
  </w:style>
  <w:style w:type="paragraph" w:styleId="BodyTextIndent3">
    <w:name w:val="Body Text Indent 3"/>
    <w:basedOn w:val="Normal"/>
    <w:rsid w:val="00CD04CC"/>
    <w:pPr>
      <w:ind w:left="720"/>
    </w:pPr>
  </w:style>
  <w:style w:type="paragraph" w:styleId="BalloonText">
    <w:name w:val="Balloon Text"/>
    <w:basedOn w:val="Normal"/>
    <w:link w:val="BalloonTextChar"/>
    <w:rsid w:val="00695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5E28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nhideWhenUsed/>
    <w:rsid w:val="00522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22E8B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522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E8B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27455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B0EF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B0EF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B0EFD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0EFD"/>
    <w:rPr>
      <w:b/>
      <w:bCs/>
      <w:snapToGrid w:val="0"/>
    </w:rPr>
  </w:style>
  <w:style w:type="table" w:customStyle="1" w:styleId="TableGrid">
    <w:name w:val="TableGrid"/>
    <w:rsid w:val="00581F8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B1EF7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B1EF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9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0D3E"/>
    <w:rPr>
      <w:snapToGrid w:val="0"/>
      <w:sz w:val="24"/>
    </w:rPr>
  </w:style>
  <w:style w:type="table" w:styleId="TableGrid0">
    <w:name w:val="Table Grid"/>
    <w:basedOn w:val="TableNormal"/>
    <w:rsid w:val="00691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E5CE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5CE3"/>
    <w:rPr>
      <w:snapToGrid w:val="0"/>
    </w:rPr>
  </w:style>
  <w:style w:type="paragraph" w:customStyle="1" w:styleId="pf0">
    <w:name w:val="pf0"/>
    <w:basedOn w:val="Normal"/>
    <w:rsid w:val="003E6367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cf01">
    <w:name w:val="cf01"/>
    <w:basedOn w:val="DefaultParagraphFont"/>
    <w:rsid w:val="003E636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data.bls.gov/oes/" TargetMode="External" /><Relationship Id="rId2" Type="http://schemas.openxmlformats.org/officeDocument/2006/relationships/hyperlink" Target="https://www.bls.gov/news.release/pdf/ecec.pdf" TargetMode="External" /><Relationship Id="rId3" Type="http://schemas.openxmlformats.org/officeDocument/2006/relationships/hyperlink" Target="https://www.opm.gov/policy-data-oversight/pay-leave/salaries-wages/salary-tables/25Tables/html/DCB_h.asp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1FB90-6ED9-428E-991C-941D4D499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MARAD</Company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Tamelia.Bolton</dc:creator>
  <cp:lastModifiedBy>Bolton, Tamelia (MARAD)</cp:lastModifiedBy>
  <cp:revision>3</cp:revision>
  <cp:lastPrinted>2025-08-27T17:20:00Z</cp:lastPrinted>
  <dcterms:created xsi:type="dcterms:W3CDTF">2026-01-29T12:54:00Z</dcterms:created>
  <dcterms:modified xsi:type="dcterms:W3CDTF">2026-01-29T12:54:00Z</dcterms:modified>
</cp:coreProperties>
</file>