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7284A" w:rsidRPr="004C0597" w:rsidP="0017284A" w14:paraId="3F2544EE" w14:textId="54EC9171">
      <w:pPr>
        <w:widowControl w:val="0"/>
        <w:tabs>
          <w:tab w:val="center" w:pos="4680"/>
        </w:tabs>
        <w:jc w:val="center"/>
        <w:rPr>
          <w:b/>
          <w:szCs w:val="24"/>
        </w:rPr>
      </w:pPr>
      <w:r>
        <w:fldChar w:fldCharType="begin"/>
      </w:r>
      <w:r>
        <w:instrText xml:space="preserve"> SEQ CHAPTER \h \r 1</w:instrText>
      </w:r>
      <w:r>
        <w:fldChar w:fldCharType="separate"/>
      </w:r>
      <w:r>
        <w:fldChar w:fldCharType="end"/>
      </w:r>
      <w:r w:rsidRPr="004C0597">
        <w:rPr>
          <w:b/>
          <w:szCs w:val="24"/>
        </w:rPr>
        <w:t>FEDERAL RAILROAD ADMINISTRATION</w:t>
      </w:r>
    </w:p>
    <w:p w:rsidR="0017284A" w:rsidP="23DB90D8" w14:paraId="13D2330F" w14:textId="05CD3B50">
      <w:pPr>
        <w:widowControl w:val="0"/>
        <w:tabs>
          <w:tab w:val="center" w:pos="4680"/>
        </w:tabs>
        <w:jc w:val="center"/>
        <w:rPr>
          <w:b/>
          <w:bCs/>
        </w:rPr>
      </w:pPr>
      <w:r w:rsidRPr="23DB90D8">
        <w:rPr>
          <w:b/>
          <w:bCs/>
        </w:rPr>
        <w:t xml:space="preserve">Bad Order, Home Shop Card, and Stenciling Reporting Mark </w:t>
      </w:r>
    </w:p>
    <w:p w:rsidR="0017284A" w:rsidRPr="004C0597" w:rsidP="0017284A" w14:paraId="01FD7CB4" w14:textId="77777777">
      <w:pPr>
        <w:widowControl w:val="0"/>
        <w:tabs>
          <w:tab w:val="center" w:pos="4680"/>
        </w:tabs>
        <w:jc w:val="center"/>
        <w:rPr>
          <w:b/>
          <w:szCs w:val="24"/>
        </w:rPr>
      </w:pPr>
      <w:r w:rsidRPr="004C0597">
        <w:rPr>
          <w:b/>
          <w:szCs w:val="24"/>
        </w:rPr>
        <w:t>(Title 49 Code of Federal Regulations Part 2</w:t>
      </w:r>
      <w:r>
        <w:rPr>
          <w:b/>
          <w:szCs w:val="24"/>
        </w:rPr>
        <w:t>15</w:t>
      </w:r>
      <w:r w:rsidRPr="004C0597">
        <w:rPr>
          <w:b/>
          <w:szCs w:val="24"/>
        </w:rPr>
        <w:t>)</w:t>
      </w:r>
    </w:p>
    <w:p w:rsidR="0017284A" w:rsidRPr="004C0597" w:rsidP="0017284A" w14:paraId="74A5A5FB" w14:textId="32B8525E">
      <w:pPr>
        <w:widowControl w:val="0"/>
        <w:tabs>
          <w:tab w:val="center" w:pos="4680"/>
        </w:tabs>
        <w:jc w:val="center"/>
        <w:rPr>
          <w:b/>
          <w:szCs w:val="24"/>
        </w:rPr>
      </w:pPr>
      <w:r w:rsidRPr="004C0597">
        <w:rPr>
          <w:b/>
          <w:szCs w:val="24"/>
        </w:rPr>
        <w:t>SUPPORTING JUSTIFICATION</w:t>
      </w:r>
    </w:p>
    <w:p w:rsidR="0017284A" w:rsidRPr="004C0597" w:rsidP="0017284A" w14:paraId="11DD8EEA" w14:textId="77777777">
      <w:pPr>
        <w:widowControl w:val="0"/>
        <w:tabs>
          <w:tab w:val="center" w:pos="4680"/>
        </w:tabs>
        <w:jc w:val="center"/>
        <w:rPr>
          <w:b/>
          <w:szCs w:val="24"/>
        </w:rPr>
      </w:pPr>
      <w:r w:rsidRPr="004C0597">
        <w:rPr>
          <w:b/>
          <w:szCs w:val="24"/>
        </w:rPr>
        <w:t>OMB Control No. 2130-</w:t>
      </w:r>
      <w:r>
        <w:rPr>
          <w:b/>
          <w:szCs w:val="24"/>
        </w:rPr>
        <w:t>0519</w:t>
      </w:r>
    </w:p>
    <w:p w:rsidR="0069297F" w14:paraId="7BC073CE" w14:textId="77777777">
      <w:pPr>
        <w:widowControl w:val="0"/>
      </w:pPr>
    </w:p>
    <w:p w:rsidR="00FB4639" w:rsidRPr="008A5B6D" w:rsidP="00FB4639" w14:paraId="08FA6600" w14:textId="1729816E">
      <w:pPr>
        <w:widowControl w:val="0"/>
        <w:ind w:left="720"/>
        <w:rPr>
          <w:szCs w:val="24"/>
          <w:u w:val="single"/>
        </w:rPr>
      </w:pPr>
      <w:r w:rsidRPr="008A5B6D">
        <w:rPr>
          <w:szCs w:val="24"/>
          <w:u w:val="single"/>
        </w:rPr>
        <w:t>Summary of Submission</w:t>
      </w:r>
    </w:p>
    <w:p w:rsidR="00FB4639" w:rsidRPr="008A5B6D" w:rsidP="00FB4639" w14:paraId="0927B497" w14:textId="77777777">
      <w:pPr>
        <w:widowControl w:val="0"/>
        <w:ind w:left="720"/>
        <w:rPr>
          <w:szCs w:val="24"/>
          <w:u w:val="single"/>
        </w:rPr>
      </w:pPr>
    </w:p>
    <w:p w:rsidR="00FB4639" w:rsidRPr="00746C8F" w:rsidP="004D76B4" w14:paraId="22D4F804" w14:textId="10EF2741">
      <w:pPr>
        <w:pStyle w:val="ListParagraph"/>
        <w:numPr>
          <w:ilvl w:val="0"/>
          <w:numId w:val="11"/>
        </w:numPr>
      </w:pPr>
      <w:r w:rsidRPr="00746C8F">
        <w:t xml:space="preserve">This submission is a request for an extension without change of the last three-year approval granted by the Office of Management and Budget (OMB) on </w:t>
      </w:r>
      <w:r w:rsidRPr="00746C8F" w:rsidR="0020363D">
        <w:t>April 24, 2023</w:t>
      </w:r>
      <w:r w:rsidRPr="00746C8F">
        <w:t xml:space="preserve">, </w:t>
      </w:r>
      <w:r w:rsidRPr="00746C8F" w:rsidR="0020363D">
        <w:t>with an expiration date on April 30, 2026</w:t>
      </w:r>
      <w:r w:rsidRPr="00746C8F">
        <w:t xml:space="preserve">. </w:t>
      </w:r>
    </w:p>
    <w:p w:rsidR="00FB4639" w:rsidRPr="00746C8F" w:rsidP="008546F2" w14:paraId="04996279" w14:textId="77777777"/>
    <w:p w:rsidR="00FB4639" w:rsidP="004D76B4" w14:paraId="0B63701C" w14:textId="62796AEA">
      <w:pPr>
        <w:pStyle w:val="ListParagraph"/>
        <w:numPr>
          <w:ilvl w:val="1"/>
          <w:numId w:val="12"/>
        </w:numPr>
        <w:ind w:left="720"/>
      </w:pPr>
      <w:r w:rsidRPr="00746C8F">
        <w:t xml:space="preserve">The Federal Railroad Administration </w:t>
      </w:r>
      <w:r w:rsidRPr="00746C8F" w:rsidR="0020363D">
        <w:t>(hereafter “</w:t>
      </w:r>
      <w:r w:rsidRPr="00746C8F">
        <w:t>FRA</w:t>
      </w:r>
      <w:r w:rsidRPr="00746C8F" w:rsidR="0020363D">
        <w:t xml:space="preserve">” or “the Agency”) </w:t>
      </w:r>
      <w:r w:rsidRPr="00746C8F">
        <w:t xml:space="preserve">published </w:t>
      </w:r>
      <w:r w:rsidRPr="00746C8F" w:rsidR="0020363D">
        <w:t>a</w:t>
      </w:r>
      <w:r w:rsidRPr="00746C8F">
        <w:t xml:space="preserve"> required 60-day</w:t>
      </w:r>
      <w:r w:rsidRPr="00746C8F" w:rsidR="0020363D">
        <w:t xml:space="preserve"> Notice in the</w:t>
      </w:r>
      <w:r w:rsidRPr="00746C8F">
        <w:t xml:space="preserve"> </w:t>
      </w:r>
      <w:r w:rsidRPr="008546F2">
        <w:rPr>
          <w:i/>
        </w:rPr>
        <w:t>Federal Register</w:t>
      </w:r>
      <w:r w:rsidRPr="00746C8F">
        <w:t xml:space="preserve"> on </w:t>
      </w:r>
      <w:r w:rsidRPr="008546F2" w:rsidR="00200A05">
        <w:t>January 30, 2026</w:t>
      </w:r>
      <w:r w:rsidRPr="00746C8F">
        <w:t xml:space="preserve">. </w:t>
      </w:r>
      <w:r w:rsidRPr="008546F2">
        <w:rPr>
          <w:i/>
        </w:rPr>
        <w:t>See</w:t>
      </w:r>
      <w:r w:rsidRPr="00746C8F">
        <w:t xml:space="preserve"> </w:t>
      </w:r>
      <w:r w:rsidRPr="00746C8F" w:rsidR="0020363D">
        <w:t>9</w:t>
      </w:r>
      <w:r w:rsidR="00200A05">
        <w:t>1</w:t>
      </w:r>
      <w:r w:rsidRPr="00746C8F" w:rsidR="0020363D">
        <w:t xml:space="preserve"> FR</w:t>
      </w:r>
      <w:r w:rsidR="00200A05">
        <w:t xml:space="preserve"> </w:t>
      </w:r>
      <w:r w:rsidR="007C1669">
        <w:t>4165</w:t>
      </w:r>
      <w:r w:rsidRPr="00746C8F">
        <w:t>.</w:t>
      </w:r>
      <w:r w:rsidRPr="00746C8F" w:rsidR="001A58D1">
        <w:t xml:space="preserve"> </w:t>
      </w:r>
      <w:r w:rsidRPr="00746C8F">
        <w:t>FRA received</w:t>
      </w:r>
      <w:r w:rsidRPr="00746C8F" w:rsidR="0020363D">
        <w:t xml:space="preserve"> </w:t>
      </w:r>
      <w:r w:rsidR="00D607AC">
        <w:t>no</w:t>
      </w:r>
      <w:r w:rsidRPr="00746C8F" w:rsidR="00AA6300">
        <w:t xml:space="preserve"> comment</w:t>
      </w:r>
      <w:r w:rsidRPr="00746C8F" w:rsidR="0020363D">
        <w:t>s in response to this Notice</w:t>
      </w:r>
      <w:r w:rsidRPr="00746C8F" w:rsidR="00AA6300">
        <w:t>.</w:t>
      </w:r>
      <w:r w:rsidRPr="00746C8F">
        <w:t xml:space="preserve"> </w:t>
      </w:r>
    </w:p>
    <w:p w:rsidR="00746C8F" w:rsidP="008546F2" w14:paraId="3AF437AA" w14:textId="77777777"/>
    <w:p w:rsidR="00746C8F" w:rsidRPr="00746C8F" w:rsidP="008546F2" w14:paraId="2F961D82" w14:textId="782ED50D">
      <w:pPr>
        <w:pStyle w:val="ListParagraph"/>
        <w:numPr>
          <w:ilvl w:val="0"/>
          <w:numId w:val="11"/>
        </w:numPr>
      </w:pPr>
      <w:r>
        <w:t xml:space="preserve">FRA made no adjustments and the estimated burden hours </w:t>
      </w:r>
      <w:r w:rsidR="00D54E02">
        <w:t xml:space="preserve">for this </w:t>
      </w:r>
      <w:r w:rsidRPr="008E0457" w:rsidR="00D54E02">
        <w:t>information collection</w:t>
      </w:r>
      <w:r w:rsidR="00D54E02">
        <w:t xml:space="preserve"> request (ICR)</w:t>
      </w:r>
      <w:r w:rsidRPr="008E0457" w:rsidR="00D54E02">
        <w:t xml:space="preserve"> </w:t>
      </w:r>
      <w:r>
        <w:t>remains at 38,000 hours and 285,000 responses</w:t>
      </w:r>
      <w:r w:rsidR="00290725">
        <w:t xml:space="preserve"> for this submission.</w:t>
      </w:r>
    </w:p>
    <w:p w:rsidR="00905DB8" w:rsidRPr="00746C8F" w:rsidP="008546F2" w14:paraId="78F5DB4F" w14:textId="77777777"/>
    <w:p w:rsidR="00FB4639" w:rsidRPr="00746C8F" w:rsidP="008546F2" w14:paraId="375F8F1B" w14:textId="77777777">
      <w:pPr>
        <w:pStyle w:val="ListParagraph"/>
        <w:numPr>
          <w:ilvl w:val="0"/>
          <w:numId w:val="11"/>
        </w:numPr>
      </w:pPr>
      <w:r w:rsidRPr="00746C8F">
        <w:t xml:space="preserve">The answer to question number 12 itemizes all information collection requirements. </w:t>
      </w:r>
    </w:p>
    <w:p w:rsidR="0017284A" w:rsidRPr="00746C8F" w:rsidP="008546F2" w14:paraId="6C99BB4D" w14:textId="77777777"/>
    <w:p w:rsidR="00764251" w:rsidP="00F913E0" w14:paraId="2615F644" w14:textId="167158E9">
      <w:pPr>
        <w:widowControl w:val="0"/>
        <w:numPr>
          <w:ilvl w:val="0"/>
          <w:numId w:val="5"/>
        </w:numPr>
        <w:ind w:left="720"/>
      </w:pPr>
      <w:r w:rsidRPr="00C0445E">
        <w:rPr>
          <w:b/>
          <w:u w:val="single"/>
        </w:rPr>
        <w:t>Circumstances that make collection of the information necessary</w:t>
      </w:r>
      <w:r w:rsidR="0043476A">
        <w:rPr>
          <w:b/>
          <w:u w:val="single"/>
        </w:rPr>
        <w:t>.</w:t>
      </w:r>
    </w:p>
    <w:p w:rsidR="0069297F" w14:paraId="339561A6" w14:textId="77777777">
      <w:pPr>
        <w:widowControl w:val="0"/>
      </w:pPr>
    </w:p>
    <w:p w:rsidR="001775EA" w14:paraId="6E87CDFC" w14:textId="328A6DEC">
      <w:pPr>
        <w:widowControl w:val="0"/>
        <w:ind w:left="720"/>
      </w:pPr>
      <w:r>
        <w:t>On October 16, 1970, Congress enacted the Federal Railroad Safety Act of 1970 (</w:t>
      </w:r>
      <w:r w:rsidR="00067F67">
        <w:t>Pub</w:t>
      </w:r>
      <w:r w:rsidR="00C91AE6">
        <w:t>. L.</w:t>
      </w:r>
      <w:r w:rsidR="00067F67">
        <w:t xml:space="preserve"> </w:t>
      </w:r>
      <w:r w:rsidR="00C91AE6">
        <w:t>No.</w:t>
      </w:r>
      <w:r w:rsidR="00067F67">
        <w:t xml:space="preserve"> 9</w:t>
      </w:r>
      <w:r w:rsidR="00725925">
        <w:t>1</w:t>
      </w:r>
      <w:r w:rsidR="00067F67">
        <w:t>-458)</w:t>
      </w:r>
      <w:r>
        <w:t xml:space="preserve"> (now </w:t>
      </w:r>
      <w:r w:rsidR="009324B5">
        <w:t>codified, in part, at</w:t>
      </w:r>
      <w:r>
        <w:t xml:space="preserve"> 49 U.S.C. </w:t>
      </w:r>
      <w:r w:rsidR="00C91AE6">
        <w:t xml:space="preserve">§ </w:t>
      </w:r>
      <w:r>
        <w:t>20103). This Act gave the Secretary of Transportation the authority to prescribe, as necessary, appropriate rules, regulations, orders, and standards for all areas of railroad safety</w:t>
      </w:r>
      <w:r w:rsidR="00831756">
        <w:t>, including Federal freight car safety standards</w:t>
      </w:r>
      <w:r w:rsidR="001233A1">
        <w:t xml:space="preserve"> codified as </w:t>
      </w:r>
      <w:r w:rsidR="00831756">
        <w:t xml:space="preserve">Title 49 Code of Federal Regulations (CFR) part 215. </w:t>
      </w:r>
    </w:p>
    <w:p w:rsidR="001775EA" w14:paraId="3EB9A7DF" w14:textId="77777777">
      <w:pPr>
        <w:widowControl w:val="0"/>
        <w:ind w:left="720"/>
      </w:pPr>
    </w:p>
    <w:p w:rsidR="001B6799" w:rsidP="0069754C" w14:paraId="731D1F9B" w14:textId="18089E40">
      <w:pPr>
        <w:widowControl w:val="0"/>
        <w:ind w:left="720"/>
      </w:pPr>
      <w:bookmarkStart w:id="0" w:name="_Hlk121986987"/>
      <w:r>
        <w:t xml:space="preserve">This ICR addresses requirements relating to the movement of defective </w:t>
      </w:r>
      <w:r w:rsidR="00801B90">
        <w:t xml:space="preserve">cars for repair as well as stenciling requirements. </w:t>
      </w:r>
      <w:r w:rsidR="00221A41">
        <w:t xml:space="preserve">As discussed in more detail in the subsequent paragraphs, </w:t>
      </w:r>
      <w:r w:rsidR="00801B90">
        <w:t>FRA</w:t>
      </w:r>
      <w:r w:rsidR="0069297F">
        <w:t xml:space="preserve"> require</w:t>
      </w:r>
      <w:r w:rsidR="000E20AF">
        <w:t>s</w:t>
      </w:r>
      <w:r w:rsidR="0069297F">
        <w:t xml:space="preserve"> each railroad to inspect freight cars placed in a train and take the necessary remedial action when defects are found</w:t>
      </w:r>
      <w:r w:rsidR="009B1F90">
        <w:t xml:space="preserve"> </w:t>
      </w:r>
      <w:r w:rsidR="00014112">
        <w:t>per 49 CFR</w:t>
      </w:r>
      <w:r w:rsidR="009B1F90">
        <w:t xml:space="preserve"> </w:t>
      </w:r>
      <w:r w:rsidR="00014112">
        <w:t>part 215, subpart A</w:t>
      </w:r>
      <w:r w:rsidR="0069297F">
        <w:t>. FRA enforces the regulations by monitoring the railroad</w:t>
      </w:r>
      <w:r w:rsidR="000C2175">
        <w:t>’</w:t>
      </w:r>
      <w:r w:rsidR="0069297F">
        <w:t xml:space="preserve">s compliance activities using FRA field personnel and/or qualified </w:t>
      </w:r>
      <w:r w:rsidR="002243EB">
        <w:t>S</w:t>
      </w:r>
      <w:r w:rsidR="0069297F">
        <w:t>tate inspectors.</w:t>
      </w:r>
      <w:r w:rsidR="00367E86">
        <w:t xml:space="preserve"> </w:t>
      </w:r>
      <w:r w:rsidR="00014112">
        <w:t>R</w:t>
      </w:r>
      <w:r w:rsidR="00367E86">
        <w:t xml:space="preserve">ailroads are </w:t>
      </w:r>
      <w:r w:rsidR="00221A41">
        <w:t xml:space="preserve">also </w:t>
      </w:r>
      <w:r w:rsidR="00367E86">
        <w:t>required</w:t>
      </w:r>
      <w:r w:rsidRPr="001A671D" w:rsidR="001A671D">
        <w:t xml:space="preserve"> to stencil or otherwise display identification marks on freight cars, including a car number and build date</w:t>
      </w:r>
      <w:r w:rsidR="00014112">
        <w:t xml:space="preserve"> per 49 CFR part 215, subpart D</w:t>
      </w:r>
      <w:r w:rsidRPr="001A671D" w:rsidR="001A671D">
        <w:t>.</w:t>
      </w:r>
      <w:bookmarkEnd w:id="0"/>
    </w:p>
    <w:p w:rsidR="0069297F" w:rsidP="008546F2" w14:paraId="5CEA1E12" w14:textId="00519546">
      <w:pPr>
        <w:widowControl w:val="0"/>
        <w:ind w:left="720"/>
      </w:pPr>
      <w:r>
        <w:t xml:space="preserve"> </w:t>
      </w:r>
    </w:p>
    <w:p w:rsidR="00CC0658" w:rsidP="00CC0658" w14:paraId="1C9080FE" w14:textId="156CAB54">
      <w:pPr>
        <w:widowControl w:val="0"/>
        <w:numPr>
          <w:ilvl w:val="0"/>
          <w:numId w:val="6"/>
        </w:numPr>
        <w:ind w:hanging="720"/>
      </w:pPr>
      <w:r w:rsidRPr="00194B0D">
        <w:rPr>
          <w:b/>
          <w:u w:val="single"/>
        </w:rPr>
        <w:t>How, by whom, and for what purpose the information is to be used</w:t>
      </w:r>
      <w:r w:rsidR="0043476A">
        <w:rPr>
          <w:b/>
          <w:u w:val="single"/>
        </w:rPr>
        <w:t>.</w:t>
      </w:r>
    </w:p>
    <w:p w:rsidR="0069297F" w14:paraId="6EB14BB0" w14:textId="77777777">
      <w:pPr>
        <w:widowControl w:val="0"/>
      </w:pPr>
    </w:p>
    <w:p w:rsidR="00FB4639" w:rsidP="00FB4639" w14:paraId="735C124C" w14:textId="1013A829">
      <w:pPr>
        <w:widowControl w:val="0"/>
        <w:ind w:left="720"/>
      </w:pPr>
      <w:r>
        <w:t xml:space="preserve">Under 49 CFR part 215, railroads are required to inspect freight cars placed in service and take remedial action when defects are identified. </w:t>
      </w:r>
      <w:r w:rsidR="000D1672">
        <w:t xml:space="preserve">Under </w:t>
      </w:r>
      <w:r w:rsidR="006017FC">
        <w:t>§</w:t>
      </w:r>
      <w:r w:rsidR="000D1672">
        <w:t xml:space="preserve"> 215.11, a railroad must also maintain a record for each of the designated persons qualified to inspect railroad freight cars for </w:t>
      </w:r>
      <w:r w:rsidR="00CE4E43">
        <w:t>p</w:t>
      </w:r>
      <w:r w:rsidR="000D1672">
        <w:t xml:space="preserve">art 215 compliance. </w:t>
      </w:r>
      <w:r>
        <w:t xml:space="preserve">A railroad freight car with a part 215 defect may be moved </w:t>
      </w:r>
      <w:r>
        <w:t xml:space="preserve">to another location for repair only after the railroad has complied with the process under </w:t>
      </w:r>
      <w:r w:rsidR="006017FC">
        <w:t>§</w:t>
      </w:r>
      <w:r>
        <w:t xml:space="preserve"> 215.9. Section 215.9 requires railroads to affix a “bad order” tag describing each defect to each side of the freight car. It is imperative that a defective freight car be tagged “bad order” so it can be readily identified and moved to another location for repair purposes only, and so that </w:t>
      </w:r>
      <w:r w:rsidR="00F624FE">
        <w:t xml:space="preserve">any </w:t>
      </w:r>
      <w:r>
        <w:t xml:space="preserve">maximum speed </w:t>
      </w:r>
      <w:r w:rsidR="001B33E5">
        <w:t>or</w:t>
      </w:r>
      <w:r>
        <w:t xml:space="preserve"> other restrictions necessary for safely conducting the movement are known. At the repair location, the “bad order” tag serves as a notification of the defective condition of the freight car. Railroads must retain each tag for 90 days </w:t>
      </w:r>
      <w:r w:rsidR="00682A08">
        <w:t xml:space="preserve">after removal from the freight car </w:t>
      </w:r>
      <w:r>
        <w:t>to verify that proper repairs were made at the designated location. When inspecting freight car</w:t>
      </w:r>
      <w:r w:rsidR="008E086B">
        <w:t>s</w:t>
      </w:r>
      <w:r>
        <w:t>, FRA and State inspectors review all pertinent records to determine railroads</w:t>
      </w:r>
      <w:r w:rsidR="0070149C">
        <w:t>’</w:t>
      </w:r>
      <w:r>
        <w:t xml:space="preserve"> compliance with the movement restrictions of </w:t>
      </w:r>
      <w:r w:rsidR="00544F40">
        <w:t>§</w:t>
      </w:r>
      <w:r>
        <w:t xml:space="preserve"> 215.9.</w:t>
      </w:r>
    </w:p>
    <w:p w:rsidR="00FB4639" w:rsidP="00FB4639" w14:paraId="7F8FBB58" w14:textId="77777777">
      <w:pPr>
        <w:widowControl w:val="0"/>
        <w:ind w:left="720"/>
      </w:pPr>
    </w:p>
    <w:p w:rsidR="00FB4639" w:rsidP="00FB4639" w14:paraId="21F2E529" w14:textId="54AFA16A">
      <w:pPr>
        <w:widowControl w:val="0"/>
        <w:ind w:left="720"/>
      </w:pPr>
      <w:r>
        <w:t>Section</w:t>
      </w:r>
      <w:r w:rsidR="00452E49">
        <w:t xml:space="preserve"> 215.301 requires railroads and private car owners to stencil or otherwise display identification marks on freight cars, including a car number and build date. FRA uses identification marks to help obtain certain information related to a car’s compliance with Federal safety </w:t>
      </w:r>
      <w:r>
        <w:t>requirements</w:t>
      </w:r>
      <w:r w:rsidR="00452E49">
        <w:t xml:space="preserve">. The marks are used consistently across railroad records to identify the car and show: the type of car, what it’s carrying, its movement history, and current maintenance schedule. Using the marks to identify the cars helps FRA determine the application of Federal safety </w:t>
      </w:r>
      <w:r>
        <w:t xml:space="preserve">requirements </w:t>
      </w:r>
      <w:r w:rsidR="00452E49">
        <w:t xml:space="preserve">to that car and who is responsible for compliance. FRA also uses this information </w:t>
      </w:r>
      <w:r w:rsidR="00523F42">
        <w:t xml:space="preserve">to identify cars that have been </w:t>
      </w:r>
      <w:r w:rsidR="00387D19">
        <w:t>qualified</w:t>
      </w:r>
      <w:r w:rsidR="00452E49">
        <w:t xml:space="preserve"> for dedicated service and </w:t>
      </w:r>
      <w:r w:rsidR="00387D19">
        <w:t xml:space="preserve">are </w:t>
      </w:r>
      <w:r w:rsidR="00452E49">
        <w:t xml:space="preserve">excluded from </w:t>
      </w:r>
      <w:r w:rsidR="00C322C8">
        <w:t xml:space="preserve">certain </w:t>
      </w:r>
      <w:r w:rsidR="00452E49">
        <w:t>requirements of part 215. Railroads use the required information to provide identification and control so that dedicated cars remain in the prescribed service.</w:t>
      </w:r>
    </w:p>
    <w:p w:rsidR="00FB4639" w:rsidP="00CA4228" w14:paraId="1767BE09" w14:textId="77777777">
      <w:pPr>
        <w:widowControl w:val="0"/>
        <w:ind w:left="720"/>
      </w:pPr>
    </w:p>
    <w:p w:rsidR="00FF48B2" w:rsidRPr="006C777B" w:rsidP="00FF48B2" w14:paraId="4D2913D2" w14:textId="04F57057">
      <w:pPr>
        <w:widowControl w:val="0"/>
        <w:numPr>
          <w:ilvl w:val="0"/>
          <w:numId w:val="6"/>
        </w:numPr>
        <w:ind w:hanging="720"/>
        <w:rPr>
          <w:szCs w:val="24"/>
        </w:rPr>
      </w:pPr>
      <w:r>
        <w:rPr>
          <w:b/>
          <w:szCs w:val="24"/>
          <w:u w:val="single"/>
        </w:rPr>
        <w:t>Extent of automated information collection</w:t>
      </w:r>
      <w:r w:rsidR="0043476A">
        <w:rPr>
          <w:b/>
          <w:szCs w:val="24"/>
          <w:u w:val="single"/>
        </w:rPr>
        <w:t>.</w:t>
      </w:r>
    </w:p>
    <w:p w:rsidR="006025DA" w:rsidP="00FF48B2" w14:paraId="3BEA2F3D" w14:textId="77777777">
      <w:pPr>
        <w:widowControl w:val="0"/>
        <w:ind w:left="360"/>
      </w:pPr>
    </w:p>
    <w:p w:rsidR="0069297F" w14:paraId="22231533" w14:textId="55E6A92A">
      <w:pPr>
        <w:widowControl w:val="0"/>
        <w:ind w:left="720"/>
      </w:pPr>
      <w:r w:rsidRPr="005E3B94">
        <w:t xml:space="preserve">FRA strongly encourages the use of advanced information technology, wherever feasible, to reduce </w:t>
      </w:r>
      <w:r>
        <w:t xml:space="preserve">the </w:t>
      </w:r>
      <w:r w:rsidRPr="005E3B94">
        <w:t>burden on respondents.</w:t>
      </w:r>
      <w:r>
        <w:t xml:space="preserve"> </w:t>
      </w:r>
      <w:r w:rsidR="00F3575A">
        <w:t xml:space="preserve">While FRA is aware of technologies that allow for electronic bad order tagging, FRA continues to </w:t>
      </w:r>
      <w:r w:rsidR="00544F40">
        <w:t>discuss</w:t>
      </w:r>
      <w:r w:rsidR="00F3575A">
        <w:t xml:space="preserve"> with stakeholders the feasibility of </w:t>
      </w:r>
      <w:r w:rsidR="00CB4F9E">
        <w:t>implementing</w:t>
      </w:r>
      <w:r w:rsidR="00F3575A">
        <w:t xml:space="preserve"> this technology </w:t>
      </w:r>
      <w:r w:rsidR="00CB4F9E">
        <w:t xml:space="preserve">railroad-wide </w:t>
      </w:r>
      <w:r w:rsidR="00F3575A">
        <w:t>in this context.</w:t>
      </w:r>
      <w:r w:rsidR="00657360">
        <w:t xml:space="preserve"> In addition,</w:t>
      </w:r>
      <w:r w:rsidR="00F3575A">
        <w:t xml:space="preserve"> </w:t>
      </w:r>
      <w:r w:rsidR="00657360">
        <w:t>n</w:t>
      </w:r>
      <w:r w:rsidR="005F2060">
        <w:t xml:space="preserve">either </w:t>
      </w:r>
      <w:r w:rsidR="00657360">
        <w:t>t</w:t>
      </w:r>
      <w:r>
        <w:t xml:space="preserve">he amount </w:t>
      </w:r>
      <w:r w:rsidR="00657360">
        <w:t>nor</w:t>
      </w:r>
      <w:r>
        <w:t xml:space="preserve"> type of information required by this collection require</w:t>
      </w:r>
      <w:r w:rsidR="00657360">
        <w:t>s</w:t>
      </w:r>
      <w:r>
        <w:t xml:space="preserve"> elaborate information processing.</w:t>
      </w:r>
    </w:p>
    <w:p w:rsidR="0069297F" w14:paraId="36F0F76E" w14:textId="77777777">
      <w:pPr>
        <w:widowControl w:val="0"/>
      </w:pPr>
    </w:p>
    <w:p w:rsidR="005A6EA5" w:rsidP="005A6EA5" w14:paraId="2DFB4C5D" w14:textId="56E35D45">
      <w:pPr>
        <w:widowControl w:val="0"/>
        <w:rPr>
          <w:b/>
        </w:rPr>
      </w:pPr>
      <w:r w:rsidRPr="00AD423C">
        <w:rPr>
          <w:b/>
        </w:rPr>
        <w:t>4.</w:t>
      </w:r>
      <w:r w:rsidRPr="00AD423C">
        <w:rPr>
          <w:b/>
        </w:rPr>
        <w:tab/>
      </w:r>
      <w:r w:rsidRPr="00AD423C">
        <w:rPr>
          <w:b/>
          <w:u w:val="single"/>
        </w:rPr>
        <w:t>Efforts to identify duplication</w:t>
      </w:r>
      <w:r w:rsidR="0043476A">
        <w:rPr>
          <w:b/>
          <w:u w:val="single"/>
        </w:rPr>
        <w:t>.</w:t>
      </w:r>
    </w:p>
    <w:p w:rsidR="0069297F" w14:paraId="1CAD54C5" w14:textId="77777777">
      <w:pPr>
        <w:widowControl w:val="0"/>
      </w:pPr>
    </w:p>
    <w:p w:rsidR="00672CE6" w:rsidP="00672CE6" w14:paraId="4099B9E5" w14:textId="52ADDA2F">
      <w:pPr>
        <w:widowControl w:val="0"/>
        <w:ind w:left="720"/>
      </w:pPr>
      <w:r>
        <w:t xml:space="preserve">There is no known duplication of method </w:t>
      </w:r>
      <w:r w:rsidR="005278D0">
        <w:t>for</w:t>
      </w:r>
      <w:r>
        <w:t xml:space="preserve"> identifying defective equipment. The tag is placed on the car when a defect is detected and is removed after the defect is corrected. The tag is retained. In these instances, no other repair record is prepared. </w:t>
      </w:r>
    </w:p>
    <w:p w:rsidR="00672CE6" w:rsidP="00672CE6" w14:paraId="647D6619" w14:textId="77777777">
      <w:pPr>
        <w:widowControl w:val="0"/>
        <w:ind w:left="720"/>
      </w:pPr>
    </w:p>
    <w:p w:rsidR="00672CE6" w:rsidP="00672CE6" w14:paraId="39C2BA1A" w14:textId="0C0AEAC8">
      <w:pPr>
        <w:widowControl w:val="0"/>
        <w:ind w:left="720"/>
      </w:pPr>
      <w:r>
        <w:t>T</w:t>
      </w:r>
      <w:r w:rsidR="00452E49">
        <w:t xml:space="preserve">here is no known duplication of method </w:t>
      </w:r>
      <w:r w:rsidR="00180A0E">
        <w:t>for</w:t>
      </w:r>
      <w:r w:rsidR="00452E49">
        <w:t xml:space="preserve"> identifying freight cars. A car is stenciled when it is built or rebuilt, and this process is not repeated unless the car ownership changes or the stenciling becomes illegible or graffiti marked.</w:t>
      </w:r>
    </w:p>
    <w:p w:rsidR="00672CE6" w:rsidP="00672CE6" w14:paraId="7E6A5C4C" w14:textId="77777777">
      <w:pPr>
        <w:widowControl w:val="0"/>
      </w:pPr>
    </w:p>
    <w:p w:rsidR="00672CE6" w:rsidP="00672CE6" w14:paraId="5163BC2E" w14:textId="77777777">
      <w:pPr>
        <w:widowControl w:val="0"/>
        <w:ind w:left="720"/>
      </w:pPr>
      <w:r>
        <w:t>Similar data are not available from any other source.</w:t>
      </w:r>
    </w:p>
    <w:p w:rsidR="00212C58" w:rsidRPr="00AD423C" w:rsidP="00212C58" w14:paraId="2DC1C7B4" w14:textId="6B7E0B96">
      <w:pPr>
        <w:widowControl w:val="0"/>
        <w:rPr>
          <w:b/>
        </w:rPr>
      </w:pPr>
      <w:r w:rsidRPr="00AD423C">
        <w:rPr>
          <w:b/>
        </w:rPr>
        <w:t>5.</w:t>
      </w:r>
      <w:r w:rsidRPr="00AD423C">
        <w:rPr>
          <w:b/>
        </w:rPr>
        <w:tab/>
      </w:r>
      <w:r w:rsidRPr="00AD423C">
        <w:rPr>
          <w:b/>
          <w:u w:val="single"/>
        </w:rPr>
        <w:t>Efforts to minimize the burden on small businesses</w:t>
      </w:r>
      <w:r w:rsidR="0043476A">
        <w:rPr>
          <w:b/>
          <w:u w:val="single"/>
        </w:rPr>
        <w:t>.</w:t>
      </w:r>
    </w:p>
    <w:p w:rsidR="0069297F" w14:paraId="7E171F6D" w14:textId="77777777">
      <w:pPr>
        <w:widowControl w:val="0"/>
      </w:pPr>
    </w:p>
    <w:p w:rsidR="00672CE6" w14:paraId="581D8D09" w14:textId="440C74A9">
      <w:pPr>
        <w:widowControl w:val="0"/>
        <w:ind w:left="720"/>
      </w:pPr>
      <w:r>
        <w:t>There are no known</w:t>
      </w:r>
      <w:r w:rsidR="00165477">
        <w:t>, feasible</w:t>
      </w:r>
      <w:r>
        <w:t xml:space="preserve"> methods that are used, or can be used, at the present time to minimize </w:t>
      </w:r>
      <w:r w:rsidR="00F402E8">
        <w:t xml:space="preserve">the </w:t>
      </w:r>
      <w:r>
        <w:t>burden</w:t>
      </w:r>
      <w:r w:rsidR="002A1A4E">
        <w:t xml:space="preserve"> industry-wide</w:t>
      </w:r>
      <w:r>
        <w:t xml:space="preserve">. </w:t>
      </w:r>
      <w:r w:rsidR="005278D0">
        <w:t>However, t</w:t>
      </w:r>
      <w:r w:rsidRPr="006063BC" w:rsidR="0069297F">
        <w:t xml:space="preserve">he majority of the estimated burden for bad order tags </w:t>
      </w:r>
      <w:r>
        <w:t xml:space="preserve">and </w:t>
      </w:r>
      <w:r w:rsidR="00260CFC">
        <w:t>stenciling</w:t>
      </w:r>
      <w:r>
        <w:t xml:space="preserve"> </w:t>
      </w:r>
      <w:r w:rsidRPr="006063BC" w:rsidR="0069297F">
        <w:t xml:space="preserve">will be experienced by the major railroads. </w:t>
      </w:r>
      <w:r w:rsidR="00402C4A">
        <w:t>T</w:t>
      </w:r>
      <w:r w:rsidR="0069297F">
        <w:t xml:space="preserve">he list of designated inspectors </w:t>
      </w:r>
      <w:r w:rsidR="0044078D">
        <w:t xml:space="preserve">also </w:t>
      </w:r>
      <w:r w:rsidR="0069297F">
        <w:t>almost exclusively falls on the major railroads</w:t>
      </w:r>
      <w:r w:rsidR="00402C4A">
        <w:t xml:space="preserve"> b</w:t>
      </w:r>
      <w:r w:rsidRPr="006063BC" w:rsidR="00402C4A">
        <w:t>ecause</w:t>
      </w:r>
      <w:r w:rsidR="00402C4A">
        <w:t xml:space="preserve"> of their greater financial resources and facilities.</w:t>
      </w:r>
    </w:p>
    <w:p w:rsidR="00672CE6" w14:paraId="00B8769A" w14:textId="77777777">
      <w:pPr>
        <w:widowControl w:val="0"/>
        <w:ind w:left="720"/>
      </w:pPr>
    </w:p>
    <w:p w:rsidR="00396E96" w:rsidRPr="00AD423C" w:rsidP="00396E96" w14:paraId="270D2000" w14:textId="5D8F6C6E">
      <w:pPr>
        <w:widowControl w:val="0"/>
        <w:ind w:left="720" w:hanging="720"/>
        <w:rPr>
          <w:b/>
        </w:rPr>
      </w:pPr>
      <w:r w:rsidRPr="00AD423C">
        <w:rPr>
          <w:b/>
        </w:rPr>
        <w:t>6.</w:t>
      </w:r>
      <w:r w:rsidRPr="00AD423C">
        <w:rPr>
          <w:b/>
        </w:rPr>
        <w:tab/>
      </w:r>
      <w:r w:rsidRPr="00FB4D3D">
        <w:rPr>
          <w:b/>
          <w:u w:val="single"/>
        </w:rPr>
        <w:t>Impact of less frequent collection of information</w:t>
      </w:r>
      <w:r w:rsidR="0043476A">
        <w:rPr>
          <w:b/>
          <w:u w:val="single"/>
        </w:rPr>
        <w:t>.</w:t>
      </w:r>
    </w:p>
    <w:p w:rsidR="0069297F" w14:paraId="3D91696E" w14:textId="77777777">
      <w:pPr>
        <w:widowControl w:val="0"/>
      </w:pPr>
    </w:p>
    <w:p w:rsidR="0088367C" w14:paraId="582D5BA0" w14:textId="332873AE">
      <w:pPr>
        <w:widowControl w:val="0"/>
        <w:ind w:left="720"/>
      </w:pPr>
      <w:r>
        <w:t>Without</w:t>
      </w:r>
      <w:r w:rsidR="0069297F">
        <w:t xml:space="preserve"> this collection of information, FRA and State inspectors would be impeded in </w:t>
      </w:r>
      <w:r w:rsidR="001548D9">
        <w:t xml:space="preserve">their enforcement of </w:t>
      </w:r>
      <w:r w:rsidR="0069297F">
        <w:t xml:space="preserve">Federal and State rail safety </w:t>
      </w:r>
      <w:r w:rsidR="00544F40">
        <w:t>requirements</w:t>
      </w:r>
      <w:r w:rsidR="0069297F">
        <w:t>. Specifically, they would be unable to access record</w:t>
      </w:r>
      <w:r w:rsidR="00DE0390">
        <w:t>s</w:t>
      </w:r>
      <w:r w:rsidR="0069297F">
        <w:t xml:space="preserve"> concerning the inspection and movement of freight car</w:t>
      </w:r>
      <w:r w:rsidR="00DE0390">
        <w:t>s</w:t>
      </w:r>
      <w:r w:rsidR="0069297F">
        <w:t xml:space="preserve"> (including necessary restrictions) that did not meet the requirements of </w:t>
      </w:r>
      <w:r w:rsidR="00B24EEE">
        <w:t>p</w:t>
      </w:r>
      <w:r w:rsidR="0069297F">
        <w:t>art 215. This information m</w:t>
      </w:r>
      <w:r w:rsidR="002F0279">
        <w:t>ay</w:t>
      </w:r>
      <w:r w:rsidR="0069297F">
        <w:t xml:space="preserve"> prove</w:t>
      </w:r>
      <w:r w:rsidR="002F0279">
        <w:t xml:space="preserve"> to be</w:t>
      </w:r>
      <w:r w:rsidR="0069297F">
        <w:t xml:space="preserve"> critical in an investigation to determine the cause(s) or contributing cause(s) of an accident/incident </w:t>
      </w:r>
      <w:r w:rsidR="00DE0390">
        <w:t xml:space="preserve">in which </w:t>
      </w:r>
      <w:r w:rsidR="0069297F">
        <w:t xml:space="preserve">railroad workers experienced injuries or fatalities. Also, without this collection of information, specifically </w:t>
      </w:r>
      <w:r w:rsidR="00D86798">
        <w:t>with respect to</w:t>
      </w:r>
      <w:r w:rsidR="0069297F">
        <w:t xml:space="preserve"> the list of designated inspectors under § 215.11, FRA would have no way to know whether a qualified railroad inspector made the determination that a freight car did not meet the requirements of </w:t>
      </w:r>
      <w:r w:rsidR="002F0279">
        <w:t>p</w:t>
      </w:r>
      <w:r w:rsidR="0069297F">
        <w:t xml:space="preserve">art 215 and was defective.  </w:t>
      </w:r>
    </w:p>
    <w:p w:rsidR="003C25C3" w14:paraId="2ECBB5D4" w14:textId="77777777">
      <w:pPr>
        <w:widowControl w:val="0"/>
        <w:ind w:left="720"/>
      </w:pPr>
    </w:p>
    <w:p w:rsidR="0069297F" w14:paraId="5F20F864" w14:textId="116FBA2F">
      <w:pPr>
        <w:widowControl w:val="0"/>
        <w:ind w:left="720"/>
      </w:pPr>
      <w:r>
        <w:t>W</w:t>
      </w:r>
      <w:r w:rsidRPr="0088367C" w:rsidR="00452E49">
        <w:t>ithout reporting marks on both sides</w:t>
      </w:r>
      <w:r w:rsidR="00515D5A">
        <w:t xml:space="preserve"> of each car</w:t>
      </w:r>
      <w:r w:rsidRPr="0088367C" w:rsidR="00452E49">
        <w:t>, extra employees would be needed to identify cars entering</w:t>
      </w:r>
      <w:r w:rsidR="0069754C">
        <w:t xml:space="preserve"> </w:t>
      </w:r>
      <w:r w:rsidR="00D86798">
        <w:t xml:space="preserve">rail </w:t>
      </w:r>
      <w:r w:rsidRPr="0088367C" w:rsidR="00452E49">
        <w:t xml:space="preserve">yards. This would be costly and inefficient for </w:t>
      </w:r>
      <w:r w:rsidR="00D86798">
        <w:t>the</w:t>
      </w:r>
      <w:r w:rsidRPr="0088367C" w:rsidR="00452E49">
        <w:t xml:space="preserve"> railroad</w:t>
      </w:r>
      <w:r w:rsidR="005F03E3">
        <w:t xml:space="preserve"> industry</w:t>
      </w:r>
      <w:r w:rsidRPr="0088367C" w:rsidR="00452E49">
        <w:t xml:space="preserve">. The other option would be for an employee to attempt to identify entering freight cars on </w:t>
      </w:r>
      <w:r w:rsidR="00197DAC">
        <w:t>their</w:t>
      </w:r>
      <w:r w:rsidRPr="0088367C" w:rsidR="00452E49">
        <w:t xml:space="preserve"> own</w:t>
      </w:r>
      <w:r w:rsidR="005F03E3">
        <w:t xml:space="preserve">, potentially exposing </w:t>
      </w:r>
      <w:r w:rsidR="003B04FA">
        <w:t>railroad employees</w:t>
      </w:r>
      <w:r w:rsidRPr="0088367C" w:rsidR="00452E49">
        <w:t xml:space="preserve"> to greater risk of injur</w:t>
      </w:r>
      <w:r w:rsidR="00A761B4">
        <w:t>y</w:t>
      </w:r>
      <w:r w:rsidR="00172411">
        <w:t xml:space="preserve"> due to the potential need to cross a track to obtain</w:t>
      </w:r>
      <w:r w:rsidR="004D6DD1">
        <w:t xml:space="preserve"> identifying freight car information</w:t>
      </w:r>
      <w:r w:rsidR="003B04FA">
        <w:t xml:space="preserve">.  </w:t>
      </w:r>
    </w:p>
    <w:p w:rsidR="001B6799" w:rsidP="00FB4D3D" w14:paraId="37F93C6B" w14:textId="77777777">
      <w:pPr>
        <w:widowControl w:val="0"/>
      </w:pPr>
    </w:p>
    <w:p w:rsidR="00A44B7A" w:rsidP="00A44B7A" w14:paraId="6F8F96E1" w14:textId="623FAA60">
      <w:pPr>
        <w:widowControl w:val="0"/>
        <w:ind w:left="720" w:hanging="720"/>
      </w:pPr>
      <w:r w:rsidRPr="00AD423C">
        <w:rPr>
          <w:b/>
        </w:rPr>
        <w:t>7.</w:t>
      </w:r>
      <w:r w:rsidRPr="00AD423C">
        <w:rPr>
          <w:b/>
        </w:rPr>
        <w:tab/>
      </w:r>
      <w:r w:rsidRPr="00AD423C">
        <w:rPr>
          <w:b/>
          <w:u w:val="single"/>
        </w:rPr>
        <w:t>Special circumstances</w:t>
      </w:r>
      <w:r w:rsidR="0043476A">
        <w:rPr>
          <w:b/>
          <w:u w:val="single"/>
        </w:rPr>
        <w:t>.</w:t>
      </w:r>
    </w:p>
    <w:p w:rsidR="0069297F" w14:paraId="729C36E9" w14:textId="77777777">
      <w:pPr>
        <w:widowControl w:val="0"/>
      </w:pPr>
    </w:p>
    <w:p w:rsidR="00995B06" w:rsidRPr="00995B06" w:rsidP="00995B06" w14:paraId="2C92B884" w14:textId="53D79405">
      <w:pPr>
        <w:widowControl w:val="0"/>
        <w:ind w:left="720"/>
      </w:pPr>
      <w:r>
        <w:t xml:space="preserve">There are no special circumstances with respect to this </w:t>
      </w:r>
      <w:r w:rsidR="002A5441">
        <w:t xml:space="preserve">information collection request </w:t>
      </w:r>
      <w:r>
        <w:t xml:space="preserve">ICR.  </w:t>
      </w:r>
    </w:p>
    <w:p w:rsidR="00CE4754" w:rsidP="0030708A" w14:paraId="1EA48903" w14:textId="77777777">
      <w:pPr>
        <w:widowControl w:val="0"/>
        <w:ind w:left="720"/>
      </w:pPr>
    </w:p>
    <w:p w:rsidR="00995B06" w:rsidRPr="00D863FB" w:rsidP="00995B06" w14:paraId="5DF3A114" w14:textId="68B9275F">
      <w:pPr>
        <w:widowControl w:val="0"/>
        <w:ind w:left="720" w:hanging="720"/>
        <w:rPr>
          <w:b/>
          <w:szCs w:val="24"/>
        </w:rPr>
      </w:pPr>
      <w:r w:rsidRPr="00D863FB">
        <w:rPr>
          <w:b/>
          <w:szCs w:val="24"/>
        </w:rPr>
        <w:t>8.</w:t>
      </w:r>
      <w:r w:rsidRPr="00D863FB">
        <w:rPr>
          <w:b/>
          <w:szCs w:val="24"/>
        </w:rPr>
        <w:tab/>
      </w:r>
      <w:r w:rsidRPr="00D863FB">
        <w:rPr>
          <w:b/>
          <w:szCs w:val="24"/>
          <w:u w:val="single"/>
        </w:rPr>
        <w:t xml:space="preserve">Compliance with </w:t>
      </w:r>
      <w:r w:rsidR="00F2065C">
        <w:rPr>
          <w:b/>
          <w:szCs w:val="24"/>
          <w:u w:val="single"/>
        </w:rPr>
        <w:t>5 CFR</w:t>
      </w:r>
      <w:r w:rsidRPr="00D863FB">
        <w:rPr>
          <w:b/>
          <w:szCs w:val="24"/>
          <w:u w:val="single"/>
        </w:rPr>
        <w:t xml:space="preserve"> </w:t>
      </w:r>
      <w:r w:rsidR="00A761B4">
        <w:rPr>
          <w:b/>
          <w:szCs w:val="24"/>
          <w:u w:val="single"/>
        </w:rPr>
        <w:t xml:space="preserve">§ </w:t>
      </w:r>
      <w:r w:rsidRPr="00D863FB">
        <w:rPr>
          <w:b/>
          <w:szCs w:val="24"/>
          <w:u w:val="single"/>
        </w:rPr>
        <w:t>1320.8</w:t>
      </w:r>
      <w:r w:rsidRPr="007E62DC">
        <w:rPr>
          <w:szCs w:val="24"/>
        </w:rPr>
        <w:t>.</w:t>
      </w:r>
    </w:p>
    <w:p w:rsidR="00995B06" w:rsidRPr="00D863FB" w:rsidP="00995B06" w14:paraId="667752E1" w14:textId="77777777">
      <w:pPr>
        <w:widowControl w:val="0"/>
        <w:rPr>
          <w:szCs w:val="24"/>
        </w:rPr>
      </w:pPr>
    </w:p>
    <w:p w:rsidR="00995B06" w:rsidP="00995B06" w14:paraId="0AB3810C" w14:textId="40978B29">
      <w:pPr>
        <w:widowControl w:val="0"/>
        <w:ind w:left="720"/>
      </w:pPr>
      <w:r w:rsidRPr="007469FD">
        <w:t>As required by the Paperwork Reduction Act of 1995</w:t>
      </w:r>
      <w:r>
        <w:t xml:space="preserve"> (PRA)</w:t>
      </w:r>
      <w:r w:rsidRPr="007469FD">
        <w:t xml:space="preserve"> and 5 CFR </w:t>
      </w:r>
      <w:r w:rsidR="00F2065C">
        <w:t xml:space="preserve">part </w:t>
      </w:r>
      <w:r w:rsidRPr="007469FD">
        <w:t xml:space="preserve">1320, FRA published a notice in the </w:t>
      </w:r>
      <w:r w:rsidRPr="008546F2">
        <w:rPr>
          <w:i/>
        </w:rPr>
        <w:t>Federal Register</w:t>
      </w:r>
      <w:r w:rsidRPr="008546F2">
        <w:t xml:space="preserve"> </w:t>
      </w:r>
      <w:r w:rsidRPr="007469FD">
        <w:t xml:space="preserve">on </w:t>
      </w:r>
      <w:r w:rsidR="004E074A">
        <w:t>J</w:t>
      </w:r>
      <w:r w:rsidR="00021ABD">
        <w:t>anuary 30, 2026</w:t>
      </w:r>
      <w:r w:rsidRPr="007469FD">
        <w:t>,</w:t>
      </w:r>
      <w:r>
        <w:rPr>
          <w:rStyle w:val="FootnoteReference"/>
        </w:rPr>
        <w:footnoteReference w:id="3"/>
      </w:r>
      <w:r w:rsidRPr="007469FD">
        <w:t xml:space="preserve"> soliciting comment</w:t>
      </w:r>
      <w:r>
        <w:t xml:space="preserve"> from the public, railroads, and other interested parties</w:t>
      </w:r>
      <w:r w:rsidR="001A58D1">
        <w:t>.</w:t>
      </w:r>
      <w:r w:rsidR="0087007D">
        <w:t xml:space="preserve">  </w:t>
      </w:r>
    </w:p>
    <w:p w:rsidR="00995B06" w:rsidP="00995B06" w14:paraId="236A4DC7" w14:textId="77777777">
      <w:pPr>
        <w:ind w:left="720"/>
        <w:rPr>
          <w:i/>
          <w:iCs/>
          <w:color w:val="000000"/>
          <w:szCs w:val="24"/>
          <w:u w:val="single"/>
        </w:rPr>
      </w:pPr>
    </w:p>
    <w:p w:rsidR="00995B06" w:rsidRPr="002F3B9B" w:rsidP="00995B06" w14:paraId="40368969" w14:textId="77777777">
      <w:pPr>
        <w:ind w:left="720"/>
        <w:rPr>
          <w:i/>
          <w:iCs/>
          <w:color w:val="000000"/>
          <w:szCs w:val="24"/>
          <w:u w:val="single"/>
        </w:rPr>
      </w:pPr>
      <w:r w:rsidRPr="002F3B9B">
        <w:rPr>
          <w:i/>
          <w:iCs/>
          <w:color w:val="000000"/>
          <w:szCs w:val="24"/>
          <w:u w:val="single"/>
        </w:rPr>
        <w:t>Consultations with representatives of the affected population:</w:t>
      </w:r>
    </w:p>
    <w:p w:rsidR="00995B06" w:rsidP="00995B06" w14:paraId="153F4307" w14:textId="7D83D735">
      <w:pPr>
        <w:widowControl w:val="0"/>
        <w:ind w:left="720"/>
      </w:pPr>
      <w:r w:rsidRPr="009B262A">
        <w:t>As a part of FRA</w:t>
      </w:r>
      <w:r w:rsidR="004E64F9">
        <w:t>’</w:t>
      </w:r>
      <w:r w:rsidRPr="009B262A">
        <w:t xml:space="preserve">s oversight and enforcement, individuals from the railroad industry are generally in direct contact with FRA’s </w:t>
      </w:r>
      <w:r>
        <w:t>inspectors</w:t>
      </w:r>
      <w:r w:rsidRPr="009B262A">
        <w:t xml:space="preserve"> at the time of site inspection</w:t>
      </w:r>
      <w:r w:rsidR="00B24EEE">
        <w:t>s</w:t>
      </w:r>
      <w:r w:rsidRPr="009B262A">
        <w:t xml:space="preserve"> and can </w:t>
      </w:r>
      <w:r w:rsidRPr="009B262A">
        <w:t xml:space="preserve">provide any comments or concerns to </w:t>
      </w:r>
      <w:r>
        <w:t>them</w:t>
      </w:r>
      <w:r w:rsidRPr="009B262A">
        <w:t>.</w:t>
      </w:r>
    </w:p>
    <w:p w:rsidR="00995B06" w:rsidRPr="007469FD" w:rsidP="00995B06" w14:paraId="36FB1A3E" w14:textId="77777777">
      <w:pPr>
        <w:widowControl w:val="0"/>
        <w:ind w:left="720"/>
      </w:pPr>
    </w:p>
    <w:p w:rsidR="00995B06" w:rsidRPr="00D863FB" w:rsidP="00995B06" w14:paraId="5A2A86ED" w14:textId="77777777">
      <w:pPr>
        <w:widowControl w:val="0"/>
        <w:ind w:left="720" w:hanging="720"/>
        <w:rPr>
          <w:b/>
          <w:szCs w:val="24"/>
        </w:rPr>
      </w:pPr>
      <w:r w:rsidRPr="00D863FB">
        <w:rPr>
          <w:b/>
          <w:szCs w:val="24"/>
        </w:rPr>
        <w:t>9.</w:t>
      </w:r>
      <w:r w:rsidRPr="00D863FB">
        <w:rPr>
          <w:b/>
          <w:szCs w:val="24"/>
        </w:rPr>
        <w:tab/>
      </w:r>
      <w:r w:rsidRPr="00D863FB">
        <w:rPr>
          <w:b/>
          <w:szCs w:val="24"/>
          <w:u w:val="single"/>
        </w:rPr>
        <w:t>Payments or gifts to respondents</w:t>
      </w:r>
      <w:r w:rsidRPr="007E62DC">
        <w:rPr>
          <w:szCs w:val="24"/>
        </w:rPr>
        <w:t>.</w:t>
      </w:r>
    </w:p>
    <w:p w:rsidR="00995B06" w:rsidRPr="00D863FB" w:rsidP="00995B06" w14:paraId="2C871A1A" w14:textId="77777777">
      <w:pPr>
        <w:widowControl w:val="0"/>
        <w:rPr>
          <w:szCs w:val="24"/>
        </w:rPr>
      </w:pPr>
    </w:p>
    <w:p w:rsidR="00995B06" w:rsidRPr="00D863FB" w:rsidP="00995B06" w14:paraId="56010F6A" w14:textId="77777777">
      <w:pPr>
        <w:widowControl w:val="0"/>
        <w:ind w:left="720"/>
        <w:rPr>
          <w:b/>
          <w:szCs w:val="24"/>
        </w:rPr>
      </w:pPr>
      <w:r w:rsidRPr="00D863FB">
        <w:rPr>
          <w:szCs w:val="24"/>
        </w:rPr>
        <w:t>There are no monetary payments or gifts made to respondents associated with the information collection requirements contained in this regulation.</w:t>
      </w:r>
    </w:p>
    <w:p w:rsidR="00995B06" w:rsidRPr="00D863FB" w:rsidP="00995B06" w14:paraId="01B949A7" w14:textId="77777777">
      <w:pPr>
        <w:widowControl w:val="0"/>
        <w:rPr>
          <w:b/>
          <w:szCs w:val="24"/>
        </w:rPr>
      </w:pPr>
    </w:p>
    <w:p w:rsidR="00995B06" w:rsidRPr="00D863FB" w:rsidP="00995B06" w14:paraId="3C4B2D9C" w14:textId="77777777">
      <w:pPr>
        <w:widowControl w:val="0"/>
        <w:rPr>
          <w:szCs w:val="24"/>
        </w:rPr>
      </w:pPr>
      <w:r w:rsidRPr="00D863FB">
        <w:rPr>
          <w:b/>
          <w:szCs w:val="24"/>
        </w:rPr>
        <w:t>10.</w:t>
      </w:r>
      <w:r w:rsidRPr="00D863FB">
        <w:rPr>
          <w:b/>
          <w:szCs w:val="24"/>
        </w:rPr>
        <w:tab/>
      </w:r>
      <w:r w:rsidRPr="00D863FB">
        <w:rPr>
          <w:b/>
          <w:szCs w:val="24"/>
          <w:u w:val="single"/>
        </w:rPr>
        <w:t>Assurance of confidentiality</w:t>
      </w:r>
      <w:r w:rsidRPr="007E62DC">
        <w:rPr>
          <w:szCs w:val="24"/>
        </w:rPr>
        <w:t>.</w:t>
      </w:r>
    </w:p>
    <w:p w:rsidR="00995B06" w:rsidRPr="00D863FB" w:rsidP="00995B06" w14:paraId="2B219E61" w14:textId="77777777">
      <w:pPr>
        <w:widowControl w:val="0"/>
        <w:ind w:left="720"/>
        <w:rPr>
          <w:szCs w:val="24"/>
        </w:rPr>
      </w:pPr>
    </w:p>
    <w:p w:rsidR="00995B06" w:rsidP="00995B06" w14:paraId="43C5BE83" w14:textId="57D020E9">
      <w:pPr>
        <w:widowControl w:val="0"/>
        <w:ind w:left="720"/>
        <w:rPr>
          <w:szCs w:val="24"/>
        </w:rPr>
      </w:pPr>
      <w:r>
        <w:rPr>
          <w:szCs w:val="24"/>
        </w:rPr>
        <w:t>The i</w:t>
      </w:r>
      <w:r w:rsidRPr="00D863FB">
        <w:rPr>
          <w:szCs w:val="24"/>
        </w:rPr>
        <w:t xml:space="preserve">nformation collected is not of a confidential nature and FRA pledges no confidentiality. </w:t>
      </w:r>
    </w:p>
    <w:p w:rsidR="00FA5617" w:rsidP="00995B06" w14:paraId="7B32F9D9" w14:textId="77777777">
      <w:pPr>
        <w:widowControl w:val="0"/>
        <w:ind w:left="720"/>
        <w:rPr>
          <w:szCs w:val="24"/>
        </w:rPr>
      </w:pPr>
    </w:p>
    <w:p w:rsidR="002756C0" w:rsidRPr="00D863FB" w:rsidP="002756C0" w14:paraId="35EA1BD6" w14:textId="77777777">
      <w:pPr>
        <w:widowControl w:val="0"/>
        <w:ind w:left="720" w:hanging="720"/>
        <w:rPr>
          <w:szCs w:val="24"/>
        </w:rPr>
      </w:pPr>
      <w:r w:rsidRPr="00D863FB">
        <w:rPr>
          <w:b/>
          <w:szCs w:val="24"/>
        </w:rPr>
        <w:t>11.</w:t>
      </w:r>
      <w:r w:rsidRPr="00D863FB">
        <w:rPr>
          <w:b/>
          <w:szCs w:val="24"/>
        </w:rPr>
        <w:tab/>
      </w:r>
      <w:r w:rsidRPr="00D863FB">
        <w:rPr>
          <w:b/>
          <w:szCs w:val="24"/>
          <w:u w:val="single"/>
        </w:rPr>
        <w:t>Justification for any questions of a sensitive nature</w:t>
      </w:r>
      <w:r w:rsidRPr="007E62DC">
        <w:rPr>
          <w:szCs w:val="24"/>
        </w:rPr>
        <w:t>.</w:t>
      </w:r>
    </w:p>
    <w:p w:rsidR="002756C0" w:rsidRPr="00D863FB" w:rsidP="002756C0" w14:paraId="713AC0B9" w14:textId="77777777">
      <w:pPr>
        <w:widowControl w:val="0"/>
        <w:rPr>
          <w:szCs w:val="24"/>
        </w:rPr>
      </w:pPr>
    </w:p>
    <w:p w:rsidR="002756C0" w:rsidP="002756C0" w14:paraId="76006D31" w14:textId="77777777">
      <w:pPr>
        <w:widowControl w:val="0"/>
        <w:ind w:left="720"/>
        <w:rPr>
          <w:szCs w:val="24"/>
        </w:rPr>
      </w:pPr>
      <w:r w:rsidRPr="00D863FB">
        <w:rPr>
          <w:szCs w:val="24"/>
        </w:rPr>
        <w:t xml:space="preserve">This </w:t>
      </w:r>
      <w:r>
        <w:rPr>
          <w:szCs w:val="24"/>
        </w:rPr>
        <w:t>ICR</w:t>
      </w:r>
      <w:r w:rsidRPr="00D863FB">
        <w:rPr>
          <w:szCs w:val="24"/>
        </w:rPr>
        <w:t xml:space="preserve"> does not contain any data of a personal or sensitive nature.</w:t>
      </w:r>
    </w:p>
    <w:p w:rsidR="00FA5617" w:rsidP="00995B06" w14:paraId="794F25C1" w14:textId="77777777">
      <w:pPr>
        <w:widowControl w:val="0"/>
        <w:ind w:left="720" w:hanging="720"/>
        <w:rPr>
          <w:b/>
          <w:szCs w:val="24"/>
        </w:rPr>
        <w:sectPr w:rsidSect="00625D3B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/>
          <w:pgMar w:top="1440" w:right="1440" w:bottom="1920" w:left="1440" w:header="1440" w:footer="720" w:gutter="0"/>
          <w:cols w:space="720"/>
          <w:titlePg/>
          <w:docGrid w:linePitch="326"/>
        </w:sectPr>
      </w:pPr>
    </w:p>
    <w:p w:rsidR="00995B06" w:rsidRPr="00D863FB" w:rsidP="00995B06" w14:paraId="1A7A157F" w14:textId="11ED4B1E">
      <w:pPr>
        <w:widowControl w:val="0"/>
        <w:rPr>
          <w:b/>
          <w:bCs/>
          <w:szCs w:val="24"/>
        </w:rPr>
      </w:pPr>
      <w:r w:rsidRPr="00D863FB">
        <w:rPr>
          <w:b/>
          <w:bCs/>
          <w:szCs w:val="24"/>
        </w:rPr>
        <w:t>12.       </w:t>
      </w:r>
      <w:r w:rsidRPr="00D863FB">
        <w:rPr>
          <w:b/>
          <w:bCs/>
          <w:szCs w:val="24"/>
          <w:u w:val="single"/>
        </w:rPr>
        <w:t>Estimate of burden hours for information collected</w:t>
      </w:r>
      <w:r w:rsidRPr="007E62DC">
        <w:rPr>
          <w:bCs/>
          <w:szCs w:val="24"/>
        </w:rPr>
        <w:t>.</w:t>
      </w:r>
    </w:p>
    <w:p w:rsidR="00995B06" w:rsidRPr="00D863FB" w:rsidP="00995B06" w14:paraId="589779C2" w14:textId="77777777">
      <w:pPr>
        <w:widowControl w:val="0"/>
        <w:rPr>
          <w:szCs w:val="24"/>
        </w:rPr>
      </w:pPr>
    </w:p>
    <w:p w:rsidR="00995B06" w:rsidP="00995B06" w14:paraId="4626F266" w14:textId="0C0DE10F">
      <w:pPr>
        <w:widowControl w:val="0"/>
        <w:ind w:left="720"/>
        <w:rPr>
          <w:szCs w:val="24"/>
        </w:rPr>
      </w:pPr>
      <w:r w:rsidRPr="00C00B9A">
        <w:rPr>
          <w:szCs w:val="24"/>
        </w:rPr>
        <w:t>The estimates for the respondent universe, annual responses, and average time per response are based on the experience and expertise of FRA’s Office of Railroad Safety.</w:t>
      </w:r>
      <w:r>
        <w:rPr>
          <w:szCs w:val="24"/>
        </w:rPr>
        <w:t xml:space="preserve">  </w:t>
      </w:r>
    </w:p>
    <w:p w:rsidR="00D838A3" w:rsidP="00995B06" w14:paraId="4620D175" w14:textId="741053C3">
      <w:pPr>
        <w:widowControl w:val="0"/>
        <w:ind w:left="720"/>
        <w:rPr>
          <w:szCs w:val="24"/>
        </w:rPr>
      </w:pPr>
    </w:p>
    <w:tbl>
      <w:tblPr>
        <w:tblW w:w="11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4"/>
        <w:gridCol w:w="1161"/>
        <w:gridCol w:w="1216"/>
        <w:gridCol w:w="983"/>
        <w:gridCol w:w="1207"/>
        <w:gridCol w:w="789"/>
        <w:gridCol w:w="1190"/>
        <w:gridCol w:w="3210"/>
      </w:tblGrid>
      <w:tr w14:paraId="1A89BE89" w14:textId="7E4DEC2A" w:rsidTr="008546F2">
        <w:tblPrEx>
          <w:tblW w:w="1143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104"/>
        </w:trPr>
        <w:tc>
          <w:tcPr>
            <w:tcW w:w="1674" w:type="dxa"/>
            <w:hideMark/>
          </w:tcPr>
          <w:p w:rsidR="00717C0D" w:rsidRPr="00717C0D" w:rsidP="00717C0D" w14:paraId="70A70519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color w:val="000000"/>
                <w:sz w:val="20"/>
              </w:rPr>
              <w:t>CFR Section</w:t>
            </w:r>
          </w:p>
        </w:tc>
        <w:tc>
          <w:tcPr>
            <w:tcW w:w="1161" w:type="dxa"/>
            <w:hideMark/>
          </w:tcPr>
          <w:p w:rsidR="00717C0D" w:rsidRPr="00717C0D" w:rsidP="00717C0D" w14:paraId="527B741C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color w:val="000000"/>
                <w:sz w:val="20"/>
              </w:rPr>
              <w:t>Respondent Universe</w:t>
            </w:r>
          </w:p>
        </w:tc>
        <w:tc>
          <w:tcPr>
            <w:tcW w:w="0" w:type="auto"/>
            <w:hideMark/>
          </w:tcPr>
          <w:p w:rsidR="00717C0D" w:rsidRPr="00717C0D" w:rsidP="00717C0D" w14:paraId="652242E4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color w:val="000000"/>
                <w:sz w:val="20"/>
              </w:rPr>
              <w:t xml:space="preserve">Total </w:t>
            </w:r>
          </w:p>
          <w:p w:rsidR="00717C0D" w:rsidRPr="00717C0D" w:rsidP="00717C0D" w14:paraId="6E6D142B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color w:val="000000"/>
                <w:sz w:val="20"/>
              </w:rPr>
              <w:t xml:space="preserve">Annual Responses </w:t>
            </w:r>
          </w:p>
          <w:p w:rsidR="00717C0D" w:rsidRPr="00717C0D" w:rsidP="00717C0D" w14:paraId="69ABB2AD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color w:val="000000"/>
                <w:sz w:val="16"/>
                <w:szCs w:val="16"/>
              </w:rPr>
              <w:t>(A)</w:t>
            </w:r>
          </w:p>
        </w:tc>
        <w:tc>
          <w:tcPr>
            <w:tcW w:w="0" w:type="auto"/>
            <w:hideMark/>
          </w:tcPr>
          <w:p w:rsidR="00717C0D" w:rsidRPr="00717C0D" w:rsidP="00717C0D" w14:paraId="7AF276D4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color w:val="000000"/>
                <w:sz w:val="20"/>
              </w:rPr>
              <w:t xml:space="preserve">Average Time </w:t>
            </w:r>
          </w:p>
          <w:p w:rsidR="00717C0D" w:rsidRPr="00717C0D" w:rsidP="00717C0D" w14:paraId="42C59701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color w:val="000000"/>
                <w:sz w:val="20"/>
              </w:rPr>
              <w:t xml:space="preserve">per Response </w:t>
            </w:r>
            <w:r w:rsidRPr="00717C0D">
              <w:rPr>
                <w:color w:val="000000"/>
                <w:sz w:val="16"/>
                <w:szCs w:val="16"/>
              </w:rPr>
              <w:t>(B)</w:t>
            </w:r>
          </w:p>
        </w:tc>
        <w:tc>
          <w:tcPr>
            <w:tcW w:w="1207" w:type="dxa"/>
            <w:hideMark/>
          </w:tcPr>
          <w:p w:rsidR="00717C0D" w:rsidRPr="00717C0D" w:rsidP="00717C0D" w14:paraId="313EE219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color w:val="000000"/>
                <w:sz w:val="20"/>
              </w:rPr>
              <w:t>Total Annual Burden hours</w:t>
            </w:r>
          </w:p>
          <w:p w:rsidR="00717C0D" w:rsidRPr="00717C0D" w:rsidP="00717C0D" w14:paraId="54749FAA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color w:val="000000"/>
                <w:sz w:val="16"/>
                <w:szCs w:val="16"/>
              </w:rPr>
              <w:t xml:space="preserve"> (C = A * B) </w:t>
            </w:r>
          </w:p>
        </w:tc>
        <w:tc>
          <w:tcPr>
            <w:tcW w:w="789" w:type="dxa"/>
          </w:tcPr>
          <w:p w:rsidR="00717C0D" w:rsidRPr="00717C0D" w:rsidP="00717C0D" w14:paraId="191E1AA5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color w:val="000000"/>
                <w:sz w:val="20"/>
              </w:rPr>
              <w:t>Wage</w:t>
            </w:r>
          </w:p>
          <w:p w:rsidR="00717C0D" w:rsidRPr="00717C0D" w:rsidP="00717C0D" w14:paraId="32F0F645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color w:val="000000"/>
                <w:sz w:val="20"/>
              </w:rPr>
              <w:t xml:space="preserve"> rates</w:t>
            </w:r>
            <w:r>
              <w:rPr>
                <w:color w:val="000000"/>
                <w:sz w:val="20"/>
                <w:vertAlign w:val="superscript"/>
              </w:rPr>
              <w:footnoteReference w:id="4"/>
            </w:r>
          </w:p>
        </w:tc>
        <w:tc>
          <w:tcPr>
            <w:tcW w:w="1190" w:type="dxa"/>
            <w:hideMark/>
          </w:tcPr>
          <w:p w:rsidR="00717C0D" w:rsidRPr="00717C0D" w:rsidP="00717C0D" w14:paraId="61249619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color w:val="000000"/>
                <w:sz w:val="20"/>
              </w:rPr>
              <w:t xml:space="preserve">Total </w:t>
            </w:r>
          </w:p>
          <w:p w:rsidR="00717C0D" w:rsidRPr="00717C0D" w:rsidP="00717C0D" w14:paraId="539F1F89" w14:textId="0BC92258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color w:val="000000"/>
                <w:sz w:val="20"/>
              </w:rPr>
              <w:t>Cost equivalent U.S.D</w:t>
            </w:r>
            <w:r w:rsidR="002756C0">
              <w:rPr>
                <w:color w:val="000000"/>
                <w:sz w:val="20"/>
              </w:rPr>
              <w:t>.</w:t>
            </w:r>
            <w:r w:rsidRPr="00717C0D">
              <w:rPr>
                <w:color w:val="000000"/>
                <w:sz w:val="20"/>
              </w:rPr>
              <w:t xml:space="preserve"> </w:t>
            </w:r>
            <w:r w:rsidRPr="00717C0D">
              <w:rPr>
                <w:color w:val="000000"/>
                <w:sz w:val="20"/>
              </w:rPr>
              <w:br/>
            </w:r>
            <w:r w:rsidRPr="00717C0D">
              <w:rPr>
                <w:color w:val="000000"/>
                <w:sz w:val="16"/>
                <w:szCs w:val="16"/>
              </w:rPr>
              <w:t>(D = C * wage rates</w:t>
            </w:r>
            <w:r>
              <w:rPr>
                <w:color w:val="000000"/>
                <w:sz w:val="16"/>
                <w:szCs w:val="16"/>
                <w:vertAlign w:val="superscript"/>
              </w:rPr>
              <w:footnoteReference w:id="5"/>
            </w:r>
            <w:r w:rsidRPr="00717C0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210" w:type="dxa"/>
          </w:tcPr>
          <w:p w:rsidR="00717C0D" w:rsidP="00717C0D" w14:paraId="40958A0F" w14:textId="7777777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PRA Estimates </w:t>
            </w:r>
          </w:p>
          <w:p w:rsidR="00FA5617" w:rsidRPr="00717C0D" w:rsidP="00717C0D" w14:paraId="0E6A0BF6" w14:textId="6A91C69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and Analyses</w:t>
            </w:r>
          </w:p>
        </w:tc>
      </w:tr>
      <w:tr w14:paraId="552FB8CE" w14:textId="155983DB" w:rsidTr="6C105AF8">
        <w:tblPrEx>
          <w:tblW w:w="11430" w:type="dxa"/>
          <w:tblInd w:w="-5" w:type="dxa"/>
          <w:tblLook w:val="04A0"/>
        </w:tblPrEx>
        <w:trPr>
          <w:trHeight w:val="278"/>
        </w:trPr>
        <w:tc>
          <w:tcPr>
            <w:tcW w:w="11430" w:type="dxa"/>
            <w:gridSpan w:val="8"/>
          </w:tcPr>
          <w:p w:rsidR="00E451B1" w:rsidRPr="00717C0D" w:rsidP="00717C0D" w14:paraId="262437D6" w14:textId="2B0BBDA3">
            <w:pPr>
              <w:rPr>
                <w:b/>
                <w:bCs/>
                <w:color w:val="000000"/>
                <w:sz w:val="20"/>
              </w:rPr>
            </w:pPr>
            <w:r w:rsidRPr="00717C0D">
              <w:rPr>
                <w:b/>
                <w:bCs/>
                <w:color w:val="000000"/>
                <w:sz w:val="20"/>
              </w:rPr>
              <w:t>215.9 Movement of defective cars for repair</w:t>
            </w:r>
          </w:p>
        </w:tc>
      </w:tr>
      <w:tr w14:paraId="0766E664" w14:textId="567EC6F6" w:rsidTr="008546F2">
        <w:tblPrEx>
          <w:tblW w:w="11430" w:type="dxa"/>
          <w:tblInd w:w="-5" w:type="dxa"/>
          <w:tblLook w:val="04A0"/>
        </w:tblPrEx>
        <w:trPr>
          <w:trHeight w:val="566"/>
        </w:trPr>
        <w:tc>
          <w:tcPr>
            <w:tcW w:w="1674" w:type="dxa"/>
          </w:tcPr>
          <w:p w:rsidR="00717C0D" w:rsidRPr="00717C0D" w:rsidP="00717C0D" w14:paraId="22D18BBB" w14:textId="77777777">
            <w:pPr>
              <w:rPr>
                <w:color w:val="000000"/>
                <w:sz w:val="20"/>
              </w:rPr>
            </w:pPr>
            <w:r w:rsidRPr="00717C0D">
              <w:rPr>
                <w:sz w:val="20"/>
              </w:rPr>
              <w:t>—(a)(2) Tagging of defective cars</w:t>
            </w:r>
          </w:p>
        </w:tc>
        <w:tc>
          <w:tcPr>
            <w:tcW w:w="1161" w:type="dxa"/>
          </w:tcPr>
          <w:p w:rsidR="00717C0D" w:rsidRPr="00717C0D" w:rsidP="00717C0D" w14:paraId="5BEA570E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sz w:val="20"/>
              </w:rPr>
              <w:t>754 railroads</w:t>
            </w:r>
          </w:p>
        </w:tc>
        <w:tc>
          <w:tcPr>
            <w:tcW w:w="0" w:type="auto"/>
          </w:tcPr>
          <w:p w:rsidR="00717C0D" w:rsidRPr="00717C0D" w:rsidP="00717C0D" w14:paraId="481A90EC" w14:textId="77777777">
            <w:pPr>
              <w:jc w:val="center"/>
              <w:rPr>
                <w:sz w:val="20"/>
              </w:rPr>
            </w:pPr>
            <w:r w:rsidRPr="00717C0D">
              <w:rPr>
                <w:sz w:val="20"/>
              </w:rPr>
              <w:t>150,000</w:t>
            </w:r>
          </w:p>
          <w:p w:rsidR="00717C0D" w:rsidRPr="00717C0D" w:rsidP="00717C0D" w14:paraId="3E368999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sz w:val="20"/>
              </w:rPr>
              <w:t>Tags</w:t>
            </w:r>
          </w:p>
        </w:tc>
        <w:tc>
          <w:tcPr>
            <w:tcW w:w="0" w:type="auto"/>
          </w:tcPr>
          <w:p w:rsidR="00717C0D" w:rsidRPr="00717C0D" w:rsidP="00717C0D" w14:paraId="4D498095" w14:textId="77777777">
            <w:pPr>
              <w:jc w:val="center"/>
              <w:rPr>
                <w:sz w:val="20"/>
              </w:rPr>
            </w:pPr>
            <w:r w:rsidRPr="00717C0D">
              <w:rPr>
                <w:sz w:val="20"/>
              </w:rPr>
              <w:t>5</w:t>
            </w:r>
          </w:p>
          <w:p w:rsidR="00717C0D" w:rsidRPr="00717C0D" w:rsidP="00717C0D" w14:paraId="17D6B158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sz w:val="20"/>
              </w:rPr>
              <w:t>minutes</w:t>
            </w:r>
          </w:p>
        </w:tc>
        <w:tc>
          <w:tcPr>
            <w:tcW w:w="1207" w:type="dxa"/>
          </w:tcPr>
          <w:p w:rsidR="00717C0D" w:rsidRPr="00717C0D" w:rsidP="00717C0D" w14:paraId="225E2EF3" w14:textId="77777777">
            <w:pPr>
              <w:jc w:val="center"/>
              <w:rPr>
                <w:sz w:val="20"/>
              </w:rPr>
            </w:pPr>
            <w:r w:rsidRPr="00717C0D">
              <w:rPr>
                <w:sz w:val="20"/>
              </w:rPr>
              <w:t>12,500</w:t>
            </w:r>
          </w:p>
          <w:p w:rsidR="00717C0D" w:rsidRPr="00717C0D" w:rsidP="00717C0D" w14:paraId="123BD9AD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sz w:val="20"/>
              </w:rPr>
              <w:t xml:space="preserve"> hours</w:t>
            </w:r>
          </w:p>
        </w:tc>
        <w:tc>
          <w:tcPr>
            <w:tcW w:w="789" w:type="dxa"/>
          </w:tcPr>
          <w:p w:rsidR="00717C0D" w:rsidRPr="00717C0D" w:rsidP="00717C0D" w14:paraId="1D1A7A92" w14:textId="77777777">
            <w:pPr>
              <w:jc w:val="center"/>
              <w:rPr>
                <w:sz w:val="20"/>
              </w:rPr>
            </w:pPr>
            <w:r w:rsidRPr="00717C0D">
              <w:rPr>
                <w:sz w:val="20"/>
              </w:rPr>
              <w:t>$73.41</w:t>
            </w:r>
          </w:p>
        </w:tc>
        <w:tc>
          <w:tcPr>
            <w:tcW w:w="1190" w:type="dxa"/>
          </w:tcPr>
          <w:p w:rsidR="00717C0D" w:rsidRPr="00717C0D" w:rsidP="00717C0D" w14:paraId="1BDCF9C6" w14:textId="77777777">
            <w:pPr>
              <w:jc w:val="right"/>
              <w:rPr>
                <w:color w:val="000000"/>
                <w:sz w:val="20"/>
              </w:rPr>
            </w:pPr>
            <w:r w:rsidRPr="00717C0D">
              <w:rPr>
                <w:sz w:val="20"/>
              </w:rPr>
              <w:t xml:space="preserve">$917,625 </w:t>
            </w:r>
          </w:p>
        </w:tc>
        <w:tc>
          <w:tcPr>
            <w:tcW w:w="3210" w:type="dxa"/>
          </w:tcPr>
          <w:p w:rsidR="00717C0D" w:rsidRPr="00717C0D" w:rsidP="008546F2" w14:paraId="58A3AA60" w14:textId="03FBAADE">
            <w:pPr>
              <w:rPr>
                <w:sz w:val="20"/>
              </w:rPr>
            </w:pPr>
            <w:r w:rsidRPr="00FA5617">
              <w:rPr>
                <w:sz w:val="20"/>
              </w:rPr>
              <w:t xml:space="preserve">Railroads are required to affix a “bad order” tag describing each defect to each side of the freight car. </w:t>
            </w:r>
          </w:p>
        </w:tc>
      </w:tr>
      <w:tr w14:paraId="375572D7" w14:textId="19CC0B01" w:rsidTr="008546F2">
        <w:tblPrEx>
          <w:tblW w:w="11430" w:type="dxa"/>
          <w:tblInd w:w="-5" w:type="dxa"/>
          <w:tblLook w:val="04A0"/>
        </w:tblPrEx>
        <w:trPr>
          <w:trHeight w:val="449"/>
        </w:trPr>
        <w:tc>
          <w:tcPr>
            <w:tcW w:w="1674" w:type="dxa"/>
          </w:tcPr>
          <w:p w:rsidR="00717C0D" w:rsidRPr="00717C0D" w:rsidP="00717C0D" w14:paraId="11A14C6B" w14:textId="77777777">
            <w:pPr>
              <w:rPr>
                <w:color w:val="000000"/>
                <w:sz w:val="20"/>
              </w:rPr>
            </w:pPr>
            <w:r w:rsidRPr="00717C0D">
              <w:rPr>
                <w:sz w:val="20"/>
              </w:rPr>
              <w:t>—(b)(3) Notifications of removal of defective car tags</w:t>
            </w:r>
          </w:p>
        </w:tc>
        <w:tc>
          <w:tcPr>
            <w:tcW w:w="1161" w:type="dxa"/>
          </w:tcPr>
          <w:p w:rsidR="00717C0D" w:rsidRPr="00717C0D" w:rsidP="00717C0D" w14:paraId="73FD6049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sz w:val="20"/>
              </w:rPr>
              <w:t>754 railroads</w:t>
            </w:r>
          </w:p>
        </w:tc>
        <w:tc>
          <w:tcPr>
            <w:tcW w:w="0" w:type="auto"/>
          </w:tcPr>
          <w:p w:rsidR="00717C0D" w:rsidRPr="00717C0D" w:rsidP="00717C0D" w14:paraId="5A63D24B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sz w:val="20"/>
              </w:rPr>
              <w:t>75,000 notifications</w:t>
            </w:r>
          </w:p>
        </w:tc>
        <w:tc>
          <w:tcPr>
            <w:tcW w:w="0" w:type="auto"/>
          </w:tcPr>
          <w:p w:rsidR="00717C0D" w:rsidRPr="00717C0D" w:rsidP="00717C0D" w14:paraId="4287782A" w14:textId="77777777">
            <w:pPr>
              <w:jc w:val="center"/>
              <w:rPr>
                <w:sz w:val="20"/>
              </w:rPr>
            </w:pPr>
            <w:r w:rsidRPr="00717C0D">
              <w:rPr>
                <w:sz w:val="20"/>
              </w:rPr>
              <w:t>2</w:t>
            </w:r>
          </w:p>
          <w:p w:rsidR="00717C0D" w:rsidRPr="00717C0D" w:rsidP="00717C0D" w14:paraId="6219B2D4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sz w:val="20"/>
              </w:rPr>
              <w:t>minutes</w:t>
            </w:r>
          </w:p>
        </w:tc>
        <w:tc>
          <w:tcPr>
            <w:tcW w:w="1207" w:type="dxa"/>
          </w:tcPr>
          <w:p w:rsidR="00717C0D" w:rsidRPr="00717C0D" w:rsidP="00717C0D" w14:paraId="0EEE6B7A" w14:textId="77777777">
            <w:pPr>
              <w:jc w:val="center"/>
              <w:rPr>
                <w:sz w:val="20"/>
              </w:rPr>
            </w:pPr>
            <w:r w:rsidRPr="00717C0D">
              <w:rPr>
                <w:sz w:val="20"/>
              </w:rPr>
              <w:t xml:space="preserve">2,500 </w:t>
            </w:r>
          </w:p>
          <w:p w:rsidR="00717C0D" w:rsidRPr="00717C0D" w:rsidP="00717C0D" w14:paraId="6B9DCF7B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sz w:val="20"/>
              </w:rPr>
              <w:t>hours</w:t>
            </w:r>
          </w:p>
        </w:tc>
        <w:tc>
          <w:tcPr>
            <w:tcW w:w="789" w:type="dxa"/>
          </w:tcPr>
          <w:p w:rsidR="00717C0D" w:rsidRPr="00717C0D" w:rsidP="00717C0D" w14:paraId="202D8950" w14:textId="77777777">
            <w:pPr>
              <w:jc w:val="center"/>
              <w:rPr>
                <w:sz w:val="20"/>
              </w:rPr>
            </w:pPr>
            <w:r w:rsidRPr="00717C0D">
              <w:rPr>
                <w:sz w:val="20"/>
              </w:rPr>
              <w:t>$73.41</w:t>
            </w:r>
          </w:p>
        </w:tc>
        <w:tc>
          <w:tcPr>
            <w:tcW w:w="1190" w:type="dxa"/>
          </w:tcPr>
          <w:p w:rsidR="00717C0D" w:rsidRPr="00717C0D" w:rsidP="00717C0D" w14:paraId="0DF97DA2" w14:textId="77777777">
            <w:pPr>
              <w:jc w:val="right"/>
              <w:rPr>
                <w:color w:val="000000"/>
                <w:sz w:val="20"/>
              </w:rPr>
            </w:pPr>
            <w:r w:rsidRPr="00717C0D">
              <w:rPr>
                <w:color w:val="000000"/>
                <w:sz w:val="20"/>
              </w:rPr>
              <w:t>$183,525</w:t>
            </w:r>
          </w:p>
        </w:tc>
        <w:tc>
          <w:tcPr>
            <w:tcW w:w="3210" w:type="dxa"/>
          </w:tcPr>
          <w:p w:rsidR="00717C0D" w:rsidRPr="00717C0D" w:rsidP="008546F2" w14:paraId="43CEEEF1" w14:textId="1F3C957C">
            <w:pPr>
              <w:rPr>
                <w:color w:val="000000"/>
                <w:sz w:val="20"/>
              </w:rPr>
            </w:pPr>
            <w:r w:rsidRPr="00FA5617">
              <w:rPr>
                <w:color w:val="000000"/>
                <w:sz w:val="20"/>
              </w:rPr>
              <w:t>Each tag or card removed from a car shall contain a notification stating the date, location, reason for its removal, and the signature of the person who removed it from the car.</w:t>
            </w:r>
          </w:p>
        </w:tc>
      </w:tr>
      <w:tr w14:paraId="3CD02D32" w14:textId="74B17BA0" w:rsidTr="6C105AF8">
        <w:tblPrEx>
          <w:tblW w:w="11430" w:type="dxa"/>
          <w:tblInd w:w="-5" w:type="dxa"/>
          <w:tblLook w:val="04A0"/>
        </w:tblPrEx>
        <w:trPr>
          <w:trHeight w:val="224"/>
        </w:trPr>
        <w:tc>
          <w:tcPr>
            <w:tcW w:w="11430" w:type="dxa"/>
            <w:gridSpan w:val="8"/>
          </w:tcPr>
          <w:p w:rsidR="00E451B1" w:rsidRPr="00717C0D" w:rsidP="00717C0D" w14:paraId="57E08E6D" w14:textId="2B2116D9">
            <w:pPr>
              <w:rPr>
                <w:b/>
                <w:bCs/>
                <w:sz w:val="20"/>
              </w:rPr>
            </w:pPr>
            <w:r w:rsidRPr="00717C0D">
              <w:rPr>
                <w:b/>
                <w:bCs/>
                <w:sz w:val="20"/>
              </w:rPr>
              <w:t>215.11 Designated Inspectors</w:t>
            </w:r>
          </w:p>
        </w:tc>
      </w:tr>
      <w:tr w14:paraId="01E7734A" w14:textId="5CC4DB9D" w:rsidTr="008546F2">
        <w:tblPrEx>
          <w:tblW w:w="11430" w:type="dxa"/>
          <w:tblInd w:w="-5" w:type="dxa"/>
          <w:tblLook w:val="04A0"/>
        </w:tblPrEx>
        <w:trPr>
          <w:trHeight w:val="629"/>
        </w:trPr>
        <w:tc>
          <w:tcPr>
            <w:tcW w:w="1674" w:type="dxa"/>
          </w:tcPr>
          <w:p w:rsidR="00717C0D" w:rsidRPr="00717C0D" w:rsidP="00717C0D" w14:paraId="1962A637" w14:textId="68D6C01E">
            <w:pPr>
              <w:rPr>
                <w:sz w:val="20"/>
              </w:rPr>
            </w:pPr>
            <w:r w:rsidRPr="00717C0D">
              <w:rPr>
                <w:sz w:val="20"/>
              </w:rPr>
              <w:t xml:space="preserve">—(c) Records of designated inspectors </w:t>
            </w:r>
          </w:p>
        </w:tc>
        <w:tc>
          <w:tcPr>
            <w:tcW w:w="1161" w:type="dxa"/>
          </w:tcPr>
          <w:p w:rsidR="00717C0D" w:rsidRPr="00717C0D" w:rsidP="00717C0D" w14:paraId="788F57A8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sz w:val="20"/>
              </w:rPr>
              <w:t>754 railroads</w:t>
            </w:r>
          </w:p>
        </w:tc>
        <w:tc>
          <w:tcPr>
            <w:tcW w:w="0" w:type="auto"/>
          </w:tcPr>
          <w:p w:rsidR="00717C0D" w:rsidRPr="00717C0D" w:rsidP="00717C0D" w14:paraId="2E22B368" w14:textId="77777777">
            <w:pPr>
              <w:jc w:val="center"/>
              <w:rPr>
                <w:sz w:val="20"/>
              </w:rPr>
            </w:pPr>
            <w:r w:rsidRPr="00717C0D">
              <w:rPr>
                <w:sz w:val="20"/>
              </w:rPr>
              <w:t>30,000</w:t>
            </w:r>
          </w:p>
          <w:p w:rsidR="00717C0D" w:rsidRPr="00717C0D" w:rsidP="00717C0D" w14:paraId="04495B80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sz w:val="20"/>
              </w:rPr>
              <w:t>records</w:t>
            </w:r>
          </w:p>
        </w:tc>
        <w:tc>
          <w:tcPr>
            <w:tcW w:w="0" w:type="auto"/>
          </w:tcPr>
          <w:p w:rsidR="00717C0D" w:rsidRPr="00717C0D" w:rsidP="00717C0D" w14:paraId="0D47F241" w14:textId="77777777">
            <w:pPr>
              <w:jc w:val="center"/>
              <w:rPr>
                <w:sz w:val="20"/>
              </w:rPr>
            </w:pPr>
            <w:r w:rsidRPr="00717C0D">
              <w:rPr>
                <w:sz w:val="20"/>
              </w:rPr>
              <w:t>1</w:t>
            </w:r>
          </w:p>
          <w:p w:rsidR="00717C0D" w:rsidRPr="00717C0D" w:rsidP="00717C0D" w14:paraId="1C25564C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sz w:val="20"/>
              </w:rPr>
              <w:t>minute</w:t>
            </w:r>
          </w:p>
        </w:tc>
        <w:tc>
          <w:tcPr>
            <w:tcW w:w="1207" w:type="dxa"/>
          </w:tcPr>
          <w:p w:rsidR="00717C0D" w:rsidRPr="00717C0D" w:rsidP="00717C0D" w14:paraId="5F6C5B4D" w14:textId="77777777">
            <w:pPr>
              <w:jc w:val="center"/>
              <w:rPr>
                <w:sz w:val="20"/>
              </w:rPr>
            </w:pPr>
            <w:r w:rsidRPr="00717C0D">
              <w:rPr>
                <w:sz w:val="20"/>
              </w:rPr>
              <w:t xml:space="preserve">500 </w:t>
            </w:r>
          </w:p>
          <w:p w:rsidR="00717C0D" w:rsidRPr="00717C0D" w:rsidP="00717C0D" w14:paraId="5AF793EE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sz w:val="20"/>
              </w:rPr>
              <w:t>hours</w:t>
            </w:r>
          </w:p>
        </w:tc>
        <w:tc>
          <w:tcPr>
            <w:tcW w:w="789" w:type="dxa"/>
          </w:tcPr>
          <w:p w:rsidR="00717C0D" w:rsidRPr="00717C0D" w:rsidP="00717C0D" w14:paraId="66F2EE12" w14:textId="77777777">
            <w:pPr>
              <w:jc w:val="center"/>
              <w:rPr>
                <w:sz w:val="20"/>
              </w:rPr>
            </w:pPr>
            <w:r w:rsidRPr="00717C0D">
              <w:rPr>
                <w:sz w:val="20"/>
              </w:rPr>
              <w:t>$73.41</w:t>
            </w:r>
          </w:p>
        </w:tc>
        <w:tc>
          <w:tcPr>
            <w:tcW w:w="1190" w:type="dxa"/>
          </w:tcPr>
          <w:p w:rsidR="00717C0D" w:rsidRPr="00717C0D" w:rsidP="00717C0D" w14:paraId="10A415DD" w14:textId="77777777">
            <w:pPr>
              <w:jc w:val="right"/>
              <w:rPr>
                <w:color w:val="000000"/>
                <w:sz w:val="20"/>
              </w:rPr>
            </w:pPr>
            <w:r w:rsidRPr="00717C0D">
              <w:rPr>
                <w:color w:val="000000"/>
                <w:sz w:val="20"/>
              </w:rPr>
              <w:t>$36,705</w:t>
            </w:r>
          </w:p>
        </w:tc>
        <w:tc>
          <w:tcPr>
            <w:tcW w:w="3210" w:type="dxa"/>
          </w:tcPr>
          <w:p w:rsidR="00717C0D" w:rsidRPr="00717C0D" w:rsidP="008546F2" w14:paraId="072A0515" w14:textId="1400EE73">
            <w:pPr>
              <w:rPr>
                <w:color w:val="000000"/>
                <w:sz w:val="20"/>
              </w:rPr>
            </w:pPr>
            <w:r w:rsidRPr="00FA5617">
              <w:rPr>
                <w:color w:val="000000"/>
                <w:sz w:val="20"/>
              </w:rPr>
              <w:t>Railroads are required to maintain a record for each of the designated persons qualified to inspect railroad freight cars for compliance with this part.</w:t>
            </w:r>
          </w:p>
        </w:tc>
      </w:tr>
      <w:tr w14:paraId="26B18438" w14:textId="7211B172" w:rsidTr="6C105AF8">
        <w:tblPrEx>
          <w:tblW w:w="11430" w:type="dxa"/>
          <w:tblInd w:w="-5" w:type="dxa"/>
          <w:tblLook w:val="04A0"/>
        </w:tblPrEx>
        <w:trPr>
          <w:trHeight w:val="278"/>
        </w:trPr>
        <w:tc>
          <w:tcPr>
            <w:tcW w:w="11430" w:type="dxa"/>
            <w:gridSpan w:val="8"/>
          </w:tcPr>
          <w:p w:rsidR="005C7ACA" w:rsidRPr="00717C0D" w:rsidP="00717C0D" w14:paraId="2BD152CF" w14:textId="09DE9B2B">
            <w:pPr>
              <w:rPr>
                <w:b/>
                <w:bCs/>
                <w:sz w:val="20"/>
              </w:rPr>
            </w:pPr>
            <w:r w:rsidRPr="00717C0D">
              <w:rPr>
                <w:b/>
                <w:bCs/>
                <w:sz w:val="20"/>
              </w:rPr>
              <w:t>215.301 General (Subpart D, Stenciling)</w:t>
            </w:r>
          </w:p>
        </w:tc>
      </w:tr>
      <w:tr w14:paraId="333F214C" w14:textId="1862945C" w:rsidTr="008546F2">
        <w:tblPrEx>
          <w:tblW w:w="11430" w:type="dxa"/>
          <w:tblInd w:w="-5" w:type="dxa"/>
          <w:tblLook w:val="04A0"/>
        </w:tblPrEx>
        <w:trPr>
          <w:trHeight w:val="1250"/>
        </w:trPr>
        <w:tc>
          <w:tcPr>
            <w:tcW w:w="1674" w:type="dxa"/>
          </w:tcPr>
          <w:p w:rsidR="00717C0D" w:rsidRPr="00717C0D" w:rsidP="00717C0D" w14:paraId="032A19D6" w14:textId="77777777">
            <w:pPr>
              <w:rPr>
                <w:color w:val="000000"/>
                <w:sz w:val="20"/>
              </w:rPr>
            </w:pPr>
            <w:r w:rsidRPr="00717C0D">
              <w:rPr>
                <w:sz w:val="20"/>
              </w:rPr>
              <w:t xml:space="preserve">—Stenciling </w:t>
            </w:r>
          </w:p>
        </w:tc>
        <w:tc>
          <w:tcPr>
            <w:tcW w:w="1161" w:type="dxa"/>
          </w:tcPr>
          <w:p w:rsidR="00717C0D" w:rsidRPr="00717C0D" w:rsidP="00717C0D" w14:paraId="012DD0C8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sz w:val="20"/>
              </w:rPr>
              <w:t>754 railroads</w:t>
            </w:r>
          </w:p>
        </w:tc>
        <w:tc>
          <w:tcPr>
            <w:tcW w:w="0" w:type="auto"/>
          </w:tcPr>
          <w:p w:rsidR="00717C0D" w:rsidRPr="00717C0D" w:rsidP="00717C0D" w14:paraId="55AF3850" w14:textId="77777777">
            <w:pPr>
              <w:jc w:val="center"/>
              <w:rPr>
                <w:sz w:val="20"/>
              </w:rPr>
            </w:pPr>
            <w:r w:rsidRPr="00717C0D">
              <w:rPr>
                <w:sz w:val="20"/>
              </w:rPr>
              <w:t xml:space="preserve">30,000 </w:t>
            </w:r>
          </w:p>
          <w:p w:rsidR="00717C0D" w:rsidRPr="00717C0D" w:rsidP="00717C0D" w14:paraId="3E10339E" w14:textId="02C87059">
            <w:pPr>
              <w:jc w:val="center"/>
              <w:rPr>
                <w:sz w:val="20"/>
              </w:rPr>
            </w:pPr>
            <w:r w:rsidRPr="00717C0D">
              <w:rPr>
                <w:sz w:val="20"/>
              </w:rPr>
              <w:t>stencil</w:t>
            </w:r>
            <w:r w:rsidR="00947846">
              <w:rPr>
                <w:sz w:val="20"/>
              </w:rPr>
              <w:t>s</w:t>
            </w:r>
          </w:p>
        </w:tc>
        <w:tc>
          <w:tcPr>
            <w:tcW w:w="0" w:type="auto"/>
          </w:tcPr>
          <w:p w:rsidR="00717C0D" w:rsidRPr="00717C0D" w:rsidP="00717C0D" w14:paraId="0E9903FA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sz w:val="20"/>
              </w:rPr>
              <w:t>45 minutes</w:t>
            </w:r>
          </w:p>
        </w:tc>
        <w:tc>
          <w:tcPr>
            <w:tcW w:w="1207" w:type="dxa"/>
          </w:tcPr>
          <w:p w:rsidR="00717C0D" w:rsidRPr="00717C0D" w:rsidP="00717C0D" w14:paraId="1F3A3D8D" w14:textId="77777777">
            <w:pPr>
              <w:jc w:val="center"/>
              <w:rPr>
                <w:sz w:val="20"/>
              </w:rPr>
            </w:pPr>
            <w:r w:rsidRPr="00717C0D">
              <w:rPr>
                <w:sz w:val="20"/>
              </w:rPr>
              <w:t>22,500</w:t>
            </w:r>
          </w:p>
          <w:p w:rsidR="00717C0D" w:rsidRPr="00717C0D" w:rsidP="00717C0D" w14:paraId="185818C0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sz w:val="20"/>
              </w:rPr>
              <w:t xml:space="preserve"> hours</w:t>
            </w:r>
          </w:p>
        </w:tc>
        <w:tc>
          <w:tcPr>
            <w:tcW w:w="789" w:type="dxa"/>
          </w:tcPr>
          <w:p w:rsidR="00717C0D" w:rsidRPr="00717C0D" w:rsidP="00717C0D" w14:paraId="06BA3F04" w14:textId="77777777">
            <w:pPr>
              <w:jc w:val="center"/>
              <w:rPr>
                <w:sz w:val="20"/>
              </w:rPr>
            </w:pPr>
            <w:r w:rsidRPr="00717C0D">
              <w:rPr>
                <w:sz w:val="20"/>
              </w:rPr>
              <w:t>$73.41</w:t>
            </w:r>
          </w:p>
        </w:tc>
        <w:tc>
          <w:tcPr>
            <w:tcW w:w="1190" w:type="dxa"/>
          </w:tcPr>
          <w:p w:rsidR="00717C0D" w:rsidRPr="00717C0D" w:rsidP="00717C0D" w14:paraId="321037F3" w14:textId="77777777">
            <w:pPr>
              <w:jc w:val="right"/>
              <w:rPr>
                <w:color w:val="000000"/>
                <w:sz w:val="20"/>
              </w:rPr>
            </w:pPr>
            <w:r w:rsidRPr="00717C0D">
              <w:rPr>
                <w:color w:val="000000"/>
                <w:sz w:val="20"/>
              </w:rPr>
              <w:t>$1,651,725</w:t>
            </w:r>
          </w:p>
        </w:tc>
        <w:tc>
          <w:tcPr>
            <w:tcW w:w="3210" w:type="dxa"/>
          </w:tcPr>
          <w:p w:rsidR="00717C0D" w:rsidRPr="00717C0D" w:rsidP="008546F2" w14:paraId="18E25A00" w14:textId="5BE372E1">
            <w:pPr>
              <w:rPr>
                <w:color w:val="000000"/>
                <w:sz w:val="20"/>
              </w:rPr>
            </w:pPr>
            <w:r w:rsidRPr="00FA5617">
              <w:rPr>
                <w:color w:val="000000"/>
                <w:sz w:val="20"/>
              </w:rPr>
              <w:t>Railroads and private car owners are required to stencil or otherwise display identification marks on freight cars, including a car number and build date.</w:t>
            </w:r>
          </w:p>
        </w:tc>
      </w:tr>
      <w:tr w14:paraId="5AA2C801" w14:textId="3EA37DE7" w:rsidTr="008546F2">
        <w:tblPrEx>
          <w:tblW w:w="11430" w:type="dxa"/>
          <w:tblInd w:w="-5" w:type="dxa"/>
          <w:tblLook w:val="04A0"/>
        </w:tblPrEx>
        <w:trPr>
          <w:trHeight w:val="467"/>
        </w:trPr>
        <w:tc>
          <w:tcPr>
            <w:tcW w:w="1674" w:type="dxa"/>
          </w:tcPr>
          <w:p w:rsidR="00717C0D" w:rsidRPr="00717C0D" w:rsidP="00717C0D" w14:paraId="17ED270B" w14:textId="77777777">
            <w:pPr>
              <w:rPr>
                <w:color w:val="000000"/>
                <w:sz w:val="20"/>
              </w:rPr>
            </w:pPr>
            <w:r w:rsidRPr="00717C0D">
              <w:rPr>
                <w:sz w:val="20"/>
              </w:rPr>
              <w:t>Total</w:t>
            </w:r>
          </w:p>
        </w:tc>
        <w:tc>
          <w:tcPr>
            <w:tcW w:w="1161" w:type="dxa"/>
          </w:tcPr>
          <w:p w:rsidR="00717C0D" w:rsidRPr="00717C0D" w:rsidP="00717C0D" w14:paraId="7FFFA0F1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sz w:val="20"/>
              </w:rPr>
              <w:t>754 railroads</w:t>
            </w:r>
          </w:p>
        </w:tc>
        <w:tc>
          <w:tcPr>
            <w:tcW w:w="0" w:type="auto"/>
          </w:tcPr>
          <w:p w:rsidR="00717C0D" w:rsidRPr="00717C0D" w:rsidP="00717C0D" w14:paraId="0CCE367D" w14:textId="77777777">
            <w:pPr>
              <w:jc w:val="center"/>
              <w:rPr>
                <w:sz w:val="20"/>
              </w:rPr>
            </w:pPr>
            <w:r w:rsidRPr="00717C0D">
              <w:rPr>
                <w:sz w:val="20"/>
              </w:rPr>
              <w:t>285,000</w:t>
            </w:r>
          </w:p>
          <w:p w:rsidR="00717C0D" w:rsidRPr="00717C0D" w:rsidP="00717C0D" w14:paraId="5E0D137A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sz w:val="20"/>
              </w:rPr>
              <w:t>responses</w:t>
            </w:r>
          </w:p>
        </w:tc>
        <w:tc>
          <w:tcPr>
            <w:tcW w:w="0" w:type="auto"/>
          </w:tcPr>
          <w:p w:rsidR="00717C0D" w:rsidRPr="00717C0D" w:rsidP="00717C0D" w14:paraId="36B126C2" w14:textId="7777777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07" w:type="dxa"/>
          </w:tcPr>
          <w:p w:rsidR="00717C0D" w:rsidRPr="00717C0D" w:rsidP="00717C0D" w14:paraId="4528A87C" w14:textId="77777777">
            <w:pPr>
              <w:jc w:val="center"/>
              <w:rPr>
                <w:sz w:val="20"/>
              </w:rPr>
            </w:pPr>
            <w:r w:rsidRPr="00717C0D">
              <w:rPr>
                <w:sz w:val="20"/>
              </w:rPr>
              <w:t>38,000</w:t>
            </w:r>
          </w:p>
          <w:p w:rsidR="00717C0D" w:rsidRPr="00717C0D" w:rsidP="00717C0D" w14:paraId="43D465E1" w14:textId="77777777">
            <w:pPr>
              <w:jc w:val="center"/>
              <w:rPr>
                <w:color w:val="000000"/>
                <w:sz w:val="20"/>
              </w:rPr>
            </w:pPr>
            <w:r w:rsidRPr="00717C0D">
              <w:rPr>
                <w:sz w:val="20"/>
              </w:rPr>
              <w:t xml:space="preserve"> hours</w:t>
            </w:r>
          </w:p>
        </w:tc>
        <w:tc>
          <w:tcPr>
            <w:tcW w:w="789" w:type="dxa"/>
          </w:tcPr>
          <w:p w:rsidR="00717C0D" w:rsidRPr="00717C0D" w:rsidP="00717C0D" w14:paraId="4655317E" w14:textId="77777777">
            <w:pPr>
              <w:jc w:val="right"/>
              <w:rPr>
                <w:sz w:val="20"/>
              </w:rPr>
            </w:pPr>
          </w:p>
        </w:tc>
        <w:tc>
          <w:tcPr>
            <w:tcW w:w="1190" w:type="dxa"/>
          </w:tcPr>
          <w:p w:rsidR="00717C0D" w:rsidRPr="00717C0D" w:rsidP="00717C0D" w14:paraId="4D5896EC" w14:textId="77777777">
            <w:pPr>
              <w:jc w:val="right"/>
              <w:rPr>
                <w:color w:val="000000"/>
                <w:sz w:val="20"/>
              </w:rPr>
            </w:pPr>
            <w:r w:rsidRPr="00717C0D">
              <w:rPr>
                <w:color w:val="000000"/>
                <w:sz w:val="20"/>
              </w:rPr>
              <w:t>$2,789,580</w:t>
            </w:r>
          </w:p>
        </w:tc>
        <w:tc>
          <w:tcPr>
            <w:tcW w:w="3210" w:type="dxa"/>
          </w:tcPr>
          <w:p w:rsidR="00717C0D" w:rsidRPr="00717C0D" w:rsidP="00717C0D" w14:paraId="2121E0D6" w14:textId="77777777">
            <w:pPr>
              <w:jc w:val="right"/>
              <w:rPr>
                <w:color w:val="000000"/>
                <w:sz w:val="20"/>
              </w:rPr>
            </w:pPr>
          </w:p>
        </w:tc>
      </w:tr>
    </w:tbl>
    <w:p w:rsidR="00D838A3" w:rsidP="00995B06" w14:paraId="316A4D03" w14:textId="77777777">
      <w:pPr>
        <w:widowControl w:val="0"/>
        <w:ind w:left="720"/>
        <w:rPr>
          <w:szCs w:val="24"/>
        </w:rPr>
      </w:pPr>
    </w:p>
    <w:p w:rsidR="002D14E6" w:rsidP="00C4132B" w14:paraId="2149C85E" w14:textId="3F780CBA">
      <w:pPr>
        <w:widowControl w:val="0"/>
      </w:pPr>
      <w:r w:rsidRPr="00AD423C">
        <w:rPr>
          <w:b/>
        </w:rPr>
        <w:t>13.</w:t>
      </w:r>
      <w:r w:rsidRPr="00AD423C">
        <w:rPr>
          <w:b/>
        </w:rPr>
        <w:tab/>
      </w:r>
      <w:r w:rsidRPr="00AD423C">
        <w:rPr>
          <w:b/>
          <w:u w:val="single"/>
        </w:rPr>
        <w:t>Estimate of total annual costs to respondents</w:t>
      </w:r>
      <w:r w:rsidR="0043476A">
        <w:rPr>
          <w:b/>
          <w:u w:val="single"/>
        </w:rPr>
        <w:t>.</w:t>
      </w:r>
    </w:p>
    <w:p w:rsidR="0069297F" w:rsidP="00C4132B" w14:paraId="2698899A" w14:textId="77777777">
      <w:pPr>
        <w:widowControl w:val="0"/>
      </w:pPr>
    </w:p>
    <w:p w:rsidR="0069297F" w:rsidP="00C4132B" w14:paraId="44E3AF6A" w14:textId="3FBB1AAC">
      <w:pPr>
        <w:widowControl w:val="0"/>
        <w:ind w:firstLine="720"/>
      </w:pPr>
      <w:r w:rsidRPr="009340E4">
        <w:t>$</w:t>
      </w:r>
      <w:r w:rsidR="00951897">
        <w:t>4</w:t>
      </w:r>
      <w:r w:rsidRPr="009340E4">
        <w:t xml:space="preserve">,500 </w:t>
      </w:r>
      <w:r w:rsidR="00A62AAC">
        <w:t>(</w:t>
      </w:r>
      <w:r w:rsidR="00E00C29">
        <w:t xml:space="preserve">Cost </w:t>
      </w:r>
      <w:r w:rsidRPr="009340E4">
        <w:t xml:space="preserve">of 150,000 tags </w:t>
      </w:r>
      <w:r w:rsidR="003E6F5E">
        <w:t>at</w:t>
      </w:r>
      <w:r w:rsidRPr="009340E4">
        <w:t xml:space="preserve"> </w:t>
      </w:r>
      <w:r w:rsidR="00951897">
        <w:t>3</w:t>
      </w:r>
      <w:r w:rsidRPr="009340E4">
        <w:t xml:space="preserve"> cents each</w:t>
      </w:r>
      <w:r w:rsidR="00A62AAC">
        <w:t>)</w:t>
      </w:r>
      <w:r w:rsidRPr="009340E4">
        <w:t>.</w:t>
      </w:r>
    </w:p>
    <w:p w:rsidR="00861CA7" w:rsidP="00C4132B" w14:paraId="38EDDA3F" w14:textId="07FB18C5">
      <w:pPr>
        <w:widowControl w:val="0"/>
        <w:ind w:left="720"/>
      </w:pPr>
      <w:r w:rsidRPr="00C569F6">
        <w:rPr>
          <w:b/>
          <w:bCs/>
          <w:i/>
          <w:iCs/>
        </w:rPr>
        <w:t>Note:</w:t>
      </w:r>
      <w:r>
        <w:t xml:space="preserve"> </w:t>
      </w:r>
      <w:r w:rsidR="00615535">
        <w:t>The total cost reflected is a rough estimate based on the knowledge</w:t>
      </w:r>
      <w:r w:rsidR="00D405A5">
        <w:t xml:space="preserve"> and experience of the subject matter experts within </w:t>
      </w:r>
      <w:r w:rsidR="0011439B">
        <w:t xml:space="preserve">FRA’s Office of Railroad Safety. </w:t>
      </w:r>
      <w:r w:rsidR="00134183">
        <w:t xml:space="preserve">The cost of each tag would vary depending on material type, quantity </w:t>
      </w:r>
      <w:r w:rsidR="00190B1E">
        <w:t>ordered,</w:t>
      </w:r>
      <w:r w:rsidR="00134183">
        <w:t xml:space="preserve"> and the railroads</w:t>
      </w:r>
      <w:r w:rsidR="00DE028C">
        <w:t>’</w:t>
      </w:r>
      <w:r w:rsidR="00134183">
        <w:t xml:space="preserve"> negotiated rates with suppliers.  </w:t>
      </w:r>
    </w:p>
    <w:p w:rsidR="00C24E38" w:rsidP="00C4132B" w14:paraId="6DCD4082" w14:textId="77777777">
      <w:pPr>
        <w:widowControl w:val="0"/>
        <w:ind w:firstLine="720"/>
        <w:rPr>
          <w:b/>
        </w:rPr>
      </w:pPr>
    </w:p>
    <w:p w:rsidR="00417BB6" w:rsidRPr="00AD423C" w:rsidP="00C4132B" w14:paraId="7630B49B" w14:textId="2B37A15B">
      <w:pPr>
        <w:widowControl w:val="0"/>
        <w:ind w:left="720" w:hanging="720"/>
        <w:rPr>
          <w:b/>
        </w:rPr>
      </w:pPr>
      <w:r w:rsidRPr="00AD423C">
        <w:rPr>
          <w:b/>
        </w:rPr>
        <w:t>14.</w:t>
      </w:r>
      <w:r w:rsidRPr="00AD423C">
        <w:rPr>
          <w:b/>
        </w:rPr>
        <w:tab/>
      </w:r>
      <w:r w:rsidRPr="00AD423C">
        <w:rPr>
          <w:b/>
          <w:u w:val="single"/>
        </w:rPr>
        <w:t xml:space="preserve">Estimate of </w:t>
      </w:r>
      <w:r w:rsidR="00D57061">
        <w:rPr>
          <w:b/>
          <w:u w:val="single"/>
        </w:rPr>
        <w:t>c</w:t>
      </w:r>
      <w:r w:rsidRPr="00AD423C">
        <w:rPr>
          <w:b/>
          <w:u w:val="single"/>
        </w:rPr>
        <w:t>ost to Federal Government</w:t>
      </w:r>
      <w:r w:rsidR="0043476A">
        <w:rPr>
          <w:b/>
          <w:u w:val="single"/>
        </w:rPr>
        <w:t>.</w:t>
      </w:r>
    </w:p>
    <w:p w:rsidR="0069297F" w:rsidP="00C4132B" w14:paraId="458DA867" w14:textId="77777777">
      <w:pPr>
        <w:widowControl w:val="0"/>
      </w:pPr>
    </w:p>
    <w:p w:rsidR="0069297F" w:rsidP="00C4132B" w14:paraId="66824843" w14:textId="46F200B4">
      <w:pPr>
        <w:widowControl w:val="0"/>
        <w:ind w:left="720"/>
      </w:pPr>
      <w:r>
        <w:t>There is no cost to the Federal Government in connection with the tagging</w:t>
      </w:r>
      <w:r w:rsidR="009340E4">
        <w:t>, stenciling,</w:t>
      </w:r>
      <w:r>
        <w:t xml:space="preserve"> and recordkeeping </w:t>
      </w:r>
      <w:r w:rsidR="009340E4">
        <w:t xml:space="preserve">requirements of 49 CFR </w:t>
      </w:r>
      <w:r w:rsidR="00DC67CB">
        <w:t xml:space="preserve">§§ </w:t>
      </w:r>
      <w:r w:rsidR="009340E4">
        <w:t>215.9</w:t>
      </w:r>
      <w:r w:rsidR="00DE028C">
        <w:t>, 215.11,</w:t>
      </w:r>
      <w:r w:rsidR="009340E4">
        <w:t xml:space="preserve"> and 215.301.</w:t>
      </w:r>
      <w:r>
        <w:t xml:space="preserve"> </w:t>
      </w:r>
      <w:r w:rsidR="009340E4">
        <w:t xml:space="preserve">Compliance is monitored during routine inspection activity and </w:t>
      </w:r>
      <w:r>
        <w:t>carriers</w:t>
      </w:r>
      <w:r w:rsidR="006011EC">
        <w:t>’</w:t>
      </w:r>
      <w:r>
        <w:t xml:space="preserve"> records are examined as part of </w:t>
      </w:r>
      <w:r w:rsidR="00D77201">
        <w:t xml:space="preserve">routine </w:t>
      </w:r>
      <w:r>
        <w:t xml:space="preserve">FRA enforcement activities. </w:t>
      </w:r>
    </w:p>
    <w:p w:rsidR="00F1021C" w:rsidP="00C4132B" w14:paraId="2F1B322B" w14:textId="0A9B0BA2"/>
    <w:p w:rsidR="00AD14EF" w:rsidP="00C4132B" w14:paraId="2BD4C98F" w14:textId="6D10FF1C">
      <w:pPr>
        <w:widowControl w:val="0"/>
        <w:ind w:left="720" w:hanging="720"/>
      </w:pPr>
      <w:r w:rsidRPr="00AD423C">
        <w:rPr>
          <w:b/>
        </w:rPr>
        <w:t>15.</w:t>
      </w:r>
      <w:r w:rsidRPr="00AD423C">
        <w:rPr>
          <w:b/>
        </w:rPr>
        <w:tab/>
      </w:r>
      <w:r w:rsidRPr="00AD423C">
        <w:rPr>
          <w:b/>
          <w:u w:val="single"/>
        </w:rPr>
        <w:t>Explanation of program changes and adjustments</w:t>
      </w:r>
      <w:r w:rsidR="0043476A">
        <w:rPr>
          <w:b/>
          <w:u w:val="single"/>
        </w:rPr>
        <w:t>.</w:t>
      </w:r>
    </w:p>
    <w:p w:rsidR="00AD14EF" w:rsidP="00C4132B" w14:paraId="1D453F4E" w14:textId="77777777">
      <w:pPr>
        <w:widowControl w:val="0"/>
      </w:pPr>
    </w:p>
    <w:p w:rsidR="00625D3B" w:rsidP="00C4132B" w14:paraId="0D6EDFBC" w14:textId="4D11C9A3">
      <w:pPr>
        <w:widowControl w:val="0"/>
        <w:ind w:left="720"/>
      </w:pPr>
      <w:r>
        <w:t>This is an extension without change to a current ICR.</w:t>
      </w:r>
      <w:r w:rsidR="003C25C3">
        <w:t xml:space="preserve"> </w:t>
      </w:r>
      <w:r w:rsidR="00746C8F">
        <w:t xml:space="preserve">FRA made no adjustments to the previously approved burden hours. </w:t>
      </w:r>
      <w:r>
        <w:t xml:space="preserve">The </w:t>
      </w:r>
      <w:r w:rsidR="00733480">
        <w:t>requested</w:t>
      </w:r>
      <w:r w:rsidR="00746C8F">
        <w:t xml:space="preserve"> estimated burden hours </w:t>
      </w:r>
      <w:r w:rsidR="00A1139E">
        <w:t>remain</w:t>
      </w:r>
      <w:r w:rsidR="00746C8F">
        <w:t xml:space="preserve"> at </w:t>
      </w:r>
      <w:r w:rsidR="00951897">
        <w:t>38,</w:t>
      </w:r>
      <w:r w:rsidR="00746C8F">
        <w:t>000</w:t>
      </w:r>
      <w:r w:rsidR="00951897">
        <w:t xml:space="preserve"> </w:t>
      </w:r>
      <w:r>
        <w:t xml:space="preserve">hours and </w:t>
      </w:r>
      <w:r w:rsidR="00746C8F">
        <w:t>285,000</w:t>
      </w:r>
      <w:r>
        <w:t xml:space="preserve"> responses</w:t>
      </w:r>
      <w:r w:rsidR="00746C8F">
        <w:t>.</w:t>
      </w:r>
    </w:p>
    <w:p w:rsidR="001A58D1" w:rsidP="00C4132B" w14:paraId="38C58356" w14:textId="77777777">
      <w:pPr>
        <w:widowControl w:val="0"/>
        <w:ind w:left="720"/>
      </w:pPr>
    </w:p>
    <w:p w:rsidR="00F55D47" w:rsidRPr="00D863FB" w:rsidP="00C4132B" w14:paraId="7C2DA151" w14:textId="77777777">
      <w:pPr>
        <w:widowControl w:val="0"/>
        <w:ind w:left="720" w:hanging="720"/>
        <w:rPr>
          <w:b/>
          <w:szCs w:val="24"/>
        </w:rPr>
      </w:pPr>
      <w:r w:rsidRPr="00D863FB">
        <w:rPr>
          <w:b/>
          <w:szCs w:val="24"/>
        </w:rPr>
        <w:t>16.</w:t>
      </w:r>
      <w:r w:rsidRPr="00D863FB">
        <w:rPr>
          <w:b/>
          <w:szCs w:val="24"/>
        </w:rPr>
        <w:tab/>
      </w:r>
      <w:r w:rsidRPr="00D863FB">
        <w:rPr>
          <w:b/>
          <w:szCs w:val="24"/>
          <w:u w:val="single"/>
        </w:rPr>
        <w:t>Publication of results of data collection</w:t>
      </w:r>
      <w:r w:rsidRPr="007E62DC">
        <w:rPr>
          <w:szCs w:val="24"/>
        </w:rPr>
        <w:t>.</w:t>
      </w:r>
    </w:p>
    <w:p w:rsidR="00F55D47" w:rsidRPr="00D863FB" w:rsidP="00C4132B" w14:paraId="7D9296E2" w14:textId="77777777">
      <w:pPr>
        <w:widowControl w:val="0"/>
        <w:rPr>
          <w:szCs w:val="24"/>
        </w:rPr>
      </w:pPr>
    </w:p>
    <w:p w:rsidR="00F55D47" w:rsidP="00C4132B" w14:paraId="7BB3630B" w14:textId="7D992E13">
      <w:pPr>
        <w:widowControl w:val="0"/>
        <w:ind w:firstLine="720"/>
        <w:rPr>
          <w:szCs w:val="24"/>
        </w:rPr>
      </w:pPr>
      <w:r w:rsidRPr="00561B7F">
        <w:rPr>
          <w:szCs w:val="24"/>
        </w:rPr>
        <w:t>FRA plans no tabulation or publication of responses.</w:t>
      </w:r>
    </w:p>
    <w:p w:rsidR="00F55D47" w:rsidRPr="00D863FB" w:rsidP="00C4132B" w14:paraId="2BEBA272" w14:textId="77777777">
      <w:pPr>
        <w:widowControl w:val="0"/>
        <w:ind w:firstLine="720"/>
        <w:rPr>
          <w:szCs w:val="24"/>
        </w:rPr>
      </w:pPr>
    </w:p>
    <w:p w:rsidR="00F55D47" w:rsidRPr="00D863FB" w:rsidP="00C4132B" w14:paraId="09C3B63A" w14:textId="77777777">
      <w:pPr>
        <w:widowControl w:val="0"/>
        <w:ind w:left="720" w:hanging="720"/>
        <w:rPr>
          <w:b/>
          <w:szCs w:val="24"/>
        </w:rPr>
      </w:pPr>
      <w:r w:rsidRPr="00D863FB">
        <w:rPr>
          <w:b/>
          <w:szCs w:val="24"/>
        </w:rPr>
        <w:t>17.</w:t>
      </w:r>
      <w:r w:rsidRPr="00D863FB">
        <w:rPr>
          <w:b/>
          <w:szCs w:val="24"/>
        </w:rPr>
        <w:tab/>
      </w:r>
      <w:r w:rsidRPr="00D863FB">
        <w:rPr>
          <w:b/>
          <w:szCs w:val="24"/>
          <w:u w:val="single"/>
        </w:rPr>
        <w:t>Approval for not displaying the expiration date for OMB approval</w:t>
      </w:r>
      <w:r w:rsidRPr="007E62DC">
        <w:rPr>
          <w:szCs w:val="24"/>
        </w:rPr>
        <w:t>.</w:t>
      </w:r>
    </w:p>
    <w:p w:rsidR="00F55D47" w:rsidRPr="00D863FB" w:rsidP="00F55D47" w14:paraId="34327523" w14:textId="77777777">
      <w:pPr>
        <w:widowControl w:val="0"/>
        <w:rPr>
          <w:szCs w:val="24"/>
        </w:rPr>
      </w:pPr>
    </w:p>
    <w:p w:rsidR="00F55D47" w:rsidP="00F55D47" w14:paraId="0EC47DAF" w14:textId="3E7160A9">
      <w:pPr>
        <w:widowControl w:val="0"/>
        <w:ind w:firstLine="720"/>
        <w:rPr>
          <w:szCs w:val="24"/>
        </w:rPr>
      </w:pPr>
      <w:r w:rsidRPr="00561B7F">
        <w:rPr>
          <w:szCs w:val="24"/>
        </w:rPr>
        <w:t xml:space="preserve">FRA </w:t>
      </w:r>
      <w:r w:rsidR="005C7ACA">
        <w:rPr>
          <w:szCs w:val="24"/>
        </w:rPr>
        <w:t xml:space="preserve">will be displaying the </w:t>
      </w:r>
      <w:r w:rsidRPr="00561B7F">
        <w:rPr>
          <w:szCs w:val="24"/>
        </w:rPr>
        <w:t>expiration date.</w:t>
      </w:r>
    </w:p>
    <w:p w:rsidR="00F55D47" w:rsidRPr="00D863FB" w:rsidP="00F55D47" w14:paraId="23165E5E" w14:textId="77777777">
      <w:pPr>
        <w:widowControl w:val="0"/>
        <w:rPr>
          <w:szCs w:val="24"/>
        </w:rPr>
      </w:pPr>
    </w:p>
    <w:p w:rsidR="00F55D47" w:rsidRPr="00D863FB" w:rsidP="00F55D47" w14:paraId="2C2F140A" w14:textId="77777777">
      <w:pPr>
        <w:widowControl w:val="0"/>
        <w:ind w:left="720" w:hanging="720"/>
        <w:rPr>
          <w:b/>
          <w:szCs w:val="24"/>
        </w:rPr>
      </w:pPr>
      <w:r w:rsidRPr="00D863FB">
        <w:rPr>
          <w:b/>
          <w:szCs w:val="24"/>
        </w:rPr>
        <w:t>18.</w:t>
      </w:r>
      <w:r w:rsidRPr="00D863FB">
        <w:rPr>
          <w:b/>
          <w:szCs w:val="24"/>
        </w:rPr>
        <w:tab/>
      </w:r>
      <w:r w:rsidRPr="00D863FB">
        <w:rPr>
          <w:b/>
          <w:szCs w:val="24"/>
          <w:u w:val="single"/>
        </w:rPr>
        <w:t>Exception to certification statement</w:t>
      </w:r>
      <w:r w:rsidRPr="007E62DC">
        <w:rPr>
          <w:szCs w:val="24"/>
        </w:rPr>
        <w:t>.</w:t>
      </w:r>
    </w:p>
    <w:p w:rsidR="00F55D47" w:rsidRPr="00D863FB" w:rsidP="00F55D47" w14:paraId="25209FF2" w14:textId="77777777">
      <w:pPr>
        <w:widowControl w:val="0"/>
        <w:rPr>
          <w:b/>
          <w:szCs w:val="24"/>
        </w:rPr>
      </w:pPr>
    </w:p>
    <w:p w:rsidR="00F55D47" w:rsidRPr="00D863FB" w:rsidP="00F55D47" w14:paraId="6FA4D85C" w14:textId="77777777">
      <w:pPr>
        <w:widowControl w:val="0"/>
        <w:ind w:left="720"/>
        <w:rPr>
          <w:szCs w:val="24"/>
        </w:rPr>
      </w:pPr>
      <w:r w:rsidRPr="00D863FB">
        <w:rPr>
          <w:szCs w:val="24"/>
        </w:rPr>
        <w:t>No exceptions are taken at this time.</w:t>
      </w:r>
    </w:p>
    <w:p w:rsidR="00F55D47" w:rsidP="00F55D47" w14:paraId="670BF019" w14:textId="77777777">
      <w:pPr>
        <w:widowControl w:val="0"/>
        <w:ind w:left="720" w:hanging="720"/>
      </w:pPr>
    </w:p>
    <w:sectPr w:rsidSect="00C569F6">
      <w:pgSz w:w="15840" w:h="12240" w:orient="landscape"/>
      <w:pgMar w:top="1440" w:right="1890" w:bottom="1440" w:left="1915" w:header="144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0 pitch">
    <w:altName w:val="Courier New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0938" w14:paraId="73ABAECC" w14:textId="77777777">
    <w:pPr>
      <w:framePr w:w="9360" w:h="233" w:hRule="exact" w:wrap="notBeside" w:vAnchor="page" w:hAnchor="text" w:y="14400"/>
      <w:widowControl w:val="0"/>
      <w:spacing w:line="0" w:lineRule="atLeast"/>
      <w:jc w:val="right"/>
      <w:rPr>
        <w:vanish/>
      </w:rPr>
    </w:pPr>
    <w:r>
      <w:rPr>
        <w:rFonts w:ascii="Courier 10 pitch" w:hAnsi="Courier 10 pitch"/>
        <w:color w:val="000000"/>
        <w:sz w:val="20"/>
      </w:rPr>
      <w:fldChar w:fldCharType="begin"/>
    </w:r>
    <w:r>
      <w:rPr>
        <w:rFonts w:ascii="Courier 10 pitch" w:hAnsi="Courier 10 pitch"/>
        <w:color w:val="000000"/>
        <w:sz w:val="20"/>
      </w:rPr>
      <w:instrText>PAGE</w:instrText>
    </w:r>
    <w:r>
      <w:rPr>
        <w:rFonts w:ascii="Courier 10 pitch" w:hAnsi="Courier 10 pitch"/>
        <w:color w:val="000000"/>
        <w:sz w:val="20"/>
      </w:rPr>
      <w:fldChar w:fldCharType="separate"/>
    </w:r>
    <w:r>
      <w:rPr>
        <w:rFonts w:ascii="Courier 10 pitch" w:hAnsi="Courier 10 pitch"/>
        <w:color w:val="000000"/>
        <w:sz w:val="20"/>
      </w:rPr>
      <w:t>XXX</w:t>
    </w:r>
    <w:r>
      <w:rPr>
        <w:rFonts w:ascii="Courier 10 pitch" w:hAnsi="Courier 10 pitch"/>
        <w:color w:val="000000"/>
        <w:sz w:val="20"/>
      </w:rPr>
      <w:fldChar w:fldCharType="end"/>
    </w:r>
  </w:p>
  <w:p w:rsidR="00BE0938" w14:paraId="1C5DBD26" w14:textId="77777777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0938" w:rsidP="00046975" w14:paraId="7392CABB" w14:textId="5197498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17EA">
      <w:rPr>
        <w:noProof/>
      </w:rPr>
      <w:t>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4A95" w14:paraId="3F58E8D2" w14:textId="0798A8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6F4A95" w14:paraId="33397C0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7F3DE4" w14:paraId="372A6494" w14:textId="77777777">
      <w:r>
        <w:separator/>
      </w:r>
    </w:p>
  </w:footnote>
  <w:footnote w:type="continuationSeparator" w:id="1">
    <w:p w:rsidR="007F3DE4" w14:paraId="5DDF6AB3" w14:textId="77777777">
      <w:r>
        <w:continuationSeparator/>
      </w:r>
    </w:p>
  </w:footnote>
  <w:footnote w:type="continuationNotice" w:id="2">
    <w:p w:rsidR="007F3DE4" w14:paraId="1B6962AE" w14:textId="77777777"/>
  </w:footnote>
  <w:footnote w:id="3">
    <w:p w:rsidR="00021ABD" w:rsidP="008546F2" w14:paraId="4FDBD2A8" w14:textId="1DC1517C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91 FR </w:t>
      </w:r>
      <w:r w:rsidR="0087007D">
        <w:t>4165</w:t>
      </w:r>
      <w:r w:rsidR="00E41D16">
        <w:t>.</w:t>
      </w:r>
    </w:p>
  </w:footnote>
  <w:footnote w:id="4">
    <w:p w:rsidR="00717C0D" w:rsidRPr="00E14DD7" w:rsidP="005B11C1" w14:paraId="31DFBA43" w14:textId="7C0559CC">
      <w:pPr>
        <w:pStyle w:val="FootnoteText"/>
      </w:pPr>
      <w:r w:rsidRPr="000C4109">
        <w:rPr>
          <w:rStyle w:val="FootnoteReference"/>
        </w:rPr>
        <w:footnoteRef/>
      </w:r>
      <w:r w:rsidRPr="000C4109">
        <w:t xml:space="preserve"> </w:t>
      </w:r>
      <w:r w:rsidRPr="00E14DD7">
        <w:t xml:space="preserve">Surface Transportation Board (STB), </w:t>
      </w:r>
      <w:r w:rsidRPr="00E14DD7">
        <w:rPr>
          <w:i/>
          <w:iCs/>
        </w:rPr>
        <w:t>Quarterly Wage Form A&amp;B Data</w:t>
      </w:r>
      <w:r w:rsidRPr="00E14DD7">
        <w:t xml:space="preserve"> (2024). Compiled from Class I railroad data reported on Wage Form A&amp;B for year 2024. Calculated as: Wage ($/hour) = sum of </w:t>
      </w:r>
      <w:r w:rsidRPr="00E14DD7">
        <w:rPr>
          <w:i/>
          <w:iCs/>
        </w:rPr>
        <w:t>compensation for time worked and paid for straight time rates</w:t>
      </w:r>
      <w:r w:rsidRPr="00E14DD7">
        <w:t xml:space="preserve"> ($) for Class I railroads ÷ sum of </w:t>
      </w:r>
      <w:r w:rsidRPr="00E14DD7">
        <w:rPr>
          <w:i/>
          <w:iCs/>
        </w:rPr>
        <w:t xml:space="preserve">service hours for time worked and paid for straight time rates </w:t>
      </w:r>
      <w:r w:rsidRPr="00E14DD7">
        <w:t xml:space="preserve">(hours) for Class I railroads. Available: </w:t>
      </w:r>
      <w:r w:rsidRPr="008546F2">
        <w:rPr>
          <w:i/>
        </w:rPr>
        <w:t>https://www.stb.gov/reports-data/economic-data/quarterly-wage-ab-data/</w:t>
      </w:r>
      <w:r w:rsidRPr="00E14DD7">
        <w:t>.</w:t>
      </w:r>
    </w:p>
  </w:footnote>
  <w:footnote w:id="5">
    <w:p w:rsidR="00717C0D" w:rsidRPr="00E14DD7" w:rsidP="005B11C1" w14:paraId="6EF96564" w14:textId="52A7962A">
      <w:pPr>
        <w:pStyle w:val="FootnoteText"/>
      </w:pPr>
      <w:r w:rsidRPr="00E14DD7">
        <w:rPr>
          <w:rStyle w:val="FootnoteReference"/>
        </w:rPr>
        <w:footnoteRef/>
      </w:r>
      <w:r w:rsidRPr="00E14DD7">
        <w:t xml:space="preserve"> The employee groups used to calculate hourly wage rates are Group 400 (Maintenance of Equipment &amp; Stores) $72.01 (41.15 x overhead of 1.75) and Group 600 (Transportation, Train, and Engine), $</w:t>
      </w:r>
      <w:r w:rsidR="00B162FC">
        <w:t>7</w:t>
      </w:r>
      <w:r w:rsidRPr="00E14DD7">
        <w:t>9.02 ($45.16 x overhead of 1.75). Time spent by these groups on the respective paperwork requirements are Group 400, 80% and Group 600 20%. This results in a combined wage rate of $73.41, ($72.01 x 0.8 + $79.02 x 0.2 = $57.61 + $15.80 = $73.41).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0938" w14:paraId="360D2774" w14:textId="77777777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0938" w14:paraId="2D5CD5CB" w14:textId="77777777">
    <w:pPr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0000001"/>
    <w:lvl w:ilvl="0">
      <w:start w:val="4"/>
      <w:numFmt w:val="lowerRoman"/>
      <w:suff w:val="nothing"/>
      <w:lvlText w:val="%1."/>
      <w:lvlJc w:val="left"/>
    </w:lvl>
    <w:lvl w:ilvl="1">
      <w:start w:val="1"/>
      <w:numFmt w:val="lowerRoman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lowerRoman"/>
      <w:suff w:val="nothing"/>
      <w:lvlText w:val="%4."/>
      <w:lvlJc w:val="left"/>
    </w:lvl>
    <w:lvl w:ilvl="4">
      <w:start w:val="1"/>
      <w:numFmt w:val="lowerRoman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lowerRoman"/>
      <w:suff w:val="nothing"/>
      <w:lvlText w:val="%7."/>
      <w:lvlJc w:val="left"/>
    </w:lvl>
    <w:lvl w:ilvl="7">
      <w:start w:val="1"/>
      <w:numFmt w:val="lowerRoman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1">
    <w:nsid w:val="06D53FE1"/>
    <w:multiLevelType w:val="hybridMultilevel"/>
    <w:tmpl w:val="B82CF29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A72D0B"/>
    <w:multiLevelType w:val="hybridMultilevel"/>
    <w:tmpl w:val="43741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832272"/>
    <w:multiLevelType w:val="hybridMultilevel"/>
    <w:tmpl w:val="063686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C65CA"/>
    <w:multiLevelType w:val="hybridMultilevel"/>
    <w:tmpl w:val="B5949D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EA61A6"/>
    <w:multiLevelType w:val="hybridMultilevel"/>
    <w:tmpl w:val="5E62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6D05A7"/>
    <w:multiLevelType w:val="hybridMultilevel"/>
    <w:tmpl w:val="30A8E89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2139EF"/>
    <w:multiLevelType w:val="hybridMultilevel"/>
    <w:tmpl w:val="B7FA8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011440"/>
    <w:multiLevelType w:val="hybridMultilevel"/>
    <w:tmpl w:val="EAE0417E"/>
    <w:lvl w:ilvl="0">
      <w:start w:val="1"/>
      <w:numFmt w:val="decimal"/>
      <w:lvlText w:val="%1."/>
      <w:lvlJc w:val="left"/>
      <w:pPr>
        <w:ind w:left="81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75EB1B65"/>
    <w:multiLevelType w:val="hybridMultilevel"/>
    <w:tmpl w:val="2B12AE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B77AC3"/>
    <w:multiLevelType w:val="hybridMultilevel"/>
    <w:tmpl w:val="1A72ED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244797">
    <w:abstractNumId w:val="0"/>
  </w:num>
  <w:num w:numId="2" w16cid:durableId="728766776">
    <w:abstractNumId w:val="2"/>
  </w:num>
  <w:num w:numId="3" w16cid:durableId="360396300">
    <w:abstractNumId w:val="4"/>
  </w:num>
  <w:num w:numId="4" w16cid:durableId="305427977">
    <w:abstractNumId w:val="5"/>
  </w:num>
  <w:num w:numId="5" w16cid:durableId="1153133032">
    <w:abstractNumId w:val="8"/>
  </w:num>
  <w:num w:numId="6" w16cid:durableId="1368408836">
    <w:abstractNumId w:val="7"/>
  </w:num>
  <w:num w:numId="7" w16cid:durableId="31322389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7462702">
    <w:abstractNumId w:val="1"/>
  </w:num>
  <w:num w:numId="9" w16cid:durableId="159345612">
    <w:abstractNumId w:val="6"/>
  </w:num>
  <w:num w:numId="10" w16cid:durableId="1810708133">
    <w:abstractNumId w:val="3"/>
  </w:num>
  <w:num w:numId="11" w16cid:durableId="958032058">
    <w:abstractNumId w:val="9"/>
  </w:num>
  <w:num w:numId="12" w16cid:durableId="15229390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  <w:footnote w:id="2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08"/>
    <w:rsid w:val="000009E9"/>
    <w:rsid w:val="00001CDA"/>
    <w:rsid w:val="00006B55"/>
    <w:rsid w:val="00012656"/>
    <w:rsid w:val="00012B85"/>
    <w:rsid w:val="00014112"/>
    <w:rsid w:val="0001583F"/>
    <w:rsid w:val="00020DFF"/>
    <w:rsid w:val="000219DB"/>
    <w:rsid w:val="00021ABD"/>
    <w:rsid w:val="00024744"/>
    <w:rsid w:val="0003272A"/>
    <w:rsid w:val="00033DDE"/>
    <w:rsid w:val="00034021"/>
    <w:rsid w:val="00034E42"/>
    <w:rsid w:val="000357FA"/>
    <w:rsid w:val="000370E5"/>
    <w:rsid w:val="00041F8F"/>
    <w:rsid w:val="0004543A"/>
    <w:rsid w:val="00046975"/>
    <w:rsid w:val="000546D1"/>
    <w:rsid w:val="0006236C"/>
    <w:rsid w:val="00067160"/>
    <w:rsid w:val="00067F67"/>
    <w:rsid w:val="00071D78"/>
    <w:rsid w:val="00081B31"/>
    <w:rsid w:val="00095240"/>
    <w:rsid w:val="000A1D7F"/>
    <w:rsid w:val="000A3004"/>
    <w:rsid w:val="000A5032"/>
    <w:rsid w:val="000A54C5"/>
    <w:rsid w:val="000B4389"/>
    <w:rsid w:val="000B6158"/>
    <w:rsid w:val="000B699B"/>
    <w:rsid w:val="000B7033"/>
    <w:rsid w:val="000C2175"/>
    <w:rsid w:val="000C4109"/>
    <w:rsid w:val="000D1672"/>
    <w:rsid w:val="000E1D2A"/>
    <w:rsid w:val="000E20AF"/>
    <w:rsid w:val="000F1BD8"/>
    <w:rsid w:val="000F4D2C"/>
    <w:rsid w:val="001034C8"/>
    <w:rsid w:val="0011439B"/>
    <w:rsid w:val="0012066B"/>
    <w:rsid w:val="001233A1"/>
    <w:rsid w:val="00125AD3"/>
    <w:rsid w:val="0012616A"/>
    <w:rsid w:val="001305E0"/>
    <w:rsid w:val="00134183"/>
    <w:rsid w:val="00135CAC"/>
    <w:rsid w:val="00137C72"/>
    <w:rsid w:val="001468E8"/>
    <w:rsid w:val="001548D9"/>
    <w:rsid w:val="001571ED"/>
    <w:rsid w:val="0015790E"/>
    <w:rsid w:val="00157A5E"/>
    <w:rsid w:val="00165477"/>
    <w:rsid w:val="001666F4"/>
    <w:rsid w:val="001677E5"/>
    <w:rsid w:val="00172411"/>
    <w:rsid w:val="0017284A"/>
    <w:rsid w:val="00176CA9"/>
    <w:rsid w:val="001775EA"/>
    <w:rsid w:val="0017789A"/>
    <w:rsid w:val="00180A0E"/>
    <w:rsid w:val="00182DEC"/>
    <w:rsid w:val="00183FC5"/>
    <w:rsid w:val="001853E8"/>
    <w:rsid w:val="00190B1E"/>
    <w:rsid w:val="00190D5E"/>
    <w:rsid w:val="00191421"/>
    <w:rsid w:val="00191FB7"/>
    <w:rsid w:val="00194556"/>
    <w:rsid w:val="00194B0D"/>
    <w:rsid w:val="00197DAC"/>
    <w:rsid w:val="001A58D1"/>
    <w:rsid w:val="001A671D"/>
    <w:rsid w:val="001B33E5"/>
    <w:rsid w:val="001B4B83"/>
    <w:rsid w:val="001B6799"/>
    <w:rsid w:val="001C168F"/>
    <w:rsid w:val="001C26E0"/>
    <w:rsid w:val="001C2CBF"/>
    <w:rsid w:val="001C55D8"/>
    <w:rsid w:val="001C7945"/>
    <w:rsid w:val="001D6021"/>
    <w:rsid w:val="001D7193"/>
    <w:rsid w:val="001E62C5"/>
    <w:rsid w:val="001E7AC5"/>
    <w:rsid w:val="00200A05"/>
    <w:rsid w:val="00202CBC"/>
    <w:rsid w:val="0020363D"/>
    <w:rsid w:val="00203F9F"/>
    <w:rsid w:val="00207843"/>
    <w:rsid w:val="00210F93"/>
    <w:rsid w:val="00212C58"/>
    <w:rsid w:val="002149A7"/>
    <w:rsid w:val="00221A41"/>
    <w:rsid w:val="002243EB"/>
    <w:rsid w:val="00230C74"/>
    <w:rsid w:val="00234ABF"/>
    <w:rsid w:val="00234B42"/>
    <w:rsid w:val="00234D92"/>
    <w:rsid w:val="00246605"/>
    <w:rsid w:val="00247107"/>
    <w:rsid w:val="0024724C"/>
    <w:rsid w:val="00252C40"/>
    <w:rsid w:val="00260CFC"/>
    <w:rsid w:val="0026243F"/>
    <w:rsid w:val="0026483F"/>
    <w:rsid w:val="00266596"/>
    <w:rsid w:val="00267FE5"/>
    <w:rsid w:val="002756C0"/>
    <w:rsid w:val="002814EE"/>
    <w:rsid w:val="002822D7"/>
    <w:rsid w:val="00284A3D"/>
    <w:rsid w:val="00290725"/>
    <w:rsid w:val="002910A8"/>
    <w:rsid w:val="00293BDB"/>
    <w:rsid w:val="0029417B"/>
    <w:rsid w:val="00295BF4"/>
    <w:rsid w:val="002A1A4E"/>
    <w:rsid w:val="002A3FFB"/>
    <w:rsid w:val="002A5441"/>
    <w:rsid w:val="002B5E2B"/>
    <w:rsid w:val="002B79EA"/>
    <w:rsid w:val="002C667B"/>
    <w:rsid w:val="002C7773"/>
    <w:rsid w:val="002D14E6"/>
    <w:rsid w:val="002D2D0B"/>
    <w:rsid w:val="002D5BE5"/>
    <w:rsid w:val="002F0279"/>
    <w:rsid w:val="002F2D53"/>
    <w:rsid w:val="002F3B9B"/>
    <w:rsid w:val="0030083C"/>
    <w:rsid w:val="00304901"/>
    <w:rsid w:val="0030708A"/>
    <w:rsid w:val="003232A6"/>
    <w:rsid w:val="003253B5"/>
    <w:rsid w:val="0033683C"/>
    <w:rsid w:val="003370E1"/>
    <w:rsid w:val="00340569"/>
    <w:rsid w:val="00340668"/>
    <w:rsid w:val="00343424"/>
    <w:rsid w:val="0034706B"/>
    <w:rsid w:val="00361CEC"/>
    <w:rsid w:val="00362697"/>
    <w:rsid w:val="003632FD"/>
    <w:rsid w:val="0036750D"/>
    <w:rsid w:val="00367E86"/>
    <w:rsid w:val="00373774"/>
    <w:rsid w:val="003830BA"/>
    <w:rsid w:val="003850B9"/>
    <w:rsid w:val="00387D19"/>
    <w:rsid w:val="003902A8"/>
    <w:rsid w:val="0039287D"/>
    <w:rsid w:val="00396E96"/>
    <w:rsid w:val="003A168D"/>
    <w:rsid w:val="003A2C37"/>
    <w:rsid w:val="003A5DB1"/>
    <w:rsid w:val="003A78A5"/>
    <w:rsid w:val="003B04FA"/>
    <w:rsid w:val="003B3110"/>
    <w:rsid w:val="003C00F7"/>
    <w:rsid w:val="003C25C3"/>
    <w:rsid w:val="003C6BF6"/>
    <w:rsid w:val="003C6EC9"/>
    <w:rsid w:val="003E31FD"/>
    <w:rsid w:val="003E6F5E"/>
    <w:rsid w:val="003E7DD0"/>
    <w:rsid w:val="003F51F6"/>
    <w:rsid w:val="00402C4A"/>
    <w:rsid w:val="00404033"/>
    <w:rsid w:val="0040687C"/>
    <w:rsid w:val="00410FAC"/>
    <w:rsid w:val="00417BB6"/>
    <w:rsid w:val="00421132"/>
    <w:rsid w:val="00423F68"/>
    <w:rsid w:val="00424C80"/>
    <w:rsid w:val="004269AD"/>
    <w:rsid w:val="0043476A"/>
    <w:rsid w:val="004354CA"/>
    <w:rsid w:val="0044078D"/>
    <w:rsid w:val="004468EB"/>
    <w:rsid w:val="004515CE"/>
    <w:rsid w:val="004517A9"/>
    <w:rsid w:val="00452E49"/>
    <w:rsid w:val="004652D6"/>
    <w:rsid w:val="004734C3"/>
    <w:rsid w:val="0048171B"/>
    <w:rsid w:val="00483F30"/>
    <w:rsid w:val="00484D0E"/>
    <w:rsid w:val="00485039"/>
    <w:rsid w:val="00491F8D"/>
    <w:rsid w:val="004A423E"/>
    <w:rsid w:val="004B446E"/>
    <w:rsid w:val="004C0597"/>
    <w:rsid w:val="004C605A"/>
    <w:rsid w:val="004C7806"/>
    <w:rsid w:val="004D6DD1"/>
    <w:rsid w:val="004D76B4"/>
    <w:rsid w:val="004E074A"/>
    <w:rsid w:val="004E2F89"/>
    <w:rsid w:val="004E39EB"/>
    <w:rsid w:val="004E4B55"/>
    <w:rsid w:val="004E64F9"/>
    <w:rsid w:val="004F02D7"/>
    <w:rsid w:val="004F1AF7"/>
    <w:rsid w:val="004F7E83"/>
    <w:rsid w:val="00505500"/>
    <w:rsid w:val="005056A3"/>
    <w:rsid w:val="00515D5A"/>
    <w:rsid w:val="0051698E"/>
    <w:rsid w:val="00523F42"/>
    <w:rsid w:val="00525329"/>
    <w:rsid w:val="005278D0"/>
    <w:rsid w:val="0053242D"/>
    <w:rsid w:val="00532445"/>
    <w:rsid w:val="00544F40"/>
    <w:rsid w:val="00546C1F"/>
    <w:rsid w:val="0055661F"/>
    <w:rsid w:val="00556EF4"/>
    <w:rsid w:val="00561B7F"/>
    <w:rsid w:val="00564B2D"/>
    <w:rsid w:val="00565056"/>
    <w:rsid w:val="0056706F"/>
    <w:rsid w:val="0057581F"/>
    <w:rsid w:val="005778CD"/>
    <w:rsid w:val="00577FC9"/>
    <w:rsid w:val="0058163C"/>
    <w:rsid w:val="00585184"/>
    <w:rsid w:val="00586A58"/>
    <w:rsid w:val="00590ABB"/>
    <w:rsid w:val="00591425"/>
    <w:rsid w:val="00592BE6"/>
    <w:rsid w:val="00593116"/>
    <w:rsid w:val="005A1FDD"/>
    <w:rsid w:val="005A33B2"/>
    <w:rsid w:val="005A63D5"/>
    <w:rsid w:val="005A667C"/>
    <w:rsid w:val="005A6EA5"/>
    <w:rsid w:val="005B11C1"/>
    <w:rsid w:val="005B1615"/>
    <w:rsid w:val="005B75CE"/>
    <w:rsid w:val="005C7ACA"/>
    <w:rsid w:val="005D0786"/>
    <w:rsid w:val="005D0908"/>
    <w:rsid w:val="005D3224"/>
    <w:rsid w:val="005D6108"/>
    <w:rsid w:val="005E3B94"/>
    <w:rsid w:val="005E670D"/>
    <w:rsid w:val="005F03E3"/>
    <w:rsid w:val="005F2060"/>
    <w:rsid w:val="005F4889"/>
    <w:rsid w:val="005F4EB4"/>
    <w:rsid w:val="005F56E9"/>
    <w:rsid w:val="006011EC"/>
    <w:rsid w:val="006017FC"/>
    <w:rsid w:val="006025DA"/>
    <w:rsid w:val="006028E7"/>
    <w:rsid w:val="006029AB"/>
    <w:rsid w:val="006063BC"/>
    <w:rsid w:val="00607189"/>
    <w:rsid w:val="00614C98"/>
    <w:rsid w:val="00615535"/>
    <w:rsid w:val="006234B8"/>
    <w:rsid w:val="00623580"/>
    <w:rsid w:val="00625D3B"/>
    <w:rsid w:val="0063204E"/>
    <w:rsid w:val="00640F09"/>
    <w:rsid w:val="006421F3"/>
    <w:rsid w:val="00645DB6"/>
    <w:rsid w:val="00650CD0"/>
    <w:rsid w:val="00657360"/>
    <w:rsid w:val="00661971"/>
    <w:rsid w:val="00664942"/>
    <w:rsid w:val="00672CE6"/>
    <w:rsid w:val="00674029"/>
    <w:rsid w:val="00676F7E"/>
    <w:rsid w:val="00677339"/>
    <w:rsid w:val="006773B3"/>
    <w:rsid w:val="00677CE1"/>
    <w:rsid w:val="006808B1"/>
    <w:rsid w:val="00682A08"/>
    <w:rsid w:val="00691BFA"/>
    <w:rsid w:val="0069297F"/>
    <w:rsid w:val="006954FC"/>
    <w:rsid w:val="0069754C"/>
    <w:rsid w:val="006B0757"/>
    <w:rsid w:val="006B0A45"/>
    <w:rsid w:val="006C3085"/>
    <w:rsid w:val="006C32B2"/>
    <w:rsid w:val="006C777B"/>
    <w:rsid w:val="006D0D78"/>
    <w:rsid w:val="006D2A87"/>
    <w:rsid w:val="006E5DFB"/>
    <w:rsid w:val="006F4A37"/>
    <w:rsid w:val="006F4A95"/>
    <w:rsid w:val="006F605B"/>
    <w:rsid w:val="0070149C"/>
    <w:rsid w:val="00701563"/>
    <w:rsid w:val="00706B90"/>
    <w:rsid w:val="00706EDB"/>
    <w:rsid w:val="0071763F"/>
    <w:rsid w:val="00717C0D"/>
    <w:rsid w:val="00721510"/>
    <w:rsid w:val="0072291B"/>
    <w:rsid w:val="00725925"/>
    <w:rsid w:val="00725BE3"/>
    <w:rsid w:val="00731A7B"/>
    <w:rsid w:val="00733480"/>
    <w:rsid w:val="007338A5"/>
    <w:rsid w:val="00742414"/>
    <w:rsid w:val="007469FD"/>
    <w:rsid w:val="00746C8F"/>
    <w:rsid w:val="007525E4"/>
    <w:rsid w:val="00752D22"/>
    <w:rsid w:val="007577F6"/>
    <w:rsid w:val="00764251"/>
    <w:rsid w:val="0076704A"/>
    <w:rsid w:val="00776B21"/>
    <w:rsid w:val="00784A0D"/>
    <w:rsid w:val="00786145"/>
    <w:rsid w:val="00787396"/>
    <w:rsid w:val="00787A57"/>
    <w:rsid w:val="007A124E"/>
    <w:rsid w:val="007B2A1B"/>
    <w:rsid w:val="007C1669"/>
    <w:rsid w:val="007C3FB7"/>
    <w:rsid w:val="007C4962"/>
    <w:rsid w:val="007D3492"/>
    <w:rsid w:val="007D5E52"/>
    <w:rsid w:val="007D632E"/>
    <w:rsid w:val="007D75F4"/>
    <w:rsid w:val="007E25E4"/>
    <w:rsid w:val="007E6256"/>
    <w:rsid w:val="007E62DC"/>
    <w:rsid w:val="007E74F5"/>
    <w:rsid w:val="007F3DE4"/>
    <w:rsid w:val="007F6577"/>
    <w:rsid w:val="007F6872"/>
    <w:rsid w:val="00801B90"/>
    <w:rsid w:val="00802E40"/>
    <w:rsid w:val="00824B3B"/>
    <w:rsid w:val="008250DF"/>
    <w:rsid w:val="008251CE"/>
    <w:rsid w:val="00825C48"/>
    <w:rsid w:val="00831756"/>
    <w:rsid w:val="00834B5C"/>
    <w:rsid w:val="00834CDC"/>
    <w:rsid w:val="008357AF"/>
    <w:rsid w:val="00845216"/>
    <w:rsid w:val="008546F2"/>
    <w:rsid w:val="00857F3A"/>
    <w:rsid w:val="00861CA7"/>
    <w:rsid w:val="00867AD4"/>
    <w:rsid w:val="0087007D"/>
    <w:rsid w:val="00872C6C"/>
    <w:rsid w:val="008830E9"/>
    <w:rsid w:val="0088367C"/>
    <w:rsid w:val="00883776"/>
    <w:rsid w:val="00883C11"/>
    <w:rsid w:val="008916AD"/>
    <w:rsid w:val="00894C2D"/>
    <w:rsid w:val="008A04E2"/>
    <w:rsid w:val="008A1AD2"/>
    <w:rsid w:val="008A5A1A"/>
    <w:rsid w:val="008A5B6D"/>
    <w:rsid w:val="008A5DC2"/>
    <w:rsid w:val="008B30B1"/>
    <w:rsid w:val="008B54FB"/>
    <w:rsid w:val="008C774E"/>
    <w:rsid w:val="008D4BD6"/>
    <w:rsid w:val="008E0457"/>
    <w:rsid w:val="008E086B"/>
    <w:rsid w:val="008E62B2"/>
    <w:rsid w:val="008F02D9"/>
    <w:rsid w:val="008F2DA1"/>
    <w:rsid w:val="008F4B3E"/>
    <w:rsid w:val="008F6B41"/>
    <w:rsid w:val="00905DB8"/>
    <w:rsid w:val="00910A37"/>
    <w:rsid w:val="00912F8A"/>
    <w:rsid w:val="00922E9D"/>
    <w:rsid w:val="00923136"/>
    <w:rsid w:val="00924394"/>
    <w:rsid w:val="00930992"/>
    <w:rsid w:val="009324B5"/>
    <w:rsid w:val="009326A3"/>
    <w:rsid w:val="009340E4"/>
    <w:rsid w:val="00947846"/>
    <w:rsid w:val="00951897"/>
    <w:rsid w:val="009560BB"/>
    <w:rsid w:val="00956190"/>
    <w:rsid w:val="00960F3F"/>
    <w:rsid w:val="009610FE"/>
    <w:rsid w:val="00962CCE"/>
    <w:rsid w:val="0098502A"/>
    <w:rsid w:val="009858AC"/>
    <w:rsid w:val="00986FA9"/>
    <w:rsid w:val="0099276F"/>
    <w:rsid w:val="00994B8D"/>
    <w:rsid w:val="0099503A"/>
    <w:rsid w:val="00995AD8"/>
    <w:rsid w:val="00995B06"/>
    <w:rsid w:val="00995D81"/>
    <w:rsid w:val="00996D8A"/>
    <w:rsid w:val="0099725B"/>
    <w:rsid w:val="009A0FE4"/>
    <w:rsid w:val="009A6763"/>
    <w:rsid w:val="009A6DE5"/>
    <w:rsid w:val="009B05AD"/>
    <w:rsid w:val="009B1F90"/>
    <w:rsid w:val="009B262A"/>
    <w:rsid w:val="009B2E77"/>
    <w:rsid w:val="009B7750"/>
    <w:rsid w:val="009D52D9"/>
    <w:rsid w:val="009E16F8"/>
    <w:rsid w:val="009E2C5E"/>
    <w:rsid w:val="009E39BC"/>
    <w:rsid w:val="009E4D92"/>
    <w:rsid w:val="009E7128"/>
    <w:rsid w:val="009F1457"/>
    <w:rsid w:val="009F1927"/>
    <w:rsid w:val="009F644B"/>
    <w:rsid w:val="00A060DA"/>
    <w:rsid w:val="00A1118E"/>
    <w:rsid w:val="00A1139E"/>
    <w:rsid w:val="00A13035"/>
    <w:rsid w:val="00A2196A"/>
    <w:rsid w:val="00A23532"/>
    <w:rsid w:val="00A31EF6"/>
    <w:rsid w:val="00A330E5"/>
    <w:rsid w:val="00A41699"/>
    <w:rsid w:val="00A41EE9"/>
    <w:rsid w:val="00A44B7A"/>
    <w:rsid w:val="00A46CBF"/>
    <w:rsid w:val="00A514A5"/>
    <w:rsid w:val="00A61849"/>
    <w:rsid w:val="00A62AAC"/>
    <w:rsid w:val="00A70D69"/>
    <w:rsid w:val="00A717EA"/>
    <w:rsid w:val="00A761B4"/>
    <w:rsid w:val="00A77ACB"/>
    <w:rsid w:val="00A81F9C"/>
    <w:rsid w:val="00A83AE2"/>
    <w:rsid w:val="00A87ECC"/>
    <w:rsid w:val="00A928D4"/>
    <w:rsid w:val="00AA26B5"/>
    <w:rsid w:val="00AA2941"/>
    <w:rsid w:val="00AA38FD"/>
    <w:rsid w:val="00AA5E0C"/>
    <w:rsid w:val="00AA6300"/>
    <w:rsid w:val="00AB1429"/>
    <w:rsid w:val="00AC4BB3"/>
    <w:rsid w:val="00AD14EF"/>
    <w:rsid w:val="00AD423C"/>
    <w:rsid w:val="00AD44B5"/>
    <w:rsid w:val="00AD4C0A"/>
    <w:rsid w:val="00AD658C"/>
    <w:rsid w:val="00AD7D83"/>
    <w:rsid w:val="00AE3DFC"/>
    <w:rsid w:val="00AE3FA6"/>
    <w:rsid w:val="00AF3F40"/>
    <w:rsid w:val="00AF4A75"/>
    <w:rsid w:val="00AF7D8C"/>
    <w:rsid w:val="00B056A3"/>
    <w:rsid w:val="00B068BE"/>
    <w:rsid w:val="00B14D02"/>
    <w:rsid w:val="00B162FC"/>
    <w:rsid w:val="00B205F3"/>
    <w:rsid w:val="00B24EEE"/>
    <w:rsid w:val="00B25093"/>
    <w:rsid w:val="00B2542A"/>
    <w:rsid w:val="00B25CAF"/>
    <w:rsid w:val="00B35484"/>
    <w:rsid w:val="00B37ED3"/>
    <w:rsid w:val="00B512CA"/>
    <w:rsid w:val="00B522A2"/>
    <w:rsid w:val="00B5429C"/>
    <w:rsid w:val="00B71AB9"/>
    <w:rsid w:val="00B750F1"/>
    <w:rsid w:val="00B81CE6"/>
    <w:rsid w:val="00B8365F"/>
    <w:rsid w:val="00BA4369"/>
    <w:rsid w:val="00BD5F94"/>
    <w:rsid w:val="00BD6E39"/>
    <w:rsid w:val="00BE04EA"/>
    <w:rsid w:val="00BE0938"/>
    <w:rsid w:val="00BE3D61"/>
    <w:rsid w:val="00BE6F4D"/>
    <w:rsid w:val="00BF164E"/>
    <w:rsid w:val="00BF2140"/>
    <w:rsid w:val="00BF2EF1"/>
    <w:rsid w:val="00BF3B2A"/>
    <w:rsid w:val="00BF55E1"/>
    <w:rsid w:val="00C00B2F"/>
    <w:rsid w:val="00C00B9A"/>
    <w:rsid w:val="00C0445E"/>
    <w:rsid w:val="00C11CD3"/>
    <w:rsid w:val="00C2056F"/>
    <w:rsid w:val="00C2164D"/>
    <w:rsid w:val="00C21E1B"/>
    <w:rsid w:val="00C21FAE"/>
    <w:rsid w:val="00C24BC2"/>
    <w:rsid w:val="00C24E38"/>
    <w:rsid w:val="00C25376"/>
    <w:rsid w:val="00C30FC7"/>
    <w:rsid w:val="00C322C8"/>
    <w:rsid w:val="00C4132B"/>
    <w:rsid w:val="00C44139"/>
    <w:rsid w:val="00C47317"/>
    <w:rsid w:val="00C569F6"/>
    <w:rsid w:val="00C57028"/>
    <w:rsid w:val="00C61EAC"/>
    <w:rsid w:val="00C62CDB"/>
    <w:rsid w:val="00C655FB"/>
    <w:rsid w:val="00C70CDC"/>
    <w:rsid w:val="00C863A2"/>
    <w:rsid w:val="00C91AE6"/>
    <w:rsid w:val="00C922B9"/>
    <w:rsid w:val="00CA23B9"/>
    <w:rsid w:val="00CA4228"/>
    <w:rsid w:val="00CA4B8B"/>
    <w:rsid w:val="00CB4F9E"/>
    <w:rsid w:val="00CB5974"/>
    <w:rsid w:val="00CB74D6"/>
    <w:rsid w:val="00CC0658"/>
    <w:rsid w:val="00CC1553"/>
    <w:rsid w:val="00CC2EB8"/>
    <w:rsid w:val="00CE142C"/>
    <w:rsid w:val="00CE4754"/>
    <w:rsid w:val="00CE4E43"/>
    <w:rsid w:val="00CE6182"/>
    <w:rsid w:val="00CF4730"/>
    <w:rsid w:val="00CF7EAB"/>
    <w:rsid w:val="00D0101B"/>
    <w:rsid w:val="00D16A7C"/>
    <w:rsid w:val="00D211CE"/>
    <w:rsid w:val="00D3459B"/>
    <w:rsid w:val="00D405A5"/>
    <w:rsid w:val="00D452ED"/>
    <w:rsid w:val="00D462F4"/>
    <w:rsid w:val="00D50E7A"/>
    <w:rsid w:val="00D52019"/>
    <w:rsid w:val="00D531F4"/>
    <w:rsid w:val="00D53D42"/>
    <w:rsid w:val="00D54E02"/>
    <w:rsid w:val="00D57061"/>
    <w:rsid w:val="00D607AC"/>
    <w:rsid w:val="00D67BA9"/>
    <w:rsid w:val="00D74796"/>
    <w:rsid w:val="00D77201"/>
    <w:rsid w:val="00D838A3"/>
    <w:rsid w:val="00D83D18"/>
    <w:rsid w:val="00D863FB"/>
    <w:rsid w:val="00D86798"/>
    <w:rsid w:val="00D87135"/>
    <w:rsid w:val="00D94FC6"/>
    <w:rsid w:val="00DA5AAA"/>
    <w:rsid w:val="00DB37FF"/>
    <w:rsid w:val="00DC1AC6"/>
    <w:rsid w:val="00DC432C"/>
    <w:rsid w:val="00DC4405"/>
    <w:rsid w:val="00DC55D1"/>
    <w:rsid w:val="00DC67CB"/>
    <w:rsid w:val="00DD121E"/>
    <w:rsid w:val="00DE028C"/>
    <w:rsid w:val="00DE0390"/>
    <w:rsid w:val="00DE0622"/>
    <w:rsid w:val="00DE52D4"/>
    <w:rsid w:val="00E00C29"/>
    <w:rsid w:val="00E01D19"/>
    <w:rsid w:val="00E03B2D"/>
    <w:rsid w:val="00E06AEF"/>
    <w:rsid w:val="00E07168"/>
    <w:rsid w:val="00E115F9"/>
    <w:rsid w:val="00E13403"/>
    <w:rsid w:val="00E138B6"/>
    <w:rsid w:val="00E14DD7"/>
    <w:rsid w:val="00E151A8"/>
    <w:rsid w:val="00E26A97"/>
    <w:rsid w:val="00E351BA"/>
    <w:rsid w:val="00E36EEC"/>
    <w:rsid w:val="00E37D71"/>
    <w:rsid w:val="00E400DC"/>
    <w:rsid w:val="00E41D16"/>
    <w:rsid w:val="00E451B1"/>
    <w:rsid w:val="00E468CD"/>
    <w:rsid w:val="00E523FF"/>
    <w:rsid w:val="00E536C0"/>
    <w:rsid w:val="00E600E2"/>
    <w:rsid w:val="00E60CB5"/>
    <w:rsid w:val="00E62EED"/>
    <w:rsid w:val="00E640AF"/>
    <w:rsid w:val="00E7313C"/>
    <w:rsid w:val="00E74CC4"/>
    <w:rsid w:val="00E77066"/>
    <w:rsid w:val="00E771E5"/>
    <w:rsid w:val="00E815EA"/>
    <w:rsid w:val="00E83786"/>
    <w:rsid w:val="00E86F34"/>
    <w:rsid w:val="00E948A9"/>
    <w:rsid w:val="00EA299C"/>
    <w:rsid w:val="00EB30E1"/>
    <w:rsid w:val="00EB7FE8"/>
    <w:rsid w:val="00EC1367"/>
    <w:rsid w:val="00EC19C7"/>
    <w:rsid w:val="00ED03FC"/>
    <w:rsid w:val="00ED195C"/>
    <w:rsid w:val="00EF623F"/>
    <w:rsid w:val="00F00DE3"/>
    <w:rsid w:val="00F042F5"/>
    <w:rsid w:val="00F07DAA"/>
    <w:rsid w:val="00F1021C"/>
    <w:rsid w:val="00F2065C"/>
    <w:rsid w:val="00F256CC"/>
    <w:rsid w:val="00F315F9"/>
    <w:rsid w:val="00F3575A"/>
    <w:rsid w:val="00F402E8"/>
    <w:rsid w:val="00F44B2F"/>
    <w:rsid w:val="00F5006D"/>
    <w:rsid w:val="00F52A22"/>
    <w:rsid w:val="00F533CE"/>
    <w:rsid w:val="00F55D47"/>
    <w:rsid w:val="00F57D24"/>
    <w:rsid w:val="00F618B6"/>
    <w:rsid w:val="00F624FE"/>
    <w:rsid w:val="00F62ED3"/>
    <w:rsid w:val="00F64DA0"/>
    <w:rsid w:val="00F714ED"/>
    <w:rsid w:val="00F76AA4"/>
    <w:rsid w:val="00F7732E"/>
    <w:rsid w:val="00F773E3"/>
    <w:rsid w:val="00F77E72"/>
    <w:rsid w:val="00F82762"/>
    <w:rsid w:val="00F83CA6"/>
    <w:rsid w:val="00F85175"/>
    <w:rsid w:val="00F913E0"/>
    <w:rsid w:val="00FA11C0"/>
    <w:rsid w:val="00FA4F99"/>
    <w:rsid w:val="00FA5617"/>
    <w:rsid w:val="00FB4639"/>
    <w:rsid w:val="00FB4D3D"/>
    <w:rsid w:val="00FB78EC"/>
    <w:rsid w:val="00FC1234"/>
    <w:rsid w:val="00FC5F05"/>
    <w:rsid w:val="00FE70CF"/>
    <w:rsid w:val="00FF47AC"/>
    <w:rsid w:val="00FF48B2"/>
    <w:rsid w:val="23DB90D8"/>
    <w:rsid w:val="274618F1"/>
    <w:rsid w:val="41405836"/>
    <w:rsid w:val="6C105AF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4705652"/>
  <w15:chartTrackingRefBased/>
  <w15:docId w15:val="{4F67D59C-9D1E-4FB3-BA3C-6C0023BE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F6577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17">
    <w:name w:val="_17"/>
    <w:basedOn w:val="Normal"/>
    <w:pPr>
      <w:widowControl w:val="0"/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8">
    <w:name w:val="_8"/>
    <w:basedOn w:val="Normal"/>
    <w:pPr>
      <w:widowControl w:val="0"/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WPNormal">
    <w:name w:val="WP_Normal"/>
    <w:basedOn w:val="Normal"/>
    <w:pPr>
      <w:widowControl w:val="0"/>
    </w:pPr>
  </w:style>
  <w:style w:type="paragraph" w:customStyle="1" w:styleId="DefinitionT">
    <w:name w:val="Definition T"/>
    <w:basedOn w:val="Normal"/>
    <w:pPr>
      <w:widowControl w:val="0"/>
    </w:pPr>
  </w:style>
  <w:style w:type="paragraph" w:customStyle="1" w:styleId="DefinitionL">
    <w:name w:val="Definition L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pPr>
      <w:widowControl w:val="0"/>
    </w:pPr>
    <w:rPr>
      <w:rFonts w:ascii="Courier 10 pitch" w:hAnsi="Courier 10 pitch"/>
      <w:b/>
      <w:sz w:val="48"/>
    </w:rPr>
  </w:style>
  <w:style w:type="paragraph" w:customStyle="1" w:styleId="H2">
    <w:name w:val="H2"/>
    <w:basedOn w:val="Normal"/>
    <w:pPr>
      <w:widowControl w:val="0"/>
    </w:pPr>
    <w:rPr>
      <w:rFonts w:ascii="Courier 10 pitch" w:hAnsi="Courier 10 pitch"/>
      <w:b/>
      <w:sz w:val="36"/>
    </w:rPr>
  </w:style>
  <w:style w:type="paragraph" w:customStyle="1" w:styleId="H3">
    <w:name w:val="H3"/>
    <w:basedOn w:val="Normal"/>
    <w:pPr>
      <w:widowControl w:val="0"/>
    </w:pPr>
    <w:rPr>
      <w:rFonts w:ascii="Courier 10 pitch" w:hAnsi="Courier 10 pitch"/>
      <w:b/>
      <w:sz w:val="28"/>
    </w:rPr>
  </w:style>
  <w:style w:type="paragraph" w:customStyle="1" w:styleId="H4">
    <w:name w:val="H4"/>
    <w:basedOn w:val="Normal"/>
    <w:pPr>
      <w:widowControl w:val="0"/>
    </w:pPr>
    <w:rPr>
      <w:rFonts w:ascii="Courier 10 pitch" w:hAnsi="Courier 10 pitch"/>
      <w:b/>
    </w:rPr>
  </w:style>
  <w:style w:type="paragraph" w:customStyle="1" w:styleId="H5">
    <w:name w:val="H5"/>
    <w:basedOn w:val="Normal"/>
    <w:pPr>
      <w:widowControl w:val="0"/>
    </w:pPr>
    <w:rPr>
      <w:rFonts w:ascii="Courier 10 pitch" w:hAnsi="Courier 10 pitch"/>
      <w:b/>
      <w:sz w:val="20"/>
    </w:rPr>
  </w:style>
  <w:style w:type="paragraph" w:customStyle="1" w:styleId="H6">
    <w:name w:val="H6"/>
    <w:basedOn w:val="Normal"/>
    <w:pPr>
      <w:widowControl w:val="0"/>
    </w:pPr>
    <w:rPr>
      <w:rFonts w:ascii="Courier 10 pitch" w:hAnsi="Courier 10 pitch"/>
      <w:b/>
      <w:sz w:val="16"/>
    </w:rPr>
  </w:style>
  <w:style w:type="paragraph" w:customStyle="1" w:styleId="Address">
    <w:name w:val="Address"/>
    <w:basedOn w:val="Normal"/>
    <w:pPr>
      <w:widowControl w:val="0"/>
    </w:pPr>
    <w:rPr>
      <w:i/>
    </w:rPr>
  </w:style>
  <w:style w:type="paragraph" w:customStyle="1" w:styleId="Blockquote">
    <w:name w:val="Blockquote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WPEmphasis">
    <w:name w:val="WP_Emphasis"/>
    <w:rPr>
      <w:i/>
    </w:rPr>
  </w:style>
  <w:style w:type="character" w:customStyle="1" w:styleId="WPHyperlink">
    <w:name w:val="WP_Hyperlink"/>
    <w:rPr>
      <w:color w:val="0000FF"/>
      <w:u w:val="single"/>
    </w:rPr>
  </w:style>
  <w:style w:type="character" w:customStyle="1" w:styleId="FollowedHype">
    <w:name w:val="FollowedHype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widowControl w:val="0"/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56"/>
      </w:tabs>
    </w:pPr>
    <w:rPr>
      <w:rFonts w:ascii="Courier New" w:hAnsi="Courier New"/>
      <w:sz w:val="20"/>
    </w:rPr>
  </w:style>
  <w:style w:type="paragraph" w:customStyle="1" w:styleId="zBottomof">
    <w:name w:val="zBottom of"/>
    <w:basedOn w:val="Normal"/>
    <w:pPr>
      <w:widowControl w:val="0"/>
      <w:pBdr>
        <w:top w:val="double" w:sz="1" w:space="0" w:color="000000"/>
      </w:pBdr>
      <w:jc w:val="center"/>
    </w:pPr>
    <w:rPr>
      <w:rFonts w:ascii="Arial" w:hAnsi="Arial"/>
      <w:sz w:val="16"/>
    </w:rPr>
  </w:style>
  <w:style w:type="paragraph" w:customStyle="1" w:styleId="zTopofFor">
    <w:name w:val="zTop of For"/>
    <w:basedOn w:val="Normal"/>
    <w:pPr>
      <w:widowControl w:val="0"/>
      <w:pBdr>
        <w:bottom w:val="double" w:sz="1" w:space="0" w:color="000000"/>
      </w:pBdr>
      <w:jc w:val="center"/>
    </w:pPr>
    <w:rPr>
      <w:rFonts w:ascii="Arial" w:hAnsi="Arial"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WPStrong">
    <w:name w:val="WP_Strong"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styleId="PageNumber">
    <w:name w:val="page number"/>
    <w:basedOn w:val="DefaultParagraphFont"/>
    <w:rsid w:val="007F6577"/>
  </w:style>
  <w:style w:type="paragraph" w:styleId="ListParagraph">
    <w:name w:val="List Paragraph"/>
    <w:basedOn w:val="Normal"/>
    <w:uiPriority w:val="99"/>
    <w:qFormat/>
    <w:rsid w:val="007C4962"/>
    <w:pPr>
      <w:ind w:left="720"/>
    </w:pPr>
  </w:style>
  <w:style w:type="paragraph" w:styleId="BalloonText">
    <w:name w:val="Balloon Text"/>
    <w:basedOn w:val="Normal"/>
    <w:link w:val="BalloonTextChar"/>
    <w:rsid w:val="005E6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670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qFormat/>
    <w:rsid w:val="002C777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7773"/>
  </w:style>
  <w:style w:type="character" w:styleId="FootnoteReference">
    <w:name w:val="footnote reference"/>
    <w:uiPriority w:val="99"/>
    <w:qFormat/>
    <w:rsid w:val="002C7773"/>
    <w:rPr>
      <w:vertAlign w:val="superscript"/>
    </w:rPr>
  </w:style>
  <w:style w:type="paragraph" w:styleId="Header">
    <w:name w:val="header"/>
    <w:basedOn w:val="Normal"/>
    <w:link w:val="HeaderChar"/>
    <w:rsid w:val="002910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10A8"/>
    <w:rPr>
      <w:sz w:val="24"/>
    </w:rPr>
  </w:style>
  <w:style w:type="character" w:customStyle="1" w:styleId="FooterChar">
    <w:name w:val="Footer Char"/>
    <w:link w:val="Footer"/>
    <w:uiPriority w:val="99"/>
    <w:rsid w:val="001548D9"/>
    <w:rPr>
      <w:sz w:val="24"/>
    </w:rPr>
  </w:style>
  <w:style w:type="character" w:styleId="CommentReference">
    <w:name w:val="annotation reference"/>
    <w:basedOn w:val="DefaultParagraphFont"/>
    <w:rsid w:val="002F2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2D5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F2D53"/>
  </w:style>
  <w:style w:type="paragraph" w:styleId="CommentSubject">
    <w:name w:val="annotation subject"/>
    <w:basedOn w:val="CommentText"/>
    <w:next w:val="CommentText"/>
    <w:link w:val="CommentSubjectChar"/>
    <w:rsid w:val="002F2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2D53"/>
    <w:rPr>
      <w:b/>
      <w:bCs/>
    </w:rPr>
  </w:style>
  <w:style w:type="character" w:styleId="Hyperlink">
    <w:name w:val="Hyperlink"/>
    <w:basedOn w:val="DefaultParagraphFont"/>
    <w:rsid w:val="009858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8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AD7D8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0363D"/>
    <w:rPr>
      <w:sz w:val="24"/>
    </w:rPr>
  </w:style>
  <w:style w:type="character" w:styleId="Mention">
    <w:name w:val="Mention"/>
    <w:basedOn w:val="DefaultParagraphFont"/>
    <w:uiPriority w:val="99"/>
    <w:unhideWhenUsed/>
    <w:rsid w:val="004269A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46B0C192ADC43A18D421D72B53E4F" ma:contentTypeVersion="6" ma:contentTypeDescription="Create a new document." ma:contentTypeScope="" ma:versionID="48e104d801ec2045d0b0431ca0363a01">
  <xsd:schema xmlns:xsd="http://www.w3.org/2001/XMLSchema" xmlns:xs="http://www.w3.org/2001/XMLSchema" xmlns:p="http://schemas.microsoft.com/office/2006/metadata/properties" xmlns:ns2="b270c13a-4492-4e1e-b47b-1c9c4fe9105b" xmlns:ns3="e2c2917e-047f-4ef5-af2e-e094bcfe6189" targetNamespace="http://schemas.microsoft.com/office/2006/metadata/properties" ma:root="true" ma:fieldsID="2e256177ae48e4235e07a2b39861501b" ns2:_="" ns3:_="">
    <xsd:import namespace="b270c13a-4492-4e1e-b47b-1c9c4fe9105b"/>
    <xsd:import namespace="e2c2917e-047f-4ef5-af2e-e094bcfe6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0c13a-4492-4e1e-b47b-1c9c4fe91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2917e-047f-4ef5-af2e-e094bcfe61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5D317-4278-45B9-A44C-9594ABD2D5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A55CAA-7710-4DD4-B482-28DC930F2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4BD57-6637-48E1-8802-ABAEEA7BA54A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270c13a-4492-4e1e-b47b-1c9c4fe9105b"/>
    <ds:schemaRef ds:uri="http://purl.org/dc/terms/"/>
    <ds:schemaRef ds:uri="http://schemas.openxmlformats.org/package/2006/metadata/core-properties"/>
    <ds:schemaRef ds:uri="http://purl.org/dc/dcmitype/"/>
    <ds:schemaRef ds:uri="e2c2917e-047f-4ef5-af2e-e094bcfe6189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F2FD847-4AB0-4654-BC36-DA4C80C6C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0c13a-4492-4e1e-b47b-1c9c4fe9105b"/>
    <ds:schemaRef ds:uri="e2c2917e-047f-4ef5-af2e-e094bcfe61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1744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Department of Transportation</Company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 User</dc:creator>
  <cp:lastModifiedBy>Swafford, Joanne (FRA)</cp:lastModifiedBy>
  <cp:revision>3</cp:revision>
  <cp:lastPrinted>2013-08-16T14:27:00Z</cp:lastPrinted>
  <dcterms:created xsi:type="dcterms:W3CDTF">2026-04-14T12:51:00Z</dcterms:created>
  <dcterms:modified xsi:type="dcterms:W3CDTF">2026-04-14T12:57:00Z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0x0101006DD46B0C192ADC43A18D421D72B53E4F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