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3E7E96" w14:paraId="3B181FE3"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Supporting Statement</w:t>
      </w:r>
    </w:p>
    <w:p w:rsidR="003E7E96" w14:paraId="278C17CA"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FERC-725N, Mandatory Reliability Standards: Transmission Planning (TPL)</w:t>
      </w:r>
      <w:r>
        <w:rPr>
          <w:rFonts w:ascii="Times New Roman" w:eastAsia="Calibri" w:hAnsi="Times New Roman" w:cs="Times New Roman"/>
          <w:b/>
          <w:sz w:val="26"/>
          <w:szCs w:val="26"/>
          <w:vertAlign w:val="superscript"/>
        </w:rPr>
        <w:t xml:space="preserve"> </w:t>
      </w:r>
      <w:r>
        <w:rPr>
          <w:rFonts w:ascii="Times New Roman" w:eastAsia="Calibri" w:hAnsi="Times New Roman" w:cs="Times New Roman"/>
          <w:b/>
          <w:sz w:val="26"/>
          <w:szCs w:val="26"/>
        </w:rPr>
        <w:t xml:space="preserve">Reliability Standards, </w:t>
      </w:r>
    </w:p>
    <w:p w:rsidR="003E7E96" w14:paraId="44796F6F" w14:textId="77777777">
      <w:pPr>
        <w:spacing w:after="0" w:line="240" w:lineRule="auto"/>
        <w:jc w:val="center"/>
        <w:rPr>
          <w:rFonts w:ascii="Times New Roman" w:eastAsia="Calibri" w:hAnsi="Times New Roman" w:cs="Times New Roman"/>
          <w:sz w:val="26"/>
          <w:szCs w:val="26"/>
        </w:rPr>
      </w:pPr>
    </w:p>
    <w:p w:rsidR="003E7E96" w14:paraId="01B4C102" w14:textId="77777777">
      <w:pPr>
        <w:spacing w:after="0" w:line="240" w:lineRule="auto"/>
        <w:rPr>
          <w:rFonts w:ascii="Times New Roman" w:eastAsia="Calibri" w:hAnsi="Times New Roman" w:cs="Times New Roman"/>
          <w:sz w:val="26"/>
          <w:szCs w:val="26"/>
        </w:rPr>
      </w:pPr>
    </w:p>
    <w:p w:rsidR="003E7E96" w14:paraId="0E5D0860" w14:textId="1D55BCF6">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Federal Energy Regulatory Commission (Commission or FERC) request</w:t>
      </w:r>
      <w:r w:rsidR="00925D03">
        <w:rPr>
          <w:rFonts w:ascii="Times New Roman" w:eastAsia="Calibri" w:hAnsi="Times New Roman" w:cs="Times New Roman"/>
          <w:sz w:val="26"/>
          <w:szCs w:val="26"/>
        </w:rPr>
        <w:t>s</w:t>
      </w:r>
      <w:r>
        <w:rPr>
          <w:rFonts w:ascii="Times New Roman" w:eastAsia="Calibri" w:hAnsi="Times New Roman" w:cs="Times New Roman"/>
          <w:sz w:val="26"/>
          <w:szCs w:val="26"/>
        </w:rPr>
        <w:t xml:space="preserve"> that the Office of Management and Budget (OMB) approve the reporting and recordkeeping requirements in FERC-725N</w:t>
      </w:r>
      <w:r w:rsidR="008C3FFB">
        <w:rPr>
          <w:rFonts w:ascii="Times New Roman" w:eastAsia="Calibri" w:hAnsi="Times New Roman" w:cs="Times New Roman"/>
          <w:sz w:val="26"/>
          <w:szCs w:val="26"/>
        </w:rPr>
        <w:t xml:space="preserve"> for </w:t>
      </w:r>
      <w:r w:rsidR="00721581">
        <w:rPr>
          <w:rFonts w:ascii="Times New Roman" w:eastAsia="Calibri" w:hAnsi="Times New Roman" w:cs="Times New Roman"/>
          <w:sz w:val="26"/>
          <w:szCs w:val="26"/>
        </w:rPr>
        <w:t xml:space="preserve">new </w:t>
      </w:r>
      <w:r w:rsidR="00FF67D4">
        <w:rPr>
          <w:rFonts w:ascii="Times New Roman" w:eastAsia="Calibri" w:hAnsi="Times New Roman" w:cs="Times New Roman"/>
          <w:sz w:val="26"/>
          <w:szCs w:val="26"/>
        </w:rPr>
        <w:t xml:space="preserve">Reliability Standard TPL-008-1 </w:t>
      </w:r>
      <w:r w:rsidRPr="0074670A" w:rsidR="00FF67D4">
        <w:rPr>
          <w:rFonts w:ascii="Times New Roman" w:eastAsia="Calibri" w:hAnsi="Times New Roman" w:cs="Times New Roman"/>
          <w:sz w:val="26"/>
          <w:szCs w:val="26"/>
        </w:rPr>
        <w:t>(</w:t>
      </w:r>
      <w:r w:rsidRPr="003227A3" w:rsidR="004344AA">
        <w:rPr>
          <w:rFonts w:ascii="Times New Roman" w:hAnsi="Times New Roman" w:cs="Times New Roman"/>
          <w:sz w:val="26"/>
          <w:szCs w:val="26"/>
        </w:rPr>
        <w:t>Transmission System Planning Performance Requirements for Extreme Temperature Events)</w:t>
      </w:r>
      <w:r w:rsidR="00ED788F">
        <w:rPr>
          <w:rFonts w:ascii="Times New Roman" w:hAnsi="Times New Roman" w:cs="Times New Roman"/>
          <w:sz w:val="26"/>
          <w:szCs w:val="26"/>
        </w:rPr>
        <w:t>.</w:t>
      </w:r>
      <w:r w:rsidR="004344AA">
        <w:rPr>
          <w:rFonts w:ascii="Times New Roman" w:eastAsia="Calibri" w:hAnsi="Times New Roman" w:cs="Times New Roman"/>
          <w:sz w:val="26"/>
          <w:szCs w:val="26"/>
        </w:rPr>
        <w:t xml:space="preserve"> </w:t>
      </w:r>
      <w:r w:rsidR="000355FB">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p>
    <w:p w:rsidR="003E7E96" w14:paraId="22170985" w14:textId="77777777">
      <w:pPr>
        <w:spacing w:after="0" w:line="240" w:lineRule="auto"/>
        <w:rPr>
          <w:rFonts w:ascii="Times New Roman" w:eastAsia="Calibri" w:hAnsi="Times New Roman" w:cs="Times New Roman"/>
          <w:sz w:val="26"/>
          <w:szCs w:val="26"/>
        </w:rPr>
      </w:pPr>
    </w:p>
    <w:p w:rsidR="003E7E96" w14:paraId="68D4F819"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CIRCUMSTANCES THAT MAKE THE COLLECTION OF INFORMATION NECESSARY</w:t>
      </w:r>
    </w:p>
    <w:p w:rsidR="003E7E96" w14:paraId="4D3ECD8B" w14:textId="77777777">
      <w:pPr>
        <w:spacing w:after="0" w:line="240" w:lineRule="auto"/>
        <w:rPr>
          <w:rFonts w:ascii="Times New Roman" w:eastAsia="Calibri" w:hAnsi="Times New Roman" w:cs="Times New Roman"/>
          <w:sz w:val="26"/>
          <w:szCs w:val="26"/>
        </w:rPr>
      </w:pPr>
    </w:p>
    <w:p w:rsidR="003E7E96" w14:paraId="7D602E00" w14:textId="77777777">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On August 8, 2005, The Electricity Modernization Act of 2005, which is Title XII of the Energy Policy Act of 2005 (EPAct 2005), was enacted into law.</w:t>
      </w:r>
      <w:r>
        <w:rPr>
          <w:rFonts w:ascii="Times New Roman" w:eastAsia="Times New Roman" w:hAnsi="Times New Roman" w:cs="Times New Roman"/>
          <w:sz w:val="26"/>
          <w:szCs w:val="26"/>
          <w:vertAlign w:val="superscript"/>
        </w:rPr>
        <w:footnoteReference w:id="3"/>
      </w:r>
      <w:r>
        <w:rPr>
          <w:rFonts w:ascii="Times New Roman" w:eastAsia="Times New Roman" w:hAnsi="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w:t>
      </w:r>
    </w:p>
    <w:p w:rsidR="003E7E96" w14:paraId="6DD1B467" w14:textId="77777777">
      <w:pPr>
        <w:spacing w:after="0" w:line="240" w:lineRule="auto"/>
        <w:rPr>
          <w:rFonts w:ascii="Times New Roman" w:eastAsia="Calibri" w:hAnsi="Times New Roman" w:cs="Times New Roman"/>
          <w:sz w:val="26"/>
          <w:szCs w:val="26"/>
        </w:rPr>
      </w:pPr>
    </w:p>
    <w:p w:rsidR="005B5763" w:rsidRPr="005B5763" w:rsidP="005B5763" w14:paraId="6F0689FC" w14:textId="77777777">
      <w:pPr>
        <w:spacing w:after="0" w:line="240" w:lineRule="auto"/>
        <w:rPr>
          <w:rFonts w:ascii="Times New Roman" w:eastAsia="Calibri" w:hAnsi="Times New Roman" w:cs="Times New Roman"/>
          <w:sz w:val="26"/>
          <w:szCs w:val="26"/>
        </w:rPr>
      </w:pPr>
      <w:r w:rsidRPr="005B5763">
        <w:rPr>
          <w:rFonts w:ascii="Times New Roman" w:eastAsia="Calibri" w:hAnsi="Times New Roman" w:cs="Times New Roman"/>
          <w:sz w:val="26"/>
          <w:szCs w:val="26"/>
        </w:rPr>
        <w:t>Pursuant to section 215(d)(2) of the FPA, we approve proposed Reliability Standard TPL-008-1 as just and reasonable and not unduly discriminatory or preferential and in the public interest.</w:t>
      </w:r>
      <w:r>
        <w:rPr>
          <w:rFonts w:ascii="Times New Roman" w:eastAsia="Calibri" w:hAnsi="Times New Roman" w:cs="Times New Roman"/>
          <w:b/>
          <w:bCs/>
          <w:sz w:val="26"/>
          <w:szCs w:val="26"/>
          <w:vertAlign w:val="superscript"/>
        </w:rPr>
        <w:footnoteReference w:id="4"/>
      </w:r>
      <w:r w:rsidRPr="005B5763">
        <w:rPr>
          <w:rFonts w:ascii="Times New Roman" w:eastAsia="Calibri" w:hAnsi="Times New Roman" w:cs="Times New Roman"/>
          <w:sz w:val="26"/>
          <w:szCs w:val="26"/>
        </w:rPr>
        <w:t xml:space="preserve">  We approve the proposed Reliability Standard’s associated violation risk factors and violation severity levels and the proposed implementation plan.  We also approve NERC’s proposed definition of “extreme temperature assessment” for inclusion in the NERC Glossary.</w:t>
      </w:r>
    </w:p>
    <w:p w:rsidR="005B5763" w14:paraId="47D52C9F" w14:textId="77777777">
      <w:pPr>
        <w:spacing w:after="0" w:line="240" w:lineRule="auto"/>
        <w:rPr>
          <w:rFonts w:ascii="Times New Roman" w:eastAsia="Calibri" w:hAnsi="Times New Roman" w:cs="Times New Roman"/>
          <w:sz w:val="26"/>
          <w:szCs w:val="26"/>
        </w:rPr>
      </w:pPr>
    </w:p>
    <w:p w:rsidR="00D27AE0" w:rsidP="00D27AE0" w14:paraId="269D3565" w14:textId="6D5385F9">
      <w:pPr>
        <w:spacing w:after="0" w:line="240" w:lineRule="auto"/>
        <w:rPr>
          <w:rFonts w:ascii="Times New Roman" w:eastAsia="Calibri" w:hAnsi="Times New Roman" w:cs="Times New Roman"/>
          <w:sz w:val="26"/>
          <w:szCs w:val="26"/>
        </w:rPr>
      </w:pPr>
      <w:r w:rsidRPr="00D27AE0">
        <w:rPr>
          <w:rFonts w:ascii="Times New Roman" w:eastAsia="Calibri" w:hAnsi="Times New Roman" w:cs="Times New Roman"/>
          <w:sz w:val="26"/>
          <w:szCs w:val="26"/>
        </w:rPr>
        <w:t xml:space="preserve">NERC explains that proposed Reliability Standard TPL-008-1 would require planning entities in defined zones to coordinate with each other on the development of extreme temperature assessments at least once every five years.  If an extreme temperature assessment identifies certain instances where system performance requirements would not be met during extreme heat or extreme cold weather events, the proposed Reliability Standard would require applicable planning entities to develop and share corrective action plans that would remedy the identified problem.  If non-consequential load shed is identified as an element of a corrective action plan, the proposed Reliability Standard would require the applicable planning entity to consider and document alternative corrective measures that would avoid load shed.  The proposed Reliability Standard would also require planning entities to share their corrective action plans with, and solicit </w:t>
      </w:r>
      <w:r w:rsidRPr="00D27AE0">
        <w:rPr>
          <w:rFonts w:ascii="Times New Roman" w:eastAsia="Calibri" w:hAnsi="Times New Roman" w:cs="Times New Roman"/>
          <w:sz w:val="26"/>
          <w:szCs w:val="26"/>
        </w:rPr>
        <w:t>feedback from, the applicable regulatory authorities or governing bodies responsible for retail electric service.</w:t>
      </w:r>
      <w:r w:rsidR="000508EF">
        <w:rPr>
          <w:rFonts w:ascii="Times New Roman" w:eastAsia="Calibri" w:hAnsi="Times New Roman" w:cs="Times New Roman"/>
          <w:sz w:val="26"/>
          <w:szCs w:val="26"/>
        </w:rPr>
        <w:t xml:space="preserve"> </w:t>
      </w:r>
    </w:p>
    <w:p w:rsidR="00761436" w:rsidRPr="00D27AE0" w:rsidP="00D27AE0" w14:paraId="3FE678DE" w14:textId="77777777">
      <w:pPr>
        <w:spacing w:after="0" w:line="240" w:lineRule="auto"/>
        <w:rPr>
          <w:rFonts w:ascii="Times New Roman" w:eastAsia="Calibri" w:hAnsi="Times New Roman" w:cs="Times New Roman"/>
          <w:sz w:val="26"/>
          <w:szCs w:val="26"/>
        </w:rPr>
      </w:pPr>
    </w:p>
    <w:p w:rsidR="00D27AE0" w:rsidRPr="00D27AE0" w:rsidP="00D27AE0" w14:paraId="781620FB" w14:textId="6469B250">
      <w:pPr>
        <w:spacing w:after="0" w:line="240" w:lineRule="auto"/>
        <w:rPr>
          <w:rFonts w:ascii="Times New Roman" w:eastAsia="Calibri" w:hAnsi="Times New Roman" w:cs="Times New Roman"/>
          <w:sz w:val="26"/>
          <w:szCs w:val="26"/>
        </w:rPr>
      </w:pPr>
      <w:r w:rsidRPr="00D27AE0">
        <w:rPr>
          <w:rFonts w:ascii="Times New Roman" w:eastAsia="Calibri" w:hAnsi="Times New Roman" w:cs="Times New Roman"/>
          <w:sz w:val="26"/>
          <w:szCs w:val="26"/>
        </w:rPr>
        <w:t>NERC proposes an implementation plan consisting of phased-in compliance dates over a five-year period.  NERC asserts that this implementation plan “balances the urgency in the need to implement the proposed Reliability Standard against the reasonableness of the time allowed for those who must comply to develop the necessary processes and capabilities to perform these new wide-area extreme temperature studies.”</w:t>
      </w:r>
      <w:r w:rsidR="000508EF">
        <w:rPr>
          <w:rFonts w:ascii="Times New Roman" w:eastAsia="Calibri" w:hAnsi="Times New Roman" w:cs="Times New Roman"/>
          <w:sz w:val="26"/>
          <w:szCs w:val="26"/>
        </w:rPr>
        <w:t xml:space="preserve"> </w:t>
      </w:r>
    </w:p>
    <w:p w:rsidR="00D27AE0" w14:paraId="078B9977" w14:textId="498025A5">
      <w:pPr>
        <w:spacing w:after="0" w:line="240" w:lineRule="auto"/>
        <w:rPr>
          <w:rFonts w:ascii="Times New Roman" w:eastAsia="Calibri" w:hAnsi="Times New Roman" w:cs="Times New Roman"/>
          <w:sz w:val="26"/>
          <w:szCs w:val="26"/>
        </w:rPr>
      </w:pPr>
    </w:p>
    <w:p w:rsidR="003E7E96" w14:paraId="5A9806DC" w14:textId="77777777">
      <w:pPr>
        <w:spacing w:after="0" w:line="240" w:lineRule="auto"/>
        <w:rPr>
          <w:rFonts w:ascii="Times New Roman" w:eastAsia="Times New Roman" w:hAnsi="Times New Roman" w:cs="Times New Roman"/>
          <w:sz w:val="26"/>
          <w:szCs w:val="26"/>
        </w:rPr>
      </w:pPr>
    </w:p>
    <w:p w:rsidR="000E1F7F" w:rsidP="00614BF3" w14:paraId="10E40428" w14:textId="10B4CC0E">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HOW, BY WHOM, AND FOR WHAT PURPOSE THE INFORMATION IS TO BE USED AND THE CONSEQUENCES OF NOT COLLECTING THE INFORMATION</w:t>
      </w:r>
    </w:p>
    <w:p w:rsidR="00614BF3" w:rsidRPr="00614BF3" w:rsidP="00614BF3" w14:paraId="1264F369" w14:textId="77777777">
      <w:pPr>
        <w:spacing w:after="0" w:line="240" w:lineRule="auto"/>
        <w:ind w:left="360"/>
        <w:contextualSpacing/>
        <w:rPr>
          <w:rFonts w:ascii="Times New Roman" w:eastAsia="Calibri" w:hAnsi="Times New Roman" w:cs="Times New Roman"/>
          <w:b/>
          <w:sz w:val="26"/>
          <w:szCs w:val="26"/>
        </w:rPr>
      </w:pPr>
    </w:p>
    <w:p w:rsidR="002B5D07" w:rsidRPr="00AC5C2F" w:rsidP="000E1F7F" w14:paraId="42054DC1" w14:textId="670EFC24">
      <w:pPr>
        <w:pStyle w:val="FERCparanumber"/>
        <w:numPr>
          <w:ilvl w:val="0"/>
          <w:numId w:val="0"/>
        </w:numPr>
        <w:spacing w:after="260" w:line="240" w:lineRule="auto"/>
      </w:pPr>
      <w:r w:rsidRPr="00AC5C2F">
        <w:t xml:space="preserve">In Order No. 896, the Commission directed NERC to submit a new or modified Reliability Standard that addresses </w:t>
      </w:r>
      <w:r>
        <w:t xml:space="preserve">the Commission’s identified </w:t>
      </w:r>
      <w:r w:rsidRPr="00AC5C2F">
        <w:t>concerns pertaining to transmission system planning for extreme heat and cold weather events that impact the Reliable Operation of the Bulk-Power System.</w:t>
      </w:r>
      <w:r>
        <w:rPr>
          <w:rStyle w:val="FootnoteReference"/>
          <w:vertAlign w:val="superscript"/>
        </w:rPr>
        <w:footnoteReference w:id="5"/>
      </w:r>
      <w:r w:rsidRPr="000E1F7F">
        <w:rPr>
          <w:vertAlign w:val="superscript"/>
        </w:rPr>
        <w:t xml:space="preserve"> </w:t>
      </w:r>
      <w:r w:rsidRPr="00AC5C2F">
        <w:t xml:space="preserve">Specifically, the Commission directed NERC to develop a new or modified Reliability Standard that requires the following: </w:t>
      </w:r>
      <w:r>
        <w:t xml:space="preserve">  </w:t>
      </w:r>
      <w:r w:rsidRPr="00AC5C2F">
        <w:t xml:space="preserve"> (1) develop</w:t>
      </w:r>
      <w:r>
        <w:t>ment of</w:t>
      </w:r>
      <w:r w:rsidRPr="00AC5C2F">
        <w:t xml:space="preserve"> benchmark planning cases based on major prior extreme heat and cold weather events and/or meteorological projections; (2) planning for extreme heat and cold weather events using steady state and transient stability analyses </w:t>
      </w:r>
      <w:r>
        <w:t xml:space="preserve">expanded to cover a range of </w:t>
      </w:r>
      <w:r w:rsidRPr="00AC5C2F">
        <w:t xml:space="preserve">extreme weather scenarios </w:t>
      </w:r>
      <w:r>
        <w:t>including the expected resource mix’s</w:t>
      </w:r>
      <w:r w:rsidRPr="00AC5C2F">
        <w:t xml:space="preserve"> availability during extreme heat and cold weather </w:t>
      </w:r>
      <w:r>
        <w:t>conditions</w:t>
      </w:r>
      <w:r w:rsidRPr="00AC5C2F">
        <w:t>; and (3) develop</w:t>
      </w:r>
      <w:r>
        <w:t>ment of</w:t>
      </w:r>
      <w:r w:rsidRPr="00AC5C2F">
        <w:t xml:space="preserve"> corrective action plans </w:t>
      </w:r>
      <w:r>
        <w:t xml:space="preserve">that </w:t>
      </w:r>
      <w:r w:rsidRPr="00AC5C2F">
        <w:t xml:space="preserve">mitigate </w:t>
      </w:r>
      <w:r>
        <w:t>certain</w:t>
      </w:r>
      <w:r w:rsidRPr="00AC5C2F">
        <w:t xml:space="preserve"> instances </w:t>
      </w:r>
      <w:r>
        <w:t>where performance requirements</w:t>
      </w:r>
      <w:r w:rsidRPr="00AC5C2F">
        <w:t xml:space="preserve"> </w:t>
      </w:r>
      <w:r>
        <w:t>for</w:t>
      </w:r>
      <w:r w:rsidRPr="00AC5C2F">
        <w:t xml:space="preserve"> extreme heat and cold weather events</w:t>
      </w:r>
      <w:r>
        <w:t xml:space="preserve"> are not met</w:t>
      </w:r>
      <w:r w:rsidRPr="00AC5C2F">
        <w:t>.</w:t>
      </w:r>
      <w:r w:rsidR="000E1F7F">
        <w:t xml:space="preserve"> </w:t>
      </w:r>
    </w:p>
    <w:p w:rsidR="002B5D07" w:rsidP="000E1F7F" w14:paraId="06F5F6BE" w14:textId="7D3EF531">
      <w:pPr>
        <w:pStyle w:val="FERCparanumber"/>
        <w:numPr>
          <w:ilvl w:val="0"/>
          <w:numId w:val="0"/>
        </w:numPr>
        <w:spacing w:after="260" w:line="240" w:lineRule="auto"/>
        <w:ind w:right="-90"/>
      </w:pPr>
      <w:r w:rsidRPr="00AC5C2F">
        <w:t>In its petition, NERC asserts that proposed Reliability Standard TPL-008-1 is responsive to the Commission’s directives in Order No. 896. NERC further states that the proposed Reliability Standard “would advance the reliability of the Bulk-Power System by improving how entities plan for the impacts of extreme temperature events on their systems.” NERC explains that the proposed Reliability Standard, which focuses on improving how planning coordinators and transmission planners plan for extreme heat and extreme cold weather events, establishes a framework for the performance of periodic studies</w:t>
      </w:r>
      <w:r>
        <w:rPr>
          <w:rStyle w:val="FootnoteReference"/>
          <w:vertAlign w:val="superscript"/>
        </w:rPr>
        <w:footnoteReference w:id="6"/>
      </w:r>
      <w:r w:rsidRPr="00AC5C2F">
        <w:t xml:space="preserve"> of the wide-area impacts on the Bulk-Power System of extreme heat and extreme cold weather events. </w:t>
      </w:r>
      <w:r w:rsidR="00761436">
        <w:t xml:space="preserve"> </w:t>
      </w:r>
      <w:r w:rsidRPr="00AC5C2F">
        <w:t xml:space="preserve">These </w:t>
      </w:r>
      <w:r>
        <w:t>extreme temperature assessments</w:t>
      </w:r>
      <w:r w:rsidRPr="00AC5C2F">
        <w:t xml:space="preserve"> would be developed from </w:t>
      </w:r>
      <w:r w:rsidRPr="00AC5C2F">
        <w:t>predefined benchmark temperature events established by NERC</w:t>
      </w:r>
      <w:r>
        <w:t>,</w:t>
      </w:r>
      <w:r w:rsidRPr="00AC5C2F">
        <w:t xml:space="preserve"> based on its analysis of 43 years of historical meteorological data.</w:t>
      </w:r>
      <w:r>
        <w:rPr>
          <w:rStyle w:val="FootnoteReference"/>
          <w:vertAlign w:val="superscript"/>
        </w:rPr>
        <w:footnoteReference w:id="7"/>
      </w:r>
    </w:p>
    <w:p w:rsidR="002B5D07" w:rsidRPr="00AC5C2F" w:rsidP="002B5D07" w14:paraId="6078DE7B" w14:textId="3ADCFDAA">
      <w:pPr>
        <w:pStyle w:val="FERCparanumber"/>
        <w:numPr>
          <w:ilvl w:val="0"/>
          <w:numId w:val="0"/>
        </w:numPr>
        <w:spacing w:after="260" w:line="240" w:lineRule="auto"/>
        <w:ind w:right="-90"/>
      </w:pPr>
      <w:r w:rsidRPr="00AC5C2F">
        <w:t>NERC explains that proposed Reliability Standard TPL-008-1 would require planning entities in defined zones to coordinate with each other on the development</w:t>
      </w:r>
      <w:r>
        <w:t xml:space="preserve"> </w:t>
      </w:r>
      <w:r w:rsidRPr="00AC5C2F">
        <w:t>of extreme temperature assessments</w:t>
      </w:r>
      <w:r>
        <w:t xml:space="preserve"> at least once every five years</w:t>
      </w:r>
      <w:r w:rsidRPr="00AC5C2F">
        <w:t>.  If an extreme temperature assessment identifies certain instances where system performance requirements would not be met during extreme heat or extreme cold weather events, the proposed Reliability Standard would require applicable planning entities to develop and share corrective action plans that would remedy the identified problem.  If non-consequential load shed is identified as an element of a corrective action plan, the proposed Reliability Standard would require the applicable planning entity to consider and document alternative corrective measures that would avoid load shed.  The proposed Reliability Standard would also require planning entities to share their corrective action plans with, and solicit feedback from, the applicable regulatory authorities or governing bodies responsible for retail electric service.</w:t>
      </w:r>
      <w:r w:rsidR="00310CBF">
        <w:t xml:space="preserve"> </w:t>
      </w:r>
    </w:p>
    <w:p w:rsidR="003E7E96" w:rsidRPr="00795961" w:rsidP="00795961" w14:paraId="1F8B8E6B" w14:textId="058E1A88">
      <w:pPr>
        <w:pStyle w:val="FERCparanumber"/>
        <w:numPr>
          <w:ilvl w:val="0"/>
          <w:numId w:val="0"/>
        </w:numPr>
        <w:spacing w:after="260" w:line="240" w:lineRule="auto"/>
        <w:rPr>
          <w:rFonts w:eastAsia="Calibri"/>
          <w:b/>
          <w:szCs w:val="26"/>
        </w:rPr>
      </w:pPr>
      <w:r w:rsidRPr="00AC5C2F">
        <w:t>NERC propose</w:t>
      </w:r>
      <w:r>
        <w:t>d</w:t>
      </w:r>
      <w:r w:rsidRPr="00AC5C2F">
        <w:t xml:space="preserve"> an implementation plan consisting of phased-in compliance</w:t>
      </w:r>
      <w:r>
        <w:t xml:space="preserve"> </w:t>
      </w:r>
      <w:r w:rsidRPr="00AC5C2F">
        <w:t>dates over a five-year period.  NERC asserts that this implementation plan “balances</w:t>
      </w:r>
      <w:r>
        <w:t xml:space="preserve"> </w:t>
      </w:r>
      <w:r w:rsidRPr="00AC5C2F">
        <w:t>the urgency in the need to implement the proposed Reliability Standard against the reasonableness of the time allowed for those who must comply to develop the necessary processes and capabilities to perform these new wide-area extreme temperature studies.”</w:t>
      </w:r>
      <w:r w:rsidR="00310CBF">
        <w:t xml:space="preserve"> </w:t>
      </w:r>
    </w:p>
    <w:p w:rsidR="003E7E96" w14:paraId="66CB3135"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ANY CONSIDERATION OF THE USE OF IMPROVED INFORMATION TECHNOLOGY TO REDUCE THE BURDEN AND TECHNICAL OR LEGAL OBSTACLES TO REDUCING BURDEN</w:t>
      </w:r>
    </w:p>
    <w:p w:rsidR="003E7E96" w14:paraId="1C2B9AF1" w14:textId="77777777">
      <w:pPr>
        <w:spacing w:after="0" w:line="240" w:lineRule="auto"/>
        <w:rPr>
          <w:rFonts w:ascii="Times New Roman" w:eastAsia="Calibri" w:hAnsi="Times New Roman" w:cs="Times New Roman"/>
          <w:sz w:val="26"/>
          <w:szCs w:val="26"/>
        </w:rPr>
      </w:pPr>
    </w:p>
    <w:p w:rsidR="003E7E96" w14:paraId="4FE3DD7A"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use of current or improved technology is not covered in Reliability Standards and is, therefore, left to the discretion of each reporting entity. Commission staff think that nearly all of the respondents are likely to make and keep related records in an electronic format.  </w:t>
      </w:r>
      <w:r>
        <w:rPr>
          <w:rFonts w:ascii="Times New Roman" w:eastAsia="Calibri" w:hAnsi="Times New Roman" w:cs="Times New Roman"/>
          <w:sz w:val="26"/>
          <w:szCs w:val="26"/>
        </w:rPr>
        <w:t xml:space="preserve">Each of the six Regional Entities has a well-established compliance portal for registered entities to electronically submit compliance information and reports.  </w:t>
      </w:r>
      <w:r>
        <w:rPr>
          <w:rFonts w:ascii="Times New Roman" w:eastAsia="Calibri" w:hAnsi="Times New Roman" w:cs="Times New Roman"/>
          <w:sz w:val="26"/>
          <w:szCs w:val="26"/>
        </w:rPr>
        <w:t>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3E7E96" w14:paraId="73B4678F" w14:textId="77777777">
      <w:pPr>
        <w:spacing w:after="0" w:line="240" w:lineRule="auto"/>
        <w:rPr>
          <w:rFonts w:ascii="Times New Roman" w:eastAsia="Calibri" w:hAnsi="Times New Roman" w:cs="Times New Roman"/>
          <w:sz w:val="26"/>
          <w:szCs w:val="26"/>
        </w:rPr>
      </w:pPr>
    </w:p>
    <w:p w:rsidR="003E7E96" w14:paraId="6AF5DBC6"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submittals are not made to FERC.</w:t>
      </w:r>
    </w:p>
    <w:p w:rsidR="003E7E96" w14:paraId="74FD1A76" w14:textId="77777777">
      <w:pPr>
        <w:spacing w:after="0" w:line="240" w:lineRule="auto"/>
        <w:rPr>
          <w:rFonts w:ascii="Times New Roman" w:eastAsia="Calibri" w:hAnsi="Times New Roman" w:cs="Times New Roman"/>
          <w:sz w:val="26"/>
          <w:szCs w:val="26"/>
        </w:rPr>
      </w:pPr>
    </w:p>
    <w:p w:rsidR="003E7E96" w14:paraId="2CED117C"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3E7E96" w14:paraId="1DC49C30" w14:textId="77777777">
      <w:pPr>
        <w:spacing w:after="0" w:line="240" w:lineRule="auto"/>
        <w:rPr>
          <w:rFonts w:ascii="Times New Roman" w:eastAsia="Calibri" w:hAnsi="Times New Roman" w:cs="Times New Roman"/>
          <w:sz w:val="26"/>
          <w:szCs w:val="26"/>
        </w:rPr>
      </w:pPr>
    </w:p>
    <w:p w:rsidR="003E7E96" w14:paraId="1AA8A49F"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information collection requirements are unique to the proposed Reliability Standard and to the FERC-725N information collection.  The Commission does not know of any duplication in the requirements. </w:t>
      </w:r>
    </w:p>
    <w:p w:rsidR="003E7E96" w14:paraId="52C030AB" w14:textId="77777777">
      <w:pPr>
        <w:spacing w:after="0" w:line="240" w:lineRule="auto"/>
        <w:rPr>
          <w:rFonts w:ascii="Times New Roman" w:eastAsia="Calibri" w:hAnsi="Times New Roman" w:cs="Times New Roman"/>
          <w:sz w:val="26"/>
          <w:szCs w:val="26"/>
        </w:rPr>
      </w:pPr>
    </w:p>
    <w:p w:rsidR="003E7E96" w14:paraId="3217DFD9"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METHODS USED TO MINIMIZE THE BURDEN IN COLLECTION OF INFORMATION INVOLVING SMALL ENTITIES</w:t>
      </w:r>
    </w:p>
    <w:p w:rsidR="003E7E96" w14:paraId="58F3457F" w14:textId="77777777">
      <w:pPr>
        <w:spacing w:after="0" w:line="240" w:lineRule="auto"/>
        <w:rPr>
          <w:rFonts w:ascii="Times New Roman" w:eastAsia="Calibri" w:hAnsi="Times New Roman" w:cs="Times New Roman"/>
          <w:sz w:val="26"/>
          <w:szCs w:val="26"/>
        </w:rPr>
      </w:pPr>
    </w:p>
    <w:p w:rsidR="003E7E96" w14:paraId="07BE05C9"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Small entities generally can reduce their burden by taking part in a joint registration organization or a coordinated functional registration.  These options allow an entity the ability to share its compliance burden with other similar entities.</w:t>
      </w:r>
    </w:p>
    <w:p w:rsidR="003E7E96" w14:paraId="1FF0B209" w14:textId="77777777">
      <w:pPr>
        <w:spacing w:after="0" w:line="240" w:lineRule="auto"/>
        <w:rPr>
          <w:rFonts w:ascii="Times New Roman" w:eastAsia="Calibri" w:hAnsi="Times New Roman" w:cs="Times New Roman"/>
          <w:sz w:val="26"/>
          <w:szCs w:val="26"/>
        </w:rPr>
      </w:pPr>
    </w:p>
    <w:p w:rsidR="003E7E96" w14:paraId="6FEAB7B7"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Detailed information regarding these options is available in NERC’s Rules of Procedure at sections 507 and 508.</w:t>
      </w:r>
      <w:r>
        <w:rPr>
          <w:rFonts w:ascii="Times New Roman" w:eastAsia="Calibri" w:hAnsi="Times New Roman" w:cs="Times New Roman"/>
          <w:sz w:val="26"/>
          <w:szCs w:val="26"/>
          <w:vertAlign w:val="superscript"/>
        </w:rPr>
        <w:footnoteReference w:id="8"/>
      </w:r>
    </w:p>
    <w:p w:rsidR="003E7E96" w14:paraId="1A96ED61" w14:textId="77777777">
      <w:pPr>
        <w:spacing w:after="0" w:line="240" w:lineRule="auto"/>
        <w:rPr>
          <w:rFonts w:ascii="Times New Roman" w:eastAsia="Calibri" w:hAnsi="Times New Roman" w:cs="Times New Roman"/>
          <w:sz w:val="26"/>
          <w:szCs w:val="26"/>
        </w:rPr>
      </w:pPr>
    </w:p>
    <w:p w:rsidR="003E7E96" w14:paraId="2B1D6C7E"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CONSEQUENCE TO FEDERAL PROGRAM IF COLLECTION WERE CONDUCTED LESS FREQUENTLY</w:t>
      </w:r>
    </w:p>
    <w:p w:rsidR="003E7E96" w14:paraId="22D7F7D7" w14:textId="77777777">
      <w:pPr>
        <w:spacing w:after="0" w:line="240" w:lineRule="auto"/>
        <w:rPr>
          <w:rFonts w:ascii="Times New Roman" w:eastAsia="Calibri" w:hAnsi="Times New Roman" w:cs="Times New Roman"/>
          <w:sz w:val="26"/>
          <w:szCs w:val="26"/>
        </w:rPr>
      </w:pPr>
    </w:p>
    <w:p w:rsidR="003E7E96" w14:paraId="524BB351"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If this standard and the associated information collection requirements did not exist or were performed less frequently, the reduction or elimination of transmission system planning would likely lead to lower system reliability and higher vulnerability and risk, such as transmission system outages and loss of load.</w:t>
      </w:r>
      <w:r w:rsidR="00783B00">
        <w:rPr>
          <w:rFonts w:ascii="Times New Roman" w:eastAsia="Calibri" w:hAnsi="Times New Roman" w:cs="Times New Roman"/>
          <w:sz w:val="26"/>
          <w:szCs w:val="26"/>
        </w:rPr>
        <w:t xml:space="preserve">  </w:t>
      </w:r>
      <w:r w:rsidRPr="00C76A7B" w:rsidR="00783B00">
        <w:rPr>
          <w:rFonts w:ascii="Times New Roman" w:hAnsi="Times New Roman" w:cs="Times New Roman"/>
          <w:sz w:val="26"/>
          <w:szCs w:val="26"/>
        </w:rPr>
        <w:t xml:space="preserve">During a </w:t>
      </w:r>
      <w:r w:rsidR="00783B00">
        <w:rPr>
          <w:rFonts w:ascii="Times New Roman" w:hAnsi="Times New Roman" w:cs="Times New Roman"/>
          <w:sz w:val="26"/>
          <w:szCs w:val="26"/>
        </w:rPr>
        <w:t>GMD</w:t>
      </w:r>
      <w:r w:rsidRPr="00C76A7B" w:rsidR="00783B00">
        <w:rPr>
          <w:rFonts w:ascii="Times New Roman" w:hAnsi="Times New Roman" w:cs="Times New Roman"/>
          <w:sz w:val="26"/>
          <w:szCs w:val="26"/>
        </w:rPr>
        <w:t xml:space="preserve"> event, GIC </w:t>
      </w:r>
      <w:r w:rsidR="00783B00">
        <w:rPr>
          <w:rFonts w:ascii="Times New Roman" w:hAnsi="Times New Roman" w:cs="Times New Roman"/>
          <w:sz w:val="26"/>
          <w:szCs w:val="26"/>
        </w:rPr>
        <w:t xml:space="preserve">on the BPS </w:t>
      </w:r>
      <w:r w:rsidRPr="00C76A7B" w:rsidR="00783B00">
        <w:rPr>
          <w:rFonts w:ascii="Times New Roman" w:hAnsi="Times New Roman" w:cs="Times New Roman"/>
          <w:sz w:val="26"/>
          <w:szCs w:val="26"/>
        </w:rPr>
        <w:t>may cause</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transformer hot-spot heating or damage, loss of Reactive Power sources, increased</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Reactive Power demand, and Misoperation(s), the combination of which may result in</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voltage collapse and blackout.</w:t>
      </w:r>
      <w:r w:rsidR="00783B00">
        <w:rPr>
          <w:rFonts w:ascii="Times New Roman" w:hAnsi="Times New Roman" w:cs="Times New Roman"/>
          <w:sz w:val="26"/>
          <w:szCs w:val="26"/>
        </w:rPr>
        <w:t xml:space="preserve">  Conducting the vulnerability assessment and corrective action planning once every 5 years allows for system planners to reassess how changes in the system topology effect their system’s GMD vulnerabilities.</w:t>
      </w:r>
    </w:p>
    <w:p w:rsidR="003E7E96" w14:paraId="3D2B1DD1" w14:textId="77777777">
      <w:pPr>
        <w:spacing w:after="0" w:line="240" w:lineRule="auto"/>
        <w:rPr>
          <w:rFonts w:ascii="Times New Roman" w:eastAsia="Calibri" w:hAnsi="Times New Roman" w:cs="Times New Roman"/>
          <w:sz w:val="26"/>
          <w:szCs w:val="26"/>
        </w:rPr>
      </w:pPr>
    </w:p>
    <w:p w:rsidR="003E7E96" w14:paraId="3A23AA47"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EXPLAIN ANY SPECIAL CIRCUMSTANCES RELATING TO THE INFORMATION COLLECTION</w:t>
      </w:r>
    </w:p>
    <w:p w:rsidR="003E7E96" w14:paraId="054826FC" w14:textId="77777777">
      <w:pPr>
        <w:spacing w:after="0" w:line="240" w:lineRule="auto"/>
        <w:rPr>
          <w:rFonts w:ascii="Times New Roman" w:eastAsia="Calibri" w:hAnsi="Times New Roman" w:cs="Times New Roman"/>
          <w:sz w:val="26"/>
          <w:szCs w:val="26"/>
        </w:rPr>
      </w:pPr>
    </w:p>
    <w:p w:rsidR="003E7E96" w14:paraId="3C0C4612" w14:textId="4AFC37BA">
      <w:pPr>
        <w:spacing w:after="0" w:line="240" w:lineRule="auto"/>
        <w:rPr>
          <w:rFonts w:ascii="Times New Roman" w:eastAsia="Calibri" w:hAnsi="Times New Roman" w:cs="Times New Roman"/>
          <w:color w:val="000000"/>
          <w:sz w:val="26"/>
          <w:szCs w:val="26"/>
        </w:rPr>
      </w:pPr>
      <w:r>
        <w:rPr>
          <w:rFonts w:ascii="Times New Roman" w:eastAsia="Calibri" w:hAnsi="Times New Roman" w:cs="Times New Roman"/>
          <w:sz w:val="26"/>
          <w:szCs w:val="26"/>
        </w:rPr>
        <w:t>There are no special circumstances related to the Reliability Standard TPL-</w:t>
      </w:r>
      <w:r w:rsidR="00684757">
        <w:rPr>
          <w:rFonts w:ascii="Times New Roman" w:eastAsia="Calibri" w:hAnsi="Times New Roman" w:cs="Times New Roman"/>
          <w:sz w:val="26"/>
          <w:szCs w:val="26"/>
        </w:rPr>
        <w:t>008-1</w:t>
      </w:r>
      <w:r>
        <w:rPr>
          <w:rFonts w:ascii="Times New Roman" w:eastAsia="Calibri" w:hAnsi="Times New Roman" w:cs="Times New Roman"/>
          <w:sz w:val="26"/>
          <w:szCs w:val="26"/>
        </w:rPr>
        <w:t>.</w:t>
      </w:r>
    </w:p>
    <w:p w:rsidR="003E7E96" w14:paraId="3DE9070B" w14:textId="77777777">
      <w:pPr>
        <w:autoSpaceDE w:val="0"/>
        <w:autoSpaceDN w:val="0"/>
        <w:adjustRightInd w:val="0"/>
        <w:spacing w:after="0" w:line="240" w:lineRule="auto"/>
        <w:rPr>
          <w:rFonts w:ascii="Times New Roman" w:eastAsia="Calibri" w:hAnsi="Times New Roman" w:cs="Times New Roman"/>
          <w:color w:val="000000"/>
          <w:sz w:val="26"/>
          <w:szCs w:val="26"/>
        </w:rPr>
      </w:pPr>
    </w:p>
    <w:p w:rsidR="003E7E96" w14:paraId="2FBFF70E"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EFFORTS TO CONSULT OUTSIDE THE AGENCY: SUMMARIZE PUBLIC COMMENTS AND THE AGENCY’S RESPONSE</w:t>
      </w:r>
    </w:p>
    <w:p w:rsidR="003E7E96" w14:paraId="7275A78E" w14:textId="74C7982C">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In accordance with OMB requirements, the Commission published a 60-day notice</w:t>
      </w:r>
      <w:r>
        <w:rPr>
          <w:rStyle w:val="FootnoteReference"/>
          <w:rFonts w:ascii="Times New Roman" w:eastAsia="Calibri" w:hAnsi="Times New Roman" w:cs="Times New Roman"/>
          <w:bCs/>
          <w:sz w:val="26"/>
          <w:szCs w:val="26"/>
          <w:vertAlign w:val="superscript"/>
        </w:rPr>
        <w:footnoteReference w:id="9"/>
      </w:r>
      <w:r>
        <w:rPr>
          <w:rFonts w:ascii="Times New Roman" w:eastAsia="Calibri" w:hAnsi="Times New Roman" w:cs="Times New Roman"/>
          <w:bCs/>
          <w:sz w:val="26"/>
          <w:szCs w:val="26"/>
          <w:vertAlign w:val="superscript"/>
        </w:rPr>
        <w:t xml:space="preserve"> </w:t>
      </w:r>
      <w:r>
        <w:rPr>
          <w:rFonts w:ascii="Times New Roman" w:eastAsia="Calibri" w:hAnsi="Times New Roman" w:cs="Times New Roman"/>
          <w:bCs/>
          <w:sz w:val="26"/>
          <w:szCs w:val="26"/>
        </w:rPr>
        <w:t xml:space="preserve"> and a 30-day notice</w:t>
      </w:r>
      <w:r>
        <w:rPr>
          <w:rStyle w:val="FootnoteReference"/>
          <w:rFonts w:ascii="Times New Roman" w:eastAsia="Calibri" w:hAnsi="Times New Roman" w:cs="Times New Roman"/>
          <w:bCs/>
          <w:sz w:val="26"/>
          <w:szCs w:val="26"/>
          <w:vertAlign w:val="superscript"/>
        </w:rPr>
        <w:footnoteReference w:id="10"/>
      </w:r>
      <w:r>
        <w:rPr>
          <w:rFonts w:ascii="Times New Roman" w:eastAsia="Calibri" w:hAnsi="Times New Roman" w:cs="Times New Roman"/>
          <w:bCs/>
          <w:sz w:val="26"/>
          <w:szCs w:val="26"/>
          <w:vertAlign w:val="superscript"/>
        </w:rPr>
        <w:t xml:space="preserve"> </w:t>
      </w:r>
      <w:r>
        <w:rPr>
          <w:rFonts w:ascii="Times New Roman" w:eastAsia="Calibri" w:hAnsi="Times New Roman" w:cs="Times New Roman"/>
          <w:bCs/>
          <w:sz w:val="26"/>
          <w:szCs w:val="26"/>
        </w:rPr>
        <w:t xml:space="preserve"> to the public regarding this information collection on </w:t>
      </w:r>
      <w:r w:rsidR="002F42D3">
        <w:rPr>
          <w:rFonts w:ascii="Times New Roman" w:eastAsia="Calibri" w:hAnsi="Times New Roman" w:cs="Times New Roman"/>
          <w:bCs/>
          <w:sz w:val="26"/>
          <w:szCs w:val="26"/>
        </w:rPr>
        <w:t>12</w:t>
      </w:r>
      <w:r>
        <w:rPr>
          <w:rFonts w:ascii="Times New Roman" w:eastAsia="Calibri" w:hAnsi="Times New Roman" w:cs="Times New Roman"/>
          <w:bCs/>
          <w:sz w:val="26"/>
          <w:szCs w:val="26"/>
        </w:rPr>
        <w:t>/</w:t>
      </w:r>
      <w:r w:rsidR="002F42D3">
        <w:rPr>
          <w:rFonts w:ascii="Times New Roman" w:eastAsia="Calibri" w:hAnsi="Times New Roman" w:cs="Times New Roman"/>
          <w:bCs/>
          <w:sz w:val="26"/>
          <w:szCs w:val="26"/>
        </w:rPr>
        <w:t>31</w:t>
      </w:r>
      <w:r>
        <w:rPr>
          <w:rFonts w:ascii="Times New Roman" w:eastAsia="Calibri" w:hAnsi="Times New Roman" w:cs="Times New Roman"/>
          <w:bCs/>
          <w:sz w:val="26"/>
          <w:szCs w:val="26"/>
        </w:rPr>
        <w:t>/202</w:t>
      </w:r>
      <w:r w:rsidR="00D852E0">
        <w:rPr>
          <w:rFonts w:ascii="Times New Roman" w:eastAsia="Calibri" w:hAnsi="Times New Roman" w:cs="Times New Roman"/>
          <w:bCs/>
          <w:sz w:val="26"/>
          <w:szCs w:val="26"/>
        </w:rPr>
        <w:t>5</w:t>
      </w:r>
      <w:r>
        <w:rPr>
          <w:rFonts w:ascii="Times New Roman" w:eastAsia="Calibri" w:hAnsi="Times New Roman" w:cs="Times New Roman"/>
          <w:bCs/>
          <w:sz w:val="26"/>
          <w:szCs w:val="26"/>
        </w:rPr>
        <w:t xml:space="preserve"> and </w:t>
      </w:r>
      <w:r w:rsidR="002F42D3">
        <w:rPr>
          <w:rFonts w:ascii="Times New Roman" w:eastAsia="Calibri" w:hAnsi="Times New Roman" w:cs="Times New Roman"/>
          <w:bCs/>
          <w:sz w:val="26"/>
          <w:szCs w:val="26"/>
        </w:rPr>
        <w:t>3</w:t>
      </w:r>
      <w:r>
        <w:rPr>
          <w:rFonts w:ascii="Times New Roman" w:eastAsia="Calibri" w:hAnsi="Times New Roman" w:cs="Times New Roman"/>
          <w:bCs/>
          <w:sz w:val="26"/>
          <w:szCs w:val="26"/>
        </w:rPr>
        <w:t>/</w:t>
      </w:r>
      <w:r w:rsidR="002F42D3">
        <w:rPr>
          <w:rFonts w:ascii="Times New Roman" w:eastAsia="Calibri" w:hAnsi="Times New Roman" w:cs="Times New Roman"/>
          <w:bCs/>
          <w:sz w:val="26"/>
          <w:szCs w:val="26"/>
        </w:rPr>
        <w:t>17</w:t>
      </w:r>
      <w:r>
        <w:rPr>
          <w:rFonts w:ascii="Times New Roman" w:eastAsia="Calibri" w:hAnsi="Times New Roman" w:cs="Times New Roman"/>
          <w:bCs/>
          <w:sz w:val="26"/>
          <w:szCs w:val="26"/>
        </w:rPr>
        <w:t>/2</w:t>
      </w:r>
      <w:r w:rsidR="000355FB">
        <w:rPr>
          <w:rFonts w:ascii="Times New Roman" w:eastAsia="Calibri" w:hAnsi="Times New Roman" w:cs="Times New Roman"/>
          <w:bCs/>
          <w:sz w:val="26"/>
          <w:szCs w:val="26"/>
        </w:rPr>
        <w:t>02</w:t>
      </w:r>
      <w:r w:rsidR="002F42D3">
        <w:rPr>
          <w:rFonts w:ascii="Times New Roman" w:eastAsia="Calibri" w:hAnsi="Times New Roman" w:cs="Times New Roman"/>
          <w:bCs/>
          <w:sz w:val="26"/>
          <w:szCs w:val="26"/>
        </w:rPr>
        <w:t>6</w:t>
      </w:r>
      <w:r>
        <w:rPr>
          <w:rFonts w:ascii="Times New Roman" w:eastAsia="Calibri" w:hAnsi="Times New Roman" w:cs="Times New Roman"/>
          <w:bCs/>
          <w:sz w:val="26"/>
          <w:szCs w:val="26"/>
        </w:rPr>
        <w:t xml:space="preserve"> respectively. The Commission received no comments from the public regarding this information collection.</w:t>
      </w:r>
    </w:p>
    <w:p w:rsidR="003E7E96" w14:paraId="26A9D9C4" w14:textId="77777777">
      <w:pPr>
        <w:spacing w:after="0" w:line="240" w:lineRule="auto"/>
        <w:rPr>
          <w:rFonts w:ascii="Times New Roman" w:eastAsia="Calibri" w:hAnsi="Times New Roman" w:cs="Times New Roman"/>
          <w:bCs/>
          <w:sz w:val="26"/>
          <w:szCs w:val="26"/>
        </w:rPr>
      </w:pPr>
    </w:p>
    <w:p w:rsidR="003E7E96" w14:paraId="5D13EC53" w14:textId="77777777">
      <w:pPr>
        <w:spacing w:after="0" w:line="240" w:lineRule="auto"/>
        <w:rPr>
          <w:rFonts w:ascii="Times New Roman" w:eastAsia="Calibri" w:hAnsi="Times New Roman" w:cs="Times New Roman"/>
          <w:sz w:val="26"/>
          <w:szCs w:val="26"/>
        </w:rPr>
      </w:pPr>
    </w:p>
    <w:p w:rsidR="003E7E96" w14:paraId="605E07DD"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EXPLAIN ANY PAYMENT OR GIFTS TO RESPONDENTS</w:t>
      </w:r>
    </w:p>
    <w:p w:rsidR="003E7E96" w14:paraId="12608FB7" w14:textId="77777777">
      <w:pPr>
        <w:spacing w:after="0" w:line="240" w:lineRule="auto"/>
        <w:rPr>
          <w:rFonts w:ascii="Times New Roman" w:eastAsia="Calibri" w:hAnsi="Times New Roman" w:cs="Times New Roman"/>
          <w:sz w:val="26"/>
          <w:szCs w:val="26"/>
        </w:rPr>
      </w:pPr>
    </w:p>
    <w:p w:rsidR="003E7E96" w14:paraId="1D761E93"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Commission does not make payments or provide gifts for respondents related to this collection.</w:t>
      </w:r>
    </w:p>
    <w:p w:rsidR="003E7E96" w14:paraId="577F9EA1" w14:textId="77777777">
      <w:pPr>
        <w:spacing w:after="0" w:line="240" w:lineRule="auto"/>
        <w:rPr>
          <w:rFonts w:ascii="Times New Roman" w:eastAsia="Calibri" w:hAnsi="Times New Roman" w:cs="Times New Roman"/>
          <w:sz w:val="26"/>
          <w:szCs w:val="26"/>
        </w:rPr>
      </w:pPr>
    </w:p>
    <w:p w:rsidR="003E7E96" w14:paraId="55F56D4A"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ANY ASSURANCE OF CONFIDENTIALITY PROVIDED TO RESPONDENTS</w:t>
      </w:r>
    </w:p>
    <w:p w:rsidR="003E7E96" w14:paraId="436E91D0" w14:textId="77777777">
      <w:pPr>
        <w:spacing w:after="0" w:line="240" w:lineRule="auto"/>
        <w:rPr>
          <w:rFonts w:ascii="Times New Roman" w:eastAsia="Calibri" w:hAnsi="Times New Roman" w:cs="Times New Roman"/>
          <w:sz w:val="26"/>
          <w:szCs w:val="26"/>
        </w:rPr>
      </w:pPr>
    </w:p>
    <w:p w:rsidR="003E7E96" w14:paraId="03DCC1EA"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According to the NERC Rule of Procedure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3E7E96" w14:paraId="4707F052" w14:textId="77777777">
      <w:pPr>
        <w:spacing w:after="0" w:line="240" w:lineRule="auto"/>
        <w:rPr>
          <w:rFonts w:ascii="Times New Roman" w:eastAsia="Calibri" w:hAnsi="Times New Roman" w:cs="Times New Roman"/>
          <w:sz w:val="26"/>
          <w:szCs w:val="26"/>
        </w:rPr>
      </w:pPr>
    </w:p>
    <w:p w:rsidR="003E7E96" w14:paraId="169B4A1D"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Responding entities do not submit the information covered by the approved Reliability Standard to FERC.  Rather, they maintain it internally or provide it to NERC or the Regional Entities.  Since there are no submittals made to the Commission, FERC provides no specific provisions in order to protect confidentiality unless and until any such information is submitted to FERC as part of an enforcement action or other compliance review. </w:t>
      </w:r>
    </w:p>
    <w:p w:rsidR="003E7E96" w14:paraId="5E770995" w14:textId="77777777">
      <w:pPr>
        <w:spacing w:after="0" w:line="240" w:lineRule="auto"/>
        <w:rPr>
          <w:rFonts w:ascii="Times New Roman" w:eastAsia="Calibri" w:hAnsi="Times New Roman" w:cs="Times New Roman"/>
          <w:sz w:val="26"/>
          <w:szCs w:val="26"/>
        </w:rPr>
      </w:pPr>
    </w:p>
    <w:p w:rsidR="003E7E96" w14:paraId="17B78B2C"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PROVIDE ADDITIONAL JUSTIFICATION FOR ANY QUESTIONS OF A SENSITIVE NATURE, SUCH AS SEXUAL BEHAVIOR AND ATTITUDES, RELIGIOUS BELIEFS, AND OTHER MATTERS THAT ARE COMMONLY CONSIDERED PRIVATE</w:t>
      </w:r>
    </w:p>
    <w:p w:rsidR="003E7E96" w14:paraId="7762DBFE" w14:textId="77777777">
      <w:pPr>
        <w:spacing w:after="0" w:line="240" w:lineRule="auto"/>
        <w:rPr>
          <w:rFonts w:ascii="Times New Roman" w:eastAsia="Calibri" w:hAnsi="Times New Roman" w:cs="Times New Roman"/>
          <w:sz w:val="26"/>
          <w:szCs w:val="26"/>
        </w:rPr>
      </w:pPr>
    </w:p>
    <w:p w:rsidR="003E7E96" w14:paraId="269E8447"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This collection does not include any questions of a sensitive nature.</w:t>
      </w:r>
    </w:p>
    <w:p w:rsidR="003E7E96" w14:paraId="2A456BF0" w14:textId="77777777">
      <w:pPr>
        <w:spacing w:after="0" w:line="240" w:lineRule="auto"/>
        <w:rPr>
          <w:rFonts w:ascii="Times New Roman" w:eastAsia="Calibri" w:hAnsi="Times New Roman" w:cs="Times New Roman"/>
          <w:sz w:val="26"/>
          <w:szCs w:val="26"/>
        </w:rPr>
      </w:pPr>
    </w:p>
    <w:p w:rsidR="009042FB" w:rsidP="009042FB" w14:paraId="14C85CEB" w14:textId="067A0D9D">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ESTIMATED BURDEN OF COLLECTION OF INFORMATION</w:t>
      </w:r>
    </w:p>
    <w:p w:rsidR="009042FB" w:rsidRPr="009042FB" w:rsidP="00374E2F" w14:paraId="1509F591" w14:textId="77777777">
      <w:pPr>
        <w:spacing w:after="0" w:line="240" w:lineRule="auto"/>
        <w:contextualSpacing/>
        <w:rPr>
          <w:rFonts w:ascii="Times New Roman" w:eastAsia="Calibri" w:hAnsi="Times New Roman" w:cs="Times New Roman"/>
          <w:b/>
          <w:sz w:val="26"/>
          <w:szCs w:val="26"/>
        </w:rPr>
      </w:pPr>
    </w:p>
    <w:p w:rsidR="00FB7238" w:rsidRPr="00AC5C2F" w:rsidP="009042FB" w14:paraId="09FCF8EC" w14:textId="242C9569">
      <w:pPr>
        <w:pStyle w:val="FERCparanumber"/>
        <w:numPr>
          <w:ilvl w:val="0"/>
          <w:numId w:val="0"/>
        </w:numPr>
        <w:spacing w:after="260" w:line="240" w:lineRule="auto"/>
      </w:pPr>
      <w:r w:rsidRPr="00AC5C2F">
        <w:t xml:space="preserve">The Commission bases its paperwork burden estimates on the additional paperwork burden presented by the proposed new Reliability Standard TPL-008-1. The new defined term “extreme temperature assessment” is not expected to generate any new burden as it is a definition used within the body of Reliability Standards.  Reliability Standards are </w:t>
      </w:r>
      <w:r w:rsidRPr="00AC5C2F">
        <w:t>objective-based and allow entities to choose compliance approaches best tailored to their systems.  Additionally, proposed Reliability Standard TPL-008-1, Requirement R1 identifies each responsible entity that shall complete its responsibilities such that the extreme temperature assessment is completed at least once every five calendar years.  The NERC Compliance Registry, as of November 20, 2024, identifies unique U.S. entities that are subject to mandatory compliance with proposed Reliability Standard TPL-008-1, as 62 planning coordinators (PC) and 204 transmission planners (TP).  Based on these assumptions, we estimate the following reporting burden:</w:t>
      </w:r>
      <w:r>
        <w:t xml:space="preserve">  </w:t>
      </w:r>
    </w:p>
    <w:tbl>
      <w:tblPr>
        <w:tblStyle w:val="TableGrid"/>
        <w:tblW w:w="9625" w:type="dxa"/>
        <w:tblLayout w:type="fixed"/>
        <w:tblLook w:val="04A0"/>
      </w:tblPr>
      <w:tblGrid>
        <w:gridCol w:w="1525"/>
        <w:gridCol w:w="1530"/>
        <w:gridCol w:w="1620"/>
        <w:gridCol w:w="1440"/>
        <w:gridCol w:w="1890"/>
        <w:gridCol w:w="1620"/>
      </w:tblGrid>
      <w:tr w14:paraId="3FE4B882" w14:textId="77777777" w:rsidTr="002E15F1">
        <w:tblPrEx>
          <w:tblW w:w="9625" w:type="dxa"/>
          <w:tblLayout w:type="fixed"/>
          <w:tblLook w:val="04A0"/>
        </w:tblPrEx>
        <w:tc>
          <w:tcPr>
            <w:tcW w:w="9625" w:type="dxa"/>
            <w:gridSpan w:val="6"/>
            <w:shd w:val="clear" w:color="auto" w:fill="D0CECE" w:themeFill="background2" w:themeFillShade="E6"/>
          </w:tcPr>
          <w:p w:rsidR="00FB7238" w:rsidRPr="00CB3DAD" w:rsidP="002E15F1" w14:paraId="48E6234A" w14:textId="77777777">
            <w:pPr>
              <w:jc w:val="center"/>
              <w:rPr>
                <w:sz w:val="26"/>
                <w:szCs w:val="26"/>
              </w:rPr>
            </w:pPr>
            <w:r w:rsidRPr="00CB3DAD">
              <w:rPr>
                <w:b/>
                <w:bCs/>
                <w:sz w:val="26"/>
                <w:szCs w:val="26"/>
              </w:rPr>
              <w:t>Proposed Burden TPL-008-1 Docket No. RD25-4</w:t>
            </w:r>
          </w:p>
        </w:tc>
      </w:tr>
      <w:tr w14:paraId="355FFC80" w14:textId="77777777" w:rsidTr="002E15F1">
        <w:tblPrEx>
          <w:tblW w:w="9625" w:type="dxa"/>
          <w:tblLayout w:type="fixed"/>
          <w:tblLook w:val="04A0"/>
        </w:tblPrEx>
        <w:trPr>
          <w:trHeight w:val="1241"/>
        </w:trPr>
        <w:tc>
          <w:tcPr>
            <w:tcW w:w="1525" w:type="dxa"/>
          </w:tcPr>
          <w:p w:rsidR="00FB7238" w:rsidRPr="00CB3DAD" w:rsidP="002E15F1" w14:paraId="448718E9" w14:textId="77777777">
            <w:pPr>
              <w:rPr>
                <w:sz w:val="26"/>
                <w:szCs w:val="26"/>
              </w:rPr>
            </w:pPr>
            <w:r w:rsidRPr="00CB3DAD">
              <w:rPr>
                <w:b/>
                <w:bCs/>
                <w:sz w:val="26"/>
                <w:szCs w:val="26"/>
              </w:rPr>
              <w:t>Reliability Standard</w:t>
            </w:r>
          </w:p>
        </w:tc>
        <w:tc>
          <w:tcPr>
            <w:tcW w:w="1530" w:type="dxa"/>
          </w:tcPr>
          <w:p w:rsidR="00FB7238" w:rsidRPr="00CB3DAD" w:rsidP="002E15F1" w14:paraId="0DD379A4" w14:textId="77777777">
            <w:pPr>
              <w:rPr>
                <w:sz w:val="26"/>
                <w:szCs w:val="26"/>
              </w:rPr>
            </w:pPr>
            <w:r w:rsidRPr="00CB3DAD">
              <w:rPr>
                <w:b/>
                <w:bCs/>
                <w:sz w:val="26"/>
                <w:szCs w:val="26"/>
              </w:rPr>
              <w:t>Type and Number of Entity</w:t>
            </w:r>
            <w:r>
              <w:rPr>
                <w:b/>
                <w:sz w:val="26"/>
                <w:szCs w:val="26"/>
                <w:vertAlign w:val="superscript"/>
              </w:rPr>
              <w:footnoteReference w:id="11"/>
            </w:r>
            <w:r w:rsidRPr="00CB3DAD">
              <w:rPr>
                <w:sz w:val="26"/>
                <w:szCs w:val="26"/>
              </w:rPr>
              <w:t> </w:t>
            </w:r>
            <w:r w:rsidRPr="00CB3DAD">
              <w:rPr>
                <w:b/>
                <w:sz w:val="26"/>
                <w:szCs w:val="26"/>
              </w:rPr>
              <w:t>(1)</w:t>
            </w:r>
            <w:r w:rsidRPr="00CB3DAD">
              <w:rPr>
                <w:sz w:val="26"/>
                <w:szCs w:val="26"/>
              </w:rPr>
              <w:t> </w:t>
            </w:r>
          </w:p>
        </w:tc>
        <w:tc>
          <w:tcPr>
            <w:tcW w:w="1620" w:type="dxa"/>
          </w:tcPr>
          <w:p w:rsidR="00FB7238" w:rsidRPr="00CB3DAD" w:rsidP="002E15F1" w14:paraId="04EE37A3" w14:textId="77777777">
            <w:pPr>
              <w:rPr>
                <w:sz w:val="26"/>
                <w:szCs w:val="26"/>
              </w:rPr>
            </w:pPr>
            <w:r w:rsidRPr="00CB3DAD">
              <w:rPr>
                <w:b/>
                <w:sz w:val="26"/>
                <w:szCs w:val="26"/>
              </w:rPr>
              <w:t>Number of Annual Responses Per Entity</w:t>
            </w:r>
            <w:r w:rsidRPr="00CB3DAD">
              <w:rPr>
                <w:sz w:val="26"/>
                <w:szCs w:val="26"/>
              </w:rPr>
              <w:t> </w:t>
            </w:r>
            <w:r w:rsidRPr="00CB3DAD">
              <w:rPr>
                <w:b/>
                <w:sz w:val="26"/>
                <w:szCs w:val="26"/>
              </w:rPr>
              <w:t>(2)</w:t>
            </w:r>
          </w:p>
        </w:tc>
        <w:tc>
          <w:tcPr>
            <w:tcW w:w="1440" w:type="dxa"/>
          </w:tcPr>
          <w:p w:rsidR="00FB7238" w:rsidRPr="00CB3DAD" w:rsidP="002E15F1" w14:paraId="41D91E63" w14:textId="77777777">
            <w:pPr>
              <w:rPr>
                <w:kern w:val="2"/>
                <w:sz w:val="26"/>
                <w:szCs w:val="26"/>
                <w14:ligatures w14:val="standardContextual"/>
              </w:rPr>
            </w:pPr>
            <w:r w:rsidRPr="00CB3DAD">
              <w:rPr>
                <w:b/>
                <w:bCs/>
                <w:kern w:val="2"/>
                <w:sz w:val="26"/>
                <w:szCs w:val="26"/>
                <w14:ligatures w14:val="standardContextual"/>
              </w:rPr>
              <w:t>Total Number of Responses</w:t>
            </w:r>
            <w:r w:rsidRPr="00CB3DAD">
              <w:rPr>
                <w:kern w:val="2"/>
                <w:sz w:val="26"/>
                <w:szCs w:val="26"/>
                <w14:ligatures w14:val="standardContextual"/>
              </w:rPr>
              <w:t> </w:t>
            </w:r>
          </w:p>
          <w:p w:rsidR="00FB7238" w:rsidRPr="00CB3DAD" w:rsidP="002E15F1" w14:paraId="416FA251" w14:textId="77777777">
            <w:pPr>
              <w:rPr>
                <w:sz w:val="26"/>
                <w:szCs w:val="26"/>
              </w:rPr>
            </w:pPr>
            <w:r w:rsidRPr="00CB3DAD">
              <w:rPr>
                <w:b/>
                <w:bCs/>
                <w:kern w:val="2"/>
                <w:sz w:val="26"/>
                <w:szCs w:val="26"/>
                <w14:ligatures w14:val="standardContextual"/>
              </w:rPr>
              <w:t>(1)*(2)=(3)</w:t>
            </w:r>
            <w:r w:rsidRPr="00CB3DAD">
              <w:rPr>
                <w:kern w:val="2"/>
                <w:sz w:val="26"/>
                <w:szCs w:val="26"/>
                <w14:ligatures w14:val="standardContextual"/>
              </w:rPr>
              <w:t> </w:t>
            </w:r>
          </w:p>
        </w:tc>
        <w:tc>
          <w:tcPr>
            <w:tcW w:w="1890" w:type="dxa"/>
          </w:tcPr>
          <w:p w:rsidR="00FB7238" w:rsidRPr="00CB3DAD" w:rsidP="002E15F1" w14:paraId="72B2DBE8" w14:textId="77777777">
            <w:pPr>
              <w:rPr>
                <w:sz w:val="26"/>
                <w:szCs w:val="26"/>
              </w:rPr>
            </w:pPr>
            <w:r w:rsidRPr="00CB3DAD">
              <w:rPr>
                <w:b/>
                <w:bCs/>
                <w:kern w:val="2"/>
                <w:sz w:val="26"/>
                <w:szCs w:val="26"/>
                <w14:ligatures w14:val="standardContextual"/>
              </w:rPr>
              <w:t>Average Number of Burden Hours per Response</w:t>
            </w:r>
            <w:r>
              <w:rPr>
                <w:b/>
                <w:bCs/>
                <w:kern w:val="2"/>
                <w:sz w:val="26"/>
                <w:szCs w:val="26"/>
                <w:vertAlign w:val="superscript"/>
                <w14:ligatures w14:val="standardContextual"/>
              </w:rPr>
              <w:footnoteReference w:id="12"/>
            </w:r>
            <w:r w:rsidRPr="00CB3DAD">
              <w:rPr>
                <w:kern w:val="2"/>
                <w:sz w:val="26"/>
                <w:szCs w:val="26"/>
                <w14:ligatures w14:val="standardContextual"/>
              </w:rPr>
              <w:t> </w:t>
            </w:r>
            <w:r w:rsidRPr="00CB3DAD">
              <w:rPr>
                <w:b/>
                <w:bCs/>
                <w:kern w:val="2"/>
                <w:sz w:val="26"/>
                <w:szCs w:val="26"/>
                <w14:ligatures w14:val="standardContextual"/>
              </w:rPr>
              <w:t>(4)</w:t>
            </w:r>
            <w:r w:rsidRPr="00CB3DAD">
              <w:rPr>
                <w:kern w:val="2"/>
                <w:sz w:val="26"/>
                <w:szCs w:val="26"/>
                <w14:ligatures w14:val="standardContextual"/>
              </w:rPr>
              <w:t> </w:t>
            </w:r>
          </w:p>
        </w:tc>
        <w:tc>
          <w:tcPr>
            <w:tcW w:w="1620" w:type="dxa"/>
          </w:tcPr>
          <w:p w:rsidR="00FB7238" w:rsidRPr="00CB3DAD" w:rsidP="002E15F1" w14:paraId="52AB555B" w14:textId="77777777">
            <w:pPr>
              <w:rPr>
                <w:sz w:val="26"/>
                <w:szCs w:val="26"/>
              </w:rPr>
            </w:pPr>
            <w:r w:rsidRPr="00CB3DAD">
              <w:rPr>
                <w:b/>
                <w:bCs/>
                <w:sz w:val="26"/>
                <w:szCs w:val="26"/>
              </w:rPr>
              <w:t>Total Burden Hours</w:t>
            </w:r>
            <w:r w:rsidRPr="00CB3DAD">
              <w:rPr>
                <w:sz w:val="26"/>
                <w:szCs w:val="26"/>
              </w:rPr>
              <w:t> </w:t>
            </w:r>
          </w:p>
          <w:p w:rsidR="00FB7238" w:rsidRPr="00CB3DAD" w:rsidP="002E15F1" w14:paraId="11F66A7D" w14:textId="77777777">
            <w:pPr>
              <w:rPr>
                <w:sz w:val="26"/>
                <w:szCs w:val="26"/>
              </w:rPr>
            </w:pPr>
            <w:r w:rsidRPr="00CB3DAD">
              <w:rPr>
                <w:b/>
                <w:bCs/>
                <w:sz w:val="26"/>
                <w:szCs w:val="26"/>
              </w:rPr>
              <w:t>(3)*(4)=(5)</w:t>
            </w:r>
            <w:r w:rsidRPr="00CB3DAD">
              <w:rPr>
                <w:sz w:val="26"/>
                <w:szCs w:val="26"/>
              </w:rPr>
              <w:t> </w:t>
            </w:r>
          </w:p>
        </w:tc>
      </w:tr>
      <w:tr w14:paraId="7FFF6327" w14:textId="77777777" w:rsidTr="002E15F1">
        <w:tblPrEx>
          <w:tblW w:w="9625" w:type="dxa"/>
          <w:tblLayout w:type="fixed"/>
          <w:tblLook w:val="04A0"/>
        </w:tblPrEx>
        <w:trPr>
          <w:trHeight w:val="467"/>
        </w:trPr>
        <w:tc>
          <w:tcPr>
            <w:tcW w:w="9625" w:type="dxa"/>
            <w:gridSpan w:val="6"/>
            <w:shd w:val="clear" w:color="auto" w:fill="D0CECE" w:themeFill="background2" w:themeFillShade="E6"/>
          </w:tcPr>
          <w:p w:rsidR="00FB7238" w:rsidRPr="00CB3DAD" w:rsidP="002E15F1" w14:paraId="3E669217" w14:textId="77777777">
            <w:pPr>
              <w:spacing w:line="480" w:lineRule="auto"/>
              <w:jc w:val="center"/>
              <w:rPr>
                <w:sz w:val="26"/>
                <w:szCs w:val="26"/>
              </w:rPr>
            </w:pPr>
            <w:r w:rsidRPr="00CB3DAD">
              <w:rPr>
                <w:b/>
                <w:bCs/>
                <w:sz w:val="26"/>
                <w:szCs w:val="26"/>
              </w:rPr>
              <w:t>Annual Collection TPL-008-1 FERC-725N</w:t>
            </w:r>
          </w:p>
        </w:tc>
      </w:tr>
      <w:tr w14:paraId="51DBAD7F" w14:textId="77777777" w:rsidTr="002E15F1">
        <w:tblPrEx>
          <w:tblW w:w="9625" w:type="dxa"/>
          <w:tblLayout w:type="fixed"/>
          <w:tblLook w:val="04A0"/>
        </w:tblPrEx>
        <w:tc>
          <w:tcPr>
            <w:tcW w:w="1525" w:type="dxa"/>
            <w:vMerge w:val="restart"/>
          </w:tcPr>
          <w:p w:rsidR="00FB7238" w:rsidRPr="00CB3DAD" w:rsidP="002E15F1" w14:paraId="038BD777" w14:textId="77777777">
            <w:pPr>
              <w:rPr>
                <w:sz w:val="26"/>
                <w:szCs w:val="26"/>
              </w:rPr>
            </w:pPr>
            <w:r w:rsidRPr="00CB3DAD">
              <w:rPr>
                <w:b/>
                <w:bCs/>
                <w:sz w:val="26"/>
                <w:szCs w:val="26"/>
              </w:rPr>
              <w:t>Annual review and record retention</w:t>
            </w:r>
          </w:p>
        </w:tc>
        <w:tc>
          <w:tcPr>
            <w:tcW w:w="1530" w:type="dxa"/>
          </w:tcPr>
          <w:p w:rsidR="00FB7238" w:rsidRPr="00CB3DAD" w:rsidP="002E15F1" w14:paraId="26D5B34B" w14:textId="77777777">
            <w:pPr>
              <w:spacing w:line="480" w:lineRule="auto"/>
              <w:jc w:val="center"/>
              <w:rPr>
                <w:sz w:val="26"/>
                <w:szCs w:val="26"/>
              </w:rPr>
            </w:pPr>
            <w:r w:rsidRPr="00CB3DAD">
              <w:rPr>
                <w:kern w:val="2"/>
                <w:sz w:val="26"/>
                <w:szCs w:val="26"/>
                <w14:ligatures w14:val="standardContextual"/>
              </w:rPr>
              <w:t>62 (PC)</w:t>
            </w:r>
          </w:p>
        </w:tc>
        <w:tc>
          <w:tcPr>
            <w:tcW w:w="1620" w:type="dxa"/>
          </w:tcPr>
          <w:p w:rsidR="00FB7238" w:rsidRPr="00CB3DAD" w:rsidP="002E15F1" w14:paraId="6F4C0D86" w14:textId="77777777">
            <w:pPr>
              <w:spacing w:line="480" w:lineRule="auto"/>
              <w:jc w:val="center"/>
              <w:rPr>
                <w:sz w:val="26"/>
                <w:szCs w:val="26"/>
              </w:rPr>
            </w:pPr>
            <w:r w:rsidRPr="00CB3DAD">
              <w:rPr>
                <w:kern w:val="2"/>
                <w:sz w:val="26"/>
                <w:szCs w:val="26"/>
                <w14:ligatures w14:val="standardContextual"/>
              </w:rPr>
              <w:t>1</w:t>
            </w:r>
          </w:p>
        </w:tc>
        <w:tc>
          <w:tcPr>
            <w:tcW w:w="1440" w:type="dxa"/>
          </w:tcPr>
          <w:p w:rsidR="00FB7238" w:rsidRPr="00CB3DAD" w:rsidP="002E15F1" w14:paraId="53AFC03F" w14:textId="77777777">
            <w:pPr>
              <w:spacing w:line="480" w:lineRule="auto"/>
              <w:jc w:val="center"/>
              <w:rPr>
                <w:sz w:val="26"/>
                <w:szCs w:val="26"/>
              </w:rPr>
            </w:pPr>
            <w:r w:rsidRPr="00CB3DAD">
              <w:rPr>
                <w:kern w:val="2"/>
                <w:sz w:val="26"/>
                <w:szCs w:val="26"/>
                <w14:ligatures w14:val="standardContextual"/>
              </w:rPr>
              <w:t>62</w:t>
            </w:r>
          </w:p>
        </w:tc>
        <w:tc>
          <w:tcPr>
            <w:tcW w:w="1890" w:type="dxa"/>
          </w:tcPr>
          <w:p w:rsidR="00FB7238" w:rsidRPr="00CB3DAD" w:rsidP="002E15F1" w14:paraId="186F0063" w14:textId="77777777">
            <w:pPr>
              <w:jc w:val="right"/>
              <w:rPr>
                <w:kern w:val="2"/>
                <w:sz w:val="26"/>
                <w:szCs w:val="26"/>
                <w14:ligatures w14:val="standardContextual"/>
              </w:rPr>
            </w:pPr>
            <w:r w:rsidRPr="00CB3DAD">
              <w:rPr>
                <w:kern w:val="2"/>
                <w:sz w:val="26"/>
                <w:szCs w:val="26"/>
                <w14:ligatures w14:val="standardContextual"/>
              </w:rPr>
              <w:t>88 hrs.</w:t>
            </w:r>
          </w:p>
          <w:p w:rsidR="00FB7238" w:rsidRPr="00CB3DAD" w:rsidP="002E15F1" w14:paraId="756EA516" w14:textId="77777777">
            <w:pPr>
              <w:spacing w:line="480" w:lineRule="auto"/>
              <w:jc w:val="right"/>
              <w:rPr>
                <w:sz w:val="26"/>
                <w:szCs w:val="26"/>
              </w:rPr>
            </w:pPr>
            <w:r w:rsidRPr="00CB3DAD">
              <w:rPr>
                <w:kern w:val="2"/>
                <w:sz w:val="26"/>
                <w:szCs w:val="26"/>
                <w14:ligatures w14:val="standardContextual"/>
              </w:rPr>
              <w:t>$ 70.67/hr</w:t>
            </w:r>
          </w:p>
        </w:tc>
        <w:tc>
          <w:tcPr>
            <w:tcW w:w="1620" w:type="dxa"/>
          </w:tcPr>
          <w:p w:rsidR="00FB7238" w:rsidRPr="00CB3DAD" w:rsidP="002E15F1" w14:paraId="30C03601" w14:textId="77777777">
            <w:pPr>
              <w:jc w:val="right"/>
              <w:rPr>
                <w:kern w:val="2"/>
                <w:sz w:val="26"/>
                <w:szCs w:val="26"/>
                <w14:ligatures w14:val="standardContextual"/>
              </w:rPr>
            </w:pPr>
            <w:r w:rsidRPr="00CB3DAD">
              <w:rPr>
                <w:kern w:val="2"/>
                <w:sz w:val="26"/>
                <w:szCs w:val="26"/>
                <w14:ligatures w14:val="standardContextual"/>
              </w:rPr>
              <w:t>5,456 hrs.</w:t>
            </w:r>
          </w:p>
          <w:p w:rsidR="00FB7238" w:rsidRPr="00CB3DAD" w:rsidP="002E15F1" w14:paraId="58E48553" w14:textId="77777777">
            <w:pPr>
              <w:spacing w:line="480" w:lineRule="auto"/>
              <w:jc w:val="right"/>
              <w:rPr>
                <w:sz w:val="26"/>
                <w:szCs w:val="26"/>
              </w:rPr>
            </w:pPr>
            <w:r w:rsidRPr="00CB3DAD">
              <w:rPr>
                <w:kern w:val="2"/>
                <w:sz w:val="26"/>
                <w:szCs w:val="26"/>
                <w14:ligatures w14:val="standardContextual"/>
              </w:rPr>
              <w:t>$385,576</w:t>
            </w:r>
          </w:p>
        </w:tc>
      </w:tr>
      <w:tr w14:paraId="18DC1C47" w14:textId="77777777" w:rsidTr="002E15F1">
        <w:tblPrEx>
          <w:tblW w:w="9625" w:type="dxa"/>
          <w:tblLayout w:type="fixed"/>
          <w:tblLook w:val="04A0"/>
        </w:tblPrEx>
        <w:tc>
          <w:tcPr>
            <w:tcW w:w="1525" w:type="dxa"/>
            <w:vMerge/>
          </w:tcPr>
          <w:p w:rsidR="00FB7238" w:rsidRPr="00CB3DAD" w:rsidP="002E15F1" w14:paraId="739BD400" w14:textId="77777777">
            <w:pPr>
              <w:rPr>
                <w:b/>
                <w:bCs/>
                <w:sz w:val="26"/>
                <w:szCs w:val="26"/>
              </w:rPr>
            </w:pPr>
          </w:p>
        </w:tc>
        <w:tc>
          <w:tcPr>
            <w:tcW w:w="1530" w:type="dxa"/>
          </w:tcPr>
          <w:p w:rsidR="00FB7238" w:rsidRPr="00CB3DAD" w:rsidP="002E15F1" w14:paraId="3C20EF4C" w14:textId="77777777">
            <w:pPr>
              <w:spacing w:line="480" w:lineRule="auto"/>
              <w:jc w:val="center"/>
              <w:rPr>
                <w:kern w:val="2"/>
                <w:sz w:val="26"/>
                <w:szCs w:val="26"/>
                <w14:ligatures w14:val="standardContextual"/>
              </w:rPr>
            </w:pPr>
            <w:r w:rsidRPr="00CB3DAD">
              <w:rPr>
                <w:kern w:val="2"/>
                <w:sz w:val="26"/>
                <w:szCs w:val="26"/>
                <w14:ligatures w14:val="standardContextual"/>
              </w:rPr>
              <w:t>204 (TP)</w:t>
            </w:r>
          </w:p>
        </w:tc>
        <w:tc>
          <w:tcPr>
            <w:tcW w:w="1620" w:type="dxa"/>
          </w:tcPr>
          <w:p w:rsidR="00FB7238" w:rsidRPr="00CB3DAD" w:rsidP="002E15F1" w14:paraId="568914A5" w14:textId="77777777">
            <w:pPr>
              <w:spacing w:line="480" w:lineRule="auto"/>
              <w:jc w:val="center"/>
              <w:rPr>
                <w:kern w:val="2"/>
                <w:sz w:val="26"/>
                <w:szCs w:val="26"/>
                <w14:ligatures w14:val="standardContextual"/>
              </w:rPr>
            </w:pPr>
            <w:r w:rsidRPr="00CB3DAD">
              <w:rPr>
                <w:kern w:val="2"/>
                <w:sz w:val="26"/>
                <w:szCs w:val="26"/>
                <w14:ligatures w14:val="standardContextual"/>
              </w:rPr>
              <w:t>1</w:t>
            </w:r>
          </w:p>
        </w:tc>
        <w:tc>
          <w:tcPr>
            <w:tcW w:w="1440" w:type="dxa"/>
          </w:tcPr>
          <w:p w:rsidR="00FB7238" w:rsidRPr="00CB3DAD" w:rsidP="002E15F1" w14:paraId="63E9D634" w14:textId="77777777">
            <w:pPr>
              <w:spacing w:line="480" w:lineRule="auto"/>
              <w:jc w:val="center"/>
              <w:rPr>
                <w:kern w:val="2"/>
                <w:sz w:val="26"/>
                <w:szCs w:val="26"/>
                <w14:ligatures w14:val="standardContextual"/>
              </w:rPr>
            </w:pPr>
            <w:r w:rsidRPr="00CB3DAD">
              <w:rPr>
                <w:kern w:val="2"/>
                <w:sz w:val="26"/>
                <w:szCs w:val="26"/>
                <w14:ligatures w14:val="standardContextual"/>
              </w:rPr>
              <w:t>204</w:t>
            </w:r>
          </w:p>
        </w:tc>
        <w:tc>
          <w:tcPr>
            <w:tcW w:w="1890" w:type="dxa"/>
          </w:tcPr>
          <w:p w:rsidR="00FB7238" w:rsidRPr="00CB3DAD" w:rsidP="002E15F1" w14:paraId="1CCB880C" w14:textId="77777777">
            <w:pPr>
              <w:jc w:val="right"/>
              <w:rPr>
                <w:kern w:val="2"/>
                <w:sz w:val="26"/>
                <w:szCs w:val="26"/>
                <w14:ligatures w14:val="standardContextual"/>
              </w:rPr>
            </w:pPr>
            <w:r w:rsidRPr="00CB3DAD">
              <w:rPr>
                <w:kern w:val="2"/>
                <w:sz w:val="26"/>
                <w:szCs w:val="26"/>
                <w14:ligatures w14:val="standardContextual"/>
              </w:rPr>
              <w:t>56 hrs.</w:t>
            </w:r>
          </w:p>
          <w:p w:rsidR="00FB7238" w:rsidRPr="00CB3DAD" w:rsidP="002E15F1" w14:paraId="472EF133" w14:textId="77777777">
            <w:pPr>
              <w:jc w:val="right"/>
              <w:rPr>
                <w:kern w:val="2"/>
                <w:sz w:val="26"/>
                <w:szCs w:val="26"/>
                <w:highlight w:val="yellow"/>
                <w14:ligatures w14:val="standardContextual"/>
              </w:rPr>
            </w:pPr>
            <w:r w:rsidRPr="00CB3DAD">
              <w:rPr>
                <w:kern w:val="2"/>
                <w:sz w:val="26"/>
                <w:szCs w:val="26"/>
                <w14:ligatures w14:val="standardContextual"/>
              </w:rPr>
              <w:t>$ 70.67/hr</w:t>
            </w:r>
          </w:p>
        </w:tc>
        <w:tc>
          <w:tcPr>
            <w:tcW w:w="1620" w:type="dxa"/>
          </w:tcPr>
          <w:p w:rsidR="00FB7238" w:rsidRPr="00CB3DAD" w:rsidP="002E15F1" w14:paraId="6EE81E3F" w14:textId="77777777">
            <w:pPr>
              <w:jc w:val="right"/>
              <w:rPr>
                <w:kern w:val="2"/>
                <w:sz w:val="26"/>
                <w:szCs w:val="26"/>
                <w14:ligatures w14:val="standardContextual"/>
              </w:rPr>
            </w:pPr>
            <w:r w:rsidRPr="00CB3DAD">
              <w:rPr>
                <w:kern w:val="2"/>
                <w:sz w:val="26"/>
                <w:szCs w:val="26"/>
                <w14:ligatures w14:val="standardContextual"/>
              </w:rPr>
              <w:t>11,424 hrs.</w:t>
            </w:r>
          </w:p>
          <w:p w:rsidR="00FB7238" w:rsidRPr="00CB3DAD" w:rsidP="002E15F1" w14:paraId="59DD463B" w14:textId="77777777">
            <w:pPr>
              <w:jc w:val="right"/>
              <w:rPr>
                <w:kern w:val="2"/>
                <w:sz w:val="26"/>
                <w:szCs w:val="26"/>
                <w14:ligatures w14:val="standardContextual"/>
              </w:rPr>
            </w:pPr>
            <w:r w:rsidRPr="00CB3DAD">
              <w:rPr>
                <w:kern w:val="2"/>
                <w:sz w:val="26"/>
                <w:szCs w:val="26"/>
                <w14:ligatures w14:val="standardContextual"/>
              </w:rPr>
              <w:t>$807,334</w:t>
            </w:r>
          </w:p>
        </w:tc>
      </w:tr>
      <w:tr w14:paraId="55AF9789" w14:textId="77777777" w:rsidTr="002E15F1">
        <w:tblPrEx>
          <w:tblW w:w="9625" w:type="dxa"/>
          <w:tblLayout w:type="fixed"/>
          <w:tblLook w:val="04A0"/>
        </w:tblPrEx>
        <w:trPr>
          <w:trHeight w:val="593"/>
        </w:trPr>
        <w:tc>
          <w:tcPr>
            <w:tcW w:w="1525" w:type="dxa"/>
          </w:tcPr>
          <w:p w:rsidR="00FB7238" w:rsidRPr="00CB3DAD" w:rsidP="002E15F1" w14:paraId="4F359746" w14:textId="77777777">
            <w:pPr>
              <w:rPr>
                <w:sz w:val="26"/>
                <w:szCs w:val="26"/>
              </w:rPr>
            </w:pPr>
            <w:r w:rsidRPr="00CB3DAD">
              <w:rPr>
                <w:b/>
                <w:bCs/>
                <w:kern w:val="2"/>
                <w:sz w:val="26"/>
                <w:szCs w:val="26"/>
                <w14:ligatures w14:val="standardContextual"/>
              </w:rPr>
              <w:t>Total for TPL-008-1</w:t>
            </w:r>
          </w:p>
        </w:tc>
        <w:tc>
          <w:tcPr>
            <w:tcW w:w="1530" w:type="dxa"/>
            <w:shd w:val="clear" w:color="auto" w:fill="BFBFBF" w:themeFill="background1" w:themeFillShade="BF"/>
          </w:tcPr>
          <w:p w:rsidR="00FB7238" w:rsidRPr="00CB3DAD" w:rsidP="002E15F1" w14:paraId="55F93D35" w14:textId="77777777">
            <w:pPr>
              <w:spacing w:line="480" w:lineRule="auto"/>
              <w:jc w:val="center"/>
              <w:rPr>
                <w:sz w:val="26"/>
                <w:szCs w:val="26"/>
                <w:highlight w:val="black"/>
              </w:rPr>
            </w:pPr>
          </w:p>
        </w:tc>
        <w:tc>
          <w:tcPr>
            <w:tcW w:w="1620" w:type="dxa"/>
            <w:shd w:val="clear" w:color="auto" w:fill="BFBFBF" w:themeFill="background1" w:themeFillShade="BF"/>
          </w:tcPr>
          <w:p w:rsidR="00FB7238" w:rsidRPr="00CB3DAD" w:rsidP="002E15F1" w14:paraId="55ADFFDB" w14:textId="77777777">
            <w:pPr>
              <w:spacing w:line="480" w:lineRule="auto"/>
              <w:jc w:val="center"/>
              <w:rPr>
                <w:sz w:val="26"/>
                <w:szCs w:val="26"/>
                <w:highlight w:val="lightGray"/>
              </w:rPr>
            </w:pPr>
          </w:p>
        </w:tc>
        <w:tc>
          <w:tcPr>
            <w:tcW w:w="1440" w:type="dxa"/>
          </w:tcPr>
          <w:p w:rsidR="00FB7238" w:rsidRPr="00CB3DAD" w:rsidP="002E15F1" w14:paraId="0F3D5A17" w14:textId="77777777">
            <w:pPr>
              <w:spacing w:line="480" w:lineRule="auto"/>
              <w:jc w:val="center"/>
              <w:rPr>
                <w:sz w:val="26"/>
                <w:szCs w:val="26"/>
              </w:rPr>
            </w:pPr>
            <w:r w:rsidRPr="00CB3DAD">
              <w:rPr>
                <w:b/>
                <w:bCs/>
                <w:kern w:val="2"/>
                <w:sz w:val="26"/>
                <w:szCs w:val="26"/>
                <w14:ligatures w14:val="standardContextual"/>
              </w:rPr>
              <w:t>266</w:t>
            </w:r>
          </w:p>
        </w:tc>
        <w:tc>
          <w:tcPr>
            <w:tcW w:w="1890" w:type="dxa"/>
            <w:shd w:val="clear" w:color="auto" w:fill="BFBFBF" w:themeFill="background1" w:themeFillShade="BF"/>
          </w:tcPr>
          <w:p w:rsidR="00FB7238" w:rsidRPr="00CB3DAD" w:rsidP="002E15F1" w14:paraId="3FB5DC8D" w14:textId="77777777">
            <w:pPr>
              <w:spacing w:line="480" w:lineRule="auto"/>
              <w:jc w:val="right"/>
              <w:rPr>
                <w:sz w:val="26"/>
                <w:szCs w:val="26"/>
              </w:rPr>
            </w:pPr>
          </w:p>
        </w:tc>
        <w:tc>
          <w:tcPr>
            <w:tcW w:w="1620" w:type="dxa"/>
          </w:tcPr>
          <w:p w:rsidR="00FB7238" w:rsidRPr="00CB3DAD" w:rsidP="002E15F1" w14:paraId="3EDAEFE7" w14:textId="77777777">
            <w:pPr>
              <w:jc w:val="right"/>
              <w:rPr>
                <w:kern w:val="2"/>
                <w:sz w:val="26"/>
                <w:szCs w:val="26"/>
                <w14:ligatures w14:val="standardContextual"/>
              </w:rPr>
            </w:pPr>
            <w:r w:rsidRPr="00CB3DAD">
              <w:rPr>
                <w:kern w:val="2"/>
                <w:sz w:val="26"/>
                <w:szCs w:val="26"/>
                <w14:ligatures w14:val="standardContextual"/>
              </w:rPr>
              <w:t xml:space="preserve">16,880 hrs. </w:t>
            </w:r>
          </w:p>
          <w:p w:rsidR="00FB7238" w:rsidRPr="00CB3DAD" w:rsidP="002E15F1" w14:paraId="70325339" w14:textId="77777777">
            <w:pPr>
              <w:spacing w:line="480" w:lineRule="auto"/>
              <w:jc w:val="right"/>
              <w:rPr>
                <w:sz w:val="26"/>
                <w:szCs w:val="26"/>
              </w:rPr>
            </w:pPr>
            <w:r w:rsidRPr="00CB3DAD">
              <w:rPr>
                <w:kern w:val="2"/>
                <w:sz w:val="26"/>
                <w:szCs w:val="26"/>
                <w14:ligatures w14:val="standardContextual"/>
              </w:rPr>
              <w:t>$1,192,910</w:t>
            </w:r>
          </w:p>
        </w:tc>
      </w:tr>
    </w:tbl>
    <w:p w:rsidR="006D65CB" w:rsidRPr="00CB3DAD" w:rsidP="00CB3DAD" w14:paraId="0035EF62" w14:textId="2E4857EC">
      <w:pPr>
        <w:pStyle w:val="FERCparanumber"/>
        <w:numPr>
          <w:ilvl w:val="0"/>
          <w:numId w:val="0"/>
        </w:numPr>
        <w:spacing w:after="260" w:line="240" w:lineRule="auto"/>
        <w:ind w:right="-360"/>
      </w:pPr>
      <w:r>
        <w:t>The annual responses and burden hours</w:t>
      </w:r>
      <w:r w:rsidRPr="00AC5C2F">
        <w:t xml:space="preserve"> for proposed Reliability Standard</w:t>
      </w:r>
      <w:r>
        <w:t> </w:t>
      </w:r>
      <w:r w:rsidRPr="00AC5C2F">
        <w:t xml:space="preserve">TPL-008-1 will be </w:t>
      </w:r>
      <w:r>
        <w:rPr>
          <w:kern w:val="2"/>
          <w14:ligatures w14:val="standardContextual"/>
        </w:rPr>
        <w:t>266</w:t>
      </w:r>
      <w:r w:rsidRPr="00AC5C2F">
        <w:t xml:space="preserve"> responses; </w:t>
      </w:r>
      <w:r>
        <w:t>16</w:t>
      </w:r>
      <w:r w:rsidRPr="00AC5C2F">
        <w:t>,</w:t>
      </w:r>
      <w:r>
        <w:t>880</w:t>
      </w:r>
      <w:r w:rsidRPr="00AC5C2F">
        <w:rPr>
          <w:kern w:val="2"/>
          <w14:ligatures w14:val="standardContextual"/>
        </w:rPr>
        <w:t xml:space="preserve"> </w:t>
      </w:r>
      <w:r w:rsidRPr="00AC5C2F">
        <w:t>hours.</w:t>
      </w:r>
    </w:p>
    <w:p w:rsidR="003E7E96" w14:paraId="3C46B237"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ESTIMATE OF THE TOTAL ANNUAL COST BURDEN TO RESPONDENTS</w:t>
      </w:r>
    </w:p>
    <w:p w:rsidR="003E7E96" w14:paraId="7F2FB3A8" w14:textId="77777777">
      <w:pPr>
        <w:spacing w:after="0" w:line="240" w:lineRule="auto"/>
        <w:rPr>
          <w:rFonts w:ascii="Times New Roman" w:eastAsia="Calibri" w:hAnsi="Times New Roman" w:cs="Times New Roman"/>
          <w:sz w:val="26"/>
          <w:szCs w:val="26"/>
        </w:rPr>
      </w:pPr>
    </w:p>
    <w:p w:rsidR="003E7E96" w14:paraId="640C1F67" w14:textId="3F85F3F6">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There are no non-labor costs associated with the FERC-725N.  All of the PRA-related costs due to </w:t>
      </w:r>
      <w:r w:rsidR="00CB3DAD">
        <w:rPr>
          <w:rFonts w:ascii="Times New Roman" w:eastAsia="Calibri" w:hAnsi="Times New Roman" w:cs="Times New Roman"/>
          <w:sz w:val="26"/>
          <w:szCs w:val="26"/>
        </w:rPr>
        <w:t>RD25-4-000</w:t>
      </w:r>
      <w:r>
        <w:rPr>
          <w:rFonts w:ascii="Times New Roman" w:eastAsia="Calibri" w:hAnsi="Times New Roman" w:cs="Times New Roman"/>
          <w:sz w:val="26"/>
          <w:szCs w:val="26"/>
        </w:rPr>
        <w:t xml:space="preserve"> are associated with burden hours (labor) and described in Questions #12 and 15.</w:t>
      </w:r>
    </w:p>
    <w:p w:rsidR="003E7E96" w14:paraId="401D977F" w14:textId="77777777">
      <w:pPr>
        <w:spacing w:after="0" w:line="240" w:lineRule="auto"/>
        <w:rPr>
          <w:rFonts w:ascii="Times New Roman" w:eastAsia="Calibri" w:hAnsi="Times New Roman" w:cs="Times New Roman"/>
          <w:sz w:val="26"/>
          <w:szCs w:val="26"/>
        </w:rPr>
      </w:pPr>
    </w:p>
    <w:p w:rsidR="003E7E96" w14:paraId="4A49BE40"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ESTIMATED ANNUALIZED COST TO FEDERAL GOVERNMENT</w:t>
      </w:r>
    </w:p>
    <w:p w:rsidR="003E7E96" w14:paraId="0A14724C" w14:textId="77777777">
      <w:pPr>
        <w:spacing w:after="0" w:line="240" w:lineRule="auto"/>
        <w:rPr>
          <w:rFonts w:ascii="Times New Roman" w:eastAsia="Calibri" w:hAnsi="Times New Roman" w:cs="Times New Roman"/>
          <w:sz w:val="26"/>
          <w:szCs w:val="26"/>
        </w:rPr>
      </w:pPr>
    </w:p>
    <w:p w:rsidR="003E7E96" w14:paraId="4D71874E"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Regional Entities and NERC do most of the data processing, monitoring and compliance work for Reliability Standards.  Any related involvement by the Commission is covered under the FERC-725 collection (OMB Control No. 1902-0225) and is not part of this request or package.  </w:t>
      </w:r>
    </w:p>
    <w:p w:rsidR="003E7E96" w14:paraId="17608FEF" w14:textId="77777777">
      <w:pPr>
        <w:spacing w:after="0" w:line="240" w:lineRule="auto"/>
        <w:rPr>
          <w:rFonts w:ascii="Times New Roman" w:eastAsia="Times New Roman" w:hAnsi="Times New Roman" w:cs="Times New Roman"/>
          <w:sz w:val="26"/>
          <w:szCs w:val="26"/>
        </w:rPr>
      </w:pPr>
    </w:p>
    <w:p w:rsidR="003E7E96" w14:paraId="6E7E7A12" w14:textId="7777777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3E7E96" w14:paraId="051DF1DD" w14:textId="77777777">
      <w:pPr>
        <w:spacing w:after="0" w:line="276" w:lineRule="auto"/>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8"/>
        <w:gridCol w:w="2953"/>
        <w:gridCol w:w="2965"/>
      </w:tblGrid>
      <w:tr w14:paraId="2576EF0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38" w:type="dxa"/>
            <w:shd w:val="clear" w:color="auto" w:fill="CCCCCC"/>
            <w:vAlign w:val="bottom"/>
          </w:tcPr>
          <w:p w:rsidR="003E7E96" w14:paraId="68D45F5C"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FERC-725N</w:t>
            </w:r>
          </w:p>
        </w:tc>
        <w:tc>
          <w:tcPr>
            <w:tcW w:w="2953" w:type="dxa"/>
            <w:shd w:val="clear" w:color="auto" w:fill="CCCCCC"/>
            <w:vAlign w:val="bottom"/>
          </w:tcPr>
          <w:p w:rsidR="003E7E96" w14:paraId="365B2F7A"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Number of Employees (Full-Time Equivalents [FTEs])</w:t>
            </w:r>
          </w:p>
        </w:tc>
        <w:tc>
          <w:tcPr>
            <w:tcW w:w="2965" w:type="dxa"/>
            <w:shd w:val="clear" w:color="auto" w:fill="CCCCCC"/>
            <w:vAlign w:val="bottom"/>
          </w:tcPr>
          <w:p w:rsidR="003E7E96" w14:paraId="63393A1A"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Estimated Annual Federal Cost</w:t>
            </w:r>
          </w:p>
        </w:tc>
      </w:tr>
      <w:tr w14:paraId="719787C9" w14:textId="77777777">
        <w:tblPrEx>
          <w:tblW w:w="0" w:type="auto"/>
          <w:tblLook w:val="01E0"/>
        </w:tblPrEx>
        <w:tc>
          <w:tcPr>
            <w:tcW w:w="2938" w:type="dxa"/>
            <w:shd w:val="clear" w:color="auto" w:fill="auto"/>
          </w:tcPr>
          <w:p w:rsidR="003E7E96" w14:paraId="5EBCDBD9" w14:textId="77777777">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6"/>
                <w:szCs w:val="26"/>
              </w:rPr>
              <w:t xml:space="preserve">FERC-725N, Analysis and Processing of </w:t>
            </w:r>
            <w:r>
              <w:rPr>
                <w:rFonts w:ascii="Times New Roman" w:eastAsia="Times New Roman" w:hAnsi="Times New Roman" w:cs="Times New Roman"/>
                <w:bCs/>
                <w:sz w:val="26"/>
                <w:szCs w:val="26"/>
              </w:rPr>
              <w:t>filings</w:t>
            </w:r>
          </w:p>
        </w:tc>
        <w:tc>
          <w:tcPr>
            <w:tcW w:w="2953" w:type="dxa"/>
            <w:shd w:val="clear" w:color="auto" w:fill="auto"/>
            <w:vAlign w:val="bottom"/>
          </w:tcPr>
          <w:p w:rsidR="003E7E96" w14:paraId="0E4AFAC9"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0</w:t>
            </w:r>
          </w:p>
        </w:tc>
        <w:tc>
          <w:tcPr>
            <w:tcW w:w="2965" w:type="dxa"/>
            <w:shd w:val="clear" w:color="auto" w:fill="auto"/>
            <w:vAlign w:val="bottom"/>
          </w:tcPr>
          <w:p w:rsidR="003E7E96" w14:paraId="6D83BA86"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0</w:t>
            </w:r>
          </w:p>
        </w:tc>
      </w:tr>
      <w:tr w14:paraId="0E11C2F7" w14:textId="77777777">
        <w:tblPrEx>
          <w:tblW w:w="0" w:type="auto"/>
          <w:tblLook w:val="01E0"/>
        </w:tblPrEx>
        <w:tc>
          <w:tcPr>
            <w:tcW w:w="2938" w:type="dxa"/>
            <w:shd w:val="clear" w:color="auto" w:fill="auto"/>
          </w:tcPr>
          <w:p w:rsidR="003E7E96" w14:paraId="5D411371" w14:textId="77777777">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6"/>
                <w:szCs w:val="26"/>
              </w:rPr>
              <w:t xml:space="preserve">PRA Administrative Cost </w:t>
            </w:r>
            <w:r>
              <w:rPr>
                <w:rFonts w:ascii="Times New Roman" w:eastAsia="Times New Roman" w:hAnsi="Times New Roman" w:cs="Times New Roman"/>
                <w:sz w:val="26"/>
                <w:szCs w:val="24"/>
                <w:vertAlign w:val="superscript"/>
              </w:rPr>
              <w:footnoteReference w:id="13"/>
            </w:r>
          </w:p>
        </w:tc>
        <w:tc>
          <w:tcPr>
            <w:tcW w:w="2953" w:type="dxa"/>
            <w:shd w:val="clear" w:color="auto" w:fill="auto"/>
            <w:vAlign w:val="bottom"/>
          </w:tcPr>
          <w:p w:rsidR="003E7E96" w14:paraId="2493C5C5"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2965" w:type="dxa"/>
            <w:shd w:val="clear" w:color="auto" w:fill="auto"/>
            <w:vAlign w:val="bottom"/>
          </w:tcPr>
          <w:p w:rsidR="003E7E96" w14:paraId="5416E9BC" w14:textId="7F7B3900">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53AC4">
              <w:rPr>
                <w:rFonts w:ascii="Times New Roman" w:eastAsia="Times New Roman" w:hAnsi="Times New Roman" w:cs="Times New Roman"/>
                <w:sz w:val="26"/>
                <w:szCs w:val="26"/>
              </w:rPr>
              <w:t>7,</w:t>
            </w:r>
            <w:r w:rsidR="00487610">
              <w:rPr>
                <w:rFonts w:ascii="Times New Roman" w:eastAsia="Times New Roman" w:hAnsi="Times New Roman" w:cs="Times New Roman"/>
                <w:sz w:val="26"/>
                <w:szCs w:val="26"/>
              </w:rPr>
              <w:t>978</w:t>
            </w:r>
          </w:p>
        </w:tc>
      </w:tr>
      <w:tr w14:paraId="3247A29D" w14:textId="77777777">
        <w:tblPrEx>
          <w:tblW w:w="0" w:type="auto"/>
          <w:tblLook w:val="01E0"/>
        </w:tblPrEx>
        <w:tc>
          <w:tcPr>
            <w:tcW w:w="2938" w:type="dxa"/>
            <w:shd w:val="clear" w:color="auto" w:fill="auto"/>
          </w:tcPr>
          <w:p w:rsidR="003E7E96" w14:paraId="5A714643"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FERC Total</w:t>
            </w:r>
          </w:p>
        </w:tc>
        <w:tc>
          <w:tcPr>
            <w:tcW w:w="2953" w:type="dxa"/>
            <w:tcBorders>
              <w:bottom w:val="single" w:sz="4" w:space="0" w:color="auto"/>
            </w:tcBorders>
            <w:shd w:val="clear" w:color="auto" w:fill="BFBFBF"/>
            <w:vAlign w:val="bottom"/>
          </w:tcPr>
          <w:p w:rsidR="003E7E96" w14:paraId="46A14B96"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2965" w:type="dxa"/>
            <w:shd w:val="clear" w:color="auto" w:fill="auto"/>
            <w:vAlign w:val="bottom"/>
          </w:tcPr>
          <w:p w:rsidR="003E7E96" w14:paraId="34DD8BC4" w14:textId="49CF00A2">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53AC4">
              <w:rPr>
                <w:rFonts w:ascii="Times New Roman" w:eastAsia="Times New Roman" w:hAnsi="Times New Roman" w:cs="Times New Roman"/>
                <w:sz w:val="26"/>
                <w:szCs w:val="26"/>
              </w:rPr>
              <w:t>7,</w:t>
            </w:r>
            <w:r w:rsidR="00487610">
              <w:rPr>
                <w:rFonts w:ascii="Times New Roman" w:eastAsia="Times New Roman" w:hAnsi="Times New Roman" w:cs="Times New Roman"/>
                <w:sz w:val="26"/>
                <w:szCs w:val="26"/>
              </w:rPr>
              <w:t>978</w:t>
            </w:r>
          </w:p>
        </w:tc>
      </w:tr>
    </w:tbl>
    <w:p w:rsidR="003E7E96" w14:paraId="013634A9" w14:textId="77777777">
      <w:pPr>
        <w:spacing w:after="0" w:line="240" w:lineRule="auto"/>
        <w:rPr>
          <w:rFonts w:ascii="Times New Roman" w:eastAsia="Calibri" w:hAnsi="Times New Roman" w:cs="Times New Roman"/>
          <w:sz w:val="26"/>
          <w:szCs w:val="26"/>
        </w:rPr>
      </w:pPr>
    </w:p>
    <w:p w:rsidR="003E7E96" w14:paraId="178EDFC9"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REASONS FOR CHANGES IN BURDEN INCLUDING THE NEED FOR ANY INCREASE </w:t>
      </w:r>
    </w:p>
    <w:p w:rsidR="003E7E96" w14:paraId="5F2BD1D3" w14:textId="77777777">
      <w:pPr>
        <w:spacing w:after="0" w:line="240" w:lineRule="auto"/>
        <w:rPr>
          <w:rFonts w:ascii="Times New Roman" w:eastAsia="Calibri" w:hAnsi="Times New Roman" w:cs="Times New Roman"/>
          <w:sz w:val="26"/>
          <w:szCs w:val="26"/>
          <w:u w:val="single"/>
        </w:rPr>
      </w:pPr>
    </w:p>
    <w:p w:rsidR="003E7E96" w14:paraId="2F1D6CA6" w14:textId="4235B136">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r w:rsidR="00E53AC4">
        <w:rPr>
          <w:rFonts w:ascii="Times New Roman" w:eastAsia="Calibri" w:hAnsi="Times New Roman" w:cs="Times New Roman"/>
          <w:sz w:val="26"/>
          <w:szCs w:val="26"/>
        </w:rPr>
        <w:t xml:space="preserve">  The Annual responses and burden hours have been updated to only reflect the ongoing burden </w:t>
      </w:r>
      <w:r w:rsidR="008D576B">
        <w:rPr>
          <w:rFonts w:ascii="Times New Roman" w:eastAsia="Calibri" w:hAnsi="Times New Roman" w:cs="Times New Roman"/>
          <w:sz w:val="26"/>
          <w:szCs w:val="26"/>
        </w:rPr>
        <w:t>an record re</w:t>
      </w:r>
      <w:r w:rsidR="004127D6">
        <w:rPr>
          <w:rFonts w:ascii="Times New Roman" w:eastAsia="Calibri" w:hAnsi="Times New Roman" w:cs="Times New Roman"/>
          <w:sz w:val="26"/>
          <w:szCs w:val="26"/>
        </w:rPr>
        <w:t>te</w:t>
      </w:r>
      <w:r w:rsidR="008D576B">
        <w:rPr>
          <w:rFonts w:ascii="Times New Roman" w:eastAsia="Calibri" w:hAnsi="Times New Roman" w:cs="Times New Roman"/>
          <w:sz w:val="26"/>
          <w:szCs w:val="26"/>
        </w:rPr>
        <w:t>ntion for</w:t>
      </w:r>
      <w:r w:rsidR="004127D6">
        <w:rPr>
          <w:rFonts w:ascii="Times New Roman" w:eastAsia="Calibri" w:hAnsi="Times New Roman" w:cs="Times New Roman"/>
          <w:sz w:val="26"/>
          <w:szCs w:val="26"/>
        </w:rPr>
        <w:t xml:space="preserve"> TPL-008-1 and there will be no changes made to </w:t>
      </w:r>
      <w:r w:rsidR="00E53AC4">
        <w:rPr>
          <w:rFonts w:ascii="Times New Roman" w:eastAsia="Calibri" w:hAnsi="Times New Roman" w:cs="Times New Roman"/>
          <w:sz w:val="26"/>
          <w:szCs w:val="26"/>
        </w:rPr>
        <w:t xml:space="preserve">the </w:t>
      </w:r>
      <w:r w:rsidR="003B6D0E">
        <w:rPr>
          <w:rFonts w:ascii="Times New Roman" w:eastAsia="Calibri" w:hAnsi="Times New Roman" w:cs="Times New Roman"/>
          <w:sz w:val="26"/>
          <w:szCs w:val="26"/>
        </w:rPr>
        <w:t>remaining</w:t>
      </w:r>
      <w:r w:rsidR="00E53AC4">
        <w:rPr>
          <w:rFonts w:ascii="Times New Roman" w:eastAsia="Calibri" w:hAnsi="Times New Roman" w:cs="Times New Roman"/>
          <w:sz w:val="26"/>
          <w:szCs w:val="26"/>
        </w:rPr>
        <w:t xml:space="preserve"> inventory for </w:t>
      </w:r>
      <w:r w:rsidR="00003F17">
        <w:rPr>
          <w:rFonts w:ascii="Times New Roman" w:eastAsia="Calibri" w:hAnsi="Times New Roman" w:cs="Times New Roman"/>
          <w:sz w:val="26"/>
          <w:szCs w:val="26"/>
        </w:rPr>
        <w:t xml:space="preserve"> TPL-001-4 and </w:t>
      </w:r>
      <w:r w:rsidR="00E53AC4">
        <w:rPr>
          <w:rFonts w:ascii="Times New Roman" w:eastAsia="Calibri" w:hAnsi="Times New Roman" w:cs="Times New Roman"/>
          <w:sz w:val="26"/>
          <w:szCs w:val="26"/>
        </w:rPr>
        <w:t>TPL-007-4</w:t>
      </w:r>
      <w:r w:rsidR="00003F17">
        <w:rPr>
          <w:rFonts w:ascii="Times New Roman" w:eastAsia="Calibri" w:hAnsi="Times New Roman" w:cs="Times New Roman"/>
          <w:sz w:val="26"/>
          <w:szCs w:val="26"/>
        </w:rPr>
        <w:t xml:space="preserve">. Changes in Burden are due </w:t>
      </w:r>
      <w:r w:rsidR="005308B1">
        <w:rPr>
          <w:rFonts w:ascii="Times New Roman" w:eastAsia="Calibri" w:hAnsi="Times New Roman" w:cs="Times New Roman"/>
          <w:sz w:val="26"/>
          <w:szCs w:val="26"/>
        </w:rPr>
        <w:t>to the newly created TPL-008-</w:t>
      </w:r>
      <w:r w:rsidR="004812C5">
        <w:rPr>
          <w:rFonts w:ascii="Times New Roman" w:eastAsia="Calibri" w:hAnsi="Times New Roman" w:cs="Times New Roman"/>
          <w:sz w:val="26"/>
          <w:szCs w:val="26"/>
        </w:rPr>
        <w:t>1 and</w:t>
      </w:r>
      <w:r w:rsidR="00003F17">
        <w:rPr>
          <w:rFonts w:ascii="Times New Roman" w:eastAsia="Calibri" w:hAnsi="Times New Roman" w:cs="Times New Roman"/>
          <w:sz w:val="26"/>
          <w:szCs w:val="26"/>
        </w:rPr>
        <w:t xml:space="preserve"> have been updated to reflect the current totals. </w:t>
      </w:r>
    </w:p>
    <w:p w:rsidR="003E7E96" w14:paraId="16DDE823" w14:textId="77777777">
      <w:pPr>
        <w:spacing w:after="0"/>
        <w:rPr>
          <w:rFonts w:ascii="Times New Roman" w:eastAsia="Calibri" w:hAnsi="Times New Roman" w:cs="Times New Roman"/>
          <w:b/>
          <w:sz w:val="26"/>
          <w:szCs w:val="26"/>
        </w:rPr>
      </w:pPr>
    </w:p>
    <w:tbl>
      <w:tblPr>
        <w:tblW w:w="95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2236"/>
        <w:gridCol w:w="1542"/>
        <w:gridCol w:w="1946"/>
        <w:gridCol w:w="1651"/>
      </w:tblGrid>
      <w:tr w14:paraId="22D52EDE" w14:textId="77777777" w:rsidTr="001715E3">
        <w:tblPrEx>
          <w:tblW w:w="95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221" w:type="dxa"/>
            <w:shd w:val="clear" w:color="auto" w:fill="D9D9D9"/>
            <w:vAlign w:val="bottom"/>
          </w:tcPr>
          <w:p w:rsidR="003E7E96" w14:paraId="5A1F334C"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FERC-725N</w:t>
            </w:r>
          </w:p>
        </w:tc>
        <w:tc>
          <w:tcPr>
            <w:tcW w:w="2236" w:type="dxa"/>
            <w:shd w:val="clear" w:color="auto" w:fill="D9D9D9"/>
            <w:vAlign w:val="bottom"/>
          </w:tcPr>
          <w:p w:rsidR="003E7E96" w14:paraId="79FFC75E"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Total Request</w:t>
            </w:r>
          </w:p>
        </w:tc>
        <w:tc>
          <w:tcPr>
            <w:tcW w:w="1542" w:type="dxa"/>
            <w:shd w:val="clear" w:color="auto" w:fill="D9D9D9"/>
            <w:vAlign w:val="bottom"/>
          </w:tcPr>
          <w:p w:rsidR="003E7E96" w14:paraId="64905C67"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Previously Approved</w:t>
            </w:r>
          </w:p>
        </w:tc>
        <w:tc>
          <w:tcPr>
            <w:tcW w:w="1946" w:type="dxa"/>
            <w:shd w:val="clear" w:color="auto" w:fill="D9D9D9"/>
            <w:vAlign w:val="bottom"/>
          </w:tcPr>
          <w:p w:rsidR="003E7E96" w14:paraId="1135D3FB"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Change due to Adjustment in Estimate</w:t>
            </w:r>
          </w:p>
        </w:tc>
        <w:tc>
          <w:tcPr>
            <w:tcW w:w="1651" w:type="dxa"/>
            <w:shd w:val="clear" w:color="auto" w:fill="D9D9D9"/>
            <w:vAlign w:val="bottom"/>
          </w:tcPr>
          <w:p w:rsidR="003E7E96" w14:paraId="591201A0"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Change Due to Agency Discretion</w:t>
            </w:r>
          </w:p>
        </w:tc>
      </w:tr>
      <w:tr w14:paraId="187B7C0B" w14:textId="77777777" w:rsidTr="001715E3">
        <w:tblPrEx>
          <w:tblW w:w="9596" w:type="dxa"/>
          <w:tblInd w:w="18" w:type="dxa"/>
          <w:tblLook w:val="01E0"/>
        </w:tblPrEx>
        <w:trPr>
          <w:trHeight w:val="591"/>
        </w:trPr>
        <w:tc>
          <w:tcPr>
            <w:tcW w:w="2221" w:type="dxa"/>
          </w:tcPr>
          <w:p w:rsidR="003E7E96" w14:paraId="6773C905"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Annual Number of Responses</w:t>
            </w:r>
          </w:p>
        </w:tc>
        <w:tc>
          <w:tcPr>
            <w:tcW w:w="2236" w:type="dxa"/>
            <w:vAlign w:val="center"/>
          </w:tcPr>
          <w:p w:rsidR="003E7E96" w:rsidRPr="00D97858" w14:paraId="5FF3C4DE" w14:textId="7BB959E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2,233</w:t>
            </w:r>
          </w:p>
        </w:tc>
        <w:tc>
          <w:tcPr>
            <w:tcW w:w="1542" w:type="dxa"/>
            <w:vAlign w:val="center"/>
          </w:tcPr>
          <w:p w:rsidR="003E7E96" w:rsidRPr="00D97858" w14:paraId="25D462C0" w14:textId="63EAC3E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1,967</w:t>
            </w:r>
          </w:p>
        </w:tc>
        <w:tc>
          <w:tcPr>
            <w:tcW w:w="1946" w:type="dxa"/>
            <w:vAlign w:val="center"/>
          </w:tcPr>
          <w:p w:rsidR="003E7E96" w:rsidRPr="00D97858" w14:paraId="5FDD1B04" w14:textId="3B55F91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651" w:type="dxa"/>
            <w:vAlign w:val="center"/>
          </w:tcPr>
          <w:p w:rsidR="003E7E96" w:rsidRPr="00D97858" w14:paraId="40625C4B" w14:textId="2C7ED4AF">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+266</w:t>
            </w:r>
          </w:p>
        </w:tc>
      </w:tr>
      <w:tr w14:paraId="37C0FAA8" w14:textId="77777777" w:rsidTr="001715E3">
        <w:tblPrEx>
          <w:tblW w:w="9596" w:type="dxa"/>
          <w:tblInd w:w="18" w:type="dxa"/>
          <w:tblLook w:val="01E0"/>
        </w:tblPrEx>
        <w:trPr>
          <w:trHeight w:val="575"/>
        </w:trPr>
        <w:tc>
          <w:tcPr>
            <w:tcW w:w="2221" w:type="dxa"/>
          </w:tcPr>
          <w:p w:rsidR="003E7E96" w14:paraId="545280D2"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Annual Time Burden (Hr.)</w:t>
            </w:r>
          </w:p>
        </w:tc>
        <w:tc>
          <w:tcPr>
            <w:tcW w:w="2236" w:type="dxa"/>
            <w:vAlign w:val="center"/>
          </w:tcPr>
          <w:p w:rsidR="003E7E96" w:rsidRPr="00D97858" w14:paraId="7C24D56C" w14:textId="5698158F">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r w:rsidR="00814A10">
              <w:rPr>
                <w:rFonts w:ascii="Times New Roman" w:eastAsia="Calibri" w:hAnsi="Times New Roman" w:cs="Times New Roman"/>
                <w:sz w:val="26"/>
                <w:szCs w:val="26"/>
              </w:rPr>
              <w:t>30,918</w:t>
            </w:r>
          </w:p>
        </w:tc>
        <w:tc>
          <w:tcPr>
            <w:tcW w:w="1542" w:type="dxa"/>
            <w:vAlign w:val="center"/>
          </w:tcPr>
          <w:p w:rsidR="003E7E96" w:rsidRPr="00D97858" w14:paraId="2C1C87F9" w14:textId="0F7392A8">
            <w:pPr>
              <w:spacing w:after="0" w:line="240" w:lineRule="auto"/>
              <w:jc w:val="right"/>
              <w:rPr>
                <w:rFonts w:ascii="Times New Roman" w:eastAsia="Calibri" w:hAnsi="Times New Roman" w:cs="Times New Roman"/>
                <w:sz w:val="26"/>
                <w:szCs w:val="26"/>
              </w:rPr>
            </w:pPr>
            <w:r w:rsidRPr="00D97858">
              <w:rPr>
                <w:rFonts w:ascii="Times New Roman" w:eastAsia="Calibri" w:hAnsi="Times New Roman" w:cs="Times New Roman"/>
                <w:sz w:val="26"/>
                <w:szCs w:val="26"/>
              </w:rPr>
              <w:t>11</w:t>
            </w:r>
            <w:r w:rsidR="00276739">
              <w:rPr>
                <w:rFonts w:ascii="Times New Roman" w:eastAsia="Calibri" w:hAnsi="Times New Roman" w:cs="Times New Roman"/>
                <w:sz w:val="26"/>
                <w:szCs w:val="26"/>
              </w:rPr>
              <w:t>4,038</w:t>
            </w:r>
          </w:p>
        </w:tc>
        <w:tc>
          <w:tcPr>
            <w:tcW w:w="1946" w:type="dxa"/>
            <w:vAlign w:val="center"/>
          </w:tcPr>
          <w:p w:rsidR="003E7E96" w:rsidRPr="00D97858" w14:paraId="5D99191F" w14:textId="14437EE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651" w:type="dxa"/>
            <w:vAlign w:val="center"/>
          </w:tcPr>
          <w:p w:rsidR="003E7E96" w:rsidRPr="00D97858" w14:paraId="5565A6E8" w14:textId="6A21F5A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+16,880</w:t>
            </w:r>
          </w:p>
        </w:tc>
      </w:tr>
      <w:tr w14:paraId="6B6D2E82" w14:textId="77777777" w:rsidTr="001715E3">
        <w:tblPrEx>
          <w:tblW w:w="9596" w:type="dxa"/>
          <w:tblInd w:w="18" w:type="dxa"/>
          <w:tblLook w:val="01E0"/>
        </w:tblPrEx>
        <w:trPr>
          <w:trHeight w:val="295"/>
        </w:trPr>
        <w:tc>
          <w:tcPr>
            <w:tcW w:w="2221" w:type="dxa"/>
          </w:tcPr>
          <w:p w:rsidR="003E7E96" w14:paraId="015CD9D9"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Annual Cost Burden ($)</w:t>
            </w:r>
          </w:p>
        </w:tc>
        <w:tc>
          <w:tcPr>
            <w:tcW w:w="2236" w:type="dxa"/>
            <w:vAlign w:val="center"/>
          </w:tcPr>
          <w:p w:rsidR="003E7E96" w14:paraId="621E1300"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542" w:type="dxa"/>
            <w:vAlign w:val="center"/>
          </w:tcPr>
          <w:p w:rsidR="003E7E96" w14:paraId="36CBD78B"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946" w:type="dxa"/>
            <w:vAlign w:val="center"/>
          </w:tcPr>
          <w:p w:rsidR="003E7E96" w14:paraId="4518CE0E"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651" w:type="dxa"/>
            <w:vAlign w:val="center"/>
          </w:tcPr>
          <w:p w:rsidR="003E7E96" w14:paraId="63A5D1C4"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bl>
    <w:p w:rsidR="003E7E96" w14:paraId="569E170E" w14:textId="77777777">
      <w:pPr>
        <w:spacing w:after="0" w:line="240" w:lineRule="auto"/>
        <w:rPr>
          <w:rFonts w:ascii="Times New Roman" w:eastAsia="Calibri" w:hAnsi="Times New Roman" w:cs="Times New Roman"/>
          <w:sz w:val="26"/>
          <w:szCs w:val="26"/>
        </w:rPr>
      </w:pPr>
    </w:p>
    <w:p w:rsidR="003E7E96" w14:paraId="09E7483C"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TIME SCHEDULE FOR PUBLICATION OF DATA</w:t>
      </w:r>
    </w:p>
    <w:p w:rsidR="003E7E96" w14:paraId="08CAD89A" w14:textId="77777777">
      <w:pPr>
        <w:spacing w:after="0" w:line="240" w:lineRule="auto"/>
        <w:rPr>
          <w:rFonts w:ascii="Times New Roman" w:eastAsia="Calibri" w:hAnsi="Times New Roman" w:cs="Times New Roman"/>
          <w:sz w:val="26"/>
          <w:szCs w:val="26"/>
        </w:rPr>
      </w:pPr>
    </w:p>
    <w:p w:rsidR="003E7E96" w14:paraId="68E44543"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There are no data publications related to this collection</w:t>
      </w:r>
    </w:p>
    <w:p w:rsidR="003E7E96" w14:paraId="184219D2" w14:textId="77777777">
      <w:pPr>
        <w:spacing w:after="0" w:line="240" w:lineRule="auto"/>
        <w:rPr>
          <w:rFonts w:ascii="Times New Roman" w:eastAsia="Calibri" w:hAnsi="Times New Roman" w:cs="Times New Roman"/>
          <w:sz w:val="26"/>
          <w:szCs w:val="26"/>
        </w:rPr>
      </w:pPr>
    </w:p>
    <w:p w:rsidR="003E7E96" w14:paraId="3AE55825"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DISPLAY OF EXPIRATION DATE</w:t>
      </w:r>
    </w:p>
    <w:p w:rsidR="003E7E96" w14:paraId="0B734887" w14:textId="77777777">
      <w:pPr>
        <w:spacing w:after="0" w:line="240" w:lineRule="auto"/>
        <w:rPr>
          <w:rFonts w:ascii="Times New Roman" w:eastAsia="Calibri" w:hAnsi="Times New Roman" w:cs="Times New Roman"/>
          <w:sz w:val="26"/>
          <w:szCs w:val="26"/>
        </w:rPr>
      </w:pPr>
    </w:p>
    <w:p w:rsidR="00E53AC4" w:rsidRPr="00E53AC4" w:rsidP="00E53AC4" w14:paraId="60B228A6" w14:textId="77777777">
      <w:pPr>
        <w:spacing w:after="0" w:line="240" w:lineRule="auto"/>
        <w:rPr>
          <w:rFonts w:ascii="Times New Roman" w:eastAsia="Calibri" w:hAnsi="Times New Roman" w:cs="Times New Roman"/>
          <w:sz w:val="26"/>
          <w:szCs w:val="26"/>
        </w:rPr>
      </w:pPr>
      <w:r w:rsidRPr="00E53AC4">
        <w:rPr>
          <w:rFonts w:ascii="Times New Roman" w:eastAsia="Calibri" w:hAnsi="Times New Roman" w:cs="Times New Roman"/>
          <w:sz w:val="26"/>
          <w:szCs w:val="26"/>
        </w:rPr>
        <w:t xml:space="preserve">The expiration date is displayed in a table posted on ferc.gov at </w:t>
      </w:r>
      <w:hyperlink r:id="rId9" w:history="1">
        <w:r w:rsidRPr="00E53AC4">
          <w:rPr>
            <w:rFonts w:ascii="Times New Roman" w:eastAsia="Calibri" w:hAnsi="Times New Roman" w:cs="Times New Roman"/>
            <w:color w:val="0000FF"/>
            <w:sz w:val="26"/>
            <w:szCs w:val="26"/>
            <w:u w:val="single"/>
          </w:rPr>
          <w:t>https://www.ferc.gov/information-collections</w:t>
        </w:r>
      </w:hyperlink>
      <w:r w:rsidRPr="00E53AC4">
        <w:rPr>
          <w:rFonts w:ascii="Times New Roman" w:eastAsia="Calibri" w:hAnsi="Times New Roman" w:cs="Times New Roman"/>
          <w:sz w:val="26"/>
          <w:szCs w:val="26"/>
        </w:rPr>
        <w:t>.</w:t>
      </w:r>
    </w:p>
    <w:p w:rsidR="003E7E96" w14:paraId="2DCE5EB1" w14:textId="77777777">
      <w:pPr>
        <w:spacing w:after="0" w:line="240" w:lineRule="auto"/>
        <w:rPr>
          <w:rFonts w:ascii="Times New Roman" w:eastAsia="Calibri" w:hAnsi="Times New Roman" w:cs="Times New Roman"/>
          <w:sz w:val="26"/>
          <w:szCs w:val="26"/>
        </w:rPr>
      </w:pPr>
    </w:p>
    <w:p w:rsidR="003E7E96" w14:paraId="611385D7"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EXCEPTIONS TO THE CERTIFICATION STATEMENT</w:t>
      </w:r>
    </w:p>
    <w:p w:rsidR="003E7E96" w14:paraId="45026544" w14:textId="77777777">
      <w:pPr>
        <w:spacing w:after="0" w:line="240" w:lineRule="auto"/>
        <w:rPr>
          <w:rFonts w:ascii="Times New Roman" w:eastAsia="Calibri" w:hAnsi="Times New Roman" w:cs="Times New Roman"/>
          <w:b/>
          <w:sz w:val="26"/>
          <w:szCs w:val="26"/>
        </w:rPr>
      </w:pPr>
    </w:p>
    <w:p w:rsidR="003E7E96" w14:paraId="07F3CB95" w14:textId="77777777">
      <w:pPr>
        <w:spacing w:after="200" w:line="276" w:lineRule="auto"/>
        <w:rPr>
          <w:rFonts w:ascii="Times New Roman" w:hAnsi="Times New Roman" w:cs="Times New Roman"/>
          <w:sz w:val="26"/>
          <w:szCs w:val="26"/>
        </w:rPr>
      </w:pPr>
      <w:r>
        <w:rPr>
          <w:rFonts w:ascii="Times New Roman" w:eastAsia="Calibri" w:hAnsi="Times New Roman" w:cs="Times New Roman"/>
          <w:sz w:val="26"/>
          <w:szCs w:val="26"/>
        </w:rPr>
        <w:t>There are no exceptions</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0EE3" w14:paraId="7D3B1E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76411206"/>
      <w:docPartObj>
        <w:docPartGallery w:val="Page Numbers (Bottom of Page)"/>
        <w:docPartUnique/>
      </w:docPartObj>
    </w:sdtPr>
    <w:sdtEndPr>
      <w:rPr>
        <w:rFonts w:ascii="Times New Roman" w:hAnsi="Times New Roman" w:cs="Times New Roman"/>
        <w:noProof/>
      </w:rPr>
    </w:sdtEndPr>
    <w:sdtContent>
      <w:p w:rsidR="003E7E96" w14:paraId="21A6B503" w14:textId="77777777">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w:t>
        </w:r>
        <w:r>
          <w:rPr>
            <w:rFonts w:ascii="Times New Roman" w:hAnsi="Times New Roman" w:cs="Times New Roman"/>
            <w:noProof/>
          </w:rPr>
          <w:fldChar w:fldCharType="end"/>
        </w:r>
      </w:p>
    </w:sdtContent>
  </w:sdt>
  <w:p w:rsidR="003E7E96" w14:paraId="137AF07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0EE3" w14:paraId="1590A0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21574" w14:paraId="345A6D8B" w14:textId="77777777">
      <w:pPr>
        <w:spacing w:after="0" w:line="240" w:lineRule="auto"/>
      </w:pPr>
      <w:r>
        <w:separator/>
      </w:r>
    </w:p>
  </w:footnote>
  <w:footnote w:type="continuationSeparator" w:id="1">
    <w:p w:rsidR="00421574" w14:paraId="22C5AC67" w14:textId="77777777">
      <w:pPr>
        <w:spacing w:after="0" w:line="240" w:lineRule="auto"/>
      </w:pPr>
      <w:r>
        <w:continuationSeparator/>
      </w:r>
    </w:p>
  </w:footnote>
  <w:footnote w:type="continuationNotice" w:id="2">
    <w:p w:rsidR="00421574" w14:paraId="380D0A87" w14:textId="77777777">
      <w:pPr>
        <w:spacing w:after="0" w:line="240" w:lineRule="auto"/>
      </w:pPr>
    </w:p>
  </w:footnote>
  <w:footnote w:id="3">
    <w:p w:rsidR="003E7E96" w14:paraId="7FF98786" w14:textId="77777777">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rPr>
        <w:t xml:space="preserve"> The Energy Policy Act of 2005, Pub. L. No 109-58, Title XII, Subtitle A, 119 Stat. 594, 941 (2005), codified at 16 U.S.C. 824o.</w:t>
      </w:r>
    </w:p>
  </w:footnote>
  <w:footnote w:id="4">
    <w:p w:rsidR="005B5763" w:rsidRPr="00D27AE0" w:rsidP="005B5763" w14:paraId="68E86EAC" w14:textId="77777777">
      <w:pPr>
        <w:pStyle w:val="FootnoteText"/>
        <w:rPr>
          <w:rFonts w:ascii="Times New Roman" w:hAnsi="Times New Roman" w:cs="Times New Roman"/>
          <w:sz w:val="26"/>
          <w:szCs w:val="26"/>
        </w:rPr>
      </w:pPr>
      <w:r>
        <w:rPr>
          <w:rStyle w:val="FootnoteReference"/>
        </w:rPr>
        <w:footnoteRef/>
      </w:r>
      <w:r>
        <w:t xml:space="preserve"> </w:t>
      </w:r>
      <w:r w:rsidRPr="00D27AE0">
        <w:rPr>
          <w:rFonts w:ascii="Times New Roman" w:hAnsi="Times New Roman" w:cs="Times New Roman"/>
          <w:sz w:val="26"/>
          <w:szCs w:val="26"/>
        </w:rPr>
        <w:t>16 U.S.C. 824o(d)(2).</w:t>
      </w:r>
    </w:p>
  </w:footnote>
  <w:footnote w:id="5">
    <w:p w:rsidR="002B5D07" w:rsidRPr="00310CBF" w:rsidP="002B5D07" w14:paraId="3BB765C7" w14:textId="77777777">
      <w:pPr>
        <w:pStyle w:val="FootnoteText"/>
        <w:rPr>
          <w:rFonts w:ascii="Times New Roman" w:hAnsi="Times New Roman" w:cs="Times New Roman"/>
          <w:sz w:val="26"/>
          <w:szCs w:val="26"/>
        </w:rPr>
      </w:pPr>
      <w:r>
        <w:rPr>
          <w:rStyle w:val="FootnoteReference"/>
        </w:rPr>
        <w:footnoteRef/>
      </w:r>
      <w:r>
        <w:t xml:space="preserve"> </w:t>
      </w:r>
      <w:r w:rsidRPr="00310CBF">
        <w:rPr>
          <w:rFonts w:ascii="Times New Roman" w:hAnsi="Times New Roman" w:cs="Times New Roman"/>
          <w:i/>
          <w:iCs/>
          <w:sz w:val="26"/>
          <w:szCs w:val="26"/>
        </w:rPr>
        <w:t>Transmission Sys. Plan. Performance Requirements for Extreme Weather</w:t>
      </w:r>
      <w:r w:rsidRPr="00310CBF">
        <w:rPr>
          <w:rFonts w:ascii="Times New Roman" w:hAnsi="Times New Roman" w:cs="Times New Roman"/>
          <w:sz w:val="26"/>
          <w:szCs w:val="26"/>
        </w:rPr>
        <w:t>, Order No. 896, 183 FERC ¶ 61,191 (2023).</w:t>
      </w:r>
    </w:p>
  </w:footnote>
  <w:footnote w:id="6">
    <w:p w:rsidR="002B5D07" w:rsidRPr="00310CBF" w:rsidP="002B5D07" w14:paraId="126879A8" w14:textId="77777777">
      <w:pPr>
        <w:pStyle w:val="FootnoteText"/>
        <w:rPr>
          <w:rFonts w:ascii="Times New Roman" w:hAnsi="Times New Roman" w:cs="Times New Roman"/>
          <w:sz w:val="26"/>
          <w:szCs w:val="26"/>
        </w:rPr>
      </w:pPr>
      <w:r>
        <w:rPr>
          <w:rStyle w:val="FootnoteReference"/>
        </w:rPr>
        <w:footnoteRef/>
      </w:r>
      <w:r>
        <w:t xml:space="preserve"> </w:t>
      </w:r>
      <w:r w:rsidRPr="00310CBF">
        <w:rPr>
          <w:rFonts w:ascii="Times New Roman" w:hAnsi="Times New Roman" w:cs="Times New Roman"/>
          <w:sz w:val="26"/>
          <w:szCs w:val="26"/>
        </w:rPr>
        <w:t xml:space="preserve">NERC’s petition refers to these periodic studies as “extreme temperature assessments,” which NERC proposes to define in the NERC Glossary as a “[d]ocumented evaluation of future Bulk Electric System performance for extreme heat and extreme cold benchmark temperature events.”  </w:t>
      </w:r>
      <w:r w:rsidRPr="00310CBF">
        <w:rPr>
          <w:rFonts w:ascii="Times New Roman" w:hAnsi="Times New Roman" w:cs="Times New Roman"/>
          <w:i/>
          <w:iCs/>
          <w:sz w:val="26"/>
          <w:szCs w:val="26"/>
        </w:rPr>
        <w:t>Id.</w:t>
      </w:r>
      <w:r w:rsidRPr="00310CBF">
        <w:rPr>
          <w:rFonts w:ascii="Times New Roman" w:hAnsi="Times New Roman" w:cs="Times New Roman"/>
          <w:sz w:val="26"/>
          <w:szCs w:val="26"/>
        </w:rPr>
        <w:t xml:space="preserve"> at 16.</w:t>
      </w:r>
    </w:p>
  </w:footnote>
  <w:footnote w:id="7">
    <w:p w:rsidR="002B5D07" w:rsidRPr="00310CBF" w:rsidP="002B5D07" w14:paraId="73538FD6" w14:textId="77777777">
      <w:pPr>
        <w:pStyle w:val="FootnoteText"/>
        <w:rPr>
          <w:rFonts w:ascii="Times New Roman" w:hAnsi="Times New Roman" w:cs="Times New Roman"/>
          <w:sz w:val="26"/>
          <w:szCs w:val="26"/>
        </w:rPr>
      </w:pPr>
      <w:r>
        <w:rPr>
          <w:rStyle w:val="FootnoteReference"/>
        </w:rPr>
        <w:footnoteRef/>
      </w:r>
      <w:r>
        <w:t xml:space="preserve"> </w:t>
      </w:r>
      <w:r w:rsidRPr="00310CBF">
        <w:rPr>
          <w:rFonts w:ascii="Times New Roman" w:hAnsi="Times New Roman" w:cs="Times New Roman"/>
          <w:i/>
          <w:iCs/>
          <w:sz w:val="26"/>
          <w:szCs w:val="26"/>
        </w:rPr>
        <w:t>Id.</w:t>
      </w:r>
      <w:r w:rsidRPr="00310CBF">
        <w:rPr>
          <w:rFonts w:ascii="Times New Roman" w:hAnsi="Times New Roman" w:cs="Times New Roman"/>
          <w:sz w:val="26"/>
          <w:szCs w:val="26"/>
        </w:rPr>
        <w:t xml:space="preserve"> at 23.  Conversely, subject to NERC approval, planning coordinators        may develop and use benchmark temperature events that meet the criteria outlined in Requirements R2.1-R2.2 of the proposed Reliability Standard.  </w:t>
      </w:r>
      <w:r w:rsidRPr="00310CBF">
        <w:rPr>
          <w:rFonts w:ascii="Times New Roman" w:hAnsi="Times New Roman" w:cs="Times New Roman"/>
          <w:i/>
          <w:iCs/>
          <w:sz w:val="26"/>
          <w:szCs w:val="26"/>
        </w:rPr>
        <w:t>Id.</w:t>
      </w:r>
      <w:r w:rsidRPr="00310CBF">
        <w:rPr>
          <w:rFonts w:ascii="Times New Roman" w:hAnsi="Times New Roman" w:cs="Times New Roman"/>
          <w:sz w:val="26"/>
          <w:szCs w:val="26"/>
        </w:rPr>
        <w:t xml:space="preserve"> at 25.</w:t>
      </w:r>
    </w:p>
  </w:footnote>
  <w:footnote w:id="8">
    <w:p w:rsidR="003E7E96" w14:paraId="60E437BE" w14:textId="77777777">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Details of the current ERO Reliability Standard processes are available in Appendix 3A of the NERC Rules of Procedure on the NERC website at </w:t>
      </w:r>
      <w:r>
        <w:rPr>
          <w:rStyle w:val="Hyperlink"/>
          <w:rFonts w:ascii="Times New Roman" w:hAnsi="Times New Roman"/>
          <w:sz w:val="26"/>
          <w:szCs w:val="26"/>
        </w:rPr>
        <w:t>https://www.nerc.com/AboutNERC/Pages/Rules-of-Procedure.aspx</w:t>
      </w:r>
      <w:r>
        <w:rPr>
          <w:rFonts w:ascii="Times New Roman" w:hAnsi="Times New Roman" w:cs="Times New Roman"/>
          <w:sz w:val="26"/>
          <w:szCs w:val="26"/>
        </w:rPr>
        <w:t>.</w:t>
      </w:r>
    </w:p>
  </w:footnote>
  <w:footnote w:id="9">
    <w:p w:rsidR="003E7E96" w14:paraId="2E3B5B93" w14:textId="28D49BA3">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sidR="00AB2805">
        <w:rPr>
          <w:rFonts w:ascii="Times New Roman" w:hAnsi="Times New Roman" w:cs="Times New Roman"/>
          <w:sz w:val="26"/>
          <w:szCs w:val="26"/>
        </w:rPr>
        <w:t>90</w:t>
      </w:r>
      <w:r>
        <w:rPr>
          <w:rFonts w:ascii="Times New Roman" w:hAnsi="Times New Roman" w:cs="Times New Roman"/>
          <w:sz w:val="26"/>
          <w:szCs w:val="26"/>
        </w:rPr>
        <w:t xml:space="preserve"> FR </w:t>
      </w:r>
      <w:r w:rsidR="002F42D3">
        <w:rPr>
          <w:rFonts w:ascii="Times New Roman" w:hAnsi="Times New Roman" w:cs="Times New Roman"/>
          <w:sz w:val="26"/>
          <w:szCs w:val="26"/>
        </w:rPr>
        <w:t>61395</w:t>
      </w:r>
    </w:p>
  </w:footnote>
  <w:footnote w:id="10">
    <w:p w:rsidR="003E7E96" w14:paraId="3634F14B" w14:textId="4485799A">
      <w:pPr>
        <w:pStyle w:val="FootnoteText"/>
        <w:rPr>
          <w:rFonts w:ascii="Times New Roman" w:hAnsi="Times New Roman" w:cs="Times New Roman"/>
          <w:sz w:val="26"/>
          <w:szCs w:val="26"/>
        </w:rPr>
      </w:pPr>
      <w:r>
        <w:rPr>
          <w:rStyle w:val="FootnoteReference"/>
          <w:sz w:val="26"/>
          <w:szCs w:val="26"/>
          <w:vertAlign w:val="superscript"/>
        </w:rPr>
        <w:footnoteRef/>
      </w:r>
      <w:r>
        <w:t xml:space="preserve"> </w:t>
      </w:r>
      <w:r w:rsidR="00AB2805">
        <w:rPr>
          <w:rFonts w:ascii="Times New Roman" w:hAnsi="Times New Roman" w:cs="Times New Roman"/>
          <w:sz w:val="26"/>
          <w:szCs w:val="26"/>
        </w:rPr>
        <w:t>9</w:t>
      </w:r>
      <w:r w:rsidR="002F42D3">
        <w:rPr>
          <w:rFonts w:ascii="Times New Roman" w:hAnsi="Times New Roman" w:cs="Times New Roman"/>
          <w:sz w:val="26"/>
          <w:szCs w:val="26"/>
        </w:rPr>
        <w:t>1</w:t>
      </w:r>
      <w:r>
        <w:rPr>
          <w:rFonts w:ascii="Times New Roman" w:hAnsi="Times New Roman" w:cs="Times New Roman"/>
          <w:sz w:val="26"/>
          <w:szCs w:val="26"/>
        </w:rPr>
        <w:t xml:space="preserve"> FR </w:t>
      </w:r>
      <w:r w:rsidR="002F42D3">
        <w:rPr>
          <w:rFonts w:ascii="Times New Roman" w:hAnsi="Times New Roman" w:cs="Times New Roman"/>
          <w:sz w:val="26"/>
          <w:szCs w:val="26"/>
        </w:rPr>
        <w:t>12786</w:t>
      </w:r>
    </w:p>
  </w:footnote>
  <w:footnote w:id="11">
    <w:p w:rsidR="00FB7238" w:rsidRPr="00A5379E" w:rsidP="00FB7238" w14:paraId="7C28882B" w14:textId="77777777">
      <w:pPr>
        <w:pStyle w:val="FootnoteText"/>
        <w:rPr>
          <w:szCs w:val="26"/>
        </w:rPr>
      </w:pPr>
      <w:r w:rsidRPr="00E220A0">
        <w:rPr>
          <w:b/>
          <w:vertAlign w:val="superscript"/>
        </w:rPr>
        <w:footnoteRef/>
      </w:r>
      <w:r w:rsidRPr="00A5379E">
        <w:rPr>
          <w:szCs w:val="26"/>
        </w:rPr>
        <w:t xml:space="preserve"> </w:t>
      </w:r>
      <w:r w:rsidRPr="00CB3DAD">
        <w:rPr>
          <w:rFonts w:ascii="Times New Roman" w:hAnsi="Times New Roman" w:cs="Times New Roman"/>
          <w:sz w:val="26"/>
          <w:szCs w:val="26"/>
        </w:rPr>
        <w:t>Number of entities data taken from the NERC compliance registry, dated November 20, 2024.</w:t>
      </w:r>
    </w:p>
  </w:footnote>
  <w:footnote w:id="12">
    <w:p w:rsidR="00FB7238" w:rsidRPr="00CB3DAD" w:rsidP="00FB7238" w14:paraId="39FCDFAB" w14:textId="77777777">
      <w:pPr>
        <w:pStyle w:val="FootnoteText"/>
        <w:rPr>
          <w:rFonts w:ascii="Times New Roman" w:hAnsi="Times New Roman" w:cs="Times New Roman"/>
          <w:sz w:val="26"/>
          <w:szCs w:val="26"/>
        </w:rPr>
      </w:pPr>
      <w:r w:rsidRPr="00E220A0">
        <w:rPr>
          <w:b/>
          <w:vertAlign w:val="superscript"/>
        </w:rPr>
        <w:footnoteRef/>
      </w:r>
      <w:r w:rsidRPr="00A5379E">
        <w:rPr>
          <w:szCs w:val="26"/>
        </w:rPr>
        <w:t xml:space="preserve"> </w:t>
      </w:r>
      <w:r w:rsidRPr="00CB3DAD">
        <w:rPr>
          <w:rFonts w:ascii="Times New Roman" w:hAnsi="Times New Roman" w:cs="Times New Roman"/>
          <w:sz w:val="26"/>
          <w:szCs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 w:id="13">
    <w:p w:rsidR="003E7E96" w14:paraId="290923DA" w14:textId="1196E1B1">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Based upon FERC’s 20</w:t>
      </w:r>
      <w:r w:rsidR="00E53AC4">
        <w:rPr>
          <w:rFonts w:ascii="Times New Roman" w:hAnsi="Times New Roman" w:cs="Times New Roman"/>
          <w:sz w:val="26"/>
          <w:szCs w:val="26"/>
        </w:rPr>
        <w:t>2</w:t>
      </w:r>
      <w:r w:rsidR="006E7862">
        <w:rPr>
          <w:rFonts w:ascii="Times New Roman" w:hAnsi="Times New Roman" w:cs="Times New Roman"/>
          <w:sz w:val="26"/>
          <w:szCs w:val="26"/>
        </w:rPr>
        <w:t>5</w:t>
      </w:r>
      <w:r>
        <w:rPr>
          <w:rFonts w:ascii="Times New Roman" w:hAnsi="Times New Roman" w:cs="Times New Roman"/>
          <w:sz w:val="26"/>
          <w:szCs w:val="26"/>
        </w:rPr>
        <w:t xml:space="preserve"> estimated average annual PRA Administrative Cost: $</w:t>
      </w:r>
      <w:r w:rsidR="00E53AC4">
        <w:rPr>
          <w:rFonts w:ascii="Times New Roman" w:hAnsi="Times New Roman" w:cs="Times New Roman"/>
          <w:sz w:val="26"/>
          <w:szCs w:val="26"/>
        </w:rPr>
        <w:t>7,</w:t>
      </w:r>
      <w:r w:rsidR="002234D5">
        <w:rPr>
          <w:rFonts w:ascii="Times New Roman" w:hAnsi="Times New Roman" w:cs="Times New Roman"/>
          <w:sz w:val="26"/>
          <w:szCs w:val="26"/>
        </w:rPr>
        <w:t>978</w:t>
      </w:r>
      <w:r>
        <w:rPr>
          <w:rFonts w:ascii="Times New Roman"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0EE3" w14:paraId="50D9C6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7E96" w14:paraId="50B0E770" w14:textId="77777777">
    <w:pPr>
      <w:pStyle w:val="Header"/>
      <w:rPr>
        <w:rFonts w:ascii="Times New Roman" w:hAnsi="Times New Roman"/>
        <w:sz w:val="24"/>
        <w:szCs w:val="24"/>
      </w:rPr>
    </w:pPr>
    <w:r>
      <w:rPr>
        <w:rFonts w:ascii="Times New Roman" w:hAnsi="Times New Roman"/>
        <w:i/>
        <w:noProof/>
        <w:sz w:val="24"/>
        <w:szCs w:val="24"/>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MSIPCM791745c29670e4aa131e2b16"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3E7E96" w14:textId="77777777">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791745c29670e4aa131e2b16" o:spid="_x0000_s2049" type="#_x0000_t202" alt="{&quot;HashCode&quot;:-175139966,&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3E7E96" w14:paraId="502DD8E1" w14:textId="77777777">
                    <w:pPr>
                      <w:spacing w:after="0"/>
                      <w:jc w:val="center"/>
                      <w:rPr>
                        <w:rFonts w:ascii="Times New Roman" w:hAnsi="Times New Roman" w:cs="Times New Roman"/>
                        <w:color w:val="A80000"/>
                        <w:sz w:val="26"/>
                      </w:rPr>
                    </w:pPr>
                  </w:p>
                </w:txbxContent>
              </v:textbox>
            </v:shape>
          </w:pict>
        </mc:Fallback>
      </mc:AlternateContent>
    </w:r>
    <w:r>
      <w:rPr>
        <w:rFonts w:ascii="Times New Roman" w:hAnsi="Times New Roman"/>
        <w:sz w:val="24"/>
        <w:szCs w:val="24"/>
      </w:rPr>
      <w:t>FERC-725N (OMB Control No.: 1902-0264)</w:t>
    </w:r>
    <w:r>
      <w:rPr>
        <w:rFonts w:ascii="Times New Roman" w:hAnsi="Times New Roman"/>
        <w:b/>
        <w:sz w:val="24"/>
        <w:szCs w:val="24"/>
      </w:rPr>
      <w:t xml:space="preserve"> </w:t>
    </w:r>
  </w:p>
  <w:p w:rsidR="003E7E96" w14:paraId="2DAB8C54" w14:textId="1FE28A5A">
    <w:pPr>
      <w:pStyle w:val="Header"/>
      <w:rPr>
        <w:rFonts w:ascii="Times New Roman" w:hAnsi="Times New Roman"/>
        <w:sz w:val="24"/>
        <w:szCs w:val="24"/>
      </w:rPr>
    </w:pPr>
    <w:r>
      <w:rPr>
        <w:rFonts w:ascii="Times New Roman" w:hAnsi="Times New Roman"/>
        <w:sz w:val="24"/>
        <w:szCs w:val="24"/>
      </w:rPr>
      <w:t xml:space="preserve">Docket No. </w:t>
    </w:r>
    <w:r w:rsidR="00EF5AC6">
      <w:rPr>
        <w:rFonts w:ascii="Times New Roman" w:hAnsi="Times New Roman"/>
        <w:sz w:val="24"/>
        <w:szCs w:val="24"/>
      </w:rPr>
      <w:t>RD</w:t>
    </w:r>
    <w:r>
      <w:rPr>
        <w:rFonts w:ascii="Times New Roman" w:hAnsi="Times New Roman"/>
        <w:sz w:val="24"/>
        <w:szCs w:val="24"/>
      </w:rPr>
      <w:t>2</w:t>
    </w:r>
    <w:r w:rsidR="00EF5AC6">
      <w:rPr>
        <w:rFonts w:ascii="Times New Roman" w:hAnsi="Times New Roman"/>
        <w:sz w:val="24"/>
        <w:szCs w:val="24"/>
      </w:rPr>
      <w:t>5</w:t>
    </w:r>
    <w:r>
      <w:rPr>
        <w:rFonts w:ascii="Times New Roman" w:hAnsi="Times New Roman"/>
        <w:sz w:val="24"/>
        <w:szCs w:val="24"/>
      </w:rPr>
      <w:t>-</w:t>
    </w:r>
    <w:r w:rsidR="00EF5AC6">
      <w:rPr>
        <w:rFonts w:ascii="Times New Roman" w:hAnsi="Times New Roman"/>
        <w:sz w:val="24"/>
        <w:szCs w:val="24"/>
      </w:rPr>
      <w:t>4</w:t>
    </w:r>
    <w:r>
      <w:rPr>
        <w:rFonts w:ascii="Times New Roman" w:hAnsi="Times New Roman"/>
        <w:sz w:val="24"/>
        <w:szCs w:val="24"/>
      </w:rPr>
      <w:t>-000</w:t>
    </w:r>
  </w:p>
  <w:p w:rsidR="003E7E96" w14:paraId="2F55B89F" w14:textId="77777777">
    <w:pPr>
      <w:pStyle w:val="Header"/>
      <w:tabs>
        <w:tab w:val="left" w:pos="2980"/>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0EE3" w14:paraId="032E6D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402"/>
    <w:multiLevelType w:val="multilevel"/>
    <w:tmpl w:val="00000885"/>
    <w:lvl w:ilvl="0">
      <w:start w:val="0"/>
      <w:numFmt w:val="bullet"/>
      <w:lvlText w:val=""/>
      <w:lvlJc w:val="left"/>
      <w:pPr>
        <w:ind w:left="1700" w:hanging="540"/>
      </w:pPr>
      <w:rPr>
        <w:rFonts w:ascii="Symbol" w:hAnsi="Symbol" w:cs="Symbol"/>
        <w:b w:val="0"/>
        <w:bCs w:val="0"/>
        <w:sz w:val="24"/>
        <w:szCs w:val="24"/>
      </w:rPr>
    </w:lvl>
    <w:lvl w:ilvl="1">
      <w:start w:val="0"/>
      <w:numFmt w:val="bullet"/>
      <w:lvlText w:val="•"/>
      <w:lvlJc w:val="left"/>
      <w:pPr>
        <w:ind w:left="2440" w:hanging="540"/>
      </w:pPr>
    </w:lvl>
    <w:lvl w:ilvl="2">
      <w:start w:val="0"/>
      <w:numFmt w:val="bullet"/>
      <w:lvlText w:val="•"/>
      <w:lvlJc w:val="left"/>
      <w:pPr>
        <w:ind w:left="3180" w:hanging="540"/>
      </w:pPr>
    </w:lvl>
    <w:lvl w:ilvl="3">
      <w:start w:val="0"/>
      <w:numFmt w:val="bullet"/>
      <w:lvlText w:val="•"/>
      <w:lvlJc w:val="left"/>
      <w:pPr>
        <w:ind w:left="3920" w:hanging="540"/>
      </w:pPr>
    </w:lvl>
    <w:lvl w:ilvl="4">
      <w:start w:val="0"/>
      <w:numFmt w:val="bullet"/>
      <w:lvlText w:val="•"/>
      <w:lvlJc w:val="left"/>
      <w:pPr>
        <w:ind w:left="4660" w:hanging="540"/>
      </w:pPr>
    </w:lvl>
    <w:lvl w:ilvl="5">
      <w:start w:val="0"/>
      <w:numFmt w:val="bullet"/>
      <w:lvlText w:val="•"/>
      <w:lvlJc w:val="left"/>
      <w:pPr>
        <w:ind w:left="5400" w:hanging="540"/>
      </w:pPr>
    </w:lvl>
    <w:lvl w:ilvl="6">
      <w:start w:val="0"/>
      <w:numFmt w:val="bullet"/>
      <w:lvlText w:val="•"/>
      <w:lvlJc w:val="left"/>
      <w:pPr>
        <w:ind w:left="6140" w:hanging="540"/>
      </w:pPr>
    </w:lvl>
    <w:lvl w:ilvl="7">
      <w:start w:val="0"/>
      <w:numFmt w:val="bullet"/>
      <w:lvlText w:val="•"/>
      <w:lvlJc w:val="left"/>
      <w:pPr>
        <w:ind w:left="6880" w:hanging="540"/>
      </w:pPr>
    </w:lvl>
    <w:lvl w:ilvl="8">
      <w:start w:val="0"/>
      <w:numFmt w:val="bullet"/>
      <w:lvlText w:val="•"/>
      <w:lvlJc w:val="left"/>
      <w:pPr>
        <w:ind w:left="7620" w:hanging="540"/>
      </w:pPr>
    </w:lvl>
  </w:abstractNum>
  <w:abstractNum w:abstractNumId="1">
    <w:nsid w:val="03340A83"/>
    <w:multiLevelType w:val="hybridMultilevel"/>
    <w:tmpl w:val="C3FC5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C02951"/>
    <w:multiLevelType w:val="hybridMultilevel"/>
    <w:tmpl w:val="7332B2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3F26DE4"/>
    <w:multiLevelType w:val="hybridMultilevel"/>
    <w:tmpl w:val="14B25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162617"/>
    <w:multiLevelType w:val="hybridMultilevel"/>
    <w:tmpl w:val="1018B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0A3848"/>
    <w:multiLevelType w:val="hybridMultilevel"/>
    <w:tmpl w:val="8B8E3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586E6A"/>
    <w:multiLevelType w:val="hybridMultilevel"/>
    <w:tmpl w:val="54280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4657912"/>
    <w:multiLevelType w:val="hybridMultilevel"/>
    <w:tmpl w:val="FBAEF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BA77D90"/>
    <w:multiLevelType w:val="hybridMultilevel"/>
    <w:tmpl w:val="82F800C0"/>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0">
    <w:nsid w:val="7D3B09D3"/>
    <w:multiLevelType w:val="hybridMultilevel"/>
    <w:tmpl w:val="05AE5148"/>
    <w:lvl w:ilvl="0">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4E4DD3"/>
    <w:multiLevelType w:val="hybridMultilevel"/>
    <w:tmpl w:val="7CB2385A"/>
    <w:lvl w:ilvl="0">
      <w:start w:val="1"/>
      <w:numFmt w:val="decimal"/>
      <w:pStyle w:val="FERCparanumber"/>
      <w:lvlText w:val="%1."/>
      <w:lvlJc w:val="left"/>
      <w:pPr>
        <w:tabs>
          <w:tab w:val="num" w:pos="990"/>
        </w:tabs>
        <w:ind w:left="270" w:firstLine="0"/>
      </w:pPr>
      <w:rPr>
        <w:rFonts w:hint="default"/>
        <w:b w:val="0"/>
        <w:i w:val="0"/>
        <w:sz w:val="26"/>
        <w:szCs w:val="26"/>
      </w:rPr>
    </w:lvl>
    <w:lvl w:ilvl="1">
      <w:start w:val="3"/>
      <w:numFmt w:val="upperLetter"/>
      <w:lvlText w:val="%2."/>
      <w:lvlJc w:val="left"/>
      <w:pPr>
        <w:tabs>
          <w:tab w:val="num" w:pos="830"/>
        </w:tabs>
        <w:ind w:left="830" w:hanging="660"/>
      </w:pPr>
      <w:rPr>
        <w:rFonts w:hint="default"/>
        <w:b/>
        <w:color w:val="auto"/>
        <w:u w:val="none"/>
      </w:rPr>
    </w:lvl>
    <w:lvl w:ilvl="2">
      <w:start w:val="1"/>
      <w:numFmt w:val="lowerRoman"/>
      <w:lvlText w:val="%3."/>
      <w:lvlJc w:val="right"/>
      <w:pPr>
        <w:tabs>
          <w:tab w:val="num" w:pos="1250"/>
        </w:tabs>
        <w:ind w:left="1250" w:hanging="180"/>
      </w:pPr>
      <w:rPr>
        <w:rFonts w:hint="default"/>
      </w:rPr>
    </w:lvl>
    <w:lvl w:ilvl="3">
      <w:start w:val="1"/>
      <w:numFmt w:val="decimal"/>
      <w:lvlText w:val="%4."/>
      <w:lvlJc w:val="left"/>
      <w:pPr>
        <w:tabs>
          <w:tab w:val="num" w:pos="1970"/>
        </w:tabs>
        <w:ind w:left="1970" w:hanging="360"/>
      </w:pPr>
    </w:lvl>
    <w:lvl w:ilvl="4" w:tentative="1">
      <w:start w:val="1"/>
      <w:numFmt w:val="lowerLetter"/>
      <w:lvlText w:val="%5."/>
      <w:lvlJc w:val="left"/>
      <w:pPr>
        <w:tabs>
          <w:tab w:val="num" w:pos="2690"/>
        </w:tabs>
        <w:ind w:left="2690" w:hanging="360"/>
      </w:pPr>
    </w:lvl>
    <w:lvl w:ilvl="5" w:tentative="1">
      <w:start w:val="1"/>
      <w:numFmt w:val="lowerRoman"/>
      <w:lvlText w:val="%6."/>
      <w:lvlJc w:val="right"/>
      <w:pPr>
        <w:tabs>
          <w:tab w:val="num" w:pos="3410"/>
        </w:tabs>
        <w:ind w:left="3410" w:hanging="180"/>
      </w:pPr>
    </w:lvl>
    <w:lvl w:ilvl="6" w:tentative="1">
      <w:start w:val="1"/>
      <w:numFmt w:val="decimal"/>
      <w:lvlText w:val="%7."/>
      <w:lvlJc w:val="left"/>
      <w:pPr>
        <w:tabs>
          <w:tab w:val="num" w:pos="4130"/>
        </w:tabs>
        <w:ind w:left="4130" w:hanging="360"/>
      </w:pPr>
    </w:lvl>
    <w:lvl w:ilvl="7" w:tentative="1">
      <w:start w:val="1"/>
      <w:numFmt w:val="lowerLetter"/>
      <w:lvlText w:val="%8."/>
      <w:lvlJc w:val="left"/>
      <w:pPr>
        <w:tabs>
          <w:tab w:val="num" w:pos="4850"/>
        </w:tabs>
        <w:ind w:left="4850" w:hanging="360"/>
      </w:pPr>
    </w:lvl>
    <w:lvl w:ilvl="8" w:tentative="1">
      <w:start w:val="1"/>
      <w:numFmt w:val="lowerRoman"/>
      <w:lvlText w:val="%9."/>
      <w:lvlJc w:val="right"/>
      <w:pPr>
        <w:tabs>
          <w:tab w:val="num" w:pos="5570"/>
        </w:tabs>
        <w:ind w:left="5570" w:hanging="180"/>
      </w:pPr>
    </w:lvl>
  </w:abstractNum>
  <w:num w:numId="1" w16cid:durableId="122046532">
    <w:abstractNumId w:val="6"/>
  </w:num>
  <w:num w:numId="2" w16cid:durableId="1848590821">
    <w:abstractNumId w:val="0"/>
  </w:num>
  <w:num w:numId="3" w16cid:durableId="62483623">
    <w:abstractNumId w:val="3"/>
  </w:num>
  <w:num w:numId="4" w16cid:durableId="1060132693">
    <w:abstractNumId w:val="9"/>
  </w:num>
  <w:num w:numId="5" w16cid:durableId="1077441771">
    <w:abstractNumId w:val="5"/>
  </w:num>
  <w:num w:numId="6" w16cid:durableId="684983878">
    <w:abstractNumId w:val="11"/>
  </w:num>
  <w:num w:numId="7" w16cid:durableId="89207874">
    <w:abstractNumId w:val="1"/>
  </w:num>
  <w:num w:numId="8" w16cid:durableId="1032193015">
    <w:abstractNumId w:val="4"/>
  </w:num>
  <w:num w:numId="9" w16cid:durableId="1885560451">
    <w:abstractNumId w:val="10"/>
  </w:num>
  <w:num w:numId="10" w16cid:durableId="1373119050">
    <w:abstractNumId w:val="8"/>
  </w:num>
  <w:num w:numId="11" w16cid:durableId="475876451">
    <w:abstractNumId w:val="2"/>
  </w:num>
  <w:num w:numId="12" w16cid:durableId="1456866628">
    <w:abstractNumId w:val="7"/>
  </w:num>
  <w:num w:numId="13" w16cid:durableId="1071390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ayla Williams">
    <w15:presenceInfo w15:providerId="AD" w15:userId="S::Kayla.Williams@ferc.gov::fa0b8baa-664b-4a05-aaef-4688feda3b82"/>
  </w15:person>
  <w15:person w15:author="David O'Connor">
    <w15:presenceInfo w15:providerId="AD" w15:userId="S::David.OConnor@ferc.gov::53ef9228-e968-4d47-9d19-64962e7ea1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96"/>
    <w:rsid w:val="00003F17"/>
    <w:rsid w:val="0000550B"/>
    <w:rsid w:val="00006455"/>
    <w:rsid w:val="00011B54"/>
    <w:rsid w:val="00012D99"/>
    <w:rsid w:val="00034088"/>
    <w:rsid w:val="000355FB"/>
    <w:rsid w:val="000508EF"/>
    <w:rsid w:val="000550E6"/>
    <w:rsid w:val="000A189B"/>
    <w:rsid w:val="000B1B81"/>
    <w:rsid w:val="000C7758"/>
    <w:rsid w:val="000E1F7F"/>
    <w:rsid w:val="00103ABB"/>
    <w:rsid w:val="00142294"/>
    <w:rsid w:val="00156096"/>
    <w:rsid w:val="001715E3"/>
    <w:rsid w:val="00176B56"/>
    <w:rsid w:val="001B09EE"/>
    <w:rsid w:val="001B2CD3"/>
    <w:rsid w:val="00202EBD"/>
    <w:rsid w:val="00207D4B"/>
    <w:rsid w:val="002234D5"/>
    <w:rsid w:val="00237C48"/>
    <w:rsid w:val="002403A8"/>
    <w:rsid w:val="00251F29"/>
    <w:rsid w:val="0025458F"/>
    <w:rsid w:val="00276739"/>
    <w:rsid w:val="00276E9E"/>
    <w:rsid w:val="002A6E5B"/>
    <w:rsid w:val="002B5D07"/>
    <w:rsid w:val="002E15F1"/>
    <w:rsid w:val="002F42D3"/>
    <w:rsid w:val="00310CBF"/>
    <w:rsid w:val="003227A3"/>
    <w:rsid w:val="00341213"/>
    <w:rsid w:val="0035258C"/>
    <w:rsid w:val="00360EE3"/>
    <w:rsid w:val="00374E2F"/>
    <w:rsid w:val="003B6D0E"/>
    <w:rsid w:val="003E7E96"/>
    <w:rsid w:val="0041227E"/>
    <w:rsid w:val="004127D6"/>
    <w:rsid w:val="00421574"/>
    <w:rsid w:val="004344AA"/>
    <w:rsid w:val="00437CC5"/>
    <w:rsid w:val="00442912"/>
    <w:rsid w:val="004525D4"/>
    <w:rsid w:val="00456616"/>
    <w:rsid w:val="00460B32"/>
    <w:rsid w:val="00464052"/>
    <w:rsid w:val="004658BF"/>
    <w:rsid w:val="004812C5"/>
    <w:rsid w:val="00487610"/>
    <w:rsid w:val="004E65E4"/>
    <w:rsid w:val="005308B1"/>
    <w:rsid w:val="00561E64"/>
    <w:rsid w:val="00584086"/>
    <w:rsid w:val="005B5763"/>
    <w:rsid w:val="00604700"/>
    <w:rsid w:val="00614BF3"/>
    <w:rsid w:val="00621DFD"/>
    <w:rsid w:val="006228E1"/>
    <w:rsid w:val="00677858"/>
    <w:rsid w:val="00684757"/>
    <w:rsid w:val="006D65CB"/>
    <w:rsid w:val="006E7862"/>
    <w:rsid w:val="00703E35"/>
    <w:rsid w:val="00721581"/>
    <w:rsid w:val="0074670A"/>
    <w:rsid w:val="00752C09"/>
    <w:rsid w:val="00761436"/>
    <w:rsid w:val="00783B00"/>
    <w:rsid w:val="00795961"/>
    <w:rsid w:val="007D0DEE"/>
    <w:rsid w:val="00814A10"/>
    <w:rsid w:val="00830A0A"/>
    <w:rsid w:val="008B0ACB"/>
    <w:rsid w:val="008C3FFB"/>
    <w:rsid w:val="008D3C4D"/>
    <w:rsid w:val="008D576B"/>
    <w:rsid w:val="008F46EC"/>
    <w:rsid w:val="009042FB"/>
    <w:rsid w:val="00905ABC"/>
    <w:rsid w:val="00925D03"/>
    <w:rsid w:val="0093379B"/>
    <w:rsid w:val="00936C20"/>
    <w:rsid w:val="009D6137"/>
    <w:rsid w:val="00A35D0A"/>
    <w:rsid w:val="00A41CBF"/>
    <w:rsid w:val="00A5379E"/>
    <w:rsid w:val="00A736FB"/>
    <w:rsid w:val="00A971A6"/>
    <w:rsid w:val="00AB2805"/>
    <w:rsid w:val="00AB2822"/>
    <w:rsid w:val="00AC5C2F"/>
    <w:rsid w:val="00B45ABF"/>
    <w:rsid w:val="00BC2449"/>
    <w:rsid w:val="00C00FB2"/>
    <w:rsid w:val="00C1216E"/>
    <w:rsid w:val="00C31E48"/>
    <w:rsid w:val="00C34524"/>
    <w:rsid w:val="00C64D39"/>
    <w:rsid w:val="00C76A7B"/>
    <w:rsid w:val="00C93279"/>
    <w:rsid w:val="00CB3DAD"/>
    <w:rsid w:val="00D160BD"/>
    <w:rsid w:val="00D27AE0"/>
    <w:rsid w:val="00D431D9"/>
    <w:rsid w:val="00D852E0"/>
    <w:rsid w:val="00D97858"/>
    <w:rsid w:val="00E01306"/>
    <w:rsid w:val="00E16F0D"/>
    <w:rsid w:val="00E40E4C"/>
    <w:rsid w:val="00E53AC4"/>
    <w:rsid w:val="00E957D7"/>
    <w:rsid w:val="00EB1121"/>
    <w:rsid w:val="00EB3252"/>
    <w:rsid w:val="00EC3394"/>
    <w:rsid w:val="00ED5990"/>
    <w:rsid w:val="00ED788F"/>
    <w:rsid w:val="00EE1B39"/>
    <w:rsid w:val="00EE26A2"/>
    <w:rsid w:val="00EE6575"/>
    <w:rsid w:val="00EF06B6"/>
    <w:rsid w:val="00EF5AC6"/>
    <w:rsid w:val="00F15865"/>
    <w:rsid w:val="00F506DE"/>
    <w:rsid w:val="00F7483C"/>
    <w:rsid w:val="00F940CB"/>
    <w:rsid w:val="00FB3CD7"/>
    <w:rsid w:val="00FB7238"/>
    <w:rsid w:val="00FF5323"/>
    <w:rsid w:val="00FF67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A739BE"/>
  <w15:docId w15:val="{36A20EA1-B3AF-44D3-833E-0512438F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 Char1,Footnote Text Char Char Char2,Footnote Text Char1 Char Char Char1,Footnote Text Char1 Char Char2,Footnote Text Char1 Char1 Char1,Footnote Text Char1 Char3,Footnote Text Char2 Char Char,fn Char1"/>
    <w:basedOn w:val="DefaultParagraphFont"/>
    <w:link w:val="FootnoteText"/>
    <w:uiPriority w:val="99"/>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MRP Char,fn Char,fn1 Char"/>
    <w:uiPriority w:val="99"/>
    <w:rPr>
      <w:sz w:val="26"/>
      <w:lang w:val="en-US" w:eastAsia="en-US" w:bidi="ar-SA"/>
    </w:rPr>
  </w:style>
  <w:style w:type="paragraph" w:customStyle="1" w:styleId="FERCparanumber">
    <w:name w:val="FERC paranumber"/>
    <w:basedOn w:val="Normal"/>
    <w:link w:val="FERCparanumberChar1"/>
    <w:qFormat/>
    <w:pPr>
      <w:numPr>
        <w:numId w:val="6"/>
      </w:numPr>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ERCparanumberChar">
    <w:name w:val="FERC paranumber Char"/>
    <w:basedOn w:val="DefaultParagraphFont"/>
    <w:rPr>
      <w:rFonts w:ascii="Times New Roman"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341213"/>
    <w:rPr>
      <w:color w:val="605E5C"/>
      <w:shd w:val="clear" w:color="auto" w:fill="E1DFDD"/>
    </w:rPr>
  </w:style>
  <w:style w:type="table" w:styleId="TableGrid">
    <w:name w:val="Table Grid"/>
    <w:basedOn w:val="TableNormal"/>
    <w:rsid w:val="00FB723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1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725N</_x0031__x002e__x0020_Collection_x0020_Number>
    <Date xmlns="d6eefc7d-9817-4fa6-84d5-3bc009be21b8">2023-01-12T05:00:00+00:00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IC22-30</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5159-921F-47EF-BE2D-2679DB21A839}">
  <ds:schemaRefs>
    <ds:schemaRef ds:uri="http://schemas.microsoft.com/sharepoint/v3/contenttype/forms"/>
  </ds:schemaRefs>
</ds:datastoreItem>
</file>

<file path=customXml/itemProps2.xml><?xml version="1.0" encoding="utf-8"?>
<ds:datastoreItem xmlns:ds="http://schemas.openxmlformats.org/officeDocument/2006/customXml" ds:itemID="{ED07740B-AA04-49A1-8875-0BAB9D9A805C}">
  <ds:schemaRefs>
    <ds:schemaRef ds:uri="http://schemas.openxmlformats.org/officeDocument/2006/bibliography"/>
  </ds:schemaRefs>
</ds:datastoreItem>
</file>

<file path=customXml/itemProps3.xml><?xml version="1.0" encoding="utf-8"?>
<ds:datastoreItem xmlns:ds="http://schemas.openxmlformats.org/officeDocument/2006/customXml" ds:itemID="{CEEE68EE-2CAF-4104-92DB-1A179AD5207B}">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4.xml><?xml version="1.0" encoding="utf-8"?>
<ds:datastoreItem xmlns:ds="http://schemas.openxmlformats.org/officeDocument/2006/customXml" ds:itemID="{ED6E8793-15A3-4A52-BA74-A56201BA1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8</cp:revision>
  <cp:lastPrinted>2020-02-13T13:03:00Z</cp:lastPrinted>
  <dcterms:created xsi:type="dcterms:W3CDTF">2025-05-01T14:06:00Z</dcterms:created>
  <dcterms:modified xsi:type="dcterms:W3CDTF">2026-03-17T23:10:00Z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0dda7b3e-87b8-49f3-b460-6513e5f33cd3</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2025-04-25T17:10:35Z</vt:lpwstr>
  </property>
  <property fmtid="{D5CDD505-2E9C-101B-9397-08002B2CF9AE}" pid="10" name="MSIP_Label_bd24d06a-0e85-4d57-b1e0-ba34b1abc708_SiteId">
    <vt:lpwstr>19caa9e9-04ff-43fa-885f-d77fac387903</vt:lpwstr>
  </property>
</Properties>
</file>