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60BF011B">
      <w:pPr>
        <w:jc w:val="center"/>
      </w:pPr>
      <w:r w:rsidRPr="007633DD">
        <w:t>Docket No</w:t>
      </w:r>
      <w:r w:rsidRPr="00413FDE">
        <w:t xml:space="preserve">. </w:t>
      </w:r>
      <w:r w:rsidR="00703313">
        <w:t>RD</w:t>
      </w:r>
      <w:r w:rsidR="008B70F5">
        <w:t>2</w:t>
      </w:r>
      <w:r w:rsidR="005A23EA">
        <w:t>5</w:t>
      </w:r>
      <w:r w:rsidRPr="00413FDE" w:rsidR="00613169">
        <w:t>-</w:t>
      </w:r>
      <w:r w:rsidR="00E22B24">
        <w:t>4</w:t>
      </w:r>
      <w:r w:rsidRPr="00413FDE" w:rsidR="00613169">
        <w:t>-000</w:t>
      </w:r>
    </w:p>
    <w:p w:rsidR="00A2604E" w:rsidP="00A2604E" w14:paraId="4D16FE54" w14:textId="77777777"/>
    <w:p w:rsidR="00A2604E" w:rsidP="00A2604E" w14:paraId="0627AE31" w14:textId="4961D8CB">
      <w:pPr>
        <w:jc w:val="center"/>
      </w:pPr>
      <w:r>
        <w:t>COMMISSION INFORMATION COLLECTION ACTIVITIES (FERC-</w:t>
      </w:r>
      <w:r w:rsidR="000D6969">
        <w:t>725</w:t>
      </w:r>
      <w:r w:rsidR="00E22B24">
        <w:t xml:space="preserve">N) </w:t>
      </w:r>
    </w:p>
    <w:p w:rsidR="00A2604E" w:rsidP="00A2604E" w14:paraId="3B5240D4" w14:textId="0F47A49F">
      <w:pPr>
        <w:jc w:val="center"/>
      </w:pPr>
      <w:r>
        <w:t xml:space="preserve">COMMENT REQUEST; </w:t>
      </w:r>
      <w:r w:rsidR="0017796B">
        <w:t>REVISION</w:t>
      </w:r>
    </w:p>
    <w:p w:rsidR="00881405" w:rsidP="00A2604E" w14:paraId="5D8DD33D" w14:textId="77777777">
      <w:pPr>
        <w:jc w:val="center"/>
      </w:pPr>
    </w:p>
    <w:p w:rsidR="009C408D" w:rsidP="005167B5" w14:paraId="5D961BD5" w14:textId="382A5347">
      <w:pPr>
        <w:jc w:val="center"/>
      </w:pPr>
      <w:r w:rsidRPr="006F61B2">
        <w:t>(</w:t>
      </w:r>
      <w:r w:rsidR="005167B5">
        <w:t>December 23, 2025</w:t>
      </w:r>
      <w:r w:rsidRPr="006F61B2">
        <w:t>)</w:t>
      </w:r>
    </w:p>
    <w:p w:rsidR="006F61B2" w:rsidRPr="006F61B2" w:rsidP="006F61B2" w14:paraId="00F1B445" w14:textId="77777777"/>
    <w:p w:rsidR="00A2604E" w:rsidRPr="00AB4DBF" w:rsidP="54C9162E" w14:paraId="634EF64B" w14:textId="1871F1E7">
      <w:pPr>
        <w:spacing w:line="480" w:lineRule="auto"/>
      </w:pPr>
      <w:r w:rsidRPr="54C9162E">
        <w:rPr>
          <w:b/>
          <w:bCs/>
        </w:rPr>
        <w:t>AGENCY:</w:t>
      </w:r>
      <w:r>
        <w:t xml:space="preserve">  Federal Energy Regulatory Commission.</w:t>
      </w:r>
    </w:p>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B556C9" w:rsidP="34EF1E99" w14:paraId="35DEAE81" w14:textId="13C9D471">
      <w:pPr>
        <w:spacing w:line="480" w:lineRule="auto"/>
        <w:rPr>
          <w:rFonts w:eastAsiaTheme="minorEastAsia"/>
        </w:rPr>
      </w:pPr>
      <w:r w:rsidRPr="50378267">
        <w:rPr>
          <w:b/>
          <w:bCs/>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w:t>
      </w:r>
      <w:r w:rsidR="2B904BD2">
        <w:t xml:space="preserve">proposed revisions of the </w:t>
      </w:r>
      <w:r>
        <w:t xml:space="preserve">currently approved information collection, </w:t>
      </w:r>
      <w:bookmarkStart w:id="1" w:name="_Hlk193891723"/>
      <w:r w:rsidRPr="00462CE1" w:rsidR="00462CE1">
        <w:t>FERC-725</w:t>
      </w:r>
      <w:r w:rsidR="00224563">
        <w:t>N</w:t>
      </w:r>
      <w:r w:rsidRPr="00462CE1" w:rsidR="00462CE1">
        <w:t xml:space="preserve">, </w:t>
      </w:r>
      <w:r w:rsidR="00462CE1">
        <w:t>(</w:t>
      </w:r>
      <w:r w:rsidRPr="00462CE1" w:rsidR="00462CE1">
        <w:t xml:space="preserve">Mandatory Reliability Standards: </w:t>
      </w:r>
      <w:r w:rsidR="00224563">
        <w:t xml:space="preserve">TPL </w:t>
      </w:r>
      <w:r w:rsidRPr="00462CE1" w:rsidR="00462CE1">
        <w:t>Reliability Standards</w:t>
      </w:r>
      <w:r w:rsidR="00462CE1">
        <w:t>)</w:t>
      </w:r>
      <w:r w:rsidR="00224563">
        <w:t>.</w:t>
      </w:r>
      <w:r w:rsidR="00462CE1">
        <w:t xml:space="preserve"> </w:t>
      </w:r>
    </w:p>
    <w:bookmarkEnd w:id="1"/>
    <w:p w:rsidR="009D4BEE" w:rsidRPr="00D36120" w:rsidP="00D36120" w14:paraId="3317A1FA" w14:textId="016CDD51">
      <w:pPr>
        <w:pStyle w:val="paragraph"/>
        <w:spacing w:before="0" w:beforeAutospacing="0" w:after="0" w:afterAutospacing="0" w:line="480" w:lineRule="auto"/>
        <w:textAlignment w:val="baseline"/>
        <w:rPr>
          <w:rStyle w:val="normaltextrun"/>
          <w:rFonts w:ascii="Segoe UI" w:hAnsi="Segoe UI" w:cs="Segoe UI"/>
          <w:sz w:val="18"/>
          <w:szCs w:val="18"/>
        </w:rPr>
      </w:pPr>
      <w:r>
        <w:rPr>
          <w:rStyle w:val="normaltextrun"/>
          <w:b/>
          <w:bCs/>
          <w:sz w:val="26"/>
          <w:szCs w:val="26"/>
        </w:rPr>
        <w:t>DATES:</w:t>
      </w:r>
      <w:r>
        <w:rPr>
          <w:rStyle w:val="normaltextrun"/>
          <w:sz w:val="26"/>
          <w:szCs w:val="26"/>
        </w:rPr>
        <w:t xml:space="preserve">  Comments on the collection of information are due </w:t>
      </w:r>
      <w:r>
        <w:rPr>
          <w:rStyle w:val="normaltextrun"/>
          <w:b/>
          <w:bCs/>
          <w:sz w:val="26"/>
          <w:szCs w:val="26"/>
        </w:rPr>
        <w:t xml:space="preserve">[INSERT DATE </w:t>
      </w:r>
      <w:r w:rsidR="00E12122">
        <w:rPr>
          <w:rStyle w:val="normaltextrun"/>
          <w:b/>
          <w:bCs/>
          <w:sz w:val="26"/>
          <w:szCs w:val="26"/>
        </w:rPr>
        <w:t>6</w:t>
      </w:r>
      <w:r>
        <w:rPr>
          <w:rStyle w:val="normaltextrun"/>
          <w:b/>
          <w:bCs/>
          <w:sz w:val="26"/>
          <w:szCs w:val="26"/>
        </w:rPr>
        <w:t>0 DAYS AFTER DATE OF PUBLICATION IN THE FEDERAL REGISTER]</w:t>
      </w:r>
      <w:r>
        <w:rPr>
          <w:rStyle w:val="normaltextrun"/>
          <w:sz w:val="26"/>
          <w:szCs w:val="26"/>
        </w:rPr>
        <w:t>. </w:t>
      </w:r>
      <w:r>
        <w:rPr>
          <w:rStyle w:val="eop"/>
          <w:sz w:val="26"/>
          <w:szCs w:val="26"/>
        </w:rPr>
        <w:t> </w:t>
      </w:r>
    </w:p>
    <w:p w:rsidR="00E12122" w:rsidRPr="0042765E" w:rsidP="00E12122" w14:paraId="2A65C221" w14:textId="17846B6F">
      <w:pPr>
        <w:spacing w:line="480" w:lineRule="auto"/>
      </w:pPr>
      <w:r w:rsidRPr="002769ED">
        <w:rPr>
          <w:rStyle w:val="normaltextrun"/>
          <w:b/>
          <w:bCs/>
          <w:szCs w:val="26"/>
        </w:rPr>
        <w:t>ADDRESSES:</w:t>
      </w:r>
      <w:r w:rsidRPr="002769ED">
        <w:rPr>
          <w:rStyle w:val="normaltextrun"/>
          <w:szCs w:val="26"/>
        </w:rPr>
        <w:t xml:space="preserve"> </w:t>
      </w:r>
      <w:bookmarkStart w:id="2" w:name="OLE_LINK1"/>
      <w:r w:rsidRPr="0042765E">
        <w:t xml:space="preserve">You may submit copies of your comments (identified by Docket No. </w:t>
      </w:r>
      <w:r>
        <w:t>RD</w:t>
      </w:r>
      <w:r w:rsidRPr="00413FDE">
        <w:t>2</w:t>
      </w:r>
      <w:r>
        <w:t>5</w:t>
      </w:r>
      <w:r w:rsidRPr="00413FDE">
        <w:t>-</w:t>
      </w:r>
      <w:r>
        <w:t>4</w:t>
      </w:r>
      <w:r w:rsidRPr="00413FDE">
        <w:t>-000</w:t>
      </w:r>
      <w:r w:rsidRPr="0042765E">
        <w:t>) by one of the following methods:</w:t>
      </w:r>
    </w:p>
    <w:p w:rsidR="00E12122" w:rsidRPr="0042765E" w:rsidP="00E12122" w14:paraId="1CD54814" w14:textId="77777777">
      <w:pPr>
        <w:spacing w:line="480" w:lineRule="auto"/>
      </w:pPr>
      <w:r w:rsidRPr="0042765E">
        <w:t xml:space="preserve">Electronic filing through </w:t>
      </w:r>
      <w:hyperlink r:id="rId10" w:history="1">
        <w:r w:rsidRPr="003F2F72">
          <w:rPr>
            <w:rStyle w:val="Hyperlink"/>
          </w:rPr>
          <w:t>https://www.ferc.gov</w:t>
        </w:r>
      </w:hyperlink>
      <w:r w:rsidRPr="0042765E">
        <w:t>, is preferred.</w:t>
      </w:r>
    </w:p>
    <w:p w:rsidR="00E12122" w:rsidRPr="0042765E" w:rsidP="00E12122" w14:paraId="3D3AE3CF"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E12122" w:rsidRPr="0042765E" w:rsidP="00E12122" w14:paraId="17424D0D" w14:textId="77777777">
      <w:pPr>
        <w:numPr>
          <w:ilvl w:val="0"/>
          <w:numId w:val="6"/>
        </w:numPr>
        <w:spacing w:line="480" w:lineRule="auto"/>
      </w:pPr>
      <w:r w:rsidRPr="0042765E">
        <w:t>For those unable to file electronically, comments may be filed by USPS mail or by hand (including courier) delivery</w:t>
      </w:r>
      <w:r>
        <w:t>:</w:t>
      </w:r>
    </w:p>
    <w:p w:rsidR="00E12122" w:rsidRPr="0042765E" w:rsidP="00E12122" w14:paraId="65929ED2" w14:textId="77777777">
      <w:pPr>
        <w:numPr>
          <w:ilvl w:val="1"/>
          <w:numId w:val="6"/>
        </w:numPr>
        <w:spacing w:line="480" w:lineRule="auto"/>
      </w:pPr>
      <w:r w:rsidRPr="0042765E">
        <w:t>Mail via U.S. Postal Service Only: Addressed to: Federal Energy Regulatory Commission, Secretary of the Commission, 888 First Street, N.E., Washington, DC 20426.</w:t>
      </w:r>
    </w:p>
    <w:p w:rsidR="00E12122" w:rsidRPr="0042765E" w:rsidP="00E12122" w14:paraId="44E3D9D9" w14:textId="77777777">
      <w:pPr>
        <w:pStyle w:val="ListParagraph"/>
        <w:numPr>
          <w:ilvl w:val="1"/>
          <w:numId w:val="6"/>
        </w:numPr>
        <w:spacing w:line="480" w:lineRule="auto"/>
      </w:pPr>
      <w:r w:rsidRPr="0042765E">
        <w:t>Hand (including courier) delivery: Deliver to: Federal Energy Regulatory Commission, 12225 Wilkins Avenue, Rockville, MD 20852.</w:t>
      </w:r>
    </w:p>
    <w:p w:rsidR="00E12122" w:rsidP="00E12122" w14:paraId="74292176" w14:textId="77777777">
      <w:pPr>
        <w:spacing w:line="480" w:lineRule="auto"/>
      </w:pPr>
      <w:r w:rsidRPr="002F3236">
        <w:rPr>
          <w:i/>
        </w:rPr>
        <w:t xml:space="preserve">Instructions: </w:t>
      </w:r>
      <w:r>
        <w:t xml:space="preserve">All submissions must be formatted and filed in accordance with submission guidelines at:   </w:t>
      </w:r>
      <w:hyperlink r:id="rId10" w:history="1">
        <w:r w:rsidRPr="003F2F72">
          <w:rPr>
            <w:rStyle w:val="Hyperlink"/>
          </w:rPr>
          <w:t>https://www.ferc.gov</w:t>
        </w:r>
      </w:hyperlink>
      <w:r>
        <w:t>.  For user assistance, contact FERC Online Support by e-mail at ferconlinesupport@ferc.gov, or by phone at (866) 208-3676 (toll-free).</w:t>
      </w:r>
    </w:p>
    <w:p w:rsidR="009D4BEE" w:rsidRPr="00E12122" w:rsidP="00E12122" w14:paraId="4764810E" w14:textId="3F89638B">
      <w:pPr>
        <w:spacing w:line="480" w:lineRule="auto"/>
      </w:pPr>
      <w:r>
        <w:rPr>
          <w:i/>
        </w:rPr>
        <w:t>Docket:</w:t>
      </w:r>
      <w:r>
        <w:t xml:space="preserve"> Users interested in receiving automatic notification of activity in this docket or in viewing/downloading comments and issuances in this docket may do so at </w:t>
      </w:r>
      <w:hyperlink r:id="rId11" w:history="1">
        <w:r w:rsidRPr="00FA194B">
          <w:rPr>
            <w:rStyle w:val="Hyperlink"/>
          </w:rPr>
          <w:t>http://www.ferc.gov</w:t>
        </w:r>
      </w:hyperlink>
      <w:r>
        <w:t xml:space="preserve">. </w:t>
      </w:r>
      <w:bookmarkEnd w:id="2"/>
    </w:p>
    <w:p w:rsidR="0037603D" w:rsidP="0037603D" w14:paraId="41DAB7E2" w14:textId="77777777">
      <w:pPr>
        <w:pStyle w:val="paragraph"/>
        <w:spacing w:before="0" w:beforeAutospacing="0" w:after="0" w:afterAutospacing="0" w:line="480" w:lineRule="auto"/>
        <w:textAlignment w:val="baseline"/>
        <w:rPr>
          <w:sz w:val="26"/>
          <w:szCs w:val="26"/>
        </w:rPr>
      </w:pPr>
      <w:r>
        <w:rPr>
          <w:rStyle w:val="normaltextrun"/>
          <w:b/>
          <w:bCs/>
          <w:sz w:val="26"/>
          <w:szCs w:val="26"/>
        </w:rPr>
        <w:t>FOR FURTHER INFORMATION:</w:t>
      </w:r>
      <w:r>
        <w:rPr>
          <w:rStyle w:val="normaltextrun"/>
          <w:sz w:val="26"/>
          <w:szCs w:val="26"/>
        </w:rPr>
        <w:t xml:space="preserve">  </w:t>
      </w:r>
      <w:r w:rsidRPr="0037603D">
        <w:rPr>
          <w:sz w:val="26"/>
          <w:szCs w:val="26"/>
        </w:rPr>
        <w:t xml:space="preserve">Kayla Williams may be reached by e-mail at </w:t>
      </w:r>
      <w:hyperlink r:id="rId12" w:tgtFrame="_blank" w:history="1">
        <w:r w:rsidRPr="0037603D">
          <w:rPr>
            <w:rStyle w:val="Hyperlink"/>
            <w:sz w:val="26"/>
            <w:szCs w:val="26"/>
          </w:rPr>
          <w:t>DataClearance@FERC.gov</w:t>
        </w:r>
      </w:hyperlink>
      <w:r w:rsidRPr="0037603D">
        <w:rPr>
          <w:sz w:val="26"/>
          <w:szCs w:val="26"/>
        </w:rPr>
        <w:t>, or by telephone at (202)502-6468. </w:t>
      </w:r>
    </w:p>
    <w:p w:rsidR="000F3BC3" w:rsidRPr="000F3BC3" w:rsidP="0037603D" w14:paraId="5169038C" w14:textId="20F06837">
      <w:pPr>
        <w:pStyle w:val="paragraph"/>
        <w:spacing w:before="0" w:beforeAutospacing="0" w:after="0" w:afterAutospacing="0" w:line="480" w:lineRule="auto"/>
        <w:textAlignment w:val="baseline"/>
        <w:rPr>
          <w:szCs w:val="26"/>
        </w:rPr>
      </w:pPr>
      <w:r w:rsidRPr="000F3BC3">
        <w:rPr>
          <w:b/>
          <w:szCs w:val="26"/>
        </w:rPr>
        <w:t>SUPPLEMENTARY INFORMATION:</w:t>
      </w:r>
      <w:r w:rsidRPr="000F3BC3">
        <w:rPr>
          <w:szCs w:val="26"/>
        </w:rPr>
        <w:t xml:space="preserve">  </w:t>
      </w:r>
    </w:p>
    <w:p w:rsidR="000F3BC3" w:rsidRPr="000F3BC3" w:rsidP="00664E30" w14:paraId="5BC3B62F" w14:textId="6A252983">
      <w:pPr>
        <w:spacing w:line="480" w:lineRule="auto"/>
        <w:rPr>
          <w:rFonts w:eastAsiaTheme="minorEastAsia"/>
        </w:rPr>
      </w:pPr>
      <w:r w:rsidRPr="6D52CCCC">
        <w:rPr>
          <w:i/>
          <w:iCs/>
        </w:rPr>
        <w:t xml:space="preserve">Title: </w:t>
      </w:r>
      <w:r w:rsidRPr="00462CE1" w:rsidR="0084717B">
        <w:t>FERC-725</w:t>
      </w:r>
      <w:r w:rsidR="000345F1">
        <w:t>N</w:t>
      </w:r>
      <w:r w:rsidRPr="00462CE1" w:rsidR="0084717B">
        <w:t xml:space="preserve">, </w:t>
      </w:r>
      <w:r w:rsidR="0084717B">
        <w:t>(</w:t>
      </w:r>
      <w:r w:rsidRPr="00462CE1" w:rsidR="0084717B">
        <w:t xml:space="preserve">Mandatory Reliability Standards: </w:t>
      </w:r>
      <w:r w:rsidR="000345F1">
        <w:t>TPL</w:t>
      </w:r>
      <w:r w:rsidRPr="00462CE1" w:rsidR="0084717B">
        <w:t xml:space="preserve"> Reliability Standards</w:t>
      </w:r>
      <w:r w:rsidR="0084717B">
        <w:t>.</w:t>
      </w:r>
    </w:p>
    <w:p w:rsidR="000F3BC3" w:rsidRPr="006F61B2" w:rsidP="00664E30" w14:paraId="2F68379A" w14:textId="470E7FB1">
      <w:pPr>
        <w:spacing w:line="480" w:lineRule="auto"/>
        <w:rPr>
          <w:rFonts w:eastAsiaTheme="minorEastAsia"/>
          <w:lang w:val="pt-BR"/>
        </w:rPr>
      </w:pPr>
      <w:r w:rsidRPr="006F61B2">
        <w:rPr>
          <w:i/>
          <w:iCs/>
          <w:lang w:val="pt-BR"/>
        </w:rPr>
        <w:t xml:space="preserve">OMB Control No.: </w:t>
      </w:r>
      <w:r w:rsidRPr="006F61B2" w:rsidR="00CF63DF">
        <w:rPr>
          <w:lang w:val="pt-BR"/>
        </w:rPr>
        <w:t>FERC-725</w:t>
      </w:r>
      <w:r w:rsidRPr="006F61B2" w:rsidR="000345F1">
        <w:rPr>
          <w:lang w:val="pt-BR"/>
        </w:rPr>
        <w:t>N</w:t>
      </w:r>
      <w:r w:rsidRPr="006F61B2" w:rsidR="00CF63DF">
        <w:rPr>
          <w:lang w:val="pt-BR"/>
        </w:rPr>
        <w:t xml:space="preserve"> (1902-026</w:t>
      </w:r>
      <w:r w:rsidRPr="006F61B2" w:rsidR="000345F1">
        <w:rPr>
          <w:lang w:val="pt-BR"/>
        </w:rPr>
        <w:t>4</w:t>
      </w:r>
      <w:r w:rsidRPr="006F61B2" w:rsidR="00CF63DF">
        <w:rPr>
          <w:lang w:val="pt-BR"/>
        </w:rPr>
        <w:t xml:space="preserve">) </w:t>
      </w:r>
    </w:p>
    <w:p w:rsidR="00700906" w:rsidRPr="00700906" w:rsidP="00664E30" w14:paraId="3BC20700" w14:textId="241FFD99">
      <w:pPr>
        <w:pStyle w:val="FERCparanumber"/>
        <w:numPr>
          <w:ilvl w:val="0"/>
          <w:numId w:val="0"/>
        </w:numPr>
        <w:spacing w:line="480" w:lineRule="auto"/>
      </w:pPr>
      <w:r w:rsidRPr="6D52CCCC">
        <w:rPr>
          <w:i/>
          <w:iCs/>
        </w:rPr>
        <w:t>Type of Request:</w:t>
      </w:r>
      <w:r>
        <w:t xml:space="preserve"> </w:t>
      </w:r>
      <w:r w:rsidRPr="00062F28" w:rsidR="00062F28">
        <w:t>On December 17, 2024, the North American Electric Reliability Corporation (NERC) submitted a petition seeking approval of proposed Reliability Standard TPL-008-1 (Transmission System Planning Performance Requirements for Extreme Temperature Events).</w:t>
      </w:r>
      <w:r>
        <w:rPr>
          <w:b/>
          <w:vertAlign w:val="superscript"/>
        </w:rPr>
        <w:footnoteReference w:id="3"/>
      </w:r>
      <w:r w:rsidRPr="00062F28" w:rsidR="00062F28">
        <w:t xml:space="preserve">  Further, NERC seeks approval of the associated </w:t>
      </w:r>
      <w:r w:rsidRPr="00062F28" w:rsidR="00062F28">
        <w:t>implementation plan, violation risk factors, and violation severity levels.  NERC also seeks approval of a proposed definition of “extreme temperature assessment” for inclusion in the NERC Glossary of Terms Used in NERC Reliability Standards (NERC Glossary).</w:t>
      </w:r>
      <w:r>
        <w:rPr>
          <w:b/>
          <w:vertAlign w:val="superscript"/>
        </w:rPr>
        <w:footnoteReference w:id="4"/>
      </w:r>
      <w:r w:rsidRPr="00062F28" w:rsidR="00062F28">
        <w:t xml:space="preserve">  For the reasons discussed below, pursuant </w:t>
      </w:r>
      <w:r w:rsidRPr="00700906">
        <w:t>In Order No. 896, the Commission directed NERC to submit a new or modified Reliability Standard that addresses the Commission’s identified concerns pertaining to transmission system planning for extreme heat and cold weather events that impact the Reliable Operation of the Bulk-Power System.</w:t>
      </w:r>
      <w:r>
        <w:rPr>
          <w:b/>
          <w:vertAlign w:val="superscript"/>
        </w:rPr>
        <w:footnoteReference w:id="5"/>
      </w:r>
      <w:r w:rsidRPr="00700906">
        <w:t xml:space="preserve">  Specifically, the Commission directed NERC to develop a new or modified Reliability Standard that requires the following:  (1) development of benchmark planning cases based on major prior extreme heat and cold weather events and/or meteorological projections; (2) planning for extreme heat and cold weather events using steady state and transient stability analyses expanded to cover a range of extreme weather scenarios including the expected resource mix’s availability during extreme heat and cold weather conditions; and (3) development of corrective action plans that mitigate certain instances where performance requirements for extreme heat and cold weather events are not met.</w:t>
      </w:r>
      <w:r>
        <w:rPr>
          <w:b/>
          <w:vertAlign w:val="superscript"/>
        </w:rPr>
        <w:footnoteReference w:id="6"/>
      </w:r>
    </w:p>
    <w:p w:rsidR="007C5184" w:rsidRPr="007C5184" w:rsidP="00664E30" w14:paraId="3B5301AE" w14:textId="7A509A17">
      <w:pPr>
        <w:pStyle w:val="FERCparanumber"/>
        <w:numPr>
          <w:ilvl w:val="0"/>
          <w:numId w:val="0"/>
        </w:numPr>
        <w:spacing w:line="480" w:lineRule="auto"/>
      </w:pPr>
      <w:r w:rsidRPr="007C5184">
        <w:t xml:space="preserve">The FERC-725N information collection requirements are subject to review by the Office of Management and Budget (OMB) under section 3507(d) of the Paperwork Reduction </w:t>
      </w:r>
      <w:r w:rsidRPr="007C5184">
        <w:t>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r w:rsidR="00337CD1">
        <w:t xml:space="preserve"> </w:t>
      </w:r>
      <w:r w:rsidR="00664E30">
        <w:t xml:space="preserve"> </w:t>
      </w:r>
      <w:r w:rsidRPr="007C5184">
        <w:t xml:space="preserve">The Commission bases its paperwork burden estimates on the additional paperwork burden presented by the proposed new Reliability Standard TPL-008-1.  The new defined term “extreme temperature assessment” is not expected to generate any new burden as it is a definition used within the body of Reliability Standards. Reliability Standards are objective-based and allow entities to choose compliance approaches best tailored to their systems.  Additionally, proposed Reliability Standard TPL-008-1, Requirement R1 identifies each responsible entity that shall complete its responsibilities such that the extreme temperature assessment is completed at least once every five calendar years.  The NERC Compliance Registry, as of November 20, 2024, identifies unique U.S. entities that are subject to mandatory compliance with proposed Reliability Standard TPL-008-1, as 62 planning coordinators (PC) and 204 transmission planners (TP).  Based on these assumptions, we estimate the following reporting burden:  </w:t>
      </w:r>
    </w:p>
    <w:tbl>
      <w:tblPr>
        <w:tblStyle w:val="TableGrid4"/>
        <w:tblW w:w="9625" w:type="dxa"/>
        <w:tblLayout w:type="fixed"/>
        <w:tblLook w:val="04A0"/>
      </w:tblPr>
      <w:tblGrid>
        <w:gridCol w:w="1525"/>
        <w:gridCol w:w="1530"/>
        <w:gridCol w:w="1620"/>
        <w:gridCol w:w="1440"/>
        <w:gridCol w:w="1890"/>
        <w:gridCol w:w="1620"/>
      </w:tblGrid>
      <w:tr w14:paraId="582D3EB5" w14:textId="77777777" w:rsidTr="006B175D">
        <w:tblPrEx>
          <w:tblW w:w="9625" w:type="dxa"/>
          <w:tblLayout w:type="fixed"/>
          <w:tblLook w:val="04A0"/>
        </w:tblPrEx>
        <w:trPr>
          <w:trHeight w:val="278"/>
        </w:trPr>
        <w:tc>
          <w:tcPr>
            <w:tcW w:w="9625" w:type="dxa"/>
            <w:gridSpan w:val="6"/>
            <w:shd w:val="clear" w:color="auto" w:fill="D0CECE" w:themeFill="background2" w:themeFillShade="E6"/>
          </w:tcPr>
          <w:p w:rsidR="007C5184" w:rsidRPr="007C5184" w:rsidP="006B175D" w14:paraId="7A743BF6" w14:textId="77777777">
            <w:pPr>
              <w:jc w:val="center"/>
            </w:pPr>
            <w:r w:rsidRPr="007C5184">
              <w:rPr>
                <w:b/>
                <w:bCs/>
              </w:rPr>
              <w:t>Proposed Burden TPL-008-1 Docket No. RD25-4</w:t>
            </w:r>
          </w:p>
        </w:tc>
      </w:tr>
      <w:tr w14:paraId="225C6F9D" w14:textId="77777777" w:rsidTr="006B175D">
        <w:tblPrEx>
          <w:tblW w:w="9625" w:type="dxa"/>
          <w:tblLayout w:type="fixed"/>
          <w:tblLook w:val="04A0"/>
        </w:tblPrEx>
        <w:trPr>
          <w:trHeight w:val="1637"/>
        </w:trPr>
        <w:tc>
          <w:tcPr>
            <w:tcW w:w="1525" w:type="dxa"/>
          </w:tcPr>
          <w:p w:rsidR="007C5184" w:rsidRPr="007C5184" w:rsidP="006B175D" w14:paraId="5ACB86C9" w14:textId="77777777">
            <w:r w:rsidRPr="007C5184">
              <w:rPr>
                <w:b/>
                <w:bCs/>
              </w:rPr>
              <w:t>Reliability Standard</w:t>
            </w:r>
          </w:p>
        </w:tc>
        <w:tc>
          <w:tcPr>
            <w:tcW w:w="1530" w:type="dxa"/>
          </w:tcPr>
          <w:p w:rsidR="007C5184" w:rsidRPr="007C5184" w:rsidP="006B175D" w14:paraId="4CFEAF7A" w14:textId="77777777">
            <w:r w:rsidRPr="007C5184">
              <w:rPr>
                <w:b/>
                <w:bCs/>
              </w:rPr>
              <w:t>Type and Number of Entity</w:t>
            </w:r>
            <w:r>
              <w:rPr>
                <w:b/>
                <w:vertAlign w:val="superscript"/>
              </w:rPr>
              <w:footnoteReference w:id="7"/>
            </w:r>
            <w:r w:rsidRPr="007C5184">
              <w:t> </w:t>
            </w:r>
            <w:r w:rsidRPr="007C5184">
              <w:rPr>
                <w:b/>
              </w:rPr>
              <w:t>(1)</w:t>
            </w:r>
            <w:r w:rsidRPr="007C5184">
              <w:t> </w:t>
            </w:r>
          </w:p>
        </w:tc>
        <w:tc>
          <w:tcPr>
            <w:tcW w:w="1620" w:type="dxa"/>
          </w:tcPr>
          <w:p w:rsidR="007C5184" w:rsidRPr="007C5184" w:rsidP="006B175D" w14:paraId="619EA8B8" w14:textId="77777777">
            <w:r w:rsidRPr="007C5184">
              <w:rPr>
                <w:b/>
                <w:szCs w:val="20"/>
              </w:rPr>
              <w:t>Number of Annual Responses Per Entity</w:t>
            </w:r>
            <w:r w:rsidRPr="007C5184">
              <w:t> </w:t>
            </w:r>
            <w:r w:rsidRPr="007C5184">
              <w:rPr>
                <w:b/>
                <w:szCs w:val="20"/>
              </w:rPr>
              <w:t>(2)</w:t>
            </w:r>
          </w:p>
        </w:tc>
        <w:tc>
          <w:tcPr>
            <w:tcW w:w="1440" w:type="dxa"/>
          </w:tcPr>
          <w:p w:rsidR="007C5184" w:rsidRPr="007C5184" w:rsidP="006B175D" w14:paraId="1EBB8D09" w14:textId="77777777">
            <w:pPr>
              <w:rPr>
                <w:kern w:val="2"/>
                <w14:ligatures w14:val="standardContextual"/>
              </w:rPr>
            </w:pPr>
            <w:r w:rsidRPr="007C5184">
              <w:rPr>
                <w:b/>
                <w:bCs/>
                <w:kern w:val="2"/>
                <w14:ligatures w14:val="standardContextual"/>
              </w:rPr>
              <w:t>Total Number of Responses</w:t>
            </w:r>
            <w:r w:rsidRPr="007C5184">
              <w:rPr>
                <w:kern w:val="2"/>
                <w14:ligatures w14:val="standardContextual"/>
              </w:rPr>
              <w:t> </w:t>
            </w:r>
          </w:p>
          <w:p w:rsidR="007C5184" w:rsidRPr="007C5184" w:rsidP="006B175D" w14:paraId="1C1E6538" w14:textId="77777777">
            <w:r w:rsidRPr="007C5184">
              <w:rPr>
                <w:b/>
                <w:bCs/>
                <w:kern w:val="2"/>
                <w14:ligatures w14:val="standardContextual"/>
              </w:rPr>
              <w:t>(1)*(2)=(3)</w:t>
            </w:r>
            <w:r w:rsidRPr="007C5184">
              <w:rPr>
                <w:kern w:val="2"/>
                <w14:ligatures w14:val="standardContextual"/>
              </w:rPr>
              <w:t> </w:t>
            </w:r>
          </w:p>
        </w:tc>
        <w:tc>
          <w:tcPr>
            <w:tcW w:w="1890" w:type="dxa"/>
          </w:tcPr>
          <w:p w:rsidR="007C5184" w:rsidRPr="007C5184" w:rsidP="006B175D" w14:paraId="551DCBBE" w14:textId="77777777">
            <w:r w:rsidRPr="007C5184">
              <w:rPr>
                <w:b/>
                <w:bCs/>
                <w:kern w:val="2"/>
                <w14:ligatures w14:val="standardContextual"/>
              </w:rPr>
              <w:t xml:space="preserve">Average </w:t>
            </w:r>
            <w:r w:rsidRPr="007C5184">
              <w:rPr>
                <w:b/>
                <w:bCs/>
                <w:kern w:val="2"/>
                <w14:ligatures w14:val="standardContextual"/>
              </w:rPr>
              <w:t>Number</w:t>
            </w:r>
            <w:r w:rsidRPr="007C5184">
              <w:rPr>
                <w:b/>
                <w:bCs/>
                <w:kern w:val="2"/>
                <w14:ligatures w14:val="standardContextual"/>
              </w:rPr>
              <w:t xml:space="preserve"> of Burden Hours per Response</w:t>
            </w:r>
            <w:r>
              <w:rPr>
                <w:b/>
                <w:bCs/>
                <w:kern w:val="2"/>
                <w:vertAlign w:val="superscript"/>
                <w14:ligatures w14:val="standardContextual"/>
              </w:rPr>
              <w:footnoteReference w:id="8"/>
            </w:r>
            <w:r w:rsidRPr="007C5184">
              <w:rPr>
                <w:kern w:val="2"/>
                <w14:ligatures w14:val="standardContextual"/>
              </w:rPr>
              <w:t> </w:t>
            </w:r>
            <w:r w:rsidRPr="007C5184">
              <w:rPr>
                <w:b/>
                <w:bCs/>
                <w:kern w:val="2"/>
                <w14:ligatures w14:val="standardContextual"/>
              </w:rPr>
              <w:t>(4)</w:t>
            </w:r>
            <w:r w:rsidRPr="007C5184">
              <w:rPr>
                <w:kern w:val="2"/>
                <w14:ligatures w14:val="standardContextual"/>
              </w:rPr>
              <w:t> </w:t>
            </w:r>
          </w:p>
        </w:tc>
        <w:tc>
          <w:tcPr>
            <w:tcW w:w="1620" w:type="dxa"/>
          </w:tcPr>
          <w:p w:rsidR="007C5184" w:rsidRPr="007C5184" w:rsidP="006B175D" w14:paraId="731E0CEA" w14:textId="77777777">
            <w:r w:rsidRPr="007C5184">
              <w:rPr>
                <w:b/>
                <w:bCs/>
              </w:rPr>
              <w:t>Total Burden Hours</w:t>
            </w:r>
            <w:r w:rsidRPr="007C5184">
              <w:t> </w:t>
            </w:r>
          </w:p>
          <w:p w:rsidR="007C5184" w:rsidRPr="007C5184" w:rsidP="006B175D" w14:paraId="62E2657E" w14:textId="77777777">
            <w:r w:rsidRPr="007C5184">
              <w:rPr>
                <w:b/>
                <w:bCs/>
              </w:rPr>
              <w:t>(3)*(4)=(5)</w:t>
            </w:r>
            <w:r w:rsidRPr="007C5184">
              <w:t> </w:t>
            </w:r>
          </w:p>
        </w:tc>
      </w:tr>
      <w:tr w14:paraId="61B948C5" w14:textId="77777777" w:rsidTr="00EF4D3E">
        <w:tblPrEx>
          <w:tblW w:w="9625" w:type="dxa"/>
          <w:tblLayout w:type="fixed"/>
          <w:tblLook w:val="04A0"/>
        </w:tblPrEx>
        <w:trPr>
          <w:trHeight w:val="467"/>
        </w:trPr>
        <w:tc>
          <w:tcPr>
            <w:tcW w:w="9625" w:type="dxa"/>
            <w:gridSpan w:val="6"/>
            <w:shd w:val="clear" w:color="auto" w:fill="D0CECE" w:themeFill="background2" w:themeFillShade="E6"/>
          </w:tcPr>
          <w:p w:rsidR="007C5184" w:rsidRPr="007C5184" w:rsidP="00664E30" w14:paraId="4F328F89" w14:textId="77777777">
            <w:pPr>
              <w:spacing w:line="480" w:lineRule="auto"/>
              <w:jc w:val="center"/>
            </w:pPr>
            <w:r w:rsidRPr="007C5184">
              <w:rPr>
                <w:b/>
                <w:bCs/>
              </w:rPr>
              <w:t>Annual Collection TPL-008-1 FERC-725N</w:t>
            </w:r>
          </w:p>
        </w:tc>
      </w:tr>
      <w:tr w14:paraId="59B00CC5" w14:textId="77777777" w:rsidTr="00EF4D3E">
        <w:tblPrEx>
          <w:tblW w:w="9625" w:type="dxa"/>
          <w:tblLayout w:type="fixed"/>
          <w:tblLook w:val="04A0"/>
        </w:tblPrEx>
        <w:tc>
          <w:tcPr>
            <w:tcW w:w="1525" w:type="dxa"/>
            <w:vMerge w:val="restart"/>
          </w:tcPr>
          <w:p w:rsidR="007C5184" w:rsidRPr="007C5184" w:rsidP="006B175D" w14:paraId="1C298AC8" w14:textId="77777777">
            <w:pPr>
              <w:rPr>
                <w:szCs w:val="26"/>
              </w:rPr>
            </w:pPr>
            <w:r w:rsidRPr="007C5184">
              <w:rPr>
                <w:b/>
                <w:bCs/>
                <w:szCs w:val="20"/>
              </w:rPr>
              <w:t>Annual review and record retention</w:t>
            </w:r>
          </w:p>
        </w:tc>
        <w:tc>
          <w:tcPr>
            <w:tcW w:w="1530" w:type="dxa"/>
          </w:tcPr>
          <w:p w:rsidR="007C5184" w:rsidRPr="007C5184" w:rsidP="00664E30" w14:paraId="00BDCCA3" w14:textId="77777777">
            <w:pPr>
              <w:spacing w:line="480" w:lineRule="auto"/>
              <w:jc w:val="center"/>
              <w:rPr>
                <w:szCs w:val="26"/>
              </w:rPr>
            </w:pPr>
            <w:r w:rsidRPr="007C5184">
              <w:rPr>
                <w:kern w:val="2"/>
                <w:szCs w:val="20"/>
                <w14:ligatures w14:val="standardContextual"/>
              </w:rPr>
              <w:t>62 (PC)</w:t>
            </w:r>
          </w:p>
        </w:tc>
        <w:tc>
          <w:tcPr>
            <w:tcW w:w="1620" w:type="dxa"/>
          </w:tcPr>
          <w:p w:rsidR="007C5184" w:rsidRPr="007C5184" w:rsidP="00664E30" w14:paraId="0C60429D" w14:textId="77777777">
            <w:pPr>
              <w:spacing w:line="480" w:lineRule="auto"/>
              <w:jc w:val="center"/>
              <w:rPr>
                <w:szCs w:val="26"/>
              </w:rPr>
            </w:pPr>
            <w:r w:rsidRPr="007C5184">
              <w:rPr>
                <w:kern w:val="2"/>
                <w:szCs w:val="20"/>
                <w14:ligatures w14:val="standardContextual"/>
              </w:rPr>
              <w:t>1</w:t>
            </w:r>
          </w:p>
        </w:tc>
        <w:tc>
          <w:tcPr>
            <w:tcW w:w="1440" w:type="dxa"/>
          </w:tcPr>
          <w:p w:rsidR="007C5184" w:rsidRPr="007C5184" w:rsidP="00664E30" w14:paraId="63E839C1" w14:textId="77777777">
            <w:pPr>
              <w:spacing w:line="480" w:lineRule="auto"/>
              <w:jc w:val="center"/>
              <w:rPr>
                <w:szCs w:val="26"/>
              </w:rPr>
            </w:pPr>
            <w:r w:rsidRPr="007C5184">
              <w:rPr>
                <w:kern w:val="2"/>
                <w:szCs w:val="20"/>
                <w14:ligatures w14:val="standardContextual"/>
              </w:rPr>
              <w:t>62</w:t>
            </w:r>
          </w:p>
        </w:tc>
        <w:tc>
          <w:tcPr>
            <w:tcW w:w="1890" w:type="dxa"/>
          </w:tcPr>
          <w:p w:rsidR="007C5184" w:rsidRPr="007C5184" w:rsidP="006B175D" w14:paraId="5EFC99B5" w14:textId="77777777">
            <w:pPr>
              <w:jc w:val="right"/>
              <w:rPr>
                <w:kern w:val="2"/>
                <w:szCs w:val="20"/>
                <w14:ligatures w14:val="standardContextual"/>
              </w:rPr>
            </w:pPr>
            <w:r w:rsidRPr="007C5184">
              <w:rPr>
                <w:kern w:val="2"/>
                <w:szCs w:val="20"/>
                <w14:ligatures w14:val="standardContextual"/>
              </w:rPr>
              <w:t>88 hrs.</w:t>
            </w:r>
          </w:p>
          <w:p w:rsidR="007C5184" w:rsidRPr="007C5184" w:rsidP="006B175D" w14:paraId="1BA1AF30" w14:textId="0834306F">
            <w:pPr>
              <w:jc w:val="right"/>
              <w:rPr>
                <w:szCs w:val="26"/>
              </w:rPr>
            </w:pPr>
            <w:r w:rsidRPr="007C5184">
              <w:rPr>
                <w:kern w:val="2"/>
                <w:szCs w:val="20"/>
                <w14:ligatures w14:val="standardContextual"/>
              </w:rPr>
              <w:t>$ 70.67/hr</w:t>
            </w:r>
            <w:r w:rsidR="008F40B2">
              <w:rPr>
                <w:kern w:val="2"/>
                <w:szCs w:val="20"/>
                <w14:ligatures w14:val="standardContextual"/>
              </w:rPr>
              <w:t>s.</w:t>
            </w:r>
          </w:p>
        </w:tc>
        <w:tc>
          <w:tcPr>
            <w:tcW w:w="1620" w:type="dxa"/>
          </w:tcPr>
          <w:p w:rsidR="007C5184" w:rsidRPr="007C5184" w:rsidP="006B175D" w14:paraId="24CA96A3" w14:textId="77777777">
            <w:pPr>
              <w:jc w:val="right"/>
              <w:rPr>
                <w:kern w:val="2"/>
                <w:szCs w:val="20"/>
                <w14:ligatures w14:val="standardContextual"/>
              </w:rPr>
            </w:pPr>
            <w:r w:rsidRPr="007C5184">
              <w:rPr>
                <w:kern w:val="2"/>
                <w:szCs w:val="20"/>
                <w14:ligatures w14:val="standardContextual"/>
              </w:rPr>
              <w:t>5,456 hrs.</w:t>
            </w:r>
          </w:p>
          <w:p w:rsidR="007C5184" w:rsidRPr="007C5184" w:rsidP="006B175D" w14:paraId="0B01A8A9" w14:textId="77777777">
            <w:pPr>
              <w:jc w:val="right"/>
              <w:rPr>
                <w:szCs w:val="26"/>
              </w:rPr>
            </w:pPr>
            <w:r w:rsidRPr="007C5184">
              <w:rPr>
                <w:kern w:val="2"/>
                <w:szCs w:val="20"/>
                <w14:ligatures w14:val="standardContextual"/>
              </w:rPr>
              <w:t>$385,576</w:t>
            </w:r>
          </w:p>
        </w:tc>
      </w:tr>
      <w:tr w14:paraId="6AE52D45" w14:textId="77777777" w:rsidTr="00EF4D3E">
        <w:tblPrEx>
          <w:tblW w:w="9625" w:type="dxa"/>
          <w:tblLayout w:type="fixed"/>
          <w:tblLook w:val="04A0"/>
        </w:tblPrEx>
        <w:tc>
          <w:tcPr>
            <w:tcW w:w="1525" w:type="dxa"/>
            <w:vMerge/>
          </w:tcPr>
          <w:p w:rsidR="007C5184" w:rsidRPr="007C5184" w:rsidP="00664E30" w14:paraId="51E6D64E" w14:textId="77777777">
            <w:pPr>
              <w:spacing w:line="480" w:lineRule="auto"/>
              <w:rPr>
                <w:b/>
                <w:bCs/>
                <w:szCs w:val="20"/>
              </w:rPr>
            </w:pPr>
          </w:p>
        </w:tc>
        <w:tc>
          <w:tcPr>
            <w:tcW w:w="1530" w:type="dxa"/>
          </w:tcPr>
          <w:p w:rsidR="007C5184" w:rsidRPr="007C5184" w:rsidP="00664E30" w14:paraId="1FB84807" w14:textId="77777777">
            <w:pPr>
              <w:spacing w:line="480" w:lineRule="auto"/>
              <w:jc w:val="center"/>
              <w:rPr>
                <w:kern w:val="2"/>
                <w:szCs w:val="20"/>
                <w14:ligatures w14:val="standardContextual"/>
              </w:rPr>
            </w:pPr>
            <w:r w:rsidRPr="007C5184">
              <w:rPr>
                <w:kern w:val="2"/>
                <w:szCs w:val="20"/>
                <w14:ligatures w14:val="standardContextual"/>
              </w:rPr>
              <w:t>204 (TP)</w:t>
            </w:r>
          </w:p>
        </w:tc>
        <w:tc>
          <w:tcPr>
            <w:tcW w:w="1620" w:type="dxa"/>
          </w:tcPr>
          <w:p w:rsidR="007C5184" w:rsidRPr="007C5184" w:rsidP="00664E30" w14:paraId="7BAFF846" w14:textId="77777777">
            <w:pPr>
              <w:spacing w:line="480" w:lineRule="auto"/>
              <w:jc w:val="center"/>
              <w:rPr>
                <w:kern w:val="2"/>
                <w:szCs w:val="20"/>
                <w14:ligatures w14:val="standardContextual"/>
              </w:rPr>
            </w:pPr>
            <w:r w:rsidRPr="007C5184">
              <w:rPr>
                <w:kern w:val="2"/>
                <w:szCs w:val="20"/>
                <w14:ligatures w14:val="standardContextual"/>
              </w:rPr>
              <w:t>1</w:t>
            </w:r>
          </w:p>
        </w:tc>
        <w:tc>
          <w:tcPr>
            <w:tcW w:w="1440" w:type="dxa"/>
          </w:tcPr>
          <w:p w:rsidR="007C5184" w:rsidRPr="007C5184" w:rsidP="00664E30" w14:paraId="28D49D6D" w14:textId="77777777">
            <w:pPr>
              <w:spacing w:line="480" w:lineRule="auto"/>
              <w:jc w:val="center"/>
              <w:rPr>
                <w:kern w:val="2"/>
                <w:szCs w:val="20"/>
                <w14:ligatures w14:val="standardContextual"/>
              </w:rPr>
            </w:pPr>
            <w:r w:rsidRPr="007C5184">
              <w:rPr>
                <w:kern w:val="2"/>
                <w:szCs w:val="20"/>
                <w14:ligatures w14:val="standardContextual"/>
              </w:rPr>
              <w:t>204</w:t>
            </w:r>
          </w:p>
        </w:tc>
        <w:tc>
          <w:tcPr>
            <w:tcW w:w="1890" w:type="dxa"/>
          </w:tcPr>
          <w:p w:rsidR="007C5184" w:rsidRPr="007C5184" w:rsidP="006B175D" w14:paraId="7FA82C25" w14:textId="77777777">
            <w:pPr>
              <w:jc w:val="right"/>
              <w:rPr>
                <w:kern w:val="2"/>
                <w:szCs w:val="20"/>
                <w14:ligatures w14:val="standardContextual"/>
              </w:rPr>
            </w:pPr>
            <w:r w:rsidRPr="007C5184">
              <w:rPr>
                <w:kern w:val="2"/>
                <w:szCs w:val="20"/>
                <w14:ligatures w14:val="standardContextual"/>
              </w:rPr>
              <w:t>56 hrs.</w:t>
            </w:r>
          </w:p>
          <w:p w:rsidR="007C5184" w:rsidRPr="007C5184" w:rsidP="006B175D" w14:paraId="71B28791" w14:textId="56239FAC">
            <w:pPr>
              <w:jc w:val="right"/>
              <w:rPr>
                <w:kern w:val="2"/>
                <w:szCs w:val="20"/>
                <w:highlight w:val="yellow"/>
                <w14:ligatures w14:val="standardContextual"/>
              </w:rPr>
            </w:pPr>
            <w:r w:rsidRPr="007C5184">
              <w:rPr>
                <w:kern w:val="2"/>
                <w:szCs w:val="20"/>
                <w14:ligatures w14:val="standardContextual"/>
              </w:rPr>
              <w:t>$ 70.67/hr</w:t>
            </w:r>
            <w:r w:rsidR="008F40B2">
              <w:rPr>
                <w:kern w:val="2"/>
                <w:szCs w:val="20"/>
                <w14:ligatures w14:val="standardContextual"/>
              </w:rPr>
              <w:t>s.</w:t>
            </w:r>
          </w:p>
        </w:tc>
        <w:tc>
          <w:tcPr>
            <w:tcW w:w="1620" w:type="dxa"/>
          </w:tcPr>
          <w:p w:rsidR="007C5184" w:rsidRPr="007C5184" w:rsidP="006B175D" w14:paraId="6907B6E4" w14:textId="77777777">
            <w:pPr>
              <w:jc w:val="right"/>
              <w:rPr>
                <w:kern w:val="2"/>
                <w:szCs w:val="20"/>
                <w14:ligatures w14:val="standardContextual"/>
              </w:rPr>
            </w:pPr>
            <w:r w:rsidRPr="007C5184">
              <w:rPr>
                <w:kern w:val="2"/>
                <w:szCs w:val="20"/>
                <w14:ligatures w14:val="standardContextual"/>
              </w:rPr>
              <w:t>11,424 hrs.</w:t>
            </w:r>
          </w:p>
          <w:p w:rsidR="007C5184" w:rsidRPr="007C5184" w:rsidP="006B175D" w14:paraId="68003459" w14:textId="77777777">
            <w:pPr>
              <w:jc w:val="right"/>
              <w:rPr>
                <w:kern w:val="2"/>
                <w:szCs w:val="20"/>
                <w14:ligatures w14:val="standardContextual"/>
              </w:rPr>
            </w:pPr>
            <w:r w:rsidRPr="007C5184">
              <w:rPr>
                <w:kern w:val="2"/>
                <w:szCs w:val="20"/>
                <w14:ligatures w14:val="standardContextual"/>
              </w:rPr>
              <w:t>$807,334</w:t>
            </w:r>
          </w:p>
        </w:tc>
      </w:tr>
      <w:tr w14:paraId="6D794D6D" w14:textId="77777777" w:rsidTr="00EF4D3E">
        <w:tblPrEx>
          <w:tblW w:w="9625" w:type="dxa"/>
          <w:tblLayout w:type="fixed"/>
          <w:tblLook w:val="04A0"/>
        </w:tblPrEx>
        <w:trPr>
          <w:trHeight w:val="593"/>
        </w:trPr>
        <w:tc>
          <w:tcPr>
            <w:tcW w:w="1525" w:type="dxa"/>
          </w:tcPr>
          <w:p w:rsidR="007C5184" w:rsidRPr="007C5184" w:rsidP="006B175D" w14:paraId="7506A254" w14:textId="77777777">
            <w:pPr>
              <w:rPr>
                <w:szCs w:val="26"/>
              </w:rPr>
            </w:pPr>
            <w:r w:rsidRPr="007C5184">
              <w:rPr>
                <w:b/>
                <w:bCs/>
                <w:kern w:val="2"/>
                <w:szCs w:val="20"/>
                <w14:ligatures w14:val="standardContextual"/>
              </w:rPr>
              <w:t>Total for TPL-008-1</w:t>
            </w:r>
          </w:p>
        </w:tc>
        <w:tc>
          <w:tcPr>
            <w:tcW w:w="1530" w:type="dxa"/>
            <w:shd w:val="clear" w:color="auto" w:fill="BFBFBF" w:themeFill="background1" w:themeFillShade="BF"/>
          </w:tcPr>
          <w:p w:rsidR="007C5184" w:rsidRPr="007C5184" w:rsidP="00664E30" w14:paraId="1A8E70DF" w14:textId="77777777">
            <w:pPr>
              <w:spacing w:line="480" w:lineRule="auto"/>
              <w:jc w:val="center"/>
              <w:rPr>
                <w:szCs w:val="26"/>
                <w:highlight w:val="black"/>
              </w:rPr>
            </w:pPr>
          </w:p>
        </w:tc>
        <w:tc>
          <w:tcPr>
            <w:tcW w:w="1620" w:type="dxa"/>
            <w:shd w:val="clear" w:color="auto" w:fill="BFBFBF" w:themeFill="background1" w:themeFillShade="BF"/>
          </w:tcPr>
          <w:p w:rsidR="007C5184" w:rsidRPr="007C5184" w:rsidP="00664E30" w14:paraId="658CD454" w14:textId="77777777">
            <w:pPr>
              <w:spacing w:line="480" w:lineRule="auto"/>
              <w:jc w:val="center"/>
              <w:rPr>
                <w:szCs w:val="26"/>
                <w:highlight w:val="lightGray"/>
              </w:rPr>
            </w:pPr>
          </w:p>
        </w:tc>
        <w:tc>
          <w:tcPr>
            <w:tcW w:w="1440" w:type="dxa"/>
          </w:tcPr>
          <w:p w:rsidR="007C5184" w:rsidRPr="007C5184" w:rsidP="00664E30" w14:paraId="66BA98FE" w14:textId="77777777">
            <w:pPr>
              <w:spacing w:line="480" w:lineRule="auto"/>
              <w:jc w:val="center"/>
              <w:rPr>
                <w:szCs w:val="26"/>
              </w:rPr>
            </w:pPr>
            <w:r w:rsidRPr="007C5184">
              <w:rPr>
                <w:b/>
                <w:bCs/>
                <w:kern w:val="2"/>
                <w:szCs w:val="20"/>
                <w14:ligatures w14:val="standardContextual"/>
              </w:rPr>
              <w:t>266</w:t>
            </w:r>
          </w:p>
        </w:tc>
        <w:tc>
          <w:tcPr>
            <w:tcW w:w="1890" w:type="dxa"/>
            <w:shd w:val="clear" w:color="auto" w:fill="BFBFBF" w:themeFill="background1" w:themeFillShade="BF"/>
          </w:tcPr>
          <w:p w:rsidR="007C5184" w:rsidRPr="007C5184" w:rsidP="00664E30" w14:paraId="1F8C397E" w14:textId="77777777">
            <w:pPr>
              <w:spacing w:line="480" w:lineRule="auto"/>
              <w:jc w:val="right"/>
              <w:rPr>
                <w:szCs w:val="26"/>
              </w:rPr>
            </w:pPr>
          </w:p>
        </w:tc>
        <w:tc>
          <w:tcPr>
            <w:tcW w:w="1620" w:type="dxa"/>
          </w:tcPr>
          <w:p w:rsidR="007C5184" w:rsidRPr="007C5184" w:rsidP="006B175D" w14:paraId="61865BDB" w14:textId="77777777">
            <w:pPr>
              <w:jc w:val="right"/>
              <w:rPr>
                <w:kern w:val="2"/>
                <w:szCs w:val="20"/>
                <w14:ligatures w14:val="standardContextual"/>
              </w:rPr>
            </w:pPr>
            <w:r w:rsidRPr="007C5184">
              <w:rPr>
                <w:kern w:val="2"/>
                <w:szCs w:val="20"/>
                <w14:ligatures w14:val="standardContextual"/>
              </w:rPr>
              <w:t xml:space="preserve">16,880 hrs. </w:t>
            </w:r>
          </w:p>
          <w:p w:rsidR="007C5184" w:rsidRPr="007C5184" w:rsidP="006B175D" w14:paraId="7A7ECC87" w14:textId="77777777">
            <w:pPr>
              <w:jc w:val="right"/>
              <w:rPr>
                <w:szCs w:val="26"/>
              </w:rPr>
            </w:pPr>
            <w:r w:rsidRPr="007C5184">
              <w:rPr>
                <w:kern w:val="2"/>
                <w:szCs w:val="20"/>
                <w14:ligatures w14:val="standardContextual"/>
              </w:rPr>
              <w:t>$1,192,910</w:t>
            </w:r>
          </w:p>
        </w:tc>
      </w:tr>
    </w:tbl>
    <w:p w:rsidR="00337CD1" w:rsidP="00D36120" w14:paraId="2F43E688" w14:textId="77777777">
      <w:pPr>
        <w:tabs>
          <w:tab w:val="num" w:pos="720"/>
        </w:tabs>
        <w:spacing w:after="260" w:line="480" w:lineRule="auto"/>
        <w:ind w:right="-360"/>
        <w:rPr>
          <w:rFonts w:eastAsiaTheme="minorHAnsi"/>
          <w:szCs w:val="22"/>
        </w:rPr>
      </w:pPr>
    </w:p>
    <w:p w:rsidR="00D36120" w:rsidP="00D36120" w14:paraId="1EDD6CD5" w14:textId="4BEBC726">
      <w:pPr>
        <w:tabs>
          <w:tab w:val="num" w:pos="720"/>
        </w:tabs>
        <w:spacing w:after="260" w:line="480" w:lineRule="auto"/>
        <w:ind w:right="-360"/>
        <w:rPr>
          <w:rFonts w:eastAsiaTheme="minorHAnsi"/>
          <w:szCs w:val="22"/>
        </w:rPr>
      </w:pPr>
      <w:r w:rsidRPr="007C5184">
        <w:rPr>
          <w:rFonts w:eastAsiaTheme="minorHAnsi"/>
          <w:szCs w:val="22"/>
        </w:rPr>
        <w:t xml:space="preserve">The annual responses and burden hours for proposed Reliability Standard TPL-008-1 will be </w:t>
      </w:r>
      <w:r w:rsidRPr="007C5184">
        <w:rPr>
          <w:rFonts w:eastAsiaTheme="minorHAnsi"/>
          <w:kern w:val="2"/>
          <w:szCs w:val="22"/>
          <w14:ligatures w14:val="standardContextual"/>
        </w:rPr>
        <w:t>266</w:t>
      </w:r>
      <w:r w:rsidRPr="007C5184">
        <w:rPr>
          <w:rFonts w:eastAsiaTheme="minorHAnsi"/>
          <w:szCs w:val="22"/>
        </w:rPr>
        <w:t xml:space="preserve"> </w:t>
      </w:r>
      <w:r w:rsidRPr="007C5184" w:rsidR="00062F28">
        <w:rPr>
          <w:rFonts w:eastAsiaTheme="minorHAnsi"/>
          <w:szCs w:val="22"/>
        </w:rPr>
        <w:t>responses:</w:t>
      </w:r>
      <w:r w:rsidRPr="007C5184">
        <w:rPr>
          <w:rFonts w:eastAsiaTheme="minorHAnsi"/>
          <w:szCs w:val="22"/>
        </w:rPr>
        <w:t xml:space="preserve"> 16,880</w:t>
      </w:r>
      <w:r w:rsidRPr="007C5184">
        <w:rPr>
          <w:rFonts w:eastAsiaTheme="minorHAnsi"/>
          <w:kern w:val="2"/>
          <w:szCs w:val="22"/>
          <w14:ligatures w14:val="standardContextual"/>
        </w:rPr>
        <w:t xml:space="preserve"> </w:t>
      </w:r>
      <w:r w:rsidRPr="007C5184">
        <w:rPr>
          <w:rFonts w:eastAsiaTheme="minorHAnsi"/>
          <w:szCs w:val="22"/>
        </w:rPr>
        <w:t>hours.</w:t>
      </w:r>
    </w:p>
    <w:p w:rsidR="00E466D6" w:rsidRPr="00E466D6" w:rsidP="00E466D6" w14:paraId="3FB09901" w14:textId="77777777">
      <w:pPr>
        <w:tabs>
          <w:tab w:val="num" w:pos="720"/>
        </w:tabs>
        <w:spacing w:after="260"/>
        <w:rPr>
          <w:rFonts w:eastAsia="Calibri"/>
          <w:szCs w:val="22"/>
        </w:rPr>
      </w:pPr>
      <w:r w:rsidRPr="00E466D6">
        <w:rPr>
          <w:rFonts w:eastAsia="Calibri"/>
          <w:szCs w:val="22"/>
          <w:u w:val="single"/>
        </w:rPr>
        <w:t>Respondents</w:t>
      </w:r>
      <w:r w:rsidRPr="00E466D6">
        <w:rPr>
          <w:rFonts w:eastAsia="Calibri"/>
          <w:szCs w:val="22"/>
        </w:rPr>
        <w:t>:  Businesses or other for-profit institutions; not-for-profit institutions.</w:t>
      </w:r>
    </w:p>
    <w:p w:rsidR="00E466D6" w:rsidRPr="00E466D6" w:rsidP="00E466D6" w14:paraId="74EA8012" w14:textId="77777777">
      <w:pPr>
        <w:tabs>
          <w:tab w:val="num" w:pos="720"/>
        </w:tabs>
        <w:spacing w:after="260"/>
        <w:rPr>
          <w:rFonts w:eastAsia="Calibri"/>
          <w:szCs w:val="22"/>
        </w:rPr>
      </w:pPr>
      <w:r w:rsidRPr="00E466D6">
        <w:rPr>
          <w:rFonts w:eastAsia="Calibri"/>
          <w:szCs w:val="22"/>
          <w:u w:val="single"/>
        </w:rPr>
        <w:t>Frequency of Responses</w:t>
      </w:r>
      <w:r w:rsidRPr="00E466D6">
        <w:rPr>
          <w:rFonts w:eastAsia="Calibri"/>
          <w:szCs w:val="22"/>
        </w:rPr>
        <w:t>:  On occasion.</w:t>
      </w:r>
    </w:p>
    <w:p w:rsidR="00E466D6" w:rsidRPr="00E466D6" w:rsidP="006B175D" w14:paraId="63402208" w14:textId="77777777">
      <w:pPr>
        <w:tabs>
          <w:tab w:val="num" w:pos="720"/>
        </w:tabs>
        <w:spacing w:after="260" w:line="480" w:lineRule="auto"/>
        <w:rPr>
          <w:rFonts w:eastAsia="Calibri"/>
          <w:szCs w:val="22"/>
        </w:rPr>
      </w:pPr>
      <w:r w:rsidRPr="00E466D6">
        <w:rPr>
          <w:rFonts w:eastAsia="Calibri"/>
          <w:szCs w:val="22"/>
          <w:u w:val="single"/>
        </w:rPr>
        <w:t>Necessity of the Information</w:t>
      </w:r>
      <w:r w:rsidRPr="00E466D6">
        <w:rPr>
          <w:rFonts w:eastAsia="Calibri"/>
          <w:szCs w:val="22"/>
        </w:rPr>
        <w:t xml:space="preserve">:  This order approves the Reliability Standard pertaining to transmission system planning performance requirements for extreme temperature events.  As discussed above, the Commission proposes to approve proposed Reliability Standard TPL-008-1 pursuant to section 215(d)(2) of the FPA because it establishes transmission </w:t>
      </w:r>
      <w:r w:rsidRPr="00E466D6">
        <w:rPr>
          <w:rFonts w:eastAsia="Calibri"/>
          <w:szCs w:val="22"/>
        </w:rPr>
        <w:t>system planning performance requirements to help ensure that the Bulk-Power System will operate reliably during extreme heat and extreme cold temperature events.</w:t>
      </w:r>
    </w:p>
    <w:p w:rsidR="00E466D6" w:rsidRPr="00E466D6" w:rsidP="006B175D" w14:paraId="2E667189" w14:textId="77777777">
      <w:pPr>
        <w:tabs>
          <w:tab w:val="num" w:pos="720"/>
        </w:tabs>
        <w:spacing w:after="260" w:line="480" w:lineRule="auto"/>
        <w:rPr>
          <w:rFonts w:eastAsia="Calibri"/>
          <w:szCs w:val="22"/>
        </w:rPr>
      </w:pPr>
      <w:r w:rsidRPr="00E466D6">
        <w:rPr>
          <w:rFonts w:eastAsia="Calibri"/>
          <w:szCs w:val="22"/>
          <w:u w:val="single"/>
        </w:rPr>
        <w:t>Internal Review</w:t>
      </w:r>
      <w:r w:rsidRPr="00E466D6">
        <w:rPr>
          <w:rFonts w:eastAsia="Calibri"/>
          <w:szCs w:val="22"/>
        </w:rPr>
        <w:t xml:space="preserve">:  The Commission has reviewed the proposed Reliability Standard and </w:t>
      </w:r>
      <w:r w:rsidRPr="00E466D6">
        <w:rPr>
          <w:rFonts w:eastAsia="Calibri"/>
          <w:szCs w:val="22"/>
        </w:rPr>
        <w:t>made a determination</w:t>
      </w:r>
      <w:r w:rsidRPr="00E466D6">
        <w:rPr>
          <w:rFonts w:eastAsia="Calibri"/>
          <w:szCs w:val="22"/>
        </w:rPr>
        <w:t xml:space="preserve"> that its action is necessary to implement section 215 of the FPA.</w:t>
      </w:r>
    </w:p>
    <w:p w:rsidR="00AE02A7" w:rsidP="00AE02A7" w14:paraId="6F619A04" w14:textId="13D17D5B">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E02A7" w:rsidP="00AE02A7" w14:paraId="0E5E8EE1" w14:textId="77777777"/>
    <w:p w:rsidR="00AE02A7" w:rsidP="00AE02A7" w14:paraId="5C9C184A" w14:textId="77777777"/>
    <w:p w:rsidR="00AE02A7" w:rsidP="009C408D" w14:paraId="73188195" w14:textId="77777777">
      <w:pPr>
        <w:tabs>
          <w:tab w:val="left" w:pos="720"/>
        </w:tabs>
        <w:autoSpaceDE w:val="0"/>
        <w:autoSpaceDN w:val="0"/>
        <w:adjustRightInd w:val="0"/>
      </w:pPr>
    </w:p>
    <w:p w:rsidR="006F61B2" w:rsidP="009C408D" w14:paraId="25259771" w14:textId="77777777">
      <w:pPr>
        <w:tabs>
          <w:tab w:val="left" w:pos="720"/>
        </w:tabs>
        <w:autoSpaceDE w:val="0"/>
        <w:autoSpaceDN w:val="0"/>
        <w:adjustRightInd w:val="0"/>
        <w:rPr>
          <w:rFonts w:eastAsia="Calibri"/>
          <w:highlight w:val="yellow"/>
        </w:rPr>
      </w:pPr>
    </w:p>
    <w:p w:rsidR="006F61B2" w:rsidRPr="006F61B2" w:rsidP="006F61B2" w14:paraId="72E6280F" w14:textId="513F09A7">
      <w:pPr>
        <w:ind w:firstLine="2174"/>
        <w:jc w:val="center"/>
        <w:rPr>
          <w:rFonts w:eastAsia="Calibri"/>
        </w:rPr>
      </w:pPr>
      <w:r w:rsidRPr="006F61B2">
        <w:rPr>
          <w:rFonts w:eastAsia="Calibri"/>
        </w:rPr>
        <w:t>Carlos D. Clay,</w:t>
      </w:r>
    </w:p>
    <w:p w:rsidR="006F61B2" w:rsidRPr="006F61B2" w:rsidP="006F61B2" w14:paraId="2DABBEF7" w14:textId="7A623F81">
      <w:pPr>
        <w:ind w:firstLine="2174"/>
        <w:jc w:val="center"/>
        <w:rPr>
          <w:rFonts w:eastAsia="Calibri"/>
        </w:rPr>
      </w:pPr>
      <w:r w:rsidRPr="006F61B2">
        <w:rPr>
          <w:rFonts w:eastAsia="Calibri"/>
        </w:rPr>
        <w:t xml:space="preserve"> Deputy Secretary.</w:t>
      </w:r>
    </w:p>
    <w:p w:rsidR="006F61B2" w:rsidRPr="00AE02A7" w:rsidP="009C408D" w14:paraId="49D37BBE" w14:textId="77777777">
      <w:pPr>
        <w:tabs>
          <w:tab w:val="left" w:pos="720"/>
        </w:tabs>
        <w:autoSpaceDE w:val="0"/>
        <w:autoSpaceDN w:val="0"/>
        <w:adjustRightInd w:val="0"/>
        <w:rPr>
          <w:rFonts w:eastAsia="Calibri"/>
          <w:highlight w:val="yellow"/>
        </w:rPr>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05B1" w:rsidP="00B01B16" w14:paraId="14923F5E" w14:textId="77777777">
      <w:r>
        <w:separator/>
      </w:r>
    </w:p>
  </w:footnote>
  <w:footnote w:type="continuationSeparator" w:id="1">
    <w:p w:rsidR="008F05B1" w:rsidP="00B01B16" w14:paraId="0FAD150C" w14:textId="77777777">
      <w:r>
        <w:continuationSeparator/>
      </w:r>
    </w:p>
  </w:footnote>
  <w:footnote w:type="continuationNotice" w:id="2">
    <w:p w:rsidR="008F05B1" w14:paraId="5B100820" w14:textId="77777777"/>
  </w:footnote>
  <w:footnote w:id="3">
    <w:p w:rsidR="00062F28" w:rsidRPr="006F61B2" w:rsidP="006F61B2" w14:paraId="42AE4F5E" w14:textId="77777777">
      <w:pPr>
        <w:pStyle w:val="FootnoteText"/>
        <w:ind w:firstLine="720"/>
        <w:rPr>
          <w:sz w:val="26"/>
          <w:szCs w:val="26"/>
        </w:rPr>
      </w:pPr>
      <w:r w:rsidRPr="006F61B2">
        <w:rPr>
          <w:rStyle w:val="FootnoteReference"/>
        </w:rPr>
        <w:footnoteRef/>
      </w:r>
      <w:r w:rsidRPr="006F61B2">
        <w:rPr>
          <w:sz w:val="26"/>
          <w:szCs w:val="26"/>
        </w:rPr>
        <w:t xml:space="preserve"> Petition at 1.</w:t>
      </w:r>
    </w:p>
  </w:footnote>
  <w:footnote w:id="4">
    <w:p w:rsidR="00062F28" w:rsidRPr="006F61B2" w:rsidP="006F61B2" w14:paraId="34278EAF" w14:textId="77777777">
      <w:pPr>
        <w:pStyle w:val="FootnoteText"/>
        <w:spacing w:after="260"/>
        <w:ind w:firstLine="720"/>
        <w:rPr>
          <w:sz w:val="26"/>
          <w:szCs w:val="26"/>
        </w:rPr>
      </w:pPr>
      <w:r w:rsidRPr="006F61B2">
        <w:rPr>
          <w:rStyle w:val="FootnoteReference"/>
        </w:rPr>
        <w:footnoteRef/>
      </w:r>
      <w:r w:rsidRPr="006F61B2">
        <w:rPr>
          <w:sz w:val="26"/>
          <w:szCs w:val="26"/>
        </w:rPr>
        <w:t xml:space="preserve"> </w:t>
      </w:r>
      <w:r w:rsidRPr="006F61B2">
        <w:rPr>
          <w:i/>
          <w:iCs/>
          <w:sz w:val="26"/>
          <w:szCs w:val="26"/>
        </w:rPr>
        <w:t>Id.</w:t>
      </w:r>
      <w:r w:rsidRPr="006F61B2">
        <w:rPr>
          <w:sz w:val="26"/>
          <w:szCs w:val="26"/>
        </w:rPr>
        <w:t xml:space="preserve"> at 16.</w:t>
      </w:r>
    </w:p>
  </w:footnote>
  <w:footnote w:id="5">
    <w:p w:rsidR="00700906" w:rsidRPr="006F61B2" w:rsidP="006F61B2" w14:paraId="3A45A124" w14:textId="77777777">
      <w:pPr>
        <w:pStyle w:val="FootnoteText"/>
        <w:spacing w:after="260"/>
        <w:ind w:firstLine="720"/>
        <w:rPr>
          <w:sz w:val="26"/>
          <w:szCs w:val="26"/>
        </w:rPr>
      </w:pPr>
      <w:r w:rsidRPr="006F61B2">
        <w:rPr>
          <w:rStyle w:val="FootnoteReference"/>
        </w:rPr>
        <w:footnoteRef/>
      </w:r>
      <w:r w:rsidRPr="006F61B2">
        <w:rPr>
          <w:sz w:val="26"/>
          <w:szCs w:val="26"/>
        </w:rPr>
        <w:t xml:space="preserve"> </w:t>
      </w:r>
      <w:r w:rsidRPr="006F61B2">
        <w:rPr>
          <w:i/>
          <w:iCs/>
          <w:sz w:val="26"/>
          <w:szCs w:val="26"/>
        </w:rPr>
        <w:t>Transmission Sys. Plan. Performance Requirements for Extreme Weather</w:t>
      </w:r>
      <w:r w:rsidRPr="006F61B2">
        <w:rPr>
          <w:sz w:val="26"/>
          <w:szCs w:val="26"/>
        </w:rPr>
        <w:t>, Order No. 896, 183 FERC ¶ 61,191 (2023).</w:t>
      </w:r>
    </w:p>
  </w:footnote>
  <w:footnote w:id="6">
    <w:p w:rsidR="00700906" w:rsidRPr="006F61B2" w:rsidP="006F61B2" w14:paraId="1C43B387" w14:textId="77777777">
      <w:pPr>
        <w:pStyle w:val="FootnoteText"/>
        <w:spacing w:after="260"/>
        <w:ind w:firstLine="720"/>
        <w:rPr>
          <w:sz w:val="26"/>
          <w:szCs w:val="26"/>
        </w:rPr>
      </w:pPr>
      <w:r w:rsidRPr="006F61B2">
        <w:rPr>
          <w:rStyle w:val="FootnoteReference"/>
        </w:rPr>
        <w:footnoteRef/>
      </w:r>
      <w:r w:rsidRPr="006F61B2">
        <w:rPr>
          <w:sz w:val="26"/>
          <w:szCs w:val="26"/>
        </w:rPr>
        <w:t xml:space="preserve"> </w:t>
      </w:r>
      <w:r w:rsidRPr="006F61B2">
        <w:rPr>
          <w:i/>
          <w:iCs/>
          <w:sz w:val="26"/>
          <w:szCs w:val="26"/>
        </w:rPr>
        <w:t>Id.</w:t>
      </w:r>
      <w:r w:rsidRPr="006F61B2">
        <w:rPr>
          <w:sz w:val="26"/>
          <w:szCs w:val="26"/>
        </w:rPr>
        <w:t xml:space="preserve"> at P 6.</w:t>
      </w:r>
    </w:p>
  </w:footnote>
  <w:footnote w:id="7">
    <w:p w:rsidR="007C5184" w:rsidRPr="006F61B2" w:rsidP="006F61B2" w14:paraId="7297FD23" w14:textId="77777777">
      <w:pPr>
        <w:pStyle w:val="FootnoteText"/>
        <w:ind w:firstLine="720"/>
        <w:rPr>
          <w:sz w:val="26"/>
          <w:szCs w:val="26"/>
        </w:rPr>
      </w:pPr>
      <w:r w:rsidRPr="006F61B2">
        <w:rPr>
          <w:b/>
          <w:sz w:val="26"/>
          <w:szCs w:val="26"/>
          <w:vertAlign w:val="superscript"/>
        </w:rPr>
        <w:footnoteRef/>
      </w:r>
      <w:r w:rsidRPr="006F61B2">
        <w:rPr>
          <w:sz w:val="26"/>
          <w:szCs w:val="26"/>
        </w:rPr>
        <w:t xml:space="preserve"> Number of entities data taken from the NERC compliance registry, dated November 20, 2024.</w:t>
      </w:r>
    </w:p>
  </w:footnote>
  <w:footnote w:id="8">
    <w:p w:rsidR="007C5184" w:rsidRPr="006F61B2" w:rsidP="006F61B2" w14:paraId="4BD716AF" w14:textId="77777777">
      <w:pPr>
        <w:pStyle w:val="FootnoteText"/>
        <w:ind w:firstLine="720"/>
        <w:rPr>
          <w:sz w:val="26"/>
          <w:szCs w:val="26"/>
        </w:rPr>
      </w:pPr>
      <w:r w:rsidRPr="006F61B2">
        <w:rPr>
          <w:b/>
          <w:sz w:val="26"/>
          <w:szCs w:val="26"/>
          <w:vertAlign w:val="superscript"/>
        </w:rPr>
        <w:footnoteRef/>
      </w:r>
      <w:r w:rsidRPr="006F61B2">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18A00FE3">
        <w:pPr>
          <w:pStyle w:val="Header"/>
        </w:pPr>
        <w:r w:rsidRPr="00D954AE">
          <w:t xml:space="preserve">Docket No. </w:t>
        </w:r>
        <w:r w:rsidR="00703313">
          <w:t>RD</w:t>
        </w:r>
        <w:r w:rsidRPr="00D954AE">
          <w:t>2</w:t>
        </w:r>
        <w:r w:rsidR="00E94A54">
          <w:t>5</w:t>
        </w:r>
        <w:r w:rsidRPr="00D954AE">
          <w:t>-</w:t>
        </w:r>
        <w:r w:rsidR="00E22B24">
          <w:t>4</w:t>
        </w:r>
        <w:r w:rsidRPr="00D954AE">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518BE"/>
    <w:multiLevelType w:val="multilevel"/>
    <w:tmpl w:val="D514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2626FC"/>
    <w:multiLevelType w:val="multilevel"/>
    <w:tmpl w:val="A6E6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524B3B"/>
    <w:multiLevelType w:val="hybridMultilevel"/>
    <w:tmpl w:val="EE32B17E"/>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67044C1C"/>
    <w:multiLevelType w:val="hybridMultilevel"/>
    <w:tmpl w:val="FBB8783A"/>
    <w:lvl w:ilvl="0">
      <w:start w:val="98"/>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8070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703877">
    <w:abstractNumId w:val="7"/>
  </w:num>
  <w:num w:numId="3" w16cid:durableId="903417670">
    <w:abstractNumId w:val="12"/>
  </w:num>
  <w:num w:numId="4" w16cid:durableId="1149052004">
    <w:abstractNumId w:val="9"/>
  </w:num>
  <w:num w:numId="5" w16cid:durableId="1854490639">
    <w:abstractNumId w:val="18"/>
  </w:num>
  <w:num w:numId="6" w16cid:durableId="314338978">
    <w:abstractNumId w:val="3"/>
  </w:num>
  <w:num w:numId="7" w16cid:durableId="1174344768">
    <w:abstractNumId w:val="13"/>
  </w:num>
  <w:num w:numId="8" w16cid:durableId="1748648823">
    <w:abstractNumId w:val="2"/>
  </w:num>
  <w:num w:numId="9" w16cid:durableId="2116244772">
    <w:abstractNumId w:val="11"/>
  </w:num>
  <w:num w:numId="10" w16cid:durableId="1320773160">
    <w:abstractNumId w:val="17"/>
  </w:num>
  <w:num w:numId="11" w16cid:durableId="1571038222">
    <w:abstractNumId w:val="4"/>
  </w:num>
  <w:num w:numId="12" w16cid:durableId="553780793">
    <w:abstractNumId w:val="15"/>
  </w:num>
  <w:num w:numId="13" w16cid:durableId="463546188">
    <w:abstractNumId w:val="1"/>
  </w:num>
  <w:num w:numId="14" w16cid:durableId="1701586126">
    <w:abstractNumId w:val="16"/>
  </w:num>
  <w:num w:numId="15" w16cid:durableId="197011097">
    <w:abstractNumId w:val="10"/>
  </w:num>
  <w:num w:numId="16" w16cid:durableId="247085332">
    <w:abstractNumId w:val="6"/>
  </w:num>
  <w:num w:numId="17" w16cid:durableId="695468739">
    <w:abstractNumId w:val="14"/>
  </w:num>
  <w:num w:numId="18" w16cid:durableId="10713903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3574584">
    <w:abstractNumId w:val="0"/>
  </w:num>
  <w:num w:numId="20" w16cid:durableId="2057200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4973"/>
    <w:rsid w:val="0000758F"/>
    <w:rsid w:val="00014343"/>
    <w:rsid w:val="00016D90"/>
    <w:rsid w:val="00026C2D"/>
    <w:rsid w:val="000345F1"/>
    <w:rsid w:val="000370BC"/>
    <w:rsid w:val="000379D6"/>
    <w:rsid w:val="00042F33"/>
    <w:rsid w:val="000459B6"/>
    <w:rsid w:val="0005167F"/>
    <w:rsid w:val="000553F8"/>
    <w:rsid w:val="000578D5"/>
    <w:rsid w:val="00062427"/>
    <w:rsid w:val="00062F28"/>
    <w:rsid w:val="0006681D"/>
    <w:rsid w:val="00070ECD"/>
    <w:rsid w:val="00072E34"/>
    <w:rsid w:val="00074CC7"/>
    <w:rsid w:val="00082413"/>
    <w:rsid w:val="00084E3D"/>
    <w:rsid w:val="0008692A"/>
    <w:rsid w:val="00097607"/>
    <w:rsid w:val="000A0250"/>
    <w:rsid w:val="000A3078"/>
    <w:rsid w:val="000A3C2F"/>
    <w:rsid w:val="000A4305"/>
    <w:rsid w:val="000A6164"/>
    <w:rsid w:val="000A6F37"/>
    <w:rsid w:val="000A7E68"/>
    <w:rsid w:val="000B3479"/>
    <w:rsid w:val="000B3EC5"/>
    <w:rsid w:val="000B431B"/>
    <w:rsid w:val="000B5B66"/>
    <w:rsid w:val="000B5C78"/>
    <w:rsid w:val="000B6174"/>
    <w:rsid w:val="000C2353"/>
    <w:rsid w:val="000D318C"/>
    <w:rsid w:val="000D6512"/>
    <w:rsid w:val="000D6969"/>
    <w:rsid w:val="000E1256"/>
    <w:rsid w:val="000E2568"/>
    <w:rsid w:val="000E4C61"/>
    <w:rsid w:val="000F0805"/>
    <w:rsid w:val="000F3BC3"/>
    <w:rsid w:val="000F606E"/>
    <w:rsid w:val="000F7B45"/>
    <w:rsid w:val="00101565"/>
    <w:rsid w:val="00112B6B"/>
    <w:rsid w:val="00116326"/>
    <w:rsid w:val="00125991"/>
    <w:rsid w:val="001309CE"/>
    <w:rsid w:val="0013255C"/>
    <w:rsid w:val="00132785"/>
    <w:rsid w:val="001352F4"/>
    <w:rsid w:val="00135FC5"/>
    <w:rsid w:val="00137823"/>
    <w:rsid w:val="00141331"/>
    <w:rsid w:val="001460DD"/>
    <w:rsid w:val="00150CBC"/>
    <w:rsid w:val="0015445B"/>
    <w:rsid w:val="00156BBB"/>
    <w:rsid w:val="001600DF"/>
    <w:rsid w:val="00164215"/>
    <w:rsid w:val="0017145A"/>
    <w:rsid w:val="00171725"/>
    <w:rsid w:val="0017684C"/>
    <w:rsid w:val="00177704"/>
    <w:rsid w:val="0017796B"/>
    <w:rsid w:val="00181BF7"/>
    <w:rsid w:val="00182D98"/>
    <w:rsid w:val="00184250"/>
    <w:rsid w:val="00184A26"/>
    <w:rsid w:val="00184B43"/>
    <w:rsid w:val="0019402A"/>
    <w:rsid w:val="00197435"/>
    <w:rsid w:val="001974A9"/>
    <w:rsid w:val="001A2DAA"/>
    <w:rsid w:val="001A4804"/>
    <w:rsid w:val="001A6645"/>
    <w:rsid w:val="001A6AD6"/>
    <w:rsid w:val="001A6F26"/>
    <w:rsid w:val="001A738D"/>
    <w:rsid w:val="001B0BD2"/>
    <w:rsid w:val="001B78B8"/>
    <w:rsid w:val="001C0889"/>
    <w:rsid w:val="001C3BEC"/>
    <w:rsid w:val="001C543C"/>
    <w:rsid w:val="001C7064"/>
    <w:rsid w:val="001D3E7A"/>
    <w:rsid w:val="001D4C7C"/>
    <w:rsid w:val="001D578A"/>
    <w:rsid w:val="001D68BE"/>
    <w:rsid w:val="001E0030"/>
    <w:rsid w:val="001E3237"/>
    <w:rsid w:val="001E521B"/>
    <w:rsid w:val="001F1CDF"/>
    <w:rsid w:val="00200139"/>
    <w:rsid w:val="00202E41"/>
    <w:rsid w:val="00207AE7"/>
    <w:rsid w:val="00211105"/>
    <w:rsid w:val="002131D0"/>
    <w:rsid w:val="00213696"/>
    <w:rsid w:val="002137CC"/>
    <w:rsid w:val="002220C2"/>
    <w:rsid w:val="00224563"/>
    <w:rsid w:val="00224BF8"/>
    <w:rsid w:val="00224DD2"/>
    <w:rsid w:val="00227D0E"/>
    <w:rsid w:val="00235FEE"/>
    <w:rsid w:val="00236ED4"/>
    <w:rsid w:val="00237AB9"/>
    <w:rsid w:val="0024271E"/>
    <w:rsid w:val="0024309C"/>
    <w:rsid w:val="002433B3"/>
    <w:rsid w:val="00253F98"/>
    <w:rsid w:val="00257CC2"/>
    <w:rsid w:val="00262096"/>
    <w:rsid w:val="00265B23"/>
    <w:rsid w:val="00266431"/>
    <w:rsid w:val="002673BC"/>
    <w:rsid w:val="00267798"/>
    <w:rsid w:val="0027179A"/>
    <w:rsid w:val="00272C05"/>
    <w:rsid w:val="0027471E"/>
    <w:rsid w:val="002769ED"/>
    <w:rsid w:val="00287E9A"/>
    <w:rsid w:val="002906E5"/>
    <w:rsid w:val="00292A4C"/>
    <w:rsid w:val="00297211"/>
    <w:rsid w:val="002B5874"/>
    <w:rsid w:val="002B6EAA"/>
    <w:rsid w:val="002C0F86"/>
    <w:rsid w:val="002C2C8B"/>
    <w:rsid w:val="002C3223"/>
    <w:rsid w:val="002C32D0"/>
    <w:rsid w:val="002C3579"/>
    <w:rsid w:val="002C46BF"/>
    <w:rsid w:val="002C5E0E"/>
    <w:rsid w:val="002D17E5"/>
    <w:rsid w:val="002D57E8"/>
    <w:rsid w:val="002D6667"/>
    <w:rsid w:val="002D6750"/>
    <w:rsid w:val="002D76E9"/>
    <w:rsid w:val="002E06A0"/>
    <w:rsid w:val="002E1C29"/>
    <w:rsid w:val="002E1D8F"/>
    <w:rsid w:val="002E686A"/>
    <w:rsid w:val="002E68D4"/>
    <w:rsid w:val="002E6DAA"/>
    <w:rsid w:val="002F0144"/>
    <w:rsid w:val="002F3236"/>
    <w:rsid w:val="002F4401"/>
    <w:rsid w:val="002F708A"/>
    <w:rsid w:val="00301E3D"/>
    <w:rsid w:val="00303516"/>
    <w:rsid w:val="00306318"/>
    <w:rsid w:val="00311329"/>
    <w:rsid w:val="00311D90"/>
    <w:rsid w:val="00313373"/>
    <w:rsid w:val="00314219"/>
    <w:rsid w:val="003142B5"/>
    <w:rsid w:val="003149BC"/>
    <w:rsid w:val="0033340D"/>
    <w:rsid w:val="00336AD9"/>
    <w:rsid w:val="00337CD1"/>
    <w:rsid w:val="00337CDE"/>
    <w:rsid w:val="00340D3C"/>
    <w:rsid w:val="00342C38"/>
    <w:rsid w:val="00343A74"/>
    <w:rsid w:val="00353270"/>
    <w:rsid w:val="0036430E"/>
    <w:rsid w:val="00365468"/>
    <w:rsid w:val="003658A2"/>
    <w:rsid w:val="003673EC"/>
    <w:rsid w:val="0037304A"/>
    <w:rsid w:val="00373A2E"/>
    <w:rsid w:val="0037603D"/>
    <w:rsid w:val="00376525"/>
    <w:rsid w:val="00381882"/>
    <w:rsid w:val="00397ABE"/>
    <w:rsid w:val="003A2C3F"/>
    <w:rsid w:val="003B435C"/>
    <w:rsid w:val="003B5B0B"/>
    <w:rsid w:val="003C002D"/>
    <w:rsid w:val="003C08DE"/>
    <w:rsid w:val="003C3E7A"/>
    <w:rsid w:val="003C4C49"/>
    <w:rsid w:val="003D0BB4"/>
    <w:rsid w:val="003D28D2"/>
    <w:rsid w:val="003D5B9B"/>
    <w:rsid w:val="003E1657"/>
    <w:rsid w:val="003E1B25"/>
    <w:rsid w:val="003E1B5A"/>
    <w:rsid w:val="003E2AB4"/>
    <w:rsid w:val="003E40B2"/>
    <w:rsid w:val="003E44AD"/>
    <w:rsid w:val="003F0FE7"/>
    <w:rsid w:val="003F2E32"/>
    <w:rsid w:val="003F2EC7"/>
    <w:rsid w:val="003F2F72"/>
    <w:rsid w:val="003F4B12"/>
    <w:rsid w:val="003F570B"/>
    <w:rsid w:val="003F6466"/>
    <w:rsid w:val="00407BCE"/>
    <w:rsid w:val="00410A8B"/>
    <w:rsid w:val="00411B62"/>
    <w:rsid w:val="00413AA8"/>
    <w:rsid w:val="00413FDE"/>
    <w:rsid w:val="00415E2C"/>
    <w:rsid w:val="004177CD"/>
    <w:rsid w:val="00420DF0"/>
    <w:rsid w:val="0042688C"/>
    <w:rsid w:val="0042765E"/>
    <w:rsid w:val="00427AE5"/>
    <w:rsid w:val="00430620"/>
    <w:rsid w:val="00431210"/>
    <w:rsid w:val="00441C35"/>
    <w:rsid w:val="00443282"/>
    <w:rsid w:val="00447C9E"/>
    <w:rsid w:val="00450D64"/>
    <w:rsid w:val="00453679"/>
    <w:rsid w:val="004554C9"/>
    <w:rsid w:val="004562F1"/>
    <w:rsid w:val="004628F2"/>
    <w:rsid w:val="00462CE1"/>
    <w:rsid w:val="00465456"/>
    <w:rsid w:val="00471921"/>
    <w:rsid w:val="004725A7"/>
    <w:rsid w:val="00480D2D"/>
    <w:rsid w:val="00491543"/>
    <w:rsid w:val="00497A62"/>
    <w:rsid w:val="004A3167"/>
    <w:rsid w:val="004A661D"/>
    <w:rsid w:val="004A6FC8"/>
    <w:rsid w:val="004B7AF5"/>
    <w:rsid w:val="004BEE0F"/>
    <w:rsid w:val="004C0BC3"/>
    <w:rsid w:val="004C70C8"/>
    <w:rsid w:val="004D3B2D"/>
    <w:rsid w:val="004E2F48"/>
    <w:rsid w:val="004E44F8"/>
    <w:rsid w:val="004E683E"/>
    <w:rsid w:val="004F2232"/>
    <w:rsid w:val="004F56E3"/>
    <w:rsid w:val="00503954"/>
    <w:rsid w:val="005167B5"/>
    <w:rsid w:val="00520275"/>
    <w:rsid w:val="00524164"/>
    <w:rsid w:val="00527733"/>
    <w:rsid w:val="00531000"/>
    <w:rsid w:val="005401E0"/>
    <w:rsid w:val="00544424"/>
    <w:rsid w:val="0054746C"/>
    <w:rsid w:val="00565830"/>
    <w:rsid w:val="00565B5E"/>
    <w:rsid w:val="00566B5F"/>
    <w:rsid w:val="00566F54"/>
    <w:rsid w:val="00567315"/>
    <w:rsid w:val="005739F7"/>
    <w:rsid w:val="00573FA8"/>
    <w:rsid w:val="005749DE"/>
    <w:rsid w:val="0057709C"/>
    <w:rsid w:val="00577E4C"/>
    <w:rsid w:val="0058195F"/>
    <w:rsid w:val="00582915"/>
    <w:rsid w:val="00584A11"/>
    <w:rsid w:val="00587D1F"/>
    <w:rsid w:val="005953A1"/>
    <w:rsid w:val="00596242"/>
    <w:rsid w:val="00597970"/>
    <w:rsid w:val="005A0A9F"/>
    <w:rsid w:val="005A0B82"/>
    <w:rsid w:val="005A0D62"/>
    <w:rsid w:val="005A1E8A"/>
    <w:rsid w:val="005A23EA"/>
    <w:rsid w:val="005A2F24"/>
    <w:rsid w:val="005A5AB9"/>
    <w:rsid w:val="005A6119"/>
    <w:rsid w:val="005B0254"/>
    <w:rsid w:val="005B4DA4"/>
    <w:rsid w:val="005B7231"/>
    <w:rsid w:val="005C09F1"/>
    <w:rsid w:val="005C12CF"/>
    <w:rsid w:val="005C180F"/>
    <w:rsid w:val="005C35B6"/>
    <w:rsid w:val="005C77BE"/>
    <w:rsid w:val="005D0259"/>
    <w:rsid w:val="005D0A61"/>
    <w:rsid w:val="005D154B"/>
    <w:rsid w:val="005D238D"/>
    <w:rsid w:val="005D4628"/>
    <w:rsid w:val="005D630A"/>
    <w:rsid w:val="005E0B1A"/>
    <w:rsid w:val="005E1000"/>
    <w:rsid w:val="005E458C"/>
    <w:rsid w:val="005E45C6"/>
    <w:rsid w:val="005E68E7"/>
    <w:rsid w:val="005F7CE1"/>
    <w:rsid w:val="00602995"/>
    <w:rsid w:val="006117BC"/>
    <w:rsid w:val="006128A5"/>
    <w:rsid w:val="00613169"/>
    <w:rsid w:val="006131EE"/>
    <w:rsid w:val="00620474"/>
    <w:rsid w:val="006228E1"/>
    <w:rsid w:val="0062572C"/>
    <w:rsid w:val="00630E07"/>
    <w:rsid w:val="00632B22"/>
    <w:rsid w:val="0063784F"/>
    <w:rsid w:val="00637F43"/>
    <w:rsid w:val="00641F0D"/>
    <w:rsid w:val="00643772"/>
    <w:rsid w:val="00644A1B"/>
    <w:rsid w:val="00647718"/>
    <w:rsid w:val="00650E6C"/>
    <w:rsid w:val="006536D8"/>
    <w:rsid w:val="00654399"/>
    <w:rsid w:val="00654BA4"/>
    <w:rsid w:val="0066195A"/>
    <w:rsid w:val="00662FC3"/>
    <w:rsid w:val="0066364E"/>
    <w:rsid w:val="00663FBE"/>
    <w:rsid w:val="00664931"/>
    <w:rsid w:val="00664E30"/>
    <w:rsid w:val="00665F91"/>
    <w:rsid w:val="006670C8"/>
    <w:rsid w:val="006718F4"/>
    <w:rsid w:val="006740AF"/>
    <w:rsid w:val="006841A7"/>
    <w:rsid w:val="00687348"/>
    <w:rsid w:val="00693721"/>
    <w:rsid w:val="00694C22"/>
    <w:rsid w:val="006963BC"/>
    <w:rsid w:val="006970F4"/>
    <w:rsid w:val="006A2E15"/>
    <w:rsid w:val="006A4398"/>
    <w:rsid w:val="006A53D8"/>
    <w:rsid w:val="006A7F70"/>
    <w:rsid w:val="006B175D"/>
    <w:rsid w:val="006B3479"/>
    <w:rsid w:val="006B5461"/>
    <w:rsid w:val="006D5669"/>
    <w:rsid w:val="006E7CBB"/>
    <w:rsid w:val="006E7EBE"/>
    <w:rsid w:val="006F0D0B"/>
    <w:rsid w:val="006F61B2"/>
    <w:rsid w:val="006F7028"/>
    <w:rsid w:val="006F749E"/>
    <w:rsid w:val="00700906"/>
    <w:rsid w:val="00701F6A"/>
    <w:rsid w:val="007024F1"/>
    <w:rsid w:val="00703313"/>
    <w:rsid w:val="00706117"/>
    <w:rsid w:val="00706A21"/>
    <w:rsid w:val="00707D60"/>
    <w:rsid w:val="00713417"/>
    <w:rsid w:val="00714EDD"/>
    <w:rsid w:val="0071596F"/>
    <w:rsid w:val="00716554"/>
    <w:rsid w:val="00723505"/>
    <w:rsid w:val="00725E0F"/>
    <w:rsid w:val="007263B9"/>
    <w:rsid w:val="007352F2"/>
    <w:rsid w:val="007377F0"/>
    <w:rsid w:val="0074277A"/>
    <w:rsid w:val="0075009F"/>
    <w:rsid w:val="00752A48"/>
    <w:rsid w:val="00757503"/>
    <w:rsid w:val="00757707"/>
    <w:rsid w:val="00757D44"/>
    <w:rsid w:val="00761148"/>
    <w:rsid w:val="00761431"/>
    <w:rsid w:val="007633DD"/>
    <w:rsid w:val="00771B1A"/>
    <w:rsid w:val="00771EAE"/>
    <w:rsid w:val="007753BE"/>
    <w:rsid w:val="00775493"/>
    <w:rsid w:val="007755E3"/>
    <w:rsid w:val="00781E6A"/>
    <w:rsid w:val="00787BE2"/>
    <w:rsid w:val="00792436"/>
    <w:rsid w:val="007A068A"/>
    <w:rsid w:val="007A2D9B"/>
    <w:rsid w:val="007B0911"/>
    <w:rsid w:val="007B17C9"/>
    <w:rsid w:val="007B1F57"/>
    <w:rsid w:val="007B370F"/>
    <w:rsid w:val="007B40DD"/>
    <w:rsid w:val="007B4938"/>
    <w:rsid w:val="007B7029"/>
    <w:rsid w:val="007C50E2"/>
    <w:rsid w:val="007C5184"/>
    <w:rsid w:val="007C7D00"/>
    <w:rsid w:val="007D02D8"/>
    <w:rsid w:val="007E3706"/>
    <w:rsid w:val="007E5159"/>
    <w:rsid w:val="007E5A29"/>
    <w:rsid w:val="007F4CD3"/>
    <w:rsid w:val="007F61C2"/>
    <w:rsid w:val="00801456"/>
    <w:rsid w:val="008018DB"/>
    <w:rsid w:val="00803CA2"/>
    <w:rsid w:val="008056E7"/>
    <w:rsid w:val="00806332"/>
    <w:rsid w:val="00807CAC"/>
    <w:rsid w:val="008115BF"/>
    <w:rsid w:val="008143B0"/>
    <w:rsid w:val="00816942"/>
    <w:rsid w:val="0082071E"/>
    <w:rsid w:val="008212DA"/>
    <w:rsid w:val="00821E99"/>
    <w:rsid w:val="008225F7"/>
    <w:rsid w:val="00823681"/>
    <w:rsid w:val="00824D81"/>
    <w:rsid w:val="0082638F"/>
    <w:rsid w:val="00827650"/>
    <w:rsid w:val="00835322"/>
    <w:rsid w:val="008376AE"/>
    <w:rsid w:val="00841075"/>
    <w:rsid w:val="008416FD"/>
    <w:rsid w:val="00844BEF"/>
    <w:rsid w:val="00845FCF"/>
    <w:rsid w:val="0084717B"/>
    <w:rsid w:val="008507FE"/>
    <w:rsid w:val="00851BDE"/>
    <w:rsid w:val="00853ABC"/>
    <w:rsid w:val="00855BDC"/>
    <w:rsid w:val="008575C2"/>
    <w:rsid w:val="008613BD"/>
    <w:rsid w:val="00862821"/>
    <w:rsid w:val="00863A2C"/>
    <w:rsid w:val="00863E08"/>
    <w:rsid w:val="00871D53"/>
    <w:rsid w:val="00871DCE"/>
    <w:rsid w:val="008755D6"/>
    <w:rsid w:val="00880340"/>
    <w:rsid w:val="00881405"/>
    <w:rsid w:val="00883F45"/>
    <w:rsid w:val="00886E29"/>
    <w:rsid w:val="0088713C"/>
    <w:rsid w:val="00890360"/>
    <w:rsid w:val="0089069F"/>
    <w:rsid w:val="00893C9F"/>
    <w:rsid w:val="00895B40"/>
    <w:rsid w:val="00895DA2"/>
    <w:rsid w:val="00897359"/>
    <w:rsid w:val="008A050A"/>
    <w:rsid w:val="008A1C9C"/>
    <w:rsid w:val="008A4835"/>
    <w:rsid w:val="008A4C8D"/>
    <w:rsid w:val="008A55FC"/>
    <w:rsid w:val="008A7371"/>
    <w:rsid w:val="008B70F5"/>
    <w:rsid w:val="008B7EC5"/>
    <w:rsid w:val="008D146C"/>
    <w:rsid w:val="008D25B7"/>
    <w:rsid w:val="008D5479"/>
    <w:rsid w:val="008E0DC0"/>
    <w:rsid w:val="008E0DF5"/>
    <w:rsid w:val="008E3273"/>
    <w:rsid w:val="008E70D6"/>
    <w:rsid w:val="008F05B1"/>
    <w:rsid w:val="008F0AEA"/>
    <w:rsid w:val="008F0C45"/>
    <w:rsid w:val="008F40B2"/>
    <w:rsid w:val="008F6D40"/>
    <w:rsid w:val="00900A99"/>
    <w:rsid w:val="0090185B"/>
    <w:rsid w:val="009019EF"/>
    <w:rsid w:val="00904B00"/>
    <w:rsid w:val="009112D0"/>
    <w:rsid w:val="009405C8"/>
    <w:rsid w:val="00940C0F"/>
    <w:rsid w:val="00943CA7"/>
    <w:rsid w:val="00951DC3"/>
    <w:rsid w:val="00952652"/>
    <w:rsid w:val="0095548F"/>
    <w:rsid w:val="00973905"/>
    <w:rsid w:val="009744C8"/>
    <w:rsid w:val="00974530"/>
    <w:rsid w:val="00980E58"/>
    <w:rsid w:val="009815BD"/>
    <w:rsid w:val="00981886"/>
    <w:rsid w:val="00990102"/>
    <w:rsid w:val="00990FEC"/>
    <w:rsid w:val="00992257"/>
    <w:rsid w:val="009928CD"/>
    <w:rsid w:val="009949AA"/>
    <w:rsid w:val="00995921"/>
    <w:rsid w:val="0099713F"/>
    <w:rsid w:val="009A1B08"/>
    <w:rsid w:val="009A4418"/>
    <w:rsid w:val="009A5CE4"/>
    <w:rsid w:val="009A66A5"/>
    <w:rsid w:val="009B0524"/>
    <w:rsid w:val="009C3CB9"/>
    <w:rsid w:val="009C408D"/>
    <w:rsid w:val="009C4A13"/>
    <w:rsid w:val="009C745D"/>
    <w:rsid w:val="009D4BEE"/>
    <w:rsid w:val="009D50C1"/>
    <w:rsid w:val="009E2D84"/>
    <w:rsid w:val="009E68AD"/>
    <w:rsid w:val="009F1618"/>
    <w:rsid w:val="009F279E"/>
    <w:rsid w:val="009F39AC"/>
    <w:rsid w:val="009F7DE3"/>
    <w:rsid w:val="00A04C8E"/>
    <w:rsid w:val="00A07154"/>
    <w:rsid w:val="00A07B06"/>
    <w:rsid w:val="00A11624"/>
    <w:rsid w:val="00A11868"/>
    <w:rsid w:val="00A127D3"/>
    <w:rsid w:val="00A1386C"/>
    <w:rsid w:val="00A14335"/>
    <w:rsid w:val="00A14B43"/>
    <w:rsid w:val="00A15EFE"/>
    <w:rsid w:val="00A166E7"/>
    <w:rsid w:val="00A178B0"/>
    <w:rsid w:val="00A2075F"/>
    <w:rsid w:val="00A23612"/>
    <w:rsid w:val="00A2604E"/>
    <w:rsid w:val="00A27C67"/>
    <w:rsid w:val="00A31A17"/>
    <w:rsid w:val="00A32860"/>
    <w:rsid w:val="00A34A90"/>
    <w:rsid w:val="00A366C7"/>
    <w:rsid w:val="00A417A2"/>
    <w:rsid w:val="00A45401"/>
    <w:rsid w:val="00A52189"/>
    <w:rsid w:val="00A57463"/>
    <w:rsid w:val="00A63DAF"/>
    <w:rsid w:val="00A643A2"/>
    <w:rsid w:val="00A664DF"/>
    <w:rsid w:val="00A71219"/>
    <w:rsid w:val="00A713D0"/>
    <w:rsid w:val="00A722D4"/>
    <w:rsid w:val="00A75AAA"/>
    <w:rsid w:val="00A8027F"/>
    <w:rsid w:val="00A82A29"/>
    <w:rsid w:val="00A868C3"/>
    <w:rsid w:val="00A86B6F"/>
    <w:rsid w:val="00A94F94"/>
    <w:rsid w:val="00A968B1"/>
    <w:rsid w:val="00A971A6"/>
    <w:rsid w:val="00AA516A"/>
    <w:rsid w:val="00AA5B0E"/>
    <w:rsid w:val="00AA6A4A"/>
    <w:rsid w:val="00AB4DBF"/>
    <w:rsid w:val="00AC0504"/>
    <w:rsid w:val="00AC1DB7"/>
    <w:rsid w:val="00AC24E2"/>
    <w:rsid w:val="00AC381D"/>
    <w:rsid w:val="00AC3A7C"/>
    <w:rsid w:val="00AC62A6"/>
    <w:rsid w:val="00AC664F"/>
    <w:rsid w:val="00AC750B"/>
    <w:rsid w:val="00AD13D4"/>
    <w:rsid w:val="00AD1E15"/>
    <w:rsid w:val="00AD6937"/>
    <w:rsid w:val="00AE02A7"/>
    <w:rsid w:val="00AE1F12"/>
    <w:rsid w:val="00AE24CC"/>
    <w:rsid w:val="00AE4155"/>
    <w:rsid w:val="00AE4B7C"/>
    <w:rsid w:val="00AE66F6"/>
    <w:rsid w:val="00AF0AF6"/>
    <w:rsid w:val="00AF17CE"/>
    <w:rsid w:val="00AF336D"/>
    <w:rsid w:val="00AF349B"/>
    <w:rsid w:val="00AF65F0"/>
    <w:rsid w:val="00B009E9"/>
    <w:rsid w:val="00B01711"/>
    <w:rsid w:val="00B01B16"/>
    <w:rsid w:val="00B062D0"/>
    <w:rsid w:val="00B07F33"/>
    <w:rsid w:val="00B11D16"/>
    <w:rsid w:val="00B17A95"/>
    <w:rsid w:val="00B24588"/>
    <w:rsid w:val="00B253A6"/>
    <w:rsid w:val="00B25CF4"/>
    <w:rsid w:val="00B30F2D"/>
    <w:rsid w:val="00B34928"/>
    <w:rsid w:val="00B35B74"/>
    <w:rsid w:val="00B403F1"/>
    <w:rsid w:val="00B4163B"/>
    <w:rsid w:val="00B447D7"/>
    <w:rsid w:val="00B45D28"/>
    <w:rsid w:val="00B512E2"/>
    <w:rsid w:val="00B556C9"/>
    <w:rsid w:val="00B60113"/>
    <w:rsid w:val="00B6081E"/>
    <w:rsid w:val="00B61016"/>
    <w:rsid w:val="00B624EB"/>
    <w:rsid w:val="00B64C8D"/>
    <w:rsid w:val="00B71BAA"/>
    <w:rsid w:val="00B76A1F"/>
    <w:rsid w:val="00B806DD"/>
    <w:rsid w:val="00B80E54"/>
    <w:rsid w:val="00B82F8C"/>
    <w:rsid w:val="00B8460F"/>
    <w:rsid w:val="00B84D34"/>
    <w:rsid w:val="00B85549"/>
    <w:rsid w:val="00B861EC"/>
    <w:rsid w:val="00B95477"/>
    <w:rsid w:val="00BA1D81"/>
    <w:rsid w:val="00BA2296"/>
    <w:rsid w:val="00BA375E"/>
    <w:rsid w:val="00BA7056"/>
    <w:rsid w:val="00BA7130"/>
    <w:rsid w:val="00BB436B"/>
    <w:rsid w:val="00BC58DF"/>
    <w:rsid w:val="00BC63AF"/>
    <w:rsid w:val="00BC6431"/>
    <w:rsid w:val="00BD205B"/>
    <w:rsid w:val="00BD3DFE"/>
    <w:rsid w:val="00BD74AE"/>
    <w:rsid w:val="00BD7F03"/>
    <w:rsid w:val="00BE16BC"/>
    <w:rsid w:val="00BE3970"/>
    <w:rsid w:val="00BE3FE7"/>
    <w:rsid w:val="00BE6EDF"/>
    <w:rsid w:val="00BF2315"/>
    <w:rsid w:val="00BF2922"/>
    <w:rsid w:val="00BF2D74"/>
    <w:rsid w:val="00BF4CC8"/>
    <w:rsid w:val="00BF51ED"/>
    <w:rsid w:val="00BF75B6"/>
    <w:rsid w:val="00C02547"/>
    <w:rsid w:val="00C025C8"/>
    <w:rsid w:val="00C04E54"/>
    <w:rsid w:val="00C058D5"/>
    <w:rsid w:val="00C1124F"/>
    <w:rsid w:val="00C14903"/>
    <w:rsid w:val="00C1686C"/>
    <w:rsid w:val="00C30486"/>
    <w:rsid w:val="00C3051C"/>
    <w:rsid w:val="00C30740"/>
    <w:rsid w:val="00C30DED"/>
    <w:rsid w:val="00C367A6"/>
    <w:rsid w:val="00C37BFF"/>
    <w:rsid w:val="00C42500"/>
    <w:rsid w:val="00C425AD"/>
    <w:rsid w:val="00C45F17"/>
    <w:rsid w:val="00C50BD5"/>
    <w:rsid w:val="00C50EB1"/>
    <w:rsid w:val="00C51458"/>
    <w:rsid w:val="00C51E5F"/>
    <w:rsid w:val="00C52E2C"/>
    <w:rsid w:val="00C53580"/>
    <w:rsid w:val="00C55838"/>
    <w:rsid w:val="00C56745"/>
    <w:rsid w:val="00C63C66"/>
    <w:rsid w:val="00C67035"/>
    <w:rsid w:val="00C70729"/>
    <w:rsid w:val="00C71475"/>
    <w:rsid w:val="00C76958"/>
    <w:rsid w:val="00C76EA4"/>
    <w:rsid w:val="00C77EF7"/>
    <w:rsid w:val="00C80D25"/>
    <w:rsid w:val="00C82053"/>
    <w:rsid w:val="00C820F1"/>
    <w:rsid w:val="00C822C1"/>
    <w:rsid w:val="00C84936"/>
    <w:rsid w:val="00C84DE9"/>
    <w:rsid w:val="00C859F7"/>
    <w:rsid w:val="00C85A38"/>
    <w:rsid w:val="00C91512"/>
    <w:rsid w:val="00C94A53"/>
    <w:rsid w:val="00CA0DEC"/>
    <w:rsid w:val="00CA2DE2"/>
    <w:rsid w:val="00CA3A85"/>
    <w:rsid w:val="00CA6636"/>
    <w:rsid w:val="00CA6D76"/>
    <w:rsid w:val="00CA7FBE"/>
    <w:rsid w:val="00CB2E91"/>
    <w:rsid w:val="00CB400E"/>
    <w:rsid w:val="00CB51CC"/>
    <w:rsid w:val="00CB6F28"/>
    <w:rsid w:val="00CC0389"/>
    <w:rsid w:val="00CC1A72"/>
    <w:rsid w:val="00CC3633"/>
    <w:rsid w:val="00CC5692"/>
    <w:rsid w:val="00CC64E8"/>
    <w:rsid w:val="00CC65F3"/>
    <w:rsid w:val="00CD09E8"/>
    <w:rsid w:val="00CD0A18"/>
    <w:rsid w:val="00CD143D"/>
    <w:rsid w:val="00CD56E5"/>
    <w:rsid w:val="00CE0C1B"/>
    <w:rsid w:val="00CE64F2"/>
    <w:rsid w:val="00CF0C67"/>
    <w:rsid w:val="00CF0F40"/>
    <w:rsid w:val="00CF3AED"/>
    <w:rsid w:val="00CF4753"/>
    <w:rsid w:val="00CF63DF"/>
    <w:rsid w:val="00D0083B"/>
    <w:rsid w:val="00D04DF4"/>
    <w:rsid w:val="00D15403"/>
    <w:rsid w:val="00D172D8"/>
    <w:rsid w:val="00D2396F"/>
    <w:rsid w:val="00D26488"/>
    <w:rsid w:val="00D3231A"/>
    <w:rsid w:val="00D35B2D"/>
    <w:rsid w:val="00D36120"/>
    <w:rsid w:val="00D37FE5"/>
    <w:rsid w:val="00D44183"/>
    <w:rsid w:val="00D44A55"/>
    <w:rsid w:val="00D47931"/>
    <w:rsid w:val="00D47B74"/>
    <w:rsid w:val="00D47F3F"/>
    <w:rsid w:val="00D5276C"/>
    <w:rsid w:val="00D61B79"/>
    <w:rsid w:val="00D62C84"/>
    <w:rsid w:val="00D6384D"/>
    <w:rsid w:val="00D653F3"/>
    <w:rsid w:val="00D65EC2"/>
    <w:rsid w:val="00D66B24"/>
    <w:rsid w:val="00D67307"/>
    <w:rsid w:val="00D73DF8"/>
    <w:rsid w:val="00D763FD"/>
    <w:rsid w:val="00D776AF"/>
    <w:rsid w:val="00D80EA7"/>
    <w:rsid w:val="00D85E13"/>
    <w:rsid w:val="00D8600E"/>
    <w:rsid w:val="00D86288"/>
    <w:rsid w:val="00D872BC"/>
    <w:rsid w:val="00D872D9"/>
    <w:rsid w:val="00D900CF"/>
    <w:rsid w:val="00D954AE"/>
    <w:rsid w:val="00D96929"/>
    <w:rsid w:val="00DA1B6F"/>
    <w:rsid w:val="00DA529F"/>
    <w:rsid w:val="00DB2E03"/>
    <w:rsid w:val="00DB5AAE"/>
    <w:rsid w:val="00DB636B"/>
    <w:rsid w:val="00DB6882"/>
    <w:rsid w:val="00DC4B63"/>
    <w:rsid w:val="00DC5017"/>
    <w:rsid w:val="00DC5129"/>
    <w:rsid w:val="00DD7F1B"/>
    <w:rsid w:val="00DE1A87"/>
    <w:rsid w:val="00DE451F"/>
    <w:rsid w:val="00DF4921"/>
    <w:rsid w:val="00DF5B46"/>
    <w:rsid w:val="00E03D2D"/>
    <w:rsid w:val="00E12122"/>
    <w:rsid w:val="00E12A7A"/>
    <w:rsid w:val="00E22B24"/>
    <w:rsid w:val="00E27FD6"/>
    <w:rsid w:val="00E36A0F"/>
    <w:rsid w:val="00E400C7"/>
    <w:rsid w:val="00E40322"/>
    <w:rsid w:val="00E40CB4"/>
    <w:rsid w:val="00E40CB7"/>
    <w:rsid w:val="00E41DB9"/>
    <w:rsid w:val="00E466D6"/>
    <w:rsid w:val="00E47000"/>
    <w:rsid w:val="00E56612"/>
    <w:rsid w:val="00E566A3"/>
    <w:rsid w:val="00E60A4F"/>
    <w:rsid w:val="00E63808"/>
    <w:rsid w:val="00E71CC0"/>
    <w:rsid w:val="00E730CB"/>
    <w:rsid w:val="00E731AE"/>
    <w:rsid w:val="00E74310"/>
    <w:rsid w:val="00E762BB"/>
    <w:rsid w:val="00E865C8"/>
    <w:rsid w:val="00E8661B"/>
    <w:rsid w:val="00E87A8A"/>
    <w:rsid w:val="00E9084E"/>
    <w:rsid w:val="00E94A54"/>
    <w:rsid w:val="00E962E6"/>
    <w:rsid w:val="00E97D7C"/>
    <w:rsid w:val="00EA1793"/>
    <w:rsid w:val="00EA27C1"/>
    <w:rsid w:val="00EA689F"/>
    <w:rsid w:val="00EB1B49"/>
    <w:rsid w:val="00EB2F0C"/>
    <w:rsid w:val="00EC1434"/>
    <w:rsid w:val="00EC3C9F"/>
    <w:rsid w:val="00EC4FC5"/>
    <w:rsid w:val="00EC72B0"/>
    <w:rsid w:val="00EC77B3"/>
    <w:rsid w:val="00EC799B"/>
    <w:rsid w:val="00ED0142"/>
    <w:rsid w:val="00ED05F9"/>
    <w:rsid w:val="00EE04B1"/>
    <w:rsid w:val="00EE18F2"/>
    <w:rsid w:val="00EE277D"/>
    <w:rsid w:val="00EE365D"/>
    <w:rsid w:val="00EE74F3"/>
    <w:rsid w:val="00EF33BE"/>
    <w:rsid w:val="00EF4F97"/>
    <w:rsid w:val="00EF7C11"/>
    <w:rsid w:val="00F013C1"/>
    <w:rsid w:val="00F03DD4"/>
    <w:rsid w:val="00F05673"/>
    <w:rsid w:val="00F126FC"/>
    <w:rsid w:val="00F12983"/>
    <w:rsid w:val="00F15359"/>
    <w:rsid w:val="00F164C4"/>
    <w:rsid w:val="00F175C4"/>
    <w:rsid w:val="00F22345"/>
    <w:rsid w:val="00F23714"/>
    <w:rsid w:val="00F245A2"/>
    <w:rsid w:val="00F309CB"/>
    <w:rsid w:val="00F31ACB"/>
    <w:rsid w:val="00F32B03"/>
    <w:rsid w:val="00F33EED"/>
    <w:rsid w:val="00F33EEE"/>
    <w:rsid w:val="00F34068"/>
    <w:rsid w:val="00F375FB"/>
    <w:rsid w:val="00F37677"/>
    <w:rsid w:val="00F37B05"/>
    <w:rsid w:val="00F44A0E"/>
    <w:rsid w:val="00F44FC2"/>
    <w:rsid w:val="00F4763C"/>
    <w:rsid w:val="00F540BA"/>
    <w:rsid w:val="00F570F0"/>
    <w:rsid w:val="00F60E60"/>
    <w:rsid w:val="00F64069"/>
    <w:rsid w:val="00F64D6D"/>
    <w:rsid w:val="00F654D4"/>
    <w:rsid w:val="00F6574C"/>
    <w:rsid w:val="00F66182"/>
    <w:rsid w:val="00F71399"/>
    <w:rsid w:val="00F82EE1"/>
    <w:rsid w:val="00F842B8"/>
    <w:rsid w:val="00F866C9"/>
    <w:rsid w:val="00F93134"/>
    <w:rsid w:val="00F93EC2"/>
    <w:rsid w:val="00FA194B"/>
    <w:rsid w:val="00FA2803"/>
    <w:rsid w:val="00FB078F"/>
    <w:rsid w:val="00FB0A35"/>
    <w:rsid w:val="00FB3586"/>
    <w:rsid w:val="00FC3F00"/>
    <w:rsid w:val="00FC750D"/>
    <w:rsid w:val="00FD0EA3"/>
    <w:rsid w:val="00FD1ED0"/>
    <w:rsid w:val="00FD591A"/>
    <w:rsid w:val="00FD5CBC"/>
    <w:rsid w:val="00FE17CC"/>
    <w:rsid w:val="00FE2451"/>
    <w:rsid w:val="00FE34E4"/>
    <w:rsid w:val="00FE5D32"/>
    <w:rsid w:val="00FF1D71"/>
    <w:rsid w:val="00FF5141"/>
    <w:rsid w:val="00FF52AE"/>
    <w:rsid w:val="0150F23C"/>
    <w:rsid w:val="0165C0A2"/>
    <w:rsid w:val="02361C8C"/>
    <w:rsid w:val="02BC052D"/>
    <w:rsid w:val="02DEA4E6"/>
    <w:rsid w:val="0310494D"/>
    <w:rsid w:val="049B92DE"/>
    <w:rsid w:val="04B03DF6"/>
    <w:rsid w:val="04C86B4E"/>
    <w:rsid w:val="05074556"/>
    <w:rsid w:val="05F9B8B4"/>
    <w:rsid w:val="05FBA5CF"/>
    <w:rsid w:val="0618EBAA"/>
    <w:rsid w:val="061F8014"/>
    <w:rsid w:val="069CB28C"/>
    <w:rsid w:val="07B28F09"/>
    <w:rsid w:val="08585E03"/>
    <w:rsid w:val="086F3F57"/>
    <w:rsid w:val="08CE570B"/>
    <w:rsid w:val="09E94EFF"/>
    <w:rsid w:val="0A2E8201"/>
    <w:rsid w:val="0AF835D9"/>
    <w:rsid w:val="0B93A992"/>
    <w:rsid w:val="0BFB4FEC"/>
    <w:rsid w:val="0BFC081D"/>
    <w:rsid w:val="0D5E7CF0"/>
    <w:rsid w:val="0D9027FA"/>
    <w:rsid w:val="0DB0F6B3"/>
    <w:rsid w:val="0E299198"/>
    <w:rsid w:val="0F8EEAAC"/>
    <w:rsid w:val="0FC4AA08"/>
    <w:rsid w:val="1045B40B"/>
    <w:rsid w:val="107F1EFF"/>
    <w:rsid w:val="147BF9A3"/>
    <w:rsid w:val="15DF01DE"/>
    <w:rsid w:val="16196C8A"/>
    <w:rsid w:val="165915AB"/>
    <w:rsid w:val="168D589F"/>
    <w:rsid w:val="16B5A27A"/>
    <w:rsid w:val="17749E81"/>
    <w:rsid w:val="17F35275"/>
    <w:rsid w:val="194F6AC6"/>
    <w:rsid w:val="1B4FD258"/>
    <w:rsid w:val="1C3BBE74"/>
    <w:rsid w:val="1C4FE28C"/>
    <w:rsid w:val="1C94BA8A"/>
    <w:rsid w:val="1CD53CE3"/>
    <w:rsid w:val="1D76BE8C"/>
    <w:rsid w:val="1E23B990"/>
    <w:rsid w:val="1EC5DD49"/>
    <w:rsid w:val="1FBF89F1"/>
    <w:rsid w:val="1FE428A6"/>
    <w:rsid w:val="20B720BA"/>
    <w:rsid w:val="20C8080D"/>
    <w:rsid w:val="215B5A52"/>
    <w:rsid w:val="21853056"/>
    <w:rsid w:val="22D8E2EA"/>
    <w:rsid w:val="2373BC2C"/>
    <w:rsid w:val="23ED0EF4"/>
    <w:rsid w:val="242D914D"/>
    <w:rsid w:val="245B0F0F"/>
    <w:rsid w:val="251BEEE8"/>
    <w:rsid w:val="2547A327"/>
    <w:rsid w:val="255DA2D4"/>
    <w:rsid w:val="25C961AE"/>
    <w:rsid w:val="264FB5CD"/>
    <w:rsid w:val="2662F6CC"/>
    <w:rsid w:val="26C41655"/>
    <w:rsid w:val="273B0C95"/>
    <w:rsid w:val="27658342"/>
    <w:rsid w:val="28389230"/>
    <w:rsid w:val="2846B374"/>
    <w:rsid w:val="28667B7D"/>
    <w:rsid w:val="2956206E"/>
    <w:rsid w:val="2B904BD2"/>
    <w:rsid w:val="2CA98351"/>
    <w:rsid w:val="2D24A135"/>
    <w:rsid w:val="2E4553B2"/>
    <w:rsid w:val="2E477A49"/>
    <w:rsid w:val="2ED49E65"/>
    <w:rsid w:val="2EE62440"/>
    <w:rsid w:val="2F0D8784"/>
    <w:rsid w:val="2F15DBC6"/>
    <w:rsid w:val="2F261417"/>
    <w:rsid w:val="2FFF6FB6"/>
    <w:rsid w:val="34580A7C"/>
    <w:rsid w:val="34BB335E"/>
    <w:rsid w:val="34EF1E99"/>
    <w:rsid w:val="35C4DF18"/>
    <w:rsid w:val="36307F9F"/>
    <w:rsid w:val="36CAD848"/>
    <w:rsid w:val="3BBB0EF3"/>
    <w:rsid w:val="3CE0670C"/>
    <w:rsid w:val="3CE94BDB"/>
    <w:rsid w:val="3D176554"/>
    <w:rsid w:val="3D3A19CC"/>
    <w:rsid w:val="3D9A8CB5"/>
    <w:rsid w:val="3F31E01D"/>
    <w:rsid w:val="40CA6F92"/>
    <w:rsid w:val="40CAFFA2"/>
    <w:rsid w:val="4217F350"/>
    <w:rsid w:val="42AC0D0A"/>
    <w:rsid w:val="438F9754"/>
    <w:rsid w:val="44A08B00"/>
    <w:rsid w:val="4548C8DC"/>
    <w:rsid w:val="45BE7BF3"/>
    <w:rsid w:val="477FD93D"/>
    <w:rsid w:val="4922DB51"/>
    <w:rsid w:val="4978BC43"/>
    <w:rsid w:val="4A0BF9F8"/>
    <w:rsid w:val="4A1C39FF"/>
    <w:rsid w:val="4AA25E9F"/>
    <w:rsid w:val="4B54BA52"/>
    <w:rsid w:val="4D0D6D47"/>
    <w:rsid w:val="4E763C68"/>
    <w:rsid w:val="4EE34343"/>
    <w:rsid w:val="50282B75"/>
    <w:rsid w:val="50378267"/>
    <w:rsid w:val="50BF72DF"/>
    <w:rsid w:val="50CA7767"/>
    <w:rsid w:val="516278EE"/>
    <w:rsid w:val="51B28E2E"/>
    <w:rsid w:val="51EF7A1A"/>
    <w:rsid w:val="5238B98C"/>
    <w:rsid w:val="54C9162E"/>
    <w:rsid w:val="5524EC81"/>
    <w:rsid w:val="55ED9F3E"/>
    <w:rsid w:val="564E98E0"/>
    <w:rsid w:val="5653D8D9"/>
    <w:rsid w:val="5671D160"/>
    <w:rsid w:val="582AFF86"/>
    <w:rsid w:val="58ABA058"/>
    <w:rsid w:val="5B3E3E7A"/>
    <w:rsid w:val="5B62A048"/>
    <w:rsid w:val="5B965C60"/>
    <w:rsid w:val="5BB1EA6D"/>
    <w:rsid w:val="5C54D0C1"/>
    <w:rsid w:val="5D1E7BD7"/>
    <w:rsid w:val="5D2C8F2C"/>
    <w:rsid w:val="5E7753AC"/>
    <w:rsid w:val="5F71ABEF"/>
    <w:rsid w:val="5F8CF385"/>
    <w:rsid w:val="6005FBC4"/>
    <w:rsid w:val="60202400"/>
    <w:rsid w:val="60AD9582"/>
    <w:rsid w:val="61E20D26"/>
    <w:rsid w:val="6277F6FC"/>
    <w:rsid w:val="62F960D7"/>
    <w:rsid w:val="63CE9A9F"/>
    <w:rsid w:val="63E53644"/>
    <w:rsid w:val="64164094"/>
    <w:rsid w:val="64975C47"/>
    <w:rsid w:val="64BD4124"/>
    <w:rsid w:val="653D58FE"/>
    <w:rsid w:val="655A3041"/>
    <w:rsid w:val="65B9A2B8"/>
    <w:rsid w:val="66310199"/>
    <w:rsid w:val="66D3FE0B"/>
    <w:rsid w:val="67557319"/>
    <w:rsid w:val="67CEFD09"/>
    <w:rsid w:val="6878A8A6"/>
    <w:rsid w:val="6A84891A"/>
    <w:rsid w:val="6B7C829C"/>
    <w:rsid w:val="6BB04968"/>
    <w:rsid w:val="6D52CCCC"/>
    <w:rsid w:val="6E072668"/>
    <w:rsid w:val="728620A0"/>
    <w:rsid w:val="73470079"/>
    <w:rsid w:val="745ADA20"/>
    <w:rsid w:val="75B8F547"/>
    <w:rsid w:val="761118E9"/>
    <w:rsid w:val="764F4F95"/>
    <w:rsid w:val="77189FEF"/>
    <w:rsid w:val="774D29E4"/>
    <w:rsid w:val="78661771"/>
    <w:rsid w:val="78D4FB9D"/>
    <w:rsid w:val="7A448487"/>
    <w:rsid w:val="7B52B354"/>
    <w:rsid w:val="7CA82F0D"/>
    <w:rsid w:val="7CDFB9BB"/>
    <w:rsid w:val="7D1BF9BE"/>
    <w:rsid w:val="7DFD538E"/>
    <w:rsid w:val="7E42E056"/>
    <w:rsid w:val="7E461DF2"/>
    <w:rsid w:val="7F2EFC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A16F87E4-1ABC-48E6-85C7-2EC9346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17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6667"/>
    <w:rPr>
      <w:color w:val="2B579A"/>
      <w:shd w:val="clear" w:color="auto" w:fill="E1DFDD"/>
    </w:rPr>
  </w:style>
  <w:style w:type="table" w:customStyle="1" w:styleId="TableGrid1">
    <w:name w:val="Table Grid1"/>
    <w:basedOn w:val="TableNormal"/>
    <w:next w:val="TableGrid"/>
    <w:uiPriority w:val="39"/>
    <w:rsid w:val="00A2075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C64E8"/>
    <w:pPr>
      <w:spacing w:after="120"/>
    </w:pPr>
  </w:style>
  <w:style w:type="character" w:customStyle="1" w:styleId="BodyTextChar">
    <w:name w:val="Body Text Char"/>
    <w:basedOn w:val="DefaultParagraphFont"/>
    <w:link w:val="BodyText"/>
    <w:uiPriority w:val="99"/>
    <w:semiHidden/>
    <w:rsid w:val="00CC64E8"/>
    <w:rPr>
      <w:rFonts w:ascii="Times New Roman" w:eastAsia="Times New Roman" w:hAnsi="Times New Roman" w:cs="Times New Roman"/>
      <w:sz w:val="26"/>
      <w:szCs w:val="24"/>
    </w:rPr>
  </w:style>
  <w:style w:type="table" w:customStyle="1" w:styleId="TableGrid2">
    <w:name w:val="Table Grid2"/>
    <w:basedOn w:val="TableNormal"/>
    <w:next w:val="TableGrid"/>
    <w:uiPriority w:val="39"/>
    <w:rsid w:val="00CB400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13B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link w:val="FERCparanumberChar"/>
    <w:qFormat/>
    <w:rsid w:val="007C5184"/>
    <w:pPr>
      <w:numPr>
        <w:numId w:val="18"/>
      </w:numPr>
      <w:spacing w:after="260"/>
    </w:pPr>
    <w:rPr>
      <w:rFonts w:eastAsiaTheme="minorHAnsi"/>
      <w:szCs w:val="22"/>
    </w:rPr>
  </w:style>
  <w:style w:type="character" w:customStyle="1" w:styleId="FERCparanumberChar">
    <w:name w:val="FERC paranumber Char"/>
    <w:basedOn w:val="DefaultParagraphFont"/>
    <w:link w:val="FERCparanumber"/>
    <w:rsid w:val="007C5184"/>
    <w:rPr>
      <w:rFonts w:ascii="Times New Roman" w:hAnsi="Times New Roman" w:cs="Times New Roman"/>
      <w:sz w:val="26"/>
    </w:rPr>
  </w:style>
  <w:style w:type="table" w:customStyle="1" w:styleId="TableGrid4">
    <w:name w:val="Table Grid4"/>
    <w:basedOn w:val="TableNormal"/>
    <w:next w:val="TableGrid"/>
    <w:rsid w:val="007C518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4BEE"/>
    <w:pPr>
      <w:spacing w:before="100" w:beforeAutospacing="1" w:after="100" w:afterAutospacing="1"/>
    </w:pPr>
    <w:rPr>
      <w:sz w:val="24"/>
    </w:rPr>
  </w:style>
  <w:style w:type="character" w:customStyle="1" w:styleId="normaltextrun">
    <w:name w:val="normaltextrun"/>
    <w:basedOn w:val="DefaultParagraphFont"/>
    <w:rsid w:val="009D4BEE"/>
  </w:style>
  <w:style w:type="character" w:customStyle="1" w:styleId="eop">
    <w:name w:val="eop"/>
    <w:basedOn w:val="DefaultParagraphFont"/>
    <w:rsid w:val="009D4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yperlink" Target="http://www.ferc.gov"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8B937-91EC-4E0F-9F38-4BD864C9D76E}">
  <ds:schemaRefs>
    <ds:schemaRef ds:uri="http://schemas.openxmlformats.org/officeDocument/2006/bibliography"/>
  </ds:schemaRefs>
</ds:datastoreItem>
</file>

<file path=customXml/itemProps2.xml><?xml version="1.0" encoding="utf-8"?>
<ds:datastoreItem xmlns:ds="http://schemas.openxmlformats.org/officeDocument/2006/customXml" ds:itemID="{5BBB1DD4-8130-4FE7-964C-24C804F058DC}">
  <ds:schemaRef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6FE189CE-936E-4DF8-891B-F7271E930CFD}">
  <ds:schemaRefs>
    <ds:schemaRef ds:uri="Microsoft.SharePoint.Taxonomy.ContentTypeSync"/>
  </ds:schemaRefs>
</ds:datastoreItem>
</file>

<file path=customXml/itemProps5.xml><?xml version="1.0" encoding="utf-8"?>
<ds:datastoreItem xmlns:ds="http://schemas.openxmlformats.org/officeDocument/2006/customXml" ds:itemID="{609C49C1-0AB0-42B1-9860-68D3D436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2016-12-21T04:40:00Z</cp:lastPrinted>
  <dcterms:created xsi:type="dcterms:W3CDTF">2026-03-17T22:44:00Z</dcterms:created>
  <dcterms:modified xsi:type="dcterms:W3CDTF">2026-03-17T22:44:00Z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ff5a61c9-a8de-42f5-9030-9df9dff1e4c9</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2026-03-17T22:42:53Z</vt:lpwstr>
  </property>
  <property fmtid="{D5CDD505-2E9C-101B-9397-08002B2CF9AE}" pid="8" name="MSIP_Label_bd24d06a-0e85-4d57-b1e0-ba34b1abc708_SiteId">
    <vt:lpwstr>19caa9e9-04ff-43fa-885f-d77fac387903</vt:lpwstr>
  </property>
</Properties>
</file>