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P="549EAD48" w14:paraId="1D3AF36B" w14:textId="77777777">
      <w:pPr>
        <w:jc w:val="center"/>
        <w:rPr>
          <w:sz w:val="24"/>
        </w:rPr>
      </w:pPr>
      <w:smartTag w:uri="urn:schemas-microsoft-com:office:smarttags" w:element="place">
        <w:smartTag w:uri="urn:schemas-microsoft-com:office:smarttags" w:element="country-region">
          <w:r w:rsidRPr="549EAD48">
            <w:rPr>
              <w:sz w:val="24"/>
            </w:rPr>
            <w:t>UNITED STATES OF AMERICA</w:t>
          </w:r>
        </w:smartTag>
      </w:smartTag>
    </w:p>
    <w:p w:rsidR="00F86890" w:rsidP="549EAD48" w14:paraId="79992091" w14:textId="77777777">
      <w:pPr>
        <w:jc w:val="center"/>
        <w:rPr>
          <w:sz w:val="24"/>
        </w:rPr>
      </w:pPr>
      <w:r w:rsidRPr="549EAD48">
        <w:rPr>
          <w:sz w:val="24"/>
        </w:rPr>
        <w:t>FEDERAL ENERGY REGULATORY COMMISSION</w:t>
      </w:r>
    </w:p>
    <w:p w:rsidR="00F86890" w:rsidP="549EAD48" w14:paraId="02834C92" w14:textId="77777777">
      <w:pPr>
        <w:rPr>
          <w:sz w:val="24"/>
        </w:rPr>
      </w:pPr>
    </w:p>
    <w:p w:rsidR="00F86890" w:rsidP="549EAD48" w14:paraId="021D341E" w14:textId="34633336">
      <w:pPr>
        <w:jc w:val="center"/>
        <w:rPr>
          <w:sz w:val="24"/>
        </w:rPr>
      </w:pPr>
      <w:r w:rsidRPr="549EAD48">
        <w:rPr>
          <w:sz w:val="24"/>
        </w:rPr>
        <w:t xml:space="preserve">[Docket No. </w:t>
      </w:r>
      <w:r w:rsidRPr="00AF7870" w:rsidR="00C06C13">
        <w:rPr>
          <w:sz w:val="24"/>
        </w:rPr>
        <w:t>IC26-5-000</w:t>
      </w:r>
      <w:r w:rsidRPr="00C06C13">
        <w:rPr>
          <w:sz w:val="24"/>
        </w:rPr>
        <w:t>]</w:t>
      </w:r>
    </w:p>
    <w:p w:rsidR="00F86890" w:rsidP="549EAD48" w14:paraId="3565036C" w14:textId="77777777">
      <w:pPr>
        <w:rPr>
          <w:sz w:val="24"/>
        </w:rPr>
      </w:pPr>
    </w:p>
    <w:p w:rsidR="00F86890" w:rsidP="549EAD48" w14:paraId="7F410A43" w14:textId="313CF243">
      <w:pPr>
        <w:jc w:val="center"/>
        <w:rPr>
          <w:sz w:val="24"/>
        </w:rPr>
      </w:pPr>
      <w:r w:rsidRPr="549EAD48">
        <w:rPr>
          <w:sz w:val="24"/>
        </w:rPr>
        <w:t>COMMISSION INFORMATION COLLECTION ACTIVITIES (</w:t>
      </w:r>
      <w:r w:rsidR="00E2042D">
        <w:rPr>
          <w:sz w:val="24"/>
        </w:rPr>
        <w:t>FERC-552</w:t>
      </w:r>
      <w:r w:rsidR="006C332A">
        <w:rPr>
          <w:sz w:val="24"/>
        </w:rPr>
        <w:t xml:space="preserve">, </w:t>
      </w:r>
      <w:r w:rsidRPr="549EAD48" w:rsidR="006C332A">
        <w:rPr>
          <w:sz w:val="24"/>
        </w:rPr>
        <w:t>FERC-</w:t>
      </w:r>
      <w:r w:rsidR="006C332A">
        <w:rPr>
          <w:sz w:val="24"/>
        </w:rPr>
        <w:t>549E</w:t>
      </w:r>
      <w:r w:rsidRPr="549EAD48">
        <w:rPr>
          <w:sz w:val="24"/>
        </w:rPr>
        <w:t>);</w:t>
      </w:r>
    </w:p>
    <w:p w:rsidR="00F86890" w:rsidP="549EAD48" w14:paraId="7D33A233" w14:textId="76836137">
      <w:pPr>
        <w:jc w:val="center"/>
        <w:rPr>
          <w:sz w:val="24"/>
        </w:rPr>
      </w:pPr>
      <w:r>
        <w:rPr>
          <w:sz w:val="24"/>
        </w:rPr>
        <w:t xml:space="preserve">CONSOLIDATED </w:t>
      </w:r>
      <w:r w:rsidRPr="549EAD48">
        <w:rPr>
          <w:sz w:val="24"/>
        </w:rPr>
        <w:t>COMMENT REQUEST; EXTENSION</w:t>
      </w:r>
    </w:p>
    <w:p w:rsidR="00F86890" w:rsidP="549EAD48" w14:paraId="40E27417" w14:textId="77777777">
      <w:pPr>
        <w:rPr>
          <w:sz w:val="24"/>
        </w:rPr>
      </w:pPr>
    </w:p>
    <w:p w:rsidR="00295D92" w:rsidP="00295D92" w14:paraId="4DC7406F" w14:textId="78855E7C">
      <w:pPr>
        <w:jc w:val="center"/>
      </w:pPr>
      <w:r w:rsidRPr="00295D92">
        <w:t>(March 26, 2026)</w:t>
      </w:r>
    </w:p>
    <w:p w:rsidR="00295D92" w:rsidRPr="00295D92" w:rsidP="00295D92" w14:paraId="206C1F2C" w14:textId="77777777">
      <w:pPr>
        <w:jc w:val="center"/>
      </w:pPr>
    </w:p>
    <w:p w:rsidR="00F86890" w:rsidP="549EAD48" w14:paraId="08B34019" w14:textId="77777777">
      <w:pPr>
        <w:spacing w:line="480" w:lineRule="auto"/>
        <w:rPr>
          <w:sz w:val="24"/>
        </w:rPr>
      </w:pPr>
      <w:r w:rsidRPr="549EAD48">
        <w:rPr>
          <w:b/>
          <w:bCs/>
          <w:sz w:val="24"/>
        </w:rPr>
        <w:t>AGENCY:</w:t>
      </w:r>
      <w:r w:rsidRPr="549EAD48">
        <w:rPr>
          <w:sz w:val="24"/>
        </w:rPr>
        <w:t xml:space="preserve">  </w:t>
      </w:r>
      <w:r w:rsidRPr="549EAD48">
        <w:rPr>
          <w:sz w:val="24"/>
        </w:rPr>
        <w:t>Federal Energy Regulatory Commission.</w:t>
      </w:r>
    </w:p>
    <w:p w:rsidR="00F86890" w:rsidP="549EAD48" w14:paraId="5FAEBA59" w14:textId="1AAA9036">
      <w:pPr>
        <w:spacing w:line="480" w:lineRule="auto"/>
        <w:rPr>
          <w:sz w:val="24"/>
        </w:rPr>
      </w:pPr>
      <w:r w:rsidRPr="549EAD48">
        <w:rPr>
          <w:b/>
          <w:bCs/>
          <w:sz w:val="24"/>
        </w:rPr>
        <w:t>ACTION:</w:t>
      </w:r>
      <w:r w:rsidRPr="549EAD48">
        <w:rPr>
          <w:sz w:val="24"/>
        </w:rPr>
        <w:t xml:space="preserve">  </w:t>
      </w:r>
      <w:r w:rsidR="00E763A5">
        <w:rPr>
          <w:sz w:val="24"/>
        </w:rPr>
        <w:t>R</w:t>
      </w:r>
      <w:r w:rsidRPr="549EAD48">
        <w:rPr>
          <w:sz w:val="24"/>
        </w:rPr>
        <w:t>equest for comments.</w:t>
      </w:r>
    </w:p>
    <w:p w:rsidR="00052F01" w:rsidP="6C569DCD" w14:paraId="0911B252" w14:textId="688E6189">
      <w:pPr>
        <w:spacing w:after="160" w:line="480" w:lineRule="auto"/>
        <w:rPr>
          <w:sz w:val="24"/>
        </w:rPr>
      </w:pPr>
      <w:r w:rsidRPr="6C569DCD">
        <w:rPr>
          <w:b/>
          <w:bCs/>
          <w:sz w:val="24"/>
        </w:rPr>
        <w:t>SUMMARY:</w:t>
      </w:r>
      <w:r w:rsidRPr="6C569DCD">
        <w:rPr>
          <w:sz w:val="24"/>
        </w:rPr>
        <w:t xml:space="preserve">  In compliance with the requirements of </w:t>
      </w:r>
      <w:r w:rsidRPr="6C569DCD" w:rsidR="00DA7F57">
        <w:rPr>
          <w:sz w:val="24"/>
        </w:rPr>
        <w:t xml:space="preserve">the </w:t>
      </w:r>
      <w:r w:rsidRPr="6C569DCD" w:rsidR="0005366B">
        <w:rPr>
          <w:sz w:val="24"/>
        </w:rPr>
        <w:t>Paperwork Reduction Act of 1995</w:t>
      </w:r>
      <w:r w:rsidRPr="6C569DCD" w:rsidR="00002127">
        <w:rPr>
          <w:sz w:val="24"/>
        </w:rPr>
        <w:t>, 44</w:t>
      </w:r>
      <w:r w:rsidR="00CA6079">
        <w:rPr>
          <w:sz w:val="24"/>
        </w:rPr>
        <w:t> </w:t>
      </w:r>
      <w:r w:rsidRPr="6C569DCD" w:rsidR="00002127">
        <w:rPr>
          <w:sz w:val="24"/>
        </w:rPr>
        <w:t>USC 3506(</w:t>
      </w:r>
      <w:r w:rsidRPr="6C569DCD" w:rsidR="00672BEA">
        <w:rPr>
          <w:sz w:val="24"/>
        </w:rPr>
        <w:t>c</w:t>
      </w:r>
      <w:r w:rsidRPr="6C569DCD" w:rsidR="00002127">
        <w:rPr>
          <w:sz w:val="24"/>
        </w:rPr>
        <w:t>)(2)(A)</w:t>
      </w:r>
      <w:r w:rsidRPr="6C569DCD">
        <w:rPr>
          <w:sz w:val="24"/>
        </w:rPr>
        <w:t xml:space="preserve">, the Federal Energy Regulatory Commission (Commission or FERC) is soliciting public comment on the </w:t>
      </w:r>
      <w:r w:rsidRPr="6C569DCD" w:rsidR="00E146ED">
        <w:rPr>
          <w:sz w:val="24"/>
        </w:rPr>
        <w:t>currently approved information collection</w:t>
      </w:r>
      <w:r w:rsidR="00FA0BC5">
        <w:rPr>
          <w:sz w:val="24"/>
        </w:rPr>
        <w:t>s</w:t>
      </w:r>
      <w:r w:rsidRPr="6C569DCD" w:rsidR="00E146ED">
        <w:rPr>
          <w:sz w:val="24"/>
        </w:rPr>
        <w:t xml:space="preserve">, </w:t>
      </w:r>
      <w:bookmarkStart w:id="0" w:name="_Hlk68526471"/>
      <w:r w:rsidRPr="6C569DCD" w:rsidR="006C332A">
        <w:rPr>
          <w:sz w:val="24"/>
        </w:rPr>
        <w:t xml:space="preserve">FERC-552, </w:t>
      </w:r>
      <w:bookmarkEnd w:id="0"/>
      <w:r w:rsidRPr="6C569DCD" w:rsidR="006C332A">
        <w:rPr>
          <w:sz w:val="24"/>
        </w:rPr>
        <w:t>Annual Report of Natural Gas Transactions, and FERC-549E</w:t>
      </w:r>
      <w:r w:rsidRPr="6C569DCD" w:rsidR="00C306E8">
        <w:rPr>
          <w:sz w:val="24"/>
        </w:rPr>
        <w:t>, Price Index Data Providers and Developers</w:t>
      </w:r>
      <w:r w:rsidRPr="6C569DCD" w:rsidR="002E3FAE">
        <w:rPr>
          <w:sz w:val="24"/>
        </w:rPr>
        <w:t xml:space="preserve">. </w:t>
      </w:r>
      <w:r w:rsidRPr="6C569DCD" w:rsidR="00ED4A87">
        <w:rPr>
          <w:sz w:val="24"/>
        </w:rPr>
        <w:t>There is no change to the information collection requirements</w:t>
      </w:r>
      <w:r w:rsidR="00A22730">
        <w:rPr>
          <w:sz w:val="24"/>
        </w:rPr>
        <w:t xml:space="preserve"> for FERC-552 </w:t>
      </w:r>
      <w:r w:rsidR="005F5ECF">
        <w:rPr>
          <w:sz w:val="24"/>
        </w:rPr>
        <w:t>or</w:t>
      </w:r>
      <w:r w:rsidR="00A22730">
        <w:rPr>
          <w:sz w:val="24"/>
        </w:rPr>
        <w:t xml:space="preserve"> FERC-549</w:t>
      </w:r>
      <w:r w:rsidR="005F5ECF">
        <w:rPr>
          <w:sz w:val="24"/>
        </w:rPr>
        <w:t>E</w:t>
      </w:r>
      <w:r w:rsidRPr="6C569DCD" w:rsidR="00ED4A87">
        <w:rPr>
          <w:sz w:val="24"/>
        </w:rPr>
        <w:t xml:space="preserve">. </w:t>
      </w:r>
      <w:r w:rsidR="00E32456">
        <w:rPr>
          <w:sz w:val="24"/>
        </w:rPr>
        <w:t xml:space="preserve">The Commission received one comment on the 60-day notice. </w:t>
      </w:r>
    </w:p>
    <w:p w:rsidR="003D7B84" w:rsidP="549EAD48" w14:paraId="2A9D80CF" w14:textId="77777777">
      <w:pPr>
        <w:spacing w:line="480" w:lineRule="auto"/>
        <w:rPr>
          <w:b/>
          <w:bCs/>
          <w:color w:val="000000" w:themeColor="text1"/>
          <w:sz w:val="24"/>
        </w:rPr>
      </w:pPr>
      <w:r w:rsidRPr="003D7B84">
        <w:rPr>
          <w:b/>
          <w:bCs/>
          <w:color w:val="000000" w:themeColor="text1"/>
          <w:sz w:val="24"/>
        </w:rPr>
        <w:t xml:space="preserve">DATES:  </w:t>
      </w:r>
      <w:r w:rsidRPr="003D7B84">
        <w:rPr>
          <w:color w:val="000000" w:themeColor="text1"/>
          <w:sz w:val="24"/>
        </w:rPr>
        <w:t>Comments on the collection of information are due</w:t>
      </w:r>
      <w:r w:rsidRPr="003D7B84">
        <w:rPr>
          <w:b/>
          <w:bCs/>
          <w:color w:val="000000" w:themeColor="text1"/>
          <w:sz w:val="24"/>
        </w:rPr>
        <w:t> [INSERT DATE 30 DAYS AFTER DATE OF PUBLICATION IN THE FEDERAL REGISTER]. </w:t>
      </w:r>
    </w:p>
    <w:p w:rsidR="00E056D7" w:rsidRPr="00E056D7" w:rsidP="00E056D7" w14:paraId="2C206C8F" w14:textId="68EA5A78">
      <w:pPr>
        <w:spacing w:line="480" w:lineRule="auto"/>
        <w:rPr>
          <w:b/>
          <w:bCs/>
          <w:color w:val="000000" w:themeColor="text1"/>
          <w:sz w:val="24"/>
        </w:rPr>
      </w:pPr>
      <w:r w:rsidRPr="00E056D7">
        <w:rPr>
          <w:b/>
          <w:bCs/>
          <w:color w:val="000000" w:themeColor="text1"/>
          <w:sz w:val="24"/>
        </w:rPr>
        <w:t>ADDRESSES:</w:t>
      </w:r>
      <w:r w:rsidRPr="00E056D7">
        <w:rPr>
          <w:color w:val="000000" w:themeColor="text1"/>
          <w:sz w:val="24"/>
        </w:rPr>
        <w:t> Send written comments on FERC-5</w:t>
      </w:r>
      <w:r w:rsidR="006419B7">
        <w:rPr>
          <w:color w:val="000000" w:themeColor="text1"/>
          <w:sz w:val="24"/>
        </w:rPr>
        <w:t>52 or FERC</w:t>
      </w:r>
      <w:r w:rsidR="006F39D2">
        <w:rPr>
          <w:color w:val="000000" w:themeColor="text1"/>
          <w:sz w:val="24"/>
        </w:rPr>
        <w:t>-</w:t>
      </w:r>
      <w:r w:rsidR="006419B7">
        <w:rPr>
          <w:color w:val="000000" w:themeColor="text1"/>
          <w:sz w:val="24"/>
        </w:rPr>
        <w:t>549E</w:t>
      </w:r>
      <w:r w:rsidRPr="00E056D7">
        <w:rPr>
          <w:color w:val="000000" w:themeColor="text1"/>
          <w:sz w:val="24"/>
        </w:rPr>
        <w:t> to OMB through </w:t>
      </w:r>
      <w:hyperlink r:id="rId11" w:history="1">
        <w:r w:rsidRPr="00E056D7" w:rsidR="00BC658C">
          <w:rPr>
            <w:rStyle w:val="Hyperlink"/>
            <w:sz w:val="24"/>
          </w:rPr>
          <w:t>https://www.reginfo.gov/public/do/PRA/icrPublicCommentRequest?ref_nbr=202</w:t>
        </w:r>
        <w:r w:rsidRPr="00450D30" w:rsidR="00BC658C">
          <w:rPr>
            <w:rStyle w:val="Hyperlink"/>
            <w:sz w:val="24"/>
          </w:rPr>
          <w:t>601</w:t>
        </w:r>
        <w:r w:rsidRPr="00E056D7" w:rsidR="00BC658C">
          <w:rPr>
            <w:rStyle w:val="Hyperlink"/>
            <w:sz w:val="24"/>
          </w:rPr>
          <w:t>-1902-004</w:t>
        </w:r>
      </w:hyperlink>
      <w:r w:rsidR="00BC658C">
        <w:rPr>
          <w:color w:val="000000" w:themeColor="text1"/>
          <w:sz w:val="24"/>
        </w:rPr>
        <w:t xml:space="preserve"> (FERC-552) or </w:t>
      </w:r>
      <w:hyperlink r:id="rId12" w:history="1">
        <w:r w:rsidRPr="00E056D7" w:rsidR="00320488">
          <w:rPr>
            <w:rStyle w:val="Hyperlink"/>
            <w:sz w:val="24"/>
          </w:rPr>
          <w:t>https://www.reginfo.gov/public/do/PRA/icrPublicCommentRequest?ref_nbr=202</w:t>
        </w:r>
        <w:r w:rsidRPr="00450D30" w:rsidR="00320488">
          <w:rPr>
            <w:rStyle w:val="Hyperlink"/>
            <w:sz w:val="24"/>
          </w:rPr>
          <w:t>601</w:t>
        </w:r>
        <w:r w:rsidRPr="00E056D7" w:rsidR="00320488">
          <w:rPr>
            <w:rStyle w:val="Hyperlink"/>
            <w:sz w:val="24"/>
          </w:rPr>
          <w:t>-1902-00</w:t>
        </w:r>
        <w:r w:rsidRPr="00450D30" w:rsidR="00320488">
          <w:rPr>
            <w:rStyle w:val="Hyperlink"/>
            <w:sz w:val="24"/>
          </w:rPr>
          <w:t>5</w:t>
        </w:r>
      </w:hyperlink>
      <w:r w:rsidR="00320488">
        <w:rPr>
          <w:color w:val="000000" w:themeColor="text1"/>
          <w:sz w:val="24"/>
        </w:rPr>
        <w:t xml:space="preserve"> (FERC-549E)</w:t>
      </w:r>
      <w:r w:rsidRPr="00E056D7">
        <w:rPr>
          <w:color w:val="000000" w:themeColor="text1"/>
          <w:sz w:val="24"/>
        </w:rPr>
        <w:t>.  You can also visit </w:t>
      </w:r>
      <w:hyperlink r:id="rId13" w:tgtFrame="_blank" w:history="1">
        <w:r w:rsidRPr="00E056D7">
          <w:rPr>
            <w:rStyle w:val="Hyperlink"/>
            <w:sz w:val="24"/>
          </w:rPr>
          <w:t>https://www.reginfo.gov/public/do/PRAMain</w:t>
        </w:r>
      </w:hyperlink>
      <w:r w:rsidRPr="00E056D7">
        <w:rPr>
          <w:color w:val="000000" w:themeColor="text1"/>
          <w:sz w:val="24"/>
        </w:rPr>
        <w:t> and use the drop-down under “Currently under Review” to select the “Federal Energy Regulatory Commission” where you can see the open opportunities to provide comments. Comments should be sent within 30 days of publication of this notice. </w:t>
      </w:r>
    </w:p>
    <w:p w:rsidR="00E056D7" w:rsidRPr="00E056D7" w:rsidP="00E056D7" w14:paraId="72F185BC" w14:textId="5FBF3152">
      <w:pPr>
        <w:spacing w:line="480" w:lineRule="auto"/>
        <w:rPr>
          <w:color w:val="000000" w:themeColor="text1"/>
          <w:sz w:val="24"/>
        </w:rPr>
      </w:pPr>
      <w:r w:rsidRPr="00E056D7">
        <w:rPr>
          <w:color w:val="000000" w:themeColor="text1"/>
          <w:sz w:val="24"/>
        </w:rPr>
        <w:t>Please submit a copy of your comments to the Commission via email to </w:t>
      </w:r>
      <w:hyperlink r:id="rId14" w:tgtFrame="_blank" w:history="1">
        <w:r w:rsidRPr="00E056D7">
          <w:rPr>
            <w:rStyle w:val="Hyperlink"/>
            <w:sz w:val="24"/>
          </w:rPr>
          <w:t>DataClearance@FERC.gov</w:t>
        </w:r>
      </w:hyperlink>
      <w:r w:rsidRPr="00E056D7">
        <w:rPr>
          <w:color w:val="000000" w:themeColor="text1"/>
          <w:sz w:val="24"/>
        </w:rPr>
        <w:t>. You must specify the Docket No. (IC2</w:t>
      </w:r>
      <w:r w:rsidR="006419B7">
        <w:rPr>
          <w:color w:val="000000" w:themeColor="text1"/>
          <w:sz w:val="24"/>
        </w:rPr>
        <w:t>6</w:t>
      </w:r>
      <w:r w:rsidRPr="00E056D7">
        <w:rPr>
          <w:color w:val="000000" w:themeColor="text1"/>
          <w:sz w:val="24"/>
        </w:rPr>
        <w:t>-</w:t>
      </w:r>
      <w:r w:rsidR="006419B7">
        <w:rPr>
          <w:color w:val="000000" w:themeColor="text1"/>
          <w:sz w:val="24"/>
        </w:rPr>
        <w:t>5</w:t>
      </w:r>
      <w:r w:rsidRPr="00E056D7">
        <w:rPr>
          <w:color w:val="000000" w:themeColor="text1"/>
          <w:sz w:val="24"/>
        </w:rPr>
        <w:t>-000) and the FERC Information Collection number (FERC-</w:t>
      </w:r>
      <w:r>
        <w:rPr>
          <w:color w:val="000000" w:themeColor="text1"/>
          <w:sz w:val="24"/>
        </w:rPr>
        <w:t>552</w:t>
      </w:r>
      <w:r w:rsidR="006419B7">
        <w:rPr>
          <w:color w:val="000000" w:themeColor="text1"/>
          <w:sz w:val="24"/>
        </w:rPr>
        <w:t xml:space="preserve"> or FERC-549E</w:t>
      </w:r>
      <w:r w:rsidRPr="00E056D7">
        <w:rPr>
          <w:color w:val="000000" w:themeColor="text1"/>
          <w:sz w:val="24"/>
        </w:rPr>
        <w:t>) in your email. If you are unable to file electronically, comments may be filed by USPS mail or by hand (including courier) delivery: </w:t>
      </w:r>
    </w:p>
    <w:p w:rsidR="00E056D7" w:rsidRPr="00E056D7" w:rsidP="00E056D7" w14:paraId="36A46AB1" w14:textId="77777777">
      <w:pPr>
        <w:numPr>
          <w:ilvl w:val="0"/>
          <w:numId w:val="5"/>
        </w:numPr>
        <w:spacing w:line="480" w:lineRule="auto"/>
        <w:rPr>
          <w:color w:val="000000" w:themeColor="text1"/>
          <w:sz w:val="24"/>
        </w:rPr>
      </w:pPr>
      <w:r w:rsidRPr="00E056D7">
        <w:rPr>
          <w:color w:val="000000" w:themeColor="text1"/>
          <w:sz w:val="24"/>
        </w:rPr>
        <w:t>Mail via U.S. Postal Service Only: Federal Energy Regulatory Commission, Secretary of the Commission, 888 First Street, N.E., Washington, DC 20426. </w:t>
      </w:r>
    </w:p>
    <w:p w:rsidR="00E056D7" w:rsidRPr="00E056D7" w:rsidP="00E056D7" w14:paraId="5C9DE9A2" w14:textId="77777777">
      <w:pPr>
        <w:numPr>
          <w:ilvl w:val="0"/>
          <w:numId w:val="6"/>
        </w:numPr>
        <w:spacing w:line="480" w:lineRule="auto"/>
        <w:rPr>
          <w:color w:val="000000" w:themeColor="text1"/>
          <w:sz w:val="24"/>
        </w:rPr>
      </w:pPr>
      <w:r w:rsidRPr="00E056D7">
        <w:rPr>
          <w:color w:val="000000" w:themeColor="text1"/>
          <w:sz w:val="24"/>
        </w:rPr>
        <w:t>All other delivery methods: Federal Energy Regulatory Commission, Secretary of the Commission, 12225 Wilkins Avenue, Rockville, MD 20852. </w:t>
      </w:r>
    </w:p>
    <w:p w:rsidR="00E056D7" w:rsidRPr="00E056D7" w:rsidP="00E056D7" w14:paraId="3118C3D2" w14:textId="77777777">
      <w:pPr>
        <w:spacing w:line="480" w:lineRule="auto"/>
        <w:rPr>
          <w:color w:val="000000" w:themeColor="text1"/>
          <w:sz w:val="24"/>
        </w:rPr>
      </w:pPr>
      <w:r w:rsidRPr="00E056D7">
        <w:rPr>
          <w:i/>
          <w:iCs/>
          <w:color w:val="000000" w:themeColor="text1"/>
          <w:sz w:val="24"/>
        </w:rPr>
        <w:t>Docket</w:t>
      </w:r>
      <w:r w:rsidRPr="00E056D7">
        <w:rPr>
          <w:color w:val="000000" w:themeColor="text1"/>
          <w:sz w:val="24"/>
        </w:rPr>
        <w:t>:  To view comments and issuances in this docket, please visit </w:t>
      </w:r>
      <w:hyperlink r:id="rId15" w:tgtFrame="_blank" w:history="1">
        <w:r w:rsidRPr="00E056D7">
          <w:rPr>
            <w:rStyle w:val="Hyperlink"/>
            <w:sz w:val="24"/>
          </w:rPr>
          <w:t>https://elibrary.ferc.gov/eLibrary/search</w:t>
        </w:r>
      </w:hyperlink>
      <w:r w:rsidRPr="00E056D7">
        <w:rPr>
          <w:color w:val="000000" w:themeColor="text1"/>
          <w:sz w:val="24"/>
        </w:rPr>
        <w:t>.  </w:t>
      </w:r>
    </w:p>
    <w:p w:rsidR="00E056D7" w:rsidRPr="00E056D7" w:rsidP="00E056D7" w14:paraId="1E1D0C35" w14:textId="77777777">
      <w:pPr>
        <w:spacing w:line="480" w:lineRule="auto"/>
        <w:rPr>
          <w:color w:val="000000" w:themeColor="text1"/>
          <w:sz w:val="24"/>
        </w:rPr>
      </w:pPr>
      <w:r w:rsidRPr="00E056D7">
        <w:rPr>
          <w:b/>
          <w:bCs/>
          <w:color w:val="000000" w:themeColor="text1"/>
          <w:sz w:val="24"/>
        </w:rPr>
        <w:t>FOR FURTHER INFORMATION CONTACT:</w:t>
      </w:r>
      <w:r w:rsidRPr="00E056D7">
        <w:rPr>
          <w:color w:val="000000" w:themeColor="text1"/>
          <w:sz w:val="24"/>
        </w:rPr>
        <w:t>  Kayla Williams, (202) 502-6468. </w:t>
      </w:r>
      <w:hyperlink r:id="rId14" w:tgtFrame="_blank" w:history="1">
        <w:r w:rsidRPr="00E056D7">
          <w:rPr>
            <w:rStyle w:val="Hyperlink"/>
            <w:sz w:val="24"/>
          </w:rPr>
          <w:t>DataClearance@FERC.gov</w:t>
        </w:r>
      </w:hyperlink>
      <w:r w:rsidRPr="00E056D7">
        <w:rPr>
          <w:color w:val="000000" w:themeColor="text1"/>
          <w:sz w:val="24"/>
        </w:rPr>
        <w:t> </w:t>
      </w:r>
    </w:p>
    <w:p w:rsidR="00C056FE" w:rsidP="549EAD48" w14:paraId="20207DF2" w14:textId="77777777">
      <w:pPr>
        <w:spacing w:line="480" w:lineRule="auto"/>
        <w:rPr>
          <w:sz w:val="24"/>
        </w:rPr>
      </w:pPr>
      <w:r w:rsidRPr="549EAD48">
        <w:rPr>
          <w:sz w:val="24"/>
        </w:rPr>
        <w:t xml:space="preserve"> </w:t>
      </w:r>
      <w:r w:rsidRPr="549EAD48">
        <w:rPr>
          <w:b/>
          <w:bCs/>
          <w:sz w:val="24"/>
        </w:rPr>
        <w:t>SUPPLEMENTARY INFORMATION:</w:t>
      </w:r>
      <w:r w:rsidRPr="549EAD48">
        <w:rPr>
          <w:sz w:val="24"/>
        </w:rPr>
        <w:t xml:space="preserve">  </w:t>
      </w:r>
    </w:p>
    <w:p w:rsidR="000E69D7" w:rsidP="000E69D7" w14:paraId="36E2AB91" w14:textId="77777777">
      <w:pPr>
        <w:spacing w:after="160" w:line="480" w:lineRule="auto"/>
        <w:rPr>
          <w:i/>
          <w:iCs/>
          <w:sz w:val="24"/>
        </w:rPr>
      </w:pPr>
      <w:r w:rsidRPr="549EAD48">
        <w:rPr>
          <w:i/>
          <w:iCs/>
          <w:sz w:val="24"/>
        </w:rPr>
        <w:t>Title:</w:t>
      </w:r>
      <w:r w:rsidRPr="549EAD48" w:rsidR="00CD787F">
        <w:rPr>
          <w:i/>
          <w:iCs/>
          <w:sz w:val="24"/>
        </w:rPr>
        <w:t xml:space="preserve"> </w:t>
      </w:r>
      <w:r w:rsidRPr="002E3FAE">
        <w:rPr>
          <w:sz w:val="24"/>
        </w:rPr>
        <w:t>FERC-552, Annual Report of Natural Gas Transactions</w:t>
      </w:r>
      <w:r>
        <w:rPr>
          <w:sz w:val="24"/>
        </w:rPr>
        <w:t>;</w:t>
      </w:r>
      <w:r w:rsidRPr="002E3FAE">
        <w:rPr>
          <w:sz w:val="24"/>
        </w:rPr>
        <w:t xml:space="preserve"> FERC-549E, Price Index Data Providers and Developers.</w:t>
      </w:r>
    </w:p>
    <w:p w:rsidR="00C056FE" w:rsidRPr="000E69D7" w:rsidP="000E69D7" w14:paraId="3B435804" w14:textId="71F314EB">
      <w:pPr>
        <w:spacing w:after="160" w:line="480" w:lineRule="auto"/>
        <w:rPr>
          <w:i/>
          <w:iCs/>
          <w:sz w:val="24"/>
        </w:rPr>
      </w:pPr>
      <w:r w:rsidRPr="549EAD48">
        <w:rPr>
          <w:i/>
          <w:iCs/>
          <w:sz w:val="24"/>
        </w:rPr>
        <w:t>OMB Control No.:</w:t>
      </w:r>
      <w:r w:rsidRPr="549EAD48" w:rsidR="00F50EDA">
        <w:rPr>
          <w:sz w:val="24"/>
        </w:rPr>
        <w:t xml:space="preserve"> </w:t>
      </w:r>
      <w:r w:rsidR="000E69D7">
        <w:rPr>
          <w:sz w:val="24"/>
        </w:rPr>
        <w:t>1902-</w:t>
      </w:r>
      <w:r w:rsidR="0082702A">
        <w:rPr>
          <w:sz w:val="24"/>
        </w:rPr>
        <w:t>0242, 1902-03</w:t>
      </w:r>
      <w:r w:rsidR="009F4EC4">
        <w:rPr>
          <w:sz w:val="24"/>
        </w:rPr>
        <w:t>28</w:t>
      </w:r>
      <w:r w:rsidR="000E69D7">
        <w:rPr>
          <w:sz w:val="24"/>
        </w:rPr>
        <w:t xml:space="preserve"> </w:t>
      </w:r>
    </w:p>
    <w:p w:rsidR="00C056FE" w:rsidP="549EAD48" w14:paraId="219460CE" w14:textId="7BB3467D">
      <w:pPr>
        <w:spacing w:line="480" w:lineRule="auto"/>
        <w:rPr>
          <w:sz w:val="24"/>
        </w:rPr>
      </w:pPr>
      <w:r w:rsidRPr="549EAD48">
        <w:rPr>
          <w:i/>
          <w:iCs/>
          <w:sz w:val="24"/>
        </w:rPr>
        <w:t>Type of Request:</w:t>
      </w:r>
      <w:r w:rsidRPr="549EAD48">
        <w:rPr>
          <w:sz w:val="24"/>
        </w:rPr>
        <w:t xml:space="preserve"> Three-year extension of the FERC-</w:t>
      </w:r>
      <w:r w:rsidR="006A7822">
        <w:rPr>
          <w:sz w:val="24"/>
        </w:rPr>
        <w:t>549E and FERC-552</w:t>
      </w:r>
      <w:r w:rsidRPr="549EAD48">
        <w:rPr>
          <w:sz w:val="24"/>
        </w:rPr>
        <w:t xml:space="preserve"> information collection </w:t>
      </w:r>
      <w:r w:rsidRPr="549EAD48" w:rsidR="009447D3">
        <w:rPr>
          <w:sz w:val="24"/>
        </w:rPr>
        <w:t xml:space="preserve">requirements with no changes to the current reporting requirements. </w:t>
      </w:r>
    </w:p>
    <w:p w:rsidR="00F659C0" w:rsidRPr="00F659C0" w:rsidP="00E228B6" w14:paraId="508FA428" w14:textId="77777777">
      <w:pPr>
        <w:spacing w:line="480" w:lineRule="auto"/>
        <w:rPr>
          <w:b/>
          <w:bCs/>
          <w:sz w:val="24"/>
        </w:rPr>
      </w:pPr>
      <w:r w:rsidRPr="549EAD48">
        <w:rPr>
          <w:i/>
          <w:iCs/>
          <w:sz w:val="24"/>
        </w:rPr>
        <w:t xml:space="preserve">Abstract: </w:t>
      </w:r>
    </w:p>
    <w:p w:rsidR="00E228B6" w:rsidRPr="00E228B6" w:rsidP="6C569DCD" w14:paraId="01317387" w14:textId="62AACA0A">
      <w:pPr>
        <w:spacing w:line="480" w:lineRule="auto"/>
        <w:rPr>
          <w:sz w:val="24"/>
        </w:rPr>
      </w:pPr>
      <w:r w:rsidRPr="6C569DCD">
        <w:rPr>
          <w:b/>
          <w:bCs/>
          <w:sz w:val="24"/>
        </w:rPr>
        <w:t>FERC-552:</w:t>
      </w:r>
      <w:r w:rsidRPr="6C569DCD">
        <w:rPr>
          <w:i/>
          <w:iCs/>
          <w:sz w:val="24"/>
        </w:rPr>
        <w:t xml:space="preserve"> </w:t>
      </w:r>
      <w:r w:rsidRPr="6C569DCD">
        <w:rPr>
          <w:sz w:val="24"/>
        </w:rPr>
        <w:t>The Commission uses the information collected in FERC Form No. 552</w:t>
      </w:r>
      <w:r>
        <w:rPr>
          <w:rStyle w:val="FootnoteReference"/>
          <w:b w:val="0"/>
          <w:sz w:val="24"/>
          <w:szCs w:val="24"/>
        </w:rPr>
        <w:footnoteReference w:id="2"/>
      </w:r>
      <w:r w:rsidRPr="6C569DCD">
        <w:rPr>
          <w:sz w:val="24"/>
        </w:rPr>
        <w:t xml:space="preserve"> to provide greater transparency into the size of the physical natural gas market and the use of physical fixed-price and index-based natural gas transactions.  This information assists the Commission and the public in assessing whether index prices are the result of a robust market of fixed-price transactions. </w:t>
      </w:r>
    </w:p>
    <w:p w:rsidR="00E228B6" w:rsidP="6C569DCD" w14:paraId="6129BB36" w14:textId="77777777">
      <w:pPr>
        <w:spacing w:line="480" w:lineRule="auto"/>
        <w:rPr>
          <w:sz w:val="24"/>
        </w:rPr>
      </w:pPr>
      <w:r w:rsidRPr="00E228B6">
        <w:rPr>
          <w:sz w:val="24"/>
        </w:rPr>
        <w:tab/>
      </w:r>
      <w:r w:rsidRPr="6C569DCD">
        <w:rPr>
          <w:sz w:val="24"/>
        </w:rPr>
        <w:t>FERC Form No. 552 had its genesis in the Energy Policy Act of 2005</w:t>
      </w:r>
      <w:r>
        <w:rPr>
          <w:rStyle w:val="FootnoteReference"/>
          <w:b w:val="0"/>
          <w:sz w:val="24"/>
          <w:szCs w:val="24"/>
        </w:rPr>
        <w:footnoteReference w:id="3"/>
      </w:r>
      <w:r w:rsidRPr="6C569DCD">
        <w:rPr>
          <w:sz w:val="24"/>
        </w:rPr>
        <w:t>, which added section 23 of the Natural Gas Act (NGA).  Section 23 of the NGA, among other things, directs the Commission “to facilitate price transparency in markets for the sale or transportation of physical natural gas in interstate commerce, having due regard for the public interest, the integrity of those markets, and the protection of consumers.”</w:t>
      </w:r>
      <w:r>
        <w:rPr>
          <w:rStyle w:val="FootnoteReference"/>
          <w:b w:val="0"/>
          <w:sz w:val="24"/>
          <w:szCs w:val="24"/>
        </w:rPr>
        <w:footnoteReference w:id="4"/>
      </w:r>
    </w:p>
    <w:p w:rsidR="00F50EDA" w:rsidRPr="00E228B6" w:rsidP="6C569DCD" w14:paraId="54528006" w14:textId="5D79121D">
      <w:pPr>
        <w:spacing w:line="480" w:lineRule="auto"/>
        <w:rPr>
          <w:sz w:val="24"/>
        </w:rPr>
      </w:pPr>
      <w:r w:rsidRPr="6C569DCD">
        <w:rPr>
          <w:b/>
          <w:bCs/>
          <w:sz w:val="24"/>
        </w:rPr>
        <w:t>FERC-549E:</w:t>
      </w:r>
      <w:r w:rsidRPr="6C569DCD" w:rsidR="00C7112B">
        <w:rPr>
          <w:b/>
          <w:bCs/>
          <w:sz w:val="24"/>
        </w:rPr>
        <w:t xml:space="preserve"> </w:t>
      </w:r>
      <w:r w:rsidRPr="6C569DCD" w:rsidR="00A0595D">
        <w:rPr>
          <w:sz w:val="24"/>
        </w:rPr>
        <w:t>Price indices are commonly used in natural gas and electricity wholesale markets. These indices are used by market participants to</w:t>
      </w:r>
      <w:r w:rsidRPr="6C569DCD" w:rsidR="001753CF">
        <w:rPr>
          <w:sz w:val="24"/>
        </w:rPr>
        <w:t xml:space="preserve"> price their commodities. </w:t>
      </w:r>
      <w:r w:rsidRPr="6C569DCD" w:rsidR="00C7112B">
        <w:rPr>
          <w:sz w:val="24"/>
        </w:rPr>
        <w:t>The Commission set forth standards for price index developers to demonstrate that their internal processes were sufficient to qualify as a Commission-approved price index developer and, thus, have their price indices referenced in Commission-jurisdictional tariffs</w:t>
      </w:r>
      <w:r w:rsidRPr="6C569DCD" w:rsidR="00B7222C">
        <w:rPr>
          <w:sz w:val="24"/>
        </w:rPr>
        <w:t xml:space="preserve"> in</w:t>
      </w:r>
      <w:r w:rsidRPr="6C569DCD" w:rsidR="00712DB6">
        <w:rPr>
          <w:sz w:val="24"/>
        </w:rPr>
        <w:t xml:space="preserve"> </w:t>
      </w:r>
      <w:r w:rsidR="001D5BE8">
        <w:rPr>
          <w:sz w:val="24"/>
        </w:rPr>
        <w:t>its</w:t>
      </w:r>
      <w:r w:rsidRPr="6C569DCD" w:rsidR="001D5BE8">
        <w:rPr>
          <w:sz w:val="24"/>
        </w:rPr>
        <w:t xml:space="preserve"> </w:t>
      </w:r>
      <w:r w:rsidRPr="6C569DCD" w:rsidR="00712DB6">
        <w:rPr>
          <w:sz w:val="24"/>
        </w:rPr>
        <w:t>Initial Policy Statement</w:t>
      </w:r>
      <w:r w:rsidRPr="6C569DCD" w:rsidR="00C7112B">
        <w:rPr>
          <w:sz w:val="24"/>
        </w:rPr>
        <w:t>.</w:t>
      </w:r>
      <w:r>
        <w:rPr>
          <w:rStyle w:val="FootnoteReference"/>
          <w:b w:val="0"/>
        </w:rPr>
        <w:footnoteReference w:id="5"/>
      </w:r>
      <w:r w:rsidRPr="6C569DCD" w:rsidR="00C7112B">
        <w:rPr>
          <w:sz w:val="24"/>
        </w:rPr>
        <w:t xml:space="preserve"> </w:t>
      </w:r>
      <w:r w:rsidRPr="6C569DCD" w:rsidR="0096777C">
        <w:rPr>
          <w:sz w:val="24"/>
        </w:rPr>
        <w:t xml:space="preserve"> </w:t>
      </w:r>
      <w:r w:rsidRPr="6C569DCD" w:rsidR="00C7112B">
        <w:rPr>
          <w:sz w:val="24"/>
        </w:rPr>
        <w:t xml:space="preserve">Price index developers seeking approval voluntarily provide written statements to the Commission to explain how they met these standards. </w:t>
      </w:r>
      <w:r w:rsidR="00FB6540">
        <w:rPr>
          <w:sz w:val="24"/>
        </w:rPr>
        <w:t xml:space="preserve">Approval of a price index developer is a factor in </w:t>
      </w:r>
      <w:r w:rsidRPr="6C569DCD" w:rsidR="00C7112B">
        <w:rPr>
          <w:sz w:val="24"/>
        </w:rPr>
        <w:t>whether the Commission approve</w:t>
      </w:r>
      <w:r w:rsidR="00973C02">
        <w:rPr>
          <w:sz w:val="24"/>
        </w:rPr>
        <w:t>s</w:t>
      </w:r>
      <w:r w:rsidRPr="6C569DCD" w:rsidR="00C7112B">
        <w:rPr>
          <w:sz w:val="24"/>
        </w:rPr>
        <w:t xml:space="preserve"> the use of their indices in Commission-jurisdictional tariffs. After the Initial Policy Statement was issued</w:t>
      </w:r>
      <w:r w:rsidRPr="6C569DCD" w:rsidR="3B9CBB0B">
        <w:rPr>
          <w:sz w:val="24"/>
        </w:rPr>
        <w:t>,</w:t>
      </w:r>
      <w:r w:rsidRPr="6C569DCD" w:rsidR="00C7112B">
        <w:rPr>
          <w:sz w:val="24"/>
        </w:rPr>
        <w:t xml:space="preserve"> thirteen price index developers sought </w:t>
      </w:r>
      <w:r w:rsidR="00412CF7">
        <w:rPr>
          <w:sz w:val="24"/>
        </w:rPr>
        <w:t xml:space="preserve">and received </w:t>
      </w:r>
      <w:r w:rsidRPr="6C569DCD" w:rsidR="00C7112B">
        <w:rPr>
          <w:sz w:val="24"/>
        </w:rPr>
        <w:t>approval.</w:t>
      </w:r>
      <w:r w:rsidRPr="6C569DCD" w:rsidR="009A17E5">
        <w:rPr>
          <w:sz w:val="24"/>
        </w:rPr>
        <w:t xml:space="preserve"> The Commission issued a Revised Policy Statement </w:t>
      </w:r>
      <w:r w:rsidRPr="6C569DCD" w:rsidR="00506E70">
        <w:rPr>
          <w:sz w:val="24"/>
        </w:rPr>
        <w:t>o</w:t>
      </w:r>
      <w:r w:rsidRPr="6C569DCD" w:rsidR="009A17E5">
        <w:rPr>
          <w:sz w:val="24"/>
        </w:rPr>
        <w:t xml:space="preserve">n </w:t>
      </w:r>
      <w:r w:rsidRPr="6C569DCD" w:rsidR="00506E70">
        <w:rPr>
          <w:sz w:val="24"/>
        </w:rPr>
        <w:t xml:space="preserve">April 21, 2022, effective on </w:t>
      </w:r>
      <w:r w:rsidRPr="6C569DCD" w:rsidR="002E6A16">
        <w:rPr>
          <w:sz w:val="24"/>
        </w:rPr>
        <w:t>December</w:t>
      </w:r>
      <w:r w:rsidRPr="6C569DCD" w:rsidR="00506E70">
        <w:rPr>
          <w:sz w:val="24"/>
        </w:rPr>
        <w:t xml:space="preserve"> </w:t>
      </w:r>
      <w:r w:rsidRPr="6C569DCD" w:rsidR="002E6A16">
        <w:rPr>
          <w:sz w:val="24"/>
        </w:rPr>
        <w:t>3</w:t>
      </w:r>
      <w:r w:rsidRPr="6C569DCD" w:rsidR="00506E70">
        <w:rPr>
          <w:sz w:val="24"/>
        </w:rPr>
        <w:t>1</w:t>
      </w:r>
      <w:r w:rsidRPr="6C569DCD" w:rsidR="00B83497">
        <w:rPr>
          <w:sz w:val="24"/>
        </w:rPr>
        <w:t>, 202</w:t>
      </w:r>
      <w:r w:rsidRPr="6C569DCD" w:rsidR="002E6A16">
        <w:rPr>
          <w:sz w:val="24"/>
        </w:rPr>
        <w:t>2</w:t>
      </w:r>
      <w:r w:rsidRPr="6C569DCD" w:rsidR="00B83497">
        <w:rPr>
          <w:sz w:val="24"/>
        </w:rPr>
        <w:t>.</w:t>
      </w:r>
      <w:r>
        <w:rPr>
          <w:rStyle w:val="FootnoteReference"/>
          <w:b w:val="0"/>
        </w:rPr>
        <w:footnoteReference w:id="6"/>
      </w:r>
      <w:r w:rsidRPr="6C569DCD" w:rsidR="00B83497">
        <w:rPr>
          <w:sz w:val="24"/>
        </w:rPr>
        <w:t xml:space="preserve"> </w:t>
      </w:r>
      <w:r w:rsidR="00B6062D">
        <w:rPr>
          <w:sz w:val="24"/>
        </w:rPr>
        <w:t xml:space="preserve"> Under the Revised Policy Statement, </w:t>
      </w:r>
      <w:r w:rsidRPr="6C569DCD" w:rsidR="00C7112B">
        <w:rPr>
          <w:sz w:val="24"/>
        </w:rPr>
        <w:t xml:space="preserve">interstate natural gas pipelines and public utilities proposing to use price indices in jurisdictional tariffs </w:t>
      </w:r>
      <w:r w:rsidRPr="6C569DCD" w:rsidR="00EC5BF5">
        <w:rPr>
          <w:sz w:val="24"/>
        </w:rPr>
        <w:t xml:space="preserve">are </w:t>
      </w:r>
      <w:r w:rsidRPr="6C569DCD" w:rsidR="00503FDE">
        <w:rPr>
          <w:sz w:val="24"/>
        </w:rPr>
        <w:t xml:space="preserve">no </w:t>
      </w:r>
      <w:r w:rsidRPr="6C569DCD" w:rsidR="00C7112B">
        <w:rPr>
          <w:sz w:val="24"/>
        </w:rPr>
        <w:t>longer entitled to the rebuttable presumption that a price index developer’s price indices produce just and reasonable rates unless the price index developer has obtained approval or re-approval from the Commission within the last seven years.</w:t>
      </w:r>
      <w:r w:rsidRPr="6C569DCD" w:rsidR="00621D53">
        <w:rPr>
          <w:sz w:val="24"/>
        </w:rPr>
        <w:t xml:space="preserve"> The FERC</w:t>
      </w:r>
      <w:r w:rsidRPr="6C569DCD" w:rsidR="002C3FCC">
        <w:rPr>
          <w:sz w:val="24"/>
        </w:rPr>
        <w:t>-</w:t>
      </w:r>
      <w:r w:rsidRPr="6C569DCD" w:rsidR="00621D53">
        <w:rPr>
          <w:sz w:val="24"/>
        </w:rPr>
        <w:t xml:space="preserve">549E </w:t>
      </w:r>
      <w:r w:rsidR="00703AB1">
        <w:rPr>
          <w:sz w:val="24"/>
        </w:rPr>
        <w:t xml:space="preserve">information collection </w:t>
      </w:r>
      <w:r w:rsidRPr="6C569DCD" w:rsidR="00621D53">
        <w:rPr>
          <w:sz w:val="24"/>
        </w:rPr>
        <w:t xml:space="preserve">represents the burden for price index developers to </w:t>
      </w:r>
      <w:r w:rsidRPr="6C569DCD" w:rsidR="00026A62">
        <w:rPr>
          <w:sz w:val="24"/>
        </w:rPr>
        <w:t>comply with</w:t>
      </w:r>
      <w:r w:rsidRPr="6C569DCD" w:rsidR="00A50A31">
        <w:rPr>
          <w:sz w:val="24"/>
        </w:rPr>
        <w:t xml:space="preserve"> Commission</w:t>
      </w:r>
      <w:r w:rsidRPr="6C569DCD" w:rsidR="00026A62">
        <w:rPr>
          <w:sz w:val="24"/>
        </w:rPr>
        <w:t xml:space="preserve"> requirements </w:t>
      </w:r>
      <w:r w:rsidRPr="6C569DCD" w:rsidR="00BA1FF0">
        <w:rPr>
          <w:sz w:val="24"/>
        </w:rPr>
        <w:t>pertaining to</w:t>
      </w:r>
      <w:r w:rsidRPr="6C569DCD" w:rsidR="00026A62">
        <w:rPr>
          <w:sz w:val="24"/>
        </w:rPr>
        <w:t xml:space="preserve"> information collection and </w:t>
      </w:r>
      <w:r w:rsidRPr="6C569DCD" w:rsidR="003C230A">
        <w:rPr>
          <w:sz w:val="24"/>
        </w:rPr>
        <w:t xml:space="preserve">data </w:t>
      </w:r>
      <w:r w:rsidRPr="6C569DCD" w:rsidR="00026A62">
        <w:rPr>
          <w:sz w:val="24"/>
        </w:rPr>
        <w:t>publication and to seek</w:t>
      </w:r>
      <w:r w:rsidRPr="6C569DCD" w:rsidR="00A50A31">
        <w:rPr>
          <w:sz w:val="24"/>
        </w:rPr>
        <w:t xml:space="preserve"> approval</w:t>
      </w:r>
      <w:r w:rsidRPr="6C569DCD" w:rsidR="003C230A">
        <w:rPr>
          <w:sz w:val="24"/>
        </w:rPr>
        <w:t xml:space="preserve"> </w:t>
      </w:r>
      <w:r w:rsidRPr="6C569DCD" w:rsidR="00BA1FF0">
        <w:rPr>
          <w:sz w:val="24"/>
        </w:rPr>
        <w:t xml:space="preserve">of their index </w:t>
      </w:r>
      <w:r w:rsidRPr="6C569DCD" w:rsidR="003C230A">
        <w:rPr>
          <w:sz w:val="24"/>
        </w:rPr>
        <w:t>with the Commission</w:t>
      </w:r>
      <w:r w:rsidRPr="6C569DCD" w:rsidR="002C3BDC">
        <w:rPr>
          <w:sz w:val="24"/>
        </w:rPr>
        <w:t xml:space="preserve"> and for data providers that submit information to price index developers</w:t>
      </w:r>
      <w:r w:rsidRPr="6C569DCD" w:rsidR="00A50A31">
        <w:rPr>
          <w:sz w:val="24"/>
        </w:rPr>
        <w:t xml:space="preserve">. </w:t>
      </w:r>
      <w:r w:rsidR="00844DE2">
        <w:rPr>
          <w:sz w:val="24"/>
        </w:rPr>
        <w:t xml:space="preserve"> </w:t>
      </w:r>
      <w:r w:rsidR="00C36CCA">
        <w:rPr>
          <w:sz w:val="24"/>
        </w:rPr>
        <w:t>Data providers</w:t>
      </w:r>
      <w:r w:rsidR="00FB6B46">
        <w:rPr>
          <w:sz w:val="24"/>
        </w:rPr>
        <w:t xml:space="preserve"> that submit information to price index developers</w:t>
      </w:r>
      <w:r w:rsidR="00C36CCA">
        <w:rPr>
          <w:sz w:val="24"/>
        </w:rPr>
        <w:t xml:space="preserve"> must </w:t>
      </w:r>
      <w:r w:rsidR="00270B5C">
        <w:rPr>
          <w:sz w:val="24"/>
        </w:rPr>
        <w:t xml:space="preserve">meet </w:t>
      </w:r>
      <w:r w:rsidR="003A265C">
        <w:rPr>
          <w:sz w:val="24"/>
        </w:rPr>
        <w:t>minimum reporting standards</w:t>
      </w:r>
      <w:r w:rsidR="00CC57B3">
        <w:rPr>
          <w:sz w:val="24"/>
        </w:rPr>
        <w:t>,</w:t>
      </w:r>
      <w:r w:rsidR="00E111BB">
        <w:rPr>
          <w:sz w:val="24"/>
        </w:rPr>
        <w:t xml:space="preserve"> </w:t>
      </w:r>
      <w:r w:rsidRPr="00E111BB" w:rsidR="00E111BB">
        <w:rPr>
          <w:sz w:val="24"/>
        </w:rPr>
        <w:t xml:space="preserve">set forth in the Commission’s </w:t>
      </w:r>
      <w:r w:rsidR="00CC764D">
        <w:rPr>
          <w:sz w:val="24"/>
        </w:rPr>
        <w:t xml:space="preserve">Initial </w:t>
      </w:r>
      <w:r w:rsidRPr="00E111BB" w:rsidR="00E111BB">
        <w:rPr>
          <w:sz w:val="24"/>
        </w:rPr>
        <w:t>Policy Statement</w:t>
      </w:r>
      <w:r w:rsidR="002E25E3">
        <w:rPr>
          <w:sz w:val="24"/>
        </w:rPr>
        <w:t xml:space="preserve"> and Revised</w:t>
      </w:r>
      <w:r w:rsidR="00AB2AD6">
        <w:rPr>
          <w:sz w:val="24"/>
        </w:rPr>
        <w:t xml:space="preserve"> Policy Statement</w:t>
      </w:r>
      <w:r w:rsidR="00CC57B3">
        <w:rPr>
          <w:sz w:val="24"/>
        </w:rPr>
        <w:t>, to</w:t>
      </w:r>
      <w:r w:rsidR="00246F8C">
        <w:rPr>
          <w:sz w:val="24"/>
        </w:rPr>
        <w:t xml:space="preserve"> </w:t>
      </w:r>
      <w:r w:rsidRPr="00E111BB" w:rsidR="00E111BB">
        <w:rPr>
          <w:sz w:val="24"/>
        </w:rPr>
        <w:t xml:space="preserve">benefit from a rebuttable presumption that </w:t>
      </w:r>
      <w:r w:rsidR="00B512B6">
        <w:rPr>
          <w:sz w:val="24"/>
        </w:rPr>
        <w:t>they have</w:t>
      </w:r>
      <w:r w:rsidRPr="00E111BB" w:rsidR="00E111BB">
        <w:rPr>
          <w:sz w:val="24"/>
        </w:rPr>
        <w:t xml:space="preserve"> submitted </w:t>
      </w:r>
      <w:r w:rsidR="00246F8C">
        <w:rPr>
          <w:sz w:val="24"/>
        </w:rPr>
        <w:t>their</w:t>
      </w:r>
      <w:r w:rsidRPr="00E111BB" w:rsidR="00E111BB">
        <w:rPr>
          <w:sz w:val="24"/>
        </w:rPr>
        <w:t xml:space="preserve"> transactions accurately, timely, and in good faith (</w:t>
      </w:r>
      <w:r w:rsidR="00246F8C">
        <w:rPr>
          <w:sz w:val="24"/>
        </w:rPr>
        <w:t xml:space="preserve">also known as the </w:t>
      </w:r>
      <w:r w:rsidR="00784A00">
        <w:rPr>
          <w:sz w:val="24"/>
        </w:rPr>
        <w:t>s</w:t>
      </w:r>
      <w:r w:rsidRPr="00E111BB" w:rsidR="00E111BB">
        <w:rPr>
          <w:sz w:val="24"/>
        </w:rPr>
        <w:t xml:space="preserve">afe </w:t>
      </w:r>
      <w:r w:rsidR="00784A00">
        <w:rPr>
          <w:sz w:val="24"/>
        </w:rPr>
        <w:t>h</w:t>
      </w:r>
      <w:r w:rsidRPr="00E111BB" w:rsidR="00E111BB">
        <w:rPr>
          <w:sz w:val="24"/>
        </w:rPr>
        <w:t xml:space="preserve">arbor </w:t>
      </w:r>
      <w:r w:rsidR="00784A00">
        <w:rPr>
          <w:sz w:val="24"/>
        </w:rPr>
        <w:t>p</w:t>
      </w:r>
      <w:r w:rsidRPr="00E111BB" w:rsidR="00E111BB">
        <w:rPr>
          <w:sz w:val="24"/>
        </w:rPr>
        <w:t>olicy).</w:t>
      </w:r>
      <w:r w:rsidRPr="00EE0E56" w:rsidR="00EE0E56">
        <w:rPr>
          <w:b/>
          <w:iCs/>
          <w:szCs w:val="26"/>
          <w:vertAlign w:val="superscript"/>
        </w:rPr>
        <w:t xml:space="preserve"> </w:t>
      </w:r>
      <w:r>
        <w:rPr>
          <w:b/>
          <w:iCs/>
          <w:szCs w:val="26"/>
          <w:vertAlign w:val="superscript"/>
        </w:rPr>
        <w:footnoteReference w:id="7"/>
      </w:r>
      <w:r w:rsidRPr="00E111BB" w:rsidR="00E111BB">
        <w:rPr>
          <w:sz w:val="24"/>
        </w:rPr>
        <w:t xml:space="preserve">  </w:t>
      </w:r>
    </w:p>
    <w:p w:rsidR="009679E3" w:rsidRPr="009679E3" w:rsidP="549EAD48" w14:paraId="7C064110" w14:textId="70592AE4">
      <w:pPr>
        <w:spacing w:line="480" w:lineRule="auto"/>
        <w:rPr>
          <w:sz w:val="24"/>
        </w:rPr>
      </w:pPr>
      <w:r w:rsidRPr="549EAD48">
        <w:rPr>
          <w:i/>
          <w:iCs/>
          <w:sz w:val="24"/>
        </w:rPr>
        <w:t>Type of Respondents:</w:t>
      </w:r>
      <w:r w:rsidR="006A7822">
        <w:rPr>
          <w:i/>
          <w:iCs/>
          <w:sz w:val="24"/>
        </w:rPr>
        <w:t xml:space="preserve"> </w:t>
      </w:r>
      <w:r w:rsidR="00E228B6">
        <w:rPr>
          <w:sz w:val="24"/>
        </w:rPr>
        <w:t>Wholesale natural gas market participants</w:t>
      </w:r>
      <w:r w:rsidR="000E69D7">
        <w:rPr>
          <w:sz w:val="24"/>
        </w:rPr>
        <w:t xml:space="preserve"> (FERC-552)</w:t>
      </w:r>
      <w:r w:rsidR="006A7822">
        <w:rPr>
          <w:sz w:val="24"/>
        </w:rPr>
        <w:t xml:space="preserve">, </w:t>
      </w:r>
      <w:r w:rsidR="00E228B6">
        <w:rPr>
          <w:sz w:val="24"/>
        </w:rPr>
        <w:t>p</w:t>
      </w:r>
      <w:r w:rsidR="006A7822">
        <w:rPr>
          <w:sz w:val="24"/>
        </w:rPr>
        <w:t>rice</w:t>
      </w:r>
      <w:r w:rsidR="00E228B6">
        <w:rPr>
          <w:sz w:val="24"/>
        </w:rPr>
        <w:t xml:space="preserve"> i</w:t>
      </w:r>
      <w:r w:rsidR="006A7822">
        <w:rPr>
          <w:sz w:val="24"/>
        </w:rPr>
        <w:t xml:space="preserve">ndex </w:t>
      </w:r>
      <w:r w:rsidR="00CE6AF3">
        <w:rPr>
          <w:sz w:val="24"/>
        </w:rPr>
        <w:t xml:space="preserve">data providers and </w:t>
      </w:r>
      <w:r w:rsidR="00E228B6">
        <w:rPr>
          <w:sz w:val="24"/>
        </w:rPr>
        <w:t>d</w:t>
      </w:r>
      <w:r w:rsidR="006A7822">
        <w:rPr>
          <w:sz w:val="24"/>
        </w:rPr>
        <w:t>evelopers</w:t>
      </w:r>
      <w:r w:rsidR="000E69D7">
        <w:rPr>
          <w:sz w:val="24"/>
        </w:rPr>
        <w:t xml:space="preserve"> (FERC-549E)</w:t>
      </w:r>
    </w:p>
    <w:p w:rsidR="00696A1D" w:rsidP="6C569DCD" w14:paraId="16FB0FAE" w14:textId="4D15D433">
      <w:pPr>
        <w:spacing w:line="480" w:lineRule="auto"/>
        <w:rPr>
          <w:sz w:val="24"/>
        </w:rPr>
      </w:pPr>
      <w:r w:rsidRPr="6C569DCD">
        <w:rPr>
          <w:i/>
          <w:iCs/>
          <w:sz w:val="24"/>
        </w:rPr>
        <w:t>Estimate of Annual Burden</w:t>
      </w:r>
      <w:r w:rsidR="00BE73DB">
        <w:rPr>
          <w:i/>
          <w:iCs/>
          <w:sz w:val="24"/>
        </w:rPr>
        <w:t>:</w:t>
      </w:r>
      <w:r>
        <w:rPr>
          <w:rStyle w:val="FootnoteReference"/>
          <w:b w:val="0"/>
          <w:sz w:val="24"/>
          <w:szCs w:val="24"/>
        </w:rPr>
        <w:footnoteReference w:id="8"/>
      </w:r>
      <w:r w:rsidRPr="6C569DCD">
        <w:rPr>
          <w:i/>
          <w:iCs/>
          <w:sz w:val="24"/>
        </w:rPr>
        <w:t xml:space="preserve"> </w:t>
      </w:r>
      <w:r w:rsidRPr="6C569DCD">
        <w:rPr>
          <w:sz w:val="24"/>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657"/>
        <w:gridCol w:w="1497"/>
        <w:gridCol w:w="1409"/>
        <w:gridCol w:w="1310"/>
        <w:gridCol w:w="1417"/>
        <w:gridCol w:w="1132"/>
      </w:tblGrid>
      <w:tr w14:paraId="5BA79F99" w14:textId="77777777" w:rsidTr="6C569DCD">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97" w:type="pct"/>
            <w:shd w:val="clear" w:color="auto" w:fill="D9D9D9" w:themeFill="background1" w:themeFillShade="D9"/>
          </w:tcPr>
          <w:p w:rsidR="00696A1D" w:rsidRPr="006A60CF" w:rsidP="549EAD48" w14:paraId="3D1C5CF2" w14:textId="77777777">
            <w:pPr>
              <w:jc w:val="center"/>
              <w:rPr>
                <w:rFonts w:eastAsia="Calibri"/>
                <w:b/>
                <w:bCs/>
                <w:sz w:val="24"/>
              </w:rPr>
            </w:pPr>
          </w:p>
        </w:tc>
        <w:tc>
          <w:tcPr>
            <w:tcW w:w="827" w:type="pct"/>
            <w:shd w:val="clear" w:color="auto" w:fill="D9D9D9" w:themeFill="background1" w:themeFillShade="D9"/>
            <w:vAlign w:val="bottom"/>
          </w:tcPr>
          <w:p w:rsidR="00696A1D" w:rsidRPr="006A60CF" w:rsidP="549EAD48" w14:paraId="04268E54" w14:textId="77777777">
            <w:pPr>
              <w:jc w:val="center"/>
              <w:rPr>
                <w:rFonts w:eastAsia="Calibri"/>
                <w:b/>
                <w:bCs/>
                <w:sz w:val="24"/>
              </w:rPr>
            </w:pPr>
            <w:r w:rsidRPr="549EAD48">
              <w:rPr>
                <w:rFonts w:eastAsia="Calibri"/>
                <w:b/>
                <w:bCs/>
                <w:sz w:val="24"/>
              </w:rPr>
              <w:t>Number of Respondents</w:t>
            </w:r>
            <w:r>
              <w:br/>
            </w:r>
            <w:r w:rsidRPr="549EAD48">
              <w:rPr>
                <w:rFonts w:eastAsia="Calibri"/>
                <w:b/>
                <w:bCs/>
                <w:sz w:val="24"/>
              </w:rPr>
              <w:t>(1)</w:t>
            </w:r>
          </w:p>
        </w:tc>
        <w:tc>
          <w:tcPr>
            <w:tcW w:w="747" w:type="pct"/>
            <w:shd w:val="clear" w:color="auto" w:fill="D9D9D9" w:themeFill="background1" w:themeFillShade="D9"/>
            <w:vAlign w:val="bottom"/>
          </w:tcPr>
          <w:p w:rsidR="00696A1D" w:rsidRPr="006A60CF" w:rsidP="549EAD48" w14:paraId="562EDAE5" w14:textId="77777777">
            <w:pPr>
              <w:jc w:val="center"/>
              <w:rPr>
                <w:rFonts w:eastAsia="Calibri"/>
                <w:b/>
                <w:bCs/>
                <w:sz w:val="24"/>
              </w:rPr>
            </w:pPr>
            <w:r w:rsidRPr="549EAD48">
              <w:rPr>
                <w:rFonts w:eastAsia="Calibri"/>
                <w:b/>
                <w:bCs/>
                <w:sz w:val="24"/>
              </w:rPr>
              <w:t>Annual Number of Responses per Respondent</w:t>
            </w:r>
          </w:p>
          <w:p w:rsidR="00696A1D" w:rsidRPr="006A60CF" w:rsidP="549EAD48" w14:paraId="5E906DBD" w14:textId="77777777">
            <w:pPr>
              <w:jc w:val="center"/>
              <w:rPr>
                <w:rFonts w:eastAsia="Calibri"/>
                <w:b/>
                <w:bCs/>
                <w:sz w:val="24"/>
              </w:rPr>
            </w:pPr>
            <w:r w:rsidRPr="549EAD48">
              <w:rPr>
                <w:rFonts w:eastAsia="Calibri"/>
                <w:b/>
                <w:bCs/>
                <w:sz w:val="24"/>
              </w:rPr>
              <w:t>(2)</w:t>
            </w:r>
          </w:p>
        </w:tc>
        <w:tc>
          <w:tcPr>
            <w:tcW w:w="703" w:type="pct"/>
            <w:shd w:val="clear" w:color="auto" w:fill="D9D9D9" w:themeFill="background1" w:themeFillShade="D9"/>
            <w:vAlign w:val="bottom"/>
          </w:tcPr>
          <w:p w:rsidR="00696A1D" w:rsidRPr="006A60CF" w:rsidP="549EAD48" w14:paraId="65CED0BD" w14:textId="77777777">
            <w:pPr>
              <w:jc w:val="center"/>
              <w:rPr>
                <w:rFonts w:eastAsia="Calibri"/>
                <w:b/>
                <w:bCs/>
                <w:sz w:val="24"/>
              </w:rPr>
            </w:pPr>
            <w:r w:rsidRPr="549EAD48">
              <w:rPr>
                <w:rFonts w:eastAsia="Calibri"/>
                <w:b/>
                <w:bCs/>
                <w:sz w:val="24"/>
              </w:rPr>
              <w:t>Total Number of Responses (1)*(2)=(3)</w:t>
            </w:r>
          </w:p>
        </w:tc>
        <w:tc>
          <w:tcPr>
            <w:tcW w:w="654" w:type="pct"/>
            <w:shd w:val="clear" w:color="auto" w:fill="D9D9D9" w:themeFill="background1" w:themeFillShade="D9"/>
            <w:vAlign w:val="bottom"/>
          </w:tcPr>
          <w:p w:rsidR="00696A1D" w:rsidRPr="006A60CF" w:rsidP="6C569DCD" w14:paraId="4A2ABDC6" w14:textId="77777777">
            <w:pPr>
              <w:jc w:val="center"/>
              <w:rPr>
                <w:rFonts w:eastAsia="Calibri"/>
                <w:b/>
                <w:bCs/>
                <w:sz w:val="24"/>
              </w:rPr>
            </w:pPr>
            <w:r w:rsidRPr="6C569DCD">
              <w:rPr>
                <w:rFonts w:eastAsia="Calibri"/>
                <w:b/>
                <w:bCs/>
                <w:sz w:val="24"/>
              </w:rPr>
              <w:t>Average Burden &amp; Cost Per Response</w:t>
            </w:r>
            <w:r>
              <w:rPr>
                <w:rFonts w:eastAsia="Calibri"/>
                <w:sz w:val="24"/>
                <w:vertAlign w:val="superscript"/>
              </w:rPr>
              <w:footnoteReference w:id="9"/>
            </w:r>
          </w:p>
          <w:p w:rsidR="00696A1D" w:rsidRPr="006A60CF" w:rsidP="549EAD48" w14:paraId="64BF29F9" w14:textId="77777777">
            <w:pPr>
              <w:jc w:val="center"/>
              <w:rPr>
                <w:rFonts w:eastAsia="Calibri"/>
                <w:b/>
                <w:bCs/>
                <w:sz w:val="24"/>
              </w:rPr>
            </w:pPr>
            <w:r w:rsidRPr="549EAD48">
              <w:rPr>
                <w:rFonts w:eastAsia="Calibri"/>
                <w:b/>
                <w:bCs/>
                <w:sz w:val="24"/>
              </w:rPr>
              <w:t>(4)</w:t>
            </w:r>
          </w:p>
        </w:tc>
        <w:tc>
          <w:tcPr>
            <w:tcW w:w="707" w:type="pct"/>
            <w:shd w:val="clear" w:color="auto" w:fill="D9D9D9" w:themeFill="background1" w:themeFillShade="D9"/>
            <w:vAlign w:val="bottom"/>
          </w:tcPr>
          <w:p w:rsidR="00696A1D" w:rsidRPr="006A60CF" w:rsidP="549EAD48" w14:paraId="14BA1585" w14:textId="77777777">
            <w:pPr>
              <w:jc w:val="center"/>
              <w:rPr>
                <w:rFonts w:eastAsia="Calibri"/>
                <w:b/>
                <w:bCs/>
                <w:sz w:val="24"/>
              </w:rPr>
            </w:pPr>
            <w:r w:rsidRPr="549EAD48">
              <w:rPr>
                <w:rFonts w:eastAsia="Calibri"/>
                <w:b/>
                <w:bCs/>
                <w:sz w:val="24"/>
              </w:rPr>
              <w:t>Total Annual Burden Hours &amp; Total Annual Cost</w:t>
            </w:r>
          </w:p>
          <w:p w:rsidR="00696A1D" w:rsidRPr="006A60CF" w:rsidP="549EAD48" w14:paraId="41D83D8C" w14:textId="77777777">
            <w:pPr>
              <w:jc w:val="center"/>
              <w:rPr>
                <w:rFonts w:eastAsia="Calibri"/>
                <w:b/>
                <w:bCs/>
                <w:sz w:val="24"/>
              </w:rPr>
            </w:pPr>
            <w:r w:rsidRPr="549EAD48">
              <w:rPr>
                <w:rFonts w:eastAsia="Calibri"/>
                <w:b/>
                <w:bCs/>
                <w:sz w:val="24"/>
              </w:rPr>
              <w:t>(3)*(4)=(5)</w:t>
            </w:r>
          </w:p>
        </w:tc>
        <w:tc>
          <w:tcPr>
            <w:tcW w:w="565" w:type="pct"/>
            <w:shd w:val="clear" w:color="auto" w:fill="D9D9D9" w:themeFill="background1" w:themeFillShade="D9"/>
            <w:vAlign w:val="bottom"/>
          </w:tcPr>
          <w:p w:rsidR="00696A1D" w:rsidRPr="006A60CF" w:rsidP="549EAD48" w14:paraId="1FBE0079" w14:textId="77777777">
            <w:pPr>
              <w:jc w:val="center"/>
              <w:rPr>
                <w:rFonts w:eastAsia="Calibri"/>
                <w:b/>
                <w:bCs/>
                <w:sz w:val="24"/>
              </w:rPr>
            </w:pPr>
            <w:r w:rsidRPr="549EAD48">
              <w:rPr>
                <w:rFonts w:eastAsia="Calibri"/>
                <w:b/>
                <w:bCs/>
                <w:sz w:val="24"/>
              </w:rPr>
              <w:t>Cost per Respondent</w:t>
            </w:r>
          </w:p>
          <w:p w:rsidR="00696A1D" w:rsidRPr="006A60CF" w:rsidP="549EAD48" w14:paraId="5724E8EA" w14:textId="77777777">
            <w:pPr>
              <w:jc w:val="center"/>
              <w:rPr>
                <w:rFonts w:eastAsia="Calibri"/>
                <w:b/>
                <w:bCs/>
                <w:sz w:val="24"/>
              </w:rPr>
            </w:pPr>
            <w:r w:rsidRPr="549EAD48">
              <w:rPr>
                <w:rFonts w:eastAsia="Calibri"/>
                <w:b/>
                <w:bCs/>
                <w:sz w:val="24"/>
              </w:rPr>
              <w:t xml:space="preserve"> ($)</w:t>
            </w:r>
          </w:p>
          <w:p w:rsidR="00696A1D" w:rsidRPr="006A60CF" w:rsidP="549EAD48" w14:paraId="3E08335F" w14:textId="77777777">
            <w:pPr>
              <w:jc w:val="center"/>
              <w:rPr>
                <w:rFonts w:eastAsia="Calibri"/>
                <w:b/>
                <w:bCs/>
                <w:sz w:val="24"/>
              </w:rPr>
            </w:pPr>
            <w:r w:rsidRPr="549EAD48">
              <w:rPr>
                <w:rFonts w:eastAsia="Calibri"/>
                <w:b/>
                <w:bCs/>
                <w:sz w:val="24"/>
              </w:rPr>
              <w:t>(5)÷(1)</w:t>
            </w:r>
          </w:p>
        </w:tc>
      </w:tr>
      <w:tr w14:paraId="7301789A" w14:textId="77777777" w:rsidTr="6C569DCD">
        <w:tblPrEx>
          <w:tblW w:w="5358" w:type="pct"/>
          <w:tblInd w:w="-72" w:type="dxa"/>
          <w:tblLayout w:type="fixed"/>
          <w:tblLook w:val="01E0"/>
        </w:tblPrEx>
        <w:trPr>
          <w:cantSplit/>
          <w:trHeight w:val="512"/>
        </w:trPr>
        <w:tc>
          <w:tcPr>
            <w:tcW w:w="5000" w:type="pct"/>
            <w:gridSpan w:val="7"/>
            <w:shd w:val="clear" w:color="auto" w:fill="D9D9D9" w:themeFill="background1" w:themeFillShade="D9"/>
          </w:tcPr>
          <w:p w:rsidR="00CB597F" w:rsidRPr="003131D1" w:rsidP="00CB597F" w14:paraId="16AC81EF" w14:textId="2DF56F4B">
            <w:pPr>
              <w:jc w:val="center"/>
              <w:rPr>
                <w:rFonts w:eastAsia="Calibri"/>
                <w:b/>
                <w:bCs/>
                <w:sz w:val="24"/>
              </w:rPr>
            </w:pPr>
            <w:r w:rsidRPr="003131D1">
              <w:rPr>
                <w:rFonts w:eastAsia="Calibri"/>
                <w:b/>
                <w:bCs/>
                <w:sz w:val="24"/>
              </w:rPr>
              <w:t>FERC</w:t>
            </w:r>
            <w:r w:rsidR="003131D1">
              <w:rPr>
                <w:rFonts w:eastAsia="Calibri"/>
                <w:b/>
                <w:bCs/>
                <w:sz w:val="24"/>
              </w:rPr>
              <w:t>-</w:t>
            </w:r>
            <w:r w:rsidRPr="003131D1">
              <w:rPr>
                <w:rFonts w:eastAsia="Calibri"/>
                <w:b/>
                <w:bCs/>
                <w:sz w:val="24"/>
              </w:rPr>
              <w:t>552</w:t>
            </w:r>
            <w:r w:rsidR="000A6114">
              <w:rPr>
                <w:rFonts w:eastAsia="Calibri"/>
                <w:b/>
                <w:bCs/>
                <w:sz w:val="24"/>
              </w:rPr>
              <w:t xml:space="preserve">: </w:t>
            </w:r>
            <w:r w:rsidRPr="000A6114" w:rsidR="000A6114">
              <w:rPr>
                <w:b/>
                <w:bCs/>
                <w:sz w:val="24"/>
              </w:rPr>
              <w:t>Annual Report of Natural Gas Transactions</w:t>
            </w:r>
            <w:r>
              <w:rPr>
                <w:rStyle w:val="FootnoteReference"/>
                <w:b w:val="0"/>
                <w:bCs/>
              </w:rPr>
              <w:footnoteReference w:id="10"/>
            </w:r>
          </w:p>
        </w:tc>
      </w:tr>
      <w:tr w14:paraId="03FF6251" w14:textId="77777777" w:rsidTr="6C569DCD">
        <w:tblPrEx>
          <w:tblW w:w="5358" w:type="pct"/>
          <w:tblInd w:w="-72" w:type="dxa"/>
          <w:tblLayout w:type="fixed"/>
          <w:tblLook w:val="01E0"/>
        </w:tblPrEx>
        <w:trPr>
          <w:cantSplit/>
        </w:trPr>
        <w:tc>
          <w:tcPr>
            <w:tcW w:w="797" w:type="pct"/>
          </w:tcPr>
          <w:p w:rsidR="001D1265" w:rsidRPr="006A60CF" w:rsidP="001D1265" w14:paraId="48A2937D" w14:textId="27C7FEFE">
            <w:pPr>
              <w:rPr>
                <w:rFonts w:eastAsia="Calibri"/>
                <w:sz w:val="24"/>
              </w:rPr>
            </w:pPr>
            <w:r w:rsidRPr="00805CBD">
              <w:rPr>
                <w:rFonts w:eastAsia="Calibri"/>
                <w:szCs w:val="26"/>
              </w:rPr>
              <w:t xml:space="preserve">Wholesale natural </w:t>
            </w:r>
            <w:r>
              <w:rPr>
                <w:rFonts w:eastAsia="Calibri"/>
                <w:szCs w:val="26"/>
              </w:rPr>
              <w:t xml:space="preserve">gas </w:t>
            </w:r>
            <w:r w:rsidRPr="00805CBD">
              <w:rPr>
                <w:rFonts w:eastAsia="Calibri"/>
                <w:szCs w:val="26"/>
              </w:rPr>
              <w:t xml:space="preserve">market participants </w:t>
            </w:r>
          </w:p>
        </w:tc>
        <w:tc>
          <w:tcPr>
            <w:tcW w:w="827" w:type="pct"/>
            <w:vAlign w:val="bottom"/>
          </w:tcPr>
          <w:p w:rsidR="001D1265" w:rsidRPr="006A60CF" w:rsidP="001D1265" w14:paraId="5F810470" w14:textId="5C8B8B47">
            <w:pPr>
              <w:jc w:val="right"/>
              <w:rPr>
                <w:rFonts w:eastAsia="Calibri"/>
                <w:sz w:val="24"/>
              </w:rPr>
            </w:pPr>
            <w:r>
              <w:rPr>
                <w:rFonts w:eastAsia="Calibri"/>
                <w:szCs w:val="26"/>
              </w:rPr>
              <w:t>671</w:t>
            </w:r>
          </w:p>
        </w:tc>
        <w:tc>
          <w:tcPr>
            <w:tcW w:w="747" w:type="pct"/>
            <w:vAlign w:val="bottom"/>
          </w:tcPr>
          <w:p w:rsidR="001D1265" w:rsidRPr="006A60CF" w:rsidP="001D1265" w14:paraId="7394383E" w14:textId="08FCD46B">
            <w:pPr>
              <w:jc w:val="right"/>
              <w:rPr>
                <w:rFonts w:eastAsia="Calibri"/>
                <w:sz w:val="24"/>
              </w:rPr>
            </w:pPr>
            <w:r>
              <w:rPr>
                <w:rFonts w:eastAsia="Calibri"/>
                <w:szCs w:val="26"/>
              </w:rPr>
              <w:t>1</w:t>
            </w:r>
          </w:p>
        </w:tc>
        <w:tc>
          <w:tcPr>
            <w:tcW w:w="703" w:type="pct"/>
            <w:vAlign w:val="bottom"/>
          </w:tcPr>
          <w:p w:rsidR="001D1265" w:rsidRPr="006A60CF" w:rsidP="001D1265" w14:paraId="183E9085" w14:textId="56D75D14">
            <w:pPr>
              <w:jc w:val="right"/>
              <w:rPr>
                <w:rFonts w:eastAsia="Calibri"/>
                <w:sz w:val="24"/>
              </w:rPr>
            </w:pPr>
            <w:r>
              <w:rPr>
                <w:rFonts w:eastAsia="Calibri"/>
                <w:szCs w:val="26"/>
              </w:rPr>
              <w:t>671</w:t>
            </w:r>
          </w:p>
        </w:tc>
        <w:tc>
          <w:tcPr>
            <w:tcW w:w="654" w:type="pct"/>
            <w:vAlign w:val="bottom"/>
          </w:tcPr>
          <w:p w:rsidR="001D1265" w:rsidRPr="00FC2D75" w:rsidP="001D1265" w14:paraId="39E9F392" w14:textId="77777777">
            <w:pPr>
              <w:jc w:val="right"/>
              <w:rPr>
                <w:rFonts w:eastAsia="Calibri"/>
                <w:szCs w:val="26"/>
              </w:rPr>
            </w:pPr>
            <w:r w:rsidRPr="00FC2D75">
              <w:rPr>
                <w:rFonts w:eastAsia="Calibri"/>
                <w:szCs w:val="26"/>
              </w:rPr>
              <w:t>20 hrs.;</w:t>
            </w:r>
          </w:p>
          <w:p w:rsidR="001D1265" w:rsidRPr="006A60CF" w:rsidP="001D1265" w14:paraId="7B151F7A" w14:textId="19B8AE67">
            <w:pPr>
              <w:jc w:val="right"/>
              <w:rPr>
                <w:rFonts w:eastAsia="Calibri"/>
                <w:sz w:val="24"/>
              </w:rPr>
            </w:pPr>
            <w:r w:rsidRPr="00731C7B">
              <w:rPr>
                <w:rFonts w:eastAsia="Calibri"/>
                <w:szCs w:val="26"/>
              </w:rPr>
              <w:t>$</w:t>
            </w:r>
            <w:r w:rsidRPr="00731C7B" w:rsidR="00731C7B">
              <w:rPr>
                <w:rFonts w:eastAsia="Calibri"/>
                <w:szCs w:val="26"/>
              </w:rPr>
              <w:t>2,060</w:t>
            </w:r>
          </w:p>
        </w:tc>
        <w:tc>
          <w:tcPr>
            <w:tcW w:w="707" w:type="pct"/>
            <w:vAlign w:val="bottom"/>
          </w:tcPr>
          <w:p w:rsidR="001D1265" w:rsidRPr="006A60CF" w:rsidP="001D1265" w14:paraId="78838FF5" w14:textId="41D25719">
            <w:pPr>
              <w:jc w:val="right"/>
              <w:rPr>
                <w:rFonts w:eastAsia="Calibri"/>
                <w:sz w:val="24"/>
              </w:rPr>
            </w:pPr>
            <w:r w:rsidRPr="00307411">
              <w:rPr>
                <w:rFonts w:eastAsia="Calibri"/>
              </w:rPr>
              <w:t>13,420</w:t>
            </w:r>
            <w:r>
              <w:rPr>
                <w:rFonts w:eastAsia="Calibri"/>
              </w:rPr>
              <w:t xml:space="preserve"> </w:t>
            </w:r>
            <w:r w:rsidRPr="2EDB3743">
              <w:rPr>
                <w:rFonts w:eastAsia="Calibri"/>
              </w:rPr>
              <w:t xml:space="preserve">hrs.; </w:t>
            </w:r>
            <w:r w:rsidR="00731C7B">
              <w:t xml:space="preserve"> $</w:t>
            </w:r>
            <w:r w:rsidRPr="00DF3D0D" w:rsidR="00DF3D0D">
              <w:rPr>
                <w:rFonts w:eastAsia="Calibri"/>
              </w:rPr>
              <w:t>1,382,260</w:t>
            </w:r>
          </w:p>
        </w:tc>
        <w:tc>
          <w:tcPr>
            <w:tcW w:w="565" w:type="pct"/>
            <w:vAlign w:val="bottom"/>
          </w:tcPr>
          <w:p w:rsidR="001D1265" w:rsidRPr="006A60CF" w:rsidP="001D1265" w14:paraId="4A60F0B6" w14:textId="7CC55031">
            <w:pPr>
              <w:jc w:val="right"/>
              <w:rPr>
                <w:rFonts w:eastAsia="Calibri"/>
                <w:sz w:val="24"/>
              </w:rPr>
            </w:pPr>
            <w:r>
              <w:rPr>
                <w:rFonts w:eastAsia="Calibri"/>
                <w:sz w:val="24"/>
              </w:rPr>
              <w:t>$2,060</w:t>
            </w:r>
          </w:p>
        </w:tc>
      </w:tr>
      <w:tr w14:paraId="27A2C107" w14:textId="77777777" w:rsidTr="6C569DCD">
        <w:tblPrEx>
          <w:tblW w:w="5358" w:type="pct"/>
          <w:tblInd w:w="-72" w:type="dxa"/>
          <w:tblLayout w:type="fixed"/>
          <w:tblLook w:val="01E0"/>
        </w:tblPrEx>
        <w:trPr>
          <w:cantSplit/>
          <w:trHeight w:val="98"/>
        </w:trPr>
        <w:tc>
          <w:tcPr>
            <w:tcW w:w="5000" w:type="pct"/>
            <w:gridSpan w:val="7"/>
            <w:shd w:val="clear" w:color="auto" w:fill="D9D9D9" w:themeFill="background1" w:themeFillShade="D9"/>
          </w:tcPr>
          <w:p w:rsidR="001D1265" w:rsidRPr="549EAD48" w:rsidP="000A6114" w14:paraId="6EE6CF11" w14:textId="3C77CA1C">
            <w:pPr>
              <w:spacing w:line="480" w:lineRule="auto"/>
              <w:contextualSpacing/>
              <w:jc w:val="center"/>
              <w:rPr>
                <w:rFonts w:eastAsia="Calibri"/>
                <w:sz w:val="24"/>
              </w:rPr>
            </w:pPr>
            <w:r w:rsidRPr="001D1265">
              <w:rPr>
                <w:rFonts w:eastAsia="Calibri"/>
                <w:b/>
                <w:bCs/>
                <w:sz w:val="24"/>
              </w:rPr>
              <w:t>FERC 549E</w:t>
            </w:r>
            <w:r w:rsidR="000A6114">
              <w:rPr>
                <w:rFonts w:eastAsia="Calibri"/>
                <w:b/>
                <w:bCs/>
                <w:sz w:val="24"/>
              </w:rPr>
              <w:t xml:space="preserve">: </w:t>
            </w:r>
            <w:r w:rsidRPr="000A6114" w:rsidR="000A6114">
              <w:rPr>
                <w:b/>
                <w:bCs/>
                <w:sz w:val="24"/>
              </w:rPr>
              <w:t>Price Index Data Providers</w:t>
            </w:r>
            <w:r>
              <w:rPr>
                <w:rStyle w:val="FootnoteReference"/>
                <w:b w:val="0"/>
                <w:bCs/>
              </w:rPr>
              <w:footnoteReference w:id="11"/>
            </w:r>
            <w:r w:rsidRPr="000A6114" w:rsidR="000A6114">
              <w:rPr>
                <w:b/>
                <w:bCs/>
                <w:sz w:val="24"/>
              </w:rPr>
              <w:t xml:space="preserve"> and Developers</w:t>
            </w:r>
            <w:r>
              <w:rPr>
                <w:rStyle w:val="FootnoteReference"/>
                <w:b w:val="0"/>
                <w:bCs/>
              </w:rPr>
              <w:footnoteReference w:id="12"/>
            </w:r>
          </w:p>
        </w:tc>
      </w:tr>
      <w:tr w14:paraId="47FC8D3E" w14:textId="77777777" w:rsidTr="6C569DCD">
        <w:tblPrEx>
          <w:tblW w:w="5358" w:type="pct"/>
          <w:tblInd w:w="-72" w:type="dxa"/>
          <w:tblLayout w:type="fixed"/>
          <w:tblLook w:val="01E0"/>
        </w:tblPrEx>
        <w:trPr>
          <w:cantSplit/>
        </w:trPr>
        <w:tc>
          <w:tcPr>
            <w:tcW w:w="797" w:type="pct"/>
          </w:tcPr>
          <w:p w:rsidR="00DD2DE6" w:rsidRPr="00D21C12" w:rsidP="2B833124" w14:paraId="34525654" w14:textId="28904F69">
            <w:pPr>
              <w:rPr>
                <w:rFonts w:eastAsia="Calibri"/>
                <w:sz w:val="24"/>
              </w:rPr>
            </w:pPr>
            <w:r w:rsidRPr="2B833124">
              <w:rPr>
                <w:rFonts w:eastAsia="Calibri"/>
                <w:sz w:val="24"/>
              </w:rPr>
              <w:t>Data providers</w:t>
            </w:r>
            <w:r w:rsidRPr="2B833124" w:rsidR="7836443D">
              <w:rPr>
                <w:rFonts w:eastAsia="Calibri"/>
                <w:sz w:val="24"/>
              </w:rPr>
              <w:t xml:space="preserve"> (and their affiliates)</w:t>
            </w:r>
            <w:r w:rsidRPr="2B833124">
              <w:rPr>
                <w:rFonts w:eastAsia="Calibri"/>
                <w:sz w:val="24"/>
              </w:rPr>
              <w:t xml:space="preserve"> </w:t>
            </w:r>
            <w:r w:rsidRPr="2B833124" w:rsidR="33396116">
              <w:rPr>
                <w:rFonts w:eastAsia="Calibri"/>
                <w:sz w:val="24"/>
              </w:rPr>
              <w:t>report</w:t>
            </w:r>
            <w:r w:rsidRPr="2B833124" w:rsidR="211F042F">
              <w:rPr>
                <w:rFonts w:eastAsia="Calibri"/>
                <w:sz w:val="24"/>
              </w:rPr>
              <w:t xml:space="preserve"> </w:t>
            </w:r>
            <w:r w:rsidRPr="2B833124">
              <w:rPr>
                <w:rFonts w:eastAsia="Calibri"/>
                <w:sz w:val="24"/>
              </w:rPr>
              <w:t>Next Day Transactions</w:t>
            </w:r>
          </w:p>
        </w:tc>
        <w:tc>
          <w:tcPr>
            <w:tcW w:w="827" w:type="pct"/>
          </w:tcPr>
          <w:p w:rsidR="00DD2DE6" w:rsidP="549EAD48" w14:paraId="55C69627" w14:textId="5D17287A">
            <w:pPr>
              <w:jc w:val="right"/>
              <w:rPr>
                <w:rFonts w:eastAsia="Calibri"/>
                <w:sz w:val="24"/>
              </w:rPr>
            </w:pPr>
            <w:r>
              <w:rPr>
                <w:rFonts w:eastAsia="Calibri"/>
                <w:sz w:val="24"/>
              </w:rPr>
              <w:t>76</w:t>
            </w:r>
          </w:p>
        </w:tc>
        <w:tc>
          <w:tcPr>
            <w:tcW w:w="747" w:type="pct"/>
          </w:tcPr>
          <w:p w:rsidR="00DD2DE6" w:rsidP="549EAD48" w14:paraId="3E7B3481" w14:textId="7C434BB7">
            <w:pPr>
              <w:jc w:val="right"/>
              <w:rPr>
                <w:rFonts w:eastAsia="Calibri"/>
                <w:sz w:val="24"/>
              </w:rPr>
            </w:pPr>
            <w:r>
              <w:rPr>
                <w:rFonts w:eastAsia="Calibri"/>
                <w:sz w:val="24"/>
              </w:rPr>
              <w:t>249</w:t>
            </w:r>
          </w:p>
        </w:tc>
        <w:tc>
          <w:tcPr>
            <w:tcW w:w="703" w:type="pct"/>
          </w:tcPr>
          <w:p w:rsidR="00DD2DE6" w:rsidP="549EAD48" w14:paraId="179A06A4" w14:textId="5C78BE63">
            <w:pPr>
              <w:jc w:val="right"/>
              <w:rPr>
                <w:rFonts w:eastAsia="Calibri"/>
                <w:sz w:val="24"/>
              </w:rPr>
            </w:pPr>
            <w:r>
              <w:rPr>
                <w:rFonts w:eastAsia="Calibri"/>
                <w:sz w:val="24"/>
              </w:rPr>
              <w:t>18,924</w:t>
            </w:r>
          </w:p>
        </w:tc>
        <w:tc>
          <w:tcPr>
            <w:tcW w:w="654" w:type="pct"/>
          </w:tcPr>
          <w:p w:rsidR="00DD2DE6" w:rsidP="549EAD48" w14:paraId="779569A5" w14:textId="77777777">
            <w:pPr>
              <w:jc w:val="right"/>
              <w:rPr>
                <w:rFonts w:eastAsia="Calibri"/>
                <w:sz w:val="24"/>
              </w:rPr>
            </w:pPr>
            <w:r>
              <w:rPr>
                <w:rFonts w:eastAsia="Calibri"/>
                <w:sz w:val="24"/>
              </w:rPr>
              <w:t>4 hrs.;</w:t>
            </w:r>
          </w:p>
          <w:p w:rsidR="00731C7B" w:rsidP="549EAD48" w14:paraId="0AFD89E3" w14:textId="2B5E2B9D">
            <w:pPr>
              <w:jc w:val="right"/>
              <w:rPr>
                <w:rFonts w:eastAsia="Calibri"/>
                <w:sz w:val="24"/>
              </w:rPr>
            </w:pPr>
            <w:r>
              <w:rPr>
                <w:rFonts w:eastAsia="Calibri"/>
                <w:sz w:val="24"/>
              </w:rPr>
              <w:t>$</w:t>
            </w:r>
            <w:r w:rsidRPr="00731C7B">
              <w:rPr>
                <w:rFonts w:eastAsia="Calibri"/>
                <w:sz w:val="24"/>
              </w:rPr>
              <w:t>412</w:t>
            </w:r>
          </w:p>
        </w:tc>
        <w:tc>
          <w:tcPr>
            <w:tcW w:w="707" w:type="pct"/>
          </w:tcPr>
          <w:p w:rsidR="00DD2DE6" w:rsidP="549EAD48" w14:paraId="46423928" w14:textId="160D1A8C">
            <w:pPr>
              <w:jc w:val="right"/>
              <w:rPr>
                <w:rFonts w:eastAsia="Calibri"/>
                <w:sz w:val="24"/>
              </w:rPr>
            </w:pPr>
            <w:r>
              <w:rPr>
                <w:rFonts w:eastAsia="Calibri"/>
                <w:sz w:val="24"/>
              </w:rPr>
              <w:t>7</w:t>
            </w:r>
            <w:r w:rsidR="00E863E0">
              <w:rPr>
                <w:rFonts w:eastAsia="Calibri"/>
                <w:sz w:val="24"/>
              </w:rPr>
              <w:t>5,6</w:t>
            </w:r>
            <w:r w:rsidR="004A39AE">
              <w:rPr>
                <w:rFonts w:eastAsia="Calibri"/>
                <w:sz w:val="24"/>
              </w:rPr>
              <w:t>9</w:t>
            </w:r>
            <w:r w:rsidR="00E863E0">
              <w:rPr>
                <w:rFonts w:eastAsia="Calibri"/>
                <w:sz w:val="24"/>
              </w:rPr>
              <w:t>6 hrs.;</w:t>
            </w:r>
          </w:p>
          <w:p w:rsidR="00731C7B" w:rsidP="549EAD48" w14:paraId="3B9F87CE" w14:textId="776EE7E4">
            <w:pPr>
              <w:jc w:val="right"/>
              <w:rPr>
                <w:rFonts w:eastAsia="Calibri"/>
                <w:sz w:val="24"/>
              </w:rPr>
            </w:pPr>
            <w:r>
              <w:rPr>
                <w:rFonts w:eastAsia="Calibri"/>
                <w:sz w:val="24"/>
              </w:rPr>
              <w:t>$</w:t>
            </w:r>
            <w:r w:rsidRPr="00731C7B">
              <w:rPr>
                <w:rFonts w:eastAsia="Calibri"/>
                <w:sz w:val="24"/>
              </w:rPr>
              <w:t>7,796,688</w:t>
            </w:r>
          </w:p>
        </w:tc>
        <w:tc>
          <w:tcPr>
            <w:tcW w:w="565" w:type="pct"/>
          </w:tcPr>
          <w:p w:rsidR="00DD2DE6" w:rsidP="549EAD48" w14:paraId="7229C878" w14:textId="7D3CE217">
            <w:pPr>
              <w:jc w:val="right"/>
              <w:rPr>
                <w:rFonts w:eastAsia="Calibri"/>
                <w:sz w:val="24"/>
              </w:rPr>
            </w:pPr>
            <w:r>
              <w:rPr>
                <w:rFonts w:eastAsia="Calibri"/>
                <w:sz w:val="24"/>
              </w:rPr>
              <w:t>$</w:t>
            </w:r>
            <w:r w:rsidRPr="001700B5" w:rsidR="001700B5">
              <w:rPr>
                <w:rFonts w:eastAsia="Calibri"/>
                <w:sz w:val="24"/>
              </w:rPr>
              <w:t>102,588</w:t>
            </w:r>
          </w:p>
        </w:tc>
      </w:tr>
      <w:tr w14:paraId="272981C4" w14:textId="77777777" w:rsidTr="6C569DCD">
        <w:tblPrEx>
          <w:tblW w:w="5358" w:type="pct"/>
          <w:tblInd w:w="-72" w:type="dxa"/>
          <w:tblLayout w:type="fixed"/>
          <w:tblLook w:val="01E0"/>
        </w:tblPrEx>
        <w:trPr>
          <w:cantSplit/>
        </w:trPr>
        <w:tc>
          <w:tcPr>
            <w:tcW w:w="797" w:type="pct"/>
          </w:tcPr>
          <w:p w:rsidR="00CB597F" w:rsidP="549EAD48" w14:paraId="14F00EFA" w14:textId="42332D35">
            <w:pPr>
              <w:rPr>
                <w:rFonts w:eastAsia="Calibri"/>
                <w:sz w:val="24"/>
              </w:rPr>
            </w:pPr>
            <w:r w:rsidRPr="00D21C12">
              <w:rPr>
                <w:rFonts w:eastAsia="Calibri"/>
                <w:sz w:val="24"/>
              </w:rPr>
              <w:t>Data Providers-perform biennial self-audit (not annual)</w:t>
            </w:r>
          </w:p>
        </w:tc>
        <w:tc>
          <w:tcPr>
            <w:tcW w:w="827" w:type="pct"/>
          </w:tcPr>
          <w:p w:rsidR="00CB597F" w:rsidRPr="549EAD48" w:rsidP="549EAD48" w14:paraId="587B4923" w14:textId="0FC02D27">
            <w:pPr>
              <w:jc w:val="right"/>
              <w:rPr>
                <w:rFonts w:eastAsia="Calibri"/>
                <w:sz w:val="24"/>
              </w:rPr>
            </w:pPr>
            <w:r>
              <w:rPr>
                <w:rFonts w:eastAsia="Calibri"/>
                <w:sz w:val="24"/>
              </w:rPr>
              <w:t>96</w:t>
            </w:r>
          </w:p>
        </w:tc>
        <w:tc>
          <w:tcPr>
            <w:tcW w:w="747" w:type="pct"/>
          </w:tcPr>
          <w:p w:rsidR="00CB597F" w:rsidRPr="549EAD48" w:rsidP="549EAD48" w14:paraId="0CB1A606" w14:textId="1D175AE8">
            <w:pPr>
              <w:jc w:val="right"/>
              <w:rPr>
                <w:rFonts w:eastAsia="Calibri"/>
                <w:sz w:val="24"/>
              </w:rPr>
            </w:pPr>
            <w:r>
              <w:rPr>
                <w:rFonts w:eastAsia="Calibri"/>
                <w:sz w:val="24"/>
              </w:rPr>
              <w:t>.5</w:t>
            </w:r>
          </w:p>
        </w:tc>
        <w:tc>
          <w:tcPr>
            <w:tcW w:w="703" w:type="pct"/>
          </w:tcPr>
          <w:p w:rsidR="00CB597F" w:rsidRPr="549EAD48" w:rsidP="549EAD48" w14:paraId="163AF3A6" w14:textId="5A90DECC">
            <w:pPr>
              <w:jc w:val="right"/>
              <w:rPr>
                <w:rFonts w:eastAsia="Calibri"/>
                <w:sz w:val="24"/>
              </w:rPr>
            </w:pPr>
            <w:r>
              <w:rPr>
                <w:rFonts w:eastAsia="Calibri"/>
                <w:sz w:val="24"/>
              </w:rPr>
              <w:t>48</w:t>
            </w:r>
          </w:p>
        </w:tc>
        <w:tc>
          <w:tcPr>
            <w:tcW w:w="654" w:type="pct"/>
          </w:tcPr>
          <w:p w:rsidR="00CB597F" w:rsidP="549EAD48" w14:paraId="6DC15F46" w14:textId="77777777">
            <w:pPr>
              <w:jc w:val="right"/>
              <w:rPr>
                <w:rFonts w:eastAsia="Calibri"/>
                <w:sz w:val="24"/>
              </w:rPr>
            </w:pPr>
            <w:r>
              <w:rPr>
                <w:rFonts w:eastAsia="Calibri"/>
                <w:sz w:val="24"/>
              </w:rPr>
              <w:t>80</w:t>
            </w:r>
            <w:r w:rsidR="00F2225E">
              <w:rPr>
                <w:rFonts w:eastAsia="Calibri"/>
                <w:sz w:val="24"/>
              </w:rPr>
              <w:t xml:space="preserve"> hrs.;</w:t>
            </w:r>
          </w:p>
          <w:p w:rsidR="002B2DF8" w:rsidRPr="549EAD48" w:rsidP="549EAD48" w14:paraId="6EA1D502" w14:textId="38DA10C1">
            <w:pPr>
              <w:jc w:val="right"/>
              <w:rPr>
                <w:rFonts w:eastAsia="Calibri"/>
                <w:sz w:val="24"/>
              </w:rPr>
            </w:pPr>
            <w:r>
              <w:rPr>
                <w:rFonts w:eastAsia="Calibri"/>
                <w:sz w:val="24"/>
              </w:rPr>
              <w:t>$</w:t>
            </w:r>
            <w:r w:rsidRPr="002B2DF8">
              <w:rPr>
                <w:rFonts w:eastAsia="Calibri"/>
                <w:sz w:val="24"/>
              </w:rPr>
              <w:t>8,240</w:t>
            </w:r>
          </w:p>
        </w:tc>
        <w:tc>
          <w:tcPr>
            <w:tcW w:w="707" w:type="pct"/>
          </w:tcPr>
          <w:p w:rsidR="00CB597F" w:rsidP="549EAD48" w14:paraId="74185795" w14:textId="210C9FF5">
            <w:pPr>
              <w:jc w:val="right"/>
              <w:rPr>
                <w:rFonts w:eastAsia="Calibri"/>
                <w:sz w:val="24"/>
              </w:rPr>
            </w:pPr>
            <w:r>
              <w:rPr>
                <w:rFonts w:eastAsia="Calibri"/>
                <w:sz w:val="24"/>
              </w:rPr>
              <w:t>3,840</w:t>
            </w:r>
            <w:r w:rsidR="00DD2DE6">
              <w:rPr>
                <w:rFonts w:eastAsia="Calibri"/>
                <w:sz w:val="24"/>
              </w:rPr>
              <w:t xml:space="preserve"> hrs.;</w:t>
            </w:r>
          </w:p>
          <w:p w:rsidR="002B2DF8" w:rsidRPr="549EAD48" w:rsidP="549EAD48" w14:paraId="5175A649" w14:textId="10832D8E">
            <w:pPr>
              <w:jc w:val="right"/>
              <w:rPr>
                <w:rFonts w:eastAsia="Calibri"/>
                <w:sz w:val="24"/>
              </w:rPr>
            </w:pPr>
            <w:r>
              <w:rPr>
                <w:rFonts w:eastAsia="Calibri"/>
                <w:sz w:val="24"/>
              </w:rPr>
              <w:t>$</w:t>
            </w:r>
            <w:r w:rsidRPr="002B2DF8">
              <w:rPr>
                <w:rFonts w:eastAsia="Calibri"/>
                <w:sz w:val="24"/>
              </w:rPr>
              <w:t>395,520</w:t>
            </w:r>
          </w:p>
        </w:tc>
        <w:tc>
          <w:tcPr>
            <w:tcW w:w="565" w:type="pct"/>
          </w:tcPr>
          <w:p w:rsidR="00CB597F" w:rsidP="549EAD48" w14:paraId="29792267" w14:textId="574EB1F3">
            <w:pPr>
              <w:jc w:val="right"/>
              <w:rPr>
                <w:rFonts w:eastAsia="Calibri"/>
                <w:sz w:val="24"/>
              </w:rPr>
            </w:pPr>
            <w:r>
              <w:rPr>
                <w:rFonts w:eastAsia="Calibri"/>
                <w:sz w:val="24"/>
              </w:rPr>
              <w:t>$</w:t>
            </w:r>
            <w:r w:rsidRPr="00295B80">
              <w:rPr>
                <w:rFonts w:eastAsia="Calibri"/>
                <w:sz w:val="24"/>
              </w:rPr>
              <w:t>4,120</w:t>
            </w:r>
          </w:p>
        </w:tc>
      </w:tr>
      <w:tr w14:paraId="122C337B" w14:textId="77777777" w:rsidTr="6C569DCD">
        <w:tblPrEx>
          <w:tblW w:w="5358" w:type="pct"/>
          <w:tblInd w:w="-72" w:type="dxa"/>
          <w:tblLayout w:type="fixed"/>
          <w:tblLook w:val="01E0"/>
        </w:tblPrEx>
        <w:trPr>
          <w:cantSplit/>
        </w:trPr>
        <w:tc>
          <w:tcPr>
            <w:tcW w:w="797" w:type="pct"/>
          </w:tcPr>
          <w:p w:rsidR="00833078" w:rsidP="2B833124" w14:paraId="78A1B223" w14:textId="337981F6">
            <w:pPr>
              <w:spacing w:line="259" w:lineRule="auto"/>
              <w:rPr>
                <w:rFonts w:eastAsia="Calibri"/>
                <w:sz w:val="24"/>
              </w:rPr>
            </w:pPr>
            <w:r w:rsidRPr="2B833124">
              <w:rPr>
                <w:rFonts w:eastAsia="Calibri"/>
                <w:sz w:val="24"/>
              </w:rPr>
              <w:t>Data Providers</w:t>
            </w:r>
            <w:r w:rsidRPr="2B833124" w:rsidR="6E409F8E">
              <w:rPr>
                <w:rFonts w:eastAsia="Calibri"/>
                <w:sz w:val="24"/>
              </w:rPr>
              <w:t xml:space="preserve"> (and their affiliates)</w:t>
            </w:r>
            <w:r w:rsidRPr="2B833124" w:rsidR="00711375">
              <w:rPr>
                <w:rFonts w:eastAsia="Calibri"/>
                <w:sz w:val="24"/>
              </w:rPr>
              <w:t xml:space="preserve"> </w:t>
            </w:r>
            <w:r w:rsidRPr="2B833124" w:rsidR="46212D9B">
              <w:rPr>
                <w:rFonts w:eastAsia="Calibri"/>
                <w:sz w:val="24"/>
              </w:rPr>
              <w:t xml:space="preserve">report </w:t>
            </w:r>
            <w:r w:rsidRPr="2B833124" w:rsidR="005F162C">
              <w:rPr>
                <w:rFonts w:eastAsia="Calibri"/>
                <w:sz w:val="24"/>
              </w:rPr>
              <w:t>Next Month Transactions</w:t>
            </w:r>
          </w:p>
        </w:tc>
        <w:tc>
          <w:tcPr>
            <w:tcW w:w="827" w:type="pct"/>
          </w:tcPr>
          <w:p w:rsidR="00833078" w:rsidRPr="549EAD48" w:rsidP="549EAD48" w14:paraId="6E3BD8F4" w14:textId="4196DCBF">
            <w:pPr>
              <w:jc w:val="right"/>
              <w:rPr>
                <w:rFonts w:eastAsia="Calibri"/>
                <w:sz w:val="24"/>
              </w:rPr>
            </w:pPr>
            <w:r>
              <w:rPr>
                <w:rFonts w:eastAsia="Calibri"/>
                <w:sz w:val="24"/>
              </w:rPr>
              <w:t>70</w:t>
            </w:r>
          </w:p>
        </w:tc>
        <w:tc>
          <w:tcPr>
            <w:tcW w:w="747" w:type="pct"/>
          </w:tcPr>
          <w:p w:rsidR="00833078" w:rsidRPr="549EAD48" w:rsidP="549EAD48" w14:paraId="08FF0CBE" w14:textId="138CE78B">
            <w:pPr>
              <w:jc w:val="right"/>
              <w:rPr>
                <w:rFonts w:eastAsia="Calibri"/>
                <w:sz w:val="24"/>
              </w:rPr>
            </w:pPr>
            <w:r>
              <w:rPr>
                <w:rFonts w:eastAsia="Calibri"/>
                <w:sz w:val="24"/>
              </w:rPr>
              <w:t>12</w:t>
            </w:r>
          </w:p>
        </w:tc>
        <w:tc>
          <w:tcPr>
            <w:tcW w:w="703" w:type="pct"/>
          </w:tcPr>
          <w:p w:rsidR="00833078" w:rsidRPr="549EAD48" w:rsidP="549EAD48" w14:paraId="3B98917E" w14:textId="539F5830">
            <w:pPr>
              <w:jc w:val="right"/>
              <w:rPr>
                <w:rFonts w:eastAsia="Calibri"/>
                <w:sz w:val="24"/>
              </w:rPr>
            </w:pPr>
            <w:r>
              <w:rPr>
                <w:rFonts w:eastAsia="Calibri"/>
                <w:sz w:val="24"/>
              </w:rPr>
              <w:t>840</w:t>
            </w:r>
          </w:p>
        </w:tc>
        <w:tc>
          <w:tcPr>
            <w:tcW w:w="654" w:type="pct"/>
          </w:tcPr>
          <w:p w:rsidR="00833078" w:rsidP="549EAD48" w14:paraId="04C0EBC9" w14:textId="77777777">
            <w:pPr>
              <w:jc w:val="right"/>
              <w:rPr>
                <w:rFonts w:eastAsia="Calibri"/>
                <w:sz w:val="24"/>
              </w:rPr>
            </w:pPr>
            <w:r>
              <w:rPr>
                <w:rFonts w:eastAsia="Calibri"/>
                <w:sz w:val="24"/>
              </w:rPr>
              <w:t>4 hrs.;</w:t>
            </w:r>
          </w:p>
          <w:p w:rsidR="002B2DF8" w:rsidRPr="549EAD48" w:rsidP="549EAD48" w14:paraId="671258A7" w14:textId="01027E4F">
            <w:pPr>
              <w:jc w:val="right"/>
              <w:rPr>
                <w:rFonts w:eastAsia="Calibri"/>
                <w:sz w:val="24"/>
              </w:rPr>
            </w:pPr>
            <w:r>
              <w:rPr>
                <w:rFonts w:eastAsia="Calibri"/>
                <w:sz w:val="24"/>
              </w:rPr>
              <w:t>$412</w:t>
            </w:r>
          </w:p>
        </w:tc>
        <w:tc>
          <w:tcPr>
            <w:tcW w:w="707" w:type="pct"/>
          </w:tcPr>
          <w:p w:rsidR="002D6379" w:rsidP="002D6379" w14:paraId="21816B72" w14:textId="23070A3F">
            <w:pPr>
              <w:jc w:val="right"/>
              <w:rPr>
                <w:rFonts w:eastAsia="Calibri"/>
                <w:sz w:val="24"/>
              </w:rPr>
            </w:pPr>
            <w:r>
              <w:rPr>
                <w:rFonts w:eastAsia="Calibri"/>
                <w:sz w:val="24"/>
              </w:rPr>
              <w:t>3,</w:t>
            </w:r>
            <w:r w:rsidR="00A7134C">
              <w:rPr>
                <w:rFonts w:eastAsia="Calibri"/>
                <w:sz w:val="24"/>
              </w:rPr>
              <w:t>360</w:t>
            </w:r>
            <w:r>
              <w:rPr>
                <w:rFonts w:eastAsia="Calibri"/>
                <w:sz w:val="24"/>
              </w:rPr>
              <w:t xml:space="preserve"> hrs.;</w:t>
            </w:r>
          </w:p>
          <w:p w:rsidR="002B2DF8" w:rsidRPr="549EAD48" w:rsidP="002D6379" w14:paraId="45DFDC41" w14:textId="3EA275BC">
            <w:pPr>
              <w:jc w:val="right"/>
              <w:rPr>
                <w:rFonts w:eastAsia="Calibri"/>
                <w:sz w:val="24"/>
              </w:rPr>
            </w:pPr>
            <w:r>
              <w:rPr>
                <w:rFonts w:eastAsia="Calibri"/>
                <w:sz w:val="24"/>
              </w:rPr>
              <w:t>$</w:t>
            </w:r>
            <w:r w:rsidRPr="002B2DF8">
              <w:rPr>
                <w:rFonts w:eastAsia="Calibri"/>
                <w:sz w:val="24"/>
              </w:rPr>
              <w:t>346,080</w:t>
            </w:r>
          </w:p>
        </w:tc>
        <w:tc>
          <w:tcPr>
            <w:tcW w:w="565" w:type="pct"/>
          </w:tcPr>
          <w:p w:rsidR="00833078" w:rsidP="549EAD48" w14:paraId="38117E6F" w14:textId="079ED7E3">
            <w:pPr>
              <w:jc w:val="right"/>
              <w:rPr>
                <w:rFonts w:eastAsia="Calibri"/>
                <w:sz w:val="24"/>
              </w:rPr>
            </w:pPr>
            <w:r>
              <w:rPr>
                <w:rFonts w:eastAsia="Calibri"/>
                <w:sz w:val="24"/>
              </w:rPr>
              <w:t>$</w:t>
            </w:r>
            <w:r w:rsidRPr="00BC5724">
              <w:rPr>
                <w:rFonts w:eastAsia="Calibri"/>
                <w:sz w:val="24"/>
              </w:rPr>
              <w:t>4,944</w:t>
            </w:r>
          </w:p>
        </w:tc>
      </w:tr>
      <w:tr w14:paraId="2B88F3D8" w14:textId="77777777" w:rsidTr="6C569DCD">
        <w:tblPrEx>
          <w:tblW w:w="5358" w:type="pct"/>
          <w:tblInd w:w="-72" w:type="dxa"/>
          <w:tblLayout w:type="fixed"/>
          <w:tblLook w:val="01E0"/>
        </w:tblPrEx>
        <w:trPr>
          <w:cantSplit/>
        </w:trPr>
        <w:tc>
          <w:tcPr>
            <w:tcW w:w="797" w:type="pct"/>
          </w:tcPr>
          <w:p w:rsidR="00833078" w:rsidP="549EAD48" w14:paraId="2C79D599" w14:textId="0E82A1FA">
            <w:pPr>
              <w:rPr>
                <w:rFonts w:eastAsia="Calibri"/>
                <w:sz w:val="24"/>
              </w:rPr>
            </w:pPr>
            <w:r w:rsidRPr="004A1092">
              <w:rPr>
                <w:rFonts w:eastAsia="Calibri"/>
                <w:sz w:val="24"/>
              </w:rPr>
              <w:t>Price Index Developers—code of conduct &amp; confident.; &amp; inform customers</w:t>
            </w:r>
          </w:p>
        </w:tc>
        <w:tc>
          <w:tcPr>
            <w:tcW w:w="827" w:type="pct"/>
          </w:tcPr>
          <w:p w:rsidR="00833078" w:rsidRPr="549EAD48" w:rsidP="549EAD48" w14:paraId="5904250C" w14:textId="02E298C3">
            <w:pPr>
              <w:jc w:val="right"/>
              <w:rPr>
                <w:rFonts w:eastAsia="Calibri"/>
                <w:sz w:val="24"/>
              </w:rPr>
            </w:pPr>
            <w:r>
              <w:rPr>
                <w:rFonts w:eastAsia="Calibri"/>
                <w:sz w:val="24"/>
              </w:rPr>
              <w:t>6</w:t>
            </w:r>
          </w:p>
        </w:tc>
        <w:tc>
          <w:tcPr>
            <w:tcW w:w="747" w:type="pct"/>
          </w:tcPr>
          <w:p w:rsidR="00833078" w:rsidRPr="549EAD48" w:rsidP="549EAD48" w14:paraId="0F0E2EBB" w14:textId="6F543992">
            <w:pPr>
              <w:jc w:val="right"/>
              <w:rPr>
                <w:rFonts w:eastAsia="Calibri"/>
                <w:sz w:val="24"/>
              </w:rPr>
            </w:pPr>
            <w:r>
              <w:rPr>
                <w:rFonts w:eastAsia="Calibri"/>
                <w:sz w:val="24"/>
              </w:rPr>
              <w:t>1</w:t>
            </w:r>
          </w:p>
        </w:tc>
        <w:tc>
          <w:tcPr>
            <w:tcW w:w="703" w:type="pct"/>
          </w:tcPr>
          <w:p w:rsidR="00833078" w:rsidRPr="549EAD48" w:rsidP="549EAD48" w14:paraId="2E236898" w14:textId="0D3195CC">
            <w:pPr>
              <w:jc w:val="right"/>
              <w:rPr>
                <w:rFonts w:eastAsia="Calibri"/>
                <w:sz w:val="24"/>
              </w:rPr>
            </w:pPr>
            <w:r>
              <w:rPr>
                <w:rFonts w:eastAsia="Calibri"/>
                <w:sz w:val="24"/>
              </w:rPr>
              <w:t>6</w:t>
            </w:r>
          </w:p>
        </w:tc>
        <w:tc>
          <w:tcPr>
            <w:tcW w:w="654" w:type="pct"/>
          </w:tcPr>
          <w:p w:rsidR="00833078" w:rsidP="549EAD48" w14:paraId="598568B3" w14:textId="77777777">
            <w:pPr>
              <w:jc w:val="right"/>
              <w:rPr>
                <w:rFonts w:eastAsia="Calibri"/>
                <w:sz w:val="24"/>
              </w:rPr>
            </w:pPr>
            <w:r>
              <w:rPr>
                <w:rFonts w:eastAsia="Calibri"/>
                <w:sz w:val="24"/>
              </w:rPr>
              <w:t>80 hrs.;</w:t>
            </w:r>
          </w:p>
          <w:p w:rsidR="002B2DF8" w:rsidRPr="549EAD48" w:rsidP="549EAD48" w14:paraId="1F704C96" w14:textId="6101EBAA">
            <w:pPr>
              <w:jc w:val="right"/>
              <w:rPr>
                <w:rFonts w:eastAsia="Calibri"/>
                <w:sz w:val="24"/>
              </w:rPr>
            </w:pPr>
            <w:r>
              <w:rPr>
                <w:rFonts w:eastAsia="Calibri"/>
                <w:sz w:val="24"/>
              </w:rPr>
              <w:t>$</w:t>
            </w:r>
            <w:r w:rsidRPr="002B2DF8">
              <w:rPr>
                <w:rFonts w:eastAsia="Calibri"/>
                <w:sz w:val="24"/>
              </w:rPr>
              <w:t>8,240</w:t>
            </w:r>
          </w:p>
        </w:tc>
        <w:tc>
          <w:tcPr>
            <w:tcW w:w="707" w:type="pct"/>
          </w:tcPr>
          <w:p w:rsidR="00833078" w:rsidP="549EAD48" w14:paraId="236F3B82" w14:textId="77777777">
            <w:pPr>
              <w:jc w:val="right"/>
              <w:rPr>
                <w:rFonts w:eastAsia="Calibri"/>
                <w:sz w:val="24"/>
              </w:rPr>
            </w:pPr>
            <w:r>
              <w:rPr>
                <w:rFonts w:eastAsia="Calibri"/>
                <w:sz w:val="24"/>
              </w:rPr>
              <w:t>480 hrs.;</w:t>
            </w:r>
          </w:p>
          <w:p w:rsidR="002B2DF8" w:rsidRPr="549EAD48" w:rsidP="549EAD48" w14:paraId="3236E744" w14:textId="4E443502">
            <w:pPr>
              <w:jc w:val="right"/>
              <w:rPr>
                <w:rFonts w:eastAsia="Calibri"/>
                <w:sz w:val="24"/>
              </w:rPr>
            </w:pPr>
            <w:r>
              <w:rPr>
                <w:rFonts w:eastAsia="Calibri"/>
                <w:sz w:val="24"/>
              </w:rPr>
              <w:t>$</w:t>
            </w:r>
            <w:r w:rsidRPr="002B2DF8">
              <w:rPr>
                <w:rFonts w:eastAsia="Calibri"/>
                <w:sz w:val="24"/>
              </w:rPr>
              <w:t>49,440</w:t>
            </w:r>
          </w:p>
        </w:tc>
        <w:tc>
          <w:tcPr>
            <w:tcW w:w="565" w:type="pct"/>
          </w:tcPr>
          <w:p w:rsidR="00833078" w:rsidP="549EAD48" w14:paraId="7F52EE32" w14:textId="679318D1">
            <w:pPr>
              <w:jc w:val="right"/>
              <w:rPr>
                <w:rFonts w:eastAsia="Calibri"/>
                <w:sz w:val="24"/>
              </w:rPr>
            </w:pPr>
            <w:r>
              <w:rPr>
                <w:rFonts w:eastAsia="Calibri"/>
                <w:sz w:val="24"/>
              </w:rPr>
              <w:t>$</w:t>
            </w:r>
            <w:r w:rsidRPr="00E4749A">
              <w:rPr>
                <w:rFonts w:eastAsia="Calibri"/>
                <w:sz w:val="24"/>
              </w:rPr>
              <w:t>8,240</w:t>
            </w:r>
          </w:p>
        </w:tc>
      </w:tr>
      <w:tr w14:paraId="0AA1A4F4" w14:textId="77777777" w:rsidTr="6C569DCD">
        <w:tblPrEx>
          <w:tblW w:w="5358" w:type="pct"/>
          <w:tblInd w:w="-72" w:type="dxa"/>
          <w:tblLayout w:type="fixed"/>
          <w:tblLook w:val="01E0"/>
        </w:tblPrEx>
        <w:trPr>
          <w:cantSplit/>
        </w:trPr>
        <w:tc>
          <w:tcPr>
            <w:tcW w:w="797" w:type="pct"/>
          </w:tcPr>
          <w:p w:rsidR="00833078" w:rsidP="549EAD48" w14:paraId="6F2D5058" w14:textId="675C07F5">
            <w:pPr>
              <w:rPr>
                <w:rFonts w:eastAsia="Calibri"/>
                <w:sz w:val="24"/>
              </w:rPr>
            </w:pPr>
            <w:r w:rsidRPr="00696559">
              <w:rPr>
                <w:rFonts w:eastAsia="Calibri"/>
                <w:sz w:val="24"/>
              </w:rPr>
              <w:t>Price Index Developers—identify assessed index price vs. calculated</w:t>
            </w:r>
          </w:p>
        </w:tc>
        <w:tc>
          <w:tcPr>
            <w:tcW w:w="827" w:type="pct"/>
          </w:tcPr>
          <w:p w:rsidR="00833078" w:rsidRPr="549EAD48" w:rsidP="549EAD48" w14:paraId="387045DE" w14:textId="27A70F64">
            <w:pPr>
              <w:jc w:val="right"/>
              <w:rPr>
                <w:rFonts w:eastAsia="Calibri"/>
                <w:sz w:val="24"/>
              </w:rPr>
            </w:pPr>
            <w:r>
              <w:rPr>
                <w:rFonts w:eastAsia="Calibri"/>
                <w:sz w:val="24"/>
              </w:rPr>
              <w:t>6</w:t>
            </w:r>
          </w:p>
        </w:tc>
        <w:tc>
          <w:tcPr>
            <w:tcW w:w="747" w:type="pct"/>
          </w:tcPr>
          <w:p w:rsidR="00833078" w:rsidRPr="549EAD48" w:rsidP="549EAD48" w14:paraId="46351FE7" w14:textId="2780F439">
            <w:pPr>
              <w:jc w:val="right"/>
              <w:rPr>
                <w:rFonts w:eastAsia="Calibri"/>
                <w:sz w:val="24"/>
              </w:rPr>
            </w:pPr>
            <w:r>
              <w:rPr>
                <w:rFonts w:eastAsia="Calibri"/>
                <w:sz w:val="24"/>
              </w:rPr>
              <w:t>1</w:t>
            </w:r>
          </w:p>
        </w:tc>
        <w:tc>
          <w:tcPr>
            <w:tcW w:w="703" w:type="pct"/>
          </w:tcPr>
          <w:p w:rsidR="00833078" w:rsidRPr="549EAD48" w:rsidP="549EAD48" w14:paraId="7F15BAFA" w14:textId="1CAA1DB5">
            <w:pPr>
              <w:jc w:val="right"/>
              <w:rPr>
                <w:rFonts w:eastAsia="Calibri"/>
                <w:sz w:val="24"/>
              </w:rPr>
            </w:pPr>
            <w:r>
              <w:rPr>
                <w:rFonts w:eastAsia="Calibri"/>
                <w:sz w:val="24"/>
              </w:rPr>
              <w:t>6</w:t>
            </w:r>
          </w:p>
        </w:tc>
        <w:tc>
          <w:tcPr>
            <w:tcW w:w="654" w:type="pct"/>
          </w:tcPr>
          <w:p w:rsidR="00833078" w:rsidP="549EAD48" w14:paraId="3FE94B16" w14:textId="77777777">
            <w:pPr>
              <w:jc w:val="right"/>
              <w:rPr>
                <w:rFonts w:eastAsia="Calibri"/>
                <w:sz w:val="24"/>
              </w:rPr>
            </w:pPr>
            <w:r>
              <w:rPr>
                <w:rFonts w:eastAsia="Calibri"/>
                <w:sz w:val="24"/>
              </w:rPr>
              <w:t>80 hrs.;</w:t>
            </w:r>
          </w:p>
          <w:p w:rsidR="002B2DF8" w:rsidRPr="549EAD48" w:rsidP="549EAD48" w14:paraId="7FB315C2" w14:textId="494466A8">
            <w:pPr>
              <w:jc w:val="right"/>
              <w:rPr>
                <w:rFonts w:eastAsia="Calibri"/>
                <w:sz w:val="24"/>
              </w:rPr>
            </w:pPr>
            <w:r>
              <w:rPr>
                <w:rFonts w:eastAsia="Calibri"/>
                <w:sz w:val="24"/>
              </w:rPr>
              <w:t>$</w:t>
            </w:r>
            <w:r w:rsidRPr="002B2DF8">
              <w:rPr>
                <w:rFonts w:eastAsia="Calibri"/>
                <w:sz w:val="24"/>
              </w:rPr>
              <w:t>8,240</w:t>
            </w:r>
          </w:p>
        </w:tc>
        <w:tc>
          <w:tcPr>
            <w:tcW w:w="707" w:type="pct"/>
          </w:tcPr>
          <w:p w:rsidR="00833078" w:rsidP="549EAD48" w14:paraId="64E5B2E1" w14:textId="77777777">
            <w:pPr>
              <w:jc w:val="right"/>
              <w:rPr>
                <w:rFonts w:eastAsia="Calibri"/>
                <w:sz w:val="24"/>
              </w:rPr>
            </w:pPr>
            <w:r>
              <w:rPr>
                <w:rFonts w:eastAsia="Calibri"/>
                <w:sz w:val="24"/>
              </w:rPr>
              <w:t>480 hrs.;</w:t>
            </w:r>
          </w:p>
          <w:p w:rsidR="002B2DF8" w:rsidRPr="549EAD48" w:rsidP="549EAD48" w14:paraId="1456A6F2" w14:textId="7ACAFC06">
            <w:pPr>
              <w:jc w:val="right"/>
              <w:rPr>
                <w:rFonts w:eastAsia="Calibri"/>
                <w:sz w:val="24"/>
              </w:rPr>
            </w:pPr>
            <w:r>
              <w:rPr>
                <w:rFonts w:eastAsia="Calibri"/>
                <w:sz w:val="24"/>
              </w:rPr>
              <w:t>$</w:t>
            </w:r>
            <w:r w:rsidRPr="002B2DF8">
              <w:rPr>
                <w:rFonts w:eastAsia="Calibri"/>
                <w:sz w:val="24"/>
              </w:rPr>
              <w:t>49,440</w:t>
            </w:r>
          </w:p>
        </w:tc>
        <w:tc>
          <w:tcPr>
            <w:tcW w:w="565" w:type="pct"/>
          </w:tcPr>
          <w:p w:rsidR="00833078" w:rsidP="549EAD48" w14:paraId="5B4F41F1" w14:textId="46F49E65">
            <w:pPr>
              <w:jc w:val="right"/>
              <w:rPr>
                <w:rFonts w:eastAsia="Calibri"/>
                <w:sz w:val="24"/>
              </w:rPr>
            </w:pPr>
            <w:r>
              <w:rPr>
                <w:rFonts w:eastAsia="Calibri"/>
                <w:sz w:val="24"/>
              </w:rPr>
              <w:t>$</w:t>
            </w:r>
            <w:r w:rsidRPr="007F699D">
              <w:rPr>
                <w:rFonts w:eastAsia="Calibri"/>
                <w:sz w:val="24"/>
              </w:rPr>
              <w:t>8,240</w:t>
            </w:r>
          </w:p>
        </w:tc>
      </w:tr>
      <w:tr w14:paraId="2C8EF92A" w14:textId="77777777" w:rsidTr="6C569DCD">
        <w:tblPrEx>
          <w:tblW w:w="5358" w:type="pct"/>
          <w:tblInd w:w="-72" w:type="dxa"/>
          <w:tblLayout w:type="fixed"/>
          <w:tblLook w:val="01E0"/>
        </w:tblPrEx>
        <w:trPr>
          <w:cantSplit/>
        </w:trPr>
        <w:tc>
          <w:tcPr>
            <w:tcW w:w="797" w:type="pct"/>
          </w:tcPr>
          <w:p w:rsidR="00833078" w:rsidP="549EAD48" w14:paraId="1D97440F" w14:textId="23EAA016">
            <w:pPr>
              <w:rPr>
                <w:rFonts w:eastAsia="Calibri"/>
                <w:sz w:val="24"/>
              </w:rPr>
            </w:pPr>
            <w:r w:rsidRPr="00267615">
              <w:rPr>
                <w:rFonts w:eastAsia="Calibri"/>
                <w:sz w:val="24"/>
              </w:rPr>
              <w:t>Price Index Developers—re-certify every 7 yrs.</w:t>
            </w:r>
          </w:p>
        </w:tc>
        <w:tc>
          <w:tcPr>
            <w:tcW w:w="827" w:type="pct"/>
          </w:tcPr>
          <w:p w:rsidR="00833078" w:rsidRPr="549EAD48" w:rsidP="549EAD48" w14:paraId="4F1AB084" w14:textId="556E5B81">
            <w:pPr>
              <w:jc w:val="right"/>
              <w:rPr>
                <w:rFonts w:eastAsia="Calibri"/>
                <w:sz w:val="24"/>
              </w:rPr>
            </w:pPr>
            <w:r>
              <w:rPr>
                <w:rFonts w:eastAsia="Calibri"/>
                <w:sz w:val="24"/>
              </w:rPr>
              <w:t>6</w:t>
            </w:r>
          </w:p>
        </w:tc>
        <w:tc>
          <w:tcPr>
            <w:tcW w:w="747" w:type="pct"/>
          </w:tcPr>
          <w:p w:rsidR="00833078" w:rsidRPr="549EAD48" w:rsidP="549EAD48" w14:paraId="4DF29337" w14:textId="003167AE">
            <w:pPr>
              <w:jc w:val="right"/>
              <w:rPr>
                <w:rFonts w:eastAsia="Calibri"/>
                <w:sz w:val="24"/>
              </w:rPr>
            </w:pPr>
            <w:r>
              <w:rPr>
                <w:rFonts w:eastAsia="Calibri"/>
                <w:sz w:val="24"/>
              </w:rPr>
              <w:t>.14</w:t>
            </w:r>
          </w:p>
        </w:tc>
        <w:tc>
          <w:tcPr>
            <w:tcW w:w="703" w:type="pct"/>
          </w:tcPr>
          <w:p w:rsidR="00833078" w:rsidRPr="549EAD48" w:rsidP="549EAD48" w14:paraId="6E0687F5" w14:textId="09ECFE26">
            <w:pPr>
              <w:jc w:val="right"/>
              <w:rPr>
                <w:rFonts w:eastAsia="Calibri"/>
                <w:sz w:val="24"/>
              </w:rPr>
            </w:pPr>
            <w:r>
              <w:rPr>
                <w:rFonts w:eastAsia="Calibri"/>
                <w:sz w:val="24"/>
              </w:rPr>
              <w:t>1</w:t>
            </w:r>
          </w:p>
        </w:tc>
        <w:tc>
          <w:tcPr>
            <w:tcW w:w="654" w:type="pct"/>
          </w:tcPr>
          <w:p w:rsidR="00833078" w:rsidP="549EAD48" w14:paraId="3A6310C8" w14:textId="77777777">
            <w:pPr>
              <w:jc w:val="right"/>
              <w:rPr>
                <w:rFonts w:eastAsia="Calibri"/>
                <w:sz w:val="24"/>
              </w:rPr>
            </w:pPr>
            <w:r>
              <w:rPr>
                <w:rFonts w:eastAsia="Calibri"/>
                <w:sz w:val="24"/>
              </w:rPr>
              <w:t>26</w:t>
            </w:r>
            <w:r w:rsidR="00390156">
              <w:rPr>
                <w:rFonts w:eastAsia="Calibri"/>
                <w:sz w:val="24"/>
              </w:rPr>
              <w:t>9</w:t>
            </w:r>
            <w:r>
              <w:rPr>
                <w:rFonts w:eastAsia="Calibri"/>
                <w:sz w:val="24"/>
              </w:rPr>
              <w:t xml:space="preserve"> hrs.;</w:t>
            </w:r>
          </w:p>
          <w:p w:rsidR="002B2DF8" w:rsidRPr="549EAD48" w:rsidP="549EAD48" w14:paraId="0B9AC030" w14:textId="756121C0">
            <w:pPr>
              <w:jc w:val="right"/>
              <w:rPr>
                <w:rFonts w:eastAsia="Calibri"/>
                <w:sz w:val="24"/>
              </w:rPr>
            </w:pPr>
            <w:r>
              <w:rPr>
                <w:rFonts w:eastAsia="Calibri"/>
                <w:sz w:val="24"/>
              </w:rPr>
              <w:t>$</w:t>
            </w:r>
            <w:r w:rsidRPr="002B2DF8">
              <w:rPr>
                <w:rFonts w:eastAsia="Calibri"/>
                <w:sz w:val="24"/>
              </w:rPr>
              <w:t>27,707</w:t>
            </w:r>
          </w:p>
        </w:tc>
        <w:tc>
          <w:tcPr>
            <w:tcW w:w="707" w:type="pct"/>
          </w:tcPr>
          <w:p w:rsidR="00833078" w:rsidP="549EAD48" w14:paraId="6113B171" w14:textId="77777777">
            <w:pPr>
              <w:jc w:val="right"/>
              <w:rPr>
                <w:rFonts w:eastAsia="Calibri"/>
                <w:sz w:val="24"/>
              </w:rPr>
            </w:pPr>
            <w:r>
              <w:rPr>
                <w:rFonts w:eastAsia="Calibri"/>
                <w:sz w:val="24"/>
              </w:rPr>
              <w:t>269</w:t>
            </w:r>
            <w:r w:rsidR="00D33231">
              <w:rPr>
                <w:rFonts w:eastAsia="Calibri"/>
                <w:sz w:val="24"/>
              </w:rPr>
              <w:t xml:space="preserve"> hrs.;</w:t>
            </w:r>
          </w:p>
          <w:p w:rsidR="002B2DF8" w:rsidRPr="549EAD48" w:rsidP="549EAD48" w14:paraId="4ACBA06B" w14:textId="4B83EFF3">
            <w:pPr>
              <w:jc w:val="right"/>
              <w:rPr>
                <w:rFonts w:eastAsia="Calibri"/>
                <w:sz w:val="24"/>
              </w:rPr>
            </w:pPr>
            <w:r>
              <w:rPr>
                <w:rFonts w:eastAsia="Calibri"/>
                <w:sz w:val="24"/>
              </w:rPr>
              <w:t>$</w:t>
            </w:r>
            <w:r w:rsidRPr="002B2DF8">
              <w:rPr>
                <w:rFonts w:eastAsia="Calibri"/>
                <w:sz w:val="24"/>
              </w:rPr>
              <w:t>27,707</w:t>
            </w:r>
          </w:p>
        </w:tc>
        <w:tc>
          <w:tcPr>
            <w:tcW w:w="565" w:type="pct"/>
          </w:tcPr>
          <w:p w:rsidR="00833078" w:rsidP="549EAD48" w14:paraId="00D5FE72" w14:textId="2DF41FE0">
            <w:pPr>
              <w:jc w:val="right"/>
              <w:rPr>
                <w:rFonts w:eastAsia="Calibri"/>
                <w:sz w:val="24"/>
              </w:rPr>
            </w:pPr>
            <w:r>
              <w:rPr>
                <w:rFonts w:eastAsia="Calibri"/>
                <w:sz w:val="24"/>
              </w:rPr>
              <w:t>$</w:t>
            </w:r>
            <w:r w:rsidRPr="001B653B">
              <w:rPr>
                <w:rFonts w:eastAsia="Calibri"/>
                <w:sz w:val="24"/>
              </w:rPr>
              <w:t>4,61</w:t>
            </w:r>
            <w:r>
              <w:rPr>
                <w:rFonts w:eastAsia="Calibri"/>
                <w:sz w:val="24"/>
              </w:rPr>
              <w:t>8</w:t>
            </w:r>
          </w:p>
        </w:tc>
      </w:tr>
      <w:tr w14:paraId="3FE15F5C" w14:textId="77777777" w:rsidTr="6C569DCD">
        <w:tblPrEx>
          <w:tblW w:w="5358" w:type="pct"/>
          <w:tblInd w:w="-72" w:type="dxa"/>
          <w:tblLayout w:type="fixed"/>
          <w:tblLook w:val="01E0"/>
        </w:tblPrEx>
        <w:trPr>
          <w:cantSplit/>
          <w:trHeight w:val="485"/>
        </w:trPr>
        <w:tc>
          <w:tcPr>
            <w:tcW w:w="797" w:type="pct"/>
            <w:tcBorders>
              <w:bottom w:val="single" w:sz="4" w:space="0" w:color="auto"/>
            </w:tcBorders>
          </w:tcPr>
          <w:p w:rsidR="00696A1D" w:rsidRPr="006A60CF" w:rsidP="549EAD48" w14:paraId="776B7BFD" w14:textId="156F9E54">
            <w:pPr>
              <w:rPr>
                <w:rFonts w:eastAsia="Calibri"/>
                <w:b/>
                <w:bCs/>
                <w:sz w:val="24"/>
              </w:rPr>
            </w:pPr>
            <w:r w:rsidRPr="549EAD48">
              <w:rPr>
                <w:rFonts w:eastAsia="Calibri"/>
                <w:b/>
                <w:bCs/>
                <w:sz w:val="24"/>
              </w:rPr>
              <w:t>TOTAL</w:t>
            </w:r>
            <w:r w:rsidR="00D33231">
              <w:rPr>
                <w:rFonts w:eastAsia="Calibri"/>
                <w:b/>
                <w:bCs/>
                <w:sz w:val="24"/>
              </w:rPr>
              <w:t xml:space="preserve"> </w:t>
            </w:r>
            <w:r w:rsidR="008109F5">
              <w:rPr>
                <w:rFonts w:eastAsia="Calibri"/>
                <w:b/>
                <w:bCs/>
                <w:sz w:val="24"/>
              </w:rPr>
              <w:t>FERC 549E</w:t>
            </w:r>
          </w:p>
        </w:tc>
        <w:tc>
          <w:tcPr>
            <w:tcW w:w="1574" w:type="pct"/>
            <w:gridSpan w:val="2"/>
            <w:tcBorders>
              <w:bottom w:val="single" w:sz="4" w:space="0" w:color="auto"/>
            </w:tcBorders>
            <w:shd w:val="clear" w:color="auto" w:fill="D9D9D9" w:themeFill="background1" w:themeFillShade="D9"/>
          </w:tcPr>
          <w:p w:rsidR="00696A1D" w:rsidRPr="006A60CF" w:rsidP="549EAD48" w14:paraId="71808C72" w14:textId="77777777">
            <w:pPr>
              <w:jc w:val="right"/>
              <w:rPr>
                <w:rFonts w:eastAsia="Calibri"/>
                <w:sz w:val="24"/>
              </w:rPr>
            </w:pPr>
          </w:p>
        </w:tc>
        <w:tc>
          <w:tcPr>
            <w:tcW w:w="703" w:type="pct"/>
            <w:tcBorders>
              <w:bottom w:val="single" w:sz="4" w:space="0" w:color="auto"/>
            </w:tcBorders>
          </w:tcPr>
          <w:p w:rsidR="00696A1D" w:rsidRPr="006A60CF" w:rsidP="549EAD48" w14:paraId="6B98F536" w14:textId="684F0273">
            <w:pPr>
              <w:jc w:val="right"/>
              <w:rPr>
                <w:rFonts w:eastAsia="Calibri"/>
                <w:b/>
                <w:bCs/>
                <w:sz w:val="24"/>
              </w:rPr>
            </w:pPr>
            <w:r w:rsidRPr="003210A2">
              <w:rPr>
                <w:rFonts w:eastAsia="Calibri"/>
                <w:b/>
                <w:bCs/>
                <w:sz w:val="24"/>
              </w:rPr>
              <w:t>19,825</w:t>
            </w:r>
          </w:p>
        </w:tc>
        <w:tc>
          <w:tcPr>
            <w:tcW w:w="654" w:type="pct"/>
            <w:tcBorders>
              <w:bottom w:val="single" w:sz="4" w:space="0" w:color="auto"/>
            </w:tcBorders>
            <w:shd w:val="clear" w:color="auto" w:fill="D9D9D9" w:themeFill="background1" w:themeFillShade="D9"/>
          </w:tcPr>
          <w:p w:rsidR="00696A1D" w:rsidRPr="006A60CF" w:rsidP="549EAD48" w14:paraId="660405F0" w14:textId="77777777">
            <w:pPr>
              <w:jc w:val="right"/>
              <w:rPr>
                <w:rFonts w:eastAsia="Calibri"/>
                <w:sz w:val="24"/>
              </w:rPr>
            </w:pPr>
          </w:p>
        </w:tc>
        <w:tc>
          <w:tcPr>
            <w:tcW w:w="707" w:type="pct"/>
            <w:tcBorders>
              <w:bottom w:val="single" w:sz="4" w:space="0" w:color="auto"/>
            </w:tcBorders>
          </w:tcPr>
          <w:p w:rsidR="00696A1D" w:rsidRPr="006A60CF" w:rsidP="0015146E" w14:paraId="4364A2A0" w14:textId="282DC9FB">
            <w:pPr>
              <w:jc w:val="right"/>
              <w:rPr>
                <w:rFonts w:eastAsia="Calibri"/>
                <w:b/>
                <w:bCs/>
                <w:sz w:val="24"/>
              </w:rPr>
            </w:pPr>
            <w:r w:rsidRPr="003210A2">
              <w:rPr>
                <w:rFonts w:eastAsia="Calibri"/>
                <w:b/>
                <w:bCs/>
                <w:sz w:val="24"/>
              </w:rPr>
              <w:t>84,125</w:t>
            </w:r>
          </w:p>
          <w:p w:rsidR="00696A1D" w:rsidRPr="006A60CF" w:rsidP="549EAD48" w14:paraId="06BFB72F" w14:textId="7FAA7008">
            <w:pPr>
              <w:jc w:val="right"/>
              <w:rPr>
                <w:rFonts w:eastAsia="Calibri"/>
                <w:b/>
                <w:bCs/>
                <w:sz w:val="24"/>
              </w:rPr>
            </w:pPr>
            <w:r w:rsidRPr="549EAD48">
              <w:rPr>
                <w:rFonts w:eastAsia="Calibri"/>
                <w:b/>
                <w:bCs/>
                <w:sz w:val="24"/>
              </w:rPr>
              <w:t>$</w:t>
            </w:r>
            <w:r w:rsidRPr="00585A00" w:rsidR="00585A00">
              <w:rPr>
                <w:rFonts w:eastAsia="Calibri"/>
                <w:b/>
                <w:bCs/>
                <w:sz w:val="24"/>
              </w:rPr>
              <w:t>8,664,875</w:t>
            </w:r>
          </w:p>
        </w:tc>
        <w:tc>
          <w:tcPr>
            <w:tcW w:w="565" w:type="pct"/>
            <w:tcBorders>
              <w:bottom w:val="single" w:sz="4" w:space="0" w:color="auto"/>
            </w:tcBorders>
          </w:tcPr>
          <w:p w:rsidR="00696A1D" w:rsidRPr="006A60CF" w:rsidP="549EAD48" w14:paraId="03E33E80" w14:textId="4898D88B">
            <w:pPr>
              <w:jc w:val="right"/>
              <w:rPr>
                <w:rFonts w:eastAsia="Calibri"/>
                <w:b/>
                <w:bCs/>
                <w:sz w:val="24"/>
              </w:rPr>
            </w:pPr>
            <w:r w:rsidRPr="549EAD48">
              <w:rPr>
                <w:rFonts w:eastAsia="Calibri"/>
                <w:b/>
                <w:bCs/>
                <w:sz w:val="24"/>
              </w:rPr>
              <w:t>$</w:t>
            </w:r>
            <w:r w:rsidRPr="00175A8F" w:rsidR="00175A8F">
              <w:rPr>
                <w:rFonts w:eastAsia="Calibri"/>
                <w:b/>
                <w:bCs/>
                <w:sz w:val="24"/>
              </w:rPr>
              <w:t>132,750</w:t>
            </w:r>
          </w:p>
        </w:tc>
      </w:tr>
    </w:tbl>
    <w:p w:rsidR="00F86890" w:rsidP="549EAD48" w14:paraId="4414225D" w14:textId="77777777">
      <w:pPr>
        <w:spacing w:line="480" w:lineRule="auto"/>
        <w:rPr>
          <w:sz w:val="24"/>
        </w:rPr>
      </w:pPr>
    </w:p>
    <w:p w:rsidR="008B62FD" w:rsidRPr="00E66357" w:rsidP="549EAD48" w14:paraId="26134D70" w14:textId="70558BF4">
      <w:pPr>
        <w:spacing w:line="480" w:lineRule="auto"/>
        <w:rPr>
          <w:b/>
          <w:bCs/>
          <w:sz w:val="24"/>
        </w:rPr>
      </w:pPr>
      <w:r w:rsidRPr="00E66357">
        <w:rPr>
          <w:b/>
          <w:bCs/>
          <w:sz w:val="24"/>
        </w:rPr>
        <w:t xml:space="preserve">Comments </w:t>
      </w:r>
      <w:r w:rsidRPr="008B62FD">
        <w:rPr>
          <w:b/>
          <w:bCs/>
          <w:sz w:val="24"/>
        </w:rPr>
        <w:t>Received</w:t>
      </w:r>
      <w:r w:rsidRPr="00E66357">
        <w:rPr>
          <w:b/>
          <w:bCs/>
          <w:sz w:val="24"/>
        </w:rPr>
        <w:t xml:space="preserve"> on 60 Day Comment Period</w:t>
      </w:r>
    </w:p>
    <w:p w:rsidR="00FC1ABD" w:rsidRPr="008F40FB" w:rsidP="00D1278A" w14:paraId="7FAFCA16" w14:textId="75462641">
      <w:pPr>
        <w:spacing w:line="480" w:lineRule="auto"/>
        <w:ind w:firstLine="720"/>
        <w:rPr>
          <w:sz w:val="24"/>
        </w:rPr>
      </w:pPr>
      <w:r>
        <w:rPr>
          <w:sz w:val="24"/>
        </w:rPr>
        <w:t>T</w:t>
      </w:r>
      <w:r w:rsidRPr="008F40FB" w:rsidR="00593D00">
        <w:rPr>
          <w:sz w:val="24"/>
        </w:rPr>
        <w:t xml:space="preserve">he Commission received one comment from </w:t>
      </w:r>
      <w:r w:rsidRPr="008F40FB" w:rsidR="000E4645">
        <w:rPr>
          <w:sz w:val="24"/>
        </w:rPr>
        <w:t>Public Citizen, Inc</w:t>
      </w:r>
      <w:r>
        <w:rPr>
          <w:sz w:val="24"/>
        </w:rPr>
        <w:t>.</w:t>
      </w:r>
      <w:r w:rsidRPr="008F40FB" w:rsidR="000E4645">
        <w:rPr>
          <w:sz w:val="24"/>
        </w:rPr>
        <w:t xml:space="preserve"> </w:t>
      </w:r>
      <w:r>
        <w:rPr>
          <w:sz w:val="24"/>
        </w:rPr>
        <w:t xml:space="preserve">(Public Citizen) </w:t>
      </w:r>
      <w:r w:rsidRPr="008F40FB" w:rsidR="000E4645">
        <w:rPr>
          <w:sz w:val="24"/>
        </w:rPr>
        <w:t>regarding FERC-552 and FERC-549</w:t>
      </w:r>
      <w:r w:rsidR="00D52296">
        <w:rPr>
          <w:sz w:val="24"/>
        </w:rPr>
        <w:t>E</w:t>
      </w:r>
      <w:r w:rsidRPr="008F40FB" w:rsidR="000E4645">
        <w:rPr>
          <w:sz w:val="24"/>
        </w:rPr>
        <w:t xml:space="preserve">. </w:t>
      </w:r>
      <w:r>
        <w:rPr>
          <w:sz w:val="24"/>
        </w:rPr>
        <w:t xml:space="preserve"> Public Citizen</w:t>
      </w:r>
      <w:r w:rsidRPr="008F40FB" w:rsidR="00C67FF7">
        <w:rPr>
          <w:sz w:val="24"/>
        </w:rPr>
        <w:t xml:space="preserve"> </w:t>
      </w:r>
      <w:r w:rsidR="002E1AFD">
        <w:rPr>
          <w:sz w:val="24"/>
        </w:rPr>
        <w:t>suggests</w:t>
      </w:r>
      <w:r w:rsidRPr="008F40FB" w:rsidR="00D1278A">
        <w:rPr>
          <w:sz w:val="24"/>
        </w:rPr>
        <w:t xml:space="preserve"> </w:t>
      </w:r>
      <w:r>
        <w:rPr>
          <w:sz w:val="24"/>
        </w:rPr>
        <w:t>what it describes as “needed enhancements” to</w:t>
      </w:r>
      <w:r w:rsidRPr="008F40FB" w:rsidR="00D1278A">
        <w:rPr>
          <w:sz w:val="24"/>
        </w:rPr>
        <w:t xml:space="preserve"> </w:t>
      </w:r>
      <w:r w:rsidRPr="008F40FB">
        <w:rPr>
          <w:sz w:val="24"/>
        </w:rPr>
        <w:t>reporting under FERC</w:t>
      </w:r>
      <w:r>
        <w:rPr>
          <w:sz w:val="24"/>
        </w:rPr>
        <w:t>-</w:t>
      </w:r>
      <w:r w:rsidRPr="008F40FB">
        <w:rPr>
          <w:sz w:val="24"/>
        </w:rPr>
        <w:t xml:space="preserve">552 and </w:t>
      </w:r>
      <w:r>
        <w:rPr>
          <w:sz w:val="24"/>
        </w:rPr>
        <w:t>FERC-</w:t>
      </w:r>
      <w:r w:rsidRPr="008F40FB">
        <w:rPr>
          <w:sz w:val="24"/>
        </w:rPr>
        <w:t>549</w:t>
      </w:r>
      <w:r w:rsidR="00D52296">
        <w:rPr>
          <w:sz w:val="24"/>
        </w:rPr>
        <w:t>E</w:t>
      </w:r>
      <w:r w:rsidRPr="008F40FB">
        <w:rPr>
          <w:sz w:val="24"/>
        </w:rPr>
        <w:t xml:space="preserve"> to address </w:t>
      </w:r>
      <w:r w:rsidRPr="008F40FB" w:rsidR="00980038">
        <w:rPr>
          <w:sz w:val="24"/>
        </w:rPr>
        <w:t xml:space="preserve">increasing </w:t>
      </w:r>
      <w:r w:rsidRPr="008F40FB">
        <w:rPr>
          <w:sz w:val="24"/>
        </w:rPr>
        <w:t>price volatility</w:t>
      </w:r>
      <w:r w:rsidRPr="008F40FB" w:rsidR="00980038">
        <w:rPr>
          <w:sz w:val="24"/>
        </w:rPr>
        <w:t xml:space="preserve">. </w:t>
      </w:r>
      <w:r>
        <w:rPr>
          <w:sz w:val="24"/>
        </w:rPr>
        <w:t xml:space="preserve"> Public Citizen</w:t>
      </w:r>
      <w:r w:rsidRPr="008F40FB" w:rsidR="001C36DE">
        <w:rPr>
          <w:sz w:val="24"/>
        </w:rPr>
        <w:t xml:space="preserve"> proposes</w:t>
      </w:r>
      <w:r w:rsidR="00CC24A7">
        <w:rPr>
          <w:sz w:val="24"/>
        </w:rPr>
        <w:t xml:space="preserve"> </w:t>
      </w:r>
      <w:r w:rsidRPr="008F40FB" w:rsidR="00C23A44">
        <w:rPr>
          <w:sz w:val="24"/>
        </w:rPr>
        <w:t>revisions</w:t>
      </w:r>
      <w:r w:rsidR="002E1AFD">
        <w:rPr>
          <w:sz w:val="24"/>
        </w:rPr>
        <w:t xml:space="preserve"> to the </w:t>
      </w:r>
      <w:r>
        <w:rPr>
          <w:sz w:val="24"/>
        </w:rPr>
        <w:t>FERC-</w:t>
      </w:r>
      <w:r w:rsidR="002E1AFD">
        <w:rPr>
          <w:sz w:val="24"/>
        </w:rPr>
        <w:t>552</w:t>
      </w:r>
      <w:r w:rsidRPr="008F40FB" w:rsidR="00C23A44">
        <w:rPr>
          <w:sz w:val="24"/>
        </w:rPr>
        <w:t xml:space="preserve"> </w:t>
      </w:r>
      <w:r w:rsidR="00035E63">
        <w:rPr>
          <w:sz w:val="24"/>
        </w:rPr>
        <w:t xml:space="preserve">to increase </w:t>
      </w:r>
      <w:r w:rsidR="00137AFC">
        <w:rPr>
          <w:sz w:val="24"/>
        </w:rPr>
        <w:t xml:space="preserve">transparency into </w:t>
      </w:r>
      <w:r w:rsidR="004E4790">
        <w:rPr>
          <w:sz w:val="24"/>
        </w:rPr>
        <w:t xml:space="preserve">the </w:t>
      </w:r>
      <w:r w:rsidR="00137AFC">
        <w:rPr>
          <w:sz w:val="24"/>
        </w:rPr>
        <w:t>natural gas price index formation</w:t>
      </w:r>
      <w:r w:rsidR="004E4790">
        <w:rPr>
          <w:sz w:val="24"/>
        </w:rPr>
        <w:t xml:space="preserve"> process</w:t>
      </w:r>
      <w:r w:rsidRPr="008F40FB" w:rsidR="000E7AA1">
        <w:rPr>
          <w:sz w:val="24"/>
        </w:rPr>
        <w:t>.</w:t>
      </w:r>
      <w:r w:rsidRPr="008F40FB">
        <w:rPr>
          <w:sz w:val="24"/>
        </w:rPr>
        <w:t xml:space="preserve"> </w:t>
      </w:r>
      <w:r w:rsidR="00736B1B">
        <w:rPr>
          <w:sz w:val="24"/>
        </w:rPr>
        <w:t xml:space="preserve"> </w:t>
      </w:r>
      <w:r>
        <w:rPr>
          <w:sz w:val="24"/>
        </w:rPr>
        <w:t xml:space="preserve">Specifically, </w:t>
      </w:r>
      <w:r w:rsidRPr="008F40FB" w:rsidR="000E7AA1">
        <w:rPr>
          <w:sz w:val="24"/>
        </w:rPr>
        <w:t>Public Citizen</w:t>
      </w:r>
      <w:r w:rsidRPr="008F40FB">
        <w:rPr>
          <w:sz w:val="24"/>
        </w:rPr>
        <w:t xml:space="preserve"> recommends</w:t>
      </w:r>
      <w:r>
        <w:rPr>
          <w:sz w:val="24"/>
        </w:rPr>
        <w:t xml:space="preserve"> that the Commission</w:t>
      </w:r>
      <w:r w:rsidRPr="008F40FB" w:rsidR="000E7AA1">
        <w:rPr>
          <w:sz w:val="24"/>
        </w:rPr>
        <w:t xml:space="preserve">: </w:t>
      </w:r>
      <w:r w:rsidRPr="008F40FB">
        <w:rPr>
          <w:sz w:val="24"/>
        </w:rPr>
        <w:t>shift from annual to quarterly reporting</w:t>
      </w:r>
      <w:r w:rsidRPr="008F40FB" w:rsidR="000E7AA1">
        <w:rPr>
          <w:sz w:val="24"/>
        </w:rPr>
        <w:t xml:space="preserve"> with </w:t>
      </w:r>
      <w:r w:rsidRPr="008F40FB">
        <w:rPr>
          <w:sz w:val="24"/>
        </w:rPr>
        <w:t>geographic hub-level data</w:t>
      </w:r>
      <w:r w:rsidR="0088503F">
        <w:rPr>
          <w:sz w:val="24"/>
        </w:rPr>
        <w:t>;</w:t>
      </w:r>
      <w:r w:rsidRPr="008F40FB">
        <w:rPr>
          <w:sz w:val="24"/>
        </w:rPr>
        <w:t xml:space="preserve"> requir</w:t>
      </w:r>
      <w:r>
        <w:rPr>
          <w:sz w:val="24"/>
        </w:rPr>
        <w:t>e</w:t>
      </w:r>
      <w:r w:rsidRPr="008F40FB">
        <w:rPr>
          <w:sz w:val="24"/>
        </w:rPr>
        <w:t xml:space="preserve"> respondents to clearly identify affiliates filing separate reports</w:t>
      </w:r>
      <w:r w:rsidR="0088503F">
        <w:rPr>
          <w:sz w:val="24"/>
        </w:rPr>
        <w:t>;</w:t>
      </w:r>
      <w:r w:rsidRPr="008F40FB">
        <w:rPr>
          <w:sz w:val="24"/>
        </w:rPr>
        <w:t xml:space="preserve"> and</w:t>
      </w:r>
      <w:r w:rsidRPr="008F40FB" w:rsidR="000E7AA1">
        <w:rPr>
          <w:sz w:val="24"/>
        </w:rPr>
        <w:t xml:space="preserve"> </w:t>
      </w:r>
      <w:r w:rsidRPr="008F40FB">
        <w:rPr>
          <w:sz w:val="24"/>
        </w:rPr>
        <w:t>creat</w:t>
      </w:r>
      <w:r w:rsidRPr="008F40FB" w:rsidR="000E7AA1">
        <w:rPr>
          <w:sz w:val="24"/>
        </w:rPr>
        <w:t xml:space="preserve">e </w:t>
      </w:r>
      <w:r w:rsidRPr="008F40FB">
        <w:rPr>
          <w:sz w:val="24"/>
        </w:rPr>
        <w:t>a publicly accessible electronic information system based on actual transactions</w:t>
      </w:r>
      <w:r w:rsidRPr="008F40FB" w:rsidR="000E7AA1">
        <w:rPr>
          <w:sz w:val="24"/>
        </w:rPr>
        <w:t>.</w:t>
      </w:r>
    </w:p>
    <w:p w:rsidR="00544E6A" w:rsidRPr="00544E6A" w:rsidP="118BF3F4" w14:paraId="60DA500F" w14:textId="1BB952C5">
      <w:pPr>
        <w:spacing w:line="480" w:lineRule="auto"/>
        <w:ind w:firstLine="720"/>
        <w:rPr>
          <w:b/>
          <w:bCs/>
          <w:sz w:val="24"/>
        </w:rPr>
      </w:pPr>
      <w:r w:rsidRPr="5C211313">
        <w:rPr>
          <w:sz w:val="24"/>
        </w:rPr>
        <w:t xml:space="preserve">The requirements </w:t>
      </w:r>
      <w:r w:rsidR="003D439A">
        <w:rPr>
          <w:sz w:val="24"/>
        </w:rPr>
        <w:t xml:space="preserve">related to the </w:t>
      </w:r>
      <w:r w:rsidRPr="5C211313">
        <w:rPr>
          <w:sz w:val="24"/>
        </w:rPr>
        <w:t xml:space="preserve">FERC-552 and FERC-549E </w:t>
      </w:r>
      <w:r w:rsidR="004B54B0">
        <w:rPr>
          <w:sz w:val="24"/>
        </w:rPr>
        <w:t xml:space="preserve">information collections </w:t>
      </w:r>
      <w:r w:rsidRPr="5C211313">
        <w:rPr>
          <w:sz w:val="24"/>
        </w:rPr>
        <w:t xml:space="preserve">are governed by 18 CFR 260.401 and </w:t>
      </w:r>
      <w:r w:rsidR="00165085">
        <w:rPr>
          <w:sz w:val="24"/>
        </w:rPr>
        <w:t>the</w:t>
      </w:r>
      <w:r w:rsidR="004A7A93">
        <w:rPr>
          <w:sz w:val="24"/>
        </w:rPr>
        <w:t xml:space="preserve"> </w:t>
      </w:r>
      <w:r w:rsidRPr="5C211313" w:rsidR="003C5FAA">
        <w:rPr>
          <w:sz w:val="24"/>
        </w:rPr>
        <w:t>Commission</w:t>
      </w:r>
      <w:r w:rsidR="004A7A93">
        <w:rPr>
          <w:sz w:val="24"/>
        </w:rPr>
        <w:t>’s Revised</w:t>
      </w:r>
      <w:r w:rsidRPr="5C211313" w:rsidR="003C5FAA">
        <w:rPr>
          <w:sz w:val="24"/>
        </w:rPr>
        <w:t xml:space="preserve"> </w:t>
      </w:r>
      <w:r w:rsidR="004A7A93">
        <w:rPr>
          <w:sz w:val="24"/>
        </w:rPr>
        <w:t>P</w:t>
      </w:r>
      <w:r w:rsidRPr="5C211313" w:rsidR="003C5FAA">
        <w:rPr>
          <w:sz w:val="24"/>
        </w:rPr>
        <w:t xml:space="preserve">olicy </w:t>
      </w:r>
      <w:r w:rsidR="004A7A93">
        <w:rPr>
          <w:sz w:val="24"/>
        </w:rPr>
        <w:t>S</w:t>
      </w:r>
      <w:r w:rsidRPr="5C211313" w:rsidR="003C5FAA">
        <w:rPr>
          <w:sz w:val="24"/>
        </w:rPr>
        <w:t>tatement</w:t>
      </w:r>
      <w:r w:rsidRPr="5C211313">
        <w:rPr>
          <w:sz w:val="24"/>
        </w:rPr>
        <w:t xml:space="preserve">, </w:t>
      </w:r>
      <w:r w:rsidRPr="5C211313" w:rsidR="00E66357">
        <w:rPr>
          <w:sz w:val="24"/>
        </w:rPr>
        <w:t xml:space="preserve">which include </w:t>
      </w:r>
      <w:r w:rsidRPr="5C211313">
        <w:rPr>
          <w:sz w:val="24"/>
        </w:rPr>
        <w:t>the frequency, content, scope, and availability of the collection</w:t>
      </w:r>
      <w:r w:rsidRPr="5C211313" w:rsidR="009428D9">
        <w:rPr>
          <w:sz w:val="24"/>
        </w:rPr>
        <w:t>s</w:t>
      </w:r>
      <w:r w:rsidRPr="5C211313">
        <w:rPr>
          <w:sz w:val="24"/>
        </w:rPr>
        <w:t>.</w:t>
      </w:r>
      <w:r>
        <w:rPr>
          <w:rStyle w:val="FootnoteReference"/>
        </w:rPr>
        <w:footnoteReference w:id="13"/>
      </w:r>
      <w:r w:rsidRPr="5C211313">
        <w:rPr>
          <w:sz w:val="24"/>
        </w:rPr>
        <w:t xml:space="preserve"> </w:t>
      </w:r>
      <w:r w:rsidR="00165085">
        <w:rPr>
          <w:sz w:val="24"/>
        </w:rPr>
        <w:t xml:space="preserve"> </w:t>
      </w:r>
      <w:r w:rsidR="00DC6605">
        <w:rPr>
          <w:sz w:val="24"/>
        </w:rPr>
        <w:t>In this information collection</w:t>
      </w:r>
      <w:r w:rsidR="003961CE">
        <w:rPr>
          <w:sz w:val="24"/>
        </w:rPr>
        <w:t xml:space="preserve"> renewal</w:t>
      </w:r>
      <w:r w:rsidR="00DC6605">
        <w:rPr>
          <w:sz w:val="24"/>
        </w:rPr>
        <w:t xml:space="preserve"> proceeding, the Commission</w:t>
      </w:r>
      <w:r w:rsidRPr="5C211313" w:rsidR="00F5118F">
        <w:rPr>
          <w:sz w:val="24"/>
        </w:rPr>
        <w:t xml:space="preserve"> is not currently considering changes to these regulations</w:t>
      </w:r>
      <w:r w:rsidR="009368B7">
        <w:rPr>
          <w:sz w:val="24"/>
        </w:rPr>
        <w:t xml:space="preserve"> or </w:t>
      </w:r>
      <w:r w:rsidR="003151D6">
        <w:rPr>
          <w:sz w:val="24"/>
        </w:rPr>
        <w:t xml:space="preserve">to </w:t>
      </w:r>
      <w:r w:rsidR="009368B7">
        <w:rPr>
          <w:sz w:val="24"/>
        </w:rPr>
        <w:t xml:space="preserve">the </w:t>
      </w:r>
      <w:r w:rsidR="00C33DE9">
        <w:rPr>
          <w:sz w:val="24"/>
        </w:rPr>
        <w:t>R</w:t>
      </w:r>
      <w:r w:rsidR="009368B7">
        <w:rPr>
          <w:sz w:val="24"/>
        </w:rPr>
        <w:t xml:space="preserve">evised </w:t>
      </w:r>
      <w:r w:rsidR="00C33DE9">
        <w:rPr>
          <w:sz w:val="24"/>
        </w:rPr>
        <w:t>P</w:t>
      </w:r>
      <w:r w:rsidR="009368B7">
        <w:rPr>
          <w:sz w:val="24"/>
        </w:rPr>
        <w:t xml:space="preserve">olicy </w:t>
      </w:r>
      <w:r w:rsidR="00C33DE9">
        <w:rPr>
          <w:sz w:val="24"/>
        </w:rPr>
        <w:t>S</w:t>
      </w:r>
      <w:r w:rsidR="009368B7">
        <w:rPr>
          <w:sz w:val="24"/>
        </w:rPr>
        <w:t>tatement</w:t>
      </w:r>
      <w:r w:rsidRPr="5C211313" w:rsidR="00F5118F">
        <w:rPr>
          <w:sz w:val="24"/>
        </w:rPr>
        <w:t xml:space="preserve">.  </w:t>
      </w:r>
      <w:r w:rsidR="009368B7">
        <w:rPr>
          <w:sz w:val="24"/>
        </w:rPr>
        <w:t xml:space="preserve">Because </w:t>
      </w:r>
      <w:r w:rsidRPr="5C211313">
        <w:rPr>
          <w:sz w:val="24"/>
        </w:rPr>
        <w:t xml:space="preserve">Public Citizen’s comment </w:t>
      </w:r>
      <w:r w:rsidR="00906F12">
        <w:rPr>
          <w:sz w:val="24"/>
        </w:rPr>
        <w:t xml:space="preserve">proposes changes to </w:t>
      </w:r>
      <w:r w:rsidRPr="5C211313">
        <w:rPr>
          <w:sz w:val="24"/>
        </w:rPr>
        <w:t>those regulations</w:t>
      </w:r>
      <w:r w:rsidRPr="5C211313" w:rsidR="009428D9">
        <w:rPr>
          <w:sz w:val="24"/>
        </w:rPr>
        <w:t xml:space="preserve"> and</w:t>
      </w:r>
      <w:r w:rsidR="00906F12">
        <w:rPr>
          <w:sz w:val="24"/>
        </w:rPr>
        <w:t>/or the</w:t>
      </w:r>
      <w:r w:rsidRPr="5C211313" w:rsidR="009428D9">
        <w:rPr>
          <w:sz w:val="24"/>
        </w:rPr>
        <w:t xml:space="preserve"> </w:t>
      </w:r>
      <w:r w:rsidR="00C33DE9">
        <w:rPr>
          <w:sz w:val="24"/>
        </w:rPr>
        <w:t>R</w:t>
      </w:r>
      <w:r w:rsidR="006E6911">
        <w:rPr>
          <w:sz w:val="24"/>
        </w:rPr>
        <w:t xml:space="preserve">evised </w:t>
      </w:r>
      <w:r w:rsidR="00C33DE9">
        <w:rPr>
          <w:sz w:val="24"/>
        </w:rPr>
        <w:t>P</w:t>
      </w:r>
      <w:r w:rsidRPr="5C211313" w:rsidR="009428D9">
        <w:rPr>
          <w:sz w:val="24"/>
        </w:rPr>
        <w:t xml:space="preserve">olicy </w:t>
      </w:r>
      <w:r w:rsidR="00C33DE9">
        <w:rPr>
          <w:sz w:val="24"/>
        </w:rPr>
        <w:t>S</w:t>
      </w:r>
      <w:r w:rsidRPr="5C211313" w:rsidR="009428D9">
        <w:rPr>
          <w:sz w:val="24"/>
        </w:rPr>
        <w:t>tatement</w:t>
      </w:r>
      <w:r w:rsidR="009368B7">
        <w:rPr>
          <w:sz w:val="24"/>
        </w:rPr>
        <w:t>, its comments</w:t>
      </w:r>
      <w:r w:rsidRPr="5C211313">
        <w:rPr>
          <w:sz w:val="24"/>
        </w:rPr>
        <w:t xml:space="preserve"> are outside of the scope of th</w:t>
      </w:r>
      <w:r w:rsidRPr="5C211313" w:rsidR="009428D9">
        <w:rPr>
          <w:sz w:val="24"/>
        </w:rPr>
        <w:t>is</w:t>
      </w:r>
      <w:r w:rsidRPr="5C211313">
        <w:rPr>
          <w:sz w:val="24"/>
        </w:rPr>
        <w:t xml:space="preserve"> </w:t>
      </w:r>
      <w:r w:rsidR="0015051B">
        <w:rPr>
          <w:sz w:val="24"/>
        </w:rPr>
        <w:t>i</w:t>
      </w:r>
      <w:r w:rsidRPr="5C211313">
        <w:rPr>
          <w:sz w:val="24"/>
        </w:rPr>
        <w:t xml:space="preserve">nformation </w:t>
      </w:r>
      <w:r w:rsidR="0015051B">
        <w:rPr>
          <w:sz w:val="24"/>
        </w:rPr>
        <w:t>c</w:t>
      </w:r>
      <w:r w:rsidRPr="5C211313">
        <w:rPr>
          <w:sz w:val="24"/>
        </w:rPr>
        <w:t xml:space="preserve">ollection renewal process. </w:t>
      </w:r>
      <w:r w:rsidR="00165085">
        <w:rPr>
          <w:sz w:val="24"/>
        </w:rPr>
        <w:t xml:space="preserve"> </w:t>
      </w:r>
    </w:p>
    <w:p w:rsidR="5C211313" w:rsidP="5C211313" w14:paraId="374E5622" w14:textId="692502EF">
      <w:pPr>
        <w:spacing w:line="480" w:lineRule="auto"/>
        <w:rPr>
          <w:b/>
          <w:bCs/>
          <w:sz w:val="24"/>
        </w:rPr>
      </w:pPr>
    </w:p>
    <w:p w:rsidR="00881391" w:rsidP="5C211313" w14:paraId="50652134" w14:textId="607CED1A">
      <w:pPr>
        <w:spacing w:line="480" w:lineRule="auto"/>
        <w:rPr>
          <w:b/>
          <w:bCs/>
          <w:sz w:val="24"/>
        </w:rPr>
      </w:pPr>
      <w:r w:rsidRPr="5C211313">
        <w:rPr>
          <w:b/>
          <w:bCs/>
          <w:sz w:val="24"/>
        </w:rPr>
        <w:t>30 Day Notice Comments</w:t>
      </w:r>
    </w:p>
    <w:p w:rsidR="00881391" w:rsidP="00881391" w14:paraId="3AC4E06B" w14:textId="69F4FD39">
      <w:pPr>
        <w:spacing w:line="480" w:lineRule="auto"/>
        <w:rPr>
          <w:sz w:val="24"/>
        </w:rPr>
      </w:pPr>
      <w:r w:rsidRPr="549EAD48">
        <w:rPr>
          <w:i/>
          <w:iCs/>
          <w:sz w:val="24"/>
        </w:rPr>
        <w:t xml:space="preserve">Comments:  </w:t>
      </w:r>
      <w:r w:rsidRPr="549EAD48">
        <w:rPr>
          <w:sz w:val="24"/>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w:t>
      </w:r>
      <w:r w:rsidR="004B54B0">
        <w:rPr>
          <w:sz w:val="24"/>
        </w:rPr>
        <w:t> </w:t>
      </w:r>
      <w:r w:rsidRPr="549EAD48">
        <w:rPr>
          <w:sz w:val="24"/>
        </w:rPr>
        <w:t xml:space="preserve">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81391" w:rsidRPr="00E66357" w:rsidP="549EAD48" w14:paraId="7FDDD92D" w14:textId="77777777">
      <w:pPr>
        <w:rPr>
          <w:b/>
          <w:bCs/>
          <w:sz w:val="24"/>
        </w:rPr>
      </w:pPr>
    </w:p>
    <w:p w:rsidR="0078241C" w:rsidP="00295D92" w14:paraId="7FE0FDE5" w14:textId="45F0B10B">
      <w:pPr>
        <w:rPr>
          <w:sz w:val="24"/>
        </w:rPr>
      </w:pPr>
    </w:p>
    <w:p w:rsidR="00295D92" w:rsidP="00295D92" w14:paraId="3FC83860" w14:textId="77777777">
      <w:pPr>
        <w:rPr>
          <w:sz w:val="24"/>
        </w:rPr>
      </w:pPr>
    </w:p>
    <w:p w:rsidR="00295D92" w:rsidP="00295D92" w14:paraId="0D592E0E" w14:textId="77777777">
      <w:pPr>
        <w:rPr>
          <w:sz w:val="24"/>
        </w:rPr>
      </w:pPr>
    </w:p>
    <w:p w:rsidR="00295D92" w:rsidP="00295D92" w14:paraId="6C4716E7" w14:textId="77777777">
      <w:pPr>
        <w:rPr>
          <w:sz w:val="24"/>
        </w:rPr>
      </w:pPr>
    </w:p>
    <w:p w:rsidR="00295D92" w:rsidRPr="00295D92" w:rsidP="00295D92" w14:paraId="769E0EFF" w14:textId="4E730466">
      <w:pPr>
        <w:ind w:firstLine="2606"/>
        <w:jc w:val="center"/>
      </w:pPr>
      <w:r w:rsidRPr="00295D92">
        <w:t>Debbie-Anne A. Reese,</w:t>
      </w:r>
    </w:p>
    <w:p w:rsidR="00295D92" w:rsidRPr="00295D92" w:rsidP="00295D92" w14:paraId="56EA79B7" w14:textId="2D7CA14F">
      <w:pPr>
        <w:ind w:firstLine="2606"/>
        <w:jc w:val="center"/>
      </w:pPr>
      <w:r w:rsidRPr="00295D92">
        <w:t>Secretary.</w:t>
      </w:r>
    </w:p>
    <w:p w:rsidR="00295D92" w:rsidP="00295D92" w14:paraId="2A1D43F6" w14:textId="77777777">
      <w:pPr>
        <w:rPr>
          <w:sz w:val="24"/>
        </w:rPr>
      </w:pPr>
    </w:p>
    <w:sectPr w:rsidSect="00EF5878">
      <w:headerReference w:type="even" r:id="rId16"/>
      <w:head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DC5" w14:paraId="538CB49F" w14:textId="77777777">
      <w:r>
        <w:separator/>
      </w:r>
    </w:p>
  </w:footnote>
  <w:footnote w:type="continuationSeparator" w:id="1">
    <w:p w:rsidR="00771DC5" w14:paraId="2F3A35DA" w14:textId="77777777">
      <w:r>
        <w:continuationSeparator/>
      </w:r>
    </w:p>
  </w:footnote>
  <w:footnote w:id="2">
    <w:p w:rsidR="00E228B6" w:rsidRPr="00AF7870" w:rsidP="00E228B6" w14:paraId="2EB9BE75" w14:textId="77777777">
      <w:pPr>
        <w:pStyle w:val="FootnoteText"/>
        <w:rPr>
          <w:sz w:val="20"/>
        </w:rPr>
      </w:pPr>
      <w:r w:rsidRPr="00AF7870">
        <w:rPr>
          <w:rStyle w:val="FootnoteReference"/>
          <w:sz w:val="20"/>
          <w:szCs w:val="20"/>
        </w:rPr>
        <w:footnoteRef/>
      </w:r>
      <w:r w:rsidRPr="00AF7870">
        <w:rPr>
          <w:b/>
          <w:sz w:val="20"/>
        </w:rPr>
        <w:t xml:space="preserve"> </w:t>
      </w:r>
      <w:r w:rsidRPr="00AF7870">
        <w:rPr>
          <w:sz w:val="20"/>
        </w:rPr>
        <w:t>FERC Form No. 552 is prescribed in 18 CFR 260.401.</w:t>
      </w:r>
    </w:p>
  </w:footnote>
  <w:footnote w:id="3">
    <w:p w:rsidR="00E228B6" w:rsidP="00E228B6" w14:paraId="26CC4AD3" w14:textId="77777777">
      <w:pPr>
        <w:pStyle w:val="FootnoteText"/>
      </w:pPr>
      <w:r w:rsidRPr="00AF7870">
        <w:rPr>
          <w:rStyle w:val="FootnoteReference"/>
          <w:sz w:val="20"/>
          <w:szCs w:val="20"/>
        </w:rPr>
        <w:footnoteRef/>
      </w:r>
      <w:r w:rsidRPr="00AF7870">
        <w:rPr>
          <w:sz w:val="20"/>
        </w:rPr>
        <w:t xml:space="preserve"> Energy Policy Act of 2005, Pub. L. No. 109-58, sections 1261 et seq., 119 Stat. 594 (2005).</w:t>
      </w:r>
    </w:p>
  </w:footnote>
  <w:footnote w:id="4">
    <w:p w:rsidR="00E228B6" w:rsidRPr="00AF7870" w:rsidP="00E228B6" w14:paraId="065F3C99" w14:textId="77777777">
      <w:pPr>
        <w:pStyle w:val="FootnoteText"/>
        <w:rPr>
          <w:sz w:val="20"/>
        </w:rPr>
      </w:pPr>
      <w:r w:rsidRPr="00AF7870">
        <w:rPr>
          <w:rStyle w:val="FootnoteReference"/>
          <w:sz w:val="20"/>
          <w:szCs w:val="20"/>
        </w:rPr>
        <w:footnoteRef/>
      </w:r>
      <w:r w:rsidRPr="00AF7870">
        <w:rPr>
          <w:sz w:val="20"/>
        </w:rPr>
        <w:t xml:space="preserve"> 15 USC 717t-2(a)(1)(2006).</w:t>
      </w:r>
    </w:p>
  </w:footnote>
  <w:footnote w:id="5">
    <w:p w:rsidR="001753CF" w14:paraId="5BE1B4A3" w14:textId="622B9294">
      <w:pPr>
        <w:pStyle w:val="FootnoteText"/>
      </w:pPr>
      <w:r w:rsidRPr="00AF7870">
        <w:rPr>
          <w:rStyle w:val="FootnoteReference"/>
          <w:sz w:val="20"/>
          <w:szCs w:val="20"/>
        </w:rPr>
        <w:footnoteRef/>
      </w:r>
      <w:r w:rsidRPr="00AF7870">
        <w:rPr>
          <w:sz w:val="20"/>
        </w:rPr>
        <w:t xml:space="preserve"> </w:t>
      </w:r>
      <w:r w:rsidRPr="00AF7870" w:rsidR="003C38F1">
        <w:rPr>
          <w:i/>
          <w:iCs/>
          <w:sz w:val="20"/>
        </w:rPr>
        <w:t>104 FERC ¶ 61,121 (Initial Policy Statement), clarified, Order on Clarification of Policy Statement on Natural Gas and Electric Price Indices, 105 FERC ¶ 61,282 (2003) (2003 Clarification Order), clarified, Order Further Clarifying Policy Statement on Natural Gas and Electric Price Indices, 112 FERC ¶ 61,040 (2005) (2005 Clarification Order)</w:t>
      </w:r>
      <w:r w:rsidRPr="00AF7870" w:rsidR="0096777C">
        <w:rPr>
          <w:sz w:val="20"/>
          <w:lang w:bidi="en-US"/>
        </w:rPr>
        <w:t>.</w:t>
      </w:r>
    </w:p>
  </w:footnote>
  <w:footnote w:id="6">
    <w:p w:rsidR="00B83497" w:rsidP="00B83497" w14:paraId="2975DE8D" w14:textId="102E46A4">
      <w:pPr>
        <w:pStyle w:val="FootnoteText"/>
      </w:pPr>
      <w:r w:rsidRPr="00117337">
        <w:rPr>
          <w:rStyle w:val="FootnoteReference"/>
          <w:sz w:val="20"/>
          <w:szCs w:val="20"/>
        </w:rPr>
        <w:footnoteRef/>
      </w:r>
      <w:r w:rsidRPr="00117337">
        <w:rPr>
          <w:sz w:val="20"/>
        </w:rPr>
        <w:t xml:space="preserve"> </w:t>
      </w:r>
      <w:r w:rsidRPr="00117337">
        <w:rPr>
          <w:i/>
          <w:iCs/>
          <w:sz w:val="20"/>
          <w:lang w:bidi="en-US"/>
        </w:rPr>
        <w:t>Actions Regarding the Commission’s Policy on Price Index Formation and Transparency, and Indices Referenced in Natural Gas and Electric Tariffs (PL20-3-000)</w:t>
      </w:r>
      <w:r>
        <w:rPr>
          <w:i/>
          <w:iCs/>
          <w:sz w:val="20"/>
          <w:lang w:bidi="en-US"/>
        </w:rPr>
        <w:t xml:space="preserve"> (Revised Policy Statement)</w:t>
      </w:r>
      <w:r w:rsidRPr="00117337">
        <w:rPr>
          <w:i/>
          <w:iCs/>
          <w:sz w:val="20"/>
          <w:lang w:bidi="en-US"/>
        </w:rPr>
        <w:t xml:space="preserve">, </w:t>
      </w:r>
      <w:r w:rsidRPr="00117337">
        <w:rPr>
          <w:sz w:val="20"/>
          <w:lang w:bidi="en-US"/>
        </w:rPr>
        <w:t>April 21, 2022.</w:t>
      </w:r>
    </w:p>
  </w:footnote>
  <w:footnote w:id="7">
    <w:p w:rsidR="00EE0E56" w:rsidP="00EE0E56" w14:paraId="32D702C6" w14:textId="4239E192">
      <w:pPr>
        <w:pStyle w:val="FootnoteText"/>
      </w:pPr>
      <w:r w:rsidRPr="00757129">
        <w:rPr>
          <w:rStyle w:val="FootnoteReference"/>
          <w:sz w:val="20"/>
          <w:szCs w:val="20"/>
        </w:rPr>
        <w:footnoteRef/>
      </w:r>
      <w:r>
        <w:t xml:space="preserve"> </w:t>
      </w:r>
      <w:r w:rsidRPr="00757129" w:rsidR="007C3511">
        <w:rPr>
          <w:i/>
          <w:sz w:val="20"/>
        </w:rPr>
        <w:t xml:space="preserve">Initial </w:t>
      </w:r>
      <w:r w:rsidRPr="00757129" w:rsidR="007C3511">
        <w:rPr>
          <w:i/>
          <w:iCs/>
          <w:sz w:val="20"/>
        </w:rPr>
        <w:t>Policy Statement</w:t>
      </w:r>
      <w:r w:rsidRPr="00757129" w:rsidR="007C3511">
        <w:rPr>
          <w:sz w:val="20"/>
        </w:rPr>
        <w:t xml:space="preserve">, 104 FERC ¶ 61,121 </w:t>
      </w:r>
      <w:r w:rsidRPr="00757129">
        <w:rPr>
          <w:sz w:val="20"/>
        </w:rPr>
        <w:t>at</w:t>
      </w:r>
      <w:r w:rsidRPr="00757129">
        <w:rPr>
          <w:i/>
          <w:iCs/>
          <w:sz w:val="20"/>
        </w:rPr>
        <w:t xml:space="preserve"> </w:t>
      </w:r>
      <w:r w:rsidRPr="00757129">
        <w:rPr>
          <w:iCs/>
          <w:sz w:val="20"/>
          <w:lang w:bidi="hi-IN"/>
        </w:rPr>
        <w:t xml:space="preserve">P </w:t>
      </w:r>
      <w:r w:rsidR="00B16D4E">
        <w:rPr>
          <w:iCs/>
          <w:sz w:val="20"/>
          <w:lang w:bidi="hi-IN"/>
        </w:rPr>
        <w:t>37</w:t>
      </w:r>
      <w:r w:rsidR="0078709D">
        <w:rPr>
          <w:iCs/>
          <w:sz w:val="20"/>
          <w:lang w:bidi="hi-IN"/>
        </w:rPr>
        <w:t xml:space="preserve"> and </w:t>
      </w:r>
      <w:r w:rsidR="0078709D">
        <w:rPr>
          <w:i/>
          <w:sz w:val="20"/>
          <w:lang w:bidi="hi-IN"/>
        </w:rPr>
        <w:t>Revised Policy Statement</w:t>
      </w:r>
      <w:r w:rsidR="0004236A">
        <w:rPr>
          <w:iCs/>
          <w:sz w:val="20"/>
          <w:lang w:bidi="hi-IN"/>
        </w:rPr>
        <w:t>,</w:t>
      </w:r>
      <w:r w:rsidRPr="0004236A" w:rsidR="0004236A">
        <w:t xml:space="preserve"> </w:t>
      </w:r>
      <w:r w:rsidRPr="0004236A" w:rsidR="0004236A">
        <w:rPr>
          <w:iCs/>
          <w:sz w:val="20"/>
          <w:lang w:bidi="hi-IN"/>
        </w:rPr>
        <w:t>179 FERC ¶ 61,036</w:t>
      </w:r>
      <w:r w:rsidR="0078709D">
        <w:rPr>
          <w:iCs/>
          <w:sz w:val="20"/>
          <w:lang w:bidi="hi-IN"/>
        </w:rPr>
        <w:t xml:space="preserve"> at P</w:t>
      </w:r>
      <w:r w:rsidR="0093563E">
        <w:rPr>
          <w:iCs/>
          <w:sz w:val="20"/>
          <w:lang w:bidi="hi-IN"/>
        </w:rPr>
        <w:t> </w:t>
      </w:r>
      <w:r w:rsidR="008E6F15">
        <w:rPr>
          <w:iCs/>
          <w:sz w:val="20"/>
          <w:lang w:bidi="hi-IN"/>
        </w:rPr>
        <w:t>45</w:t>
      </w:r>
      <w:r w:rsidRPr="00757129">
        <w:rPr>
          <w:iCs/>
          <w:sz w:val="20"/>
          <w:lang w:bidi="en-US"/>
        </w:rPr>
        <w:t>.</w:t>
      </w:r>
    </w:p>
  </w:footnote>
  <w:footnote w:id="8">
    <w:p w:rsidR="00696A1D" w:rsidRPr="00A3726A" w:rsidP="00696A1D" w14:paraId="1978C3D4" w14:textId="77777777">
      <w:pPr>
        <w:pStyle w:val="FootnoteText"/>
        <w:rPr>
          <w:sz w:val="20"/>
        </w:rPr>
      </w:pPr>
      <w:r w:rsidRPr="00A3726A">
        <w:rPr>
          <w:rStyle w:val="FootnoteReference"/>
          <w:sz w:val="20"/>
          <w:szCs w:val="20"/>
        </w:rPr>
        <w:footnoteRef/>
      </w:r>
      <w:r w:rsidRPr="00A3726A">
        <w:rPr>
          <w:sz w:val="20"/>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9">
    <w:p w:rsidR="00696A1D" w:rsidRPr="00F56BED" w:rsidP="00696A1D" w14:paraId="48FD6119" w14:textId="570F772B">
      <w:pPr>
        <w:pStyle w:val="FootnoteText"/>
        <w:rPr>
          <w:sz w:val="20"/>
        </w:rPr>
      </w:pPr>
      <w:r w:rsidRPr="00F56BED">
        <w:rPr>
          <w:rStyle w:val="FootnoteReference"/>
          <w:sz w:val="20"/>
          <w:szCs w:val="20"/>
        </w:rPr>
        <w:footnoteRef/>
      </w:r>
      <w:r w:rsidRPr="00F56BED">
        <w:rPr>
          <w:sz w:val="20"/>
        </w:rPr>
        <w:t xml:space="preserve"> The estimates for cost per response are derived using the following formula:</w:t>
      </w:r>
      <w:r>
        <w:rPr>
          <w:sz w:val="20"/>
        </w:rPr>
        <w:t xml:space="preserve"> Average Burden Hours per Response * </w:t>
      </w:r>
      <w:r w:rsidR="00C06C13">
        <w:rPr>
          <w:sz w:val="20"/>
        </w:rPr>
        <w:t>$103</w:t>
      </w:r>
      <w:r>
        <w:rPr>
          <w:sz w:val="20"/>
        </w:rPr>
        <w:t xml:space="preserve"> per Hour = Average Cost per Response.  The hourly cost figure comes fro</w:t>
      </w:r>
      <w:r w:rsidR="00731C7B">
        <w:rPr>
          <w:sz w:val="20"/>
        </w:rPr>
        <w:t>m FERC’s average annual cost of salary plus benefits in FY25 of $</w:t>
      </w:r>
      <w:r w:rsidRPr="00AF7870" w:rsidR="00731C7B">
        <w:rPr>
          <w:sz w:val="20"/>
        </w:rPr>
        <w:t>214,093</w:t>
      </w:r>
      <w:r w:rsidR="00731C7B">
        <w:rPr>
          <w:sz w:val="20"/>
        </w:rPr>
        <w:t>. We believe this estimate is comparable to respondents salaries.</w:t>
      </w:r>
    </w:p>
  </w:footnote>
  <w:footnote w:id="10">
    <w:p w:rsidR="00EC255E" w:rsidRPr="00E477FD" w14:paraId="3BBB6A03" w14:textId="13412A8F">
      <w:pPr>
        <w:pStyle w:val="FootnoteText"/>
        <w:rPr>
          <w:sz w:val="20"/>
        </w:rPr>
      </w:pPr>
      <w:r w:rsidRPr="00AF7870">
        <w:rPr>
          <w:rStyle w:val="FootnoteReference"/>
          <w:sz w:val="20"/>
          <w:szCs w:val="20"/>
        </w:rPr>
        <w:footnoteRef/>
      </w:r>
      <w:r w:rsidRPr="00AF7870">
        <w:rPr>
          <w:sz w:val="20"/>
        </w:rPr>
        <w:t xml:space="preserve"> </w:t>
      </w:r>
      <w:r w:rsidR="00744A2A">
        <w:rPr>
          <w:sz w:val="20"/>
        </w:rPr>
        <w:t>Th</w:t>
      </w:r>
      <w:r w:rsidR="00F0319D">
        <w:rPr>
          <w:sz w:val="20"/>
        </w:rPr>
        <w:t>e number of natural gas market participants is b</w:t>
      </w:r>
      <w:r w:rsidRPr="00AF7870">
        <w:rPr>
          <w:sz w:val="20"/>
        </w:rPr>
        <w:t xml:space="preserve">ased </w:t>
      </w:r>
      <w:r w:rsidR="00F0319D">
        <w:rPr>
          <w:sz w:val="20"/>
        </w:rPr>
        <w:t xml:space="preserve">on </w:t>
      </w:r>
      <w:r w:rsidRPr="00AF7870">
        <w:rPr>
          <w:sz w:val="20"/>
        </w:rPr>
        <w:t>CY 2024 FERC Form 552 data.</w:t>
      </w:r>
    </w:p>
  </w:footnote>
  <w:footnote w:id="11">
    <w:p w:rsidR="00EA788E" w:rsidRPr="00AF7870" w:rsidP="00EA788E" w14:paraId="36595727" w14:textId="4B9994A7">
      <w:pPr>
        <w:pStyle w:val="FootnoteText"/>
        <w:rPr>
          <w:sz w:val="20"/>
        </w:rPr>
      </w:pPr>
      <w:r w:rsidRPr="00E477FD">
        <w:rPr>
          <w:rStyle w:val="FootnoteReference"/>
          <w:sz w:val="20"/>
          <w:szCs w:val="20"/>
        </w:rPr>
        <w:footnoteRef/>
      </w:r>
      <w:r w:rsidRPr="00E477FD">
        <w:rPr>
          <w:sz w:val="20"/>
        </w:rPr>
        <w:t xml:space="preserve"> </w:t>
      </w:r>
      <w:r w:rsidRPr="002A61A0">
        <w:rPr>
          <w:sz w:val="20"/>
        </w:rPr>
        <w:t xml:space="preserve">The number of </w:t>
      </w:r>
      <w:r w:rsidR="0027032C">
        <w:rPr>
          <w:sz w:val="20"/>
        </w:rPr>
        <w:t xml:space="preserve">price index </w:t>
      </w:r>
      <w:r w:rsidRPr="002A61A0">
        <w:rPr>
          <w:sz w:val="20"/>
        </w:rPr>
        <w:t>data providers is based on</w:t>
      </w:r>
      <w:r w:rsidRPr="00B21439">
        <w:rPr>
          <w:sz w:val="20"/>
        </w:rPr>
        <w:t xml:space="preserve"> </w:t>
      </w:r>
      <w:r w:rsidRPr="00AF7870">
        <w:rPr>
          <w:sz w:val="20"/>
        </w:rPr>
        <w:t>CY 2024 FERC Form 552 data</w:t>
      </w:r>
      <w:r w:rsidRPr="002A61A0">
        <w:rPr>
          <w:sz w:val="20"/>
        </w:rPr>
        <w:t>.</w:t>
      </w:r>
      <w:r>
        <w:rPr>
          <w:sz w:val="20"/>
        </w:rPr>
        <w:t xml:space="preserve"> </w:t>
      </w:r>
    </w:p>
  </w:footnote>
  <w:footnote w:id="12">
    <w:p w:rsidR="00A82C30" w:rsidRPr="00AF7870" w:rsidP="00A82C30" w14:paraId="0BCE80AC" w14:textId="20CAD586">
      <w:pPr>
        <w:pStyle w:val="FootnoteText"/>
        <w:rPr>
          <w:sz w:val="20"/>
        </w:rPr>
      </w:pPr>
      <w:r w:rsidRPr="00E477FD">
        <w:rPr>
          <w:rStyle w:val="FootnoteReference"/>
          <w:sz w:val="20"/>
          <w:szCs w:val="20"/>
        </w:rPr>
        <w:footnoteRef/>
      </w:r>
      <w:r w:rsidRPr="00E477FD">
        <w:rPr>
          <w:sz w:val="20"/>
        </w:rPr>
        <w:t xml:space="preserve"> </w:t>
      </w:r>
      <w:r w:rsidRPr="002A61A0">
        <w:rPr>
          <w:sz w:val="20"/>
        </w:rPr>
        <w:t xml:space="preserve">The number of </w:t>
      </w:r>
      <w:r>
        <w:rPr>
          <w:sz w:val="20"/>
        </w:rPr>
        <w:t>price index developers</w:t>
      </w:r>
      <w:r w:rsidRPr="002A61A0">
        <w:rPr>
          <w:sz w:val="20"/>
        </w:rPr>
        <w:t xml:space="preserve"> is based on</w:t>
      </w:r>
      <w:r>
        <w:rPr>
          <w:sz w:val="20"/>
        </w:rPr>
        <w:t xml:space="preserve"> </w:t>
      </w:r>
      <w:r w:rsidR="00520BC5">
        <w:rPr>
          <w:sz w:val="20"/>
        </w:rPr>
        <w:t>the number of entities that</w:t>
      </w:r>
      <w:r w:rsidR="00E74B21">
        <w:rPr>
          <w:sz w:val="20"/>
        </w:rPr>
        <w:t xml:space="preserve"> </w:t>
      </w:r>
      <w:r w:rsidR="008C3EC6">
        <w:rPr>
          <w:sz w:val="20"/>
        </w:rPr>
        <w:t xml:space="preserve">received </w:t>
      </w:r>
      <w:r w:rsidR="00520BC5">
        <w:rPr>
          <w:sz w:val="20"/>
        </w:rPr>
        <w:t xml:space="preserve">FERC </w:t>
      </w:r>
      <w:r w:rsidR="008C3EC6">
        <w:rPr>
          <w:sz w:val="20"/>
        </w:rPr>
        <w:t xml:space="preserve">approval </w:t>
      </w:r>
      <w:r w:rsidR="008A183F">
        <w:rPr>
          <w:sz w:val="20"/>
        </w:rPr>
        <w:t>after the issuance of the 202</w:t>
      </w:r>
      <w:r w:rsidR="00CA72AE">
        <w:rPr>
          <w:sz w:val="20"/>
        </w:rPr>
        <w:t>2</w:t>
      </w:r>
      <w:r w:rsidR="008A183F">
        <w:rPr>
          <w:sz w:val="20"/>
        </w:rPr>
        <w:t xml:space="preserve"> Revised Policy Statement.</w:t>
      </w:r>
    </w:p>
  </w:footnote>
  <w:footnote w:id="13">
    <w:p w:rsidR="00182967" w14:paraId="697DF152" w14:textId="3D8185BB">
      <w:pPr>
        <w:pStyle w:val="FootnoteText"/>
      </w:pPr>
      <w:r>
        <w:rPr>
          <w:rStyle w:val="FootnoteReference"/>
        </w:rPr>
        <w:footnoteRef/>
      </w:r>
      <w:r>
        <w:t xml:space="preserve"> </w:t>
      </w:r>
      <w:r w:rsidRPr="00757129" w:rsidR="006D0FAC">
        <w:rPr>
          <w:i/>
          <w:iCs/>
        </w:rPr>
        <w:t>Revised Policy Statement</w:t>
      </w:r>
      <w:r w:rsidRPr="006D0FAC" w:rsidR="006D0FAC">
        <w:t>, 179 FERC ¶ 61,036</w:t>
      </w:r>
      <w:r w:rsidR="006D0F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5ABFA044">
    <w:pPr>
      <w:pStyle w:val="Head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84480" cy="380365"/>
              <wp:effectExtent l="0" t="0" r="1270" b="635"/>
              <wp:wrapNone/>
              <wp:docPr id="1776901745"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480" cy="380365"/>
                      </a:xfrm>
                      <a:prstGeom prst="rect">
                        <a:avLst/>
                      </a:prstGeom>
                      <a:noFill/>
                      <a:ln>
                        <a:noFill/>
                      </a:ln>
                    </wps:spPr>
                    <wps:txbx>
                      <w:txbxContent>
                        <w:p w:rsidR="00D6600A" w:rsidRPr="00D6600A" w:rsidP="00D6600A" w14:textId="2EA17ECC">
                          <w:pPr>
                            <w:rPr>
                              <w:noProof/>
                              <w:color w:val="FF0000"/>
                              <w:szCs w:val="26"/>
                            </w:rPr>
                          </w:pPr>
                          <w:r w:rsidRPr="00D6600A">
                            <w:rPr>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D6600A" w:rsidRPr="00D6600A" w:rsidP="00D6600A" w14:paraId="054B239A" w14:textId="2EA17ECC">
                    <w:pPr>
                      <w:rPr>
                        <w:noProof/>
                        <w:color w:val="FF0000"/>
                        <w:szCs w:val="26"/>
                      </w:rPr>
                    </w:pPr>
                    <w:r w:rsidRPr="00D6600A">
                      <w:rPr>
                        <w:noProof/>
                        <w:color w:val="FF0000"/>
                        <w:szCs w:val="26"/>
                      </w:rPr>
                      <w:t>CUI</w:t>
                    </w:r>
                  </w:p>
                </w:txbxContent>
              </v:textbox>
            </v:shape>
          </w:pict>
        </mc:Fallback>
      </mc:AlternateContent>
    </w:r>
    <w:r w:rsidR="004D79AA">
      <w:rPr>
        <w:rStyle w:val="PageNumber"/>
      </w:rPr>
      <w:fldChar w:fldCharType="begin"/>
    </w:r>
    <w:r w:rsidR="004D79AA">
      <w:rPr>
        <w:rStyle w:val="PageNumber"/>
      </w:rPr>
      <w:instrText xml:space="preserve">PAGE  </w:instrText>
    </w:r>
    <w:r w:rsidR="004D79AA">
      <w:rPr>
        <w:rStyle w:val="PageNumber"/>
      </w:rPr>
      <w:fldChar w:fldCharType="separate"/>
    </w:r>
    <w:r w:rsidR="004D79AA">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D92" w14:paraId="20BB8141" w14:textId="41788EF1">
    <w:pPr>
      <w:pStyle w:val="Header"/>
    </w:pPr>
    <w:r>
      <w:t xml:space="preserve">Docket No. </w:t>
    </w:r>
    <w:r w:rsidRPr="00AF7870">
      <w:t>IC26-5-000</w:t>
    </w:r>
    <w:r>
      <w:tab/>
    </w:r>
    <w:sdt>
      <w:sdtPr>
        <w:id w:val="14751844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4D79AA" w:rsidP="005E318F" w14:paraId="5EB90FBC" w14:textId="3ECA13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D757E"/>
    <w:multiLevelType w:val="multilevel"/>
    <w:tmpl w:val="7984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8414F46"/>
    <w:multiLevelType w:val="multilevel"/>
    <w:tmpl w:val="C948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BBF315"/>
    <w:multiLevelType w:val="hybridMultilevel"/>
    <w:tmpl w:val="378A0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79245197">
    <w:abstractNumId w:val="5"/>
  </w:num>
  <w:num w:numId="2" w16cid:durableId="1872111158">
    <w:abstractNumId w:val="3"/>
  </w:num>
  <w:num w:numId="3" w16cid:durableId="126822442">
    <w:abstractNumId w:val="1"/>
  </w:num>
  <w:num w:numId="4" w16cid:durableId="1283345169">
    <w:abstractNumId w:val="2"/>
  </w:num>
  <w:num w:numId="5" w16cid:durableId="2052726852">
    <w:abstractNumId w:val="4"/>
  </w:num>
  <w:num w:numId="6" w16cid:durableId="59841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06305"/>
    <w:rsid w:val="0000740A"/>
    <w:rsid w:val="0001300A"/>
    <w:rsid w:val="00014E36"/>
    <w:rsid w:val="00022F80"/>
    <w:rsid w:val="00024ECA"/>
    <w:rsid w:val="00026A62"/>
    <w:rsid w:val="00035E63"/>
    <w:rsid w:val="00036FEC"/>
    <w:rsid w:val="00040663"/>
    <w:rsid w:val="00041471"/>
    <w:rsid w:val="0004236A"/>
    <w:rsid w:val="00043256"/>
    <w:rsid w:val="00043468"/>
    <w:rsid w:val="000436E9"/>
    <w:rsid w:val="00052F01"/>
    <w:rsid w:val="0005366B"/>
    <w:rsid w:val="00055C05"/>
    <w:rsid w:val="000566EE"/>
    <w:rsid w:val="0006335A"/>
    <w:rsid w:val="00070D88"/>
    <w:rsid w:val="00072256"/>
    <w:rsid w:val="00072448"/>
    <w:rsid w:val="00072572"/>
    <w:rsid w:val="00074444"/>
    <w:rsid w:val="00074FF8"/>
    <w:rsid w:val="00080D5F"/>
    <w:rsid w:val="000838BE"/>
    <w:rsid w:val="000854B7"/>
    <w:rsid w:val="0009322F"/>
    <w:rsid w:val="00093E92"/>
    <w:rsid w:val="00094C22"/>
    <w:rsid w:val="00095079"/>
    <w:rsid w:val="000952AC"/>
    <w:rsid w:val="00095685"/>
    <w:rsid w:val="000A1F9A"/>
    <w:rsid w:val="000A27CA"/>
    <w:rsid w:val="000A5308"/>
    <w:rsid w:val="000A6114"/>
    <w:rsid w:val="000A7D1F"/>
    <w:rsid w:val="000B723A"/>
    <w:rsid w:val="000B7ACA"/>
    <w:rsid w:val="000C22B5"/>
    <w:rsid w:val="000C4776"/>
    <w:rsid w:val="000C47F2"/>
    <w:rsid w:val="000C56A4"/>
    <w:rsid w:val="000C5A5D"/>
    <w:rsid w:val="000C636D"/>
    <w:rsid w:val="000C6C66"/>
    <w:rsid w:val="000D0D93"/>
    <w:rsid w:val="000D3639"/>
    <w:rsid w:val="000D5216"/>
    <w:rsid w:val="000E152A"/>
    <w:rsid w:val="000E449A"/>
    <w:rsid w:val="000E4645"/>
    <w:rsid w:val="000E69D7"/>
    <w:rsid w:val="000E7AA1"/>
    <w:rsid w:val="000F1E87"/>
    <w:rsid w:val="000F3E00"/>
    <w:rsid w:val="000F3E75"/>
    <w:rsid w:val="0010211A"/>
    <w:rsid w:val="00103B5F"/>
    <w:rsid w:val="00103D50"/>
    <w:rsid w:val="00110923"/>
    <w:rsid w:val="001144E0"/>
    <w:rsid w:val="00114B14"/>
    <w:rsid w:val="00117337"/>
    <w:rsid w:val="001240FD"/>
    <w:rsid w:val="00125F00"/>
    <w:rsid w:val="001277AE"/>
    <w:rsid w:val="00134DB8"/>
    <w:rsid w:val="00137AFC"/>
    <w:rsid w:val="00146600"/>
    <w:rsid w:val="00146B5E"/>
    <w:rsid w:val="001470C0"/>
    <w:rsid w:val="001475FE"/>
    <w:rsid w:val="0015051B"/>
    <w:rsid w:val="00150CA6"/>
    <w:rsid w:val="0015146E"/>
    <w:rsid w:val="00156B11"/>
    <w:rsid w:val="00156CF4"/>
    <w:rsid w:val="00163BBE"/>
    <w:rsid w:val="00165085"/>
    <w:rsid w:val="001700B5"/>
    <w:rsid w:val="001753CF"/>
    <w:rsid w:val="00175A8F"/>
    <w:rsid w:val="00176D66"/>
    <w:rsid w:val="00181F00"/>
    <w:rsid w:val="00182967"/>
    <w:rsid w:val="00190870"/>
    <w:rsid w:val="00190FFC"/>
    <w:rsid w:val="0019407A"/>
    <w:rsid w:val="0019691F"/>
    <w:rsid w:val="001A29CA"/>
    <w:rsid w:val="001A4577"/>
    <w:rsid w:val="001A547D"/>
    <w:rsid w:val="001A5E0A"/>
    <w:rsid w:val="001A6B7C"/>
    <w:rsid w:val="001A7291"/>
    <w:rsid w:val="001B40FA"/>
    <w:rsid w:val="001B49BD"/>
    <w:rsid w:val="001B653B"/>
    <w:rsid w:val="001B6B4A"/>
    <w:rsid w:val="001C3324"/>
    <w:rsid w:val="001C36DE"/>
    <w:rsid w:val="001C3703"/>
    <w:rsid w:val="001C4D3A"/>
    <w:rsid w:val="001C5D46"/>
    <w:rsid w:val="001D1265"/>
    <w:rsid w:val="001D26F2"/>
    <w:rsid w:val="001D3D87"/>
    <w:rsid w:val="001D5BE8"/>
    <w:rsid w:val="001E67C9"/>
    <w:rsid w:val="001E69DB"/>
    <w:rsid w:val="001F0B06"/>
    <w:rsid w:val="001F2664"/>
    <w:rsid w:val="001F47CB"/>
    <w:rsid w:val="00204D0F"/>
    <w:rsid w:val="00215A17"/>
    <w:rsid w:val="0021780D"/>
    <w:rsid w:val="00217859"/>
    <w:rsid w:val="00221D11"/>
    <w:rsid w:val="002240C3"/>
    <w:rsid w:val="002265E9"/>
    <w:rsid w:val="00241BFD"/>
    <w:rsid w:val="00246F8C"/>
    <w:rsid w:val="00250F08"/>
    <w:rsid w:val="00251C88"/>
    <w:rsid w:val="00252C1C"/>
    <w:rsid w:val="00252CD0"/>
    <w:rsid w:val="002541FE"/>
    <w:rsid w:val="00263C83"/>
    <w:rsid w:val="00264015"/>
    <w:rsid w:val="00267615"/>
    <w:rsid w:val="002677D6"/>
    <w:rsid w:val="0027032C"/>
    <w:rsid w:val="00270B5C"/>
    <w:rsid w:val="0027273D"/>
    <w:rsid w:val="0027572D"/>
    <w:rsid w:val="00280F45"/>
    <w:rsid w:val="00285E62"/>
    <w:rsid w:val="0028677A"/>
    <w:rsid w:val="0029476E"/>
    <w:rsid w:val="00295B80"/>
    <w:rsid w:val="00295D92"/>
    <w:rsid w:val="00296592"/>
    <w:rsid w:val="00296649"/>
    <w:rsid w:val="002A6174"/>
    <w:rsid w:val="002A61A0"/>
    <w:rsid w:val="002B101F"/>
    <w:rsid w:val="002B2DF8"/>
    <w:rsid w:val="002B43A6"/>
    <w:rsid w:val="002B4F55"/>
    <w:rsid w:val="002B62A0"/>
    <w:rsid w:val="002C0ECB"/>
    <w:rsid w:val="002C23E9"/>
    <w:rsid w:val="002C3BDC"/>
    <w:rsid w:val="002C3FCC"/>
    <w:rsid w:val="002D6379"/>
    <w:rsid w:val="002E1AFD"/>
    <w:rsid w:val="002E25E3"/>
    <w:rsid w:val="002E3641"/>
    <w:rsid w:val="002E3FAE"/>
    <w:rsid w:val="002E6A16"/>
    <w:rsid w:val="00307411"/>
    <w:rsid w:val="003131D1"/>
    <w:rsid w:val="003151D6"/>
    <w:rsid w:val="00317A96"/>
    <w:rsid w:val="00320488"/>
    <w:rsid w:val="003210A2"/>
    <w:rsid w:val="00321EB8"/>
    <w:rsid w:val="00323139"/>
    <w:rsid w:val="00323955"/>
    <w:rsid w:val="003317EA"/>
    <w:rsid w:val="00334334"/>
    <w:rsid w:val="00334C41"/>
    <w:rsid w:val="00335092"/>
    <w:rsid w:val="00341866"/>
    <w:rsid w:val="003468E9"/>
    <w:rsid w:val="003510E4"/>
    <w:rsid w:val="00356E26"/>
    <w:rsid w:val="00356F3D"/>
    <w:rsid w:val="00366669"/>
    <w:rsid w:val="00370763"/>
    <w:rsid w:val="00374409"/>
    <w:rsid w:val="003764BF"/>
    <w:rsid w:val="00381700"/>
    <w:rsid w:val="00382147"/>
    <w:rsid w:val="00386BED"/>
    <w:rsid w:val="00390156"/>
    <w:rsid w:val="00390805"/>
    <w:rsid w:val="00390902"/>
    <w:rsid w:val="0039389F"/>
    <w:rsid w:val="0039527A"/>
    <w:rsid w:val="003961CE"/>
    <w:rsid w:val="00397103"/>
    <w:rsid w:val="003A19E5"/>
    <w:rsid w:val="003A1D7A"/>
    <w:rsid w:val="003A265C"/>
    <w:rsid w:val="003A3D01"/>
    <w:rsid w:val="003B4D70"/>
    <w:rsid w:val="003B5B02"/>
    <w:rsid w:val="003C1644"/>
    <w:rsid w:val="003C1F91"/>
    <w:rsid w:val="003C230A"/>
    <w:rsid w:val="003C38F1"/>
    <w:rsid w:val="003C4D6A"/>
    <w:rsid w:val="003C5FAA"/>
    <w:rsid w:val="003D418D"/>
    <w:rsid w:val="003D439A"/>
    <w:rsid w:val="003D66D4"/>
    <w:rsid w:val="003D6813"/>
    <w:rsid w:val="003D6E47"/>
    <w:rsid w:val="003D7B84"/>
    <w:rsid w:val="003F32A9"/>
    <w:rsid w:val="003F62AE"/>
    <w:rsid w:val="00400269"/>
    <w:rsid w:val="00410CC4"/>
    <w:rsid w:val="00412CF7"/>
    <w:rsid w:val="00414715"/>
    <w:rsid w:val="004230B0"/>
    <w:rsid w:val="00423C49"/>
    <w:rsid w:val="00424378"/>
    <w:rsid w:val="0042785C"/>
    <w:rsid w:val="00430164"/>
    <w:rsid w:val="00432C41"/>
    <w:rsid w:val="0043489E"/>
    <w:rsid w:val="00445CD1"/>
    <w:rsid w:val="00445DDF"/>
    <w:rsid w:val="004507D1"/>
    <w:rsid w:val="00450D30"/>
    <w:rsid w:val="004530E0"/>
    <w:rsid w:val="00453F74"/>
    <w:rsid w:val="00455A33"/>
    <w:rsid w:val="00455C4D"/>
    <w:rsid w:val="00462DBE"/>
    <w:rsid w:val="00463EFF"/>
    <w:rsid w:val="0046797B"/>
    <w:rsid w:val="00470106"/>
    <w:rsid w:val="00471FAA"/>
    <w:rsid w:val="0047321C"/>
    <w:rsid w:val="0047368A"/>
    <w:rsid w:val="00474CE0"/>
    <w:rsid w:val="004855F2"/>
    <w:rsid w:val="00487256"/>
    <w:rsid w:val="00490E50"/>
    <w:rsid w:val="0049440F"/>
    <w:rsid w:val="004A06AD"/>
    <w:rsid w:val="004A1092"/>
    <w:rsid w:val="004A250C"/>
    <w:rsid w:val="004A31B0"/>
    <w:rsid w:val="004A39AE"/>
    <w:rsid w:val="004A51DF"/>
    <w:rsid w:val="004A6E59"/>
    <w:rsid w:val="004A7A93"/>
    <w:rsid w:val="004B163D"/>
    <w:rsid w:val="004B54B0"/>
    <w:rsid w:val="004B665B"/>
    <w:rsid w:val="004C001A"/>
    <w:rsid w:val="004C1201"/>
    <w:rsid w:val="004C36C3"/>
    <w:rsid w:val="004C3BB0"/>
    <w:rsid w:val="004C3C65"/>
    <w:rsid w:val="004D1EE5"/>
    <w:rsid w:val="004D4CD3"/>
    <w:rsid w:val="004D53C3"/>
    <w:rsid w:val="004D549B"/>
    <w:rsid w:val="004D778A"/>
    <w:rsid w:val="004D79AA"/>
    <w:rsid w:val="004E0A81"/>
    <w:rsid w:val="004E1F63"/>
    <w:rsid w:val="004E4790"/>
    <w:rsid w:val="004F3E67"/>
    <w:rsid w:val="004F6133"/>
    <w:rsid w:val="00503FDE"/>
    <w:rsid w:val="0050437A"/>
    <w:rsid w:val="00506E70"/>
    <w:rsid w:val="0051562A"/>
    <w:rsid w:val="00515CA5"/>
    <w:rsid w:val="00517B18"/>
    <w:rsid w:val="005203F9"/>
    <w:rsid w:val="00520BC5"/>
    <w:rsid w:val="00521ABE"/>
    <w:rsid w:val="00524B22"/>
    <w:rsid w:val="00524C0C"/>
    <w:rsid w:val="00530BB4"/>
    <w:rsid w:val="005320C7"/>
    <w:rsid w:val="005330B9"/>
    <w:rsid w:val="005346F4"/>
    <w:rsid w:val="00534B97"/>
    <w:rsid w:val="00537276"/>
    <w:rsid w:val="005416A9"/>
    <w:rsid w:val="0054477B"/>
    <w:rsid w:val="00544E6A"/>
    <w:rsid w:val="00545B8C"/>
    <w:rsid w:val="005462C7"/>
    <w:rsid w:val="00551B13"/>
    <w:rsid w:val="00551B9F"/>
    <w:rsid w:val="005521E7"/>
    <w:rsid w:val="00556AC8"/>
    <w:rsid w:val="0056283D"/>
    <w:rsid w:val="005665D1"/>
    <w:rsid w:val="005701E9"/>
    <w:rsid w:val="00584568"/>
    <w:rsid w:val="00585A00"/>
    <w:rsid w:val="0058734A"/>
    <w:rsid w:val="0058744A"/>
    <w:rsid w:val="005916D2"/>
    <w:rsid w:val="00592AD7"/>
    <w:rsid w:val="00593D00"/>
    <w:rsid w:val="00594550"/>
    <w:rsid w:val="005953A4"/>
    <w:rsid w:val="005A02C5"/>
    <w:rsid w:val="005A500B"/>
    <w:rsid w:val="005A6D8E"/>
    <w:rsid w:val="005B0E46"/>
    <w:rsid w:val="005D0272"/>
    <w:rsid w:val="005D32C0"/>
    <w:rsid w:val="005D71E2"/>
    <w:rsid w:val="005E1996"/>
    <w:rsid w:val="005E2878"/>
    <w:rsid w:val="005E318F"/>
    <w:rsid w:val="005E40EB"/>
    <w:rsid w:val="005E5F24"/>
    <w:rsid w:val="005E6B6B"/>
    <w:rsid w:val="005F162C"/>
    <w:rsid w:val="005F5ECF"/>
    <w:rsid w:val="006053EE"/>
    <w:rsid w:val="006070B9"/>
    <w:rsid w:val="00615634"/>
    <w:rsid w:val="00617E46"/>
    <w:rsid w:val="0062025E"/>
    <w:rsid w:val="00621D53"/>
    <w:rsid w:val="00625882"/>
    <w:rsid w:val="006276C9"/>
    <w:rsid w:val="006308D4"/>
    <w:rsid w:val="006400D4"/>
    <w:rsid w:val="006419B7"/>
    <w:rsid w:val="00647B24"/>
    <w:rsid w:val="00656DF0"/>
    <w:rsid w:val="0065768D"/>
    <w:rsid w:val="00666D90"/>
    <w:rsid w:val="006700BC"/>
    <w:rsid w:val="006703D2"/>
    <w:rsid w:val="00672BEA"/>
    <w:rsid w:val="00676C97"/>
    <w:rsid w:val="00682086"/>
    <w:rsid w:val="0068483B"/>
    <w:rsid w:val="006902C3"/>
    <w:rsid w:val="0069142C"/>
    <w:rsid w:val="00694675"/>
    <w:rsid w:val="00695504"/>
    <w:rsid w:val="00695EBF"/>
    <w:rsid w:val="00696559"/>
    <w:rsid w:val="00696A1D"/>
    <w:rsid w:val="006970FB"/>
    <w:rsid w:val="006A2074"/>
    <w:rsid w:val="006A4D89"/>
    <w:rsid w:val="006A60CF"/>
    <w:rsid w:val="006A64E7"/>
    <w:rsid w:val="006A7822"/>
    <w:rsid w:val="006B0F25"/>
    <w:rsid w:val="006B4821"/>
    <w:rsid w:val="006C2CB1"/>
    <w:rsid w:val="006C332A"/>
    <w:rsid w:val="006C51C6"/>
    <w:rsid w:val="006C57B1"/>
    <w:rsid w:val="006D0FAC"/>
    <w:rsid w:val="006D549E"/>
    <w:rsid w:val="006D731D"/>
    <w:rsid w:val="006E2003"/>
    <w:rsid w:val="006E265B"/>
    <w:rsid w:val="006E3E71"/>
    <w:rsid w:val="006E6000"/>
    <w:rsid w:val="006E6911"/>
    <w:rsid w:val="006E7FB0"/>
    <w:rsid w:val="006F39D2"/>
    <w:rsid w:val="006F4A80"/>
    <w:rsid w:val="006F4C8B"/>
    <w:rsid w:val="006F5392"/>
    <w:rsid w:val="006F7788"/>
    <w:rsid w:val="006F77BE"/>
    <w:rsid w:val="0070048D"/>
    <w:rsid w:val="00703AB1"/>
    <w:rsid w:val="00703DFC"/>
    <w:rsid w:val="0070558B"/>
    <w:rsid w:val="007069C9"/>
    <w:rsid w:val="00707358"/>
    <w:rsid w:val="00711375"/>
    <w:rsid w:val="00711A42"/>
    <w:rsid w:val="0071251E"/>
    <w:rsid w:val="00712DB6"/>
    <w:rsid w:val="00715910"/>
    <w:rsid w:val="007171DA"/>
    <w:rsid w:val="00720B54"/>
    <w:rsid w:val="00720E07"/>
    <w:rsid w:val="007228AF"/>
    <w:rsid w:val="007257F9"/>
    <w:rsid w:val="00725908"/>
    <w:rsid w:val="0072643A"/>
    <w:rsid w:val="00731C7B"/>
    <w:rsid w:val="00736B1B"/>
    <w:rsid w:val="0074317F"/>
    <w:rsid w:val="00744012"/>
    <w:rsid w:val="00744A2A"/>
    <w:rsid w:val="007474EA"/>
    <w:rsid w:val="0075709D"/>
    <w:rsid w:val="00757129"/>
    <w:rsid w:val="00757498"/>
    <w:rsid w:val="00764A91"/>
    <w:rsid w:val="00764D42"/>
    <w:rsid w:val="00766823"/>
    <w:rsid w:val="00771DC5"/>
    <w:rsid w:val="007726D7"/>
    <w:rsid w:val="00772CBA"/>
    <w:rsid w:val="00773856"/>
    <w:rsid w:val="007816B5"/>
    <w:rsid w:val="0078241C"/>
    <w:rsid w:val="00784A00"/>
    <w:rsid w:val="00785CF9"/>
    <w:rsid w:val="0078709D"/>
    <w:rsid w:val="0079114E"/>
    <w:rsid w:val="007957B9"/>
    <w:rsid w:val="007A46B4"/>
    <w:rsid w:val="007A5C4A"/>
    <w:rsid w:val="007B33AE"/>
    <w:rsid w:val="007C3511"/>
    <w:rsid w:val="007D1947"/>
    <w:rsid w:val="007D2400"/>
    <w:rsid w:val="007D4A4A"/>
    <w:rsid w:val="007E290A"/>
    <w:rsid w:val="007E52AC"/>
    <w:rsid w:val="007E6973"/>
    <w:rsid w:val="007E699A"/>
    <w:rsid w:val="007E7573"/>
    <w:rsid w:val="007F4F94"/>
    <w:rsid w:val="007F63D5"/>
    <w:rsid w:val="007F699D"/>
    <w:rsid w:val="007F7E3C"/>
    <w:rsid w:val="00805CBD"/>
    <w:rsid w:val="008065F6"/>
    <w:rsid w:val="00810509"/>
    <w:rsid w:val="008109F5"/>
    <w:rsid w:val="00817C73"/>
    <w:rsid w:val="008204E7"/>
    <w:rsid w:val="008209EB"/>
    <w:rsid w:val="00826B74"/>
    <w:rsid w:val="0082702A"/>
    <w:rsid w:val="00827DA2"/>
    <w:rsid w:val="0083270A"/>
    <w:rsid w:val="00833064"/>
    <w:rsid w:val="00833078"/>
    <w:rsid w:val="00834B9E"/>
    <w:rsid w:val="0083507A"/>
    <w:rsid w:val="008403C9"/>
    <w:rsid w:val="008410EA"/>
    <w:rsid w:val="00841CCE"/>
    <w:rsid w:val="00844DE2"/>
    <w:rsid w:val="00851ADA"/>
    <w:rsid w:val="00852442"/>
    <w:rsid w:val="00852671"/>
    <w:rsid w:val="00855434"/>
    <w:rsid w:val="0086417D"/>
    <w:rsid w:val="00865949"/>
    <w:rsid w:val="00865E72"/>
    <w:rsid w:val="0087254C"/>
    <w:rsid w:val="00880456"/>
    <w:rsid w:val="00880EEA"/>
    <w:rsid w:val="00881391"/>
    <w:rsid w:val="008814F7"/>
    <w:rsid w:val="0088503F"/>
    <w:rsid w:val="00891E91"/>
    <w:rsid w:val="00893FB3"/>
    <w:rsid w:val="008956A4"/>
    <w:rsid w:val="008A183F"/>
    <w:rsid w:val="008B3CBB"/>
    <w:rsid w:val="008B5814"/>
    <w:rsid w:val="008B62FD"/>
    <w:rsid w:val="008C3EC6"/>
    <w:rsid w:val="008D7DF2"/>
    <w:rsid w:val="008E4CB7"/>
    <w:rsid w:val="008E6F15"/>
    <w:rsid w:val="008F40FB"/>
    <w:rsid w:val="008F66AB"/>
    <w:rsid w:val="00903714"/>
    <w:rsid w:val="00906BFB"/>
    <w:rsid w:val="00906F12"/>
    <w:rsid w:val="009124A0"/>
    <w:rsid w:val="009124EA"/>
    <w:rsid w:val="009131BC"/>
    <w:rsid w:val="0091538B"/>
    <w:rsid w:val="0091686D"/>
    <w:rsid w:val="00920A1C"/>
    <w:rsid w:val="00924039"/>
    <w:rsid w:val="00924B80"/>
    <w:rsid w:val="00924F9F"/>
    <w:rsid w:val="0093563E"/>
    <w:rsid w:val="009358C2"/>
    <w:rsid w:val="009368B7"/>
    <w:rsid w:val="00937BCD"/>
    <w:rsid w:val="009428D9"/>
    <w:rsid w:val="00943AD2"/>
    <w:rsid w:val="00943C36"/>
    <w:rsid w:val="009447D3"/>
    <w:rsid w:val="009476BF"/>
    <w:rsid w:val="00951A37"/>
    <w:rsid w:val="009537F4"/>
    <w:rsid w:val="00953D0B"/>
    <w:rsid w:val="00955619"/>
    <w:rsid w:val="00956FF9"/>
    <w:rsid w:val="009602D5"/>
    <w:rsid w:val="00961DAE"/>
    <w:rsid w:val="00966148"/>
    <w:rsid w:val="0096777C"/>
    <w:rsid w:val="009679E3"/>
    <w:rsid w:val="009713C5"/>
    <w:rsid w:val="00973C02"/>
    <w:rsid w:val="0097434D"/>
    <w:rsid w:val="0097736B"/>
    <w:rsid w:val="00977E05"/>
    <w:rsid w:val="00980038"/>
    <w:rsid w:val="00991D87"/>
    <w:rsid w:val="009942EE"/>
    <w:rsid w:val="009947B6"/>
    <w:rsid w:val="00994B38"/>
    <w:rsid w:val="00997AE4"/>
    <w:rsid w:val="009A17E5"/>
    <w:rsid w:val="009A61E8"/>
    <w:rsid w:val="009B027F"/>
    <w:rsid w:val="009B6492"/>
    <w:rsid w:val="009B7DFA"/>
    <w:rsid w:val="009C2E1C"/>
    <w:rsid w:val="009D2EE8"/>
    <w:rsid w:val="009D505F"/>
    <w:rsid w:val="009D576D"/>
    <w:rsid w:val="009D6C8F"/>
    <w:rsid w:val="009E1220"/>
    <w:rsid w:val="009E1DA1"/>
    <w:rsid w:val="009F4AB4"/>
    <w:rsid w:val="009F4EC4"/>
    <w:rsid w:val="009F71DC"/>
    <w:rsid w:val="00A0595D"/>
    <w:rsid w:val="00A0763E"/>
    <w:rsid w:val="00A15BF1"/>
    <w:rsid w:val="00A16CF0"/>
    <w:rsid w:val="00A17794"/>
    <w:rsid w:val="00A2103C"/>
    <w:rsid w:val="00A226EE"/>
    <w:rsid w:val="00A22730"/>
    <w:rsid w:val="00A34319"/>
    <w:rsid w:val="00A34518"/>
    <w:rsid w:val="00A35158"/>
    <w:rsid w:val="00A3726A"/>
    <w:rsid w:val="00A40390"/>
    <w:rsid w:val="00A40B65"/>
    <w:rsid w:val="00A42A79"/>
    <w:rsid w:val="00A4355D"/>
    <w:rsid w:val="00A46064"/>
    <w:rsid w:val="00A46134"/>
    <w:rsid w:val="00A50A31"/>
    <w:rsid w:val="00A50F3A"/>
    <w:rsid w:val="00A51E59"/>
    <w:rsid w:val="00A51FCA"/>
    <w:rsid w:val="00A52939"/>
    <w:rsid w:val="00A536DA"/>
    <w:rsid w:val="00A56980"/>
    <w:rsid w:val="00A5792C"/>
    <w:rsid w:val="00A6000E"/>
    <w:rsid w:val="00A60681"/>
    <w:rsid w:val="00A65ACF"/>
    <w:rsid w:val="00A66B3A"/>
    <w:rsid w:val="00A7134C"/>
    <w:rsid w:val="00A72F11"/>
    <w:rsid w:val="00A82C30"/>
    <w:rsid w:val="00A85DE0"/>
    <w:rsid w:val="00A96311"/>
    <w:rsid w:val="00A9631E"/>
    <w:rsid w:val="00A97441"/>
    <w:rsid w:val="00AA09A6"/>
    <w:rsid w:val="00AA23DE"/>
    <w:rsid w:val="00AA26E2"/>
    <w:rsid w:val="00AA7819"/>
    <w:rsid w:val="00AB0A99"/>
    <w:rsid w:val="00AB20D8"/>
    <w:rsid w:val="00AB2AD6"/>
    <w:rsid w:val="00AB436E"/>
    <w:rsid w:val="00AB672A"/>
    <w:rsid w:val="00AC4CC5"/>
    <w:rsid w:val="00AC7480"/>
    <w:rsid w:val="00AC7C42"/>
    <w:rsid w:val="00AD047B"/>
    <w:rsid w:val="00AD384E"/>
    <w:rsid w:val="00AE0995"/>
    <w:rsid w:val="00AE4572"/>
    <w:rsid w:val="00AE61E0"/>
    <w:rsid w:val="00AF3747"/>
    <w:rsid w:val="00AF459E"/>
    <w:rsid w:val="00AF4F93"/>
    <w:rsid w:val="00AF7870"/>
    <w:rsid w:val="00B018B9"/>
    <w:rsid w:val="00B053C3"/>
    <w:rsid w:val="00B062E1"/>
    <w:rsid w:val="00B1101F"/>
    <w:rsid w:val="00B11A0B"/>
    <w:rsid w:val="00B14D07"/>
    <w:rsid w:val="00B16963"/>
    <w:rsid w:val="00B16D4E"/>
    <w:rsid w:val="00B16E9D"/>
    <w:rsid w:val="00B21439"/>
    <w:rsid w:val="00B21C08"/>
    <w:rsid w:val="00B2439B"/>
    <w:rsid w:val="00B3208B"/>
    <w:rsid w:val="00B3254F"/>
    <w:rsid w:val="00B33628"/>
    <w:rsid w:val="00B337D1"/>
    <w:rsid w:val="00B4021A"/>
    <w:rsid w:val="00B43366"/>
    <w:rsid w:val="00B4431A"/>
    <w:rsid w:val="00B44DA6"/>
    <w:rsid w:val="00B460AF"/>
    <w:rsid w:val="00B512B6"/>
    <w:rsid w:val="00B52047"/>
    <w:rsid w:val="00B52987"/>
    <w:rsid w:val="00B52E59"/>
    <w:rsid w:val="00B6062D"/>
    <w:rsid w:val="00B62B35"/>
    <w:rsid w:val="00B64FBF"/>
    <w:rsid w:val="00B67639"/>
    <w:rsid w:val="00B70A06"/>
    <w:rsid w:val="00B70BE8"/>
    <w:rsid w:val="00B710EA"/>
    <w:rsid w:val="00B7222C"/>
    <w:rsid w:val="00B75595"/>
    <w:rsid w:val="00B806DB"/>
    <w:rsid w:val="00B81A5F"/>
    <w:rsid w:val="00B81BC5"/>
    <w:rsid w:val="00B83497"/>
    <w:rsid w:val="00B835C5"/>
    <w:rsid w:val="00B84EFF"/>
    <w:rsid w:val="00B97BC8"/>
    <w:rsid w:val="00BA12A8"/>
    <w:rsid w:val="00BA1FF0"/>
    <w:rsid w:val="00BA4F68"/>
    <w:rsid w:val="00BA7702"/>
    <w:rsid w:val="00BB1C54"/>
    <w:rsid w:val="00BB3625"/>
    <w:rsid w:val="00BC1B93"/>
    <w:rsid w:val="00BC2BD8"/>
    <w:rsid w:val="00BC46FA"/>
    <w:rsid w:val="00BC5280"/>
    <w:rsid w:val="00BC5724"/>
    <w:rsid w:val="00BC5B3E"/>
    <w:rsid w:val="00BC658C"/>
    <w:rsid w:val="00BD0A6B"/>
    <w:rsid w:val="00BD0AB3"/>
    <w:rsid w:val="00BD15D4"/>
    <w:rsid w:val="00BD3036"/>
    <w:rsid w:val="00BD45D9"/>
    <w:rsid w:val="00BD4C36"/>
    <w:rsid w:val="00BE73DB"/>
    <w:rsid w:val="00BF0461"/>
    <w:rsid w:val="00BF144D"/>
    <w:rsid w:val="00C01B8E"/>
    <w:rsid w:val="00C02FD8"/>
    <w:rsid w:val="00C0487E"/>
    <w:rsid w:val="00C056FE"/>
    <w:rsid w:val="00C05E2D"/>
    <w:rsid w:val="00C06C13"/>
    <w:rsid w:val="00C1080B"/>
    <w:rsid w:val="00C13D4D"/>
    <w:rsid w:val="00C14CA1"/>
    <w:rsid w:val="00C209EA"/>
    <w:rsid w:val="00C20BA6"/>
    <w:rsid w:val="00C211B3"/>
    <w:rsid w:val="00C23A44"/>
    <w:rsid w:val="00C306E8"/>
    <w:rsid w:val="00C3310F"/>
    <w:rsid w:val="00C33BBC"/>
    <w:rsid w:val="00C33DE9"/>
    <w:rsid w:val="00C354D6"/>
    <w:rsid w:val="00C36CCA"/>
    <w:rsid w:val="00C41350"/>
    <w:rsid w:val="00C446C7"/>
    <w:rsid w:val="00C4788A"/>
    <w:rsid w:val="00C53513"/>
    <w:rsid w:val="00C54327"/>
    <w:rsid w:val="00C56512"/>
    <w:rsid w:val="00C63104"/>
    <w:rsid w:val="00C63FEE"/>
    <w:rsid w:val="00C66F8D"/>
    <w:rsid w:val="00C67A64"/>
    <w:rsid w:val="00C67C0F"/>
    <w:rsid w:val="00C67FF7"/>
    <w:rsid w:val="00C70D6C"/>
    <w:rsid w:val="00C7112B"/>
    <w:rsid w:val="00C71F08"/>
    <w:rsid w:val="00C72802"/>
    <w:rsid w:val="00C74FCF"/>
    <w:rsid w:val="00C77049"/>
    <w:rsid w:val="00C856C1"/>
    <w:rsid w:val="00C92071"/>
    <w:rsid w:val="00C936A0"/>
    <w:rsid w:val="00C950B8"/>
    <w:rsid w:val="00C956B5"/>
    <w:rsid w:val="00C9728E"/>
    <w:rsid w:val="00C97402"/>
    <w:rsid w:val="00CA18BB"/>
    <w:rsid w:val="00CA1CF0"/>
    <w:rsid w:val="00CA5395"/>
    <w:rsid w:val="00CA582B"/>
    <w:rsid w:val="00CA5D25"/>
    <w:rsid w:val="00CA6079"/>
    <w:rsid w:val="00CA72AE"/>
    <w:rsid w:val="00CB10EF"/>
    <w:rsid w:val="00CB597F"/>
    <w:rsid w:val="00CB6067"/>
    <w:rsid w:val="00CC084C"/>
    <w:rsid w:val="00CC1E9F"/>
    <w:rsid w:val="00CC24A7"/>
    <w:rsid w:val="00CC312A"/>
    <w:rsid w:val="00CC57B3"/>
    <w:rsid w:val="00CC74B4"/>
    <w:rsid w:val="00CC764D"/>
    <w:rsid w:val="00CD31E5"/>
    <w:rsid w:val="00CD787F"/>
    <w:rsid w:val="00CE0248"/>
    <w:rsid w:val="00CE0EF2"/>
    <w:rsid w:val="00CE4B63"/>
    <w:rsid w:val="00CE6194"/>
    <w:rsid w:val="00CE64F2"/>
    <w:rsid w:val="00CE6AF3"/>
    <w:rsid w:val="00CF19DE"/>
    <w:rsid w:val="00CF5B9A"/>
    <w:rsid w:val="00D02D61"/>
    <w:rsid w:val="00D1278A"/>
    <w:rsid w:val="00D15D0C"/>
    <w:rsid w:val="00D20E2B"/>
    <w:rsid w:val="00D21C12"/>
    <w:rsid w:val="00D23599"/>
    <w:rsid w:val="00D23E95"/>
    <w:rsid w:val="00D31555"/>
    <w:rsid w:val="00D33231"/>
    <w:rsid w:val="00D33436"/>
    <w:rsid w:val="00D34012"/>
    <w:rsid w:val="00D34F14"/>
    <w:rsid w:val="00D43998"/>
    <w:rsid w:val="00D451AE"/>
    <w:rsid w:val="00D47828"/>
    <w:rsid w:val="00D52296"/>
    <w:rsid w:val="00D61A7B"/>
    <w:rsid w:val="00D62BEF"/>
    <w:rsid w:val="00D63246"/>
    <w:rsid w:val="00D63C82"/>
    <w:rsid w:val="00D6600A"/>
    <w:rsid w:val="00D67693"/>
    <w:rsid w:val="00D70310"/>
    <w:rsid w:val="00D76D45"/>
    <w:rsid w:val="00D77890"/>
    <w:rsid w:val="00D87C24"/>
    <w:rsid w:val="00D90CBF"/>
    <w:rsid w:val="00D90D80"/>
    <w:rsid w:val="00D90F48"/>
    <w:rsid w:val="00D9166B"/>
    <w:rsid w:val="00D92CB4"/>
    <w:rsid w:val="00D93E95"/>
    <w:rsid w:val="00D94313"/>
    <w:rsid w:val="00D9661D"/>
    <w:rsid w:val="00DA6F3C"/>
    <w:rsid w:val="00DA7F57"/>
    <w:rsid w:val="00DB44CE"/>
    <w:rsid w:val="00DB77FF"/>
    <w:rsid w:val="00DC05D3"/>
    <w:rsid w:val="00DC09DD"/>
    <w:rsid w:val="00DC0CCD"/>
    <w:rsid w:val="00DC1F65"/>
    <w:rsid w:val="00DC381D"/>
    <w:rsid w:val="00DC4367"/>
    <w:rsid w:val="00DC4ED8"/>
    <w:rsid w:val="00DC6605"/>
    <w:rsid w:val="00DD02E8"/>
    <w:rsid w:val="00DD2DE6"/>
    <w:rsid w:val="00DD3D15"/>
    <w:rsid w:val="00DD3E84"/>
    <w:rsid w:val="00DE5642"/>
    <w:rsid w:val="00DF281F"/>
    <w:rsid w:val="00DF3D0D"/>
    <w:rsid w:val="00DF3DC8"/>
    <w:rsid w:val="00DF57D1"/>
    <w:rsid w:val="00DF64E9"/>
    <w:rsid w:val="00E027CE"/>
    <w:rsid w:val="00E056D7"/>
    <w:rsid w:val="00E0745C"/>
    <w:rsid w:val="00E102DA"/>
    <w:rsid w:val="00E1097F"/>
    <w:rsid w:val="00E111BB"/>
    <w:rsid w:val="00E146ED"/>
    <w:rsid w:val="00E16FDE"/>
    <w:rsid w:val="00E1767E"/>
    <w:rsid w:val="00E2042D"/>
    <w:rsid w:val="00E2091C"/>
    <w:rsid w:val="00E228B6"/>
    <w:rsid w:val="00E310B1"/>
    <w:rsid w:val="00E32456"/>
    <w:rsid w:val="00E4144D"/>
    <w:rsid w:val="00E4230F"/>
    <w:rsid w:val="00E436DC"/>
    <w:rsid w:val="00E43FF3"/>
    <w:rsid w:val="00E4749A"/>
    <w:rsid w:val="00E477FD"/>
    <w:rsid w:val="00E52021"/>
    <w:rsid w:val="00E521EB"/>
    <w:rsid w:val="00E57F5B"/>
    <w:rsid w:val="00E60318"/>
    <w:rsid w:val="00E60925"/>
    <w:rsid w:val="00E6445A"/>
    <w:rsid w:val="00E6573E"/>
    <w:rsid w:val="00E66357"/>
    <w:rsid w:val="00E7160D"/>
    <w:rsid w:val="00E73ED6"/>
    <w:rsid w:val="00E74B21"/>
    <w:rsid w:val="00E763A5"/>
    <w:rsid w:val="00E808CB"/>
    <w:rsid w:val="00E863E0"/>
    <w:rsid w:val="00E92ACF"/>
    <w:rsid w:val="00E9701C"/>
    <w:rsid w:val="00E973D6"/>
    <w:rsid w:val="00EA07A3"/>
    <w:rsid w:val="00EA26F9"/>
    <w:rsid w:val="00EA5739"/>
    <w:rsid w:val="00EA788E"/>
    <w:rsid w:val="00EB2EB9"/>
    <w:rsid w:val="00EB3925"/>
    <w:rsid w:val="00EB427C"/>
    <w:rsid w:val="00EB6EE6"/>
    <w:rsid w:val="00EC0705"/>
    <w:rsid w:val="00EC255E"/>
    <w:rsid w:val="00EC4610"/>
    <w:rsid w:val="00EC4C08"/>
    <w:rsid w:val="00EC5771"/>
    <w:rsid w:val="00EC5BF5"/>
    <w:rsid w:val="00EC657E"/>
    <w:rsid w:val="00EC7372"/>
    <w:rsid w:val="00ED4A87"/>
    <w:rsid w:val="00EE0E56"/>
    <w:rsid w:val="00EE4F64"/>
    <w:rsid w:val="00EE51D4"/>
    <w:rsid w:val="00EE5F32"/>
    <w:rsid w:val="00EE64A4"/>
    <w:rsid w:val="00EE65EC"/>
    <w:rsid w:val="00EF5878"/>
    <w:rsid w:val="00EF70AA"/>
    <w:rsid w:val="00F02B46"/>
    <w:rsid w:val="00F0319D"/>
    <w:rsid w:val="00F04F98"/>
    <w:rsid w:val="00F05061"/>
    <w:rsid w:val="00F110C6"/>
    <w:rsid w:val="00F14235"/>
    <w:rsid w:val="00F15B6C"/>
    <w:rsid w:val="00F15EB8"/>
    <w:rsid w:val="00F16CDF"/>
    <w:rsid w:val="00F17D46"/>
    <w:rsid w:val="00F2225E"/>
    <w:rsid w:val="00F2283B"/>
    <w:rsid w:val="00F239CB"/>
    <w:rsid w:val="00F23F45"/>
    <w:rsid w:val="00F252DC"/>
    <w:rsid w:val="00F30FE9"/>
    <w:rsid w:val="00F31331"/>
    <w:rsid w:val="00F33CC9"/>
    <w:rsid w:val="00F34211"/>
    <w:rsid w:val="00F4212C"/>
    <w:rsid w:val="00F42509"/>
    <w:rsid w:val="00F500B7"/>
    <w:rsid w:val="00F50EBF"/>
    <w:rsid w:val="00F50EDA"/>
    <w:rsid w:val="00F5118F"/>
    <w:rsid w:val="00F567F0"/>
    <w:rsid w:val="00F56BED"/>
    <w:rsid w:val="00F619B0"/>
    <w:rsid w:val="00F62C6E"/>
    <w:rsid w:val="00F63C6E"/>
    <w:rsid w:val="00F659C0"/>
    <w:rsid w:val="00F65FF0"/>
    <w:rsid w:val="00F67CA1"/>
    <w:rsid w:val="00F72A15"/>
    <w:rsid w:val="00F730F8"/>
    <w:rsid w:val="00F736AA"/>
    <w:rsid w:val="00F737E6"/>
    <w:rsid w:val="00F75289"/>
    <w:rsid w:val="00F76482"/>
    <w:rsid w:val="00F80272"/>
    <w:rsid w:val="00F81786"/>
    <w:rsid w:val="00F83AFF"/>
    <w:rsid w:val="00F86890"/>
    <w:rsid w:val="00F94545"/>
    <w:rsid w:val="00FA0BC5"/>
    <w:rsid w:val="00FA1560"/>
    <w:rsid w:val="00FA2A52"/>
    <w:rsid w:val="00FA4464"/>
    <w:rsid w:val="00FA584D"/>
    <w:rsid w:val="00FB5088"/>
    <w:rsid w:val="00FB6540"/>
    <w:rsid w:val="00FB6B46"/>
    <w:rsid w:val="00FC1ABD"/>
    <w:rsid w:val="00FC2D75"/>
    <w:rsid w:val="00FC2EEE"/>
    <w:rsid w:val="00FC34C8"/>
    <w:rsid w:val="00FC4CD8"/>
    <w:rsid w:val="00FC5551"/>
    <w:rsid w:val="00FC5E3E"/>
    <w:rsid w:val="00FE439E"/>
    <w:rsid w:val="00FF4C59"/>
    <w:rsid w:val="00FF768B"/>
    <w:rsid w:val="0224C17D"/>
    <w:rsid w:val="0D4DB07B"/>
    <w:rsid w:val="118BF3F4"/>
    <w:rsid w:val="19654840"/>
    <w:rsid w:val="202DDD3F"/>
    <w:rsid w:val="211F042F"/>
    <w:rsid w:val="2613A31D"/>
    <w:rsid w:val="29A2266B"/>
    <w:rsid w:val="2B833124"/>
    <w:rsid w:val="2E287B62"/>
    <w:rsid w:val="2EDB3743"/>
    <w:rsid w:val="33396116"/>
    <w:rsid w:val="3B9CBB0B"/>
    <w:rsid w:val="457207CF"/>
    <w:rsid w:val="46212D9B"/>
    <w:rsid w:val="49F794A1"/>
    <w:rsid w:val="549EAD48"/>
    <w:rsid w:val="5C211313"/>
    <w:rsid w:val="5EFAF138"/>
    <w:rsid w:val="641DEE44"/>
    <w:rsid w:val="679453F5"/>
    <w:rsid w:val="6C569DCD"/>
    <w:rsid w:val="6E409F8E"/>
    <w:rsid w:val="740D4924"/>
    <w:rsid w:val="751BB593"/>
    <w:rsid w:val="7836443D"/>
    <w:rsid w:val="79B415E0"/>
    <w:rsid w:val="7CEB46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3D0C3072-300D-4E90-A697-88CC64B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48725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D20E2B"/>
    <w:rPr>
      <w:sz w:val="22"/>
      <w:szCs w:val="20"/>
    </w:rPr>
  </w:style>
  <w:style w:type="paragraph" w:styleId="Header">
    <w:name w:val="header"/>
    <w:basedOn w:val="Normal"/>
    <w:link w:val="HeaderChar"/>
    <w:uiPriority w:val="99"/>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E228B6"/>
    <w:rPr>
      <w:sz w:val="22"/>
    </w:rPr>
  </w:style>
  <w:style w:type="character" w:styleId="UnresolvedMention">
    <w:name w:val="Unresolved Mention"/>
    <w:basedOn w:val="DefaultParagraphFont"/>
    <w:uiPriority w:val="99"/>
    <w:semiHidden/>
    <w:unhideWhenUsed/>
    <w:rsid w:val="00826B74"/>
    <w:rPr>
      <w:color w:val="605E5C"/>
      <w:shd w:val="clear" w:color="auto" w:fill="E1DFDD"/>
    </w:rPr>
  </w:style>
  <w:style w:type="character" w:styleId="CommentReference">
    <w:name w:val="annotation reference"/>
    <w:basedOn w:val="DefaultParagraphFont"/>
    <w:rsid w:val="00356F3D"/>
    <w:rPr>
      <w:sz w:val="16"/>
      <w:szCs w:val="16"/>
    </w:rPr>
  </w:style>
  <w:style w:type="paragraph" w:styleId="CommentText">
    <w:name w:val="annotation text"/>
    <w:basedOn w:val="Normal"/>
    <w:link w:val="CommentTextChar"/>
    <w:rsid w:val="00356F3D"/>
    <w:rPr>
      <w:sz w:val="20"/>
      <w:szCs w:val="20"/>
    </w:rPr>
  </w:style>
  <w:style w:type="character" w:customStyle="1" w:styleId="CommentTextChar">
    <w:name w:val="Comment Text Char"/>
    <w:basedOn w:val="DefaultParagraphFont"/>
    <w:link w:val="CommentText"/>
    <w:rsid w:val="00356F3D"/>
  </w:style>
  <w:style w:type="paragraph" w:styleId="CommentSubject">
    <w:name w:val="annotation subject"/>
    <w:basedOn w:val="CommentText"/>
    <w:next w:val="CommentText"/>
    <w:link w:val="CommentSubjectChar"/>
    <w:rsid w:val="00356F3D"/>
    <w:rPr>
      <w:b/>
      <w:bCs/>
    </w:rPr>
  </w:style>
  <w:style w:type="character" w:customStyle="1" w:styleId="CommentSubjectChar">
    <w:name w:val="Comment Subject Char"/>
    <w:basedOn w:val="CommentTextChar"/>
    <w:link w:val="CommentSubject"/>
    <w:rsid w:val="00356F3D"/>
    <w:rPr>
      <w:b/>
      <w:bCs/>
    </w:rPr>
  </w:style>
  <w:style w:type="paragraph" w:styleId="Revision">
    <w:name w:val="Revision"/>
    <w:hidden/>
    <w:uiPriority w:val="99"/>
    <w:semiHidden/>
    <w:rsid w:val="00D62BEF"/>
    <w:rPr>
      <w:sz w:val="26"/>
      <w:szCs w:val="24"/>
    </w:rPr>
  </w:style>
  <w:style w:type="character" w:customStyle="1" w:styleId="HeaderChar">
    <w:name w:val="Header Char"/>
    <w:basedOn w:val="DefaultParagraphFont"/>
    <w:link w:val="Header"/>
    <w:uiPriority w:val="99"/>
    <w:rsid w:val="00295D9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icrPublicCommentRequest?ref_nbr=202601-1902-004" TargetMode="External" /><Relationship Id="rId12" Type="http://schemas.openxmlformats.org/officeDocument/2006/relationships/hyperlink" Target="https://www.reginfo.gov/public/do/PRA/icrPublicCommentRequest?ref_nbr=202601-1902-005" TargetMode="External" /><Relationship Id="rId13" Type="http://schemas.openxmlformats.org/officeDocument/2006/relationships/hyperlink" Target="https://www.reginfo.gov/public/do/PRAMain" TargetMode="External" /><Relationship Id="rId14" Type="http://schemas.openxmlformats.org/officeDocument/2006/relationships/hyperlink" Target="mailto:DataClearance@FERC.gov" TargetMode="External" /><Relationship Id="rId15" Type="http://schemas.openxmlformats.org/officeDocument/2006/relationships/hyperlink" Target="https://elibrary.ferc.gov/eLibrary/search"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EE5F0-028C-4009-8EAF-07FDA372AE6E}">
  <ds:schemaRefs>
    <ds:schemaRef ds:uri="Microsoft.SharePoint.Taxonomy.ContentTypeSync"/>
  </ds:schemaRefs>
</ds:datastoreItem>
</file>

<file path=customXml/itemProps2.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3.xml><?xml version="1.0" encoding="utf-8"?>
<ds:datastoreItem xmlns:ds="http://schemas.openxmlformats.org/officeDocument/2006/customXml" ds:itemID="{1238E832-110B-4A4B-9991-5C2CC4D01FD9}">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5.xml><?xml version="1.0" encoding="utf-8"?>
<ds:datastoreItem xmlns:ds="http://schemas.openxmlformats.org/officeDocument/2006/customXml" ds:itemID="{0541EFB2-D91F-496A-9841-051945CBA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134</TotalTime>
  <Pages>7</Pages>
  <Words>1340</Words>
  <Characters>8165</Characters>
  <Application>Microsoft Office Word</Application>
  <DocSecurity>0</DocSecurity>
  <Lines>272</Lines>
  <Paragraphs>137</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2011-07-30T03:17:00Z</cp:lastPrinted>
  <dcterms:created xsi:type="dcterms:W3CDTF">2026-03-17T22:40:00Z</dcterms:created>
  <dcterms:modified xsi:type="dcterms:W3CDTF">2026-03-26T20:19:00Z</dcterms:modified>
</cp:coreProperties>
</file>