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3045D" w:rsidP="5656C271" w14:paraId="0780217A" w14:textId="6A667FB9">
      <w:pPr>
        <w:tabs>
          <w:tab w:val="center" w:pos="5040"/>
        </w:tabs>
        <w:autoSpaceDE w:val="0"/>
        <w:autoSpaceDN w:val="0"/>
        <w:adjustRightInd w:val="0"/>
        <w:spacing w:after="0" w:line="240" w:lineRule="auto"/>
        <w:jc w:val="center"/>
        <w:rPr>
          <w:rFonts w:ascii="Times New Roman" w:eastAsia="Times New Roman" w:hAnsi="Times New Roman" w:cs="Times New Roman"/>
          <w:sz w:val="26"/>
          <w:szCs w:val="26"/>
        </w:rPr>
      </w:pPr>
    </w:p>
    <w:p w:rsidR="00CF0F47" w:rsidRPr="00CF0F47" w:rsidP="5656C271" w14:paraId="599108D4" w14:textId="6BBE4C46">
      <w:pPr>
        <w:tabs>
          <w:tab w:val="center" w:pos="5040"/>
        </w:tabs>
        <w:autoSpaceDE w:val="0"/>
        <w:autoSpaceDN w:val="0"/>
        <w:adjustRightInd w:val="0"/>
        <w:spacing w:after="0" w:line="240" w:lineRule="auto"/>
        <w:jc w:val="center"/>
        <w:rPr>
          <w:rFonts w:ascii="Times New Roman" w:eastAsia="Times New Roman" w:hAnsi="Times New Roman" w:cs="Times New Roman"/>
          <w:sz w:val="26"/>
          <w:szCs w:val="26"/>
        </w:rPr>
      </w:pPr>
      <w:r w:rsidRPr="5656C271">
        <w:rPr>
          <w:rFonts w:ascii="Times New Roman" w:eastAsia="Times New Roman" w:hAnsi="Times New Roman" w:cs="Times New Roman"/>
          <w:b/>
          <w:bCs/>
          <w:sz w:val="26"/>
          <w:szCs w:val="26"/>
        </w:rPr>
        <w:t>Supporting Statement for</w:t>
      </w:r>
      <w:r w:rsidRPr="5656C271" w:rsidR="00125C8B">
        <w:rPr>
          <w:rFonts w:ascii="Times New Roman" w:eastAsia="Times New Roman" w:hAnsi="Times New Roman" w:cs="Times New Roman"/>
          <w:sz w:val="26"/>
          <w:szCs w:val="26"/>
        </w:rPr>
        <w:t>:</w:t>
      </w:r>
    </w:p>
    <w:p w:rsidR="00CF0F47" w:rsidRPr="001C4160" w:rsidP="00CF0F47" w14:paraId="2C0CA01B" w14:textId="286377DC">
      <w:pPr>
        <w:jc w:val="center"/>
        <w:rPr>
          <w:rFonts w:ascii="Times New Roman" w:eastAsia="Times New Roman" w:hAnsi="Times New Roman" w:cs="Times New Roman"/>
          <w:sz w:val="26"/>
          <w:szCs w:val="26"/>
        </w:rPr>
      </w:pPr>
      <w:r w:rsidRPr="5656C271">
        <w:rPr>
          <w:rFonts w:ascii="Times New Roman" w:eastAsia="Times New Roman" w:hAnsi="Times New Roman" w:cs="Times New Roman"/>
          <w:b/>
          <w:bCs/>
          <w:sz w:val="26"/>
          <w:szCs w:val="26"/>
        </w:rPr>
        <w:t>FERC-</w:t>
      </w:r>
      <w:r w:rsidRPr="5656C271" w:rsidR="007A74C6">
        <w:rPr>
          <w:rFonts w:ascii="Times New Roman" w:eastAsia="Times New Roman" w:hAnsi="Times New Roman" w:cs="Times New Roman"/>
          <w:b/>
          <w:bCs/>
          <w:sz w:val="26"/>
          <w:szCs w:val="26"/>
        </w:rPr>
        <w:t>549E</w:t>
      </w:r>
      <w:r w:rsidRPr="5656C271">
        <w:rPr>
          <w:rFonts w:ascii="Times New Roman" w:eastAsia="Times New Roman" w:hAnsi="Times New Roman" w:cs="Times New Roman"/>
          <w:b/>
          <w:bCs/>
          <w:sz w:val="26"/>
          <w:szCs w:val="26"/>
        </w:rPr>
        <w:t xml:space="preserve">, </w:t>
      </w:r>
      <w:r w:rsidRPr="5656C271" w:rsidR="00E05040">
        <w:rPr>
          <w:rFonts w:ascii="Times New Roman" w:eastAsia="Calibri" w:hAnsi="Times New Roman" w:cs="Times New Roman"/>
          <w:b/>
          <w:bCs/>
          <w:sz w:val="26"/>
          <w:szCs w:val="26"/>
        </w:rPr>
        <w:t>Price Index Data Providers and Developers</w:t>
      </w:r>
    </w:p>
    <w:p w:rsidR="00CF0F47" w:rsidRPr="009A22B9" w:rsidP="009A22B9" w14:paraId="3A5082FA" w14:textId="0D2B95B1">
      <w:pPr>
        <w:rPr>
          <w:rFonts w:ascii="Times New Roman" w:eastAsia="Calibri" w:hAnsi="Times New Roman" w:cs="Times New Roman"/>
          <w:sz w:val="26"/>
          <w:szCs w:val="26"/>
        </w:rPr>
      </w:pPr>
      <w:r w:rsidRPr="6867D0E1">
        <w:rPr>
          <w:rFonts w:ascii="Times New Roman" w:eastAsia="Calibri" w:hAnsi="Times New Roman" w:cs="Times New Roman"/>
          <w:sz w:val="26"/>
          <w:szCs w:val="26"/>
        </w:rPr>
        <w:t>The Federal Energy Regulatory Commission (Commission or FERC) requests that the Office of Management and Budget (OMB) review and approve</w:t>
      </w:r>
      <w:r w:rsidRPr="6867D0E1" w:rsidR="009F0899">
        <w:rPr>
          <w:rFonts w:ascii="Times New Roman" w:eastAsia="Calibri" w:hAnsi="Times New Roman" w:cs="Times New Roman"/>
          <w:sz w:val="26"/>
          <w:szCs w:val="26"/>
        </w:rPr>
        <w:t xml:space="preserve"> </w:t>
      </w:r>
      <w:r w:rsidR="00125C8B">
        <w:rPr>
          <w:rFonts w:ascii="Times New Roman" w:eastAsia="Calibri" w:hAnsi="Times New Roman" w:cs="Times New Roman"/>
          <w:sz w:val="26"/>
          <w:szCs w:val="26"/>
        </w:rPr>
        <w:t xml:space="preserve">the information collection under </w:t>
      </w:r>
      <w:r w:rsidRPr="6867D0E1">
        <w:rPr>
          <w:rFonts w:ascii="Times New Roman" w:eastAsia="Calibri" w:hAnsi="Times New Roman" w:cs="Times New Roman"/>
          <w:sz w:val="26"/>
          <w:szCs w:val="26"/>
        </w:rPr>
        <w:t>FERC-</w:t>
      </w:r>
      <w:r w:rsidRPr="6867D0E1" w:rsidR="007A74C6">
        <w:rPr>
          <w:rFonts w:ascii="Times New Roman" w:eastAsia="Calibri" w:hAnsi="Times New Roman" w:cs="Times New Roman"/>
          <w:sz w:val="26"/>
          <w:szCs w:val="26"/>
        </w:rPr>
        <w:t>549E</w:t>
      </w:r>
      <w:r w:rsidRPr="6867D0E1">
        <w:rPr>
          <w:rFonts w:ascii="Times New Roman" w:eastAsia="Calibri" w:hAnsi="Times New Roman" w:cs="Times New Roman"/>
          <w:sz w:val="26"/>
          <w:szCs w:val="26"/>
        </w:rPr>
        <w:t xml:space="preserve">, </w:t>
      </w:r>
      <w:r w:rsidRPr="00125C8B" w:rsidR="00457412">
        <w:rPr>
          <w:rFonts w:ascii="Times New Roman" w:eastAsia="Calibri" w:hAnsi="Times New Roman" w:cs="Times New Roman"/>
          <w:i/>
          <w:iCs/>
          <w:sz w:val="26"/>
          <w:szCs w:val="26"/>
        </w:rPr>
        <w:t>Price Index Data Providers and Developers</w:t>
      </w:r>
      <w:r w:rsidRPr="6867D0E1">
        <w:rPr>
          <w:rFonts w:ascii="Times New Roman" w:eastAsia="Calibri" w:hAnsi="Times New Roman" w:cs="Times New Roman"/>
          <w:sz w:val="26"/>
          <w:szCs w:val="26"/>
        </w:rPr>
        <w:t xml:space="preserve"> (OMB Control No. 1902-</w:t>
      </w:r>
      <w:r w:rsidR="008D4B48">
        <w:rPr>
          <w:rFonts w:ascii="Times New Roman" w:eastAsia="Calibri" w:hAnsi="Times New Roman" w:cs="Times New Roman"/>
          <w:sz w:val="26"/>
          <w:szCs w:val="26"/>
        </w:rPr>
        <w:t>0328</w:t>
      </w:r>
      <w:r w:rsidRPr="6867D0E1">
        <w:rPr>
          <w:rFonts w:ascii="Times New Roman" w:eastAsia="Calibri" w:hAnsi="Times New Roman" w:cs="Times New Roman"/>
          <w:sz w:val="26"/>
          <w:szCs w:val="26"/>
        </w:rPr>
        <w:t>)</w:t>
      </w:r>
      <w:r w:rsidRPr="6867D0E1" w:rsidR="000252E6">
        <w:rPr>
          <w:rFonts w:ascii="Times New Roman" w:eastAsia="Calibri" w:hAnsi="Times New Roman" w:cs="Times New Roman"/>
          <w:sz w:val="26"/>
          <w:szCs w:val="26"/>
        </w:rPr>
        <w:t xml:space="preserve"> </w:t>
      </w:r>
      <w:r w:rsidRPr="6867D0E1">
        <w:rPr>
          <w:rFonts w:ascii="Times New Roman" w:eastAsia="Calibri" w:hAnsi="Times New Roman" w:cs="Times New Roman"/>
          <w:sz w:val="26"/>
          <w:szCs w:val="26"/>
        </w:rPr>
        <w:t xml:space="preserve">for a three-year period </w:t>
      </w:r>
      <w:r w:rsidR="00125C8B">
        <w:rPr>
          <w:rFonts w:ascii="Times New Roman" w:eastAsia="Calibri" w:hAnsi="Times New Roman" w:cs="Times New Roman"/>
          <w:sz w:val="26"/>
          <w:szCs w:val="26"/>
        </w:rPr>
        <w:t>with no change to reporting requirements.</w:t>
      </w:r>
      <w:r w:rsidR="004F42A8">
        <w:rPr>
          <w:rFonts w:ascii="Times New Roman" w:eastAsia="Calibri" w:hAnsi="Times New Roman" w:cs="Times New Roman"/>
          <w:sz w:val="26"/>
          <w:szCs w:val="26"/>
        </w:rPr>
        <w:t xml:space="preserve"> </w:t>
      </w:r>
      <w:r w:rsidRPr="6867D0E1" w:rsidR="005C28CD">
        <w:rPr>
          <w:rFonts w:ascii="Times New Roman" w:eastAsia="Times New Roman" w:hAnsi="Times New Roman" w:cs="Times New Roman"/>
          <w:sz w:val="26"/>
          <w:szCs w:val="26"/>
        </w:rPr>
        <w:t>FERC-</w:t>
      </w:r>
      <w:r w:rsidRPr="6867D0E1" w:rsidR="007A74C6">
        <w:rPr>
          <w:rFonts w:ascii="Times New Roman" w:eastAsia="Times New Roman" w:hAnsi="Times New Roman" w:cs="Times New Roman"/>
          <w:sz w:val="26"/>
          <w:szCs w:val="26"/>
        </w:rPr>
        <w:t>549E</w:t>
      </w:r>
      <w:r w:rsidRPr="005C28CD" w:rsidR="005C28CD">
        <w:rPr>
          <w:rFonts w:ascii="Times New Roman" w:eastAsia="Times New Roman" w:hAnsi="Times New Roman" w:cs="Times New Roman"/>
          <w:sz w:val="26"/>
          <w:szCs w:val="26"/>
        </w:rPr>
        <w:t xml:space="preserve"> is an existing data collection with reporting requirement</w:t>
      </w:r>
      <w:r w:rsidR="005C28CD">
        <w:rPr>
          <w:rFonts w:ascii="Times New Roman" w:eastAsia="Times New Roman" w:hAnsi="Times New Roman" w:cs="Times New Roman"/>
          <w:sz w:val="26"/>
          <w:szCs w:val="26"/>
        </w:rPr>
        <w:t>s</w:t>
      </w:r>
      <w:r w:rsidRPr="005C28CD" w:rsidR="005C28CD">
        <w:rPr>
          <w:rFonts w:ascii="Times New Roman" w:eastAsia="Times New Roman" w:hAnsi="Times New Roman" w:cs="Times New Roman"/>
          <w:sz w:val="26"/>
          <w:szCs w:val="26"/>
        </w:rPr>
        <w:t xml:space="preserve"> in 18</w:t>
      </w:r>
      <w:r w:rsidR="005C28CD">
        <w:rPr>
          <w:rFonts w:ascii="Times New Roman" w:eastAsia="Times New Roman" w:hAnsi="Times New Roman" w:cs="Times New Roman"/>
          <w:sz w:val="26"/>
          <w:szCs w:val="26"/>
        </w:rPr>
        <w:t xml:space="preserve"> CFR</w:t>
      </w:r>
      <w:r w:rsidRPr="005C28CD" w:rsidR="005C28CD">
        <w:rPr>
          <w:rFonts w:ascii="Times New Roman" w:eastAsia="Times New Roman" w:hAnsi="Times New Roman" w:cs="Times New Roman"/>
          <w:sz w:val="26"/>
          <w:szCs w:val="26"/>
        </w:rPr>
        <w:t xml:space="preserve"> 284.</w:t>
      </w:r>
      <w:r w:rsidR="004F42A8">
        <w:rPr>
          <w:rFonts w:ascii="Times New Roman" w:eastAsia="Times New Roman" w:hAnsi="Times New Roman" w:cs="Times New Roman"/>
          <w:sz w:val="26"/>
          <w:szCs w:val="26"/>
        </w:rPr>
        <w:t xml:space="preserve"> </w:t>
      </w:r>
    </w:p>
    <w:p w:rsidR="00A83FAC" w:rsidP="00A83FAC" w14:paraId="47028901" w14:textId="77777777">
      <w:pPr>
        <w:spacing w:after="0" w:line="240" w:lineRule="auto"/>
        <w:rPr>
          <w:rFonts w:ascii="Times New Roman" w:eastAsia="Times New Roman" w:hAnsi="Times New Roman" w:cs="Times New Roman"/>
          <w:sz w:val="24"/>
          <w:szCs w:val="24"/>
        </w:rPr>
      </w:pPr>
    </w:p>
    <w:p w:rsidR="003A01F2" w:rsidRPr="003A01F2" w:rsidP="00A83FAC" w14:paraId="474EB817" w14:textId="77777777">
      <w:pPr>
        <w:spacing w:after="0" w:line="240" w:lineRule="auto"/>
        <w:rPr>
          <w:rFonts w:ascii="Times New Roman" w:eastAsia="Times New Roman" w:hAnsi="Times New Roman" w:cs="Times New Roman"/>
          <w:b/>
          <w:bCs/>
          <w:sz w:val="26"/>
          <w:szCs w:val="26"/>
        </w:rPr>
      </w:pPr>
      <w:r w:rsidRPr="003A01F2">
        <w:rPr>
          <w:rFonts w:ascii="Times New Roman" w:eastAsia="Times New Roman" w:hAnsi="Times New Roman" w:cs="Times New Roman"/>
          <w:b/>
          <w:bCs/>
          <w:sz w:val="26"/>
          <w:szCs w:val="26"/>
        </w:rPr>
        <w:t>Background</w:t>
      </w:r>
    </w:p>
    <w:p w:rsidR="00D24EDB" w:rsidRPr="003A01F2" w:rsidP="00D24EDB" w14:paraId="31F92432" w14:textId="2A404CE2">
      <w:pPr>
        <w:widowControl w:val="0"/>
        <w:autoSpaceDE w:val="0"/>
        <w:autoSpaceDN w:val="0"/>
        <w:spacing w:before="89" w:after="0" w:line="240" w:lineRule="auto"/>
        <w:rPr>
          <w:rFonts w:ascii="Times New Roman" w:eastAsia="Times New Roman" w:hAnsi="Times New Roman" w:cs="Times New Roman"/>
          <w:sz w:val="26"/>
          <w:szCs w:val="26"/>
        </w:rPr>
      </w:pPr>
      <w:r w:rsidRPr="003A01F2">
        <w:rPr>
          <w:rFonts w:ascii="Times New Roman" w:eastAsia="Times New Roman" w:hAnsi="Times New Roman" w:cs="Times New Roman"/>
          <w:sz w:val="26"/>
          <w:szCs w:val="26"/>
        </w:rPr>
        <w:t>On December 17, 2020, the Commission issued a proposed revised policy</w:t>
      </w:r>
      <w:r w:rsidRPr="003A01F2">
        <w:rPr>
          <w:rFonts w:ascii="Times New Roman" w:eastAsia="Times New Roman" w:hAnsi="Times New Roman" w:cs="Times New Roman"/>
          <w:spacing w:val="1"/>
          <w:sz w:val="26"/>
          <w:szCs w:val="26"/>
        </w:rPr>
        <w:t xml:space="preserve"> </w:t>
      </w:r>
      <w:r w:rsidRPr="003A01F2">
        <w:rPr>
          <w:rFonts w:ascii="Times New Roman" w:eastAsia="Times New Roman" w:hAnsi="Times New Roman" w:cs="Times New Roman"/>
          <w:sz w:val="26"/>
          <w:szCs w:val="26"/>
        </w:rPr>
        <w:t>statement</w:t>
      </w:r>
      <w:r>
        <w:rPr>
          <w:rStyle w:val="FootnoteReference"/>
          <w:rFonts w:ascii="Times New Roman" w:eastAsia="Times New Roman" w:hAnsi="Times New Roman" w:cs="Times New Roman"/>
          <w:sz w:val="26"/>
          <w:szCs w:val="26"/>
        </w:rPr>
        <w:footnoteReference w:id="3"/>
      </w:r>
      <w:r w:rsidRPr="003A01F2" w:rsidR="00BD130A">
        <w:rPr>
          <w:rFonts w:ascii="Times New Roman" w:eastAsia="Times New Roman" w:hAnsi="Times New Roman" w:cs="Times New Roman"/>
          <w:sz w:val="26"/>
          <w:szCs w:val="26"/>
        </w:rPr>
        <w:t xml:space="preserve"> </w:t>
      </w:r>
      <w:r w:rsidRPr="003A01F2">
        <w:rPr>
          <w:rFonts w:ascii="Times New Roman" w:eastAsia="Times New Roman" w:hAnsi="Times New Roman" w:cs="Times New Roman"/>
          <w:sz w:val="26"/>
          <w:szCs w:val="26"/>
        </w:rPr>
        <w:t>on natural gas and electric indices,</w:t>
      </w:r>
      <w:r w:rsidRPr="003A01F2" w:rsidR="00BD130A">
        <w:rPr>
          <w:rFonts w:ascii="Times New Roman" w:eastAsia="Times New Roman" w:hAnsi="Times New Roman" w:cs="Times New Roman"/>
          <w:sz w:val="26"/>
          <w:szCs w:val="26"/>
        </w:rPr>
        <w:t xml:space="preserve"> </w:t>
      </w:r>
      <w:r w:rsidRPr="003A01F2">
        <w:rPr>
          <w:rFonts w:ascii="Times New Roman" w:eastAsia="Times New Roman" w:hAnsi="Times New Roman" w:cs="Times New Roman"/>
          <w:sz w:val="26"/>
          <w:szCs w:val="26"/>
        </w:rPr>
        <w:t>proposing revisions to the price index</w:t>
      </w:r>
      <w:r w:rsidRPr="003A01F2">
        <w:rPr>
          <w:rFonts w:ascii="Times New Roman" w:eastAsia="Times New Roman" w:hAnsi="Times New Roman" w:cs="Times New Roman"/>
          <w:spacing w:val="1"/>
          <w:sz w:val="26"/>
          <w:szCs w:val="26"/>
        </w:rPr>
        <w:t xml:space="preserve"> </w:t>
      </w:r>
      <w:r w:rsidRPr="003A01F2">
        <w:rPr>
          <w:rFonts w:ascii="Times New Roman" w:eastAsia="Times New Roman" w:hAnsi="Times New Roman" w:cs="Times New Roman"/>
          <w:sz w:val="26"/>
          <w:szCs w:val="26"/>
        </w:rPr>
        <w:t xml:space="preserve">policy set forth in the </w:t>
      </w:r>
      <w:r w:rsidRPr="29BEC791" w:rsidR="00010F8F">
        <w:rPr>
          <w:rFonts w:ascii="Times New Roman" w:eastAsia="Times New Roman" w:hAnsi="Times New Roman" w:cs="Times New Roman"/>
          <w:sz w:val="26"/>
          <w:szCs w:val="26"/>
        </w:rPr>
        <w:t>Initial Policy Statement</w:t>
      </w:r>
      <w:r>
        <w:rPr>
          <w:rFonts w:ascii="Times New Roman" w:hAnsi="Times New Roman" w:cs="Times New Roman"/>
          <w:sz w:val="26"/>
          <w:szCs w:val="26"/>
          <w:vertAlign w:val="superscript"/>
        </w:rPr>
        <w:footnoteReference w:id="4"/>
      </w:r>
      <w:r w:rsidRPr="003A01F2" w:rsidR="3DA01A0B">
        <w:rPr>
          <w:rFonts w:ascii="Times New Roman" w:eastAsia="Times New Roman" w:hAnsi="Times New Roman" w:cs="Times New Roman"/>
          <w:sz w:val="26"/>
          <w:szCs w:val="26"/>
        </w:rPr>
        <w:t xml:space="preserve"> </w:t>
      </w:r>
      <w:r w:rsidRPr="003A01F2">
        <w:rPr>
          <w:rFonts w:ascii="Times New Roman" w:eastAsia="Times New Roman" w:hAnsi="Times New Roman" w:cs="Times New Roman"/>
          <w:sz w:val="26"/>
          <w:szCs w:val="26"/>
        </w:rPr>
        <w:t>to</w:t>
      </w:r>
      <w:r w:rsidRPr="003A01F2">
        <w:rPr>
          <w:rFonts w:ascii="Times New Roman" w:eastAsia="Times New Roman" w:hAnsi="Times New Roman" w:cs="Times New Roman"/>
          <w:spacing w:val="1"/>
          <w:sz w:val="26"/>
          <w:szCs w:val="26"/>
        </w:rPr>
        <w:t xml:space="preserve"> </w:t>
      </w:r>
      <w:r w:rsidRPr="003A01F2">
        <w:rPr>
          <w:rFonts w:ascii="Times New Roman" w:eastAsia="Times New Roman" w:hAnsi="Times New Roman" w:cs="Times New Roman"/>
          <w:sz w:val="26"/>
          <w:szCs w:val="26"/>
        </w:rPr>
        <w:t>encourage more market participants to report their transactions to price index developers</w:t>
      </w:r>
      <w:r w:rsidR="00954164">
        <w:rPr>
          <w:rFonts w:ascii="Times New Roman" w:eastAsia="Times New Roman" w:hAnsi="Times New Roman" w:cs="Times New Roman"/>
          <w:sz w:val="26"/>
          <w:szCs w:val="26"/>
        </w:rPr>
        <w:t xml:space="preserve"> </w:t>
      </w:r>
      <w:r w:rsidRPr="003A01F2">
        <w:rPr>
          <w:rFonts w:ascii="Times New Roman" w:eastAsia="Times New Roman" w:hAnsi="Times New Roman" w:cs="Times New Roman"/>
          <w:sz w:val="26"/>
          <w:szCs w:val="26"/>
        </w:rPr>
        <w:t>and to provide greater transparency into the natural gas price formation process</w:t>
      </w:r>
      <w:r w:rsidR="00C70C05">
        <w:rPr>
          <w:rFonts w:ascii="Times New Roman" w:eastAsia="Times New Roman" w:hAnsi="Times New Roman" w:cs="Times New Roman"/>
          <w:sz w:val="26"/>
          <w:szCs w:val="26"/>
        </w:rPr>
        <w:t>.</w:t>
      </w:r>
      <w:r w:rsidR="00280726">
        <w:rPr>
          <w:rFonts w:ascii="Times New Roman" w:eastAsia="Times New Roman" w:hAnsi="Times New Roman" w:cs="Times New Roman"/>
          <w:sz w:val="26"/>
          <w:szCs w:val="26"/>
        </w:rPr>
        <w:t xml:space="preserve"> </w:t>
      </w:r>
      <w:r w:rsidRPr="003A01F2">
        <w:rPr>
          <w:rFonts w:ascii="Times New Roman" w:eastAsia="Times New Roman" w:hAnsi="Times New Roman" w:cs="Times New Roman"/>
          <w:sz w:val="26"/>
          <w:szCs w:val="26"/>
        </w:rPr>
        <w:t>The</w:t>
      </w:r>
      <w:r w:rsidRPr="003A01F2">
        <w:rPr>
          <w:rFonts w:ascii="Times New Roman" w:eastAsia="Times New Roman" w:hAnsi="Times New Roman" w:cs="Times New Roman"/>
          <w:spacing w:val="1"/>
          <w:sz w:val="26"/>
          <w:szCs w:val="26"/>
        </w:rPr>
        <w:t xml:space="preserve"> </w:t>
      </w:r>
      <w:r w:rsidRPr="003A01F2">
        <w:rPr>
          <w:rFonts w:ascii="Times New Roman" w:eastAsia="Times New Roman" w:hAnsi="Times New Roman" w:cs="Times New Roman"/>
          <w:sz w:val="26"/>
          <w:szCs w:val="26"/>
        </w:rPr>
        <w:t>Commission</w:t>
      </w:r>
      <w:r w:rsidRPr="003A01F2">
        <w:rPr>
          <w:rFonts w:ascii="Times New Roman" w:eastAsia="Times New Roman" w:hAnsi="Times New Roman" w:cs="Times New Roman"/>
          <w:spacing w:val="-2"/>
          <w:sz w:val="26"/>
          <w:szCs w:val="26"/>
        </w:rPr>
        <w:t xml:space="preserve"> </w:t>
      </w:r>
      <w:r w:rsidRPr="003A01F2">
        <w:rPr>
          <w:rFonts w:ascii="Times New Roman" w:eastAsia="Times New Roman" w:hAnsi="Times New Roman" w:cs="Times New Roman"/>
          <w:sz w:val="26"/>
          <w:szCs w:val="26"/>
        </w:rPr>
        <w:t>indicated</w:t>
      </w:r>
      <w:r w:rsidRPr="003A01F2">
        <w:rPr>
          <w:rFonts w:ascii="Times New Roman" w:eastAsia="Times New Roman" w:hAnsi="Times New Roman" w:cs="Times New Roman"/>
          <w:spacing w:val="-2"/>
          <w:sz w:val="26"/>
          <w:szCs w:val="26"/>
        </w:rPr>
        <w:t xml:space="preserve"> </w:t>
      </w:r>
      <w:r w:rsidRPr="003A01F2">
        <w:rPr>
          <w:rFonts w:ascii="Times New Roman" w:eastAsia="Times New Roman" w:hAnsi="Times New Roman" w:cs="Times New Roman"/>
          <w:sz w:val="26"/>
          <w:szCs w:val="26"/>
        </w:rPr>
        <w:t>that</w:t>
      </w:r>
      <w:r w:rsidRPr="003A01F2">
        <w:rPr>
          <w:rFonts w:ascii="Times New Roman" w:eastAsia="Times New Roman" w:hAnsi="Times New Roman" w:cs="Times New Roman"/>
          <w:spacing w:val="-3"/>
          <w:sz w:val="26"/>
          <w:szCs w:val="26"/>
        </w:rPr>
        <w:t xml:space="preserve"> </w:t>
      </w:r>
      <w:r w:rsidRPr="003A01F2">
        <w:rPr>
          <w:rFonts w:ascii="Times New Roman" w:eastAsia="Times New Roman" w:hAnsi="Times New Roman" w:cs="Times New Roman"/>
          <w:sz w:val="26"/>
          <w:szCs w:val="26"/>
        </w:rPr>
        <w:t>the</w:t>
      </w:r>
      <w:r w:rsidR="00F40611">
        <w:rPr>
          <w:rFonts w:ascii="Times New Roman" w:eastAsia="Times New Roman" w:hAnsi="Times New Roman" w:cs="Times New Roman"/>
          <w:sz w:val="26"/>
          <w:szCs w:val="26"/>
        </w:rPr>
        <w:t xml:space="preserve"> </w:t>
      </w:r>
      <w:r w:rsidRPr="003A01F2" w:rsidR="00F40611">
        <w:rPr>
          <w:rFonts w:ascii="Times New Roman" w:eastAsia="Times New Roman" w:hAnsi="Times New Roman" w:cs="Times New Roman"/>
          <w:sz w:val="26"/>
          <w:szCs w:val="26"/>
        </w:rPr>
        <w:t>proposals</w:t>
      </w:r>
      <w:r w:rsidRPr="003A01F2" w:rsidR="00F40611">
        <w:rPr>
          <w:rFonts w:ascii="Times New Roman" w:eastAsia="Times New Roman" w:hAnsi="Times New Roman" w:cs="Times New Roman"/>
          <w:spacing w:val="-3"/>
          <w:sz w:val="26"/>
          <w:szCs w:val="26"/>
        </w:rPr>
        <w:t xml:space="preserve"> </w:t>
      </w:r>
      <w:r w:rsidRPr="003A01F2" w:rsidR="00F40611">
        <w:rPr>
          <w:rFonts w:ascii="Times New Roman" w:eastAsia="Times New Roman" w:hAnsi="Times New Roman" w:cs="Times New Roman"/>
          <w:sz w:val="26"/>
          <w:szCs w:val="26"/>
        </w:rPr>
        <w:t>in</w:t>
      </w:r>
      <w:r w:rsidRPr="003A01F2" w:rsidR="00F40611">
        <w:rPr>
          <w:rFonts w:ascii="Times New Roman" w:eastAsia="Times New Roman" w:hAnsi="Times New Roman" w:cs="Times New Roman"/>
          <w:spacing w:val="-3"/>
          <w:sz w:val="26"/>
          <w:szCs w:val="26"/>
        </w:rPr>
        <w:t xml:space="preserve"> </w:t>
      </w:r>
      <w:r w:rsidRPr="003A01F2" w:rsidR="00F40611">
        <w:rPr>
          <w:rFonts w:ascii="Times New Roman" w:eastAsia="Times New Roman" w:hAnsi="Times New Roman" w:cs="Times New Roman"/>
          <w:sz w:val="26"/>
          <w:szCs w:val="26"/>
        </w:rPr>
        <w:t>the</w:t>
      </w:r>
      <w:r w:rsidRPr="003A01F2" w:rsidR="00F40611">
        <w:rPr>
          <w:rFonts w:ascii="Times New Roman" w:eastAsia="Times New Roman" w:hAnsi="Times New Roman" w:cs="Times New Roman"/>
          <w:spacing w:val="-2"/>
          <w:sz w:val="26"/>
          <w:szCs w:val="26"/>
        </w:rPr>
        <w:t xml:space="preserve"> </w:t>
      </w:r>
      <w:r w:rsidRPr="003A01F2" w:rsidR="00F40611">
        <w:rPr>
          <w:rFonts w:ascii="Times New Roman" w:eastAsia="Times New Roman" w:hAnsi="Times New Roman" w:cs="Times New Roman"/>
          <w:sz w:val="26"/>
          <w:szCs w:val="26"/>
        </w:rPr>
        <w:t>Proposed</w:t>
      </w:r>
      <w:r w:rsidRPr="003A01F2" w:rsidR="00F40611">
        <w:rPr>
          <w:rFonts w:ascii="Times New Roman" w:eastAsia="Times New Roman" w:hAnsi="Times New Roman" w:cs="Times New Roman"/>
          <w:spacing w:val="-3"/>
          <w:sz w:val="26"/>
          <w:szCs w:val="26"/>
        </w:rPr>
        <w:t xml:space="preserve"> </w:t>
      </w:r>
      <w:r w:rsidRPr="00E06A28" w:rsidR="00F40611">
        <w:rPr>
          <w:rFonts w:ascii="Times New Roman" w:eastAsia="Times New Roman" w:hAnsi="Times New Roman" w:cs="Times New Roman"/>
          <w:sz w:val="26"/>
          <w:szCs w:val="26"/>
        </w:rPr>
        <w:t>Revised</w:t>
      </w:r>
      <w:r w:rsidRPr="00E06A28" w:rsidR="00F40611">
        <w:rPr>
          <w:rFonts w:ascii="Times New Roman" w:eastAsia="Times New Roman" w:hAnsi="Times New Roman" w:cs="Times New Roman"/>
          <w:spacing w:val="-2"/>
          <w:sz w:val="26"/>
          <w:szCs w:val="26"/>
        </w:rPr>
        <w:t xml:space="preserve"> </w:t>
      </w:r>
      <w:r w:rsidRPr="00EA74F8" w:rsidR="00F40611">
        <w:rPr>
          <w:rFonts w:ascii="Times New Roman" w:eastAsia="Times New Roman" w:hAnsi="Times New Roman" w:cs="Times New Roman"/>
          <w:sz w:val="26"/>
          <w:szCs w:val="26"/>
        </w:rPr>
        <w:t>Policy</w:t>
      </w:r>
      <w:r w:rsidRPr="00EA74F8" w:rsidR="00F40611">
        <w:rPr>
          <w:rFonts w:ascii="Times New Roman" w:eastAsia="Times New Roman" w:hAnsi="Times New Roman" w:cs="Times New Roman"/>
          <w:spacing w:val="-2"/>
          <w:sz w:val="26"/>
          <w:szCs w:val="26"/>
        </w:rPr>
        <w:t xml:space="preserve"> </w:t>
      </w:r>
      <w:r w:rsidRPr="00EA74F8" w:rsidR="00F40611">
        <w:rPr>
          <w:rFonts w:ascii="Times New Roman" w:eastAsia="Times New Roman" w:hAnsi="Times New Roman" w:cs="Times New Roman"/>
          <w:sz w:val="26"/>
          <w:szCs w:val="26"/>
        </w:rPr>
        <w:t>Statement</w:t>
      </w:r>
      <w:r w:rsidRPr="00EA74F8">
        <w:rPr>
          <w:rFonts w:ascii="Times New Roman" w:eastAsia="Times New Roman" w:hAnsi="Times New Roman" w:cs="Times New Roman"/>
          <w:spacing w:val="-3"/>
          <w:sz w:val="26"/>
          <w:szCs w:val="26"/>
        </w:rPr>
        <w:t xml:space="preserve"> </w:t>
      </w:r>
      <w:r w:rsidRPr="00EA74F8">
        <w:rPr>
          <w:rFonts w:ascii="Times New Roman" w:eastAsia="Times New Roman" w:hAnsi="Times New Roman" w:cs="Times New Roman"/>
          <w:sz w:val="26"/>
          <w:szCs w:val="26"/>
        </w:rPr>
        <w:t>would</w:t>
      </w:r>
      <w:r w:rsidRPr="00EA74F8">
        <w:rPr>
          <w:rFonts w:ascii="Times New Roman" w:eastAsia="Times New Roman" w:hAnsi="Times New Roman" w:cs="Times New Roman"/>
          <w:spacing w:val="-3"/>
          <w:sz w:val="26"/>
          <w:szCs w:val="26"/>
        </w:rPr>
        <w:t xml:space="preserve"> </w:t>
      </w:r>
      <w:r w:rsidRPr="00EA74F8">
        <w:rPr>
          <w:rFonts w:ascii="Times New Roman" w:eastAsia="Times New Roman" w:hAnsi="Times New Roman" w:cs="Times New Roman"/>
          <w:sz w:val="26"/>
          <w:szCs w:val="26"/>
        </w:rPr>
        <w:t>increase</w:t>
      </w:r>
      <w:r w:rsidRPr="00EA74F8">
        <w:rPr>
          <w:rFonts w:ascii="Times New Roman" w:eastAsia="Times New Roman" w:hAnsi="Times New Roman" w:cs="Times New Roman"/>
          <w:spacing w:val="-3"/>
          <w:sz w:val="26"/>
          <w:szCs w:val="26"/>
        </w:rPr>
        <w:t xml:space="preserve"> </w:t>
      </w:r>
      <w:r w:rsidRPr="00EA74F8">
        <w:rPr>
          <w:rFonts w:ascii="Times New Roman" w:eastAsia="Times New Roman" w:hAnsi="Times New Roman" w:cs="Times New Roman"/>
          <w:sz w:val="26"/>
          <w:szCs w:val="26"/>
        </w:rPr>
        <w:t>confidence</w:t>
      </w:r>
      <w:r w:rsidRPr="00EA74F8">
        <w:rPr>
          <w:rFonts w:ascii="Times New Roman" w:eastAsia="Times New Roman" w:hAnsi="Times New Roman" w:cs="Times New Roman"/>
          <w:spacing w:val="-3"/>
          <w:sz w:val="26"/>
          <w:szCs w:val="26"/>
        </w:rPr>
        <w:t xml:space="preserve"> </w:t>
      </w:r>
      <w:r w:rsidRPr="00EA74F8">
        <w:rPr>
          <w:rFonts w:ascii="Times New Roman" w:eastAsia="Times New Roman" w:hAnsi="Times New Roman" w:cs="Times New Roman"/>
          <w:sz w:val="26"/>
          <w:szCs w:val="26"/>
        </w:rPr>
        <w:t>in</w:t>
      </w:r>
      <w:r w:rsidRPr="00EA74F8">
        <w:rPr>
          <w:rFonts w:ascii="Times New Roman" w:eastAsia="Times New Roman" w:hAnsi="Times New Roman" w:cs="Times New Roman"/>
          <w:spacing w:val="-2"/>
          <w:sz w:val="26"/>
          <w:szCs w:val="26"/>
        </w:rPr>
        <w:t xml:space="preserve"> </w:t>
      </w:r>
      <w:r w:rsidRPr="00EA74F8">
        <w:rPr>
          <w:rFonts w:ascii="Times New Roman" w:eastAsia="Times New Roman" w:hAnsi="Times New Roman" w:cs="Times New Roman"/>
          <w:sz w:val="26"/>
          <w:szCs w:val="26"/>
        </w:rPr>
        <w:t>the</w:t>
      </w:r>
      <w:r w:rsidRPr="00EA74F8">
        <w:rPr>
          <w:rFonts w:ascii="Times New Roman" w:eastAsia="Times New Roman" w:hAnsi="Times New Roman" w:cs="Times New Roman"/>
          <w:spacing w:val="-3"/>
          <w:sz w:val="26"/>
          <w:szCs w:val="26"/>
        </w:rPr>
        <w:t xml:space="preserve"> </w:t>
      </w:r>
      <w:r w:rsidRPr="00EA74F8">
        <w:rPr>
          <w:rFonts w:ascii="Times New Roman" w:eastAsia="Times New Roman" w:hAnsi="Times New Roman" w:cs="Times New Roman"/>
          <w:sz w:val="26"/>
          <w:szCs w:val="26"/>
        </w:rPr>
        <w:t>accuracy</w:t>
      </w:r>
      <w:r w:rsidRPr="00EA74F8" w:rsidR="00F40611">
        <w:rPr>
          <w:rFonts w:ascii="Times New Roman" w:eastAsia="Times New Roman" w:hAnsi="Times New Roman" w:cs="Times New Roman"/>
          <w:sz w:val="26"/>
          <w:szCs w:val="26"/>
        </w:rPr>
        <w:t xml:space="preserve"> </w:t>
      </w:r>
      <w:r w:rsidRPr="00EA74F8" w:rsidR="00F40611">
        <w:rPr>
          <w:rFonts w:ascii="Times New Roman" w:eastAsia="Times New Roman" w:hAnsi="Times New Roman" w:cs="Times New Roman"/>
          <w:spacing w:val="-2"/>
          <w:sz w:val="26"/>
          <w:szCs w:val="26"/>
        </w:rPr>
        <w:t>of price indices</w:t>
      </w:r>
      <w:r w:rsidRPr="00EA74F8">
        <w:rPr>
          <w:rFonts w:ascii="Times New Roman" w:eastAsia="Times New Roman" w:hAnsi="Times New Roman" w:cs="Times New Roman"/>
          <w:sz w:val="26"/>
          <w:szCs w:val="26"/>
        </w:rPr>
        <w:t>.</w:t>
      </w:r>
      <w:r w:rsidR="004F42A8">
        <w:rPr>
          <w:rFonts w:ascii="Times New Roman" w:eastAsia="Times New Roman" w:hAnsi="Times New Roman" w:cs="Times New Roman"/>
          <w:sz w:val="26"/>
          <w:szCs w:val="26"/>
        </w:rPr>
        <w:t xml:space="preserve"> </w:t>
      </w:r>
      <w:r w:rsidRPr="00EA74F8" w:rsidR="00BD130A">
        <w:rPr>
          <w:rFonts w:ascii="Times New Roman" w:eastAsia="Times New Roman" w:hAnsi="Times New Roman" w:cs="Times New Roman"/>
          <w:sz w:val="26"/>
          <w:szCs w:val="26"/>
        </w:rPr>
        <w:t>The Commission issued its Revised Policy Statement</w:t>
      </w:r>
      <w:r>
        <w:rPr>
          <w:rFonts w:ascii="Times New Roman" w:eastAsia="Times New Roman" w:hAnsi="Times New Roman" w:cs="Times New Roman"/>
          <w:sz w:val="26"/>
          <w:szCs w:val="26"/>
          <w:vertAlign w:val="superscript"/>
        </w:rPr>
        <w:footnoteReference w:id="5"/>
      </w:r>
      <w:r w:rsidRPr="00EA74F8" w:rsidR="00BD130A">
        <w:rPr>
          <w:rFonts w:ascii="Times New Roman" w:eastAsia="Times New Roman" w:hAnsi="Times New Roman" w:cs="Times New Roman"/>
          <w:sz w:val="26"/>
          <w:szCs w:val="26"/>
        </w:rPr>
        <w:t xml:space="preserve"> on April 21, 2022</w:t>
      </w:r>
      <w:r w:rsidR="00010F8F">
        <w:rPr>
          <w:rFonts w:ascii="Times New Roman" w:eastAsia="Times New Roman" w:hAnsi="Times New Roman" w:cs="Times New Roman"/>
          <w:sz w:val="26"/>
          <w:szCs w:val="26"/>
        </w:rPr>
        <w:t>,</w:t>
      </w:r>
      <w:r w:rsidRPr="00EA74F8" w:rsidR="00BD130A">
        <w:rPr>
          <w:rFonts w:ascii="Times New Roman" w:eastAsia="Times New Roman" w:hAnsi="Times New Roman" w:cs="Times New Roman"/>
          <w:sz w:val="26"/>
          <w:szCs w:val="26"/>
        </w:rPr>
        <w:t xml:space="preserve"> which largely adopted the proposals from the Proposed Revised Policy Statement</w:t>
      </w:r>
      <w:r w:rsidR="00346BBC">
        <w:rPr>
          <w:rFonts w:ascii="Times New Roman" w:eastAsia="Times New Roman" w:hAnsi="Times New Roman" w:cs="Times New Roman"/>
          <w:sz w:val="26"/>
          <w:szCs w:val="26"/>
        </w:rPr>
        <w:t xml:space="preserve"> </w:t>
      </w:r>
      <w:r w:rsidRPr="29BEC791">
        <w:rPr>
          <w:rFonts w:ascii="Times New Roman" w:eastAsia="Times New Roman" w:hAnsi="Times New Roman" w:cs="Times New Roman"/>
          <w:sz w:val="26"/>
          <w:szCs w:val="26"/>
        </w:rPr>
        <w:t>to encourage more market participants to report their transactions to price index developers</w:t>
      </w:r>
      <w:r w:rsidRPr="29BEC791" w:rsidR="00954164">
        <w:rPr>
          <w:rFonts w:ascii="Times New Roman" w:eastAsia="Times New Roman" w:hAnsi="Times New Roman" w:cs="Times New Roman"/>
          <w:sz w:val="26"/>
          <w:szCs w:val="26"/>
        </w:rPr>
        <w:t xml:space="preserve"> </w:t>
      </w:r>
      <w:r w:rsidRPr="29BEC791">
        <w:rPr>
          <w:rFonts w:ascii="Times New Roman" w:eastAsia="Times New Roman" w:hAnsi="Times New Roman" w:cs="Times New Roman"/>
          <w:sz w:val="26"/>
          <w:szCs w:val="26"/>
        </w:rPr>
        <w:t>and to provide greater transparency into the natural gas price formation process</w:t>
      </w:r>
      <w:r w:rsidRPr="29BEC791" w:rsidR="00C70C05">
        <w:rPr>
          <w:rFonts w:ascii="Times New Roman" w:eastAsia="Times New Roman" w:hAnsi="Times New Roman" w:cs="Times New Roman"/>
          <w:sz w:val="26"/>
          <w:szCs w:val="26"/>
        </w:rPr>
        <w:t>.</w:t>
      </w:r>
      <w:r w:rsidRPr="29BEC791" w:rsidR="00280726">
        <w:rPr>
          <w:rFonts w:ascii="Times New Roman" w:eastAsia="Times New Roman" w:hAnsi="Times New Roman" w:cs="Times New Roman"/>
          <w:sz w:val="26"/>
          <w:szCs w:val="26"/>
        </w:rPr>
        <w:t xml:space="preserve"> </w:t>
      </w:r>
      <w:r w:rsidRPr="29BEC791">
        <w:rPr>
          <w:rFonts w:ascii="Times New Roman" w:eastAsia="Times New Roman" w:hAnsi="Times New Roman" w:cs="Times New Roman"/>
          <w:sz w:val="26"/>
          <w:szCs w:val="26"/>
        </w:rPr>
        <w:t>The Commission indicated that the</w:t>
      </w:r>
      <w:r w:rsidRPr="29BEC791" w:rsidR="00F40611">
        <w:rPr>
          <w:rFonts w:ascii="Times New Roman" w:eastAsia="Times New Roman" w:hAnsi="Times New Roman" w:cs="Times New Roman"/>
          <w:sz w:val="26"/>
          <w:szCs w:val="26"/>
        </w:rPr>
        <w:t xml:space="preserve"> proposals in the Proposed Revised Policy Statement</w:t>
      </w:r>
      <w:r w:rsidRPr="29BEC791">
        <w:rPr>
          <w:rFonts w:ascii="Times New Roman" w:eastAsia="Times New Roman" w:hAnsi="Times New Roman" w:cs="Times New Roman"/>
          <w:sz w:val="26"/>
          <w:szCs w:val="26"/>
        </w:rPr>
        <w:t xml:space="preserve"> would increase confidence in the accuracy</w:t>
      </w:r>
      <w:r w:rsidRPr="29BEC791" w:rsidR="00F40611">
        <w:rPr>
          <w:rFonts w:ascii="Times New Roman" w:eastAsia="Times New Roman" w:hAnsi="Times New Roman" w:cs="Times New Roman"/>
          <w:sz w:val="26"/>
          <w:szCs w:val="26"/>
        </w:rPr>
        <w:t xml:space="preserve"> of price indices</w:t>
      </w:r>
      <w:r w:rsidRPr="29BEC791">
        <w:rPr>
          <w:rFonts w:ascii="Times New Roman" w:eastAsia="Times New Roman" w:hAnsi="Times New Roman" w:cs="Times New Roman"/>
          <w:sz w:val="26"/>
          <w:szCs w:val="26"/>
        </w:rPr>
        <w:t>.</w:t>
      </w:r>
      <w:r w:rsidR="004F42A8">
        <w:rPr>
          <w:rFonts w:ascii="Times New Roman" w:eastAsia="Times New Roman" w:hAnsi="Times New Roman" w:cs="Times New Roman"/>
          <w:sz w:val="26"/>
          <w:szCs w:val="26"/>
        </w:rPr>
        <w:t xml:space="preserve"> </w:t>
      </w:r>
      <w:r w:rsidRPr="29BEC791" w:rsidR="00BD130A">
        <w:rPr>
          <w:rFonts w:ascii="Times New Roman" w:eastAsia="Times New Roman" w:hAnsi="Times New Roman" w:cs="Times New Roman"/>
          <w:sz w:val="26"/>
          <w:szCs w:val="26"/>
        </w:rPr>
        <w:t>The Commission issued its Revised Policy Statement</w:t>
      </w:r>
      <w:r>
        <w:rPr>
          <w:rStyle w:val="FootnoteReference"/>
          <w:rFonts w:ascii="Times New Roman" w:eastAsia="Times New Roman" w:hAnsi="Times New Roman" w:cs="Times New Roman"/>
          <w:sz w:val="26"/>
          <w:szCs w:val="26"/>
        </w:rPr>
        <w:footnoteReference w:id="6"/>
      </w:r>
      <w:r w:rsidRPr="00F85567" w:rsidR="00BD130A">
        <w:rPr>
          <w:rFonts w:ascii="Times New Roman" w:eastAsia="Times New Roman" w:hAnsi="Times New Roman" w:cs="Times New Roman"/>
          <w:sz w:val="26"/>
          <w:szCs w:val="26"/>
        </w:rPr>
        <w:t xml:space="preserve"> </w:t>
      </w:r>
      <w:r w:rsidRPr="29BEC791" w:rsidR="00BD130A">
        <w:rPr>
          <w:rFonts w:ascii="Times New Roman" w:eastAsia="Times New Roman" w:hAnsi="Times New Roman" w:cs="Times New Roman"/>
          <w:sz w:val="26"/>
          <w:szCs w:val="26"/>
        </w:rPr>
        <w:t>on April 21, 2022</w:t>
      </w:r>
      <w:r w:rsidRPr="29BEC791" w:rsidR="00010F8F">
        <w:rPr>
          <w:rFonts w:ascii="Times New Roman" w:eastAsia="Times New Roman" w:hAnsi="Times New Roman" w:cs="Times New Roman"/>
          <w:sz w:val="26"/>
          <w:szCs w:val="26"/>
        </w:rPr>
        <w:t>,</w:t>
      </w:r>
      <w:r w:rsidRPr="29BEC791" w:rsidR="00BD130A">
        <w:rPr>
          <w:rFonts w:ascii="Times New Roman" w:eastAsia="Times New Roman" w:hAnsi="Times New Roman" w:cs="Times New Roman"/>
          <w:sz w:val="26"/>
          <w:szCs w:val="26"/>
        </w:rPr>
        <w:t xml:space="preserve"> which largely adopted the proposals from the Proposed Revised Policy Statement.</w:t>
      </w:r>
    </w:p>
    <w:p w:rsidR="00D24EDB" w:rsidRPr="00D24EDB" w:rsidP="00D24EDB" w14:paraId="3DEE63D6" w14:textId="4B17A3A8">
      <w:pPr>
        <w:pStyle w:val="BodyText"/>
        <w:spacing w:before="89"/>
        <w:rPr>
          <w:rFonts w:ascii="Times New Roman" w:hAnsi="Times New Roman" w:cs="Times New Roman"/>
          <w:sz w:val="26"/>
          <w:szCs w:val="26"/>
        </w:rPr>
      </w:pPr>
      <w:r w:rsidRPr="00EA74F8">
        <w:rPr>
          <w:rFonts w:ascii="Times New Roman" w:eastAsia="Times New Roman" w:hAnsi="Times New Roman" w:cs="Times New Roman"/>
          <w:sz w:val="26"/>
          <w:szCs w:val="26"/>
        </w:rPr>
        <w:t xml:space="preserve">In </w:t>
      </w:r>
      <w:r w:rsidR="00652AD4">
        <w:rPr>
          <w:rFonts w:ascii="Times New Roman" w:eastAsia="Times New Roman" w:hAnsi="Times New Roman" w:cs="Times New Roman"/>
          <w:sz w:val="26"/>
          <w:szCs w:val="26"/>
        </w:rPr>
        <w:t xml:space="preserve">the </w:t>
      </w:r>
      <w:r w:rsidRPr="00EA74F8" w:rsidR="00652AD4">
        <w:rPr>
          <w:rFonts w:ascii="Times New Roman" w:eastAsia="Times New Roman" w:hAnsi="Times New Roman" w:cs="Times New Roman"/>
          <w:sz w:val="26"/>
          <w:szCs w:val="26"/>
        </w:rPr>
        <w:t>Revised</w:t>
      </w:r>
      <w:r w:rsidRPr="00EA74F8">
        <w:rPr>
          <w:rFonts w:ascii="Times New Roman" w:eastAsia="Times New Roman" w:hAnsi="Times New Roman" w:cs="Times New Roman"/>
          <w:sz w:val="26"/>
          <w:szCs w:val="26"/>
        </w:rPr>
        <w:t xml:space="preserve"> Policy Statement, the Commission made several revisions to its price index policy.</w:t>
      </w:r>
      <w:r w:rsidR="004F42A8">
        <w:rPr>
          <w:rFonts w:ascii="Times New Roman" w:eastAsia="Times New Roman" w:hAnsi="Times New Roman" w:cs="Times New Roman"/>
          <w:sz w:val="26"/>
          <w:szCs w:val="26"/>
        </w:rPr>
        <w:t xml:space="preserve"> </w:t>
      </w:r>
      <w:r w:rsidRPr="00EA74F8" w:rsidR="003A01F2">
        <w:rPr>
          <w:rFonts w:ascii="Times New Roman" w:eastAsia="Times New Roman" w:hAnsi="Times New Roman" w:cs="Times New Roman"/>
          <w:sz w:val="26"/>
          <w:szCs w:val="26"/>
        </w:rPr>
        <w:t>First,</w:t>
      </w:r>
      <w:r w:rsidRPr="00EA74F8" w:rsidR="003A01F2">
        <w:rPr>
          <w:rFonts w:ascii="Times New Roman" w:eastAsia="Times New Roman" w:hAnsi="Times New Roman" w:cs="Times New Roman"/>
          <w:spacing w:val="-3"/>
          <w:sz w:val="26"/>
          <w:szCs w:val="26"/>
        </w:rPr>
        <w:t xml:space="preserve"> </w:t>
      </w:r>
      <w:bookmarkStart w:id="0" w:name="_Hlk102571139"/>
      <w:r w:rsidR="00010F8F">
        <w:rPr>
          <w:rFonts w:ascii="Times New Roman" w:eastAsia="Times New Roman" w:hAnsi="Times New Roman" w:cs="Times New Roman"/>
          <w:sz w:val="26"/>
          <w:szCs w:val="26"/>
        </w:rPr>
        <w:t>the Commission</w:t>
      </w:r>
      <w:r w:rsidRPr="00EA74F8" w:rsidR="003A01F2">
        <w:rPr>
          <w:rFonts w:ascii="Times New Roman" w:eastAsia="Times New Roman" w:hAnsi="Times New Roman" w:cs="Times New Roman"/>
          <w:spacing w:val="-3"/>
          <w:sz w:val="26"/>
          <w:szCs w:val="26"/>
        </w:rPr>
        <w:t xml:space="preserve"> </w:t>
      </w:r>
      <w:r w:rsidRPr="00EA74F8" w:rsidR="003A01F2">
        <w:rPr>
          <w:rFonts w:ascii="Times New Roman" w:eastAsia="Times New Roman" w:hAnsi="Times New Roman" w:cs="Times New Roman"/>
          <w:sz w:val="26"/>
          <w:szCs w:val="26"/>
        </w:rPr>
        <w:t>revise</w:t>
      </w:r>
      <w:r w:rsidR="00010F8F">
        <w:rPr>
          <w:rFonts w:ascii="Times New Roman" w:eastAsia="Times New Roman" w:hAnsi="Times New Roman" w:cs="Times New Roman"/>
          <w:sz w:val="26"/>
          <w:szCs w:val="26"/>
        </w:rPr>
        <w:t>d</w:t>
      </w:r>
      <w:r w:rsidRPr="00EA74F8" w:rsidR="003A01F2">
        <w:rPr>
          <w:rFonts w:ascii="Times New Roman" w:eastAsia="Times New Roman" w:hAnsi="Times New Roman" w:cs="Times New Roman"/>
          <w:spacing w:val="-3"/>
          <w:sz w:val="26"/>
          <w:szCs w:val="26"/>
        </w:rPr>
        <w:t xml:space="preserve"> </w:t>
      </w:r>
      <w:r w:rsidRPr="00EA74F8" w:rsidR="003A01F2">
        <w:rPr>
          <w:rFonts w:ascii="Times New Roman" w:eastAsia="Times New Roman" w:hAnsi="Times New Roman" w:cs="Times New Roman"/>
          <w:sz w:val="26"/>
          <w:szCs w:val="26"/>
        </w:rPr>
        <w:t>the</w:t>
      </w:r>
      <w:r w:rsidRPr="00EA74F8" w:rsidR="003A01F2">
        <w:rPr>
          <w:rFonts w:ascii="Times New Roman" w:eastAsia="Times New Roman" w:hAnsi="Times New Roman" w:cs="Times New Roman"/>
          <w:spacing w:val="-3"/>
          <w:sz w:val="26"/>
          <w:szCs w:val="26"/>
        </w:rPr>
        <w:t xml:space="preserve"> </w:t>
      </w:r>
      <w:r w:rsidRPr="00EA74F8" w:rsidR="003A01F2">
        <w:rPr>
          <w:rFonts w:ascii="Times New Roman" w:eastAsia="Times New Roman" w:hAnsi="Times New Roman" w:cs="Times New Roman"/>
          <w:sz w:val="26"/>
          <w:szCs w:val="26"/>
        </w:rPr>
        <w:t>price</w:t>
      </w:r>
      <w:r w:rsidRPr="00EA74F8" w:rsidR="003A01F2">
        <w:rPr>
          <w:rFonts w:ascii="Times New Roman" w:eastAsia="Times New Roman" w:hAnsi="Times New Roman" w:cs="Times New Roman"/>
          <w:spacing w:val="-3"/>
          <w:sz w:val="26"/>
          <w:szCs w:val="26"/>
        </w:rPr>
        <w:t xml:space="preserve"> </w:t>
      </w:r>
      <w:r w:rsidRPr="00EA74F8" w:rsidR="003A01F2">
        <w:rPr>
          <w:rFonts w:ascii="Times New Roman" w:eastAsia="Times New Roman" w:hAnsi="Times New Roman" w:cs="Times New Roman"/>
          <w:sz w:val="26"/>
          <w:szCs w:val="26"/>
        </w:rPr>
        <w:t>index</w:t>
      </w:r>
      <w:r w:rsidRPr="00EA74F8" w:rsidR="003A01F2">
        <w:rPr>
          <w:rFonts w:ascii="Times New Roman" w:eastAsia="Times New Roman" w:hAnsi="Times New Roman" w:cs="Times New Roman"/>
          <w:spacing w:val="-2"/>
          <w:sz w:val="26"/>
          <w:szCs w:val="26"/>
        </w:rPr>
        <w:t xml:space="preserve"> </w:t>
      </w:r>
      <w:r w:rsidRPr="00EA74F8" w:rsidR="003A01F2">
        <w:rPr>
          <w:rFonts w:ascii="Times New Roman" w:eastAsia="Times New Roman" w:hAnsi="Times New Roman" w:cs="Times New Roman"/>
          <w:sz w:val="26"/>
          <w:szCs w:val="26"/>
        </w:rPr>
        <w:t>policy</w:t>
      </w:r>
      <w:r w:rsidRPr="00EA74F8" w:rsidR="003A01F2">
        <w:rPr>
          <w:rFonts w:ascii="Times New Roman" w:eastAsia="Times New Roman" w:hAnsi="Times New Roman" w:cs="Times New Roman"/>
          <w:spacing w:val="-2"/>
          <w:sz w:val="26"/>
          <w:szCs w:val="26"/>
        </w:rPr>
        <w:t xml:space="preserve"> </w:t>
      </w:r>
      <w:r w:rsidRPr="00EA74F8" w:rsidR="003A01F2">
        <w:rPr>
          <w:rFonts w:ascii="Times New Roman" w:eastAsia="Times New Roman" w:hAnsi="Times New Roman" w:cs="Times New Roman"/>
          <w:sz w:val="26"/>
          <w:szCs w:val="26"/>
        </w:rPr>
        <w:t>standards</w:t>
      </w:r>
      <w:r w:rsidRPr="00EA74F8" w:rsidR="003A01F2">
        <w:rPr>
          <w:rFonts w:ascii="Times New Roman" w:eastAsia="Times New Roman" w:hAnsi="Times New Roman" w:cs="Times New Roman"/>
          <w:spacing w:val="-3"/>
          <w:sz w:val="26"/>
          <w:szCs w:val="26"/>
        </w:rPr>
        <w:t xml:space="preserve"> </w:t>
      </w:r>
      <w:r w:rsidRPr="00EA74F8" w:rsidR="003A01F2">
        <w:rPr>
          <w:rFonts w:ascii="Times New Roman" w:eastAsia="Times New Roman" w:hAnsi="Times New Roman" w:cs="Times New Roman"/>
          <w:sz w:val="26"/>
          <w:szCs w:val="26"/>
        </w:rPr>
        <w:t>for</w:t>
      </w:r>
      <w:r w:rsidRPr="00EA74F8" w:rsidR="003A01F2">
        <w:rPr>
          <w:rFonts w:ascii="Times New Roman" w:eastAsia="Times New Roman" w:hAnsi="Times New Roman" w:cs="Times New Roman"/>
          <w:spacing w:val="-4"/>
          <w:sz w:val="26"/>
          <w:szCs w:val="26"/>
        </w:rPr>
        <w:t xml:space="preserve"> </w:t>
      </w:r>
      <w:r w:rsidRPr="00EA74F8" w:rsidR="003A01F2">
        <w:rPr>
          <w:rFonts w:ascii="Times New Roman" w:eastAsia="Times New Roman" w:hAnsi="Times New Roman" w:cs="Times New Roman"/>
          <w:sz w:val="26"/>
          <w:szCs w:val="26"/>
        </w:rPr>
        <w:t>market</w:t>
      </w:r>
      <w:r w:rsidRPr="00EA74F8" w:rsidR="003A01F2">
        <w:rPr>
          <w:rFonts w:ascii="Times New Roman" w:eastAsia="Times New Roman" w:hAnsi="Times New Roman" w:cs="Times New Roman"/>
          <w:spacing w:val="-3"/>
          <w:sz w:val="26"/>
          <w:szCs w:val="26"/>
        </w:rPr>
        <w:t xml:space="preserve"> </w:t>
      </w:r>
      <w:r w:rsidRPr="00EA74F8" w:rsidR="003A01F2">
        <w:rPr>
          <w:rFonts w:ascii="Times New Roman" w:eastAsia="Times New Roman" w:hAnsi="Times New Roman" w:cs="Times New Roman"/>
          <w:sz w:val="26"/>
          <w:szCs w:val="26"/>
        </w:rPr>
        <w:t>participants</w:t>
      </w:r>
      <w:r w:rsidRPr="00EA74F8" w:rsidR="003A01F2">
        <w:rPr>
          <w:rFonts w:ascii="Times New Roman" w:eastAsia="Times New Roman" w:hAnsi="Times New Roman" w:cs="Times New Roman"/>
          <w:spacing w:val="-2"/>
          <w:sz w:val="26"/>
          <w:szCs w:val="26"/>
        </w:rPr>
        <w:t xml:space="preserve"> </w:t>
      </w:r>
      <w:r w:rsidRPr="00EA74F8" w:rsidR="003A01F2">
        <w:rPr>
          <w:rFonts w:ascii="Times New Roman" w:eastAsia="Times New Roman" w:hAnsi="Times New Roman" w:cs="Times New Roman"/>
          <w:sz w:val="26"/>
          <w:szCs w:val="26"/>
        </w:rPr>
        <w:t>that</w:t>
      </w:r>
      <w:r w:rsidRPr="00EA74F8" w:rsidR="003A01F2">
        <w:rPr>
          <w:rFonts w:ascii="Times New Roman" w:eastAsia="Times New Roman" w:hAnsi="Times New Roman" w:cs="Times New Roman"/>
          <w:spacing w:val="-3"/>
          <w:sz w:val="26"/>
          <w:szCs w:val="26"/>
        </w:rPr>
        <w:t xml:space="preserve"> </w:t>
      </w:r>
      <w:r w:rsidRPr="00EA74F8" w:rsidR="003A01F2">
        <w:rPr>
          <w:rFonts w:ascii="Times New Roman" w:eastAsia="Times New Roman" w:hAnsi="Times New Roman" w:cs="Times New Roman"/>
          <w:sz w:val="26"/>
          <w:szCs w:val="26"/>
        </w:rPr>
        <w:t>report data to price index developers (data providers) to allow them to report either their non-index based next-day</w:t>
      </w:r>
      <w:r w:rsidRPr="00EA74F8" w:rsidR="009921D8">
        <w:rPr>
          <w:rFonts w:ascii="Times New Roman" w:eastAsia="Times New Roman" w:hAnsi="Times New Roman" w:cs="Times New Roman"/>
          <w:sz w:val="26"/>
          <w:szCs w:val="26"/>
        </w:rPr>
        <w:t xml:space="preserve"> fixed-price</w:t>
      </w:r>
      <w:r w:rsidRPr="00E06A28" w:rsidR="003A01F2">
        <w:rPr>
          <w:rFonts w:ascii="Times New Roman" w:eastAsia="Times New Roman" w:hAnsi="Times New Roman" w:cs="Times New Roman"/>
          <w:sz w:val="26"/>
          <w:szCs w:val="26"/>
        </w:rPr>
        <w:t xml:space="preserve"> transactions, their non-index based next-month </w:t>
      </w:r>
      <w:r w:rsidRPr="00EA74F8" w:rsidR="009921D8">
        <w:rPr>
          <w:rFonts w:ascii="Times New Roman" w:eastAsia="Times New Roman" w:hAnsi="Times New Roman" w:cs="Times New Roman"/>
          <w:sz w:val="26"/>
          <w:szCs w:val="26"/>
        </w:rPr>
        <w:t>f</w:t>
      </w:r>
      <w:r w:rsidRPr="00EA74F8" w:rsidR="000565C9">
        <w:rPr>
          <w:rFonts w:ascii="Times New Roman" w:eastAsia="Times New Roman" w:hAnsi="Times New Roman" w:cs="Times New Roman"/>
          <w:sz w:val="26"/>
          <w:szCs w:val="26"/>
        </w:rPr>
        <w:t>ixed-price</w:t>
      </w:r>
      <w:r w:rsidRPr="00E06A28" w:rsidR="000565C9">
        <w:rPr>
          <w:rFonts w:ascii="Times New Roman" w:eastAsia="Times New Roman" w:hAnsi="Times New Roman" w:cs="Times New Roman"/>
          <w:sz w:val="26"/>
          <w:szCs w:val="26"/>
        </w:rPr>
        <w:t xml:space="preserve"> </w:t>
      </w:r>
      <w:r w:rsidRPr="00EA74F8" w:rsidR="003A01F2">
        <w:rPr>
          <w:rFonts w:ascii="Times New Roman" w:eastAsia="Times New Roman" w:hAnsi="Times New Roman" w:cs="Times New Roman"/>
          <w:sz w:val="26"/>
          <w:szCs w:val="26"/>
        </w:rPr>
        <w:t>transactions, or</w:t>
      </w:r>
      <w:r w:rsidRPr="00EA74F8" w:rsidR="003A01F2">
        <w:rPr>
          <w:rFonts w:ascii="Times New Roman" w:eastAsia="Times New Roman" w:hAnsi="Times New Roman" w:cs="Times New Roman"/>
          <w:spacing w:val="1"/>
          <w:sz w:val="26"/>
          <w:szCs w:val="26"/>
        </w:rPr>
        <w:t xml:space="preserve"> </w:t>
      </w:r>
      <w:r w:rsidRPr="00EA74F8" w:rsidR="003A01F2">
        <w:rPr>
          <w:rFonts w:ascii="Times New Roman" w:eastAsia="Times New Roman" w:hAnsi="Times New Roman" w:cs="Times New Roman"/>
          <w:sz w:val="26"/>
          <w:szCs w:val="26"/>
        </w:rPr>
        <w:t>both, to price index developers.</w:t>
      </w:r>
      <w:r w:rsidR="004F42A8">
        <w:rPr>
          <w:rFonts w:ascii="Times New Roman" w:eastAsia="Times New Roman" w:hAnsi="Times New Roman" w:cs="Times New Roman"/>
          <w:spacing w:val="1"/>
          <w:sz w:val="26"/>
          <w:szCs w:val="26"/>
        </w:rPr>
        <w:t xml:space="preserve"> </w:t>
      </w:r>
      <w:r w:rsidRPr="00EA74F8" w:rsidR="003A01F2">
        <w:rPr>
          <w:rFonts w:ascii="Times New Roman" w:eastAsia="Times New Roman" w:hAnsi="Times New Roman" w:cs="Times New Roman"/>
          <w:sz w:val="26"/>
          <w:szCs w:val="26"/>
        </w:rPr>
        <w:t xml:space="preserve">In addition, </w:t>
      </w:r>
      <w:r w:rsidR="00010F8F">
        <w:rPr>
          <w:rFonts w:ascii="Times New Roman" w:eastAsia="Times New Roman" w:hAnsi="Times New Roman" w:cs="Times New Roman"/>
          <w:sz w:val="26"/>
          <w:szCs w:val="26"/>
        </w:rPr>
        <w:t>the Commission</w:t>
      </w:r>
      <w:r w:rsidRPr="00EA74F8" w:rsidR="003A01F2">
        <w:rPr>
          <w:rFonts w:ascii="Times New Roman" w:eastAsia="Times New Roman" w:hAnsi="Times New Roman" w:cs="Times New Roman"/>
          <w:sz w:val="26"/>
          <w:szCs w:val="26"/>
        </w:rPr>
        <w:t xml:space="preserve"> encourage</w:t>
      </w:r>
      <w:r w:rsidR="00010F8F">
        <w:rPr>
          <w:rFonts w:ascii="Times New Roman" w:eastAsia="Times New Roman" w:hAnsi="Times New Roman" w:cs="Times New Roman"/>
          <w:sz w:val="26"/>
          <w:szCs w:val="26"/>
        </w:rPr>
        <w:t>d</w:t>
      </w:r>
      <w:r w:rsidRPr="003A01F2" w:rsidR="003A01F2">
        <w:rPr>
          <w:rFonts w:ascii="Times New Roman" w:eastAsia="Times New Roman" w:hAnsi="Times New Roman" w:cs="Times New Roman"/>
          <w:sz w:val="26"/>
          <w:szCs w:val="26"/>
        </w:rPr>
        <w:t xml:space="preserve"> data providers to report to </w:t>
      </w:r>
      <w:r w:rsidRPr="003A01F2" w:rsidR="69629714">
        <w:rPr>
          <w:rFonts w:ascii="Times New Roman" w:eastAsia="Times New Roman" w:hAnsi="Times New Roman" w:cs="Times New Roman"/>
          <w:sz w:val="26"/>
          <w:szCs w:val="26"/>
        </w:rPr>
        <w:t>as many</w:t>
      </w:r>
      <w:r w:rsidRPr="003A01F2" w:rsidR="003A01F2">
        <w:rPr>
          <w:rFonts w:ascii="Times New Roman" w:eastAsia="Times New Roman" w:hAnsi="Times New Roman" w:cs="Times New Roman"/>
          <w:sz w:val="26"/>
          <w:szCs w:val="26"/>
        </w:rPr>
        <w:t xml:space="preserve"> Commission-approved price index developers as possible.</w:t>
      </w:r>
      <w:r w:rsidR="004F42A8">
        <w:rPr>
          <w:rFonts w:ascii="Times New Roman" w:eastAsia="Times New Roman" w:hAnsi="Times New Roman" w:cs="Times New Roman"/>
          <w:spacing w:val="1"/>
          <w:sz w:val="26"/>
          <w:szCs w:val="26"/>
        </w:rPr>
        <w:t xml:space="preserve"> </w:t>
      </w:r>
      <w:r w:rsidRPr="003A01F2" w:rsidR="003A01F2">
        <w:rPr>
          <w:rFonts w:ascii="Times New Roman" w:eastAsia="Times New Roman" w:hAnsi="Times New Roman" w:cs="Times New Roman"/>
          <w:sz w:val="26"/>
          <w:szCs w:val="26"/>
        </w:rPr>
        <w:t xml:space="preserve">Further, </w:t>
      </w:r>
      <w:r w:rsidR="00125DA8">
        <w:rPr>
          <w:rFonts w:ascii="Times New Roman" w:eastAsia="Times New Roman" w:hAnsi="Times New Roman" w:cs="Times New Roman"/>
          <w:sz w:val="26"/>
          <w:szCs w:val="26"/>
        </w:rPr>
        <w:t>the Commission</w:t>
      </w:r>
      <w:r w:rsidRPr="003A01F2" w:rsidR="00125DA8">
        <w:rPr>
          <w:rFonts w:ascii="Times New Roman" w:eastAsia="Times New Roman" w:hAnsi="Times New Roman" w:cs="Times New Roman"/>
          <w:sz w:val="26"/>
          <w:szCs w:val="26"/>
        </w:rPr>
        <w:t xml:space="preserve"> </w:t>
      </w:r>
      <w:r w:rsidRPr="003A01F2" w:rsidR="003A01F2">
        <w:rPr>
          <w:rFonts w:ascii="Times New Roman" w:eastAsia="Times New Roman" w:hAnsi="Times New Roman" w:cs="Times New Roman"/>
          <w:sz w:val="26"/>
          <w:szCs w:val="26"/>
        </w:rPr>
        <w:t>allow</w:t>
      </w:r>
      <w:r w:rsidR="00010F8F">
        <w:rPr>
          <w:rFonts w:ascii="Times New Roman" w:eastAsia="Times New Roman" w:hAnsi="Times New Roman" w:cs="Times New Roman"/>
          <w:sz w:val="26"/>
          <w:szCs w:val="26"/>
        </w:rPr>
        <w:t>ed</w:t>
      </w:r>
      <w:r w:rsidRPr="003A01F2" w:rsidR="003A01F2">
        <w:rPr>
          <w:rFonts w:ascii="Times New Roman" w:eastAsia="Times New Roman" w:hAnsi="Times New Roman" w:cs="Times New Roman"/>
          <w:sz w:val="26"/>
          <w:szCs w:val="26"/>
        </w:rPr>
        <w:t xml:space="preserve"> data</w:t>
      </w:r>
      <w:r w:rsidR="00010F8F">
        <w:rPr>
          <w:rFonts w:ascii="Times New Roman" w:eastAsia="Times New Roman" w:hAnsi="Times New Roman" w:cs="Times New Roman"/>
          <w:sz w:val="26"/>
          <w:szCs w:val="26"/>
        </w:rPr>
        <w:t xml:space="preserve"> </w:t>
      </w:r>
      <w:r w:rsidRPr="003A01F2" w:rsidR="003A01F2">
        <w:rPr>
          <w:rFonts w:ascii="Times New Roman" w:eastAsia="Times New Roman" w:hAnsi="Times New Roman" w:cs="Times New Roman"/>
          <w:sz w:val="26"/>
          <w:szCs w:val="26"/>
        </w:rPr>
        <w:t>providers</w:t>
      </w:r>
      <w:r w:rsidR="00010F8F">
        <w:rPr>
          <w:rFonts w:ascii="Times New Roman" w:eastAsia="Times New Roman" w:hAnsi="Times New Roman" w:cs="Times New Roman"/>
          <w:spacing w:val="-2"/>
          <w:sz w:val="26"/>
          <w:szCs w:val="26"/>
        </w:rPr>
        <w:t xml:space="preserve"> </w:t>
      </w:r>
      <w:r w:rsidRPr="003A01F2" w:rsidR="003A01F2">
        <w:rPr>
          <w:rFonts w:ascii="Times New Roman" w:eastAsia="Times New Roman" w:hAnsi="Times New Roman" w:cs="Times New Roman"/>
          <w:sz w:val="26"/>
          <w:szCs w:val="26"/>
        </w:rPr>
        <w:t>to self-audit</w:t>
      </w:r>
      <w:r w:rsidRPr="003A01F2" w:rsidR="003A01F2">
        <w:rPr>
          <w:rFonts w:ascii="Times New Roman" w:eastAsia="Times New Roman" w:hAnsi="Times New Roman" w:cs="Times New Roman"/>
          <w:spacing w:val="-1"/>
          <w:sz w:val="26"/>
          <w:szCs w:val="26"/>
        </w:rPr>
        <w:t xml:space="preserve"> </w:t>
      </w:r>
      <w:r w:rsidRPr="003A01F2" w:rsidR="003A01F2">
        <w:rPr>
          <w:rFonts w:ascii="Times New Roman" w:eastAsia="Times New Roman" w:hAnsi="Times New Roman" w:cs="Times New Roman"/>
          <w:sz w:val="26"/>
          <w:szCs w:val="26"/>
        </w:rPr>
        <w:t>on a</w:t>
      </w:r>
      <w:r w:rsidRPr="003A01F2" w:rsidR="003A01F2">
        <w:rPr>
          <w:rFonts w:ascii="Times New Roman" w:eastAsia="Times New Roman" w:hAnsi="Times New Roman" w:cs="Times New Roman"/>
          <w:spacing w:val="-2"/>
          <w:sz w:val="26"/>
          <w:szCs w:val="26"/>
        </w:rPr>
        <w:t xml:space="preserve"> </w:t>
      </w:r>
      <w:r w:rsidRPr="003A01F2" w:rsidR="003A01F2">
        <w:rPr>
          <w:rFonts w:ascii="Times New Roman" w:eastAsia="Times New Roman" w:hAnsi="Times New Roman" w:cs="Times New Roman"/>
          <w:sz w:val="26"/>
          <w:szCs w:val="26"/>
        </w:rPr>
        <w:t>biennial</w:t>
      </w:r>
      <w:r w:rsidRPr="003A01F2" w:rsidR="003A01F2">
        <w:rPr>
          <w:rFonts w:ascii="Times New Roman" w:eastAsia="Times New Roman" w:hAnsi="Times New Roman" w:cs="Times New Roman"/>
          <w:spacing w:val="-1"/>
          <w:sz w:val="26"/>
          <w:szCs w:val="26"/>
        </w:rPr>
        <w:t xml:space="preserve"> </w:t>
      </w:r>
      <w:r w:rsidRPr="003A01F2" w:rsidR="003A01F2">
        <w:rPr>
          <w:rFonts w:ascii="Times New Roman" w:eastAsia="Times New Roman" w:hAnsi="Times New Roman" w:cs="Times New Roman"/>
          <w:sz w:val="26"/>
          <w:szCs w:val="26"/>
        </w:rPr>
        <w:t>basis.</w:t>
      </w:r>
      <w:r w:rsidR="004F42A8">
        <w:rPr>
          <w:rFonts w:ascii="Times New Roman" w:eastAsia="Times New Roman" w:hAnsi="Times New Roman" w:cs="Times New Roman"/>
          <w:sz w:val="26"/>
          <w:szCs w:val="26"/>
        </w:rPr>
        <w:t xml:space="preserve"> </w:t>
      </w:r>
      <w:r w:rsidR="00010F8F">
        <w:rPr>
          <w:rFonts w:ascii="Times New Roman" w:eastAsia="Times New Roman" w:hAnsi="Times New Roman" w:cs="Times New Roman"/>
          <w:sz w:val="26"/>
          <w:szCs w:val="26"/>
        </w:rPr>
        <w:t>The Commission</w:t>
      </w:r>
      <w:r w:rsidRPr="003A01F2" w:rsidR="003A01F2">
        <w:rPr>
          <w:rFonts w:ascii="Times New Roman" w:eastAsia="Times New Roman" w:hAnsi="Times New Roman" w:cs="Times New Roman"/>
          <w:sz w:val="26"/>
          <w:szCs w:val="26"/>
        </w:rPr>
        <w:t xml:space="preserve"> also modif</w:t>
      </w:r>
      <w:r w:rsidR="00010F8F">
        <w:rPr>
          <w:rFonts w:ascii="Times New Roman" w:eastAsia="Times New Roman" w:hAnsi="Times New Roman" w:cs="Times New Roman"/>
          <w:sz w:val="26"/>
          <w:szCs w:val="26"/>
        </w:rPr>
        <w:t>ied</w:t>
      </w:r>
      <w:r w:rsidRPr="003A01F2" w:rsidR="003A01F2">
        <w:rPr>
          <w:rFonts w:ascii="Times New Roman" w:eastAsia="Times New Roman" w:hAnsi="Times New Roman" w:cs="Times New Roman"/>
          <w:sz w:val="26"/>
          <w:szCs w:val="26"/>
        </w:rPr>
        <w:t xml:space="preserve"> the price index policy standards for price index developers to</w:t>
      </w:r>
      <w:r w:rsidRPr="003A01F2" w:rsidR="003A01F2">
        <w:rPr>
          <w:rFonts w:ascii="Times New Roman" w:eastAsia="Times New Roman" w:hAnsi="Times New Roman" w:cs="Times New Roman"/>
          <w:spacing w:val="1"/>
          <w:sz w:val="26"/>
          <w:szCs w:val="26"/>
        </w:rPr>
        <w:t xml:space="preserve"> </w:t>
      </w:r>
      <w:r w:rsidRPr="003A01F2" w:rsidR="003A01F2">
        <w:rPr>
          <w:rFonts w:ascii="Times New Roman" w:eastAsia="Times New Roman" w:hAnsi="Times New Roman" w:cs="Times New Roman"/>
          <w:sz w:val="26"/>
          <w:szCs w:val="26"/>
        </w:rPr>
        <w:t>provide that they should indicate when they use a market assessment</w:t>
      </w:r>
      <w:hyperlink w:anchor="_bookmark3" w:history="1">
        <w:r w:rsidRPr="6867D0E1" w:rsidR="003A01F2">
          <w:rPr>
            <w:rFonts w:ascii="Times New Roman" w:eastAsia="Times New Roman" w:hAnsi="Times New Roman" w:cs="Times New Roman"/>
            <w:b/>
            <w:bCs/>
            <w:sz w:val="26"/>
            <w:szCs w:val="26"/>
          </w:rPr>
          <w:t xml:space="preserve"> </w:t>
        </w:r>
      </w:hyperlink>
      <w:r w:rsidRPr="003A01F2" w:rsidR="003A01F2">
        <w:rPr>
          <w:rFonts w:ascii="Times New Roman" w:eastAsia="Times New Roman" w:hAnsi="Times New Roman" w:cs="Times New Roman"/>
          <w:sz w:val="26"/>
          <w:szCs w:val="26"/>
        </w:rPr>
        <w:t>to calculate an</w:t>
      </w:r>
      <w:r w:rsidRPr="003A01F2" w:rsidR="003A01F2">
        <w:rPr>
          <w:rFonts w:ascii="Times New Roman" w:eastAsia="Times New Roman" w:hAnsi="Times New Roman" w:cs="Times New Roman"/>
          <w:spacing w:val="1"/>
          <w:sz w:val="26"/>
          <w:szCs w:val="26"/>
        </w:rPr>
        <w:t xml:space="preserve"> </w:t>
      </w:r>
      <w:r w:rsidRPr="003A01F2" w:rsidR="003A01F2">
        <w:rPr>
          <w:rFonts w:ascii="Times New Roman" w:eastAsia="Times New Roman" w:hAnsi="Times New Roman" w:cs="Times New Roman"/>
          <w:sz w:val="26"/>
          <w:szCs w:val="26"/>
        </w:rPr>
        <w:t>index price.</w:t>
      </w:r>
      <w:r w:rsidR="004F42A8">
        <w:rPr>
          <w:rFonts w:ascii="Times New Roman" w:eastAsia="Times New Roman" w:hAnsi="Times New Roman" w:cs="Times New Roman"/>
          <w:spacing w:val="1"/>
          <w:sz w:val="26"/>
          <w:szCs w:val="26"/>
        </w:rPr>
        <w:t xml:space="preserve"> </w:t>
      </w:r>
      <w:r w:rsidR="00010F8F">
        <w:rPr>
          <w:rFonts w:ascii="Times New Roman" w:eastAsia="Times New Roman" w:hAnsi="Times New Roman" w:cs="Times New Roman"/>
          <w:sz w:val="26"/>
          <w:szCs w:val="26"/>
        </w:rPr>
        <w:t>The Commission</w:t>
      </w:r>
      <w:r w:rsidRPr="003A01F2" w:rsidR="003A01F2">
        <w:rPr>
          <w:rFonts w:ascii="Times New Roman" w:eastAsia="Times New Roman" w:hAnsi="Times New Roman" w:cs="Times New Roman"/>
          <w:sz w:val="26"/>
          <w:szCs w:val="26"/>
        </w:rPr>
        <w:t xml:space="preserve"> also modif</w:t>
      </w:r>
      <w:r w:rsidR="00010F8F">
        <w:rPr>
          <w:rFonts w:ascii="Times New Roman" w:eastAsia="Times New Roman" w:hAnsi="Times New Roman" w:cs="Times New Roman"/>
          <w:sz w:val="26"/>
          <w:szCs w:val="26"/>
        </w:rPr>
        <w:t>ied</w:t>
      </w:r>
      <w:r w:rsidRPr="003A01F2" w:rsidR="003A01F2">
        <w:rPr>
          <w:rFonts w:ascii="Times New Roman" w:eastAsia="Times New Roman" w:hAnsi="Times New Roman" w:cs="Times New Roman"/>
          <w:sz w:val="26"/>
          <w:szCs w:val="26"/>
        </w:rPr>
        <w:t xml:space="preserve"> the standards so that each price index developer should </w:t>
      </w:r>
      <w:r>
        <w:rPr>
          <w:rFonts w:ascii="Times New Roman" w:eastAsia="Times New Roman" w:hAnsi="Times New Roman" w:cs="Times New Roman"/>
          <w:sz w:val="26"/>
          <w:szCs w:val="26"/>
        </w:rPr>
        <w:t>seek approval</w:t>
      </w:r>
      <w:r w:rsidRPr="003A01F2" w:rsidR="003A01F2">
        <w:rPr>
          <w:rFonts w:ascii="Times New Roman" w:eastAsia="Times New Roman" w:hAnsi="Times New Roman" w:cs="Times New Roman"/>
          <w:spacing w:val="1"/>
          <w:sz w:val="26"/>
          <w:szCs w:val="26"/>
        </w:rPr>
        <w:t xml:space="preserve"> </w:t>
      </w:r>
      <w:r w:rsidRPr="003A01F2" w:rsidR="003A01F2">
        <w:rPr>
          <w:rFonts w:ascii="Times New Roman" w:eastAsia="Times New Roman" w:hAnsi="Times New Roman" w:cs="Times New Roman"/>
          <w:sz w:val="26"/>
          <w:szCs w:val="26"/>
        </w:rPr>
        <w:t>or</w:t>
      </w:r>
      <w:r w:rsidRPr="003A01F2" w:rsidR="003A01F2">
        <w:rPr>
          <w:rFonts w:ascii="Times New Roman" w:eastAsia="Times New Roman" w:hAnsi="Times New Roman" w:cs="Times New Roman"/>
          <w:spacing w:val="3"/>
          <w:sz w:val="26"/>
          <w:szCs w:val="26"/>
        </w:rPr>
        <w:t xml:space="preserve"> </w:t>
      </w:r>
      <w:r w:rsidRPr="003A01F2" w:rsidR="003A01F2">
        <w:rPr>
          <w:rFonts w:ascii="Times New Roman" w:eastAsia="Times New Roman" w:hAnsi="Times New Roman" w:cs="Times New Roman"/>
          <w:sz w:val="26"/>
          <w:szCs w:val="26"/>
        </w:rPr>
        <w:t>re-approval</w:t>
      </w:r>
      <w:r w:rsidRPr="003A01F2" w:rsidR="003A01F2">
        <w:rPr>
          <w:rFonts w:ascii="Times New Roman" w:eastAsia="Times New Roman" w:hAnsi="Times New Roman" w:cs="Times New Roman"/>
          <w:spacing w:val="3"/>
          <w:sz w:val="26"/>
          <w:szCs w:val="26"/>
        </w:rPr>
        <w:t xml:space="preserve"> </w:t>
      </w:r>
      <w:r w:rsidRPr="003A01F2" w:rsidR="003A01F2">
        <w:rPr>
          <w:rFonts w:ascii="Times New Roman" w:eastAsia="Times New Roman" w:hAnsi="Times New Roman" w:cs="Times New Roman"/>
          <w:sz w:val="26"/>
          <w:szCs w:val="26"/>
        </w:rPr>
        <w:t>from</w:t>
      </w:r>
      <w:r w:rsidRPr="003A01F2" w:rsidR="003A01F2">
        <w:rPr>
          <w:rFonts w:ascii="Times New Roman" w:eastAsia="Times New Roman" w:hAnsi="Times New Roman" w:cs="Times New Roman"/>
          <w:spacing w:val="3"/>
          <w:sz w:val="26"/>
          <w:szCs w:val="26"/>
        </w:rPr>
        <w:t xml:space="preserve"> </w:t>
      </w:r>
      <w:r w:rsidRPr="003A01F2" w:rsidR="003A01F2">
        <w:rPr>
          <w:rFonts w:ascii="Times New Roman" w:eastAsia="Times New Roman" w:hAnsi="Times New Roman" w:cs="Times New Roman"/>
          <w:sz w:val="26"/>
          <w:szCs w:val="26"/>
        </w:rPr>
        <w:t>the</w:t>
      </w:r>
      <w:r w:rsidRPr="003A01F2" w:rsidR="003A01F2">
        <w:rPr>
          <w:rFonts w:ascii="Times New Roman" w:eastAsia="Times New Roman" w:hAnsi="Times New Roman" w:cs="Times New Roman"/>
          <w:spacing w:val="3"/>
          <w:sz w:val="26"/>
          <w:szCs w:val="26"/>
        </w:rPr>
        <w:t xml:space="preserve"> </w:t>
      </w:r>
      <w:r w:rsidRPr="003A01F2" w:rsidR="003A01F2">
        <w:rPr>
          <w:rFonts w:ascii="Times New Roman" w:eastAsia="Times New Roman" w:hAnsi="Times New Roman" w:cs="Times New Roman"/>
          <w:sz w:val="26"/>
          <w:szCs w:val="26"/>
        </w:rPr>
        <w:t>Commission</w:t>
      </w:r>
      <w:r w:rsidRPr="003A01F2" w:rsidR="003A01F2">
        <w:rPr>
          <w:rFonts w:ascii="Times New Roman" w:eastAsia="Times New Roman" w:hAnsi="Times New Roman" w:cs="Times New Roman"/>
          <w:spacing w:val="3"/>
          <w:sz w:val="26"/>
          <w:szCs w:val="26"/>
        </w:rPr>
        <w:t xml:space="preserve"> </w:t>
      </w:r>
      <w:r w:rsidRPr="003A01F2" w:rsidR="003A01F2">
        <w:rPr>
          <w:rFonts w:ascii="Times New Roman" w:eastAsia="Times New Roman" w:hAnsi="Times New Roman" w:cs="Times New Roman"/>
          <w:sz w:val="26"/>
          <w:szCs w:val="26"/>
        </w:rPr>
        <w:t>every</w:t>
      </w:r>
      <w:r w:rsidRPr="003A01F2" w:rsidR="003A01F2">
        <w:rPr>
          <w:rFonts w:ascii="Times New Roman" w:eastAsia="Times New Roman" w:hAnsi="Times New Roman" w:cs="Times New Roman"/>
          <w:spacing w:val="3"/>
          <w:sz w:val="26"/>
          <w:szCs w:val="26"/>
        </w:rPr>
        <w:t xml:space="preserve"> </w:t>
      </w:r>
      <w:r w:rsidRPr="003A01F2" w:rsidR="003A01F2">
        <w:rPr>
          <w:rFonts w:ascii="Times New Roman" w:eastAsia="Times New Roman" w:hAnsi="Times New Roman" w:cs="Times New Roman"/>
          <w:sz w:val="26"/>
          <w:szCs w:val="26"/>
        </w:rPr>
        <w:t>seven</w:t>
      </w:r>
      <w:r w:rsidRPr="003A01F2" w:rsidR="003A01F2">
        <w:rPr>
          <w:rFonts w:ascii="Times New Roman" w:eastAsia="Times New Roman" w:hAnsi="Times New Roman" w:cs="Times New Roman"/>
          <w:spacing w:val="4"/>
          <w:sz w:val="26"/>
          <w:szCs w:val="26"/>
        </w:rPr>
        <w:t xml:space="preserve"> </w:t>
      </w:r>
      <w:r w:rsidRPr="003A01F2" w:rsidR="003A01F2">
        <w:rPr>
          <w:rFonts w:ascii="Times New Roman" w:eastAsia="Times New Roman" w:hAnsi="Times New Roman" w:cs="Times New Roman"/>
          <w:sz w:val="26"/>
          <w:szCs w:val="26"/>
        </w:rPr>
        <w:t>years</w:t>
      </w:r>
      <w:r w:rsidRPr="003A01F2" w:rsidR="003A01F2">
        <w:rPr>
          <w:rFonts w:ascii="Times New Roman" w:eastAsia="Times New Roman" w:hAnsi="Times New Roman" w:cs="Times New Roman"/>
          <w:spacing w:val="2"/>
          <w:sz w:val="26"/>
          <w:szCs w:val="26"/>
        </w:rPr>
        <w:t xml:space="preserve"> </w:t>
      </w:r>
      <w:r w:rsidRPr="003A01F2" w:rsidR="003A01F2">
        <w:rPr>
          <w:rFonts w:ascii="Times New Roman" w:eastAsia="Times New Roman" w:hAnsi="Times New Roman" w:cs="Times New Roman"/>
          <w:sz w:val="26"/>
          <w:szCs w:val="26"/>
        </w:rPr>
        <w:t>that</w:t>
      </w:r>
      <w:r w:rsidRPr="003A01F2" w:rsidR="003A01F2">
        <w:rPr>
          <w:rFonts w:ascii="Times New Roman" w:eastAsia="Times New Roman" w:hAnsi="Times New Roman" w:cs="Times New Roman"/>
          <w:spacing w:val="2"/>
          <w:sz w:val="26"/>
          <w:szCs w:val="26"/>
        </w:rPr>
        <w:t xml:space="preserve"> </w:t>
      </w:r>
      <w:r w:rsidRPr="003A01F2" w:rsidR="003A01F2">
        <w:rPr>
          <w:rFonts w:ascii="Times New Roman" w:eastAsia="Times New Roman" w:hAnsi="Times New Roman" w:cs="Times New Roman"/>
          <w:sz w:val="26"/>
          <w:szCs w:val="26"/>
        </w:rPr>
        <w:t>it</w:t>
      </w:r>
      <w:r w:rsidRPr="003A01F2" w:rsidR="003A01F2">
        <w:rPr>
          <w:rFonts w:ascii="Times New Roman" w:eastAsia="Times New Roman" w:hAnsi="Times New Roman" w:cs="Times New Roman"/>
          <w:spacing w:val="2"/>
          <w:sz w:val="26"/>
          <w:szCs w:val="26"/>
        </w:rPr>
        <w:t xml:space="preserve"> </w:t>
      </w:r>
      <w:r w:rsidRPr="003A01F2" w:rsidR="003A01F2">
        <w:rPr>
          <w:rFonts w:ascii="Times New Roman" w:eastAsia="Times New Roman" w:hAnsi="Times New Roman" w:cs="Times New Roman"/>
          <w:sz w:val="26"/>
          <w:szCs w:val="26"/>
        </w:rPr>
        <w:t>meets</w:t>
      </w:r>
      <w:r w:rsidRPr="003A01F2" w:rsidR="003A01F2">
        <w:rPr>
          <w:rFonts w:ascii="Times New Roman" w:eastAsia="Times New Roman" w:hAnsi="Times New Roman" w:cs="Times New Roman"/>
          <w:spacing w:val="5"/>
          <w:sz w:val="26"/>
          <w:szCs w:val="26"/>
        </w:rPr>
        <w:t xml:space="preserve"> </w:t>
      </w:r>
      <w:r w:rsidRPr="003A01F2" w:rsidR="003A01F2">
        <w:rPr>
          <w:rFonts w:ascii="Times New Roman" w:eastAsia="Times New Roman" w:hAnsi="Times New Roman" w:cs="Times New Roman"/>
          <w:sz w:val="26"/>
          <w:szCs w:val="26"/>
        </w:rPr>
        <w:t>or</w:t>
      </w:r>
      <w:r w:rsidRPr="003A01F2" w:rsidR="003A01F2">
        <w:rPr>
          <w:rFonts w:ascii="Times New Roman" w:eastAsia="Times New Roman" w:hAnsi="Times New Roman" w:cs="Times New Roman"/>
          <w:spacing w:val="1"/>
          <w:sz w:val="26"/>
          <w:szCs w:val="26"/>
        </w:rPr>
        <w:t xml:space="preserve"> </w:t>
      </w:r>
      <w:r w:rsidRPr="003A01F2" w:rsidR="003A01F2">
        <w:rPr>
          <w:rFonts w:ascii="Times New Roman" w:eastAsia="Times New Roman" w:hAnsi="Times New Roman" w:cs="Times New Roman"/>
          <w:sz w:val="26"/>
          <w:szCs w:val="26"/>
        </w:rPr>
        <w:t>continues to meet the standards set forth in the Initial Policy Statement.</w:t>
      </w:r>
      <w:r w:rsidR="004F42A8">
        <w:rPr>
          <w:rFonts w:ascii="Times New Roman" w:eastAsia="Times New Roman" w:hAnsi="Times New Roman" w:cs="Times New Roman"/>
          <w:sz w:val="26"/>
          <w:szCs w:val="26"/>
        </w:rPr>
        <w:t xml:space="preserve"> </w:t>
      </w:r>
      <w:r w:rsidRPr="003A01F2" w:rsidR="003A01F2">
        <w:rPr>
          <w:rFonts w:ascii="Times New Roman" w:eastAsia="Times New Roman" w:hAnsi="Times New Roman" w:cs="Times New Roman"/>
          <w:sz w:val="26"/>
          <w:szCs w:val="26"/>
        </w:rPr>
        <w:t>Beginning six</w:t>
      </w:r>
      <w:r w:rsidRPr="003A01F2" w:rsidR="003A01F2">
        <w:rPr>
          <w:rFonts w:ascii="Times New Roman" w:eastAsia="Times New Roman" w:hAnsi="Times New Roman" w:cs="Times New Roman"/>
          <w:spacing w:val="1"/>
          <w:sz w:val="26"/>
          <w:szCs w:val="26"/>
        </w:rPr>
        <w:t xml:space="preserve"> </w:t>
      </w:r>
      <w:r w:rsidRPr="003A01F2" w:rsidR="003A01F2">
        <w:rPr>
          <w:rFonts w:ascii="Times New Roman" w:eastAsia="Times New Roman" w:hAnsi="Times New Roman" w:cs="Times New Roman"/>
          <w:sz w:val="26"/>
          <w:szCs w:val="26"/>
        </w:rPr>
        <w:t>months after the effective date</w:t>
      </w:r>
      <w:r w:rsidR="001907B8">
        <w:rPr>
          <w:rFonts w:ascii="Times New Roman" w:eastAsia="Times New Roman" w:hAnsi="Times New Roman" w:cs="Times New Roman"/>
          <w:sz w:val="26"/>
          <w:szCs w:val="26"/>
        </w:rPr>
        <w:t xml:space="preserve"> </w:t>
      </w:r>
      <w:r w:rsidRPr="003A01F2" w:rsidR="003A01F2">
        <w:rPr>
          <w:rFonts w:ascii="Times New Roman" w:eastAsia="Times New Roman" w:hAnsi="Times New Roman" w:cs="Times New Roman"/>
          <w:sz w:val="26"/>
          <w:szCs w:val="26"/>
        </w:rPr>
        <w:t xml:space="preserve">of </w:t>
      </w:r>
      <w:r w:rsidR="009721D8">
        <w:rPr>
          <w:rFonts w:ascii="Times New Roman" w:eastAsia="Times New Roman" w:hAnsi="Times New Roman" w:cs="Times New Roman"/>
          <w:sz w:val="26"/>
          <w:szCs w:val="26"/>
        </w:rPr>
        <w:t>the</w:t>
      </w:r>
      <w:r w:rsidRPr="003A01F2" w:rsidR="003A01F2">
        <w:rPr>
          <w:rFonts w:ascii="Times New Roman" w:eastAsia="Times New Roman" w:hAnsi="Times New Roman" w:cs="Times New Roman"/>
          <w:sz w:val="26"/>
          <w:szCs w:val="26"/>
        </w:rPr>
        <w:t xml:space="preserve"> Revised Policy Statement</w:t>
      </w:r>
      <w:r w:rsidR="00FC5F66">
        <w:rPr>
          <w:rFonts w:ascii="Times New Roman" w:eastAsia="Times New Roman" w:hAnsi="Times New Roman" w:cs="Times New Roman"/>
          <w:sz w:val="26"/>
          <w:szCs w:val="26"/>
        </w:rPr>
        <w:t xml:space="preserve"> (i.e., December 31, 2022)</w:t>
      </w:r>
      <w:r w:rsidRPr="003A01F2" w:rsidR="003A01F2">
        <w:rPr>
          <w:rFonts w:ascii="Times New Roman" w:eastAsia="Times New Roman" w:hAnsi="Times New Roman" w:cs="Times New Roman"/>
          <w:sz w:val="26"/>
          <w:szCs w:val="26"/>
        </w:rPr>
        <w:t>, interstate natural gas</w:t>
      </w:r>
      <w:r w:rsidRPr="003A01F2" w:rsidR="003A01F2">
        <w:rPr>
          <w:rFonts w:ascii="Times New Roman" w:eastAsia="Times New Roman" w:hAnsi="Times New Roman" w:cs="Times New Roman"/>
          <w:spacing w:val="1"/>
          <w:sz w:val="26"/>
          <w:szCs w:val="26"/>
        </w:rPr>
        <w:t xml:space="preserve"> </w:t>
      </w:r>
      <w:r w:rsidRPr="003A01F2" w:rsidR="003A01F2">
        <w:rPr>
          <w:rFonts w:ascii="Times New Roman" w:eastAsia="Times New Roman" w:hAnsi="Times New Roman" w:cs="Times New Roman"/>
          <w:sz w:val="26"/>
          <w:szCs w:val="26"/>
        </w:rPr>
        <w:t xml:space="preserve">pipelines and public utilities proposing to use price indices in jurisdictional tariffs </w:t>
      </w:r>
      <w:r w:rsidR="00B627EB">
        <w:rPr>
          <w:rFonts w:ascii="Times New Roman" w:eastAsia="Times New Roman" w:hAnsi="Times New Roman" w:cs="Times New Roman"/>
          <w:sz w:val="26"/>
          <w:szCs w:val="26"/>
        </w:rPr>
        <w:t>were</w:t>
      </w:r>
      <w:r w:rsidRPr="003A01F2" w:rsidR="00B627EB">
        <w:rPr>
          <w:rFonts w:ascii="Times New Roman" w:eastAsia="Times New Roman" w:hAnsi="Times New Roman" w:cs="Times New Roman"/>
          <w:sz w:val="26"/>
          <w:szCs w:val="26"/>
        </w:rPr>
        <w:t xml:space="preserve"> </w:t>
      </w:r>
      <w:r w:rsidRPr="003A01F2" w:rsidR="003A01F2">
        <w:rPr>
          <w:rFonts w:ascii="Times New Roman" w:eastAsia="Times New Roman" w:hAnsi="Times New Roman" w:cs="Times New Roman"/>
          <w:sz w:val="26"/>
          <w:szCs w:val="26"/>
        </w:rPr>
        <w:t>no</w:t>
      </w:r>
      <w:r w:rsidR="004F42A8">
        <w:rPr>
          <w:rFonts w:ascii="Times New Roman" w:eastAsia="Times New Roman" w:hAnsi="Times New Roman" w:cs="Times New Roman"/>
          <w:sz w:val="26"/>
          <w:szCs w:val="26"/>
        </w:rPr>
        <w:t xml:space="preserve"> </w:t>
      </w:r>
      <w:r w:rsidR="00010F8F">
        <w:rPr>
          <w:rFonts w:ascii="Times New Roman" w:eastAsia="Times New Roman" w:hAnsi="Times New Roman" w:cs="Times New Roman"/>
          <w:spacing w:val="-62"/>
          <w:sz w:val="26"/>
          <w:szCs w:val="26"/>
        </w:rPr>
        <w:t xml:space="preserve"> </w:t>
      </w:r>
      <w:r w:rsidRPr="003A01F2" w:rsidR="003A01F2">
        <w:rPr>
          <w:rFonts w:ascii="Times New Roman" w:eastAsia="Times New Roman" w:hAnsi="Times New Roman" w:cs="Times New Roman"/>
          <w:sz w:val="26"/>
          <w:szCs w:val="26"/>
        </w:rPr>
        <w:t>longer entitled to the rebuttable presumption that a price index developer’s price</w:t>
      </w:r>
      <w:r w:rsidRPr="003A01F2" w:rsidR="003A01F2">
        <w:rPr>
          <w:rFonts w:ascii="Times New Roman" w:eastAsia="Times New Roman" w:hAnsi="Times New Roman" w:cs="Times New Roman"/>
          <w:spacing w:val="1"/>
          <w:sz w:val="26"/>
          <w:szCs w:val="26"/>
        </w:rPr>
        <w:t xml:space="preserve"> </w:t>
      </w:r>
      <w:r w:rsidRPr="003A01F2" w:rsidR="003A01F2">
        <w:rPr>
          <w:rFonts w:ascii="Times New Roman" w:eastAsia="Times New Roman" w:hAnsi="Times New Roman" w:cs="Times New Roman"/>
          <w:sz w:val="26"/>
          <w:szCs w:val="26"/>
        </w:rPr>
        <w:t>indices produce just and reasonable rates unless the price index developer has obtained</w:t>
      </w:r>
      <w:r w:rsidRPr="003A01F2" w:rsidR="003A01F2">
        <w:rPr>
          <w:rFonts w:ascii="Times New Roman" w:eastAsia="Times New Roman" w:hAnsi="Times New Roman" w:cs="Times New Roman"/>
          <w:spacing w:val="1"/>
          <w:sz w:val="26"/>
          <w:szCs w:val="26"/>
        </w:rPr>
        <w:t xml:space="preserve"> </w:t>
      </w:r>
      <w:r w:rsidRPr="003A01F2" w:rsidR="003A01F2">
        <w:rPr>
          <w:rFonts w:ascii="Times New Roman" w:eastAsia="Times New Roman" w:hAnsi="Times New Roman" w:cs="Times New Roman"/>
          <w:sz w:val="26"/>
          <w:szCs w:val="26"/>
        </w:rPr>
        <w:t>approval</w:t>
      </w:r>
      <w:r w:rsidRPr="003A01F2" w:rsidR="003A01F2">
        <w:rPr>
          <w:rFonts w:ascii="Times New Roman" w:eastAsia="Times New Roman" w:hAnsi="Times New Roman" w:cs="Times New Roman"/>
          <w:spacing w:val="-4"/>
          <w:sz w:val="26"/>
          <w:szCs w:val="26"/>
        </w:rPr>
        <w:t xml:space="preserve"> </w:t>
      </w:r>
      <w:r w:rsidRPr="003A01F2" w:rsidR="003A01F2">
        <w:rPr>
          <w:rFonts w:ascii="Times New Roman" w:eastAsia="Times New Roman" w:hAnsi="Times New Roman" w:cs="Times New Roman"/>
          <w:sz w:val="26"/>
          <w:szCs w:val="26"/>
        </w:rPr>
        <w:t>or</w:t>
      </w:r>
      <w:r w:rsidRPr="003A01F2" w:rsidR="003A01F2">
        <w:rPr>
          <w:rFonts w:ascii="Times New Roman" w:eastAsia="Times New Roman" w:hAnsi="Times New Roman" w:cs="Times New Roman"/>
          <w:spacing w:val="-2"/>
          <w:sz w:val="26"/>
          <w:szCs w:val="26"/>
        </w:rPr>
        <w:t xml:space="preserve"> </w:t>
      </w:r>
      <w:r w:rsidRPr="003A01F2" w:rsidR="003A01F2">
        <w:rPr>
          <w:rFonts w:ascii="Times New Roman" w:eastAsia="Times New Roman" w:hAnsi="Times New Roman" w:cs="Times New Roman"/>
          <w:sz w:val="26"/>
          <w:szCs w:val="26"/>
        </w:rPr>
        <w:t>re-approval</w:t>
      </w:r>
      <w:r w:rsidRPr="003A01F2" w:rsidR="003A01F2">
        <w:rPr>
          <w:rFonts w:ascii="Times New Roman" w:eastAsia="Times New Roman" w:hAnsi="Times New Roman" w:cs="Times New Roman"/>
          <w:spacing w:val="-3"/>
          <w:sz w:val="26"/>
          <w:szCs w:val="26"/>
        </w:rPr>
        <w:t xml:space="preserve"> </w:t>
      </w:r>
      <w:r w:rsidRPr="003A01F2" w:rsidR="003A01F2">
        <w:rPr>
          <w:rFonts w:ascii="Times New Roman" w:eastAsia="Times New Roman" w:hAnsi="Times New Roman" w:cs="Times New Roman"/>
          <w:sz w:val="26"/>
          <w:szCs w:val="26"/>
        </w:rPr>
        <w:t>from</w:t>
      </w:r>
      <w:r w:rsidRPr="003A01F2" w:rsidR="003A01F2">
        <w:rPr>
          <w:rFonts w:ascii="Times New Roman" w:eastAsia="Times New Roman" w:hAnsi="Times New Roman" w:cs="Times New Roman"/>
          <w:spacing w:val="-1"/>
          <w:sz w:val="26"/>
          <w:szCs w:val="26"/>
        </w:rPr>
        <w:t xml:space="preserve"> </w:t>
      </w:r>
      <w:r w:rsidRPr="003A01F2" w:rsidR="003A01F2">
        <w:rPr>
          <w:rFonts w:ascii="Times New Roman" w:eastAsia="Times New Roman" w:hAnsi="Times New Roman" w:cs="Times New Roman"/>
          <w:sz w:val="26"/>
          <w:szCs w:val="26"/>
        </w:rPr>
        <w:t>the</w:t>
      </w:r>
      <w:r w:rsidRPr="003A01F2" w:rsidR="003A01F2">
        <w:rPr>
          <w:rFonts w:ascii="Times New Roman" w:eastAsia="Times New Roman" w:hAnsi="Times New Roman" w:cs="Times New Roman"/>
          <w:spacing w:val="-3"/>
          <w:sz w:val="26"/>
          <w:szCs w:val="26"/>
        </w:rPr>
        <w:t xml:space="preserve"> </w:t>
      </w:r>
      <w:r w:rsidRPr="003A01F2" w:rsidR="003A01F2">
        <w:rPr>
          <w:rFonts w:ascii="Times New Roman" w:eastAsia="Times New Roman" w:hAnsi="Times New Roman" w:cs="Times New Roman"/>
          <w:sz w:val="26"/>
          <w:szCs w:val="26"/>
        </w:rPr>
        <w:t>Commission</w:t>
      </w:r>
      <w:r w:rsidRPr="003A01F2" w:rsidR="003A01F2">
        <w:rPr>
          <w:rFonts w:ascii="Times New Roman" w:eastAsia="Times New Roman" w:hAnsi="Times New Roman" w:cs="Times New Roman"/>
          <w:spacing w:val="-1"/>
          <w:sz w:val="26"/>
          <w:szCs w:val="26"/>
        </w:rPr>
        <w:t xml:space="preserve"> </w:t>
      </w:r>
      <w:r w:rsidRPr="003A01F2" w:rsidR="003A01F2">
        <w:rPr>
          <w:rFonts w:ascii="Times New Roman" w:eastAsia="Times New Roman" w:hAnsi="Times New Roman" w:cs="Times New Roman"/>
          <w:sz w:val="26"/>
          <w:szCs w:val="26"/>
        </w:rPr>
        <w:t>within</w:t>
      </w:r>
      <w:r w:rsidRPr="003A01F2" w:rsidR="003A01F2">
        <w:rPr>
          <w:rFonts w:ascii="Times New Roman" w:eastAsia="Times New Roman" w:hAnsi="Times New Roman" w:cs="Times New Roman"/>
          <w:spacing w:val="-2"/>
          <w:sz w:val="26"/>
          <w:szCs w:val="26"/>
        </w:rPr>
        <w:t xml:space="preserve"> </w:t>
      </w:r>
      <w:r w:rsidRPr="003A01F2" w:rsidR="003A01F2">
        <w:rPr>
          <w:rFonts w:ascii="Times New Roman" w:eastAsia="Times New Roman" w:hAnsi="Times New Roman" w:cs="Times New Roman"/>
          <w:sz w:val="26"/>
          <w:szCs w:val="26"/>
        </w:rPr>
        <w:t>the</w:t>
      </w:r>
      <w:r w:rsidRPr="003A01F2" w:rsidR="003A01F2">
        <w:rPr>
          <w:rFonts w:ascii="Times New Roman" w:eastAsia="Times New Roman" w:hAnsi="Times New Roman" w:cs="Times New Roman"/>
          <w:spacing w:val="-3"/>
          <w:sz w:val="26"/>
          <w:szCs w:val="26"/>
        </w:rPr>
        <w:t xml:space="preserve"> </w:t>
      </w:r>
      <w:r w:rsidRPr="003A01F2" w:rsidR="003A01F2">
        <w:rPr>
          <w:rFonts w:ascii="Times New Roman" w:eastAsia="Times New Roman" w:hAnsi="Times New Roman" w:cs="Times New Roman"/>
          <w:sz w:val="26"/>
          <w:szCs w:val="26"/>
        </w:rPr>
        <w:t>last</w:t>
      </w:r>
      <w:r w:rsidRPr="003A01F2" w:rsidR="003A01F2">
        <w:rPr>
          <w:rFonts w:ascii="Times New Roman" w:eastAsia="Times New Roman" w:hAnsi="Times New Roman" w:cs="Times New Roman"/>
          <w:spacing w:val="-1"/>
          <w:sz w:val="26"/>
          <w:szCs w:val="26"/>
        </w:rPr>
        <w:t xml:space="preserve"> </w:t>
      </w:r>
      <w:r w:rsidRPr="003A01F2" w:rsidR="003A01F2">
        <w:rPr>
          <w:rFonts w:ascii="Times New Roman" w:eastAsia="Times New Roman" w:hAnsi="Times New Roman" w:cs="Times New Roman"/>
          <w:sz w:val="26"/>
          <w:szCs w:val="26"/>
        </w:rPr>
        <w:t>seven</w:t>
      </w:r>
      <w:r w:rsidRPr="003A01F2" w:rsidR="003A01F2">
        <w:rPr>
          <w:rFonts w:ascii="Times New Roman" w:eastAsia="Times New Roman" w:hAnsi="Times New Roman" w:cs="Times New Roman"/>
          <w:spacing w:val="-2"/>
          <w:sz w:val="26"/>
          <w:szCs w:val="26"/>
        </w:rPr>
        <w:t xml:space="preserve"> </w:t>
      </w:r>
      <w:r w:rsidRPr="003A01F2" w:rsidR="003A01F2">
        <w:rPr>
          <w:rFonts w:ascii="Times New Roman" w:eastAsia="Times New Roman" w:hAnsi="Times New Roman" w:cs="Times New Roman"/>
          <w:sz w:val="26"/>
          <w:szCs w:val="26"/>
        </w:rPr>
        <w:t>years</w:t>
      </w:r>
      <w:r w:rsidRPr="6867D0E1" w:rsidR="003A01F2">
        <w:rPr>
          <w:rFonts w:ascii="Times New Roman" w:eastAsia="Times New Roman" w:hAnsi="Times New Roman" w:cs="Times New Roman"/>
          <w:i/>
          <w:iCs/>
          <w:sz w:val="26"/>
          <w:szCs w:val="26"/>
        </w:rPr>
        <w:t>.</w:t>
      </w:r>
      <w:r w:rsidRPr="6867D0E1" w:rsidR="003A01F2">
        <w:rPr>
          <w:rFonts w:ascii="Times New Roman" w:eastAsia="Times New Roman" w:hAnsi="Times New Roman" w:cs="Times New Roman"/>
          <w:i/>
          <w:iCs/>
          <w:spacing w:val="61"/>
          <w:sz w:val="26"/>
          <w:szCs w:val="26"/>
        </w:rPr>
        <w:t xml:space="preserve"> </w:t>
      </w:r>
      <w:r w:rsidRPr="003A01F2" w:rsidR="003A01F2">
        <w:rPr>
          <w:rFonts w:ascii="Times New Roman" w:eastAsia="Times New Roman" w:hAnsi="Times New Roman" w:cs="Times New Roman"/>
          <w:sz w:val="26"/>
          <w:szCs w:val="26"/>
        </w:rPr>
        <w:t>Finally,</w:t>
      </w:r>
      <w:r w:rsidRPr="003A01F2" w:rsidR="003A01F2">
        <w:rPr>
          <w:rFonts w:ascii="Times New Roman" w:eastAsia="Times New Roman" w:hAnsi="Times New Roman" w:cs="Times New Roman"/>
          <w:spacing w:val="-2"/>
          <w:sz w:val="26"/>
          <w:szCs w:val="26"/>
        </w:rPr>
        <w:t xml:space="preserve"> </w:t>
      </w:r>
      <w:r w:rsidR="00010F8F">
        <w:rPr>
          <w:rFonts w:ascii="Times New Roman" w:eastAsia="Times New Roman" w:hAnsi="Times New Roman" w:cs="Times New Roman"/>
          <w:sz w:val="26"/>
          <w:szCs w:val="26"/>
        </w:rPr>
        <w:t xml:space="preserve">the Commission clarified </w:t>
      </w:r>
      <w:r w:rsidRPr="00D24EDB">
        <w:rPr>
          <w:rFonts w:ascii="Times New Roman" w:eastAsia="Times New Roman" w:hAnsi="Times New Roman" w:cs="Times New Roman"/>
          <w:sz w:val="26"/>
          <w:szCs w:val="26"/>
        </w:rPr>
        <w:t>the</w:t>
      </w:r>
      <w:r w:rsidRPr="00D24EDB">
        <w:rPr>
          <w:rFonts w:ascii="Times New Roman" w:eastAsia="Times New Roman" w:hAnsi="Times New Roman" w:cs="Times New Roman"/>
          <w:spacing w:val="-3"/>
          <w:sz w:val="26"/>
          <w:szCs w:val="26"/>
        </w:rPr>
        <w:t xml:space="preserve"> </w:t>
      </w:r>
      <w:r w:rsidRPr="00D24EDB">
        <w:rPr>
          <w:rFonts w:ascii="Times New Roman" w:eastAsia="Times New Roman" w:hAnsi="Times New Roman" w:cs="Times New Roman"/>
          <w:sz w:val="26"/>
          <w:szCs w:val="26"/>
        </w:rPr>
        <w:t>review</w:t>
      </w:r>
      <w:r w:rsidRPr="00D24EDB">
        <w:rPr>
          <w:rFonts w:ascii="Times New Roman" w:eastAsia="Times New Roman" w:hAnsi="Times New Roman" w:cs="Times New Roman"/>
          <w:spacing w:val="-3"/>
          <w:sz w:val="26"/>
          <w:szCs w:val="26"/>
        </w:rPr>
        <w:t xml:space="preserve"> </w:t>
      </w:r>
      <w:r w:rsidRPr="00D24EDB">
        <w:rPr>
          <w:rFonts w:ascii="Times New Roman" w:eastAsia="Times New Roman" w:hAnsi="Times New Roman" w:cs="Times New Roman"/>
          <w:sz w:val="26"/>
          <w:szCs w:val="26"/>
        </w:rPr>
        <w:t>period</w:t>
      </w:r>
      <w:r w:rsidRPr="00D24EDB">
        <w:rPr>
          <w:rFonts w:ascii="Times New Roman" w:eastAsia="Times New Roman" w:hAnsi="Times New Roman" w:cs="Times New Roman"/>
          <w:spacing w:val="-2"/>
          <w:sz w:val="26"/>
          <w:szCs w:val="26"/>
        </w:rPr>
        <w:t xml:space="preserve"> </w:t>
      </w:r>
      <w:r w:rsidRPr="00D24EDB">
        <w:rPr>
          <w:rFonts w:ascii="Times New Roman" w:eastAsia="Times New Roman" w:hAnsi="Times New Roman" w:cs="Times New Roman"/>
          <w:sz w:val="26"/>
          <w:szCs w:val="26"/>
        </w:rPr>
        <w:t>for</w:t>
      </w:r>
      <w:r w:rsidRPr="00D24EDB">
        <w:rPr>
          <w:rFonts w:ascii="Times New Roman" w:eastAsia="Times New Roman" w:hAnsi="Times New Roman" w:cs="Times New Roman"/>
          <w:spacing w:val="-3"/>
          <w:sz w:val="26"/>
          <w:szCs w:val="26"/>
        </w:rPr>
        <w:t xml:space="preserve"> </w:t>
      </w:r>
      <w:r w:rsidRPr="00D24EDB">
        <w:rPr>
          <w:rFonts w:ascii="Times New Roman" w:eastAsia="Times New Roman" w:hAnsi="Times New Roman" w:cs="Times New Roman"/>
          <w:sz w:val="26"/>
          <w:szCs w:val="26"/>
        </w:rPr>
        <w:t>assessing</w:t>
      </w:r>
      <w:r w:rsidRPr="00D24EDB">
        <w:rPr>
          <w:rFonts w:ascii="Times New Roman" w:eastAsia="Times New Roman" w:hAnsi="Times New Roman" w:cs="Times New Roman"/>
          <w:spacing w:val="-3"/>
          <w:sz w:val="26"/>
          <w:szCs w:val="26"/>
        </w:rPr>
        <w:t xml:space="preserve"> </w:t>
      </w:r>
      <w:r w:rsidRPr="00D24EDB">
        <w:rPr>
          <w:rFonts w:ascii="Times New Roman" w:eastAsia="Times New Roman" w:hAnsi="Times New Roman" w:cs="Times New Roman"/>
          <w:sz w:val="26"/>
          <w:szCs w:val="26"/>
        </w:rPr>
        <w:t>the</w:t>
      </w:r>
      <w:r w:rsidRPr="00D24EDB">
        <w:rPr>
          <w:rFonts w:ascii="Times New Roman" w:eastAsia="Times New Roman" w:hAnsi="Times New Roman" w:cs="Times New Roman"/>
          <w:spacing w:val="-3"/>
          <w:sz w:val="26"/>
          <w:szCs w:val="26"/>
        </w:rPr>
        <w:t xml:space="preserve"> </w:t>
      </w:r>
      <w:r w:rsidRPr="00D24EDB">
        <w:rPr>
          <w:rFonts w:ascii="Times New Roman" w:eastAsia="Times New Roman" w:hAnsi="Times New Roman" w:cs="Times New Roman"/>
          <w:sz w:val="26"/>
          <w:szCs w:val="26"/>
        </w:rPr>
        <w:t>liquidity</w:t>
      </w:r>
      <w:r w:rsidRPr="00D24EDB">
        <w:rPr>
          <w:rFonts w:ascii="Times New Roman" w:eastAsia="Times New Roman" w:hAnsi="Times New Roman" w:cs="Times New Roman"/>
          <w:spacing w:val="-3"/>
          <w:sz w:val="26"/>
          <w:szCs w:val="26"/>
        </w:rPr>
        <w:t xml:space="preserve"> </w:t>
      </w:r>
      <w:r w:rsidRPr="00D24EDB">
        <w:rPr>
          <w:rFonts w:ascii="Times New Roman" w:eastAsia="Times New Roman" w:hAnsi="Times New Roman" w:cs="Times New Roman"/>
          <w:sz w:val="26"/>
          <w:szCs w:val="26"/>
        </w:rPr>
        <w:t>of</w:t>
      </w:r>
      <w:r w:rsidRPr="00D24EDB">
        <w:rPr>
          <w:rFonts w:ascii="Times New Roman" w:eastAsia="Times New Roman" w:hAnsi="Times New Roman" w:cs="Times New Roman"/>
          <w:spacing w:val="-5"/>
          <w:sz w:val="26"/>
          <w:szCs w:val="26"/>
        </w:rPr>
        <w:t xml:space="preserve"> </w:t>
      </w:r>
      <w:r w:rsidRPr="00D24EDB">
        <w:rPr>
          <w:rFonts w:ascii="Times New Roman" w:eastAsia="Times New Roman" w:hAnsi="Times New Roman" w:cs="Times New Roman"/>
          <w:sz w:val="26"/>
          <w:szCs w:val="26"/>
        </w:rPr>
        <w:t>natural</w:t>
      </w:r>
      <w:r w:rsidRPr="00D24EDB">
        <w:rPr>
          <w:rFonts w:ascii="Times New Roman" w:eastAsia="Times New Roman" w:hAnsi="Times New Roman" w:cs="Times New Roman"/>
          <w:spacing w:val="-3"/>
          <w:sz w:val="26"/>
          <w:szCs w:val="26"/>
        </w:rPr>
        <w:t xml:space="preserve"> </w:t>
      </w:r>
      <w:r w:rsidRPr="00D24EDB">
        <w:rPr>
          <w:rFonts w:ascii="Times New Roman" w:eastAsia="Times New Roman" w:hAnsi="Times New Roman" w:cs="Times New Roman"/>
          <w:sz w:val="26"/>
          <w:szCs w:val="26"/>
        </w:rPr>
        <w:t>gas</w:t>
      </w:r>
      <w:r w:rsidRPr="00D24EDB">
        <w:rPr>
          <w:rFonts w:ascii="Times New Roman" w:eastAsia="Times New Roman" w:hAnsi="Times New Roman" w:cs="Times New Roman"/>
          <w:spacing w:val="-3"/>
          <w:sz w:val="26"/>
          <w:szCs w:val="26"/>
        </w:rPr>
        <w:t xml:space="preserve"> </w:t>
      </w:r>
      <w:r w:rsidRPr="00D24EDB">
        <w:rPr>
          <w:rFonts w:ascii="Times New Roman" w:eastAsia="Times New Roman" w:hAnsi="Times New Roman" w:cs="Times New Roman"/>
          <w:sz w:val="26"/>
          <w:szCs w:val="26"/>
        </w:rPr>
        <w:t>price</w:t>
      </w:r>
      <w:r w:rsidRPr="00D24EDB">
        <w:rPr>
          <w:rFonts w:ascii="Times New Roman" w:eastAsia="Times New Roman" w:hAnsi="Times New Roman" w:cs="Times New Roman"/>
          <w:spacing w:val="-4"/>
          <w:sz w:val="26"/>
          <w:szCs w:val="26"/>
        </w:rPr>
        <w:t xml:space="preserve"> </w:t>
      </w:r>
      <w:r w:rsidRPr="00D24EDB">
        <w:rPr>
          <w:rFonts w:ascii="Times New Roman" w:eastAsia="Times New Roman" w:hAnsi="Times New Roman" w:cs="Times New Roman"/>
          <w:sz w:val="26"/>
          <w:szCs w:val="26"/>
        </w:rPr>
        <w:t>indices</w:t>
      </w:r>
      <w:r w:rsidRPr="00D24EDB">
        <w:rPr>
          <w:rFonts w:ascii="Times New Roman" w:eastAsia="Times New Roman" w:hAnsi="Times New Roman" w:cs="Times New Roman"/>
          <w:spacing w:val="-3"/>
          <w:sz w:val="26"/>
          <w:szCs w:val="26"/>
        </w:rPr>
        <w:t xml:space="preserve"> </w:t>
      </w:r>
      <w:r w:rsidRPr="00D24EDB">
        <w:rPr>
          <w:rFonts w:ascii="Times New Roman" w:eastAsia="Times New Roman" w:hAnsi="Times New Roman" w:cs="Times New Roman"/>
          <w:sz w:val="26"/>
          <w:szCs w:val="26"/>
        </w:rPr>
        <w:t>submitted</w:t>
      </w:r>
      <w:r>
        <w:rPr>
          <w:rFonts w:ascii="Times New Roman" w:eastAsia="Times New Roman" w:hAnsi="Times New Roman" w:cs="Times New Roman"/>
          <w:sz w:val="26"/>
          <w:szCs w:val="26"/>
        </w:rPr>
        <w:t xml:space="preserve"> </w:t>
      </w:r>
      <w:r w:rsidRPr="00D24EDB">
        <w:rPr>
          <w:rFonts w:ascii="Times New Roman" w:hAnsi="Times New Roman" w:cs="Times New Roman"/>
          <w:sz w:val="26"/>
          <w:szCs w:val="26"/>
        </w:rPr>
        <w:t>for</w:t>
      </w:r>
      <w:r w:rsidRPr="00D24EDB">
        <w:rPr>
          <w:rFonts w:ascii="Times New Roman" w:hAnsi="Times New Roman" w:cs="Times New Roman"/>
          <w:spacing w:val="-5"/>
          <w:sz w:val="26"/>
          <w:szCs w:val="26"/>
        </w:rPr>
        <w:t xml:space="preserve"> </w:t>
      </w:r>
      <w:r w:rsidRPr="00D24EDB">
        <w:rPr>
          <w:rFonts w:ascii="Times New Roman" w:hAnsi="Times New Roman" w:cs="Times New Roman"/>
          <w:sz w:val="26"/>
          <w:szCs w:val="26"/>
        </w:rPr>
        <w:t>reference</w:t>
      </w:r>
      <w:r w:rsidRPr="00D24EDB">
        <w:rPr>
          <w:rFonts w:ascii="Times New Roman" w:hAnsi="Times New Roman" w:cs="Times New Roman"/>
          <w:spacing w:val="-4"/>
          <w:sz w:val="26"/>
          <w:szCs w:val="26"/>
        </w:rPr>
        <w:t xml:space="preserve"> </w:t>
      </w:r>
      <w:r w:rsidRPr="00D24EDB">
        <w:rPr>
          <w:rFonts w:ascii="Times New Roman" w:hAnsi="Times New Roman" w:cs="Times New Roman"/>
          <w:sz w:val="26"/>
          <w:szCs w:val="26"/>
        </w:rPr>
        <w:t>in</w:t>
      </w:r>
      <w:r w:rsidRPr="00D24EDB">
        <w:rPr>
          <w:rFonts w:ascii="Times New Roman" w:hAnsi="Times New Roman" w:cs="Times New Roman"/>
          <w:spacing w:val="-3"/>
          <w:sz w:val="26"/>
          <w:szCs w:val="26"/>
        </w:rPr>
        <w:t xml:space="preserve"> </w:t>
      </w:r>
      <w:r w:rsidRPr="00D24EDB">
        <w:rPr>
          <w:rFonts w:ascii="Times New Roman" w:hAnsi="Times New Roman" w:cs="Times New Roman"/>
          <w:sz w:val="26"/>
          <w:szCs w:val="26"/>
        </w:rPr>
        <w:t>Commission-jurisdictional</w:t>
      </w:r>
      <w:r w:rsidRPr="00D24EDB">
        <w:rPr>
          <w:rFonts w:ascii="Times New Roman" w:hAnsi="Times New Roman" w:cs="Times New Roman"/>
          <w:spacing w:val="-4"/>
          <w:sz w:val="26"/>
          <w:szCs w:val="26"/>
        </w:rPr>
        <w:t xml:space="preserve"> </w:t>
      </w:r>
      <w:r w:rsidRPr="00D24EDB">
        <w:rPr>
          <w:rFonts w:ascii="Times New Roman" w:hAnsi="Times New Roman" w:cs="Times New Roman"/>
          <w:sz w:val="26"/>
          <w:szCs w:val="26"/>
        </w:rPr>
        <w:t>tariffs.</w:t>
      </w:r>
    </w:p>
    <w:bookmarkEnd w:id="0"/>
    <w:p w:rsidR="003A01F2" w:rsidRPr="00A83FAC" w:rsidP="48722C2A" w14:paraId="63932F4B" w14:textId="77777777">
      <w:pPr>
        <w:widowControl w:val="0"/>
        <w:spacing w:before="89" w:after="0" w:line="240" w:lineRule="auto"/>
        <w:rPr>
          <w:rFonts w:ascii="Times New Roman" w:eastAsia="Times New Roman" w:hAnsi="Times New Roman" w:cs="Times New Roman"/>
          <w:sz w:val="26"/>
          <w:szCs w:val="26"/>
        </w:rPr>
      </w:pPr>
    </w:p>
    <w:p w:rsidR="0047753C" w:rsidRPr="0047753C" w:rsidP="0047753C" w14:paraId="208A3148" w14:textId="5C1FFB49">
      <w:pPr>
        <w:rPr>
          <w:rFonts w:ascii="Times New Roman" w:eastAsia="Calibri" w:hAnsi="Times New Roman" w:cs="Times New Roman"/>
          <w:b/>
          <w:bCs/>
          <w:sz w:val="26"/>
          <w:szCs w:val="26"/>
          <w:u w:val="single"/>
        </w:rPr>
      </w:pPr>
      <w:r w:rsidRPr="0047753C">
        <w:rPr>
          <w:rFonts w:ascii="Times New Roman" w:eastAsia="Calibri" w:hAnsi="Times New Roman" w:cs="Times New Roman"/>
          <w:b/>
          <w:bCs/>
          <w:sz w:val="26"/>
          <w:szCs w:val="26"/>
        </w:rPr>
        <w:t>A</w:t>
      </w:r>
      <w:r w:rsidRPr="0047753C">
        <w:rPr>
          <w:rFonts w:ascii="Times New Roman" w:eastAsia="Calibri" w:hAnsi="Times New Roman" w:cs="Times New Roman"/>
          <w:b/>
          <w:bCs/>
          <w:sz w:val="26"/>
          <w:szCs w:val="26"/>
        </w:rPr>
        <w:t>.</w:t>
      </w:r>
      <w:r w:rsidR="004F42A8">
        <w:rPr>
          <w:rFonts w:ascii="Times New Roman" w:eastAsia="Calibri" w:hAnsi="Times New Roman" w:cs="Times New Roman"/>
          <w:b/>
          <w:bCs/>
          <w:sz w:val="26"/>
          <w:szCs w:val="26"/>
        </w:rPr>
        <w:t xml:space="preserve"> </w:t>
      </w:r>
      <w:r w:rsidRPr="0047753C">
        <w:rPr>
          <w:rFonts w:ascii="Times New Roman" w:eastAsia="Calibri" w:hAnsi="Times New Roman" w:cs="Times New Roman"/>
          <w:b/>
          <w:bCs/>
          <w:sz w:val="26"/>
          <w:szCs w:val="26"/>
        </w:rPr>
        <w:tab/>
        <w:t>Justification</w:t>
      </w:r>
    </w:p>
    <w:p w:rsidR="000828A8" w:rsidP="00311EE2" w14:paraId="09997C35" w14:textId="77777777">
      <w:pPr>
        <w:rPr>
          <w:rFonts w:ascii="Times New Roman" w:eastAsia="Calibri" w:hAnsi="Times New Roman" w:cs="Times New Roman"/>
          <w:b/>
          <w:bCs/>
          <w:sz w:val="26"/>
          <w:szCs w:val="26"/>
        </w:rPr>
      </w:pPr>
      <w:r w:rsidRPr="0047753C">
        <w:rPr>
          <w:rFonts w:ascii="Times New Roman" w:eastAsia="Calibri" w:hAnsi="Times New Roman" w:cs="Times New Roman"/>
          <w:b/>
          <w:bCs/>
          <w:sz w:val="26"/>
          <w:szCs w:val="26"/>
        </w:rPr>
        <w:t>1</w:t>
      </w:r>
      <w:r w:rsidRPr="0047753C">
        <w:rPr>
          <w:rFonts w:ascii="Times New Roman" w:eastAsia="Calibri" w:hAnsi="Times New Roman" w:cs="Times New Roman"/>
          <w:b/>
          <w:bCs/>
          <w:sz w:val="26"/>
          <w:szCs w:val="26"/>
        </w:rPr>
        <w:t xml:space="preserve">. </w:t>
      </w:r>
      <w:r w:rsidRPr="0047753C">
        <w:rPr>
          <w:rFonts w:ascii="Times New Roman" w:eastAsia="Calibri" w:hAnsi="Times New Roman" w:cs="Times New Roman"/>
          <w:b/>
          <w:bCs/>
          <w:sz w:val="26"/>
          <w:szCs w:val="26"/>
        </w:rPr>
        <w:tab/>
        <w:t>CIRCUMSTANCES</w:t>
      </w:r>
      <w:r w:rsidRPr="0047753C">
        <w:rPr>
          <w:rFonts w:ascii="Times New Roman" w:eastAsia="Calibri" w:hAnsi="Times New Roman" w:cs="Times New Roman"/>
          <w:b/>
          <w:bCs/>
          <w:sz w:val="26"/>
          <w:szCs w:val="26"/>
        </w:rPr>
        <w:t xml:space="preserve"> THAT MAKE THE COLLECTION OF INFORMATION NECESSARY </w:t>
      </w:r>
    </w:p>
    <w:p w:rsidR="00311EE2" w:rsidRPr="000828A8" w:rsidP="00311EE2" w14:paraId="1556CB31" w14:textId="61F8F896">
      <w:pPr>
        <w:rPr>
          <w:rFonts w:ascii="Times New Roman" w:eastAsia="Calibri" w:hAnsi="Times New Roman" w:cs="Times New Roman"/>
          <w:b/>
          <w:bCs/>
          <w:sz w:val="26"/>
          <w:szCs w:val="26"/>
        </w:rPr>
      </w:pPr>
      <w:r w:rsidRPr="09496FC2">
        <w:rPr>
          <w:rFonts w:ascii="Times New Roman" w:eastAsia="Calibri" w:hAnsi="Times New Roman" w:cs="Times New Roman"/>
          <w:sz w:val="26"/>
          <w:szCs w:val="26"/>
        </w:rPr>
        <w:t xml:space="preserve">Under the NGA, the Commission has authority </w:t>
      </w:r>
      <w:r w:rsidRPr="09496FC2" w:rsidR="00A302A2">
        <w:rPr>
          <w:rFonts w:ascii="Times New Roman" w:eastAsia="Calibri" w:hAnsi="Times New Roman" w:cs="Times New Roman"/>
          <w:sz w:val="26"/>
          <w:szCs w:val="26"/>
        </w:rPr>
        <w:t>to regulate companies that engage in either the sale of natural gas for resale or interstate transportation.</w:t>
      </w:r>
      <w:r>
        <w:rPr>
          <w:rStyle w:val="FootnoteReference"/>
          <w:rFonts w:ascii="Times New Roman" w:eastAsia="Calibri" w:hAnsi="Times New Roman" w:cs="Times New Roman"/>
          <w:sz w:val="26"/>
          <w:szCs w:val="26"/>
        </w:rPr>
        <w:footnoteReference w:id="7"/>
      </w:r>
      <w:r w:rsidR="004F42A8">
        <w:rPr>
          <w:rFonts w:ascii="Times New Roman" w:eastAsia="Calibri" w:hAnsi="Times New Roman" w:cs="Times New Roman"/>
          <w:sz w:val="26"/>
          <w:szCs w:val="26"/>
        </w:rPr>
        <w:t xml:space="preserve"> </w:t>
      </w:r>
      <w:r w:rsidRPr="09496FC2" w:rsidR="00A302A2">
        <w:rPr>
          <w:rFonts w:ascii="Times New Roman" w:eastAsia="Calibri" w:hAnsi="Times New Roman" w:cs="Times New Roman"/>
          <w:sz w:val="26"/>
          <w:szCs w:val="26"/>
        </w:rPr>
        <w:t xml:space="preserve">Section 4 of the NGA requires that natural gas companies charge just and reasonable rates for the transportation </w:t>
      </w:r>
      <w:r w:rsidRPr="09496FC2">
        <w:rPr>
          <w:rFonts w:ascii="Times New Roman" w:eastAsia="Calibri" w:hAnsi="Times New Roman" w:cs="Times New Roman"/>
          <w:sz w:val="26"/>
          <w:szCs w:val="26"/>
        </w:rPr>
        <w:t>of and sale for resale of natural gas in interstate commerce.</w:t>
      </w:r>
      <w:r>
        <w:rPr>
          <w:rFonts w:ascii="Times New Roman" w:eastAsia="Calibri" w:hAnsi="Times New Roman" w:cs="Times New Roman"/>
          <w:sz w:val="26"/>
          <w:szCs w:val="26"/>
          <w:vertAlign w:val="superscript"/>
        </w:rPr>
        <w:footnoteReference w:id="8"/>
      </w:r>
      <w:r w:rsidR="004F42A8">
        <w:rPr>
          <w:rFonts w:ascii="Times New Roman" w:eastAsia="Calibri" w:hAnsi="Times New Roman" w:cs="Times New Roman"/>
          <w:sz w:val="26"/>
          <w:szCs w:val="26"/>
        </w:rPr>
        <w:t xml:space="preserve"> </w:t>
      </w:r>
      <w:r w:rsidRPr="09496FC2" w:rsidR="00A302A2">
        <w:rPr>
          <w:rFonts w:ascii="Times New Roman" w:eastAsia="Calibri" w:hAnsi="Times New Roman" w:cs="Times New Roman"/>
          <w:sz w:val="26"/>
          <w:szCs w:val="26"/>
        </w:rPr>
        <w:t>The Commission and third parties may challenge such rates under section 5 of the NGA.</w:t>
      </w:r>
      <w:r>
        <w:rPr>
          <w:rStyle w:val="FootnoteReference"/>
          <w:rFonts w:ascii="Times New Roman" w:eastAsia="Calibri" w:hAnsi="Times New Roman" w:cs="Times New Roman"/>
          <w:sz w:val="26"/>
          <w:szCs w:val="26"/>
        </w:rPr>
        <w:footnoteReference w:id="9"/>
      </w:r>
      <w:r w:rsidR="004F42A8">
        <w:rPr>
          <w:rFonts w:ascii="Times New Roman" w:eastAsia="Calibri" w:hAnsi="Times New Roman" w:cs="Times New Roman"/>
          <w:sz w:val="26"/>
          <w:szCs w:val="26"/>
        </w:rPr>
        <w:t xml:space="preserve"> </w:t>
      </w:r>
      <w:r w:rsidRPr="00B9700D" w:rsidR="004442D0">
        <w:rPr>
          <w:rFonts w:ascii="Times New Roman" w:eastAsia="Times New Roman" w:hAnsi="Times New Roman" w:cs="Times New Roman"/>
          <w:sz w:val="26"/>
          <w:szCs w:val="26"/>
        </w:rPr>
        <w:t>An interstate natural gas pipeline or public utility proposing to include a price index in its Commission-jurisdictional tariff bears the burden of supporting its proposed price index.</w:t>
      </w:r>
      <w:r w:rsidR="004F42A8">
        <w:rPr>
          <w:rFonts w:ascii="Times New Roman" w:eastAsia="Times New Roman" w:hAnsi="Times New Roman" w:cs="Times New Roman"/>
          <w:sz w:val="26"/>
          <w:szCs w:val="26"/>
        </w:rPr>
        <w:t xml:space="preserve"> </w:t>
      </w:r>
      <w:r w:rsidRPr="09496FC2" w:rsidR="004442D0">
        <w:rPr>
          <w:rFonts w:ascii="Times New Roman" w:eastAsia="Calibri" w:hAnsi="Times New Roman" w:cs="Times New Roman"/>
          <w:sz w:val="26"/>
          <w:szCs w:val="26"/>
        </w:rPr>
        <w:t xml:space="preserve">Furthermore, </w:t>
      </w:r>
      <w:r w:rsidRPr="09496FC2" w:rsidR="004442D0">
        <w:rPr>
          <w:rFonts w:ascii="Times New Roman" w:eastAsia="Calibri" w:hAnsi="Times New Roman" w:cs="Times New Roman"/>
          <w:sz w:val="26"/>
          <w:szCs w:val="26"/>
        </w:rPr>
        <w:t>Commission</w:t>
      </w:r>
      <w:r w:rsidRPr="09496FC2" w:rsidR="004442D0">
        <w:rPr>
          <w:rFonts w:ascii="Times New Roman" w:eastAsia="Calibri" w:hAnsi="Times New Roman" w:cs="Times New Roman"/>
          <w:sz w:val="26"/>
          <w:szCs w:val="26"/>
        </w:rPr>
        <w:t xml:space="preserve"> regulations at </w:t>
      </w:r>
      <w:r w:rsidRPr="09496FC2" w:rsidR="003A3B98">
        <w:rPr>
          <w:rFonts w:ascii="Times New Roman" w:eastAsia="Calibri" w:hAnsi="Times New Roman" w:cs="Times New Roman"/>
          <w:sz w:val="26"/>
          <w:szCs w:val="26"/>
        </w:rPr>
        <w:t xml:space="preserve">18 CFR </w:t>
      </w:r>
      <w:r w:rsidRPr="09496FC2" w:rsidR="004442D0">
        <w:rPr>
          <w:rFonts w:ascii="Times New Roman" w:eastAsia="Calibri" w:hAnsi="Times New Roman" w:cs="Times New Roman"/>
          <w:sz w:val="26"/>
          <w:szCs w:val="26"/>
        </w:rPr>
        <w:t>section 284.402(a) provide that any person who is not an interstate pipeline</w:t>
      </w:r>
      <w:r w:rsidRPr="09496FC2" w:rsidR="00743114">
        <w:rPr>
          <w:rFonts w:ascii="Times New Roman" w:eastAsia="Calibri" w:hAnsi="Times New Roman" w:cs="Times New Roman"/>
          <w:sz w:val="26"/>
          <w:szCs w:val="26"/>
        </w:rPr>
        <w:t xml:space="preserve"> who</w:t>
      </w:r>
      <w:r w:rsidRPr="09496FC2" w:rsidR="004442D0">
        <w:rPr>
          <w:rFonts w:ascii="Times New Roman" w:eastAsia="Calibri" w:hAnsi="Times New Roman" w:cs="Times New Roman"/>
          <w:sz w:val="26"/>
          <w:szCs w:val="26"/>
        </w:rPr>
        <w:t xml:space="preserve"> is granted a blanket certificate of public convenience and necessity, pursuant to section 7 of the NGA</w:t>
      </w:r>
      <w:r w:rsidR="005555E2">
        <w:rPr>
          <w:rFonts w:ascii="Times New Roman" w:eastAsia="Calibri" w:hAnsi="Times New Roman" w:cs="Times New Roman"/>
          <w:sz w:val="26"/>
          <w:szCs w:val="26"/>
        </w:rPr>
        <w:t>,</w:t>
      </w:r>
      <w:r>
        <w:rPr>
          <w:rStyle w:val="FootnoteReference"/>
          <w:rFonts w:ascii="Times New Roman" w:eastAsia="Calibri" w:hAnsi="Times New Roman" w:cs="Times New Roman"/>
          <w:sz w:val="26"/>
          <w:szCs w:val="26"/>
        </w:rPr>
        <w:footnoteReference w:id="10"/>
      </w:r>
      <w:r w:rsidRPr="09496FC2" w:rsidR="004442D0">
        <w:rPr>
          <w:rFonts w:ascii="Times New Roman" w:eastAsia="Calibri" w:hAnsi="Times New Roman" w:cs="Times New Roman"/>
          <w:sz w:val="26"/>
          <w:szCs w:val="26"/>
        </w:rPr>
        <w:t xml:space="preserve"> </w:t>
      </w:r>
      <w:r w:rsidRPr="09496FC2" w:rsidR="00743114">
        <w:rPr>
          <w:rFonts w:ascii="Times New Roman" w:eastAsia="Calibri" w:hAnsi="Times New Roman" w:cs="Times New Roman"/>
          <w:sz w:val="26"/>
          <w:szCs w:val="26"/>
        </w:rPr>
        <w:t>is</w:t>
      </w:r>
      <w:r w:rsidRPr="09496FC2" w:rsidR="004442D0">
        <w:rPr>
          <w:rFonts w:ascii="Times New Roman" w:eastAsia="Calibri" w:hAnsi="Times New Roman" w:cs="Times New Roman"/>
          <w:sz w:val="26"/>
          <w:szCs w:val="26"/>
        </w:rPr>
        <w:t xml:space="preserve"> authorize</w:t>
      </w:r>
      <w:r w:rsidRPr="09496FC2" w:rsidR="00743114">
        <w:rPr>
          <w:rFonts w:ascii="Times New Roman" w:eastAsia="Calibri" w:hAnsi="Times New Roman" w:cs="Times New Roman"/>
          <w:sz w:val="26"/>
          <w:szCs w:val="26"/>
        </w:rPr>
        <w:t>d</w:t>
      </w:r>
      <w:r w:rsidRPr="09496FC2" w:rsidR="004442D0">
        <w:rPr>
          <w:rFonts w:ascii="Times New Roman" w:eastAsia="Calibri" w:hAnsi="Times New Roman" w:cs="Times New Roman"/>
          <w:sz w:val="26"/>
          <w:szCs w:val="26"/>
        </w:rPr>
        <w:t xml:space="preserve"> to make sales for resale of natural gas at negotiated rates in interstate commerce.</w:t>
      </w:r>
    </w:p>
    <w:p w:rsidR="004442D0" w:rsidRPr="00B9700D" w:rsidP="00D93A31" w14:paraId="3DBDCA0D" w14:textId="21C58CFB">
      <w:pPr>
        <w:rPr>
          <w:rFonts w:ascii="Times New Roman" w:eastAsia="Calibri" w:hAnsi="Times New Roman" w:cs="Times New Roman"/>
          <w:bCs/>
          <w:sz w:val="26"/>
          <w:szCs w:val="26"/>
        </w:rPr>
      </w:pPr>
      <w:r w:rsidRPr="09496FC2">
        <w:rPr>
          <w:rFonts w:ascii="Times New Roman" w:eastAsia="Calibri" w:hAnsi="Times New Roman" w:cs="Times New Roman"/>
          <w:sz w:val="26"/>
          <w:szCs w:val="26"/>
        </w:rPr>
        <w:t xml:space="preserve">The Commission also has authority to establish rates for intrastate pipelines providing interstate gas transportation service under </w:t>
      </w:r>
      <w:r w:rsidRPr="09496FC2" w:rsidR="00D71E1E">
        <w:rPr>
          <w:rFonts w:ascii="Times New Roman" w:eastAsia="Calibri" w:hAnsi="Times New Roman" w:cs="Times New Roman"/>
          <w:sz w:val="26"/>
          <w:szCs w:val="26"/>
        </w:rPr>
        <w:t>s</w:t>
      </w:r>
      <w:r w:rsidRPr="09496FC2">
        <w:rPr>
          <w:rFonts w:ascii="Times New Roman" w:eastAsia="Calibri" w:hAnsi="Times New Roman" w:cs="Times New Roman"/>
          <w:sz w:val="26"/>
          <w:szCs w:val="26"/>
        </w:rPr>
        <w:t>ection 311 of the Natural Gas Policy Act (NGPA).</w:t>
      </w:r>
      <w:r>
        <w:rPr>
          <w:rFonts w:ascii="Times New Roman" w:eastAsia="Times New Roman" w:hAnsi="Times New Roman" w:cs="Times New Roman"/>
          <w:sz w:val="26"/>
          <w:szCs w:val="26"/>
          <w:vertAlign w:val="superscript"/>
        </w:rPr>
        <w:footnoteReference w:id="11"/>
      </w:r>
      <w:r w:rsidR="004F42A8">
        <w:rPr>
          <w:rFonts w:ascii="Times New Roman" w:eastAsia="Calibri" w:hAnsi="Times New Roman" w:cs="Times New Roman"/>
          <w:sz w:val="26"/>
          <w:szCs w:val="26"/>
        </w:rPr>
        <w:t xml:space="preserve"> </w:t>
      </w:r>
      <w:r w:rsidRPr="09496FC2">
        <w:rPr>
          <w:rFonts w:ascii="Times New Roman" w:eastAsia="Calibri" w:hAnsi="Times New Roman" w:cs="Times New Roman"/>
          <w:sz w:val="26"/>
          <w:szCs w:val="26"/>
        </w:rPr>
        <w:t xml:space="preserve">Under </w:t>
      </w:r>
      <w:r w:rsidRPr="09496FC2" w:rsidR="00D71E1E">
        <w:rPr>
          <w:rFonts w:ascii="Times New Roman" w:eastAsia="Calibri" w:hAnsi="Times New Roman" w:cs="Times New Roman"/>
          <w:sz w:val="26"/>
          <w:szCs w:val="26"/>
        </w:rPr>
        <w:t>s</w:t>
      </w:r>
      <w:r w:rsidRPr="09496FC2">
        <w:rPr>
          <w:rFonts w:ascii="Times New Roman" w:eastAsia="Calibri" w:hAnsi="Times New Roman" w:cs="Times New Roman"/>
          <w:sz w:val="26"/>
          <w:szCs w:val="26"/>
        </w:rPr>
        <w:t>ection 311, intrastate pipelines are permitted to transport gas for interstate pipelines and local distribution companies (LDC) in interstate commerce without becoming subject to jurisdiction under the NGA.</w:t>
      </w:r>
      <w:r w:rsidR="004F42A8">
        <w:rPr>
          <w:rFonts w:ascii="Times New Roman" w:eastAsia="Calibri" w:hAnsi="Times New Roman" w:cs="Times New Roman"/>
          <w:sz w:val="26"/>
          <w:szCs w:val="26"/>
        </w:rPr>
        <w:t xml:space="preserve"> </w:t>
      </w:r>
      <w:r w:rsidRPr="09496FC2">
        <w:rPr>
          <w:rFonts w:ascii="Times New Roman" w:eastAsia="Calibri" w:hAnsi="Times New Roman" w:cs="Times New Roman"/>
          <w:sz w:val="26"/>
          <w:szCs w:val="26"/>
        </w:rPr>
        <w:t xml:space="preserve">The rates established under </w:t>
      </w:r>
      <w:r w:rsidRPr="09496FC2" w:rsidR="00D71E1E">
        <w:rPr>
          <w:rFonts w:ascii="Times New Roman" w:eastAsia="Calibri" w:hAnsi="Times New Roman" w:cs="Times New Roman"/>
          <w:sz w:val="26"/>
          <w:szCs w:val="26"/>
        </w:rPr>
        <w:t>s</w:t>
      </w:r>
      <w:r w:rsidRPr="09496FC2">
        <w:rPr>
          <w:rFonts w:ascii="Times New Roman" w:eastAsia="Calibri" w:hAnsi="Times New Roman" w:cs="Times New Roman"/>
          <w:sz w:val="26"/>
          <w:szCs w:val="26"/>
        </w:rPr>
        <w:t xml:space="preserve">ection 311 must meet a </w:t>
      </w:r>
      <w:r w:rsidRPr="09496FC2" w:rsidR="00D93A31">
        <w:rPr>
          <w:rFonts w:ascii="Times New Roman" w:eastAsia="Calibri" w:hAnsi="Times New Roman" w:cs="Times New Roman"/>
          <w:sz w:val="26"/>
          <w:szCs w:val="26"/>
        </w:rPr>
        <w:t>“</w:t>
      </w:r>
      <w:r w:rsidRPr="09496FC2">
        <w:rPr>
          <w:rFonts w:ascii="Times New Roman" w:eastAsia="Calibri" w:hAnsi="Times New Roman" w:cs="Times New Roman"/>
          <w:sz w:val="26"/>
          <w:szCs w:val="26"/>
        </w:rPr>
        <w:t>fair and equitable</w:t>
      </w:r>
      <w:r w:rsidRPr="09496FC2" w:rsidR="00D93A31">
        <w:rPr>
          <w:rFonts w:ascii="Times New Roman" w:eastAsia="Calibri" w:hAnsi="Times New Roman" w:cs="Times New Roman"/>
          <w:sz w:val="26"/>
          <w:szCs w:val="26"/>
        </w:rPr>
        <w:t>”</w:t>
      </w:r>
      <w:r w:rsidRPr="09496FC2">
        <w:rPr>
          <w:rFonts w:ascii="Times New Roman" w:eastAsia="Calibri" w:hAnsi="Times New Roman" w:cs="Times New Roman"/>
          <w:sz w:val="26"/>
          <w:szCs w:val="26"/>
        </w:rPr>
        <w:t xml:space="preserve"> standard, as opposed to </w:t>
      </w:r>
      <w:r w:rsidRPr="09496FC2" w:rsidR="0072732C">
        <w:rPr>
          <w:rFonts w:ascii="Times New Roman" w:eastAsia="Calibri" w:hAnsi="Times New Roman" w:cs="Times New Roman"/>
          <w:sz w:val="26"/>
          <w:szCs w:val="26"/>
        </w:rPr>
        <w:t xml:space="preserve">the </w:t>
      </w:r>
      <w:r w:rsidRPr="09496FC2" w:rsidR="00D93A31">
        <w:rPr>
          <w:rFonts w:ascii="Times New Roman" w:eastAsia="Calibri" w:hAnsi="Times New Roman" w:cs="Times New Roman"/>
          <w:sz w:val="26"/>
          <w:szCs w:val="26"/>
        </w:rPr>
        <w:t>“</w:t>
      </w:r>
      <w:r w:rsidRPr="09496FC2">
        <w:rPr>
          <w:rFonts w:ascii="Times New Roman" w:eastAsia="Calibri" w:hAnsi="Times New Roman" w:cs="Times New Roman"/>
          <w:sz w:val="26"/>
          <w:szCs w:val="26"/>
        </w:rPr>
        <w:t>just and reasonable</w:t>
      </w:r>
      <w:r w:rsidRPr="09496FC2" w:rsidR="00D93A31">
        <w:rPr>
          <w:rFonts w:ascii="Times New Roman" w:eastAsia="Calibri" w:hAnsi="Times New Roman" w:cs="Times New Roman"/>
          <w:sz w:val="26"/>
          <w:szCs w:val="26"/>
        </w:rPr>
        <w:t>”</w:t>
      </w:r>
      <w:r w:rsidRPr="09496FC2">
        <w:rPr>
          <w:rFonts w:ascii="Times New Roman" w:eastAsia="Calibri" w:hAnsi="Times New Roman" w:cs="Times New Roman"/>
          <w:sz w:val="26"/>
          <w:szCs w:val="26"/>
        </w:rPr>
        <w:t xml:space="preserve"> standard under the NGA.</w:t>
      </w:r>
    </w:p>
    <w:p w:rsidR="00311EE2" w:rsidRPr="00D477AF" w:rsidP="00D67A1E" w14:paraId="34FD37DB" w14:textId="27B5DD69">
      <w:pPr>
        <w:rPr>
          <w:rFonts w:ascii="Times New Roman" w:eastAsia="Times New Roman" w:hAnsi="Times New Roman" w:cs="Times New Roman"/>
          <w:sz w:val="26"/>
          <w:szCs w:val="26"/>
        </w:rPr>
      </w:pPr>
      <w:r w:rsidRPr="09496FC2">
        <w:rPr>
          <w:rFonts w:ascii="Times New Roman" w:eastAsia="Calibri" w:hAnsi="Times New Roman" w:cs="Times New Roman"/>
          <w:sz w:val="26"/>
          <w:szCs w:val="26"/>
        </w:rPr>
        <w:t xml:space="preserve">Under </w:t>
      </w:r>
      <w:r w:rsidRPr="00B9700D">
        <w:rPr>
          <w:rFonts w:ascii="Times New Roman" w:eastAsia="Times New Roman" w:hAnsi="Times New Roman" w:cs="Times New Roman"/>
          <w:sz w:val="26"/>
          <w:szCs w:val="26"/>
        </w:rPr>
        <w:t xml:space="preserve">section 23 </w:t>
      </w:r>
      <w:r w:rsidRPr="00B9700D" w:rsidR="00CE293A">
        <w:rPr>
          <w:rFonts w:ascii="Times New Roman" w:eastAsia="Times New Roman" w:hAnsi="Times New Roman" w:cs="Times New Roman"/>
          <w:sz w:val="26"/>
          <w:szCs w:val="26"/>
        </w:rPr>
        <w:t>of</w:t>
      </w:r>
      <w:r w:rsidRPr="00B9700D">
        <w:rPr>
          <w:rFonts w:ascii="Times New Roman" w:eastAsia="Times New Roman" w:hAnsi="Times New Roman" w:cs="Times New Roman"/>
          <w:sz w:val="26"/>
          <w:szCs w:val="26"/>
        </w:rPr>
        <w:t xml:space="preserve"> the NGA, added by </w:t>
      </w:r>
      <w:r w:rsidRPr="09496FC2">
        <w:rPr>
          <w:rFonts w:ascii="Times New Roman" w:eastAsia="Calibri" w:hAnsi="Times New Roman" w:cs="Times New Roman"/>
          <w:sz w:val="26"/>
          <w:szCs w:val="26"/>
        </w:rPr>
        <w:t>EPAct</w:t>
      </w:r>
      <w:r w:rsidRPr="09496FC2">
        <w:rPr>
          <w:rFonts w:ascii="Times New Roman" w:eastAsia="Calibri" w:hAnsi="Times New Roman" w:cs="Times New Roman"/>
          <w:sz w:val="26"/>
          <w:szCs w:val="26"/>
        </w:rPr>
        <w:t xml:space="preserve"> 2005,</w:t>
      </w:r>
      <w:r w:rsidRPr="00B9700D">
        <w:rPr>
          <w:rFonts w:ascii="Times New Roman" w:eastAsia="Times New Roman" w:hAnsi="Times New Roman" w:cs="Times New Roman"/>
          <w:sz w:val="26"/>
          <w:szCs w:val="26"/>
        </w:rPr>
        <w:t xml:space="preserve"> the Commission has authority to “facilitate price transparency in markets for the sale or transportation of physical natural gas in interstate commerce.”</w:t>
      </w:r>
      <w:r>
        <w:rPr>
          <w:rStyle w:val="FootnoteReference"/>
          <w:rFonts w:ascii="Times New Roman" w:eastAsia="Times New Roman" w:hAnsi="Times New Roman" w:cs="Times New Roman"/>
          <w:sz w:val="26"/>
          <w:szCs w:val="26"/>
        </w:rPr>
        <w:footnoteReference w:id="12"/>
      </w:r>
      <w:r w:rsidR="004F42A8">
        <w:rPr>
          <w:rFonts w:ascii="Times New Roman" w:eastAsia="Times New Roman" w:hAnsi="Times New Roman" w:cs="Times New Roman"/>
          <w:sz w:val="26"/>
          <w:szCs w:val="26"/>
        </w:rPr>
        <w:t xml:space="preserve"> </w:t>
      </w:r>
      <w:r w:rsidRPr="00D477AF">
        <w:rPr>
          <w:rFonts w:ascii="Times New Roman" w:eastAsia="Times New Roman" w:hAnsi="Times New Roman" w:cs="Times New Roman"/>
          <w:sz w:val="26"/>
          <w:szCs w:val="26"/>
        </w:rPr>
        <w:t>NGA section 23(a)(2) provides that the Commission may prescribe rule</w:t>
      </w:r>
      <w:r w:rsidRPr="00B9700D">
        <w:rPr>
          <w:rFonts w:ascii="Times New Roman" w:eastAsia="Times New Roman" w:hAnsi="Times New Roman" w:cs="Times New Roman"/>
          <w:sz w:val="26"/>
          <w:szCs w:val="26"/>
        </w:rPr>
        <w:t>s that “provide for the dissemination, on a timely basis, of information about the availability and prices of natural gas sold at wholesale and in interstate commerce to the Commission, State Commissions, buyers, and sellers of wholesale natural gas, and the public.”</w:t>
      </w:r>
      <w:r>
        <w:rPr>
          <w:rStyle w:val="FootnoteReference"/>
          <w:rFonts w:ascii="Times New Roman" w:eastAsia="Times New Roman" w:hAnsi="Times New Roman" w:cs="Times New Roman"/>
          <w:sz w:val="26"/>
          <w:szCs w:val="26"/>
        </w:rPr>
        <w:footnoteReference w:id="13"/>
      </w:r>
      <w:r w:rsidR="004F42A8">
        <w:rPr>
          <w:rFonts w:ascii="Times New Roman" w:eastAsia="Times New Roman" w:hAnsi="Times New Roman" w:cs="Times New Roman"/>
          <w:sz w:val="26"/>
          <w:szCs w:val="26"/>
        </w:rPr>
        <w:t xml:space="preserve"> </w:t>
      </w:r>
      <w:r w:rsidRPr="00D477AF">
        <w:rPr>
          <w:rFonts w:ascii="Times New Roman" w:eastAsia="Times New Roman" w:hAnsi="Times New Roman" w:cs="Times New Roman"/>
          <w:sz w:val="26"/>
          <w:szCs w:val="26"/>
        </w:rPr>
        <w:t>NGA section 23(a)(3) provides that the Commission may obtain this information from “any market participant,” and that the Commission may “rely on entities other than the Commission to receive and make public the information.”</w:t>
      </w:r>
      <w:r>
        <w:rPr>
          <w:rStyle w:val="FootnoteReference"/>
          <w:rFonts w:ascii="Times New Roman" w:eastAsia="Times New Roman" w:hAnsi="Times New Roman" w:cs="Times New Roman"/>
          <w:sz w:val="26"/>
          <w:szCs w:val="26"/>
        </w:rPr>
        <w:footnoteReference w:id="14"/>
      </w:r>
    </w:p>
    <w:p w:rsidR="00A71891" w:rsidRPr="00A71891" w:rsidP="00A71891" w14:paraId="71548BF2" w14:textId="4DB2449D">
      <w:pPr>
        <w:widowControl w:val="0"/>
        <w:autoSpaceDE w:val="0"/>
        <w:autoSpaceDN w:val="0"/>
        <w:adjustRightInd w:val="0"/>
        <w:spacing w:after="0" w:line="240" w:lineRule="auto"/>
        <w:rPr>
          <w:rFonts w:ascii="Times New Roman" w:eastAsia="Times New Roman" w:hAnsi="Times New Roman" w:cs="Times New Roman"/>
          <w:sz w:val="26"/>
          <w:szCs w:val="26"/>
        </w:rPr>
      </w:pPr>
      <w:bookmarkStart w:id="1" w:name="_Hlk120629095"/>
      <w:r w:rsidRPr="5656C271">
        <w:rPr>
          <w:rFonts w:ascii="Times New Roman" w:eastAsia="Times New Roman" w:hAnsi="Times New Roman" w:cs="Times New Roman"/>
          <w:sz w:val="26"/>
          <w:szCs w:val="26"/>
        </w:rPr>
        <w:t>FERC-</w:t>
      </w:r>
      <w:r w:rsidRPr="5656C271" w:rsidR="007A74C6">
        <w:rPr>
          <w:rFonts w:ascii="Times New Roman" w:eastAsia="Times New Roman" w:hAnsi="Times New Roman" w:cs="Times New Roman"/>
          <w:sz w:val="26"/>
          <w:szCs w:val="26"/>
        </w:rPr>
        <w:t>549E</w:t>
      </w:r>
      <w:r w:rsidRPr="5656C271">
        <w:rPr>
          <w:rFonts w:ascii="Times New Roman" w:eastAsia="Times New Roman" w:hAnsi="Times New Roman" w:cs="Times New Roman"/>
          <w:sz w:val="26"/>
          <w:szCs w:val="26"/>
        </w:rPr>
        <w:t xml:space="preserve"> is required to implement the statutory provisions governed by </w:t>
      </w:r>
      <w:r w:rsidRPr="5656C271" w:rsidR="009334EC">
        <w:rPr>
          <w:rFonts w:ascii="Times New Roman" w:eastAsia="Times New Roman" w:hAnsi="Times New Roman" w:cs="Times New Roman"/>
          <w:sz w:val="26"/>
          <w:szCs w:val="26"/>
        </w:rPr>
        <w:t>section</w:t>
      </w:r>
      <w:r w:rsidRPr="5656C271" w:rsidR="00381928">
        <w:rPr>
          <w:rFonts w:ascii="Times New Roman" w:eastAsia="Times New Roman" w:hAnsi="Times New Roman" w:cs="Times New Roman"/>
          <w:sz w:val="26"/>
          <w:szCs w:val="26"/>
        </w:rPr>
        <w:t>s</w:t>
      </w:r>
      <w:r w:rsidRPr="5656C271" w:rsidR="009334EC">
        <w:rPr>
          <w:rFonts w:ascii="Times New Roman" w:eastAsia="Times New Roman" w:hAnsi="Times New Roman" w:cs="Times New Roman"/>
          <w:sz w:val="26"/>
          <w:szCs w:val="26"/>
        </w:rPr>
        <w:t xml:space="preserve"> 4</w:t>
      </w:r>
      <w:r w:rsidRPr="5656C271" w:rsidR="004442D0">
        <w:rPr>
          <w:rFonts w:ascii="Times New Roman" w:eastAsia="Times New Roman" w:hAnsi="Times New Roman" w:cs="Times New Roman"/>
          <w:sz w:val="26"/>
          <w:szCs w:val="26"/>
        </w:rPr>
        <w:t>, 7</w:t>
      </w:r>
      <w:r w:rsidRPr="5656C271" w:rsidR="009334EC">
        <w:rPr>
          <w:rFonts w:ascii="Times New Roman" w:eastAsia="Times New Roman" w:hAnsi="Times New Roman" w:cs="Times New Roman"/>
          <w:sz w:val="26"/>
          <w:szCs w:val="26"/>
        </w:rPr>
        <w:t xml:space="preserve"> </w:t>
      </w:r>
      <w:r w:rsidRPr="5656C271" w:rsidR="00381928">
        <w:rPr>
          <w:rFonts w:ascii="Times New Roman" w:eastAsia="Times New Roman" w:hAnsi="Times New Roman" w:cs="Times New Roman"/>
          <w:sz w:val="26"/>
          <w:szCs w:val="26"/>
        </w:rPr>
        <w:t xml:space="preserve">and 23 </w:t>
      </w:r>
      <w:r w:rsidRPr="5656C271" w:rsidR="009334EC">
        <w:rPr>
          <w:rFonts w:ascii="Times New Roman" w:eastAsia="Times New Roman" w:hAnsi="Times New Roman" w:cs="Times New Roman"/>
          <w:sz w:val="26"/>
          <w:szCs w:val="26"/>
        </w:rPr>
        <w:t xml:space="preserve">of the NGA and </w:t>
      </w:r>
      <w:r w:rsidRPr="5656C271" w:rsidR="00FB049F">
        <w:rPr>
          <w:rFonts w:ascii="Times New Roman" w:eastAsia="Times New Roman" w:hAnsi="Times New Roman" w:cs="Times New Roman"/>
          <w:sz w:val="26"/>
          <w:szCs w:val="26"/>
        </w:rPr>
        <w:t>s</w:t>
      </w:r>
      <w:r w:rsidRPr="5656C271">
        <w:rPr>
          <w:rFonts w:ascii="Times New Roman" w:eastAsia="Times New Roman" w:hAnsi="Times New Roman" w:cs="Times New Roman"/>
          <w:sz w:val="26"/>
          <w:szCs w:val="26"/>
        </w:rPr>
        <w:t>ection 311 of the NGPA</w:t>
      </w:r>
      <w:r w:rsidRPr="5656C271" w:rsidR="005B1461">
        <w:rPr>
          <w:rFonts w:ascii="Times New Roman" w:eastAsia="Times New Roman" w:hAnsi="Times New Roman" w:cs="Times New Roman"/>
          <w:sz w:val="26"/>
          <w:szCs w:val="26"/>
        </w:rPr>
        <w:t>.</w:t>
      </w:r>
      <w:r w:rsidRPr="5656C271" w:rsidR="004F42A8">
        <w:rPr>
          <w:rFonts w:ascii="Times New Roman" w:eastAsia="Times New Roman" w:hAnsi="Times New Roman" w:cs="Times New Roman"/>
          <w:sz w:val="26"/>
          <w:szCs w:val="26"/>
        </w:rPr>
        <w:t xml:space="preserve"> </w:t>
      </w:r>
      <w:r w:rsidRPr="5656C271" w:rsidR="00381928">
        <w:rPr>
          <w:rFonts w:ascii="Times New Roman" w:eastAsia="Times New Roman" w:hAnsi="Times New Roman" w:cs="Times New Roman"/>
          <w:sz w:val="26"/>
          <w:szCs w:val="26"/>
        </w:rPr>
        <w:t xml:space="preserve">Specifically, </w:t>
      </w:r>
      <w:r w:rsidRPr="5656C271" w:rsidR="007B4122">
        <w:rPr>
          <w:rFonts w:ascii="Times New Roman" w:eastAsia="Times New Roman" w:hAnsi="Times New Roman" w:cs="Times New Roman"/>
          <w:sz w:val="26"/>
          <w:szCs w:val="26"/>
        </w:rPr>
        <w:t xml:space="preserve">encouraging transacting parties to engage in more robust transaction reporting to price index developers enhances transparent and reliable price index development and assists in meeting the obligations </w:t>
      </w:r>
      <w:r w:rsidRPr="5656C271" w:rsidR="003A3B98">
        <w:rPr>
          <w:rFonts w:ascii="Times New Roman" w:eastAsia="Times New Roman" w:hAnsi="Times New Roman" w:cs="Times New Roman"/>
          <w:sz w:val="26"/>
          <w:szCs w:val="26"/>
        </w:rPr>
        <w:t xml:space="preserve">to show just and reasonable prices </w:t>
      </w:r>
      <w:r w:rsidRPr="5656C271" w:rsidR="007B4122">
        <w:rPr>
          <w:rFonts w:ascii="Times New Roman" w:eastAsia="Times New Roman" w:hAnsi="Times New Roman" w:cs="Times New Roman"/>
          <w:sz w:val="26"/>
          <w:szCs w:val="26"/>
        </w:rPr>
        <w:t xml:space="preserve">under the NGA and </w:t>
      </w:r>
      <w:r w:rsidRPr="5656C271" w:rsidR="003A3B98">
        <w:rPr>
          <w:rFonts w:ascii="Times New Roman" w:eastAsia="Times New Roman" w:hAnsi="Times New Roman" w:cs="Times New Roman"/>
          <w:sz w:val="26"/>
          <w:szCs w:val="26"/>
        </w:rPr>
        <w:t xml:space="preserve">fair and </w:t>
      </w:r>
      <w:r w:rsidRPr="5656C271" w:rsidR="003A3B98">
        <w:rPr>
          <w:rFonts w:ascii="Times New Roman" w:eastAsia="Calibri" w:hAnsi="Times New Roman" w:cs="Times New Roman"/>
          <w:sz w:val="26"/>
          <w:szCs w:val="26"/>
        </w:rPr>
        <w:t>equitable prices</w:t>
      </w:r>
      <w:r w:rsidRPr="5656C271" w:rsidR="003A3B98">
        <w:rPr>
          <w:rFonts w:ascii="Times New Roman" w:eastAsia="Times New Roman" w:hAnsi="Times New Roman" w:cs="Times New Roman"/>
          <w:sz w:val="26"/>
          <w:szCs w:val="26"/>
        </w:rPr>
        <w:t xml:space="preserve"> </w:t>
      </w:r>
      <w:r w:rsidRPr="5656C271" w:rsidR="007B4122">
        <w:rPr>
          <w:rFonts w:ascii="Times New Roman" w:eastAsia="Times New Roman" w:hAnsi="Times New Roman" w:cs="Times New Roman"/>
          <w:sz w:val="26"/>
          <w:szCs w:val="26"/>
        </w:rPr>
        <w:t>under th</w:t>
      </w:r>
      <w:r w:rsidRPr="5656C271" w:rsidR="003A3B98">
        <w:rPr>
          <w:rFonts w:ascii="Times New Roman" w:eastAsia="Times New Roman" w:hAnsi="Times New Roman" w:cs="Times New Roman"/>
          <w:sz w:val="26"/>
          <w:szCs w:val="26"/>
        </w:rPr>
        <w:t>e</w:t>
      </w:r>
      <w:r w:rsidRPr="5656C271" w:rsidR="007B4122">
        <w:rPr>
          <w:rFonts w:ascii="Times New Roman" w:eastAsia="Times New Roman" w:hAnsi="Times New Roman" w:cs="Times New Roman"/>
          <w:sz w:val="26"/>
          <w:szCs w:val="26"/>
        </w:rPr>
        <w:t xml:space="preserve"> NGPA</w:t>
      </w:r>
      <w:r w:rsidRPr="5656C271" w:rsidR="007B4122">
        <w:rPr>
          <w:rFonts w:ascii="Times New Roman" w:eastAsia="Calibri" w:hAnsi="Times New Roman" w:cs="Times New Roman"/>
          <w:sz w:val="26"/>
          <w:szCs w:val="26"/>
        </w:rPr>
        <w:t xml:space="preserve">, including </w:t>
      </w:r>
      <w:r w:rsidRPr="5656C271" w:rsidR="003A3B98">
        <w:rPr>
          <w:rFonts w:ascii="Times New Roman" w:eastAsia="Calibri" w:hAnsi="Times New Roman" w:cs="Times New Roman"/>
          <w:sz w:val="26"/>
          <w:szCs w:val="26"/>
        </w:rPr>
        <w:t xml:space="preserve">the use of </w:t>
      </w:r>
      <w:r w:rsidRPr="5656C271" w:rsidR="007B4122">
        <w:rPr>
          <w:rFonts w:ascii="Times New Roman" w:eastAsia="Calibri" w:hAnsi="Times New Roman" w:cs="Times New Roman"/>
          <w:sz w:val="26"/>
          <w:szCs w:val="26"/>
        </w:rPr>
        <w:t>market prices in jurisdictional tariffs.</w:t>
      </w:r>
      <w:bookmarkEnd w:id="1"/>
      <w:r w:rsidRPr="5656C271" w:rsidR="004F42A8">
        <w:rPr>
          <w:rFonts w:ascii="Times New Roman" w:eastAsia="Calibri" w:hAnsi="Times New Roman" w:cs="Times New Roman"/>
          <w:sz w:val="26"/>
          <w:szCs w:val="26"/>
        </w:rPr>
        <w:t xml:space="preserve"> </w:t>
      </w:r>
      <w:r w:rsidRPr="5656C271" w:rsidR="007B4122">
        <w:rPr>
          <w:rFonts w:ascii="Times New Roman" w:eastAsia="Calibri" w:hAnsi="Times New Roman" w:cs="Times New Roman"/>
          <w:sz w:val="26"/>
          <w:szCs w:val="26"/>
        </w:rPr>
        <w:t xml:space="preserve">Likewise, </w:t>
      </w:r>
      <w:r w:rsidRPr="5656C271" w:rsidR="003A3B98">
        <w:rPr>
          <w:rFonts w:ascii="Times New Roman" w:eastAsia="Calibri" w:hAnsi="Times New Roman" w:cs="Times New Roman"/>
          <w:sz w:val="26"/>
          <w:szCs w:val="26"/>
        </w:rPr>
        <w:t>reducing the burden on price index developers and encouraging transparent index creation further encourages</w:t>
      </w:r>
      <w:r w:rsidRPr="5656C271" w:rsidR="003A3B98">
        <w:rPr>
          <w:rFonts w:ascii="Times New Roman" w:hAnsi="Times New Roman" w:cs="Times New Roman"/>
          <w:sz w:val="26"/>
          <w:szCs w:val="26"/>
        </w:rPr>
        <w:t xml:space="preserve"> </w:t>
      </w:r>
      <w:r w:rsidRPr="5656C271" w:rsidR="003A3B98">
        <w:rPr>
          <w:rFonts w:ascii="Times New Roman" w:eastAsia="Calibri" w:hAnsi="Times New Roman" w:cs="Times New Roman"/>
          <w:sz w:val="26"/>
          <w:szCs w:val="26"/>
        </w:rPr>
        <w:t xml:space="preserve">the development of price indexes, </w:t>
      </w:r>
      <w:r w:rsidRPr="5656C271" w:rsidR="003A3B98">
        <w:rPr>
          <w:rFonts w:ascii="Times New Roman" w:eastAsia="Calibri" w:hAnsi="Times New Roman" w:cs="Times New Roman"/>
          <w:sz w:val="26"/>
          <w:szCs w:val="26"/>
          <w:lang w:bidi="en-US"/>
        </w:rPr>
        <w:t>provides greater transparency into the natural gas price formation process, and increases confidence in the accuracy and reliability of wholesale natural gas prices, all of which are inextricably related to the regulatory regime set forth in the NGA and NGPA.</w:t>
      </w:r>
      <w:r w:rsidRPr="5656C271" w:rsidR="004F42A8">
        <w:rPr>
          <w:rFonts w:ascii="Times New Roman" w:eastAsia="Calibri" w:hAnsi="Times New Roman" w:cs="Times New Roman"/>
          <w:sz w:val="26"/>
          <w:szCs w:val="26"/>
        </w:rPr>
        <w:t xml:space="preserve"> </w:t>
      </w:r>
      <w:r w:rsidRPr="5656C271" w:rsidR="004F42A8">
        <w:rPr>
          <w:rFonts w:ascii="Times New Roman" w:eastAsia="Times New Roman" w:hAnsi="Times New Roman" w:cs="Times New Roman"/>
          <w:sz w:val="26"/>
          <w:szCs w:val="26"/>
        </w:rPr>
        <w:t xml:space="preserve"> </w:t>
      </w:r>
    </w:p>
    <w:p w:rsidR="00A71891" w:rsidRPr="00A71891" w:rsidP="00A71891" w14:paraId="5389B661"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p>
    <w:p w:rsidR="00A71891" w:rsidRPr="00A71891" w:rsidP="00A71891" w14:paraId="65267DA1" w14:textId="77777777">
      <w:pPr>
        <w:widowControl w:val="0"/>
        <w:autoSpaceDE w:val="0"/>
        <w:autoSpaceDN w:val="0"/>
        <w:adjustRightInd w:val="0"/>
        <w:spacing w:after="0" w:line="240" w:lineRule="auto"/>
        <w:rPr>
          <w:rFonts w:ascii="Times New Roman" w:eastAsia="Times New Roman" w:hAnsi="Times New Roman" w:cs="Times New Roman"/>
          <w:sz w:val="26"/>
          <w:szCs w:val="26"/>
          <w:u w:val="single"/>
        </w:rPr>
      </w:pPr>
      <w:r w:rsidRPr="00A71891">
        <w:rPr>
          <w:rFonts w:ascii="Times New Roman" w:eastAsia="Times New Roman" w:hAnsi="Times New Roman" w:cs="Times New Roman"/>
          <w:sz w:val="26"/>
          <w:szCs w:val="26"/>
          <w:u w:val="single"/>
        </w:rPr>
        <w:t>Transportation for Intrastate Pipelines</w:t>
      </w:r>
    </w:p>
    <w:p w:rsidR="00A71891" w:rsidRPr="00A71891" w:rsidP="00A71891" w14:paraId="10AE73E4"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p>
    <w:p w:rsidR="00A71891" w:rsidRPr="00A71891" w:rsidP="00A71891" w14:paraId="0FA0A29C"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r w:rsidRPr="00A71891">
        <w:rPr>
          <w:rFonts w:ascii="Times New Roman" w:eastAsia="Times New Roman" w:hAnsi="Times New Roman" w:cs="Times New Roman"/>
          <w:sz w:val="26"/>
          <w:szCs w:val="26"/>
        </w:rPr>
        <w:t xml:space="preserve">Section 284.123 of the Commission’s regulations applies to filings by: (1) intrastate pipelines providing interstate services pursuant to </w:t>
      </w:r>
      <w:r w:rsidR="00695AE7">
        <w:rPr>
          <w:rFonts w:ascii="Times New Roman" w:eastAsia="Times New Roman" w:hAnsi="Times New Roman" w:cs="Times New Roman"/>
          <w:sz w:val="26"/>
          <w:szCs w:val="26"/>
        </w:rPr>
        <w:t>s</w:t>
      </w:r>
      <w:r w:rsidRPr="00A71891">
        <w:rPr>
          <w:rFonts w:ascii="Times New Roman" w:eastAsia="Times New Roman" w:hAnsi="Times New Roman" w:cs="Times New Roman"/>
          <w:sz w:val="26"/>
          <w:szCs w:val="26"/>
        </w:rPr>
        <w:t>ection 311 of the NGPA</w:t>
      </w:r>
      <w:r>
        <w:rPr>
          <w:rFonts w:ascii="Times New Roman" w:eastAsia="Times New Roman" w:hAnsi="Times New Roman" w:cs="Times New Roman"/>
          <w:sz w:val="26"/>
          <w:szCs w:val="26"/>
          <w:vertAlign w:val="superscript"/>
        </w:rPr>
        <w:footnoteReference w:id="15"/>
      </w:r>
      <w:r w:rsidRPr="00A71891">
        <w:rPr>
          <w:rFonts w:ascii="Times New Roman" w:eastAsia="Times New Roman" w:hAnsi="Times New Roman" w:cs="Times New Roman"/>
          <w:sz w:val="26"/>
          <w:szCs w:val="26"/>
        </w:rPr>
        <w:t xml:space="preserve"> and (2) Hinshaw</w:t>
      </w:r>
      <w:r>
        <w:rPr>
          <w:rFonts w:ascii="Times New Roman" w:eastAsia="Times New Roman" w:hAnsi="Times New Roman" w:cs="Times New Roman"/>
          <w:sz w:val="26"/>
          <w:szCs w:val="26"/>
          <w:vertAlign w:val="superscript"/>
        </w:rPr>
        <w:footnoteReference w:id="16"/>
      </w:r>
      <w:r w:rsidRPr="0069287E">
        <w:rPr>
          <w:rFonts w:ascii="Times New Roman" w:eastAsia="Times New Roman" w:hAnsi="Times New Roman" w:cs="Times New Roman"/>
          <w:sz w:val="26"/>
          <w:szCs w:val="26"/>
        </w:rPr>
        <w:t xml:space="preserve"> </w:t>
      </w:r>
      <w:r w:rsidRPr="00A71891">
        <w:rPr>
          <w:rFonts w:ascii="Times New Roman" w:eastAsia="Times New Roman" w:hAnsi="Times New Roman" w:cs="Times New Roman"/>
          <w:sz w:val="26"/>
          <w:szCs w:val="26"/>
        </w:rPr>
        <w:t>pipelines providing interstate services subject to the Commission’s NGA jurisdiction pursuant to blanket certificates issued under Section 284.224 of the Commission’s regulations.</w:t>
      </w:r>
      <w:r>
        <w:rPr>
          <w:rFonts w:ascii="Times New Roman" w:eastAsia="Times New Roman" w:hAnsi="Times New Roman" w:cs="Times New Roman"/>
          <w:sz w:val="26"/>
          <w:szCs w:val="26"/>
          <w:vertAlign w:val="superscript"/>
        </w:rPr>
        <w:footnoteReference w:id="17"/>
      </w:r>
    </w:p>
    <w:p w:rsidR="00A71891" w:rsidRPr="00A71891" w:rsidP="00A71891" w14:paraId="208AF7AA"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p>
    <w:p w:rsidR="00A71891" w:rsidRPr="00A71891" w:rsidP="00A71891" w14:paraId="0E4C090E" w14:textId="7D6FF9A2">
      <w:pPr>
        <w:widowControl w:val="0"/>
        <w:autoSpaceDE w:val="0"/>
        <w:autoSpaceDN w:val="0"/>
        <w:adjustRightInd w:val="0"/>
        <w:spacing w:after="0" w:line="240" w:lineRule="auto"/>
        <w:rPr>
          <w:rFonts w:ascii="Times New Roman" w:eastAsia="Times New Roman" w:hAnsi="Times New Roman" w:cs="Times New Roman"/>
          <w:sz w:val="26"/>
          <w:szCs w:val="26"/>
        </w:rPr>
      </w:pPr>
      <w:r w:rsidRPr="00A71891">
        <w:rPr>
          <w:rFonts w:ascii="Times New Roman" w:eastAsia="Times New Roman" w:hAnsi="Times New Roman" w:cs="Times New Roman"/>
          <w:sz w:val="26"/>
          <w:szCs w:val="26"/>
        </w:rPr>
        <w:t>18 CFR 284.123(b) provides that intrastate gas pipeline companies file for Commission approval of rates for services performed in the interstate transportation of gas.</w:t>
      </w:r>
      <w:r w:rsidR="004F42A8">
        <w:rPr>
          <w:rFonts w:ascii="Times New Roman" w:eastAsia="Times New Roman" w:hAnsi="Times New Roman" w:cs="Times New Roman"/>
          <w:sz w:val="26"/>
          <w:szCs w:val="26"/>
        </w:rPr>
        <w:t xml:space="preserve"> </w:t>
      </w:r>
      <w:r w:rsidRPr="00A71891">
        <w:rPr>
          <w:rFonts w:ascii="Times New Roman" w:eastAsia="Times New Roman" w:hAnsi="Times New Roman" w:cs="Times New Roman"/>
          <w:sz w:val="26"/>
          <w:szCs w:val="26"/>
        </w:rPr>
        <w:t>An intrastate gas pipeline company may elect to use rates contained in one of its then</w:t>
      </w:r>
      <w:r w:rsidR="00695AE7">
        <w:rPr>
          <w:rFonts w:ascii="Times New Roman" w:eastAsia="Times New Roman" w:hAnsi="Times New Roman" w:cs="Times New Roman"/>
          <w:sz w:val="26"/>
          <w:szCs w:val="26"/>
        </w:rPr>
        <w:t>-</w:t>
      </w:r>
      <w:r w:rsidRPr="00A71891">
        <w:rPr>
          <w:rFonts w:ascii="Times New Roman" w:eastAsia="Times New Roman" w:hAnsi="Times New Roman" w:cs="Times New Roman"/>
          <w:sz w:val="26"/>
          <w:szCs w:val="26"/>
        </w:rPr>
        <w:t>effective transportation rate schedules on file with an appropriate state regulatory agency for intrastate service comparable to the interstate service or file for approval of rates and supporting information showing the rates are cost based and are fair and equitable.</w:t>
      </w:r>
      <w:r w:rsidR="004F42A8">
        <w:rPr>
          <w:rFonts w:ascii="Times New Roman" w:eastAsia="Times New Roman" w:hAnsi="Times New Roman" w:cs="Times New Roman"/>
          <w:sz w:val="26"/>
          <w:szCs w:val="26"/>
        </w:rPr>
        <w:t xml:space="preserve"> </w:t>
      </w:r>
      <w:r w:rsidR="002C20F9">
        <w:rPr>
          <w:rFonts w:ascii="Times New Roman" w:eastAsia="Times New Roman" w:hAnsi="Times New Roman" w:cs="Times New Roman"/>
          <w:sz w:val="26"/>
          <w:szCs w:val="26"/>
        </w:rPr>
        <w:t>One-hundred</w:t>
      </w:r>
      <w:r w:rsidR="002C20F9">
        <w:rPr>
          <w:rFonts w:ascii="Times New Roman" w:eastAsia="Times New Roman" w:hAnsi="Times New Roman" w:cs="Times New Roman"/>
          <w:sz w:val="26"/>
          <w:szCs w:val="26"/>
        </w:rPr>
        <w:t xml:space="preserve"> and fifty</w:t>
      </w:r>
      <w:r w:rsidRPr="00A71891">
        <w:rPr>
          <w:rFonts w:ascii="Times New Roman" w:eastAsia="Times New Roman" w:hAnsi="Times New Roman" w:cs="Times New Roman"/>
          <w:sz w:val="26"/>
          <w:szCs w:val="26"/>
        </w:rPr>
        <w:t xml:space="preserve"> days after the application is filed for approval of the latter (e.g.</w:t>
      </w:r>
      <w:r w:rsidR="007F58AF">
        <w:rPr>
          <w:rFonts w:ascii="Times New Roman" w:eastAsia="Times New Roman" w:hAnsi="Times New Roman" w:cs="Times New Roman"/>
          <w:sz w:val="26"/>
          <w:szCs w:val="26"/>
        </w:rPr>
        <w:t>,</w:t>
      </w:r>
      <w:r w:rsidRPr="00A71891">
        <w:rPr>
          <w:rFonts w:ascii="Times New Roman" w:eastAsia="Times New Roman" w:hAnsi="Times New Roman" w:cs="Times New Roman"/>
          <w:sz w:val="26"/>
          <w:szCs w:val="26"/>
        </w:rPr>
        <w:t xml:space="preserve"> the cost-based rates), the rate is deemed to be fair and equitable unless the Commission either extends the time for action, institutes a proceeding, or issues an order providing for rates it deems to be fair and equitable.</w:t>
      </w:r>
    </w:p>
    <w:p w:rsidR="00A71891" w:rsidRPr="00A71891" w:rsidP="00A71891" w14:paraId="16041ED4"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r w:rsidRPr="00A71891">
        <w:rPr>
          <w:rFonts w:ascii="Times New Roman" w:eastAsia="Times New Roman" w:hAnsi="Times New Roman" w:cs="Times New Roman"/>
          <w:sz w:val="26"/>
          <w:szCs w:val="26"/>
        </w:rPr>
        <w:t xml:space="preserve"> </w:t>
      </w:r>
    </w:p>
    <w:p w:rsidR="00A71891" w:rsidRPr="00A71891" w:rsidP="00A71891" w14:paraId="371F5C18" w14:textId="07589A48">
      <w:pPr>
        <w:widowControl w:val="0"/>
        <w:autoSpaceDE w:val="0"/>
        <w:autoSpaceDN w:val="0"/>
        <w:adjustRightInd w:val="0"/>
        <w:spacing w:after="0" w:line="240" w:lineRule="auto"/>
        <w:rPr>
          <w:rFonts w:ascii="Times New Roman" w:eastAsia="Times New Roman" w:hAnsi="Times New Roman" w:cs="Times New Roman"/>
          <w:sz w:val="26"/>
          <w:szCs w:val="26"/>
        </w:rPr>
      </w:pPr>
      <w:r w:rsidRPr="00A71891">
        <w:rPr>
          <w:rFonts w:ascii="Times New Roman" w:eastAsia="Times New Roman" w:hAnsi="Times New Roman" w:cs="Times New Roman"/>
          <w:sz w:val="26"/>
          <w:szCs w:val="26"/>
        </w:rPr>
        <w:t xml:space="preserve">18 CFR 284.123(e) requires that within 30 days of commencement of new service, any intrastate pipeline engaging in the transportation of gas in interstate commerce must file a statement that includes the interstate </w:t>
      </w:r>
      <w:r w:rsidRPr="00A71891">
        <w:rPr>
          <w:rFonts w:ascii="Times New Roman" w:eastAsia="Times New Roman" w:hAnsi="Times New Roman" w:cs="Times New Roman"/>
          <w:sz w:val="26"/>
          <w:szCs w:val="26"/>
        </w:rPr>
        <w:t>rates</w:t>
      </w:r>
      <w:r w:rsidRPr="00A71891">
        <w:rPr>
          <w:rFonts w:ascii="Times New Roman" w:eastAsia="Times New Roman" w:hAnsi="Times New Roman" w:cs="Times New Roman"/>
          <w:sz w:val="26"/>
          <w:szCs w:val="26"/>
        </w:rPr>
        <w:t xml:space="preserve"> and a description of how the pipeline will engage in the transportation services, including operating conditions.</w:t>
      </w:r>
      <w:r w:rsidR="004F42A8">
        <w:rPr>
          <w:rFonts w:ascii="Times New Roman" w:eastAsia="Times New Roman" w:hAnsi="Times New Roman" w:cs="Times New Roman"/>
          <w:sz w:val="26"/>
          <w:szCs w:val="26"/>
        </w:rPr>
        <w:t xml:space="preserve"> </w:t>
      </w:r>
      <w:r w:rsidRPr="00A71891">
        <w:rPr>
          <w:rFonts w:ascii="Times New Roman" w:eastAsia="Times New Roman" w:hAnsi="Times New Roman" w:cs="Times New Roman"/>
          <w:sz w:val="26"/>
          <w:szCs w:val="26"/>
        </w:rPr>
        <w:t xml:space="preserve">If an intrastate gas pipeline company changes its operations or </w:t>
      </w:r>
      <w:r w:rsidRPr="00A71891">
        <w:rPr>
          <w:rFonts w:ascii="Times New Roman" w:eastAsia="Times New Roman" w:hAnsi="Times New Roman" w:cs="Times New Roman"/>
          <w:sz w:val="26"/>
          <w:szCs w:val="26"/>
        </w:rPr>
        <w:t>rates</w:t>
      </w:r>
      <w:r w:rsidRPr="00A71891">
        <w:rPr>
          <w:rFonts w:ascii="Times New Roman" w:eastAsia="Times New Roman" w:hAnsi="Times New Roman" w:cs="Times New Roman"/>
          <w:sz w:val="26"/>
          <w:szCs w:val="26"/>
        </w:rPr>
        <w:t xml:space="preserve"> it must amend the statement on file with the Commission.</w:t>
      </w:r>
      <w:r w:rsidR="004F42A8">
        <w:rPr>
          <w:rFonts w:ascii="Times New Roman" w:eastAsia="Times New Roman" w:hAnsi="Times New Roman" w:cs="Times New Roman"/>
          <w:sz w:val="26"/>
          <w:szCs w:val="26"/>
        </w:rPr>
        <w:t xml:space="preserve"> </w:t>
      </w:r>
      <w:r w:rsidRPr="00A71891">
        <w:rPr>
          <w:rFonts w:ascii="Times New Roman" w:eastAsia="Times New Roman" w:hAnsi="Times New Roman" w:cs="Times New Roman"/>
          <w:sz w:val="26"/>
          <w:szCs w:val="26"/>
        </w:rPr>
        <w:t>Such amendment is to be filed not later than 30 days after commencement of the change in operations or change in rate election.</w:t>
      </w:r>
    </w:p>
    <w:p w:rsidR="00A71891" w:rsidRPr="00A71891" w:rsidP="00A71891" w14:paraId="491CDD95"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p>
    <w:p w:rsidR="00A71891" w:rsidRPr="00A71891" w:rsidP="00A71891" w14:paraId="736D874D"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r w:rsidRPr="00A71891">
        <w:rPr>
          <w:rFonts w:ascii="Times New Roman" w:eastAsia="Times New Roman" w:hAnsi="Times New Roman" w:cs="Times New Roman"/>
          <w:sz w:val="26"/>
          <w:szCs w:val="26"/>
        </w:rPr>
        <w:t>18 CFR 284.123(f) requires that all filings must be made electronically consistent with requirements set forth in Order No. 714.</w:t>
      </w:r>
      <w:r>
        <w:rPr>
          <w:rStyle w:val="FootnoteReference"/>
          <w:rFonts w:ascii="Times New Roman" w:eastAsia="Times New Roman" w:hAnsi="Times New Roman" w:cs="Times New Roman"/>
          <w:sz w:val="26"/>
          <w:szCs w:val="26"/>
        </w:rPr>
        <w:footnoteReference w:id="18"/>
      </w:r>
    </w:p>
    <w:p w:rsidR="00A71891" w:rsidRPr="00A71891" w:rsidP="00A71891" w14:paraId="4BEC7D92" w14:textId="77777777">
      <w:pPr>
        <w:widowControl w:val="0"/>
        <w:autoSpaceDE w:val="0"/>
        <w:autoSpaceDN w:val="0"/>
        <w:adjustRightInd w:val="0"/>
        <w:spacing w:after="0" w:line="240" w:lineRule="auto"/>
        <w:rPr>
          <w:rFonts w:ascii="Times New Roman" w:eastAsia="Times New Roman" w:hAnsi="Times New Roman" w:cs="Times New Roman"/>
          <w:sz w:val="26"/>
          <w:szCs w:val="26"/>
          <w:u w:val="single"/>
        </w:rPr>
      </w:pPr>
    </w:p>
    <w:p w:rsidR="00A71891" w:rsidRPr="00A71891" w:rsidP="00A71891" w14:paraId="4A9A39C2" w14:textId="7EA84574">
      <w:pPr>
        <w:widowControl w:val="0"/>
        <w:autoSpaceDE w:val="0"/>
        <w:autoSpaceDN w:val="0"/>
        <w:adjustRightInd w:val="0"/>
        <w:spacing w:after="0" w:line="240" w:lineRule="auto"/>
        <w:rPr>
          <w:rFonts w:ascii="Times New Roman" w:eastAsia="Times New Roman" w:hAnsi="Times New Roman" w:cs="Times New Roman"/>
          <w:sz w:val="26"/>
          <w:szCs w:val="26"/>
        </w:rPr>
      </w:pPr>
      <w:r w:rsidRPr="00A71891">
        <w:rPr>
          <w:rFonts w:ascii="Times New Roman" w:eastAsia="Times New Roman" w:hAnsi="Times New Roman" w:cs="Times New Roman"/>
          <w:sz w:val="26"/>
          <w:szCs w:val="26"/>
        </w:rPr>
        <w:t xml:space="preserve">In 18 CFR 284.102(e) the Commission requires interstate pipelines to obtain proper certification </w:t>
      </w:r>
      <w:r w:rsidRPr="00A71891">
        <w:rPr>
          <w:rFonts w:ascii="Times New Roman" w:eastAsia="Times New Roman" w:hAnsi="Times New Roman" w:cs="Times New Roman"/>
          <w:sz w:val="26"/>
          <w:szCs w:val="26"/>
        </w:rPr>
        <w:t>in order to</w:t>
      </w:r>
      <w:r w:rsidRPr="00A71891">
        <w:rPr>
          <w:rFonts w:ascii="Times New Roman" w:eastAsia="Times New Roman" w:hAnsi="Times New Roman" w:cs="Times New Roman"/>
          <w:sz w:val="26"/>
          <w:szCs w:val="26"/>
        </w:rPr>
        <w:t xml:space="preserve"> ship natural gas on behalf of intrastate pipelines and local distribution companies (LDC).</w:t>
      </w:r>
      <w:r w:rsidR="004F42A8">
        <w:rPr>
          <w:rFonts w:ascii="Times New Roman" w:eastAsia="Times New Roman" w:hAnsi="Times New Roman" w:cs="Times New Roman"/>
          <w:sz w:val="26"/>
          <w:szCs w:val="26"/>
        </w:rPr>
        <w:t xml:space="preserve"> </w:t>
      </w:r>
      <w:r w:rsidRPr="00A71891">
        <w:rPr>
          <w:rFonts w:ascii="Times New Roman" w:eastAsia="Times New Roman" w:hAnsi="Times New Roman" w:cs="Times New Roman"/>
          <w:sz w:val="26"/>
          <w:szCs w:val="26"/>
        </w:rPr>
        <w:t>This certification consists of a letter from the intrastate pipeline or LDC authorizing the interstate pipeline to ship gas on its behalf.</w:t>
      </w:r>
      <w:r w:rsidR="004F42A8">
        <w:rPr>
          <w:rFonts w:ascii="Times New Roman" w:eastAsia="Times New Roman" w:hAnsi="Times New Roman" w:cs="Times New Roman"/>
          <w:sz w:val="26"/>
          <w:szCs w:val="26"/>
        </w:rPr>
        <w:t xml:space="preserve"> </w:t>
      </w:r>
      <w:r w:rsidRPr="00A71891">
        <w:rPr>
          <w:rFonts w:ascii="Times New Roman" w:eastAsia="Times New Roman" w:hAnsi="Times New Roman" w:cs="Times New Roman"/>
          <w:sz w:val="26"/>
          <w:szCs w:val="26"/>
        </w:rPr>
        <w:t xml:space="preserve">In addition, </w:t>
      </w:r>
      <w:r w:rsidR="00695AE7">
        <w:rPr>
          <w:rFonts w:ascii="Times New Roman" w:eastAsia="Times New Roman" w:hAnsi="Times New Roman" w:cs="Times New Roman"/>
          <w:sz w:val="26"/>
          <w:szCs w:val="26"/>
        </w:rPr>
        <w:t xml:space="preserve">an </w:t>
      </w:r>
      <w:r w:rsidRPr="00A71891">
        <w:rPr>
          <w:rFonts w:ascii="Times New Roman" w:eastAsia="Times New Roman" w:hAnsi="Times New Roman" w:cs="Times New Roman"/>
          <w:sz w:val="26"/>
          <w:szCs w:val="26"/>
        </w:rPr>
        <w:t xml:space="preserve">interstate pipeline must obtain </w:t>
      </w:r>
      <w:r w:rsidRPr="00A71891" w:rsidR="001B2DBF">
        <w:rPr>
          <w:rFonts w:ascii="Times New Roman" w:eastAsia="Times New Roman" w:hAnsi="Times New Roman" w:cs="Times New Roman"/>
          <w:sz w:val="26"/>
          <w:szCs w:val="26"/>
        </w:rPr>
        <w:t xml:space="preserve">certifications </w:t>
      </w:r>
      <w:r w:rsidRPr="00A71891">
        <w:rPr>
          <w:rFonts w:ascii="Times New Roman" w:eastAsia="Times New Roman" w:hAnsi="Times New Roman" w:cs="Times New Roman"/>
          <w:sz w:val="26"/>
          <w:szCs w:val="26"/>
        </w:rPr>
        <w:t>from its shippers including sufficient information to verify that their services qualify under this section.</w:t>
      </w:r>
      <w:r w:rsidR="004F42A8">
        <w:rPr>
          <w:rFonts w:ascii="Times New Roman" w:eastAsia="Times New Roman" w:hAnsi="Times New Roman" w:cs="Times New Roman"/>
          <w:sz w:val="26"/>
          <w:szCs w:val="26"/>
        </w:rPr>
        <w:t xml:space="preserve"> </w:t>
      </w:r>
    </w:p>
    <w:p w:rsidR="00A71891" w:rsidRPr="00A71891" w:rsidP="00A71891" w14:paraId="19A69AA6"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p>
    <w:p w:rsidR="00A71891" w:rsidRPr="00A71891" w:rsidP="00A71891" w14:paraId="27879D9C" w14:textId="77777777">
      <w:pPr>
        <w:widowControl w:val="0"/>
        <w:autoSpaceDE w:val="0"/>
        <w:autoSpaceDN w:val="0"/>
        <w:adjustRightInd w:val="0"/>
        <w:spacing w:after="0" w:line="240" w:lineRule="auto"/>
        <w:rPr>
          <w:rFonts w:ascii="Times New Roman" w:eastAsia="Times New Roman" w:hAnsi="Times New Roman" w:cs="Times New Roman"/>
          <w:sz w:val="26"/>
          <w:szCs w:val="26"/>
          <w:u w:val="single"/>
          <w:vertAlign w:val="superscript"/>
        </w:rPr>
      </w:pPr>
      <w:r w:rsidRPr="00A71891">
        <w:rPr>
          <w:rFonts w:ascii="Times New Roman" w:eastAsia="Times New Roman" w:hAnsi="Times New Roman" w:cs="Times New Roman"/>
          <w:sz w:val="26"/>
          <w:szCs w:val="26"/>
          <w:u w:val="single"/>
        </w:rPr>
        <w:t>Code of Conduct</w:t>
      </w:r>
    </w:p>
    <w:p w:rsidR="00A71891" w:rsidRPr="00A71891" w:rsidP="00A71891" w14:paraId="18B63235"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p>
    <w:p w:rsidR="00A71891" w:rsidRPr="00A71891" w:rsidP="00A71891" w14:paraId="20B0C823" w14:textId="4F5F9E95">
      <w:pPr>
        <w:widowControl w:val="0"/>
        <w:autoSpaceDE w:val="0"/>
        <w:autoSpaceDN w:val="0"/>
        <w:adjustRightInd w:val="0"/>
        <w:spacing w:after="0" w:line="240" w:lineRule="auto"/>
        <w:rPr>
          <w:rFonts w:ascii="Times New Roman" w:eastAsia="Times New Roman" w:hAnsi="Times New Roman" w:cs="Times New Roman"/>
          <w:sz w:val="26"/>
          <w:szCs w:val="26"/>
        </w:rPr>
      </w:pPr>
      <w:r w:rsidRPr="00A71891">
        <w:rPr>
          <w:rFonts w:ascii="Times New Roman" w:eastAsia="Times New Roman" w:hAnsi="Times New Roman" w:cs="Times New Roman"/>
          <w:sz w:val="26"/>
          <w:szCs w:val="26"/>
        </w:rPr>
        <w:t xml:space="preserve">The Commission’s regulations </w:t>
      </w:r>
      <w:r w:rsidRPr="00A71891">
        <w:rPr>
          <w:rFonts w:ascii="Times New Roman" w:eastAsia="Times New Roman" w:hAnsi="Times New Roman" w:cs="Times New Roman"/>
          <w:sz w:val="26"/>
          <w:szCs w:val="26"/>
        </w:rPr>
        <w:t>at</w:t>
      </w:r>
      <w:r w:rsidRPr="00A71891">
        <w:rPr>
          <w:rFonts w:ascii="Times New Roman" w:eastAsia="Times New Roman" w:hAnsi="Times New Roman" w:cs="Times New Roman"/>
          <w:sz w:val="26"/>
          <w:szCs w:val="26"/>
        </w:rPr>
        <w:t xml:space="preserve"> 18 CFR 284.288 and 284.403 provide that </w:t>
      </w:r>
      <w:r w:rsidR="00EA3492">
        <w:rPr>
          <w:rFonts w:ascii="Times New Roman" w:eastAsia="Times New Roman" w:hAnsi="Times New Roman" w:cs="Times New Roman"/>
          <w:sz w:val="26"/>
          <w:szCs w:val="26"/>
        </w:rPr>
        <w:t xml:space="preserve">an </w:t>
      </w:r>
      <w:r w:rsidRPr="00A71891">
        <w:rPr>
          <w:rFonts w:ascii="Times New Roman" w:eastAsia="Times New Roman" w:hAnsi="Times New Roman" w:cs="Times New Roman"/>
          <w:sz w:val="26"/>
          <w:szCs w:val="26"/>
        </w:rPr>
        <w:t>applicable seller of natural gas adhere</w:t>
      </w:r>
      <w:r w:rsidR="00EA3492">
        <w:rPr>
          <w:rFonts w:ascii="Times New Roman" w:eastAsia="Times New Roman" w:hAnsi="Times New Roman" w:cs="Times New Roman"/>
          <w:sz w:val="26"/>
          <w:szCs w:val="26"/>
        </w:rPr>
        <w:t>s</w:t>
      </w:r>
      <w:r w:rsidRPr="00A71891">
        <w:rPr>
          <w:rFonts w:ascii="Times New Roman" w:eastAsia="Times New Roman" w:hAnsi="Times New Roman" w:cs="Times New Roman"/>
          <w:sz w:val="26"/>
          <w:szCs w:val="26"/>
        </w:rPr>
        <w:t xml:space="preserve"> to a code of conduct when making gas sales </w:t>
      </w:r>
      <w:r w:rsidRPr="00A71891">
        <w:rPr>
          <w:rFonts w:ascii="Times New Roman" w:eastAsia="Times New Roman" w:hAnsi="Times New Roman" w:cs="Times New Roman"/>
          <w:sz w:val="26"/>
          <w:szCs w:val="26"/>
        </w:rPr>
        <w:t>in order to</w:t>
      </w:r>
      <w:r w:rsidRPr="00A71891">
        <w:rPr>
          <w:rFonts w:ascii="Times New Roman" w:eastAsia="Times New Roman" w:hAnsi="Times New Roman" w:cs="Times New Roman"/>
          <w:sz w:val="26"/>
          <w:szCs w:val="26"/>
        </w:rPr>
        <w:t xml:space="preserve"> protect the integrity of the market.</w:t>
      </w:r>
      <w:r w:rsidR="004F42A8">
        <w:rPr>
          <w:rFonts w:ascii="Times New Roman" w:eastAsia="Times New Roman" w:hAnsi="Times New Roman" w:cs="Times New Roman"/>
          <w:sz w:val="26"/>
          <w:szCs w:val="26"/>
        </w:rPr>
        <w:t xml:space="preserve"> </w:t>
      </w:r>
      <w:r w:rsidRPr="00A71891">
        <w:rPr>
          <w:rFonts w:ascii="Times New Roman" w:eastAsia="Times New Roman" w:hAnsi="Times New Roman" w:cs="Times New Roman"/>
          <w:sz w:val="26"/>
          <w:szCs w:val="26"/>
        </w:rPr>
        <w:t>As part of this code, the Commission imposes a record retention requirement on applicable sellers to “retain, for a period of five years, all data and information upon which it billed the prices it charged for natural gas it sold pursuant to its market-based sales certificate or the prices it reported for use in price indices.”</w:t>
      </w:r>
      <w:r w:rsidR="004F42A8">
        <w:rPr>
          <w:rFonts w:ascii="Times New Roman" w:eastAsia="Times New Roman" w:hAnsi="Times New Roman" w:cs="Times New Roman"/>
          <w:sz w:val="26"/>
          <w:szCs w:val="26"/>
        </w:rPr>
        <w:t xml:space="preserve"> </w:t>
      </w:r>
      <w:r w:rsidR="00EA3492">
        <w:rPr>
          <w:rFonts w:ascii="Times New Roman" w:eastAsia="Times New Roman" w:hAnsi="Times New Roman" w:cs="Times New Roman"/>
          <w:bCs/>
          <w:sz w:val="26"/>
          <w:szCs w:val="26"/>
        </w:rPr>
        <w:t>The Commission</w:t>
      </w:r>
      <w:r w:rsidRPr="00A71891">
        <w:rPr>
          <w:rFonts w:ascii="Times New Roman" w:eastAsia="Times New Roman" w:hAnsi="Times New Roman" w:cs="Times New Roman"/>
          <w:bCs/>
          <w:sz w:val="26"/>
          <w:szCs w:val="26"/>
        </w:rPr>
        <w:t xml:space="preserve"> uses these records to monitor the jurisdictional transportation activities and unbundled sales activities of interstate natural gas pipelines and </w:t>
      </w:r>
      <w:r w:rsidRPr="00A71891">
        <w:rPr>
          <w:rFonts w:ascii="Times New Roman" w:eastAsia="Times New Roman" w:hAnsi="Times New Roman" w:cs="Times New Roman"/>
          <w:sz w:val="26"/>
          <w:szCs w:val="26"/>
        </w:rPr>
        <w:t>blanket marketing certificate holders.</w:t>
      </w:r>
      <w:r w:rsidR="004F42A8">
        <w:rPr>
          <w:rFonts w:ascii="Times New Roman" w:eastAsia="Times New Roman" w:hAnsi="Times New Roman" w:cs="Times New Roman"/>
          <w:sz w:val="26"/>
          <w:szCs w:val="26"/>
        </w:rPr>
        <w:t xml:space="preserve"> </w:t>
      </w:r>
    </w:p>
    <w:p w:rsidR="00A71891" w:rsidRPr="00A71891" w:rsidP="00A71891" w14:paraId="2108CB69" w14:textId="65ACC722">
      <w:pPr>
        <w:widowControl w:val="0"/>
        <w:autoSpaceDE w:val="0"/>
        <w:autoSpaceDN w:val="0"/>
        <w:adjustRightInd w:val="0"/>
        <w:spacing w:after="0" w:line="240" w:lineRule="auto"/>
        <w:rPr>
          <w:rFonts w:ascii="Times New Roman" w:eastAsia="Times New Roman" w:hAnsi="Times New Roman" w:cs="Times New Roman"/>
          <w:sz w:val="26"/>
          <w:szCs w:val="26"/>
        </w:rPr>
      </w:pPr>
    </w:p>
    <w:p w:rsidR="00A71891" w:rsidRPr="00A71891" w:rsidP="00A71891" w14:paraId="697049E4"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r w:rsidRPr="00A71891">
        <w:rPr>
          <w:rFonts w:ascii="Times New Roman" w:eastAsia="Times New Roman" w:hAnsi="Times New Roman" w:cs="Times New Roman"/>
          <w:sz w:val="26"/>
          <w:szCs w:val="26"/>
        </w:rPr>
        <w:t>Failure to have this information available would mean the Commission is unable to perform its regulatory functions and to monitor and evaluate transactions and operations of interstate pipelines and blanket marketing certificate holders.</w:t>
      </w:r>
    </w:p>
    <w:p w:rsidR="00A71891" w:rsidRPr="00A71891" w:rsidP="00A71891" w14:paraId="13CFAC5D"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p>
    <w:p w:rsidR="0047753C" w:rsidRPr="0047753C" w:rsidP="0047753C" w14:paraId="21141AEB" w14:textId="77777777">
      <w:pPr>
        <w:rPr>
          <w:rFonts w:ascii="Times New Roman" w:eastAsia="Calibri" w:hAnsi="Times New Roman" w:cs="Times New Roman"/>
          <w:b/>
          <w:bCs/>
          <w:sz w:val="26"/>
          <w:szCs w:val="26"/>
        </w:rPr>
      </w:pPr>
      <w:r w:rsidRPr="0047753C">
        <w:rPr>
          <w:rFonts w:ascii="Times New Roman" w:eastAsia="Calibri" w:hAnsi="Times New Roman" w:cs="Times New Roman"/>
          <w:b/>
          <w:bCs/>
          <w:sz w:val="26"/>
          <w:szCs w:val="26"/>
        </w:rPr>
        <w:t>2.</w:t>
      </w:r>
      <w:r w:rsidRPr="0047753C">
        <w:rPr>
          <w:rFonts w:ascii="Times New Roman" w:eastAsia="Calibri" w:hAnsi="Times New Roman" w:cs="Times New Roman"/>
          <w:b/>
          <w:bCs/>
          <w:sz w:val="26"/>
          <w:szCs w:val="26"/>
        </w:rPr>
        <w:tab/>
        <w:t>HOW, BY WHOM, AND FOR WHAT PURPOSE THE INFORMATION IS TO BE USED AND THE CONSEQUENCES OF NOT COLLECTING THE INFORMATION</w:t>
      </w:r>
    </w:p>
    <w:p w:rsidR="00EE0E91" w:rsidRPr="008F4714" w:rsidP="00EE0E91" w14:paraId="2C51E570" w14:textId="5AE8664D">
      <w:pPr>
        <w:pStyle w:val="BodyText"/>
        <w:spacing w:before="89"/>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Commission </w:t>
      </w:r>
      <w:r w:rsidR="00CF1932">
        <w:rPr>
          <w:rFonts w:ascii="Times New Roman" w:eastAsia="Times New Roman" w:hAnsi="Times New Roman" w:cs="Times New Roman"/>
          <w:sz w:val="26"/>
          <w:szCs w:val="26"/>
        </w:rPr>
        <w:t>uses</w:t>
      </w:r>
      <w:r w:rsidRPr="003A01F2" w:rsidR="00FE5727">
        <w:rPr>
          <w:rFonts w:ascii="Times New Roman" w:eastAsia="Times New Roman" w:hAnsi="Times New Roman" w:cs="Times New Roman"/>
          <w:spacing w:val="-3"/>
          <w:sz w:val="26"/>
          <w:szCs w:val="26"/>
        </w:rPr>
        <w:t xml:space="preserve"> </w:t>
      </w:r>
      <w:r w:rsidRPr="003A01F2" w:rsidR="00FE5727">
        <w:rPr>
          <w:rFonts w:ascii="Times New Roman" w:eastAsia="Times New Roman" w:hAnsi="Times New Roman" w:cs="Times New Roman"/>
          <w:sz w:val="26"/>
          <w:szCs w:val="26"/>
        </w:rPr>
        <w:t>the</w:t>
      </w:r>
      <w:r w:rsidRPr="003A01F2" w:rsidR="00FE5727">
        <w:rPr>
          <w:rFonts w:ascii="Times New Roman" w:eastAsia="Times New Roman" w:hAnsi="Times New Roman" w:cs="Times New Roman"/>
          <w:spacing w:val="-3"/>
          <w:sz w:val="26"/>
          <w:szCs w:val="26"/>
        </w:rPr>
        <w:t xml:space="preserve"> </w:t>
      </w:r>
      <w:r w:rsidRPr="003A01F2" w:rsidR="00FE5727">
        <w:rPr>
          <w:rFonts w:ascii="Times New Roman" w:eastAsia="Times New Roman" w:hAnsi="Times New Roman" w:cs="Times New Roman"/>
          <w:sz w:val="26"/>
          <w:szCs w:val="26"/>
        </w:rPr>
        <w:t>price</w:t>
      </w:r>
      <w:r w:rsidRPr="003A01F2" w:rsidR="00FE5727">
        <w:rPr>
          <w:rFonts w:ascii="Times New Roman" w:eastAsia="Times New Roman" w:hAnsi="Times New Roman" w:cs="Times New Roman"/>
          <w:spacing w:val="-3"/>
          <w:sz w:val="26"/>
          <w:szCs w:val="26"/>
        </w:rPr>
        <w:t xml:space="preserve"> </w:t>
      </w:r>
      <w:r w:rsidRPr="003A01F2" w:rsidR="00FE5727">
        <w:rPr>
          <w:rFonts w:ascii="Times New Roman" w:eastAsia="Times New Roman" w:hAnsi="Times New Roman" w:cs="Times New Roman"/>
          <w:sz w:val="26"/>
          <w:szCs w:val="26"/>
        </w:rPr>
        <w:t>index</w:t>
      </w:r>
      <w:r w:rsidRPr="003A01F2" w:rsidR="00FE5727">
        <w:rPr>
          <w:rFonts w:ascii="Times New Roman" w:eastAsia="Times New Roman" w:hAnsi="Times New Roman" w:cs="Times New Roman"/>
          <w:spacing w:val="-2"/>
          <w:sz w:val="26"/>
          <w:szCs w:val="26"/>
        </w:rPr>
        <w:t xml:space="preserve"> </w:t>
      </w:r>
      <w:r w:rsidRPr="003A01F2" w:rsidR="00FE5727">
        <w:rPr>
          <w:rFonts w:ascii="Times New Roman" w:eastAsia="Times New Roman" w:hAnsi="Times New Roman" w:cs="Times New Roman"/>
          <w:sz w:val="26"/>
          <w:szCs w:val="26"/>
        </w:rPr>
        <w:t>policy</w:t>
      </w:r>
      <w:r w:rsidR="00BC24B1">
        <w:rPr>
          <w:rFonts w:ascii="Times New Roman" w:eastAsia="Times New Roman" w:hAnsi="Times New Roman" w:cs="Times New Roman"/>
          <w:sz w:val="26"/>
          <w:szCs w:val="26"/>
        </w:rPr>
        <w:t xml:space="preserve"> to encourage additional reporting of fixed-price natural gas transactions to price index developers and to increase transparency into the price index development process.</w:t>
      </w:r>
      <w:r w:rsidR="004F42A8">
        <w:rPr>
          <w:rFonts w:ascii="Times New Roman" w:eastAsia="Times New Roman" w:hAnsi="Times New Roman" w:cs="Times New Roman"/>
          <w:sz w:val="26"/>
          <w:szCs w:val="26"/>
        </w:rPr>
        <w:t xml:space="preserve"> </w:t>
      </w:r>
      <w:r w:rsidR="00BC24B1">
        <w:rPr>
          <w:rFonts w:ascii="Times New Roman" w:eastAsia="Times New Roman" w:hAnsi="Times New Roman" w:cs="Times New Roman"/>
          <w:sz w:val="26"/>
          <w:szCs w:val="26"/>
        </w:rPr>
        <w:t xml:space="preserve">The objective of these </w:t>
      </w:r>
      <w:r w:rsidR="008F4714">
        <w:rPr>
          <w:rFonts w:ascii="Times New Roman" w:eastAsia="Times New Roman" w:hAnsi="Times New Roman" w:cs="Times New Roman"/>
          <w:sz w:val="26"/>
          <w:szCs w:val="26"/>
        </w:rPr>
        <w:t>voluntary requirements</w:t>
      </w:r>
      <w:r w:rsidRPr="003A01F2" w:rsidR="00FE5727">
        <w:rPr>
          <w:rFonts w:ascii="Times New Roman" w:eastAsia="Times New Roman" w:hAnsi="Times New Roman" w:cs="Times New Roman"/>
          <w:spacing w:val="-2"/>
          <w:sz w:val="26"/>
          <w:szCs w:val="26"/>
        </w:rPr>
        <w:t xml:space="preserve"> </w:t>
      </w:r>
      <w:r w:rsidR="00BC24B1">
        <w:rPr>
          <w:rFonts w:ascii="Times New Roman" w:eastAsia="Times New Roman" w:hAnsi="Times New Roman" w:cs="Times New Roman"/>
          <w:sz w:val="26"/>
          <w:szCs w:val="26"/>
        </w:rPr>
        <w:t>is to increase the robustness of natural gas price indices.</w:t>
      </w:r>
      <w:r w:rsidR="004F42A8">
        <w:rPr>
          <w:rFonts w:ascii="Times New Roman" w:eastAsia="Times New Roman" w:hAnsi="Times New Roman" w:cs="Times New Roman"/>
          <w:spacing w:val="-3"/>
          <w:sz w:val="26"/>
          <w:szCs w:val="26"/>
        </w:rPr>
        <w:t xml:space="preserve"> </w:t>
      </w:r>
      <w:r w:rsidR="00BC24B1">
        <w:rPr>
          <w:rFonts w:ascii="Times New Roman" w:eastAsia="Times New Roman" w:hAnsi="Times New Roman" w:cs="Times New Roman"/>
          <w:sz w:val="26"/>
          <w:szCs w:val="26"/>
        </w:rPr>
        <w:t>For</w:t>
      </w:r>
      <w:r w:rsidRPr="003A01F2" w:rsidR="00FE5727">
        <w:rPr>
          <w:rFonts w:ascii="Times New Roman" w:eastAsia="Times New Roman" w:hAnsi="Times New Roman" w:cs="Times New Roman"/>
          <w:spacing w:val="-4"/>
          <w:sz w:val="26"/>
          <w:szCs w:val="26"/>
        </w:rPr>
        <w:t xml:space="preserve"> </w:t>
      </w:r>
      <w:r w:rsidRPr="003A01F2" w:rsidR="00FE5727">
        <w:rPr>
          <w:rFonts w:ascii="Times New Roman" w:eastAsia="Times New Roman" w:hAnsi="Times New Roman" w:cs="Times New Roman"/>
          <w:sz w:val="26"/>
          <w:szCs w:val="26"/>
        </w:rPr>
        <w:t>market</w:t>
      </w:r>
      <w:r w:rsidRPr="003A01F2" w:rsidR="00FE5727">
        <w:rPr>
          <w:rFonts w:ascii="Times New Roman" w:eastAsia="Times New Roman" w:hAnsi="Times New Roman" w:cs="Times New Roman"/>
          <w:spacing w:val="-3"/>
          <w:sz w:val="26"/>
          <w:szCs w:val="26"/>
        </w:rPr>
        <w:t xml:space="preserve"> </w:t>
      </w:r>
      <w:r w:rsidRPr="003A01F2" w:rsidR="00FE5727">
        <w:rPr>
          <w:rFonts w:ascii="Times New Roman" w:eastAsia="Times New Roman" w:hAnsi="Times New Roman" w:cs="Times New Roman"/>
          <w:sz w:val="26"/>
          <w:szCs w:val="26"/>
        </w:rPr>
        <w:t>participants</w:t>
      </w:r>
      <w:r w:rsidRPr="003A01F2" w:rsidR="00FE5727">
        <w:rPr>
          <w:rFonts w:ascii="Times New Roman" w:eastAsia="Times New Roman" w:hAnsi="Times New Roman" w:cs="Times New Roman"/>
          <w:spacing w:val="-2"/>
          <w:sz w:val="26"/>
          <w:szCs w:val="26"/>
        </w:rPr>
        <w:t xml:space="preserve"> </w:t>
      </w:r>
      <w:r w:rsidRPr="003A01F2" w:rsidR="00FE5727">
        <w:rPr>
          <w:rFonts w:ascii="Times New Roman" w:eastAsia="Times New Roman" w:hAnsi="Times New Roman" w:cs="Times New Roman"/>
          <w:sz w:val="26"/>
          <w:szCs w:val="26"/>
        </w:rPr>
        <w:t>that</w:t>
      </w:r>
      <w:r w:rsidRPr="003A01F2" w:rsidR="00FE5727">
        <w:rPr>
          <w:rFonts w:ascii="Times New Roman" w:eastAsia="Times New Roman" w:hAnsi="Times New Roman" w:cs="Times New Roman"/>
          <w:spacing w:val="-3"/>
          <w:sz w:val="26"/>
          <w:szCs w:val="26"/>
        </w:rPr>
        <w:t xml:space="preserve"> </w:t>
      </w:r>
      <w:r w:rsidRPr="003A01F2" w:rsidR="00FE5727">
        <w:rPr>
          <w:rFonts w:ascii="Times New Roman" w:eastAsia="Times New Roman" w:hAnsi="Times New Roman" w:cs="Times New Roman"/>
          <w:sz w:val="26"/>
          <w:szCs w:val="26"/>
        </w:rPr>
        <w:t>report</w:t>
      </w:r>
      <w:r w:rsidR="00FE5727">
        <w:rPr>
          <w:rFonts w:ascii="Times New Roman" w:eastAsia="Times New Roman" w:hAnsi="Times New Roman" w:cs="Times New Roman"/>
          <w:sz w:val="26"/>
          <w:szCs w:val="26"/>
        </w:rPr>
        <w:t xml:space="preserve"> </w:t>
      </w:r>
      <w:r w:rsidRPr="003A01F2" w:rsidR="00FE5727">
        <w:rPr>
          <w:rFonts w:ascii="Times New Roman" w:eastAsia="Times New Roman" w:hAnsi="Times New Roman" w:cs="Times New Roman"/>
          <w:sz w:val="26"/>
          <w:szCs w:val="26"/>
        </w:rPr>
        <w:t xml:space="preserve">data </w:t>
      </w:r>
      <w:r>
        <w:rPr>
          <w:rFonts w:ascii="Times New Roman" w:eastAsia="Times New Roman" w:hAnsi="Times New Roman" w:cs="Times New Roman"/>
          <w:sz w:val="26"/>
          <w:szCs w:val="26"/>
        </w:rPr>
        <w:t>to d</w:t>
      </w:r>
      <w:r w:rsidRPr="003A01F2" w:rsidR="00FE5727">
        <w:rPr>
          <w:rFonts w:ascii="Times New Roman" w:eastAsia="Times New Roman" w:hAnsi="Times New Roman" w:cs="Times New Roman"/>
          <w:sz w:val="26"/>
          <w:szCs w:val="26"/>
        </w:rPr>
        <w:t>ata providers</w:t>
      </w:r>
      <w:r w:rsidR="002E08AA">
        <w:rPr>
          <w:rFonts w:ascii="Times New Roman" w:eastAsia="Times New Roman" w:hAnsi="Times New Roman" w:cs="Times New Roman"/>
          <w:sz w:val="26"/>
          <w:szCs w:val="26"/>
        </w:rPr>
        <w:t>,</w:t>
      </w:r>
      <w:r w:rsidRPr="003A01F2" w:rsidR="00FE5727">
        <w:rPr>
          <w:rFonts w:ascii="Times New Roman" w:eastAsia="Times New Roman" w:hAnsi="Times New Roman" w:cs="Times New Roman"/>
          <w:sz w:val="26"/>
          <w:szCs w:val="26"/>
        </w:rPr>
        <w:t xml:space="preserve"> </w:t>
      </w:r>
      <w:r w:rsidR="00BC24B1">
        <w:rPr>
          <w:rFonts w:ascii="Times New Roman" w:eastAsia="Times New Roman" w:hAnsi="Times New Roman" w:cs="Times New Roman"/>
          <w:sz w:val="26"/>
          <w:szCs w:val="26"/>
        </w:rPr>
        <w:t>they are now allowed to</w:t>
      </w:r>
      <w:r w:rsidRPr="003A01F2" w:rsidR="00FE5727">
        <w:rPr>
          <w:rFonts w:ascii="Times New Roman" w:eastAsia="Times New Roman" w:hAnsi="Times New Roman" w:cs="Times New Roman"/>
          <w:sz w:val="26"/>
          <w:szCs w:val="26"/>
        </w:rPr>
        <w:t xml:space="preserve"> report either their non-index based next-day transactions, their non-index based next-month transactions, or</w:t>
      </w:r>
      <w:r w:rsidRPr="003A01F2" w:rsidR="00FE5727">
        <w:rPr>
          <w:rFonts w:ascii="Times New Roman" w:eastAsia="Times New Roman" w:hAnsi="Times New Roman" w:cs="Times New Roman"/>
          <w:spacing w:val="1"/>
          <w:sz w:val="26"/>
          <w:szCs w:val="26"/>
        </w:rPr>
        <w:t xml:space="preserve"> </w:t>
      </w:r>
      <w:r w:rsidRPr="003A01F2" w:rsidR="00FE5727">
        <w:rPr>
          <w:rFonts w:ascii="Times New Roman" w:eastAsia="Times New Roman" w:hAnsi="Times New Roman" w:cs="Times New Roman"/>
          <w:sz w:val="26"/>
          <w:szCs w:val="26"/>
        </w:rPr>
        <w:t>both, to price index developers.</w:t>
      </w:r>
      <w:r w:rsidR="004F42A8">
        <w:rPr>
          <w:rFonts w:ascii="Times New Roman" w:eastAsia="Times New Roman" w:hAnsi="Times New Roman" w:cs="Times New Roman"/>
          <w:spacing w:val="1"/>
          <w:sz w:val="26"/>
          <w:szCs w:val="26"/>
        </w:rPr>
        <w:t xml:space="preserve"> </w:t>
      </w:r>
      <w:r w:rsidR="008F4714">
        <w:rPr>
          <w:rFonts w:ascii="Times New Roman" w:eastAsia="Times New Roman" w:hAnsi="Times New Roman" w:cs="Times New Roman"/>
          <w:sz w:val="26"/>
          <w:szCs w:val="26"/>
        </w:rPr>
        <w:t>Additionally, t</w:t>
      </w:r>
      <w:r w:rsidR="00FE5727">
        <w:rPr>
          <w:rFonts w:ascii="Times New Roman" w:eastAsia="Times New Roman" w:hAnsi="Times New Roman" w:cs="Times New Roman"/>
          <w:sz w:val="26"/>
          <w:szCs w:val="26"/>
        </w:rPr>
        <w:t>he Commission</w:t>
      </w:r>
      <w:r w:rsidR="008F4714">
        <w:rPr>
          <w:rFonts w:ascii="Times New Roman" w:eastAsia="Times New Roman" w:hAnsi="Times New Roman" w:cs="Times New Roman"/>
          <w:sz w:val="26"/>
          <w:szCs w:val="26"/>
        </w:rPr>
        <w:t xml:space="preserve">’s </w:t>
      </w:r>
      <w:r w:rsidRPr="003A01F2" w:rsidR="00FE5727">
        <w:rPr>
          <w:rFonts w:ascii="Times New Roman" w:eastAsia="Times New Roman" w:hAnsi="Times New Roman" w:cs="Times New Roman"/>
          <w:sz w:val="26"/>
          <w:szCs w:val="26"/>
        </w:rPr>
        <w:t>price index policy</w:t>
      </w:r>
      <w:r w:rsidR="008F4714">
        <w:rPr>
          <w:rFonts w:ascii="Times New Roman" w:eastAsia="Times New Roman" w:hAnsi="Times New Roman" w:cs="Times New Roman"/>
          <w:sz w:val="26"/>
          <w:szCs w:val="26"/>
        </w:rPr>
        <w:t xml:space="preserve"> sets</w:t>
      </w:r>
      <w:r w:rsidRPr="003A01F2" w:rsidR="00FE5727">
        <w:rPr>
          <w:rFonts w:ascii="Times New Roman" w:eastAsia="Times New Roman" w:hAnsi="Times New Roman" w:cs="Times New Roman"/>
          <w:sz w:val="26"/>
          <w:szCs w:val="26"/>
        </w:rPr>
        <w:t xml:space="preserve"> standards for price index developers </w:t>
      </w:r>
      <w:r w:rsidR="008F4714">
        <w:rPr>
          <w:rFonts w:ascii="Times New Roman" w:eastAsia="Times New Roman" w:hAnsi="Times New Roman" w:cs="Times New Roman"/>
          <w:sz w:val="26"/>
          <w:szCs w:val="26"/>
        </w:rPr>
        <w:t xml:space="preserve">to </w:t>
      </w:r>
      <w:r w:rsidRPr="003A01F2" w:rsidR="00FE5727">
        <w:rPr>
          <w:rFonts w:ascii="Times New Roman" w:eastAsia="Times New Roman" w:hAnsi="Times New Roman" w:cs="Times New Roman"/>
          <w:sz w:val="26"/>
          <w:szCs w:val="26"/>
        </w:rPr>
        <w:t>provide indicat</w:t>
      </w:r>
      <w:r w:rsidR="008F4714">
        <w:rPr>
          <w:rFonts w:ascii="Times New Roman" w:eastAsia="Times New Roman" w:hAnsi="Times New Roman" w:cs="Times New Roman"/>
          <w:sz w:val="26"/>
          <w:szCs w:val="26"/>
        </w:rPr>
        <w:t xml:space="preserve">ors for </w:t>
      </w:r>
      <w:r w:rsidRPr="003A01F2" w:rsidR="00FE5727">
        <w:rPr>
          <w:rFonts w:ascii="Times New Roman" w:eastAsia="Times New Roman" w:hAnsi="Times New Roman" w:cs="Times New Roman"/>
          <w:sz w:val="26"/>
          <w:szCs w:val="26"/>
        </w:rPr>
        <w:t>when they use a market assessment</w:t>
      </w:r>
      <w:hyperlink w:anchor="_bookmark3" w:history="1">
        <w:r w:rsidRPr="003A01F2">
          <w:rPr>
            <w:rFonts w:ascii="Times New Roman" w:eastAsia="Times New Roman" w:hAnsi="Times New Roman" w:cs="Times New Roman"/>
            <w:b/>
            <w:sz w:val="26"/>
            <w:szCs w:val="26"/>
          </w:rPr>
          <w:t xml:space="preserve"> </w:t>
        </w:r>
      </w:hyperlink>
      <w:r w:rsidRPr="003A01F2" w:rsidR="00FE5727">
        <w:rPr>
          <w:rFonts w:ascii="Times New Roman" w:eastAsia="Times New Roman" w:hAnsi="Times New Roman" w:cs="Times New Roman"/>
          <w:sz w:val="26"/>
          <w:szCs w:val="26"/>
        </w:rPr>
        <w:t>to calculate an</w:t>
      </w:r>
      <w:r w:rsidRPr="003A01F2" w:rsidR="00FE5727">
        <w:rPr>
          <w:rFonts w:ascii="Times New Roman" w:eastAsia="Times New Roman" w:hAnsi="Times New Roman" w:cs="Times New Roman"/>
          <w:spacing w:val="1"/>
          <w:sz w:val="26"/>
          <w:szCs w:val="26"/>
        </w:rPr>
        <w:t xml:space="preserve"> </w:t>
      </w:r>
      <w:r w:rsidRPr="003A01F2" w:rsidR="00FE5727">
        <w:rPr>
          <w:rFonts w:ascii="Times New Roman" w:eastAsia="Times New Roman" w:hAnsi="Times New Roman" w:cs="Times New Roman"/>
          <w:sz w:val="26"/>
          <w:szCs w:val="26"/>
        </w:rPr>
        <w:t>index price.</w:t>
      </w:r>
      <w:r w:rsidR="004F42A8">
        <w:rPr>
          <w:rFonts w:ascii="Times New Roman" w:eastAsia="Times New Roman" w:hAnsi="Times New Roman" w:cs="Times New Roman"/>
          <w:sz w:val="26"/>
          <w:szCs w:val="26"/>
        </w:rPr>
        <w:t xml:space="preserve"> </w:t>
      </w:r>
      <w:r w:rsidR="008F4714">
        <w:rPr>
          <w:rFonts w:ascii="Times New Roman" w:eastAsia="Times New Roman" w:hAnsi="Times New Roman" w:cs="Times New Roman"/>
          <w:spacing w:val="1"/>
          <w:sz w:val="26"/>
          <w:szCs w:val="26"/>
        </w:rPr>
        <w:t>Further, t</w:t>
      </w:r>
      <w:r w:rsidR="00FE5727">
        <w:rPr>
          <w:rFonts w:ascii="Times New Roman" w:eastAsia="Times New Roman" w:hAnsi="Times New Roman" w:cs="Times New Roman"/>
          <w:sz w:val="26"/>
          <w:szCs w:val="26"/>
        </w:rPr>
        <w:t>he Commission</w:t>
      </w:r>
      <w:r w:rsidRPr="003A01F2" w:rsidR="00FE5727">
        <w:rPr>
          <w:rFonts w:ascii="Times New Roman" w:eastAsia="Times New Roman" w:hAnsi="Times New Roman" w:cs="Times New Roman"/>
          <w:sz w:val="26"/>
          <w:szCs w:val="26"/>
        </w:rPr>
        <w:t xml:space="preserve"> </w:t>
      </w:r>
      <w:r w:rsidR="008F4714">
        <w:rPr>
          <w:rFonts w:ascii="Times New Roman" w:eastAsia="Times New Roman" w:hAnsi="Times New Roman" w:cs="Times New Roman"/>
          <w:sz w:val="26"/>
          <w:szCs w:val="26"/>
        </w:rPr>
        <w:t xml:space="preserve">requires </w:t>
      </w:r>
      <w:r w:rsidRPr="003A01F2" w:rsidR="00FE5727">
        <w:rPr>
          <w:rFonts w:ascii="Times New Roman" w:eastAsia="Times New Roman" w:hAnsi="Times New Roman" w:cs="Times New Roman"/>
          <w:sz w:val="26"/>
          <w:szCs w:val="26"/>
        </w:rPr>
        <w:t xml:space="preserve">that each price index developer should </w:t>
      </w:r>
      <w:r w:rsidR="00FE5727">
        <w:rPr>
          <w:rFonts w:ascii="Times New Roman" w:eastAsia="Times New Roman" w:hAnsi="Times New Roman" w:cs="Times New Roman"/>
          <w:spacing w:val="1"/>
          <w:sz w:val="26"/>
          <w:szCs w:val="26"/>
        </w:rPr>
        <w:t xml:space="preserve">seek approval </w:t>
      </w:r>
      <w:r w:rsidRPr="003A01F2" w:rsidR="00FE5727">
        <w:rPr>
          <w:rFonts w:ascii="Times New Roman" w:eastAsia="Times New Roman" w:hAnsi="Times New Roman" w:cs="Times New Roman"/>
          <w:sz w:val="26"/>
          <w:szCs w:val="26"/>
        </w:rPr>
        <w:t>or</w:t>
      </w:r>
      <w:r w:rsidRPr="003A01F2" w:rsidR="00FE5727">
        <w:rPr>
          <w:rFonts w:ascii="Times New Roman" w:eastAsia="Times New Roman" w:hAnsi="Times New Roman" w:cs="Times New Roman"/>
          <w:spacing w:val="3"/>
          <w:sz w:val="26"/>
          <w:szCs w:val="26"/>
        </w:rPr>
        <w:t xml:space="preserve"> </w:t>
      </w:r>
      <w:r w:rsidRPr="003A01F2" w:rsidR="00FE5727">
        <w:rPr>
          <w:rFonts w:ascii="Times New Roman" w:eastAsia="Times New Roman" w:hAnsi="Times New Roman" w:cs="Times New Roman"/>
          <w:sz w:val="26"/>
          <w:szCs w:val="26"/>
        </w:rPr>
        <w:t>re-approval</w:t>
      </w:r>
      <w:r w:rsidRPr="003A01F2" w:rsidR="00FE5727">
        <w:rPr>
          <w:rFonts w:ascii="Times New Roman" w:eastAsia="Times New Roman" w:hAnsi="Times New Roman" w:cs="Times New Roman"/>
          <w:spacing w:val="3"/>
          <w:sz w:val="26"/>
          <w:szCs w:val="26"/>
        </w:rPr>
        <w:t xml:space="preserve"> </w:t>
      </w:r>
      <w:r w:rsidRPr="003A01F2" w:rsidR="00FE5727">
        <w:rPr>
          <w:rFonts w:ascii="Times New Roman" w:eastAsia="Times New Roman" w:hAnsi="Times New Roman" w:cs="Times New Roman"/>
          <w:sz w:val="26"/>
          <w:szCs w:val="26"/>
        </w:rPr>
        <w:t>from</w:t>
      </w:r>
      <w:r w:rsidRPr="003A01F2" w:rsidR="00FE5727">
        <w:rPr>
          <w:rFonts w:ascii="Times New Roman" w:eastAsia="Times New Roman" w:hAnsi="Times New Roman" w:cs="Times New Roman"/>
          <w:spacing w:val="3"/>
          <w:sz w:val="26"/>
          <w:szCs w:val="26"/>
        </w:rPr>
        <w:t xml:space="preserve"> </w:t>
      </w:r>
      <w:r w:rsidRPr="003A01F2" w:rsidR="00FE5727">
        <w:rPr>
          <w:rFonts w:ascii="Times New Roman" w:eastAsia="Times New Roman" w:hAnsi="Times New Roman" w:cs="Times New Roman"/>
          <w:sz w:val="26"/>
          <w:szCs w:val="26"/>
        </w:rPr>
        <w:t>the</w:t>
      </w:r>
      <w:r w:rsidRPr="003A01F2" w:rsidR="00FE5727">
        <w:rPr>
          <w:rFonts w:ascii="Times New Roman" w:eastAsia="Times New Roman" w:hAnsi="Times New Roman" w:cs="Times New Roman"/>
          <w:spacing w:val="3"/>
          <w:sz w:val="26"/>
          <w:szCs w:val="26"/>
        </w:rPr>
        <w:t xml:space="preserve"> </w:t>
      </w:r>
      <w:r w:rsidRPr="003A01F2" w:rsidR="00FE5727">
        <w:rPr>
          <w:rFonts w:ascii="Times New Roman" w:eastAsia="Times New Roman" w:hAnsi="Times New Roman" w:cs="Times New Roman"/>
          <w:sz w:val="26"/>
          <w:szCs w:val="26"/>
        </w:rPr>
        <w:t>Commission</w:t>
      </w:r>
      <w:r w:rsidRPr="003A01F2" w:rsidR="00FE5727">
        <w:rPr>
          <w:rFonts w:ascii="Times New Roman" w:eastAsia="Times New Roman" w:hAnsi="Times New Roman" w:cs="Times New Roman"/>
          <w:spacing w:val="3"/>
          <w:sz w:val="26"/>
          <w:szCs w:val="26"/>
        </w:rPr>
        <w:t xml:space="preserve"> </w:t>
      </w:r>
      <w:r w:rsidRPr="003A01F2" w:rsidR="00FE5727">
        <w:rPr>
          <w:rFonts w:ascii="Times New Roman" w:eastAsia="Times New Roman" w:hAnsi="Times New Roman" w:cs="Times New Roman"/>
          <w:sz w:val="26"/>
          <w:szCs w:val="26"/>
        </w:rPr>
        <w:t>every</w:t>
      </w:r>
      <w:r w:rsidRPr="003A01F2" w:rsidR="00FE5727">
        <w:rPr>
          <w:rFonts w:ascii="Times New Roman" w:eastAsia="Times New Roman" w:hAnsi="Times New Roman" w:cs="Times New Roman"/>
          <w:spacing w:val="3"/>
          <w:sz w:val="26"/>
          <w:szCs w:val="26"/>
        </w:rPr>
        <w:t xml:space="preserve"> </w:t>
      </w:r>
      <w:r w:rsidRPr="003A01F2" w:rsidR="00FE5727">
        <w:rPr>
          <w:rFonts w:ascii="Times New Roman" w:eastAsia="Times New Roman" w:hAnsi="Times New Roman" w:cs="Times New Roman"/>
          <w:sz w:val="26"/>
          <w:szCs w:val="26"/>
        </w:rPr>
        <w:t>seven</w:t>
      </w:r>
      <w:r w:rsidRPr="003A01F2" w:rsidR="00FE5727">
        <w:rPr>
          <w:rFonts w:ascii="Times New Roman" w:eastAsia="Times New Roman" w:hAnsi="Times New Roman" w:cs="Times New Roman"/>
          <w:spacing w:val="4"/>
          <w:sz w:val="26"/>
          <w:szCs w:val="26"/>
        </w:rPr>
        <w:t xml:space="preserve"> </w:t>
      </w:r>
      <w:r w:rsidRPr="003A01F2" w:rsidR="00FE5727">
        <w:rPr>
          <w:rFonts w:ascii="Times New Roman" w:eastAsia="Times New Roman" w:hAnsi="Times New Roman" w:cs="Times New Roman"/>
          <w:sz w:val="26"/>
          <w:szCs w:val="26"/>
        </w:rPr>
        <w:t>years</w:t>
      </w:r>
      <w:r w:rsidRPr="003A01F2" w:rsidR="00FE5727">
        <w:rPr>
          <w:rFonts w:ascii="Times New Roman" w:eastAsia="Times New Roman" w:hAnsi="Times New Roman" w:cs="Times New Roman"/>
          <w:spacing w:val="2"/>
          <w:sz w:val="26"/>
          <w:szCs w:val="26"/>
        </w:rPr>
        <w:t xml:space="preserve"> </w:t>
      </w:r>
      <w:r w:rsidR="00290AAA">
        <w:rPr>
          <w:rFonts w:ascii="Times New Roman" w:eastAsia="Times New Roman" w:hAnsi="Times New Roman" w:cs="Times New Roman"/>
          <w:spacing w:val="2"/>
          <w:sz w:val="26"/>
          <w:szCs w:val="26"/>
        </w:rPr>
        <w:t xml:space="preserve">to determine </w:t>
      </w:r>
      <w:r w:rsidRPr="003A01F2" w:rsidR="008F4714">
        <w:rPr>
          <w:rFonts w:ascii="Times New Roman" w:eastAsia="Times New Roman" w:hAnsi="Times New Roman" w:cs="Times New Roman"/>
          <w:sz w:val="26"/>
          <w:szCs w:val="26"/>
        </w:rPr>
        <w:t>whether</w:t>
      </w:r>
      <w:r w:rsidRPr="003A01F2" w:rsidR="00FE5727">
        <w:rPr>
          <w:rFonts w:ascii="Times New Roman" w:eastAsia="Times New Roman" w:hAnsi="Times New Roman" w:cs="Times New Roman"/>
          <w:spacing w:val="2"/>
          <w:sz w:val="26"/>
          <w:szCs w:val="26"/>
        </w:rPr>
        <w:t xml:space="preserve"> </w:t>
      </w:r>
      <w:r w:rsidRPr="003A01F2" w:rsidR="00FE5727">
        <w:rPr>
          <w:rFonts w:ascii="Times New Roman" w:eastAsia="Times New Roman" w:hAnsi="Times New Roman" w:cs="Times New Roman"/>
          <w:sz w:val="26"/>
          <w:szCs w:val="26"/>
        </w:rPr>
        <w:t>it</w:t>
      </w:r>
      <w:r w:rsidRPr="003A01F2" w:rsidR="00FE5727">
        <w:rPr>
          <w:rFonts w:ascii="Times New Roman" w:eastAsia="Times New Roman" w:hAnsi="Times New Roman" w:cs="Times New Roman"/>
          <w:spacing w:val="2"/>
          <w:sz w:val="26"/>
          <w:szCs w:val="26"/>
        </w:rPr>
        <w:t xml:space="preserve"> </w:t>
      </w:r>
      <w:r w:rsidRPr="003A01F2" w:rsidR="00FE5727">
        <w:rPr>
          <w:rFonts w:ascii="Times New Roman" w:eastAsia="Times New Roman" w:hAnsi="Times New Roman" w:cs="Times New Roman"/>
          <w:sz w:val="26"/>
          <w:szCs w:val="26"/>
        </w:rPr>
        <w:t>meets</w:t>
      </w:r>
      <w:r w:rsidRPr="003A01F2" w:rsidR="00FE5727">
        <w:rPr>
          <w:rFonts w:ascii="Times New Roman" w:eastAsia="Times New Roman" w:hAnsi="Times New Roman" w:cs="Times New Roman"/>
          <w:spacing w:val="5"/>
          <w:sz w:val="26"/>
          <w:szCs w:val="26"/>
        </w:rPr>
        <w:t xml:space="preserve"> </w:t>
      </w:r>
      <w:r w:rsidRPr="003A01F2" w:rsidR="00FE5727">
        <w:rPr>
          <w:rFonts w:ascii="Times New Roman" w:eastAsia="Times New Roman" w:hAnsi="Times New Roman" w:cs="Times New Roman"/>
          <w:sz w:val="26"/>
          <w:szCs w:val="26"/>
        </w:rPr>
        <w:t>or</w:t>
      </w:r>
      <w:r w:rsidRPr="003A01F2" w:rsidR="00FE5727">
        <w:rPr>
          <w:rFonts w:ascii="Times New Roman" w:eastAsia="Times New Roman" w:hAnsi="Times New Roman" w:cs="Times New Roman"/>
          <w:spacing w:val="1"/>
          <w:sz w:val="26"/>
          <w:szCs w:val="26"/>
        </w:rPr>
        <w:t xml:space="preserve"> </w:t>
      </w:r>
      <w:r w:rsidRPr="003A01F2" w:rsidR="00FE5727">
        <w:rPr>
          <w:rFonts w:ascii="Times New Roman" w:eastAsia="Times New Roman" w:hAnsi="Times New Roman" w:cs="Times New Roman"/>
          <w:sz w:val="26"/>
          <w:szCs w:val="26"/>
        </w:rPr>
        <w:t>continues to meet the standards set forth in the Initial Policy Statement.</w:t>
      </w:r>
      <w:r w:rsidR="004F42A8">
        <w:rPr>
          <w:rFonts w:ascii="Times New Roman" w:eastAsia="Times New Roman" w:hAnsi="Times New Roman" w:cs="Times New Roman"/>
          <w:spacing w:val="1"/>
          <w:sz w:val="26"/>
          <w:szCs w:val="26"/>
        </w:rPr>
        <w:t xml:space="preserve"> </w:t>
      </w:r>
    </w:p>
    <w:p w:rsidR="00EC21EB" w:rsidRPr="00EC21EB" w:rsidP="00D67A1E" w14:paraId="5CDBCC8F" w14:textId="2520ABD8">
      <w:pPr>
        <w:rPr>
          <w:rFonts w:ascii="Times New Roman" w:eastAsia="Times New Roman" w:hAnsi="Times New Roman" w:cs="Times New Roman"/>
          <w:sz w:val="26"/>
          <w:szCs w:val="26"/>
        </w:rPr>
      </w:pPr>
      <w:r w:rsidRPr="00EC21EB">
        <w:rPr>
          <w:rFonts w:ascii="Times New Roman" w:eastAsia="Times New Roman" w:hAnsi="Times New Roman" w:cs="Times New Roman"/>
          <w:sz w:val="26"/>
          <w:szCs w:val="26"/>
        </w:rPr>
        <w:t>The Commission uses the data in FERC-</w:t>
      </w:r>
      <w:r w:rsidR="007A74C6">
        <w:rPr>
          <w:rFonts w:ascii="Times New Roman" w:eastAsia="Times New Roman" w:hAnsi="Times New Roman" w:cs="Times New Roman"/>
          <w:sz w:val="26"/>
          <w:szCs w:val="26"/>
        </w:rPr>
        <w:t>549E</w:t>
      </w:r>
      <w:r w:rsidRPr="00EC21EB">
        <w:rPr>
          <w:rFonts w:ascii="Times New Roman" w:eastAsia="Times New Roman" w:hAnsi="Times New Roman" w:cs="Times New Roman"/>
          <w:sz w:val="26"/>
          <w:szCs w:val="26"/>
        </w:rPr>
        <w:t xml:space="preserve"> to examine the cost</w:t>
      </w:r>
      <w:r w:rsidR="00307F5D">
        <w:rPr>
          <w:rFonts w:ascii="Times New Roman" w:eastAsia="Times New Roman" w:hAnsi="Times New Roman" w:cs="Times New Roman"/>
          <w:sz w:val="26"/>
          <w:szCs w:val="26"/>
        </w:rPr>
        <w:t xml:space="preserve"> and time</w:t>
      </w:r>
      <w:r w:rsidR="00714BBE">
        <w:rPr>
          <w:rFonts w:ascii="Times New Roman" w:eastAsia="Times New Roman" w:hAnsi="Times New Roman" w:cs="Times New Roman"/>
          <w:sz w:val="26"/>
          <w:szCs w:val="26"/>
        </w:rPr>
        <w:t xml:space="preserve"> of data providers who</w:t>
      </w:r>
      <w:r w:rsidR="00307F5D">
        <w:rPr>
          <w:rFonts w:ascii="Times New Roman" w:eastAsia="Times New Roman" w:hAnsi="Times New Roman" w:cs="Times New Roman"/>
          <w:sz w:val="26"/>
          <w:szCs w:val="26"/>
        </w:rPr>
        <w:t xml:space="preserve"> </w:t>
      </w:r>
      <w:r w:rsidR="00714BBE">
        <w:rPr>
          <w:rFonts w:ascii="Times New Roman" w:eastAsia="Times New Roman" w:hAnsi="Times New Roman" w:cs="Times New Roman"/>
          <w:sz w:val="26"/>
          <w:szCs w:val="26"/>
        </w:rPr>
        <w:t>report their transactions to</w:t>
      </w:r>
      <w:r w:rsidR="00307F5D">
        <w:rPr>
          <w:rFonts w:ascii="Times New Roman" w:eastAsia="Times New Roman" w:hAnsi="Times New Roman" w:cs="Times New Roman"/>
          <w:sz w:val="26"/>
          <w:szCs w:val="26"/>
        </w:rPr>
        <w:t xml:space="preserve"> price index developers and </w:t>
      </w:r>
      <w:r w:rsidR="009E580B">
        <w:rPr>
          <w:rFonts w:ascii="Times New Roman" w:eastAsia="Times New Roman" w:hAnsi="Times New Roman" w:cs="Times New Roman"/>
          <w:sz w:val="26"/>
          <w:szCs w:val="26"/>
        </w:rPr>
        <w:t xml:space="preserve">the cost and time </w:t>
      </w:r>
      <w:r w:rsidR="000B7D96">
        <w:rPr>
          <w:rFonts w:ascii="Times New Roman" w:eastAsia="Times New Roman" w:hAnsi="Times New Roman" w:cs="Times New Roman"/>
          <w:sz w:val="26"/>
          <w:szCs w:val="26"/>
        </w:rPr>
        <w:t>of price index developer</w:t>
      </w:r>
      <w:r w:rsidR="00780B50">
        <w:rPr>
          <w:rFonts w:ascii="Times New Roman" w:eastAsia="Times New Roman" w:hAnsi="Times New Roman" w:cs="Times New Roman"/>
          <w:sz w:val="26"/>
          <w:szCs w:val="26"/>
        </w:rPr>
        <w:t>s</w:t>
      </w:r>
      <w:r w:rsidR="000B7D96">
        <w:rPr>
          <w:rFonts w:ascii="Times New Roman" w:eastAsia="Times New Roman" w:hAnsi="Times New Roman" w:cs="Times New Roman"/>
          <w:sz w:val="26"/>
          <w:szCs w:val="26"/>
        </w:rPr>
        <w:t xml:space="preserve"> who seek</w:t>
      </w:r>
      <w:r w:rsidR="009E580B">
        <w:rPr>
          <w:rFonts w:ascii="Times New Roman" w:eastAsia="Times New Roman" w:hAnsi="Times New Roman" w:cs="Times New Roman"/>
          <w:sz w:val="26"/>
          <w:szCs w:val="26"/>
        </w:rPr>
        <w:t xml:space="preserve"> Commission approval</w:t>
      </w:r>
      <w:r w:rsidR="00780B50">
        <w:rPr>
          <w:rFonts w:ascii="Times New Roman" w:eastAsia="Times New Roman" w:hAnsi="Times New Roman" w:cs="Times New Roman"/>
          <w:sz w:val="26"/>
          <w:szCs w:val="26"/>
        </w:rPr>
        <w:t xml:space="preserve"> for the ability for their indices to be referenced </w:t>
      </w:r>
      <w:r w:rsidR="002658FA">
        <w:rPr>
          <w:rFonts w:ascii="Times New Roman" w:eastAsia="Times New Roman" w:hAnsi="Times New Roman" w:cs="Times New Roman"/>
          <w:sz w:val="26"/>
          <w:szCs w:val="26"/>
        </w:rPr>
        <w:t xml:space="preserve">in </w:t>
      </w:r>
      <w:r w:rsidR="00780B50">
        <w:rPr>
          <w:rFonts w:ascii="Times New Roman" w:eastAsia="Times New Roman" w:hAnsi="Times New Roman" w:cs="Times New Roman"/>
          <w:sz w:val="26"/>
          <w:szCs w:val="26"/>
        </w:rPr>
        <w:t>Commission-jurisdictional tariffs</w:t>
      </w:r>
      <w:r w:rsidRPr="00EC21EB">
        <w:rPr>
          <w:rFonts w:ascii="Times New Roman" w:eastAsia="Times New Roman" w:hAnsi="Times New Roman" w:cs="Times New Roman"/>
          <w:sz w:val="26"/>
          <w:szCs w:val="26"/>
        </w:rPr>
        <w:t>.</w:t>
      </w:r>
      <w:r w:rsidR="004F42A8">
        <w:rPr>
          <w:rFonts w:ascii="Times New Roman" w:eastAsia="Times New Roman" w:hAnsi="Times New Roman" w:cs="Times New Roman"/>
          <w:sz w:val="26"/>
          <w:szCs w:val="26"/>
        </w:rPr>
        <w:t xml:space="preserve"> </w:t>
      </w:r>
    </w:p>
    <w:p w:rsidR="00EC21EB" w:rsidRPr="00EC21EB" w:rsidP="00EC21EB" w14:paraId="77435FBD" w14:textId="0EEA128E">
      <w:pPr>
        <w:widowControl w:val="0"/>
        <w:autoSpaceDE w:val="0"/>
        <w:autoSpaceDN w:val="0"/>
        <w:adjustRightInd w:val="0"/>
        <w:spacing w:after="0" w:line="240" w:lineRule="auto"/>
        <w:rPr>
          <w:rFonts w:ascii="Times New Roman" w:eastAsia="Times New Roman" w:hAnsi="Times New Roman" w:cs="Times New Roman"/>
          <w:sz w:val="26"/>
          <w:szCs w:val="26"/>
        </w:rPr>
      </w:pPr>
      <w:r w:rsidRPr="00EC21EB">
        <w:rPr>
          <w:rFonts w:ascii="Times New Roman" w:eastAsia="Times New Roman" w:hAnsi="Times New Roman" w:cs="Times New Roman"/>
          <w:sz w:val="26"/>
          <w:szCs w:val="26"/>
        </w:rPr>
        <w:t>Failure to collect this information would prohibit the Commission from monitoring and properly</w:t>
      </w:r>
      <w:r w:rsidR="008B04DD">
        <w:rPr>
          <w:rFonts w:ascii="Times New Roman" w:eastAsia="Times New Roman" w:hAnsi="Times New Roman" w:cs="Times New Roman"/>
          <w:sz w:val="26"/>
          <w:szCs w:val="26"/>
        </w:rPr>
        <w:t xml:space="preserve"> assessing</w:t>
      </w:r>
      <w:r w:rsidRPr="00EC21EB">
        <w:rPr>
          <w:rFonts w:ascii="Times New Roman" w:eastAsia="Times New Roman" w:hAnsi="Times New Roman" w:cs="Times New Roman"/>
          <w:sz w:val="26"/>
          <w:szCs w:val="26"/>
        </w:rPr>
        <w:t xml:space="preserve"> </w:t>
      </w:r>
      <w:r w:rsidR="0036735A">
        <w:rPr>
          <w:rFonts w:ascii="Times New Roman" w:eastAsia="Times New Roman" w:hAnsi="Times New Roman" w:cs="Times New Roman"/>
          <w:sz w:val="26"/>
          <w:szCs w:val="26"/>
        </w:rPr>
        <w:t>the price reporting</w:t>
      </w:r>
      <w:r w:rsidR="008B04DD">
        <w:rPr>
          <w:rFonts w:ascii="Times New Roman" w:eastAsia="Times New Roman" w:hAnsi="Times New Roman" w:cs="Times New Roman"/>
          <w:sz w:val="26"/>
          <w:szCs w:val="26"/>
        </w:rPr>
        <w:t xml:space="preserve"> burdens</w:t>
      </w:r>
      <w:r w:rsidR="000B1DE7">
        <w:rPr>
          <w:rFonts w:ascii="Times New Roman" w:eastAsia="Times New Roman" w:hAnsi="Times New Roman" w:cs="Times New Roman"/>
          <w:sz w:val="26"/>
          <w:szCs w:val="26"/>
        </w:rPr>
        <w:t xml:space="preserve"> incurred by data providers</w:t>
      </w:r>
      <w:r w:rsidR="0036735A">
        <w:rPr>
          <w:rFonts w:ascii="Times New Roman" w:eastAsia="Times New Roman" w:hAnsi="Times New Roman" w:cs="Times New Roman"/>
          <w:sz w:val="26"/>
          <w:szCs w:val="26"/>
        </w:rPr>
        <w:t xml:space="preserve"> and </w:t>
      </w:r>
      <w:r w:rsidR="008B04DD">
        <w:rPr>
          <w:rFonts w:ascii="Times New Roman" w:eastAsia="Times New Roman" w:hAnsi="Times New Roman" w:cs="Times New Roman"/>
          <w:sz w:val="26"/>
          <w:szCs w:val="26"/>
        </w:rPr>
        <w:t xml:space="preserve">administrative </w:t>
      </w:r>
      <w:r w:rsidR="0036735A">
        <w:rPr>
          <w:rFonts w:ascii="Times New Roman" w:eastAsia="Times New Roman" w:hAnsi="Times New Roman" w:cs="Times New Roman"/>
          <w:sz w:val="26"/>
          <w:szCs w:val="26"/>
        </w:rPr>
        <w:t xml:space="preserve">burdens </w:t>
      </w:r>
      <w:r w:rsidR="000B1DE7">
        <w:rPr>
          <w:rFonts w:ascii="Times New Roman" w:eastAsia="Times New Roman" w:hAnsi="Times New Roman" w:cs="Times New Roman"/>
          <w:sz w:val="26"/>
          <w:szCs w:val="26"/>
        </w:rPr>
        <w:t>incurred by price index developers</w:t>
      </w:r>
      <w:r w:rsidRPr="00EC21EB">
        <w:rPr>
          <w:rFonts w:ascii="Times New Roman" w:eastAsia="Times New Roman" w:hAnsi="Times New Roman" w:cs="Times New Roman"/>
          <w:sz w:val="26"/>
          <w:szCs w:val="26"/>
        </w:rPr>
        <w:t>.</w:t>
      </w:r>
      <w:r w:rsidR="004F42A8">
        <w:rPr>
          <w:rFonts w:ascii="Times New Roman" w:eastAsia="Times New Roman" w:hAnsi="Times New Roman" w:cs="Times New Roman"/>
          <w:sz w:val="26"/>
          <w:szCs w:val="26"/>
        </w:rPr>
        <w:t xml:space="preserve"> </w:t>
      </w:r>
    </w:p>
    <w:p w:rsidR="00EC21EB" w:rsidRPr="00615AA6" w:rsidP="0047753C" w14:paraId="6EBCD509" w14:textId="77777777">
      <w:pPr>
        <w:rPr>
          <w:rFonts w:ascii="Times New Roman" w:eastAsia="Calibri" w:hAnsi="Times New Roman" w:cs="Times New Roman"/>
          <w:b/>
          <w:sz w:val="26"/>
          <w:szCs w:val="26"/>
        </w:rPr>
      </w:pPr>
    </w:p>
    <w:p w:rsidR="0047753C" w:rsidRPr="0047753C" w:rsidP="0047753C" w14:paraId="5D45B261" w14:textId="77777777">
      <w:pPr>
        <w:rPr>
          <w:rFonts w:ascii="Times New Roman" w:eastAsia="Calibri" w:hAnsi="Times New Roman" w:cs="Times New Roman"/>
          <w:b/>
          <w:bCs/>
          <w:sz w:val="26"/>
          <w:szCs w:val="26"/>
        </w:rPr>
      </w:pPr>
      <w:r w:rsidRPr="0047753C">
        <w:rPr>
          <w:rFonts w:ascii="Times New Roman" w:eastAsia="Calibri" w:hAnsi="Times New Roman" w:cs="Times New Roman"/>
          <w:b/>
          <w:bCs/>
          <w:sz w:val="26"/>
          <w:szCs w:val="26"/>
        </w:rPr>
        <w:t>3.</w:t>
      </w:r>
      <w:r w:rsidRPr="0047753C">
        <w:rPr>
          <w:rFonts w:ascii="Times New Roman" w:eastAsia="Calibri" w:hAnsi="Times New Roman" w:cs="Times New Roman"/>
          <w:b/>
          <w:bCs/>
          <w:sz w:val="26"/>
          <w:szCs w:val="26"/>
        </w:rPr>
        <w:tab/>
        <w:t>DESCRIBE ANY CONSIDERATION OF THE USE OF IMPROVED INFORMATION TECHNOLOGY TO REDUCE THE BURDEN AND TECHNICAL OR LEGAL OBSTACLES TO REDUCING BURDEN</w:t>
      </w:r>
    </w:p>
    <w:p w:rsidR="00EC21EB" w:rsidRPr="00EC21EB" w:rsidP="00EC21EB" w14:paraId="6F59AED5" w14:textId="7CFCA329">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Calibri" w:hAnsi="Times New Roman" w:cs="Times New Roman"/>
          <w:bCs/>
          <w:sz w:val="26"/>
          <w:szCs w:val="26"/>
        </w:rPr>
        <w:t>T</w:t>
      </w:r>
      <w:r w:rsidRPr="0047753C" w:rsidR="00FE5727">
        <w:rPr>
          <w:rFonts w:ascii="Times New Roman" w:eastAsia="Calibri" w:hAnsi="Times New Roman" w:cs="Times New Roman"/>
          <w:bCs/>
          <w:sz w:val="26"/>
          <w:szCs w:val="26"/>
        </w:rPr>
        <w:t xml:space="preserve">he Commission continually reevaluates the potential and value of improved information technology to </w:t>
      </w:r>
      <w:r w:rsidR="00FE5727">
        <w:rPr>
          <w:rFonts w:ascii="Times New Roman" w:eastAsia="Calibri" w:hAnsi="Times New Roman" w:cs="Times New Roman"/>
          <w:bCs/>
          <w:sz w:val="26"/>
          <w:szCs w:val="26"/>
        </w:rPr>
        <w:t>lessen</w:t>
      </w:r>
      <w:r w:rsidRPr="0047753C" w:rsidR="00FE5727">
        <w:rPr>
          <w:rFonts w:ascii="Times New Roman" w:eastAsia="Calibri" w:hAnsi="Times New Roman" w:cs="Times New Roman"/>
          <w:bCs/>
          <w:sz w:val="26"/>
          <w:szCs w:val="26"/>
        </w:rPr>
        <w:t xml:space="preserve"> burden.</w:t>
      </w:r>
      <w:r w:rsidR="004F42A8">
        <w:rPr>
          <w:rFonts w:ascii="Times New Roman" w:eastAsia="Calibri" w:hAnsi="Times New Roman" w:cs="Times New Roman"/>
          <w:bCs/>
          <w:sz w:val="26"/>
          <w:szCs w:val="26"/>
        </w:rPr>
        <w:t xml:space="preserve"> </w:t>
      </w:r>
      <w:r w:rsidRPr="00EC21EB" w:rsidR="00FE5727">
        <w:rPr>
          <w:rFonts w:ascii="Times New Roman" w:eastAsia="Times New Roman" w:hAnsi="Times New Roman" w:cs="Times New Roman"/>
          <w:sz w:val="26"/>
          <w:szCs w:val="26"/>
        </w:rPr>
        <w:t xml:space="preserve">The Commission </w:t>
      </w:r>
      <w:r w:rsidR="00FE5727">
        <w:rPr>
          <w:rFonts w:ascii="Times New Roman" w:eastAsia="Times New Roman" w:hAnsi="Times New Roman" w:cs="Times New Roman"/>
          <w:sz w:val="26"/>
          <w:szCs w:val="26"/>
        </w:rPr>
        <w:t>expects</w:t>
      </w:r>
      <w:r w:rsidR="00B54EA5">
        <w:rPr>
          <w:rFonts w:ascii="Times New Roman" w:eastAsia="Times New Roman" w:hAnsi="Times New Roman" w:cs="Times New Roman"/>
          <w:sz w:val="26"/>
          <w:szCs w:val="26"/>
        </w:rPr>
        <w:t xml:space="preserve"> data providers to continue to provide</w:t>
      </w:r>
      <w:r w:rsidR="0098200A">
        <w:rPr>
          <w:rFonts w:ascii="Times New Roman" w:eastAsia="Times New Roman" w:hAnsi="Times New Roman" w:cs="Times New Roman"/>
          <w:sz w:val="26"/>
          <w:szCs w:val="26"/>
        </w:rPr>
        <w:t xml:space="preserve"> their</w:t>
      </w:r>
      <w:r w:rsidR="00B54EA5">
        <w:rPr>
          <w:rFonts w:ascii="Times New Roman" w:eastAsia="Times New Roman" w:hAnsi="Times New Roman" w:cs="Times New Roman"/>
          <w:sz w:val="26"/>
          <w:szCs w:val="26"/>
        </w:rPr>
        <w:t xml:space="preserve"> data to price index developers electronically.</w:t>
      </w:r>
      <w:r w:rsidR="004F42A8">
        <w:rPr>
          <w:rFonts w:ascii="Times New Roman" w:eastAsia="Times New Roman" w:hAnsi="Times New Roman" w:cs="Times New Roman"/>
          <w:sz w:val="26"/>
          <w:szCs w:val="26"/>
        </w:rPr>
        <w:t xml:space="preserve"> </w:t>
      </w:r>
      <w:r w:rsidR="00B54EA5">
        <w:rPr>
          <w:rFonts w:ascii="Times New Roman" w:eastAsia="Times New Roman" w:hAnsi="Times New Roman" w:cs="Times New Roman"/>
          <w:sz w:val="26"/>
          <w:szCs w:val="26"/>
        </w:rPr>
        <w:t>The Commission expects</w:t>
      </w:r>
      <w:r w:rsidR="00FE5727">
        <w:rPr>
          <w:rFonts w:ascii="Times New Roman" w:eastAsia="Times New Roman" w:hAnsi="Times New Roman" w:cs="Times New Roman"/>
          <w:sz w:val="26"/>
          <w:szCs w:val="26"/>
        </w:rPr>
        <w:t xml:space="preserve"> </w:t>
      </w:r>
      <w:r w:rsidR="00B54EA5">
        <w:rPr>
          <w:rFonts w:ascii="Times New Roman" w:eastAsia="Times New Roman" w:hAnsi="Times New Roman" w:cs="Times New Roman"/>
          <w:sz w:val="26"/>
          <w:szCs w:val="26"/>
        </w:rPr>
        <w:t>price index developers to submit</w:t>
      </w:r>
      <w:r w:rsidR="00FE5727">
        <w:rPr>
          <w:rFonts w:ascii="Times New Roman" w:eastAsia="Times New Roman" w:hAnsi="Times New Roman" w:cs="Times New Roman"/>
          <w:sz w:val="26"/>
          <w:szCs w:val="26"/>
        </w:rPr>
        <w:t xml:space="preserve"> </w:t>
      </w:r>
      <w:r w:rsidR="004A3EA8">
        <w:rPr>
          <w:rFonts w:ascii="Times New Roman" w:eastAsia="Times New Roman" w:hAnsi="Times New Roman" w:cs="Times New Roman"/>
          <w:sz w:val="26"/>
          <w:szCs w:val="26"/>
        </w:rPr>
        <w:t>their application, supporting documents</w:t>
      </w:r>
      <w:r w:rsidR="0098200A">
        <w:rPr>
          <w:rFonts w:ascii="Times New Roman" w:eastAsia="Times New Roman" w:hAnsi="Times New Roman" w:cs="Times New Roman"/>
          <w:sz w:val="26"/>
          <w:szCs w:val="26"/>
        </w:rPr>
        <w:t>, affidavits</w:t>
      </w:r>
      <w:r w:rsidR="000D711D">
        <w:rPr>
          <w:rFonts w:ascii="Times New Roman" w:eastAsia="Times New Roman" w:hAnsi="Times New Roman" w:cs="Times New Roman"/>
          <w:sz w:val="26"/>
          <w:szCs w:val="26"/>
        </w:rPr>
        <w:t>,</w:t>
      </w:r>
      <w:r w:rsidR="004A3EA8">
        <w:rPr>
          <w:rFonts w:ascii="Times New Roman" w:eastAsia="Times New Roman" w:hAnsi="Times New Roman" w:cs="Times New Roman"/>
          <w:sz w:val="26"/>
          <w:szCs w:val="26"/>
        </w:rPr>
        <w:t xml:space="preserve"> and</w:t>
      </w:r>
      <w:r w:rsidR="0098200A">
        <w:rPr>
          <w:rFonts w:ascii="Times New Roman" w:eastAsia="Times New Roman" w:hAnsi="Times New Roman" w:cs="Times New Roman"/>
          <w:sz w:val="26"/>
          <w:szCs w:val="26"/>
        </w:rPr>
        <w:t xml:space="preserve"> supporting</w:t>
      </w:r>
      <w:r w:rsidR="004A3EA8">
        <w:rPr>
          <w:rFonts w:ascii="Times New Roman" w:eastAsia="Times New Roman" w:hAnsi="Times New Roman" w:cs="Times New Roman"/>
          <w:sz w:val="26"/>
          <w:szCs w:val="26"/>
        </w:rPr>
        <w:t xml:space="preserve"> statements to the Commission electronically</w:t>
      </w:r>
      <w:r w:rsidRPr="00EC21EB" w:rsidR="00FE5727">
        <w:rPr>
          <w:rFonts w:ascii="Times New Roman" w:eastAsia="Times New Roman" w:hAnsi="Times New Roman" w:cs="Times New Roman"/>
          <w:sz w:val="26"/>
          <w:szCs w:val="26"/>
        </w:rPr>
        <w:t xml:space="preserve">. </w:t>
      </w:r>
    </w:p>
    <w:p w:rsidR="00EC21EB" w:rsidRPr="00615AA6" w:rsidP="0047753C" w14:paraId="5E95107F" w14:textId="77777777">
      <w:pPr>
        <w:rPr>
          <w:rFonts w:ascii="Times New Roman" w:eastAsia="Calibri" w:hAnsi="Times New Roman" w:cs="Times New Roman"/>
          <w:b/>
          <w:sz w:val="26"/>
          <w:szCs w:val="26"/>
        </w:rPr>
      </w:pPr>
    </w:p>
    <w:p w:rsidR="0047753C" w:rsidRPr="0047753C" w:rsidP="0047753C" w14:paraId="17A6C05D" w14:textId="77777777">
      <w:pPr>
        <w:rPr>
          <w:rFonts w:ascii="Times New Roman" w:eastAsia="Calibri" w:hAnsi="Times New Roman" w:cs="Times New Roman"/>
          <w:b/>
          <w:bCs/>
          <w:sz w:val="26"/>
          <w:szCs w:val="26"/>
        </w:rPr>
      </w:pPr>
      <w:r w:rsidRPr="0047753C">
        <w:rPr>
          <w:rFonts w:ascii="Times New Roman" w:eastAsia="Calibri" w:hAnsi="Times New Roman" w:cs="Times New Roman"/>
          <w:b/>
          <w:bCs/>
          <w:sz w:val="26"/>
          <w:szCs w:val="26"/>
        </w:rPr>
        <w:t>4.</w:t>
      </w:r>
      <w:r w:rsidRPr="0047753C">
        <w:rPr>
          <w:rFonts w:ascii="Times New Roman" w:eastAsia="Calibri" w:hAnsi="Times New Roman" w:cs="Times New Roman"/>
          <w:b/>
          <w:bCs/>
          <w:sz w:val="26"/>
          <w:szCs w:val="26"/>
        </w:rPr>
        <w:tab/>
        <w:t>DESCRIBE EFFORTS TO IDENTIFY DUPLICATION AND SHOW SPECIFICALLY WHY ANY SIMILAR INFORMATION ALREADY AVAILABLE CANNOT BE USED OR MODIFIED FOR USE FOR THE PURPOSE(S) DESCRIBED IN INSTRUCTION NO. 2.</w:t>
      </w:r>
    </w:p>
    <w:p w:rsidR="007F4365" w:rsidRPr="0047753C" w:rsidP="002518B8" w14:paraId="5A46E960" w14:textId="698B6B0D">
      <w:pPr>
        <w:rPr>
          <w:rFonts w:ascii="Times New Roman" w:eastAsia="Calibri" w:hAnsi="Times New Roman" w:cs="Times New Roman"/>
          <w:bCs/>
          <w:sz w:val="26"/>
          <w:szCs w:val="26"/>
        </w:rPr>
      </w:pPr>
      <w:bookmarkStart w:id="2" w:name="_Hlk102341557"/>
      <w:r w:rsidRPr="0047753C">
        <w:rPr>
          <w:rFonts w:ascii="Times New Roman" w:eastAsia="Calibri" w:hAnsi="Times New Roman" w:cs="Times New Roman"/>
          <w:bCs/>
          <w:sz w:val="26"/>
          <w:szCs w:val="26"/>
        </w:rPr>
        <w:t>There are no other federal agencies with comprehensive regulatory authority ove</w:t>
      </w:r>
      <w:r w:rsidR="00B22CE9">
        <w:rPr>
          <w:rFonts w:ascii="Times New Roman" w:eastAsia="Calibri" w:hAnsi="Times New Roman" w:cs="Times New Roman"/>
          <w:bCs/>
          <w:sz w:val="26"/>
          <w:szCs w:val="26"/>
        </w:rPr>
        <w:t>r data providers</w:t>
      </w:r>
      <w:r w:rsidR="000252E6">
        <w:rPr>
          <w:rFonts w:ascii="Times New Roman" w:eastAsia="Calibri" w:hAnsi="Times New Roman" w:cs="Times New Roman"/>
          <w:bCs/>
          <w:sz w:val="26"/>
          <w:szCs w:val="26"/>
        </w:rPr>
        <w:t xml:space="preserve"> or the use of price indices in Commission-jurisdictional tariffs created by price index developers</w:t>
      </w:r>
      <w:r w:rsidR="005F3420">
        <w:rPr>
          <w:rFonts w:ascii="Times New Roman" w:eastAsia="Calibri" w:hAnsi="Times New Roman" w:cs="Times New Roman"/>
          <w:bCs/>
          <w:sz w:val="26"/>
          <w:szCs w:val="26"/>
        </w:rPr>
        <w:t>, though the Commission does not have jurisdiction over the price index developers themselves</w:t>
      </w:r>
      <w:r w:rsidRPr="0047753C">
        <w:rPr>
          <w:rFonts w:ascii="Times New Roman" w:eastAsia="Calibri" w:hAnsi="Times New Roman" w:cs="Times New Roman"/>
          <w:bCs/>
          <w:sz w:val="26"/>
          <w:szCs w:val="26"/>
        </w:rPr>
        <w:t>.</w:t>
      </w:r>
      <w:r w:rsidR="004F42A8">
        <w:rPr>
          <w:rFonts w:ascii="Times New Roman" w:eastAsia="Calibri" w:hAnsi="Times New Roman" w:cs="Times New Roman"/>
          <w:bCs/>
          <w:sz w:val="26"/>
          <w:szCs w:val="26"/>
        </w:rPr>
        <w:t xml:space="preserve"> </w:t>
      </w:r>
      <w:r w:rsidRPr="0047753C">
        <w:rPr>
          <w:rFonts w:ascii="Times New Roman" w:eastAsia="Calibri" w:hAnsi="Times New Roman" w:cs="Times New Roman"/>
          <w:bCs/>
          <w:sz w:val="26"/>
          <w:szCs w:val="26"/>
        </w:rPr>
        <w:t>There is no similar information already available that can be used or modified.</w:t>
      </w:r>
    </w:p>
    <w:bookmarkEnd w:id="2"/>
    <w:p w:rsidR="0047753C" w:rsidRPr="0047753C" w:rsidP="0047753C" w14:paraId="6D73F784" w14:textId="77777777">
      <w:pPr>
        <w:rPr>
          <w:rFonts w:ascii="Times New Roman" w:eastAsia="Calibri" w:hAnsi="Times New Roman" w:cs="Times New Roman"/>
          <w:bCs/>
          <w:sz w:val="26"/>
          <w:szCs w:val="26"/>
        </w:rPr>
      </w:pPr>
      <w:r w:rsidRPr="0047753C">
        <w:rPr>
          <w:rFonts w:ascii="Times New Roman" w:eastAsia="Calibri" w:hAnsi="Times New Roman" w:cs="Times New Roman"/>
          <w:b/>
          <w:bCs/>
          <w:sz w:val="26"/>
          <w:szCs w:val="26"/>
        </w:rPr>
        <w:t>5.</w:t>
      </w:r>
      <w:r w:rsidRPr="0047753C">
        <w:rPr>
          <w:rFonts w:ascii="Times New Roman" w:eastAsia="Calibri" w:hAnsi="Times New Roman" w:cs="Times New Roman"/>
          <w:bCs/>
          <w:sz w:val="26"/>
          <w:szCs w:val="26"/>
        </w:rPr>
        <w:tab/>
      </w:r>
      <w:r w:rsidRPr="0047753C">
        <w:rPr>
          <w:rFonts w:ascii="Times New Roman" w:eastAsia="Calibri" w:hAnsi="Times New Roman" w:cs="Times New Roman"/>
          <w:b/>
          <w:bCs/>
          <w:sz w:val="26"/>
          <w:szCs w:val="26"/>
        </w:rPr>
        <w:t>METHODS USED TO MINIMIZE THE BURDEN IN COLLECTION OF INFORMATION INVOLVING SMALL ENTITIES</w:t>
      </w:r>
    </w:p>
    <w:p w:rsidR="0047753C" w:rsidP="006861A8" w14:paraId="4D3B705E" w14:textId="21BA1105">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Data providers can provide their transactions to price index developers through email</w:t>
      </w:r>
      <w:r w:rsidR="008F37BA">
        <w:rPr>
          <w:rFonts w:ascii="Times New Roman" w:eastAsia="Times New Roman" w:hAnsi="Times New Roman" w:cs="Times New Roman"/>
          <w:sz w:val="26"/>
          <w:szCs w:val="26"/>
        </w:rPr>
        <w:t>ed submissions</w:t>
      </w:r>
      <w:r>
        <w:rPr>
          <w:rFonts w:ascii="Times New Roman" w:eastAsia="Times New Roman" w:hAnsi="Times New Roman" w:cs="Times New Roman"/>
          <w:sz w:val="26"/>
          <w:szCs w:val="26"/>
        </w:rPr>
        <w:t xml:space="preserve"> or through price index developer s</w:t>
      </w:r>
      <w:r w:rsidR="00AB5D82">
        <w:rPr>
          <w:rFonts w:ascii="Times New Roman" w:eastAsia="Times New Roman" w:hAnsi="Times New Roman" w:cs="Times New Roman"/>
          <w:sz w:val="26"/>
          <w:szCs w:val="26"/>
        </w:rPr>
        <w:t>oftware</w:t>
      </w:r>
      <w:r w:rsidR="008F37BA">
        <w:rPr>
          <w:rFonts w:ascii="Times New Roman" w:eastAsia="Times New Roman" w:hAnsi="Times New Roman" w:cs="Times New Roman"/>
          <w:sz w:val="26"/>
          <w:szCs w:val="26"/>
        </w:rPr>
        <w:t xml:space="preserve"> submissions</w:t>
      </w:r>
      <w:r w:rsidR="00AB5D82">
        <w:rPr>
          <w:rFonts w:ascii="Times New Roman" w:eastAsia="Times New Roman" w:hAnsi="Times New Roman" w:cs="Times New Roman"/>
          <w:sz w:val="26"/>
          <w:szCs w:val="26"/>
        </w:rPr>
        <w:t>.</w:t>
      </w:r>
      <w:r w:rsidR="004F42A8">
        <w:rPr>
          <w:rFonts w:ascii="Times New Roman" w:eastAsia="Times New Roman" w:hAnsi="Times New Roman" w:cs="Times New Roman"/>
          <w:sz w:val="26"/>
          <w:szCs w:val="26"/>
        </w:rPr>
        <w:t xml:space="preserve"> </w:t>
      </w:r>
      <w:r w:rsidR="00AB5D82">
        <w:rPr>
          <w:rFonts w:ascii="Times New Roman" w:eastAsia="Times New Roman" w:hAnsi="Times New Roman" w:cs="Times New Roman"/>
          <w:sz w:val="26"/>
          <w:szCs w:val="26"/>
        </w:rPr>
        <w:t>Price index developers can provide information to the Commission electronically.</w:t>
      </w:r>
      <w:r w:rsidR="004F42A8">
        <w:rPr>
          <w:rFonts w:ascii="Times New Roman" w:eastAsia="Times New Roman" w:hAnsi="Times New Roman" w:cs="Times New Roman"/>
          <w:sz w:val="26"/>
          <w:szCs w:val="26"/>
        </w:rPr>
        <w:t xml:space="preserve"> </w:t>
      </w:r>
      <w:r w:rsidRPr="00E11EDE" w:rsidR="00E11EDE">
        <w:rPr>
          <w:rFonts w:ascii="Times New Roman" w:eastAsia="Times New Roman" w:hAnsi="Times New Roman" w:cs="Times New Roman"/>
          <w:sz w:val="26"/>
          <w:szCs w:val="26"/>
        </w:rPr>
        <w:t>However, most companies that fulfill the FERC-</w:t>
      </w:r>
      <w:r w:rsidR="007A74C6">
        <w:rPr>
          <w:rFonts w:ascii="Times New Roman" w:eastAsia="Times New Roman" w:hAnsi="Times New Roman" w:cs="Times New Roman"/>
          <w:sz w:val="26"/>
          <w:szCs w:val="26"/>
        </w:rPr>
        <w:t>549E</w:t>
      </w:r>
      <w:r w:rsidRPr="00E11EDE" w:rsidR="00E11EDE">
        <w:rPr>
          <w:rFonts w:ascii="Times New Roman" w:eastAsia="Times New Roman" w:hAnsi="Times New Roman" w:cs="Times New Roman"/>
          <w:sz w:val="26"/>
          <w:szCs w:val="26"/>
        </w:rPr>
        <w:t xml:space="preserve"> filing requirement do not fall within the definition of small entities</w:t>
      </w:r>
      <w:r w:rsidR="00C6672D">
        <w:rPr>
          <w:rFonts w:ascii="Times New Roman" w:eastAsia="Times New Roman" w:hAnsi="Times New Roman" w:cs="Times New Roman"/>
          <w:sz w:val="26"/>
          <w:szCs w:val="26"/>
        </w:rPr>
        <w:t>.</w:t>
      </w:r>
      <w:r>
        <w:rPr>
          <w:rStyle w:val="FootnoteReference"/>
          <w:rFonts w:ascii="Times New Roman" w:eastAsia="Times New Roman" w:hAnsi="Times New Roman" w:cs="Times New Roman"/>
          <w:sz w:val="26"/>
          <w:szCs w:val="26"/>
        </w:rPr>
        <w:footnoteReference w:id="19"/>
      </w:r>
      <w:r w:rsidR="004F42A8">
        <w:rPr>
          <w:rFonts w:ascii="Times New Roman" w:eastAsia="Times New Roman" w:hAnsi="Times New Roman" w:cs="Times New Roman"/>
          <w:sz w:val="26"/>
          <w:szCs w:val="26"/>
        </w:rPr>
        <w:t xml:space="preserve"> </w:t>
      </w:r>
    </w:p>
    <w:p w:rsidR="006861A8" w:rsidRPr="006861A8" w:rsidP="006861A8" w14:paraId="7C52AD65"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p>
    <w:p w:rsidR="0047753C" w:rsidRPr="0047753C" w:rsidP="0047753C" w14:paraId="0AD30770" w14:textId="77777777">
      <w:pPr>
        <w:rPr>
          <w:rFonts w:ascii="Times New Roman" w:eastAsia="Calibri" w:hAnsi="Times New Roman" w:cs="Times New Roman"/>
          <w:bCs/>
          <w:sz w:val="26"/>
          <w:szCs w:val="26"/>
        </w:rPr>
      </w:pPr>
      <w:r w:rsidRPr="0047753C">
        <w:rPr>
          <w:rFonts w:ascii="Times New Roman" w:eastAsia="Calibri" w:hAnsi="Times New Roman" w:cs="Times New Roman"/>
          <w:b/>
          <w:bCs/>
          <w:sz w:val="26"/>
          <w:szCs w:val="26"/>
        </w:rPr>
        <w:t>6.</w:t>
      </w:r>
      <w:r w:rsidRPr="0047753C">
        <w:rPr>
          <w:rFonts w:ascii="Times New Roman" w:eastAsia="Calibri" w:hAnsi="Times New Roman" w:cs="Times New Roman"/>
          <w:b/>
          <w:bCs/>
          <w:sz w:val="26"/>
          <w:szCs w:val="26"/>
        </w:rPr>
        <w:tab/>
        <w:t>CONSEQUENCE TO FEDERAL PROGRAM IF COLLECTION WERE CONDUCTED LESS FREQUENTLY</w:t>
      </w:r>
    </w:p>
    <w:p w:rsidR="00E11EDE" w:rsidRPr="00E11EDE" w:rsidP="00E11EDE" w14:paraId="411AF6AF" w14:textId="461244BA">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Data providers </w:t>
      </w:r>
      <w:r w:rsidR="00BE26E3">
        <w:rPr>
          <w:rFonts w:ascii="Times New Roman" w:eastAsia="Times New Roman" w:hAnsi="Times New Roman" w:cs="Times New Roman"/>
          <w:sz w:val="26"/>
          <w:szCs w:val="26"/>
        </w:rPr>
        <w:t>voluntarily report</w:t>
      </w:r>
      <w:r w:rsidR="00FC53F4">
        <w:rPr>
          <w:rFonts w:ascii="Times New Roman" w:eastAsia="Times New Roman" w:hAnsi="Times New Roman" w:cs="Times New Roman"/>
          <w:sz w:val="26"/>
          <w:szCs w:val="26"/>
        </w:rPr>
        <w:t xml:space="preserve"> their transactions to price index developers on a daily or monthly basis.</w:t>
      </w:r>
      <w:r w:rsidR="004F42A8">
        <w:rPr>
          <w:rFonts w:ascii="Times New Roman" w:eastAsia="Times New Roman" w:hAnsi="Times New Roman" w:cs="Times New Roman"/>
          <w:sz w:val="26"/>
          <w:szCs w:val="26"/>
        </w:rPr>
        <w:t xml:space="preserve"> </w:t>
      </w:r>
      <w:r w:rsidR="00146A63">
        <w:rPr>
          <w:rFonts w:ascii="Times New Roman" w:eastAsia="Times New Roman" w:hAnsi="Times New Roman" w:cs="Times New Roman"/>
          <w:sz w:val="26"/>
          <w:szCs w:val="26"/>
        </w:rPr>
        <w:t xml:space="preserve">They </w:t>
      </w:r>
      <w:r w:rsidR="00146A63">
        <w:rPr>
          <w:rFonts w:ascii="Times New Roman" w:eastAsia="Times New Roman" w:hAnsi="Times New Roman" w:cs="Times New Roman"/>
          <w:sz w:val="26"/>
          <w:szCs w:val="26"/>
        </w:rPr>
        <w:t>choose</w:t>
      </w:r>
      <w:r w:rsidR="00146A63">
        <w:rPr>
          <w:rFonts w:ascii="Times New Roman" w:eastAsia="Times New Roman" w:hAnsi="Times New Roman" w:cs="Times New Roman"/>
          <w:sz w:val="26"/>
          <w:szCs w:val="26"/>
        </w:rPr>
        <w:t xml:space="preserve"> to provide this information to price index developers to increase the robustness of natural gas indices.</w:t>
      </w:r>
      <w:r w:rsidR="004F42A8">
        <w:rPr>
          <w:rFonts w:ascii="Times New Roman" w:eastAsia="Times New Roman" w:hAnsi="Times New Roman" w:cs="Times New Roman"/>
          <w:sz w:val="26"/>
          <w:szCs w:val="26"/>
        </w:rPr>
        <w:t xml:space="preserve"> </w:t>
      </w:r>
      <w:r w:rsidR="00FC53F4">
        <w:rPr>
          <w:rFonts w:ascii="Times New Roman" w:eastAsia="Times New Roman" w:hAnsi="Times New Roman" w:cs="Times New Roman"/>
          <w:sz w:val="26"/>
          <w:szCs w:val="26"/>
        </w:rPr>
        <w:t xml:space="preserve">Data providers can choose to </w:t>
      </w:r>
      <w:r w:rsidR="0085691E">
        <w:rPr>
          <w:rFonts w:ascii="Times New Roman" w:eastAsia="Times New Roman" w:hAnsi="Times New Roman" w:cs="Times New Roman"/>
          <w:sz w:val="26"/>
          <w:szCs w:val="26"/>
        </w:rPr>
        <w:t>stop reporting their transactions to price index developers at any time.</w:t>
      </w:r>
      <w:r w:rsidR="004F42A8">
        <w:rPr>
          <w:rFonts w:ascii="Times New Roman" w:eastAsia="Times New Roman" w:hAnsi="Times New Roman" w:cs="Times New Roman"/>
          <w:sz w:val="26"/>
          <w:szCs w:val="26"/>
        </w:rPr>
        <w:t xml:space="preserve"> </w:t>
      </w:r>
      <w:r w:rsidR="00814F76">
        <w:rPr>
          <w:rFonts w:ascii="Times New Roman" w:eastAsia="Times New Roman" w:hAnsi="Times New Roman" w:cs="Times New Roman"/>
          <w:sz w:val="26"/>
          <w:szCs w:val="26"/>
        </w:rPr>
        <w:t xml:space="preserve">The Commission </w:t>
      </w:r>
      <w:r w:rsidR="00D47F69">
        <w:rPr>
          <w:rFonts w:ascii="Times New Roman" w:eastAsia="Times New Roman" w:hAnsi="Times New Roman" w:cs="Times New Roman"/>
          <w:sz w:val="26"/>
          <w:szCs w:val="26"/>
        </w:rPr>
        <w:t xml:space="preserve">requires </w:t>
      </w:r>
      <w:r w:rsidR="00814F76">
        <w:rPr>
          <w:rFonts w:ascii="Times New Roman" w:eastAsia="Times New Roman" w:hAnsi="Times New Roman" w:cs="Times New Roman"/>
          <w:sz w:val="26"/>
          <w:szCs w:val="26"/>
        </w:rPr>
        <w:t xml:space="preserve">price </w:t>
      </w:r>
      <w:r w:rsidR="00F1738B">
        <w:rPr>
          <w:rFonts w:ascii="Times New Roman" w:eastAsia="Times New Roman" w:hAnsi="Times New Roman" w:cs="Times New Roman"/>
          <w:sz w:val="26"/>
          <w:szCs w:val="26"/>
        </w:rPr>
        <w:t>Commission-approved</w:t>
      </w:r>
      <w:r w:rsidR="00814F76">
        <w:rPr>
          <w:rFonts w:ascii="Times New Roman" w:eastAsia="Times New Roman" w:hAnsi="Times New Roman" w:cs="Times New Roman"/>
          <w:sz w:val="26"/>
          <w:szCs w:val="26"/>
        </w:rPr>
        <w:t xml:space="preserve"> index developers</w:t>
      </w:r>
      <w:r w:rsidR="00BE26E3">
        <w:rPr>
          <w:rFonts w:ascii="Times New Roman" w:eastAsia="Times New Roman" w:hAnsi="Times New Roman" w:cs="Times New Roman"/>
          <w:sz w:val="26"/>
          <w:szCs w:val="26"/>
        </w:rPr>
        <w:t xml:space="preserve"> </w:t>
      </w:r>
      <w:r w:rsidR="00652AD4">
        <w:rPr>
          <w:rFonts w:ascii="Times New Roman" w:eastAsia="Times New Roman" w:hAnsi="Times New Roman" w:cs="Times New Roman"/>
          <w:sz w:val="26"/>
          <w:szCs w:val="26"/>
        </w:rPr>
        <w:t>to provide</w:t>
      </w:r>
      <w:r w:rsidR="00BE26E3">
        <w:rPr>
          <w:rFonts w:ascii="Times New Roman" w:eastAsia="Times New Roman" w:hAnsi="Times New Roman" w:cs="Times New Roman"/>
          <w:sz w:val="26"/>
          <w:szCs w:val="26"/>
        </w:rPr>
        <w:t xml:space="preserve"> information to the Commission</w:t>
      </w:r>
      <w:r w:rsidR="00814F76">
        <w:rPr>
          <w:rFonts w:ascii="Times New Roman" w:eastAsia="Times New Roman" w:hAnsi="Times New Roman" w:cs="Times New Roman"/>
          <w:sz w:val="26"/>
          <w:szCs w:val="26"/>
        </w:rPr>
        <w:t xml:space="preserve"> every seven years.</w:t>
      </w:r>
      <w:r w:rsidR="004F42A8">
        <w:rPr>
          <w:rFonts w:ascii="Times New Roman" w:eastAsia="Times New Roman" w:hAnsi="Times New Roman" w:cs="Times New Roman"/>
          <w:sz w:val="26"/>
          <w:szCs w:val="26"/>
        </w:rPr>
        <w:t xml:space="preserve"> </w:t>
      </w:r>
      <w:r w:rsidR="000D3C59">
        <w:rPr>
          <w:rFonts w:ascii="Times New Roman" w:eastAsia="Times New Roman" w:hAnsi="Times New Roman" w:cs="Times New Roman"/>
          <w:sz w:val="26"/>
          <w:szCs w:val="26"/>
        </w:rPr>
        <w:t>If the Commission were to collect</w:t>
      </w:r>
      <w:r w:rsidR="00FC53F4">
        <w:rPr>
          <w:rFonts w:ascii="Times New Roman" w:eastAsia="Times New Roman" w:hAnsi="Times New Roman" w:cs="Times New Roman"/>
          <w:sz w:val="26"/>
          <w:szCs w:val="26"/>
        </w:rPr>
        <w:t xml:space="preserve"> this</w:t>
      </w:r>
      <w:r w:rsidR="000D3C59">
        <w:rPr>
          <w:rFonts w:ascii="Times New Roman" w:eastAsia="Times New Roman" w:hAnsi="Times New Roman" w:cs="Times New Roman"/>
          <w:sz w:val="26"/>
          <w:szCs w:val="26"/>
        </w:rPr>
        <w:t xml:space="preserve"> information from price index developers less frequently, </w:t>
      </w:r>
      <w:r w:rsidR="00F1245C">
        <w:rPr>
          <w:rFonts w:ascii="Times New Roman" w:eastAsia="Times New Roman" w:hAnsi="Times New Roman" w:cs="Times New Roman"/>
          <w:sz w:val="26"/>
          <w:szCs w:val="26"/>
        </w:rPr>
        <w:t>the robustness and the transparency of price index formation may be reduced</w:t>
      </w:r>
      <w:r w:rsidR="00BF0450">
        <w:rPr>
          <w:rFonts w:ascii="Times New Roman" w:eastAsia="Times New Roman" w:hAnsi="Times New Roman" w:cs="Times New Roman"/>
          <w:sz w:val="26"/>
          <w:szCs w:val="26"/>
        </w:rPr>
        <w:t>.</w:t>
      </w:r>
      <w:r w:rsidR="004F42A8">
        <w:rPr>
          <w:rFonts w:ascii="Times New Roman" w:eastAsia="Times New Roman" w:hAnsi="Times New Roman" w:cs="Times New Roman"/>
          <w:sz w:val="26"/>
          <w:szCs w:val="26"/>
        </w:rPr>
        <w:t xml:space="preserve"> </w:t>
      </w:r>
      <w:r w:rsidR="00B5619A">
        <w:rPr>
          <w:rFonts w:ascii="Times New Roman" w:eastAsia="Times New Roman" w:hAnsi="Times New Roman" w:cs="Times New Roman"/>
          <w:sz w:val="26"/>
          <w:szCs w:val="26"/>
        </w:rPr>
        <w:t xml:space="preserve">Any reduction in price index robustness and transparency could harm the just and reasonableness of </w:t>
      </w:r>
      <w:r>
        <w:rPr>
          <w:rFonts w:ascii="Times New Roman" w:eastAsia="Times New Roman" w:hAnsi="Times New Roman" w:cs="Times New Roman"/>
          <w:sz w:val="26"/>
          <w:szCs w:val="26"/>
        </w:rPr>
        <w:t>tariff rates.</w:t>
      </w:r>
      <w:r w:rsidR="004F42A8">
        <w:rPr>
          <w:rFonts w:ascii="Times New Roman" w:eastAsia="Times New Roman" w:hAnsi="Times New Roman" w:cs="Times New Roman"/>
          <w:sz w:val="26"/>
          <w:szCs w:val="26"/>
        </w:rPr>
        <w:t xml:space="preserve"> </w:t>
      </w:r>
      <w:r w:rsidR="00EE2805">
        <w:rPr>
          <w:rFonts w:ascii="Times New Roman" w:eastAsia="Times New Roman" w:hAnsi="Times New Roman" w:cs="Times New Roman"/>
          <w:sz w:val="26"/>
          <w:szCs w:val="26"/>
        </w:rPr>
        <w:t>The commission</w:t>
      </w:r>
      <w:r w:rsidR="00F00ECE">
        <w:rPr>
          <w:rFonts w:ascii="Times New Roman" w:eastAsia="Times New Roman" w:hAnsi="Times New Roman" w:cs="Times New Roman"/>
          <w:sz w:val="26"/>
          <w:szCs w:val="26"/>
        </w:rPr>
        <w:t xml:space="preserve"> </w:t>
      </w:r>
      <w:r w:rsidR="00EE2805">
        <w:rPr>
          <w:rFonts w:ascii="Times New Roman" w:eastAsia="Times New Roman" w:hAnsi="Times New Roman" w:cs="Times New Roman"/>
          <w:sz w:val="26"/>
          <w:szCs w:val="26"/>
        </w:rPr>
        <w:t>is</w:t>
      </w:r>
      <w:r w:rsidRPr="00B9700D" w:rsidR="00F00ECE">
        <w:rPr>
          <w:rFonts w:ascii="Times New Roman" w:eastAsia="Times New Roman" w:hAnsi="Times New Roman" w:cs="Times New Roman"/>
          <w:sz w:val="26"/>
          <w:szCs w:val="26"/>
        </w:rPr>
        <w:t xml:space="preserve"> required to implement the statutory provisions </w:t>
      </w:r>
      <w:r w:rsidRPr="00B9700D" w:rsidR="00F00ECE">
        <w:rPr>
          <w:rFonts w:ascii="Times New Roman" w:eastAsia="Times New Roman" w:hAnsi="Times New Roman" w:cs="Times New Roman"/>
          <w:sz w:val="26"/>
          <w:szCs w:val="26"/>
        </w:rPr>
        <w:t>governed</w:t>
      </w:r>
      <w:r w:rsidRPr="00B9700D" w:rsidR="00F00ECE">
        <w:rPr>
          <w:rFonts w:ascii="Times New Roman" w:eastAsia="Times New Roman" w:hAnsi="Times New Roman" w:cs="Times New Roman"/>
          <w:sz w:val="26"/>
          <w:szCs w:val="26"/>
        </w:rPr>
        <w:t xml:space="preserve"> by sections 4, 7 and 23 of the NGA and section 311 of the NGPA.</w:t>
      </w:r>
      <w:r w:rsidR="004F42A8">
        <w:rPr>
          <w:rFonts w:ascii="Times New Roman" w:eastAsia="Times New Roman" w:hAnsi="Times New Roman" w:cs="Times New Roman"/>
          <w:sz w:val="26"/>
          <w:szCs w:val="26"/>
        </w:rPr>
        <w:t xml:space="preserve"> </w:t>
      </w:r>
      <w:r w:rsidRPr="00B9700D" w:rsidR="00F00ECE">
        <w:rPr>
          <w:rFonts w:ascii="Times New Roman" w:eastAsia="Times New Roman" w:hAnsi="Times New Roman" w:cs="Times New Roman"/>
          <w:sz w:val="26"/>
          <w:szCs w:val="26"/>
        </w:rPr>
        <w:t xml:space="preserve">Specifically, encouraging transacting parties to engage in more robust transaction reporting to price index developers enhances the transparent and reliable price index development and assists in meeting the obligations to show just and reasonable prices under the NGA and fair and </w:t>
      </w:r>
      <w:r w:rsidRPr="00B9700D" w:rsidR="00F00ECE">
        <w:rPr>
          <w:rFonts w:ascii="Times New Roman" w:eastAsia="Calibri" w:hAnsi="Times New Roman" w:cs="Times New Roman"/>
          <w:bCs/>
          <w:sz w:val="26"/>
          <w:szCs w:val="26"/>
        </w:rPr>
        <w:t>equitable prices</w:t>
      </w:r>
      <w:r w:rsidRPr="00B9700D" w:rsidR="00F00ECE">
        <w:rPr>
          <w:rFonts w:ascii="Times New Roman" w:eastAsia="Times New Roman" w:hAnsi="Times New Roman" w:cs="Times New Roman"/>
          <w:sz w:val="26"/>
          <w:szCs w:val="26"/>
        </w:rPr>
        <w:t xml:space="preserve"> under the NGPA</w:t>
      </w:r>
      <w:r w:rsidRPr="00B9700D" w:rsidR="00F00ECE">
        <w:rPr>
          <w:rFonts w:ascii="Times New Roman" w:eastAsia="Calibri" w:hAnsi="Times New Roman" w:cs="Times New Roman"/>
          <w:bCs/>
          <w:sz w:val="26"/>
          <w:szCs w:val="26"/>
        </w:rPr>
        <w:t>, including the use of market prices in jurisdictional tariffs.</w:t>
      </w:r>
      <w:r w:rsidR="004F42A8">
        <w:rPr>
          <w:rFonts w:ascii="Times New Roman" w:eastAsia="Calibri" w:hAnsi="Times New Roman" w:cs="Times New Roman"/>
          <w:bCs/>
          <w:sz w:val="26"/>
          <w:szCs w:val="26"/>
        </w:rPr>
        <w:t xml:space="preserve"> </w:t>
      </w:r>
    </w:p>
    <w:p w:rsidR="0047753C" w:rsidRPr="00E11EDE" w:rsidP="0047753C" w14:paraId="42766AF8" w14:textId="77777777">
      <w:pPr>
        <w:rPr>
          <w:rFonts w:ascii="Times New Roman" w:eastAsia="Calibri" w:hAnsi="Times New Roman" w:cs="Times New Roman"/>
          <w:bCs/>
          <w:sz w:val="26"/>
          <w:szCs w:val="26"/>
        </w:rPr>
      </w:pPr>
    </w:p>
    <w:p w:rsidR="0047753C" w:rsidRPr="00BB1EBB" w:rsidP="00BB1EBB" w14:paraId="53F28C4D" w14:textId="77777777">
      <w:pPr>
        <w:pStyle w:val="ListParagraph"/>
        <w:numPr>
          <w:ilvl w:val="0"/>
          <w:numId w:val="8"/>
        </w:numPr>
        <w:rPr>
          <w:rFonts w:ascii="Times New Roman" w:eastAsia="Calibri" w:hAnsi="Times New Roman" w:cs="Times New Roman"/>
          <w:bCs/>
          <w:sz w:val="26"/>
          <w:szCs w:val="26"/>
        </w:rPr>
      </w:pPr>
      <w:r w:rsidRPr="00BB1EBB">
        <w:rPr>
          <w:rFonts w:ascii="Times New Roman" w:eastAsia="Calibri" w:hAnsi="Times New Roman" w:cs="Times New Roman"/>
          <w:b/>
          <w:bCs/>
          <w:sz w:val="26"/>
          <w:szCs w:val="26"/>
        </w:rPr>
        <w:t>EXPLAIN ANY SPECIAL CIRCUMSTANCES RELATING TO THE INFORMATION COLLECTION</w:t>
      </w:r>
    </w:p>
    <w:p w:rsidR="0034258D" w:rsidRPr="00FB6212" w:rsidP="00FB6212" w14:paraId="515CD44B" w14:textId="2FE8B06B">
      <w:pPr>
        <w:rPr>
          <w:rFonts w:ascii="Times New Roman" w:eastAsia="Calibri" w:hAnsi="Times New Roman" w:cs="Times New Roman"/>
          <w:bCs/>
          <w:sz w:val="26"/>
          <w:szCs w:val="26"/>
        </w:rPr>
      </w:pPr>
      <w:r>
        <w:rPr>
          <w:rFonts w:ascii="Times New Roman" w:eastAsia="Calibri" w:hAnsi="Times New Roman" w:cs="Times New Roman"/>
          <w:bCs/>
          <w:sz w:val="26"/>
          <w:szCs w:val="26"/>
        </w:rPr>
        <w:t>The Code of Conduct included in FERC-549E includes a</w:t>
      </w:r>
      <w:r w:rsidRPr="00FB6212">
        <w:rPr>
          <w:rFonts w:ascii="Times New Roman" w:eastAsia="Calibri" w:hAnsi="Times New Roman" w:cs="Times New Roman"/>
          <w:bCs/>
          <w:sz w:val="26"/>
          <w:szCs w:val="26"/>
        </w:rPr>
        <w:t xml:space="preserve"> record retention period of </w:t>
      </w:r>
      <w:r w:rsidRPr="00FB6212">
        <w:rPr>
          <w:rFonts w:ascii="Times New Roman" w:eastAsia="Calibri" w:hAnsi="Times New Roman" w:cs="Times New Roman"/>
          <w:bCs/>
          <w:sz w:val="26"/>
          <w:szCs w:val="26"/>
        </w:rPr>
        <w:t>five</w:t>
      </w:r>
      <w:r w:rsidR="00043DF9">
        <w:rPr>
          <w:rFonts w:ascii="Times New Roman" w:eastAsia="Calibri" w:hAnsi="Times New Roman" w:cs="Times New Roman"/>
          <w:bCs/>
          <w:sz w:val="26"/>
          <w:szCs w:val="26"/>
        </w:rPr>
        <w:t>-</w:t>
      </w:r>
      <w:r w:rsidRPr="00FB6212">
        <w:rPr>
          <w:rFonts w:ascii="Times New Roman" w:eastAsia="Calibri" w:hAnsi="Times New Roman" w:cs="Times New Roman"/>
          <w:bCs/>
          <w:sz w:val="26"/>
          <w:szCs w:val="26"/>
        </w:rPr>
        <w:t>years</w:t>
      </w:r>
      <w:r w:rsidRPr="00FB6212">
        <w:rPr>
          <w:rFonts w:ascii="Times New Roman" w:eastAsia="Calibri" w:hAnsi="Times New Roman" w:cs="Times New Roman"/>
          <w:bCs/>
          <w:sz w:val="26"/>
          <w:szCs w:val="26"/>
        </w:rPr>
        <w:t xml:space="preserve"> </w:t>
      </w:r>
      <w:r w:rsidR="00000C83">
        <w:rPr>
          <w:rFonts w:ascii="Times New Roman" w:eastAsia="Calibri" w:hAnsi="Times New Roman" w:cs="Times New Roman"/>
          <w:bCs/>
          <w:sz w:val="26"/>
          <w:szCs w:val="26"/>
        </w:rPr>
        <w:t xml:space="preserve">which </w:t>
      </w:r>
      <w:r w:rsidRPr="00FB6212">
        <w:rPr>
          <w:rFonts w:ascii="Times New Roman" w:eastAsia="Calibri" w:hAnsi="Times New Roman" w:cs="Times New Roman"/>
          <w:bCs/>
          <w:sz w:val="26"/>
          <w:szCs w:val="26"/>
        </w:rPr>
        <w:t>is necessary due to the importance of records related to any investigation of possible wrongdoing and related to assuring compliance with the codes of conduct and the integrity of the market.</w:t>
      </w:r>
      <w:r w:rsidR="004F42A8">
        <w:rPr>
          <w:rFonts w:ascii="Times New Roman" w:eastAsia="Calibri" w:hAnsi="Times New Roman" w:cs="Times New Roman"/>
          <w:bCs/>
          <w:sz w:val="26"/>
          <w:szCs w:val="26"/>
        </w:rPr>
        <w:t xml:space="preserve"> </w:t>
      </w:r>
      <w:r w:rsidRPr="00FB6212">
        <w:rPr>
          <w:rFonts w:ascii="Times New Roman" w:eastAsia="Calibri" w:hAnsi="Times New Roman" w:cs="Times New Roman"/>
          <w:bCs/>
          <w:sz w:val="26"/>
          <w:szCs w:val="26"/>
        </w:rPr>
        <w:t xml:space="preserve">The requirement is necessary to ensure consistency in prohibiting market manipulation (regulations adopted in Order No. 670, implementing the </w:t>
      </w:r>
      <w:r w:rsidRPr="00FB6212">
        <w:rPr>
          <w:rFonts w:ascii="Times New Roman" w:eastAsia="Calibri" w:hAnsi="Times New Roman" w:cs="Times New Roman"/>
          <w:bCs/>
          <w:sz w:val="26"/>
          <w:szCs w:val="26"/>
        </w:rPr>
        <w:t>EPAct</w:t>
      </w:r>
      <w:r w:rsidRPr="00FB6212">
        <w:rPr>
          <w:rFonts w:ascii="Times New Roman" w:eastAsia="Calibri" w:hAnsi="Times New Roman" w:cs="Times New Roman"/>
          <w:bCs/>
          <w:sz w:val="26"/>
          <w:szCs w:val="26"/>
        </w:rPr>
        <w:t xml:space="preserve"> 2005 anti-manipulation provisions ) and the generally applicable five-year statute of limitations where the Commission seeks civil penalties for violations of the anti-manipulation rules or other rules, regulations, or orders to which the price data may be relevant. </w:t>
      </w:r>
    </w:p>
    <w:p w:rsidR="0047753C" w:rsidRPr="0047753C" w:rsidP="0047753C" w14:paraId="22E03281" w14:textId="12ED7162">
      <w:pPr>
        <w:rPr>
          <w:rFonts w:ascii="Times New Roman" w:eastAsia="Calibri" w:hAnsi="Times New Roman" w:cs="Times New Roman"/>
          <w:bCs/>
          <w:sz w:val="26"/>
          <w:szCs w:val="26"/>
        </w:rPr>
      </w:pPr>
      <w:r w:rsidRPr="0047753C">
        <w:rPr>
          <w:rFonts w:ascii="Times New Roman" w:eastAsia="Calibri" w:hAnsi="Times New Roman" w:cs="Times New Roman"/>
          <w:b/>
          <w:bCs/>
          <w:sz w:val="26"/>
          <w:szCs w:val="26"/>
        </w:rPr>
        <w:t>8.</w:t>
      </w:r>
      <w:r w:rsidRPr="0047753C">
        <w:rPr>
          <w:rFonts w:ascii="Times New Roman" w:eastAsia="Calibri" w:hAnsi="Times New Roman" w:cs="Times New Roman"/>
          <w:b/>
          <w:bCs/>
          <w:sz w:val="26"/>
          <w:szCs w:val="26"/>
        </w:rPr>
        <w:tab/>
        <w:t>DESCRIBE EFFORTS TO CONSULT OUTSIDE THE AGENCY: SUMMARIZE PUBLIC COMMENTS AND THE AGENCY</w:t>
      </w:r>
      <w:r w:rsidR="00B554BA">
        <w:rPr>
          <w:rFonts w:ascii="Times New Roman" w:eastAsia="Calibri" w:hAnsi="Times New Roman" w:cs="Times New Roman"/>
          <w:b/>
          <w:bCs/>
          <w:sz w:val="26"/>
          <w:szCs w:val="26"/>
        </w:rPr>
        <w:t>’</w:t>
      </w:r>
      <w:r w:rsidRPr="0047753C">
        <w:rPr>
          <w:rFonts w:ascii="Times New Roman" w:eastAsia="Calibri" w:hAnsi="Times New Roman" w:cs="Times New Roman"/>
          <w:b/>
          <w:bCs/>
          <w:sz w:val="26"/>
          <w:szCs w:val="26"/>
        </w:rPr>
        <w:t>S RESPONSE TO THESE COMMENTS</w:t>
      </w:r>
    </w:p>
    <w:p w:rsidR="000205B5" w:rsidRPr="000205B5" w:rsidP="5656C271" w14:paraId="58FB46B9" w14:textId="16E1A935">
      <w:pPr>
        <w:rPr>
          <w:rFonts w:ascii="Times New Roman" w:eastAsia="Calibri" w:hAnsi="Times New Roman" w:cs="Times New Roman"/>
          <w:sz w:val="26"/>
          <w:szCs w:val="26"/>
        </w:rPr>
      </w:pPr>
      <w:r w:rsidRPr="7C42EED3">
        <w:rPr>
          <w:rFonts w:ascii="Times New Roman" w:eastAsia="Calibri" w:hAnsi="Times New Roman" w:cs="Times New Roman"/>
          <w:sz w:val="26"/>
          <w:szCs w:val="26"/>
        </w:rPr>
        <w:t xml:space="preserve">The Commission published a 60-Day notice on </w:t>
      </w:r>
      <w:r w:rsidRPr="7C42EED3" w:rsidR="5138E1A8">
        <w:rPr>
          <w:rFonts w:ascii="Times New Roman" w:eastAsia="Calibri" w:hAnsi="Times New Roman" w:cs="Times New Roman"/>
          <w:sz w:val="26"/>
          <w:szCs w:val="26"/>
        </w:rPr>
        <w:t>12/18/2025</w:t>
      </w:r>
      <w:r w:rsidRPr="7C42EED3">
        <w:rPr>
          <w:rFonts w:ascii="Times New Roman" w:eastAsia="Calibri" w:hAnsi="Times New Roman" w:cs="Times New Roman"/>
          <w:sz w:val="26"/>
          <w:szCs w:val="26"/>
        </w:rPr>
        <w:t xml:space="preserve"> (</w:t>
      </w:r>
      <w:r w:rsidRPr="7C42EED3" w:rsidR="5138E1A8">
        <w:rPr>
          <w:rFonts w:ascii="Times New Roman" w:eastAsia="Calibri" w:hAnsi="Times New Roman" w:cs="Times New Roman"/>
          <w:sz w:val="26"/>
          <w:szCs w:val="26"/>
        </w:rPr>
        <w:t>90 FR 59099</w:t>
      </w:r>
      <w:r w:rsidRPr="7C42EED3">
        <w:rPr>
          <w:rFonts w:ascii="Times New Roman" w:eastAsia="Calibri" w:hAnsi="Times New Roman" w:cs="Times New Roman"/>
          <w:sz w:val="26"/>
          <w:szCs w:val="26"/>
        </w:rPr>
        <w:t>) soliciting public comments</w:t>
      </w:r>
      <w:r w:rsidRPr="7C42EED3" w:rsidR="0D3CD9D4">
        <w:rPr>
          <w:rFonts w:ascii="Times New Roman" w:eastAsia="Calibri" w:hAnsi="Times New Roman" w:cs="Times New Roman"/>
          <w:sz w:val="26"/>
          <w:szCs w:val="26"/>
        </w:rPr>
        <w:t>.</w:t>
      </w:r>
      <w:r w:rsidRPr="7C42EED3" w:rsidR="78DD6557">
        <w:rPr>
          <w:rFonts w:ascii="Times New Roman" w:eastAsia="Calibri" w:hAnsi="Times New Roman" w:cs="Times New Roman"/>
          <w:sz w:val="26"/>
          <w:szCs w:val="26"/>
        </w:rPr>
        <w:t xml:space="preserve"> </w:t>
      </w:r>
      <w:r w:rsidRPr="7C42EED3" w:rsidR="0D3CD9D4">
        <w:rPr>
          <w:rFonts w:ascii="Times New Roman" w:eastAsia="Calibri" w:hAnsi="Times New Roman" w:cs="Times New Roman"/>
          <w:sz w:val="26"/>
          <w:szCs w:val="26"/>
        </w:rPr>
        <w:t>The Commission received one comment from Public Citizen, Inc. (Public Citizen) regarding FERC-552 and FERC-549E.  Public Citizen suggests what it describes as “needed enhancements” to reporting under FERC-552 and FERC-549E to address increasing price volatility.  Public Citizen proposes revisions to the FERC-552 to increase transparency into the natural gas price index formation process.  Specifically, Public Citizen recommends that the Commission: shift from annual to quarterly reporting with geographic hub-level data, require respondents to clearly identify affiliates filing separate reports, and create a publicly accessible electronic information system based on actual transactions rather than voluntary, paywalled data from private index developers.  </w:t>
      </w:r>
    </w:p>
    <w:p w:rsidR="000205B5" w:rsidRPr="000205B5" w:rsidP="7C42EED3" w14:paraId="3AD51008" w14:textId="172A65A3">
      <w:pPr>
        <w:rPr>
          <w:rFonts w:ascii="Times New Roman" w:eastAsia="Calibri" w:hAnsi="Times New Roman" w:cs="Times New Roman"/>
          <w:sz w:val="26"/>
          <w:szCs w:val="26"/>
        </w:rPr>
      </w:pPr>
      <w:r w:rsidRPr="7C42EED3">
        <w:rPr>
          <w:rFonts w:ascii="Times New Roman" w:eastAsia="Calibri" w:hAnsi="Times New Roman" w:cs="Times New Roman"/>
          <w:sz w:val="26"/>
          <w:szCs w:val="26"/>
        </w:rPr>
        <w:t>The requirements for FERC-552 and FERC-549E are governed by 18 CFR 260.401 and Commission policy statement in Docket no. PL20-3-000 which include the frequency, content, scope, and availability of the collections. Public Citizen’s comment addresses topics that are defined in those regulations and policy statement and so are outside of the scope of this Information Collections renewal process. FERC is not currently considering changes to these regulations.  Therefore, the Commission does not propose any changes to the currently approved information </w:t>
      </w:r>
      <w:r w:rsidRPr="7C42EED3">
        <w:rPr>
          <w:rFonts w:ascii="Times New Roman" w:eastAsia="Calibri" w:hAnsi="Times New Roman" w:cs="Times New Roman"/>
          <w:sz w:val="26"/>
          <w:szCs w:val="26"/>
        </w:rPr>
        <w:t>collections</w:t>
      </w:r>
      <w:r w:rsidRPr="7C42EED3">
        <w:rPr>
          <w:rFonts w:ascii="Times New Roman" w:eastAsia="Calibri" w:hAnsi="Times New Roman" w:cs="Times New Roman"/>
          <w:sz w:val="26"/>
          <w:szCs w:val="26"/>
        </w:rPr>
        <w:t> </w:t>
      </w:r>
      <w:r w:rsidRPr="7C42EED3">
        <w:rPr>
          <w:rFonts w:ascii="Times New Roman" w:eastAsia="Calibri" w:hAnsi="Times New Roman" w:cs="Times New Roman"/>
          <w:sz w:val="26"/>
          <w:szCs w:val="26"/>
        </w:rPr>
        <w:t>at this time</w:t>
      </w:r>
      <w:r w:rsidRPr="7C42EED3">
        <w:rPr>
          <w:rFonts w:ascii="Times New Roman" w:eastAsia="Calibri" w:hAnsi="Times New Roman" w:cs="Times New Roman"/>
          <w:sz w:val="26"/>
          <w:szCs w:val="26"/>
        </w:rPr>
        <w:t>. </w:t>
      </w:r>
    </w:p>
    <w:p w:rsidR="00992466" w:rsidRPr="004D72B8" w:rsidP="5656C271" w14:paraId="68469E1F" w14:textId="24DCE555">
      <w:pPr>
        <w:rPr>
          <w:rFonts w:ascii="Times New Roman" w:eastAsia="Calibri" w:hAnsi="Times New Roman" w:cs="Times New Roman"/>
          <w:sz w:val="26"/>
          <w:szCs w:val="26"/>
        </w:rPr>
      </w:pPr>
      <w:r w:rsidRPr="7C42EED3">
        <w:rPr>
          <w:rFonts w:ascii="Times New Roman" w:eastAsia="Calibri" w:hAnsi="Times New Roman" w:cs="Times New Roman"/>
          <w:sz w:val="26"/>
          <w:szCs w:val="26"/>
        </w:rPr>
        <w:t xml:space="preserve">The Commission </w:t>
      </w:r>
      <w:r w:rsidRPr="7C42EED3" w:rsidR="07E0ECF6">
        <w:rPr>
          <w:rFonts w:ascii="Times New Roman" w:eastAsia="Calibri" w:hAnsi="Times New Roman" w:cs="Times New Roman"/>
          <w:sz w:val="26"/>
          <w:szCs w:val="26"/>
        </w:rPr>
        <w:t xml:space="preserve">also </w:t>
      </w:r>
      <w:r w:rsidRPr="7C42EED3">
        <w:rPr>
          <w:rFonts w:ascii="Times New Roman" w:eastAsia="Calibri" w:hAnsi="Times New Roman" w:cs="Times New Roman"/>
          <w:sz w:val="26"/>
          <w:szCs w:val="26"/>
        </w:rPr>
        <w:t xml:space="preserve">issued a 30-Day notice on </w:t>
      </w:r>
      <w:r w:rsidRPr="7C42EED3" w:rsidR="648A7AE8">
        <w:rPr>
          <w:rFonts w:ascii="Times New Roman" w:eastAsia="Calibri" w:hAnsi="Times New Roman" w:cs="Times New Roman"/>
          <w:sz w:val="26"/>
          <w:szCs w:val="26"/>
        </w:rPr>
        <w:t>3/31</w:t>
      </w:r>
      <w:r w:rsidRPr="7C42EED3">
        <w:rPr>
          <w:rFonts w:ascii="Times New Roman" w:eastAsia="Calibri" w:hAnsi="Times New Roman" w:cs="Times New Roman"/>
          <w:sz w:val="26"/>
          <w:szCs w:val="26"/>
        </w:rPr>
        <w:t>/2026</w:t>
      </w:r>
      <w:r w:rsidRPr="7C42EED3" w:rsidR="648A7AE8">
        <w:rPr>
          <w:rFonts w:ascii="Times New Roman" w:eastAsia="Calibri" w:hAnsi="Times New Roman" w:cs="Times New Roman"/>
          <w:sz w:val="26"/>
          <w:szCs w:val="26"/>
        </w:rPr>
        <w:t xml:space="preserve"> (91 FR 15987)</w:t>
      </w:r>
      <w:r w:rsidRPr="7C42EED3">
        <w:rPr>
          <w:rFonts w:ascii="Times New Roman" w:eastAsia="Calibri" w:hAnsi="Times New Roman" w:cs="Times New Roman"/>
          <w:sz w:val="26"/>
          <w:szCs w:val="26"/>
        </w:rPr>
        <w:t>.</w:t>
      </w:r>
    </w:p>
    <w:p w:rsidR="0047753C" w:rsidRPr="0047753C" w:rsidP="0047753C" w14:paraId="782CF309" w14:textId="77777777">
      <w:pPr>
        <w:rPr>
          <w:rFonts w:ascii="Times New Roman" w:eastAsia="Calibri" w:hAnsi="Times New Roman" w:cs="Times New Roman"/>
          <w:b/>
          <w:bCs/>
          <w:sz w:val="26"/>
          <w:szCs w:val="26"/>
        </w:rPr>
      </w:pPr>
      <w:r w:rsidRPr="0047753C">
        <w:rPr>
          <w:rFonts w:ascii="Times New Roman" w:eastAsia="Calibri" w:hAnsi="Times New Roman" w:cs="Times New Roman"/>
          <w:b/>
          <w:bCs/>
          <w:sz w:val="26"/>
          <w:szCs w:val="26"/>
        </w:rPr>
        <w:t>9</w:t>
      </w:r>
      <w:r w:rsidRPr="0047753C">
        <w:rPr>
          <w:rFonts w:ascii="Times New Roman" w:eastAsia="Calibri" w:hAnsi="Times New Roman" w:cs="Times New Roman"/>
          <w:b/>
          <w:bCs/>
          <w:sz w:val="26"/>
          <w:szCs w:val="26"/>
        </w:rPr>
        <w:t>.</w:t>
      </w:r>
      <w:r w:rsidRPr="0047753C">
        <w:rPr>
          <w:rFonts w:ascii="Times New Roman" w:eastAsia="Calibri" w:hAnsi="Times New Roman" w:cs="Times New Roman"/>
          <w:bCs/>
          <w:sz w:val="26"/>
          <w:szCs w:val="26"/>
        </w:rPr>
        <w:t xml:space="preserve"> </w:t>
      </w:r>
      <w:r w:rsidRPr="0047753C">
        <w:rPr>
          <w:rFonts w:ascii="Times New Roman" w:eastAsia="Calibri" w:hAnsi="Times New Roman" w:cs="Times New Roman"/>
          <w:bCs/>
          <w:sz w:val="26"/>
          <w:szCs w:val="26"/>
        </w:rPr>
        <w:tab/>
      </w:r>
      <w:r w:rsidRPr="0047753C">
        <w:rPr>
          <w:rFonts w:ascii="Times New Roman" w:eastAsia="Calibri" w:hAnsi="Times New Roman" w:cs="Times New Roman"/>
          <w:b/>
          <w:bCs/>
          <w:sz w:val="26"/>
          <w:szCs w:val="26"/>
        </w:rPr>
        <w:t>EXPLAIN</w:t>
      </w:r>
      <w:r w:rsidRPr="0047753C">
        <w:rPr>
          <w:rFonts w:ascii="Times New Roman" w:eastAsia="Calibri" w:hAnsi="Times New Roman" w:cs="Times New Roman"/>
          <w:b/>
          <w:bCs/>
          <w:sz w:val="26"/>
          <w:szCs w:val="26"/>
        </w:rPr>
        <w:t xml:space="preserve"> ANY PAYMENT OR GIFTS TO RESPONDENTS</w:t>
      </w:r>
    </w:p>
    <w:p w:rsidR="00992466" w:rsidRPr="0047753C" w:rsidP="0047753C" w14:paraId="65C78FF3" w14:textId="5B90A306">
      <w:pPr>
        <w:rPr>
          <w:rFonts w:ascii="Times New Roman" w:eastAsia="Calibri" w:hAnsi="Times New Roman" w:cs="Times New Roman"/>
          <w:bCs/>
          <w:sz w:val="26"/>
          <w:szCs w:val="26"/>
        </w:rPr>
      </w:pPr>
      <w:r w:rsidRPr="0047753C">
        <w:rPr>
          <w:rFonts w:ascii="Times New Roman" w:eastAsia="Calibri" w:hAnsi="Times New Roman" w:cs="Times New Roman"/>
          <w:bCs/>
          <w:sz w:val="26"/>
          <w:szCs w:val="26"/>
        </w:rPr>
        <w:t xml:space="preserve">There are no payments or gifts </w:t>
      </w:r>
      <w:r w:rsidR="00280D05">
        <w:rPr>
          <w:rFonts w:ascii="Times New Roman" w:eastAsia="Calibri" w:hAnsi="Times New Roman" w:cs="Times New Roman"/>
          <w:bCs/>
          <w:sz w:val="26"/>
          <w:szCs w:val="26"/>
        </w:rPr>
        <w:t xml:space="preserve">for </w:t>
      </w:r>
      <w:r w:rsidR="00CD3FA3">
        <w:rPr>
          <w:rFonts w:ascii="Times New Roman" w:eastAsia="Calibri" w:hAnsi="Times New Roman" w:cs="Times New Roman"/>
          <w:bCs/>
          <w:sz w:val="26"/>
          <w:szCs w:val="26"/>
        </w:rPr>
        <w:t>FERC-</w:t>
      </w:r>
      <w:r w:rsidR="007A74C6">
        <w:rPr>
          <w:rFonts w:ascii="Times New Roman" w:eastAsia="Calibri" w:hAnsi="Times New Roman" w:cs="Times New Roman"/>
          <w:bCs/>
          <w:sz w:val="26"/>
          <w:szCs w:val="26"/>
        </w:rPr>
        <w:t>549E</w:t>
      </w:r>
      <w:r w:rsidR="00CD3FA3">
        <w:rPr>
          <w:rFonts w:ascii="Times New Roman" w:eastAsia="Calibri" w:hAnsi="Times New Roman" w:cs="Times New Roman"/>
          <w:bCs/>
          <w:sz w:val="26"/>
          <w:szCs w:val="26"/>
        </w:rPr>
        <w:t xml:space="preserve"> </w:t>
      </w:r>
      <w:r w:rsidRPr="0047753C">
        <w:rPr>
          <w:rFonts w:ascii="Times New Roman" w:eastAsia="Calibri" w:hAnsi="Times New Roman" w:cs="Times New Roman"/>
          <w:bCs/>
          <w:sz w:val="26"/>
          <w:szCs w:val="26"/>
        </w:rPr>
        <w:t>respondents.</w:t>
      </w:r>
    </w:p>
    <w:p w:rsidR="0047753C" w:rsidRPr="0047753C" w:rsidP="0047753C" w14:paraId="33EA4AE6" w14:textId="77777777">
      <w:pPr>
        <w:rPr>
          <w:rFonts w:ascii="Times New Roman" w:eastAsia="Calibri" w:hAnsi="Times New Roman" w:cs="Times New Roman"/>
          <w:b/>
          <w:bCs/>
          <w:sz w:val="26"/>
          <w:szCs w:val="26"/>
        </w:rPr>
      </w:pPr>
      <w:r w:rsidRPr="0047753C">
        <w:rPr>
          <w:rFonts w:ascii="Times New Roman" w:eastAsia="Calibri" w:hAnsi="Times New Roman" w:cs="Times New Roman"/>
          <w:b/>
          <w:bCs/>
          <w:sz w:val="26"/>
          <w:szCs w:val="26"/>
        </w:rPr>
        <w:t>10.</w:t>
      </w:r>
      <w:r w:rsidRPr="0047753C">
        <w:rPr>
          <w:rFonts w:ascii="Times New Roman" w:eastAsia="Calibri" w:hAnsi="Times New Roman" w:cs="Times New Roman"/>
          <w:bCs/>
          <w:sz w:val="26"/>
          <w:szCs w:val="26"/>
        </w:rPr>
        <w:tab/>
      </w:r>
      <w:r w:rsidRPr="0047753C">
        <w:rPr>
          <w:rFonts w:ascii="Times New Roman" w:eastAsia="Calibri" w:hAnsi="Times New Roman" w:cs="Times New Roman"/>
          <w:b/>
          <w:bCs/>
          <w:sz w:val="26"/>
          <w:szCs w:val="26"/>
        </w:rPr>
        <w:t>DESCRIBE ANY ASSURANCE OF CONFIDENTIALITY PROVIDED TO RESPONDENTS</w:t>
      </w:r>
    </w:p>
    <w:p w:rsidR="0047753C" w:rsidP="00831F20" w14:paraId="3E48296E" w14:textId="158C264F">
      <w:pPr>
        <w:spacing w:after="0"/>
        <w:rPr>
          <w:rFonts w:ascii="Times New Roman" w:eastAsia="Calibri" w:hAnsi="Times New Roman" w:cs="Times New Roman"/>
          <w:bCs/>
          <w:sz w:val="26"/>
          <w:szCs w:val="26"/>
        </w:rPr>
      </w:pPr>
      <w:r w:rsidRPr="0047753C">
        <w:rPr>
          <w:rFonts w:ascii="Times New Roman" w:eastAsia="Calibri" w:hAnsi="Times New Roman" w:cs="Times New Roman"/>
          <w:bCs/>
          <w:sz w:val="26"/>
          <w:szCs w:val="26"/>
        </w:rPr>
        <w:t xml:space="preserve">The Commission does not consider the information collected in the </w:t>
      </w:r>
      <w:r w:rsidR="00CD3FA3">
        <w:rPr>
          <w:rFonts w:ascii="Times New Roman" w:eastAsia="Calibri" w:hAnsi="Times New Roman" w:cs="Times New Roman"/>
          <w:bCs/>
          <w:sz w:val="26"/>
          <w:szCs w:val="26"/>
        </w:rPr>
        <w:t>FERC-</w:t>
      </w:r>
      <w:r w:rsidR="007A74C6">
        <w:rPr>
          <w:rFonts w:ascii="Times New Roman" w:eastAsia="Calibri" w:hAnsi="Times New Roman" w:cs="Times New Roman"/>
          <w:bCs/>
          <w:sz w:val="26"/>
          <w:szCs w:val="26"/>
        </w:rPr>
        <w:t>549E</w:t>
      </w:r>
      <w:r w:rsidR="00CD3FA3">
        <w:rPr>
          <w:rFonts w:ascii="Times New Roman" w:eastAsia="Calibri" w:hAnsi="Times New Roman" w:cs="Times New Roman"/>
          <w:bCs/>
          <w:sz w:val="26"/>
          <w:szCs w:val="26"/>
        </w:rPr>
        <w:t xml:space="preserve"> </w:t>
      </w:r>
      <w:r w:rsidRPr="0047753C">
        <w:rPr>
          <w:rFonts w:ascii="Times New Roman" w:eastAsia="Calibri" w:hAnsi="Times New Roman" w:cs="Times New Roman"/>
          <w:bCs/>
          <w:sz w:val="26"/>
          <w:szCs w:val="26"/>
        </w:rPr>
        <w:t>filings to be confidential.</w:t>
      </w:r>
      <w:r w:rsidR="004F42A8">
        <w:rPr>
          <w:rFonts w:ascii="Times New Roman" w:eastAsia="Calibri" w:hAnsi="Times New Roman" w:cs="Times New Roman"/>
          <w:bCs/>
          <w:sz w:val="26"/>
          <w:szCs w:val="26"/>
        </w:rPr>
        <w:t xml:space="preserve"> </w:t>
      </w:r>
      <w:r w:rsidRPr="0047753C">
        <w:rPr>
          <w:rFonts w:ascii="Times New Roman" w:eastAsia="Calibri" w:hAnsi="Times New Roman" w:cs="Times New Roman"/>
          <w:bCs/>
          <w:sz w:val="26"/>
          <w:szCs w:val="26"/>
        </w:rPr>
        <w:t>However, the Commission will consider specific requests for privileged treatment to the extent permitted by law pursuant to 18 CFR 388.112.</w:t>
      </w:r>
      <w:r w:rsidR="004F42A8">
        <w:rPr>
          <w:rFonts w:ascii="Times New Roman" w:eastAsia="Calibri" w:hAnsi="Times New Roman" w:cs="Times New Roman"/>
          <w:bCs/>
          <w:sz w:val="26"/>
          <w:szCs w:val="26"/>
        </w:rPr>
        <w:t xml:space="preserve"> </w:t>
      </w:r>
      <w:r w:rsidRPr="0047753C">
        <w:rPr>
          <w:rFonts w:ascii="Times New Roman" w:eastAsia="Calibri" w:hAnsi="Times New Roman" w:cs="Times New Roman"/>
          <w:bCs/>
          <w:sz w:val="26"/>
          <w:szCs w:val="26"/>
        </w:rPr>
        <w:t xml:space="preserve">The Commission will review each request for privileged treatment on a case-by-case basis. </w:t>
      </w:r>
    </w:p>
    <w:p w:rsidR="00992466" w:rsidRPr="0047753C" w:rsidP="0047753C" w14:paraId="716A2C90" w14:textId="77777777">
      <w:pPr>
        <w:rPr>
          <w:rFonts w:ascii="Times New Roman" w:eastAsia="Calibri" w:hAnsi="Times New Roman" w:cs="Times New Roman"/>
          <w:bCs/>
          <w:sz w:val="26"/>
          <w:szCs w:val="26"/>
        </w:rPr>
      </w:pPr>
    </w:p>
    <w:p w:rsidR="0047753C" w:rsidRPr="0047753C" w:rsidP="0047753C" w14:paraId="113C74B8" w14:textId="77777777">
      <w:pPr>
        <w:rPr>
          <w:rFonts w:ascii="Times New Roman" w:eastAsia="Calibri" w:hAnsi="Times New Roman" w:cs="Times New Roman"/>
          <w:b/>
          <w:bCs/>
          <w:sz w:val="26"/>
          <w:szCs w:val="26"/>
        </w:rPr>
      </w:pPr>
      <w:r w:rsidRPr="0047753C">
        <w:rPr>
          <w:rFonts w:ascii="Times New Roman" w:eastAsia="Calibri" w:hAnsi="Times New Roman" w:cs="Times New Roman"/>
          <w:b/>
          <w:bCs/>
          <w:sz w:val="26"/>
          <w:szCs w:val="26"/>
        </w:rPr>
        <w:t>11</w:t>
      </w:r>
      <w:r w:rsidRPr="0047753C">
        <w:rPr>
          <w:rFonts w:ascii="Times New Roman" w:eastAsia="Calibri" w:hAnsi="Times New Roman" w:cs="Times New Roman"/>
          <w:bCs/>
          <w:sz w:val="26"/>
          <w:szCs w:val="26"/>
        </w:rPr>
        <w:t>.</w:t>
      </w:r>
      <w:r w:rsidRPr="0047753C">
        <w:rPr>
          <w:rFonts w:ascii="Times New Roman" w:eastAsia="Calibri" w:hAnsi="Times New Roman" w:cs="Times New Roman"/>
          <w:bCs/>
          <w:sz w:val="26"/>
          <w:szCs w:val="26"/>
        </w:rPr>
        <w:tab/>
      </w:r>
      <w:r w:rsidRPr="0047753C">
        <w:rPr>
          <w:rFonts w:ascii="Times New Roman" w:eastAsia="Calibri" w:hAnsi="Times New Roman" w:cs="Times New Roman"/>
          <w:b/>
          <w:bCs/>
          <w:sz w:val="26"/>
          <w:szCs w:val="26"/>
        </w:rPr>
        <w:t>PROVIDE ADDITIONAL JUSTIFICATION FOR ANY QUESTIONS OF A SENSITIVE NATURE, SUCH AS SEXUAL BEHAVIOR AND ATTITUDES, RELIGIOUS BELIEFS, AND OTHER MATTERS THAT ARE COMMONLY CONSIDERED PRIVATE.</w:t>
      </w:r>
    </w:p>
    <w:p w:rsidR="0047753C" w:rsidP="00831F20" w14:paraId="5756799B" w14:textId="2B55DB15">
      <w:pPr>
        <w:spacing w:after="0"/>
        <w:rPr>
          <w:rFonts w:ascii="Times New Roman" w:eastAsia="Calibri" w:hAnsi="Times New Roman" w:cs="Times New Roman"/>
          <w:bCs/>
          <w:sz w:val="26"/>
          <w:szCs w:val="26"/>
        </w:rPr>
      </w:pPr>
      <w:r w:rsidRPr="0047753C">
        <w:rPr>
          <w:rFonts w:ascii="Times New Roman" w:eastAsia="Calibri" w:hAnsi="Times New Roman" w:cs="Times New Roman"/>
          <w:bCs/>
          <w:sz w:val="26"/>
          <w:szCs w:val="26"/>
        </w:rPr>
        <w:t xml:space="preserve">There are no questions of a sensitive nature in the </w:t>
      </w:r>
      <w:r w:rsidR="00280D05">
        <w:rPr>
          <w:rFonts w:ascii="Times New Roman" w:eastAsia="Calibri" w:hAnsi="Times New Roman" w:cs="Times New Roman"/>
          <w:bCs/>
          <w:sz w:val="26"/>
          <w:szCs w:val="26"/>
        </w:rPr>
        <w:t xml:space="preserve">requirements for the </w:t>
      </w:r>
      <w:r w:rsidR="00CD3FA3">
        <w:rPr>
          <w:rFonts w:ascii="Times New Roman" w:eastAsia="Calibri" w:hAnsi="Times New Roman" w:cs="Times New Roman"/>
          <w:bCs/>
          <w:sz w:val="26"/>
          <w:szCs w:val="26"/>
        </w:rPr>
        <w:t>FERC-</w:t>
      </w:r>
      <w:r w:rsidR="007A74C6">
        <w:rPr>
          <w:rFonts w:ascii="Times New Roman" w:eastAsia="Calibri" w:hAnsi="Times New Roman" w:cs="Times New Roman"/>
          <w:bCs/>
          <w:sz w:val="26"/>
          <w:szCs w:val="26"/>
        </w:rPr>
        <w:t>549E</w:t>
      </w:r>
      <w:r w:rsidRPr="0047753C">
        <w:rPr>
          <w:rFonts w:ascii="Times New Roman" w:eastAsia="Calibri" w:hAnsi="Times New Roman" w:cs="Times New Roman"/>
          <w:bCs/>
          <w:sz w:val="26"/>
          <w:szCs w:val="26"/>
        </w:rPr>
        <w:t xml:space="preserve">. </w:t>
      </w:r>
    </w:p>
    <w:p w:rsidR="00992466" w:rsidRPr="0047753C" w:rsidP="0047753C" w14:paraId="2B840314" w14:textId="77777777">
      <w:pPr>
        <w:rPr>
          <w:rFonts w:ascii="Times New Roman" w:eastAsia="Calibri" w:hAnsi="Times New Roman" w:cs="Times New Roman"/>
          <w:bCs/>
          <w:sz w:val="26"/>
          <w:szCs w:val="26"/>
        </w:rPr>
      </w:pPr>
    </w:p>
    <w:p w:rsidR="0047753C" w:rsidP="00854D6D" w14:paraId="0276F2F5" w14:textId="77777777">
      <w:pPr>
        <w:pStyle w:val="ListParagraph"/>
        <w:numPr>
          <w:ilvl w:val="0"/>
          <w:numId w:val="2"/>
        </w:numPr>
        <w:rPr>
          <w:rFonts w:ascii="Times New Roman" w:eastAsia="Calibri" w:hAnsi="Times New Roman" w:cs="Times New Roman"/>
          <w:b/>
          <w:bCs/>
          <w:sz w:val="26"/>
          <w:szCs w:val="26"/>
        </w:rPr>
      </w:pPr>
      <w:r w:rsidRPr="00854D6D">
        <w:rPr>
          <w:rFonts w:ascii="Times New Roman" w:eastAsia="Calibri" w:hAnsi="Times New Roman" w:cs="Times New Roman"/>
          <w:b/>
          <w:bCs/>
          <w:sz w:val="26"/>
          <w:szCs w:val="26"/>
        </w:rPr>
        <w:t>ESTIMATED BURDEN OF COLLECTION OF INFORMATION</w:t>
      </w:r>
    </w:p>
    <w:p w:rsidR="00A6786D" w:rsidP="00854D6D" w14:paraId="28534891" w14:textId="49FAB854">
      <w:pPr>
        <w:spacing w:line="240" w:lineRule="auto"/>
        <w:rPr>
          <w:rFonts w:ascii="Times New Roman" w:hAnsi="Times New Roman" w:cs="Times New Roman"/>
          <w:sz w:val="26"/>
          <w:szCs w:val="26"/>
        </w:rPr>
      </w:pPr>
      <w:r w:rsidRPr="00FC1DC6">
        <w:rPr>
          <w:rFonts w:ascii="Times New Roman" w:hAnsi="Times New Roman" w:cs="Times New Roman"/>
          <w:sz w:val="26"/>
          <w:szCs w:val="26"/>
        </w:rPr>
        <w:t xml:space="preserve">The table reflecting the changes </w:t>
      </w:r>
      <w:r w:rsidR="00B8381C">
        <w:rPr>
          <w:rFonts w:ascii="Times New Roman" w:hAnsi="Times New Roman" w:cs="Times New Roman"/>
          <w:sz w:val="26"/>
          <w:szCs w:val="26"/>
        </w:rPr>
        <w:t xml:space="preserve">for </w:t>
      </w:r>
      <w:r w:rsidRPr="001B1EDC" w:rsidR="001B1EDC">
        <w:rPr>
          <w:rFonts w:ascii="Times New Roman" w:eastAsia="Times New Roman" w:hAnsi="Times New Roman" w:cs="Times New Roman"/>
          <w:sz w:val="26"/>
          <w:szCs w:val="26"/>
        </w:rPr>
        <w:t>burden</w:t>
      </w:r>
      <w:r>
        <w:rPr>
          <w:rFonts w:ascii="Times New Roman" w:eastAsia="Times New Roman" w:hAnsi="Times New Roman" w:cs="Times New Roman"/>
          <w:sz w:val="26"/>
          <w:szCs w:val="26"/>
          <w:vertAlign w:val="superscript"/>
        </w:rPr>
        <w:footnoteReference w:id="20"/>
      </w:r>
      <w:r w:rsidRPr="001B1EDC" w:rsidR="001B1EDC">
        <w:rPr>
          <w:rFonts w:ascii="Times New Roman" w:eastAsia="Times New Roman" w:hAnsi="Times New Roman" w:cs="Times New Roman"/>
          <w:sz w:val="26"/>
          <w:szCs w:val="26"/>
        </w:rPr>
        <w:t xml:space="preserve"> and cost</w:t>
      </w:r>
      <w:r>
        <w:rPr>
          <w:rFonts w:ascii="Times New Roman" w:eastAsia="Calibri" w:hAnsi="Times New Roman" w:cs="Times New Roman"/>
          <w:b/>
          <w:bCs/>
          <w:sz w:val="26"/>
          <w:szCs w:val="26"/>
          <w:vertAlign w:val="superscript"/>
        </w:rPr>
        <w:footnoteReference w:id="21"/>
      </w:r>
      <w:r w:rsidRPr="09496FC2" w:rsidR="001B1EDC">
        <w:rPr>
          <w:rFonts w:ascii="Times New Roman" w:eastAsia="Calibri" w:hAnsi="Times New Roman" w:cs="Times New Roman"/>
          <w:b/>
          <w:bCs/>
          <w:sz w:val="26"/>
          <w:szCs w:val="26"/>
        </w:rPr>
        <w:t xml:space="preserve"> </w:t>
      </w:r>
      <w:r w:rsidRPr="00FC1DC6">
        <w:rPr>
          <w:rFonts w:ascii="Times New Roman" w:hAnsi="Times New Roman" w:cs="Times New Roman"/>
          <w:sz w:val="26"/>
          <w:szCs w:val="26"/>
        </w:rPr>
        <w:t>is as follows:</w:t>
      </w:r>
    </w:p>
    <w:p w:rsidR="00FB4397" w:rsidP="00854D6D" w14:paraId="2C8ADA50" w14:textId="77777777">
      <w:pPr>
        <w:spacing w:line="240" w:lineRule="auto"/>
        <w:rPr>
          <w:rFonts w:ascii="Times New Roman" w:hAnsi="Times New Roman" w:cs="Times New Roman"/>
          <w:sz w:val="26"/>
          <w:szCs w:val="26"/>
        </w:rPr>
      </w:pPr>
    </w:p>
    <w:tbl>
      <w:tblPr>
        <w:tblW w:w="941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34"/>
        <w:gridCol w:w="1211"/>
        <w:gridCol w:w="1129"/>
        <w:gridCol w:w="1026"/>
        <w:gridCol w:w="976"/>
        <w:gridCol w:w="2114"/>
        <w:gridCol w:w="1129"/>
      </w:tblGrid>
      <w:tr w14:paraId="30C50771" w14:textId="77777777" w:rsidTr="7C42EED3">
        <w:tblPrEx>
          <w:tblW w:w="941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83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FB4397" w:rsidRPr="00371005" w:rsidP="00FB4397" w14:paraId="5ACD37F4"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 </w:t>
            </w:r>
          </w:p>
        </w:tc>
        <w:tc>
          <w:tcPr>
            <w:tcW w:w="121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FB4397" w:rsidRPr="00371005" w:rsidP="00371005" w14:paraId="0DE86303" w14:textId="482099FD">
            <w:pPr>
              <w:spacing w:line="240" w:lineRule="auto"/>
              <w:jc w:val="center"/>
              <w:rPr>
                <w:rFonts w:ascii="Times New Roman" w:hAnsi="Times New Roman" w:cs="Times New Roman"/>
                <w:sz w:val="20"/>
                <w:szCs w:val="20"/>
              </w:rPr>
            </w:pPr>
            <w:r w:rsidRPr="00371005">
              <w:rPr>
                <w:rFonts w:ascii="Times New Roman" w:hAnsi="Times New Roman" w:cs="Times New Roman"/>
                <w:b/>
                <w:bCs/>
                <w:sz w:val="20"/>
                <w:szCs w:val="20"/>
              </w:rPr>
              <w:t>Number of Respondents</w:t>
            </w:r>
            <w:r w:rsidRPr="00371005">
              <w:rPr>
                <w:rFonts w:ascii="Times New Roman" w:hAnsi="Times New Roman" w:cs="Times New Roman"/>
                <w:sz w:val="20"/>
                <w:szCs w:val="20"/>
              </w:rPr>
              <w:t> </w:t>
            </w:r>
            <w:r w:rsidRPr="00371005">
              <w:rPr>
                <w:rFonts w:ascii="Times New Roman" w:hAnsi="Times New Roman" w:cs="Times New Roman"/>
                <w:sz w:val="20"/>
                <w:szCs w:val="20"/>
              </w:rPr>
              <w:br/>
            </w:r>
            <w:r w:rsidRPr="00371005">
              <w:rPr>
                <w:rFonts w:ascii="Times New Roman" w:hAnsi="Times New Roman" w:cs="Times New Roman"/>
                <w:b/>
                <w:bCs/>
                <w:sz w:val="20"/>
                <w:szCs w:val="20"/>
              </w:rPr>
              <w:t>(1)</w:t>
            </w:r>
          </w:p>
        </w:tc>
        <w:tc>
          <w:tcPr>
            <w:tcW w:w="112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FB4397" w:rsidRPr="00371005" w:rsidP="00371005" w14:paraId="272B15A0" w14:textId="25C04A7A">
            <w:pPr>
              <w:spacing w:line="240" w:lineRule="auto"/>
              <w:jc w:val="center"/>
              <w:rPr>
                <w:rFonts w:ascii="Times New Roman" w:hAnsi="Times New Roman" w:cs="Times New Roman"/>
                <w:sz w:val="20"/>
                <w:szCs w:val="20"/>
              </w:rPr>
            </w:pPr>
            <w:r w:rsidRPr="00371005">
              <w:rPr>
                <w:rFonts w:ascii="Times New Roman" w:hAnsi="Times New Roman" w:cs="Times New Roman"/>
                <w:b/>
                <w:bCs/>
                <w:sz w:val="20"/>
                <w:szCs w:val="20"/>
              </w:rPr>
              <w:t>Annual Number of Responses per Respondent</w:t>
            </w:r>
          </w:p>
          <w:p w:rsidR="00FB4397" w:rsidRPr="00371005" w:rsidP="00371005" w14:paraId="3AE9630F" w14:textId="5CF5F818">
            <w:pPr>
              <w:spacing w:line="240" w:lineRule="auto"/>
              <w:jc w:val="center"/>
              <w:rPr>
                <w:rFonts w:ascii="Times New Roman" w:hAnsi="Times New Roman" w:cs="Times New Roman"/>
                <w:sz w:val="20"/>
                <w:szCs w:val="20"/>
              </w:rPr>
            </w:pPr>
            <w:r w:rsidRPr="00371005">
              <w:rPr>
                <w:rFonts w:ascii="Times New Roman" w:hAnsi="Times New Roman" w:cs="Times New Roman"/>
                <w:b/>
                <w:bCs/>
                <w:sz w:val="20"/>
                <w:szCs w:val="20"/>
              </w:rPr>
              <w:t>(2)</w:t>
            </w:r>
          </w:p>
        </w:tc>
        <w:tc>
          <w:tcPr>
            <w:tcW w:w="102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FB4397" w:rsidRPr="00371005" w:rsidP="00371005" w14:paraId="2689F850" w14:textId="633B9F63">
            <w:pPr>
              <w:spacing w:line="240" w:lineRule="auto"/>
              <w:jc w:val="center"/>
              <w:rPr>
                <w:rFonts w:ascii="Times New Roman" w:hAnsi="Times New Roman" w:cs="Times New Roman"/>
                <w:sz w:val="20"/>
                <w:szCs w:val="20"/>
              </w:rPr>
            </w:pPr>
            <w:r w:rsidRPr="00371005">
              <w:rPr>
                <w:rFonts w:ascii="Times New Roman" w:hAnsi="Times New Roman" w:cs="Times New Roman"/>
                <w:b/>
                <w:bCs/>
                <w:sz w:val="20"/>
                <w:szCs w:val="20"/>
              </w:rPr>
              <w:t>Total Number of Responses (</w:t>
            </w:r>
            <w:r w:rsidRPr="00371005">
              <w:rPr>
                <w:rFonts w:ascii="Times New Roman" w:hAnsi="Times New Roman" w:cs="Times New Roman"/>
                <w:b/>
                <w:bCs/>
                <w:sz w:val="20"/>
                <w:szCs w:val="20"/>
              </w:rPr>
              <w:t>1)*</w:t>
            </w:r>
            <w:r w:rsidRPr="00371005">
              <w:rPr>
                <w:rFonts w:ascii="Times New Roman" w:hAnsi="Times New Roman" w:cs="Times New Roman"/>
                <w:b/>
                <w:bCs/>
                <w:sz w:val="20"/>
                <w:szCs w:val="20"/>
              </w:rPr>
              <w:t>(</w:t>
            </w:r>
            <w:r w:rsidRPr="00371005">
              <w:rPr>
                <w:rFonts w:ascii="Times New Roman" w:hAnsi="Times New Roman" w:cs="Times New Roman"/>
                <w:b/>
                <w:bCs/>
                <w:sz w:val="20"/>
                <w:szCs w:val="20"/>
              </w:rPr>
              <w:t>2)=</w:t>
            </w:r>
            <w:r w:rsidRPr="00371005">
              <w:rPr>
                <w:rFonts w:ascii="Times New Roman" w:hAnsi="Times New Roman" w:cs="Times New Roman"/>
                <w:b/>
                <w:bCs/>
                <w:sz w:val="20"/>
                <w:szCs w:val="20"/>
              </w:rPr>
              <w:t>(3)</w:t>
            </w:r>
          </w:p>
        </w:tc>
        <w:tc>
          <w:tcPr>
            <w:tcW w:w="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FB4397" w:rsidRPr="00371005" w:rsidP="00371005" w14:paraId="1607E1F1" w14:textId="31D87AE6">
            <w:pPr>
              <w:spacing w:line="240" w:lineRule="auto"/>
              <w:jc w:val="center"/>
              <w:rPr>
                <w:rFonts w:ascii="Times New Roman" w:hAnsi="Times New Roman" w:cs="Times New Roman"/>
                <w:sz w:val="20"/>
                <w:szCs w:val="20"/>
              </w:rPr>
            </w:pPr>
            <w:r w:rsidRPr="00371005">
              <w:rPr>
                <w:rFonts w:ascii="Times New Roman" w:hAnsi="Times New Roman" w:cs="Times New Roman"/>
                <w:b/>
                <w:bCs/>
                <w:sz w:val="20"/>
                <w:szCs w:val="20"/>
              </w:rPr>
              <w:t>Average Burden &amp; Cost Per Response</w:t>
            </w:r>
          </w:p>
          <w:p w:rsidR="00FB4397" w:rsidRPr="00371005" w:rsidP="00371005" w14:paraId="47739BF7" w14:textId="2107E7C2">
            <w:pPr>
              <w:spacing w:line="240" w:lineRule="auto"/>
              <w:jc w:val="center"/>
              <w:rPr>
                <w:rFonts w:ascii="Times New Roman" w:hAnsi="Times New Roman" w:cs="Times New Roman"/>
                <w:sz w:val="20"/>
                <w:szCs w:val="20"/>
              </w:rPr>
            </w:pPr>
            <w:r w:rsidRPr="00371005">
              <w:rPr>
                <w:rFonts w:ascii="Times New Roman" w:hAnsi="Times New Roman" w:cs="Times New Roman"/>
                <w:b/>
                <w:bCs/>
                <w:sz w:val="20"/>
                <w:szCs w:val="20"/>
              </w:rPr>
              <w:t>(4)</w:t>
            </w:r>
          </w:p>
        </w:tc>
        <w:tc>
          <w:tcPr>
            <w:tcW w:w="211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FB4397" w:rsidRPr="00371005" w:rsidP="00371005" w14:paraId="39331C29" w14:textId="4752C0C3">
            <w:pPr>
              <w:spacing w:line="240" w:lineRule="auto"/>
              <w:jc w:val="center"/>
              <w:rPr>
                <w:rFonts w:ascii="Times New Roman" w:hAnsi="Times New Roman" w:cs="Times New Roman"/>
                <w:sz w:val="20"/>
                <w:szCs w:val="20"/>
              </w:rPr>
            </w:pPr>
            <w:r w:rsidRPr="00371005">
              <w:rPr>
                <w:rFonts w:ascii="Times New Roman" w:hAnsi="Times New Roman" w:cs="Times New Roman"/>
                <w:b/>
                <w:bCs/>
                <w:sz w:val="20"/>
                <w:szCs w:val="20"/>
              </w:rPr>
              <w:t>Total Annual Burden Hours &amp; Total Annual Cost</w:t>
            </w:r>
          </w:p>
          <w:p w:rsidR="00FB4397" w:rsidRPr="00371005" w:rsidP="00371005" w14:paraId="78CC2B08" w14:textId="4CB9E287">
            <w:pPr>
              <w:spacing w:line="240" w:lineRule="auto"/>
              <w:jc w:val="center"/>
              <w:rPr>
                <w:rFonts w:ascii="Times New Roman" w:hAnsi="Times New Roman" w:cs="Times New Roman"/>
                <w:sz w:val="20"/>
                <w:szCs w:val="20"/>
              </w:rPr>
            </w:pPr>
            <w:r w:rsidRPr="00371005">
              <w:rPr>
                <w:rFonts w:ascii="Times New Roman" w:hAnsi="Times New Roman" w:cs="Times New Roman"/>
                <w:b/>
                <w:bCs/>
                <w:sz w:val="20"/>
                <w:szCs w:val="20"/>
              </w:rPr>
              <w:t>(</w:t>
            </w:r>
            <w:r w:rsidRPr="00371005">
              <w:rPr>
                <w:rFonts w:ascii="Times New Roman" w:hAnsi="Times New Roman" w:cs="Times New Roman"/>
                <w:b/>
                <w:bCs/>
                <w:sz w:val="20"/>
                <w:szCs w:val="20"/>
              </w:rPr>
              <w:t>3)*</w:t>
            </w:r>
            <w:r w:rsidRPr="00371005">
              <w:rPr>
                <w:rFonts w:ascii="Times New Roman" w:hAnsi="Times New Roman" w:cs="Times New Roman"/>
                <w:b/>
                <w:bCs/>
                <w:sz w:val="20"/>
                <w:szCs w:val="20"/>
              </w:rPr>
              <w:t>(</w:t>
            </w:r>
            <w:r w:rsidRPr="00371005">
              <w:rPr>
                <w:rFonts w:ascii="Times New Roman" w:hAnsi="Times New Roman" w:cs="Times New Roman"/>
                <w:b/>
                <w:bCs/>
                <w:sz w:val="20"/>
                <w:szCs w:val="20"/>
              </w:rPr>
              <w:t>4)=</w:t>
            </w:r>
            <w:r w:rsidRPr="00371005">
              <w:rPr>
                <w:rFonts w:ascii="Times New Roman" w:hAnsi="Times New Roman" w:cs="Times New Roman"/>
                <w:b/>
                <w:bCs/>
                <w:sz w:val="20"/>
                <w:szCs w:val="20"/>
              </w:rPr>
              <w:t>(5)</w:t>
            </w:r>
          </w:p>
        </w:tc>
        <w:tc>
          <w:tcPr>
            <w:tcW w:w="112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FB4397" w:rsidRPr="00371005" w:rsidP="00371005" w14:paraId="4B9BBF73" w14:textId="12342392">
            <w:pPr>
              <w:spacing w:line="240" w:lineRule="auto"/>
              <w:jc w:val="center"/>
              <w:rPr>
                <w:rFonts w:ascii="Times New Roman" w:hAnsi="Times New Roman" w:cs="Times New Roman"/>
                <w:sz w:val="20"/>
                <w:szCs w:val="20"/>
              </w:rPr>
            </w:pPr>
            <w:r w:rsidRPr="00371005">
              <w:rPr>
                <w:rFonts w:ascii="Times New Roman" w:hAnsi="Times New Roman" w:cs="Times New Roman"/>
                <w:b/>
                <w:bCs/>
                <w:sz w:val="20"/>
                <w:szCs w:val="20"/>
              </w:rPr>
              <w:t>Cost per Respondent</w:t>
            </w:r>
          </w:p>
          <w:p w:rsidR="00FB4397" w:rsidRPr="00371005" w:rsidP="00371005" w14:paraId="310C8E32" w14:textId="007FC0D5">
            <w:pPr>
              <w:spacing w:line="240" w:lineRule="auto"/>
              <w:jc w:val="center"/>
              <w:rPr>
                <w:rFonts w:ascii="Times New Roman" w:hAnsi="Times New Roman" w:cs="Times New Roman"/>
                <w:sz w:val="20"/>
                <w:szCs w:val="20"/>
              </w:rPr>
            </w:pPr>
            <w:r w:rsidRPr="00371005">
              <w:rPr>
                <w:rFonts w:ascii="Times New Roman" w:hAnsi="Times New Roman" w:cs="Times New Roman"/>
                <w:b/>
                <w:bCs/>
                <w:sz w:val="20"/>
                <w:szCs w:val="20"/>
              </w:rPr>
              <w:t>($)</w:t>
            </w:r>
          </w:p>
          <w:p w:rsidR="00FB4397" w:rsidRPr="00371005" w:rsidP="00371005" w14:paraId="49B7F1D3" w14:textId="4015678C">
            <w:pPr>
              <w:spacing w:line="240" w:lineRule="auto"/>
              <w:jc w:val="center"/>
              <w:rPr>
                <w:rFonts w:ascii="Times New Roman" w:hAnsi="Times New Roman" w:cs="Times New Roman"/>
                <w:sz w:val="20"/>
                <w:szCs w:val="20"/>
              </w:rPr>
            </w:pPr>
            <w:r w:rsidRPr="00371005">
              <w:rPr>
                <w:rFonts w:ascii="Times New Roman" w:hAnsi="Times New Roman" w:cs="Times New Roman"/>
                <w:b/>
                <w:bCs/>
                <w:sz w:val="20"/>
                <w:szCs w:val="20"/>
              </w:rPr>
              <w:t>(</w:t>
            </w:r>
            <w:r w:rsidRPr="00371005">
              <w:rPr>
                <w:rFonts w:ascii="Times New Roman" w:hAnsi="Times New Roman" w:cs="Times New Roman"/>
                <w:b/>
                <w:bCs/>
                <w:sz w:val="20"/>
                <w:szCs w:val="20"/>
              </w:rPr>
              <w:t>5)÷</w:t>
            </w:r>
            <w:r w:rsidRPr="00371005">
              <w:rPr>
                <w:rFonts w:ascii="Times New Roman" w:hAnsi="Times New Roman" w:cs="Times New Roman"/>
                <w:b/>
                <w:bCs/>
                <w:sz w:val="20"/>
                <w:szCs w:val="20"/>
              </w:rPr>
              <w:t>(1)</w:t>
            </w:r>
          </w:p>
        </w:tc>
      </w:tr>
      <w:tr w14:paraId="6138D26C" w14:textId="77777777" w:rsidTr="7C42EED3">
        <w:tblPrEx>
          <w:tblW w:w="9419" w:type="dxa"/>
          <w:tblInd w:w="-75" w:type="dxa"/>
          <w:tblCellMar>
            <w:left w:w="0" w:type="dxa"/>
            <w:right w:w="0" w:type="dxa"/>
          </w:tblCellMar>
          <w:tblLook w:val="04A0"/>
        </w:tblPrEx>
        <w:trPr>
          <w:trHeight w:val="90"/>
        </w:trPr>
        <w:tc>
          <w:tcPr>
            <w:tcW w:w="9419"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FB4397" w:rsidRPr="00371005" w:rsidP="00FB4397" w14:paraId="1A2A3B7C" w14:textId="545E6AA0">
            <w:pPr>
              <w:spacing w:line="240" w:lineRule="auto"/>
              <w:rPr>
                <w:rFonts w:ascii="Times New Roman" w:hAnsi="Times New Roman" w:cs="Times New Roman"/>
                <w:sz w:val="20"/>
                <w:szCs w:val="20"/>
              </w:rPr>
            </w:pPr>
            <w:r w:rsidRPr="7C42EED3">
              <w:rPr>
                <w:rFonts w:ascii="Times New Roman" w:hAnsi="Times New Roman" w:cs="Times New Roman"/>
                <w:b/>
                <w:bCs/>
                <w:sz w:val="20"/>
                <w:szCs w:val="20"/>
              </w:rPr>
              <w:t>FERC 549E: Price Index Data Providers and Developers</w:t>
            </w:r>
            <w:r w:rsidRPr="7C42EED3">
              <w:rPr>
                <w:rFonts w:ascii="Times New Roman" w:hAnsi="Times New Roman" w:cs="Times New Roman"/>
                <w:sz w:val="20"/>
                <w:szCs w:val="20"/>
              </w:rPr>
              <w:t> </w:t>
            </w:r>
          </w:p>
        </w:tc>
      </w:tr>
      <w:tr w14:paraId="3BF2FDE5" w14:textId="77777777" w:rsidTr="7C42EED3">
        <w:tblPrEx>
          <w:tblW w:w="9419" w:type="dxa"/>
          <w:tblInd w:w="-75" w:type="dxa"/>
          <w:tblCellMar>
            <w:left w:w="0" w:type="dxa"/>
            <w:right w:w="0" w:type="dxa"/>
          </w:tblCellMar>
          <w:tblLook w:val="04A0"/>
        </w:tblPrEx>
        <w:trPr>
          <w:trHeight w:val="300"/>
        </w:trPr>
        <w:tc>
          <w:tcPr>
            <w:tcW w:w="1834" w:type="dxa"/>
            <w:tcBorders>
              <w:top w:val="single" w:sz="6" w:space="0" w:color="auto"/>
              <w:left w:val="single" w:sz="6" w:space="0" w:color="auto"/>
              <w:bottom w:val="single" w:sz="6" w:space="0" w:color="auto"/>
              <w:right w:val="single" w:sz="6" w:space="0" w:color="auto"/>
            </w:tcBorders>
            <w:hideMark/>
          </w:tcPr>
          <w:p w:rsidR="00FB4397" w:rsidRPr="00371005" w:rsidP="00FB4397" w14:paraId="5BED52EC" w14:textId="69D43993">
            <w:pPr>
              <w:spacing w:line="240" w:lineRule="auto"/>
              <w:rPr>
                <w:rFonts w:ascii="Times New Roman" w:hAnsi="Times New Roman" w:cs="Times New Roman"/>
                <w:sz w:val="20"/>
                <w:szCs w:val="20"/>
              </w:rPr>
            </w:pPr>
            <w:r w:rsidRPr="00371005">
              <w:rPr>
                <w:rFonts w:ascii="Times New Roman" w:hAnsi="Times New Roman" w:cs="Times New Roman"/>
                <w:sz w:val="20"/>
                <w:szCs w:val="20"/>
              </w:rPr>
              <w:t>Data providers (and their affiliates) report Next Day Transactions</w:t>
            </w:r>
            <w:r>
              <w:rPr>
                <w:rStyle w:val="FootnoteReference"/>
                <w:rFonts w:ascii="Times New Roman" w:hAnsi="Times New Roman" w:cs="Times New Roman"/>
                <w:sz w:val="20"/>
                <w:szCs w:val="20"/>
              </w:rPr>
              <w:footnoteReference w:id="22"/>
            </w:r>
            <w:r w:rsidRPr="00371005">
              <w:rPr>
                <w:rFonts w:ascii="Times New Roman" w:hAnsi="Times New Roman" w:cs="Times New Roman"/>
                <w:sz w:val="20"/>
                <w:szCs w:val="20"/>
              </w:rPr>
              <w:t> </w:t>
            </w:r>
          </w:p>
        </w:tc>
        <w:tc>
          <w:tcPr>
            <w:tcW w:w="1211" w:type="dxa"/>
            <w:tcBorders>
              <w:top w:val="single" w:sz="6" w:space="0" w:color="auto"/>
              <w:left w:val="single" w:sz="6" w:space="0" w:color="auto"/>
              <w:bottom w:val="single" w:sz="6" w:space="0" w:color="auto"/>
              <w:right w:val="single" w:sz="6" w:space="0" w:color="auto"/>
            </w:tcBorders>
            <w:hideMark/>
          </w:tcPr>
          <w:p w:rsidR="00FB4397" w:rsidRPr="00371005" w:rsidP="00FB4397" w14:paraId="3A9311D5"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76 </w:t>
            </w:r>
          </w:p>
        </w:tc>
        <w:tc>
          <w:tcPr>
            <w:tcW w:w="1129" w:type="dxa"/>
            <w:tcBorders>
              <w:top w:val="single" w:sz="6" w:space="0" w:color="auto"/>
              <w:left w:val="single" w:sz="6" w:space="0" w:color="auto"/>
              <w:bottom w:val="single" w:sz="6" w:space="0" w:color="auto"/>
              <w:right w:val="single" w:sz="6" w:space="0" w:color="auto"/>
            </w:tcBorders>
            <w:hideMark/>
          </w:tcPr>
          <w:p w:rsidR="00FB4397" w:rsidRPr="00371005" w:rsidP="00FB4397" w14:paraId="371FFA03"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249 </w:t>
            </w:r>
          </w:p>
        </w:tc>
        <w:tc>
          <w:tcPr>
            <w:tcW w:w="1026" w:type="dxa"/>
            <w:tcBorders>
              <w:top w:val="single" w:sz="6" w:space="0" w:color="auto"/>
              <w:left w:val="single" w:sz="6" w:space="0" w:color="auto"/>
              <w:bottom w:val="single" w:sz="6" w:space="0" w:color="auto"/>
              <w:right w:val="single" w:sz="6" w:space="0" w:color="auto"/>
            </w:tcBorders>
            <w:hideMark/>
          </w:tcPr>
          <w:p w:rsidR="00FB4397" w:rsidRPr="00371005" w:rsidP="00FB4397" w14:paraId="60C71290"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18,924 </w:t>
            </w:r>
          </w:p>
        </w:tc>
        <w:tc>
          <w:tcPr>
            <w:tcW w:w="976" w:type="dxa"/>
            <w:tcBorders>
              <w:top w:val="single" w:sz="6" w:space="0" w:color="auto"/>
              <w:left w:val="single" w:sz="6" w:space="0" w:color="auto"/>
              <w:bottom w:val="single" w:sz="6" w:space="0" w:color="auto"/>
              <w:right w:val="single" w:sz="6" w:space="0" w:color="auto"/>
            </w:tcBorders>
            <w:hideMark/>
          </w:tcPr>
          <w:p w:rsidR="00FB4397" w:rsidRPr="00371005" w:rsidP="00FB4397" w14:paraId="50201779"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4 </w:t>
            </w:r>
            <w:r w:rsidRPr="00371005">
              <w:rPr>
                <w:rFonts w:ascii="Times New Roman" w:hAnsi="Times New Roman" w:cs="Times New Roman"/>
                <w:sz w:val="20"/>
                <w:szCs w:val="20"/>
              </w:rPr>
              <w:t>hrs.;</w:t>
            </w:r>
            <w:r w:rsidRPr="00371005">
              <w:rPr>
                <w:rFonts w:ascii="Times New Roman" w:hAnsi="Times New Roman" w:cs="Times New Roman"/>
                <w:sz w:val="20"/>
                <w:szCs w:val="20"/>
              </w:rPr>
              <w:t> </w:t>
            </w:r>
          </w:p>
          <w:p w:rsidR="00FB4397" w:rsidRPr="00371005" w:rsidP="00FB4397" w14:paraId="7A314BC7"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$412 </w:t>
            </w:r>
          </w:p>
        </w:tc>
        <w:tc>
          <w:tcPr>
            <w:tcW w:w="2114" w:type="dxa"/>
            <w:tcBorders>
              <w:top w:val="single" w:sz="6" w:space="0" w:color="auto"/>
              <w:left w:val="single" w:sz="6" w:space="0" w:color="auto"/>
              <w:bottom w:val="single" w:sz="6" w:space="0" w:color="auto"/>
              <w:right w:val="single" w:sz="6" w:space="0" w:color="auto"/>
            </w:tcBorders>
            <w:hideMark/>
          </w:tcPr>
          <w:p w:rsidR="00FB4397" w:rsidRPr="00371005" w:rsidP="00FB4397" w14:paraId="503514CB"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75,696 </w:t>
            </w:r>
            <w:r w:rsidRPr="00371005">
              <w:rPr>
                <w:rFonts w:ascii="Times New Roman" w:hAnsi="Times New Roman" w:cs="Times New Roman"/>
                <w:sz w:val="20"/>
                <w:szCs w:val="20"/>
              </w:rPr>
              <w:t>hrs.;</w:t>
            </w:r>
            <w:r w:rsidRPr="00371005">
              <w:rPr>
                <w:rFonts w:ascii="Times New Roman" w:hAnsi="Times New Roman" w:cs="Times New Roman"/>
                <w:sz w:val="20"/>
                <w:szCs w:val="20"/>
              </w:rPr>
              <w:t> </w:t>
            </w:r>
          </w:p>
          <w:p w:rsidR="00FB4397" w:rsidRPr="00371005" w:rsidP="00FB4397" w14:paraId="1F6B8132"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$7,796,688 </w:t>
            </w:r>
          </w:p>
        </w:tc>
        <w:tc>
          <w:tcPr>
            <w:tcW w:w="1129" w:type="dxa"/>
            <w:tcBorders>
              <w:top w:val="single" w:sz="6" w:space="0" w:color="auto"/>
              <w:left w:val="single" w:sz="6" w:space="0" w:color="auto"/>
              <w:bottom w:val="single" w:sz="6" w:space="0" w:color="auto"/>
              <w:right w:val="single" w:sz="6" w:space="0" w:color="auto"/>
            </w:tcBorders>
            <w:hideMark/>
          </w:tcPr>
          <w:p w:rsidR="00FB4397" w:rsidRPr="00371005" w:rsidP="00FB4397" w14:paraId="7A481FA5"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$102,588 </w:t>
            </w:r>
          </w:p>
        </w:tc>
      </w:tr>
      <w:tr w14:paraId="066C848E" w14:textId="77777777" w:rsidTr="7C42EED3">
        <w:tblPrEx>
          <w:tblW w:w="9419" w:type="dxa"/>
          <w:tblInd w:w="-75" w:type="dxa"/>
          <w:tblCellMar>
            <w:left w:w="0" w:type="dxa"/>
            <w:right w:w="0" w:type="dxa"/>
          </w:tblCellMar>
          <w:tblLook w:val="04A0"/>
        </w:tblPrEx>
        <w:trPr>
          <w:trHeight w:val="300"/>
        </w:trPr>
        <w:tc>
          <w:tcPr>
            <w:tcW w:w="1834" w:type="dxa"/>
            <w:tcBorders>
              <w:top w:val="single" w:sz="6" w:space="0" w:color="auto"/>
              <w:left w:val="single" w:sz="6" w:space="0" w:color="auto"/>
              <w:bottom w:val="single" w:sz="6" w:space="0" w:color="auto"/>
              <w:right w:val="single" w:sz="6" w:space="0" w:color="auto"/>
            </w:tcBorders>
            <w:hideMark/>
          </w:tcPr>
          <w:p w:rsidR="00FB4397" w:rsidRPr="00371005" w:rsidP="00FB4397" w14:paraId="740304E4"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Data Providers-perform biennial self-audit (not annual) </w:t>
            </w:r>
          </w:p>
        </w:tc>
        <w:tc>
          <w:tcPr>
            <w:tcW w:w="1211" w:type="dxa"/>
            <w:tcBorders>
              <w:top w:val="single" w:sz="6" w:space="0" w:color="auto"/>
              <w:left w:val="single" w:sz="6" w:space="0" w:color="auto"/>
              <w:bottom w:val="single" w:sz="6" w:space="0" w:color="auto"/>
              <w:right w:val="single" w:sz="6" w:space="0" w:color="auto"/>
            </w:tcBorders>
            <w:hideMark/>
          </w:tcPr>
          <w:p w:rsidR="00FB4397" w:rsidRPr="00371005" w:rsidP="00FB4397" w14:paraId="32DFA2B4"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96 </w:t>
            </w:r>
          </w:p>
        </w:tc>
        <w:tc>
          <w:tcPr>
            <w:tcW w:w="1129" w:type="dxa"/>
            <w:tcBorders>
              <w:top w:val="single" w:sz="6" w:space="0" w:color="auto"/>
              <w:left w:val="single" w:sz="6" w:space="0" w:color="auto"/>
              <w:bottom w:val="single" w:sz="6" w:space="0" w:color="auto"/>
              <w:right w:val="single" w:sz="6" w:space="0" w:color="auto"/>
            </w:tcBorders>
            <w:hideMark/>
          </w:tcPr>
          <w:p w:rsidR="00FB4397" w:rsidRPr="00371005" w:rsidP="00FB4397" w14:paraId="4871A13E"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.5 </w:t>
            </w:r>
          </w:p>
        </w:tc>
        <w:tc>
          <w:tcPr>
            <w:tcW w:w="1026" w:type="dxa"/>
            <w:tcBorders>
              <w:top w:val="single" w:sz="6" w:space="0" w:color="auto"/>
              <w:left w:val="single" w:sz="6" w:space="0" w:color="auto"/>
              <w:bottom w:val="single" w:sz="6" w:space="0" w:color="auto"/>
              <w:right w:val="single" w:sz="6" w:space="0" w:color="auto"/>
            </w:tcBorders>
            <w:hideMark/>
          </w:tcPr>
          <w:p w:rsidR="00FB4397" w:rsidRPr="00371005" w:rsidP="00FB4397" w14:paraId="4A4396CC"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48 </w:t>
            </w:r>
          </w:p>
        </w:tc>
        <w:tc>
          <w:tcPr>
            <w:tcW w:w="976" w:type="dxa"/>
            <w:tcBorders>
              <w:top w:val="single" w:sz="6" w:space="0" w:color="auto"/>
              <w:left w:val="single" w:sz="6" w:space="0" w:color="auto"/>
              <w:bottom w:val="single" w:sz="6" w:space="0" w:color="auto"/>
              <w:right w:val="single" w:sz="6" w:space="0" w:color="auto"/>
            </w:tcBorders>
            <w:hideMark/>
          </w:tcPr>
          <w:p w:rsidR="00FB4397" w:rsidRPr="00371005" w:rsidP="00FB4397" w14:paraId="1DFCF0B2"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80 </w:t>
            </w:r>
            <w:r w:rsidRPr="00371005">
              <w:rPr>
                <w:rFonts w:ascii="Times New Roman" w:hAnsi="Times New Roman" w:cs="Times New Roman"/>
                <w:sz w:val="20"/>
                <w:szCs w:val="20"/>
              </w:rPr>
              <w:t>hrs.;</w:t>
            </w:r>
            <w:r w:rsidRPr="00371005">
              <w:rPr>
                <w:rFonts w:ascii="Times New Roman" w:hAnsi="Times New Roman" w:cs="Times New Roman"/>
                <w:sz w:val="20"/>
                <w:szCs w:val="20"/>
              </w:rPr>
              <w:t> </w:t>
            </w:r>
          </w:p>
          <w:p w:rsidR="00FB4397" w:rsidRPr="00371005" w:rsidP="00FB4397" w14:paraId="0BAA9550"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$8,240 </w:t>
            </w:r>
          </w:p>
        </w:tc>
        <w:tc>
          <w:tcPr>
            <w:tcW w:w="2114" w:type="dxa"/>
            <w:tcBorders>
              <w:top w:val="single" w:sz="6" w:space="0" w:color="auto"/>
              <w:left w:val="single" w:sz="6" w:space="0" w:color="auto"/>
              <w:bottom w:val="single" w:sz="6" w:space="0" w:color="auto"/>
              <w:right w:val="single" w:sz="6" w:space="0" w:color="auto"/>
            </w:tcBorders>
            <w:hideMark/>
          </w:tcPr>
          <w:p w:rsidR="00FB4397" w:rsidRPr="00371005" w:rsidP="00FB4397" w14:paraId="2A2EDDD4"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3,840 </w:t>
            </w:r>
            <w:r w:rsidRPr="00371005">
              <w:rPr>
                <w:rFonts w:ascii="Times New Roman" w:hAnsi="Times New Roman" w:cs="Times New Roman"/>
                <w:sz w:val="20"/>
                <w:szCs w:val="20"/>
              </w:rPr>
              <w:t>hrs.;</w:t>
            </w:r>
            <w:r w:rsidRPr="00371005">
              <w:rPr>
                <w:rFonts w:ascii="Times New Roman" w:hAnsi="Times New Roman" w:cs="Times New Roman"/>
                <w:sz w:val="20"/>
                <w:szCs w:val="20"/>
              </w:rPr>
              <w:t> </w:t>
            </w:r>
          </w:p>
          <w:p w:rsidR="00FB4397" w:rsidRPr="00371005" w:rsidP="00FB4397" w14:paraId="6300D798"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$395,520 </w:t>
            </w:r>
          </w:p>
        </w:tc>
        <w:tc>
          <w:tcPr>
            <w:tcW w:w="1129" w:type="dxa"/>
            <w:tcBorders>
              <w:top w:val="single" w:sz="6" w:space="0" w:color="auto"/>
              <w:left w:val="single" w:sz="6" w:space="0" w:color="auto"/>
              <w:bottom w:val="single" w:sz="6" w:space="0" w:color="auto"/>
              <w:right w:val="single" w:sz="6" w:space="0" w:color="auto"/>
            </w:tcBorders>
            <w:hideMark/>
          </w:tcPr>
          <w:p w:rsidR="00FB4397" w:rsidRPr="00371005" w:rsidP="00FB4397" w14:paraId="325BCA4C"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$4,120 </w:t>
            </w:r>
          </w:p>
        </w:tc>
      </w:tr>
      <w:tr w14:paraId="75B34F14" w14:textId="77777777" w:rsidTr="7C42EED3">
        <w:tblPrEx>
          <w:tblW w:w="9419" w:type="dxa"/>
          <w:tblInd w:w="-75" w:type="dxa"/>
          <w:tblCellMar>
            <w:left w:w="0" w:type="dxa"/>
            <w:right w:w="0" w:type="dxa"/>
          </w:tblCellMar>
          <w:tblLook w:val="04A0"/>
        </w:tblPrEx>
        <w:trPr>
          <w:trHeight w:val="300"/>
        </w:trPr>
        <w:tc>
          <w:tcPr>
            <w:tcW w:w="1834" w:type="dxa"/>
            <w:tcBorders>
              <w:top w:val="single" w:sz="6" w:space="0" w:color="auto"/>
              <w:left w:val="single" w:sz="6" w:space="0" w:color="auto"/>
              <w:bottom w:val="single" w:sz="6" w:space="0" w:color="auto"/>
              <w:right w:val="single" w:sz="6" w:space="0" w:color="auto"/>
            </w:tcBorders>
            <w:hideMark/>
          </w:tcPr>
          <w:p w:rsidR="00FB4397" w:rsidRPr="00371005" w:rsidP="00FB4397" w14:paraId="0C25DEE1" w14:textId="2DC8BE40">
            <w:pPr>
              <w:spacing w:line="240" w:lineRule="auto"/>
              <w:rPr>
                <w:rFonts w:ascii="Times New Roman" w:hAnsi="Times New Roman" w:cs="Times New Roman"/>
                <w:sz w:val="20"/>
                <w:szCs w:val="20"/>
              </w:rPr>
            </w:pPr>
            <w:r w:rsidRPr="00371005">
              <w:rPr>
                <w:rFonts w:ascii="Times New Roman" w:hAnsi="Times New Roman" w:cs="Times New Roman"/>
                <w:sz w:val="20"/>
                <w:szCs w:val="20"/>
              </w:rPr>
              <w:t>Data Providers (and their affiliates) report Next Month Transactions</w:t>
            </w:r>
            <w:r>
              <w:rPr>
                <w:rStyle w:val="FootnoteReference"/>
                <w:rFonts w:ascii="Times New Roman" w:hAnsi="Times New Roman" w:cs="Times New Roman"/>
                <w:sz w:val="20"/>
                <w:szCs w:val="20"/>
              </w:rPr>
              <w:footnoteReference w:id="23"/>
            </w:r>
            <w:r w:rsidRPr="00371005">
              <w:rPr>
                <w:rFonts w:ascii="Times New Roman" w:hAnsi="Times New Roman" w:cs="Times New Roman"/>
                <w:sz w:val="20"/>
                <w:szCs w:val="20"/>
              </w:rPr>
              <w:t> </w:t>
            </w:r>
          </w:p>
        </w:tc>
        <w:tc>
          <w:tcPr>
            <w:tcW w:w="1211" w:type="dxa"/>
            <w:tcBorders>
              <w:top w:val="single" w:sz="6" w:space="0" w:color="auto"/>
              <w:left w:val="single" w:sz="6" w:space="0" w:color="auto"/>
              <w:bottom w:val="single" w:sz="6" w:space="0" w:color="auto"/>
              <w:right w:val="single" w:sz="6" w:space="0" w:color="auto"/>
            </w:tcBorders>
            <w:hideMark/>
          </w:tcPr>
          <w:p w:rsidR="00FB4397" w:rsidRPr="00371005" w:rsidP="00FB4397" w14:paraId="23E4266C"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70 </w:t>
            </w:r>
          </w:p>
        </w:tc>
        <w:tc>
          <w:tcPr>
            <w:tcW w:w="1129" w:type="dxa"/>
            <w:tcBorders>
              <w:top w:val="single" w:sz="6" w:space="0" w:color="auto"/>
              <w:left w:val="single" w:sz="6" w:space="0" w:color="auto"/>
              <w:bottom w:val="single" w:sz="6" w:space="0" w:color="auto"/>
              <w:right w:val="single" w:sz="6" w:space="0" w:color="auto"/>
            </w:tcBorders>
            <w:hideMark/>
          </w:tcPr>
          <w:p w:rsidR="00FB4397" w:rsidRPr="00371005" w:rsidP="00FB4397" w14:paraId="02A2B80F"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12 </w:t>
            </w:r>
          </w:p>
        </w:tc>
        <w:tc>
          <w:tcPr>
            <w:tcW w:w="1026" w:type="dxa"/>
            <w:tcBorders>
              <w:top w:val="single" w:sz="6" w:space="0" w:color="auto"/>
              <w:left w:val="single" w:sz="6" w:space="0" w:color="auto"/>
              <w:bottom w:val="single" w:sz="6" w:space="0" w:color="auto"/>
              <w:right w:val="single" w:sz="6" w:space="0" w:color="auto"/>
            </w:tcBorders>
            <w:hideMark/>
          </w:tcPr>
          <w:p w:rsidR="00FB4397" w:rsidRPr="00371005" w:rsidP="00FB4397" w14:paraId="377BBB1E"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840 </w:t>
            </w:r>
          </w:p>
        </w:tc>
        <w:tc>
          <w:tcPr>
            <w:tcW w:w="976" w:type="dxa"/>
            <w:tcBorders>
              <w:top w:val="single" w:sz="6" w:space="0" w:color="auto"/>
              <w:left w:val="single" w:sz="6" w:space="0" w:color="auto"/>
              <w:bottom w:val="single" w:sz="6" w:space="0" w:color="auto"/>
              <w:right w:val="single" w:sz="6" w:space="0" w:color="auto"/>
            </w:tcBorders>
            <w:hideMark/>
          </w:tcPr>
          <w:p w:rsidR="00FB4397" w:rsidRPr="00371005" w:rsidP="00FB4397" w14:paraId="20C63310"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4 </w:t>
            </w:r>
            <w:r w:rsidRPr="00371005">
              <w:rPr>
                <w:rFonts w:ascii="Times New Roman" w:hAnsi="Times New Roman" w:cs="Times New Roman"/>
                <w:sz w:val="20"/>
                <w:szCs w:val="20"/>
              </w:rPr>
              <w:t>hrs.;</w:t>
            </w:r>
            <w:r w:rsidRPr="00371005">
              <w:rPr>
                <w:rFonts w:ascii="Times New Roman" w:hAnsi="Times New Roman" w:cs="Times New Roman"/>
                <w:sz w:val="20"/>
                <w:szCs w:val="20"/>
              </w:rPr>
              <w:t> </w:t>
            </w:r>
          </w:p>
          <w:p w:rsidR="00FB4397" w:rsidRPr="00371005" w:rsidP="00FB4397" w14:paraId="6EA1AA07"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$412 </w:t>
            </w:r>
          </w:p>
        </w:tc>
        <w:tc>
          <w:tcPr>
            <w:tcW w:w="2114" w:type="dxa"/>
            <w:tcBorders>
              <w:top w:val="single" w:sz="6" w:space="0" w:color="auto"/>
              <w:left w:val="single" w:sz="6" w:space="0" w:color="auto"/>
              <w:bottom w:val="single" w:sz="6" w:space="0" w:color="auto"/>
              <w:right w:val="single" w:sz="6" w:space="0" w:color="auto"/>
            </w:tcBorders>
            <w:hideMark/>
          </w:tcPr>
          <w:p w:rsidR="00FB4397" w:rsidRPr="00371005" w:rsidP="00FB4397" w14:paraId="4B04B7BE"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3,360 </w:t>
            </w:r>
            <w:r w:rsidRPr="00371005">
              <w:rPr>
                <w:rFonts w:ascii="Times New Roman" w:hAnsi="Times New Roman" w:cs="Times New Roman"/>
                <w:sz w:val="20"/>
                <w:szCs w:val="20"/>
              </w:rPr>
              <w:t>hrs.;</w:t>
            </w:r>
            <w:r w:rsidRPr="00371005">
              <w:rPr>
                <w:rFonts w:ascii="Times New Roman" w:hAnsi="Times New Roman" w:cs="Times New Roman"/>
                <w:sz w:val="20"/>
                <w:szCs w:val="20"/>
              </w:rPr>
              <w:t> </w:t>
            </w:r>
          </w:p>
          <w:p w:rsidR="00FB4397" w:rsidRPr="00371005" w:rsidP="00FB4397" w14:paraId="0F09CEC4"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$346,080 </w:t>
            </w:r>
          </w:p>
        </w:tc>
        <w:tc>
          <w:tcPr>
            <w:tcW w:w="1129" w:type="dxa"/>
            <w:tcBorders>
              <w:top w:val="single" w:sz="6" w:space="0" w:color="auto"/>
              <w:left w:val="single" w:sz="6" w:space="0" w:color="auto"/>
              <w:bottom w:val="single" w:sz="6" w:space="0" w:color="auto"/>
              <w:right w:val="single" w:sz="6" w:space="0" w:color="auto"/>
            </w:tcBorders>
            <w:hideMark/>
          </w:tcPr>
          <w:p w:rsidR="00FB4397" w:rsidRPr="00371005" w:rsidP="00FB4397" w14:paraId="064DE769"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$4,944 </w:t>
            </w:r>
          </w:p>
        </w:tc>
      </w:tr>
      <w:tr w14:paraId="166D6AC5" w14:textId="77777777" w:rsidTr="7C42EED3">
        <w:tblPrEx>
          <w:tblW w:w="9419" w:type="dxa"/>
          <w:tblInd w:w="-75" w:type="dxa"/>
          <w:tblCellMar>
            <w:left w:w="0" w:type="dxa"/>
            <w:right w:w="0" w:type="dxa"/>
          </w:tblCellMar>
          <w:tblLook w:val="04A0"/>
        </w:tblPrEx>
        <w:trPr>
          <w:trHeight w:val="300"/>
        </w:trPr>
        <w:tc>
          <w:tcPr>
            <w:tcW w:w="1834" w:type="dxa"/>
            <w:tcBorders>
              <w:top w:val="single" w:sz="6" w:space="0" w:color="auto"/>
              <w:left w:val="single" w:sz="6" w:space="0" w:color="auto"/>
              <w:bottom w:val="single" w:sz="6" w:space="0" w:color="auto"/>
              <w:right w:val="single" w:sz="6" w:space="0" w:color="auto"/>
            </w:tcBorders>
            <w:hideMark/>
          </w:tcPr>
          <w:p w:rsidR="00FB4397" w:rsidRPr="00371005" w:rsidP="00FB4397" w14:paraId="7AEDAB59"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Price Index Developers—code of conduct &amp; confident.; &amp; inform customers </w:t>
            </w:r>
          </w:p>
        </w:tc>
        <w:tc>
          <w:tcPr>
            <w:tcW w:w="1211" w:type="dxa"/>
            <w:tcBorders>
              <w:top w:val="single" w:sz="6" w:space="0" w:color="auto"/>
              <w:left w:val="single" w:sz="6" w:space="0" w:color="auto"/>
              <w:bottom w:val="single" w:sz="6" w:space="0" w:color="auto"/>
              <w:right w:val="single" w:sz="6" w:space="0" w:color="auto"/>
            </w:tcBorders>
            <w:hideMark/>
          </w:tcPr>
          <w:p w:rsidR="00FB4397" w:rsidRPr="00371005" w:rsidP="00FB4397" w14:paraId="0AD3638E"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6 </w:t>
            </w:r>
          </w:p>
        </w:tc>
        <w:tc>
          <w:tcPr>
            <w:tcW w:w="1129" w:type="dxa"/>
            <w:tcBorders>
              <w:top w:val="single" w:sz="6" w:space="0" w:color="auto"/>
              <w:left w:val="single" w:sz="6" w:space="0" w:color="auto"/>
              <w:bottom w:val="single" w:sz="6" w:space="0" w:color="auto"/>
              <w:right w:val="single" w:sz="6" w:space="0" w:color="auto"/>
            </w:tcBorders>
            <w:hideMark/>
          </w:tcPr>
          <w:p w:rsidR="00FB4397" w:rsidRPr="00371005" w:rsidP="00FB4397" w14:paraId="6A9EF98D"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1 </w:t>
            </w:r>
          </w:p>
        </w:tc>
        <w:tc>
          <w:tcPr>
            <w:tcW w:w="1026" w:type="dxa"/>
            <w:tcBorders>
              <w:top w:val="single" w:sz="6" w:space="0" w:color="auto"/>
              <w:left w:val="single" w:sz="6" w:space="0" w:color="auto"/>
              <w:bottom w:val="single" w:sz="6" w:space="0" w:color="auto"/>
              <w:right w:val="single" w:sz="6" w:space="0" w:color="auto"/>
            </w:tcBorders>
            <w:hideMark/>
          </w:tcPr>
          <w:p w:rsidR="00FB4397" w:rsidRPr="00371005" w:rsidP="00FB4397" w14:paraId="6FD8948D"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6 </w:t>
            </w:r>
          </w:p>
        </w:tc>
        <w:tc>
          <w:tcPr>
            <w:tcW w:w="976" w:type="dxa"/>
            <w:tcBorders>
              <w:top w:val="single" w:sz="6" w:space="0" w:color="auto"/>
              <w:left w:val="single" w:sz="6" w:space="0" w:color="auto"/>
              <w:bottom w:val="single" w:sz="6" w:space="0" w:color="auto"/>
              <w:right w:val="single" w:sz="6" w:space="0" w:color="auto"/>
            </w:tcBorders>
            <w:hideMark/>
          </w:tcPr>
          <w:p w:rsidR="00FB4397" w:rsidRPr="00371005" w:rsidP="00FB4397" w14:paraId="62C7C880"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80 </w:t>
            </w:r>
            <w:r w:rsidRPr="00371005">
              <w:rPr>
                <w:rFonts w:ascii="Times New Roman" w:hAnsi="Times New Roman" w:cs="Times New Roman"/>
                <w:sz w:val="20"/>
                <w:szCs w:val="20"/>
              </w:rPr>
              <w:t>hrs.;</w:t>
            </w:r>
            <w:r w:rsidRPr="00371005">
              <w:rPr>
                <w:rFonts w:ascii="Times New Roman" w:hAnsi="Times New Roman" w:cs="Times New Roman"/>
                <w:sz w:val="20"/>
                <w:szCs w:val="20"/>
              </w:rPr>
              <w:t> </w:t>
            </w:r>
          </w:p>
          <w:p w:rsidR="00FB4397" w:rsidRPr="00371005" w:rsidP="00FB4397" w14:paraId="2563CA44"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$8,240 </w:t>
            </w:r>
          </w:p>
        </w:tc>
        <w:tc>
          <w:tcPr>
            <w:tcW w:w="2114" w:type="dxa"/>
            <w:tcBorders>
              <w:top w:val="single" w:sz="6" w:space="0" w:color="auto"/>
              <w:left w:val="single" w:sz="6" w:space="0" w:color="auto"/>
              <w:bottom w:val="single" w:sz="6" w:space="0" w:color="auto"/>
              <w:right w:val="single" w:sz="6" w:space="0" w:color="auto"/>
            </w:tcBorders>
            <w:hideMark/>
          </w:tcPr>
          <w:p w:rsidR="00FB4397" w:rsidRPr="00371005" w:rsidP="00FB4397" w14:paraId="00535E89"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480 </w:t>
            </w:r>
            <w:r w:rsidRPr="00371005">
              <w:rPr>
                <w:rFonts w:ascii="Times New Roman" w:hAnsi="Times New Roman" w:cs="Times New Roman"/>
                <w:sz w:val="20"/>
                <w:szCs w:val="20"/>
              </w:rPr>
              <w:t>hrs.;</w:t>
            </w:r>
            <w:r w:rsidRPr="00371005">
              <w:rPr>
                <w:rFonts w:ascii="Times New Roman" w:hAnsi="Times New Roman" w:cs="Times New Roman"/>
                <w:sz w:val="20"/>
                <w:szCs w:val="20"/>
              </w:rPr>
              <w:t> </w:t>
            </w:r>
          </w:p>
          <w:p w:rsidR="00FB4397" w:rsidRPr="00371005" w:rsidP="00FB4397" w14:paraId="195E5A5B"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$49,440 </w:t>
            </w:r>
          </w:p>
        </w:tc>
        <w:tc>
          <w:tcPr>
            <w:tcW w:w="1129" w:type="dxa"/>
            <w:tcBorders>
              <w:top w:val="single" w:sz="6" w:space="0" w:color="auto"/>
              <w:left w:val="single" w:sz="6" w:space="0" w:color="auto"/>
              <w:bottom w:val="single" w:sz="6" w:space="0" w:color="auto"/>
              <w:right w:val="single" w:sz="6" w:space="0" w:color="auto"/>
            </w:tcBorders>
            <w:hideMark/>
          </w:tcPr>
          <w:p w:rsidR="00FB4397" w:rsidRPr="00371005" w:rsidP="00FB4397" w14:paraId="53BD0B75"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$8,240 </w:t>
            </w:r>
          </w:p>
        </w:tc>
      </w:tr>
      <w:tr w14:paraId="0196ABA7" w14:textId="77777777" w:rsidTr="7C42EED3">
        <w:tblPrEx>
          <w:tblW w:w="9419" w:type="dxa"/>
          <w:tblInd w:w="-75" w:type="dxa"/>
          <w:tblCellMar>
            <w:left w:w="0" w:type="dxa"/>
            <w:right w:w="0" w:type="dxa"/>
          </w:tblCellMar>
          <w:tblLook w:val="04A0"/>
        </w:tblPrEx>
        <w:trPr>
          <w:trHeight w:val="300"/>
        </w:trPr>
        <w:tc>
          <w:tcPr>
            <w:tcW w:w="1834" w:type="dxa"/>
            <w:tcBorders>
              <w:top w:val="single" w:sz="6" w:space="0" w:color="auto"/>
              <w:left w:val="single" w:sz="6" w:space="0" w:color="auto"/>
              <w:bottom w:val="single" w:sz="6" w:space="0" w:color="auto"/>
              <w:right w:val="single" w:sz="6" w:space="0" w:color="auto"/>
            </w:tcBorders>
            <w:hideMark/>
          </w:tcPr>
          <w:p w:rsidR="00FB4397" w:rsidRPr="00371005" w:rsidP="00FB4397" w14:paraId="7EA5B665"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Price Index Developers—identify assessed index price vs. calculated </w:t>
            </w:r>
          </w:p>
        </w:tc>
        <w:tc>
          <w:tcPr>
            <w:tcW w:w="1211" w:type="dxa"/>
            <w:tcBorders>
              <w:top w:val="single" w:sz="6" w:space="0" w:color="auto"/>
              <w:left w:val="single" w:sz="6" w:space="0" w:color="auto"/>
              <w:bottom w:val="single" w:sz="6" w:space="0" w:color="auto"/>
              <w:right w:val="single" w:sz="6" w:space="0" w:color="auto"/>
            </w:tcBorders>
            <w:hideMark/>
          </w:tcPr>
          <w:p w:rsidR="00FB4397" w:rsidRPr="00371005" w:rsidP="00FB4397" w14:paraId="36532EB0"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6 </w:t>
            </w:r>
          </w:p>
        </w:tc>
        <w:tc>
          <w:tcPr>
            <w:tcW w:w="1129" w:type="dxa"/>
            <w:tcBorders>
              <w:top w:val="single" w:sz="6" w:space="0" w:color="auto"/>
              <w:left w:val="single" w:sz="6" w:space="0" w:color="auto"/>
              <w:bottom w:val="single" w:sz="6" w:space="0" w:color="auto"/>
              <w:right w:val="single" w:sz="6" w:space="0" w:color="auto"/>
            </w:tcBorders>
            <w:hideMark/>
          </w:tcPr>
          <w:p w:rsidR="00FB4397" w:rsidRPr="00371005" w:rsidP="00FB4397" w14:paraId="3032E24A"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1 </w:t>
            </w:r>
          </w:p>
        </w:tc>
        <w:tc>
          <w:tcPr>
            <w:tcW w:w="1026" w:type="dxa"/>
            <w:tcBorders>
              <w:top w:val="single" w:sz="6" w:space="0" w:color="auto"/>
              <w:left w:val="single" w:sz="6" w:space="0" w:color="auto"/>
              <w:bottom w:val="single" w:sz="6" w:space="0" w:color="auto"/>
              <w:right w:val="single" w:sz="6" w:space="0" w:color="auto"/>
            </w:tcBorders>
            <w:hideMark/>
          </w:tcPr>
          <w:p w:rsidR="00FB4397" w:rsidRPr="00371005" w:rsidP="00FB4397" w14:paraId="2B200E3F"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6 </w:t>
            </w:r>
          </w:p>
        </w:tc>
        <w:tc>
          <w:tcPr>
            <w:tcW w:w="976" w:type="dxa"/>
            <w:tcBorders>
              <w:top w:val="single" w:sz="6" w:space="0" w:color="auto"/>
              <w:left w:val="single" w:sz="6" w:space="0" w:color="auto"/>
              <w:bottom w:val="single" w:sz="6" w:space="0" w:color="auto"/>
              <w:right w:val="single" w:sz="6" w:space="0" w:color="auto"/>
            </w:tcBorders>
            <w:hideMark/>
          </w:tcPr>
          <w:p w:rsidR="00FB4397" w:rsidRPr="00371005" w:rsidP="00FB4397" w14:paraId="07CF46CE"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80 </w:t>
            </w:r>
            <w:r w:rsidRPr="00371005">
              <w:rPr>
                <w:rFonts w:ascii="Times New Roman" w:hAnsi="Times New Roman" w:cs="Times New Roman"/>
                <w:sz w:val="20"/>
                <w:szCs w:val="20"/>
              </w:rPr>
              <w:t>hrs.;</w:t>
            </w:r>
            <w:r w:rsidRPr="00371005">
              <w:rPr>
                <w:rFonts w:ascii="Times New Roman" w:hAnsi="Times New Roman" w:cs="Times New Roman"/>
                <w:sz w:val="20"/>
                <w:szCs w:val="20"/>
              </w:rPr>
              <w:t> </w:t>
            </w:r>
          </w:p>
          <w:p w:rsidR="00FB4397" w:rsidRPr="00371005" w:rsidP="00FB4397" w14:paraId="35DBFDFD"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$8,240 </w:t>
            </w:r>
          </w:p>
        </w:tc>
        <w:tc>
          <w:tcPr>
            <w:tcW w:w="2114" w:type="dxa"/>
            <w:tcBorders>
              <w:top w:val="single" w:sz="6" w:space="0" w:color="auto"/>
              <w:left w:val="single" w:sz="6" w:space="0" w:color="auto"/>
              <w:bottom w:val="single" w:sz="6" w:space="0" w:color="auto"/>
              <w:right w:val="single" w:sz="6" w:space="0" w:color="auto"/>
            </w:tcBorders>
            <w:hideMark/>
          </w:tcPr>
          <w:p w:rsidR="00FB4397" w:rsidRPr="00371005" w:rsidP="00FB4397" w14:paraId="53ABB2BE"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480 </w:t>
            </w:r>
            <w:r w:rsidRPr="00371005">
              <w:rPr>
                <w:rFonts w:ascii="Times New Roman" w:hAnsi="Times New Roman" w:cs="Times New Roman"/>
                <w:sz w:val="20"/>
                <w:szCs w:val="20"/>
              </w:rPr>
              <w:t>hrs.;</w:t>
            </w:r>
            <w:r w:rsidRPr="00371005">
              <w:rPr>
                <w:rFonts w:ascii="Times New Roman" w:hAnsi="Times New Roman" w:cs="Times New Roman"/>
                <w:sz w:val="20"/>
                <w:szCs w:val="20"/>
              </w:rPr>
              <w:t> </w:t>
            </w:r>
          </w:p>
          <w:p w:rsidR="00FB4397" w:rsidRPr="00371005" w:rsidP="00FB4397" w14:paraId="7CF50913"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$49,440 </w:t>
            </w:r>
          </w:p>
        </w:tc>
        <w:tc>
          <w:tcPr>
            <w:tcW w:w="1129" w:type="dxa"/>
            <w:tcBorders>
              <w:top w:val="single" w:sz="6" w:space="0" w:color="auto"/>
              <w:left w:val="single" w:sz="6" w:space="0" w:color="auto"/>
              <w:bottom w:val="single" w:sz="6" w:space="0" w:color="auto"/>
              <w:right w:val="single" w:sz="6" w:space="0" w:color="auto"/>
            </w:tcBorders>
            <w:hideMark/>
          </w:tcPr>
          <w:p w:rsidR="00FB4397" w:rsidRPr="00371005" w:rsidP="00FB4397" w14:paraId="5F6A06E0"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$8,240 </w:t>
            </w:r>
          </w:p>
        </w:tc>
      </w:tr>
      <w:tr w14:paraId="2A6CA2EB" w14:textId="77777777" w:rsidTr="7C42EED3">
        <w:tblPrEx>
          <w:tblW w:w="9419" w:type="dxa"/>
          <w:tblInd w:w="-75" w:type="dxa"/>
          <w:tblCellMar>
            <w:left w:w="0" w:type="dxa"/>
            <w:right w:w="0" w:type="dxa"/>
          </w:tblCellMar>
          <w:tblLook w:val="04A0"/>
        </w:tblPrEx>
        <w:trPr>
          <w:trHeight w:val="300"/>
        </w:trPr>
        <w:tc>
          <w:tcPr>
            <w:tcW w:w="1834" w:type="dxa"/>
            <w:tcBorders>
              <w:top w:val="single" w:sz="6" w:space="0" w:color="auto"/>
              <w:left w:val="single" w:sz="6" w:space="0" w:color="auto"/>
              <w:bottom w:val="single" w:sz="6" w:space="0" w:color="auto"/>
              <w:right w:val="single" w:sz="6" w:space="0" w:color="auto"/>
            </w:tcBorders>
            <w:hideMark/>
          </w:tcPr>
          <w:p w:rsidR="00FB4397" w:rsidRPr="00371005" w:rsidP="00FB4397" w14:paraId="0C43C4D7"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Price Index Developers—re-certify every 7 yrs. </w:t>
            </w:r>
          </w:p>
        </w:tc>
        <w:tc>
          <w:tcPr>
            <w:tcW w:w="1211" w:type="dxa"/>
            <w:tcBorders>
              <w:top w:val="single" w:sz="6" w:space="0" w:color="auto"/>
              <w:left w:val="single" w:sz="6" w:space="0" w:color="auto"/>
              <w:bottom w:val="single" w:sz="6" w:space="0" w:color="auto"/>
              <w:right w:val="single" w:sz="6" w:space="0" w:color="auto"/>
            </w:tcBorders>
            <w:hideMark/>
          </w:tcPr>
          <w:p w:rsidR="00FB4397" w:rsidRPr="00371005" w:rsidP="00FB4397" w14:paraId="1EE3352A"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6 </w:t>
            </w:r>
          </w:p>
        </w:tc>
        <w:tc>
          <w:tcPr>
            <w:tcW w:w="1129" w:type="dxa"/>
            <w:tcBorders>
              <w:top w:val="single" w:sz="6" w:space="0" w:color="auto"/>
              <w:left w:val="single" w:sz="6" w:space="0" w:color="auto"/>
              <w:bottom w:val="single" w:sz="6" w:space="0" w:color="auto"/>
              <w:right w:val="single" w:sz="6" w:space="0" w:color="auto"/>
            </w:tcBorders>
            <w:hideMark/>
          </w:tcPr>
          <w:p w:rsidR="00FB4397" w:rsidRPr="00371005" w:rsidP="00FB4397" w14:paraId="0D7B4F0F"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.14 </w:t>
            </w:r>
          </w:p>
        </w:tc>
        <w:tc>
          <w:tcPr>
            <w:tcW w:w="1026" w:type="dxa"/>
            <w:tcBorders>
              <w:top w:val="single" w:sz="6" w:space="0" w:color="auto"/>
              <w:left w:val="single" w:sz="6" w:space="0" w:color="auto"/>
              <w:bottom w:val="single" w:sz="6" w:space="0" w:color="auto"/>
              <w:right w:val="single" w:sz="6" w:space="0" w:color="auto"/>
            </w:tcBorders>
            <w:hideMark/>
          </w:tcPr>
          <w:p w:rsidR="00FB4397" w:rsidRPr="00371005" w:rsidP="00FB4397" w14:paraId="4E94B685"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1 </w:t>
            </w:r>
          </w:p>
        </w:tc>
        <w:tc>
          <w:tcPr>
            <w:tcW w:w="976" w:type="dxa"/>
            <w:tcBorders>
              <w:top w:val="single" w:sz="6" w:space="0" w:color="auto"/>
              <w:left w:val="single" w:sz="6" w:space="0" w:color="auto"/>
              <w:bottom w:val="single" w:sz="6" w:space="0" w:color="auto"/>
              <w:right w:val="single" w:sz="6" w:space="0" w:color="auto"/>
            </w:tcBorders>
            <w:hideMark/>
          </w:tcPr>
          <w:p w:rsidR="00FB4397" w:rsidRPr="00371005" w:rsidP="00FB4397" w14:paraId="3A2AFA20"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269 </w:t>
            </w:r>
            <w:r w:rsidRPr="00371005">
              <w:rPr>
                <w:rFonts w:ascii="Times New Roman" w:hAnsi="Times New Roman" w:cs="Times New Roman"/>
                <w:sz w:val="20"/>
                <w:szCs w:val="20"/>
              </w:rPr>
              <w:t>hrs.;</w:t>
            </w:r>
            <w:r w:rsidRPr="00371005">
              <w:rPr>
                <w:rFonts w:ascii="Times New Roman" w:hAnsi="Times New Roman" w:cs="Times New Roman"/>
                <w:sz w:val="20"/>
                <w:szCs w:val="20"/>
              </w:rPr>
              <w:t> </w:t>
            </w:r>
          </w:p>
          <w:p w:rsidR="00FB4397" w:rsidRPr="00371005" w:rsidP="00FB4397" w14:paraId="1DCA6BB4"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$27,707 </w:t>
            </w:r>
          </w:p>
        </w:tc>
        <w:tc>
          <w:tcPr>
            <w:tcW w:w="2114" w:type="dxa"/>
            <w:tcBorders>
              <w:top w:val="single" w:sz="6" w:space="0" w:color="auto"/>
              <w:left w:val="single" w:sz="6" w:space="0" w:color="auto"/>
              <w:bottom w:val="single" w:sz="6" w:space="0" w:color="auto"/>
              <w:right w:val="single" w:sz="6" w:space="0" w:color="auto"/>
            </w:tcBorders>
            <w:hideMark/>
          </w:tcPr>
          <w:p w:rsidR="00FB4397" w:rsidRPr="00371005" w:rsidP="00FB4397" w14:paraId="79929634"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269 </w:t>
            </w:r>
            <w:r w:rsidRPr="00371005">
              <w:rPr>
                <w:rFonts w:ascii="Times New Roman" w:hAnsi="Times New Roman" w:cs="Times New Roman"/>
                <w:sz w:val="20"/>
                <w:szCs w:val="20"/>
              </w:rPr>
              <w:t>hrs.;</w:t>
            </w:r>
            <w:r w:rsidRPr="00371005">
              <w:rPr>
                <w:rFonts w:ascii="Times New Roman" w:hAnsi="Times New Roman" w:cs="Times New Roman"/>
                <w:sz w:val="20"/>
                <w:szCs w:val="20"/>
              </w:rPr>
              <w:t> </w:t>
            </w:r>
          </w:p>
          <w:p w:rsidR="00FB4397" w:rsidRPr="00371005" w:rsidP="00FB4397" w14:paraId="0799437A"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$27,707 </w:t>
            </w:r>
          </w:p>
        </w:tc>
        <w:tc>
          <w:tcPr>
            <w:tcW w:w="1129" w:type="dxa"/>
            <w:tcBorders>
              <w:top w:val="single" w:sz="6" w:space="0" w:color="auto"/>
              <w:left w:val="single" w:sz="6" w:space="0" w:color="auto"/>
              <w:bottom w:val="single" w:sz="6" w:space="0" w:color="auto"/>
              <w:right w:val="single" w:sz="6" w:space="0" w:color="auto"/>
            </w:tcBorders>
            <w:hideMark/>
          </w:tcPr>
          <w:p w:rsidR="00FB4397" w:rsidRPr="00371005" w:rsidP="00FB4397" w14:paraId="1DBE5918"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$4,618 </w:t>
            </w:r>
          </w:p>
        </w:tc>
      </w:tr>
      <w:tr w14:paraId="7046A55E" w14:textId="77777777" w:rsidTr="7C42EED3">
        <w:tblPrEx>
          <w:tblW w:w="9419" w:type="dxa"/>
          <w:tblInd w:w="-75" w:type="dxa"/>
          <w:tblCellMar>
            <w:left w:w="0" w:type="dxa"/>
            <w:right w:w="0" w:type="dxa"/>
          </w:tblCellMar>
          <w:tblLook w:val="04A0"/>
        </w:tblPrEx>
        <w:trPr>
          <w:trHeight w:val="480"/>
        </w:trPr>
        <w:tc>
          <w:tcPr>
            <w:tcW w:w="1834" w:type="dxa"/>
            <w:tcBorders>
              <w:top w:val="single" w:sz="6" w:space="0" w:color="auto"/>
              <w:left w:val="single" w:sz="6" w:space="0" w:color="auto"/>
              <w:bottom w:val="single" w:sz="6" w:space="0" w:color="auto"/>
              <w:right w:val="single" w:sz="6" w:space="0" w:color="auto"/>
            </w:tcBorders>
            <w:hideMark/>
          </w:tcPr>
          <w:p w:rsidR="00FB4397" w:rsidRPr="00371005" w:rsidP="00FB4397" w14:paraId="24B2E9DD" w14:textId="77777777">
            <w:pPr>
              <w:spacing w:line="240" w:lineRule="auto"/>
              <w:rPr>
                <w:rFonts w:ascii="Times New Roman" w:hAnsi="Times New Roman" w:cs="Times New Roman"/>
                <w:sz w:val="20"/>
                <w:szCs w:val="20"/>
              </w:rPr>
            </w:pPr>
            <w:r w:rsidRPr="00371005">
              <w:rPr>
                <w:rFonts w:ascii="Times New Roman" w:hAnsi="Times New Roman" w:cs="Times New Roman"/>
                <w:b/>
                <w:bCs/>
                <w:sz w:val="20"/>
                <w:szCs w:val="20"/>
              </w:rPr>
              <w:t>TOTAL FERC 549E</w:t>
            </w:r>
            <w:r w:rsidRPr="00371005">
              <w:rPr>
                <w:rFonts w:ascii="Times New Roman" w:hAnsi="Times New Roman" w:cs="Times New Roman"/>
                <w:sz w:val="20"/>
                <w:szCs w:val="20"/>
              </w:rPr>
              <w:t> </w:t>
            </w:r>
          </w:p>
        </w:tc>
        <w:tc>
          <w:tcPr>
            <w:tcW w:w="234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FB4397" w:rsidRPr="00371005" w:rsidP="00FB4397" w14:paraId="7EC28A9D"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 </w:t>
            </w:r>
          </w:p>
        </w:tc>
        <w:tc>
          <w:tcPr>
            <w:tcW w:w="1026" w:type="dxa"/>
            <w:tcBorders>
              <w:top w:val="single" w:sz="6" w:space="0" w:color="auto"/>
              <w:left w:val="single" w:sz="6" w:space="0" w:color="auto"/>
              <w:bottom w:val="single" w:sz="6" w:space="0" w:color="auto"/>
              <w:right w:val="single" w:sz="6" w:space="0" w:color="auto"/>
            </w:tcBorders>
            <w:hideMark/>
          </w:tcPr>
          <w:p w:rsidR="00FB4397" w:rsidRPr="00371005" w:rsidP="00FB4397" w14:paraId="084CA63E" w14:textId="77777777">
            <w:pPr>
              <w:spacing w:line="240" w:lineRule="auto"/>
              <w:rPr>
                <w:rFonts w:ascii="Times New Roman" w:hAnsi="Times New Roman" w:cs="Times New Roman"/>
                <w:sz w:val="20"/>
                <w:szCs w:val="20"/>
              </w:rPr>
            </w:pPr>
            <w:r w:rsidRPr="00371005">
              <w:rPr>
                <w:rFonts w:ascii="Times New Roman" w:hAnsi="Times New Roman" w:cs="Times New Roman"/>
                <w:b/>
                <w:bCs/>
                <w:sz w:val="20"/>
                <w:szCs w:val="20"/>
              </w:rPr>
              <w:t>19,825</w:t>
            </w:r>
            <w:r w:rsidRPr="00371005">
              <w:rPr>
                <w:rFonts w:ascii="Times New Roman" w:hAnsi="Times New Roman" w:cs="Times New Roman"/>
                <w:sz w:val="20"/>
                <w:szCs w:val="20"/>
              </w:rPr>
              <w:t> </w:t>
            </w:r>
          </w:p>
        </w:tc>
        <w:tc>
          <w:tcPr>
            <w:tcW w:w="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FB4397" w:rsidRPr="00371005" w:rsidP="00FB4397" w14:paraId="7F926014" w14:textId="77777777">
            <w:pPr>
              <w:spacing w:line="240" w:lineRule="auto"/>
              <w:rPr>
                <w:rFonts w:ascii="Times New Roman" w:hAnsi="Times New Roman" w:cs="Times New Roman"/>
                <w:sz w:val="20"/>
                <w:szCs w:val="20"/>
              </w:rPr>
            </w:pPr>
            <w:r w:rsidRPr="00371005">
              <w:rPr>
                <w:rFonts w:ascii="Times New Roman" w:hAnsi="Times New Roman" w:cs="Times New Roman"/>
                <w:sz w:val="20"/>
                <w:szCs w:val="20"/>
              </w:rPr>
              <w:t> </w:t>
            </w:r>
          </w:p>
        </w:tc>
        <w:tc>
          <w:tcPr>
            <w:tcW w:w="2114" w:type="dxa"/>
            <w:tcBorders>
              <w:top w:val="single" w:sz="6" w:space="0" w:color="auto"/>
              <w:left w:val="single" w:sz="6" w:space="0" w:color="auto"/>
              <w:bottom w:val="single" w:sz="6" w:space="0" w:color="auto"/>
              <w:right w:val="single" w:sz="6" w:space="0" w:color="auto"/>
            </w:tcBorders>
            <w:hideMark/>
          </w:tcPr>
          <w:p w:rsidR="00FB4397" w:rsidRPr="00371005" w:rsidP="00FB4397" w14:paraId="2D7CCB04" w14:textId="77777777">
            <w:pPr>
              <w:spacing w:line="240" w:lineRule="auto"/>
              <w:rPr>
                <w:rFonts w:ascii="Times New Roman" w:hAnsi="Times New Roman" w:cs="Times New Roman"/>
                <w:sz w:val="20"/>
                <w:szCs w:val="20"/>
              </w:rPr>
            </w:pPr>
            <w:r w:rsidRPr="00371005">
              <w:rPr>
                <w:rFonts w:ascii="Times New Roman" w:hAnsi="Times New Roman" w:cs="Times New Roman"/>
                <w:b/>
                <w:bCs/>
                <w:sz w:val="20"/>
                <w:szCs w:val="20"/>
              </w:rPr>
              <w:t>84,125</w:t>
            </w:r>
            <w:r w:rsidRPr="00371005">
              <w:rPr>
                <w:rFonts w:ascii="Times New Roman" w:hAnsi="Times New Roman" w:cs="Times New Roman"/>
                <w:sz w:val="20"/>
                <w:szCs w:val="20"/>
              </w:rPr>
              <w:t> </w:t>
            </w:r>
          </w:p>
          <w:p w:rsidR="00FB4397" w:rsidRPr="00371005" w:rsidP="00FB4397" w14:paraId="278513B9" w14:textId="77777777">
            <w:pPr>
              <w:spacing w:line="240" w:lineRule="auto"/>
              <w:rPr>
                <w:rFonts w:ascii="Times New Roman" w:hAnsi="Times New Roman" w:cs="Times New Roman"/>
                <w:sz w:val="20"/>
                <w:szCs w:val="20"/>
              </w:rPr>
            </w:pPr>
            <w:r w:rsidRPr="00371005">
              <w:rPr>
                <w:rFonts w:ascii="Times New Roman" w:hAnsi="Times New Roman" w:cs="Times New Roman"/>
                <w:b/>
                <w:bCs/>
                <w:sz w:val="20"/>
                <w:szCs w:val="20"/>
              </w:rPr>
              <w:t>$8,664,875</w:t>
            </w:r>
            <w:r w:rsidRPr="00371005">
              <w:rPr>
                <w:rFonts w:ascii="Times New Roman" w:hAnsi="Times New Roman" w:cs="Times New Roman"/>
                <w:sz w:val="20"/>
                <w:szCs w:val="20"/>
              </w:rPr>
              <w:t> </w:t>
            </w:r>
          </w:p>
        </w:tc>
        <w:tc>
          <w:tcPr>
            <w:tcW w:w="1129" w:type="dxa"/>
            <w:tcBorders>
              <w:top w:val="single" w:sz="6" w:space="0" w:color="auto"/>
              <w:left w:val="single" w:sz="6" w:space="0" w:color="auto"/>
              <w:bottom w:val="single" w:sz="6" w:space="0" w:color="auto"/>
              <w:right w:val="single" w:sz="6" w:space="0" w:color="auto"/>
            </w:tcBorders>
            <w:hideMark/>
          </w:tcPr>
          <w:p w:rsidR="00FB4397" w:rsidRPr="00371005" w:rsidP="00FB4397" w14:paraId="37526DAF" w14:textId="77777777">
            <w:pPr>
              <w:spacing w:line="240" w:lineRule="auto"/>
              <w:rPr>
                <w:rFonts w:ascii="Times New Roman" w:hAnsi="Times New Roman" w:cs="Times New Roman"/>
                <w:sz w:val="20"/>
                <w:szCs w:val="20"/>
              </w:rPr>
            </w:pPr>
            <w:r w:rsidRPr="00371005">
              <w:rPr>
                <w:rFonts w:ascii="Times New Roman" w:hAnsi="Times New Roman" w:cs="Times New Roman"/>
                <w:b/>
                <w:bCs/>
                <w:sz w:val="20"/>
                <w:szCs w:val="20"/>
              </w:rPr>
              <w:t>$132,750</w:t>
            </w:r>
            <w:r w:rsidRPr="00371005">
              <w:rPr>
                <w:rFonts w:ascii="Times New Roman" w:hAnsi="Times New Roman" w:cs="Times New Roman"/>
                <w:sz w:val="20"/>
                <w:szCs w:val="20"/>
              </w:rPr>
              <w:t> </w:t>
            </w:r>
          </w:p>
        </w:tc>
      </w:tr>
    </w:tbl>
    <w:p w:rsidR="00FB4397" w:rsidP="00854D6D" w14:paraId="5C1071E4" w14:textId="77777777">
      <w:pPr>
        <w:spacing w:line="240" w:lineRule="auto"/>
        <w:rPr>
          <w:rFonts w:ascii="Times New Roman" w:hAnsi="Times New Roman" w:cs="Times New Roman"/>
          <w:sz w:val="26"/>
          <w:szCs w:val="26"/>
        </w:rPr>
      </w:pPr>
    </w:p>
    <w:p w:rsidR="0047753C" w:rsidRPr="0047753C" w:rsidP="0047753C" w14:paraId="79BFA169" w14:textId="50DE1DD7">
      <w:pPr>
        <w:numPr>
          <w:ilvl w:val="0"/>
          <w:numId w:val="2"/>
        </w:numPr>
        <w:rPr>
          <w:rFonts w:ascii="Times New Roman" w:eastAsia="Calibri" w:hAnsi="Times New Roman" w:cs="Times New Roman"/>
          <w:b/>
          <w:bCs/>
          <w:sz w:val="26"/>
          <w:szCs w:val="26"/>
        </w:rPr>
      </w:pPr>
      <w:r w:rsidRPr="0047753C">
        <w:rPr>
          <w:rFonts w:ascii="Times New Roman" w:eastAsia="Calibri" w:hAnsi="Times New Roman" w:cs="Times New Roman"/>
          <w:b/>
          <w:bCs/>
          <w:sz w:val="26"/>
          <w:szCs w:val="26"/>
        </w:rPr>
        <w:t>ESTIMATE OF THE TOTAL ANNUAL COST BURDEN TO RESPONDENTS</w:t>
      </w:r>
    </w:p>
    <w:p w:rsidR="001E6322" w:rsidP="00FB6212" w14:paraId="3FE94A64" w14:textId="4DE882E1">
      <w:pPr>
        <w:pStyle w:val="paragraph"/>
        <w:spacing w:before="0" w:beforeAutospacing="0" w:after="0" w:afterAutospacing="0"/>
        <w:ind w:left="60"/>
        <w:textAlignment w:val="baseline"/>
        <w:rPr>
          <w:rFonts w:ascii="Segoe UI" w:hAnsi="Segoe UI" w:cs="Segoe UI"/>
          <w:sz w:val="18"/>
          <w:szCs w:val="18"/>
        </w:rPr>
      </w:pPr>
      <w:r>
        <w:rPr>
          <w:rStyle w:val="normaltextrun"/>
          <w:sz w:val="26"/>
          <w:szCs w:val="26"/>
        </w:rPr>
        <w:t>There is no start-up or other non-labor costs.</w:t>
      </w:r>
      <w:r>
        <w:rPr>
          <w:rStyle w:val="eop"/>
          <w:sz w:val="26"/>
          <w:szCs w:val="26"/>
        </w:rPr>
        <w:t> </w:t>
      </w:r>
      <w:r>
        <w:rPr>
          <w:rStyle w:val="normaltextrun"/>
          <w:sz w:val="26"/>
          <w:szCs w:val="26"/>
        </w:rPr>
        <w:t>All of</w:t>
      </w:r>
      <w:r>
        <w:rPr>
          <w:rStyle w:val="normaltextrun"/>
          <w:sz w:val="26"/>
          <w:szCs w:val="26"/>
        </w:rPr>
        <w:t> the costs are associated with burden hours (labor) and described in Questions #12 and #15 in this supporting statement.</w:t>
      </w:r>
      <w:r w:rsidR="004F42A8">
        <w:rPr>
          <w:rStyle w:val="normaltextrun"/>
          <w:sz w:val="26"/>
          <w:szCs w:val="26"/>
        </w:rPr>
        <w:t xml:space="preserve"> </w:t>
      </w:r>
    </w:p>
    <w:p w:rsidR="00262E02" w:rsidRPr="00262E02" w:rsidP="0047753C" w14:paraId="79776969" w14:textId="77777777">
      <w:pPr>
        <w:rPr>
          <w:rFonts w:ascii="Times New Roman" w:eastAsia="Calibri" w:hAnsi="Times New Roman" w:cs="Times New Roman"/>
          <w:b/>
          <w:sz w:val="26"/>
          <w:szCs w:val="26"/>
        </w:rPr>
      </w:pPr>
    </w:p>
    <w:p w:rsidR="0047753C" w:rsidRPr="0047753C" w:rsidP="0047753C" w14:paraId="7513D4E8" w14:textId="77777777">
      <w:pPr>
        <w:rPr>
          <w:rFonts w:ascii="Times New Roman" w:eastAsia="Calibri" w:hAnsi="Times New Roman" w:cs="Times New Roman"/>
          <w:b/>
          <w:bCs/>
          <w:sz w:val="26"/>
          <w:szCs w:val="26"/>
        </w:rPr>
      </w:pPr>
      <w:r w:rsidRPr="0047753C">
        <w:rPr>
          <w:rFonts w:ascii="Times New Roman" w:eastAsia="Calibri" w:hAnsi="Times New Roman" w:cs="Times New Roman"/>
          <w:b/>
          <w:bCs/>
          <w:sz w:val="26"/>
          <w:szCs w:val="26"/>
        </w:rPr>
        <w:t>14.</w:t>
      </w:r>
      <w:r w:rsidRPr="0047753C">
        <w:rPr>
          <w:rFonts w:ascii="Times New Roman" w:eastAsia="Calibri" w:hAnsi="Times New Roman" w:cs="Times New Roman"/>
          <w:b/>
          <w:bCs/>
          <w:sz w:val="26"/>
          <w:szCs w:val="26"/>
        </w:rPr>
        <w:tab/>
        <w:t>ESTIMATED ANNUALIZED COST TO FEDERAL GOVERNMENT</w:t>
      </w:r>
    </w:p>
    <w:p w:rsidR="0047753C" w:rsidRPr="0047753C" w:rsidP="0047753C" w14:paraId="14DBBA8D" w14:textId="3E3FA5C4">
      <w:pPr>
        <w:rPr>
          <w:rFonts w:ascii="Times New Roman" w:eastAsia="Calibri" w:hAnsi="Times New Roman" w:cs="Times New Roman"/>
          <w:bCs/>
          <w:sz w:val="26"/>
          <w:szCs w:val="26"/>
        </w:rPr>
      </w:pPr>
      <w:r w:rsidRPr="09496FC2">
        <w:rPr>
          <w:rFonts w:ascii="Times New Roman" w:eastAsia="Calibri" w:hAnsi="Times New Roman" w:cs="Times New Roman"/>
          <w:sz w:val="26"/>
          <w:szCs w:val="26"/>
        </w:rPr>
        <w:t xml:space="preserve">The estimate of the cost for </w:t>
      </w:r>
      <w:r w:rsidRPr="09496FC2" w:rsidR="006F154A">
        <w:rPr>
          <w:rFonts w:ascii="Times New Roman" w:eastAsia="Calibri" w:hAnsi="Times New Roman" w:cs="Times New Roman"/>
          <w:sz w:val="26"/>
          <w:szCs w:val="26"/>
        </w:rPr>
        <w:t>“</w:t>
      </w:r>
      <w:r w:rsidRPr="09496FC2">
        <w:rPr>
          <w:rFonts w:ascii="Times New Roman" w:eastAsia="Calibri" w:hAnsi="Times New Roman" w:cs="Times New Roman"/>
          <w:sz w:val="26"/>
          <w:szCs w:val="26"/>
        </w:rPr>
        <w:t>analysis and processing of filings</w:t>
      </w:r>
      <w:r w:rsidRPr="09496FC2" w:rsidR="006F154A">
        <w:rPr>
          <w:rFonts w:ascii="Times New Roman" w:eastAsia="Calibri" w:hAnsi="Times New Roman" w:cs="Times New Roman"/>
          <w:sz w:val="26"/>
          <w:szCs w:val="26"/>
        </w:rPr>
        <w:t>”</w:t>
      </w:r>
      <w:r>
        <w:rPr>
          <w:rFonts w:ascii="Times New Roman" w:eastAsia="Calibri" w:hAnsi="Times New Roman" w:cs="Times New Roman"/>
          <w:b/>
          <w:bCs/>
          <w:sz w:val="26"/>
          <w:szCs w:val="26"/>
          <w:vertAlign w:val="superscript"/>
        </w:rPr>
        <w:footnoteReference w:id="24"/>
      </w:r>
      <w:r w:rsidRPr="09496FC2">
        <w:rPr>
          <w:rFonts w:ascii="Times New Roman" w:eastAsia="Calibri" w:hAnsi="Times New Roman" w:cs="Times New Roman"/>
          <w:sz w:val="26"/>
          <w:szCs w:val="26"/>
          <w:vertAlign w:val="superscript"/>
        </w:rPr>
        <w:t xml:space="preserve"> </w:t>
      </w:r>
      <w:r w:rsidRPr="09496FC2">
        <w:rPr>
          <w:rFonts w:ascii="Times New Roman" w:eastAsia="Calibri" w:hAnsi="Times New Roman" w:cs="Times New Roman"/>
          <w:sz w:val="26"/>
          <w:szCs w:val="26"/>
        </w:rPr>
        <w:t>is based on salaries and benefits for professional and clerical support.</w:t>
      </w:r>
      <w:r w:rsidR="004F42A8">
        <w:rPr>
          <w:rFonts w:ascii="Times New Roman" w:eastAsia="Calibri" w:hAnsi="Times New Roman" w:cs="Times New Roman"/>
          <w:sz w:val="26"/>
          <w:szCs w:val="26"/>
        </w:rPr>
        <w:t xml:space="preserve"> </w:t>
      </w:r>
      <w:r w:rsidRPr="09496FC2">
        <w:rPr>
          <w:rFonts w:ascii="Times New Roman" w:eastAsia="Calibri" w:hAnsi="Times New Roman" w:cs="Times New Roman"/>
          <w:sz w:val="26"/>
          <w:szCs w:val="26"/>
        </w:rPr>
        <w:t>This estimated cost represents staff analysis, decision-making, and review of any actual filings submitted in response to the information collection.</w:t>
      </w:r>
      <w:r w:rsidR="004F42A8">
        <w:rPr>
          <w:rFonts w:ascii="Times New Roman" w:eastAsia="Calibri" w:hAnsi="Times New Roman" w:cs="Times New Roman"/>
          <w:sz w:val="26"/>
          <w:szCs w:val="26"/>
        </w:rPr>
        <w:t xml:space="preserve"> </w:t>
      </w:r>
    </w:p>
    <w:p w:rsidR="0047753C" w:rsidRPr="0047753C" w:rsidP="0047753C" w14:paraId="4C9066D9" w14:textId="2AC72B2B">
      <w:pPr>
        <w:rPr>
          <w:rFonts w:ascii="Times New Roman" w:eastAsia="Calibri" w:hAnsi="Times New Roman" w:cs="Times New Roman"/>
          <w:bCs/>
          <w:sz w:val="26"/>
          <w:szCs w:val="26"/>
        </w:rPr>
      </w:pPr>
      <w:r w:rsidRPr="0047753C">
        <w:rPr>
          <w:rFonts w:ascii="Times New Roman" w:eastAsia="Calibri" w:hAnsi="Times New Roman" w:cs="Times New Roman"/>
          <w:bCs/>
          <w:sz w:val="26"/>
          <w:szCs w:val="26"/>
        </w:rPr>
        <w:t>The PRA Administrative Cost is the average annual FERC cost associated with preparing, issuing, and submitting materials necessary to comply with the PRA for rulemakings, orders, or any other vehicle used to create, modify, extend, or discontinue an information collection.</w:t>
      </w:r>
      <w:r w:rsidR="004F42A8">
        <w:rPr>
          <w:rFonts w:ascii="Times New Roman" w:eastAsia="Calibri" w:hAnsi="Times New Roman" w:cs="Times New Roman"/>
          <w:bCs/>
          <w:sz w:val="26"/>
          <w:szCs w:val="26"/>
        </w:rPr>
        <w:t xml:space="preserve"> </w:t>
      </w:r>
      <w:r w:rsidRPr="0047753C">
        <w:rPr>
          <w:rFonts w:ascii="Times New Roman" w:eastAsia="Calibri" w:hAnsi="Times New Roman" w:cs="Times New Roman"/>
          <w:bCs/>
          <w:sz w:val="26"/>
          <w:szCs w:val="26"/>
        </w:rPr>
        <w:t>It also includes the cost of publishing the necessary notices in the Federal Register.</w:t>
      </w:r>
    </w:p>
    <w:p w:rsidR="00AC6619" w:rsidRPr="00AC6619" w:rsidP="000C34EA" w14:paraId="6C61121C" w14:textId="77777777">
      <w:pPr>
        <w:spacing w:after="0" w:line="240" w:lineRule="auto"/>
        <w:contextualSpacing/>
        <w:rPr>
          <w:rFonts w:ascii="Times New Roman" w:eastAsia="Times New Roman" w:hAnsi="Times New Roman" w:cs="Times New Roman"/>
          <w:b/>
          <w:sz w:val="24"/>
          <w:szCs w:val="24"/>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6"/>
        <w:gridCol w:w="3043"/>
        <w:gridCol w:w="2937"/>
      </w:tblGrid>
      <w:tr w14:paraId="25FE94AE" w14:textId="77777777" w:rsidTr="00ED00B2">
        <w:tblPrEx>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6619" w:rsidRPr="00391298" w:rsidP="00AC6619" w14:paraId="6300BFBE" w14:textId="77777777">
            <w:pPr>
              <w:spacing w:after="0" w:line="240" w:lineRule="auto"/>
              <w:contextualSpacing/>
              <w:rPr>
                <w:rFonts w:ascii="Times New Roman" w:eastAsia="Times New Roman" w:hAnsi="Times New Roman" w:cs="Times New Roman"/>
                <w:b/>
                <w:sz w:val="26"/>
                <w:szCs w:val="26"/>
              </w:rPr>
            </w:pPr>
            <w:r w:rsidRPr="00391298">
              <w:rPr>
                <w:rFonts w:ascii="Times New Roman" w:eastAsia="Times New Roman" w:hAnsi="Times New Roman" w:cs="Times New Roman"/>
                <w:b/>
                <w:sz w:val="26"/>
                <w:szCs w:val="26"/>
              </w:rPr>
              <w:t>FERC-</w:t>
            </w:r>
            <w:r w:rsidR="007A74C6">
              <w:rPr>
                <w:rFonts w:ascii="Times New Roman" w:eastAsia="Times New Roman" w:hAnsi="Times New Roman" w:cs="Times New Roman"/>
                <w:b/>
                <w:sz w:val="26"/>
                <w:szCs w:val="26"/>
              </w:rPr>
              <w:t>549E</w:t>
            </w:r>
          </w:p>
          <w:p w:rsidR="00AC6619" w:rsidRPr="00AC6619" w:rsidP="00AC6619" w14:paraId="2EC8DABB" w14:textId="77777777">
            <w:pPr>
              <w:spacing w:after="0" w:line="240" w:lineRule="auto"/>
              <w:contextualSpacing/>
              <w:rPr>
                <w:rFonts w:ascii="Times New Roman" w:eastAsia="Times New Roman" w:hAnsi="Times New Roman" w:cs="Times New Roman"/>
                <w:b/>
                <w:sz w:val="26"/>
                <w:szCs w:val="26"/>
              </w:rPr>
            </w:pPr>
          </w:p>
        </w:tc>
        <w:tc>
          <w:tcPr>
            <w:tcW w:w="16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C6619" w:rsidRPr="00AC6619" w:rsidP="00AC6619" w14:paraId="6A7BF154" w14:textId="77777777">
            <w:pPr>
              <w:spacing w:after="0" w:line="240" w:lineRule="auto"/>
              <w:contextualSpacing/>
              <w:jc w:val="center"/>
              <w:rPr>
                <w:rFonts w:ascii="Times New Roman" w:eastAsia="Times New Roman" w:hAnsi="Times New Roman" w:cs="Times New Roman"/>
                <w:b/>
                <w:sz w:val="26"/>
                <w:szCs w:val="26"/>
              </w:rPr>
            </w:pPr>
            <w:r w:rsidRPr="00AC6619">
              <w:rPr>
                <w:rFonts w:ascii="Times New Roman" w:eastAsia="Times New Roman" w:hAnsi="Times New Roman" w:cs="Times New Roman"/>
                <w:b/>
                <w:sz w:val="26"/>
                <w:szCs w:val="26"/>
              </w:rPr>
              <w:t>Number of Employees (FTE)</w:t>
            </w:r>
          </w:p>
        </w:tc>
        <w:tc>
          <w:tcPr>
            <w:tcW w:w="15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C6619" w:rsidRPr="00AC6619" w:rsidP="00AC6619" w14:paraId="2FE6029A" w14:textId="77777777">
            <w:pPr>
              <w:spacing w:after="0" w:line="240" w:lineRule="auto"/>
              <w:contextualSpacing/>
              <w:jc w:val="center"/>
              <w:rPr>
                <w:rFonts w:ascii="Times New Roman" w:eastAsia="Times New Roman" w:hAnsi="Times New Roman" w:cs="Times New Roman"/>
                <w:b/>
                <w:sz w:val="26"/>
                <w:szCs w:val="26"/>
              </w:rPr>
            </w:pPr>
            <w:r w:rsidRPr="00AC6619">
              <w:rPr>
                <w:rFonts w:ascii="Times New Roman" w:eastAsia="Times New Roman" w:hAnsi="Times New Roman" w:cs="Times New Roman"/>
                <w:b/>
                <w:sz w:val="26"/>
                <w:szCs w:val="26"/>
              </w:rPr>
              <w:t>Estimated Annual Federal Cost</w:t>
            </w:r>
          </w:p>
        </w:tc>
      </w:tr>
      <w:tr w14:paraId="3626A1C7" w14:textId="77777777" w:rsidTr="00ED00B2">
        <w:tblPrEx>
          <w:tblW w:w="4955" w:type="pct"/>
          <w:tblLook w:val="01E0"/>
        </w:tblPrEx>
        <w:trPr>
          <w:trHeight w:val="764"/>
        </w:trPr>
        <w:tc>
          <w:tcPr>
            <w:tcW w:w="1773" w:type="pct"/>
            <w:tcBorders>
              <w:top w:val="single" w:sz="4" w:space="0" w:color="auto"/>
              <w:left w:val="single" w:sz="4" w:space="0" w:color="auto"/>
              <w:bottom w:val="single" w:sz="4" w:space="0" w:color="auto"/>
              <w:right w:val="single" w:sz="4" w:space="0" w:color="auto"/>
            </w:tcBorders>
            <w:vAlign w:val="center"/>
            <w:hideMark/>
          </w:tcPr>
          <w:p w:rsidR="00AC6619" w:rsidRPr="00AC6619" w:rsidP="00AC6619" w14:paraId="329A9CAC" w14:textId="77777777">
            <w:pPr>
              <w:spacing w:after="0" w:line="240" w:lineRule="auto"/>
              <w:contextualSpacing/>
              <w:rPr>
                <w:rFonts w:ascii="Times New Roman" w:eastAsia="Times New Roman" w:hAnsi="Times New Roman" w:cs="Times New Roman"/>
                <w:sz w:val="26"/>
                <w:szCs w:val="26"/>
              </w:rPr>
            </w:pPr>
            <w:r w:rsidRPr="00AC6619">
              <w:rPr>
                <w:rFonts w:ascii="Times New Roman" w:eastAsia="Times New Roman" w:hAnsi="Times New Roman" w:cs="Times New Roman"/>
                <w:sz w:val="26"/>
                <w:szCs w:val="26"/>
              </w:rPr>
              <w:t>Analysis and Processing of Filings</w:t>
            </w:r>
            <w:r>
              <w:rPr>
                <w:rFonts w:ascii="Times New Roman" w:eastAsia="Times New Roman" w:hAnsi="Times New Roman" w:cs="Times New Roman"/>
                <w:sz w:val="26"/>
                <w:szCs w:val="26"/>
                <w:vertAlign w:val="superscript"/>
              </w:rPr>
              <w:footnoteReference w:id="25"/>
            </w:r>
          </w:p>
        </w:tc>
        <w:tc>
          <w:tcPr>
            <w:tcW w:w="1642" w:type="pct"/>
            <w:tcBorders>
              <w:top w:val="single" w:sz="4" w:space="0" w:color="auto"/>
              <w:left w:val="single" w:sz="4" w:space="0" w:color="auto"/>
              <w:bottom w:val="single" w:sz="4" w:space="0" w:color="auto"/>
              <w:right w:val="single" w:sz="4" w:space="0" w:color="auto"/>
            </w:tcBorders>
            <w:vAlign w:val="center"/>
            <w:hideMark/>
          </w:tcPr>
          <w:p w:rsidR="00AC6619" w:rsidRPr="00AC6619" w:rsidP="00AC6619" w14:paraId="70793492" w14:textId="35B9B184">
            <w:pPr>
              <w:spacing w:after="0" w:line="240" w:lineRule="auto"/>
              <w:contextualSpacing/>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F13D21">
              <w:rPr>
                <w:rFonts w:ascii="Times New Roman" w:eastAsia="Times New Roman" w:hAnsi="Times New Roman" w:cs="Times New Roman"/>
                <w:sz w:val="26"/>
                <w:szCs w:val="26"/>
              </w:rPr>
              <w:t>1</w:t>
            </w:r>
          </w:p>
        </w:tc>
        <w:tc>
          <w:tcPr>
            <w:tcW w:w="1586" w:type="pct"/>
            <w:tcBorders>
              <w:top w:val="single" w:sz="4" w:space="0" w:color="auto"/>
              <w:left w:val="single" w:sz="4" w:space="0" w:color="auto"/>
              <w:bottom w:val="single" w:sz="4" w:space="0" w:color="auto"/>
              <w:right w:val="single" w:sz="4" w:space="0" w:color="auto"/>
            </w:tcBorders>
            <w:vAlign w:val="center"/>
            <w:hideMark/>
          </w:tcPr>
          <w:p w:rsidR="00AC6619" w:rsidRPr="00AC6619" w:rsidP="00AC6619" w14:paraId="74E2A6D1" w14:textId="6EFF3B8E">
            <w:pPr>
              <w:spacing w:after="0" w:line="240" w:lineRule="auto"/>
              <w:contextualSpacing/>
              <w:jc w:val="right"/>
              <w:rPr>
                <w:rFonts w:ascii="Times New Roman" w:eastAsia="Times New Roman" w:hAnsi="Times New Roman" w:cs="Times New Roman"/>
                <w:sz w:val="26"/>
                <w:szCs w:val="26"/>
              </w:rPr>
            </w:pPr>
            <w:r w:rsidRPr="00AC6619">
              <w:rPr>
                <w:rFonts w:ascii="Times New Roman" w:eastAsia="Times New Roman" w:hAnsi="Times New Roman" w:cs="Times New Roman"/>
                <w:sz w:val="26"/>
                <w:szCs w:val="26"/>
              </w:rPr>
              <w:t>$</w:t>
            </w:r>
            <w:r w:rsidRPr="007174A6" w:rsidR="007174A6">
              <w:rPr>
                <w:rFonts w:ascii="Times New Roman" w:eastAsia="Times New Roman" w:hAnsi="Times New Roman" w:cs="Times New Roman"/>
                <w:sz w:val="26"/>
                <w:szCs w:val="26"/>
              </w:rPr>
              <w:t>21</w:t>
            </w:r>
            <w:r w:rsidR="007174A6">
              <w:rPr>
                <w:rFonts w:ascii="Times New Roman" w:eastAsia="Times New Roman" w:hAnsi="Times New Roman" w:cs="Times New Roman"/>
                <w:sz w:val="26"/>
                <w:szCs w:val="26"/>
              </w:rPr>
              <w:t>,</w:t>
            </w:r>
            <w:r w:rsidRPr="007174A6" w:rsidR="007174A6">
              <w:rPr>
                <w:rFonts w:ascii="Times New Roman" w:eastAsia="Times New Roman" w:hAnsi="Times New Roman" w:cs="Times New Roman"/>
                <w:sz w:val="26"/>
                <w:szCs w:val="26"/>
              </w:rPr>
              <w:t>409</w:t>
            </w:r>
          </w:p>
        </w:tc>
      </w:tr>
      <w:tr w14:paraId="220939F7" w14:textId="77777777" w:rsidTr="00ED00B2">
        <w:tblPrEx>
          <w:tblW w:w="4955" w:type="pct"/>
          <w:tblLook w:val="01E0"/>
        </w:tblPrEx>
        <w:trPr>
          <w:trHeight w:val="683"/>
        </w:trPr>
        <w:tc>
          <w:tcPr>
            <w:tcW w:w="1773" w:type="pct"/>
            <w:tcBorders>
              <w:top w:val="single" w:sz="4" w:space="0" w:color="auto"/>
              <w:left w:val="single" w:sz="4" w:space="0" w:color="auto"/>
              <w:bottom w:val="single" w:sz="4" w:space="0" w:color="auto"/>
              <w:right w:val="single" w:sz="4" w:space="0" w:color="auto"/>
            </w:tcBorders>
            <w:vAlign w:val="center"/>
            <w:hideMark/>
          </w:tcPr>
          <w:p w:rsidR="00AC6619" w:rsidRPr="00AC6619" w:rsidP="00AC6619" w14:paraId="031920E5" w14:textId="77777777">
            <w:pPr>
              <w:spacing w:after="0" w:line="240" w:lineRule="auto"/>
              <w:contextualSpacing/>
              <w:rPr>
                <w:rFonts w:ascii="Times New Roman" w:eastAsia="Times New Roman" w:hAnsi="Times New Roman" w:cs="Times New Roman"/>
                <w:sz w:val="26"/>
                <w:szCs w:val="26"/>
              </w:rPr>
            </w:pPr>
            <w:r w:rsidRPr="00AC6619">
              <w:rPr>
                <w:rFonts w:ascii="Times New Roman" w:eastAsia="Times New Roman" w:hAnsi="Times New Roman" w:cs="Times New Roman"/>
                <w:sz w:val="26"/>
                <w:szCs w:val="26"/>
              </w:rPr>
              <w:t>PRA</w:t>
            </w:r>
            <w:r>
              <w:rPr>
                <w:rFonts w:ascii="Times New Roman" w:eastAsia="Times New Roman" w:hAnsi="Times New Roman" w:cs="Times New Roman"/>
                <w:sz w:val="26"/>
                <w:szCs w:val="26"/>
                <w:vertAlign w:val="superscript"/>
              </w:rPr>
              <w:footnoteReference w:id="26"/>
            </w:r>
            <w:r w:rsidRPr="00155710">
              <w:rPr>
                <w:rFonts w:ascii="Times New Roman" w:eastAsia="Times New Roman" w:hAnsi="Times New Roman" w:cs="Times New Roman"/>
                <w:sz w:val="26"/>
                <w:szCs w:val="26"/>
              </w:rPr>
              <w:t xml:space="preserve"> </w:t>
            </w:r>
            <w:r w:rsidRPr="00AC6619">
              <w:rPr>
                <w:rFonts w:ascii="Times New Roman" w:eastAsia="Times New Roman" w:hAnsi="Times New Roman" w:cs="Times New Roman"/>
                <w:sz w:val="26"/>
                <w:szCs w:val="26"/>
              </w:rPr>
              <w:t>Administrative Cost</w:t>
            </w:r>
          </w:p>
        </w:tc>
        <w:tc>
          <w:tcPr>
            <w:tcW w:w="16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6619" w:rsidRPr="00AC6619" w:rsidP="00AC6619" w14:paraId="760F9D3F" w14:textId="77777777">
            <w:pPr>
              <w:spacing w:after="0" w:line="240" w:lineRule="auto"/>
              <w:contextualSpacing/>
              <w:jc w:val="right"/>
              <w:rPr>
                <w:rFonts w:ascii="Times New Roman" w:eastAsia="Times New Roman" w:hAnsi="Times New Roman" w:cs="Times New Roman"/>
                <w:b/>
                <w:sz w:val="26"/>
                <w:szCs w:val="26"/>
              </w:rPr>
            </w:pPr>
          </w:p>
        </w:tc>
        <w:tc>
          <w:tcPr>
            <w:tcW w:w="1586" w:type="pct"/>
            <w:tcBorders>
              <w:top w:val="single" w:sz="4" w:space="0" w:color="auto"/>
              <w:left w:val="single" w:sz="4" w:space="0" w:color="auto"/>
              <w:bottom w:val="single" w:sz="4" w:space="0" w:color="auto"/>
              <w:right w:val="single" w:sz="4" w:space="0" w:color="auto"/>
            </w:tcBorders>
            <w:vAlign w:val="center"/>
            <w:hideMark/>
          </w:tcPr>
          <w:p w:rsidR="00AC6619" w:rsidRPr="00AC6619" w:rsidP="00AC6619" w14:paraId="50107299" w14:textId="20AA6D22">
            <w:pPr>
              <w:spacing w:after="0" w:line="240" w:lineRule="auto"/>
              <w:contextualSpacing/>
              <w:jc w:val="right"/>
              <w:rPr>
                <w:rFonts w:ascii="Times New Roman" w:eastAsia="Times New Roman" w:hAnsi="Times New Roman" w:cs="Times New Roman"/>
                <w:sz w:val="26"/>
                <w:szCs w:val="26"/>
              </w:rPr>
            </w:pPr>
            <w:r w:rsidRPr="00AC6619">
              <w:rPr>
                <w:rFonts w:ascii="Times New Roman" w:eastAsia="Times New Roman" w:hAnsi="Times New Roman" w:cs="Times New Roman"/>
                <w:sz w:val="26"/>
                <w:szCs w:val="26"/>
              </w:rPr>
              <w:t>$</w:t>
            </w:r>
            <w:r w:rsidRPr="006B4419" w:rsidR="006B4419">
              <w:rPr>
                <w:rFonts w:ascii="Times New Roman" w:eastAsia="Times New Roman" w:hAnsi="Times New Roman" w:cs="Times New Roman"/>
                <w:sz w:val="26"/>
                <w:szCs w:val="26"/>
              </w:rPr>
              <w:t>7,978</w:t>
            </w:r>
          </w:p>
        </w:tc>
      </w:tr>
      <w:tr w14:paraId="13D80417" w14:textId="77777777" w:rsidTr="00ED00B2">
        <w:tblPrEx>
          <w:tblW w:w="4955" w:type="pct"/>
          <w:tblLook w:val="01E0"/>
        </w:tblPrEx>
        <w:trPr>
          <w:trHeight w:val="584"/>
        </w:trPr>
        <w:tc>
          <w:tcPr>
            <w:tcW w:w="1773" w:type="pct"/>
            <w:tcBorders>
              <w:top w:val="single" w:sz="4" w:space="0" w:color="auto"/>
              <w:left w:val="single" w:sz="4" w:space="0" w:color="auto"/>
              <w:bottom w:val="single" w:sz="4" w:space="0" w:color="auto"/>
              <w:right w:val="single" w:sz="4" w:space="0" w:color="auto"/>
            </w:tcBorders>
            <w:vAlign w:val="center"/>
            <w:hideMark/>
          </w:tcPr>
          <w:p w:rsidR="00AC6619" w:rsidRPr="00AC6619" w:rsidP="00AC6619" w14:paraId="57017F29" w14:textId="77777777">
            <w:pPr>
              <w:spacing w:after="0" w:line="240" w:lineRule="auto"/>
              <w:contextualSpacing/>
              <w:rPr>
                <w:rFonts w:ascii="Times New Roman" w:eastAsia="Times New Roman" w:hAnsi="Times New Roman" w:cs="Times New Roman"/>
                <w:b/>
                <w:bCs/>
                <w:sz w:val="26"/>
                <w:szCs w:val="26"/>
              </w:rPr>
            </w:pPr>
            <w:r w:rsidRPr="00AC6619">
              <w:rPr>
                <w:rFonts w:ascii="Times New Roman" w:eastAsia="Times New Roman" w:hAnsi="Times New Roman" w:cs="Times New Roman"/>
                <w:b/>
                <w:bCs/>
                <w:sz w:val="26"/>
                <w:szCs w:val="26"/>
              </w:rPr>
              <w:t>FERC Total</w:t>
            </w:r>
          </w:p>
        </w:tc>
        <w:tc>
          <w:tcPr>
            <w:tcW w:w="16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6619" w:rsidRPr="00AC6619" w:rsidP="00AC6619" w14:paraId="6F783E34" w14:textId="77777777">
            <w:pPr>
              <w:spacing w:after="0" w:line="240" w:lineRule="auto"/>
              <w:contextualSpacing/>
              <w:jc w:val="right"/>
              <w:rPr>
                <w:rFonts w:ascii="Times New Roman" w:eastAsia="Times New Roman" w:hAnsi="Times New Roman" w:cs="Times New Roman"/>
                <w:b/>
                <w:sz w:val="26"/>
                <w:szCs w:val="26"/>
              </w:rPr>
            </w:pPr>
          </w:p>
        </w:tc>
        <w:tc>
          <w:tcPr>
            <w:tcW w:w="1586" w:type="pct"/>
            <w:tcBorders>
              <w:top w:val="single" w:sz="4" w:space="0" w:color="auto"/>
              <w:left w:val="single" w:sz="4" w:space="0" w:color="auto"/>
              <w:bottom w:val="single" w:sz="4" w:space="0" w:color="auto"/>
              <w:right w:val="single" w:sz="4" w:space="0" w:color="auto"/>
            </w:tcBorders>
            <w:vAlign w:val="center"/>
            <w:hideMark/>
          </w:tcPr>
          <w:p w:rsidR="00AC6619" w:rsidRPr="00AC6619" w:rsidP="00AC6619" w14:paraId="72F749D2" w14:textId="279B1508">
            <w:pPr>
              <w:spacing w:after="0" w:line="240" w:lineRule="auto"/>
              <w:contextualSpacing/>
              <w:jc w:val="right"/>
              <w:rPr>
                <w:rFonts w:ascii="Times New Roman" w:eastAsia="Times New Roman" w:hAnsi="Times New Roman" w:cs="Times New Roman"/>
                <w:sz w:val="26"/>
                <w:szCs w:val="26"/>
              </w:rPr>
            </w:pPr>
            <w:r w:rsidRPr="00AC6619">
              <w:rPr>
                <w:rFonts w:ascii="Times New Roman" w:eastAsia="Times New Roman" w:hAnsi="Times New Roman" w:cs="Times New Roman"/>
                <w:sz w:val="26"/>
                <w:szCs w:val="26"/>
              </w:rPr>
              <w:t>$</w:t>
            </w:r>
            <w:r w:rsidR="00B35745">
              <w:rPr>
                <w:rFonts w:ascii="Times New Roman" w:eastAsia="Times New Roman" w:hAnsi="Times New Roman" w:cs="Times New Roman"/>
                <w:sz w:val="26"/>
                <w:szCs w:val="26"/>
              </w:rPr>
              <w:t>29,387</w:t>
            </w:r>
          </w:p>
        </w:tc>
      </w:tr>
    </w:tbl>
    <w:p w:rsidR="00AC6619" w:rsidRPr="0047753C" w:rsidP="0047753C" w14:paraId="61219123" w14:textId="77777777">
      <w:pPr>
        <w:rPr>
          <w:rFonts w:ascii="Times New Roman" w:eastAsia="Calibri" w:hAnsi="Times New Roman" w:cs="Times New Roman"/>
          <w:bCs/>
          <w:sz w:val="26"/>
          <w:szCs w:val="26"/>
        </w:rPr>
      </w:pPr>
    </w:p>
    <w:p w:rsidR="0047753C" w:rsidRPr="0047753C" w:rsidP="0047753C" w14:paraId="5FC9E10D" w14:textId="77777777">
      <w:pPr>
        <w:rPr>
          <w:rFonts w:ascii="Times New Roman" w:eastAsia="Calibri" w:hAnsi="Times New Roman" w:cs="Times New Roman"/>
          <w:b/>
          <w:bCs/>
          <w:sz w:val="26"/>
          <w:szCs w:val="26"/>
        </w:rPr>
      </w:pPr>
      <w:r w:rsidRPr="0047753C">
        <w:rPr>
          <w:rFonts w:ascii="Times New Roman" w:eastAsia="Calibri" w:hAnsi="Times New Roman" w:cs="Times New Roman"/>
          <w:b/>
          <w:bCs/>
          <w:sz w:val="26"/>
          <w:szCs w:val="26"/>
        </w:rPr>
        <w:t>15.</w:t>
      </w:r>
      <w:r w:rsidRPr="0047753C">
        <w:rPr>
          <w:rFonts w:ascii="Times New Roman" w:eastAsia="Calibri" w:hAnsi="Times New Roman" w:cs="Times New Roman"/>
          <w:bCs/>
          <w:sz w:val="26"/>
          <w:szCs w:val="26"/>
        </w:rPr>
        <w:tab/>
      </w:r>
      <w:r w:rsidRPr="0047753C">
        <w:rPr>
          <w:rFonts w:ascii="Times New Roman" w:eastAsia="Calibri" w:hAnsi="Times New Roman" w:cs="Times New Roman"/>
          <w:b/>
          <w:bCs/>
          <w:sz w:val="26"/>
          <w:szCs w:val="26"/>
        </w:rPr>
        <w:t>REASONS FOR CHANGES IN BURDEN INCLUDING THE NEED FOR ANY INCREASE</w:t>
      </w:r>
    </w:p>
    <w:p w:rsidR="00F166E5" w:rsidP="00F166E5" w14:paraId="00E835A2" w14:textId="3ABC9105">
      <w:pPr>
        <w:tabs>
          <w:tab w:val="left" w:pos="2394"/>
        </w:tabs>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The need for implementing FERC-549E is described in Question #2.</w:t>
      </w:r>
      <w:r w:rsidR="004F42A8">
        <w:rPr>
          <w:rFonts w:ascii="Times New Roman" w:eastAsia="Times New Roman" w:hAnsi="Times New Roman" w:cs="Times New Roman"/>
          <w:sz w:val="26"/>
          <w:szCs w:val="26"/>
        </w:rPr>
        <w:t xml:space="preserve"> </w:t>
      </w:r>
      <w:r w:rsidRPr="00262E02">
        <w:rPr>
          <w:rFonts w:ascii="Times New Roman" w:eastAsia="Times New Roman" w:hAnsi="Times New Roman" w:cs="Times New Roman"/>
          <w:sz w:val="26"/>
          <w:szCs w:val="26"/>
        </w:rPr>
        <w:t>Costs related to burden hours are addressed in Question #12.</w:t>
      </w:r>
      <w:r w:rsidR="004F42A8">
        <w:rPr>
          <w:rFonts w:ascii="Times New Roman" w:eastAsia="Times New Roman" w:hAnsi="Times New Roman" w:cs="Times New Roman"/>
          <w:sz w:val="26"/>
          <w:szCs w:val="26"/>
        </w:rPr>
        <w:t xml:space="preserve"> </w:t>
      </w:r>
      <w:r w:rsidRPr="00D71E1E" w:rsidR="00D71E1E">
        <w:rPr>
          <w:rFonts w:ascii="Times New Roman" w:eastAsia="Times New Roman" w:hAnsi="Times New Roman" w:cs="Times New Roman"/>
          <w:sz w:val="26"/>
          <w:szCs w:val="26"/>
        </w:rPr>
        <w:t>The new collection includes an estimate of 249 respondents for data providers and 6 respondents for price index developers.</w:t>
      </w:r>
      <w:r w:rsidR="004F42A8">
        <w:rPr>
          <w:rFonts w:ascii="Times New Roman" w:eastAsia="Times New Roman" w:hAnsi="Times New Roman" w:cs="Times New Roman"/>
          <w:sz w:val="26"/>
          <w:szCs w:val="26"/>
        </w:rPr>
        <w:t xml:space="preserve"> </w:t>
      </w:r>
      <w:r w:rsidRPr="00F166E5">
        <w:rPr>
          <w:rFonts w:ascii="Times New Roman" w:eastAsia="Times New Roman" w:hAnsi="Times New Roman" w:cs="Times New Roman"/>
          <w:sz w:val="26"/>
          <w:szCs w:val="26"/>
        </w:rPr>
        <w:t>The following table shows the total burden of the collection of information.</w:t>
      </w:r>
      <w:r w:rsidR="004F42A8">
        <w:rPr>
          <w:rFonts w:ascii="Times New Roman" w:eastAsia="Times New Roman" w:hAnsi="Times New Roman" w:cs="Times New Roman"/>
          <w:sz w:val="26"/>
          <w:szCs w:val="26"/>
        </w:rPr>
        <w:t xml:space="preserve"> </w:t>
      </w:r>
      <w:r w:rsidRPr="00F166E5">
        <w:rPr>
          <w:rFonts w:ascii="Times New Roman" w:eastAsia="Times New Roman" w:hAnsi="Times New Roman" w:cs="Times New Roman"/>
          <w:sz w:val="26"/>
          <w:szCs w:val="26"/>
        </w:rPr>
        <w:t>The format, labels, and definitions of the table follow the ROCIS submission system’s “Information Collection Request Summary of Burden” for the metadata.</w:t>
      </w:r>
    </w:p>
    <w:p w:rsidR="002B0BE1" w:rsidRPr="00F166E5" w:rsidP="00F166E5" w14:paraId="6AFE01FC" w14:textId="77777777">
      <w:pPr>
        <w:tabs>
          <w:tab w:val="left" w:pos="2394"/>
        </w:tabs>
        <w:autoSpaceDE w:val="0"/>
        <w:autoSpaceDN w:val="0"/>
        <w:adjustRightInd w:val="0"/>
        <w:spacing w:after="0" w:line="240" w:lineRule="auto"/>
        <w:rPr>
          <w:rFonts w:ascii="Times New Roman" w:eastAsia="Times New Roman" w:hAnsi="Times New Roman" w:cs="Times New Roman"/>
          <w:sz w:val="26"/>
          <w:szCs w:val="26"/>
        </w:rPr>
      </w:pPr>
    </w:p>
    <w:tbl>
      <w:tblPr>
        <w:tblW w:w="5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4"/>
        <w:gridCol w:w="1791"/>
        <w:gridCol w:w="1386"/>
        <w:gridCol w:w="1880"/>
        <w:gridCol w:w="2153"/>
      </w:tblGrid>
      <w:tr w14:paraId="7596EC0A" w14:textId="77777777" w:rsidTr="002B0BE1">
        <w:tblPrEx>
          <w:tblW w:w="5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135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166E5" w:rsidRPr="00F166E5" w:rsidP="00F166E5" w14:paraId="675E4657" w14:textId="77777777">
            <w:pPr>
              <w:widowControl w:val="0"/>
              <w:autoSpaceDE w:val="0"/>
              <w:autoSpaceDN w:val="0"/>
              <w:adjustRightInd w:val="0"/>
              <w:spacing w:after="0" w:line="276" w:lineRule="auto"/>
              <w:jc w:val="center"/>
              <w:rPr>
                <w:rFonts w:ascii="Times New Roman" w:eastAsia="Times New Roman" w:hAnsi="Times New Roman" w:cs="Times New Roman"/>
                <w:b/>
                <w:sz w:val="26"/>
                <w:szCs w:val="26"/>
                <w:highlight w:val="lightGray"/>
              </w:rPr>
            </w:pPr>
            <w:r w:rsidRPr="00F166E5">
              <w:rPr>
                <w:rFonts w:ascii="Times New Roman" w:eastAsia="Times New Roman" w:hAnsi="Times New Roman" w:cs="Times New Roman"/>
                <w:b/>
                <w:sz w:val="26"/>
                <w:szCs w:val="26"/>
                <w:highlight w:val="lightGray"/>
              </w:rPr>
              <w:t>FERC-</w:t>
            </w:r>
            <w:r w:rsidR="007A74C6">
              <w:rPr>
                <w:rFonts w:ascii="Times New Roman" w:eastAsia="Times New Roman" w:hAnsi="Times New Roman" w:cs="Times New Roman"/>
                <w:b/>
                <w:sz w:val="26"/>
                <w:szCs w:val="26"/>
                <w:highlight w:val="lightGray"/>
              </w:rPr>
              <w:t>549E</w:t>
            </w:r>
          </w:p>
        </w:tc>
        <w:tc>
          <w:tcPr>
            <w:tcW w:w="905"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166E5" w:rsidRPr="00F166E5" w:rsidP="00F166E5" w14:paraId="26BD642E" w14:textId="77777777">
            <w:pPr>
              <w:widowControl w:val="0"/>
              <w:autoSpaceDE w:val="0"/>
              <w:autoSpaceDN w:val="0"/>
              <w:adjustRightInd w:val="0"/>
              <w:spacing w:after="0" w:line="276" w:lineRule="auto"/>
              <w:jc w:val="center"/>
              <w:rPr>
                <w:rFonts w:ascii="Times New Roman" w:eastAsia="Times New Roman" w:hAnsi="Times New Roman" w:cs="Times New Roman"/>
                <w:b/>
                <w:sz w:val="26"/>
                <w:szCs w:val="26"/>
                <w:highlight w:val="lightGray"/>
              </w:rPr>
            </w:pPr>
            <w:r w:rsidRPr="00F166E5">
              <w:rPr>
                <w:rFonts w:ascii="Times New Roman" w:eastAsia="Times New Roman" w:hAnsi="Times New Roman" w:cs="Times New Roman"/>
                <w:b/>
                <w:sz w:val="26"/>
                <w:szCs w:val="26"/>
                <w:highlight w:val="lightGray"/>
              </w:rPr>
              <w:t>Total Request</w:t>
            </w:r>
          </w:p>
        </w:tc>
        <w:tc>
          <w:tcPr>
            <w:tcW w:w="700"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166E5" w:rsidRPr="00F166E5" w:rsidP="00F166E5" w14:paraId="4AB8FF38" w14:textId="77777777">
            <w:pPr>
              <w:widowControl w:val="0"/>
              <w:autoSpaceDE w:val="0"/>
              <w:autoSpaceDN w:val="0"/>
              <w:adjustRightInd w:val="0"/>
              <w:spacing w:after="0" w:line="276" w:lineRule="auto"/>
              <w:jc w:val="center"/>
              <w:rPr>
                <w:rFonts w:ascii="Times New Roman" w:eastAsia="Times New Roman" w:hAnsi="Times New Roman" w:cs="Times New Roman"/>
                <w:b/>
                <w:sz w:val="26"/>
                <w:szCs w:val="26"/>
                <w:highlight w:val="lightGray"/>
              </w:rPr>
            </w:pPr>
            <w:r w:rsidRPr="00F166E5">
              <w:rPr>
                <w:rFonts w:ascii="Times New Roman" w:eastAsia="Times New Roman" w:hAnsi="Times New Roman" w:cs="Times New Roman"/>
                <w:b/>
                <w:sz w:val="26"/>
                <w:szCs w:val="26"/>
                <w:highlight w:val="lightGray"/>
              </w:rPr>
              <w:t>Previously Approved</w:t>
            </w: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166E5" w:rsidRPr="00F166E5" w:rsidP="00F166E5" w14:paraId="3623DE43" w14:textId="77777777">
            <w:pPr>
              <w:widowControl w:val="0"/>
              <w:autoSpaceDE w:val="0"/>
              <w:autoSpaceDN w:val="0"/>
              <w:adjustRightInd w:val="0"/>
              <w:spacing w:after="0" w:line="276" w:lineRule="auto"/>
              <w:jc w:val="center"/>
              <w:rPr>
                <w:rFonts w:ascii="Times New Roman" w:eastAsia="Times New Roman" w:hAnsi="Times New Roman" w:cs="Times New Roman"/>
                <w:b/>
                <w:sz w:val="26"/>
                <w:szCs w:val="26"/>
                <w:highlight w:val="lightGray"/>
              </w:rPr>
            </w:pPr>
            <w:r w:rsidRPr="00F166E5">
              <w:rPr>
                <w:rFonts w:ascii="Times New Roman" w:eastAsia="Times New Roman" w:hAnsi="Times New Roman" w:cs="Times New Roman"/>
                <w:b/>
                <w:sz w:val="26"/>
                <w:szCs w:val="26"/>
                <w:highlight w:val="lightGray"/>
              </w:rPr>
              <w:t>Change due to Adjustment in Estimate</w:t>
            </w:r>
          </w:p>
        </w:tc>
        <w:tc>
          <w:tcPr>
            <w:tcW w:w="108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166E5" w:rsidRPr="00F166E5" w:rsidP="00F166E5" w14:paraId="19127ECB" w14:textId="77777777">
            <w:pPr>
              <w:widowControl w:val="0"/>
              <w:autoSpaceDE w:val="0"/>
              <w:autoSpaceDN w:val="0"/>
              <w:adjustRightInd w:val="0"/>
              <w:spacing w:after="0" w:line="276" w:lineRule="auto"/>
              <w:jc w:val="center"/>
              <w:rPr>
                <w:rFonts w:ascii="Times New Roman" w:eastAsia="Times New Roman" w:hAnsi="Times New Roman" w:cs="Times New Roman"/>
                <w:b/>
                <w:sz w:val="26"/>
                <w:szCs w:val="26"/>
                <w:highlight w:val="lightGray"/>
              </w:rPr>
            </w:pPr>
            <w:r w:rsidRPr="00F166E5">
              <w:rPr>
                <w:rFonts w:ascii="Times New Roman" w:eastAsia="Times New Roman" w:hAnsi="Times New Roman" w:cs="Times New Roman"/>
                <w:b/>
                <w:sz w:val="26"/>
                <w:szCs w:val="26"/>
                <w:highlight w:val="lightGray"/>
              </w:rPr>
              <w:t>Change Due to Agency Discretion</w:t>
            </w:r>
          </w:p>
        </w:tc>
      </w:tr>
      <w:tr w14:paraId="0B6BE03D" w14:textId="77777777" w:rsidTr="002B0BE1">
        <w:tblPrEx>
          <w:tblW w:w="5291" w:type="pct"/>
          <w:tblLook w:val="01E0"/>
        </w:tblPrEx>
        <w:trPr>
          <w:trHeight w:val="591"/>
        </w:trPr>
        <w:tc>
          <w:tcPr>
            <w:tcW w:w="1356" w:type="pct"/>
            <w:tcBorders>
              <w:top w:val="single" w:sz="4" w:space="0" w:color="auto"/>
              <w:left w:val="single" w:sz="4" w:space="0" w:color="auto"/>
              <w:bottom w:val="single" w:sz="4" w:space="0" w:color="auto"/>
              <w:right w:val="single" w:sz="4" w:space="0" w:color="auto"/>
            </w:tcBorders>
            <w:hideMark/>
          </w:tcPr>
          <w:p w:rsidR="002B0BE1" w:rsidRPr="00C125A5" w:rsidP="002B0BE1" w14:paraId="39EA219C" w14:textId="77777777">
            <w:pPr>
              <w:widowControl w:val="0"/>
              <w:autoSpaceDE w:val="0"/>
              <w:autoSpaceDN w:val="0"/>
              <w:adjustRightInd w:val="0"/>
              <w:spacing w:after="0" w:line="276" w:lineRule="auto"/>
              <w:jc w:val="center"/>
              <w:rPr>
                <w:rFonts w:ascii="Times New Roman" w:eastAsia="Times New Roman" w:hAnsi="Times New Roman" w:cs="Times New Roman"/>
                <w:sz w:val="26"/>
                <w:szCs w:val="26"/>
              </w:rPr>
            </w:pPr>
            <w:r w:rsidRPr="00C125A5">
              <w:rPr>
                <w:rFonts w:ascii="Times New Roman" w:eastAsia="Times New Roman" w:hAnsi="Times New Roman" w:cs="Times New Roman"/>
                <w:sz w:val="26"/>
                <w:szCs w:val="26"/>
              </w:rPr>
              <w:t>Annual Number of Responses</w:t>
            </w:r>
          </w:p>
        </w:tc>
        <w:tc>
          <w:tcPr>
            <w:tcW w:w="905" w:type="pct"/>
            <w:tcBorders>
              <w:top w:val="single" w:sz="4" w:space="0" w:color="auto"/>
              <w:left w:val="single" w:sz="4" w:space="0" w:color="auto"/>
              <w:bottom w:val="single" w:sz="4" w:space="0" w:color="auto"/>
              <w:right w:val="single" w:sz="4" w:space="0" w:color="auto"/>
            </w:tcBorders>
            <w:vAlign w:val="center"/>
            <w:hideMark/>
          </w:tcPr>
          <w:p w:rsidR="002B0BE1" w:rsidRPr="00C125A5" w:rsidP="002B0BE1" w14:paraId="66183FC0" w14:textId="7823EA4B">
            <w:pPr>
              <w:widowControl w:val="0"/>
              <w:autoSpaceDE w:val="0"/>
              <w:autoSpaceDN w:val="0"/>
              <w:adjustRightInd w:val="0"/>
              <w:spacing w:after="0" w:line="276"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19,825</w:t>
            </w:r>
          </w:p>
        </w:tc>
        <w:tc>
          <w:tcPr>
            <w:tcW w:w="700" w:type="pct"/>
            <w:tcBorders>
              <w:top w:val="single" w:sz="4" w:space="0" w:color="auto"/>
              <w:left w:val="single" w:sz="4" w:space="0" w:color="auto"/>
              <w:bottom w:val="single" w:sz="4" w:space="0" w:color="auto"/>
              <w:right w:val="single" w:sz="4" w:space="0" w:color="auto"/>
            </w:tcBorders>
            <w:vAlign w:val="center"/>
            <w:hideMark/>
          </w:tcPr>
          <w:p w:rsidR="002B0BE1" w:rsidRPr="00C125A5" w:rsidP="002B0BE1" w14:paraId="4B52A009" w14:textId="24926286">
            <w:pPr>
              <w:widowControl w:val="0"/>
              <w:autoSpaceDE w:val="0"/>
              <w:autoSpaceDN w:val="0"/>
              <w:adjustRightInd w:val="0"/>
              <w:spacing w:after="0" w:line="276" w:lineRule="auto"/>
              <w:jc w:val="right"/>
              <w:rPr>
                <w:rFonts w:ascii="Times New Roman" w:eastAsia="Times New Roman" w:hAnsi="Times New Roman" w:cs="Times New Roman"/>
                <w:sz w:val="26"/>
                <w:szCs w:val="26"/>
              </w:rPr>
            </w:pPr>
            <w:r w:rsidRPr="00C125A5">
              <w:rPr>
                <w:rFonts w:ascii="Times New Roman" w:eastAsia="Times New Roman" w:hAnsi="Times New Roman" w:cs="Times New Roman"/>
                <w:sz w:val="26"/>
                <w:szCs w:val="26"/>
              </w:rPr>
              <w:t>24,893</w:t>
            </w:r>
          </w:p>
        </w:tc>
        <w:tc>
          <w:tcPr>
            <w:tcW w:w="950" w:type="pct"/>
            <w:tcBorders>
              <w:top w:val="single" w:sz="4" w:space="0" w:color="auto"/>
              <w:left w:val="single" w:sz="4" w:space="0" w:color="auto"/>
              <w:bottom w:val="single" w:sz="4" w:space="0" w:color="auto"/>
              <w:right w:val="single" w:sz="4" w:space="0" w:color="auto"/>
            </w:tcBorders>
            <w:vAlign w:val="center"/>
            <w:hideMark/>
          </w:tcPr>
          <w:p w:rsidR="002B0BE1" w:rsidRPr="00C125A5" w:rsidP="002B0BE1" w14:paraId="3BD259B4" w14:textId="4CD875A9">
            <w:pPr>
              <w:widowControl w:val="0"/>
              <w:autoSpaceDE w:val="0"/>
              <w:autoSpaceDN w:val="0"/>
              <w:adjustRightInd w:val="0"/>
              <w:spacing w:after="0" w:line="276"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-5,068</w:t>
            </w:r>
          </w:p>
        </w:tc>
        <w:tc>
          <w:tcPr>
            <w:tcW w:w="1088" w:type="pct"/>
            <w:tcBorders>
              <w:top w:val="single" w:sz="4" w:space="0" w:color="auto"/>
              <w:left w:val="single" w:sz="4" w:space="0" w:color="auto"/>
              <w:bottom w:val="single" w:sz="4" w:space="0" w:color="auto"/>
              <w:right w:val="single" w:sz="4" w:space="0" w:color="auto"/>
            </w:tcBorders>
            <w:vAlign w:val="center"/>
            <w:hideMark/>
          </w:tcPr>
          <w:p w:rsidR="002B0BE1" w:rsidRPr="00C125A5" w:rsidP="002B0BE1" w14:paraId="0FC81F77" w14:textId="77777777">
            <w:pPr>
              <w:widowControl w:val="0"/>
              <w:autoSpaceDE w:val="0"/>
              <w:autoSpaceDN w:val="0"/>
              <w:adjustRightInd w:val="0"/>
              <w:spacing w:after="0" w:line="276" w:lineRule="auto"/>
              <w:jc w:val="right"/>
              <w:rPr>
                <w:rFonts w:ascii="Times New Roman" w:eastAsia="Times New Roman" w:hAnsi="Times New Roman" w:cs="Times New Roman"/>
                <w:sz w:val="26"/>
                <w:szCs w:val="26"/>
              </w:rPr>
            </w:pPr>
            <w:r w:rsidRPr="00C125A5">
              <w:rPr>
                <w:rFonts w:ascii="Times New Roman" w:eastAsia="Times New Roman" w:hAnsi="Times New Roman" w:cs="Times New Roman"/>
                <w:sz w:val="26"/>
                <w:szCs w:val="26"/>
              </w:rPr>
              <w:t>0</w:t>
            </w:r>
          </w:p>
        </w:tc>
      </w:tr>
      <w:tr w14:paraId="08A87B07" w14:textId="77777777" w:rsidTr="002B0BE1">
        <w:tblPrEx>
          <w:tblW w:w="5291" w:type="pct"/>
          <w:tblLook w:val="01E0"/>
        </w:tblPrEx>
        <w:trPr>
          <w:trHeight w:val="575"/>
        </w:trPr>
        <w:tc>
          <w:tcPr>
            <w:tcW w:w="1356" w:type="pct"/>
            <w:tcBorders>
              <w:top w:val="single" w:sz="4" w:space="0" w:color="auto"/>
              <w:left w:val="single" w:sz="4" w:space="0" w:color="auto"/>
              <w:bottom w:val="single" w:sz="4" w:space="0" w:color="auto"/>
              <w:right w:val="single" w:sz="4" w:space="0" w:color="auto"/>
            </w:tcBorders>
            <w:hideMark/>
          </w:tcPr>
          <w:p w:rsidR="002B0BE1" w:rsidRPr="00C125A5" w:rsidP="002B0BE1" w14:paraId="44864CFE" w14:textId="77777777">
            <w:pPr>
              <w:widowControl w:val="0"/>
              <w:autoSpaceDE w:val="0"/>
              <w:autoSpaceDN w:val="0"/>
              <w:adjustRightInd w:val="0"/>
              <w:spacing w:after="0" w:line="276" w:lineRule="auto"/>
              <w:jc w:val="center"/>
              <w:rPr>
                <w:rFonts w:ascii="Times New Roman" w:eastAsia="Times New Roman" w:hAnsi="Times New Roman" w:cs="Times New Roman"/>
                <w:sz w:val="26"/>
                <w:szCs w:val="26"/>
              </w:rPr>
            </w:pPr>
            <w:r w:rsidRPr="00C125A5">
              <w:rPr>
                <w:rFonts w:ascii="Times New Roman" w:eastAsia="Times New Roman" w:hAnsi="Times New Roman" w:cs="Times New Roman"/>
                <w:sz w:val="26"/>
                <w:szCs w:val="26"/>
              </w:rPr>
              <w:t>Annual Time Burden (Hours)</w:t>
            </w:r>
          </w:p>
        </w:tc>
        <w:tc>
          <w:tcPr>
            <w:tcW w:w="905" w:type="pct"/>
            <w:tcBorders>
              <w:top w:val="single" w:sz="4" w:space="0" w:color="auto"/>
              <w:left w:val="single" w:sz="4" w:space="0" w:color="auto"/>
              <w:bottom w:val="single" w:sz="4" w:space="0" w:color="auto"/>
              <w:right w:val="single" w:sz="4" w:space="0" w:color="auto"/>
            </w:tcBorders>
            <w:vAlign w:val="center"/>
            <w:hideMark/>
          </w:tcPr>
          <w:p w:rsidR="002B0BE1" w:rsidRPr="00C125A5" w:rsidP="002B0BE1" w14:paraId="6F447507" w14:textId="5563C3EA">
            <w:pPr>
              <w:widowControl w:val="0"/>
              <w:autoSpaceDE w:val="0"/>
              <w:autoSpaceDN w:val="0"/>
              <w:adjustRightInd w:val="0"/>
              <w:spacing w:after="0" w:line="276"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84,125</w:t>
            </w:r>
          </w:p>
        </w:tc>
        <w:tc>
          <w:tcPr>
            <w:tcW w:w="700" w:type="pct"/>
            <w:tcBorders>
              <w:top w:val="single" w:sz="4" w:space="0" w:color="auto"/>
              <w:left w:val="single" w:sz="4" w:space="0" w:color="auto"/>
              <w:bottom w:val="single" w:sz="4" w:space="0" w:color="auto"/>
              <w:right w:val="single" w:sz="4" w:space="0" w:color="auto"/>
            </w:tcBorders>
            <w:vAlign w:val="center"/>
            <w:hideMark/>
          </w:tcPr>
          <w:p w:rsidR="002B0BE1" w:rsidRPr="00C125A5" w:rsidP="002B0BE1" w14:paraId="304A75B2" w14:textId="1B293AE6">
            <w:pPr>
              <w:widowControl w:val="0"/>
              <w:autoSpaceDE w:val="0"/>
              <w:autoSpaceDN w:val="0"/>
              <w:adjustRightInd w:val="0"/>
              <w:spacing w:after="0" w:line="276"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104,701</w:t>
            </w:r>
          </w:p>
        </w:tc>
        <w:tc>
          <w:tcPr>
            <w:tcW w:w="950" w:type="pct"/>
            <w:tcBorders>
              <w:top w:val="single" w:sz="4" w:space="0" w:color="auto"/>
              <w:left w:val="single" w:sz="4" w:space="0" w:color="auto"/>
              <w:bottom w:val="single" w:sz="4" w:space="0" w:color="auto"/>
              <w:right w:val="single" w:sz="4" w:space="0" w:color="auto"/>
            </w:tcBorders>
            <w:vAlign w:val="center"/>
            <w:hideMark/>
          </w:tcPr>
          <w:p w:rsidR="002B0BE1" w:rsidRPr="00C125A5" w:rsidP="002B0BE1" w14:paraId="3391F3B9" w14:textId="60370A6D">
            <w:pPr>
              <w:widowControl w:val="0"/>
              <w:autoSpaceDE w:val="0"/>
              <w:autoSpaceDN w:val="0"/>
              <w:adjustRightInd w:val="0"/>
              <w:spacing w:after="0" w:line="276"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-20,576</w:t>
            </w:r>
          </w:p>
        </w:tc>
        <w:tc>
          <w:tcPr>
            <w:tcW w:w="1088" w:type="pct"/>
            <w:tcBorders>
              <w:top w:val="single" w:sz="4" w:space="0" w:color="auto"/>
              <w:left w:val="single" w:sz="4" w:space="0" w:color="auto"/>
              <w:bottom w:val="single" w:sz="4" w:space="0" w:color="auto"/>
              <w:right w:val="single" w:sz="4" w:space="0" w:color="auto"/>
            </w:tcBorders>
            <w:vAlign w:val="center"/>
            <w:hideMark/>
          </w:tcPr>
          <w:p w:rsidR="002B0BE1" w:rsidRPr="00C125A5" w:rsidP="002B0BE1" w14:paraId="013FD3AE" w14:textId="77777777">
            <w:pPr>
              <w:widowControl w:val="0"/>
              <w:autoSpaceDE w:val="0"/>
              <w:autoSpaceDN w:val="0"/>
              <w:adjustRightInd w:val="0"/>
              <w:spacing w:after="0" w:line="276" w:lineRule="auto"/>
              <w:jc w:val="right"/>
              <w:rPr>
                <w:rFonts w:ascii="Times New Roman" w:eastAsia="Times New Roman" w:hAnsi="Times New Roman" w:cs="Times New Roman"/>
                <w:sz w:val="26"/>
                <w:szCs w:val="26"/>
              </w:rPr>
            </w:pPr>
            <w:r w:rsidRPr="00C125A5">
              <w:rPr>
                <w:rFonts w:ascii="Times New Roman" w:eastAsia="Times New Roman" w:hAnsi="Times New Roman" w:cs="Times New Roman"/>
                <w:sz w:val="26"/>
                <w:szCs w:val="26"/>
              </w:rPr>
              <w:t>0</w:t>
            </w:r>
          </w:p>
        </w:tc>
      </w:tr>
      <w:tr w14:paraId="45E678F3" w14:textId="77777777" w:rsidTr="002B0BE1">
        <w:tblPrEx>
          <w:tblW w:w="5291" w:type="pct"/>
          <w:tblLook w:val="01E0"/>
        </w:tblPrEx>
        <w:trPr>
          <w:trHeight w:val="295"/>
        </w:trPr>
        <w:tc>
          <w:tcPr>
            <w:tcW w:w="1356" w:type="pct"/>
            <w:tcBorders>
              <w:top w:val="single" w:sz="4" w:space="0" w:color="auto"/>
              <w:left w:val="single" w:sz="4" w:space="0" w:color="auto"/>
              <w:bottom w:val="single" w:sz="4" w:space="0" w:color="auto"/>
              <w:right w:val="single" w:sz="4" w:space="0" w:color="auto"/>
            </w:tcBorders>
            <w:hideMark/>
          </w:tcPr>
          <w:p w:rsidR="00F166E5" w:rsidRPr="00C125A5" w:rsidP="00F166E5" w14:paraId="42847397" w14:textId="77777777">
            <w:pPr>
              <w:widowControl w:val="0"/>
              <w:autoSpaceDE w:val="0"/>
              <w:autoSpaceDN w:val="0"/>
              <w:adjustRightInd w:val="0"/>
              <w:spacing w:after="0" w:line="276" w:lineRule="auto"/>
              <w:jc w:val="center"/>
              <w:rPr>
                <w:rFonts w:ascii="Times New Roman" w:eastAsia="Times New Roman" w:hAnsi="Times New Roman" w:cs="Times New Roman"/>
                <w:sz w:val="26"/>
                <w:szCs w:val="26"/>
              </w:rPr>
            </w:pPr>
            <w:r w:rsidRPr="00C125A5">
              <w:rPr>
                <w:rFonts w:ascii="Times New Roman" w:eastAsia="Times New Roman" w:hAnsi="Times New Roman" w:cs="Times New Roman"/>
                <w:sz w:val="26"/>
                <w:szCs w:val="26"/>
              </w:rPr>
              <w:t>Annual Cost Burden ($)</w:t>
            </w:r>
          </w:p>
        </w:tc>
        <w:tc>
          <w:tcPr>
            <w:tcW w:w="905" w:type="pct"/>
            <w:tcBorders>
              <w:top w:val="single" w:sz="4" w:space="0" w:color="auto"/>
              <w:left w:val="single" w:sz="4" w:space="0" w:color="auto"/>
              <w:bottom w:val="single" w:sz="4" w:space="0" w:color="auto"/>
              <w:right w:val="single" w:sz="4" w:space="0" w:color="auto"/>
            </w:tcBorders>
            <w:vAlign w:val="center"/>
            <w:hideMark/>
          </w:tcPr>
          <w:p w:rsidR="00F166E5" w:rsidRPr="00C125A5" w:rsidP="00F166E5" w14:paraId="6E534819" w14:textId="77777777">
            <w:pPr>
              <w:widowControl w:val="0"/>
              <w:autoSpaceDE w:val="0"/>
              <w:autoSpaceDN w:val="0"/>
              <w:adjustRightInd w:val="0"/>
              <w:spacing w:after="0" w:line="276"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700" w:type="pct"/>
            <w:tcBorders>
              <w:top w:val="single" w:sz="4" w:space="0" w:color="auto"/>
              <w:left w:val="single" w:sz="4" w:space="0" w:color="auto"/>
              <w:bottom w:val="single" w:sz="4" w:space="0" w:color="auto"/>
              <w:right w:val="single" w:sz="4" w:space="0" w:color="auto"/>
            </w:tcBorders>
            <w:vAlign w:val="center"/>
            <w:hideMark/>
          </w:tcPr>
          <w:p w:rsidR="00F166E5" w:rsidRPr="00C125A5" w:rsidP="00F166E5" w14:paraId="0C01E052" w14:textId="77777777">
            <w:pPr>
              <w:widowControl w:val="0"/>
              <w:autoSpaceDE w:val="0"/>
              <w:autoSpaceDN w:val="0"/>
              <w:adjustRightInd w:val="0"/>
              <w:spacing w:after="0" w:line="276" w:lineRule="auto"/>
              <w:jc w:val="right"/>
              <w:rPr>
                <w:rFonts w:ascii="Times New Roman" w:eastAsia="Times New Roman" w:hAnsi="Times New Roman" w:cs="Times New Roman"/>
                <w:sz w:val="26"/>
                <w:szCs w:val="26"/>
              </w:rPr>
            </w:pPr>
            <w:r w:rsidRPr="00C125A5">
              <w:rPr>
                <w:rFonts w:ascii="Times New Roman" w:eastAsia="Times New Roman" w:hAnsi="Times New Roman" w:cs="Times New Roman"/>
                <w:sz w:val="26"/>
                <w:szCs w:val="26"/>
              </w:rPr>
              <w:t>0</w:t>
            </w:r>
          </w:p>
        </w:tc>
        <w:tc>
          <w:tcPr>
            <w:tcW w:w="950" w:type="pct"/>
            <w:tcBorders>
              <w:top w:val="single" w:sz="4" w:space="0" w:color="auto"/>
              <w:left w:val="single" w:sz="4" w:space="0" w:color="auto"/>
              <w:bottom w:val="single" w:sz="4" w:space="0" w:color="auto"/>
              <w:right w:val="single" w:sz="4" w:space="0" w:color="auto"/>
            </w:tcBorders>
            <w:vAlign w:val="center"/>
            <w:hideMark/>
          </w:tcPr>
          <w:p w:rsidR="00F166E5" w:rsidRPr="00C125A5" w:rsidP="00F166E5" w14:paraId="3F07595E" w14:textId="088830CD">
            <w:pPr>
              <w:widowControl w:val="0"/>
              <w:autoSpaceDE w:val="0"/>
              <w:autoSpaceDN w:val="0"/>
              <w:adjustRightInd w:val="0"/>
              <w:spacing w:after="0" w:line="276" w:lineRule="auto"/>
              <w:jc w:val="right"/>
              <w:rPr>
                <w:rFonts w:ascii="Times New Roman" w:eastAsia="Times New Roman" w:hAnsi="Times New Roman" w:cs="Times New Roman"/>
                <w:sz w:val="26"/>
                <w:szCs w:val="26"/>
              </w:rPr>
            </w:pPr>
            <w:r w:rsidRPr="00C125A5">
              <w:rPr>
                <w:rFonts w:ascii="Times New Roman" w:eastAsia="Times New Roman" w:hAnsi="Times New Roman" w:cs="Times New Roman"/>
                <w:sz w:val="26"/>
                <w:szCs w:val="26"/>
              </w:rPr>
              <w:t>0</w:t>
            </w:r>
            <w:r w:rsidR="004F42A8">
              <w:rPr>
                <w:rFonts w:ascii="Times New Roman" w:eastAsia="Times New Roman" w:hAnsi="Times New Roman" w:cs="Times New Roman"/>
                <w:sz w:val="26"/>
                <w:szCs w:val="26"/>
              </w:rPr>
              <w:t xml:space="preserve"> </w:t>
            </w:r>
          </w:p>
        </w:tc>
        <w:tc>
          <w:tcPr>
            <w:tcW w:w="1088" w:type="pct"/>
            <w:tcBorders>
              <w:top w:val="single" w:sz="4" w:space="0" w:color="auto"/>
              <w:left w:val="single" w:sz="4" w:space="0" w:color="auto"/>
              <w:bottom w:val="single" w:sz="4" w:space="0" w:color="auto"/>
              <w:right w:val="single" w:sz="4" w:space="0" w:color="auto"/>
            </w:tcBorders>
            <w:vAlign w:val="center"/>
            <w:hideMark/>
          </w:tcPr>
          <w:p w:rsidR="00F166E5" w:rsidRPr="00F166E5" w:rsidP="00F166E5" w14:paraId="17FC521A" w14:textId="77777777">
            <w:pPr>
              <w:widowControl w:val="0"/>
              <w:autoSpaceDE w:val="0"/>
              <w:autoSpaceDN w:val="0"/>
              <w:adjustRightInd w:val="0"/>
              <w:spacing w:after="0" w:line="276" w:lineRule="auto"/>
              <w:jc w:val="right"/>
              <w:rPr>
                <w:rFonts w:ascii="Times New Roman" w:eastAsia="Times New Roman" w:hAnsi="Times New Roman" w:cs="Times New Roman"/>
                <w:sz w:val="26"/>
                <w:szCs w:val="26"/>
              </w:rPr>
            </w:pPr>
            <w:r w:rsidRPr="00C125A5">
              <w:rPr>
                <w:rFonts w:ascii="Times New Roman" w:eastAsia="Times New Roman" w:hAnsi="Times New Roman" w:cs="Times New Roman"/>
                <w:sz w:val="26"/>
                <w:szCs w:val="26"/>
              </w:rPr>
              <w:t>0</w:t>
            </w:r>
          </w:p>
        </w:tc>
      </w:tr>
    </w:tbl>
    <w:p w:rsidR="00F166E5" w:rsidRPr="0047753C" w:rsidP="0047753C" w14:paraId="35BAE363" w14:textId="77777777">
      <w:pPr>
        <w:rPr>
          <w:rFonts w:ascii="Times New Roman" w:eastAsia="Calibri" w:hAnsi="Times New Roman" w:cs="Times New Roman"/>
          <w:b/>
          <w:bCs/>
          <w:sz w:val="26"/>
          <w:szCs w:val="26"/>
        </w:rPr>
      </w:pPr>
    </w:p>
    <w:p w:rsidR="0047753C" w:rsidRPr="0047753C" w:rsidP="0047753C" w14:paraId="5DB21006" w14:textId="77777777">
      <w:pPr>
        <w:rPr>
          <w:rFonts w:ascii="Times New Roman" w:eastAsia="Calibri" w:hAnsi="Times New Roman" w:cs="Times New Roman"/>
          <w:b/>
          <w:bCs/>
          <w:sz w:val="26"/>
          <w:szCs w:val="26"/>
        </w:rPr>
      </w:pPr>
      <w:r w:rsidRPr="0047753C">
        <w:rPr>
          <w:rFonts w:ascii="Times New Roman" w:eastAsia="Calibri" w:hAnsi="Times New Roman" w:cs="Times New Roman"/>
          <w:b/>
          <w:bCs/>
          <w:sz w:val="26"/>
          <w:szCs w:val="26"/>
        </w:rPr>
        <w:t>16.</w:t>
      </w:r>
      <w:r w:rsidRPr="0047753C">
        <w:rPr>
          <w:rFonts w:ascii="Times New Roman" w:eastAsia="Calibri" w:hAnsi="Times New Roman" w:cs="Times New Roman"/>
          <w:bCs/>
          <w:sz w:val="26"/>
          <w:szCs w:val="26"/>
        </w:rPr>
        <w:tab/>
      </w:r>
      <w:r w:rsidRPr="0047753C">
        <w:rPr>
          <w:rFonts w:ascii="Times New Roman" w:eastAsia="Calibri" w:hAnsi="Times New Roman" w:cs="Times New Roman"/>
          <w:b/>
          <w:bCs/>
          <w:sz w:val="26"/>
          <w:szCs w:val="26"/>
        </w:rPr>
        <w:t>TIME SCHEDULE FOR PUBLICATION OF DATA</w:t>
      </w:r>
    </w:p>
    <w:p w:rsidR="0047753C" w:rsidP="0047753C" w14:paraId="131DA5D3" w14:textId="77777777">
      <w:pPr>
        <w:rPr>
          <w:rFonts w:ascii="Times New Roman" w:eastAsia="Times New Roman" w:hAnsi="Times New Roman" w:cs="Times New Roman"/>
          <w:sz w:val="24"/>
          <w:szCs w:val="24"/>
        </w:rPr>
      </w:pPr>
      <w:r w:rsidRPr="0047753C">
        <w:rPr>
          <w:rFonts w:ascii="Times New Roman" w:eastAsia="Calibri" w:hAnsi="Times New Roman" w:cs="Times New Roman"/>
          <w:bCs/>
          <w:sz w:val="26"/>
          <w:szCs w:val="26"/>
        </w:rPr>
        <w:t xml:space="preserve">There are no publications of </w:t>
      </w:r>
      <w:r w:rsidR="00F166E5">
        <w:rPr>
          <w:rFonts w:ascii="Times New Roman" w:eastAsia="Calibri" w:hAnsi="Times New Roman" w:cs="Times New Roman"/>
          <w:bCs/>
          <w:sz w:val="26"/>
          <w:szCs w:val="26"/>
        </w:rPr>
        <w:t>either</w:t>
      </w:r>
      <w:r w:rsidRPr="0047753C">
        <w:rPr>
          <w:rFonts w:ascii="Times New Roman" w:eastAsia="Calibri" w:hAnsi="Times New Roman" w:cs="Times New Roman"/>
          <w:bCs/>
          <w:sz w:val="26"/>
          <w:szCs w:val="26"/>
        </w:rPr>
        <w:t xml:space="preserve"> information.</w:t>
      </w:r>
      <w:r w:rsidR="00F166E5">
        <w:rPr>
          <w:rFonts w:ascii="Times New Roman" w:eastAsia="Calibri" w:hAnsi="Times New Roman" w:cs="Times New Roman"/>
          <w:bCs/>
          <w:sz w:val="26"/>
          <w:szCs w:val="26"/>
        </w:rPr>
        <w:t xml:space="preserve"> </w:t>
      </w:r>
      <w:r w:rsidRPr="00F166E5" w:rsidR="00F166E5">
        <w:rPr>
          <w:rFonts w:ascii="Times New Roman" w:eastAsia="Times New Roman" w:hAnsi="Times New Roman" w:cs="Times New Roman"/>
          <w:sz w:val="24"/>
          <w:szCs w:val="24"/>
        </w:rPr>
        <w:t xml:space="preserve">The data </w:t>
      </w:r>
      <w:r w:rsidR="004C3EAE">
        <w:rPr>
          <w:rFonts w:ascii="Times New Roman" w:eastAsia="Times New Roman" w:hAnsi="Times New Roman" w:cs="Times New Roman"/>
          <w:sz w:val="24"/>
          <w:szCs w:val="24"/>
        </w:rPr>
        <w:t>is</w:t>
      </w:r>
      <w:r w:rsidRPr="00F166E5" w:rsidR="004C3EAE">
        <w:rPr>
          <w:rFonts w:ascii="Times New Roman" w:eastAsia="Times New Roman" w:hAnsi="Times New Roman" w:cs="Times New Roman"/>
          <w:sz w:val="24"/>
          <w:szCs w:val="24"/>
        </w:rPr>
        <w:t xml:space="preserve"> </w:t>
      </w:r>
      <w:r w:rsidRPr="00F166E5" w:rsidR="00F166E5">
        <w:rPr>
          <w:rFonts w:ascii="Times New Roman" w:eastAsia="Times New Roman" w:hAnsi="Times New Roman" w:cs="Times New Roman"/>
          <w:sz w:val="24"/>
          <w:szCs w:val="24"/>
        </w:rPr>
        <w:t>used for regulatory purposes only.</w:t>
      </w:r>
    </w:p>
    <w:p w:rsidR="00992466" w:rsidRPr="00F166E5" w:rsidP="0047753C" w14:paraId="736F5BDA" w14:textId="77777777">
      <w:pPr>
        <w:rPr>
          <w:rFonts w:ascii="Times New Roman" w:eastAsia="Times New Roman" w:hAnsi="Times New Roman" w:cs="Times New Roman"/>
          <w:sz w:val="24"/>
          <w:szCs w:val="24"/>
        </w:rPr>
      </w:pPr>
    </w:p>
    <w:p w:rsidR="0047753C" w:rsidRPr="001D6914" w:rsidP="0047753C" w14:paraId="3A22038F" w14:textId="5B0D2453">
      <w:pPr>
        <w:rPr>
          <w:rFonts w:ascii="Times New Roman" w:eastAsia="Calibri" w:hAnsi="Times New Roman" w:cs="Times New Roman"/>
          <w:b/>
          <w:bCs/>
          <w:sz w:val="26"/>
          <w:szCs w:val="26"/>
        </w:rPr>
      </w:pPr>
      <w:r w:rsidRPr="0047753C">
        <w:rPr>
          <w:rFonts w:ascii="Times New Roman" w:eastAsia="Calibri" w:hAnsi="Times New Roman" w:cs="Times New Roman"/>
          <w:b/>
          <w:bCs/>
          <w:sz w:val="26"/>
          <w:szCs w:val="26"/>
        </w:rPr>
        <w:t>17.</w:t>
      </w:r>
      <w:r w:rsidRPr="0047753C">
        <w:rPr>
          <w:rFonts w:ascii="Times New Roman" w:eastAsia="Calibri" w:hAnsi="Times New Roman" w:cs="Times New Roman"/>
          <w:bCs/>
          <w:sz w:val="26"/>
          <w:szCs w:val="26"/>
        </w:rPr>
        <w:tab/>
      </w:r>
      <w:r w:rsidRPr="0047753C">
        <w:rPr>
          <w:rFonts w:ascii="Times New Roman" w:eastAsia="Calibri" w:hAnsi="Times New Roman" w:cs="Times New Roman"/>
          <w:b/>
          <w:bCs/>
          <w:sz w:val="26"/>
          <w:szCs w:val="26"/>
        </w:rPr>
        <w:t>DISPLAY OF EXPIRATION DATE</w:t>
      </w:r>
      <w:r w:rsidRPr="0047753C" w:rsidR="00B64B9C">
        <w:rPr>
          <w:rFonts w:ascii="Times New Roman" w:eastAsia="Calibri" w:hAnsi="Times New Roman" w:cs="Times New Roman"/>
          <w:bCs/>
          <w:sz w:val="26"/>
          <w:szCs w:val="26"/>
        </w:rPr>
        <w:t>.</w:t>
      </w:r>
    </w:p>
    <w:p w:rsidR="00CE66B4" w:rsidRPr="00CE66B4" w:rsidP="00CE66B4" w14:paraId="45EF556C" w14:textId="77777777">
      <w:pPr>
        <w:spacing w:after="0" w:line="240" w:lineRule="auto"/>
        <w:rPr>
          <w:rFonts w:ascii="Times New Roman" w:eastAsia="Calibri" w:hAnsi="Times New Roman" w:cs="Times New Roman"/>
          <w:sz w:val="24"/>
          <w:szCs w:val="24"/>
        </w:rPr>
      </w:pPr>
      <w:r w:rsidRPr="00CE66B4">
        <w:rPr>
          <w:rFonts w:ascii="Times New Roman" w:eastAsia="Calibri" w:hAnsi="Times New Roman" w:cs="Times New Roman"/>
          <w:sz w:val="24"/>
          <w:szCs w:val="24"/>
        </w:rPr>
        <w:t xml:space="preserve">The expiration date is displayed in a table posted on ferc.gov at </w:t>
      </w:r>
      <w:hyperlink r:id="rId9" w:history="1">
        <w:r w:rsidRPr="00CE66B4">
          <w:rPr>
            <w:rFonts w:ascii="Times New Roman" w:eastAsia="Calibri" w:hAnsi="Times New Roman" w:cs="Times New Roman"/>
            <w:color w:val="0000FF"/>
            <w:sz w:val="24"/>
            <w:szCs w:val="24"/>
            <w:u w:val="single"/>
          </w:rPr>
          <w:t>https://www.ferc.gov/information-collections</w:t>
        </w:r>
      </w:hyperlink>
      <w:r w:rsidRPr="0047753C" w:rsidR="00B64B9C">
        <w:rPr>
          <w:rFonts w:ascii="Times New Roman" w:eastAsia="Calibri" w:hAnsi="Times New Roman" w:cs="Times New Roman"/>
          <w:bCs/>
          <w:sz w:val="26"/>
          <w:szCs w:val="26"/>
        </w:rPr>
        <w:t>.</w:t>
      </w:r>
    </w:p>
    <w:p w:rsidR="00CE66B4" w:rsidRPr="00CE66B4" w:rsidP="0047753C" w14:paraId="09ACED39" w14:textId="77777777">
      <w:pPr>
        <w:rPr>
          <w:rFonts w:ascii="Times New Roman" w:eastAsia="Calibri" w:hAnsi="Times New Roman" w:cs="Times New Roman"/>
          <w:b/>
          <w:sz w:val="26"/>
          <w:szCs w:val="26"/>
        </w:rPr>
      </w:pPr>
    </w:p>
    <w:p w:rsidR="0047753C" w:rsidRPr="00517843" w:rsidP="0047753C" w14:paraId="4A156724" w14:textId="77777777">
      <w:pPr>
        <w:rPr>
          <w:rFonts w:ascii="Times New Roman" w:eastAsia="Calibri" w:hAnsi="Times New Roman" w:cs="Times New Roman"/>
          <w:b/>
          <w:bCs/>
          <w:sz w:val="26"/>
          <w:szCs w:val="26"/>
        </w:rPr>
      </w:pPr>
      <w:r w:rsidRPr="0047753C">
        <w:rPr>
          <w:rFonts w:ascii="Times New Roman" w:eastAsia="Calibri" w:hAnsi="Times New Roman" w:cs="Times New Roman"/>
          <w:b/>
          <w:bCs/>
          <w:sz w:val="26"/>
          <w:szCs w:val="26"/>
        </w:rPr>
        <w:t>18.</w:t>
      </w:r>
      <w:r w:rsidRPr="0047753C">
        <w:rPr>
          <w:rFonts w:ascii="Times New Roman" w:eastAsia="Calibri" w:hAnsi="Times New Roman" w:cs="Times New Roman"/>
          <w:b/>
          <w:bCs/>
          <w:sz w:val="26"/>
          <w:szCs w:val="26"/>
        </w:rPr>
        <w:tab/>
        <w:t>EXCEPTIONS TO THE CERTIFICATION STATEMENT</w:t>
      </w:r>
    </w:p>
    <w:p w:rsidR="0047753C" w:rsidRPr="0047753C" w:rsidP="0047753C" w14:paraId="3222BC33" w14:textId="77777777">
      <w:pPr>
        <w:rPr>
          <w:rFonts w:ascii="Times New Roman" w:eastAsia="Calibri" w:hAnsi="Times New Roman" w:cs="Times New Roman"/>
          <w:bCs/>
          <w:sz w:val="26"/>
          <w:szCs w:val="26"/>
        </w:rPr>
      </w:pPr>
      <w:r w:rsidRPr="0047753C">
        <w:rPr>
          <w:rFonts w:ascii="Times New Roman" w:eastAsia="Calibri" w:hAnsi="Times New Roman" w:cs="Times New Roman"/>
          <w:bCs/>
          <w:sz w:val="26"/>
          <w:szCs w:val="26"/>
        </w:rPr>
        <w:t>There are no exceptions to this collection.</w:t>
      </w:r>
    </w:p>
    <w:p w:rsidR="00CF0F47" w:rsidRPr="00CF0F47" w14:paraId="70F0680C" w14:textId="1DFB26CA">
      <w:pPr>
        <w:rPr>
          <w:rFonts w:ascii="Times New Roman" w:eastAsia="Calibri" w:hAnsi="Times New Roman" w:cs="Times New Roman"/>
          <w:bCs/>
          <w:sz w:val="26"/>
          <w:szCs w:val="26"/>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79704"/>
      <w:docPartObj>
        <w:docPartGallery w:val="Page Numbers (Bottom of Page)"/>
        <w:docPartUnique/>
      </w:docPartObj>
    </w:sdtPr>
    <w:sdtEndPr>
      <w:rPr>
        <w:noProof/>
      </w:rPr>
    </w:sdtEndPr>
    <w:sdtContent>
      <w:p w:rsidR="00AB36E4" w14:paraId="28C61112"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p w:rsidR="00AB36E4" w14:paraId="5189BAE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4F33" w:rsidP="00CF0F47" w14:paraId="231AF0E9" w14:textId="77777777">
      <w:pPr>
        <w:spacing w:after="0" w:line="240" w:lineRule="auto"/>
      </w:pPr>
      <w:r>
        <w:separator/>
      </w:r>
    </w:p>
  </w:footnote>
  <w:footnote w:type="continuationSeparator" w:id="1">
    <w:p w:rsidR="00A04F33" w:rsidP="00CF0F47" w14:paraId="14BFF80B" w14:textId="77777777">
      <w:pPr>
        <w:spacing w:after="0" w:line="240" w:lineRule="auto"/>
      </w:pPr>
      <w:r>
        <w:continuationSeparator/>
      </w:r>
    </w:p>
  </w:footnote>
  <w:footnote w:type="continuationNotice" w:id="2">
    <w:p w:rsidR="00A04F33" w14:paraId="1DAA9D24" w14:textId="77777777">
      <w:pPr>
        <w:spacing w:after="0" w:line="240" w:lineRule="auto"/>
      </w:pPr>
    </w:p>
  </w:footnote>
  <w:footnote w:id="3">
    <w:p w:rsidR="00BD130A" w:rsidRPr="00E7361F" w:rsidP="005735A9" w14:paraId="2A866A8D" w14:textId="77777777">
      <w:pPr>
        <w:pStyle w:val="FootnoteText"/>
        <w:rPr>
          <w:i w:val="0"/>
          <w:iCs/>
        </w:rPr>
      </w:pPr>
      <w:r w:rsidRPr="00E7361F">
        <w:rPr>
          <w:rStyle w:val="FootnoteReference"/>
          <w:i w:val="0"/>
          <w:iCs w:val="0"/>
        </w:rPr>
        <w:footnoteRef/>
      </w:r>
      <w:r w:rsidRPr="00E7361F">
        <w:rPr>
          <w:i w:val="0"/>
          <w:iCs/>
        </w:rPr>
        <w:t xml:space="preserve"> Actions Regarding the Commission’s </w:t>
      </w:r>
      <w:r w:rsidRPr="00E7361F">
        <w:rPr>
          <w:i w:val="0"/>
          <w:iCs/>
        </w:rPr>
        <w:t>Pol’y</w:t>
      </w:r>
      <w:r w:rsidRPr="00E7361F">
        <w:rPr>
          <w:i w:val="0"/>
          <w:iCs/>
        </w:rPr>
        <w:t xml:space="preserve"> on Price Index Formation &amp;</w:t>
      </w:r>
      <w:r w:rsidRPr="00E7361F">
        <w:rPr>
          <w:i w:val="0"/>
          <w:iCs/>
          <w:spacing w:val="1"/>
        </w:rPr>
        <w:t xml:space="preserve"> </w:t>
      </w:r>
      <w:r w:rsidRPr="00E7361F">
        <w:rPr>
          <w:i w:val="0"/>
          <w:iCs/>
        </w:rPr>
        <w:t>Transparency, &amp; Indices Referenced in Nat. Gas &amp; Elec. Tariffs, 85 FR 83</w:t>
      </w:r>
      <w:r w:rsidRPr="00E7361F" w:rsidR="00010F8F">
        <w:rPr>
          <w:i w:val="0"/>
          <w:iCs/>
        </w:rPr>
        <w:t>,</w:t>
      </w:r>
      <w:r w:rsidRPr="00E7361F">
        <w:rPr>
          <w:i w:val="0"/>
          <w:iCs/>
        </w:rPr>
        <w:t>940</w:t>
      </w:r>
      <w:r w:rsidRPr="00E7361F">
        <w:rPr>
          <w:i w:val="0"/>
          <w:iCs/>
          <w:spacing w:val="1"/>
        </w:rPr>
        <w:t xml:space="preserve"> </w:t>
      </w:r>
      <w:r w:rsidRPr="00E7361F">
        <w:rPr>
          <w:i w:val="0"/>
          <w:iCs/>
        </w:rPr>
        <w:t>(Dec.</w:t>
      </w:r>
      <w:r w:rsidRPr="00E7361F">
        <w:rPr>
          <w:i w:val="0"/>
          <w:iCs/>
          <w:spacing w:val="-4"/>
        </w:rPr>
        <w:t xml:space="preserve"> </w:t>
      </w:r>
      <w:r w:rsidRPr="00E7361F">
        <w:rPr>
          <w:i w:val="0"/>
          <w:iCs/>
        </w:rPr>
        <w:t>23,</w:t>
      </w:r>
      <w:r w:rsidRPr="00E7361F" w:rsidR="00025AE1">
        <w:rPr>
          <w:i w:val="0"/>
          <w:iCs/>
        </w:rPr>
        <w:t xml:space="preserve"> </w:t>
      </w:r>
      <w:r w:rsidRPr="00E7361F">
        <w:rPr>
          <w:i w:val="0"/>
          <w:iCs/>
        </w:rPr>
        <w:t>2020)</w:t>
      </w:r>
      <w:r w:rsidRPr="00E7361F" w:rsidR="00025AE1">
        <w:rPr>
          <w:i w:val="0"/>
          <w:iCs/>
        </w:rPr>
        <w:t>,</w:t>
      </w:r>
      <w:r w:rsidRPr="00E7361F">
        <w:rPr>
          <w:i w:val="0"/>
          <w:iCs/>
          <w:spacing w:val="-4"/>
        </w:rPr>
        <w:t xml:space="preserve"> </w:t>
      </w:r>
      <w:r w:rsidRPr="00E7361F">
        <w:rPr>
          <w:i w:val="0"/>
          <w:iCs/>
        </w:rPr>
        <w:t>173</w:t>
      </w:r>
      <w:r w:rsidRPr="00E7361F">
        <w:rPr>
          <w:i w:val="0"/>
          <w:iCs/>
          <w:spacing w:val="-3"/>
        </w:rPr>
        <w:t xml:space="preserve"> </w:t>
      </w:r>
      <w:r w:rsidRPr="00E7361F">
        <w:rPr>
          <w:i w:val="0"/>
          <w:iCs/>
        </w:rPr>
        <w:t>FERC</w:t>
      </w:r>
      <w:r w:rsidRPr="00E7361F">
        <w:rPr>
          <w:i w:val="0"/>
          <w:iCs/>
          <w:spacing w:val="-2"/>
        </w:rPr>
        <w:t xml:space="preserve"> </w:t>
      </w:r>
      <w:r w:rsidRPr="00E7361F">
        <w:rPr>
          <w:i w:val="0"/>
          <w:iCs/>
        </w:rPr>
        <w:t>¶</w:t>
      </w:r>
      <w:r w:rsidRPr="00E7361F">
        <w:rPr>
          <w:i w:val="0"/>
          <w:iCs/>
          <w:spacing w:val="-4"/>
        </w:rPr>
        <w:t xml:space="preserve"> </w:t>
      </w:r>
      <w:r w:rsidRPr="00E7361F">
        <w:rPr>
          <w:i w:val="0"/>
          <w:iCs/>
        </w:rPr>
        <w:t>61,237</w:t>
      </w:r>
      <w:r w:rsidRPr="00E7361F">
        <w:rPr>
          <w:i w:val="0"/>
          <w:iCs/>
          <w:spacing w:val="-2"/>
        </w:rPr>
        <w:t xml:space="preserve"> </w:t>
      </w:r>
      <w:r w:rsidRPr="00E7361F">
        <w:rPr>
          <w:i w:val="0"/>
          <w:iCs/>
        </w:rPr>
        <w:t>(2020).</w:t>
      </w:r>
    </w:p>
  </w:footnote>
  <w:footnote w:id="4">
    <w:p w:rsidR="09496FC2" w:rsidRPr="00E7361F" w:rsidP="005735A9" w14:paraId="4EC05746" w14:textId="17A14E21">
      <w:pPr>
        <w:spacing w:after="0"/>
        <w:rPr>
          <w:rFonts w:ascii="Times New Roman" w:hAnsi="Times New Roman" w:cs="Times New Roman"/>
          <w:sz w:val="20"/>
          <w:szCs w:val="20"/>
        </w:rPr>
      </w:pPr>
      <w:r w:rsidRPr="00E7361F">
        <w:rPr>
          <w:rFonts w:ascii="Times New Roman" w:hAnsi="Times New Roman" w:cs="Times New Roman"/>
          <w:sz w:val="20"/>
          <w:szCs w:val="20"/>
          <w:vertAlign w:val="superscript"/>
        </w:rPr>
        <w:footnoteRef/>
      </w:r>
      <w:r w:rsidRPr="00E7361F">
        <w:rPr>
          <w:rFonts w:ascii="Times New Roman" w:hAnsi="Times New Roman" w:cs="Times New Roman"/>
          <w:sz w:val="20"/>
          <w:szCs w:val="20"/>
        </w:rPr>
        <w:t xml:space="preserve"> </w:t>
      </w:r>
      <w:r w:rsidRPr="00E7361F">
        <w:rPr>
          <w:rFonts w:ascii="Times New Roman" w:eastAsia="Times New Roman" w:hAnsi="Times New Roman" w:cs="Times New Roman"/>
          <w:sz w:val="20"/>
          <w:szCs w:val="20"/>
        </w:rPr>
        <w:t>Initial Policy Statement, 104 FERC ¶ 61,121.</w:t>
      </w:r>
    </w:p>
  </w:footnote>
  <w:footnote w:id="5">
    <w:p w:rsidR="00BD1553" w:rsidRPr="00E7361F" w:rsidP="009A22B9" w14:paraId="53EFED06" w14:textId="5E03CF74">
      <w:pPr>
        <w:spacing w:after="0"/>
        <w:rPr>
          <w:rFonts w:ascii="Times New Roman" w:eastAsia="Calibri" w:hAnsi="Times New Roman" w:cs="Times New Roman"/>
        </w:rPr>
      </w:pPr>
      <w:r w:rsidRPr="00E7361F">
        <w:rPr>
          <w:rFonts w:ascii="Times New Roman" w:hAnsi="Times New Roman" w:cs="Times New Roman"/>
          <w:sz w:val="20"/>
          <w:szCs w:val="20"/>
          <w:vertAlign w:val="superscript"/>
        </w:rPr>
        <w:footnoteRef/>
      </w:r>
      <w:r w:rsidRPr="00E7361F">
        <w:rPr>
          <w:rFonts w:ascii="Times New Roman" w:hAnsi="Times New Roman" w:cs="Times New Roman"/>
          <w:sz w:val="20"/>
          <w:szCs w:val="20"/>
        </w:rPr>
        <w:t xml:space="preserve"> </w:t>
      </w:r>
      <w:r w:rsidRPr="00E7361F">
        <w:rPr>
          <w:rFonts w:ascii="Times New Roman" w:eastAsia="Times New Roman" w:hAnsi="Times New Roman" w:cs="Times New Roman"/>
          <w:color w:val="000000" w:themeColor="text1"/>
          <w:sz w:val="20"/>
          <w:szCs w:val="20"/>
        </w:rPr>
        <w:t>Revised Policy Statement, 87 FR 25,237, 179 FERC ¶ 61,036.</w:t>
      </w:r>
    </w:p>
  </w:footnote>
  <w:footnote w:id="6">
    <w:p w:rsidR="00BD130A" w:rsidRPr="009A22B9" w:rsidP="005735A9" w14:paraId="325032B8" w14:textId="77777777">
      <w:pPr>
        <w:pStyle w:val="FootnoteText"/>
        <w:rPr>
          <w:i w:val="0"/>
          <w:iCs/>
        </w:rPr>
      </w:pPr>
      <w:r w:rsidRPr="00E7361F">
        <w:rPr>
          <w:rStyle w:val="FootnoteReference"/>
          <w:i w:val="0"/>
          <w:iCs w:val="0"/>
        </w:rPr>
        <w:footnoteRef/>
      </w:r>
      <w:r w:rsidRPr="00E7361F">
        <w:rPr>
          <w:i w:val="0"/>
          <w:iCs/>
        </w:rPr>
        <w:t xml:space="preserve"> </w:t>
      </w:r>
      <w:r w:rsidRPr="00E7361F" w:rsidR="00010F8F">
        <w:rPr>
          <w:i w:val="0"/>
          <w:iCs/>
        </w:rPr>
        <w:t>Revised Policy Statement</w:t>
      </w:r>
      <w:r w:rsidRPr="00E7361F">
        <w:rPr>
          <w:i w:val="0"/>
          <w:iCs/>
        </w:rPr>
        <w:t>, 8</w:t>
      </w:r>
      <w:r w:rsidRPr="00E7361F" w:rsidR="00025AE1">
        <w:rPr>
          <w:i w:val="0"/>
          <w:iCs/>
        </w:rPr>
        <w:t>7</w:t>
      </w:r>
      <w:r w:rsidRPr="00E7361F">
        <w:rPr>
          <w:i w:val="0"/>
          <w:iCs/>
        </w:rPr>
        <w:t xml:space="preserve"> FR </w:t>
      </w:r>
      <w:r w:rsidRPr="00E7361F" w:rsidR="00025AE1">
        <w:rPr>
          <w:i w:val="0"/>
          <w:iCs/>
        </w:rPr>
        <w:t>25</w:t>
      </w:r>
      <w:r w:rsidRPr="00E7361F" w:rsidR="00010F8F">
        <w:rPr>
          <w:i w:val="0"/>
          <w:iCs/>
        </w:rPr>
        <w:t>,</w:t>
      </w:r>
      <w:r w:rsidRPr="00E7361F" w:rsidR="00025AE1">
        <w:rPr>
          <w:i w:val="0"/>
          <w:iCs/>
        </w:rPr>
        <w:t>237,</w:t>
      </w:r>
      <w:r w:rsidRPr="00E7361F">
        <w:rPr>
          <w:i w:val="0"/>
          <w:iCs/>
          <w:spacing w:val="-4"/>
        </w:rPr>
        <w:t xml:space="preserve"> </w:t>
      </w:r>
      <w:r w:rsidRPr="00E7361F">
        <w:rPr>
          <w:i w:val="0"/>
          <w:iCs/>
        </w:rPr>
        <w:t>179</w:t>
      </w:r>
      <w:r w:rsidRPr="00E7361F" w:rsidR="00025AE1">
        <w:rPr>
          <w:i w:val="0"/>
          <w:iCs/>
        </w:rPr>
        <w:t xml:space="preserve"> FERC </w:t>
      </w:r>
      <w:r w:rsidRPr="00E7361F" w:rsidR="00010F8F">
        <w:rPr>
          <w:i w:val="0"/>
          <w:iCs/>
        </w:rPr>
        <w:t>¶ 61,036.</w:t>
      </w:r>
    </w:p>
  </w:footnote>
  <w:footnote w:id="7">
    <w:p w:rsidR="00A302A2" w:rsidRPr="009A22B9" w:rsidP="005735A9" w14:paraId="539E1965" w14:textId="102C8E18">
      <w:pPr>
        <w:pStyle w:val="FootnoteText"/>
        <w:rPr>
          <w:bCs/>
          <w:i w:val="0"/>
        </w:rPr>
      </w:pPr>
      <w:r w:rsidRPr="009A22B9">
        <w:rPr>
          <w:rStyle w:val="FootnoteReference"/>
          <w:i w:val="0"/>
          <w:iCs w:val="0"/>
        </w:rPr>
        <w:footnoteRef/>
      </w:r>
      <w:r w:rsidRPr="009A22B9" w:rsidR="004F42A8">
        <w:rPr>
          <w:bCs/>
          <w:i w:val="0"/>
        </w:rPr>
        <w:t xml:space="preserve"> </w:t>
      </w:r>
      <w:r w:rsidRPr="009A22B9">
        <w:rPr>
          <w:bCs/>
          <w:i w:val="0"/>
        </w:rPr>
        <w:t xml:space="preserve">15 U.S.C. § 717, et. </w:t>
      </w:r>
      <w:r w:rsidRPr="009A22B9" w:rsidR="00D71E1E">
        <w:rPr>
          <w:bCs/>
          <w:i w:val="0"/>
        </w:rPr>
        <w:t>S</w:t>
      </w:r>
      <w:r w:rsidRPr="009A22B9">
        <w:rPr>
          <w:bCs/>
          <w:i w:val="0"/>
        </w:rPr>
        <w:t>eq</w:t>
      </w:r>
      <w:r w:rsidRPr="009A22B9" w:rsidR="00D71E1E">
        <w:rPr>
          <w:bCs/>
          <w:i w:val="0"/>
        </w:rPr>
        <w:t>.</w:t>
      </w:r>
    </w:p>
  </w:footnote>
  <w:footnote w:id="8">
    <w:p w:rsidR="00311EE2" w:rsidRPr="009A22B9" w:rsidP="005735A9" w14:paraId="734118B9" w14:textId="72EF0A2E">
      <w:pPr>
        <w:pStyle w:val="FootnoteText"/>
        <w:rPr>
          <w:bCs/>
          <w:i w:val="0"/>
        </w:rPr>
      </w:pPr>
      <w:r w:rsidRPr="009A22B9">
        <w:rPr>
          <w:bCs/>
          <w:i w:val="0"/>
          <w:vertAlign w:val="superscript"/>
        </w:rPr>
        <w:footnoteRef/>
      </w:r>
      <w:r w:rsidRPr="009A22B9" w:rsidR="004F42A8">
        <w:rPr>
          <w:bCs/>
          <w:i w:val="0"/>
        </w:rPr>
        <w:t xml:space="preserve"> </w:t>
      </w:r>
      <w:r w:rsidRPr="009A22B9">
        <w:rPr>
          <w:bCs/>
          <w:i w:val="0"/>
        </w:rPr>
        <w:t>Id.</w:t>
      </w:r>
      <w:r w:rsidRPr="009A22B9" w:rsidR="00D93A31">
        <w:rPr>
          <w:bCs/>
          <w:i w:val="0"/>
        </w:rPr>
        <w:t xml:space="preserve"> § 717c.</w:t>
      </w:r>
    </w:p>
  </w:footnote>
  <w:footnote w:id="9">
    <w:p w:rsidR="00D93A31" w:rsidRPr="009A22B9" w:rsidP="005735A9" w14:paraId="235E53AA" w14:textId="5B5600A4">
      <w:pPr>
        <w:pStyle w:val="FootnoteText"/>
        <w:rPr>
          <w:bCs/>
          <w:i w:val="0"/>
        </w:rPr>
      </w:pPr>
      <w:r w:rsidRPr="009A22B9">
        <w:rPr>
          <w:rStyle w:val="FootnoteReference"/>
          <w:i w:val="0"/>
          <w:iCs w:val="0"/>
        </w:rPr>
        <w:footnoteRef/>
      </w:r>
      <w:r w:rsidRPr="009A22B9" w:rsidR="004F42A8">
        <w:rPr>
          <w:bCs/>
          <w:i w:val="0"/>
        </w:rPr>
        <w:t xml:space="preserve"> </w:t>
      </w:r>
      <w:r w:rsidRPr="009A22B9">
        <w:rPr>
          <w:bCs/>
          <w:i w:val="0"/>
        </w:rPr>
        <w:t>Id. § 717d.</w:t>
      </w:r>
    </w:p>
  </w:footnote>
  <w:footnote w:id="10">
    <w:p w:rsidR="00862D6B" w:rsidRPr="009A22B9" w:rsidP="005735A9" w14:paraId="74BC6E4E" w14:textId="77777777">
      <w:pPr>
        <w:pStyle w:val="FootnoteText"/>
        <w:rPr>
          <w:bCs/>
          <w:i w:val="0"/>
        </w:rPr>
      </w:pPr>
      <w:r w:rsidRPr="009A22B9">
        <w:rPr>
          <w:rStyle w:val="FootnoteReference"/>
          <w:i w:val="0"/>
          <w:iCs w:val="0"/>
        </w:rPr>
        <w:footnoteRef/>
      </w:r>
      <w:r w:rsidRPr="009A22B9">
        <w:rPr>
          <w:bCs/>
          <w:i w:val="0"/>
        </w:rPr>
        <w:t xml:space="preserve"> Id. § 717f.</w:t>
      </w:r>
    </w:p>
  </w:footnote>
  <w:footnote w:id="11">
    <w:p w:rsidR="00D93A31" w:rsidRPr="00B9700D" w:rsidP="005735A9" w14:paraId="7BE0A676" w14:textId="47CFB9ED">
      <w:pPr>
        <w:pStyle w:val="FootnoteText"/>
      </w:pPr>
      <w:r w:rsidRPr="009A22B9">
        <w:rPr>
          <w:rStyle w:val="FootnoteReference"/>
          <w:i w:val="0"/>
          <w:iCs w:val="0"/>
        </w:rPr>
        <w:footnoteRef/>
      </w:r>
      <w:r w:rsidRPr="009A22B9">
        <w:rPr>
          <w:bCs/>
          <w:i w:val="0"/>
        </w:rPr>
        <w:t xml:space="preserve"> </w:t>
      </w:r>
      <w:r w:rsidRPr="009A22B9" w:rsidR="00830928">
        <w:rPr>
          <w:bCs/>
          <w:i w:val="0"/>
        </w:rPr>
        <w:t xml:space="preserve">Id. § </w:t>
      </w:r>
      <w:r w:rsidRPr="009A22B9">
        <w:rPr>
          <w:bCs/>
          <w:i w:val="0"/>
        </w:rPr>
        <w:t>337</w:t>
      </w:r>
      <w:r w:rsidRPr="009A22B9" w:rsidR="009334EC">
        <w:rPr>
          <w:bCs/>
          <w:i w:val="0"/>
        </w:rPr>
        <w:t>1</w:t>
      </w:r>
      <w:r w:rsidRPr="009A22B9">
        <w:rPr>
          <w:bCs/>
          <w:i w:val="0"/>
        </w:rPr>
        <w:t>.</w:t>
      </w:r>
      <w:r w:rsidRPr="009A22B9" w:rsidR="004F42A8">
        <w:rPr>
          <w:bCs/>
          <w:i w:val="0"/>
        </w:rPr>
        <w:t xml:space="preserve"> </w:t>
      </w:r>
      <w:r w:rsidRPr="009A22B9" w:rsidR="00B243F7">
        <w:rPr>
          <w:bCs/>
          <w:i w:val="0"/>
        </w:rPr>
        <w:t>See also 18 C</w:t>
      </w:r>
      <w:r w:rsidRPr="009A22B9" w:rsidR="00F3516F">
        <w:rPr>
          <w:bCs/>
          <w:i w:val="0"/>
        </w:rPr>
        <w:t>.</w:t>
      </w:r>
      <w:r w:rsidRPr="009A22B9" w:rsidR="00B243F7">
        <w:rPr>
          <w:bCs/>
          <w:i w:val="0"/>
        </w:rPr>
        <w:t>F</w:t>
      </w:r>
      <w:r w:rsidRPr="009A22B9" w:rsidR="00F3516F">
        <w:rPr>
          <w:bCs/>
          <w:i w:val="0"/>
        </w:rPr>
        <w:t>.</w:t>
      </w:r>
      <w:r w:rsidRPr="009A22B9" w:rsidR="00B243F7">
        <w:rPr>
          <w:bCs/>
          <w:i w:val="0"/>
        </w:rPr>
        <w:t>R</w:t>
      </w:r>
      <w:r w:rsidRPr="009A22B9" w:rsidR="00F3516F">
        <w:rPr>
          <w:bCs/>
          <w:i w:val="0"/>
        </w:rPr>
        <w:t>.</w:t>
      </w:r>
      <w:r w:rsidRPr="009A22B9" w:rsidR="00B243F7">
        <w:rPr>
          <w:bCs/>
          <w:i w:val="0"/>
        </w:rPr>
        <w:t xml:space="preserve"> §§ 284.101 and 284.102 (Commission regulations).</w:t>
      </w:r>
    </w:p>
  </w:footnote>
  <w:footnote w:id="12">
    <w:p w:rsidR="00677E0B" w:rsidRPr="009A22B9" w:rsidP="005735A9" w14:paraId="745EEE15" w14:textId="77777777">
      <w:pPr>
        <w:pStyle w:val="FootnoteText"/>
        <w:rPr>
          <w:i w:val="0"/>
          <w:iCs/>
        </w:rPr>
      </w:pPr>
      <w:r w:rsidRPr="009A22B9">
        <w:rPr>
          <w:rStyle w:val="FootnoteReference"/>
          <w:i w:val="0"/>
          <w:iCs w:val="0"/>
        </w:rPr>
        <w:footnoteRef/>
      </w:r>
      <w:r w:rsidRPr="009A22B9">
        <w:rPr>
          <w:i w:val="0"/>
          <w:iCs/>
        </w:rPr>
        <w:t xml:space="preserve"> Id. § 717t-2.</w:t>
      </w:r>
    </w:p>
  </w:footnote>
  <w:footnote w:id="13">
    <w:p w:rsidR="00677E0B" w:rsidRPr="009A22B9" w:rsidP="005735A9" w14:paraId="78E08726" w14:textId="77777777">
      <w:pPr>
        <w:pStyle w:val="FootnoteText"/>
        <w:rPr>
          <w:i w:val="0"/>
          <w:iCs/>
        </w:rPr>
      </w:pPr>
      <w:r w:rsidRPr="009A22B9">
        <w:rPr>
          <w:rStyle w:val="FootnoteReference"/>
          <w:i w:val="0"/>
          <w:iCs w:val="0"/>
        </w:rPr>
        <w:footnoteRef/>
      </w:r>
      <w:r w:rsidRPr="009A22B9">
        <w:rPr>
          <w:i w:val="0"/>
          <w:iCs/>
        </w:rPr>
        <w:t xml:space="preserve"> Id. § 717t-2(a)(2).</w:t>
      </w:r>
    </w:p>
  </w:footnote>
  <w:footnote w:id="14">
    <w:p w:rsidR="00677E0B" w:rsidRPr="009A22B9" w:rsidP="005735A9" w14:paraId="58ADAFD2" w14:textId="77777777">
      <w:pPr>
        <w:pStyle w:val="FootnoteText"/>
        <w:rPr>
          <w:i w:val="0"/>
          <w:iCs/>
        </w:rPr>
      </w:pPr>
      <w:r w:rsidRPr="009A22B9">
        <w:rPr>
          <w:rStyle w:val="FootnoteReference"/>
          <w:i w:val="0"/>
          <w:iCs w:val="0"/>
        </w:rPr>
        <w:footnoteRef/>
      </w:r>
      <w:r w:rsidRPr="009A22B9">
        <w:rPr>
          <w:i w:val="0"/>
          <w:iCs/>
        </w:rPr>
        <w:t xml:space="preserve"> Id. § 717t-2(a)(3).</w:t>
      </w:r>
    </w:p>
  </w:footnote>
  <w:footnote w:id="15">
    <w:p w:rsidR="00A71891" w:rsidRPr="00C21FBE" w:rsidP="005735A9" w14:paraId="1A3EDE3D" w14:textId="77777777">
      <w:pPr>
        <w:pStyle w:val="FootnoteText"/>
      </w:pPr>
      <w:r w:rsidRPr="009A22B9">
        <w:rPr>
          <w:rStyle w:val="FootnoteReference"/>
          <w:i w:val="0"/>
          <w:iCs w:val="0"/>
        </w:rPr>
        <w:footnoteRef/>
      </w:r>
      <w:r w:rsidRPr="009A22B9">
        <w:rPr>
          <w:i w:val="0"/>
          <w:iCs/>
          <w:vertAlign w:val="superscript"/>
        </w:rPr>
        <w:t xml:space="preserve"> </w:t>
      </w:r>
      <w:r w:rsidRPr="009A22B9">
        <w:rPr>
          <w:i w:val="0"/>
          <w:iCs/>
        </w:rPr>
        <w:t xml:space="preserve">15 U.S.C. </w:t>
      </w:r>
      <w:r w:rsidRPr="009A22B9" w:rsidR="00B243F7">
        <w:rPr>
          <w:i w:val="0"/>
          <w:iCs/>
        </w:rPr>
        <w:t>3371</w:t>
      </w:r>
      <w:r w:rsidRPr="009A22B9" w:rsidR="00695AE7">
        <w:rPr>
          <w:i w:val="0"/>
          <w:iCs/>
        </w:rPr>
        <w:t>.</w:t>
      </w:r>
    </w:p>
  </w:footnote>
  <w:footnote w:id="16">
    <w:p w:rsidR="00A71891" w:rsidRPr="00C21FBE" w:rsidP="005735A9" w14:paraId="78E0808E" w14:textId="2BBE794E">
      <w:pPr>
        <w:pStyle w:val="FootnoteText"/>
      </w:pPr>
      <w:r w:rsidRPr="00EC4303">
        <w:rPr>
          <w:rStyle w:val="FootnoteReference"/>
          <w:i w:val="0"/>
          <w:iCs w:val="0"/>
        </w:rPr>
        <w:footnoteRef/>
      </w:r>
      <w:r w:rsidRPr="00C21FBE">
        <w:t xml:space="preserve"> </w:t>
      </w:r>
      <w:r w:rsidRPr="00EC4303">
        <w:rPr>
          <w:i w:val="0"/>
          <w:iCs/>
        </w:rPr>
        <w:t>Section 1(c) of the NGA exempts from the Commission’s NGA jurisdiction pipelines which transport gas in interstate commerce if (1) they receive natural gas at or within the boundary of a state, (2) all the gas is consumed within that state, and (3) the pipeline is regulated by a state Commission.</w:t>
      </w:r>
      <w:r w:rsidRPr="00EC4303" w:rsidR="004F42A8">
        <w:rPr>
          <w:i w:val="0"/>
          <w:iCs/>
        </w:rPr>
        <w:t xml:space="preserve"> </w:t>
      </w:r>
      <w:r w:rsidRPr="00EC4303">
        <w:rPr>
          <w:i w:val="0"/>
          <w:iCs/>
        </w:rPr>
        <w:t xml:space="preserve">This exemption is referred to as the Hinshaw exemption after the Congressman who introduced the bill amending the NGA to include </w:t>
      </w:r>
      <w:r w:rsidRPr="00EC4303" w:rsidR="00695AE7">
        <w:rPr>
          <w:i w:val="0"/>
          <w:iCs/>
        </w:rPr>
        <w:t>section</w:t>
      </w:r>
      <w:r w:rsidRPr="00EC4303">
        <w:rPr>
          <w:i w:val="0"/>
          <w:iCs/>
        </w:rPr>
        <w:t xml:space="preserve"> 1(c).</w:t>
      </w:r>
      <w:r w:rsidRPr="00EC4303" w:rsidR="004F42A8">
        <w:rPr>
          <w:i w:val="0"/>
          <w:iCs/>
        </w:rPr>
        <w:t xml:space="preserve"> </w:t>
      </w:r>
      <w:r w:rsidRPr="00EC4303">
        <w:rPr>
          <w:i w:val="0"/>
          <w:iCs/>
        </w:rPr>
        <w:t>See ANR Pipeline Co. v. Federal Energy Regulatory Comm’n, 71 F.3d 897, 898 (1995) (briefly summarizing the history of the Hinshaw exemption).</w:t>
      </w:r>
    </w:p>
  </w:footnote>
  <w:footnote w:id="17">
    <w:p w:rsidR="00A71891" w:rsidRPr="009A22B9" w:rsidP="005735A9" w14:paraId="57B0C2D8" w14:textId="77777777">
      <w:pPr>
        <w:pStyle w:val="FootnoteText"/>
        <w:rPr>
          <w:i w:val="0"/>
          <w:iCs/>
        </w:rPr>
      </w:pPr>
      <w:r w:rsidRPr="009A22B9">
        <w:rPr>
          <w:rStyle w:val="FootnoteReference"/>
          <w:i w:val="0"/>
          <w:iCs w:val="0"/>
        </w:rPr>
        <w:footnoteRef/>
      </w:r>
      <w:r w:rsidRPr="009A22B9">
        <w:rPr>
          <w:i w:val="0"/>
          <w:iCs/>
          <w:vertAlign w:val="superscript"/>
        </w:rPr>
        <w:t xml:space="preserve"> </w:t>
      </w:r>
      <w:r w:rsidRPr="009A22B9">
        <w:rPr>
          <w:i w:val="0"/>
          <w:iCs/>
        </w:rPr>
        <w:t>18 CFR 284.224</w:t>
      </w:r>
      <w:r w:rsidRPr="009A22B9" w:rsidR="00B64B9C">
        <w:rPr>
          <w:i w:val="0"/>
          <w:iCs/>
        </w:rPr>
        <w:t xml:space="preserve"> (2021)</w:t>
      </w:r>
      <w:r w:rsidRPr="009A22B9">
        <w:rPr>
          <w:i w:val="0"/>
          <w:iCs/>
        </w:rPr>
        <w:t>.</w:t>
      </w:r>
    </w:p>
  </w:footnote>
  <w:footnote w:id="18">
    <w:p w:rsidR="00A22976" w:rsidP="005735A9" w14:paraId="332FAAAB" w14:textId="77777777">
      <w:pPr>
        <w:pStyle w:val="FootnoteText"/>
      </w:pPr>
      <w:r w:rsidRPr="00EC4303">
        <w:rPr>
          <w:rStyle w:val="FootnoteReference"/>
          <w:i w:val="0"/>
          <w:iCs w:val="0"/>
        </w:rPr>
        <w:footnoteRef/>
      </w:r>
      <w:r>
        <w:t xml:space="preserve"> </w:t>
      </w:r>
      <w:r w:rsidRPr="00EC4303">
        <w:rPr>
          <w:i w:val="0"/>
        </w:rPr>
        <w:t>Electronic Tariff Filings, Order No. 714, 73 FR 57,515 (Oct. 3, 2008), 124 FERC ¶ 61,270 (2008), order on reh’g, Order No. 714-A, 147 FERC ¶ 61,115 (2014).</w:t>
      </w:r>
    </w:p>
  </w:footnote>
  <w:footnote w:id="19">
    <w:p w:rsidR="00805F13" w:rsidP="005735A9" w14:paraId="36FC8C00" w14:textId="6C334266">
      <w:pPr>
        <w:pStyle w:val="FootnoteText"/>
      </w:pPr>
      <w:r w:rsidRPr="00EC4303">
        <w:rPr>
          <w:rStyle w:val="FootnoteReference"/>
          <w:i w:val="0"/>
          <w:iCs w:val="0"/>
        </w:rPr>
        <w:footnoteRef/>
      </w:r>
      <w:r>
        <w:t xml:space="preserve"> </w:t>
      </w:r>
      <w:r w:rsidRPr="00EC4303">
        <w:rPr>
          <w:i w:val="0"/>
          <w:iCs/>
        </w:rPr>
        <w:t xml:space="preserve">Deemed small if it has 500 or fewer employees and meets the requirements of </w:t>
      </w:r>
      <w:hyperlink r:id="rId1" w:history="1">
        <w:r w:rsidRPr="00B32460">
          <w:rPr>
            <w:rStyle w:val="Hyperlink"/>
            <w:i w:val="0"/>
            <w:iCs/>
          </w:rPr>
          <w:t>13 CFR 121.406</w:t>
        </w:r>
      </w:hyperlink>
    </w:p>
  </w:footnote>
  <w:footnote w:id="20">
    <w:p w:rsidR="001B1EDC" w:rsidRPr="00652AD4" w:rsidP="005735A9" w14:paraId="24DA00DA" w14:textId="43350D68">
      <w:pPr>
        <w:pStyle w:val="FootnoteText"/>
      </w:pPr>
      <w:r w:rsidRPr="00CE6358">
        <w:rPr>
          <w:rStyle w:val="FootnoteReference"/>
          <w:i w:val="0"/>
          <w:iCs w:val="0"/>
        </w:rPr>
        <w:footnoteRef/>
      </w:r>
      <w:r w:rsidR="004F42A8">
        <w:rPr>
          <w:vertAlign w:val="superscript"/>
        </w:rPr>
        <w:t xml:space="preserve"> </w:t>
      </w:r>
      <w:r w:rsidRPr="00B32460">
        <w:rPr>
          <w:i w:val="0"/>
          <w:iCs/>
        </w:rPr>
        <w:t>Burden is defined as the total time, effort, or financial resources expended by persons to generate, maintain, retain, or disclose or provide information to or for a federal agency.</w:t>
      </w:r>
      <w:r w:rsidRPr="00B32460" w:rsidR="004F42A8">
        <w:rPr>
          <w:i w:val="0"/>
          <w:iCs/>
        </w:rPr>
        <w:t xml:space="preserve"> </w:t>
      </w:r>
      <w:r w:rsidRPr="00B32460">
        <w:rPr>
          <w:i w:val="0"/>
          <w:iCs/>
        </w:rPr>
        <w:t>See 5 CFR 1320 for additional information on the definition of information collection burden.</w:t>
      </w:r>
    </w:p>
  </w:footnote>
  <w:footnote w:id="21">
    <w:p w:rsidR="001B1EDC" w:rsidRPr="00EF33A2" w:rsidP="005735A9" w14:paraId="5A5F77FF" w14:textId="15DBCCDB">
      <w:pPr>
        <w:pStyle w:val="FootnoteText"/>
      </w:pPr>
      <w:r w:rsidRPr="00B32460">
        <w:rPr>
          <w:rStyle w:val="FootnoteReference"/>
          <w:i w:val="0"/>
          <w:iCs w:val="0"/>
        </w:rPr>
        <w:footnoteRef/>
      </w:r>
      <w:r w:rsidRPr="00CE6358">
        <w:rPr>
          <w:b/>
          <w:bCs/>
          <w:i w:val="0"/>
          <w:vertAlign w:val="superscript"/>
        </w:rPr>
        <w:t xml:space="preserve"> </w:t>
      </w:r>
      <w:r w:rsidRPr="00CE6358">
        <w:rPr>
          <w:i w:val="0"/>
          <w:iCs/>
        </w:rPr>
        <w:t>Commission staff estimates that the industry’s skill set and cost (for wages and benefits) are approximately the same as the Commission’s average cost.</w:t>
      </w:r>
      <w:r w:rsidRPr="00CE6358" w:rsidR="004F42A8">
        <w:rPr>
          <w:i w:val="0"/>
          <w:iCs/>
        </w:rPr>
        <w:t xml:space="preserve"> </w:t>
      </w:r>
      <w:r w:rsidRPr="00CE6358" w:rsidR="0051343A">
        <w:rPr>
          <w:i w:val="0"/>
          <w:iCs/>
        </w:rPr>
        <w:t>The estimate uses the FERC’s FY 202</w:t>
      </w:r>
      <w:r w:rsidRPr="00CE6358" w:rsidR="006A4BFA">
        <w:rPr>
          <w:i w:val="0"/>
          <w:iCs/>
        </w:rPr>
        <w:t>5</w:t>
      </w:r>
      <w:r w:rsidRPr="00CE6358" w:rsidR="0051343A">
        <w:rPr>
          <w:i w:val="0"/>
          <w:iCs/>
        </w:rPr>
        <w:t xml:space="preserve"> average annual salary plus benefits of one FERC FTE (full-time equivalent [$</w:t>
      </w:r>
      <w:r w:rsidRPr="00CE6358" w:rsidR="008339FD">
        <w:rPr>
          <w:i w:val="0"/>
          <w:iCs/>
        </w:rPr>
        <w:t>214,093</w:t>
      </w:r>
      <w:r w:rsidRPr="00CE6358" w:rsidR="0051343A">
        <w:rPr>
          <w:i w:val="0"/>
          <w:iCs/>
        </w:rPr>
        <w:t xml:space="preserve"> per year or $</w:t>
      </w:r>
      <w:r w:rsidRPr="00CE6358" w:rsidR="006A4BFA">
        <w:rPr>
          <w:i w:val="0"/>
          <w:iCs/>
        </w:rPr>
        <w:t>103</w:t>
      </w:r>
      <w:r w:rsidRPr="00CE6358" w:rsidR="0051343A">
        <w:rPr>
          <w:i w:val="0"/>
          <w:iCs/>
        </w:rPr>
        <w:t xml:space="preserve"> per hour]).</w:t>
      </w:r>
      <w:r w:rsidR="004F42A8">
        <w:t xml:space="preserve"> </w:t>
      </w:r>
    </w:p>
  </w:footnote>
  <w:footnote w:id="22">
    <w:p w:rsidR="00BF7EAF" w14:paraId="0DB19A24" w14:textId="0EFE849A">
      <w:pPr>
        <w:pStyle w:val="FootnoteText"/>
      </w:pPr>
      <w:r>
        <w:rPr>
          <w:rStyle w:val="FootnoteReference"/>
        </w:rPr>
        <w:footnoteRef/>
      </w:r>
      <w:r>
        <w:t xml:space="preserve"> </w:t>
      </w:r>
      <w:r w:rsidRPr="00851DFE">
        <w:rPr>
          <w:i w:val="0"/>
          <w:iCs/>
        </w:rPr>
        <w:t xml:space="preserve">Updated based on </w:t>
      </w:r>
      <w:r w:rsidR="00AF3186">
        <w:rPr>
          <w:i w:val="0"/>
          <w:iCs/>
        </w:rPr>
        <w:t>CY 2024</w:t>
      </w:r>
      <w:r w:rsidR="0070500A">
        <w:rPr>
          <w:i w:val="0"/>
          <w:iCs/>
        </w:rPr>
        <w:t xml:space="preserve"> data</w:t>
      </w:r>
      <w:r w:rsidR="00851DFE">
        <w:rPr>
          <w:i w:val="0"/>
          <w:iCs/>
        </w:rPr>
        <w:t>.</w:t>
      </w:r>
    </w:p>
  </w:footnote>
  <w:footnote w:id="23">
    <w:p w:rsidR="0084160D" w:rsidRPr="0084160D" w14:paraId="093770A6" w14:textId="7C82BE89">
      <w:pPr>
        <w:pStyle w:val="FootnoteText"/>
        <w:rPr>
          <w:i w:val="0"/>
          <w:iCs/>
        </w:rPr>
      </w:pPr>
      <w:r>
        <w:rPr>
          <w:rStyle w:val="FootnoteReference"/>
        </w:rPr>
        <w:footnoteRef/>
      </w:r>
      <w:r>
        <w:t xml:space="preserve"> Id.</w:t>
      </w:r>
    </w:p>
  </w:footnote>
  <w:footnote w:id="24">
    <w:p w:rsidR="0047753C" w:rsidRPr="006C413A" w:rsidP="005735A9" w14:paraId="25816373" w14:textId="66F12313">
      <w:pPr>
        <w:pStyle w:val="FootnoteText"/>
        <w:rPr>
          <w:i w:val="0"/>
          <w:iCs/>
        </w:rPr>
      </w:pPr>
      <w:r w:rsidRPr="008C23EF">
        <w:rPr>
          <w:i w:val="0"/>
          <w:vertAlign w:val="superscript"/>
        </w:rPr>
        <w:footnoteRef/>
      </w:r>
      <w:r w:rsidRPr="008C23EF">
        <w:rPr>
          <w:i w:val="0"/>
        </w:rPr>
        <w:t xml:space="preserve"> </w:t>
      </w:r>
      <w:r w:rsidRPr="006C413A">
        <w:rPr>
          <w:i w:val="0"/>
          <w:iCs/>
        </w:rPr>
        <w:t>The estimate uses the FERC’s FY 202</w:t>
      </w:r>
      <w:r w:rsidRPr="006C413A" w:rsidR="00AB5CDF">
        <w:rPr>
          <w:i w:val="0"/>
          <w:iCs/>
        </w:rPr>
        <w:t>5</w:t>
      </w:r>
      <w:r w:rsidRPr="006C413A">
        <w:rPr>
          <w:i w:val="0"/>
          <w:iCs/>
        </w:rPr>
        <w:t xml:space="preserve"> average annual salary plus benefits of one FERC FTE (full-time equivalent [$</w:t>
      </w:r>
      <w:r w:rsidRPr="006C413A" w:rsidR="006B08C3">
        <w:rPr>
          <w:i w:val="0"/>
          <w:iCs/>
        </w:rPr>
        <w:t>214,</w:t>
      </w:r>
      <w:r w:rsidRPr="006C413A" w:rsidR="006B4419">
        <w:rPr>
          <w:i w:val="0"/>
          <w:iCs/>
        </w:rPr>
        <w:t>093</w:t>
      </w:r>
      <w:r w:rsidRPr="006C413A">
        <w:rPr>
          <w:i w:val="0"/>
          <w:iCs/>
        </w:rPr>
        <w:t xml:space="preserve"> per year or $</w:t>
      </w:r>
      <w:r w:rsidRPr="006C413A" w:rsidR="003241B6">
        <w:rPr>
          <w:i w:val="0"/>
          <w:iCs/>
        </w:rPr>
        <w:t>103</w:t>
      </w:r>
      <w:r w:rsidRPr="006C413A">
        <w:rPr>
          <w:i w:val="0"/>
          <w:iCs/>
        </w:rPr>
        <w:t>.00 per hour]).</w:t>
      </w:r>
      <w:r w:rsidRPr="006C413A" w:rsidR="004F42A8">
        <w:rPr>
          <w:i w:val="0"/>
          <w:iCs/>
        </w:rPr>
        <w:t xml:space="preserve"> </w:t>
      </w:r>
    </w:p>
  </w:footnote>
  <w:footnote w:id="25">
    <w:p w:rsidR="00AC6619" w:rsidRPr="00852AE5" w:rsidP="00621934" w14:paraId="6FD0F47D" w14:textId="4BDB7880">
      <w:pPr>
        <w:spacing w:after="0"/>
        <w:rPr>
          <w:rFonts w:ascii="Times New Roman" w:eastAsia="Times New Roman" w:hAnsi="Times New Roman" w:cs="Times New Roman"/>
          <w:sz w:val="26"/>
          <w:szCs w:val="26"/>
        </w:rPr>
      </w:pPr>
      <w:r w:rsidRPr="00621934">
        <w:rPr>
          <w:rStyle w:val="FootnoteReference"/>
        </w:rPr>
        <w:footnoteRef/>
      </w:r>
      <w:r w:rsidRPr="00852AE5">
        <w:rPr>
          <w:rFonts w:ascii="Times New Roman" w:hAnsi="Times New Roman" w:cs="Times New Roman"/>
          <w:sz w:val="26"/>
          <w:szCs w:val="26"/>
        </w:rPr>
        <w:t xml:space="preserve"> </w:t>
      </w:r>
      <w:r w:rsidRPr="006C413A">
        <w:rPr>
          <w:rFonts w:ascii="Times New Roman" w:hAnsi="Times New Roman" w:cs="Times New Roman"/>
          <w:sz w:val="20"/>
          <w:szCs w:val="20"/>
        </w:rPr>
        <w:t>The FERC 20</w:t>
      </w:r>
      <w:r w:rsidRPr="006C413A" w:rsidR="00852AE5">
        <w:rPr>
          <w:rFonts w:ascii="Times New Roman" w:hAnsi="Times New Roman" w:cs="Times New Roman"/>
          <w:sz w:val="20"/>
          <w:szCs w:val="20"/>
        </w:rPr>
        <w:t>2</w:t>
      </w:r>
      <w:r w:rsidRPr="006C413A" w:rsidR="003241B6">
        <w:rPr>
          <w:rFonts w:ascii="Times New Roman" w:hAnsi="Times New Roman" w:cs="Times New Roman"/>
          <w:sz w:val="20"/>
          <w:szCs w:val="20"/>
        </w:rPr>
        <w:t>5</w:t>
      </w:r>
      <w:r w:rsidRPr="006C413A">
        <w:rPr>
          <w:rFonts w:ascii="Times New Roman" w:hAnsi="Times New Roman" w:cs="Times New Roman"/>
          <w:sz w:val="20"/>
          <w:szCs w:val="20"/>
        </w:rPr>
        <w:t xml:space="preserve"> average salary plus benefits for one FERC full-time equivalent (FTE) is $</w:t>
      </w:r>
      <w:r w:rsidRPr="006C413A" w:rsidR="003241B6">
        <w:rPr>
          <w:rFonts w:ascii="Times New Roman" w:hAnsi="Times New Roman" w:cs="Times New Roman"/>
          <w:sz w:val="20"/>
          <w:szCs w:val="20"/>
        </w:rPr>
        <w:t>214,</w:t>
      </w:r>
      <w:r w:rsidRPr="006C413A" w:rsidR="006B4419">
        <w:rPr>
          <w:rFonts w:ascii="Times New Roman" w:hAnsi="Times New Roman" w:cs="Times New Roman"/>
          <w:sz w:val="20"/>
          <w:szCs w:val="20"/>
        </w:rPr>
        <w:t>093</w:t>
      </w:r>
      <w:r w:rsidRPr="006C413A">
        <w:rPr>
          <w:rFonts w:ascii="Times New Roman" w:hAnsi="Times New Roman" w:cs="Times New Roman"/>
          <w:sz w:val="20"/>
          <w:szCs w:val="20"/>
        </w:rPr>
        <w:t>/year (or $</w:t>
      </w:r>
      <w:r w:rsidRPr="006C413A" w:rsidR="003241B6">
        <w:rPr>
          <w:rFonts w:ascii="Times New Roman" w:hAnsi="Times New Roman" w:cs="Times New Roman"/>
          <w:sz w:val="20"/>
          <w:szCs w:val="20"/>
        </w:rPr>
        <w:t>103</w:t>
      </w:r>
      <w:r w:rsidRPr="006C413A">
        <w:rPr>
          <w:rFonts w:ascii="Times New Roman" w:hAnsi="Times New Roman" w:cs="Times New Roman"/>
          <w:sz w:val="20"/>
          <w:szCs w:val="20"/>
        </w:rPr>
        <w:t>.00/hour).</w:t>
      </w:r>
      <w:r w:rsidRPr="006C413A" w:rsidR="004F42A8">
        <w:rPr>
          <w:rFonts w:ascii="Times New Roman" w:hAnsi="Times New Roman" w:cs="Times New Roman"/>
          <w:sz w:val="20"/>
          <w:szCs w:val="20"/>
        </w:rPr>
        <w:t xml:space="preserve"> </w:t>
      </w:r>
    </w:p>
  </w:footnote>
  <w:footnote w:id="26">
    <w:p w:rsidR="00AC6619" w:rsidRPr="006C413A" w:rsidP="005735A9" w14:paraId="3E4044B7" w14:textId="77777777">
      <w:pPr>
        <w:pStyle w:val="FootnoteText"/>
        <w:rPr>
          <w:i w:val="0"/>
          <w:iCs/>
        </w:rPr>
      </w:pPr>
      <w:r w:rsidRPr="008C23EF">
        <w:rPr>
          <w:rStyle w:val="FootnoteReference"/>
          <w:i w:val="0"/>
        </w:rPr>
        <w:footnoteRef/>
      </w:r>
      <w:r w:rsidRPr="006C413A">
        <w:rPr>
          <w:i w:val="0"/>
          <w:iCs/>
          <w:vertAlign w:val="superscript"/>
        </w:rPr>
        <w:t xml:space="preserve"> </w:t>
      </w:r>
      <w:r w:rsidRPr="006C413A">
        <w:rPr>
          <w:i w:val="0"/>
          <w:iCs/>
        </w:rPr>
        <w:t>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0F47" w:rsidP="00CF0F47" w14:paraId="039FD215" w14:textId="235EB4AE">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CF0F47">
      <w:rPr>
        <w:rFonts w:ascii="Times New Roman" w:eastAsia="Times New Roman" w:hAnsi="Times New Roman" w:cs="Times New Roman"/>
        <w:sz w:val="24"/>
        <w:szCs w:val="24"/>
      </w:rPr>
      <w:t>FERC-549</w:t>
    </w:r>
    <w:r w:rsidR="007A74C6">
      <w:rPr>
        <w:rFonts w:ascii="Times New Roman" w:eastAsia="Times New Roman" w:hAnsi="Times New Roman" w:cs="Times New Roman"/>
        <w:sz w:val="24"/>
        <w:szCs w:val="24"/>
      </w:rPr>
      <w:t>E</w:t>
    </w:r>
    <w:r w:rsidRPr="00CF0F47">
      <w:rPr>
        <w:rFonts w:ascii="Times New Roman" w:eastAsia="Times New Roman" w:hAnsi="Times New Roman" w:cs="Times New Roman"/>
        <w:sz w:val="24"/>
        <w:szCs w:val="24"/>
      </w:rPr>
      <w:t xml:space="preserve"> (OMB Control No. 1902-</w:t>
    </w:r>
    <w:r w:rsidR="00125C8B">
      <w:rPr>
        <w:rFonts w:ascii="Times New Roman" w:eastAsia="Times New Roman" w:hAnsi="Times New Roman" w:cs="Times New Roman"/>
        <w:sz w:val="24"/>
        <w:szCs w:val="24"/>
      </w:rPr>
      <w:t>0328</w:t>
    </w:r>
    <w:r w:rsidRPr="00CF0F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125C8B" w:rsidP="00CF0F47" w14:paraId="0A5F07A6" w14:textId="7CF55F11">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Renewal in Docket IC26-5-000</w:t>
    </w:r>
  </w:p>
  <w:p w:rsidR="00535EDC" w:rsidRPr="00075F07" w:rsidP="00D24EDB" w14:paraId="51274775" w14:textId="03462DD6">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CA022A"/>
    <w:multiLevelType w:val="hybridMultilevel"/>
    <w:tmpl w:val="4A7E4F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75477FA"/>
    <w:multiLevelType w:val="hybridMultilevel"/>
    <w:tmpl w:val="247AC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4882A4C"/>
    <w:multiLevelType w:val="hybridMultilevel"/>
    <w:tmpl w:val="1FC65AFE"/>
    <w:lvl w:ilvl="0">
      <w:start w:val="13"/>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3">
    <w:nsid w:val="560413DC"/>
    <w:multiLevelType w:val="hybridMultilevel"/>
    <w:tmpl w:val="3C588EE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5AC44C8B"/>
    <w:multiLevelType w:val="hybridMultilevel"/>
    <w:tmpl w:val="BAB68D36"/>
    <w:lvl w:ilvl="0">
      <w:start w:val="7"/>
      <w:numFmt w:val="decimal"/>
      <w:lvlText w:val="%1."/>
      <w:lvlJc w:val="left"/>
      <w:pPr>
        <w:ind w:left="420" w:hanging="360"/>
      </w:pPr>
      <w:rPr>
        <w:rFonts w:hint="default"/>
        <w:b/>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5">
    <w:nsid w:val="67C65D1D"/>
    <w:multiLevelType w:val="hybridMultilevel"/>
    <w:tmpl w:val="85685566"/>
    <w:lvl w:ilvl="0">
      <w:start w:val="7"/>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71A71B2"/>
    <w:multiLevelType w:val="hybridMultilevel"/>
    <w:tmpl w:val="05226B70"/>
    <w:lvl w:ilvl="0">
      <w:start w:val="13"/>
      <w:numFmt w:val="decimal"/>
      <w:lvlText w:val="%1."/>
      <w:lvlJc w:val="left"/>
      <w:pPr>
        <w:tabs>
          <w:tab w:val="num" w:pos="420"/>
        </w:tabs>
        <w:ind w:left="4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128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7078426">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7668093">
    <w:abstractNumId w:val="1"/>
  </w:num>
  <w:num w:numId="4" w16cid:durableId="1201478622">
    <w:abstractNumId w:val="3"/>
  </w:num>
  <w:num w:numId="5" w16cid:durableId="509105974">
    <w:abstractNumId w:val="1"/>
  </w:num>
  <w:num w:numId="6" w16cid:durableId="1226336919">
    <w:abstractNumId w:val="2"/>
  </w:num>
  <w:num w:numId="7" w16cid:durableId="409233856">
    <w:abstractNumId w:val="6"/>
  </w:num>
  <w:num w:numId="8" w16cid:durableId="554976677">
    <w:abstractNumId w:val="4"/>
  </w:num>
  <w:num w:numId="9" w16cid:durableId="589435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53"/>
    <w:rsid w:val="00000C5B"/>
    <w:rsid w:val="00000C83"/>
    <w:rsid w:val="00001550"/>
    <w:rsid w:val="000068E4"/>
    <w:rsid w:val="00010C9A"/>
    <w:rsid w:val="00010F8F"/>
    <w:rsid w:val="00013F58"/>
    <w:rsid w:val="000205B5"/>
    <w:rsid w:val="00024159"/>
    <w:rsid w:val="000252E6"/>
    <w:rsid w:val="00025AE1"/>
    <w:rsid w:val="000304E8"/>
    <w:rsid w:val="000312DD"/>
    <w:rsid w:val="0004291F"/>
    <w:rsid w:val="00043DF9"/>
    <w:rsid w:val="000468BA"/>
    <w:rsid w:val="0005184D"/>
    <w:rsid w:val="00051CCC"/>
    <w:rsid w:val="00052E1C"/>
    <w:rsid w:val="000565C9"/>
    <w:rsid w:val="0005734C"/>
    <w:rsid w:val="000600E0"/>
    <w:rsid w:val="0006233C"/>
    <w:rsid w:val="00063E99"/>
    <w:rsid w:val="00070499"/>
    <w:rsid w:val="00075F07"/>
    <w:rsid w:val="000811DC"/>
    <w:rsid w:val="000828A8"/>
    <w:rsid w:val="00090320"/>
    <w:rsid w:val="000957AA"/>
    <w:rsid w:val="00096575"/>
    <w:rsid w:val="000B1DE7"/>
    <w:rsid w:val="000B7D96"/>
    <w:rsid w:val="000C34EA"/>
    <w:rsid w:val="000D10D9"/>
    <w:rsid w:val="000D3C59"/>
    <w:rsid w:val="000D711D"/>
    <w:rsid w:val="000E54E3"/>
    <w:rsid w:val="000E56E5"/>
    <w:rsid w:val="000E68A4"/>
    <w:rsid w:val="000F3A9D"/>
    <w:rsid w:val="000F4AC6"/>
    <w:rsid w:val="001026E1"/>
    <w:rsid w:val="00106DD1"/>
    <w:rsid w:val="001110B4"/>
    <w:rsid w:val="001132D3"/>
    <w:rsid w:val="00115061"/>
    <w:rsid w:val="00117399"/>
    <w:rsid w:val="00125C8B"/>
    <w:rsid w:val="00125DA8"/>
    <w:rsid w:val="00136ACF"/>
    <w:rsid w:val="00136CF2"/>
    <w:rsid w:val="001404B0"/>
    <w:rsid w:val="00141D54"/>
    <w:rsid w:val="0014209F"/>
    <w:rsid w:val="00146A63"/>
    <w:rsid w:val="00152A10"/>
    <w:rsid w:val="0015416D"/>
    <w:rsid w:val="00155710"/>
    <w:rsid w:val="00163665"/>
    <w:rsid w:val="001723CA"/>
    <w:rsid w:val="00173449"/>
    <w:rsid w:val="00173818"/>
    <w:rsid w:val="00175ADD"/>
    <w:rsid w:val="00176774"/>
    <w:rsid w:val="00180F64"/>
    <w:rsid w:val="001857B8"/>
    <w:rsid w:val="001907B8"/>
    <w:rsid w:val="001932CD"/>
    <w:rsid w:val="00194C9A"/>
    <w:rsid w:val="001A4958"/>
    <w:rsid w:val="001A5234"/>
    <w:rsid w:val="001B0A68"/>
    <w:rsid w:val="001B1EDC"/>
    <w:rsid w:val="001B2DBF"/>
    <w:rsid w:val="001B32F3"/>
    <w:rsid w:val="001B376D"/>
    <w:rsid w:val="001C0E10"/>
    <w:rsid w:val="001C18E5"/>
    <w:rsid w:val="001C4160"/>
    <w:rsid w:val="001D6914"/>
    <w:rsid w:val="001E1A1F"/>
    <w:rsid w:val="001E2877"/>
    <w:rsid w:val="001E3873"/>
    <w:rsid w:val="001E6322"/>
    <w:rsid w:val="001E6CD5"/>
    <w:rsid w:val="001F0711"/>
    <w:rsid w:val="002057A9"/>
    <w:rsid w:val="002114C3"/>
    <w:rsid w:val="002149AA"/>
    <w:rsid w:val="002215C5"/>
    <w:rsid w:val="00231383"/>
    <w:rsid w:val="0023436E"/>
    <w:rsid w:val="00236022"/>
    <w:rsid w:val="00243089"/>
    <w:rsid w:val="00243C3A"/>
    <w:rsid w:val="002440A9"/>
    <w:rsid w:val="00244544"/>
    <w:rsid w:val="002518B8"/>
    <w:rsid w:val="00252DA6"/>
    <w:rsid w:val="00257936"/>
    <w:rsid w:val="00260447"/>
    <w:rsid w:val="00260AF9"/>
    <w:rsid w:val="00262D0E"/>
    <w:rsid w:val="00262E02"/>
    <w:rsid w:val="002658FA"/>
    <w:rsid w:val="00274E05"/>
    <w:rsid w:val="00277DC9"/>
    <w:rsid w:val="00280726"/>
    <w:rsid w:val="00280D05"/>
    <w:rsid w:val="00290AAA"/>
    <w:rsid w:val="00293E06"/>
    <w:rsid w:val="00295120"/>
    <w:rsid w:val="00295277"/>
    <w:rsid w:val="002A0680"/>
    <w:rsid w:val="002A20BF"/>
    <w:rsid w:val="002A79D4"/>
    <w:rsid w:val="002B0BE1"/>
    <w:rsid w:val="002B0E6B"/>
    <w:rsid w:val="002B4489"/>
    <w:rsid w:val="002B54A3"/>
    <w:rsid w:val="002B6A13"/>
    <w:rsid w:val="002C20F9"/>
    <w:rsid w:val="002E08AA"/>
    <w:rsid w:val="002E1DAA"/>
    <w:rsid w:val="002F2A3C"/>
    <w:rsid w:val="002F5748"/>
    <w:rsid w:val="002F7DD4"/>
    <w:rsid w:val="00302AF0"/>
    <w:rsid w:val="00302E53"/>
    <w:rsid w:val="00307D89"/>
    <w:rsid w:val="00307F5D"/>
    <w:rsid w:val="00311EE2"/>
    <w:rsid w:val="003120F1"/>
    <w:rsid w:val="00313DD0"/>
    <w:rsid w:val="003241B6"/>
    <w:rsid w:val="003308AE"/>
    <w:rsid w:val="00332024"/>
    <w:rsid w:val="0034123E"/>
    <w:rsid w:val="0034258D"/>
    <w:rsid w:val="00346BBC"/>
    <w:rsid w:val="00366417"/>
    <w:rsid w:val="0036735A"/>
    <w:rsid w:val="00371005"/>
    <w:rsid w:val="0037117A"/>
    <w:rsid w:val="00371F42"/>
    <w:rsid w:val="00372E87"/>
    <w:rsid w:val="00374CB7"/>
    <w:rsid w:val="00381928"/>
    <w:rsid w:val="0038345D"/>
    <w:rsid w:val="00391298"/>
    <w:rsid w:val="0039490B"/>
    <w:rsid w:val="003959CE"/>
    <w:rsid w:val="00395C01"/>
    <w:rsid w:val="0039642D"/>
    <w:rsid w:val="00396A61"/>
    <w:rsid w:val="003A01F2"/>
    <w:rsid w:val="003A3B98"/>
    <w:rsid w:val="003B16DD"/>
    <w:rsid w:val="003B4771"/>
    <w:rsid w:val="003C2CD8"/>
    <w:rsid w:val="003D0E7A"/>
    <w:rsid w:val="003D4986"/>
    <w:rsid w:val="003D6329"/>
    <w:rsid w:val="003D7C2C"/>
    <w:rsid w:val="003E20CF"/>
    <w:rsid w:val="003E5B2A"/>
    <w:rsid w:val="003F13DD"/>
    <w:rsid w:val="003F34C1"/>
    <w:rsid w:val="003F34F5"/>
    <w:rsid w:val="00410919"/>
    <w:rsid w:val="00411279"/>
    <w:rsid w:val="00412FAB"/>
    <w:rsid w:val="00416792"/>
    <w:rsid w:val="00423E94"/>
    <w:rsid w:val="00424062"/>
    <w:rsid w:val="004323DE"/>
    <w:rsid w:val="00432C9B"/>
    <w:rsid w:val="0044069C"/>
    <w:rsid w:val="004442D0"/>
    <w:rsid w:val="00445118"/>
    <w:rsid w:val="004458BC"/>
    <w:rsid w:val="00451C60"/>
    <w:rsid w:val="004572F0"/>
    <w:rsid w:val="00457412"/>
    <w:rsid w:val="004635D6"/>
    <w:rsid w:val="00464A61"/>
    <w:rsid w:val="00467374"/>
    <w:rsid w:val="0047753C"/>
    <w:rsid w:val="004830C5"/>
    <w:rsid w:val="0048577B"/>
    <w:rsid w:val="00485A40"/>
    <w:rsid w:val="004963A0"/>
    <w:rsid w:val="00496972"/>
    <w:rsid w:val="00496EB8"/>
    <w:rsid w:val="004A3EA8"/>
    <w:rsid w:val="004A7784"/>
    <w:rsid w:val="004B6315"/>
    <w:rsid w:val="004B6E52"/>
    <w:rsid w:val="004C3EAE"/>
    <w:rsid w:val="004D0FC5"/>
    <w:rsid w:val="004D72B8"/>
    <w:rsid w:val="004E1C39"/>
    <w:rsid w:val="004E57F9"/>
    <w:rsid w:val="004E766E"/>
    <w:rsid w:val="004F422D"/>
    <w:rsid w:val="004F42A8"/>
    <w:rsid w:val="004F4D8A"/>
    <w:rsid w:val="00501057"/>
    <w:rsid w:val="00510244"/>
    <w:rsid w:val="0051197A"/>
    <w:rsid w:val="005127B9"/>
    <w:rsid w:val="0051343A"/>
    <w:rsid w:val="005162BC"/>
    <w:rsid w:val="005174E8"/>
    <w:rsid w:val="00517679"/>
    <w:rsid w:val="00517843"/>
    <w:rsid w:val="005215B6"/>
    <w:rsid w:val="00530199"/>
    <w:rsid w:val="005305C1"/>
    <w:rsid w:val="00532979"/>
    <w:rsid w:val="00535EDC"/>
    <w:rsid w:val="00541D54"/>
    <w:rsid w:val="005555E2"/>
    <w:rsid w:val="005557EB"/>
    <w:rsid w:val="005735A9"/>
    <w:rsid w:val="0057471D"/>
    <w:rsid w:val="0057613D"/>
    <w:rsid w:val="005829DA"/>
    <w:rsid w:val="0058595B"/>
    <w:rsid w:val="00591743"/>
    <w:rsid w:val="005960CA"/>
    <w:rsid w:val="005A1BBC"/>
    <w:rsid w:val="005B1461"/>
    <w:rsid w:val="005B6AB6"/>
    <w:rsid w:val="005C28CD"/>
    <w:rsid w:val="005C3C8C"/>
    <w:rsid w:val="005C7C65"/>
    <w:rsid w:val="005D188D"/>
    <w:rsid w:val="005E3EA0"/>
    <w:rsid w:val="005E6C18"/>
    <w:rsid w:val="005F3420"/>
    <w:rsid w:val="005F482A"/>
    <w:rsid w:val="005F5BB6"/>
    <w:rsid w:val="005F7E69"/>
    <w:rsid w:val="00600103"/>
    <w:rsid w:val="006018AD"/>
    <w:rsid w:val="0060407B"/>
    <w:rsid w:val="00615AA6"/>
    <w:rsid w:val="00621934"/>
    <w:rsid w:val="006224AF"/>
    <w:rsid w:val="00622D71"/>
    <w:rsid w:val="0063045D"/>
    <w:rsid w:val="00637129"/>
    <w:rsid w:val="006416D5"/>
    <w:rsid w:val="00642E08"/>
    <w:rsid w:val="00652AD4"/>
    <w:rsid w:val="006531F1"/>
    <w:rsid w:val="00656816"/>
    <w:rsid w:val="00656F95"/>
    <w:rsid w:val="006573E1"/>
    <w:rsid w:val="006575F9"/>
    <w:rsid w:val="00660878"/>
    <w:rsid w:val="0066308B"/>
    <w:rsid w:val="006670EE"/>
    <w:rsid w:val="00677366"/>
    <w:rsid w:val="00677E0B"/>
    <w:rsid w:val="0068108C"/>
    <w:rsid w:val="00681EA1"/>
    <w:rsid w:val="00683947"/>
    <w:rsid w:val="00683EDE"/>
    <w:rsid w:val="006854B8"/>
    <w:rsid w:val="006861A8"/>
    <w:rsid w:val="00690011"/>
    <w:rsid w:val="0069287E"/>
    <w:rsid w:val="00695AE7"/>
    <w:rsid w:val="006A3490"/>
    <w:rsid w:val="006A4BFA"/>
    <w:rsid w:val="006B089D"/>
    <w:rsid w:val="006B08C3"/>
    <w:rsid w:val="006B103B"/>
    <w:rsid w:val="006B4419"/>
    <w:rsid w:val="006B697A"/>
    <w:rsid w:val="006C129B"/>
    <w:rsid w:val="006C34F0"/>
    <w:rsid w:val="006C413A"/>
    <w:rsid w:val="006C58B3"/>
    <w:rsid w:val="006D4679"/>
    <w:rsid w:val="006D6C7C"/>
    <w:rsid w:val="006E1CB4"/>
    <w:rsid w:val="006E49AF"/>
    <w:rsid w:val="006E7F7A"/>
    <w:rsid w:val="006F1062"/>
    <w:rsid w:val="006F107A"/>
    <w:rsid w:val="006F154A"/>
    <w:rsid w:val="006F240B"/>
    <w:rsid w:val="006F52BA"/>
    <w:rsid w:val="006F7F0A"/>
    <w:rsid w:val="00704910"/>
    <w:rsid w:val="0070500A"/>
    <w:rsid w:val="007074BA"/>
    <w:rsid w:val="00714BBE"/>
    <w:rsid w:val="007174A6"/>
    <w:rsid w:val="00722A3F"/>
    <w:rsid w:val="007256A4"/>
    <w:rsid w:val="0072732C"/>
    <w:rsid w:val="007315D5"/>
    <w:rsid w:val="007360C3"/>
    <w:rsid w:val="00740939"/>
    <w:rsid w:val="00743114"/>
    <w:rsid w:val="00745448"/>
    <w:rsid w:val="00745953"/>
    <w:rsid w:val="0074678A"/>
    <w:rsid w:val="00746CBC"/>
    <w:rsid w:val="00752AF7"/>
    <w:rsid w:val="00753E83"/>
    <w:rsid w:val="00754B2B"/>
    <w:rsid w:val="00755861"/>
    <w:rsid w:val="00757800"/>
    <w:rsid w:val="00760C21"/>
    <w:rsid w:val="007631B3"/>
    <w:rsid w:val="007653CA"/>
    <w:rsid w:val="00773E37"/>
    <w:rsid w:val="00780B50"/>
    <w:rsid w:val="0078586A"/>
    <w:rsid w:val="00787011"/>
    <w:rsid w:val="0078751A"/>
    <w:rsid w:val="00790126"/>
    <w:rsid w:val="007A3585"/>
    <w:rsid w:val="007A4219"/>
    <w:rsid w:val="007A74C6"/>
    <w:rsid w:val="007B4122"/>
    <w:rsid w:val="007B54A3"/>
    <w:rsid w:val="007B6DCF"/>
    <w:rsid w:val="007B763B"/>
    <w:rsid w:val="007B7D7E"/>
    <w:rsid w:val="007C1B25"/>
    <w:rsid w:val="007C2466"/>
    <w:rsid w:val="007C4AA4"/>
    <w:rsid w:val="007D7920"/>
    <w:rsid w:val="007E2E83"/>
    <w:rsid w:val="007E68DE"/>
    <w:rsid w:val="007E715D"/>
    <w:rsid w:val="007F08DC"/>
    <w:rsid w:val="007F4365"/>
    <w:rsid w:val="007F58AF"/>
    <w:rsid w:val="007F5A9B"/>
    <w:rsid w:val="007F6012"/>
    <w:rsid w:val="00805F13"/>
    <w:rsid w:val="0081024D"/>
    <w:rsid w:val="00814427"/>
    <w:rsid w:val="00814F76"/>
    <w:rsid w:val="008206C6"/>
    <w:rsid w:val="00820C35"/>
    <w:rsid w:val="008305F8"/>
    <w:rsid w:val="00830928"/>
    <w:rsid w:val="00831F20"/>
    <w:rsid w:val="00832CFB"/>
    <w:rsid w:val="008339FD"/>
    <w:rsid w:val="00834C60"/>
    <w:rsid w:val="0084160D"/>
    <w:rsid w:val="00844AE1"/>
    <w:rsid w:val="0084716D"/>
    <w:rsid w:val="00847A51"/>
    <w:rsid w:val="00847FE3"/>
    <w:rsid w:val="00851DFE"/>
    <w:rsid w:val="00852AE5"/>
    <w:rsid w:val="0085464F"/>
    <w:rsid w:val="00854D6D"/>
    <w:rsid w:val="0085691E"/>
    <w:rsid w:val="00856AE7"/>
    <w:rsid w:val="00862D6B"/>
    <w:rsid w:val="0086623F"/>
    <w:rsid w:val="00873A0A"/>
    <w:rsid w:val="00873F50"/>
    <w:rsid w:val="0087493E"/>
    <w:rsid w:val="008764A5"/>
    <w:rsid w:val="00876B6F"/>
    <w:rsid w:val="00877DC6"/>
    <w:rsid w:val="00882A48"/>
    <w:rsid w:val="00884FEB"/>
    <w:rsid w:val="0089027B"/>
    <w:rsid w:val="00891197"/>
    <w:rsid w:val="008945F3"/>
    <w:rsid w:val="00896925"/>
    <w:rsid w:val="008A18E3"/>
    <w:rsid w:val="008A1EB1"/>
    <w:rsid w:val="008A27BF"/>
    <w:rsid w:val="008B04DD"/>
    <w:rsid w:val="008C23EF"/>
    <w:rsid w:val="008C4D08"/>
    <w:rsid w:val="008C53BE"/>
    <w:rsid w:val="008D009A"/>
    <w:rsid w:val="008D0317"/>
    <w:rsid w:val="008D0B05"/>
    <w:rsid w:val="008D4B48"/>
    <w:rsid w:val="008D4C61"/>
    <w:rsid w:val="008D50DB"/>
    <w:rsid w:val="008D6E9F"/>
    <w:rsid w:val="008E0186"/>
    <w:rsid w:val="008E211D"/>
    <w:rsid w:val="008E2B59"/>
    <w:rsid w:val="008E311B"/>
    <w:rsid w:val="008E34CD"/>
    <w:rsid w:val="008E4CF6"/>
    <w:rsid w:val="008E5D35"/>
    <w:rsid w:val="008F2087"/>
    <w:rsid w:val="008F37BA"/>
    <w:rsid w:val="008F4714"/>
    <w:rsid w:val="0090102D"/>
    <w:rsid w:val="0091308D"/>
    <w:rsid w:val="00921565"/>
    <w:rsid w:val="009230BF"/>
    <w:rsid w:val="0093217D"/>
    <w:rsid w:val="009334EC"/>
    <w:rsid w:val="00933EE7"/>
    <w:rsid w:val="0093456A"/>
    <w:rsid w:val="009358E0"/>
    <w:rsid w:val="00940BE7"/>
    <w:rsid w:val="00942DB0"/>
    <w:rsid w:val="00954164"/>
    <w:rsid w:val="00956263"/>
    <w:rsid w:val="00970FB8"/>
    <w:rsid w:val="009721D8"/>
    <w:rsid w:val="0098200A"/>
    <w:rsid w:val="00987F6E"/>
    <w:rsid w:val="00987F7D"/>
    <w:rsid w:val="0099139A"/>
    <w:rsid w:val="00991B63"/>
    <w:rsid w:val="009921D8"/>
    <w:rsid w:val="00992466"/>
    <w:rsid w:val="0099617E"/>
    <w:rsid w:val="009A0B63"/>
    <w:rsid w:val="009A1EAA"/>
    <w:rsid w:val="009A22B9"/>
    <w:rsid w:val="009A5F20"/>
    <w:rsid w:val="009B2765"/>
    <w:rsid w:val="009B47C0"/>
    <w:rsid w:val="009B59E1"/>
    <w:rsid w:val="009C0322"/>
    <w:rsid w:val="009D1816"/>
    <w:rsid w:val="009E1082"/>
    <w:rsid w:val="009E2023"/>
    <w:rsid w:val="009E580B"/>
    <w:rsid w:val="009F0899"/>
    <w:rsid w:val="009F1D98"/>
    <w:rsid w:val="009F2034"/>
    <w:rsid w:val="00A04F33"/>
    <w:rsid w:val="00A07A45"/>
    <w:rsid w:val="00A1052C"/>
    <w:rsid w:val="00A12C97"/>
    <w:rsid w:val="00A130CD"/>
    <w:rsid w:val="00A22976"/>
    <w:rsid w:val="00A239C9"/>
    <w:rsid w:val="00A25D73"/>
    <w:rsid w:val="00A27586"/>
    <w:rsid w:val="00A302A2"/>
    <w:rsid w:val="00A31EFF"/>
    <w:rsid w:val="00A35E70"/>
    <w:rsid w:val="00A44491"/>
    <w:rsid w:val="00A472BE"/>
    <w:rsid w:val="00A5197C"/>
    <w:rsid w:val="00A61160"/>
    <w:rsid w:val="00A6393F"/>
    <w:rsid w:val="00A6786D"/>
    <w:rsid w:val="00A71891"/>
    <w:rsid w:val="00A83FAC"/>
    <w:rsid w:val="00A85C28"/>
    <w:rsid w:val="00A86447"/>
    <w:rsid w:val="00A90DBF"/>
    <w:rsid w:val="00A931B8"/>
    <w:rsid w:val="00A93DDC"/>
    <w:rsid w:val="00A966D5"/>
    <w:rsid w:val="00AA6E8D"/>
    <w:rsid w:val="00AB36E4"/>
    <w:rsid w:val="00AB590E"/>
    <w:rsid w:val="00AB5CDF"/>
    <w:rsid w:val="00AB5D82"/>
    <w:rsid w:val="00AC6262"/>
    <w:rsid w:val="00AC6619"/>
    <w:rsid w:val="00AE39EB"/>
    <w:rsid w:val="00AF3186"/>
    <w:rsid w:val="00AF5DCF"/>
    <w:rsid w:val="00AF6DB7"/>
    <w:rsid w:val="00B036CA"/>
    <w:rsid w:val="00B04A43"/>
    <w:rsid w:val="00B0740D"/>
    <w:rsid w:val="00B118A7"/>
    <w:rsid w:val="00B22CE9"/>
    <w:rsid w:val="00B243F7"/>
    <w:rsid w:val="00B257C4"/>
    <w:rsid w:val="00B27A0F"/>
    <w:rsid w:val="00B32460"/>
    <w:rsid w:val="00B35745"/>
    <w:rsid w:val="00B43D5A"/>
    <w:rsid w:val="00B46213"/>
    <w:rsid w:val="00B54EA5"/>
    <w:rsid w:val="00B554BA"/>
    <w:rsid w:val="00B5619A"/>
    <w:rsid w:val="00B57A95"/>
    <w:rsid w:val="00B627EB"/>
    <w:rsid w:val="00B63932"/>
    <w:rsid w:val="00B64B9C"/>
    <w:rsid w:val="00B650FF"/>
    <w:rsid w:val="00B652EA"/>
    <w:rsid w:val="00B67C5C"/>
    <w:rsid w:val="00B8381C"/>
    <w:rsid w:val="00B85818"/>
    <w:rsid w:val="00B86391"/>
    <w:rsid w:val="00B86E00"/>
    <w:rsid w:val="00B90A0A"/>
    <w:rsid w:val="00B9457C"/>
    <w:rsid w:val="00B9700D"/>
    <w:rsid w:val="00BB136B"/>
    <w:rsid w:val="00BB1EBB"/>
    <w:rsid w:val="00BB610A"/>
    <w:rsid w:val="00BC24B1"/>
    <w:rsid w:val="00BC2680"/>
    <w:rsid w:val="00BD130A"/>
    <w:rsid w:val="00BD1553"/>
    <w:rsid w:val="00BD2BD2"/>
    <w:rsid w:val="00BE26E3"/>
    <w:rsid w:val="00BE4661"/>
    <w:rsid w:val="00BE5A4F"/>
    <w:rsid w:val="00BF0450"/>
    <w:rsid w:val="00BF7EAF"/>
    <w:rsid w:val="00C012B7"/>
    <w:rsid w:val="00C0394D"/>
    <w:rsid w:val="00C04728"/>
    <w:rsid w:val="00C122E0"/>
    <w:rsid w:val="00C125A5"/>
    <w:rsid w:val="00C21FBE"/>
    <w:rsid w:val="00C25996"/>
    <w:rsid w:val="00C260C2"/>
    <w:rsid w:val="00C27AEC"/>
    <w:rsid w:val="00C36B8C"/>
    <w:rsid w:val="00C54327"/>
    <w:rsid w:val="00C6672D"/>
    <w:rsid w:val="00C6779B"/>
    <w:rsid w:val="00C70C05"/>
    <w:rsid w:val="00C8257F"/>
    <w:rsid w:val="00C83BFF"/>
    <w:rsid w:val="00C83D36"/>
    <w:rsid w:val="00C86B28"/>
    <w:rsid w:val="00C92A77"/>
    <w:rsid w:val="00C95A13"/>
    <w:rsid w:val="00C9632C"/>
    <w:rsid w:val="00CA5D32"/>
    <w:rsid w:val="00CA5E50"/>
    <w:rsid w:val="00CA7BE7"/>
    <w:rsid w:val="00CB118F"/>
    <w:rsid w:val="00CB1F01"/>
    <w:rsid w:val="00CB7084"/>
    <w:rsid w:val="00CB7C8B"/>
    <w:rsid w:val="00CC5299"/>
    <w:rsid w:val="00CC5CD5"/>
    <w:rsid w:val="00CD31A3"/>
    <w:rsid w:val="00CD3FA3"/>
    <w:rsid w:val="00CD4FB2"/>
    <w:rsid w:val="00CD5335"/>
    <w:rsid w:val="00CE293A"/>
    <w:rsid w:val="00CE3C99"/>
    <w:rsid w:val="00CE6358"/>
    <w:rsid w:val="00CE66B4"/>
    <w:rsid w:val="00CF0E31"/>
    <w:rsid w:val="00CF0F47"/>
    <w:rsid w:val="00CF1932"/>
    <w:rsid w:val="00CF3FAA"/>
    <w:rsid w:val="00D04D66"/>
    <w:rsid w:val="00D07613"/>
    <w:rsid w:val="00D07D69"/>
    <w:rsid w:val="00D1508B"/>
    <w:rsid w:val="00D20F9F"/>
    <w:rsid w:val="00D24EDB"/>
    <w:rsid w:val="00D25D33"/>
    <w:rsid w:val="00D2672C"/>
    <w:rsid w:val="00D365DD"/>
    <w:rsid w:val="00D36DC4"/>
    <w:rsid w:val="00D4483D"/>
    <w:rsid w:val="00D477AF"/>
    <w:rsid w:val="00D47B4D"/>
    <w:rsid w:val="00D47F69"/>
    <w:rsid w:val="00D563D9"/>
    <w:rsid w:val="00D60732"/>
    <w:rsid w:val="00D6118B"/>
    <w:rsid w:val="00D616DF"/>
    <w:rsid w:val="00D61B67"/>
    <w:rsid w:val="00D66175"/>
    <w:rsid w:val="00D664FF"/>
    <w:rsid w:val="00D67A1E"/>
    <w:rsid w:val="00D71E1E"/>
    <w:rsid w:val="00D80445"/>
    <w:rsid w:val="00D80F78"/>
    <w:rsid w:val="00D90A08"/>
    <w:rsid w:val="00D93A31"/>
    <w:rsid w:val="00D93F15"/>
    <w:rsid w:val="00D94214"/>
    <w:rsid w:val="00D95D96"/>
    <w:rsid w:val="00DA4696"/>
    <w:rsid w:val="00DB012E"/>
    <w:rsid w:val="00DB22E7"/>
    <w:rsid w:val="00DB420F"/>
    <w:rsid w:val="00DC3562"/>
    <w:rsid w:val="00DC6240"/>
    <w:rsid w:val="00DD5CA9"/>
    <w:rsid w:val="00DE1B8D"/>
    <w:rsid w:val="00DE1D9B"/>
    <w:rsid w:val="00DE3B0C"/>
    <w:rsid w:val="00DE5797"/>
    <w:rsid w:val="00DF03F1"/>
    <w:rsid w:val="00DF64E9"/>
    <w:rsid w:val="00E046F3"/>
    <w:rsid w:val="00E05040"/>
    <w:rsid w:val="00E06A28"/>
    <w:rsid w:val="00E0794A"/>
    <w:rsid w:val="00E11EDE"/>
    <w:rsid w:val="00E1500A"/>
    <w:rsid w:val="00E21FDD"/>
    <w:rsid w:val="00E23E15"/>
    <w:rsid w:val="00E305BC"/>
    <w:rsid w:val="00E377D9"/>
    <w:rsid w:val="00E43705"/>
    <w:rsid w:val="00E510F5"/>
    <w:rsid w:val="00E54512"/>
    <w:rsid w:val="00E57FD2"/>
    <w:rsid w:val="00E602B7"/>
    <w:rsid w:val="00E60746"/>
    <w:rsid w:val="00E61ACD"/>
    <w:rsid w:val="00E63417"/>
    <w:rsid w:val="00E63956"/>
    <w:rsid w:val="00E67FA8"/>
    <w:rsid w:val="00E73301"/>
    <w:rsid w:val="00E7361F"/>
    <w:rsid w:val="00E74B3A"/>
    <w:rsid w:val="00E84C49"/>
    <w:rsid w:val="00E97251"/>
    <w:rsid w:val="00EA3492"/>
    <w:rsid w:val="00EA3D3C"/>
    <w:rsid w:val="00EA6A2F"/>
    <w:rsid w:val="00EA74F8"/>
    <w:rsid w:val="00EB4722"/>
    <w:rsid w:val="00EB4940"/>
    <w:rsid w:val="00EB52C8"/>
    <w:rsid w:val="00EC21EB"/>
    <w:rsid w:val="00EC4303"/>
    <w:rsid w:val="00ED00B2"/>
    <w:rsid w:val="00EE0E91"/>
    <w:rsid w:val="00EE2805"/>
    <w:rsid w:val="00EE2CC1"/>
    <w:rsid w:val="00EE2DDE"/>
    <w:rsid w:val="00EE3DF1"/>
    <w:rsid w:val="00EE6205"/>
    <w:rsid w:val="00EE7829"/>
    <w:rsid w:val="00EF0DC7"/>
    <w:rsid w:val="00EF33A2"/>
    <w:rsid w:val="00EF4408"/>
    <w:rsid w:val="00EF56F2"/>
    <w:rsid w:val="00F00B9B"/>
    <w:rsid w:val="00F00ECE"/>
    <w:rsid w:val="00F04A93"/>
    <w:rsid w:val="00F06909"/>
    <w:rsid w:val="00F074DF"/>
    <w:rsid w:val="00F10740"/>
    <w:rsid w:val="00F1143F"/>
    <w:rsid w:val="00F1245C"/>
    <w:rsid w:val="00F13D21"/>
    <w:rsid w:val="00F166E5"/>
    <w:rsid w:val="00F1738B"/>
    <w:rsid w:val="00F17D17"/>
    <w:rsid w:val="00F2207A"/>
    <w:rsid w:val="00F23095"/>
    <w:rsid w:val="00F2427C"/>
    <w:rsid w:val="00F24BC9"/>
    <w:rsid w:val="00F33307"/>
    <w:rsid w:val="00F3516F"/>
    <w:rsid w:val="00F40611"/>
    <w:rsid w:val="00F41A14"/>
    <w:rsid w:val="00F424EC"/>
    <w:rsid w:val="00F42A8D"/>
    <w:rsid w:val="00F4466E"/>
    <w:rsid w:val="00F50900"/>
    <w:rsid w:val="00F51754"/>
    <w:rsid w:val="00F54E38"/>
    <w:rsid w:val="00F704ED"/>
    <w:rsid w:val="00F80801"/>
    <w:rsid w:val="00F854A9"/>
    <w:rsid w:val="00F85567"/>
    <w:rsid w:val="00F93067"/>
    <w:rsid w:val="00F93C91"/>
    <w:rsid w:val="00F94061"/>
    <w:rsid w:val="00F95B62"/>
    <w:rsid w:val="00FA7135"/>
    <w:rsid w:val="00FA7718"/>
    <w:rsid w:val="00FB049F"/>
    <w:rsid w:val="00FB1584"/>
    <w:rsid w:val="00FB4397"/>
    <w:rsid w:val="00FB6212"/>
    <w:rsid w:val="00FB6A7E"/>
    <w:rsid w:val="00FC1DC6"/>
    <w:rsid w:val="00FC53F4"/>
    <w:rsid w:val="00FC5F66"/>
    <w:rsid w:val="00FC64AE"/>
    <w:rsid w:val="00FD5E42"/>
    <w:rsid w:val="00FE3017"/>
    <w:rsid w:val="00FE5727"/>
    <w:rsid w:val="00FE7A71"/>
    <w:rsid w:val="00FE7B49"/>
    <w:rsid w:val="00FF0A9F"/>
    <w:rsid w:val="00FF0E4E"/>
    <w:rsid w:val="00FF6942"/>
    <w:rsid w:val="00FF6EF3"/>
    <w:rsid w:val="00FF7389"/>
    <w:rsid w:val="07E0ECF6"/>
    <w:rsid w:val="084FCF2A"/>
    <w:rsid w:val="09496FC2"/>
    <w:rsid w:val="0B565D89"/>
    <w:rsid w:val="0C495855"/>
    <w:rsid w:val="0CA5F4F3"/>
    <w:rsid w:val="0D3CD9D4"/>
    <w:rsid w:val="1464F070"/>
    <w:rsid w:val="23CA7939"/>
    <w:rsid w:val="263B7F8E"/>
    <w:rsid w:val="294DE550"/>
    <w:rsid w:val="29BEC791"/>
    <w:rsid w:val="2DB63618"/>
    <w:rsid w:val="2E52494C"/>
    <w:rsid w:val="3134D3EB"/>
    <w:rsid w:val="36978CCC"/>
    <w:rsid w:val="3A57CC0D"/>
    <w:rsid w:val="3AC28DD4"/>
    <w:rsid w:val="3D15F5EB"/>
    <w:rsid w:val="3DA01A0B"/>
    <w:rsid w:val="4358EB82"/>
    <w:rsid w:val="48722C2A"/>
    <w:rsid w:val="4A0C2B48"/>
    <w:rsid w:val="4BD1823A"/>
    <w:rsid w:val="4CCFD00B"/>
    <w:rsid w:val="4EF522B6"/>
    <w:rsid w:val="5138E1A8"/>
    <w:rsid w:val="52FE8899"/>
    <w:rsid w:val="5656C271"/>
    <w:rsid w:val="5FE5E888"/>
    <w:rsid w:val="648A7AE8"/>
    <w:rsid w:val="65392A7C"/>
    <w:rsid w:val="68204BB8"/>
    <w:rsid w:val="6867D0E1"/>
    <w:rsid w:val="686F9C48"/>
    <w:rsid w:val="69629714"/>
    <w:rsid w:val="6A42F5B3"/>
    <w:rsid w:val="6C794E7E"/>
    <w:rsid w:val="6DEB3CF8"/>
    <w:rsid w:val="709AD9A8"/>
    <w:rsid w:val="78DD6557"/>
    <w:rsid w:val="7C42EED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28448DF"/>
  <w15:chartTrackingRefBased/>
  <w15:docId w15:val="{35A9110F-4BA6-4685-AE47-E138E001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unhideWhenUsed/>
    <w:qFormat/>
    <w:rsid w:val="005735A9"/>
    <w:pPr>
      <w:spacing w:after="0" w:line="240" w:lineRule="auto"/>
    </w:pPr>
    <w:rPr>
      <w:rFonts w:ascii="Times New Roman" w:hAnsi="Times New Roman" w:cs="Times New Roman"/>
      <w:i/>
      <w:sz w:val="20"/>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5735A9"/>
    <w:rPr>
      <w:rFonts w:ascii="Times New Roman" w:hAnsi="Times New Roman" w:cs="Times New Roman"/>
      <w:i/>
      <w:sz w:val="20"/>
      <w:szCs w:val="20"/>
    </w:rPr>
  </w:style>
  <w:style w:type="paragraph" w:styleId="Header">
    <w:name w:val="header"/>
    <w:basedOn w:val="Normal"/>
    <w:link w:val="HeaderChar"/>
    <w:uiPriority w:val="99"/>
    <w:unhideWhenUsed/>
    <w:rsid w:val="00CF0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F47"/>
  </w:style>
  <w:style w:type="paragraph" w:styleId="Footer">
    <w:name w:val="footer"/>
    <w:basedOn w:val="Normal"/>
    <w:link w:val="FooterChar"/>
    <w:uiPriority w:val="99"/>
    <w:unhideWhenUsed/>
    <w:rsid w:val="00CF0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F47"/>
  </w:style>
  <w:style w:type="character" w:styleId="Hyperlink">
    <w:name w:val="Hyperlink"/>
    <w:unhideWhenUsed/>
    <w:rsid w:val="0047753C"/>
    <w:rPr>
      <w:color w:val="0000FF"/>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nhideWhenUsed/>
    <w:qFormat/>
    <w:rsid w:val="007E715D"/>
    <w:rPr>
      <w:bCs/>
      <w:iCs/>
      <w:vertAlign w:val="superscript"/>
    </w:rPr>
  </w:style>
  <w:style w:type="character" w:styleId="UnresolvedMention">
    <w:name w:val="Unresolved Mention"/>
    <w:basedOn w:val="DefaultParagraphFont"/>
    <w:uiPriority w:val="99"/>
    <w:unhideWhenUsed/>
    <w:rsid w:val="0047753C"/>
    <w:rPr>
      <w:color w:val="605E5C"/>
      <w:shd w:val="clear" w:color="auto" w:fill="E1DFDD"/>
    </w:rPr>
  </w:style>
  <w:style w:type="paragraph" w:styleId="BodyText">
    <w:name w:val="Body Text"/>
    <w:basedOn w:val="Normal"/>
    <w:link w:val="BodyTextChar"/>
    <w:uiPriority w:val="99"/>
    <w:semiHidden/>
    <w:unhideWhenUsed/>
    <w:rsid w:val="003A01F2"/>
    <w:pPr>
      <w:spacing w:after="120"/>
    </w:pPr>
  </w:style>
  <w:style w:type="character" w:customStyle="1" w:styleId="BodyTextChar">
    <w:name w:val="Body Text Char"/>
    <w:basedOn w:val="DefaultParagraphFont"/>
    <w:link w:val="BodyText"/>
    <w:uiPriority w:val="99"/>
    <w:semiHidden/>
    <w:rsid w:val="003A01F2"/>
  </w:style>
  <w:style w:type="paragraph" w:styleId="ListParagraph">
    <w:name w:val="List Paragraph"/>
    <w:basedOn w:val="Normal"/>
    <w:uiPriority w:val="34"/>
    <w:qFormat/>
    <w:rsid w:val="00854D6D"/>
    <w:pPr>
      <w:ind w:left="720"/>
      <w:contextualSpacing/>
    </w:pPr>
  </w:style>
  <w:style w:type="paragraph" w:customStyle="1" w:styleId="TableParagraph">
    <w:name w:val="Table Paragraph"/>
    <w:basedOn w:val="Normal"/>
    <w:uiPriority w:val="1"/>
    <w:qFormat/>
    <w:rsid w:val="00854D6D"/>
    <w:pPr>
      <w:widowControl w:val="0"/>
      <w:autoSpaceDE w:val="0"/>
      <w:autoSpaceDN w:val="0"/>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F5748"/>
    <w:rPr>
      <w:sz w:val="16"/>
      <w:szCs w:val="16"/>
    </w:rPr>
  </w:style>
  <w:style w:type="paragraph" w:styleId="CommentText">
    <w:name w:val="annotation text"/>
    <w:basedOn w:val="Normal"/>
    <w:link w:val="CommentTextChar"/>
    <w:uiPriority w:val="99"/>
    <w:unhideWhenUsed/>
    <w:rsid w:val="002F5748"/>
    <w:pPr>
      <w:spacing w:line="240" w:lineRule="auto"/>
    </w:pPr>
    <w:rPr>
      <w:sz w:val="20"/>
      <w:szCs w:val="20"/>
    </w:rPr>
  </w:style>
  <w:style w:type="character" w:customStyle="1" w:styleId="CommentTextChar">
    <w:name w:val="Comment Text Char"/>
    <w:basedOn w:val="DefaultParagraphFont"/>
    <w:link w:val="CommentText"/>
    <w:uiPriority w:val="99"/>
    <w:rsid w:val="002F5748"/>
    <w:rPr>
      <w:sz w:val="20"/>
      <w:szCs w:val="20"/>
    </w:rPr>
  </w:style>
  <w:style w:type="paragraph" w:styleId="CommentSubject">
    <w:name w:val="annotation subject"/>
    <w:basedOn w:val="CommentText"/>
    <w:next w:val="CommentText"/>
    <w:link w:val="CommentSubjectChar"/>
    <w:uiPriority w:val="99"/>
    <w:semiHidden/>
    <w:unhideWhenUsed/>
    <w:rsid w:val="002F5748"/>
    <w:rPr>
      <w:b/>
      <w:bCs/>
    </w:rPr>
  </w:style>
  <w:style w:type="character" w:customStyle="1" w:styleId="CommentSubjectChar">
    <w:name w:val="Comment Subject Char"/>
    <w:basedOn w:val="CommentTextChar"/>
    <w:link w:val="CommentSubject"/>
    <w:uiPriority w:val="99"/>
    <w:semiHidden/>
    <w:rsid w:val="002F5748"/>
    <w:rPr>
      <w:b/>
      <w:bCs/>
      <w:sz w:val="20"/>
      <w:szCs w:val="20"/>
    </w:rPr>
  </w:style>
  <w:style w:type="character" w:styleId="Mention">
    <w:name w:val="Mention"/>
    <w:basedOn w:val="DefaultParagraphFont"/>
    <w:uiPriority w:val="99"/>
    <w:unhideWhenUsed/>
    <w:rsid w:val="000811DC"/>
    <w:rPr>
      <w:color w:val="2B579A"/>
      <w:shd w:val="clear" w:color="auto" w:fill="E1DFDD"/>
    </w:rPr>
  </w:style>
  <w:style w:type="paragraph" w:customStyle="1" w:styleId="paragraph">
    <w:name w:val="paragraph"/>
    <w:basedOn w:val="Normal"/>
    <w:rsid w:val="001E6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E6322"/>
  </w:style>
  <w:style w:type="character" w:customStyle="1" w:styleId="eop">
    <w:name w:val="eop"/>
    <w:basedOn w:val="DefaultParagraphFont"/>
    <w:rsid w:val="001E6322"/>
  </w:style>
  <w:style w:type="paragraph" w:styleId="Revision">
    <w:name w:val="Revision"/>
    <w:hidden/>
    <w:uiPriority w:val="99"/>
    <w:semiHidden/>
    <w:rsid w:val="00FF0A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ecfr.gov/current/title-13/section-121.40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9470C-1F20-48EE-9C6F-CCB9C6E0415B}">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2.xml><?xml version="1.0" encoding="utf-8"?>
<ds:datastoreItem xmlns:ds="http://schemas.openxmlformats.org/officeDocument/2006/customXml" ds:itemID="{E68FB51E-562C-42CA-8BF5-2D4B2E829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B3665-4E8E-4FD9-B8B3-2255EB67B98A}">
  <ds:schemaRefs>
    <ds:schemaRef ds:uri="http://schemas.openxmlformats.org/officeDocument/2006/bibliography"/>
  </ds:schemaRefs>
</ds:datastoreItem>
</file>

<file path=customXml/itemProps4.xml><?xml version="1.0" encoding="utf-8"?>
<ds:datastoreItem xmlns:ds="http://schemas.openxmlformats.org/officeDocument/2006/customXml" ds:itemID="{70A6F266-7F98-44B0-9C3D-1A089BF9D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3203</Words>
  <Characters>18263</Characters>
  <Application>Microsoft Office Word</Application>
  <DocSecurity>0</DocSecurity>
  <Lines>152</Lines>
  <Paragraphs>42</Paragraphs>
  <ScaleCrop>false</ScaleCrop>
  <Company/>
  <LinksUpToDate>false</LinksUpToDate>
  <CharactersWithSpaces>21424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Eric Primosch</cp:lastModifiedBy>
  <cp:revision>138</cp:revision>
  <dcterms:created xsi:type="dcterms:W3CDTF">2026-01-08T20:33:00Z</dcterms:created>
  <dcterms:modified xsi:type="dcterms:W3CDTF">2026-04-02T18:33:00Z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bd24d06a-0e85-4d57-b1e0-ba34b1abc708_ActionId">
    <vt:lpwstr>9db0a616-ab97-490b-9003-36ec4b7984b7</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2026-01-07T17:56:49Z</vt:lpwstr>
  </property>
  <property fmtid="{D5CDD505-2E9C-101B-9397-08002B2CF9AE}" pid="10" name="MSIP_Label_bd24d06a-0e85-4d57-b1e0-ba34b1abc708_SiteId">
    <vt:lpwstr>19caa9e9-04ff-43fa-885f-d77fac387903</vt:lpwstr>
  </property>
  <property fmtid="{D5CDD505-2E9C-101B-9397-08002B2CF9AE}" pid="11" name="MSIP_Label_bd24d06a-0e85-4d57-b1e0-ba34b1abc708_Tag">
    <vt:lpwstr>10, 0, 1, 1</vt:lpwstr>
  </property>
</Properties>
</file>