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23EAF" w:rsidRPr="00B52806" w:rsidP="00423EAF" w14:paraId="6F818F62" w14:textId="77777777">
      <w:pPr>
        <w:tabs>
          <w:tab w:val="left" w:pos="1800"/>
        </w:tabs>
        <w:jc w:val="center"/>
        <w:rPr>
          <w:szCs w:val="26"/>
        </w:rPr>
      </w:pPr>
      <w:r w:rsidRPr="00B52806">
        <w:rPr>
          <w:szCs w:val="26"/>
        </w:rPr>
        <w:t>UNITED STATES OF AMERICA</w:t>
      </w:r>
    </w:p>
    <w:p w:rsidR="00423EAF" w:rsidRPr="00B52806" w:rsidP="00423EAF" w14:paraId="586686C8" w14:textId="77777777">
      <w:pPr>
        <w:tabs>
          <w:tab w:val="left" w:pos="1800"/>
        </w:tabs>
        <w:jc w:val="center"/>
        <w:rPr>
          <w:szCs w:val="26"/>
        </w:rPr>
      </w:pPr>
      <w:r w:rsidRPr="00B52806">
        <w:rPr>
          <w:szCs w:val="26"/>
        </w:rPr>
        <w:t>FEDERAL ENERGY REGULATORY COMMISSION</w:t>
      </w:r>
    </w:p>
    <w:p w:rsidR="00423EAF" w:rsidRPr="00B52806" w:rsidP="00423EAF" w14:paraId="704D7AF3" w14:textId="77777777">
      <w:pPr>
        <w:tabs>
          <w:tab w:val="left" w:pos="1800"/>
        </w:tabs>
        <w:jc w:val="center"/>
        <w:rPr>
          <w:szCs w:val="26"/>
        </w:rPr>
      </w:pPr>
    </w:p>
    <w:p w:rsidR="00423EAF" w:rsidRPr="00B52806" w:rsidP="00423EAF" w14:paraId="6772A360" w14:textId="42D37ED5">
      <w:pPr>
        <w:tabs>
          <w:tab w:val="left" w:pos="1800"/>
        </w:tabs>
        <w:jc w:val="center"/>
        <w:rPr>
          <w:szCs w:val="26"/>
        </w:rPr>
      </w:pPr>
      <w:r w:rsidRPr="00B52806">
        <w:rPr>
          <w:szCs w:val="26"/>
        </w:rPr>
        <w:t>[Docket No.</w:t>
      </w:r>
      <w:r w:rsidRPr="00B52806" w:rsidR="004A79C9">
        <w:rPr>
          <w:szCs w:val="26"/>
        </w:rPr>
        <w:t xml:space="preserve"> </w:t>
      </w:r>
      <w:r w:rsidRPr="00B52806">
        <w:rPr>
          <w:szCs w:val="26"/>
        </w:rPr>
        <w:t>IC</w:t>
      </w:r>
      <w:r w:rsidRPr="00B52806" w:rsidR="00746B1E">
        <w:rPr>
          <w:szCs w:val="26"/>
        </w:rPr>
        <w:t>2</w:t>
      </w:r>
      <w:r w:rsidRPr="00B52806" w:rsidR="00083EA2">
        <w:rPr>
          <w:szCs w:val="26"/>
        </w:rPr>
        <w:t>5</w:t>
      </w:r>
      <w:r w:rsidRPr="00B52806">
        <w:rPr>
          <w:szCs w:val="26"/>
        </w:rPr>
        <w:t>-</w:t>
      </w:r>
      <w:r w:rsidRPr="00B52806" w:rsidR="00083EA2">
        <w:rPr>
          <w:szCs w:val="26"/>
        </w:rPr>
        <w:t>19</w:t>
      </w:r>
      <w:r w:rsidRPr="00B52806">
        <w:rPr>
          <w:szCs w:val="26"/>
        </w:rPr>
        <w:t>-</w:t>
      </w:r>
      <w:r w:rsidRPr="00B52806" w:rsidR="00CC6C1E">
        <w:rPr>
          <w:szCs w:val="26"/>
        </w:rPr>
        <w:t>0</w:t>
      </w:r>
      <w:r w:rsidRPr="00B52806">
        <w:rPr>
          <w:szCs w:val="26"/>
        </w:rPr>
        <w:t>00]</w:t>
      </w:r>
    </w:p>
    <w:p w:rsidR="00423EAF" w:rsidRPr="00B52806" w:rsidP="00423EAF" w14:paraId="33F297AE" w14:textId="77777777">
      <w:pPr>
        <w:tabs>
          <w:tab w:val="left" w:pos="1800"/>
        </w:tabs>
        <w:jc w:val="center"/>
        <w:rPr>
          <w:szCs w:val="26"/>
        </w:rPr>
      </w:pPr>
    </w:p>
    <w:p w:rsidR="00423EAF" w:rsidRPr="00B52806" w:rsidP="00423EAF" w14:paraId="7CB1C713" w14:textId="77777777">
      <w:pPr>
        <w:tabs>
          <w:tab w:val="left" w:pos="1800"/>
        </w:tabs>
        <w:jc w:val="center"/>
        <w:rPr>
          <w:szCs w:val="26"/>
        </w:rPr>
      </w:pPr>
      <w:r w:rsidRPr="00B52806">
        <w:rPr>
          <w:szCs w:val="26"/>
        </w:rPr>
        <w:t xml:space="preserve">COMMISSION INFORMATION COLLECTION ACTIVITIES </w:t>
      </w:r>
    </w:p>
    <w:p w:rsidR="00423EAF" w:rsidRPr="00B52806" w:rsidP="00423EAF" w14:paraId="4B2F0E13" w14:textId="77777777">
      <w:pPr>
        <w:tabs>
          <w:tab w:val="left" w:pos="1800"/>
        </w:tabs>
        <w:jc w:val="center"/>
        <w:rPr>
          <w:szCs w:val="26"/>
        </w:rPr>
      </w:pPr>
      <w:r w:rsidRPr="00B52806">
        <w:rPr>
          <w:szCs w:val="26"/>
        </w:rPr>
        <w:t xml:space="preserve">(FERC-539) </w:t>
      </w:r>
    </w:p>
    <w:p w:rsidR="00423EAF" w:rsidRPr="00B52806" w:rsidP="00423EAF" w14:paraId="673BD793" w14:textId="77777777">
      <w:pPr>
        <w:tabs>
          <w:tab w:val="left" w:pos="1800"/>
        </w:tabs>
        <w:jc w:val="center"/>
        <w:rPr>
          <w:szCs w:val="26"/>
        </w:rPr>
      </w:pPr>
      <w:r w:rsidRPr="00B52806">
        <w:rPr>
          <w:szCs w:val="26"/>
        </w:rPr>
        <w:t>COMMENT REQUEST; EXTENSION</w:t>
      </w:r>
    </w:p>
    <w:p w:rsidR="00423EAF" w:rsidRPr="00B52806" w:rsidP="00423EAF" w14:paraId="7DCA1916" w14:textId="77777777">
      <w:pPr>
        <w:tabs>
          <w:tab w:val="left" w:pos="1800"/>
        </w:tabs>
        <w:jc w:val="center"/>
        <w:rPr>
          <w:szCs w:val="26"/>
        </w:rPr>
      </w:pPr>
    </w:p>
    <w:p w:rsidR="00423EAF" w:rsidP="00B52806" w14:paraId="78CC9F88" w14:textId="0163E22B">
      <w:pPr>
        <w:tabs>
          <w:tab w:val="left" w:pos="1800"/>
        </w:tabs>
        <w:jc w:val="center"/>
        <w:rPr>
          <w:szCs w:val="26"/>
        </w:rPr>
      </w:pPr>
      <w:r w:rsidRPr="00B52806">
        <w:rPr>
          <w:szCs w:val="26"/>
        </w:rPr>
        <w:t>(December 12, 2025)</w:t>
      </w:r>
    </w:p>
    <w:p w:rsidR="00B52806" w:rsidRPr="00B52806" w:rsidP="00B52806" w14:paraId="3B4DD951" w14:textId="77777777">
      <w:pPr>
        <w:tabs>
          <w:tab w:val="left" w:pos="1800"/>
        </w:tabs>
        <w:rPr>
          <w:szCs w:val="26"/>
        </w:rPr>
      </w:pPr>
    </w:p>
    <w:p w:rsidR="00723865" w:rsidRPr="00B52806" w:rsidP="00723865" w14:paraId="462EE3D7" w14:textId="52E0EB2D">
      <w:pPr>
        <w:rPr>
          <w:szCs w:val="26"/>
        </w:rPr>
      </w:pPr>
      <w:r w:rsidRPr="00B52806">
        <w:rPr>
          <w:b/>
          <w:szCs w:val="26"/>
        </w:rPr>
        <w:t>AGENCY:</w:t>
      </w:r>
      <w:r w:rsidRPr="00B52806">
        <w:rPr>
          <w:szCs w:val="26"/>
        </w:rPr>
        <w:t xml:space="preserve"> Federal Energy Regulatory Commission.</w:t>
      </w:r>
    </w:p>
    <w:p w:rsidR="00723865" w:rsidRPr="00B52806" w:rsidP="00723865" w14:paraId="0FE77F0F" w14:textId="77777777">
      <w:pPr>
        <w:rPr>
          <w:szCs w:val="26"/>
        </w:rPr>
      </w:pPr>
    </w:p>
    <w:p w:rsidR="00723865" w:rsidRPr="00B52806" w:rsidP="00723865" w14:paraId="3F020EA8" w14:textId="08B060AF">
      <w:pPr>
        <w:spacing w:line="480" w:lineRule="auto"/>
        <w:rPr>
          <w:szCs w:val="26"/>
        </w:rPr>
      </w:pPr>
      <w:r w:rsidRPr="00B52806">
        <w:rPr>
          <w:b/>
          <w:szCs w:val="26"/>
        </w:rPr>
        <w:t>ACTION:</w:t>
      </w:r>
      <w:r w:rsidRPr="00B52806">
        <w:rPr>
          <w:szCs w:val="26"/>
        </w:rPr>
        <w:t xml:space="preserve"> </w:t>
      </w:r>
      <w:r w:rsidRPr="00B52806" w:rsidR="00CB1DA5">
        <w:rPr>
          <w:szCs w:val="26"/>
        </w:rPr>
        <w:t>N</w:t>
      </w:r>
      <w:r w:rsidRPr="00B52806">
        <w:rPr>
          <w:szCs w:val="26"/>
        </w:rPr>
        <w:t>otice of information collection and request for comments.</w:t>
      </w:r>
    </w:p>
    <w:p w:rsidR="00723865" w:rsidRPr="00B52806" w:rsidP="00723865" w14:paraId="4CF92350" w14:textId="7C89BACA">
      <w:pPr>
        <w:spacing w:line="480" w:lineRule="auto"/>
        <w:rPr>
          <w:szCs w:val="26"/>
        </w:rPr>
      </w:pPr>
      <w:r w:rsidRPr="00B52806">
        <w:rPr>
          <w:b/>
          <w:bCs/>
          <w:szCs w:val="26"/>
        </w:rPr>
        <w:t>SUMMARY:</w:t>
      </w:r>
      <w:r w:rsidRPr="00B52806">
        <w:rPr>
          <w:szCs w:val="26"/>
        </w:rPr>
        <w:t xml:space="preserve"> In compliance with the requirements of the Paperwork Reduction Act of 1995, the Federal Energy Regulatory Commission (Commission or FERC) is soliciting public comment on the currently approved information collection, FERC-</w:t>
      </w:r>
      <w:r w:rsidRPr="00B52806" w:rsidR="00DF49B8">
        <w:rPr>
          <w:szCs w:val="26"/>
        </w:rPr>
        <w:t>539 (Gas Pipeline Certificates: Import &amp; Export Related Applications)</w:t>
      </w:r>
      <w:r w:rsidRPr="00B52806" w:rsidR="00EC3D7D">
        <w:rPr>
          <w:szCs w:val="26"/>
        </w:rPr>
        <w:t xml:space="preserve">, which will be submitted to the Office of Management and Budget (OMB). </w:t>
      </w:r>
      <w:r w:rsidRPr="00B52806" w:rsidR="00C56260">
        <w:rPr>
          <w:szCs w:val="26"/>
        </w:rPr>
        <w:t>There are no proposed changes since the updates included in RM22-8-000</w:t>
      </w:r>
      <w:r w:rsidRPr="00B52806" w:rsidR="00550975">
        <w:rPr>
          <w:szCs w:val="26"/>
        </w:rPr>
        <w:t>.</w:t>
      </w:r>
    </w:p>
    <w:p w:rsidR="15D39ECA" w:rsidRPr="00B52806" w:rsidP="212A3704" w14:paraId="33B352F9" w14:textId="27BF7392">
      <w:pPr>
        <w:spacing w:line="480" w:lineRule="auto"/>
        <w:rPr>
          <w:color w:val="000000" w:themeColor="text1"/>
          <w:szCs w:val="26"/>
        </w:rPr>
      </w:pPr>
      <w:r w:rsidRPr="00B52806">
        <w:rPr>
          <w:b/>
          <w:bCs/>
          <w:color w:val="000000" w:themeColor="text1"/>
          <w:szCs w:val="26"/>
        </w:rPr>
        <w:t>DATES:</w:t>
      </w:r>
      <w:r w:rsidRPr="00B52806">
        <w:rPr>
          <w:color w:val="000000" w:themeColor="text1"/>
          <w:szCs w:val="26"/>
        </w:rPr>
        <w:t xml:space="preserve"> Comments on the collections of information are due [</w:t>
      </w:r>
      <w:r w:rsidRPr="00B52806">
        <w:rPr>
          <w:b/>
          <w:bCs/>
          <w:color w:val="000000" w:themeColor="text1"/>
          <w:szCs w:val="26"/>
        </w:rPr>
        <w:t>INSERT DATE 60 DAYS AFTER DATE OF PUBLICATION IN THE FEDERAL REGISTER</w:t>
      </w:r>
      <w:r w:rsidRPr="00B52806">
        <w:rPr>
          <w:color w:val="000000" w:themeColor="text1"/>
          <w:szCs w:val="26"/>
        </w:rPr>
        <w:t xml:space="preserve">]. </w:t>
      </w:r>
    </w:p>
    <w:p w:rsidR="15D39ECA" w:rsidRPr="00B52806" w:rsidP="1399B30E" w14:paraId="2408DCBA" w14:textId="0E9FC50F">
      <w:pPr>
        <w:spacing w:line="480" w:lineRule="auto"/>
        <w:rPr>
          <w:color w:val="000000" w:themeColor="text1"/>
          <w:szCs w:val="26"/>
        </w:rPr>
      </w:pPr>
      <w:r w:rsidRPr="00B52806">
        <w:rPr>
          <w:b/>
          <w:bCs/>
          <w:color w:val="000000" w:themeColor="text1"/>
          <w:szCs w:val="26"/>
        </w:rPr>
        <w:t>ADDRESSES:</w:t>
      </w:r>
      <w:r w:rsidRPr="00B52806">
        <w:rPr>
          <w:color w:val="000000" w:themeColor="text1"/>
          <w:szCs w:val="26"/>
        </w:rPr>
        <w:t xml:space="preserve"> Please submit comments via email to </w:t>
      </w:r>
      <w:hyperlink r:id="rId10">
        <w:r w:rsidRPr="00B52806">
          <w:rPr>
            <w:rStyle w:val="Hyperlink"/>
            <w:szCs w:val="26"/>
          </w:rPr>
          <w:t>DataClearance@FERC.gov</w:t>
        </w:r>
      </w:hyperlink>
      <w:r w:rsidRPr="00B52806">
        <w:rPr>
          <w:color w:val="000000" w:themeColor="text1"/>
          <w:szCs w:val="26"/>
        </w:rPr>
        <w:t>. You must specify the Docket No. (</w:t>
      </w:r>
      <w:r w:rsidRPr="00B52806" w:rsidR="00B278F1">
        <w:rPr>
          <w:szCs w:val="26"/>
        </w:rPr>
        <w:t>IC25-19-000</w:t>
      </w:r>
      <w:r w:rsidRPr="00B52806">
        <w:rPr>
          <w:color w:val="000000" w:themeColor="text1"/>
          <w:szCs w:val="26"/>
        </w:rPr>
        <w:t>) and the FERC Information Collection</w:t>
      </w:r>
      <w:r w:rsidRPr="00B52806">
        <w:rPr>
          <w:b/>
          <w:bCs/>
          <w:color w:val="000000" w:themeColor="text1"/>
          <w:szCs w:val="26"/>
        </w:rPr>
        <w:t xml:space="preserve"> </w:t>
      </w:r>
      <w:r w:rsidRPr="00B52806">
        <w:rPr>
          <w:color w:val="000000" w:themeColor="text1"/>
          <w:szCs w:val="26"/>
        </w:rPr>
        <w:t>number (FERC-</w:t>
      </w:r>
      <w:r w:rsidRPr="00B52806" w:rsidR="00F670AA">
        <w:rPr>
          <w:color w:val="000000" w:themeColor="text1"/>
          <w:szCs w:val="26"/>
        </w:rPr>
        <w:t>5</w:t>
      </w:r>
      <w:r w:rsidRPr="00B52806" w:rsidR="00B278F1">
        <w:rPr>
          <w:color w:val="000000" w:themeColor="text1"/>
          <w:szCs w:val="26"/>
        </w:rPr>
        <w:t>39</w:t>
      </w:r>
      <w:r w:rsidRPr="00B52806">
        <w:rPr>
          <w:color w:val="000000" w:themeColor="text1"/>
          <w:szCs w:val="26"/>
        </w:rPr>
        <w:t>) in your email. If you are unable to file electronically, comments may be filed by USPS mail or by hand (including courier) delivery:</w:t>
      </w:r>
    </w:p>
    <w:p w:rsidR="15D39ECA" w:rsidRPr="00B52806" w:rsidP="212A3704" w14:paraId="1AD6C9FE" w14:textId="5B716D7F">
      <w:pPr>
        <w:pStyle w:val="ListParagraph"/>
        <w:numPr>
          <w:ilvl w:val="0"/>
          <w:numId w:val="1"/>
        </w:numPr>
        <w:spacing w:line="480" w:lineRule="auto"/>
        <w:rPr>
          <w:color w:val="000000" w:themeColor="text1"/>
          <w:szCs w:val="26"/>
        </w:rPr>
      </w:pPr>
      <w:r w:rsidRPr="00B52806">
        <w:rPr>
          <w:color w:val="000000" w:themeColor="text1"/>
          <w:szCs w:val="26"/>
        </w:rPr>
        <w:t>Mail via U.S. Postal Service only, addressed to: Federal Energy Regulatory Commission, Secretary of the Commission, 888 First Street, N.E., Washington, DC 20426.</w:t>
      </w:r>
    </w:p>
    <w:p w:rsidR="15D39ECA" w:rsidRPr="00B52806" w:rsidP="2B9A4C8B" w14:paraId="14606EEF" w14:textId="55FBA823">
      <w:pPr>
        <w:pStyle w:val="ListParagraph"/>
        <w:numPr>
          <w:ilvl w:val="0"/>
          <w:numId w:val="1"/>
        </w:numPr>
        <w:spacing w:line="480" w:lineRule="auto"/>
        <w:rPr>
          <w:color w:val="000000" w:themeColor="text1"/>
          <w:szCs w:val="26"/>
        </w:rPr>
      </w:pPr>
      <w:r w:rsidRPr="00B52806">
        <w:rPr>
          <w:color w:val="000000" w:themeColor="text1"/>
          <w:szCs w:val="26"/>
        </w:rPr>
        <w:t>Hand (including courier) delivery to: Federal Energy Regulatory Commission, 12225 Wilkins Avenue, Rockville, MD 20852.</w:t>
      </w:r>
    </w:p>
    <w:p w:rsidR="15D39ECA" w:rsidRPr="00B52806" w:rsidP="549323E7" w14:paraId="4F03FD39" w14:textId="5FB5F25B">
      <w:pPr>
        <w:spacing w:line="480" w:lineRule="auto"/>
        <w:rPr>
          <w:color w:val="000000" w:themeColor="text1"/>
          <w:szCs w:val="26"/>
        </w:rPr>
      </w:pPr>
      <w:r w:rsidRPr="00B52806">
        <w:rPr>
          <w:i/>
          <w:iCs/>
          <w:color w:val="000000" w:themeColor="text1"/>
          <w:szCs w:val="26"/>
        </w:rPr>
        <w:t>Docket:</w:t>
      </w:r>
      <w:r w:rsidRPr="00B52806">
        <w:rPr>
          <w:color w:val="000000" w:themeColor="text1"/>
          <w:szCs w:val="26"/>
        </w:rPr>
        <w:t xml:space="preserve"> To view comments and issuances in this docket, please visit </w:t>
      </w:r>
      <w:hyperlink r:id="rId11">
        <w:r w:rsidRPr="00B52806">
          <w:rPr>
            <w:rStyle w:val="Hyperlink"/>
            <w:szCs w:val="26"/>
          </w:rPr>
          <w:t>https://elibrary.ferc.gov/eLibrary/search</w:t>
        </w:r>
      </w:hyperlink>
      <w:r w:rsidRPr="00B52806">
        <w:rPr>
          <w:color w:val="000000" w:themeColor="text1"/>
          <w:szCs w:val="26"/>
        </w:rPr>
        <w:t xml:space="preserve">. </w:t>
      </w:r>
    </w:p>
    <w:p w:rsidR="15D39ECA" w:rsidRPr="00B52806" w:rsidP="212A3704" w14:paraId="035AE99E" w14:textId="4E978654">
      <w:pPr>
        <w:spacing w:line="480" w:lineRule="auto"/>
        <w:rPr>
          <w:color w:val="000000" w:themeColor="text1"/>
          <w:szCs w:val="26"/>
        </w:rPr>
      </w:pPr>
      <w:r w:rsidRPr="00B52806">
        <w:rPr>
          <w:b/>
          <w:bCs/>
          <w:color w:val="000000" w:themeColor="text1"/>
          <w:szCs w:val="26"/>
        </w:rPr>
        <w:t>FOR FURTHER INFORMATION:</w:t>
      </w:r>
      <w:r w:rsidRPr="00B52806">
        <w:rPr>
          <w:color w:val="000000" w:themeColor="text1"/>
          <w:szCs w:val="26"/>
        </w:rPr>
        <w:t xml:space="preserve"> Kayla Williams may be reached by e-mail at </w:t>
      </w:r>
      <w:hyperlink r:id="rId10">
        <w:r w:rsidRPr="00B52806">
          <w:rPr>
            <w:rStyle w:val="Hyperlink"/>
            <w:szCs w:val="26"/>
          </w:rPr>
          <w:t>DataClearance@FERC.gov</w:t>
        </w:r>
      </w:hyperlink>
      <w:r w:rsidRPr="00B52806">
        <w:rPr>
          <w:color w:val="000000" w:themeColor="text1"/>
          <w:szCs w:val="26"/>
        </w:rPr>
        <w:t>, or by telephone at (202)502-6468.</w:t>
      </w:r>
    </w:p>
    <w:p w:rsidR="00723865" w:rsidRPr="00B52806" w:rsidP="00723865" w14:paraId="2A4F6DDE" w14:textId="1C6F9E40">
      <w:pPr>
        <w:tabs>
          <w:tab w:val="left" w:pos="7880"/>
        </w:tabs>
        <w:spacing w:line="480" w:lineRule="auto"/>
        <w:rPr>
          <w:szCs w:val="26"/>
        </w:rPr>
      </w:pPr>
      <w:r w:rsidRPr="00B52806">
        <w:rPr>
          <w:b/>
          <w:szCs w:val="26"/>
        </w:rPr>
        <w:t>SUPPLEMENTARY INFORMATION:</w:t>
      </w:r>
      <w:r w:rsidRPr="00B52806" w:rsidR="004619E5">
        <w:rPr>
          <w:szCs w:val="26"/>
        </w:rPr>
        <w:t xml:space="preserve"> </w:t>
      </w:r>
    </w:p>
    <w:p w:rsidR="00423EAF" w:rsidRPr="00B52806" w:rsidP="00423EAF" w14:paraId="787FA816" w14:textId="33C8389B">
      <w:pPr>
        <w:widowControl w:val="0"/>
        <w:autoSpaceDE w:val="0"/>
        <w:autoSpaceDN w:val="0"/>
        <w:adjustRightInd w:val="0"/>
        <w:spacing w:line="480" w:lineRule="auto"/>
        <w:rPr>
          <w:szCs w:val="26"/>
        </w:rPr>
      </w:pPr>
      <w:r w:rsidRPr="00B52806">
        <w:rPr>
          <w:i/>
          <w:szCs w:val="26"/>
        </w:rPr>
        <w:t>Title:</w:t>
      </w:r>
      <w:r w:rsidRPr="00B52806">
        <w:rPr>
          <w:szCs w:val="26"/>
        </w:rPr>
        <w:t xml:space="preserve"> FERC-539 (Gas Pipeline Certificates: Import &amp; Export Related Applications)</w:t>
      </w:r>
    </w:p>
    <w:p w:rsidR="00423EAF" w:rsidRPr="00B52806" w:rsidP="00423EAF" w14:paraId="5460438F" w14:textId="624F55A8">
      <w:pPr>
        <w:widowControl w:val="0"/>
        <w:autoSpaceDE w:val="0"/>
        <w:autoSpaceDN w:val="0"/>
        <w:adjustRightInd w:val="0"/>
        <w:spacing w:line="480" w:lineRule="auto"/>
        <w:rPr>
          <w:szCs w:val="26"/>
        </w:rPr>
      </w:pPr>
      <w:r w:rsidRPr="00B52806">
        <w:rPr>
          <w:i/>
          <w:szCs w:val="26"/>
        </w:rPr>
        <w:t>OMB Control No.:</w:t>
      </w:r>
      <w:r w:rsidRPr="00B52806">
        <w:rPr>
          <w:szCs w:val="26"/>
        </w:rPr>
        <w:t xml:space="preserve"> 1902-0062</w:t>
      </w:r>
      <w:r w:rsidRPr="00B52806" w:rsidR="004619E5">
        <w:rPr>
          <w:szCs w:val="26"/>
        </w:rPr>
        <w:t xml:space="preserve"> </w:t>
      </w:r>
    </w:p>
    <w:p w:rsidR="00423EAF" w:rsidRPr="00B52806" w:rsidP="00423EAF" w14:paraId="0C0CB0A0" w14:textId="4E739F07">
      <w:pPr>
        <w:widowControl w:val="0"/>
        <w:autoSpaceDE w:val="0"/>
        <w:autoSpaceDN w:val="0"/>
        <w:adjustRightInd w:val="0"/>
        <w:spacing w:line="480" w:lineRule="auto"/>
        <w:rPr>
          <w:szCs w:val="26"/>
        </w:rPr>
      </w:pPr>
      <w:r w:rsidRPr="00B52806">
        <w:rPr>
          <w:i/>
          <w:szCs w:val="26"/>
        </w:rPr>
        <w:t xml:space="preserve">Type of Request: </w:t>
      </w:r>
      <w:r w:rsidRPr="00B52806">
        <w:rPr>
          <w:szCs w:val="26"/>
        </w:rPr>
        <w:t>Three-year extension of the FERC-539 with no changes to the current reporting requirements.</w:t>
      </w:r>
      <w:r w:rsidRPr="00B52806" w:rsidR="004619E5">
        <w:rPr>
          <w:szCs w:val="26"/>
        </w:rPr>
        <w:t xml:space="preserve"> </w:t>
      </w:r>
    </w:p>
    <w:p w:rsidR="00E54905" w:rsidRPr="00B52806" w:rsidP="549323E7" w14:paraId="15D01608" w14:textId="25A566A9">
      <w:pPr>
        <w:tabs>
          <w:tab w:val="left" w:pos="1800"/>
        </w:tabs>
        <w:autoSpaceDE w:val="0"/>
        <w:autoSpaceDN w:val="0"/>
        <w:adjustRightInd w:val="0"/>
        <w:spacing w:line="480" w:lineRule="auto"/>
        <w:rPr>
          <w:szCs w:val="26"/>
        </w:rPr>
      </w:pPr>
      <w:r w:rsidRPr="00B52806">
        <w:rPr>
          <w:i/>
          <w:iCs/>
          <w:szCs w:val="26"/>
        </w:rPr>
        <w:t xml:space="preserve">Abstract: </w:t>
      </w:r>
      <w:r w:rsidRPr="00B52806" w:rsidR="00D324F2">
        <w:rPr>
          <w:szCs w:val="26"/>
        </w:rPr>
        <w:t xml:space="preserve">The purpose of FERC-539 is to implement information collections pursuant to </w:t>
      </w:r>
      <w:r w:rsidRPr="00B52806">
        <w:rPr>
          <w:szCs w:val="26"/>
        </w:rPr>
        <w:t>Section 3 of the Natural Gas Act (NGA)</w:t>
      </w:r>
      <w:r w:rsidRPr="00B52806" w:rsidR="00DD4C3C">
        <w:rPr>
          <w:szCs w:val="26"/>
        </w:rPr>
        <w:t>.</w:t>
      </w:r>
      <w:r>
        <w:rPr>
          <w:rStyle w:val="FootnoteReference"/>
          <w:b w:val="0"/>
        </w:rPr>
        <w:footnoteReference w:id="2"/>
      </w:r>
      <w:r w:rsidRPr="00B52806" w:rsidR="004619E5">
        <w:rPr>
          <w:szCs w:val="26"/>
        </w:rPr>
        <w:t xml:space="preserve"> </w:t>
      </w:r>
      <w:r w:rsidRPr="00B52806" w:rsidR="00D324F2">
        <w:rPr>
          <w:szCs w:val="26"/>
        </w:rPr>
        <w:t>This statute</w:t>
      </w:r>
      <w:r w:rsidRPr="00B52806">
        <w:rPr>
          <w:szCs w:val="26"/>
        </w:rPr>
        <w:t xml:space="preserve"> provides, in part, that “…no person shall export any natural gas from the United States to a foreign country or import any natural gas from a foreign country without first having secured an order from the Commission authorizing it to do so.”</w:t>
      </w:r>
      <w:r>
        <w:rPr>
          <w:rStyle w:val="FootnoteReference"/>
          <w:b w:val="0"/>
        </w:rPr>
        <w:footnoteReference w:id="3"/>
      </w:r>
      <w:r w:rsidRPr="00B52806" w:rsidR="004619E5">
        <w:rPr>
          <w:szCs w:val="26"/>
        </w:rPr>
        <w:t xml:space="preserve"> </w:t>
      </w:r>
      <w:r w:rsidRPr="00B52806" w:rsidR="00D324F2">
        <w:rPr>
          <w:szCs w:val="26"/>
        </w:rPr>
        <w:t>This statute applies not only to natural gas imported and/or exported via pipeline</w:t>
      </w:r>
      <w:r w:rsidRPr="00B52806" w:rsidR="00E51701">
        <w:rPr>
          <w:szCs w:val="26"/>
        </w:rPr>
        <w:t>,</w:t>
      </w:r>
      <w:r w:rsidRPr="00B52806" w:rsidR="00D324F2">
        <w:rPr>
          <w:szCs w:val="26"/>
        </w:rPr>
        <w:t xml:space="preserve"> but also to any import and/or export of liquefied </w:t>
      </w:r>
      <w:r w:rsidRPr="00B52806" w:rsidR="00D324F2">
        <w:rPr>
          <w:szCs w:val="26"/>
        </w:rPr>
        <w:t>natural gas via a liquefied natural gas terminal.</w:t>
      </w:r>
      <w:r w:rsidRPr="00B52806" w:rsidR="004619E5">
        <w:rPr>
          <w:szCs w:val="26"/>
        </w:rPr>
        <w:t xml:space="preserve"> </w:t>
      </w:r>
      <w:r w:rsidRPr="00B52806">
        <w:rPr>
          <w:szCs w:val="26"/>
        </w:rPr>
        <w:t>The 1992 amendments to Section 3 of the NGA concern importation or exportation from/to a nation which has a free trade agreement with the United States, and requires that such importation or exportation:</w:t>
      </w:r>
      <w:r w:rsidRPr="00B52806" w:rsidR="004619E5">
        <w:rPr>
          <w:szCs w:val="26"/>
        </w:rPr>
        <w:t xml:space="preserve"> </w:t>
      </w:r>
      <w:r w:rsidRPr="00B52806">
        <w:rPr>
          <w:szCs w:val="26"/>
        </w:rPr>
        <w:t xml:space="preserve">(1) Shall be deemed to be a “first sale”, </w:t>
      </w:r>
      <w:r w:rsidRPr="00B52806">
        <w:rPr>
          <w:szCs w:val="26"/>
          <w:u w:val="words"/>
        </w:rPr>
        <w:t>i.e.</w:t>
      </w:r>
      <w:r w:rsidRPr="00B52806">
        <w:rPr>
          <w:szCs w:val="26"/>
        </w:rPr>
        <w:t>, not a sale for a resale, and (2) Shall be deemed to be consistent with the public interest, and applications for such importation or exportation shall be granted without modification or delay.</w:t>
      </w:r>
      <w:r w:rsidRPr="00B52806" w:rsidR="004619E5">
        <w:rPr>
          <w:szCs w:val="26"/>
        </w:rPr>
        <w:t xml:space="preserve"> </w:t>
      </w:r>
    </w:p>
    <w:p w:rsidR="00423EAF" w:rsidRPr="00B52806" w:rsidP="00423EAF" w14:paraId="500581BF" w14:textId="4D8E1356">
      <w:pPr>
        <w:widowControl w:val="0"/>
        <w:autoSpaceDE w:val="0"/>
        <w:autoSpaceDN w:val="0"/>
        <w:adjustRightInd w:val="0"/>
        <w:spacing w:line="480" w:lineRule="auto"/>
        <w:rPr>
          <w:szCs w:val="26"/>
        </w:rPr>
      </w:pPr>
      <w:r w:rsidRPr="00B52806">
        <w:rPr>
          <w:i/>
          <w:szCs w:val="26"/>
        </w:rPr>
        <w:t>Estimate of Annual Burden</w:t>
      </w:r>
      <w:r w:rsidRPr="00B52806" w:rsidR="00DD4C3C">
        <w:rPr>
          <w:szCs w:val="26"/>
        </w:rPr>
        <w:t>:</w:t>
      </w:r>
      <w:r>
        <w:rPr>
          <w:szCs w:val="26"/>
          <w:vertAlign w:val="superscript"/>
        </w:rPr>
        <w:footnoteReference w:id="4"/>
      </w:r>
      <w:r w:rsidRPr="00B52806">
        <w:rPr>
          <w:szCs w:val="26"/>
        </w:rPr>
        <w:t xml:space="preserve"> The Commission estimates the annual public reporting burden for the information collection as:</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0"/>
        <w:gridCol w:w="1530"/>
        <w:gridCol w:w="1440"/>
        <w:gridCol w:w="1710"/>
        <w:gridCol w:w="1800"/>
        <w:gridCol w:w="1530"/>
      </w:tblGrid>
      <w:tr w14:paraId="38D46A24" w14:textId="77777777" w:rsidTr="00F16077">
        <w:tblPrEx>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8"/>
          <w:jc w:val="center"/>
        </w:trPr>
        <w:tc>
          <w:tcPr>
            <w:tcW w:w="1540" w:type="dxa"/>
            <w:shd w:val="clear" w:color="auto" w:fill="D9D9D9"/>
          </w:tcPr>
          <w:p w:rsidR="002320F1" w:rsidRPr="00B52806" w:rsidP="00F16077" w14:paraId="788CB57E" w14:textId="77777777">
            <w:pPr>
              <w:jc w:val="center"/>
              <w:rPr>
                <w:b/>
                <w:szCs w:val="26"/>
              </w:rPr>
            </w:pPr>
            <w:r w:rsidRPr="00B52806">
              <w:rPr>
                <w:b/>
                <w:szCs w:val="26"/>
              </w:rPr>
              <w:t>Number of Respondents</w:t>
            </w:r>
          </w:p>
          <w:p w:rsidR="002320F1" w:rsidRPr="00B52806" w:rsidP="00F16077" w14:paraId="491BA633" w14:textId="77777777">
            <w:pPr>
              <w:jc w:val="center"/>
              <w:rPr>
                <w:b/>
                <w:szCs w:val="26"/>
              </w:rPr>
            </w:pPr>
            <w:r w:rsidRPr="00B52806">
              <w:rPr>
                <w:b/>
                <w:szCs w:val="26"/>
              </w:rPr>
              <w:t>(1)</w:t>
            </w:r>
          </w:p>
        </w:tc>
        <w:tc>
          <w:tcPr>
            <w:tcW w:w="1530" w:type="dxa"/>
            <w:shd w:val="clear" w:color="auto" w:fill="D9D9D9"/>
          </w:tcPr>
          <w:p w:rsidR="002320F1" w:rsidRPr="00B52806" w:rsidP="00F16077" w14:paraId="44C3BD15" w14:textId="77777777">
            <w:pPr>
              <w:jc w:val="center"/>
              <w:rPr>
                <w:b/>
                <w:szCs w:val="26"/>
              </w:rPr>
            </w:pPr>
            <w:r w:rsidRPr="00B52806">
              <w:rPr>
                <w:b/>
                <w:szCs w:val="26"/>
              </w:rPr>
              <w:t>Number of Responses Per Respondent</w:t>
            </w:r>
          </w:p>
          <w:p w:rsidR="002320F1" w:rsidRPr="00B52806" w:rsidP="00F16077" w14:paraId="24399E34" w14:textId="77777777">
            <w:pPr>
              <w:jc w:val="center"/>
              <w:rPr>
                <w:b/>
                <w:szCs w:val="26"/>
              </w:rPr>
            </w:pPr>
            <w:r w:rsidRPr="00B52806">
              <w:rPr>
                <w:b/>
                <w:szCs w:val="26"/>
              </w:rPr>
              <w:t>(2)</w:t>
            </w:r>
          </w:p>
        </w:tc>
        <w:tc>
          <w:tcPr>
            <w:tcW w:w="1440" w:type="dxa"/>
            <w:shd w:val="clear" w:color="auto" w:fill="D9D9D9"/>
          </w:tcPr>
          <w:p w:rsidR="002320F1" w:rsidRPr="00B52806" w:rsidP="00F16077" w14:paraId="517706FC" w14:textId="77777777">
            <w:pPr>
              <w:jc w:val="center"/>
              <w:rPr>
                <w:b/>
                <w:szCs w:val="26"/>
              </w:rPr>
            </w:pPr>
            <w:r w:rsidRPr="00B52806">
              <w:rPr>
                <w:b/>
                <w:szCs w:val="26"/>
              </w:rPr>
              <w:t>Total Number of Responses</w:t>
            </w:r>
          </w:p>
          <w:p w:rsidR="002320F1" w:rsidRPr="00B52806" w:rsidP="00F16077" w14:paraId="5E53C012" w14:textId="1F1922FA">
            <w:pPr>
              <w:ind w:left="72"/>
              <w:jc w:val="center"/>
              <w:rPr>
                <w:b/>
                <w:szCs w:val="26"/>
              </w:rPr>
            </w:pPr>
            <w:r w:rsidRPr="00B52806">
              <w:rPr>
                <w:b/>
                <w:szCs w:val="26"/>
              </w:rPr>
              <w:t xml:space="preserve">(1) </w:t>
            </w:r>
            <w:r w:rsidRPr="00B52806" w:rsidR="00193DD3">
              <w:rPr>
                <w:b/>
                <w:szCs w:val="26"/>
              </w:rPr>
              <w:t>*</w:t>
            </w:r>
            <w:r w:rsidRPr="00B52806">
              <w:rPr>
                <w:b/>
                <w:szCs w:val="26"/>
              </w:rPr>
              <w:t xml:space="preserve"> (2) = (3)</w:t>
            </w:r>
          </w:p>
        </w:tc>
        <w:tc>
          <w:tcPr>
            <w:tcW w:w="1710" w:type="dxa"/>
            <w:shd w:val="clear" w:color="auto" w:fill="D9D9D9"/>
          </w:tcPr>
          <w:p w:rsidR="002320F1" w:rsidRPr="00B52806" w:rsidP="00F16077" w14:paraId="4DFC5A2A" w14:textId="72267A25">
            <w:pPr>
              <w:jc w:val="center"/>
              <w:rPr>
                <w:b/>
                <w:szCs w:val="26"/>
              </w:rPr>
            </w:pPr>
            <w:r w:rsidRPr="00B52806">
              <w:rPr>
                <w:b/>
                <w:szCs w:val="26"/>
              </w:rPr>
              <w:t>Average Burden Hours &amp; Average Cost</w:t>
            </w:r>
            <w:r>
              <w:rPr>
                <w:rStyle w:val="FootnoteReference"/>
                <w:b w:val="0"/>
              </w:rPr>
              <w:footnoteReference w:id="5"/>
            </w:r>
            <w:r w:rsidRPr="00B52806">
              <w:rPr>
                <w:b/>
                <w:szCs w:val="26"/>
              </w:rPr>
              <w:t xml:space="preserve"> per Response ($)</w:t>
            </w:r>
          </w:p>
          <w:p w:rsidR="002320F1" w:rsidRPr="00B52806" w:rsidP="00F16077" w14:paraId="651BDF1D" w14:textId="77777777">
            <w:pPr>
              <w:jc w:val="center"/>
              <w:rPr>
                <w:b/>
                <w:szCs w:val="26"/>
              </w:rPr>
            </w:pPr>
            <w:r w:rsidRPr="00B52806">
              <w:rPr>
                <w:b/>
                <w:szCs w:val="26"/>
              </w:rPr>
              <w:t>(4)</w:t>
            </w:r>
          </w:p>
        </w:tc>
        <w:tc>
          <w:tcPr>
            <w:tcW w:w="1800" w:type="dxa"/>
            <w:shd w:val="clear" w:color="auto" w:fill="D9D9D9"/>
          </w:tcPr>
          <w:p w:rsidR="002320F1" w:rsidRPr="00B52806" w:rsidP="00F16077" w14:paraId="794B3DEA" w14:textId="77777777">
            <w:pPr>
              <w:jc w:val="center"/>
              <w:rPr>
                <w:b/>
                <w:szCs w:val="26"/>
              </w:rPr>
            </w:pPr>
            <w:r w:rsidRPr="00B52806">
              <w:rPr>
                <w:b/>
                <w:szCs w:val="26"/>
              </w:rPr>
              <w:t>Total Annual Burden Hours &amp; Total Annual Cost ($)</w:t>
            </w:r>
          </w:p>
          <w:p w:rsidR="002320F1" w:rsidRPr="00B52806" w:rsidP="00F16077" w14:paraId="569326CD" w14:textId="225FA2DE">
            <w:pPr>
              <w:jc w:val="center"/>
              <w:rPr>
                <w:b/>
                <w:szCs w:val="26"/>
              </w:rPr>
            </w:pPr>
            <w:r w:rsidRPr="00B52806">
              <w:rPr>
                <w:b/>
                <w:szCs w:val="26"/>
              </w:rPr>
              <w:t xml:space="preserve">(3) </w:t>
            </w:r>
            <w:r w:rsidRPr="00B52806" w:rsidR="00193DD3">
              <w:rPr>
                <w:b/>
                <w:szCs w:val="26"/>
              </w:rPr>
              <w:t>*</w:t>
            </w:r>
            <w:r w:rsidRPr="00B52806">
              <w:rPr>
                <w:b/>
                <w:szCs w:val="26"/>
              </w:rPr>
              <w:t xml:space="preserve"> (4) = (5)</w:t>
            </w:r>
          </w:p>
        </w:tc>
        <w:tc>
          <w:tcPr>
            <w:tcW w:w="1530" w:type="dxa"/>
            <w:shd w:val="clear" w:color="auto" w:fill="D9D9D9"/>
          </w:tcPr>
          <w:p w:rsidR="002320F1" w:rsidRPr="00B52806" w:rsidP="00F16077" w14:paraId="66447CC8" w14:textId="77777777">
            <w:pPr>
              <w:jc w:val="center"/>
              <w:rPr>
                <w:b/>
                <w:szCs w:val="26"/>
              </w:rPr>
            </w:pPr>
            <w:r w:rsidRPr="00B52806">
              <w:rPr>
                <w:b/>
                <w:szCs w:val="26"/>
              </w:rPr>
              <w:t>Cost per Respondent ($)</w:t>
            </w:r>
          </w:p>
          <w:p w:rsidR="002320F1" w:rsidRPr="00B52806" w:rsidP="00F16077" w14:paraId="6C73FD97" w14:textId="77777777">
            <w:pPr>
              <w:jc w:val="center"/>
              <w:rPr>
                <w:b/>
                <w:szCs w:val="26"/>
              </w:rPr>
            </w:pPr>
            <w:r w:rsidRPr="00B52806">
              <w:rPr>
                <w:b/>
                <w:szCs w:val="26"/>
              </w:rPr>
              <w:t>(5)</w:t>
            </w:r>
            <w:r w:rsidRPr="00B52806">
              <w:rPr>
                <w:rFonts w:eastAsia="Calibri"/>
                <w:b/>
                <w:szCs w:val="26"/>
              </w:rPr>
              <w:t xml:space="preserve"> ÷ (1) = (6)</w:t>
            </w:r>
          </w:p>
        </w:tc>
      </w:tr>
      <w:tr w14:paraId="7805F454" w14:textId="77777777" w:rsidTr="00C07CB9">
        <w:tblPrEx>
          <w:tblW w:w="9550" w:type="dxa"/>
          <w:jc w:val="center"/>
          <w:tblLayout w:type="fixed"/>
          <w:tblLook w:val="01E0"/>
        </w:tblPrEx>
        <w:trPr>
          <w:jc w:val="center"/>
        </w:trPr>
        <w:tc>
          <w:tcPr>
            <w:tcW w:w="1540" w:type="dxa"/>
            <w:vAlign w:val="bottom"/>
          </w:tcPr>
          <w:p w:rsidR="002320F1" w:rsidRPr="00B52806" w:rsidP="002320F1" w14:paraId="47F8AA4A" w14:textId="77777777">
            <w:pPr>
              <w:spacing w:line="276" w:lineRule="auto"/>
              <w:jc w:val="right"/>
              <w:rPr>
                <w:szCs w:val="26"/>
              </w:rPr>
            </w:pPr>
            <w:r w:rsidRPr="00B52806">
              <w:rPr>
                <w:szCs w:val="26"/>
              </w:rPr>
              <w:t>6</w:t>
            </w:r>
          </w:p>
        </w:tc>
        <w:tc>
          <w:tcPr>
            <w:tcW w:w="1530" w:type="dxa"/>
            <w:vAlign w:val="bottom"/>
          </w:tcPr>
          <w:p w:rsidR="002320F1" w:rsidRPr="00B52806" w:rsidP="002320F1" w14:paraId="29A9B01A" w14:textId="3F10EA17">
            <w:pPr>
              <w:spacing w:line="276" w:lineRule="auto"/>
              <w:jc w:val="right"/>
              <w:rPr>
                <w:szCs w:val="26"/>
              </w:rPr>
            </w:pPr>
            <w:r w:rsidRPr="00B52806">
              <w:rPr>
                <w:szCs w:val="26"/>
              </w:rPr>
              <w:t>2</w:t>
            </w:r>
          </w:p>
        </w:tc>
        <w:tc>
          <w:tcPr>
            <w:tcW w:w="1440" w:type="dxa"/>
            <w:vAlign w:val="bottom"/>
          </w:tcPr>
          <w:p w:rsidR="002320F1" w:rsidRPr="00B52806" w:rsidP="002320F1" w14:paraId="6DD59967" w14:textId="4B67EBC7">
            <w:pPr>
              <w:spacing w:line="276" w:lineRule="auto"/>
              <w:jc w:val="right"/>
              <w:rPr>
                <w:szCs w:val="26"/>
              </w:rPr>
            </w:pPr>
            <w:r w:rsidRPr="00B52806">
              <w:rPr>
                <w:szCs w:val="26"/>
              </w:rPr>
              <w:t>12</w:t>
            </w:r>
          </w:p>
        </w:tc>
        <w:tc>
          <w:tcPr>
            <w:tcW w:w="1710" w:type="dxa"/>
            <w:vAlign w:val="bottom"/>
          </w:tcPr>
          <w:p w:rsidR="002320F1" w:rsidRPr="00B52806" w:rsidP="002320F1" w14:paraId="45DCCD3E" w14:textId="10585457">
            <w:pPr>
              <w:spacing w:line="276" w:lineRule="auto"/>
              <w:jc w:val="right"/>
              <w:rPr>
                <w:szCs w:val="26"/>
              </w:rPr>
            </w:pPr>
            <w:r w:rsidRPr="00B52806">
              <w:rPr>
                <w:szCs w:val="26"/>
              </w:rPr>
              <w:t>15</w:t>
            </w:r>
            <w:r w:rsidRPr="00B52806" w:rsidR="003B3914">
              <w:rPr>
                <w:szCs w:val="26"/>
              </w:rPr>
              <w:t xml:space="preserve"> </w:t>
            </w:r>
            <w:r w:rsidRPr="00B52806" w:rsidR="0008143B">
              <w:rPr>
                <w:szCs w:val="26"/>
              </w:rPr>
              <w:t>hours</w:t>
            </w:r>
            <w:r w:rsidRPr="00B52806" w:rsidR="0090501C">
              <w:rPr>
                <w:szCs w:val="26"/>
              </w:rPr>
              <w:t>;</w:t>
            </w:r>
          </w:p>
          <w:p w:rsidR="0090501C" w:rsidRPr="00B52806" w:rsidP="00E54905" w14:paraId="366AFAF5" w14:textId="2378C844">
            <w:pPr>
              <w:spacing w:line="276" w:lineRule="auto"/>
              <w:jc w:val="right"/>
              <w:rPr>
                <w:szCs w:val="26"/>
              </w:rPr>
            </w:pPr>
            <w:r w:rsidRPr="00B52806">
              <w:rPr>
                <w:szCs w:val="26"/>
              </w:rPr>
              <w:t>$</w:t>
            </w:r>
            <w:r w:rsidRPr="00B52806" w:rsidR="00E54905">
              <w:rPr>
                <w:szCs w:val="26"/>
              </w:rPr>
              <w:t>1,</w:t>
            </w:r>
            <w:r w:rsidRPr="00B52806" w:rsidR="00C2242B">
              <w:rPr>
                <w:szCs w:val="26"/>
              </w:rPr>
              <w:t>545</w:t>
            </w:r>
          </w:p>
        </w:tc>
        <w:tc>
          <w:tcPr>
            <w:tcW w:w="1800" w:type="dxa"/>
            <w:vAlign w:val="bottom"/>
          </w:tcPr>
          <w:p w:rsidR="002320F1" w:rsidRPr="00B52806" w:rsidP="002320F1" w14:paraId="65FF438A" w14:textId="68243BC6">
            <w:pPr>
              <w:spacing w:line="276" w:lineRule="auto"/>
              <w:jc w:val="right"/>
              <w:rPr>
                <w:szCs w:val="26"/>
              </w:rPr>
            </w:pPr>
            <w:r w:rsidRPr="00B52806">
              <w:rPr>
                <w:szCs w:val="26"/>
              </w:rPr>
              <w:t>180</w:t>
            </w:r>
            <w:r w:rsidRPr="00B52806" w:rsidR="0090501C">
              <w:rPr>
                <w:szCs w:val="26"/>
              </w:rPr>
              <w:t xml:space="preserve"> hours;</w:t>
            </w:r>
          </w:p>
          <w:p w:rsidR="0090501C" w:rsidRPr="00B52806" w:rsidP="002320F1" w14:paraId="412A4A44" w14:textId="42A25708">
            <w:pPr>
              <w:spacing w:line="276" w:lineRule="auto"/>
              <w:jc w:val="right"/>
              <w:rPr>
                <w:szCs w:val="26"/>
              </w:rPr>
            </w:pPr>
            <w:r w:rsidRPr="00B52806">
              <w:rPr>
                <w:szCs w:val="26"/>
              </w:rPr>
              <w:t>$</w:t>
            </w:r>
            <w:r w:rsidRPr="00B52806" w:rsidR="00042F90">
              <w:rPr>
                <w:szCs w:val="26"/>
              </w:rPr>
              <w:t>18,540</w:t>
            </w:r>
          </w:p>
        </w:tc>
        <w:tc>
          <w:tcPr>
            <w:tcW w:w="1530" w:type="dxa"/>
            <w:vAlign w:val="bottom"/>
          </w:tcPr>
          <w:p w:rsidR="002320F1" w:rsidRPr="00B52806" w:rsidP="0085496C" w14:paraId="0E6FF490" w14:textId="52BE146B">
            <w:pPr>
              <w:spacing w:line="276" w:lineRule="auto"/>
              <w:jc w:val="right"/>
              <w:rPr>
                <w:szCs w:val="26"/>
              </w:rPr>
            </w:pPr>
            <w:r w:rsidRPr="00B52806">
              <w:rPr>
                <w:szCs w:val="26"/>
              </w:rPr>
              <w:t>$</w:t>
            </w:r>
            <w:r w:rsidRPr="00B52806" w:rsidR="00E66909">
              <w:rPr>
                <w:szCs w:val="26"/>
              </w:rPr>
              <w:t>3,090</w:t>
            </w:r>
          </w:p>
        </w:tc>
      </w:tr>
    </w:tbl>
    <w:p w:rsidR="00193DD3" w:rsidRPr="00B52806" w:rsidP="002320F1" w14:paraId="0C995F16" w14:textId="77777777">
      <w:pPr>
        <w:spacing w:line="480" w:lineRule="auto"/>
        <w:rPr>
          <w:i/>
          <w:szCs w:val="26"/>
        </w:rPr>
      </w:pPr>
    </w:p>
    <w:p w:rsidR="002320F1" w:rsidRPr="00B52806" w:rsidP="002320F1" w14:paraId="177B2750" w14:textId="7AE7F6A3">
      <w:pPr>
        <w:spacing w:line="480" w:lineRule="auto"/>
        <w:rPr>
          <w:szCs w:val="26"/>
        </w:rPr>
      </w:pPr>
      <w:r w:rsidRPr="00B52806">
        <w:rPr>
          <w:i/>
          <w:szCs w:val="26"/>
        </w:rPr>
        <w:t>Comments:</w:t>
      </w:r>
      <w:r w:rsidRPr="00B52806" w:rsidR="004619E5">
        <w:rPr>
          <w:i/>
          <w:szCs w:val="26"/>
        </w:rPr>
        <w:t xml:space="preserve"> </w:t>
      </w:r>
      <w:r w:rsidRPr="00B52806">
        <w:rPr>
          <w:szCs w:val="26"/>
        </w:rPr>
        <w:t>Comments are invited on:</w:t>
      </w:r>
      <w:r w:rsidRPr="00B52806" w:rsidR="004619E5">
        <w:rPr>
          <w:szCs w:val="26"/>
        </w:rPr>
        <w:t xml:space="preserve"> </w:t>
      </w:r>
      <w:r w:rsidRPr="00B52806">
        <w:rPr>
          <w:szCs w:val="26"/>
        </w:rPr>
        <w:t xml:space="preserve">(1) whether the collections of information are necessary for the proper performance of the functions of the Commission, including whether the information will have practical utility; (2) the accuracy of the agency’s </w:t>
      </w:r>
      <w:r w:rsidRPr="00B52806">
        <w:rPr>
          <w:szCs w:val="26"/>
        </w:rPr>
        <w:t>estimates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w:t>
      </w:r>
      <w:r w:rsidRPr="00B52806" w:rsidR="004619E5">
        <w:rPr>
          <w:szCs w:val="26"/>
        </w:rPr>
        <w:t xml:space="preserve"> </w:t>
      </w:r>
    </w:p>
    <w:p w:rsidR="002320F1" w:rsidRPr="00B52806" w:rsidP="002320F1" w14:paraId="6A9FF802" w14:textId="77777777">
      <w:pPr>
        <w:autoSpaceDE w:val="0"/>
        <w:autoSpaceDN w:val="0"/>
        <w:adjustRightInd w:val="0"/>
        <w:rPr>
          <w:szCs w:val="26"/>
        </w:rPr>
      </w:pPr>
    </w:p>
    <w:p w:rsidR="002320F1" w:rsidRPr="00B52806" w:rsidP="002320F1" w14:paraId="15FA5DAA" w14:textId="77777777">
      <w:pPr>
        <w:autoSpaceDE w:val="0"/>
        <w:autoSpaceDN w:val="0"/>
        <w:adjustRightInd w:val="0"/>
        <w:rPr>
          <w:szCs w:val="26"/>
        </w:rPr>
      </w:pPr>
    </w:p>
    <w:p w:rsidR="0D59C89C" w:rsidRPr="00B52806" w:rsidP="212A3704" w14:paraId="442FCC8F" w14:textId="4F48A923">
      <w:pPr>
        <w:ind w:firstLine="2606"/>
        <w:jc w:val="center"/>
        <w:rPr>
          <w:szCs w:val="26"/>
        </w:rPr>
      </w:pPr>
      <w:r w:rsidRPr="00B52806">
        <w:rPr>
          <w:color w:val="000000" w:themeColor="text1"/>
          <w:szCs w:val="26"/>
        </w:rPr>
        <w:t>Debbie-Anne A. Reese,</w:t>
      </w:r>
      <w:r w:rsidRPr="00B52806" w:rsidR="004619E5">
        <w:rPr>
          <w:color w:val="000000" w:themeColor="text1"/>
          <w:szCs w:val="26"/>
        </w:rPr>
        <w:t xml:space="preserve"> </w:t>
      </w:r>
    </w:p>
    <w:p w:rsidR="002320F1" w:rsidRPr="00B52806" w:rsidP="002320F1" w14:paraId="1ED56259" w14:textId="77777777">
      <w:pPr>
        <w:ind w:firstLine="2606"/>
        <w:jc w:val="center"/>
        <w:rPr>
          <w:szCs w:val="26"/>
        </w:rPr>
      </w:pPr>
      <w:r w:rsidRPr="00B52806">
        <w:rPr>
          <w:szCs w:val="26"/>
        </w:rPr>
        <w:t>Secretary.</w:t>
      </w:r>
    </w:p>
    <w:sectPr w:rsidSect="00AF69E8">
      <w:headerReference w:type="default" r:id="rId12"/>
      <w:foot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0F1" w14:paraId="77E30757" w14:textId="3EBCA7F1">
    <w:pPr>
      <w:pStyle w:val="Footer"/>
      <w:jc w:val="right"/>
    </w:pPr>
  </w:p>
  <w:p w:rsidR="002320F1" w14:paraId="5B9D93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2B5D" w:rsidP="00423EAF" w14:paraId="655C37A4" w14:textId="77777777">
      <w:r>
        <w:separator/>
      </w:r>
    </w:p>
  </w:footnote>
  <w:footnote w:type="continuationSeparator" w:id="1">
    <w:p w:rsidR="00F22B5D" w:rsidP="00423EAF" w14:paraId="3DFEA7D4" w14:textId="77777777">
      <w:r>
        <w:continuationSeparator/>
      </w:r>
    </w:p>
  </w:footnote>
  <w:footnote w:id="2">
    <w:p w:rsidR="00D324F2" w:rsidRPr="00B52806" w:rsidP="003F5A01" w14:paraId="4B525D39" w14:textId="58F6764B">
      <w:pPr>
        <w:pStyle w:val="FootnoteText"/>
        <w:spacing w:after="0"/>
        <w:ind w:firstLine="0"/>
        <w:rPr>
          <w:szCs w:val="26"/>
        </w:rPr>
      </w:pPr>
      <w:r w:rsidRPr="00B52806">
        <w:rPr>
          <w:rStyle w:val="FootnoteReference"/>
        </w:rPr>
        <w:footnoteRef/>
      </w:r>
      <w:r w:rsidRPr="00B52806">
        <w:rPr>
          <w:szCs w:val="26"/>
        </w:rPr>
        <w:t xml:space="preserve"> </w:t>
      </w:r>
      <w:r w:rsidRPr="00B52806">
        <w:rPr>
          <w:bCs/>
          <w:szCs w:val="26"/>
        </w:rPr>
        <w:t>15 U.S.C. 717-717w</w:t>
      </w:r>
    </w:p>
  </w:footnote>
  <w:footnote w:id="3">
    <w:p w:rsidR="00DD4C3C" w:rsidRPr="00B52806" w:rsidP="00427987" w14:paraId="55D5D236" w14:textId="4D4A5FB1">
      <w:pPr>
        <w:pStyle w:val="FootnoteText"/>
        <w:spacing w:after="0"/>
        <w:ind w:firstLine="0"/>
        <w:rPr>
          <w:szCs w:val="26"/>
        </w:rPr>
      </w:pPr>
      <w:r w:rsidRPr="00B52806">
        <w:rPr>
          <w:rStyle w:val="FootnoteReference"/>
        </w:rPr>
        <w:footnoteRef/>
      </w:r>
      <w:r w:rsidRPr="00B52806">
        <w:rPr>
          <w:szCs w:val="26"/>
        </w:rPr>
        <w:t xml:space="preserve"> 15 U.S.C. 717b</w:t>
      </w:r>
    </w:p>
  </w:footnote>
  <w:footnote w:id="4">
    <w:p w:rsidR="00423EAF" w:rsidRPr="00B52806" w:rsidP="00F65528" w14:paraId="4A08A1E2" w14:textId="005E1358">
      <w:pPr>
        <w:pStyle w:val="FootnoteText"/>
        <w:spacing w:after="0"/>
        <w:ind w:firstLine="0"/>
        <w:rPr>
          <w:szCs w:val="26"/>
        </w:rPr>
      </w:pPr>
      <w:r w:rsidRPr="00B52806">
        <w:rPr>
          <w:rStyle w:val="FootnoteReference"/>
        </w:rPr>
        <w:footnoteRef/>
      </w:r>
      <w:r w:rsidRPr="00B52806" w:rsidR="004619E5">
        <w:rPr>
          <w:szCs w:val="26"/>
          <w:vertAlign w:val="superscript"/>
        </w:rPr>
        <w:t xml:space="preserve"> </w:t>
      </w:r>
      <w:r w:rsidRPr="00B52806">
        <w:rPr>
          <w:szCs w:val="26"/>
        </w:rPr>
        <w:t>Burden is defined as the total time, effort, or financial resources expended by persons to generate, maintain, retain, or disclose or provide information to or for a federal agency.</w:t>
      </w:r>
      <w:r w:rsidRPr="00B52806" w:rsidR="004619E5">
        <w:rPr>
          <w:szCs w:val="26"/>
        </w:rPr>
        <w:t xml:space="preserve"> </w:t>
      </w:r>
      <w:r w:rsidRPr="00B52806">
        <w:rPr>
          <w:szCs w:val="26"/>
        </w:rPr>
        <w:t>See 5 CFR 1320 for additional information on the definition of information collection burden.</w:t>
      </w:r>
    </w:p>
  </w:footnote>
  <w:footnote w:id="5">
    <w:p w:rsidR="0090501C" w:rsidRPr="00B52806" w:rsidP="00F65528" w14:paraId="0E36B346" w14:textId="4DC22AE8">
      <w:pPr>
        <w:pStyle w:val="FootnoteText"/>
        <w:spacing w:after="0"/>
        <w:ind w:firstLine="0"/>
        <w:rPr>
          <w:szCs w:val="26"/>
        </w:rPr>
      </w:pPr>
      <w:r w:rsidRPr="00B52806">
        <w:rPr>
          <w:rStyle w:val="FootnoteReference"/>
        </w:rPr>
        <w:footnoteRef/>
      </w:r>
      <w:r w:rsidRPr="00B52806">
        <w:rPr>
          <w:szCs w:val="26"/>
        </w:rPr>
        <w:t xml:space="preserve"> The Commission staff estimates that industry is similarly situated in terms of hourly cost (for wages plus benefits).</w:t>
      </w:r>
      <w:r w:rsidRPr="00B52806" w:rsidR="004619E5">
        <w:rPr>
          <w:szCs w:val="26"/>
        </w:rPr>
        <w:t xml:space="preserve"> </w:t>
      </w:r>
      <w:r w:rsidRPr="00B52806">
        <w:rPr>
          <w:szCs w:val="26"/>
        </w:rPr>
        <w:t>Based on the Commission’s FY (Fiscal Year) 20</w:t>
      </w:r>
      <w:r w:rsidRPr="00B52806" w:rsidR="00DF49B8">
        <w:rPr>
          <w:szCs w:val="26"/>
        </w:rPr>
        <w:t>2</w:t>
      </w:r>
      <w:r w:rsidRPr="00B52806" w:rsidR="005758AF">
        <w:rPr>
          <w:szCs w:val="26"/>
        </w:rPr>
        <w:t>5</w:t>
      </w:r>
      <w:r w:rsidRPr="00B52806">
        <w:rPr>
          <w:szCs w:val="26"/>
        </w:rPr>
        <w:t xml:space="preserve"> average cost (for wages plus benefits), $</w:t>
      </w:r>
      <w:r w:rsidRPr="00B52806" w:rsidR="005758AF">
        <w:rPr>
          <w:szCs w:val="26"/>
        </w:rPr>
        <w:t>103</w:t>
      </w:r>
      <w:r w:rsidRPr="00B52806">
        <w:rPr>
          <w:szCs w:val="26"/>
        </w:rPr>
        <w:t>/hour is used.</w:t>
      </w:r>
    </w:p>
    <w:p w:rsidR="0090501C" w:rsidRPr="00B52806" w14:paraId="4928D5B3" w14:textId="60836BE2">
      <w:pPr>
        <w:pStyle w:val="FootnoteText"/>
        <w:rPr>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D49" w14:paraId="28190335" w14:textId="439D0E17">
    <w:pPr>
      <w:pStyle w:val="Header"/>
    </w:pPr>
    <w:r>
      <w:t xml:space="preserve">Docket No. </w:t>
    </w:r>
    <w:r w:rsidRPr="549323E7">
      <w:rPr>
        <w:sz w:val="24"/>
      </w:rPr>
      <w:t xml:space="preserve"> IC25-19-000</w:t>
    </w:r>
    <w:r w:rsidR="00C07CB9">
      <w:tab/>
    </w:r>
    <w:r w:rsidR="00C07CB9">
      <w:tab/>
    </w:r>
    <w:sdt>
      <w:sdtPr>
        <w:id w:val="1971631070"/>
        <w:docPartObj>
          <w:docPartGallery w:val="Page Numbers (Top of Page)"/>
          <w:docPartUnique/>
        </w:docPartObj>
      </w:sdtPr>
      <w:sdtEndPr>
        <w:rPr>
          <w:noProof/>
        </w:rPr>
      </w:sdtEndPr>
      <w:sdtContent>
        <w:r w:rsidRPr="549323E7" w:rsidR="00C07CB9">
          <w:rPr>
            <w:noProof/>
          </w:rPr>
          <w:fldChar w:fldCharType="begin"/>
        </w:r>
        <w:r w:rsidR="00C07CB9">
          <w:instrText xml:space="preserve"> PAGE   \* MERGEFORMAT </w:instrText>
        </w:r>
        <w:r w:rsidRPr="549323E7" w:rsidR="00C07CB9">
          <w:fldChar w:fldCharType="separate"/>
        </w:r>
        <w:r w:rsidRPr="549323E7">
          <w:rPr>
            <w:noProof/>
          </w:rPr>
          <w:t>2</w:t>
        </w:r>
        <w:r w:rsidRPr="549323E7" w:rsidR="00C07CB9">
          <w:rPr>
            <w:noProof/>
          </w:rPr>
          <w:fldChar w:fldCharType="end"/>
        </w:r>
      </w:sdtContent>
    </w:sdt>
  </w:p>
  <w:p w:rsidR="0090501C" w:rsidRPr="00AD3D49" w:rsidP="00AD3D49" w14:paraId="3EB01FD6" w14:textId="55228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730130"/>
    <w:multiLevelType w:val="hybridMultilevel"/>
    <w:tmpl w:val="9C56381A"/>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5C98A853"/>
    <w:multiLevelType w:val="hybridMultilevel"/>
    <w:tmpl w:val="EA7E8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3205093">
    <w:abstractNumId w:val="3"/>
  </w:num>
  <w:num w:numId="2" w16cid:durableId="600265985">
    <w:abstractNumId w:val="1"/>
  </w:num>
  <w:num w:numId="3" w16cid:durableId="1392657992">
    <w:abstractNumId w:val="2"/>
  </w:num>
  <w:num w:numId="4" w16cid:durableId="129460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AF"/>
    <w:rsid w:val="00014242"/>
    <w:rsid w:val="00042F90"/>
    <w:rsid w:val="00043954"/>
    <w:rsid w:val="0008143B"/>
    <w:rsid w:val="0008284B"/>
    <w:rsid w:val="00083EA2"/>
    <w:rsid w:val="00153423"/>
    <w:rsid w:val="00165625"/>
    <w:rsid w:val="00193DD3"/>
    <w:rsid w:val="00203435"/>
    <w:rsid w:val="00203E29"/>
    <w:rsid w:val="00215688"/>
    <w:rsid w:val="002320F1"/>
    <w:rsid w:val="00243997"/>
    <w:rsid w:val="002D3D94"/>
    <w:rsid w:val="002E25D7"/>
    <w:rsid w:val="00330A99"/>
    <w:rsid w:val="00331BED"/>
    <w:rsid w:val="003A3363"/>
    <w:rsid w:val="003B3914"/>
    <w:rsid w:val="003B6A2C"/>
    <w:rsid w:val="003C1C04"/>
    <w:rsid w:val="003F5A01"/>
    <w:rsid w:val="0041648E"/>
    <w:rsid w:val="00423EAF"/>
    <w:rsid w:val="00427987"/>
    <w:rsid w:val="004619E5"/>
    <w:rsid w:val="00475F57"/>
    <w:rsid w:val="00490F91"/>
    <w:rsid w:val="004A79C9"/>
    <w:rsid w:val="0050317A"/>
    <w:rsid w:val="00516665"/>
    <w:rsid w:val="005303AC"/>
    <w:rsid w:val="00550975"/>
    <w:rsid w:val="005536E3"/>
    <w:rsid w:val="00553C75"/>
    <w:rsid w:val="00561322"/>
    <w:rsid w:val="005758AF"/>
    <w:rsid w:val="005A4AC7"/>
    <w:rsid w:val="005C449F"/>
    <w:rsid w:val="00640546"/>
    <w:rsid w:val="006C344A"/>
    <w:rsid w:val="006C57D3"/>
    <w:rsid w:val="00723865"/>
    <w:rsid w:val="00746B1E"/>
    <w:rsid w:val="00765CCF"/>
    <w:rsid w:val="0079109F"/>
    <w:rsid w:val="007B0B55"/>
    <w:rsid w:val="007C68CE"/>
    <w:rsid w:val="007D1086"/>
    <w:rsid w:val="0085496C"/>
    <w:rsid w:val="008B7470"/>
    <w:rsid w:val="0090501C"/>
    <w:rsid w:val="009349F4"/>
    <w:rsid w:val="009446C8"/>
    <w:rsid w:val="009F57D7"/>
    <w:rsid w:val="00A06C84"/>
    <w:rsid w:val="00A57A74"/>
    <w:rsid w:val="00A61149"/>
    <w:rsid w:val="00A65AAA"/>
    <w:rsid w:val="00AD3D49"/>
    <w:rsid w:val="00AF69E8"/>
    <w:rsid w:val="00B13C8F"/>
    <w:rsid w:val="00B22C25"/>
    <w:rsid w:val="00B278F1"/>
    <w:rsid w:val="00B52806"/>
    <w:rsid w:val="00B92940"/>
    <w:rsid w:val="00BC2814"/>
    <w:rsid w:val="00C07CB9"/>
    <w:rsid w:val="00C2242B"/>
    <w:rsid w:val="00C56260"/>
    <w:rsid w:val="00CB1DA5"/>
    <w:rsid w:val="00CC552A"/>
    <w:rsid w:val="00CC6C1E"/>
    <w:rsid w:val="00D324F2"/>
    <w:rsid w:val="00DB07CC"/>
    <w:rsid w:val="00DD4C3C"/>
    <w:rsid w:val="00DF49B8"/>
    <w:rsid w:val="00DF63EC"/>
    <w:rsid w:val="00E51701"/>
    <w:rsid w:val="00E54905"/>
    <w:rsid w:val="00E65746"/>
    <w:rsid w:val="00E66909"/>
    <w:rsid w:val="00E801D0"/>
    <w:rsid w:val="00E80EBE"/>
    <w:rsid w:val="00EC035D"/>
    <w:rsid w:val="00EC3D7D"/>
    <w:rsid w:val="00EF610A"/>
    <w:rsid w:val="00EF622B"/>
    <w:rsid w:val="00F16077"/>
    <w:rsid w:val="00F22B5D"/>
    <w:rsid w:val="00F3550A"/>
    <w:rsid w:val="00F65528"/>
    <w:rsid w:val="00F670AA"/>
    <w:rsid w:val="00FA1F3A"/>
    <w:rsid w:val="00FA4190"/>
    <w:rsid w:val="02DCDC11"/>
    <w:rsid w:val="0A6ADB5A"/>
    <w:rsid w:val="0D59C89C"/>
    <w:rsid w:val="1399B30E"/>
    <w:rsid w:val="15D39ECA"/>
    <w:rsid w:val="212A3704"/>
    <w:rsid w:val="2B9A4C8B"/>
    <w:rsid w:val="3178AC40"/>
    <w:rsid w:val="52B44C1B"/>
    <w:rsid w:val="549323E7"/>
    <w:rsid w:val="6D7BE9FA"/>
    <w:rsid w:val="70D23E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F78849"/>
  <w15:docId w15:val="{A74C839A-E530-478C-A433-C154B947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EAF"/>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423EAF"/>
    <w:rPr>
      <w:rFonts w:ascii="Times New Roman" w:hAnsi="Times New Roman"/>
      <w:b/>
      <w:sz w:val="26"/>
      <w:szCs w:val="26"/>
      <w:vertAlign w:val="superscript"/>
    </w:rPr>
  </w:style>
  <w:style w:type="paragraph" w:styleId="FootnoteText">
    <w:name w:val="footnote text"/>
    <w:aliases w:val="Char,Footnote Text Char Char Char Char Char,Footnote Text Char Char1 Char,Footnote Text Char1 Char Char Char,Footnote Text Char1 Char Char Char Char Char Char Char,Footnote Text Char1 Char1 Char,Footnote Text Char2 Char,fn,fn1,fn3,ft"/>
    <w:basedOn w:val="Normal"/>
    <w:link w:val="FootnoteTextChar"/>
    <w:qFormat/>
    <w:rsid w:val="00423EAF"/>
    <w:pPr>
      <w:spacing w:after="260"/>
      <w:ind w:firstLine="720"/>
    </w:pPr>
    <w:rPr>
      <w:szCs w:val="20"/>
    </w:rPr>
  </w:style>
  <w:style w:type="character" w:customStyle="1" w:styleId="FootnoteTextChar">
    <w:name w:val="Footnote Text Char"/>
    <w:aliases w:val="Char Char,Footnote Text Char Char Char Char Char Char1,Footnote Text Char Char1 Char Char1,Footnote Text Char1 Char Char Char Char Char Char Char Char1,Footnote Text Char1 Char Char Char Char1,Footnote Text Char1 Char1 Char Char"/>
    <w:basedOn w:val="DefaultParagraphFont"/>
    <w:link w:val="FootnoteText"/>
    <w:rsid w:val="00423EAF"/>
    <w:rPr>
      <w:rFonts w:ascii="Times New Roman" w:eastAsia="Times New Roman" w:hAnsi="Times New Roman" w:cs="Times New Roman"/>
      <w:sz w:val="26"/>
      <w:szCs w:val="20"/>
    </w:rPr>
  </w:style>
  <w:style w:type="character" w:styleId="Hyperlink">
    <w:name w:val="Hyperlink"/>
    <w:basedOn w:val="DefaultParagraphFont"/>
    <w:rsid w:val="00423EAF"/>
    <w:rPr>
      <w:color w:val="0000FF"/>
      <w:u w:val="single"/>
    </w:rPr>
  </w:style>
  <w:style w:type="paragraph" w:styleId="Header">
    <w:name w:val="header"/>
    <w:basedOn w:val="Normal"/>
    <w:link w:val="HeaderChar"/>
    <w:uiPriority w:val="99"/>
    <w:unhideWhenUsed/>
    <w:rsid w:val="00423EAF"/>
    <w:pPr>
      <w:tabs>
        <w:tab w:val="center" w:pos="4680"/>
        <w:tab w:val="right" w:pos="9360"/>
      </w:tabs>
    </w:pPr>
  </w:style>
  <w:style w:type="character" w:customStyle="1" w:styleId="HeaderChar">
    <w:name w:val="Header Char"/>
    <w:basedOn w:val="DefaultParagraphFont"/>
    <w:link w:val="Header"/>
    <w:uiPriority w:val="99"/>
    <w:rsid w:val="00423EAF"/>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423EAF"/>
    <w:pPr>
      <w:tabs>
        <w:tab w:val="center" w:pos="4680"/>
        <w:tab w:val="right" w:pos="9360"/>
      </w:tabs>
    </w:pPr>
  </w:style>
  <w:style w:type="character" w:customStyle="1" w:styleId="FooterChar">
    <w:name w:val="Footer Char"/>
    <w:basedOn w:val="DefaultParagraphFont"/>
    <w:link w:val="Footer"/>
    <w:uiPriority w:val="99"/>
    <w:rsid w:val="00423EAF"/>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2320F1"/>
    <w:rPr>
      <w:sz w:val="16"/>
      <w:szCs w:val="16"/>
    </w:rPr>
  </w:style>
  <w:style w:type="paragraph" w:styleId="CommentText">
    <w:name w:val="annotation text"/>
    <w:basedOn w:val="Normal"/>
    <w:link w:val="CommentTextChar"/>
    <w:uiPriority w:val="99"/>
    <w:unhideWhenUsed/>
    <w:rsid w:val="002320F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320F1"/>
    <w:rPr>
      <w:sz w:val="20"/>
      <w:szCs w:val="20"/>
    </w:rPr>
  </w:style>
  <w:style w:type="paragraph" w:styleId="BalloonText">
    <w:name w:val="Balloon Text"/>
    <w:basedOn w:val="Normal"/>
    <w:link w:val="BalloonTextChar"/>
    <w:uiPriority w:val="99"/>
    <w:semiHidden/>
    <w:unhideWhenUsed/>
    <w:rsid w:val="00232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F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8143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8143B"/>
    <w:rPr>
      <w:rFonts w:ascii="Times New Roman" w:eastAsia="Times New Roman" w:hAnsi="Times New Roman" w:cs="Times New Roman"/>
      <w:b/>
      <w:bCs/>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n1 Char,ft Char"/>
    <w:semiHidden/>
    <w:locked/>
    <w:rsid w:val="0090501C"/>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303AC"/>
    <w:rPr>
      <w:color w:val="605E5C"/>
      <w:shd w:val="clear" w:color="auto" w:fill="E1DFDD"/>
    </w:rPr>
  </w:style>
  <w:style w:type="paragraph" w:styleId="ListParagraph">
    <w:name w:val="List Paragraph"/>
    <w:basedOn w:val="Normal"/>
    <w:uiPriority w:val="34"/>
    <w:qFormat/>
    <w:rsid w:val="212A3704"/>
    <w:pPr>
      <w:ind w:left="720"/>
      <w:contextualSpacing/>
    </w:pPr>
  </w:style>
  <w:style w:type="paragraph" w:styleId="Revision">
    <w:name w:val="Revision"/>
    <w:hidden/>
    <w:uiPriority w:val="99"/>
    <w:semiHidden/>
    <w:rsid w:val="00F670AA"/>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DB07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EC53D770-75AA-4248-BBDA-12213C71F5F2}">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5F283F9-C809-4B0A-BEA3-5DB56FE60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5DF43-5AC5-4A8A-9C81-70BE335E35BF}">
  <ds:schemaRefs>
    <ds:schemaRef ds:uri="http://schemas.microsoft.com/sharepoint/v3/contenttype/forms"/>
  </ds:schemaRefs>
</ds:datastoreItem>
</file>

<file path=customXml/itemProps4.xml><?xml version="1.0" encoding="utf-8"?>
<ds:datastoreItem xmlns:ds="http://schemas.openxmlformats.org/officeDocument/2006/customXml" ds:itemID="{63CB4E3F-9F69-4530-A53C-3EC32AF9DA54}">
  <ds:schemaRefs>
    <ds:schemaRef ds:uri="http://schemas.openxmlformats.org/officeDocument/2006/bibliography"/>
  </ds:schemaRefs>
</ds:datastoreItem>
</file>

<file path=customXml/itemProps5.xml><?xml version="1.0" encoding="utf-8"?>
<ds:datastoreItem xmlns:ds="http://schemas.openxmlformats.org/officeDocument/2006/customXml" ds:itemID="{DAF20D22-353C-49D9-A1A6-DE3A1AB5E2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otalTime>1</TotalTime>
  <Pages>4</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2022-07-26T16:38:00Z</dcterms:created>
  <dcterms:modified xsi:type="dcterms:W3CDTF">2025-12-12T20:40:00Z</dcterms:modified>
</cp:coreProperties>
</file>