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74BA" w:rsidRPr="0041188D" w:rsidP="00434DB4" w14:paraId="57DD8634" w14:textId="77777777">
      <w:pPr>
        <w:spacing w:line="276" w:lineRule="auto"/>
        <w:jc w:val="center"/>
        <w:rPr>
          <w:rFonts w:ascii="Times New Roman" w:hAnsi="Times New Roman"/>
          <w:b/>
          <w:bCs/>
          <w:sz w:val="24"/>
          <w:szCs w:val="24"/>
        </w:rPr>
      </w:pPr>
      <w:r w:rsidRPr="0041188D">
        <w:rPr>
          <w:rFonts w:ascii="Times New Roman" w:hAnsi="Times New Roman"/>
          <w:sz w:val="24"/>
          <w:szCs w:val="24"/>
          <w:lang w:val="en-CA"/>
        </w:rPr>
        <w:fldChar w:fldCharType="begin"/>
      </w:r>
      <w:r w:rsidRPr="0041188D">
        <w:rPr>
          <w:rFonts w:ascii="Times New Roman" w:hAnsi="Times New Roman"/>
          <w:sz w:val="24"/>
          <w:szCs w:val="24"/>
          <w:lang w:val="en-CA"/>
        </w:rPr>
        <w:instrText xml:space="preserve"> SEQ CHAPTER \h \r 1</w:instrText>
      </w:r>
      <w:r w:rsidRPr="0041188D">
        <w:rPr>
          <w:rFonts w:ascii="Times New Roman" w:hAnsi="Times New Roman"/>
          <w:sz w:val="24"/>
          <w:szCs w:val="24"/>
          <w:lang w:val="en-CA"/>
        </w:rPr>
        <w:fldChar w:fldCharType="separate"/>
      </w:r>
      <w:r w:rsidRPr="0041188D">
        <w:rPr>
          <w:rFonts w:ascii="Times New Roman" w:hAnsi="Times New Roman"/>
          <w:sz w:val="24"/>
          <w:szCs w:val="24"/>
          <w:lang w:val="en-CA"/>
        </w:rPr>
        <w:fldChar w:fldCharType="end"/>
      </w:r>
      <w:r w:rsidRPr="0041188D">
        <w:rPr>
          <w:rFonts w:ascii="Times New Roman" w:hAnsi="Times New Roman"/>
          <w:b/>
          <w:bCs/>
          <w:sz w:val="24"/>
          <w:szCs w:val="24"/>
        </w:rPr>
        <w:t>SUPPORTING STATEMENT</w:t>
      </w:r>
    </w:p>
    <w:p w:rsidR="00930606" w:rsidRPr="0041188D" w:rsidP="00434DB4" w14:paraId="68726D54" w14:textId="77777777">
      <w:pPr>
        <w:spacing w:line="276" w:lineRule="auto"/>
        <w:jc w:val="center"/>
        <w:rPr>
          <w:rFonts w:ascii="Times New Roman" w:hAnsi="Times New Roman"/>
          <w:bCs/>
          <w:sz w:val="24"/>
          <w:szCs w:val="24"/>
        </w:rPr>
      </w:pPr>
      <w:r w:rsidRPr="0041188D">
        <w:rPr>
          <w:rFonts w:ascii="Times New Roman" w:hAnsi="Times New Roman"/>
          <w:bCs/>
          <w:sz w:val="24"/>
          <w:szCs w:val="24"/>
        </w:rPr>
        <w:t>Internal Revenue Service</w:t>
      </w:r>
    </w:p>
    <w:p w:rsidR="0092460E" w:rsidRPr="0041188D" w:rsidP="00434DB4" w14:paraId="675A3861" w14:textId="77777777">
      <w:pPr>
        <w:spacing w:line="276" w:lineRule="auto"/>
        <w:jc w:val="center"/>
        <w:rPr>
          <w:rFonts w:ascii="Times New Roman" w:hAnsi="Times New Roman"/>
          <w:bCs/>
          <w:sz w:val="24"/>
          <w:szCs w:val="24"/>
        </w:rPr>
      </w:pPr>
      <w:r w:rsidRPr="0041188D">
        <w:rPr>
          <w:rFonts w:ascii="Times New Roman" w:hAnsi="Times New Roman"/>
          <w:bCs/>
          <w:sz w:val="24"/>
          <w:szCs w:val="24"/>
        </w:rPr>
        <w:t xml:space="preserve">Practice Before the Internal Revenue Service </w:t>
      </w:r>
    </w:p>
    <w:p w:rsidR="009B74BA" w:rsidP="00434DB4" w14:paraId="52DDBE5C" w14:textId="5C7DEDE3">
      <w:pPr>
        <w:spacing w:line="276" w:lineRule="auto"/>
        <w:jc w:val="center"/>
        <w:rPr>
          <w:rFonts w:ascii="Times New Roman" w:hAnsi="Times New Roman"/>
          <w:b/>
          <w:sz w:val="24"/>
          <w:szCs w:val="24"/>
        </w:rPr>
      </w:pPr>
      <w:r w:rsidRPr="0041188D">
        <w:rPr>
          <w:rFonts w:ascii="Times New Roman" w:hAnsi="Times New Roman"/>
          <w:bCs/>
          <w:sz w:val="24"/>
          <w:szCs w:val="24"/>
        </w:rPr>
        <w:t xml:space="preserve">OMB Control Number </w:t>
      </w:r>
      <w:r w:rsidRPr="0041188D">
        <w:rPr>
          <w:rFonts w:ascii="Times New Roman" w:hAnsi="Times New Roman"/>
          <w:b/>
          <w:sz w:val="24"/>
          <w:szCs w:val="24"/>
        </w:rPr>
        <w:t>1545-</w:t>
      </w:r>
      <w:r w:rsidRPr="0041188D" w:rsidR="0092460E">
        <w:rPr>
          <w:rFonts w:ascii="Times New Roman" w:hAnsi="Times New Roman"/>
          <w:b/>
          <w:sz w:val="24"/>
          <w:szCs w:val="24"/>
        </w:rPr>
        <w:t>1726</w:t>
      </w:r>
    </w:p>
    <w:p w:rsidR="0041188D" w:rsidP="00434DB4" w14:paraId="3A2CBC73" w14:textId="77777777">
      <w:pPr>
        <w:spacing w:line="276" w:lineRule="auto"/>
        <w:jc w:val="center"/>
        <w:rPr>
          <w:rFonts w:ascii="Times New Roman" w:hAnsi="Times New Roman"/>
          <w:b/>
          <w:sz w:val="24"/>
          <w:szCs w:val="24"/>
        </w:rPr>
      </w:pPr>
    </w:p>
    <w:p w:rsidR="0041188D" w:rsidRPr="00122BE0" w:rsidP="00122BE0" w14:paraId="746F72C0" w14:textId="18D90D98">
      <w:pPr>
        <w:spacing w:line="276" w:lineRule="auto"/>
        <w:ind w:left="360"/>
        <w:rPr>
          <w:rFonts w:ascii="Times New Roman" w:hAnsi="Times New Roman"/>
          <w:b/>
          <w:bCs/>
          <w:sz w:val="24"/>
          <w:szCs w:val="24"/>
          <w:u w:val="single"/>
        </w:rPr>
      </w:pPr>
      <w:r w:rsidRPr="00122BE0">
        <w:rPr>
          <w:rFonts w:ascii="Times New Roman" w:hAnsi="Times New Roman"/>
          <w:b/>
          <w:bCs/>
          <w:sz w:val="24"/>
          <w:szCs w:val="24"/>
          <w:u w:val="single"/>
        </w:rPr>
        <w:t>Changes since previous OMB approval</w:t>
      </w:r>
    </w:p>
    <w:p w:rsidR="0041188D" w:rsidRPr="00122BE0" w:rsidP="00434DB4" w14:paraId="72921FB1" w14:textId="0650E764">
      <w:pPr>
        <w:widowControl/>
        <w:spacing w:line="276" w:lineRule="auto"/>
        <w:ind w:left="360"/>
        <w:rPr>
          <w:rFonts w:ascii="Times New Roman" w:hAnsi="Times New Roman"/>
          <w:sz w:val="24"/>
          <w:szCs w:val="24"/>
        </w:rPr>
      </w:pPr>
      <w:r w:rsidRPr="00122BE0">
        <w:rPr>
          <w:rFonts w:ascii="Times New Roman" w:hAnsi="Times New Roman"/>
          <w:sz w:val="24"/>
          <w:szCs w:val="24"/>
        </w:rPr>
        <w:t xml:space="preserve">The purpose of this submission is to renew and consolidate the related collections under one approval number. This collection of information is authorized by 26 USC 7805 and 31 USC 330, and covers collections for a tax </w:t>
      </w:r>
      <w:r w:rsidRPr="00122BE0">
        <w:rPr>
          <w:rFonts w:ascii="Times New Roman" w:hAnsi="Times New Roman"/>
          <w:sz w:val="24"/>
          <w:szCs w:val="24"/>
        </w:rPr>
        <w:t>pracitioners</w:t>
      </w:r>
      <w:r w:rsidRPr="00122BE0" w:rsidR="00434DB4">
        <w:rPr>
          <w:rFonts w:ascii="Times New Roman" w:hAnsi="Times New Roman"/>
          <w:sz w:val="24"/>
          <w:szCs w:val="24"/>
        </w:rPr>
        <w:t xml:space="preserve">, </w:t>
      </w:r>
      <w:r w:rsidRPr="00122BE0">
        <w:rPr>
          <w:rFonts w:ascii="Times New Roman" w:hAnsi="Times New Roman"/>
          <w:sz w:val="24"/>
          <w:szCs w:val="24"/>
        </w:rPr>
        <w:t>enrolled agents</w:t>
      </w:r>
      <w:r w:rsidRPr="00122BE0" w:rsidR="00434DB4">
        <w:rPr>
          <w:rFonts w:ascii="Times New Roman" w:hAnsi="Times New Roman"/>
          <w:sz w:val="24"/>
          <w:szCs w:val="24"/>
        </w:rPr>
        <w:t>, enrolled retirement plan agents, continuing education providers, and annual filing season program participants</w:t>
      </w:r>
      <w:r w:rsidRPr="00122BE0">
        <w:rPr>
          <w:rFonts w:ascii="Times New Roman" w:hAnsi="Times New Roman"/>
          <w:sz w:val="24"/>
          <w:szCs w:val="24"/>
        </w:rPr>
        <w:t xml:space="preserve">. </w:t>
      </w:r>
    </w:p>
    <w:p w:rsidR="00696343" w:rsidRPr="0041188D" w:rsidP="00434DB4" w14:paraId="45E314AB" w14:textId="77777777">
      <w:pPr>
        <w:spacing w:line="276" w:lineRule="auto"/>
        <w:jc w:val="center"/>
        <w:rPr>
          <w:rFonts w:ascii="Times New Roman" w:hAnsi="Times New Roman"/>
          <w:b/>
          <w:bCs/>
          <w:sz w:val="24"/>
          <w:szCs w:val="24"/>
        </w:rPr>
      </w:pPr>
    </w:p>
    <w:p w:rsidR="000062D7" w:rsidP="00434DB4" w14:paraId="6F228356" w14:textId="29E252ED">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CIRCUMSTANCES NECESSITATING COLLECTION OF INFORMATION</w:t>
      </w:r>
    </w:p>
    <w:p w:rsidR="00434DB4" w:rsidRPr="00434DB4" w:rsidP="00434DB4" w14:paraId="4CC50249" w14:textId="77777777"/>
    <w:p w:rsidR="0092460E" w:rsidP="00434DB4" w14:paraId="1E3F1650" w14:textId="311B6562">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Section 330 of title 31 of the United States Code authorizes the Secretary of the Treasury to regulate the practice of representatives of persons before the Treasury Department (Treasury).  It also authorizes the Secretary to require, before admitting a representative to practice (except for attorneys and certified public accountants described in 5 U.S.C. 500), that the representative demonstrate that they have good character and reputation, qualifications necessary to provide valuable service to persons represented, and competency to advise and assist persons in presenting their cases.  The Secretary has published regulations governing practice before the </w:t>
      </w:r>
      <w:r w:rsidR="00A150D0">
        <w:rPr>
          <w:rFonts w:ascii="Times New Roman" w:hAnsi="Times New Roman"/>
          <w:sz w:val="24"/>
          <w:szCs w:val="24"/>
        </w:rPr>
        <w:t>Internal Revenue Service (</w:t>
      </w:r>
      <w:r w:rsidRPr="0041188D">
        <w:rPr>
          <w:rFonts w:ascii="Times New Roman" w:hAnsi="Times New Roman"/>
          <w:sz w:val="24"/>
          <w:szCs w:val="24"/>
        </w:rPr>
        <w:t>IRS</w:t>
      </w:r>
      <w:r w:rsidR="00A150D0">
        <w:rPr>
          <w:rFonts w:ascii="Times New Roman" w:hAnsi="Times New Roman"/>
          <w:sz w:val="24"/>
          <w:szCs w:val="24"/>
        </w:rPr>
        <w:t>)</w:t>
      </w:r>
      <w:r w:rsidRPr="0041188D">
        <w:rPr>
          <w:rFonts w:ascii="Times New Roman" w:hAnsi="Times New Roman"/>
          <w:sz w:val="24"/>
          <w:szCs w:val="24"/>
        </w:rPr>
        <w:t xml:space="preserve"> in 31 CFR part 10 and reprinted the regulations as Treasury Department Circular No. 230 (Circular 230).</w:t>
      </w:r>
    </w:p>
    <w:p w:rsidR="0092460E" w:rsidRPr="0041188D" w:rsidP="00122BE0" w14:paraId="13E0D2CE" w14:textId="77777777">
      <w:pPr>
        <w:widowControl/>
        <w:spacing w:line="276" w:lineRule="auto"/>
        <w:rPr>
          <w:rFonts w:ascii="Times New Roman" w:hAnsi="Times New Roman"/>
          <w:sz w:val="24"/>
          <w:szCs w:val="24"/>
        </w:rPr>
      </w:pPr>
    </w:p>
    <w:p w:rsidR="004F2893" w:rsidP="00122BE0" w14:paraId="680FBC8D" w14:textId="70443145">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Circular 230 contains rules governing the recognition of attorneys, certified public accountants, enrolled agents, enrolled retirement plan agents, and other persons representing taxpayers before the </w:t>
      </w:r>
      <w:r w:rsidR="009D411B">
        <w:rPr>
          <w:rFonts w:ascii="Times New Roman" w:hAnsi="Times New Roman"/>
          <w:sz w:val="24"/>
          <w:szCs w:val="24"/>
        </w:rPr>
        <w:t>IRS</w:t>
      </w:r>
      <w:r w:rsidRPr="0041188D">
        <w:rPr>
          <w:rFonts w:ascii="Times New Roman" w:hAnsi="Times New Roman"/>
          <w:sz w:val="24"/>
          <w:szCs w:val="24"/>
        </w:rPr>
        <w:t>. Subpart A sets forth rules relating to the authority to practice before the Internal Revenue Service</w:t>
      </w:r>
      <w:r w:rsidR="00FA429C">
        <w:rPr>
          <w:rFonts w:ascii="Times New Roman" w:hAnsi="Times New Roman"/>
          <w:sz w:val="24"/>
          <w:szCs w:val="24"/>
        </w:rPr>
        <w:t xml:space="preserve"> and includes rules for continuing education providers and programs</w:t>
      </w:r>
      <w:r w:rsidRPr="0041188D">
        <w:rPr>
          <w:rFonts w:ascii="Times New Roman" w:hAnsi="Times New Roman"/>
          <w:sz w:val="24"/>
          <w:szCs w:val="24"/>
        </w:rPr>
        <w:t>; subpart B prescribes the duties and restrictions relating to such practice; subpart C prescribes the sanctions for violating the regulations; subpart D contains the rules applicable to disciplinary proceedings; and subpart E contains general provisions relating to the availability of official records.</w:t>
      </w:r>
      <w:r w:rsidR="00FA429C">
        <w:rPr>
          <w:rFonts w:ascii="Times New Roman" w:hAnsi="Times New Roman"/>
          <w:sz w:val="24"/>
          <w:szCs w:val="24"/>
        </w:rPr>
        <w:t xml:space="preserve">  </w:t>
      </w:r>
    </w:p>
    <w:p w:rsidR="004F2893" w14:paraId="532DB254" w14:textId="77777777">
      <w:pPr>
        <w:widowControl/>
        <w:spacing w:line="276" w:lineRule="auto"/>
        <w:ind w:left="720"/>
        <w:rPr>
          <w:rFonts w:ascii="Times New Roman" w:hAnsi="Times New Roman"/>
          <w:sz w:val="24"/>
          <w:szCs w:val="24"/>
        </w:rPr>
      </w:pPr>
    </w:p>
    <w:p w:rsidR="00C37653" w:rsidP="00122BE0" w14:paraId="1803B006" w14:textId="748B0E83">
      <w:pPr>
        <w:widowControl/>
        <w:spacing w:line="276" w:lineRule="auto"/>
        <w:ind w:left="360"/>
        <w:rPr>
          <w:rFonts w:ascii="Times New Roman" w:hAnsi="Times New Roman"/>
          <w:sz w:val="24"/>
          <w:szCs w:val="24"/>
        </w:rPr>
      </w:pPr>
      <w:r w:rsidRPr="0063218E">
        <w:rPr>
          <w:rFonts w:ascii="Times New Roman" w:hAnsi="Times New Roman"/>
          <w:sz w:val="24"/>
          <w:szCs w:val="24"/>
        </w:rPr>
        <w:t xml:space="preserve">Section 7805 of the Internal Revenue Code (IRC) </w:t>
      </w:r>
      <w:r w:rsidRPr="0063218E">
        <w:rPr>
          <w:rFonts w:ascii="Times New Roman" w:hAnsi="Times New Roman"/>
          <w:sz w:val="24"/>
          <w:szCs w:val="24"/>
        </w:rPr>
        <w:t>grant</w:t>
      </w:r>
      <w:r w:rsidRPr="0063218E">
        <w:rPr>
          <w:rFonts w:ascii="Times New Roman" w:hAnsi="Times New Roman"/>
          <w:sz w:val="24"/>
          <w:szCs w:val="24"/>
        </w:rPr>
        <w:t xml:space="preserve"> the Secretary of the Treasury broad authority to administer and enforce the internal revenue laws.  IRC Section 7805 allows the Treasury to establish administrative programs, such as those included within Revenue Procedures 2012-12 and Revenue Procedures 2014-4</w:t>
      </w:r>
      <w:r w:rsidR="001F1CBE">
        <w:rPr>
          <w:rFonts w:ascii="Times New Roman" w:hAnsi="Times New Roman"/>
          <w:sz w:val="24"/>
          <w:szCs w:val="24"/>
        </w:rPr>
        <w:t>2</w:t>
      </w:r>
      <w:r w:rsidRPr="0063218E">
        <w:rPr>
          <w:rFonts w:ascii="Times New Roman" w:hAnsi="Times New Roman"/>
          <w:sz w:val="24"/>
          <w:szCs w:val="24"/>
        </w:rPr>
        <w:t>.</w:t>
      </w:r>
    </w:p>
    <w:p w:rsidR="00FA429C" w:rsidP="00122BE0" w14:paraId="0F0FAAF4" w14:textId="77777777">
      <w:pPr>
        <w:widowControl/>
        <w:spacing w:line="276" w:lineRule="auto"/>
        <w:rPr>
          <w:rFonts w:ascii="Times New Roman" w:hAnsi="Times New Roman"/>
          <w:sz w:val="24"/>
          <w:szCs w:val="24"/>
        </w:rPr>
      </w:pPr>
    </w:p>
    <w:p w:rsidR="00FA429C" w:rsidRPr="0041188D" w:rsidP="00FA429C" w14:paraId="7EA9ABCF" w14:textId="4D05A33E">
      <w:pPr>
        <w:widowControl/>
        <w:spacing w:line="276" w:lineRule="auto"/>
        <w:ind w:left="360"/>
        <w:rPr>
          <w:rFonts w:ascii="Times New Roman" w:hAnsi="Times New Roman"/>
          <w:sz w:val="24"/>
          <w:szCs w:val="24"/>
        </w:rPr>
      </w:pPr>
      <w:r w:rsidRPr="00122BE0">
        <w:rPr>
          <w:rFonts w:ascii="Times New Roman" w:hAnsi="Times New Roman"/>
          <w:sz w:val="24"/>
          <w:szCs w:val="24"/>
        </w:rPr>
        <w:t xml:space="preserve">Rev. Proc. 2012-12 </w:t>
      </w:r>
      <w:r w:rsidRPr="0041188D">
        <w:rPr>
          <w:rFonts w:ascii="Times New Roman" w:hAnsi="Times New Roman"/>
          <w:sz w:val="24"/>
          <w:szCs w:val="24"/>
        </w:rPr>
        <w:t>describe</w:t>
      </w:r>
      <w:r>
        <w:rPr>
          <w:rFonts w:ascii="Times New Roman" w:hAnsi="Times New Roman"/>
          <w:sz w:val="24"/>
          <w:szCs w:val="24"/>
        </w:rPr>
        <w:t>s</w:t>
      </w:r>
      <w:r w:rsidRPr="0041188D">
        <w:rPr>
          <w:rFonts w:ascii="Times New Roman" w:hAnsi="Times New Roman"/>
          <w:sz w:val="24"/>
          <w:szCs w:val="24"/>
        </w:rPr>
        <w:t xml:space="preserve"> the procedures and standards that organizations must follow to be identified by the Internal Revenue Service as a qualifying organization that may accredit continuing education providers under section10.9(a)(1)(iii) of Circular 230. This revenue procedure also describes the standards for a continuing education provider under section </w:t>
      </w:r>
      <w:r w:rsidRPr="0041188D">
        <w:rPr>
          <w:rFonts w:ascii="Times New Roman" w:hAnsi="Times New Roman"/>
          <w:sz w:val="24"/>
          <w:szCs w:val="24"/>
        </w:rPr>
        <w:t>10.9(a)(1) and the procedures that individuals and entities must follow to be approved by the Internal Revenue Service as a continuing education provider under section 10.9(a)(1)(iv).</w:t>
      </w:r>
    </w:p>
    <w:p w:rsidR="00FA429C" w:rsidRPr="0041188D" w:rsidP="00FA429C" w14:paraId="4E3132A3" w14:textId="77777777">
      <w:pPr>
        <w:widowControl/>
        <w:spacing w:line="276" w:lineRule="auto"/>
        <w:ind w:left="360"/>
        <w:rPr>
          <w:rFonts w:ascii="Times New Roman" w:hAnsi="Times New Roman"/>
          <w:sz w:val="24"/>
          <w:szCs w:val="24"/>
        </w:rPr>
      </w:pPr>
    </w:p>
    <w:p w:rsidR="00FA429C" w:rsidRPr="0041188D" w:rsidP="00FA429C" w14:paraId="36793D8F" w14:textId="337EEE72">
      <w:pPr>
        <w:widowControl/>
        <w:spacing w:line="276" w:lineRule="auto"/>
        <w:ind w:left="360"/>
        <w:rPr>
          <w:rFonts w:ascii="Times New Roman" w:hAnsi="Times New Roman"/>
          <w:sz w:val="24"/>
          <w:szCs w:val="24"/>
        </w:rPr>
      </w:pPr>
      <w:r w:rsidRPr="00122BE0">
        <w:rPr>
          <w:rFonts w:ascii="Times New Roman" w:hAnsi="Times New Roman"/>
          <w:sz w:val="24"/>
          <w:szCs w:val="24"/>
        </w:rPr>
        <w:t xml:space="preserve">Rev. Proc. 2014-42 </w:t>
      </w:r>
      <w:r w:rsidRPr="0041188D">
        <w:rPr>
          <w:rFonts w:ascii="Times New Roman" w:hAnsi="Times New Roman"/>
          <w:sz w:val="24"/>
          <w:szCs w:val="24"/>
        </w:rPr>
        <w:t>provide</w:t>
      </w:r>
      <w:r>
        <w:rPr>
          <w:rFonts w:ascii="Times New Roman" w:hAnsi="Times New Roman"/>
          <w:sz w:val="24"/>
          <w:szCs w:val="24"/>
        </w:rPr>
        <w:t>s</w:t>
      </w:r>
      <w:r w:rsidRPr="0041188D">
        <w:rPr>
          <w:rFonts w:ascii="Times New Roman" w:hAnsi="Times New Roman"/>
          <w:sz w:val="24"/>
          <w:szCs w:val="24"/>
        </w:rPr>
        <w:t xml:space="preserve"> guidance regarding the Annual Filing Season Program, which is designed to encourage tax return preparers who are not attorneys, certified public accountants, enrolled agents, or enrolled retirement plan agents to complete continuing education courses to enhance their knowledge of the law relevant to federal tax returns. The revenue procedure also specifies the continuing education requirements associated with participation in the program and the requirement to complete an annual federal tax filing season refresher course offered by an approved CE provider.</w:t>
      </w:r>
    </w:p>
    <w:p w:rsidR="00515068" w:rsidP="00122BE0" w14:paraId="041D737B" w14:textId="07A06D0A">
      <w:pPr>
        <w:widowControl/>
        <w:spacing w:line="276" w:lineRule="auto"/>
        <w:rPr>
          <w:rFonts w:ascii="Times New Roman" w:hAnsi="Times New Roman"/>
          <w:sz w:val="24"/>
          <w:szCs w:val="24"/>
        </w:rPr>
      </w:pPr>
    </w:p>
    <w:p w:rsidR="002C5D8F" w:rsidRPr="00122BE0" w:rsidP="00122BE0" w14:paraId="6369C3A4" w14:textId="0EDB09D2">
      <w:pPr>
        <w:widowControl/>
        <w:spacing w:line="276" w:lineRule="auto"/>
        <w:ind w:left="360"/>
        <w:jc w:val="center"/>
        <w:rPr>
          <w:rFonts w:ascii="Times New Roman" w:hAnsi="Times New Roman"/>
          <w:b/>
          <w:bCs/>
          <w:sz w:val="24"/>
          <w:szCs w:val="24"/>
          <w:u w:val="single"/>
        </w:rPr>
      </w:pPr>
      <w:r w:rsidRPr="00122BE0">
        <w:rPr>
          <w:rFonts w:ascii="Times New Roman" w:hAnsi="Times New Roman"/>
          <w:b/>
          <w:bCs/>
          <w:sz w:val="24"/>
          <w:szCs w:val="24"/>
          <w:u w:val="single"/>
        </w:rPr>
        <w:t>Collection Requirements</w:t>
      </w:r>
    </w:p>
    <w:p w:rsidR="00515068" w:rsidP="002C5D8F" w14:paraId="609E2B0F" w14:textId="40EDFF56">
      <w:pPr>
        <w:widowControl/>
        <w:spacing w:line="276" w:lineRule="auto"/>
        <w:ind w:left="360"/>
        <w:rPr>
          <w:rFonts w:ascii="Times New Roman" w:hAnsi="Times New Roman"/>
          <w:sz w:val="24"/>
          <w:szCs w:val="24"/>
        </w:rPr>
      </w:pPr>
      <w:r>
        <w:rPr>
          <w:rFonts w:ascii="Times New Roman" w:hAnsi="Times New Roman"/>
          <w:sz w:val="24"/>
          <w:szCs w:val="24"/>
        </w:rPr>
        <w:t>The collection requirements include reporting, recordkeeping, and third-party disclosure requirements listed within Circular 230</w:t>
      </w:r>
      <w:r w:rsidR="002C5D8F">
        <w:rPr>
          <w:rFonts w:ascii="Times New Roman" w:hAnsi="Times New Roman"/>
          <w:sz w:val="24"/>
          <w:szCs w:val="24"/>
        </w:rPr>
        <w:t xml:space="preserve"> (TD 9011)</w:t>
      </w:r>
      <w:r>
        <w:rPr>
          <w:rFonts w:ascii="Times New Roman" w:hAnsi="Times New Roman"/>
          <w:sz w:val="24"/>
          <w:szCs w:val="24"/>
        </w:rPr>
        <w:t>, Rev. Proc 2012-12</w:t>
      </w:r>
      <w:r w:rsidR="002C5D8F">
        <w:rPr>
          <w:rFonts w:ascii="Times New Roman" w:hAnsi="Times New Roman"/>
          <w:sz w:val="24"/>
          <w:szCs w:val="24"/>
        </w:rPr>
        <w:t>,</w:t>
      </w:r>
      <w:r>
        <w:rPr>
          <w:rFonts w:ascii="Times New Roman" w:hAnsi="Times New Roman"/>
          <w:sz w:val="24"/>
          <w:szCs w:val="24"/>
        </w:rPr>
        <w:t xml:space="preserve"> and Rev. Proc. 2014-4</w:t>
      </w:r>
      <w:r w:rsidR="001F1CBE">
        <w:rPr>
          <w:rFonts w:ascii="Times New Roman" w:hAnsi="Times New Roman"/>
          <w:sz w:val="24"/>
          <w:szCs w:val="24"/>
        </w:rPr>
        <w:t>2</w:t>
      </w:r>
      <w:r>
        <w:rPr>
          <w:rFonts w:ascii="Times New Roman" w:hAnsi="Times New Roman"/>
          <w:sz w:val="24"/>
          <w:szCs w:val="24"/>
        </w:rPr>
        <w:t xml:space="preserve">.  </w:t>
      </w:r>
      <w:r w:rsidR="00FA429C">
        <w:rPr>
          <w:rFonts w:ascii="Times New Roman" w:hAnsi="Times New Roman"/>
          <w:sz w:val="24"/>
          <w:szCs w:val="24"/>
        </w:rPr>
        <w:t>Some of the reporting requirements have been standardized int</w:t>
      </w:r>
      <w:r w:rsidR="005363E7">
        <w:rPr>
          <w:rFonts w:ascii="Times New Roman" w:hAnsi="Times New Roman"/>
          <w:sz w:val="24"/>
          <w:szCs w:val="24"/>
        </w:rPr>
        <w:t xml:space="preserve">o </w:t>
      </w:r>
      <w:r w:rsidR="00FA429C">
        <w:rPr>
          <w:rFonts w:ascii="Times New Roman" w:hAnsi="Times New Roman"/>
          <w:sz w:val="24"/>
          <w:szCs w:val="24"/>
        </w:rPr>
        <w:t>form</w:t>
      </w:r>
      <w:r w:rsidR="005363E7">
        <w:rPr>
          <w:rFonts w:ascii="Times New Roman" w:hAnsi="Times New Roman"/>
          <w:sz w:val="24"/>
          <w:szCs w:val="24"/>
        </w:rPr>
        <w:t>s</w:t>
      </w:r>
      <w:r w:rsidR="00FA429C">
        <w:rPr>
          <w:rFonts w:ascii="Times New Roman" w:hAnsi="Times New Roman"/>
          <w:sz w:val="24"/>
          <w:szCs w:val="24"/>
        </w:rPr>
        <w:t xml:space="preserve">. </w:t>
      </w:r>
    </w:p>
    <w:p w:rsidR="00B6779D" w:rsidP="002C5D8F" w14:paraId="41C0E736" w14:textId="77777777">
      <w:pPr>
        <w:widowControl/>
        <w:spacing w:line="276" w:lineRule="auto"/>
        <w:ind w:left="360"/>
        <w:rPr>
          <w:rFonts w:ascii="Times New Roman" w:hAnsi="Times New Roman"/>
          <w:sz w:val="24"/>
          <w:szCs w:val="24"/>
        </w:rPr>
      </w:pPr>
    </w:p>
    <w:p w:rsidR="005363E7" w:rsidRPr="00122BE0" w:rsidP="00B6779D" w14:paraId="5126ED06" w14:textId="2BA0426B">
      <w:pPr>
        <w:widowControl/>
        <w:spacing w:line="276" w:lineRule="auto"/>
        <w:ind w:left="360"/>
        <w:rPr>
          <w:rFonts w:ascii="Times New Roman" w:hAnsi="Times New Roman"/>
          <w:b/>
          <w:bCs/>
          <w:sz w:val="24"/>
          <w:szCs w:val="24"/>
          <w:u w:val="single"/>
        </w:rPr>
      </w:pPr>
      <w:r w:rsidRPr="00122BE0">
        <w:rPr>
          <w:rFonts w:ascii="Times New Roman" w:hAnsi="Times New Roman"/>
          <w:b/>
          <w:bCs/>
          <w:sz w:val="24"/>
          <w:szCs w:val="24"/>
          <w:u w:val="single"/>
        </w:rPr>
        <w:t xml:space="preserve">All </w:t>
      </w:r>
      <w:r w:rsidRPr="00122BE0">
        <w:rPr>
          <w:rFonts w:ascii="Times New Roman" w:hAnsi="Times New Roman"/>
          <w:b/>
          <w:bCs/>
          <w:sz w:val="24"/>
          <w:szCs w:val="24"/>
          <w:u w:val="single"/>
        </w:rPr>
        <w:t>Pracitioners</w:t>
      </w:r>
      <w:r w:rsidRPr="00122BE0">
        <w:rPr>
          <w:rFonts w:ascii="Times New Roman" w:hAnsi="Times New Roman"/>
          <w:b/>
          <w:bCs/>
          <w:sz w:val="24"/>
          <w:szCs w:val="24"/>
          <w:u w:val="single"/>
        </w:rPr>
        <w:t xml:space="preserve">: </w:t>
      </w:r>
    </w:p>
    <w:p w:rsidR="005363E7" w:rsidRPr="00EC2526" w:rsidP="00AE46FB" w14:paraId="72F46A6C" w14:textId="0EECE3CC">
      <w:pPr>
        <w:widowControl/>
        <w:spacing w:line="276" w:lineRule="auto"/>
        <w:ind w:left="360"/>
        <w:rPr>
          <w:rFonts w:ascii="Times New Roman" w:hAnsi="Times New Roman"/>
          <w:sz w:val="24"/>
          <w:szCs w:val="24"/>
        </w:rPr>
      </w:pPr>
      <w:r>
        <w:rPr>
          <w:rFonts w:ascii="Times New Roman" w:hAnsi="Times New Roman"/>
          <w:sz w:val="24"/>
          <w:szCs w:val="24"/>
        </w:rPr>
        <w:t xml:space="preserve">Circular 230 contains recordkeeping and third-party disclosure requirements that apply to all tax </w:t>
      </w:r>
      <w:r>
        <w:rPr>
          <w:rFonts w:ascii="Times New Roman" w:hAnsi="Times New Roman"/>
          <w:sz w:val="24"/>
          <w:szCs w:val="24"/>
        </w:rPr>
        <w:t>pracitioners</w:t>
      </w:r>
      <w:r>
        <w:rPr>
          <w:rFonts w:ascii="Times New Roman" w:hAnsi="Times New Roman"/>
          <w:sz w:val="24"/>
          <w:szCs w:val="24"/>
        </w:rPr>
        <w:t xml:space="preserve">, regardless of status.  Section </w:t>
      </w:r>
      <w:r w:rsidRPr="00122BE0">
        <w:rPr>
          <w:rFonts w:ascii="Times New Roman" w:hAnsi="Times New Roman"/>
          <w:sz w:val="24"/>
          <w:szCs w:val="24"/>
        </w:rPr>
        <w:t>10.29</w:t>
      </w:r>
      <w:r>
        <w:rPr>
          <w:rFonts w:ascii="Times New Roman" w:hAnsi="Times New Roman"/>
          <w:sz w:val="24"/>
          <w:szCs w:val="24"/>
        </w:rPr>
        <w:t xml:space="preserve"> states, if there is a conflict of interest, </w:t>
      </w:r>
      <w:r>
        <w:rPr>
          <w:rFonts w:ascii="Times New Roman" w:hAnsi="Times New Roman"/>
          <w:sz w:val="24"/>
          <w:szCs w:val="24"/>
        </w:rPr>
        <w:t>pracitioners</w:t>
      </w:r>
      <w:r>
        <w:rPr>
          <w:rFonts w:ascii="Times New Roman" w:hAnsi="Times New Roman"/>
          <w:sz w:val="24"/>
          <w:szCs w:val="24"/>
        </w:rPr>
        <w:t xml:space="preserve"> must inform the clients, confirm a writing consent by each affected client, and maintain a record of the consent.  Section </w:t>
      </w:r>
      <w:r w:rsidRPr="009E295A">
        <w:rPr>
          <w:rFonts w:ascii="Times New Roman" w:hAnsi="Times New Roman"/>
          <w:sz w:val="24"/>
          <w:szCs w:val="24"/>
        </w:rPr>
        <w:t>10.</w:t>
      </w:r>
      <w:r>
        <w:rPr>
          <w:rFonts w:ascii="Times New Roman" w:hAnsi="Times New Roman"/>
          <w:sz w:val="24"/>
          <w:szCs w:val="24"/>
        </w:rPr>
        <w:t>30 states</w:t>
      </w:r>
      <w:r w:rsidR="00932DA7">
        <w:rPr>
          <w:rFonts w:ascii="Times New Roman" w:hAnsi="Times New Roman"/>
          <w:sz w:val="24"/>
          <w:szCs w:val="24"/>
        </w:rPr>
        <w:t xml:space="preserve"> </w:t>
      </w:r>
      <w:r w:rsidR="00932DA7">
        <w:rPr>
          <w:rFonts w:ascii="Times New Roman" w:hAnsi="Times New Roman"/>
          <w:sz w:val="24"/>
          <w:szCs w:val="24"/>
        </w:rPr>
        <w:t>pracitioners</w:t>
      </w:r>
      <w:r w:rsidR="00932DA7">
        <w:rPr>
          <w:rFonts w:ascii="Times New Roman" w:hAnsi="Times New Roman"/>
          <w:sz w:val="24"/>
          <w:szCs w:val="24"/>
        </w:rPr>
        <w:t xml:space="preserve"> must maintain records about the specified advertising and communication materials. </w:t>
      </w:r>
    </w:p>
    <w:p w:rsidR="00E425B4" w:rsidP="00E425B4" w14:paraId="01F2C342" w14:textId="77777777">
      <w:pPr>
        <w:widowControl/>
        <w:spacing w:line="276" w:lineRule="auto"/>
        <w:ind w:left="360"/>
        <w:rPr>
          <w:rFonts w:ascii="Times New Roman" w:hAnsi="Times New Roman"/>
          <w:b/>
          <w:bCs/>
          <w:sz w:val="24"/>
          <w:szCs w:val="24"/>
          <w:u w:val="single"/>
        </w:rPr>
      </w:pPr>
    </w:p>
    <w:p w:rsidR="0092460E" w:rsidRPr="00122BE0" w:rsidP="00E425B4" w14:paraId="46241116" w14:textId="0A67A23F">
      <w:pPr>
        <w:widowControl/>
        <w:spacing w:line="276" w:lineRule="auto"/>
        <w:ind w:left="360"/>
        <w:rPr>
          <w:rFonts w:ascii="Times New Roman" w:hAnsi="Times New Roman"/>
          <w:b/>
          <w:bCs/>
          <w:sz w:val="24"/>
          <w:szCs w:val="24"/>
          <w:u w:val="single"/>
        </w:rPr>
      </w:pPr>
      <w:r>
        <w:rPr>
          <w:rFonts w:ascii="Times New Roman" w:hAnsi="Times New Roman"/>
          <w:b/>
          <w:bCs/>
          <w:sz w:val="24"/>
          <w:szCs w:val="24"/>
          <w:u w:val="single"/>
        </w:rPr>
        <w:t>E</w:t>
      </w:r>
      <w:r w:rsidRPr="0041188D" w:rsidR="00E425B4">
        <w:rPr>
          <w:rFonts w:ascii="Times New Roman" w:hAnsi="Times New Roman"/>
          <w:b/>
          <w:bCs/>
          <w:sz w:val="24"/>
          <w:szCs w:val="24"/>
          <w:u w:val="single"/>
        </w:rPr>
        <w:t xml:space="preserve">nrolled </w:t>
      </w:r>
      <w:r>
        <w:rPr>
          <w:rFonts w:ascii="Times New Roman" w:hAnsi="Times New Roman"/>
          <w:b/>
          <w:bCs/>
          <w:sz w:val="24"/>
          <w:szCs w:val="24"/>
          <w:u w:val="single"/>
        </w:rPr>
        <w:t>A</w:t>
      </w:r>
      <w:r w:rsidRPr="0041188D" w:rsidR="00E425B4">
        <w:rPr>
          <w:rFonts w:ascii="Times New Roman" w:hAnsi="Times New Roman"/>
          <w:b/>
          <w:bCs/>
          <w:sz w:val="24"/>
          <w:szCs w:val="24"/>
          <w:u w:val="single"/>
        </w:rPr>
        <w:t>gent</w:t>
      </w:r>
      <w:r w:rsidR="00E425B4">
        <w:rPr>
          <w:rFonts w:ascii="Times New Roman" w:hAnsi="Times New Roman"/>
          <w:b/>
          <w:bCs/>
          <w:sz w:val="24"/>
          <w:szCs w:val="24"/>
          <w:u w:val="single"/>
        </w:rPr>
        <w:t xml:space="preserve"> </w:t>
      </w:r>
      <w:r>
        <w:rPr>
          <w:rFonts w:ascii="Times New Roman" w:hAnsi="Times New Roman"/>
          <w:b/>
          <w:bCs/>
          <w:sz w:val="24"/>
          <w:szCs w:val="24"/>
          <w:u w:val="single"/>
        </w:rPr>
        <w:t>P</w:t>
      </w:r>
      <w:r w:rsidRPr="0041188D" w:rsidR="00E425B4">
        <w:rPr>
          <w:rFonts w:ascii="Times New Roman" w:hAnsi="Times New Roman"/>
          <w:b/>
          <w:bCs/>
          <w:sz w:val="24"/>
          <w:szCs w:val="24"/>
          <w:u w:val="single"/>
        </w:rPr>
        <w:t xml:space="preserve">rocess: </w:t>
      </w:r>
    </w:p>
    <w:p w:rsidR="008930D6" w:rsidP="00E425B4" w14:paraId="77EE8FC2" w14:textId="77777777">
      <w:pPr>
        <w:widowControl/>
        <w:spacing w:line="276" w:lineRule="auto"/>
        <w:ind w:left="360"/>
        <w:rPr>
          <w:rFonts w:ascii="Times New Roman" w:hAnsi="Times New Roman"/>
          <w:sz w:val="24"/>
          <w:szCs w:val="24"/>
        </w:rPr>
      </w:pPr>
      <w:r>
        <w:rPr>
          <w:rFonts w:ascii="Times New Roman" w:hAnsi="Times New Roman"/>
          <w:sz w:val="24"/>
          <w:szCs w:val="24"/>
        </w:rPr>
        <w:t xml:space="preserve">Tax </w:t>
      </w:r>
      <w:r>
        <w:rPr>
          <w:rFonts w:ascii="Times New Roman" w:hAnsi="Times New Roman"/>
          <w:sz w:val="24"/>
          <w:szCs w:val="24"/>
        </w:rPr>
        <w:t>pracitioners</w:t>
      </w:r>
      <w:r>
        <w:rPr>
          <w:rFonts w:ascii="Times New Roman" w:hAnsi="Times New Roman"/>
          <w:sz w:val="24"/>
          <w:szCs w:val="24"/>
        </w:rPr>
        <w:t xml:space="preserve"> that wish to represent taxpayers before the IRS may become an enrolled agent.  </w:t>
      </w:r>
      <w:r w:rsidRPr="0041188D">
        <w:rPr>
          <w:rFonts w:ascii="Times New Roman" w:hAnsi="Times New Roman"/>
          <w:sz w:val="24"/>
          <w:szCs w:val="24"/>
        </w:rPr>
        <w:t xml:space="preserve">The IRS website </w:t>
      </w:r>
      <w:hyperlink r:id="rId5" w:history="1">
        <w:r w:rsidRPr="0041188D">
          <w:rPr>
            <w:rStyle w:val="Hyperlink"/>
            <w:rFonts w:ascii="Times New Roman" w:hAnsi="Times New Roman"/>
            <w:i/>
            <w:iCs/>
            <w:sz w:val="24"/>
            <w:szCs w:val="24"/>
          </w:rPr>
          <w:t>IRS.gov/Tax-Professionals/Enrolled-Agents/Become-an-Enrolled-Agent</w:t>
        </w:r>
      </w:hyperlink>
      <w:r w:rsidRPr="0041188D">
        <w:rPr>
          <w:rFonts w:ascii="Times New Roman" w:hAnsi="Times New Roman"/>
          <w:i/>
          <w:iCs/>
          <w:sz w:val="24"/>
          <w:szCs w:val="24"/>
        </w:rPr>
        <w:t xml:space="preserve"> </w:t>
      </w:r>
      <w:r w:rsidRPr="0041188D">
        <w:rPr>
          <w:rFonts w:ascii="Times New Roman" w:hAnsi="Times New Roman"/>
          <w:sz w:val="24"/>
          <w:szCs w:val="24"/>
        </w:rPr>
        <w:t xml:space="preserve">provides complete information on the steps to be taken to become an enrolled agent. </w:t>
      </w:r>
    </w:p>
    <w:p w:rsidR="00FA429C" w:rsidRPr="0041188D" w:rsidP="00E425B4" w14:paraId="056A5082" w14:textId="330C3F8B">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Applicants must: 1) apply to become an enrolled agent, 2) renew their status every three years, 3) complete continuing education requirements every three years, and 4) renew their preparer tax identification numbers (PTIN) annually. </w:t>
      </w:r>
      <w:r>
        <w:rPr>
          <w:rFonts w:ascii="Times New Roman" w:hAnsi="Times New Roman"/>
          <w:sz w:val="24"/>
          <w:szCs w:val="24"/>
        </w:rPr>
        <w:t xml:space="preserve">  The PTIN process is approved by the Office of Management and Budget (OMB) under 1545-2190. </w:t>
      </w:r>
    </w:p>
    <w:p w:rsidR="0092460E" w:rsidRPr="0041188D" w:rsidP="00434DB4" w14:paraId="34A646BD" w14:textId="77777777">
      <w:pPr>
        <w:widowControl/>
        <w:spacing w:line="276" w:lineRule="auto"/>
        <w:ind w:left="360"/>
        <w:rPr>
          <w:rFonts w:ascii="Times New Roman" w:hAnsi="Times New Roman"/>
          <w:sz w:val="24"/>
          <w:szCs w:val="24"/>
          <w:u w:val="single"/>
        </w:rPr>
      </w:pPr>
    </w:p>
    <w:p w:rsidR="0092460E" w:rsidRPr="0041188D" w:rsidP="00C064FB" w14:paraId="6513EE14" w14:textId="17B04312">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2587</w:t>
      </w:r>
      <w:r w:rsidRPr="0041188D">
        <w:rPr>
          <w:rFonts w:ascii="Times New Roman" w:hAnsi="Times New Roman"/>
          <w:sz w:val="24"/>
          <w:szCs w:val="24"/>
        </w:rPr>
        <w:t xml:space="preserve"> is used by individuals to apply to take the Special Enrollment Examination (SEE).</w:t>
      </w:r>
    </w:p>
    <w:p w:rsidR="0092460E" w:rsidRPr="0041188D" w:rsidP="00434DB4" w14:paraId="160858A4" w14:textId="77777777">
      <w:pPr>
        <w:widowControl/>
        <w:spacing w:line="276" w:lineRule="auto"/>
        <w:ind w:left="360"/>
        <w:rPr>
          <w:rFonts w:ascii="Times New Roman" w:hAnsi="Times New Roman"/>
          <w:sz w:val="24"/>
          <w:szCs w:val="24"/>
        </w:rPr>
      </w:pPr>
    </w:p>
    <w:p w:rsidR="0092460E" w:rsidP="00C064FB" w14:paraId="0AEF252F" w14:textId="5C36ED81">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23</w:t>
      </w:r>
      <w:r w:rsidRPr="0041188D">
        <w:rPr>
          <w:rFonts w:ascii="Times New Roman" w:hAnsi="Times New Roman"/>
          <w:sz w:val="24"/>
          <w:szCs w:val="24"/>
        </w:rPr>
        <w:t xml:space="preserve"> is an application used by qualified IRS employees and those who pass the Special Enrollment Exam (SEE) and wish to practice before the Internal Revenue Service as an enrolled agent.</w:t>
      </w:r>
    </w:p>
    <w:p w:rsidR="0092460E" w:rsidRPr="0041188D" w:rsidP="00122BE0" w14:paraId="6EABFD15" w14:textId="77777777">
      <w:pPr>
        <w:widowControl/>
        <w:spacing w:line="276" w:lineRule="auto"/>
        <w:rPr>
          <w:rFonts w:ascii="Times New Roman" w:hAnsi="Times New Roman"/>
          <w:sz w:val="24"/>
          <w:szCs w:val="24"/>
        </w:rPr>
      </w:pPr>
    </w:p>
    <w:p w:rsidR="0092460E" w:rsidRPr="0041188D" w:rsidP="00E425B4" w14:paraId="6CFCDF7E" w14:textId="70286E99">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8554</w:t>
      </w:r>
      <w:r w:rsidR="00E425B4">
        <w:rPr>
          <w:rFonts w:ascii="Times New Roman" w:hAnsi="Times New Roman"/>
          <w:sz w:val="24"/>
          <w:szCs w:val="24"/>
        </w:rPr>
        <w:t xml:space="preserve"> </w:t>
      </w:r>
      <w:r w:rsidRPr="0041188D">
        <w:rPr>
          <w:rFonts w:ascii="Times New Roman" w:hAnsi="Times New Roman"/>
          <w:sz w:val="24"/>
          <w:szCs w:val="24"/>
        </w:rPr>
        <w:t>is an application for renewal mailed to all enrolled agents each year. The enrolled agent must complete the form and mail it back to IRS, with their renewal fee.</w:t>
      </w:r>
    </w:p>
    <w:p w:rsidR="0092460E" w:rsidRPr="0041188D" w:rsidP="00434DB4" w14:paraId="3C16CDE6" w14:textId="77777777">
      <w:pPr>
        <w:widowControl/>
        <w:spacing w:line="276" w:lineRule="auto"/>
        <w:ind w:left="360"/>
        <w:rPr>
          <w:rFonts w:ascii="Times New Roman" w:hAnsi="Times New Roman"/>
          <w:sz w:val="24"/>
          <w:szCs w:val="24"/>
        </w:rPr>
      </w:pPr>
    </w:p>
    <w:p w:rsidR="0092460E" w:rsidP="00E425B4" w14:paraId="4E06EFEC" w14:textId="0F5FB3D9">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8554-EP</w:t>
      </w:r>
      <w:r w:rsidR="00E425B4">
        <w:rPr>
          <w:rFonts w:ascii="Times New Roman" w:hAnsi="Times New Roman"/>
          <w:sz w:val="24"/>
          <w:szCs w:val="24"/>
        </w:rPr>
        <w:t xml:space="preserve"> </w:t>
      </w:r>
      <w:r w:rsidRPr="0041188D">
        <w:rPr>
          <w:rFonts w:ascii="Times New Roman" w:hAnsi="Times New Roman"/>
          <w:sz w:val="24"/>
          <w:szCs w:val="24"/>
        </w:rPr>
        <w:t xml:space="preserve">is used to renew one’s Enrolled Retirement Plan Agent (ERPA) status. </w:t>
      </w:r>
      <w:r w:rsidR="00ED386D">
        <w:rPr>
          <w:rFonts w:ascii="Times New Roman" w:hAnsi="Times New Roman"/>
          <w:sz w:val="24"/>
          <w:szCs w:val="24"/>
        </w:rPr>
        <w:t xml:space="preserve">The ERPA </w:t>
      </w:r>
      <w:r w:rsidRPr="0041188D">
        <w:rPr>
          <w:rFonts w:ascii="Times New Roman" w:hAnsi="Times New Roman"/>
          <w:sz w:val="24"/>
          <w:szCs w:val="24"/>
        </w:rPr>
        <w:t>must renew the</w:t>
      </w:r>
      <w:r w:rsidR="00ED386D">
        <w:rPr>
          <w:rFonts w:ascii="Times New Roman" w:hAnsi="Times New Roman"/>
          <w:sz w:val="24"/>
          <w:szCs w:val="24"/>
        </w:rPr>
        <w:t>ir</w:t>
      </w:r>
      <w:r w:rsidRPr="0041188D">
        <w:rPr>
          <w:rFonts w:ascii="Times New Roman" w:hAnsi="Times New Roman"/>
          <w:sz w:val="24"/>
          <w:szCs w:val="24"/>
        </w:rPr>
        <w:t xml:space="preserve"> enrollment status every 3 years.</w:t>
      </w:r>
    </w:p>
    <w:p w:rsidR="00D5125E" w:rsidP="00122BE0" w14:paraId="380E2D36" w14:textId="77777777">
      <w:pPr>
        <w:widowControl/>
        <w:spacing w:line="276" w:lineRule="auto"/>
        <w:rPr>
          <w:rFonts w:ascii="Times New Roman" w:hAnsi="Times New Roman"/>
          <w:sz w:val="24"/>
          <w:szCs w:val="24"/>
        </w:rPr>
      </w:pPr>
    </w:p>
    <w:p w:rsidR="00D5125E" w:rsidRPr="00122BE0" w:rsidP="00E425B4" w14:paraId="6223807C" w14:textId="26987144">
      <w:pPr>
        <w:widowControl/>
        <w:spacing w:line="276" w:lineRule="auto"/>
        <w:ind w:left="360"/>
        <w:rPr>
          <w:rFonts w:ascii="Times New Roman" w:hAnsi="Times New Roman"/>
          <w:b/>
          <w:bCs/>
          <w:sz w:val="24"/>
          <w:szCs w:val="24"/>
          <w:u w:val="single"/>
        </w:rPr>
      </w:pPr>
      <w:r w:rsidRPr="00122BE0">
        <w:rPr>
          <w:rFonts w:ascii="Times New Roman" w:hAnsi="Times New Roman"/>
          <w:b/>
          <w:bCs/>
          <w:sz w:val="24"/>
          <w:szCs w:val="24"/>
          <w:u w:val="single"/>
        </w:rPr>
        <w:t xml:space="preserve">Annual Filing Season Program: </w:t>
      </w:r>
    </w:p>
    <w:p w:rsidR="00D5125E" w:rsidRPr="0041188D" w:rsidP="00E425B4" w14:paraId="562B06D8" w14:textId="63986794">
      <w:pPr>
        <w:widowControl/>
        <w:spacing w:line="276" w:lineRule="auto"/>
        <w:ind w:left="360"/>
        <w:rPr>
          <w:rFonts w:ascii="Times New Roman" w:hAnsi="Times New Roman"/>
          <w:sz w:val="24"/>
          <w:szCs w:val="24"/>
        </w:rPr>
      </w:pPr>
      <w:r w:rsidRPr="0041188D">
        <w:rPr>
          <w:rFonts w:ascii="Times New Roman" w:hAnsi="Times New Roman"/>
          <w:sz w:val="24"/>
          <w:szCs w:val="24"/>
        </w:rPr>
        <w:t>The voluntary Annual Filing Season Program</w:t>
      </w:r>
      <w:r w:rsidR="002727EF">
        <w:rPr>
          <w:rFonts w:ascii="Times New Roman" w:hAnsi="Times New Roman"/>
          <w:sz w:val="24"/>
          <w:szCs w:val="24"/>
        </w:rPr>
        <w:t xml:space="preserve"> </w:t>
      </w:r>
      <w:r w:rsidRPr="0041188D">
        <w:rPr>
          <w:rFonts w:ascii="Times New Roman" w:hAnsi="Times New Roman"/>
          <w:sz w:val="24"/>
          <w:szCs w:val="24"/>
        </w:rPr>
        <w:t>is intended to recognize and encourage unenrolled tax return preparers who aspire to a higher level of professionalism to increase their knowledge and improve their filing season competency through continuing education</w:t>
      </w:r>
      <w:r>
        <w:rPr>
          <w:rFonts w:ascii="Times New Roman" w:hAnsi="Times New Roman"/>
          <w:sz w:val="24"/>
          <w:szCs w:val="24"/>
        </w:rPr>
        <w:t xml:space="preserve">.  Participants must </w:t>
      </w:r>
      <w:r w:rsidR="00764E70">
        <w:rPr>
          <w:rFonts w:ascii="Times New Roman" w:hAnsi="Times New Roman"/>
          <w:sz w:val="24"/>
          <w:szCs w:val="24"/>
        </w:rPr>
        <w:t>apply and renew their status</w:t>
      </w:r>
      <w:r>
        <w:rPr>
          <w:rFonts w:ascii="Times New Roman" w:hAnsi="Times New Roman"/>
          <w:sz w:val="24"/>
          <w:szCs w:val="24"/>
        </w:rPr>
        <w:t xml:space="preserve">, consent </w:t>
      </w:r>
      <w:r w:rsidR="00764E70">
        <w:rPr>
          <w:rFonts w:ascii="Times New Roman" w:hAnsi="Times New Roman"/>
          <w:sz w:val="24"/>
          <w:szCs w:val="24"/>
        </w:rPr>
        <w:t xml:space="preserve">to certain Circular 230 provisions, and can appeal a revocation of their status. </w:t>
      </w:r>
      <w:r w:rsidR="002727EF">
        <w:rPr>
          <w:rFonts w:ascii="Times New Roman" w:hAnsi="Times New Roman"/>
          <w:sz w:val="24"/>
          <w:szCs w:val="24"/>
        </w:rPr>
        <w:t xml:space="preserve"> (Rev. Proc. 2014-42) </w:t>
      </w:r>
    </w:p>
    <w:p w:rsidR="0092460E" w:rsidRPr="0041188D" w:rsidP="00434DB4" w14:paraId="7B2F076C" w14:textId="77777777">
      <w:pPr>
        <w:widowControl/>
        <w:spacing w:line="276" w:lineRule="auto"/>
        <w:ind w:left="360"/>
        <w:rPr>
          <w:rFonts w:ascii="Times New Roman" w:hAnsi="Times New Roman"/>
          <w:sz w:val="24"/>
          <w:szCs w:val="24"/>
        </w:rPr>
      </w:pPr>
    </w:p>
    <w:p w:rsidR="0092460E" w:rsidRPr="0041188D" w:rsidP="0064571F" w14:paraId="73B201E2" w14:textId="4801811D">
      <w:pPr>
        <w:widowControl/>
        <w:spacing w:line="276" w:lineRule="auto"/>
        <w:ind w:left="360"/>
        <w:rPr>
          <w:rFonts w:ascii="Times New Roman" w:hAnsi="Times New Roman"/>
          <w:sz w:val="24"/>
          <w:szCs w:val="24"/>
        </w:rPr>
      </w:pPr>
      <w:r>
        <w:rPr>
          <w:rFonts w:ascii="Times New Roman" w:hAnsi="Times New Roman"/>
          <w:b/>
          <w:bCs/>
          <w:sz w:val="24"/>
          <w:szCs w:val="24"/>
          <w:u w:val="single"/>
        </w:rPr>
        <w:t>C</w:t>
      </w:r>
      <w:r w:rsidRPr="0041188D" w:rsidR="009E7500">
        <w:rPr>
          <w:rFonts w:ascii="Times New Roman" w:hAnsi="Times New Roman"/>
          <w:b/>
          <w:bCs/>
          <w:sz w:val="24"/>
          <w:szCs w:val="24"/>
          <w:u w:val="single"/>
        </w:rPr>
        <w:t xml:space="preserve">ontinuing </w:t>
      </w:r>
      <w:r>
        <w:rPr>
          <w:rFonts w:ascii="Times New Roman" w:hAnsi="Times New Roman"/>
          <w:b/>
          <w:bCs/>
          <w:sz w:val="24"/>
          <w:szCs w:val="24"/>
          <w:u w:val="single"/>
        </w:rPr>
        <w:t>E</w:t>
      </w:r>
      <w:r w:rsidRPr="0041188D">
        <w:rPr>
          <w:rFonts w:ascii="Times New Roman" w:hAnsi="Times New Roman"/>
          <w:b/>
          <w:bCs/>
          <w:sz w:val="24"/>
          <w:szCs w:val="24"/>
          <w:u w:val="single"/>
        </w:rPr>
        <w:t xml:space="preserve">ducation </w:t>
      </w:r>
      <w:r>
        <w:rPr>
          <w:rFonts w:ascii="Times New Roman" w:hAnsi="Times New Roman"/>
          <w:b/>
          <w:bCs/>
          <w:sz w:val="24"/>
          <w:szCs w:val="24"/>
          <w:u w:val="single"/>
        </w:rPr>
        <w:t>R</w:t>
      </w:r>
      <w:r w:rsidRPr="0041188D">
        <w:rPr>
          <w:rFonts w:ascii="Times New Roman" w:hAnsi="Times New Roman"/>
          <w:b/>
          <w:bCs/>
          <w:sz w:val="24"/>
          <w:szCs w:val="24"/>
          <w:u w:val="single"/>
        </w:rPr>
        <w:t>equirements</w:t>
      </w:r>
      <w:r w:rsidRPr="0041188D" w:rsidR="009E7500">
        <w:rPr>
          <w:rFonts w:ascii="Times New Roman" w:hAnsi="Times New Roman"/>
          <w:b/>
          <w:bCs/>
          <w:sz w:val="24"/>
          <w:szCs w:val="24"/>
          <w:u w:val="single"/>
        </w:rPr>
        <w:t xml:space="preserve">: </w:t>
      </w:r>
    </w:p>
    <w:p w:rsidR="00D5125E" w:rsidRPr="0041188D" w:rsidP="00D5125E" w14:paraId="58FD4D24" w14:textId="78836A48">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To qualify for renewal as an enrolled agent, enrolled retirement plan agent, or tax return preparer as a participant in the Annual Filing Season Program (AFSP), an individual must certify, in the manner prescribed by the Internal Revenue Service, that the individual has satisfied the requisite number of continuing education hours.  The voluntary Annual Filing Season Program, which the IRS established in 2014, is intended to recognize and encourage unenrolled tax return preparers who aspire to a higher level of professionalism to increase their knowledge and improve their filing season </w:t>
      </w:r>
      <w:r w:rsidRPr="0041188D">
        <w:rPr>
          <w:rFonts w:ascii="Times New Roman" w:hAnsi="Times New Roman"/>
          <w:sz w:val="24"/>
          <w:szCs w:val="24"/>
        </w:rPr>
        <w:t>competency</w:t>
      </w:r>
      <w:r w:rsidRPr="0041188D">
        <w:rPr>
          <w:rFonts w:ascii="Times New Roman" w:hAnsi="Times New Roman"/>
          <w:sz w:val="24"/>
          <w:szCs w:val="24"/>
        </w:rPr>
        <w:t xml:space="preserve"> through continuing education (CE). </w:t>
      </w:r>
      <w:r>
        <w:rPr>
          <w:rFonts w:ascii="Times New Roman" w:hAnsi="Times New Roman"/>
          <w:sz w:val="24"/>
          <w:szCs w:val="24"/>
        </w:rPr>
        <w:t xml:space="preserve"> CE providers must maintain course records, and issue certificates of completion. Enrolled agents and AFSP participants must maintain records of completion. </w:t>
      </w:r>
    </w:p>
    <w:p w:rsidR="0092460E" w:rsidRPr="0041188D" w:rsidP="00122BE0" w14:paraId="3E64AA1A" w14:textId="77777777">
      <w:pPr>
        <w:widowControl/>
        <w:spacing w:line="276" w:lineRule="auto"/>
        <w:rPr>
          <w:rFonts w:ascii="Times New Roman" w:hAnsi="Times New Roman"/>
          <w:sz w:val="24"/>
          <w:szCs w:val="24"/>
        </w:rPr>
      </w:pPr>
    </w:p>
    <w:p w:rsidR="0092460E" w:rsidRPr="0041188D" w:rsidP="0064571F" w14:paraId="74105C2D" w14:textId="75D8BC05">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8498</w:t>
      </w:r>
      <w:r w:rsidR="0064571F">
        <w:rPr>
          <w:rFonts w:ascii="Times New Roman" w:hAnsi="Times New Roman"/>
          <w:sz w:val="24"/>
          <w:szCs w:val="24"/>
          <w:u w:val="single"/>
        </w:rPr>
        <w:t xml:space="preserve"> </w:t>
      </w:r>
      <w:r w:rsidRPr="0041188D">
        <w:rPr>
          <w:rFonts w:ascii="Times New Roman" w:hAnsi="Times New Roman"/>
          <w:sz w:val="24"/>
          <w:szCs w:val="24"/>
        </w:rPr>
        <w:t>is used to: 1) register as a new provider of continuing educational programs being offered to IRS enrolled agents, enrolled retirement plan agents, and other tax return preparers; 2) annually renew your status as an IRS-approved continuing educational provider; and 3) add new programs to an existing IRS-approved provider continuing education curriculum.</w:t>
      </w:r>
    </w:p>
    <w:p w:rsidR="00824BC0" w:rsidRPr="0041188D" w:rsidP="00515068" w14:paraId="49E3F8B7" w14:textId="11AB02BA">
      <w:pPr>
        <w:widowControl/>
        <w:spacing w:line="276" w:lineRule="auto"/>
        <w:rPr>
          <w:rFonts w:ascii="Times New Roman" w:hAnsi="Times New Roman"/>
          <w:sz w:val="24"/>
          <w:szCs w:val="24"/>
          <w:u w:val="single"/>
        </w:rPr>
      </w:pPr>
    </w:p>
    <w:p w:rsidR="0092460E" w:rsidRPr="0041188D" w:rsidP="0064571F" w14:paraId="4EAB649A" w14:textId="0F822EF2">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14360</w:t>
      </w:r>
      <w:r w:rsidR="0064571F">
        <w:rPr>
          <w:rFonts w:ascii="Times New Roman" w:hAnsi="Times New Roman"/>
          <w:sz w:val="24"/>
          <w:szCs w:val="24"/>
        </w:rPr>
        <w:t xml:space="preserve"> </w:t>
      </w:r>
      <w:r w:rsidRPr="0041188D">
        <w:rPr>
          <w:rFonts w:ascii="Times New Roman" w:hAnsi="Times New Roman"/>
          <w:sz w:val="24"/>
          <w:szCs w:val="24"/>
        </w:rPr>
        <w:t>is used to file a complaint against an approved IRS Continuing Education Provider (CE) who is not meeting Revenue Procedure 2012-12 standards while offering CE programs to enrolled agents, enrolled retirement plan agents, and other tax return preparers.</w:t>
      </w:r>
    </w:p>
    <w:p w:rsidR="0092460E" w:rsidRPr="0041188D" w:rsidP="00434DB4" w14:paraId="203F56D7" w14:textId="77777777">
      <w:pPr>
        <w:widowControl/>
        <w:spacing w:line="276" w:lineRule="auto"/>
        <w:ind w:left="360"/>
        <w:rPr>
          <w:rFonts w:ascii="Times New Roman" w:hAnsi="Times New Roman"/>
          <w:sz w:val="24"/>
          <w:szCs w:val="24"/>
        </w:rPr>
      </w:pPr>
    </w:p>
    <w:p w:rsidR="0092460E" w:rsidRPr="0041188D" w:rsidP="0064571F" w14:paraId="6418E8CB" w14:textId="3924113F">
      <w:pPr>
        <w:widowControl/>
        <w:spacing w:line="276" w:lineRule="auto"/>
        <w:ind w:left="360"/>
        <w:rPr>
          <w:rFonts w:ascii="Times New Roman" w:hAnsi="Times New Roman"/>
          <w:sz w:val="24"/>
          <w:szCs w:val="24"/>
        </w:rPr>
      </w:pPr>
      <w:r w:rsidRPr="0041188D">
        <w:rPr>
          <w:rFonts w:ascii="Times New Roman" w:hAnsi="Times New Roman"/>
          <w:sz w:val="24"/>
          <w:szCs w:val="24"/>
          <w:u w:val="single"/>
        </w:rPr>
        <w:t>Form 14364</w:t>
      </w:r>
      <w:r w:rsidRPr="0041188D">
        <w:rPr>
          <w:rFonts w:ascii="Times New Roman" w:hAnsi="Times New Roman"/>
          <w:sz w:val="24"/>
          <w:szCs w:val="24"/>
        </w:rPr>
        <w:t xml:space="preserve"> is </w:t>
      </w:r>
      <w:r w:rsidR="0064571F">
        <w:rPr>
          <w:rFonts w:ascii="Times New Roman" w:hAnsi="Times New Roman"/>
          <w:sz w:val="24"/>
          <w:szCs w:val="24"/>
        </w:rPr>
        <w:t xml:space="preserve">used </w:t>
      </w:r>
      <w:r w:rsidRPr="0041188D">
        <w:rPr>
          <w:rFonts w:ascii="Times New Roman" w:hAnsi="Times New Roman"/>
          <w:sz w:val="24"/>
          <w:szCs w:val="24"/>
        </w:rPr>
        <w:t>to evaluate the content and delivery of IRS approved continuing education programs.</w:t>
      </w:r>
    </w:p>
    <w:p w:rsidR="0092460E" w:rsidRPr="0041188D" w:rsidP="00434DB4" w14:paraId="2AA7B047" w14:textId="77777777">
      <w:pPr>
        <w:widowControl/>
        <w:spacing w:line="276" w:lineRule="auto"/>
        <w:ind w:left="360"/>
        <w:rPr>
          <w:rFonts w:ascii="Times New Roman" w:hAnsi="Times New Roman"/>
          <w:sz w:val="24"/>
          <w:szCs w:val="24"/>
        </w:rPr>
      </w:pPr>
    </w:p>
    <w:p w:rsidR="0092460E" w:rsidRPr="0041188D" w:rsidP="0064571F" w14:paraId="295B328E" w14:textId="7EAF2955">
      <w:pPr>
        <w:widowControl/>
        <w:spacing w:line="276" w:lineRule="auto"/>
        <w:ind w:left="360"/>
        <w:rPr>
          <w:rFonts w:ascii="Times New Roman" w:hAnsi="Times New Roman"/>
          <w:b/>
          <w:bCs/>
          <w:sz w:val="24"/>
          <w:szCs w:val="24"/>
          <w:u w:val="single"/>
        </w:rPr>
      </w:pPr>
      <w:r w:rsidRPr="0041188D">
        <w:rPr>
          <w:rFonts w:ascii="Times New Roman" w:hAnsi="Times New Roman"/>
          <w:sz w:val="24"/>
          <w:szCs w:val="24"/>
          <w:u w:val="single"/>
        </w:rPr>
        <w:t>Form 14392</w:t>
      </w:r>
      <w:r w:rsidRPr="0041188D">
        <w:rPr>
          <w:rFonts w:ascii="Times New Roman" w:hAnsi="Times New Roman"/>
          <w:sz w:val="24"/>
          <w:szCs w:val="24"/>
        </w:rPr>
        <w:t xml:space="preserve"> is used by enrolled agents and enrolled retirement plan agents to request a waiver of continuing education requirements. This waiver is typically requested when an </w:t>
      </w:r>
      <w:r w:rsidRPr="0041188D">
        <w:rPr>
          <w:rFonts w:ascii="Times New Roman" w:hAnsi="Times New Roman"/>
          <w:sz w:val="24"/>
          <w:szCs w:val="24"/>
        </w:rPr>
        <w:t xml:space="preserve">individual has not been or will not be able to acquire the required CE credits prior to the renewal deadline for enrolled </w:t>
      </w:r>
      <w:r w:rsidR="00AE7596">
        <w:rPr>
          <w:rFonts w:ascii="Times New Roman" w:hAnsi="Times New Roman"/>
          <w:sz w:val="24"/>
          <w:szCs w:val="24"/>
        </w:rPr>
        <w:t>a</w:t>
      </w:r>
      <w:r w:rsidRPr="0041188D" w:rsidR="00AE7596">
        <w:rPr>
          <w:rFonts w:ascii="Times New Roman" w:hAnsi="Times New Roman"/>
          <w:sz w:val="24"/>
          <w:szCs w:val="24"/>
        </w:rPr>
        <w:t xml:space="preserve">gents </w:t>
      </w:r>
      <w:r w:rsidRPr="0041188D">
        <w:rPr>
          <w:rFonts w:ascii="Times New Roman" w:hAnsi="Times New Roman"/>
          <w:sz w:val="24"/>
          <w:szCs w:val="24"/>
        </w:rPr>
        <w:t>or enrolled retirement plan agents.</w:t>
      </w:r>
    </w:p>
    <w:p w:rsidR="00000427" w:rsidRPr="0041188D" w:rsidP="00434DB4" w14:paraId="1D2D3BEF" w14:textId="77777777">
      <w:pPr>
        <w:widowControl/>
        <w:spacing w:line="276" w:lineRule="auto"/>
        <w:rPr>
          <w:rFonts w:ascii="Times New Roman" w:hAnsi="Times New Roman"/>
          <w:sz w:val="24"/>
          <w:szCs w:val="24"/>
        </w:rPr>
      </w:pPr>
    </w:p>
    <w:p w:rsidR="009B74BA" w:rsidRPr="0041188D" w:rsidP="00434DB4" w14:paraId="79F4E6E6" w14:textId="0243E215">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USE OF DATA</w:t>
      </w:r>
    </w:p>
    <w:p w:rsidR="009B74BA" w:rsidRPr="0041188D" w:rsidP="00434DB4" w14:paraId="434AEE4E" w14:textId="77777777">
      <w:pPr>
        <w:widowControl/>
        <w:spacing w:line="276" w:lineRule="auto"/>
        <w:ind w:left="360"/>
        <w:rPr>
          <w:rFonts w:ascii="Times New Roman" w:hAnsi="Times New Roman"/>
          <w:sz w:val="24"/>
          <w:szCs w:val="24"/>
        </w:rPr>
      </w:pPr>
    </w:p>
    <w:p w:rsidR="0092460E" w:rsidRPr="0041188D" w:rsidP="00434DB4" w14:paraId="4DA90589" w14:textId="46270194">
      <w:pPr>
        <w:widowControl/>
        <w:spacing w:line="276" w:lineRule="auto"/>
        <w:ind w:left="360"/>
        <w:rPr>
          <w:rFonts w:ascii="Times New Roman" w:hAnsi="Times New Roman"/>
          <w:sz w:val="24"/>
          <w:szCs w:val="24"/>
        </w:rPr>
      </w:pPr>
      <w:r>
        <w:rPr>
          <w:rFonts w:ascii="Times New Roman" w:hAnsi="Times New Roman"/>
          <w:sz w:val="24"/>
          <w:szCs w:val="24"/>
        </w:rPr>
        <w:t>T</w:t>
      </w:r>
      <w:r w:rsidR="00DF236B">
        <w:rPr>
          <w:rFonts w:ascii="Times New Roman" w:hAnsi="Times New Roman"/>
          <w:sz w:val="24"/>
          <w:szCs w:val="24"/>
        </w:rPr>
        <w:t>he IRS</w:t>
      </w:r>
      <w:r w:rsidRPr="0041188D" w:rsidR="009E7500">
        <w:rPr>
          <w:rFonts w:ascii="Times New Roman" w:hAnsi="Times New Roman"/>
          <w:sz w:val="24"/>
          <w:szCs w:val="24"/>
        </w:rPr>
        <w:t xml:space="preserve"> </w:t>
      </w:r>
      <w:r w:rsidR="00DF236B">
        <w:rPr>
          <w:rFonts w:ascii="Times New Roman" w:hAnsi="Times New Roman"/>
          <w:sz w:val="24"/>
          <w:szCs w:val="24"/>
        </w:rPr>
        <w:t>Return Preparer Office (</w:t>
      </w:r>
      <w:r w:rsidRPr="0041188D" w:rsidR="009E7500">
        <w:rPr>
          <w:rFonts w:ascii="Times New Roman" w:hAnsi="Times New Roman"/>
          <w:sz w:val="24"/>
          <w:szCs w:val="24"/>
        </w:rPr>
        <w:t>RPO</w:t>
      </w:r>
      <w:r w:rsidR="00DF236B">
        <w:rPr>
          <w:rFonts w:ascii="Times New Roman" w:hAnsi="Times New Roman"/>
          <w:sz w:val="24"/>
          <w:szCs w:val="24"/>
        </w:rPr>
        <w:t>)</w:t>
      </w:r>
      <w:r>
        <w:rPr>
          <w:rFonts w:ascii="Times New Roman" w:hAnsi="Times New Roman"/>
          <w:sz w:val="24"/>
          <w:szCs w:val="24"/>
        </w:rPr>
        <w:t xml:space="preserve"> </w:t>
      </w:r>
      <w:r w:rsidR="00DF236B">
        <w:rPr>
          <w:rFonts w:ascii="Times New Roman" w:hAnsi="Times New Roman"/>
          <w:sz w:val="24"/>
          <w:szCs w:val="24"/>
        </w:rPr>
        <w:t>oversees</w:t>
      </w:r>
      <w:r w:rsidRPr="0041188D" w:rsidR="009E7500">
        <w:rPr>
          <w:rFonts w:ascii="Times New Roman" w:hAnsi="Times New Roman"/>
          <w:sz w:val="24"/>
          <w:szCs w:val="24"/>
        </w:rPr>
        <w:t xml:space="preserve"> certain matters related to authority to practice before the Internal Revenue Service, including acting on </w:t>
      </w:r>
      <w:r w:rsidR="00DF236B">
        <w:rPr>
          <w:rFonts w:ascii="Times New Roman" w:hAnsi="Times New Roman"/>
          <w:sz w:val="24"/>
          <w:szCs w:val="24"/>
        </w:rPr>
        <w:t xml:space="preserve">enrollment </w:t>
      </w:r>
      <w:r w:rsidRPr="0041188D" w:rsidR="009E7500">
        <w:rPr>
          <w:rFonts w:ascii="Times New Roman" w:hAnsi="Times New Roman"/>
          <w:sz w:val="24"/>
          <w:szCs w:val="24"/>
        </w:rPr>
        <w:t>applications</w:t>
      </w:r>
      <w:r w:rsidR="00DF236B">
        <w:rPr>
          <w:rFonts w:ascii="Times New Roman" w:hAnsi="Times New Roman"/>
          <w:sz w:val="24"/>
          <w:szCs w:val="24"/>
        </w:rPr>
        <w:t xml:space="preserve"> for </w:t>
      </w:r>
      <w:r w:rsidR="00DF236B">
        <w:rPr>
          <w:rFonts w:ascii="Times New Roman" w:hAnsi="Times New Roman"/>
          <w:sz w:val="24"/>
          <w:szCs w:val="24"/>
        </w:rPr>
        <w:t>pracitioners</w:t>
      </w:r>
      <w:r w:rsidR="00DF236B">
        <w:rPr>
          <w:rFonts w:ascii="Times New Roman" w:hAnsi="Times New Roman"/>
          <w:sz w:val="24"/>
          <w:szCs w:val="24"/>
        </w:rPr>
        <w:t xml:space="preserve">, continuing education providers, and annual filing season program participants, and </w:t>
      </w:r>
      <w:r w:rsidRPr="0041188D" w:rsidR="009E7500">
        <w:rPr>
          <w:rFonts w:ascii="Times New Roman" w:hAnsi="Times New Roman"/>
          <w:sz w:val="24"/>
          <w:szCs w:val="24"/>
        </w:rPr>
        <w:t>administering competency testing and continuing education</w:t>
      </w:r>
      <w:r w:rsidR="00DF236B">
        <w:rPr>
          <w:rFonts w:ascii="Times New Roman" w:hAnsi="Times New Roman"/>
          <w:sz w:val="24"/>
          <w:szCs w:val="24"/>
        </w:rPr>
        <w:t xml:space="preserve"> compliance</w:t>
      </w:r>
      <w:r w:rsidRPr="0041188D" w:rsidR="009E7500">
        <w:rPr>
          <w:rFonts w:ascii="Times New Roman" w:hAnsi="Times New Roman"/>
          <w:sz w:val="24"/>
          <w:szCs w:val="24"/>
        </w:rPr>
        <w:t xml:space="preserve">. </w:t>
      </w:r>
    </w:p>
    <w:p w:rsidR="0092460E" w:rsidRPr="0041188D" w:rsidP="00434DB4" w14:paraId="68463C6C" w14:textId="77777777">
      <w:pPr>
        <w:widowControl/>
        <w:spacing w:line="276" w:lineRule="auto"/>
        <w:ind w:left="360"/>
        <w:rPr>
          <w:rFonts w:ascii="Times New Roman" w:hAnsi="Times New Roman"/>
          <w:sz w:val="24"/>
          <w:szCs w:val="24"/>
        </w:rPr>
      </w:pPr>
    </w:p>
    <w:p w:rsidR="00E550BE" w:rsidRPr="0041188D" w:rsidP="00434DB4" w14:paraId="50A89428" w14:textId="77703C10">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The information gathered in this collection will help the </w:t>
      </w:r>
      <w:r w:rsidR="004141B0">
        <w:rPr>
          <w:rFonts w:ascii="Times New Roman" w:hAnsi="Times New Roman"/>
          <w:sz w:val="24"/>
          <w:szCs w:val="24"/>
        </w:rPr>
        <w:t>IRS</w:t>
      </w:r>
      <w:r w:rsidRPr="0041188D">
        <w:rPr>
          <w:rFonts w:ascii="Times New Roman" w:hAnsi="Times New Roman"/>
          <w:sz w:val="24"/>
          <w:szCs w:val="24"/>
        </w:rPr>
        <w:t xml:space="preserve"> administer the law and regulations governing (1) the enrollment and renewed enrollment of individuals to practice before the IRS and (2) the practice of practitioners and other individuals who interact with the tax administration system on behalf of taxpayers</w:t>
      </w:r>
      <w:r w:rsidR="00DF236B">
        <w:rPr>
          <w:rFonts w:ascii="Times New Roman" w:hAnsi="Times New Roman"/>
          <w:sz w:val="24"/>
          <w:szCs w:val="24"/>
        </w:rPr>
        <w:t>.</w:t>
      </w:r>
      <w:r w:rsidRPr="0041188D" w:rsidR="00A901FC">
        <w:rPr>
          <w:rFonts w:ascii="Times New Roman" w:hAnsi="Times New Roman"/>
          <w:sz w:val="24"/>
          <w:szCs w:val="24"/>
        </w:rPr>
        <w:t xml:space="preserve"> </w:t>
      </w:r>
    </w:p>
    <w:p w:rsidR="00A901FC" w:rsidRPr="0041188D" w:rsidP="00434DB4" w14:paraId="74FC9487" w14:textId="77777777">
      <w:pPr>
        <w:widowControl/>
        <w:spacing w:line="276" w:lineRule="auto"/>
        <w:ind w:left="360"/>
        <w:rPr>
          <w:rFonts w:ascii="Times New Roman" w:hAnsi="Times New Roman"/>
          <w:sz w:val="24"/>
          <w:szCs w:val="24"/>
        </w:rPr>
      </w:pPr>
    </w:p>
    <w:p w:rsidR="009B74BA" w:rsidRPr="0041188D" w:rsidP="00434DB4" w14:paraId="6E48ACB4" w14:textId="0144FE33">
      <w:pPr>
        <w:pStyle w:val="Heading1"/>
        <w:numPr>
          <w:ilvl w:val="0"/>
          <w:numId w:val="6"/>
        </w:numPr>
        <w:spacing w:line="276" w:lineRule="auto"/>
        <w:ind w:left="360"/>
        <w:rPr>
          <w:rFonts w:ascii="Times New Roman" w:hAnsi="Times New Roman"/>
          <w:b/>
          <w:bCs/>
          <w:u w:val="single"/>
        </w:rPr>
      </w:pPr>
      <w:bookmarkStart w:id="0" w:name="_Hlk78571875"/>
      <w:r w:rsidRPr="0041188D">
        <w:rPr>
          <w:rFonts w:ascii="Times New Roman" w:hAnsi="Times New Roman"/>
          <w:b/>
          <w:bCs/>
          <w:u w:val="single"/>
        </w:rPr>
        <w:t>USE OF IMPROVED INFORMATION TECHNOLOGY TO REDUCE BURDEN</w:t>
      </w:r>
    </w:p>
    <w:p w:rsidR="009B74BA" w:rsidRPr="0041188D" w:rsidP="00434DB4" w14:paraId="75165DFD" w14:textId="77777777">
      <w:pPr>
        <w:widowControl/>
        <w:spacing w:line="276" w:lineRule="auto"/>
        <w:ind w:left="360"/>
        <w:rPr>
          <w:rFonts w:ascii="Times New Roman" w:hAnsi="Times New Roman"/>
          <w:sz w:val="24"/>
          <w:szCs w:val="24"/>
        </w:rPr>
      </w:pPr>
    </w:p>
    <w:p w:rsidR="003D62C9" w:rsidRPr="0041188D" w:rsidP="00434DB4" w14:paraId="7F2C6DD3" w14:textId="43B7593B">
      <w:pPr>
        <w:widowControl/>
        <w:spacing w:line="276" w:lineRule="auto"/>
        <w:ind w:left="360"/>
        <w:rPr>
          <w:rFonts w:ascii="Times New Roman" w:hAnsi="Times New Roman"/>
          <w:sz w:val="24"/>
          <w:szCs w:val="24"/>
        </w:rPr>
      </w:pPr>
      <w:r>
        <w:rPr>
          <w:rFonts w:ascii="Times New Roman" w:hAnsi="Times New Roman"/>
          <w:sz w:val="24"/>
          <w:szCs w:val="24"/>
        </w:rPr>
        <w:t xml:space="preserve">The IRS allows for electronic collection of the forms. </w:t>
      </w:r>
    </w:p>
    <w:bookmarkEnd w:id="0"/>
    <w:p w:rsidR="00DD6217" w:rsidRPr="0041188D" w:rsidP="00434DB4" w14:paraId="5D0BCDBB" w14:textId="77777777">
      <w:pPr>
        <w:widowControl/>
        <w:spacing w:line="276" w:lineRule="auto"/>
        <w:ind w:left="360"/>
        <w:rPr>
          <w:rFonts w:ascii="Times New Roman" w:hAnsi="Times New Roman"/>
          <w:sz w:val="24"/>
          <w:szCs w:val="24"/>
        </w:rPr>
      </w:pPr>
    </w:p>
    <w:p w:rsidR="009B74BA" w:rsidRPr="0041188D" w:rsidP="00434DB4" w14:paraId="28E077A5" w14:textId="6B1F66FA">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EFFORTS TO IDENTIFY DUPLICATION</w:t>
      </w:r>
    </w:p>
    <w:p w:rsidR="009B74BA" w:rsidRPr="0041188D" w:rsidP="00434DB4" w14:paraId="465AC052" w14:textId="77777777">
      <w:pPr>
        <w:widowControl/>
        <w:spacing w:line="276" w:lineRule="auto"/>
        <w:ind w:left="360"/>
        <w:rPr>
          <w:rFonts w:ascii="Times New Roman" w:hAnsi="Times New Roman"/>
          <w:sz w:val="24"/>
          <w:szCs w:val="24"/>
        </w:rPr>
      </w:pPr>
    </w:p>
    <w:p w:rsidR="001A464B" w:rsidRPr="0041188D" w:rsidP="00434DB4" w14:paraId="2290D94A" w14:textId="5D83D747">
      <w:pPr>
        <w:widowControl/>
        <w:spacing w:line="276" w:lineRule="auto"/>
        <w:ind w:left="360"/>
        <w:rPr>
          <w:rFonts w:ascii="Times New Roman" w:hAnsi="Times New Roman"/>
          <w:sz w:val="24"/>
          <w:szCs w:val="24"/>
        </w:rPr>
      </w:pPr>
      <w:r w:rsidRPr="0041188D">
        <w:rPr>
          <w:rFonts w:ascii="Times New Roman" w:hAnsi="Times New Roman"/>
          <w:iCs/>
          <w:sz w:val="24"/>
          <w:szCs w:val="24"/>
        </w:rPr>
        <w:t xml:space="preserve">The information obtained through this collection is unique and is not already available for use or </w:t>
      </w:r>
      <w:r w:rsidRPr="0041188D">
        <w:rPr>
          <w:rFonts w:ascii="Times New Roman" w:hAnsi="Times New Roman"/>
          <w:iCs/>
          <w:sz w:val="24"/>
          <w:szCs w:val="24"/>
        </w:rPr>
        <w:t>adaption</w:t>
      </w:r>
      <w:r w:rsidRPr="0041188D">
        <w:rPr>
          <w:rFonts w:ascii="Times New Roman" w:hAnsi="Times New Roman"/>
          <w:iCs/>
          <w:sz w:val="24"/>
          <w:szCs w:val="24"/>
        </w:rPr>
        <w:t xml:space="preserve"> from another source</w:t>
      </w:r>
      <w:r w:rsidRPr="0041188D" w:rsidR="00476088">
        <w:rPr>
          <w:rFonts w:ascii="Times New Roman" w:hAnsi="Times New Roman"/>
          <w:sz w:val="24"/>
          <w:szCs w:val="24"/>
        </w:rPr>
        <w:t>.</w:t>
      </w:r>
      <w:r w:rsidRPr="0041188D" w:rsidR="009B74BA">
        <w:rPr>
          <w:rFonts w:ascii="Times New Roman" w:hAnsi="Times New Roman"/>
          <w:sz w:val="24"/>
          <w:szCs w:val="24"/>
        </w:rPr>
        <w:t xml:space="preserve"> </w:t>
      </w:r>
    </w:p>
    <w:p w:rsidR="004B4765" w:rsidRPr="0041188D" w:rsidP="00434DB4" w14:paraId="29ECBB02" w14:textId="77777777">
      <w:pPr>
        <w:widowControl/>
        <w:spacing w:line="276" w:lineRule="auto"/>
        <w:ind w:left="360"/>
        <w:rPr>
          <w:rFonts w:ascii="Times New Roman" w:hAnsi="Times New Roman"/>
          <w:sz w:val="24"/>
          <w:szCs w:val="24"/>
        </w:rPr>
      </w:pPr>
    </w:p>
    <w:p w:rsidR="009B74BA" w:rsidRPr="0041188D" w:rsidP="00434DB4" w14:paraId="79CF0E5F" w14:textId="2EBE7344">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METHODS TO MINIMIZE BURDEN ON SMALL BUSINESSES OR OTHER</w:t>
      </w:r>
      <w:r w:rsidRPr="0041188D" w:rsidR="00A62B27">
        <w:rPr>
          <w:rFonts w:ascii="Times New Roman" w:hAnsi="Times New Roman"/>
          <w:b/>
          <w:bCs/>
          <w:u w:val="single"/>
        </w:rPr>
        <w:t xml:space="preserve"> </w:t>
      </w:r>
      <w:r w:rsidRPr="0041188D">
        <w:rPr>
          <w:rFonts w:ascii="Times New Roman" w:hAnsi="Times New Roman"/>
          <w:b/>
          <w:bCs/>
          <w:u w:val="single"/>
        </w:rPr>
        <w:t>SMALL ENTITIES</w:t>
      </w:r>
    </w:p>
    <w:p w:rsidR="009B74BA" w:rsidRPr="0041188D" w:rsidP="00434DB4" w14:paraId="176739C4" w14:textId="77777777">
      <w:pPr>
        <w:widowControl/>
        <w:spacing w:line="276" w:lineRule="auto"/>
        <w:ind w:left="360"/>
        <w:rPr>
          <w:rFonts w:ascii="Times New Roman" w:hAnsi="Times New Roman"/>
          <w:sz w:val="24"/>
          <w:szCs w:val="24"/>
        </w:rPr>
      </w:pPr>
    </w:p>
    <w:p w:rsidR="00AB59E2" w:rsidRPr="0041188D" w:rsidP="00434DB4" w14:paraId="6E1FD35D" w14:textId="4DCF5C73">
      <w:pPr>
        <w:widowControl/>
        <w:spacing w:line="276" w:lineRule="auto"/>
        <w:ind w:left="360"/>
        <w:rPr>
          <w:rFonts w:ascii="Times New Roman" w:hAnsi="Times New Roman"/>
          <w:sz w:val="24"/>
          <w:szCs w:val="24"/>
        </w:rPr>
      </w:pPr>
      <w:r>
        <w:rPr>
          <w:rFonts w:ascii="Times New Roman" w:hAnsi="Times New Roman"/>
          <w:sz w:val="24"/>
          <w:szCs w:val="24"/>
        </w:rPr>
        <w:t>Small businesses and entities should not be disadvantaged as the collections have been structured to request the least amount of information and still satisfy the requirements of the statutes, regulations, and the needs of the IRS</w:t>
      </w:r>
      <w:r w:rsidRPr="0041188D" w:rsidR="003A645C">
        <w:rPr>
          <w:rFonts w:ascii="Times New Roman" w:hAnsi="Times New Roman"/>
          <w:sz w:val="24"/>
          <w:szCs w:val="24"/>
        </w:rPr>
        <w:t xml:space="preserve">. </w:t>
      </w:r>
      <w:r w:rsidRPr="0041188D" w:rsidR="00822519">
        <w:rPr>
          <w:rFonts w:ascii="Times New Roman" w:hAnsi="Times New Roman"/>
          <w:sz w:val="24"/>
          <w:szCs w:val="24"/>
        </w:rPr>
        <w:t xml:space="preserve"> </w:t>
      </w:r>
    </w:p>
    <w:p w:rsidR="00AB59E2" w:rsidRPr="0041188D" w:rsidP="00434DB4" w14:paraId="55FC9BB5" w14:textId="77777777">
      <w:pPr>
        <w:widowControl/>
        <w:spacing w:line="276" w:lineRule="auto"/>
        <w:ind w:left="360"/>
        <w:rPr>
          <w:rFonts w:ascii="Times New Roman" w:hAnsi="Times New Roman"/>
          <w:sz w:val="24"/>
          <w:szCs w:val="24"/>
        </w:rPr>
      </w:pPr>
    </w:p>
    <w:p w:rsidR="009B74BA" w:rsidRPr="0041188D" w:rsidP="00434DB4" w14:paraId="56EE5195" w14:textId="5B58C7A6">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CONSEQUENCES OF LESS FREQUENT COLLECTION ON FEDERAL PROGRAMS OR POLICY ACTIVITIES</w:t>
      </w:r>
    </w:p>
    <w:p w:rsidR="009B74BA" w:rsidRPr="0041188D" w:rsidP="00434DB4" w14:paraId="0FBCB160" w14:textId="77777777">
      <w:pPr>
        <w:widowControl/>
        <w:spacing w:line="276" w:lineRule="auto"/>
        <w:ind w:left="360"/>
        <w:rPr>
          <w:rFonts w:ascii="Times New Roman" w:hAnsi="Times New Roman"/>
          <w:sz w:val="24"/>
          <w:szCs w:val="24"/>
        </w:rPr>
      </w:pPr>
    </w:p>
    <w:p w:rsidR="009B74BA" w:rsidRPr="0041188D" w:rsidP="00434DB4" w14:paraId="54ED6719" w14:textId="4EC0AD8B">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The information required is needed to verify compliance with matters related to practice before the Internal Revenue Service (IRS) under 31 CFR Subtitle A, Part 10, including eligibility to practice.  Failure to administer the law and regulations governing this practice would not protect taxpayers and the integrity of tax administration.  IRS understands that voluntary tax compliance relies on taxpayers’ confidence and trust in the agency, including </w:t>
      </w:r>
      <w:r w:rsidRPr="0041188D">
        <w:rPr>
          <w:rFonts w:ascii="Times New Roman" w:hAnsi="Times New Roman"/>
          <w:sz w:val="24"/>
          <w:szCs w:val="24"/>
        </w:rPr>
        <w:t>the administration and enforcement of requirements and rules related to practice before the IRS</w:t>
      </w:r>
      <w:r w:rsidRPr="0041188D" w:rsidR="00476088">
        <w:rPr>
          <w:rFonts w:ascii="Times New Roman" w:hAnsi="Times New Roman"/>
          <w:sz w:val="24"/>
          <w:szCs w:val="24"/>
        </w:rPr>
        <w:t>.</w:t>
      </w:r>
    </w:p>
    <w:p w:rsidR="009B74BA" w:rsidRPr="0041188D" w:rsidP="00434DB4" w14:paraId="3298FEE7" w14:textId="77777777">
      <w:pPr>
        <w:widowControl/>
        <w:spacing w:line="276" w:lineRule="auto"/>
        <w:ind w:left="360"/>
        <w:rPr>
          <w:rFonts w:ascii="Times New Roman" w:hAnsi="Times New Roman"/>
          <w:sz w:val="24"/>
          <w:szCs w:val="24"/>
        </w:rPr>
      </w:pPr>
    </w:p>
    <w:p w:rsidR="009B74BA" w:rsidRPr="0041188D" w:rsidP="00434DB4" w14:paraId="3277AF12" w14:textId="77F0243C">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SPECIAL CIRCUMSTANCES REQUIRING DATA COLLECTION TO BE</w:t>
      </w:r>
      <w:r w:rsidRPr="0041188D" w:rsidR="00A62B27">
        <w:rPr>
          <w:rFonts w:ascii="Times New Roman" w:hAnsi="Times New Roman"/>
          <w:b/>
          <w:bCs/>
          <w:u w:val="single"/>
        </w:rPr>
        <w:t xml:space="preserve"> </w:t>
      </w:r>
      <w:r w:rsidRPr="0041188D">
        <w:rPr>
          <w:rFonts w:ascii="Times New Roman" w:hAnsi="Times New Roman"/>
          <w:b/>
          <w:bCs/>
          <w:u w:val="single"/>
        </w:rPr>
        <w:t>INCONSISTENT WITH GUIDELINES IN 5 CFR 1320.5(d)(2)</w:t>
      </w:r>
    </w:p>
    <w:p w:rsidR="009B74BA" w:rsidRPr="0041188D" w:rsidP="00434DB4" w14:paraId="3484267F" w14:textId="77777777">
      <w:pPr>
        <w:widowControl/>
        <w:spacing w:line="276" w:lineRule="auto"/>
        <w:ind w:left="360"/>
        <w:rPr>
          <w:rFonts w:ascii="Times New Roman" w:hAnsi="Times New Roman"/>
          <w:sz w:val="24"/>
          <w:szCs w:val="24"/>
        </w:rPr>
      </w:pPr>
    </w:p>
    <w:p w:rsidR="009B74BA" w:rsidRPr="0041188D" w:rsidP="00434DB4" w14:paraId="4CC5B1A0" w14:textId="77777777">
      <w:pPr>
        <w:widowControl/>
        <w:spacing w:line="276" w:lineRule="auto"/>
        <w:ind w:left="360"/>
        <w:rPr>
          <w:rFonts w:ascii="Times New Roman" w:hAnsi="Times New Roman"/>
          <w:sz w:val="24"/>
          <w:szCs w:val="24"/>
        </w:rPr>
      </w:pPr>
      <w:r w:rsidRPr="0041188D">
        <w:rPr>
          <w:rFonts w:ascii="Times New Roman" w:hAnsi="Times New Roman"/>
          <w:sz w:val="24"/>
          <w:szCs w:val="24"/>
        </w:rPr>
        <w:t>There are no special circumstances requiring data collection to be inconsistent with guidelines in 5 CFR 1320.5(d)(2).</w:t>
      </w:r>
    </w:p>
    <w:p w:rsidR="00E24344" w:rsidRPr="0041188D" w:rsidP="00434DB4" w14:paraId="573C18A5" w14:textId="77777777">
      <w:pPr>
        <w:widowControl/>
        <w:spacing w:line="276" w:lineRule="auto"/>
        <w:ind w:left="360"/>
        <w:rPr>
          <w:rFonts w:ascii="Times New Roman" w:hAnsi="Times New Roman"/>
          <w:sz w:val="24"/>
          <w:szCs w:val="24"/>
        </w:rPr>
      </w:pPr>
    </w:p>
    <w:p w:rsidR="009B74BA" w:rsidRPr="0041188D" w:rsidP="00434DB4" w14:paraId="378A63C2" w14:textId="52AB1871">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CONSULTATION WITH INDIVIDUALS OUTSIDE OF THE AGENCY ON</w:t>
      </w:r>
      <w:r w:rsidRPr="0041188D" w:rsidR="00A62B27">
        <w:rPr>
          <w:rFonts w:ascii="Times New Roman" w:hAnsi="Times New Roman"/>
          <w:b/>
          <w:bCs/>
          <w:u w:val="single"/>
        </w:rPr>
        <w:t xml:space="preserve"> </w:t>
      </w:r>
      <w:r w:rsidRPr="0041188D">
        <w:rPr>
          <w:rFonts w:ascii="Times New Roman" w:hAnsi="Times New Roman"/>
          <w:b/>
          <w:bCs/>
          <w:u w:val="single"/>
        </w:rPr>
        <w:t>AVAILABILITY OF DATA, FREQUENCY OF COLLECTION, CLARITY OF INSTRUCTIONS AND FORMS, AND DATA ELEMENTS</w:t>
      </w:r>
    </w:p>
    <w:p w:rsidR="009B74BA" w:rsidRPr="0041188D" w:rsidP="00434DB4" w14:paraId="5321DFF1" w14:textId="77777777">
      <w:pPr>
        <w:widowControl/>
        <w:spacing w:line="276" w:lineRule="auto"/>
        <w:ind w:left="360"/>
        <w:rPr>
          <w:rFonts w:ascii="Times New Roman" w:hAnsi="Times New Roman"/>
          <w:sz w:val="24"/>
          <w:szCs w:val="24"/>
        </w:rPr>
      </w:pPr>
    </w:p>
    <w:p w:rsidR="00300FBE" w:rsidRPr="0041188D" w:rsidP="00434DB4" w14:paraId="559911EB" w14:textId="13A639BA">
      <w:pPr>
        <w:widowControl/>
        <w:spacing w:line="276" w:lineRule="auto"/>
        <w:ind w:left="360"/>
        <w:rPr>
          <w:rFonts w:ascii="Times New Roman" w:hAnsi="Times New Roman"/>
          <w:sz w:val="24"/>
          <w:szCs w:val="24"/>
        </w:rPr>
      </w:pPr>
      <w:bookmarkStart w:id="1" w:name="_Hlk133482699"/>
      <w:r w:rsidRPr="0041188D">
        <w:rPr>
          <w:rFonts w:ascii="Times New Roman" w:hAnsi="Times New Roman"/>
          <w:sz w:val="24"/>
          <w:szCs w:val="24"/>
        </w:rPr>
        <w:t>In response to the Federal register notice dated November 19, 2025 (90 FR 52165), we have received 4 public comments.  The full comments will be included within submission to the Office of Management and Budget (OMB). The summary of the comments and the IRS responses are below:</w:t>
      </w:r>
      <w:r w:rsidRPr="0041188D" w:rsidR="00476088">
        <w:rPr>
          <w:rFonts w:ascii="Times New Roman" w:hAnsi="Times New Roman"/>
          <w:sz w:val="24"/>
          <w:szCs w:val="24"/>
        </w:rPr>
        <w:t xml:space="preserve"> </w:t>
      </w:r>
      <w:bookmarkEnd w:id="1"/>
      <w:r w:rsidRPr="0041188D" w:rsidR="00363251">
        <w:rPr>
          <w:rFonts w:ascii="Times New Roman" w:hAnsi="Times New Roman"/>
          <w:sz w:val="24"/>
          <w:szCs w:val="24"/>
        </w:rPr>
        <w:t xml:space="preserve">  </w:t>
      </w:r>
    </w:p>
    <w:p w:rsidR="00363251" w:rsidRPr="0041188D" w:rsidP="00434DB4" w14:paraId="21CEA44A" w14:textId="77777777">
      <w:pPr>
        <w:widowControl/>
        <w:spacing w:line="276" w:lineRule="auto"/>
        <w:ind w:left="360"/>
        <w:rPr>
          <w:rFonts w:ascii="Times New Roman" w:hAnsi="Times New Roman"/>
          <w:sz w:val="24"/>
          <w:szCs w:val="24"/>
        </w:rPr>
      </w:pPr>
    </w:p>
    <w:tbl>
      <w:tblPr>
        <w:tblStyle w:val="TableGrid"/>
        <w:tblW w:w="9720" w:type="dxa"/>
        <w:tblInd w:w="355" w:type="dxa"/>
        <w:tblLayout w:type="fixed"/>
        <w:tblLook w:val="04A0"/>
      </w:tblPr>
      <w:tblGrid>
        <w:gridCol w:w="1260"/>
        <w:gridCol w:w="4140"/>
        <w:gridCol w:w="4320"/>
      </w:tblGrid>
      <w:tr w14:paraId="6BBBDD36" w14:textId="77777777" w:rsidTr="002B5FD4">
        <w:tblPrEx>
          <w:tblW w:w="9720" w:type="dxa"/>
          <w:tblInd w:w="355" w:type="dxa"/>
          <w:tblLayout w:type="fixed"/>
          <w:tblLook w:val="04A0"/>
        </w:tblPrEx>
        <w:tc>
          <w:tcPr>
            <w:tcW w:w="1260" w:type="dxa"/>
          </w:tcPr>
          <w:p w:rsidR="00D45484" w:rsidRPr="0041188D" w:rsidP="00434DB4" w14:paraId="7116A5D2" w14:textId="77777777">
            <w:pPr>
              <w:spacing w:line="276" w:lineRule="auto"/>
              <w:rPr>
                <w:rFonts w:ascii="Times New Roman" w:hAnsi="Times New Roman"/>
                <w:b/>
                <w:sz w:val="24"/>
                <w:szCs w:val="24"/>
              </w:rPr>
            </w:pPr>
            <w:bookmarkStart w:id="2" w:name="_Hlk222203802"/>
            <w:r w:rsidRPr="0041188D">
              <w:rPr>
                <w:rFonts w:ascii="Times New Roman" w:hAnsi="Times New Roman"/>
                <w:b/>
                <w:sz w:val="24"/>
                <w:szCs w:val="24"/>
              </w:rPr>
              <w:t>Comment Number</w:t>
            </w:r>
          </w:p>
        </w:tc>
        <w:tc>
          <w:tcPr>
            <w:tcW w:w="4140" w:type="dxa"/>
          </w:tcPr>
          <w:p w:rsidR="00D45484" w:rsidRPr="0041188D" w:rsidP="00434DB4" w14:paraId="0CE45138" w14:textId="77777777">
            <w:pPr>
              <w:spacing w:line="276" w:lineRule="auto"/>
              <w:rPr>
                <w:rFonts w:ascii="Times New Roman" w:hAnsi="Times New Roman"/>
                <w:b/>
                <w:sz w:val="24"/>
                <w:szCs w:val="24"/>
              </w:rPr>
            </w:pPr>
          </w:p>
          <w:p w:rsidR="00D45484" w:rsidRPr="0041188D" w:rsidP="00434DB4" w14:paraId="2E0C826C" w14:textId="77777777">
            <w:pPr>
              <w:spacing w:line="276" w:lineRule="auto"/>
              <w:rPr>
                <w:rFonts w:ascii="Times New Roman" w:hAnsi="Times New Roman"/>
                <w:b/>
                <w:sz w:val="24"/>
                <w:szCs w:val="24"/>
              </w:rPr>
            </w:pPr>
            <w:r w:rsidRPr="0041188D">
              <w:rPr>
                <w:rFonts w:ascii="Times New Roman" w:hAnsi="Times New Roman"/>
                <w:b/>
                <w:sz w:val="24"/>
                <w:szCs w:val="24"/>
              </w:rPr>
              <w:t>Summary of public comment</w:t>
            </w:r>
          </w:p>
        </w:tc>
        <w:tc>
          <w:tcPr>
            <w:tcW w:w="4320" w:type="dxa"/>
          </w:tcPr>
          <w:p w:rsidR="00D45484" w:rsidRPr="0041188D" w:rsidP="00434DB4" w14:paraId="30F4421A" w14:textId="77777777">
            <w:pPr>
              <w:spacing w:line="276" w:lineRule="auto"/>
              <w:rPr>
                <w:rFonts w:ascii="Times New Roman" w:hAnsi="Times New Roman"/>
                <w:b/>
                <w:sz w:val="24"/>
                <w:szCs w:val="24"/>
              </w:rPr>
            </w:pPr>
          </w:p>
          <w:p w:rsidR="00D45484" w:rsidRPr="0041188D" w:rsidP="00434DB4" w14:paraId="2598A342" w14:textId="77777777">
            <w:pPr>
              <w:spacing w:line="276" w:lineRule="auto"/>
              <w:rPr>
                <w:rFonts w:ascii="Times New Roman" w:hAnsi="Times New Roman"/>
                <w:b/>
                <w:sz w:val="24"/>
                <w:szCs w:val="24"/>
              </w:rPr>
            </w:pPr>
            <w:r w:rsidRPr="0041188D">
              <w:rPr>
                <w:rFonts w:ascii="Times New Roman" w:hAnsi="Times New Roman"/>
                <w:b/>
                <w:sz w:val="24"/>
                <w:szCs w:val="24"/>
              </w:rPr>
              <w:t>IRS response</w:t>
            </w:r>
          </w:p>
        </w:tc>
      </w:tr>
      <w:tr w14:paraId="45D85833" w14:textId="77777777" w:rsidTr="002B5FD4">
        <w:tblPrEx>
          <w:tblW w:w="9720" w:type="dxa"/>
          <w:tblInd w:w="355" w:type="dxa"/>
          <w:tblLayout w:type="fixed"/>
          <w:tblLook w:val="04A0"/>
        </w:tblPrEx>
        <w:tc>
          <w:tcPr>
            <w:tcW w:w="1260" w:type="dxa"/>
          </w:tcPr>
          <w:p w:rsidR="00D45484" w:rsidRPr="0041188D" w:rsidP="00434DB4" w14:paraId="21225056" w14:textId="77777777">
            <w:pPr>
              <w:pStyle w:val="ListParagraph"/>
              <w:widowControl w:val="0"/>
              <w:numPr>
                <w:ilvl w:val="0"/>
                <w:numId w:val="2"/>
              </w:numPr>
              <w:autoSpaceDE w:val="0"/>
              <w:autoSpaceDN w:val="0"/>
              <w:adjustRightInd w:val="0"/>
              <w:spacing w:after="0"/>
              <w:rPr>
                <w:rFonts w:ascii="Times New Roman" w:hAnsi="Times New Roman" w:cs="Times New Roman"/>
                <w:bCs/>
                <w:sz w:val="24"/>
                <w:szCs w:val="24"/>
              </w:rPr>
            </w:pPr>
          </w:p>
        </w:tc>
        <w:tc>
          <w:tcPr>
            <w:tcW w:w="4140" w:type="dxa"/>
          </w:tcPr>
          <w:p w:rsidR="00D45484" w:rsidRPr="0041188D" w:rsidP="002B5FD4" w14:paraId="3C70C67D" w14:textId="77777777">
            <w:pPr>
              <w:widowControl/>
              <w:spacing w:line="276" w:lineRule="auto"/>
              <w:rPr>
                <w:rFonts w:ascii="Times New Roman" w:hAnsi="Times New Roman"/>
                <w:sz w:val="24"/>
                <w:szCs w:val="24"/>
              </w:rPr>
            </w:pPr>
            <w:r w:rsidRPr="0041188D">
              <w:rPr>
                <w:rFonts w:ascii="Times New Roman" w:hAnsi="Times New Roman"/>
                <w:sz w:val="24"/>
                <w:szCs w:val="24"/>
              </w:rPr>
              <w:t xml:space="preserve">Two of the comment letters recommended that the IRS treat the regulations in Circular 230, including its requirements, as applying to ALL paid tax return preparers.  </w:t>
            </w:r>
          </w:p>
          <w:p w:rsidR="00D45484" w:rsidRPr="0041188D" w:rsidP="00434DB4" w14:paraId="4D7B7BAE" w14:textId="77777777">
            <w:pPr>
              <w:widowControl/>
              <w:spacing w:line="276" w:lineRule="auto"/>
              <w:ind w:left="360"/>
              <w:rPr>
                <w:rFonts w:ascii="Times New Roman" w:hAnsi="Times New Roman"/>
                <w:sz w:val="24"/>
                <w:szCs w:val="24"/>
              </w:rPr>
            </w:pPr>
          </w:p>
          <w:p w:rsidR="00D45484" w:rsidRPr="0041188D" w:rsidP="002B5FD4" w14:paraId="1544ACFD" w14:textId="77777777">
            <w:pPr>
              <w:widowControl/>
              <w:spacing w:line="276" w:lineRule="auto"/>
              <w:rPr>
                <w:rFonts w:ascii="Times New Roman" w:hAnsi="Times New Roman"/>
                <w:sz w:val="24"/>
                <w:szCs w:val="24"/>
              </w:rPr>
            </w:pPr>
            <w:r w:rsidRPr="0041188D">
              <w:rPr>
                <w:rFonts w:ascii="Times New Roman" w:hAnsi="Times New Roman"/>
                <w:sz w:val="24"/>
                <w:szCs w:val="24"/>
              </w:rPr>
              <w:t>One letter suggested that:</w:t>
            </w:r>
          </w:p>
          <w:p w:rsidR="00D45484" w:rsidRPr="0041188D" w:rsidP="00434DB4" w14:paraId="06AD132C" w14:textId="77777777">
            <w:pPr>
              <w:widowControl/>
              <w:autoSpaceDE/>
              <w:autoSpaceDN/>
              <w:adjustRightInd/>
              <w:spacing w:line="276" w:lineRule="auto"/>
              <w:ind w:left="360"/>
              <w:contextualSpacing/>
              <w:rPr>
                <w:rFonts w:ascii="Times New Roman" w:hAnsi="Times New Roman"/>
                <w:sz w:val="24"/>
                <w:szCs w:val="24"/>
              </w:rPr>
            </w:pPr>
            <w:r w:rsidRPr="0041188D">
              <w:rPr>
                <w:rFonts w:ascii="Times New Roman" w:hAnsi="Times New Roman"/>
                <w:sz w:val="24"/>
                <w:szCs w:val="24"/>
              </w:rPr>
              <w:t>“</w:t>
            </w:r>
            <w:r w:rsidRPr="0041188D">
              <w:rPr>
                <w:rFonts w:ascii="Symbol" w:hAnsi="Symbol"/>
                <w:sz w:val="24"/>
                <w:szCs w:val="24"/>
              </w:rPr>
              <w:sym w:font="Symbol" w:char="F0B7"/>
            </w:r>
            <w:r w:rsidRPr="0041188D">
              <w:rPr>
                <w:rFonts w:ascii="Times New Roman" w:hAnsi="Times New Roman"/>
                <w:sz w:val="24"/>
                <w:szCs w:val="24"/>
              </w:rPr>
              <w:t xml:space="preserve"> Contrary to the . . . ‘Loving’ Decision, practice before the IRS must include preparing and filing all tax forms.</w:t>
            </w:r>
          </w:p>
          <w:p w:rsidR="00D45484" w:rsidRPr="0041188D" w:rsidP="00434DB4" w14:paraId="38C5275F" w14:textId="77777777">
            <w:pPr>
              <w:widowControl/>
              <w:autoSpaceDE/>
              <w:autoSpaceDN/>
              <w:adjustRightInd/>
              <w:spacing w:line="276" w:lineRule="auto"/>
              <w:ind w:left="360"/>
              <w:contextualSpacing/>
              <w:rPr>
                <w:rFonts w:ascii="Times New Roman" w:hAnsi="Times New Roman"/>
                <w:sz w:val="24"/>
                <w:szCs w:val="24"/>
              </w:rPr>
            </w:pPr>
            <w:r w:rsidRPr="0041188D">
              <w:rPr>
                <w:rFonts w:ascii="Times New Roman" w:hAnsi="Times New Roman"/>
                <w:sz w:val="24"/>
                <w:szCs w:val="24"/>
              </w:rPr>
              <w:t xml:space="preserve">  </w:t>
            </w:r>
            <w:r w:rsidRPr="0041188D">
              <w:rPr>
                <w:rFonts w:ascii="Symbol" w:hAnsi="Symbol"/>
                <w:sz w:val="24"/>
                <w:szCs w:val="24"/>
              </w:rPr>
              <w:sym w:font="Symbol" w:char="F0B7"/>
            </w:r>
            <w:r w:rsidRPr="0041188D">
              <w:rPr>
                <w:rFonts w:ascii="Times New Roman" w:hAnsi="Times New Roman"/>
                <w:sz w:val="24"/>
                <w:szCs w:val="24"/>
              </w:rPr>
              <w:t xml:space="preserve"> Tax return preparers who engage in preparing tax forms for hire must be licensed or otherwise regulated and adhere to specific standards.</w:t>
            </w:r>
          </w:p>
          <w:p w:rsidR="00D45484" w:rsidRPr="0041188D" w:rsidP="00434DB4" w14:paraId="7E843DAD" w14:textId="77777777">
            <w:pPr>
              <w:widowControl/>
              <w:autoSpaceDE/>
              <w:autoSpaceDN/>
              <w:adjustRightInd/>
              <w:spacing w:line="276" w:lineRule="auto"/>
              <w:ind w:left="360"/>
              <w:contextualSpacing/>
              <w:rPr>
                <w:rFonts w:ascii="Times New Roman" w:hAnsi="Times New Roman"/>
                <w:sz w:val="24"/>
                <w:szCs w:val="24"/>
              </w:rPr>
            </w:pPr>
            <w:r w:rsidRPr="0041188D">
              <w:rPr>
                <w:rFonts w:ascii="Times New Roman" w:hAnsi="Times New Roman"/>
                <w:sz w:val="24"/>
                <w:szCs w:val="24"/>
              </w:rPr>
              <w:t xml:space="preserve">  </w:t>
            </w:r>
            <w:r w:rsidRPr="0041188D">
              <w:rPr>
                <w:rFonts w:ascii="Symbol" w:hAnsi="Symbol"/>
                <w:sz w:val="24"/>
                <w:szCs w:val="24"/>
              </w:rPr>
              <w:sym w:font="Symbol" w:char="F0B7"/>
            </w:r>
            <w:r w:rsidRPr="0041188D">
              <w:rPr>
                <w:rFonts w:ascii="Times New Roman" w:hAnsi="Times New Roman"/>
                <w:sz w:val="24"/>
                <w:szCs w:val="24"/>
              </w:rPr>
              <w:t xml:space="preserve"> These standards must include accountability for all claims made on tax forms and accessibility to explain them when questions arise.”</w:t>
            </w:r>
          </w:p>
          <w:p w:rsidR="00D45484" w:rsidRPr="0041188D" w:rsidP="00434DB4" w14:paraId="323F11B5" w14:textId="77777777">
            <w:pPr>
              <w:pStyle w:val="ListParagraph"/>
              <w:spacing w:after="0"/>
              <w:ind w:left="360"/>
              <w:rPr>
                <w:rFonts w:ascii="Times New Roman" w:hAnsi="Times New Roman" w:cs="Times New Roman"/>
                <w:sz w:val="24"/>
                <w:szCs w:val="24"/>
              </w:rPr>
            </w:pPr>
            <w:r w:rsidRPr="0041188D">
              <w:rPr>
                <w:rFonts w:ascii="Times New Roman" w:hAnsi="Times New Roman" w:cs="Times New Roman"/>
                <w:sz w:val="24"/>
                <w:szCs w:val="24"/>
              </w:rPr>
              <w:t xml:space="preserve">The second letter referenced “a distinction between ‘practice before the IRS’ and paid tax return preparation, </w:t>
            </w:r>
            <w:r w:rsidRPr="0041188D">
              <w:rPr>
                <w:rFonts w:ascii="Times New Roman" w:hAnsi="Times New Roman" w:cs="Times New Roman"/>
                <w:sz w:val="24"/>
                <w:szCs w:val="24"/>
              </w:rPr>
              <w:t>despite the fact that</w:t>
            </w:r>
            <w:r w:rsidRPr="0041188D">
              <w:rPr>
                <w:rFonts w:ascii="Times New Roman" w:hAnsi="Times New Roman" w:cs="Times New Roman"/>
                <w:sz w:val="24"/>
                <w:szCs w:val="24"/>
              </w:rPr>
              <w:t xml:space="preserve"> paid preparers directly interpret tax law, apply taxpayer elections, and submit representations to the IRS that materially affect enforcement, compliance, and taxpayer outcomes. From an administrative and compliance perspective, paid tax return preparation functions as practice before the IRS in all but name.” The letter concluded that the “distinction creates inefficiency in information collection and oversight[,]” noting the IRS collects “extensive” information for enrolled practitioners, including as to suitability and continuing education (CE), resulting in increased “burden on both the IRS and taxpayers.” The letter suggested the IRS evaluate whether enrollment-related information collections “would be more effective and less burdensome . . . if applied uniformly to all paid tax return preparers.” </w:t>
            </w:r>
          </w:p>
          <w:p w:rsidR="00D45484" w:rsidRPr="0041188D" w:rsidP="00434DB4" w14:paraId="389709F9" w14:textId="77777777">
            <w:pPr>
              <w:spacing w:line="276" w:lineRule="auto"/>
              <w:rPr>
                <w:rFonts w:ascii="Times New Roman" w:hAnsi="Times New Roman"/>
                <w:bCs/>
                <w:sz w:val="24"/>
                <w:szCs w:val="24"/>
              </w:rPr>
            </w:pPr>
          </w:p>
        </w:tc>
        <w:tc>
          <w:tcPr>
            <w:tcW w:w="4320" w:type="dxa"/>
          </w:tcPr>
          <w:p w:rsidR="00D45484" w:rsidRPr="0041188D" w:rsidP="00434DB4" w14:paraId="1566584C"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Currently, the only requirements for paid tax return preparers are that they must obtain </w:t>
            </w:r>
            <w:r w:rsidRPr="0041188D">
              <w:rPr>
                <w:rFonts w:ascii="Times New Roman" w:hAnsi="Times New Roman"/>
                <w:bCs/>
                <w:sz w:val="24"/>
                <w:szCs w:val="24"/>
              </w:rPr>
              <w:t>a PTIN</w:t>
            </w:r>
            <w:r w:rsidRPr="0041188D">
              <w:rPr>
                <w:rFonts w:ascii="Times New Roman" w:hAnsi="Times New Roman"/>
                <w:bCs/>
                <w:sz w:val="24"/>
                <w:szCs w:val="24"/>
              </w:rPr>
              <w:t xml:space="preserve"> and comply with due diligence and other return preparation rules in the Internal Revenue </w:t>
            </w:r>
            <w:r w:rsidRPr="0041188D">
              <w:rPr>
                <w:rFonts w:ascii="Times New Roman" w:hAnsi="Times New Roman"/>
                <w:bCs/>
                <w:sz w:val="24"/>
                <w:szCs w:val="24"/>
              </w:rPr>
              <w:t>Code, and</w:t>
            </w:r>
            <w:r w:rsidRPr="0041188D">
              <w:rPr>
                <w:rFonts w:ascii="Times New Roman" w:hAnsi="Times New Roman"/>
                <w:bCs/>
                <w:sz w:val="24"/>
                <w:szCs w:val="24"/>
              </w:rPr>
              <w:t xml:space="preserve"> are subject to penalties for noncompliance. </w:t>
            </w:r>
          </w:p>
          <w:p w:rsidR="00D45484" w:rsidRPr="0041188D" w:rsidP="00434DB4" w14:paraId="12560FFD" w14:textId="77777777">
            <w:pPr>
              <w:spacing w:line="276" w:lineRule="auto"/>
              <w:rPr>
                <w:rFonts w:ascii="Times New Roman" w:hAnsi="Times New Roman"/>
                <w:bCs/>
                <w:sz w:val="24"/>
                <w:szCs w:val="24"/>
              </w:rPr>
            </w:pPr>
          </w:p>
          <w:p w:rsidR="00D45484" w:rsidRPr="0041188D" w:rsidP="00434DB4" w14:paraId="0AB00F1E"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In </w:t>
            </w:r>
            <w:r w:rsidRPr="0041188D">
              <w:rPr>
                <w:rFonts w:ascii="Times New Roman" w:hAnsi="Times New Roman"/>
                <w:bCs/>
                <w:i/>
                <w:iCs/>
                <w:sz w:val="24"/>
                <w:szCs w:val="24"/>
              </w:rPr>
              <w:t>Loving v. IRS</w:t>
            </w:r>
            <w:r w:rsidRPr="0041188D">
              <w:rPr>
                <w:rFonts w:ascii="Times New Roman" w:hAnsi="Times New Roman"/>
                <w:bCs/>
                <w:sz w:val="24"/>
                <w:szCs w:val="24"/>
              </w:rPr>
              <w:t xml:space="preserve">, the D.C. Circuit Court of Appeals ruled that the IRS cannot require all preparers to register as Circular 230 practitioners, undergo competency testing, or complete CE. </w:t>
            </w:r>
          </w:p>
          <w:p w:rsidR="00D45484" w:rsidRPr="0041188D" w:rsidP="00434DB4" w14:paraId="1F4099D6" w14:textId="77777777">
            <w:pPr>
              <w:spacing w:line="276" w:lineRule="auto"/>
              <w:rPr>
                <w:rFonts w:ascii="Times New Roman" w:hAnsi="Times New Roman"/>
                <w:bCs/>
                <w:sz w:val="24"/>
                <w:szCs w:val="24"/>
              </w:rPr>
            </w:pPr>
          </w:p>
          <w:p w:rsidR="00D45484" w:rsidRPr="0041188D" w:rsidP="00434DB4" w14:paraId="0C5A7977"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The IRS is legally unable to implement the suggestions because (1) it lacks (as the court held) the authority in 31 USC 330 to do so; (2) the agency is under a permanent injunction imposed by the court from initiating and enforcing the requirements </w:t>
            </w:r>
            <w:r w:rsidRPr="0041188D">
              <w:rPr>
                <w:rFonts w:ascii="Times New Roman" w:hAnsi="Times New Roman"/>
                <w:bCs/>
                <w:sz w:val="24"/>
                <w:szCs w:val="24"/>
              </w:rPr>
              <w:t>that were set aside; and (3) a legislative change would be required.</w:t>
            </w:r>
          </w:p>
          <w:p w:rsidR="00D45484" w:rsidRPr="0041188D" w:rsidP="00434DB4" w14:paraId="05F29217" w14:textId="77777777">
            <w:pPr>
              <w:spacing w:line="276" w:lineRule="auto"/>
              <w:rPr>
                <w:rFonts w:ascii="Times New Roman" w:hAnsi="Times New Roman"/>
                <w:bCs/>
                <w:sz w:val="24"/>
                <w:szCs w:val="24"/>
              </w:rPr>
            </w:pPr>
          </w:p>
          <w:p w:rsidR="00D45484" w:rsidRPr="0041188D" w:rsidP="00434DB4" w14:paraId="45DB3740"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Some paid tax return preparers can obtain limited practice rights before the IRS, if they participate in AFSP (described above). Those individuals must meet all the requirements of the AFSP which are to: </w:t>
            </w:r>
          </w:p>
          <w:p w:rsidR="00D45484" w:rsidRPr="0041188D" w:rsidP="00434DB4" w14:paraId="05E36340" w14:textId="77777777">
            <w:pPr>
              <w:pStyle w:val="ListParagraph"/>
              <w:widowControl w:val="0"/>
              <w:numPr>
                <w:ilvl w:val="0"/>
                <w:numId w:val="10"/>
              </w:numPr>
              <w:autoSpaceDE w:val="0"/>
              <w:autoSpaceDN w:val="0"/>
              <w:adjustRightInd w:val="0"/>
              <w:spacing w:after="0"/>
              <w:rPr>
                <w:rFonts w:ascii="Times New Roman" w:hAnsi="Times New Roman" w:cs="Times New Roman"/>
                <w:bCs/>
                <w:sz w:val="24"/>
                <w:szCs w:val="24"/>
              </w:rPr>
            </w:pPr>
            <w:r w:rsidRPr="0041188D">
              <w:rPr>
                <w:rFonts w:ascii="Times New Roman" w:hAnsi="Times New Roman" w:cs="Times New Roman"/>
                <w:bCs/>
                <w:sz w:val="24"/>
                <w:szCs w:val="24"/>
              </w:rPr>
              <w:t>Have an active PTIN</w:t>
            </w:r>
          </w:p>
          <w:p w:rsidR="00D45484" w:rsidRPr="0041188D" w:rsidP="00434DB4" w14:paraId="7F634F49" w14:textId="77777777">
            <w:pPr>
              <w:pStyle w:val="ListParagraph"/>
              <w:widowControl w:val="0"/>
              <w:numPr>
                <w:ilvl w:val="0"/>
                <w:numId w:val="10"/>
              </w:numPr>
              <w:autoSpaceDE w:val="0"/>
              <w:autoSpaceDN w:val="0"/>
              <w:adjustRightInd w:val="0"/>
              <w:spacing w:after="0"/>
              <w:rPr>
                <w:rFonts w:ascii="Times New Roman" w:hAnsi="Times New Roman" w:cs="Times New Roman"/>
                <w:bCs/>
                <w:sz w:val="24"/>
                <w:szCs w:val="24"/>
              </w:rPr>
            </w:pPr>
            <w:r w:rsidRPr="0041188D">
              <w:rPr>
                <w:rFonts w:ascii="Times New Roman" w:hAnsi="Times New Roman" w:cs="Times New Roman"/>
                <w:bCs/>
                <w:sz w:val="24"/>
                <w:szCs w:val="24"/>
              </w:rPr>
              <w:t xml:space="preserve">Obtain the required CE by Dec. 31 of every year. </w:t>
            </w:r>
          </w:p>
          <w:p w:rsidR="00D45484" w:rsidRPr="0041188D" w:rsidP="00434DB4" w14:paraId="1FE596D6" w14:textId="77777777">
            <w:pPr>
              <w:pStyle w:val="ListParagraph"/>
              <w:widowControl w:val="0"/>
              <w:numPr>
                <w:ilvl w:val="0"/>
                <w:numId w:val="10"/>
              </w:numPr>
              <w:autoSpaceDE w:val="0"/>
              <w:autoSpaceDN w:val="0"/>
              <w:adjustRightInd w:val="0"/>
              <w:spacing w:after="0"/>
              <w:rPr>
                <w:rFonts w:ascii="Times New Roman" w:hAnsi="Times New Roman" w:cs="Times New Roman"/>
                <w:bCs/>
                <w:sz w:val="24"/>
                <w:szCs w:val="24"/>
              </w:rPr>
            </w:pPr>
            <w:r w:rsidRPr="0041188D">
              <w:rPr>
                <w:rFonts w:ascii="Times New Roman" w:hAnsi="Times New Roman" w:cs="Times New Roman"/>
                <w:bCs/>
                <w:sz w:val="24"/>
                <w:szCs w:val="24"/>
              </w:rPr>
              <w:t xml:space="preserve">Consent to adhere to practice obligations specified in Subpart B and section 10.51 of Circular 230. </w:t>
            </w:r>
          </w:p>
        </w:tc>
      </w:tr>
      <w:tr w14:paraId="1FDA81E8" w14:textId="77777777" w:rsidTr="002B5FD4">
        <w:tblPrEx>
          <w:tblW w:w="9720" w:type="dxa"/>
          <w:tblInd w:w="355" w:type="dxa"/>
          <w:tblLayout w:type="fixed"/>
          <w:tblLook w:val="04A0"/>
        </w:tblPrEx>
        <w:tc>
          <w:tcPr>
            <w:tcW w:w="1260" w:type="dxa"/>
          </w:tcPr>
          <w:p w:rsidR="00D45484" w:rsidRPr="0041188D" w:rsidP="00434DB4" w14:paraId="17BC68CF" w14:textId="77777777">
            <w:pPr>
              <w:pStyle w:val="ListParagraph"/>
              <w:widowControl w:val="0"/>
              <w:numPr>
                <w:ilvl w:val="0"/>
                <w:numId w:val="2"/>
              </w:numPr>
              <w:autoSpaceDE w:val="0"/>
              <w:autoSpaceDN w:val="0"/>
              <w:adjustRightInd w:val="0"/>
              <w:spacing w:after="0"/>
              <w:rPr>
                <w:rFonts w:ascii="Times New Roman" w:hAnsi="Times New Roman" w:cs="Times New Roman"/>
                <w:bCs/>
                <w:sz w:val="24"/>
                <w:szCs w:val="24"/>
              </w:rPr>
            </w:pPr>
          </w:p>
        </w:tc>
        <w:tc>
          <w:tcPr>
            <w:tcW w:w="4140" w:type="dxa"/>
          </w:tcPr>
          <w:p w:rsidR="00D45484" w:rsidRPr="0041188D" w:rsidP="002B5FD4" w14:paraId="320D7D3B" w14:textId="77777777">
            <w:pPr>
              <w:widowControl/>
              <w:spacing w:line="276" w:lineRule="auto"/>
              <w:rPr>
                <w:rFonts w:ascii="Times New Roman" w:hAnsi="Times New Roman"/>
                <w:sz w:val="24"/>
                <w:szCs w:val="24"/>
              </w:rPr>
            </w:pPr>
            <w:r w:rsidRPr="0041188D">
              <w:rPr>
                <w:rFonts w:ascii="Times New Roman" w:hAnsi="Times New Roman"/>
                <w:sz w:val="24"/>
                <w:szCs w:val="24"/>
              </w:rPr>
              <w:t>Two of the comment letters proposed improvements to the IRS public website for Enrolled Agents (</w:t>
            </w:r>
            <w:hyperlink r:id="rId6" w:history="1">
              <w:r w:rsidRPr="0041188D">
                <w:rPr>
                  <w:rStyle w:val="Hyperlink"/>
                  <w:rFonts w:ascii="Times New Roman" w:hAnsi="Times New Roman"/>
                  <w:sz w:val="24"/>
                  <w:szCs w:val="24"/>
                </w:rPr>
                <w:t>Enrolled agents | Internal Revenue Service</w:t>
              </w:r>
            </w:hyperlink>
            <w:r w:rsidRPr="0041188D">
              <w:rPr>
                <w:rFonts w:ascii="Times New Roman" w:hAnsi="Times New Roman"/>
                <w:sz w:val="24"/>
                <w:szCs w:val="24"/>
              </w:rPr>
              <w:t>).</w:t>
            </w:r>
          </w:p>
          <w:p w:rsidR="00D45484" w:rsidRPr="0041188D" w:rsidP="002B5FD4" w14:paraId="4A8A0478" w14:textId="77777777">
            <w:pPr>
              <w:widowControl/>
              <w:spacing w:line="276" w:lineRule="auto"/>
              <w:rPr>
                <w:rFonts w:ascii="Times New Roman" w:hAnsi="Times New Roman"/>
                <w:sz w:val="24"/>
                <w:szCs w:val="24"/>
              </w:rPr>
            </w:pPr>
          </w:p>
          <w:p w:rsidR="00D45484" w:rsidRPr="0041188D" w:rsidP="002B5FD4" w14:paraId="2BDA46BD" w14:textId="77777777">
            <w:pPr>
              <w:widowControl/>
              <w:spacing w:line="276" w:lineRule="auto"/>
              <w:rPr>
                <w:rFonts w:ascii="Times New Roman" w:hAnsi="Times New Roman"/>
                <w:sz w:val="24"/>
                <w:szCs w:val="24"/>
              </w:rPr>
            </w:pPr>
            <w:r w:rsidRPr="0041188D">
              <w:rPr>
                <w:rFonts w:ascii="Times New Roman" w:hAnsi="Times New Roman"/>
                <w:sz w:val="24"/>
                <w:szCs w:val="24"/>
              </w:rPr>
              <w:t xml:space="preserve">As one letter emphasized, “Meaningful burden reduction could be achieved through improved use of technology. A centralized practitioner portal that consolidates enrollment status, renewals, continuing education </w:t>
            </w:r>
            <w:r w:rsidRPr="0041188D">
              <w:rPr>
                <w:rFonts w:ascii="Times New Roman" w:hAnsi="Times New Roman"/>
                <w:sz w:val="24"/>
                <w:szCs w:val="24"/>
              </w:rPr>
              <w:t xml:space="preserve">reporting, and IRS correspondence would be particularly helpful.”  </w:t>
            </w:r>
          </w:p>
          <w:p w:rsidR="00D45484" w:rsidRPr="0041188D" w:rsidP="002B5FD4" w14:paraId="6FD87DA6" w14:textId="77777777">
            <w:pPr>
              <w:widowControl/>
              <w:spacing w:line="276" w:lineRule="auto"/>
              <w:rPr>
                <w:rFonts w:ascii="Times New Roman" w:hAnsi="Times New Roman"/>
                <w:sz w:val="24"/>
                <w:szCs w:val="24"/>
              </w:rPr>
            </w:pPr>
          </w:p>
          <w:p w:rsidR="00D45484" w:rsidRPr="0041188D" w:rsidP="002B5FD4" w14:paraId="5F5943F6" w14:textId="77777777">
            <w:pPr>
              <w:spacing w:line="276" w:lineRule="auto"/>
              <w:rPr>
                <w:rFonts w:ascii="Times New Roman" w:hAnsi="Times New Roman"/>
                <w:bCs/>
                <w:sz w:val="24"/>
                <w:szCs w:val="24"/>
              </w:rPr>
            </w:pPr>
            <w:r w:rsidRPr="0041188D">
              <w:rPr>
                <w:rFonts w:ascii="Times New Roman" w:hAnsi="Times New Roman"/>
                <w:sz w:val="24"/>
                <w:szCs w:val="24"/>
              </w:rPr>
              <w:t>The other letter offered several suggestions to further streamline and generally simplify the online enrollment process and viewing information about it, as well as connecting access to the enrollment system with other services available on IRS.gov. For example, the enrollment “section of the website could be accessible through ID.Me [</w:t>
            </w:r>
            <w:r w:rsidRPr="0041188D">
              <w:rPr>
                <w:rFonts w:ascii="Times New Roman" w:hAnsi="Times New Roman"/>
                <w:i/>
                <w:iCs/>
                <w:sz w:val="24"/>
                <w:szCs w:val="24"/>
              </w:rPr>
              <w:t>sic</w:t>
            </w:r>
            <w:r w:rsidRPr="0041188D">
              <w:rPr>
                <w:rFonts w:ascii="Times New Roman" w:hAnsi="Times New Roman"/>
                <w:sz w:val="24"/>
                <w:szCs w:val="24"/>
              </w:rPr>
              <w:t xml:space="preserve"> [</w:t>
            </w:r>
            <w:r w:rsidRPr="0041188D">
              <w:rPr>
                <w:rFonts w:ascii="Times New Roman" w:hAnsi="Times New Roman"/>
                <w:sz w:val="24"/>
                <w:szCs w:val="24"/>
              </w:rPr>
              <w:t>ID.me]]</w:t>
            </w:r>
            <w:r w:rsidRPr="0041188D">
              <w:rPr>
                <w:rFonts w:ascii="Times New Roman" w:hAnsi="Times New Roman"/>
                <w:sz w:val="24"/>
                <w:szCs w:val="24"/>
              </w:rPr>
              <w:t>. It could also be connected to an individual, business and/or TaxPro account on the IRS website.”</w:t>
            </w:r>
          </w:p>
        </w:tc>
        <w:tc>
          <w:tcPr>
            <w:tcW w:w="4320" w:type="dxa"/>
          </w:tcPr>
          <w:p w:rsidR="00D45484" w:rsidRPr="0041188D" w:rsidP="00434DB4" w14:paraId="7E911B8A"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Information on becoming an enrolled agent can be found on the IRS.gov/ea site. The information on the landing page is listed by EA topics which can be accessed using both the landing page and the left side navigation. EAs can use the PTIN System portal to view correspondence sent regarding their PTINs and continuing education. The agency is always looking for ways to leverage technology to improve the tax professional and taxpayer </w:t>
            </w:r>
            <w:r w:rsidRPr="0041188D">
              <w:rPr>
                <w:rFonts w:ascii="Times New Roman" w:hAnsi="Times New Roman"/>
                <w:bCs/>
                <w:sz w:val="24"/>
                <w:szCs w:val="24"/>
              </w:rPr>
              <w:t xml:space="preserve">experience. The comments  will be considered as the agency looks for opportunities to make processes more efficient. </w:t>
            </w:r>
          </w:p>
        </w:tc>
      </w:tr>
      <w:tr w14:paraId="479EEF11" w14:textId="77777777" w:rsidTr="002B5FD4">
        <w:tblPrEx>
          <w:tblW w:w="9720" w:type="dxa"/>
          <w:tblInd w:w="355" w:type="dxa"/>
          <w:tblLayout w:type="fixed"/>
          <w:tblLook w:val="04A0"/>
        </w:tblPrEx>
        <w:tc>
          <w:tcPr>
            <w:tcW w:w="1260" w:type="dxa"/>
          </w:tcPr>
          <w:p w:rsidR="00D45484" w:rsidRPr="0041188D" w:rsidP="00434DB4" w14:paraId="1CB67607" w14:textId="77777777">
            <w:pPr>
              <w:pStyle w:val="ListParagraph"/>
              <w:widowControl w:val="0"/>
              <w:numPr>
                <w:ilvl w:val="0"/>
                <w:numId w:val="2"/>
              </w:numPr>
              <w:autoSpaceDE w:val="0"/>
              <w:autoSpaceDN w:val="0"/>
              <w:adjustRightInd w:val="0"/>
              <w:spacing w:after="0"/>
              <w:rPr>
                <w:rFonts w:ascii="Times New Roman" w:hAnsi="Times New Roman" w:cs="Times New Roman"/>
                <w:bCs/>
                <w:sz w:val="24"/>
                <w:szCs w:val="24"/>
              </w:rPr>
            </w:pPr>
          </w:p>
        </w:tc>
        <w:tc>
          <w:tcPr>
            <w:tcW w:w="4140" w:type="dxa"/>
          </w:tcPr>
          <w:p w:rsidR="00D45484" w:rsidRPr="0041188D" w:rsidP="002B5FD4" w14:paraId="1EDAAEBB" w14:textId="77777777">
            <w:pPr>
              <w:widowControl/>
              <w:spacing w:line="276" w:lineRule="auto"/>
              <w:rPr>
                <w:rFonts w:ascii="Times New Roman" w:hAnsi="Times New Roman"/>
                <w:sz w:val="24"/>
                <w:szCs w:val="24"/>
              </w:rPr>
            </w:pPr>
            <w:r w:rsidRPr="0041188D">
              <w:rPr>
                <w:rFonts w:ascii="Times New Roman" w:hAnsi="Times New Roman"/>
                <w:sz w:val="24"/>
                <w:szCs w:val="24"/>
              </w:rPr>
              <w:t xml:space="preserve">The same letter also commented on the enrollment application and renewal application, stating, “In regard to Forms 8554 and 23, . . . that  [electronically accessing them] could be connected to the PTIN section of the website (since that is a requirement of an EA). Access to this and other information for the EA could be in a separate section of the IRS website from a menu label along the homepage of the website.” </w:t>
            </w:r>
          </w:p>
        </w:tc>
        <w:tc>
          <w:tcPr>
            <w:tcW w:w="4320" w:type="dxa"/>
          </w:tcPr>
          <w:p w:rsidR="00D45484" w:rsidRPr="0041188D" w:rsidP="00434DB4" w14:paraId="466DFAA6"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A PTIN is required for individuals who prepare or assist in the </w:t>
            </w:r>
            <w:r w:rsidRPr="0041188D">
              <w:rPr>
                <w:rFonts w:ascii="Times New Roman" w:hAnsi="Times New Roman"/>
                <w:bCs/>
                <w:sz w:val="24"/>
                <w:szCs w:val="24"/>
              </w:rPr>
              <w:t>preparing</w:t>
            </w:r>
            <w:r w:rsidRPr="0041188D">
              <w:rPr>
                <w:rFonts w:ascii="Times New Roman" w:hAnsi="Times New Roman"/>
                <w:bCs/>
                <w:sz w:val="24"/>
                <w:szCs w:val="24"/>
              </w:rPr>
              <w:t xml:space="preserve"> of federal tax returns for compensation. While a PTIN is required to obtain or maintain the Enrolled Agent credential,  individuals are not required to be EAs to obtain or renew a PTIN. Information regarding both PTIN registration and EA enrollment can be found on IRS.gov. The EA section currently contains information on obtaining and renewing one’s PTIN because the PTIN is a pre-requisite to practicing as an EA. EA information is presented separately from other credentials and designations and is accessible through the “Tax Pros” section of the IRS.gov website or by visiting IRS.gov/ea.  </w:t>
            </w:r>
          </w:p>
          <w:p w:rsidR="00D45484" w:rsidRPr="0041188D" w:rsidP="00434DB4" w14:paraId="04358D6C" w14:textId="77777777">
            <w:pPr>
              <w:spacing w:line="276" w:lineRule="auto"/>
              <w:rPr>
                <w:rFonts w:ascii="Times New Roman" w:hAnsi="Times New Roman"/>
                <w:bCs/>
                <w:sz w:val="24"/>
                <w:szCs w:val="24"/>
              </w:rPr>
            </w:pPr>
          </w:p>
          <w:p w:rsidR="00D45484" w:rsidRPr="0041188D" w:rsidP="00434DB4" w14:paraId="157F16EB" w14:textId="77777777">
            <w:pPr>
              <w:spacing w:line="276" w:lineRule="auto"/>
              <w:rPr>
                <w:rFonts w:ascii="Times New Roman" w:hAnsi="Times New Roman"/>
                <w:bCs/>
                <w:sz w:val="24"/>
                <w:szCs w:val="24"/>
              </w:rPr>
            </w:pPr>
            <w:r w:rsidRPr="0041188D">
              <w:rPr>
                <w:rFonts w:ascii="Times New Roman" w:hAnsi="Times New Roman"/>
                <w:bCs/>
                <w:sz w:val="24"/>
                <w:szCs w:val="24"/>
              </w:rPr>
              <w:t xml:space="preserve">The comments will be evaluated for any opportunities to enhance or further streamline the process, notwithstanding that the existing procedures appear to be well-optimized. </w:t>
            </w:r>
          </w:p>
        </w:tc>
      </w:tr>
      <w:bookmarkEnd w:id="2"/>
    </w:tbl>
    <w:p w:rsidR="002C26E5" w:rsidRPr="0041188D" w:rsidP="00434DB4" w14:paraId="5E46D6F3" w14:textId="77777777">
      <w:pPr>
        <w:widowControl/>
        <w:spacing w:line="276" w:lineRule="auto"/>
        <w:ind w:left="360"/>
        <w:rPr>
          <w:rFonts w:ascii="Times New Roman" w:hAnsi="Times New Roman"/>
          <w:sz w:val="24"/>
          <w:szCs w:val="24"/>
        </w:rPr>
      </w:pPr>
    </w:p>
    <w:p w:rsidR="009B74BA" w:rsidRPr="0041188D" w:rsidP="00434DB4" w14:paraId="02C6DB10" w14:textId="6F90AAA2">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EXPLANATION OF DECISION TO PROVIDE ANY PAYMENT OR GIFT TO RESPONDENTS</w:t>
      </w:r>
    </w:p>
    <w:p w:rsidR="009B74BA" w:rsidRPr="0041188D" w:rsidP="00434DB4" w14:paraId="21CE9F4D" w14:textId="77777777">
      <w:pPr>
        <w:widowControl/>
        <w:spacing w:line="276" w:lineRule="auto"/>
        <w:ind w:left="360"/>
        <w:rPr>
          <w:rFonts w:ascii="Times New Roman" w:hAnsi="Times New Roman"/>
          <w:sz w:val="24"/>
          <w:szCs w:val="24"/>
        </w:rPr>
      </w:pPr>
    </w:p>
    <w:p w:rsidR="009B74BA" w:rsidRPr="0041188D" w:rsidP="00434DB4" w14:paraId="4389C519" w14:textId="49C951BB">
      <w:pPr>
        <w:widowControl/>
        <w:spacing w:line="276" w:lineRule="auto"/>
        <w:ind w:left="360"/>
        <w:rPr>
          <w:rFonts w:ascii="Times New Roman" w:hAnsi="Times New Roman"/>
          <w:sz w:val="24"/>
          <w:szCs w:val="24"/>
        </w:rPr>
      </w:pPr>
      <w:r w:rsidRPr="0041188D">
        <w:rPr>
          <w:rFonts w:ascii="Times New Roman" w:hAnsi="Times New Roman"/>
          <w:sz w:val="24"/>
          <w:szCs w:val="24"/>
        </w:rPr>
        <w:t>No payment or gift has been provided to any respondents.</w:t>
      </w:r>
    </w:p>
    <w:p w:rsidR="00595D79" w:rsidRPr="0041188D" w:rsidP="00434DB4" w14:paraId="5BE0654E" w14:textId="77777777">
      <w:pPr>
        <w:widowControl/>
        <w:spacing w:line="276" w:lineRule="auto"/>
        <w:ind w:left="360"/>
        <w:rPr>
          <w:rFonts w:ascii="Times New Roman" w:hAnsi="Times New Roman"/>
          <w:sz w:val="24"/>
          <w:szCs w:val="24"/>
        </w:rPr>
      </w:pPr>
    </w:p>
    <w:p w:rsidR="009B74BA" w:rsidRPr="0041188D" w:rsidP="00434DB4" w14:paraId="175B3503" w14:textId="1BEEF07B">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ASSURANCE OF CONFIDENTIALITY OF RESPONSES</w:t>
      </w:r>
    </w:p>
    <w:p w:rsidR="009B74BA" w:rsidRPr="0041188D" w:rsidP="00434DB4" w14:paraId="210D8145" w14:textId="77777777">
      <w:pPr>
        <w:widowControl/>
        <w:spacing w:line="276" w:lineRule="auto"/>
        <w:ind w:left="360"/>
        <w:rPr>
          <w:rFonts w:ascii="Times New Roman" w:hAnsi="Times New Roman"/>
          <w:sz w:val="24"/>
          <w:szCs w:val="24"/>
        </w:rPr>
      </w:pPr>
    </w:p>
    <w:p w:rsidR="009B74BA" w:rsidRPr="0041188D" w:rsidP="00434DB4" w14:paraId="1E24EAFE" w14:textId="38A54552">
      <w:pPr>
        <w:widowControl/>
        <w:spacing w:line="276" w:lineRule="auto"/>
        <w:ind w:left="360"/>
        <w:rPr>
          <w:rFonts w:ascii="Times New Roman" w:hAnsi="Times New Roman"/>
          <w:sz w:val="24"/>
          <w:szCs w:val="24"/>
        </w:rPr>
      </w:pPr>
      <w:r w:rsidRPr="0041188D">
        <w:rPr>
          <w:rFonts w:ascii="Times New Roman" w:hAnsi="Times New Roman"/>
          <w:sz w:val="24"/>
          <w:szCs w:val="24"/>
        </w:rPr>
        <w:t>Generally, tax returns and tax return information are confidential as required by 26 U</w:t>
      </w:r>
      <w:r w:rsidRPr="0041188D" w:rsidR="00AF441A">
        <w:rPr>
          <w:rFonts w:ascii="Times New Roman" w:hAnsi="Times New Roman"/>
          <w:sz w:val="24"/>
          <w:szCs w:val="24"/>
        </w:rPr>
        <w:t>.</w:t>
      </w:r>
      <w:r w:rsidRPr="0041188D">
        <w:rPr>
          <w:rFonts w:ascii="Times New Roman" w:hAnsi="Times New Roman"/>
          <w:sz w:val="24"/>
          <w:szCs w:val="24"/>
        </w:rPr>
        <w:t>S</w:t>
      </w:r>
      <w:r w:rsidRPr="0041188D" w:rsidR="00AF441A">
        <w:rPr>
          <w:rFonts w:ascii="Times New Roman" w:hAnsi="Times New Roman"/>
          <w:sz w:val="24"/>
          <w:szCs w:val="24"/>
        </w:rPr>
        <w:t>.</w:t>
      </w:r>
      <w:r w:rsidRPr="0041188D">
        <w:rPr>
          <w:rFonts w:ascii="Times New Roman" w:hAnsi="Times New Roman"/>
          <w:sz w:val="24"/>
          <w:szCs w:val="24"/>
        </w:rPr>
        <w:t>C</w:t>
      </w:r>
      <w:r w:rsidRPr="0041188D" w:rsidR="00AF441A">
        <w:rPr>
          <w:rFonts w:ascii="Times New Roman" w:hAnsi="Times New Roman"/>
          <w:sz w:val="24"/>
          <w:szCs w:val="24"/>
        </w:rPr>
        <w:t>.</w:t>
      </w:r>
      <w:r w:rsidRPr="0041188D">
        <w:rPr>
          <w:rFonts w:ascii="Times New Roman" w:hAnsi="Times New Roman"/>
          <w:sz w:val="24"/>
          <w:szCs w:val="24"/>
        </w:rPr>
        <w:t xml:space="preserve"> 6103.</w:t>
      </w:r>
      <w:r w:rsidRPr="0041188D" w:rsidR="00A901FC">
        <w:rPr>
          <w:rFonts w:ascii="Times New Roman" w:hAnsi="Times New Roman"/>
          <w:sz w:val="24"/>
          <w:szCs w:val="24"/>
        </w:rPr>
        <w:t xml:space="preserve">  </w:t>
      </w:r>
    </w:p>
    <w:p w:rsidR="00E130E5" w:rsidRPr="0041188D" w:rsidP="00434DB4" w14:paraId="06A6E164" w14:textId="77777777">
      <w:pPr>
        <w:widowControl/>
        <w:spacing w:line="276" w:lineRule="auto"/>
        <w:ind w:left="360"/>
        <w:rPr>
          <w:rFonts w:ascii="Times New Roman" w:hAnsi="Times New Roman"/>
          <w:sz w:val="24"/>
          <w:szCs w:val="24"/>
        </w:rPr>
      </w:pPr>
    </w:p>
    <w:p w:rsidR="009B74BA" w:rsidRPr="0041188D" w:rsidP="00434DB4" w14:paraId="081BFEFC" w14:textId="388C5A41">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JUSTIFICATION OF SENSITIVE QUESTIONS</w:t>
      </w:r>
    </w:p>
    <w:p w:rsidR="009B74BA" w:rsidRPr="0041188D" w:rsidP="00434DB4" w14:paraId="3511C2A5" w14:textId="77777777">
      <w:pPr>
        <w:widowControl/>
        <w:spacing w:line="276" w:lineRule="auto"/>
        <w:ind w:left="360"/>
        <w:rPr>
          <w:rFonts w:ascii="Times New Roman" w:hAnsi="Times New Roman"/>
          <w:sz w:val="24"/>
          <w:szCs w:val="24"/>
        </w:rPr>
      </w:pPr>
    </w:p>
    <w:p w:rsidR="0092460E" w:rsidRPr="0041188D" w:rsidP="00434DB4" w14:paraId="6C206DDB" w14:textId="77777777">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A privacy impact assessment (PIA) has been conducted for information collected under this request as part of the “Return Preparer Database (RPD)” system and a Privacy Act System of Records notice (SORN) has been issued for this system under; Treas/IRS 37.006 Correspondence, Miscellaneous Records, and Information Management Records; Treasury/IRS 37.007 Practitioner Disciplinary Records; Treasury/IRS 37.009 Enrolled Agent and Enrolled Retirement Plan Agent Records; Treasury/IRS 37.111 Preparer Tax Identification Number (PTIN) Records. The Internal Revenue Service PIAs can be found at </w:t>
      </w:r>
      <w:hyperlink r:id="rId7" w:history="1">
        <w:r w:rsidRPr="0041188D">
          <w:rPr>
            <w:rStyle w:val="Hyperlink"/>
            <w:rFonts w:ascii="Times New Roman" w:hAnsi="Times New Roman"/>
            <w:sz w:val="24"/>
            <w:szCs w:val="24"/>
          </w:rPr>
          <w:t>https://www.irs.gov/uac/Privacy-Impact-Assessments-PIA</w:t>
        </w:r>
      </w:hyperlink>
      <w:r w:rsidRPr="0041188D">
        <w:rPr>
          <w:rFonts w:ascii="Times New Roman" w:hAnsi="Times New Roman"/>
          <w:sz w:val="24"/>
          <w:szCs w:val="24"/>
        </w:rPr>
        <w:t xml:space="preserve">.   </w:t>
      </w:r>
    </w:p>
    <w:p w:rsidR="0092460E" w:rsidRPr="0041188D" w:rsidP="00434DB4" w14:paraId="33234C91" w14:textId="77777777">
      <w:pPr>
        <w:widowControl/>
        <w:spacing w:line="276" w:lineRule="auto"/>
        <w:ind w:left="360"/>
        <w:rPr>
          <w:rFonts w:ascii="Times New Roman" w:hAnsi="Times New Roman"/>
          <w:sz w:val="24"/>
          <w:szCs w:val="24"/>
        </w:rPr>
      </w:pPr>
    </w:p>
    <w:p w:rsidR="0092460E" w:rsidRPr="0041188D" w:rsidP="00434DB4" w14:paraId="6C3D20A1" w14:textId="77777777">
      <w:pPr>
        <w:widowControl/>
        <w:spacing w:line="276" w:lineRule="auto"/>
        <w:ind w:left="360"/>
        <w:rPr>
          <w:rFonts w:ascii="Times New Roman" w:hAnsi="Times New Roman"/>
          <w:sz w:val="24"/>
          <w:szCs w:val="24"/>
        </w:rPr>
      </w:pPr>
      <w:r w:rsidRPr="0041188D">
        <w:rPr>
          <w:rFonts w:ascii="Times New Roman" w:hAnsi="Times New Roman"/>
          <w:sz w:val="24"/>
          <w:szCs w:val="24"/>
        </w:rPr>
        <w:t>Title 26 USC 6109 requires inclusion of identifying numbers on returns, statements, or other documents for securing proper identification of persons required to make such returns, statements, or documents and is the authority for social security numbers (SSNs) in IRS systems.</w:t>
      </w:r>
    </w:p>
    <w:p w:rsidR="00696343" w:rsidRPr="0041188D" w:rsidP="00434DB4" w14:paraId="2D741DF2" w14:textId="77777777">
      <w:pPr>
        <w:widowControl/>
        <w:spacing w:line="276" w:lineRule="auto"/>
        <w:ind w:left="360"/>
        <w:rPr>
          <w:rFonts w:ascii="Times New Roman" w:hAnsi="Times New Roman"/>
          <w:sz w:val="24"/>
          <w:szCs w:val="24"/>
        </w:rPr>
      </w:pPr>
    </w:p>
    <w:p w:rsidR="00865FF4" w:rsidRPr="0041188D" w:rsidP="00434DB4" w14:paraId="0C96FBBD" w14:textId="5426B617">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ESTIMATED BURDEN OF INFORMATION COLLECTION</w:t>
      </w:r>
    </w:p>
    <w:p w:rsidR="005433D0" w:rsidRPr="0041188D" w:rsidP="00434DB4" w14:paraId="68B0E884" w14:textId="77777777">
      <w:pPr>
        <w:spacing w:line="276" w:lineRule="auto"/>
        <w:rPr>
          <w:rFonts w:ascii="Times New Roman" w:hAnsi="Times New Roman"/>
          <w:sz w:val="24"/>
          <w:szCs w:val="24"/>
        </w:rPr>
      </w:pPr>
    </w:p>
    <w:p w:rsidR="0049786D" w:rsidRPr="0041188D" w:rsidP="00434DB4" w14:paraId="3BF2B3B2" w14:textId="622BB633">
      <w:pPr>
        <w:spacing w:line="276" w:lineRule="auto"/>
        <w:ind w:left="360"/>
        <w:rPr>
          <w:rFonts w:ascii="Times New Roman" w:hAnsi="Times New Roman"/>
          <w:sz w:val="24"/>
          <w:szCs w:val="24"/>
        </w:rPr>
      </w:pPr>
      <w:r w:rsidRPr="0041188D">
        <w:rPr>
          <w:rFonts w:ascii="Times New Roman" w:hAnsi="Times New Roman"/>
          <w:sz w:val="24"/>
          <w:szCs w:val="24"/>
        </w:rPr>
        <w:t>Estimated total annual reporting</w:t>
      </w:r>
      <w:r w:rsidR="00F57C6C">
        <w:rPr>
          <w:rFonts w:ascii="Times New Roman" w:hAnsi="Times New Roman"/>
          <w:sz w:val="24"/>
          <w:szCs w:val="24"/>
        </w:rPr>
        <w:t>, third-party disclosure,</w:t>
      </w:r>
      <w:r w:rsidRPr="0041188D">
        <w:rPr>
          <w:rFonts w:ascii="Times New Roman" w:hAnsi="Times New Roman"/>
          <w:sz w:val="24"/>
          <w:szCs w:val="24"/>
        </w:rPr>
        <w:t xml:space="preserve"> and recordkeeping burden is </w:t>
      </w:r>
      <w:r w:rsidRPr="0041188D">
        <w:rPr>
          <w:rFonts w:ascii="Times New Roman" w:hAnsi="Times New Roman"/>
          <w:sz w:val="24"/>
          <w:szCs w:val="24"/>
        </w:rPr>
        <w:t>broken out</w:t>
      </w:r>
      <w:r w:rsidRPr="0041188D">
        <w:rPr>
          <w:rFonts w:ascii="Times New Roman" w:hAnsi="Times New Roman"/>
          <w:sz w:val="24"/>
          <w:szCs w:val="24"/>
        </w:rPr>
        <w:t xml:space="preserve"> as follows:</w:t>
      </w:r>
    </w:p>
    <w:p w:rsidR="004E5B0E" w:rsidRPr="0041188D" w:rsidP="00434DB4" w14:paraId="08E68B53" w14:textId="77777777">
      <w:pPr>
        <w:spacing w:line="276" w:lineRule="auto"/>
        <w:ind w:left="360"/>
        <w:rPr>
          <w:rFonts w:ascii="Times New Roman" w:hAnsi="Times New Roman"/>
          <w:sz w:val="24"/>
          <w:szCs w:val="24"/>
        </w:rPr>
      </w:pPr>
    </w:p>
    <w:tbl>
      <w:tblPr>
        <w:tblStyle w:val="TableGrid2"/>
        <w:tblW w:w="9900" w:type="dxa"/>
        <w:tblInd w:w="355" w:type="dxa"/>
        <w:tblLayout w:type="fixed"/>
        <w:tblLook w:val="04A0"/>
      </w:tblPr>
      <w:tblGrid>
        <w:gridCol w:w="1260"/>
        <w:gridCol w:w="1800"/>
        <w:gridCol w:w="1080"/>
        <w:gridCol w:w="1260"/>
        <w:gridCol w:w="1350"/>
        <w:gridCol w:w="1260"/>
        <w:gridCol w:w="1890"/>
      </w:tblGrid>
      <w:tr w14:paraId="2AFFA979" w14:textId="77777777" w:rsidTr="00114A36">
        <w:tblPrEx>
          <w:tblW w:w="9900" w:type="dxa"/>
          <w:tblInd w:w="355" w:type="dxa"/>
          <w:tblLayout w:type="fixed"/>
          <w:tblLook w:val="04A0"/>
        </w:tblPrEx>
        <w:trPr>
          <w:trHeight w:val="2398"/>
        </w:trPr>
        <w:tc>
          <w:tcPr>
            <w:tcW w:w="1260" w:type="dxa"/>
            <w:vAlign w:val="bottom"/>
          </w:tcPr>
          <w:p w:rsidR="0092460E" w:rsidRPr="0041188D" w:rsidP="00434DB4" w14:paraId="3AB95092" w14:textId="77777777">
            <w:pPr>
              <w:widowControl/>
              <w:tabs>
                <w:tab w:val="left" w:pos="540"/>
              </w:tabs>
              <w:autoSpaceDE/>
              <w:autoSpaceDN/>
              <w:adjustRightInd/>
              <w:spacing w:line="276" w:lineRule="auto"/>
              <w:jc w:val="center"/>
              <w:rPr>
                <w:rFonts w:ascii="Times New Roman" w:hAnsi="Times New Roman" w:cs="Times New Roman"/>
                <w:b/>
                <w:szCs w:val="24"/>
              </w:rPr>
            </w:pPr>
            <w:r w:rsidRPr="0041188D">
              <w:rPr>
                <w:rFonts w:ascii="Times New Roman" w:hAnsi="Times New Roman" w:cs="Times New Roman"/>
                <w:b/>
                <w:szCs w:val="24"/>
              </w:rPr>
              <w:t>Authority</w:t>
            </w:r>
          </w:p>
          <w:p w:rsidR="0092460E" w:rsidRPr="0041188D" w:rsidP="00434DB4" w14:paraId="7254B4D9"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(31 CFR part 10, section)</w:t>
            </w:r>
          </w:p>
        </w:tc>
        <w:tc>
          <w:tcPr>
            <w:tcW w:w="1800" w:type="dxa"/>
            <w:vAlign w:val="bottom"/>
          </w:tcPr>
          <w:p w:rsidR="0092460E" w:rsidRPr="0041188D" w:rsidP="00434DB4" w14:paraId="36AAD16F"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Description</w:t>
            </w:r>
          </w:p>
        </w:tc>
        <w:tc>
          <w:tcPr>
            <w:tcW w:w="1080" w:type="dxa"/>
            <w:vAlign w:val="bottom"/>
          </w:tcPr>
          <w:p w:rsidR="0092460E" w:rsidRPr="0041188D" w:rsidP="00434DB4" w14:paraId="523158AE"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 of Respondents</w:t>
            </w:r>
          </w:p>
        </w:tc>
        <w:tc>
          <w:tcPr>
            <w:tcW w:w="1260" w:type="dxa"/>
            <w:vAlign w:val="bottom"/>
          </w:tcPr>
          <w:p w:rsidR="0092460E" w:rsidRPr="0041188D" w:rsidP="00434DB4" w14:paraId="4A23DE62"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 Responses per Respondent</w:t>
            </w:r>
          </w:p>
        </w:tc>
        <w:tc>
          <w:tcPr>
            <w:tcW w:w="1350" w:type="dxa"/>
            <w:vAlign w:val="bottom"/>
          </w:tcPr>
          <w:p w:rsidR="0092460E" w:rsidRPr="0041188D" w:rsidP="00434DB4" w14:paraId="5D1720E7"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Annual Responses</w:t>
            </w:r>
          </w:p>
        </w:tc>
        <w:tc>
          <w:tcPr>
            <w:tcW w:w="1260" w:type="dxa"/>
            <w:vAlign w:val="bottom"/>
          </w:tcPr>
          <w:p w:rsidR="0092460E" w:rsidRPr="0041188D" w:rsidP="00434DB4" w14:paraId="5B562CCF"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Hours per Response</w:t>
            </w:r>
          </w:p>
        </w:tc>
        <w:tc>
          <w:tcPr>
            <w:tcW w:w="1890" w:type="dxa"/>
            <w:vAlign w:val="bottom"/>
          </w:tcPr>
          <w:p w:rsidR="0092460E" w:rsidRPr="0041188D" w:rsidP="00434DB4" w14:paraId="1401FAD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b/>
                <w:szCs w:val="24"/>
              </w:rPr>
              <w:t>Total Burden Hours</w:t>
            </w:r>
          </w:p>
        </w:tc>
      </w:tr>
      <w:tr w14:paraId="5C0CE222" w14:textId="77777777" w:rsidTr="00114A36">
        <w:tblPrEx>
          <w:tblW w:w="9900" w:type="dxa"/>
          <w:tblInd w:w="355" w:type="dxa"/>
          <w:tblLayout w:type="fixed"/>
          <w:tblLook w:val="04A0"/>
        </w:tblPrEx>
        <w:trPr>
          <w:trHeight w:val="479"/>
        </w:trPr>
        <w:tc>
          <w:tcPr>
            <w:tcW w:w="1260" w:type="dxa"/>
          </w:tcPr>
          <w:p w:rsidR="0092460E" w:rsidRPr="0041188D" w:rsidP="00434DB4" w14:paraId="2D154B5E"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10.4</w:t>
            </w:r>
          </w:p>
        </w:tc>
        <w:tc>
          <w:tcPr>
            <w:tcW w:w="1800" w:type="dxa"/>
          </w:tcPr>
          <w:p w:rsidR="0092460E" w:rsidRPr="0041188D" w:rsidP="00434DB4" w14:paraId="24F928C5"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2587</w:t>
            </w:r>
          </w:p>
        </w:tc>
        <w:tc>
          <w:tcPr>
            <w:tcW w:w="1080" w:type="dxa"/>
          </w:tcPr>
          <w:p w:rsidR="0092460E" w:rsidRPr="0041188D" w:rsidP="00434DB4" w14:paraId="059DDC52"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15,643</w:t>
            </w:r>
          </w:p>
        </w:tc>
        <w:tc>
          <w:tcPr>
            <w:tcW w:w="1260" w:type="dxa"/>
          </w:tcPr>
          <w:p w:rsidR="0092460E" w:rsidRPr="0041188D" w:rsidP="00434DB4" w14:paraId="1419E599"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4089CDB6"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15,643</w:t>
            </w:r>
          </w:p>
        </w:tc>
        <w:tc>
          <w:tcPr>
            <w:tcW w:w="1260" w:type="dxa"/>
          </w:tcPr>
          <w:p w:rsidR="0092460E" w:rsidRPr="0041188D" w:rsidP="00434DB4" w14:paraId="01A5A2A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.45</w:t>
            </w:r>
          </w:p>
        </w:tc>
        <w:tc>
          <w:tcPr>
            <w:tcW w:w="1890" w:type="dxa"/>
          </w:tcPr>
          <w:p w:rsidR="0092460E" w:rsidRPr="0041188D" w:rsidP="00434DB4" w14:paraId="4A5C8FFE"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7,040</w:t>
            </w:r>
          </w:p>
        </w:tc>
      </w:tr>
      <w:tr w14:paraId="08603A83" w14:textId="77777777" w:rsidTr="00114A36">
        <w:tblPrEx>
          <w:tblW w:w="9900" w:type="dxa"/>
          <w:tblInd w:w="355" w:type="dxa"/>
          <w:tblLayout w:type="fixed"/>
          <w:tblLook w:val="04A0"/>
        </w:tblPrEx>
        <w:trPr>
          <w:trHeight w:val="479"/>
        </w:trPr>
        <w:tc>
          <w:tcPr>
            <w:tcW w:w="1260" w:type="dxa"/>
          </w:tcPr>
          <w:p w:rsidR="0092460E" w:rsidRPr="0041188D" w:rsidP="00434DB4" w14:paraId="754C1601"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10.5</w:t>
            </w:r>
          </w:p>
        </w:tc>
        <w:tc>
          <w:tcPr>
            <w:tcW w:w="1800" w:type="dxa"/>
          </w:tcPr>
          <w:p w:rsidR="0092460E" w:rsidRPr="0041188D" w:rsidP="00434DB4" w14:paraId="02F51489"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23</w:t>
            </w:r>
          </w:p>
        </w:tc>
        <w:tc>
          <w:tcPr>
            <w:tcW w:w="1080" w:type="dxa"/>
          </w:tcPr>
          <w:p w:rsidR="0092460E" w:rsidRPr="0041188D" w:rsidP="00434DB4" w14:paraId="0F217C1A"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5,429</w:t>
            </w:r>
          </w:p>
        </w:tc>
        <w:tc>
          <w:tcPr>
            <w:tcW w:w="1260" w:type="dxa"/>
          </w:tcPr>
          <w:p w:rsidR="0092460E" w:rsidRPr="0041188D" w:rsidP="00434DB4" w14:paraId="12A2AAFF"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0586AFF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5,429</w:t>
            </w:r>
          </w:p>
        </w:tc>
        <w:tc>
          <w:tcPr>
            <w:tcW w:w="1260" w:type="dxa"/>
          </w:tcPr>
          <w:p w:rsidR="0092460E" w:rsidRPr="0041188D" w:rsidP="00434DB4" w14:paraId="1B183F9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1.17</w:t>
            </w:r>
          </w:p>
        </w:tc>
        <w:tc>
          <w:tcPr>
            <w:tcW w:w="1890" w:type="dxa"/>
          </w:tcPr>
          <w:p w:rsidR="0092460E" w:rsidRPr="0041188D" w:rsidP="00434DB4" w14:paraId="0C4D3112"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6,352</w:t>
            </w:r>
          </w:p>
        </w:tc>
      </w:tr>
      <w:tr w14:paraId="62AA40B4" w14:textId="77777777" w:rsidTr="00114A36">
        <w:tblPrEx>
          <w:tblW w:w="9900" w:type="dxa"/>
          <w:tblInd w:w="355" w:type="dxa"/>
          <w:tblLayout w:type="fixed"/>
          <w:tblLook w:val="04A0"/>
        </w:tblPrEx>
        <w:trPr>
          <w:trHeight w:val="479"/>
        </w:trPr>
        <w:tc>
          <w:tcPr>
            <w:tcW w:w="1260" w:type="dxa"/>
          </w:tcPr>
          <w:p w:rsidR="0092460E" w:rsidRPr="0041188D" w:rsidP="00434DB4" w14:paraId="6EB16531"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10.6</w:t>
            </w:r>
          </w:p>
        </w:tc>
        <w:tc>
          <w:tcPr>
            <w:tcW w:w="1800" w:type="dxa"/>
          </w:tcPr>
          <w:p w:rsidR="0092460E" w:rsidRPr="0041188D" w:rsidP="00434DB4" w14:paraId="2683EC15"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8554</w:t>
            </w:r>
          </w:p>
        </w:tc>
        <w:tc>
          <w:tcPr>
            <w:tcW w:w="1080" w:type="dxa"/>
          </w:tcPr>
          <w:p w:rsidR="0092460E" w:rsidRPr="0041188D" w:rsidP="00434DB4" w14:paraId="2E04AF08" w14:textId="272B69F6">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w:t>
            </w:r>
            <w:r w:rsidR="00B35D44">
              <w:rPr>
                <w:rFonts w:ascii="Times New Roman" w:hAnsi="Times New Roman" w:cs="Times New Roman"/>
                <w:szCs w:val="24"/>
              </w:rPr>
              <w:t>1</w:t>
            </w:r>
            <w:r w:rsidRPr="0041188D">
              <w:rPr>
                <w:rFonts w:ascii="Times New Roman" w:hAnsi="Times New Roman" w:cs="Times New Roman"/>
                <w:szCs w:val="24"/>
              </w:rPr>
              <w:t>,000</w:t>
            </w:r>
          </w:p>
        </w:tc>
        <w:tc>
          <w:tcPr>
            <w:tcW w:w="1260" w:type="dxa"/>
          </w:tcPr>
          <w:p w:rsidR="0092460E" w:rsidRPr="0041188D" w:rsidP="00434DB4" w14:paraId="04BB91BD" w14:textId="012DD756">
            <w:pPr>
              <w:widowControl/>
              <w:tabs>
                <w:tab w:val="left" w:pos="540"/>
              </w:tabs>
              <w:autoSpaceDE/>
              <w:autoSpaceDN/>
              <w:adjustRightInd/>
              <w:spacing w:line="276" w:lineRule="auto"/>
              <w:jc w:val="center"/>
              <w:rPr>
                <w:rFonts w:ascii="Times New Roman" w:hAnsi="Times New Roman" w:cs="Times New Roman"/>
                <w:szCs w:val="24"/>
              </w:rPr>
            </w:pPr>
            <w:r>
              <w:rPr>
                <w:rFonts w:ascii="Times New Roman" w:hAnsi="Times New Roman" w:cs="Times New Roman"/>
                <w:szCs w:val="24"/>
              </w:rPr>
              <w:t>1</w:t>
            </w:r>
            <w:r w:rsidRPr="0041188D">
              <w:rPr>
                <w:rFonts w:ascii="Times New Roman" w:hAnsi="Times New Roman" w:cs="Times New Roman"/>
                <w:szCs w:val="24"/>
              </w:rPr>
              <w:t xml:space="preserve"> </w:t>
            </w:r>
          </w:p>
        </w:tc>
        <w:tc>
          <w:tcPr>
            <w:tcW w:w="1350" w:type="dxa"/>
          </w:tcPr>
          <w:p w:rsidR="0092460E" w:rsidRPr="0041188D" w:rsidP="00434DB4" w14:paraId="2AD2AC3E"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21,000</w:t>
            </w:r>
          </w:p>
        </w:tc>
        <w:tc>
          <w:tcPr>
            <w:tcW w:w="1260" w:type="dxa"/>
          </w:tcPr>
          <w:p w:rsidR="0092460E" w:rsidRPr="0041188D" w:rsidP="00434DB4" w14:paraId="6F26A348"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1.19</w:t>
            </w:r>
          </w:p>
        </w:tc>
        <w:tc>
          <w:tcPr>
            <w:tcW w:w="1890" w:type="dxa"/>
          </w:tcPr>
          <w:p w:rsidR="0092460E" w:rsidRPr="0041188D" w:rsidP="00434DB4" w14:paraId="3852FC6A"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24,990</w:t>
            </w:r>
          </w:p>
        </w:tc>
      </w:tr>
      <w:tr w14:paraId="611ACD04" w14:textId="77777777" w:rsidTr="00114A36">
        <w:tblPrEx>
          <w:tblW w:w="9900" w:type="dxa"/>
          <w:tblInd w:w="355" w:type="dxa"/>
          <w:tblLayout w:type="fixed"/>
          <w:tblLook w:val="04A0"/>
        </w:tblPrEx>
        <w:trPr>
          <w:trHeight w:val="479"/>
        </w:trPr>
        <w:tc>
          <w:tcPr>
            <w:tcW w:w="1260" w:type="dxa"/>
          </w:tcPr>
          <w:p w:rsidR="0092460E" w:rsidRPr="0041188D" w:rsidP="00434DB4" w14:paraId="38811D32"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10.6</w:t>
            </w:r>
          </w:p>
        </w:tc>
        <w:tc>
          <w:tcPr>
            <w:tcW w:w="1800" w:type="dxa"/>
          </w:tcPr>
          <w:p w:rsidR="0092460E" w:rsidRPr="0041188D" w:rsidP="00434DB4" w14:paraId="4C49DEE8"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8554-EP</w:t>
            </w:r>
          </w:p>
        </w:tc>
        <w:tc>
          <w:tcPr>
            <w:tcW w:w="1080" w:type="dxa"/>
          </w:tcPr>
          <w:p w:rsidR="0092460E" w:rsidRPr="0041188D" w:rsidP="00434DB4" w14:paraId="48F938A8" w14:textId="56AAB098">
            <w:pPr>
              <w:widowControl/>
              <w:tabs>
                <w:tab w:val="left" w:pos="540"/>
              </w:tabs>
              <w:autoSpaceDE/>
              <w:autoSpaceDN/>
              <w:adjustRightInd/>
              <w:spacing w:line="276" w:lineRule="auto"/>
              <w:jc w:val="center"/>
              <w:rPr>
                <w:rFonts w:ascii="Times New Roman" w:hAnsi="Times New Roman" w:cs="Times New Roman"/>
                <w:szCs w:val="24"/>
              </w:rPr>
            </w:pPr>
            <w:r>
              <w:rPr>
                <w:rFonts w:ascii="Times New Roman" w:hAnsi="Times New Roman" w:cs="Times New Roman"/>
                <w:szCs w:val="24"/>
              </w:rPr>
              <w:t>2</w:t>
            </w:r>
            <w:r w:rsidRPr="0041188D" w:rsidR="009E7500">
              <w:rPr>
                <w:rFonts w:ascii="Times New Roman" w:hAnsi="Times New Roman" w:cs="Times New Roman"/>
                <w:szCs w:val="24"/>
              </w:rPr>
              <w:t>50</w:t>
            </w:r>
          </w:p>
        </w:tc>
        <w:tc>
          <w:tcPr>
            <w:tcW w:w="1260" w:type="dxa"/>
          </w:tcPr>
          <w:p w:rsidR="0092460E" w:rsidRPr="0041188D" w:rsidP="00434DB4" w14:paraId="1BFF5EB9" w14:textId="6D459374">
            <w:pPr>
              <w:widowControl/>
              <w:tabs>
                <w:tab w:val="left" w:pos="540"/>
              </w:tabs>
              <w:autoSpaceDE/>
              <w:autoSpaceDN/>
              <w:adjustRightInd/>
              <w:spacing w:line="276" w:lineRule="auto"/>
              <w:jc w:val="center"/>
              <w:rPr>
                <w:rFonts w:ascii="Times New Roman" w:hAnsi="Times New Roman" w:cs="Times New Roman"/>
                <w:szCs w:val="24"/>
              </w:rPr>
            </w:pPr>
            <w:r>
              <w:rPr>
                <w:rFonts w:ascii="Times New Roman" w:hAnsi="Times New Roman" w:cs="Times New Roman"/>
                <w:szCs w:val="24"/>
              </w:rPr>
              <w:t>1</w:t>
            </w:r>
          </w:p>
        </w:tc>
        <w:tc>
          <w:tcPr>
            <w:tcW w:w="1350" w:type="dxa"/>
          </w:tcPr>
          <w:p w:rsidR="0092460E" w:rsidRPr="0041188D" w:rsidP="00434DB4" w14:paraId="2EE1A2F2"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250</w:t>
            </w:r>
          </w:p>
        </w:tc>
        <w:tc>
          <w:tcPr>
            <w:tcW w:w="1260" w:type="dxa"/>
          </w:tcPr>
          <w:p w:rsidR="0092460E" w:rsidRPr="0041188D" w:rsidP="00434DB4" w14:paraId="2134D92F"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1.15</w:t>
            </w:r>
          </w:p>
        </w:tc>
        <w:tc>
          <w:tcPr>
            <w:tcW w:w="1890" w:type="dxa"/>
          </w:tcPr>
          <w:p w:rsidR="0092460E" w:rsidRPr="0041188D" w:rsidP="00434DB4" w14:paraId="037CAD8E"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288</w:t>
            </w:r>
          </w:p>
        </w:tc>
      </w:tr>
      <w:tr w14:paraId="678CF03A" w14:textId="77777777" w:rsidTr="00114A36">
        <w:tblPrEx>
          <w:tblW w:w="9900" w:type="dxa"/>
          <w:tblInd w:w="355" w:type="dxa"/>
          <w:tblLayout w:type="fixed"/>
          <w:tblLook w:val="04A0"/>
        </w:tblPrEx>
        <w:trPr>
          <w:trHeight w:val="456"/>
        </w:trPr>
        <w:tc>
          <w:tcPr>
            <w:tcW w:w="1260" w:type="dxa"/>
          </w:tcPr>
          <w:p w:rsidR="0092460E" w:rsidRPr="0041188D" w:rsidP="00434DB4" w14:paraId="5C3807A4"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10.9</w:t>
            </w:r>
          </w:p>
        </w:tc>
        <w:tc>
          <w:tcPr>
            <w:tcW w:w="1800" w:type="dxa"/>
          </w:tcPr>
          <w:p w:rsidR="0092460E" w:rsidRPr="0041188D" w:rsidP="00434DB4" w14:paraId="6C89FBB6"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8498</w:t>
            </w:r>
          </w:p>
        </w:tc>
        <w:tc>
          <w:tcPr>
            <w:tcW w:w="1080" w:type="dxa"/>
          </w:tcPr>
          <w:p w:rsidR="0092460E" w:rsidRPr="0041188D" w:rsidP="00434DB4" w14:paraId="048A6CDB"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800</w:t>
            </w:r>
          </w:p>
        </w:tc>
        <w:tc>
          <w:tcPr>
            <w:tcW w:w="1260" w:type="dxa"/>
          </w:tcPr>
          <w:p w:rsidR="0092460E" w:rsidRPr="0041188D" w:rsidP="00434DB4" w14:paraId="4D7ECB39"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1447365B"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800</w:t>
            </w:r>
          </w:p>
        </w:tc>
        <w:tc>
          <w:tcPr>
            <w:tcW w:w="1260" w:type="dxa"/>
          </w:tcPr>
          <w:p w:rsidR="0092460E" w:rsidRPr="0041188D" w:rsidP="00434DB4" w14:paraId="0AFD0313"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2.2</w:t>
            </w:r>
          </w:p>
        </w:tc>
        <w:tc>
          <w:tcPr>
            <w:tcW w:w="1890" w:type="dxa"/>
          </w:tcPr>
          <w:p w:rsidR="0092460E" w:rsidRPr="0041188D" w:rsidP="00434DB4" w14:paraId="276BA45B"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1760</w:t>
            </w:r>
          </w:p>
        </w:tc>
      </w:tr>
      <w:tr w14:paraId="4FC31538" w14:textId="77777777" w:rsidTr="00114A36">
        <w:tblPrEx>
          <w:tblW w:w="9900" w:type="dxa"/>
          <w:tblInd w:w="355" w:type="dxa"/>
          <w:tblLayout w:type="fixed"/>
          <w:tblLook w:val="04A0"/>
        </w:tblPrEx>
        <w:trPr>
          <w:trHeight w:val="479"/>
        </w:trPr>
        <w:tc>
          <w:tcPr>
            <w:tcW w:w="1260" w:type="dxa"/>
          </w:tcPr>
          <w:p w:rsidR="0092460E" w:rsidRPr="0041188D" w:rsidP="00434DB4" w14:paraId="24E8D19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10.9</w:t>
            </w:r>
          </w:p>
        </w:tc>
        <w:tc>
          <w:tcPr>
            <w:tcW w:w="1800" w:type="dxa"/>
          </w:tcPr>
          <w:p w:rsidR="0092460E" w:rsidRPr="0041188D" w:rsidP="00434DB4" w14:paraId="12BE4722"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14360</w:t>
            </w:r>
          </w:p>
        </w:tc>
        <w:tc>
          <w:tcPr>
            <w:tcW w:w="1080" w:type="dxa"/>
          </w:tcPr>
          <w:p w:rsidR="0092460E" w:rsidRPr="0041188D" w:rsidP="00434DB4" w14:paraId="28BBA7B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w:t>
            </w:r>
          </w:p>
        </w:tc>
        <w:tc>
          <w:tcPr>
            <w:tcW w:w="1260" w:type="dxa"/>
          </w:tcPr>
          <w:p w:rsidR="0092460E" w:rsidRPr="0041188D" w:rsidP="00434DB4" w14:paraId="421CD797"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67878EB9"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w:t>
            </w:r>
          </w:p>
        </w:tc>
        <w:tc>
          <w:tcPr>
            <w:tcW w:w="1260" w:type="dxa"/>
          </w:tcPr>
          <w:p w:rsidR="0092460E" w:rsidRPr="0041188D" w:rsidP="00434DB4" w14:paraId="567B4B5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.67</w:t>
            </w:r>
          </w:p>
        </w:tc>
        <w:tc>
          <w:tcPr>
            <w:tcW w:w="1890" w:type="dxa"/>
          </w:tcPr>
          <w:p w:rsidR="0092460E" w:rsidRPr="0041188D" w:rsidP="00434DB4" w14:paraId="530707C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7</w:t>
            </w:r>
          </w:p>
        </w:tc>
      </w:tr>
      <w:tr w14:paraId="521AC192" w14:textId="77777777" w:rsidTr="00114A36">
        <w:tblPrEx>
          <w:tblW w:w="9900" w:type="dxa"/>
          <w:tblInd w:w="355" w:type="dxa"/>
          <w:tblLayout w:type="fixed"/>
          <w:tblLook w:val="04A0"/>
        </w:tblPrEx>
        <w:trPr>
          <w:trHeight w:val="479"/>
        </w:trPr>
        <w:tc>
          <w:tcPr>
            <w:tcW w:w="1260" w:type="dxa"/>
          </w:tcPr>
          <w:p w:rsidR="0092460E" w:rsidRPr="0041188D" w:rsidP="00434DB4" w14:paraId="0A11E5B5"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10.9</w:t>
            </w:r>
          </w:p>
        </w:tc>
        <w:tc>
          <w:tcPr>
            <w:tcW w:w="1800" w:type="dxa"/>
          </w:tcPr>
          <w:p w:rsidR="0092460E" w:rsidRPr="0041188D" w:rsidP="00434DB4" w14:paraId="6BA5F47E"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14364</w:t>
            </w:r>
          </w:p>
        </w:tc>
        <w:tc>
          <w:tcPr>
            <w:tcW w:w="1080" w:type="dxa"/>
          </w:tcPr>
          <w:p w:rsidR="0092460E" w:rsidRPr="0041188D" w:rsidP="00434DB4" w14:paraId="58A17843"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50,000</w:t>
            </w:r>
          </w:p>
        </w:tc>
        <w:tc>
          <w:tcPr>
            <w:tcW w:w="1260" w:type="dxa"/>
          </w:tcPr>
          <w:p w:rsidR="0092460E" w:rsidRPr="0041188D" w:rsidP="00434DB4" w14:paraId="458F9129"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2FC09E2C"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50,000</w:t>
            </w:r>
          </w:p>
        </w:tc>
        <w:tc>
          <w:tcPr>
            <w:tcW w:w="1260" w:type="dxa"/>
          </w:tcPr>
          <w:p w:rsidR="0092460E" w:rsidRPr="0041188D" w:rsidP="00434DB4" w14:paraId="0B80D461"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.67</w:t>
            </w:r>
          </w:p>
        </w:tc>
        <w:tc>
          <w:tcPr>
            <w:tcW w:w="1890" w:type="dxa"/>
          </w:tcPr>
          <w:p w:rsidR="0092460E" w:rsidRPr="0041188D" w:rsidP="00434DB4" w14:paraId="68605145"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33,500</w:t>
            </w:r>
          </w:p>
        </w:tc>
      </w:tr>
      <w:tr w14:paraId="50671B19" w14:textId="77777777" w:rsidTr="00114A36">
        <w:tblPrEx>
          <w:tblW w:w="9900" w:type="dxa"/>
          <w:tblInd w:w="355" w:type="dxa"/>
          <w:tblLayout w:type="fixed"/>
          <w:tblLook w:val="04A0"/>
        </w:tblPrEx>
        <w:trPr>
          <w:trHeight w:val="479"/>
        </w:trPr>
        <w:tc>
          <w:tcPr>
            <w:tcW w:w="1260" w:type="dxa"/>
          </w:tcPr>
          <w:p w:rsidR="0092460E" w:rsidRPr="0041188D" w:rsidP="00434DB4" w14:paraId="6780E164"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10.9</w:t>
            </w:r>
          </w:p>
        </w:tc>
        <w:tc>
          <w:tcPr>
            <w:tcW w:w="1800" w:type="dxa"/>
          </w:tcPr>
          <w:p w:rsidR="0092460E" w:rsidRPr="0041188D" w:rsidP="00434DB4" w14:paraId="5653B3FC"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14392</w:t>
            </w:r>
          </w:p>
        </w:tc>
        <w:tc>
          <w:tcPr>
            <w:tcW w:w="1080" w:type="dxa"/>
          </w:tcPr>
          <w:p w:rsidR="0092460E" w:rsidRPr="0041188D" w:rsidP="00434DB4" w14:paraId="642CB1A5"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1,500</w:t>
            </w:r>
          </w:p>
        </w:tc>
        <w:tc>
          <w:tcPr>
            <w:tcW w:w="1260" w:type="dxa"/>
          </w:tcPr>
          <w:p w:rsidR="0092460E" w:rsidRPr="0041188D" w:rsidP="00434DB4" w14:paraId="21A804C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w:t>
            </w:r>
          </w:p>
        </w:tc>
        <w:tc>
          <w:tcPr>
            <w:tcW w:w="1350" w:type="dxa"/>
          </w:tcPr>
          <w:p w:rsidR="0092460E" w:rsidRPr="0041188D" w:rsidP="00434DB4" w14:paraId="45CAEC40"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1,500</w:t>
            </w:r>
          </w:p>
        </w:tc>
        <w:tc>
          <w:tcPr>
            <w:tcW w:w="1260" w:type="dxa"/>
          </w:tcPr>
          <w:p w:rsidR="0092460E" w:rsidRPr="0041188D" w:rsidP="00434DB4" w14:paraId="14D63D6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.85</w:t>
            </w:r>
          </w:p>
        </w:tc>
        <w:tc>
          <w:tcPr>
            <w:tcW w:w="1890" w:type="dxa"/>
          </w:tcPr>
          <w:p w:rsidR="0092460E" w:rsidRPr="0041188D" w:rsidP="00434DB4" w14:paraId="79FF40D5"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1,275</w:t>
            </w:r>
          </w:p>
        </w:tc>
      </w:tr>
      <w:tr w14:paraId="5C4A463C" w14:textId="77777777" w:rsidTr="00114A36">
        <w:tblPrEx>
          <w:tblW w:w="9900" w:type="dxa"/>
          <w:tblInd w:w="355" w:type="dxa"/>
          <w:tblLayout w:type="fixed"/>
          <w:tblLook w:val="04A0"/>
        </w:tblPrEx>
        <w:trPr>
          <w:trHeight w:val="1439"/>
        </w:trPr>
        <w:tc>
          <w:tcPr>
            <w:tcW w:w="1260" w:type="dxa"/>
          </w:tcPr>
          <w:p w:rsidR="00B55007" w:rsidP="00434DB4" w14:paraId="257EB604" w14:textId="4ADE8644">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TD 9011</w:t>
            </w:r>
            <w:r>
              <w:rPr>
                <w:rFonts w:ascii="Times New Roman" w:hAnsi="Times New Roman"/>
                <w:szCs w:val="24"/>
              </w:rPr>
              <w:t>/</w:t>
            </w:r>
            <w:r w:rsidR="0097084E">
              <w:rPr>
                <w:rFonts w:ascii="Times New Roman" w:hAnsi="Times New Roman"/>
                <w:szCs w:val="24"/>
              </w:rPr>
              <w:t>TD 9527/</w:t>
            </w:r>
          </w:p>
          <w:p w:rsidR="00820C06" w:rsidRPr="0041188D" w:rsidP="00434DB4" w14:paraId="1C4E7C5A" w14:textId="3ABDFC24">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 xml:space="preserve">Circular 230 </w:t>
            </w:r>
          </w:p>
        </w:tc>
        <w:tc>
          <w:tcPr>
            <w:tcW w:w="1800" w:type="dxa"/>
          </w:tcPr>
          <w:p w:rsidR="00820C06" w:rsidRPr="0041188D" w:rsidP="00434DB4" w14:paraId="0A0536EE" w14:textId="588BD25D">
            <w:pPr>
              <w:widowControl/>
              <w:tabs>
                <w:tab w:val="left" w:pos="540"/>
              </w:tabs>
              <w:autoSpaceDE/>
              <w:autoSpaceDN/>
              <w:adjustRightInd/>
              <w:spacing w:line="276" w:lineRule="auto"/>
              <w:rPr>
                <w:rFonts w:ascii="Times New Roman" w:hAnsi="Times New Roman"/>
                <w:szCs w:val="24"/>
              </w:rPr>
            </w:pPr>
            <w:r>
              <w:rPr>
                <w:rFonts w:ascii="Times New Roman" w:hAnsi="Times New Roman"/>
                <w:szCs w:val="24"/>
              </w:rPr>
              <w:t>Recordkeeping</w:t>
            </w:r>
            <w:r w:rsidR="00D46903">
              <w:rPr>
                <w:rFonts w:ascii="Times New Roman" w:hAnsi="Times New Roman"/>
                <w:szCs w:val="24"/>
              </w:rPr>
              <w:t xml:space="preserve"> and</w:t>
            </w:r>
            <w:r>
              <w:rPr>
                <w:rFonts w:ascii="Times New Roman" w:hAnsi="Times New Roman"/>
                <w:szCs w:val="24"/>
              </w:rPr>
              <w:t xml:space="preserve"> Third-party disclosures</w:t>
            </w:r>
          </w:p>
        </w:tc>
        <w:tc>
          <w:tcPr>
            <w:tcW w:w="1080" w:type="dxa"/>
          </w:tcPr>
          <w:p w:rsidR="00820C06" w:rsidRPr="0041188D" w:rsidP="00434DB4" w14:paraId="0518FEB7" w14:textId="28C132CC">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56,000</w:t>
            </w:r>
          </w:p>
        </w:tc>
        <w:tc>
          <w:tcPr>
            <w:tcW w:w="1260" w:type="dxa"/>
          </w:tcPr>
          <w:p w:rsidR="00820C06" w:rsidRPr="0041188D" w:rsidP="00434DB4" w14:paraId="2AF05313" w14:textId="2E3C5073">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1</w:t>
            </w:r>
          </w:p>
        </w:tc>
        <w:tc>
          <w:tcPr>
            <w:tcW w:w="1350" w:type="dxa"/>
          </w:tcPr>
          <w:p w:rsidR="00820C06" w:rsidRPr="0041188D" w:rsidP="00434DB4" w14:paraId="60AFDA44" w14:textId="692D6332">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56,000</w:t>
            </w:r>
          </w:p>
        </w:tc>
        <w:tc>
          <w:tcPr>
            <w:tcW w:w="1260" w:type="dxa"/>
          </w:tcPr>
          <w:p w:rsidR="00820C06" w:rsidRPr="0041188D" w:rsidP="00434DB4" w14:paraId="55553ECA" w14:textId="0922971A">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.25</w:t>
            </w:r>
          </w:p>
        </w:tc>
        <w:tc>
          <w:tcPr>
            <w:tcW w:w="1890" w:type="dxa"/>
          </w:tcPr>
          <w:p w:rsidR="00820C06" w:rsidRPr="0041188D" w:rsidP="00434DB4" w14:paraId="4256AE4A" w14:textId="62CF356E">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14,000</w:t>
            </w:r>
          </w:p>
        </w:tc>
      </w:tr>
      <w:tr w14:paraId="335B13C8" w14:textId="77777777" w:rsidTr="00114A36">
        <w:tblPrEx>
          <w:tblW w:w="9900" w:type="dxa"/>
          <w:tblInd w:w="355" w:type="dxa"/>
          <w:tblLayout w:type="fixed"/>
          <w:tblLook w:val="04A0"/>
        </w:tblPrEx>
        <w:trPr>
          <w:trHeight w:val="755"/>
        </w:trPr>
        <w:tc>
          <w:tcPr>
            <w:tcW w:w="1260" w:type="dxa"/>
          </w:tcPr>
          <w:p w:rsidR="008D3F9B" w:rsidP="00434DB4" w14:paraId="0F0BDA76" w14:textId="4078F32B">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Rev Proc 2014-42</w:t>
            </w:r>
          </w:p>
        </w:tc>
        <w:tc>
          <w:tcPr>
            <w:tcW w:w="1800" w:type="dxa"/>
          </w:tcPr>
          <w:p w:rsidR="008D3F9B" w:rsidP="00434DB4" w14:paraId="54C89C82" w14:textId="6E017386">
            <w:pPr>
              <w:widowControl/>
              <w:tabs>
                <w:tab w:val="left" w:pos="540"/>
              </w:tabs>
              <w:autoSpaceDE/>
              <w:autoSpaceDN/>
              <w:adjustRightInd/>
              <w:spacing w:line="276" w:lineRule="auto"/>
              <w:rPr>
                <w:rFonts w:ascii="Times New Roman" w:hAnsi="Times New Roman"/>
                <w:szCs w:val="24"/>
              </w:rPr>
            </w:pPr>
            <w:r>
              <w:rPr>
                <w:rFonts w:ascii="Times New Roman" w:hAnsi="Times New Roman"/>
                <w:szCs w:val="24"/>
              </w:rPr>
              <w:t xml:space="preserve">AFSP </w:t>
            </w:r>
            <w:r>
              <w:rPr>
                <w:rFonts w:ascii="Times New Roman" w:hAnsi="Times New Roman"/>
                <w:szCs w:val="24"/>
              </w:rPr>
              <w:t>Reporting and Recordkeeping</w:t>
            </w:r>
          </w:p>
        </w:tc>
        <w:tc>
          <w:tcPr>
            <w:tcW w:w="1080" w:type="dxa"/>
          </w:tcPr>
          <w:p w:rsidR="008D3F9B" w:rsidP="00434DB4" w14:paraId="2F29178C" w14:textId="73BCBE8F">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64,514</w:t>
            </w:r>
          </w:p>
        </w:tc>
        <w:tc>
          <w:tcPr>
            <w:tcW w:w="1260" w:type="dxa"/>
          </w:tcPr>
          <w:p w:rsidR="008D3F9B" w:rsidP="00434DB4" w14:paraId="5679140C" w14:textId="699D1D85">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1</w:t>
            </w:r>
          </w:p>
        </w:tc>
        <w:tc>
          <w:tcPr>
            <w:tcW w:w="1350" w:type="dxa"/>
          </w:tcPr>
          <w:p w:rsidR="008D3F9B" w:rsidP="00434DB4" w14:paraId="7E03076B" w14:textId="2755A85E">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64,514</w:t>
            </w:r>
          </w:p>
        </w:tc>
        <w:tc>
          <w:tcPr>
            <w:tcW w:w="1260" w:type="dxa"/>
          </w:tcPr>
          <w:p w:rsidR="008D3F9B" w:rsidP="00434DB4" w14:paraId="554085C3" w14:textId="6AFA6223">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2</w:t>
            </w:r>
          </w:p>
        </w:tc>
        <w:tc>
          <w:tcPr>
            <w:tcW w:w="1890" w:type="dxa"/>
          </w:tcPr>
          <w:p w:rsidR="008D3F9B" w:rsidP="00434DB4" w14:paraId="27586747" w14:textId="3A6241D8">
            <w:pPr>
              <w:widowControl/>
              <w:tabs>
                <w:tab w:val="left" w:pos="540"/>
              </w:tabs>
              <w:autoSpaceDE/>
              <w:autoSpaceDN/>
              <w:adjustRightInd/>
              <w:spacing w:line="276" w:lineRule="auto"/>
              <w:jc w:val="center"/>
              <w:rPr>
                <w:rFonts w:ascii="Times New Roman" w:hAnsi="Times New Roman"/>
                <w:szCs w:val="24"/>
              </w:rPr>
            </w:pPr>
            <w:r>
              <w:rPr>
                <w:rFonts w:ascii="Times New Roman" w:hAnsi="Times New Roman"/>
                <w:szCs w:val="24"/>
              </w:rPr>
              <w:t>129,028</w:t>
            </w:r>
          </w:p>
        </w:tc>
      </w:tr>
      <w:tr w14:paraId="53CFCBA9" w14:textId="77777777" w:rsidTr="00114A36">
        <w:tblPrEx>
          <w:tblW w:w="9900" w:type="dxa"/>
          <w:tblInd w:w="355" w:type="dxa"/>
          <w:tblLayout w:type="fixed"/>
          <w:tblLook w:val="04A0"/>
        </w:tblPrEx>
        <w:trPr>
          <w:trHeight w:val="479"/>
        </w:trPr>
        <w:tc>
          <w:tcPr>
            <w:tcW w:w="1260" w:type="dxa"/>
          </w:tcPr>
          <w:p w:rsidR="0092460E" w:rsidRPr="0041188D" w:rsidP="00434DB4" w14:paraId="2A836FF7" w14:textId="77777777">
            <w:pPr>
              <w:widowControl/>
              <w:tabs>
                <w:tab w:val="left" w:pos="540"/>
              </w:tabs>
              <w:autoSpaceDE/>
              <w:autoSpaceDN/>
              <w:adjustRightInd/>
              <w:spacing w:line="276" w:lineRule="auto"/>
              <w:jc w:val="center"/>
              <w:rPr>
                <w:rFonts w:ascii="Times New Roman" w:hAnsi="Times New Roman" w:cs="Times New Roman"/>
                <w:b/>
                <w:bCs/>
                <w:szCs w:val="24"/>
              </w:rPr>
            </w:pPr>
            <w:r w:rsidRPr="0041188D">
              <w:rPr>
                <w:rFonts w:ascii="Times New Roman" w:hAnsi="Times New Roman" w:cs="Times New Roman"/>
                <w:b/>
                <w:bCs/>
                <w:szCs w:val="24"/>
              </w:rPr>
              <w:t xml:space="preserve">Total </w:t>
            </w:r>
          </w:p>
        </w:tc>
        <w:tc>
          <w:tcPr>
            <w:tcW w:w="1800" w:type="dxa"/>
          </w:tcPr>
          <w:p w:rsidR="0092460E" w:rsidRPr="0041188D" w:rsidP="00434DB4" w14:paraId="0F6B0F3B" w14:textId="77777777">
            <w:pPr>
              <w:widowControl/>
              <w:tabs>
                <w:tab w:val="left" w:pos="540"/>
              </w:tabs>
              <w:autoSpaceDE/>
              <w:autoSpaceDN/>
              <w:adjustRightInd/>
              <w:spacing w:line="276" w:lineRule="auto"/>
              <w:rPr>
                <w:rFonts w:ascii="Times New Roman" w:hAnsi="Times New Roman" w:cs="Times New Roman"/>
                <w:b/>
                <w:bCs/>
                <w:szCs w:val="24"/>
              </w:rPr>
            </w:pPr>
          </w:p>
        </w:tc>
        <w:tc>
          <w:tcPr>
            <w:tcW w:w="1080" w:type="dxa"/>
          </w:tcPr>
          <w:p w:rsidR="0092460E" w:rsidRPr="0041188D" w:rsidP="00434DB4" w14:paraId="1933FC43" w14:textId="2136C573">
            <w:pPr>
              <w:widowControl/>
              <w:tabs>
                <w:tab w:val="left" w:pos="540"/>
              </w:tabs>
              <w:autoSpaceDE/>
              <w:autoSpaceDN/>
              <w:adjustRightInd/>
              <w:spacing w:line="276" w:lineRule="auto"/>
              <w:jc w:val="center"/>
              <w:rPr>
                <w:rFonts w:ascii="Times New Roman" w:hAnsi="Times New Roman" w:cs="Times New Roman"/>
                <w:b/>
                <w:bCs/>
                <w:szCs w:val="24"/>
              </w:rPr>
            </w:pPr>
            <w:r>
              <w:rPr>
                <w:rFonts w:ascii="Times New Roman" w:hAnsi="Times New Roman" w:cs="Times New Roman"/>
                <w:b/>
                <w:bCs/>
                <w:szCs w:val="24"/>
              </w:rPr>
              <w:t>215,146</w:t>
            </w:r>
          </w:p>
        </w:tc>
        <w:tc>
          <w:tcPr>
            <w:tcW w:w="1260" w:type="dxa"/>
            <w:shd w:val="clear" w:color="auto" w:fill="808080" w:themeFill="background1" w:themeFillShade="80"/>
          </w:tcPr>
          <w:p w:rsidR="0092460E" w:rsidRPr="0041188D" w:rsidP="00434DB4" w14:paraId="7A616829" w14:textId="77777777">
            <w:pPr>
              <w:widowControl/>
              <w:tabs>
                <w:tab w:val="left" w:pos="540"/>
              </w:tabs>
              <w:autoSpaceDE/>
              <w:autoSpaceDN/>
              <w:adjustRightInd/>
              <w:spacing w:line="276" w:lineRule="auto"/>
              <w:jc w:val="center"/>
              <w:rPr>
                <w:rFonts w:ascii="Times New Roman" w:hAnsi="Times New Roman" w:cs="Times New Roman"/>
                <w:b/>
                <w:bCs/>
                <w:szCs w:val="24"/>
              </w:rPr>
            </w:pPr>
          </w:p>
        </w:tc>
        <w:tc>
          <w:tcPr>
            <w:tcW w:w="1350" w:type="dxa"/>
          </w:tcPr>
          <w:p w:rsidR="0092460E" w:rsidRPr="0041188D" w:rsidP="00434DB4" w14:paraId="05E5D439" w14:textId="4D418D71">
            <w:pPr>
              <w:widowControl/>
              <w:tabs>
                <w:tab w:val="left" w:pos="540"/>
              </w:tabs>
              <w:autoSpaceDE/>
              <w:autoSpaceDN/>
              <w:adjustRightInd/>
              <w:spacing w:line="276" w:lineRule="auto"/>
              <w:jc w:val="center"/>
              <w:rPr>
                <w:rFonts w:ascii="Times New Roman" w:hAnsi="Times New Roman" w:cs="Times New Roman"/>
                <w:b/>
                <w:bCs/>
                <w:szCs w:val="24"/>
              </w:rPr>
            </w:pPr>
            <w:r>
              <w:rPr>
                <w:rFonts w:ascii="Times New Roman" w:hAnsi="Times New Roman" w:cs="Times New Roman"/>
                <w:b/>
                <w:bCs/>
                <w:szCs w:val="24"/>
              </w:rPr>
              <w:t>215,146</w:t>
            </w:r>
          </w:p>
        </w:tc>
        <w:tc>
          <w:tcPr>
            <w:tcW w:w="1260" w:type="dxa"/>
            <w:shd w:val="clear" w:color="auto" w:fill="808080" w:themeFill="background1" w:themeFillShade="80"/>
          </w:tcPr>
          <w:p w:rsidR="0092460E" w:rsidRPr="0041188D" w:rsidP="00434DB4" w14:paraId="5D0B54C3" w14:textId="77777777">
            <w:pPr>
              <w:widowControl/>
              <w:tabs>
                <w:tab w:val="left" w:pos="540"/>
              </w:tabs>
              <w:autoSpaceDE/>
              <w:autoSpaceDN/>
              <w:adjustRightInd/>
              <w:spacing w:line="276" w:lineRule="auto"/>
              <w:jc w:val="center"/>
              <w:rPr>
                <w:rFonts w:ascii="Times New Roman" w:hAnsi="Times New Roman" w:cs="Times New Roman"/>
                <w:b/>
                <w:bCs/>
                <w:szCs w:val="24"/>
              </w:rPr>
            </w:pPr>
          </w:p>
        </w:tc>
        <w:tc>
          <w:tcPr>
            <w:tcW w:w="1890" w:type="dxa"/>
          </w:tcPr>
          <w:p w:rsidR="0092460E" w:rsidRPr="0041188D" w:rsidP="00434DB4" w14:paraId="16BFB6AD" w14:textId="66DBF886">
            <w:pPr>
              <w:widowControl/>
              <w:tabs>
                <w:tab w:val="left" w:pos="540"/>
              </w:tabs>
              <w:autoSpaceDE/>
              <w:autoSpaceDN/>
              <w:adjustRightInd/>
              <w:spacing w:line="276" w:lineRule="auto"/>
              <w:jc w:val="center"/>
              <w:rPr>
                <w:rFonts w:ascii="Times New Roman" w:hAnsi="Times New Roman" w:cs="Times New Roman"/>
                <w:b/>
                <w:bCs/>
                <w:szCs w:val="24"/>
              </w:rPr>
            </w:pPr>
            <w:r>
              <w:rPr>
                <w:rFonts w:ascii="Times New Roman" w:hAnsi="Times New Roman" w:cs="Times New Roman"/>
                <w:b/>
                <w:bCs/>
                <w:szCs w:val="24"/>
              </w:rPr>
              <w:t>218,240</w:t>
            </w:r>
          </w:p>
        </w:tc>
      </w:tr>
    </w:tbl>
    <w:p w:rsidR="0092460E" w:rsidRPr="0041188D" w:rsidP="00434DB4" w14:paraId="4F1F00BB" w14:textId="77777777">
      <w:pPr>
        <w:spacing w:line="276" w:lineRule="auto"/>
        <w:ind w:left="360"/>
        <w:rPr>
          <w:rFonts w:ascii="Times New Roman" w:hAnsi="Times New Roman"/>
          <w:sz w:val="24"/>
          <w:szCs w:val="24"/>
        </w:rPr>
      </w:pPr>
    </w:p>
    <w:p w:rsidR="009B74BA" w:rsidRPr="0041188D" w:rsidP="00434DB4" w14:paraId="3BA1F58B" w14:textId="24D7AD1D">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ESTIMATED TOTAL ANNUAL COST BURDEN TO RESPONDENTS</w:t>
      </w:r>
    </w:p>
    <w:p w:rsidR="00DD7EF7" w:rsidRPr="0041188D" w:rsidP="00434DB4" w14:paraId="4F55A96A" w14:textId="77777777">
      <w:pPr>
        <w:widowControl/>
        <w:spacing w:line="276" w:lineRule="auto"/>
        <w:ind w:left="360"/>
        <w:rPr>
          <w:rFonts w:ascii="Times New Roman" w:hAnsi="Times New Roman"/>
          <w:sz w:val="24"/>
          <w:szCs w:val="24"/>
        </w:rPr>
      </w:pPr>
    </w:p>
    <w:p w:rsidR="0092460E" w:rsidRPr="0041188D" w:rsidP="00434DB4" w14:paraId="1FDB63C5" w14:textId="77777777">
      <w:pPr>
        <w:spacing w:line="276" w:lineRule="auto"/>
        <w:ind w:left="360"/>
        <w:jc w:val="both"/>
        <w:rPr>
          <w:rFonts w:ascii="Times New Roman" w:hAnsi="Times New Roman"/>
          <w:sz w:val="24"/>
          <w:szCs w:val="24"/>
        </w:rPr>
      </w:pPr>
      <w:r w:rsidRPr="0041188D">
        <w:rPr>
          <w:rFonts w:ascii="Times New Roman" w:hAnsi="Times New Roman"/>
          <w:sz w:val="24"/>
          <w:szCs w:val="24"/>
        </w:rPr>
        <w:t>A reasonable nonrefundable fee may be charged for each application to become an enrolled</w:t>
      </w:r>
    </w:p>
    <w:p w:rsidR="0092460E" w:rsidRPr="0041188D" w:rsidP="00434DB4" w14:paraId="3E8F4878" w14:textId="77777777">
      <w:pPr>
        <w:spacing w:line="276" w:lineRule="auto"/>
        <w:ind w:left="360"/>
        <w:jc w:val="both"/>
        <w:rPr>
          <w:rFonts w:ascii="Times New Roman" w:hAnsi="Times New Roman"/>
          <w:sz w:val="24"/>
          <w:szCs w:val="24"/>
        </w:rPr>
      </w:pPr>
      <w:r w:rsidRPr="0041188D">
        <w:rPr>
          <w:rFonts w:ascii="Times New Roman" w:hAnsi="Times New Roman"/>
          <w:sz w:val="24"/>
          <w:szCs w:val="24"/>
        </w:rPr>
        <w:t>Agent or renew enrollment as an enrolled agent or enrolled retirement plan agent (26 CFR part 300).</w:t>
      </w:r>
    </w:p>
    <w:p w:rsidR="004E5B0E" w:rsidRPr="0041188D" w:rsidP="00434DB4" w14:paraId="172CF2A5" w14:textId="77777777">
      <w:pPr>
        <w:spacing w:line="276" w:lineRule="auto"/>
        <w:ind w:left="360"/>
        <w:jc w:val="both"/>
        <w:rPr>
          <w:rFonts w:ascii="Times New Roman" w:hAnsi="Times New Roman"/>
          <w:sz w:val="24"/>
          <w:szCs w:val="24"/>
        </w:rPr>
      </w:pPr>
    </w:p>
    <w:tbl>
      <w:tblPr>
        <w:tblStyle w:val="TableGrid3"/>
        <w:tblW w:w="0" w:type="auto"/>
        <w:tblInd w:w="355" w:type="dxa"/>
        <w:tblLook w:val="04A0"/>
      </w:tblPr>
      <w:tblGrid>
        <w:gridCol w:w="7542"/>
        <w:gridCol w:w="1453"/>
      </w:tblGrid>
      <w:tr w14:paraId="0F42B395" w14:textId="77777777" w:rsidTr="00D46903">
        <w:tblPrEx>
          <w:tblW w:w="0" w:type="auto"/>
          <w:tblInd w:w="355" w:type="dxa"/>
          <w:tblLook w:val="04A0"/>
        </w:tblPrEx>
        <w:tc>
          <w:tcPr>
            <w:tcW w:w="7542" w:type="dxa"/>
          </w:tcPr>
          <w:p w:rsidR="0092460E" w:rsidRPr="0041188D" w:rsidP="00434DB4" w14:paraId="013E377D" w14:textId="77777777">
            <w:pPr>
              <w:widowControl/>
              <w:tabs>
                <w:tab w:val="left" w:pos="540"/>
              </w:tabs>
              <w:autoSpaceDE/>
              <w:autoSpaceDN/>
              <w:adjustRightInd/>
              <w:spacing w:line="276" w:lineRule="auto"/>
              <w:jc w:val="center"/>
              <w:rPr>
                <w:rFonts w:ascii="Times New Roman" w:hAnsi="Times New Roman" w:cs="Times New Roman"/>
                <w:b/>
                <w:bCs/>
                <w:szCs w:val="24"/>
              </w:rPr>
            </w:pPr>
            <w:r w:rsidRPr="0041188D">
              <w:rPr>
                <w:rFonts w:ascii="Times New Roman" w:hAnsi="Times New Roman" w:cs="Times New Roman"/>
                <w:b/>
                <w:bCs/>
                <w:szCs w:val="24"/>
              </w:rPr>
              <w:t>Service</w:t>
            </w:r>
          </w:p>
        </w:tc>
        <w:tc>
          <w:tcPr>
            <w:tcW w:w="1453" w:type="dxa"/>
          </w:tcPr>
          <w:p w:rsidR="0092460E" w:rsidRPr="0041188D" w:rsidP="00434DB4" w14:paraId="4AE35BB9" w14:textId="77777777">
            <w:pPr>
              <w:widowControl/>
              <w:tabs>
                <w:tab w:val="left" w:pos="540"/>
              </w:tabs>
              <w:autoSpaceDE/>
              <w:autoSpaceDN/>
              <w:adjustRightInd/>
              <w:spacing w:line="276" w:lineRule="auto"/>
              <w:jc w:val="center"/>
              <w:rPr>
                <w:rFonts w:ascii="Times New Roman" w:hAnsi="Times New Roman" w:cs="Times New Roman"/>
                <w:b/>
                <w:bCs/>
                <w:szCs w:val="24"/>
              </w:rPr>
            </w:pPr>
            <w:r w:rsidRPr="0041188D">
              <w:rPr>
                <w:rFonts w:ascii="Times New Roman" w:hAnsi="Times New Roman" w:cs="Times New Roman"/>
                <w:b/>
                <w:bCs/>
                <w:szCs w:val="24"/>
              </w:rPr>
              <w:t>Fee</w:t>
            </w:r>
          </w:p>
        </w:tc>
      </w:tr>
      <w:tr w14:paraId="4196A623" w14:textId="77777777" w:rsidTr="00122BE0">
        <w:tblPrEx>
          <w:tblW w:w="0" w:type="auto"/>
          <w:tblInd w:w="355" w:type="dxa"/>
          <w:tblLook w:val="04A0"/>
        </w:tblPrEx>
        <w:trPr>
          <w:trHeight w:val="350"/>
        </w:trPr>
        <w:tc>
          <w:tcPr>
            <w:tcW w:w="7542" w:type="dxa"/>
          </w:tcPr>
          <w:p w:rsidR="0092460E" w:rsidRPr="0041188D" w:rsidP="00434DB4" w14:paraId="540E39F0"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IRS Special Enrollment Examination (SEE) (Form 2587)</w:t>
            </w:r>
          </w:p>
        </w:tc>
        <w:tc>
          <w:tcPr>
            <w:tcW w:w="1453" w:type="dxa"/>
          </w:tcPr>
          <w:p w:rsidR="0092460E" w:rsidRPr="0041188D" w:rsidP="00434DB4" w14:paraId="40D1898C"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$267</w:t>
            </w:r>
          </w:p>
        </w:tc>
      </w:tr>
      <w:tr w14:paraId="7C3715C1" w14:textId="77777777" w:rsidTr="00D46903">
        <w:tblPrEx>
          <w:tblW w:w="0" w:type="auto"/>
          <w:tblInd w:w="355" w:type="dxa"/>
          <w:tblLook w:val="04A0"/>
        </w:tblPrEx>
        <w:tc>
          <w:tcPr>
            <w:tcW w:w="7542" w:type="dxa"/>
          </w:tcPr>
          <w:p w:rsidR="0092460E" w:rsidRPr="0041188D" w:rsidP="00434DB4" w14:paraId="4B70643B"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Application for Enrollment to Practice Before the Internal Revenue Service (Form 23)</w:t>
            </w:r>
          </w:p>
        </w:tc>
        <w:tc>
          <w:tcPr>
            <w:tcW w:w="1453" w:type="dxa"/>
          </w:tcPr>
          <w:p w:rsidR="0092460E" w:rsidRPr="0041188D" w:rsidP="00434DB4" w14:paraId="31C20B45"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$140</w:t>
            </w:r>
          </w:p>
        </w:tc>
      </w:tr>
      <w:tr w14:paraId="53A99137" w14:textId="77777777" w:rsidTr="00D46903">
        <w:tblPrEx>
          <w:tblW w:w="0" w:type="auto"/>
          <w:tblInd w:w="355" w:type="dxa"/>
          <w:tblLook w:val="04A0"/>
        </w:tblPrEx>
        <w:tc>
          <w:tcPr>
            <w:tcW w:w="7542" w:type="dxa"/>
          </w:tcPr>
          <w:p w:rsidR="0092460E" w:rsidRPr="0041188D" w:rsidP="00434DB4" w14:paraId="684A7616"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 xml:space="preserve">Application for Renewal of Enrollment to Practice Before the Internal Revenue Service </w:t>
            </w:r>
            <w:r w:rsidRPr="0041188D">
              <w:rPr>
                <w:rFonts w:ascii="Times New Roman" w:hAnsi="Times New Roman" w:cs="Times New Roman"/>
                <w:szCs w:val="24"/>
                <w:shd w:val="clear" w:color="auto" w:fill="E5DFEC" w:themeFill="accent4" w:themeFillTint="33"/>
              </w:rPr>
              <w:t>(</w:t>
            </w:r>
            <w:r w:rsidRPr="0041188D">
              <w:rPr>
                <w:rFonts w:ascii="Times New Roman" w:hAnsi="Times New Roman" w:cs="Times New Roman"/>
                <w:szCs w:val="24"/>
              </w:rPr>
              <w:t>Form 8554)</w:t>
            </w:r>
          </w:p>
        </w:tc>
        <w:tc>
          <w:tcPr>
            <w:tcW w:w="1453" w:type="dxa"/>
          </w:tcPr>
          <w:p w:rsidR="0092460E" w:rsidRPr="0041188D" w:rsidP="00434DB4" w14:paraId="0BA11644" w14:textId="77777777">
            <w:pPr>
              <w:widowControl/>
              <w:tabs>
                <w:tab w:val="left" w:pos="540"/>
              </w:tabs>
              <w:autoSpaceDE/>
              <w:autoSpaceDN/>
              <w:adjustRightInd/>
              <w:spacing w:line="276" w:lineRule="auto"/>
              <w:jc w:val="center"/>
              <w:rPr>
                <w:rFonts w:ascii="Times New Roman" w:hAnsi="Times New Roman" w:cs="Times New Roman"/>
                <w:szCs w:val="24"/>
              </w:rPr>
            </w:pPr>
          </w:p>
          <w:p w:rsidR="0092460E" w:rsidRPr="0041188D" w:rsidP="00434DB4" w14:paraId="3DDFF43D"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$140</w:t>
            </w:r>
          </w:p>
        </w:tc>
      </w:tr>
      <w:tr w14:paraId="21431E0C" w14:textId="77777777" w:rsidTr="00D46903">
        <w:tblPrEx>
          <w:tblW w:w="0" w:type="auto"/>
          <w:tblInd w:w="355" w:type="dxa"/>
          <w:tblLook w:val="04A0"/>
        </w:tblPrEx>
        <w:tc>
          <w:tcPr>
            <w:tcW w:w="7542" w:type="dxa"/>
          </w:tcPr>
          <w:p w:rsidR="0092460E" w:rsidRPr="0041188D" w:rsidP="00434DB4" w14:paraId="2B34C8A4"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Application for Renewal of Enrollment to Practice Before the Internal Revenue Service as an Enrolled Retirement Plan Agent (ERPA) (Form 8554-EP)</w:t>
            </w:r>
          </w:p>
        </w:tc>
        <w:tc>
          <w:tcPr>
            <w:tcW w:w="1453" w:type="dxa"/>
          </w:tcPr>
          <w:p w:rsidR="0092460E" w:rsidRPr="0041188D" w:rsidP="00434DB4" w14:paraId="2302175E" w14:textId="77777777">
            <w:pPr>
              <w:widowControl/>
              <w:tabs>
                <w:tab w:val="left" w:pos="540"/>
              </w:tabs>
              <w:autoSpaceDE/>
              <w:autoSpaceDN/>
              <w:adjustRightInd/>
              <w:spacing w:line="276" w:lineRule="auto"/>
              <w:jc w:val="center"/>
              <w:rPr>
                <w:rFonts w:ascii="Times New Roman" w:hAnsi="Times New Roman" w:cs="Times New Roman"/>
                <w:szCs w:val="24"/>
              </w:rPr>
            </w:pPr>
          </w:p>
          <w:p w:rsidR="0092460E" w:rsidRPr="0041188D" w:rsidP="00434DB4" w14:paraId="2247382F"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$140</w:t>
            </w:r>
          </w:p>
        </w:tc>
      </w:tr>
      <w:tr w14:paraId="55CF842F" w14:textId="77777777" w:rsidTr="00D46903">
        <w:tblPrEx>
          <w:tblW w:w="0" w:type="auto"/>
          <w:tblInd w:w="355" w:type="dxa"/>
          <w:tblLook w:val="04A0"/>
        </w:tblPrEx>
        <w:tc>
          <w:tcPr>
            <w:tcW w:w="7542" w:type="dxa"/>
          </w:tcPr>
          <w:p w:rsidR="0092460E" w:rsidRPr="0041188D" w:rsidP="00434DB4" w14:paraId="26E463F7"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Continuing Education Provider Application and Request for Provider Number</w:t>
            </w:r>
          </w:p>
          <w:p w:rsidR="0092460E" w:rsidRPr="0041188D" w:rsidP="00434DB4" w14:paraId="22DBB7A6" w14:textId="77777777">
            <w:pPr>
              <w:widowControl/>
              <w:tabs>
                <w:tab w:val="left" w:pos="540"/>
              </w:tabs>
              <w:autoSpaceDE/>
              <w:autoSpaceDN/>
              <w:adjustRightInd/>
              <w:spacing w:line="276" w:lineRule="auto"/>
              <w:rPr>
                <w:rFonts w:ascii="Times New Roman" w:hAnsi="Times New Roman" w:cs="Times New Roman"/>
                <w:szCs w:val="24"/>
              </w:rPr>
            </w:pPr>
            <w:r w:rsidRPr="0041188D">
              <w:rPr>
                <w:rFonts w:ascii="Times New Roman" w:hAnsi="Times New Roman" w:cs="Times New Roman"/>
                <w:szCs w:val="24"/>
              </w:rPr>
              <w:t>(Form 8498)</w:t>
            </w:r>
          </w:p>
        </w:tc>
        <w:tc>
          <w:tcPr>
            <w:tcW w:w="1453" w:type="dxa"/>
          </w:tcPr>
          <w:p w:rsidR="0092460E" w:rsidRPr="0041188D" w:rsidP="00434DB4" w14:paraId="622128A1" w14:textId="77777777">
            <w:pPr>
              <w:widowControl/>
              <w:tabs>
                <w:tab w:val="left" w:pos="540"/>
              </w:tabs>
              <w:autoSpaceDE/>
              <w:autoSpaceDN/>
              <w:adjustRightInd/>
              <w:spacing w:line="276" w:lineRule="auto"/>
              <w:jc w:val="center"/>
              <w:rPr>
                <w:rFonts w:ascii="Times New Roman" w:hAnsi="Times New Roman" w:cs="Times New Roman"/>
                <w:szCs w:val="24"/>
              </w:rPr>
            </w:pPr>
          </w:p>
          <w:p w:rsidR="0092460E" w:rsidRPr="0041188D" w:rsidP="00434DB4" w14:paraId="2D2093B6" w14:textId="77777777">
            <w:pPr>
              <w:widowControl/>
              <w:tabs>
                <w:tab w:val="left" w:pos="540"/>
              </w:tabs>
              <w:autoSpaceDE/>
              <w:autoSpaceDN/>
              <w:adjustRightInd/>
              <w:spacing w:line="276" w:lineRule="auto"/>
              <w:jc w:val="center"/>
              <w:rPr>
                <w:rFonts w:ascii="Times New Roman" w:hAnsi="Times New Roman" w:cs="Times New Roman"/>
                <w:szCs w:val="24"/>
              </w:rPr>
            </w:pPr>
            <w:r w:rsidRPr="0041188D">
              <w:rPr>
                <w:rFonts w:ascii="Times New Roman" w:hAnsi="Times New Roman" w:cs="Times New Roman"/>
                <w:szCs w:val="24"/>
              </w:rPr>
              <w:t>$650</w:t>
            </w:r>
          </w:p>
        </w:tc>
      </w:tr>
    </w:tbl>
    <w:p w:rsidR="0092460E" w:rsidRPr="0041188D" w:rsidP="00434DB4" w14:paraId="5EC5EE07" w14:textId="77777777">
      <w:pPr>
        <w:spacing w:line="276" w:lineRule="auto"/>
        <w:ind w:left="360"/>
        <w:jc w:val="both"/>
        <w:rPr>
          <w:rFonts w:ascii="Times New Roman" w:hAnsi="Times New Roman"/>
          <w:sz w:val="24"/>
          <w:szCs w:val="24"/>
        </w:rPr>
      </w:pPr>
    </w:p>
    <w:p w:rsidR="009B74BA" w:rsidRPr="0041188D" w:rsidP="00434DB4" w14:paraId="41306861" w14:textId="7F3505F9">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ESTIMATED ANNUALIZED COST TO THE FEDERAL GOVERNMENT</w:t>
      </w:r>
    </w:p>
    <w:p w:rsidR="009B74BA" w:rsidRPr="0041188D" w:rsidP="00434DB4" w14:paraId="79212528" w14:textId="77777777">
      <w:pPr>
        <w:widowControl/>
        <w:spacing w:line="276" w:lineRule="auto"/>
        <w:ind w:left="360"/>
        <w:rPr>
          <w:rFonts w:ascii="Times New Roman" w:hAnsi="Times New Roman"/>
          <w:sz w:val="24"/>
          <w:szCs w:val="24"/>
        </w:rPr>
      </w:pPr>
    </w:p>
    <w:p w:rsidR="0049786D" w:rsidRPr="0041188D" w:rsidP="00434DB4" w14:paraId="579AA59B" w14:textId="77777777">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49786D" w:rsidRPr="0041188D" w:rsidP="00434DB4" w14:paraId="62D02178" w14:textId="77777777">
      <w:pPr>
        <w:widowControl/>
        <w:spacing w:line="276" w:lineRule="auto"/>
        <w:ind w:left="360"/>
        <w:rPr>
          <w:rFonts w:ascii="Times New Roman" w:hAnsi="Times New Roman"/>
          <w:sz w:val="24"/>
          <w:szCs w:val="24"/>
        </w:rPr>
      </w:pPr>
    </w:p>
    <w:p w:rsidR="0049786D" w:rsidRPr="0041188D" w:rsidP="00434DB4" w14:paraId="65A0E397" w14:textId="77777777">
      <w:pPr>
        <w:widowControl/>
        <w:spacing w:line="276" w:lineRule="auto"/>
        <w:ind w:left="360"/>
        <w:rPr>
          <w:rFonts w:ascii="Times New Roman" w:hAnsi="Times New Roman"/>
          <w:sz w:val="24"/>
          <w:szCs w:val="24"/>
        </w:rPr>
      </w:pPr>
      <w:r w:rsidRPr="0041188D">
        <w:rPr>
          <w:rFonts w:ascii="Times New Roman" w:hAnsi="Times New Roman"/>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49786D" w:rsidRPr="0041188D" w:rsidP="00434DB4" w14:paraId="68480061" w14:textId="77777777">
      <w:pPr>
        <w:widowControl/>
        <w:spacing w:line="276" w:lineRule="auto"/>
        <w:ind w:left="360"/>
        <w:rPr>
          <w:rFonts w:ascii="Times New Roman" w:hAnsi="Times New Roman"/>
          <w:sz w:val="24"/>
          <w:szCs w:val="24"/>
        </w:rPr>
      </w:pPr>
    </w:p>
    <w:p w:rsidR="00B02C39" w:rsidRPr="0041188D" w:rsidP="00434DB4" w14:paraId="7CF7C298" w14:textId="641AC044">
      <w:pPr>
        <w:widowControl/>
        <w:spacing w:line="276" w:lineRule="auto"/>
        <w:ind w:left="360"/>
        <w:rPr>
          <w:rFonts w:ascii="Times New Roman" w:hAnsi="Times New Roman"/>
          <w:sz w:val="24"/>
          <w:szCs w:val="24"/>
        </w:rPr>
      </w:pPr>
      <w:r w:rsidRPr="0041188D">
        <w:rPr>
          <w:rFonts w:ascii="Times New Roman" w:hAnsi="Times New Roman"/>
          <w:sz w:val="24"/>
          <w:szCs w:val="24"/>
        </w:rPr>
        <w:t xml:space="preserve">The federal government estimated annualized cost is as follows: </w:t>
      </w:r>
    </w:p>
    <w:p w:rsidR="0049786D" w:rsidRPr="0041188D" w:rsidP="00434DB4" w14:paraId="795ACA08" w14:textId="77777777">
      <w:pPr>
        <w:widowControl/>
        <w:spacing w:line="276" w:lineRule="auto"/>
        <w:ind w:left="360"/>
        <w:rPr>
          <w:rFonts w:ascii="Times New Roman" w:hAnsi="Times New Roman"/>
          <w:sz w:val="24"/>
          <w:szCs w:val="24"/>
        </w:rPr>
      </w:pPr>
    </w:p>
    <w:tbl>
      <w:tblPr>
        <w:tblW w:w="89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2089"/>
        <w:gridCol w:w="353"/>
        <w:gridCol w:w="2010"/>
        <w:gridCol w:w="412"/>
        <w:gridCol w:w="1707"/>
      </w:tblGrid>
      <w:tr w14:paraId="6508744C" w14:textId="77777777" w:rsidTr="00847E4A">
        <w:tblPrEx>
          <w:tblW w:w="89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6"/>
        </w:trPr>
        <w:tc>
          <w:tcPr>
            <w:tcW w:w="2375" w:type="dxa"/>
            <w:vAlign w:val="bottom"/>
          </w:tcPr>
          <w:p w:rsidR="0092460E" w:rsidRPr="0041188D" w:rsidP="00434DB4" w14:paraId="7260503B"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r w:rsidRPr="0041188D">
              <w:rPr>
                <w:rFonts w:ascii="Times New Roman" w:hAnsi="Times New Roman" w:eastAsiaTheme="minorHAnsi"/>
                <w:b/>
                <w:sz w:val="24"/>
                <w:szCs w:val="24"/>
                <w:u w:val="single"/>
              </w:rPr>
              <w:t>Product</w:t>
            </w:r>
          </w:p>
        </w:tc>
        <w:tc>
          <w:tcPr>
            <w:tcW w:w="2089" w:type="dxa"/>
            <w:vAlign w:val="bottom"/>
          </w:tcPr>
          <w:p w:rsidR="0092460E" w:rsidRPr="0041188D" w:rsidP="00434DB4" w14:paraId="73F2E53D"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r w:rsidRPr="0041188D">
              <w:rPr>
                <w:rFonts w:ascii="Times New Roman" w:hAnsi="Times New Roman" w:eastAsiaTheme="minorHAnsi"/>
                <w:b/>
                <w:sz w:val="24"/>
                <w:szCs w:val="24"/>
                <w:u w:val="single"/>
              </w:rPr>
              <w:t>Aggregate Cost per Product (factor applied)</w:t>
            </w:r>
          </w:p>
        </w:tc>
        <w:tc>
          <w:tcPr>
            <w:tcW w:w="353" w:type="dxa"/>
          </w:tcPr>
          <w:p w:rsidR="0092460E" w:rsidRPr="0041188D" w:rsidP="00434DB4" w14:paraId="485139A4"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p>
        </w:tc>
        <w:tc>
          <w:tcPr>
            <w:tcW w:w="2010" w:type="dxa"/>
            <w:vAlign w:val="bottom"/>
          </w:tcPr>
          <w:p w:rsidR="0092460E" w:rsidRPr="0041188D" w:rsidP="00434DB4" w14:paraId="6F1D1261"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r w:rsidRPr="0041188D">
              <w:rPr>
                <w:rFonts w:ascii="Times New Roman" w:hAnsi="Times New Roman" w:eastAsiaTheme="minorHAnsi"/>
                <w:b/>
                <w:sz w:val="24"/>
                <w:szCs w:val="24"/>
                <w:u w:val="single"/>
              </w:rPr>
              <w:t>Printing and Distribution</w:t>
            </w:r>
          </w:p>
        </w:tc>
        <w:tc>
          <w:tcPr>
            <w:tcW w:w="412" w:type="dxa"/>
          </w:tcPr>
          <w:p w:rsidR="0092460E" w:rsidRPr="0041188D" w:rsidP="00434DB4" w14:paraId="49571038"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p>
        </w:tc>
        <w:tc>
          <w:tcPr>
            <w:tcW w:w="1707" w:type="dxa"/>
            <w:vAlign w:val="bottom"/>
          </w:tcPr>
          <w:p w:rsidR="0092460E" w:rsidRPr="0041188D" w:rsidP="00434DB4" w14:paraId="2C160D49" w14:textId="77777777">
            <w:pPr>
              <w:widowControl/>
              <w:tabs>
                <w:tab w:val="left" w:pos="540"/>
              </w:tabs>
              <w:autoSpaceDE/>
              <w:autoSpaceDN/>
              <w:adjustRightInd/>
              <w:spacing w:line="276" w:lineRule="auto"/>
              <w:ind w:left="540" w:hanging="540"/>
              <w:rPr>
                <w:rFonts w:ascii="Times New Roman" w:hAnsi="Times New Roman" w:eastAsiaTheme="minorHAnsi"/>
                <w:b/>
                <w:sz w:val="24"/>
                <w:szCs w:val="24"/>
                <w:u w:val="single"/>
              </w:rPr>
            </w:pPr>
            <w:r w:rsidRPr="0041188D">
              <w:rPr>
                <w:rFonts w:ascii="Times New Roman" w:hAnsi="Times New Roman" w:eastAsiaTheme="minorHAnsi"/>
                <w:b/>
                <w:sz w:val="24"/>
                <w:szCs w:val="24"/>
                <w:u w:val="single"/>
              </w:rPr>
              <w:t>Government Cost Estimate per Product</w:t>
            </w:r>
          </w:p>
        </w:tc>
      </w:tr>
      <w:tr w14:paraId="1B6A6658" w14:textId="77777777" w:rsidTr="00847E4A">
        <w:tblPrEx>
          <w:tblW w:w="8946" w:type="dxa"/>
          <w:tblInd w:w="445" w:type="dxa"/>
          <w:tblLook w:val="04A0"/>
        </w:tblPrEx>
        <w:trPr>
          <w:trHeight w:val="279"/>
        </w:trPr>
        <w:tc>
          <w:tcPr>
            <w:tcW w:w="2375" w:type="dxa"/>
            <w:vAlign w:val="bottom"/>
          </w:tcPr>
          <w:p w:rsidR="0092460E" w:rsidRPr="0041188D" w:rsidP="00434DB4" w14:paraId="10626C17" w14:textId="77777777">
            <w:pPr>
              <w:widowControl/>
              <w:tabs>
                <w:tab w:val="left" w:pos="540"/>
              </w:tabs>
              <w:autoSpaceDE/>
              <w:autoSpaceDN/>
              <w:adjustRightInd/>
              <w:spacing w:line="276" w:lineRule="auto"/>
              <w:ind w:left="540" w:hanging="540"/>
              <w:rPr>
                <w:rFonts w:ascii="Times New Roman" w:hAnsi="Times New Roman" w:eastAsiaTheme="minorHAnsi"/>
                <w:sz w:val="24"/>
                <w:szCs w:val="24"/>
              </w:rPr>
            </w:pPr>
            <w:r w:rsidRPr="0041188D">
              <w:rPr>
                <w:rFonts w:ascii="Times New Roman" w:hAnsi="Times New Roman" w:eastAsiaTheme="minorHAnsi"/>
                <w:sz w:val="24"/>
                <w:szCs w:val="24"/>
              </w:rPr>
              <w:t>Form 2587</w:t>
            </w:r>
          </w:p>
        </w:tc>
        <w:tc>
          <w:tcPr>
            <w:tcW w:w="2089" w:type="dxa"/>
            <w:vAlign w:val="bottom"/>
          </w:tcPr>
          <w:p w:rsidR="0092460E" w:rsidRPr="0041188D" w:rsidP="00434DB4" w14:paraId="2AD97816"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$15,048</w:t>
            </w:r>
          </w:p>
        </w:tc>
        <w:tc>
          <w:tcPr>
            <w:tcW w:w="353" w:type="dxa"/>
          </w:tcPr>
          <w:p w:rsidR="0092460E" w:rsidRPr="0041188D" w:rsidP="00434DB4" w14:paraId="73E0B3A3"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0E5877A4"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72F29921"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5FE97CEC"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$19,152</w:t>
            </w:r>
          </w:p>
        </w:tc>
      </w:tr>
      <w:tr w14:paraId="33B1EBAD" w14:textId="77777777" w:rsidTr="00847E4A">
        <w:tblPrEx>
          <w:tblW w:w="8946" w:type="dxa"/>
          <w:tblInd w:w="445" w:type="dxa"/>
          <w:tblLook w:val="04A0"/>
        </w:tblPrEx>
        <w:trPr>
          <w:trHeight w:val="279"/>
        </w:trPr>
        <w:tc>
          <w:tcPr>
            <w:tcW w:w="2375" w:type="dxa"/>
            <w:vAlign w:val="bottom"/>
          </w:tcPr>
          <w:p w:rsidR="0092460E" w:rsidRPr="0041188D" w:rsidP="00434DB4" w14:paraId="5BE4F411" w14:textId="77777777">
            <w:pPr>
              <w:widowControl/>
              <w:tabs>
                <w:tab w:val="left" w:pos="540"/>
              </w:tabs>
              <w:autoSpaceDE/>
              <w:autoSpaceDN/>
              <w:adjustRightInd/>
              <w:spacing w:line="276" w:lineRule="auto"/>
              <w:ind w:left="540" w:hanging="540"/>
              <w:rPr>
                <w:rFonts w:ascii="Times New Roman" w:hAnsi="Times New Roman" w:eastAsiaTheme="minorHAnsi"/>
                <w:sz w:val="24"/>
                <w:szCs w:val="24"/>
              </w:rPr>
            </w:pPr>
            <w:r w:rsidRPr="0041188D">
              <w:rPr>
                <w:rFonts w:ascii="Times New Roman" w:hAnsi="Times New Roman" w:eastAsiaTheme="minorHAnsi"/>
                <w:sz w:val="24"/>
                <w:szCs w:val="24"/>
              </w:rPr>
              <w:t>Form 23</w:t>
            </w:r>
          </w:p>
        </w:tc>
        <w:tc>
          <w:tcPr>
            <w:tcW w:w="2089" w:type="dxa"/>
            <w:vAlign w:val="bottom"/>
          </w:tcPr>
          <w:p w:rsidR="0092460E" w:rsidRPr="0041188D" w:rsidP="00434DB4" w14:paraId="79740F8E"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$16,416</w:t>
            </w:r>
          </w:p>
        </w:tc>
        <w:tc>
          <w:tcPr>
            <w:tcW w:w="353" w:type="dxa"/>
          </w:tcPr>
          <w:p w:rsidR="0092460E" w:rsidRPr="0041188D" w:rsidP="00434DB4" w14:paraId="7485C38D"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4AABF9EC"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429FBCC2"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05193925"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$20,520</w:t>
            </w:r>
          </w:p>
        </w:tc>
      </w:tr>
      <w:tr w14:paraId="639D7FD8" w14:textId="77777777" w:rsidTr="00847E4A">
        <w:tblPrEx>
          <w:tblW w:w="8946" w:type="dxa"/>
          <w:tblInd w:w="445" w:type="dxa"/>
          <w:tblLook w:val="04A0"/>
        </w:tblPrEx>
        <w:trPr>
          <w:trHeight w:val="279"/>
        </w:trPr>
        <w:tc>
          <w:tcPr>
            <w:tcW w:w="2375" w:type="dxa"/>
            <w:vAlign w:val="bottom"/>
          </w:tcPr>
          <w:p w:rsidR="0092460E" w:rsidRPr="0041188D" w:rsidP="00434DB4" w14:paraId="4BAB1E45" w14:textId="77777777">
            <w:pPr>
              <w:widowControl/>
              <w:tabs>
                <w:tab w:val="left" w:pos="540"/>
              </w:tabs>
              <w:autoSpaceDE/>
              <w:autoSpaceDN/>
              <w:adjustRightInd/>
              <w:spacing w:line="276" w:lineRule="auto"/>
              <w:ind w:left="540" w:hanging="540"/>
              <w:rPr>
                <w:rFonts w:ascii="Times New Roman" w:hAnsi="Times New Roman" w:eastAsiaTheme="minorHAnsi"/>
                <w:sz w:val="24"/>
                <w:szCs w:val="24"/>
              </w:rPr>
            </w:pPr>
            <w:r w:rsidRPr="0041188D">
              <w:rPr>
                <w:rFonts w:ascii="Times New Roman" w:hAnsi="Times New Roman" w:eastAsiaTheme="minorHAnsi"/>
                <w:sz w:val="24"/>
                <w:szCs w:val="24"/>
              </w:rPr>
              <w:t>Form 8554</w:t>
            </w:r>
          </w:p>
        </w:tc>
        <w:tc>
          <w:tcPr>
            <w:tcW w:w="2089" w:type="dxa"/>
            <w:vAlign w:val="bottom"/>
          </w:tcPr>
          <w:p w:rsidR="0092460E" w:rsidRPr="0041188D" w:rsidP="00434DB4" w14:paraId="7EB50F69"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$16,416</w:t>
            </w:r>
          </w:p>
        </w:tc>
        <w:tc>
          <w:tcPr>
            <w:tcW w:w="353" w:type="dxa"/>
          </w:tcPr>
          <w:p w:rsidR="0092460E" w:rsidRPr="0041188D" w:rsidP="00434DB4" w14:paraId="031D20E4"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0F83741E"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410A5999"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451C23FD"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$20,520</w:t>
            </w:r>
          </w:p>
        </w:tc>
      </w:tr>
      <w:tr w14:paraId="2EE66DEE" w14:textId="77777777" w:rsidTr="00847E4A">
        <w:tblPrEx>
          <w:tblW w:w="8946" w:type="dxa"/>
          <w:tblInd w:w="445" w:type="dxa"/>
          <w:tblLook w:val="04A0"/>
        </w:tblPrEx>
        <w:trPr>
          <w:trHeight w:val="279"/>
        </w:trPr>
        <w:tc>
          <w:tcPr>
            <w:tcW w:w="2375" w:type="dxa"/>
            <w:vAlign w:val="bottom"/>
          </w:tcPr>
          <w:p w:rsidR="0092460E" w:rsidRPr="0041188D" w:rsidP="00434DB4" w14:paraId="2C3E60A1" w14:textId="77777777">
            <w:pPr>
              <w:widowControl/>
              <w:tabs>
                <w:tab w:val="left" w:pos="540"/>
              </w:tabs>
              <w:autoSpaceDE/>
              <w:autoSpaceDN/>
              <w:adjustRightInd/>
              <w:spacing w:line="276" w:lineRule="auto"/>
              <w:ind w:left="540" w:hanging="540"/>
              <w:rPr>
                <w:rFonts w:ascii="Times New Roman" w:hAnsi="Times New Roman" w:eastAsiaTheme="minorHAnsi"/>
                <w:sz w:val="24"/>
                <w:szCs w:val="24"/>
              </w:rPr>
            </w:pPr>
            <w:r w:rsidRPr="0041188D">
              <w:rPr>
                <w:rFonts w:ascii="Times New Roman" w:hAnsi="Times New Roman" w:eastAsiaTheme="minorHAnsi"/>
                <w:sz w:val="24"/>
                <w:szCs w:val="24"/>
              </w:rPr>
              <w:t>Form 8554-EP</w:t>
            </w:r>
          </w:p>
        </w:tc>
        <w:tc>
          <w:tcPr>
            <w:tcW w:w="2089" w:type="dxa"/>
            <w:vAlign w:val="bottom"/>
          </w:tcPr>
          <w:p w:rsidR="0092460E" w:rsidRPr="0041188D" w:rsidP="00434DB4" w14:paraId="700DCE30"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$16,416</w:t>
            </w:r>
          </w:p>
        </w:tc>
        <w:tc>
          <w:tcPr>
            <w:tcW w:w="353" w:type="dxa"/>
          </w:tcPr>
          <w:p w:rsidR="0092460E" w:rsidRPr="0041188D" w:rsidP="00434DB4" w14:paraId="5CABEF23"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4B01FA8A"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25F55E65"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51330F7F"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$20,520</w:t>
            </w:r>
          </w:p>
        </w:tc>
      </w:tr>
      <w:tr w14:paraId="74BE8B82" w14:textId="77777777" w:rsidTr="00847E4A">
        <w:tblPrEx>
          <w:tblW w:w="8946" w:type="dxa"/>
          <w:tblInd w:w="445" w:type="dxa"/>
          <w:tblLook w:val="04A0"/>
        </w:tblPrEx>
        <w:trPr>
          <w:trHeight w:val="279"/>
        </w:trPr>
        <w:tc>
          <w:tcPr>
            <w:tcW w:w="2375" w:type="dxa"/>
            <w:vAlign w:val="bottom"/>
          </w:tcPr>
          <w:p w:rsidR="0092460E" w:rsidRPr="0041188D" w:rsidP="00434DB4" w14:paraId="5914016D" w14:textId="77777777">
            <w:pPr>
              <w:widowControl/>
              <w:tabs>
                <w:tab w:val="left" w:pos="540"/>
              </w:tabs>
              <w:autoSpaceDE/>
              <w:autoSpaceDN/>
              <w:adjustRightInd/>
              <w:spacing w:line="276" w:lineRule="auto"/>
              <w:ind w:left="540" w:hanging="540"/>
              <w:rPr>
                <w:rFonts w:ascii="Times New Roman" w:hAnsi="Times New Roman" w:eastAsiaTheme="minorHAnsi"/>
                <w:sz w:val="24"/>
                <w:szCs w:val="24"/>
              </w:rPr>
            </w:pPr>
            <w:r w:rsidRPr="0041188D">
              <w:rPr>
                <w:rFonts w:ascii="Times New Roman" w:hAnsi="Times New Roman" w:eastAsiaTheme="minorHAnsi"/>
                <w:sz w:val="24"/>
                <w:szCs w:val="24"/>
              </w:rPr>
              <w:t>Form 8498</w:t>
            </w:r>
          </w:p>
        </w:tc>
        <w:tc>
          <w:tcPr>
            <w:tcW w:w="2089" w:type="dxa"/>
            <w:vAlign w:val="bottom"/>
          </w:tcPr>
          <w:p w:rsidR="0092460E" w:rsidRPr="0041188D" w:rsidP="00434DB4" w14:paraId="6F8794C0"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$16,416</w:t>
            </w:r>
          </w:p>
        </w:tc>
        <w:tc>
          <w:tcPr>
            <w:tcW w:w="353" w:type="dxa"/>
          </w:tcPr>
          <w:p w:rsidR="0092460E" w:rsidRPr="0041188D" w:rsidP="00434DB4" w14:paraId="3F628801"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42086AC0"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$10,260</w:t>
            </w:r>
          </w:p>
        </w:tc>
        <w:tc>
          <w:tcPr>
            <w:tcW w:w="412" w:type="dxa"/>
          </w:tcPr>
          <w:p w:rsidR="0092460E" w:rsidRPr="0041188D" w:rsidP="00434DB4" w14:paraId="57F4202A"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4B82D1FC"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$26,676</w:t>
            </w:r>
          </w:p>
        </w:tc>
      </w:tr>
      <w:tr w14:paraId="75177947" w14:textId="77777777" w:rsidTr="00847E4A">
        <w:tblPrEx>
          <w:tblW w:w="8946" w:type="dxa"/>
          <w:tblInd w:w="445" w:type="dxa"/>
          <w:tblLook w:val="04A0"/>
        </w:tblPrEx>
        <w:trPr>
          <w:trHeight w:val="279"/>
        </w:trPr>
        <w:tc>
          <w:tcPr>
            <w:tcW w:w="2375" w:type="dxa"/>
            <w:vAlign w:val="bottom"/>
          </w:tcPr>
          <w:p w:rsidR="0092460E" w:rsidRPr="0041188D" w:rsidP="00434DB4" w14:paraId="4CFAE7B2" w14:textId="64D5EBC5">
            <w:pPr>
              <w:widowControl/>
              <w:tabs>
                <w:tab w:val="left" w:pos="540"/>
              </w:tabs>
              <w:autoSpaceDE/>
              <w:autoSpaceDN/>
              <w:adjustRightInd/>
              <w:spacing w:line="276" w:lineRule="auto"/>
              <w:ind w:left="540" w:hanging="540"/>
              <w:rPr>
                <w:rFonts w:ascii="Times New Roman" w:hAnsi="Times New Roman" w:eastAsiaTheme="minorHAnsi"/>
                <w:sz w:val="24"/>
                <w:szCs w:val="24"/>
              </w:rPr>
            </w:pPr>
            <w:r>
              <w:rPr>
                <w:rFonts w:ascii="Times New Roman" w:hAnsi="Times New Roman" w:eastAsiaTheme="minorHAnsi"/>
                <w:sz w:val="24"/>
                <w:szCs w:val="24"/>
              </w:rPr>
              <w:t xml:space="preserve">Form </w:t>
            </w:r>
            <w:r w:rsidRPr="0041188D" w:rsidR="009E7500">
              <w:rPr>
                <w:rFonts w:ascii="Times New Roman" w:hAnsi="Times New Roman" w:eastAsiaTheme="minorHAnsi"/>
                <w:sz w:val="24"/>
                <w:szCs w:val="24"/>
              </w:rPr>
              <w:t>14360</w:t>
            </w:r>
          </w:p>
        </w:tc>
        <w:tc>
          <w:tcPr>
            <w:tcW w:w="2089" w:type="dxa"/>
            <w:vAlign w:val="bottom"/>
          </w:tcPr>
          <w:p w:rsidR="0092460E" w:rsidRPr="0041188D" w:rsidP="00434DB4" w14:paraId="5097800A"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$15,048</w:t>
            </w:r>
          </w:p>
        </w:tc>
        <w:tc>
          <w:tcPr>
            <w:tcW w:w="353" w:type="dxa"/>
          </w:tcPr>
          <w:p w:rsidR="0092460E" w:rsidRPr="0041188D" w:rsidP="00434DB4" w14:paraId="5F17DA72"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312426F3"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52F70275"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69261599"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$19,152</w:t>
            </w:r>
          </w:p>
        </w:tc>
      </w:tr>
      <w:tr w14:paraId="66215B50" w14:textId="77777777" w:rsidTr="00847E4A">
        <w:tblPrEx>
          <w:tblW w:w="8946" w:type="dxa"/>
          <w:tblInd w:w="445" w:type="dxa"/>
          <w:tblLook w:val="04A0"/>
        </w:tblPrEx>
        <w:trPr>
          <w:trHeight w:val="279"/>
        </w:trPr>
        <w:tc>
          <w:tcPr>
            <w:tcW w:w="2375" w:type="dxa"/>
            <w:vAlign w:val="bottom"/>
          </w:tcPr>
          <w:p w:rsidR="0092460E" w:rsidRPr="0041188D" w:rsidP="00434DB4" w14:paraId="20948BCF" w14:textId="4F6C37EF">
            <w:pPr>
              <w:widowControl/>
              <w:tabs>
                <w:tab w:val="left" w:pos="540"/>
              </w:tabs>
              <w:autoSpaceDE/>
              <w:autoSpaceDN/>
              <w:adjustRightInd/>
              <w:spacing w:line="276" w:lineRule="auto"/>
              <w:ind w:left="540" w:hanging="540"/>
              <w:rPr>
                <w:rFonts w:ascii="Times New Roman" w:hAnsi="Times New Roman" w:eastAsiaTheme="minorHAnsi"/>
                <w:sz w:val="24"/>
                <w:szCs w:val="24"/>
              </w:rPr>
            </w:pPr>
            <w:r>
              <w:rPr>
                <w:rFonts w:ascii="Times New Roman" w:hAnsi="Times New Roman" w:eastAsiaTheme="minorHAnsi"/>
                <w:sz w:val="24"/>
                <w:szCs w:val="24"/>
              </w:rPr>
              <w:t xml:space="preserve">Form </w:t>
            </w:r>
            <w:r w:rsidRPr="0041188D" w:rsidR="009E7500">
              <w:rPr>
                <w:rFonts w:ascii="Times New Roman" w:hAnsi="Times New Roman" w:eastAsiaTheme="minorHAnsi"/>
                <w:sz w:val="24"/>
                <w:szCs w:val="24"/>
              </w:rPr>
              <w:t>14364</w:t>
            </w:r>
          </w:p>
        </w:tc>
        <w:tc>
          <w:tcPr>
            <w:tcW w:w="2089" w:type="dxa"/>
            <w:vAlign w:val="bottom"/>
          </w:tcPr>
          <w:p w:rsidR="0092460E" w:rsidRPr="0041188D" w:rsidP="00434DB4" w14:paraId="7DC45724"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$15,048</w:t>
            </w:r>
          </w:p>
        </w:tc>
        <w:tc>
          <w:tcPr>
            <w:tcW w:w="353" w:type="dxa"/>
          </w:tcPr>
          <w:p w:rsidR="0092460E" w:rsidRPr="0041188D" w:rsidP="00434DB4" w14:paraId="70500333"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4897B6EF"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$0</w:t>
            </w:r>
          </w:p>
        </w:tc>
        <w:tc>
          <w:tcPr>
            <w:tcW w:w="412" w:type="dxa"/>
          </w:tcPr>
          <w:p w:rsidR="0092460E" w:rsidRPr="0041188D" w:rsidP="00434DB4" w14:paraId="7F51CEF4"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007D6892"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$15,048</w:t>
            </w:r>
          </w:p>
        </w:tc>
      </w:tr>
      <w:tr w14:paraId="005CAE27" w14:textId="77777777" w:rsidTr="00847E4A">
        <w:tblPrEx>
          <w:tblW w:w="8946" w:type="dxa"/>
          <w:tblInd w:w="445" w:type="dxa"/>
          <w:tblLook w:val="04A0"/>
        </w:tblPrEx>
        <w:trPr>
          <w:trHeight w:val="279"/>
        </w:trPr>
        <w:tc>
          <w:tcPr>
            <w:tcW w:w="2375" w:type="dxa"/>
            <w:vAlign w:val="bottom"/>
          </w:tcPr>
          <w:p w:rsidR="0092460E" w:rsidRPr="0041188D" w:rsidP="00434DB4" w14:paraId="28B907B2" w14:textId="324B0475">
            <w:pPr>
              <w:widowControl/>
              <w:tabs>
                <w:tab w:val="left" w:pos="540"/>
              </w:tabs>
              <w:autoSpaceDE/>
              <w:autoSpaceDN/>
              <w:adjustRightInd/>
              <w:spacing w:line="276" w:lineRule="auto"/>
              <w:ind w:left="540" w:hanging="540"/>
              <w:rPr>
                <w:rFonts w:ascii="Times New Roman" w:hAnsi="Times New Roman" w:eastAsiaTheme="minorHAnsi"/>
                <w:sz w:val="24"/>
                <w:szCs w:val="24"/>
              </w:rPr>
            </w:pPr>
            <w:r>
              <w:rPr>
                <w:rFonts w:ascii="Times New Roman" w:hAnsi="Times New Roman" w:eastAsiaTheme="minorHAnsi"/>
                <w:sz w:val="24"/>
                <w:szCs w:val="24"/>
              </w:rPr>
              <w:t xml:space="preserve">Form </w:t>
            </w:r>
            <w:r w:rsidRPr="0041188D" w:rsidR="009E7500">
              <w:rPr>
                <w:rFonts w:ascii="Times New Roman" w:hAnsi="Times New Roman" w:eastAsiaTheme="minorHAnsi"/>
                <w:sz w:val="24"/>
                <w:szCs w:val="24"/>
              </w:rPr>
              <w:t>14392</w:t>
            </w:r>
          </w:p>
        </w:tc>
        <w:tc>
          <w:tcPr>
            <w:tcW w:w="2089" w:type="dxa"/>
            <w:vAlign w:val="bottom"/>
          </w:tcPr>
          <w:p w:rsidR="0092460E" w:rsidRPr="0041188D" w:rsidP="00434DB4" w14:paraId="5D6911BA"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$15,048</w:t>
            </w:r>
          </w:p>
        </w:tc>
        <w:tc>
          <w:tcPr>
            <w:tcW w:w="353" w:type="dxa"/>
          </w:tcPr>
          <w:p w:rsidR="0092460E" w:rsidRPr="0041188D" w:rsidP="00434DB4" w14:paraId="22D9F326"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1E51C5D5"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$4,104</w:t>
            </w:r>
          </w:p>
        </w:tc>
        <w:tc>
          <w:tcPr>
            <w:tcW w:w="412" w:type="dxa"/>
          </w:tcPr>
          <w:p w:rsidR="0092460E" w:rsidRPr="0041188D" w:rsidP="00434DB4" w14:paraId="421F4BBA"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45A9061F" w14:textId="77777777">
            <w:pPr>
              <w:widowControl/>
              <w:tabs>
                <w:tab w:val="left" w:pos="540"/>
              </w:tabs>
              <w:autoSpaceDE/>
              <w:autoSpaceDN/>
              <w:adjustRightInd/>
              <w:spacing w:line="276" w:lineRule="auto"/>
              <w:ind w:left="540" w:hanging="540"/>
              <w:jc w:val="center"/>
              <w:rPr>
                <w:rFonts w:ascii="Times New Roman" w:hAnsi="Times New Roman" w:eastAsiaTheme="minorHAnsi"/>
                <w:sz w:val="24"/>
                <w:szCs w:val="24"/>
              </w:rPr>
            </w:pPr>
            <w:r w:rsidRPr="0041188D">
              <w:rPr>
                <w:rFonts w:ascii="Times New Roman" w:hAnsi="Times New Roman" w:eastAsiaTheme="minorHAnsi"/>
                <w:sz w:val="24"/>
                <w:szCs w:val="24"/>
              </w:rPr>
              <w:t>$19,152</w:t>
            </w:r>
          </w:p>
        </w:tc>
      </w:tr>
      <w:tr w14:paraId="4C1339AE" w14:textId="77777777" w:rsidTr="00847E4A">
        <w:tblPrEx>
          <w:tblW w:w="8946" w:type="dxa"/>
          <w:tblInd w:w="445" w:type="dxa"/>
          <w:tblLook w:val="04A0"/>
        </w:tblPrEx>
        <w:trPr>
          <w:trHeight w:val="279"/>
        </w:trPr>
        <w:tc>
          <w:tcPr>
            <w:tcW w:w="2375" w:type="dxa"/>
            <w:vAlign w:val="bottom"/>
          </w:tcPr>
          <w:p w:rsidR="0092460E" w:rsidRPr="0041188D" w:rsidP="00434DB4" w14:paraId="7E91CE4E" w14:textId="77777777">
            <w:pPr>
              <w:widowControl/>
              <w:tabs>
                <w:tab w:val="left" w:pos="540"/>
              </w:tabs>
              <w:autoSpaceDE/>
              <w:autoSpaceDN/>
              <w:adjustRightInd/>
              <w:spacing w:line="276" w:lineRule="auto"/>
              <w:ind w:left="540" w:hanging="540"/>
              <w:rPr>
                <w:rFonts w:ascii="Times New Roman" w:hAnsi="Times New Roman" w:eastAsiaTheme="minorHAnsi"/>
                <w:b/>
                <w:bCs/>
                <w:sz w:val="24"/>
                <w:szCs w:val="24"/>
              </w:rPr>
            </w:pPr>
            <w:r w:rsidRPr="0041188D">
              <w:rPr>
                <w:rFonts w:ascii="Times New Roman" w:hAnsi="Times New Roman" w:eastAsiaTheme="minorHAnsi"/>
                <w:b/>
                <w:bCs/>
                <w:sz w:val="24"/>
                <w:szCs w:val="24"/>
              </w:rPr>
              <w:t>Total</w:t>
            </w:r>
          </w:p>
        </w:tc>
        <w:tc>
          <w:tcPr>
            <w:tcW w:w="2089" w:type="dxa"/>
            <w:vAlign w:val="bottom"/>
          </w:tcPr>
          <w:p w:rsidR="0092460E" w:rsidRPr="0041188D" w:rsidP="00434DB4" w14:paraId="3AA472C2" w14:textId="77777777">
            <w:pPr>
              <w:widowControl/>
              <w:tabs>
                <w:tab w:val="left" w:pos="540"/>
              </w:tabs>
              <w:autoSpaceDE/>
              <w:autoSpaceDN/>
              <w:adjustRightInd/>
              <w:spacing w:line="276" w:lineRule="auto"/>
              <w:ind w:left="540" w:hanging="540"/>
              <w:jc w:val="center"/>
              <w:rPr>
                <w:rFonts w:ascii="Times New Roman" w:hAnsi="Times New Roman" w:eastAsiaTheme="minorHAnsi"/>
                <w:b/>
                <w:bCs/>
                <w:sz w:val="24"/>
                <w:szCs w:val="24"/>
              </w:rPr>
            </w:pPr>
            <w:r w:rsidRPr="0041188D">
              <w:rPr>
                <w:rFonts w:ascii="Times New Roman" w:hAnsi="Times New Roman" w:eastAsiaTheme="minorHAnsi"/>
                <w:b/>
                <w:bCs/>
                <w:sz w:val="24"/>
                <w:szCs w:val="24"/>
              </w:rPr>
              <w:t>$125,856</w:t>
            </w:r>
          </w:p>
        </w:tc>
        <w:tc>
          <w:tcPr>
            <w:tcW w:w="353" w:type="dxa"/>
          </w:tcPr>
          <w:p w:rsidR="0092460E" w:rsidRPr="0041188D" w:rsidP="00434DB4" w14:paraId="51D35E68" w14:textId="77777777">
            <w:pPr>
              <w:widowControl/>
              <w:tabs>
                <w:tab w:val="left" w:pos="540"/>
              </w:tabs>
              <w:autoSpaceDE/>
              <w:autoSpaceDN/>
              <w:adjustRightInd/>
              <w:spacing w:line="276" w:lineRule="auto"/>
              <w:ind w:left="540" w:hanging="540"/>
              <w:jc w:val="center"/>
              <w:rPr>
                <w:rFonts w:ascii="Times New Roman" w:hAnsi="Times New Roman" w:eastAsiaTheme="minorHAnsi"/>
                <w:b/>
                <w:bCs/>
                <w:sz w:val="24"/>
                <w:szCs w:val="24"/>
              </w:rPr>
            </w:pPr>
            <w:r w:rsidRPr="0041188D">
              <w:rPr>
                <w:rFonts w:ascii="Times New Roman" w:hAnsi="Times New Roman" w:eastAsiaTheme="minorHAnsi"/>
                <w:b/>
                <w:bCs/>
                <w:sz w:val="24"/>
                <w:szCs w:val="24"/>
              </w:rPr>
              <w:t>+</w:t>
            </w:r>
          </w:p>
        </w:tc>
        <w:tc>
          <w:tcPr>
            <w:tcW w:w="2010" w:type="dxa"/>
          </w:tcPr>
          <w:p w:rsidR="0092460E" w:rsidRPr="0041188D" w:rsidP="00434DB4" w14:paraId="34D9A522" w14:textId="77777777">
            <w:pPr>
              <w:widowControl/>
              <w:tabs>
                <w:tab w:val="left" w:pos="540"/>
              </w:tabs>
              <w:autoSpaceDE/>
              <w:autoSpaceDN/>
              <w:adjustRightInd/>
              <w:spacing w:line="276" w:lineRule="auto"/>
              <w:ind w:left="540" w:hanging="540"/>
              <w:jc w:val="center"/>
              <w:rPr>
                <w:rFonts w:ascii="Times New Roman" w:hAnsi="Times New Roman" w:eastAsiaTheme="minorHAnsi"/>
                <w:b/>
                <w:bCs/>
                <w:sz w:val="24"/>
                <w:szCs w:val="24"/>
              </w:rPr>
            </w:pPr>
            <w:r w:rsidRPr="0041188D">
              <w:rPr>
                <w:rFonts w:ascii="Times New Roman" w:hAnsi="Times New Roman" w:eastAsiaTheme="minorHAnsi"/>
                <w:b/>
                <w:bCs/>
                <w:sz w:val="24"/>
                <w:szCs w:val="24"/>
              </w:rPr>
              <w:t>$34,884</w:t>
            </w:r>
          </w:p>
        </w:tc>
        <w:tc>
          <w:tcPr>
            <w:tcW w:w="412" w:type="dxa"/>
          </w:tcPr>
          <w:p w:rsidR="0092460E" w:rsidRPr="0041188D" w:rsidP="00434DB4" w14:paraId="1CA0CBAA" w14:textId="77777777">
            <w:pPr>
              <w:widowControl/>
              <w:tabs>
                <w:tab w:val="left" w:pos="540"/>
              </w:tabs>
              <w:autoSpaceDE/>
              <w:autoSpaceDN/>
              <w:adjustRightInd/>
              <w:spacing w:line="276" w:lineRule="auto"/>
              <w:ind w:left="540" w:hanging="540"/>
              <w:jc w:val="center"/>
              <w:rPr>
                <w:rFonts w:ascii="Times New Roman" w:hAnsi="Times New Roman" w:eastAsiaTheme="minorHAnsi"/>
                <w:b/>
                <w:bCs/>
                <w:sz w:val="24"/>
                <w:szCs w:val="24"/>
              </w:rPr>
            </w:pPr>
            <w:r w:rsidRPr="0041188D">
              <w:rPr>
                <w:rFonts w:ascii="Times New Roman" w:hAnsi="Times New Roman" w:eastAsiaTheme="minorHAnsi"/>
                <w:b/>
                <w:bCs/>
                <w:sz w:val="24"/>
                <w:szCs w:val="24"/>
              </w:rPr>
              <w:t>=</w:t>
            </w:r>
          </w:p>
        </w:tc>
        <w:tc>
          <w:tcPr>
            <w:tcW w:w="1707" w:type="dxa"/>
            <w:vAlign w:val="bottom"/>
          </w:tcPr>
          <w:p w:rsidR="0092460E" w:rsidRPr="0041188D" w:rsidP="00434DB4" w14:paraId="5FB20914" w14:textId="77777777">
            <w:pPr>
              <w:widowControl/>
              <w:tabs>
                <w:tab w:val="left" w:pos="540"/>
              </w:tabs>
              <w:autoSpaceDE/>
              <w:autoSpaceDN/>
              <w:adjustRightInd/>
              <w:spacing w:line="276" w:lineRule="auto"/>
              <w:ind w:left="540" w:hanging="540"/>
              <w:jc w:val="center"/>
              <w:rPr>
                <w:rFonts w:ascii="Times New Roman" w:hAnsi="Times New Roman" w:eastAsiaTheme="minorHAnsi"/>
                <w:b/>
                <w:bCs/>
                <w:sz w:val="24"/>
                <w:szCs w:val="24"/>
              </w:rPr>
            </w:pPr>
            <w:r w:rsidRPr="0041188D">
              <w:rPr>
                <w:rFonts w:ascii="Times New Roman" w:hAnsi="Times New Roman" w:eastAsiaTheme="minorHAnsi"/>
                <w:b/>
                <w:bCs/>
                <w:sz w:val="24"/>
                <w:szCs w:val="24"/>
              </w:rPr>
              <w:t>$160,740</w:t>
            </w:r>
          </w:p>
        </w:tc>
      </w:tr>
      <w:tr w14:paraId="306E56D7" w14:textId="77777777" w:rsidTr="00847E4A">
        <w:tblPrEx>
          <w:tblW w:w="8946" w:type="dxa"/>
          <w:tblInd w:w="445" w:type="dxa"/>
          <w:tblLook w:val="04A0"/>
        </w:tblPrEx>
        <w:trPr>
          <w:trHeight w:val="217"/>
        </w:trPr>
        <w:tc>
          <w:tcPr>
            <w:tcW w:w="8946" w:type="dxa"/>
            <w:gridSpan w:val="6"/>
          </w:tcPr>
          <w:p w:rsidR="0092460E" w:rsidRPr="0041188D" w:rsidP="00847E4A" w14:paraId="189893E4" w14:textId="77777777">
            <w:pPr>
              <w:widowControl/>
              <w:tabs>
                <w:tab w:val="left" w:pos="0"/>
              </w:tabs>
              <w:autoSpaceDE/>
              <w:autoSpaceDN/>
              <w:adjustRightInd/>
              <w:spacing w:line="276" w:lineRule="auto"/>
              <w:rPr>
                <w:rFonts w:ascii="Times New Roman" w:hAnsi="Times New Roman" w:eastAsiaTheme="minorHAnsi"/>
                <w:sz w:val="24"/>
                <w:szCs w:val="24"/>
              </w:rPr>
            </w:pPr>
            <w:r w:rsidRPr="0041188D">
              <w:rPr>
                <w:rFonts w:ascii="Times New Roman" w:hAnsi="Times New Roman" w:eastAsiaTheme="minorHAnsi"/>
                <w:sz w:val="24"/>
                <w:szCs w:val="24"/>
              </w:rPr>
              <w:t>Table costs are based on 2024 actuals obtained from IRS Chief Financial Officer and Media and Publications</w:t>
            </w:r>
          </w:p>
        </w:tc>
      </w:tr>
    </w:tbl>
    <w:p w:rsidR="004E5B0E" w:rsidP="00434DB4" w14:paraId="02E3CAA5" w14:textId="77777777">
      <w:pPr>
        <w:widowControl/>
        <w:spacing w:line="276" w:lineRule="auto"/>
        <w:ind w:left="360"/>
        <w:rPr>
          <w:rFonts w:ascii="Times New Roman" w:hAnsi="Times New Roman"/>
          <w:sz w:val="24"/>
          <w:szCs w:val="24"/>
        </w:rPr>
      </w:pPr>
    </w:p>
    <w:p w:rsidR="00CF747B" w:rsidP="00434DB4" w14:paraId="13353353" w14:textId="77777777">
      <w:pPr>
        <w:widowControl/>
        <w:spacing w:line="276" w:lineRule="auto"/>
        <w:ind w:left="360"/>
        <w:rPr>
          <w:rFonts w:ascii="Times New Roman" w:hAnsi="Times New Roman"/>
          <w:sz w:val="24"/>
          <w:szCs w:val="24"/>
        </w:rPr>
      </w:pPr>
    </w:p>
    <w:p w:rsidR="00CF747B" w:rsidRPr="0041188D" w:rsidP="00434DB4" w14:paraId="17F2E802" w14:textId="77777777">
      <w:pPr>
        <w:widowControl/>
        <w:spacing w:line="276" w:lineRule="auto"/>
        <w:ind w:left="360"/>
        <w:rPr>
          <w:rFonts w:ascii="Times New Roman" w:hAnsi="Times New Roman"/>
          <w:sz w:val="24"/>
          <w:szCs w:val="24"/>
        </w:rPr>
      </w:pPr>
    </w:p>
    <w:p w:rsidR="009B74BA" w:rsidRPr="0041188D" w:rsidP="00434DB4" w14:paraId="47F139AA" w14:textId="53C23011">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REASONS FOR CHANGE IN BURDEN</w:t>
      </w:r>
    </w:p>
    <w:p w:rsidR="00BD52D5" w:rsidRPr="0041188D" w:rsidP="00434DB4" w14:paraId="0C3E1B55" w14:textId="77777777">
      <w:pPr>
        <w:widowControl/>
        <w:spacing w:line="276" w:lineRule="auto"/>
        <w:ind w:left="360"/>
        <w:rPr>
          <w:rFonts w:ascii="Times New Roman" w:hAnsi="Times New Roman"/>
          <w:sz w:val="24"/>
          <w:szCs w:val="24"/>
        </w:rPr>
      </w:pPr>
    </w:p>
    <w:p w:rsidR="00E130E5" w:rsidRPr="00B55007" w:rsidP="00434DB4" w14:paraId="2A879539" w14:textId="0B2AA448">
      <w:pPr>
        <w:widowControl/>
        <w:spacing w:line="276" w:lineRule="auto"/>
        <w:ind w:left="360"/>
        <w:rPr>
          <w:rFonts w:ascii="Times New Roman" w:hAnsi="Times New Roman"/>
          <w:b/>
          <w:bCs/>
          <w:sz w:val="24"/>
          <w:szCs w:val="24"/>
        </w:rPr>
      </w:pPr>
      <w:bookmarkStart w:id="3" w:name="_Hlk517352469"/>
      <w:bookmarkStart w:id="4" w:name="_Hlk518021609"/>
      <w:r w:rsidRPr="00B55007">
        <w:rPr>
          <w:rFonts w:ascii="Times New Roman" w:hAnsi="Times New Roman"/>
          <w:bCs/>
          <w:sz w:val="24"/>
          <w:szCs w:val="24"/>
        </w:rPr>
        <w:t xml:space="preserve">IRS has not made any revision or other program changes that affect the burden. </w:t>
      </w:r>
      <w:r w:rsidRPr="00B55007" w:rsidR="009E7500">
        <w:rPr>
          <w:rFonts w:ascii="Times New Roman" w:hAnsi="Times New Roman"/>
          <w:bCs/>
          <w:sz w:val="24"/>
          <w:szCs w:val="24"/>
        </w:rPr>
        <w:t xml:space="preserve">The purpose of this submission is </w:t>
      </w:r>
      <w:r w:rsidR="00561232">
        <w:rPr>
          <w:rFonts w:ascii="Times New Roman" w:hAnsi="Times New Roman"/>
          <w:bCs/>
          <w:sz w:val="24"/>
          <w:szCs w:val="24"/>
        </w:rPr>
        <w:t>renew</w:t>
      </w:r>
      <w:r w:rsidR="00561232">
        <w:rPr>
          <w:rFonts w:ascii="Times New Roman" w:hAnsi="Times New Roman"/>
          <w:bCs/>
          <w:sz w:val="24"/>
          <w:szCs w:val="24"/>
        </w:rPr>
        <w:t xml:space="preserve"> the OMB approval and </w:t>
      </w:r>
      <w:r w:rsidRPr="00B55007" w:rsidR="009E7500">
        <w:rPr>
          <w:rFonts w:ascii="Times New Roman" w:hAnsi="Times New Roman"/>
          <w:bCs/>
          <w:sz w:val="24"/>
          <w:szCs w:val="24"/>
        </w:rPr>
        <w:t>to consolidate the related collections under one approval number. The burdens previously approved under 1545-0946 (Forms 8554 &amp; 8554-EP), 1545-0949 (Form 2587), 1545-0950 (Form 23),</w:t>
      </w:r>
      <w:r w:rsidRPr="00B55007" w:rsidR="00847E4A">
        <w:rPr>
          <w:rFonts w:ascii="Times New Roman" w:hAnsi="Times New Roman"/>
          <w:bCs/>
          <w:sz w:val="24"/>
          <w:szCs w:val="24"/>
        </w:rPr>
        <w:t xml:space="preserve"> and</w:t>
      </w:r>
      <w:r w:rsidRPr="00B55007" w:rsidR="009E7500">
        <w:rPr>
          <w:rFonts w:ascii="Times New Roman" w:hAnsi="Times New Roman"/>
          <w:bCs/>
          <w:sz w:val="24"/>
          <w:szCs w:val="24"/>
        </w:rPr>
        <w:t xml:space="preserve"> 1545-1459 (Form 8498</w:t>
      </w:r>
      <w:r w:rsidRPr="00B55007" w:rsidR="00847E4A">
        <w:rPr>
          <w:rFonts w:ascii="Times New Roman" w:hAnsi="Times New Roman"/>
          <w:bCs/>
          <w:sz w:val="24"/>
          <w:szCs w:val="24"/>
        </w:rPr>
        <w:t xml:space="preserve">) will be consolidated into this OMB approval. </w:t>
      </w:r>
      <w:r w:rsidRPr="00B55007" w:rsidR="009E7500">
        <w:rPr>
          <w:rFonts w:ascii="Times New Roman" w:hAnsi="Times New Roman"/>
          <w:bCs/>
          <w:sz w:val="24"/>
          <w:szCs w:val="24"/>
        </w:rPr>
        <w:t xml:space="preserve"> </w:t>
      </w:r>
      <w:r w:rsidR="00016798">
        <w:rPr>
          <w:rFonts w:ascii="Times New Roman" w:hAnsi="Times New Roman"/>
          <w:bCs/>
          <w:sz w:val="24"/>
          <w:szCs w:val="24"/>
        </w:rPr>
        <w:t xml:space="preserve">Additionally, IRS has updated the burden estimates to reflect current filing information from the program office. </w:t>
      </w:r>
    </w:p>
    <w:p w:rsidR="00E130E5" w:rsidRPr="0041188D" w:rsidP="00434DB4" w14:paraId="44FDD702" w14:textId="77777777">
      <w:pPr>
        <w:widowControl/>
        <w:spacing w:line="276" w:lineRule="auto"/>
        <w:ind w:left="360"/>
        <w:rPr>
          <w:rFonts w:ascii="Times New Roman" w:hAnsi="Times New Roman"/>
          <w:b/>
          <w:bCs/>
          <w:sz w:val="24"/>
          <w:szCs w:val="24"/>
        </w:rPr>
      </w:pPr>
    </w:p>
    <w:tbl>
      <w:tblPr>
        <w:tblDescription w:val="table that charts list of burden"/>
        <w:tblW w:w="4811"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26"/>
        <w:gridCol w:w="1164"/>
        <w:gridCol w:w="1164"/>
        <w:gridCol w:w="1163"/>
        <w:gridCol w:w="1949"/>
        <w:gridCol w:w="1163"/>
        <w:gridCol w:w="1162"/>
      </w:tblGrid>
      <w:tr w14:paraId="17BB0B3B" w14:textId="77777777" w:rsidTr="00B55007">
        <w:tblPrEx>
          <w:tblW w:w="4811"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81"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705968D3"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 </w:t>
            </w:r>
          </w:p>
        </w:tc>
        <w:tc>
          <w:tcPr>
            <w:tcW w:w="647"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31174A15"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Requested</w:t>
            </w:r>
          </w:p>
        </w:tc>
        <w:tc>
          <w:tcPr>
            <w:tcW w:w="647"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6581E2F7"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Program Change Due to New Statute</w:t>
            </w:r>
          </w:p>
        </w:tc>
        <w:tc>
          <w:tcPr>
            <w:tcW w:w="647"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42ED07AE"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Program Change Due to Agency Discretion</w:t>
            </w:r>
          </w:p>
        </w:tc>
        <w:tc>
          <w:tcPr>
            <w:tcW w:w="1084"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1A4C71E9"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Change Due to Adjustment in Agency Estimate</w:t>
            </w:r>
          </w:p>
        </w:tc>
        <w:tc>
          <w:tcPr>
            <w:tcW w:w="647"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01BAA701"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Change Due to Potential Violation of the PRA</w:t>
            </w:r>
          </w:p>
        </w:tc>
        <w:tc>
          <w:tcPr>
            <w:tcW w:w="646" w:type="pct"/>
            <w:tcBorders>
              <w:top w:val="outset" w:sz="6" w:space="0" w:color="auto"/>
              <w:left w:val="outset" w:sz="6" w:space="0" w:color="auto"/>
              <w:bottom w:val="outset" w:sz="6" w:space="0" w:color="auto"/>
              <w:right w:val="outset" w:sz="6" w:space="0" w:color="auto"/>
            </w:tcBorders>
            <w:vAlign w:val="center"/>
            <w:hideMark/>
          </w:tcPr>
          <w:p w:rsidR="0092460E" w:rsidRPr="00B55007" w:rsidP="00434DB4" w14:paraId="70A57D0B" w14:textId="77777777">
            <w:pPr>
              <w:widowControl/>
              <w:autoSpaceDE/>
              <w:autoSpaceDN/>
              <w:adjustRightInd/>
              <w:spacing w:line="276" w:lineRule="auto"/>
              <w:jc w:val="center"/>
              <w:rPr>
                <w:rFonts w:ascii="Times New Roman" w:hAnsi="Times New Roman"/>
                <w:b/>
                <w:bCs/>
                <w:color w:val="000000"/>
                <w:sz w:val="24"/>
                <w:szCs w:val="24"/>
              </w:rPr>
            </w:pPr>
            <w:r w:rsidRPr="00B55007">
              <w:rPr>
                <w:rFonts w:ascii="Times New Roman" w:hAnsi="Times New Roman"/>
                <w:b/>
                <w:bCs/>
                <w:color w:val="000000"/>
                <w:sz w:val="24"/>
                <w:szCs w:val="24"/>
              </w:rPr>
              <w:t>Previously Approved</w:t>
            </w:r>
          </w:p>
        </w:tc>
      </w:tr>
      <w:tr w14:paraId="5F7D93CD" w14:textId="77777777" w:rsidTr="00B55007">
        <w:tblPrEx>
          <w:tblW w:w="4811" w:type="pct"/>
          <w:tblInd w:w="352" w:type="dxa"/>
          <w:tblCellMar>
            <w:top w:w="15" w:type="dxa"/>
            <w:left w:w="15" w:type="dxa"/>
            <w:bottom w:w="15" w:type="dxa"/>
            <w:right w:w="15" w:type="dxa"/>
          </w:tblCellMar>
          <w:tblLook w:val="04A0"/>
        </w:tblPrEx>
        <w:tc>
          <w:tcPr>
            <w:tcW w:w="681" w:type="pct"/>
            <w:tcBorders>
              <w:top w:val="outset" w:sz="6" w:space="0" w:color="auto"/>
              <w:left w:val="outset" w:sz="6" w:space="0" w:color="auto"/>
              <w:bottom w:val="outset" w:sz="6" w:space="0" w:color="auto"/>
              <w:right w:val="outset" w:sz="6" w:space="0" w:color="auto"/>
            </w:tcBorders>
            <w:hideMark/>
          </w:tcPr>
          <w:p w:rsidR="0092460E" w:rsidRPr="00B55007" w:rsidP="00434DB4" w14:paraId="7DAAA721" w14:textId="77777777">
            <w:pPr>
              <w:widowControl/>
              <w:autoSpaceDE/>
              <w:autoSpaceDN/>
              <w:adjustRightInd/>
              <w:spacing w:line="276" w:lineRule="auto"/>
              <w:rPr>
                <w:rFonts w:ascii="Times New Roman" w:hAnsi="Times New Roman"/>
                <w:color w:val="000000"/>
                <w:sz w:val="24"/>
                <w:szCs w:val="24"/>
              </w:rPr>
            </w:pPr>
            <w:r w:rsidRPr="00B55007">
              <w:rPr>
                <w:rFonts w:ascii="Times New Roman" w:hAnsi="Times New Roman"/>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16DA8EE2"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59A82B2C" w14:textId="7DED21AA">
            <w:pPr>
              <w:widowControl/>
              <w:autoSpaceDE/>
              <w:autoSpaceDN/>
              <w:adjustRightInd/>
              <w:spacing w:line="276" w:lineRule="auto"/>
              <w:jc w:val="center"/>
              <w:rPr>
                <w:rFonts w:ascii="Times New Roman" w:hAnsi="Times New Roman"/>
                <w:color w:val="000000"/>
                <w:sz w:val="24"/>
                <w:szCs w:val="24"/>
              </w:rPr>
            </w:pPr>
            <w:r>
              <w:rPr>
                <w:rFonts w:ascii="Times New Roman" w:hAnsi="Times New Roman"/>
                <w:color w:val="000000"/>
                <w:sz w:val="24"/>
                <w:szCs w:val="24"/>
              </w:rPr>
              <w:t>215,146</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238D243B"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78B3BED3"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p w:rsidR="0092460E" w:rsidRPr="00B55007" w:rsidP="00434DB4" w14:paraId="22ACAB3A" w14:textId="77777777">
            <w:pPr>
              <w:widowControl/>
              <w:autoSpaceDE/>
              <w:autoSpaceDN/>
              <w:adjustRightInd/>
              <w:spacing w:line="276" w:lineRule="auto"/>
              <w:jc w:val="cente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55318C3D"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68DDD487"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212F2D1D"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29E284DB" w14:textId="0D3169DA">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w:t>
            </w:r>
            <w:r w:rsidRPr="00B55007" w:rsidR="00B55007">
              <w:rPr>
                <w:rFonts w:ascii="Times New Roman" w:hAnsi="Times New Roman"/>
                <w:color w:val="000000"/>
                <w:sz w:val="24"/>
                <w:szCs w:val="24"/>
              </w:rPr>
              <w:t>494,964</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720F9ECC"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5C4BDEC2"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65ADB2FB"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53B846B6"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710,110</w:t>
            </w:r>
          </w:p>
        </w:tc>
      </w:tr>
      <w:tr w14:paraId="6616D1ED" w14:textId="77777777" w:rsidTr="00B55007">
        <w:tblPrEx>
          <w:tblW w:w="4811" w:type="pct"/>
          <w:tblInd w:w="352" w:type="dxa"/>
          <w:tblCellMar>
            <w:top w:w="15" w:type="dxa"/>
            <w:left w:w="15" w:type="dxa"/>
            <w:bottom w:w="15" w:type="dxa"/>
            <w:right w:w="15" w:type="dxa"/>
          </w:tblCellMar>
          <w:tblLook w:val="04A0"/>
        </w:tblPrEx>
        <w:tc>
          <w:tcPr>
            <w:tcW w:w="681" w:type="pct"/>
            <w:tcBorders>
              <w:top w:val="outset" w:sz="6" w:space="0" w:color="auto"/>
              <w:left w:val="outset" w:sz="6" w:space="0" w:color="auto"/>
              <w:bottom w:val="outset" w:sz="6" w:space="0" w:color="auto"/>
              <w:right w:val="outset" w:sz="6" w:space="0" w:color="auto"/>
            </w:tcBorders>
            <w:hideMark/>
          </w:tcPr>
          <w:p w:rsidR="0092460E" w:rsidRPr="00B55007" w:rsidP="00434DB4" w14:paraId="6F9BF796" w14:textId="77777777">
            <w:pPr>
              <w:widowControl/>
              <w:autoSpaceDE/>
              <w:autoSpaceDN/>
              <w:adjustRightInd/>
              <w:spacing w:line="276" w:lineRule="auto"/>
              <w:rPr>
                <w:rFonts w:ascii="Times New Roman" w:hAnsi="Times New Roman"/>
                <w:color w:val="000000"/>
                <w:sz w:val="24"/>
                <w:szCs w:val="24"/>
              </w:rPr>
            </w:pPr>
            <w:r w:rsidRPr="00B55007">
              <w:rPr>
                <w:rFonts w:ascii="Times New Roman" w:hAnsi="Times New Roman"/>
                <w:color w:val="000000"/>
                <w:sz w:val="24"/>
                <w:szCs w:val="24"/>
              </w:rPr>
              <w:t>Annual Time Burden (Hr.)</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4D7626B5"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48B7D947" w14:textId="3BB683AC">
            <w:pPr>
              <w:widowControl/>
              <w:autoSpaceDE/>
              <w:autoSpaceDN/>
              <w:adjustRightInd/>
              <w:spacing w:line="276" w:lineRule="auto"/>
              <w:jc w:val="center"/>
              <w:rPr>
                <w:rFonts w:ascii="Times New Roman" w:hAnsi="Times New Roman"/>
                <w:color w:val="000000"/>
                <w:sz w:val="24"/>
                <w:szCs w:val="24"/>
              </w:rPr>
            </w:pPr>
            <w:r>
              <w:rPr>
                <w:rFonts w:ascii="Times New Roman" w:hAnsi="Times New Roman"/>
                <w:color w:val="000000"/>
                <w:sz w:val="24"/>
                <w:szCs w:val="24"/>
              </w:rPr>
              <w:t>218,240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5017455E"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27CD196A"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0254D16D"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0AF2F4E1"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25A90AA6"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610A4188" w14:textId="63E62F28">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w:t>
            </w:r>
            <w:r w:rsidRPr="00B55007" w:rsidR="00B55007">
              <w:rPr>
                <w:rFonts w:ascii="Times New Roman" w:hAnsi="Times New Roman"/>
                <w:color w:val="000000"/>
                <w:sz w:val="24"/>
                <w:szCs w:val="24"/>
              </w:rPr>
              <w:t>1,555,280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6180FB0C"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2C2BEE73"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tcPr>
          <w:p w:rsidR="0092460E" w:rsidRPr="00B55007" w:rsidP="00434DB4" w14:paraId="2C678B9E" w14:textId="77777777">
            <w:pPr>
              <w:widowControl/>
              <w:autoSpaceDE/>
              <w:autoSpaceDN/>
              <w:adjustRightInd/>
              <w:spacing w:line="276" w:lineRule="auto"/>
              <w:jc w:val="center"/>
              <w:rPr>
                <w:rFonts w:ascii="Times New Roman" w:hAnsi="Times New Roman"/>
                <w:color w:val="000000"/>
                <w:sz w:val="24"/>
                <w:szCs w:val="24"/>
              </w:rPr>
            </w:pPr>
          </w:p>
          <w:p w:rsidR="0092460E" w:rsidRPr="00B55007" w:rsidP="00434DB4" w14:paraId="1B63FE13" w14:textId="77777777">
            <w:pPr>
              <w:widowControl/>
              <w:autoSpaceDE/>
              <w:autoSpaceDN/>
              <w:adjustRightInd/>
              <w:spacing w:line="276" w:lineRule="auto"/>
              <w:jc w:val="center"/>
              <w:rPr>
                <w:rFonts w:ascii="Times New Roman" w:hAnsi="Times New Roman"/>
                <w:color w:val="000000"/>
                <w:sz w:val="24"/>
                <w:szCs w:val="24"/>
              </w:rPr>
            </w:pPr>
            <w:r w:rsidRPr="00B55007">
              <w:rPr>
                <w:rFonts w:ascii="Times New Roman" w:hAnsi="Times New Roman"/>
                <w:color w:val="000000"/>
                <w:sz w:val="24"/>
                <w:szCs w:val="24"/>
              </w:rPr>
              <w:t>1,773,520</w:t>
            </w:r>
          </w:p>
        </w:tc>
      </w:tr>
    </w:tbl>
    <w:p w:rsidR="00D73F3D" w:rsidRPr="0041188D" w:rsidP="00434DB4" w14:paraId="28F8C737" w14:textId="77777777">
      <w:pPr>
        <w:widowControl/>
        <w:spacing w:line="276" w:lineRule="auto"/>
        <w:ind w:left="360"/>
        <w:rPr>
          <w:rFonts w:ascii="Times New Roman" w:hAnsi="Times New Roman"/>
          <w:b/>
          <w:bCs/>
          <w:sz w:val="24"/>
          <w:szCs w:val="24"/>
        </w:rPr>
      </w:pPr>
    </w:p>
    <w:bookmarkEnd w:id="3"/>
    <w:bookmarkEnd w:id="4"/>
    <w:p w:rsidR="009B74BA" w:rsidRPr="0041188D" w:rsidP="00434DB4" w14:paraId="583F343F" w14:textId="5DB90665">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PLANS FOR TABULATION, STATISTICAL ANALYSIS AND PUBLICATION</w:t>
      </w:r>
    </w:p>
    <w:p w:rsidR="009B74BA" w:rsidRPr="0041188D" w:rsidP="00434DB4" w14:paraId="0BC43F70" w14:textId="77777777">
      <w:pPr>
        <w:widowControl/>
        <w:spacing w:line="276" w:lineRule="auto"/>
        <w:ind w:left="360"/>
        <w:rPr>
          <w:rFonts w:ascii="Times New Roman" w:hAnsi="Times New Roman"/>
          <w:sz w:val="24"/>
          <w:szCs w:val="24"/>
        </w:rPr>
      </w:pPr>
    </w:p>
    <w:p w:rsidR="005A48BA" w:rsidRPr="0041188D" w:rsidP="00434DB4" w14:paraId="02C26A68" w14:textId="1644113A">
      <w:pPr>
        <w:widowControl/>
        <w:spacing w:line="276" w:lineRule="auto"/>
        <w:ind w:left="360"/>
        <w:rPr>
          <w:rFonts w:ascii="Times New Roman" w:hAnsi="Times New Roman"/>
          <w:sz w:val="24"/>
          <w:szCs w:val="24"/>
        </w:rPr>
      </w:pPr>
      <w:r w:rsidRPr="0041188D">
        <w:rPr>
          <w:rFonts w:ascii="Times New Roman" w:hAnsi="Times New Roman"/>
          <w:sz w:val="24"/>
          <w:szCs w:val="24"/>
        </w:rPr>
        <w:t>There are no plans for tabulation, statistical analysis and publication</w:t>
      </w:r>
      <w:r w:rsidRPr="0041188D" w:rsidR="00E420B2">
        <w:rPr>
          <w:rFonts w:ascii="Times New Roman" w:hAnsi="Times New Roman"/>
          <w:sz w:val="24"/>
          <w:szCs w:val="24"/>
        </w:rPr>
        <w:t>.</w:t>
      </w:r>
    </w:p>
    <w:p w:rsidR="00D45484" w:rsidRPr="0041188D" w:rsidP="00434DB4" w14:paraId="36CD77EF" w14:textId="77777777">
      <w:pPr>
        <w:widowControl/>
        <w:spacing w:line="276" w:lineRule="auto"/>
        <w:ind w:left="360"/>
        <w:rPr>
          <w:rFonts w:ascii="Times New Roman" w:hAnsi="Times New Roman"/>
          <w:sz w:val="24"/>
          <w:szCs w:val="24"/>
        </w:rPr>
      </w:pPr>
    </w:p>
    <w:p w:rsidR="009B74BA" w:rsidRPr="0041188D" w:rsidP="00434DB4" w14:paraId="704B5273" w14:textId="1E373193">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REASONS WHY DISPLAYING THE OMB EXPIRATION DATE IS</w:t>
      </w:r>
      <w:r w:rsidRPr="0041188D" w:rsidR="00021303">
        <w:rPr>
          <w:rFonts w:ascii="Times New Roman" w:hAnsi="Times New Roman"/>
          <w:b/>
          <w:bCs/>
          <w:u w:val="single"/>
        </w:rPr>
        <w:t xml:space="preserve"> </w:t>
      </w:r>
      <w:r w:rsidRPr="0041188D">
        <w:rPr>
          <w:rFonts w:ascii="Times New Roman" w:hAnsi="Times New Roman"/>
          <w:b/>
          <w:bCs/>
          <w:u w:val="single"/>
        </w:rPr>
        <w:t>INAPPROPRIATE</w:t>
      </w:r>
    </w:p>
    <w:p w:rsidR="009B74BA" w:rsidRPr="0041188D" w:rsidP="00434DB4" w14:paraId="14A6FCD7" w14:textId="77777777">
      <w:pPr>
        <w:widowControl/>
        <w:spacing w:line="276" w:lineRule="auto"/>
        <w:ind w:left="360"/>
        <w:rPr>
          <w:rFonts w:ascii="Times New Roman" w:hAnsi="Times New Roman"/>
          <w:sz w:val="24"/>
          <w:szCs w:val="24"/>
        </w:rPr>
      </w:pPr>
    </w:p>
    <w:p w:rsidR="009B74BA" w:rsidRPr="0041188D" w:rsidP="00434DB4" w14:paraId="653E8FB5" w14:textId="392E9068">
      <w:pPr>
        <w:widowControl/>
        <w:spacing w:line="276" w:lineRule="auto"/>
        <w:ind w:left="360"/>
        <w:rPr>
          <w:rFonts w:ascii="Times New Roman" w:hAnsi="Times New Roman"/>
          <w:sz w:val="24"/>
          <w:szCs w:val="24"/>
        </w:rPr>
      </w:pPr>
      <w:r w:rsidRPr="0041188D">
        <w:rPr>
          <w:rFonts w:ascii="Times New Roman" w:hAnsi="Times New Roman"/>
          <w:sz w:val="24"/>
          <w:szCs w:val="24"/>
        </w:rPr>
        <w:t>IRS believes that displaying the OMB expiration date is inappropriate because it could cause confusion by leading taxpayers to believe that the collection sunsets as of the expiration date.  Taxpayers are not likely to be aware that the IRS intends to request renewal of the OMB approval and obtain a new expiration date before the old one expires</w:t>
      </w:r>
      <w:r w:rsidRPr="0041188D" w:rsidR="00025250">
        <w:rPr>
          <w:rFonts w:ascii="Times New Roman" w:hAnsi="Times New Roman"/>
          <w:sz w:val="24"/>
          <w:szCs w:val="24"/>
        </w:rPr>
        <w:t>.</w:t>
      </w:r>
    </w:p>
    <w:p w:rsidR="00C94E94" w:rsidRPr="0041188D" w:rsidP="00434DB4" w14:paraId="2C1BF729" w14:textId="77777777">
      <w:pPr>
        <w:widowControl/>
        <w:spacing w:line="276" w:lineRule="auto"/>
        <w:ind w:left="360"/>
        <w:rPr>
          <w:rFonts w:ascii="Times New Roman" w:hAnsi="Times New Roman"/>
          <w:sz w:val="24"/>
          <w:szCs w:val="24"/>
        </w:rPr>
      </w:pPr>
    </w:p>
    <w:p w:rsidR="009B74BA" w:rsidRPr="0041188D" w:rsidP="00434DB4" w14:paraId="47E5A2A8" w14:textId="2A98C351">
      <w:pPr>
        <w:pStyle w:val="Heading1"/>
        <w:numPr>
          <w:ilvl w:val="0"/>
          <w:numId w:val="6"/>
        </w:numPr>
        <w:spacing w:line="276" w:lineRule="auto"/>
        <w:ind w:left="360"/>
        <w:rPr>
          <w:rFonts w:ascii="Times New Roman" w:hAnsi="Times New Roman"/>
          <w:b/>
          <w:bCs/>
          <w:u w:val="single"/>
        </w:rPr>
      </w:pPr>
      <w:r w:rsidRPr="0041188D">
        <w:rPr>
          <w:rFonts w:ascii="Times New Roman" w:hAnsi="Times New Roman"/>
          <w:b/>
          <w:bCs/>
          <w:u w:val="single"/>
        </w:rPr>
        <w:t>EXCEPTIONS TO THE CERTIFICATION STATEMENT</w:t>
      </w:r>
    </w:p>
    <w:p w:rsidR="009B74BA" w:rsidRPr="0041188D" w:rsidP="00434DB4" w14:paraId="4F9DDACD" w14:textId="77777777">
      <w:pPr>
        <w:widowControl/>
        <w:spacing w:line="276" w:lineRule="auto"/>
        <w:ind w:left="360"/>
        <w:rPr>
          <w:rFonts w:ascii="Times New Roman" w:hAnsi="Times New Roman"/>
          <w:sz w:val="24"/>
          <w:szCs w:val="24"/>
        </w:rPr>
      </w:pPr>
    </w:p>
    <w:p w:rsidR="00255289" w:rsidRPr="0041188D" w:rsidP="003A3CA0" w14:paraId="6BC13A79" w14:textId="2826B916">
      <w:pPr>
        <w:widowControl/>
        <w:spacing w:line="276" w:lineRule="auto"/>
        <w:ind w:left="360"/>
        <w:rPr>
          <w:rFonts w:ascii="Times New Roman" w:hAnsi="Times New Roman"/>
          <w:sz w:val="24"/>
          <w:szCs w:val="24"/>
        </w:rPr>
      </w:pPr>
      <w:r w:rsidRPr="0041188D">
        <w:rPr>
          <w:rFonts w:ascii="Times New Roman" w:hAnsi="Times New Roman"/>
          <w:sz w:val="24"/>
          <w:szCs w:val="24"/>
        </w:rPr>
        <w:t>There are no exceptions to the certification statement.</w:t>
      </w:r>
    </w:p>
    <w:sectPr w:rsidSect="00964356">
      <w:footnotePr>
        <w:numRestart w:val="eachPage"/>
      </w:footnotePr>
      <w:endnotePr>
        <w:numFmt w:val="decimal"/>
      </w:endnotePr>
      <w:pgSz w:w="12240" w:h="15840"/>
      <w:pgMar w:top="1440" w:right="1440" w:bottom="144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753E0"/>
    <w:multiLevelType w:val="hybridMultilevel"/>
    <w:tmpl w:val="58F04832"/>
    <w:lvl w:ilvl="0">
      <w:start w:val="1"/>
      <w:numFmt w:val="bullet"/>
      <w:lvlText w:val=""/>
      <w:lvlJc w:val="left"/>
      <w:pPr>
        <w:ind w:left="1260" w:hanging="360"/>
      </w:pPr>
      <w:rPr>
        <w:rFonts w:ascii="Symbol" w:hAnsi="Symbol" w:eastAsiaTheme="minorHAnsi" w:cstheme="minorBidi"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CE0728"/>
    <w:multiLevelType w:val="hybridMultilevel"/>
    <w:tmpl w:val="67C2F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FF7CDF"/>
    <w:multiLevelType w:val="hybridMultilevel"/>
    <w:tmpl w:val="94DE72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E13355"/>
    <w:multiLevelType w:val="hybridMultilevel"/>
    <w:tmpl w:val="26FCD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9FD0DE3"/>
    <w:multiLevelType w:val="hybridMultilevel"/>
    <w:tmpl w:val="502E8F36"/>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10"/>
  </w:num>
  <w:num w:numId="3" w16cid:durableId="661738985">
    <w:abstractNumId w:val="0"/>
  </w:num>
  <w:num w:numId="4" w16cid:durableId="189073543">
    <w:abstractNumId w:val="6"/>
  </w:num>
  <w:num w:numId="5" w16cid:durableId="529801625">
    <w:abstractNumId w:val="7"/>
  </w:num>
  <w:num w:numId="6" w16cid:durableId="1112088118">
    <w:abstractNumId w:val="5"/>
  </w:num>
  <w:num w:numId="7" w16cid:durableId="1559632952">
    <w:abstractNumId w:val="9"/>
  </w:num>
  <w:num w:numId="8" w16cid:durableId="1712920472">
    <w:abstractNumId w:val="1"/>
  </w:num>
  <w:num w:numId="9" w16cid:durableId="1484463433">
    <w:abstractNumId w:val="8"/>
  </w:num>
  <w:num w:numId="10" w16cid:durableId="1996110291">
    <w:abstractNumId w:val="3"/>
  </w:num>
  <w:num w:numId="11" w16cid:durableId="27148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0427"/>
    <w:rsid w:val="00003DDE"/>
    <w:rsid w:val="000062D7"/>
    <w:rsid w:val="000072AE"/>
    <w:rsid w:val="00012E4B"/>
    <w:rsid w:val="00014160"/>
    <w:rsid w:val="000154B9"/>
    <w:rsid w:val="000164A7"/>
    <w:rsid w:val="00016798"/>
    <w:rsid w:val="00016D3A"/>
    <w:rsid w:val="000175A9"/>
    <w:rsid w:val="00017986"/>
    <w:rsid w:val="000203AB"/>
    <w:rsid w:val="00020493"/>
    <w:rsid w:val="00021303"/>
    <w:rsid w:val="00024DC3"/>
    <w:rsid w:val="00025250"/>
    <w:rsid w:val="00027A91"/>
    <w:rsid w:val="0003083B"/>
    <w:rsid w:val="00030864"/>
    <w:rsid w:val="00032E1C"/>
    <w:rsid w:val="00034826"/>
    <w:rsid w:val="00036B27"/>
    <w:rsid w:val="00040726"/>
    <w:rsid w:val="00040BE5"/>
    <w:rsid w:val="0004100B"/>
    <w:rsid w:val="000444BD"/>
    <w:rsid w:val="00045B61"/>
    <w:rsid w:val="00045FEB"/>
    <w:rsid w:val="0005000E"/>
    <w:rsid w:val="000507E1"/>
    <w:rsid w:val="00050E32"/>
    <w:rsid w:val="000532B2"/>
    <w:rsid w:val="00055CD7"/>
    <w:rsid w:val="00057F67"/>
    <w:rsid w:val="00062C95"/>
    <w:rsid w:val="000638F5"/>
    <w:rsid w:val="00070180"/>
    <w:rsid w:val="00071AEE"/>
    <w:rsid w:val="0007355A"/>
    <w:rsid w:val="000748E0"/>
    <w:rsid w:val="000802CD"/>
    <w:rsid w:val="000823CC"/>
    <w:rsid w:val="000835C5"/>
    <w:rsid w:val="00084948"/>
    <w:rsid w:val="00086F92"/>
    <w:rsid w:val="00090A3C"/>
    <w:rsid w:val="00091452"/>
    <w:rsid w:val="0009526D"/>
    <w:rsid w:val="000960D7"/>
    <w:rsid w:val="00096DFE"/>
    <w:rsid w:val="000A4E28"/>
    <w:rsid w:val="000A7543"/>
    <w:rsid w:val="000B0214"/>
    <w:rsid w:val="000B03B5"/>
    <w:rsid w:val="000B2876"/>
    <w:rsid w:val="000B2A98"/>
    <w:rsid w:val="000B3FA9"/>
    <w:rsid w:val="000B5C23"/>
    <w:rsid w:val="000B65B3"/>
    <w:rsid w:val="000B76C9"/>
    <w:rsid w:val="000B7D5F"/>
    <w:rsid w:val="000C4B97"/>
    <w:rsid w:val="000C4CE6"/>
    <w:rsid w:val="000C57BE"/>
    <w:rsid w:val="000D40AC"/>
    <w:rsid w:val="000D7DFD"/>
    <w:rsid w:val="000E28D2"/>
    <w:rsid w:val="000E292E"/>
    <w:rsid w:val="000F07DF"/>
    <w:rsid w:val="000F637D"/>
    <w:rsid w:val="00101022"/>
    <w:rsid w:val="001019B5"/>
    <w:rsid w:val="00103517"/>
    <w:rsid w:val="00103607"/>
    <w:rsid w:val="00113E47"/>
    <w:rsid w:val="00114609"/>
    <w:rsid w:val="001149E6"/>
    <w:rsid w:val="00114A36"/>
    <w:rsid w:val="00114A68"/>
    <w:rsid w:val="00116B1C"/>
    <w:rsid w:val="00122BE0"/>
    <w:rsid w:val="00125133"/>
    <w:rsid w:val="00126605"/>
    <w:rsid w:val="00126DB7"/>
    <w:rsid w:val="0012761E"/>
    <w:rsid w:val="001338F5"/>
    <w:rsid w:val="00135324"/>
    <w:rsid w:val="001361C9"/>
    <w:rsid w:val="001403B2"/>
    <w:rsid w:val="00140BE9"/>
    <w:rsid w:val="00145946"/>
    <w:rsid w:val="00145EB1"/>
    <w:rsid w:val="00146CCB"/>
    <w:rsid w:val="00147FE1"/>
    <w:rsid w:val="00150AF4"/>
    <w:rsid w:val="00150BDF"/>
    <w:rsid w:val="00155712"/>
    <w:rsid w:val="001559F8"/>
    <w:rsid w:val="001608EC"/>
    <w:rsid w:val="001620AE"/>
    <w:rsid w:val="00162306"/>
    <w:rsid w:val="00163124"/>
    <w:rsid w:val="00164931"/>
    <w:rsid w:val="00165335"/>
    <w:rsid w:val="001653AC"/>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273A"/>
    <w:rsid w:val="001A29BC"/>
    <w:rsid w:val="001A41D6"/>
    <w:rsid w:val="001A464B"/>
    <w:rsid w:val="001A6605"/>
    <w:rsid w:val="001A715E"/>
    <w:rsid w:val="001B0FD2"/>
    <w:rsid w:val="001B1DDC"/>
    <w:rsid w:val="001B2C5A"/>
    <w:rsid w:val="001B6E87"/>
    <w:rsid w:val="001B6F3A"/>
    <w:rsid w:val="001C1E28"/>
    <w:rsid w:val="001C2016"/>
    <w:rsid w:val="001C3CB8"/>
    <w:rsid w:val="001C51B1"/>
    <w:rsid w:val="001C76FC"/>
    <w:rsid w:val="001C7C1E"/>
    <w:rsid w:val="001D0D74"/>
    <w:rsid w:val="001D284F"/>
    <w:rsid w:val="001D38CB"/>
    <w:rsid w:val="001D4FA3"/>
    <w:rsid w:val="001D50B2"/>
    <w:rsid w:val="001D5FA4"/>
    <w:rsid w:val="001D728D"/>
    <w:rsid w:val="001E630E"/>
    <w:rsid w:val="001E73BE"/>
    <w:rsid w:val="001F1C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6315"/>
    <w:rsid w:val="00227B31"/>
    <w:rsid w:val="002302BD"/>
    <w:rsid w:val="0023132C"/>
    <w:rsid w:val="002363AA"/>
    <w:rsid w:val="00242704"/>
    <w:rsid w:val="00244B9D"/>
    <w:rsid w:val="002453D3"/>
    <w:rsid w:val="00245E56"/>
    <w:rsid w:val="00246157"/>
    <w:rsid w:val="00246684"/>
    <w:rsid w:val="002474CE"/>
    <w:rsid w:val="00250ACF"/>
    <w:rsid w:val="002529C5"/>
    <w:rsid w:val="00252D29"/>
    <w:rsid w:val="00254E61"/>
    <w:rsid w:val="00255289"/>
    <w:rsid w:val="00255375"/>
    <w:rsid w:val="00255A3C"/>
    <w:rsid w:val="0025742F"/>
    <w:rsid w:val="00257699"/>
    <w:rsid w:val="00257C5E"/>
    <w:rsid w:val="00261A8B"/>
    <w:rsid w:val="00262641"/>
    <w:rsid w:val="00263DA5"/>
    <w:rsid w:val="00264DA5"/>
    <w:rsid w:val="00264EF0"/>
    <w:rsid w:val="002708F3"/>
    <w:rsid w:val="002727EF"/>
    <w:rsid w:val="002730FE"/>
    <w:rsid w:val="00286730"/>
    <w:rsid w:val="00286D2C"/>
    <w:rsid w:val="002873B3"/>
    <w:rsid w:val="002910D8"/>
    <w:rsid w:val="002947B0"/>
    <w:rsid w:val="00294831"/>
    <w:rsid w:val="00296598"/>
    <w:rsid w:val="00297960"/>
    <w:rsid w:val="002A0A24"/>
    <w:rsid w:val="002A2336"/>
    <w:rsid w:val="002A385F"/>
    <w:rsid w:val="002A4775"/>
    <w:rsid w:val="002A4E97"/>
    <w:rsid w:val="002A6286"/>
    <w:rsid w:val="002A6D08"/>
    <w:rsid w:val="002A6D40"/>
    <w:rsid w:val="002B2183"/>
    <w:rsid w:val="002B5A50"/>
    <w:rsid w:val="002B5FD4"/>
    <w:rsid w:val="002B6F7B"/>
    <w:rsid w:val="002C0068"/>
    <w:rsid w:val="002C07E6"/>
    <w:rsid w:val="002C15D7"/>
    <w:rsid w:val="002C15DE"/>
    <w:rsid w:val="002C26E5"/>
    <w:rsid w:val="002C373B"/>
    <w:rsid w:val="002C3F02"/>
    <w:rsid w:val="002C45E1"/>
    <w:rsid w:val="002C47AC"/>
    <w:rsid w:val="002C47DF"/>
    <w:rsid w:val="002C5D8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19C7"/>
    <w:rsid w:val="00333868"/>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3251"/>
    <w:rsid w:val="00366E2C"/>
    <w:rsid w:val="003672CD"/>
    <w:rsid w:val="00371352"/>
    <w:rsid w:val="003727BD"/>
    <w:rsid w:val="00373A39"/>
    <w:rsid w:val="003764BC"/>
    <w:rsid w:val="00377A84"/>
    <w:rsid w:val="00383B99"/>
    <w:rsid w:val="00384891"/>
    <w:rsid w:val="003852C3"/>
    <w:rsid w:val="0038567F"/>
    <w:rsid w:val="003858E5"/>
    <w:rsid w:val="0038647C"/>
    <w:rsid w:val="00392780"/>
    <w:rsid w:val="00392CE2"/>
    <w:rsid w:val="00393451"/>
    <w:rsid w:val="003946B5"/>
    <w:rsid w:val="00397780"/>
    <w:rsid w:val="003A3CA0"/>
    <w:rsid w:val="003A645C"/>
    <w:rsid w:val="003A6AA4"/>
    <w:rsid w:val="003A717F"/>
    <w:rsid w:val="003A7C2B"/>
    <w:rsid w:val="003B1620"/>
    <w:rsid w:val="003B34AA"/>
    <w:rsid w:val="003B4CAC"/>
    <w:rsid w:val="003B5027"/>
    <w:rsid w:val="003B56B2"/>
    <w:rsid w:val="003B5FB5"/>
    <w:rsid w:val="003B7429"/>
    <w:rsid w:val="003C0EF0"/>
    <w:rsid w:val="003C52BB"/>
    <w:rsid w:val="003D2375"/>
    <w:rsid w:val="003D2BB6"/>
    <w:rsid w:val="003D62C9"/>
    <w:rsid w:val="003D6D50"/>
    <w:rsid w:val="003E0AB0"/>
    <w:rsid w:val="003E0AC0"/>
    <w:rsid w:val="003E5862"/>
    <w:rsid w:val="003E6331"/>
    <w:rsid w:val="003F0FC3"/>
    <w:rsid w:val="003F495A"/>
    <w:rsid w:val="003F4B55"/>
    <w:rsid w:val="003F55F0"/>
    <w:rsid w:val="003F57D2"/>
    <w:rsid w:val="003F5A2A"/>
    <w:rsid w:val="003F6F42"/>
    <w:rsid w:val="003F7469"/>
    <w:rsid w:val="00400658"/>
    <w:rsid w:val="004008D6"/>
    <w:rsid w:val="00400EF2"/>
    <w:rsid w:val="00404205"/>
    <w:rsid w:val="00404B04"/>
    <w:rsid w:val="0041188D"/>
    <w:rsid w:val="004121D0"/>
    <w:rsid w:val="00413FFE"/>
    <w:rsid w:val="004141B0"/>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4DB4"/>
    <w:rsid w:val="0043508E"/>
    <w:rsid w:val="00435150"/>
    <w:rsid w:val="0043628D"/>
    <w:rsid w:val="00437CEB"/>
    <w:rsid w:val="004470F0"/>
    <w:rsid w:val="0045384F"/>
    <w:rsid w:val="0045475E"/>
    <w:rsid w:val="004549B4"/>
    <w:rsid w:val="00456C01"/>
    <w:rsid w:val="00461B70"/>
    <w:rsid w:val="00464F4E"/>
    <w:rsid w:val="00465A03"/>
    <w:rsid w:val="00465A5C"/>
    <w:rsid w:val="004704C4"/>
    <w:rsid w:val="004714E6"/>
    <w:rsid w:val="00472E32"/>
    <w:rsid w:val="00475B8B"/>
    <w:rsid w:val="00476088"/>
    <w:rsid w:val="0047683B"/>
    <w:rsid w:val="00477D4E"/>
    <w:rsid w:val="004806F6"/>
    <w:rsid w:val="00481A9C"/>
    <w:rsid w:val="004842F3"/>
    <w:rsid w:val="00484BBF"/>
    <w:rsid w:val="00484E1A"/>
    <w:rsid w:val="00485760"/>
    <w:rsid w:val="004879F9"/>
    <w:rsid w:val="00492AF0"/>
    <w:rsid w:val="004931ED"/>
    <w:rsid w:val="00494E31"/>
    <w:rsid w:val="00496C35"/>
    <w:rsid w:val="0049786D"/>
    <w:rsid w:val="00497A57"/>
    <w:rsid w:val="004A12E7"/>
    <w:rsid w:val="004A44B4"/>
    <w:rsid w:val="004A456D"/>
    <w:rsid w:val="004A4B6C"/>
    <w:rsid w:val="004A6149"/>
    <w:rsid w:val="004A64A5"/>
    <w:rsid w:val="004B26A4"/>
    <w:rsid w:val="004B2D74"/>
    <w:rsid w:val="004B3D6B"/>
    <w:rsid w:val="004B3E4C"/>
    <w:rsid w:val="004B4765"/>
    <w:rsid w:val="004C1EA6"/>
    <w:rsid w:val="004C31D2"/>
    <w:rsid w:val="004C5FE7"/>
    <w:rsid w:val="004C752A"/>
    <w:rsid w:val="004D0DF3"/>
    <w:rsid w:val="004D1135"/>
    <w:rsid w:val="004D3943"/>
    <w:rsid w:val="004D43B5"/>
    <w:rsid w:val="004D59B4"/>
    <w:rsid w:val="004D62D0"/>
    <w:rsid w:val="004D6859"/>
    <w:rsid w:val="004D772E"/>
    <w:rsid w:val="004E01B6"/>
    <w:rsid w:val="004E28EA"/>
    <w:rsid w:val="004E3B50"/>
    <w:rsid w:val="004E5B0E"/>
    <w:rsid w:val="004E623E"/>
    <w:rsid w:val="004F171B"/>
    <w:rsid w:val="004F2893"/>
    <w:rsid w:val="004F4B99"/>
    <w:rsid w:val="004F59DD"/>
    <w:rsid w:val="004F6C71"/>
    <w:rsid w:val="004F73C8"/>
    <w:rsid w:val="0050409D"/>
    <w:rsid w:val="005059BF"/>
    <w:rsid w:val="00507386"/>
    <w:rsid w:val="00507C4D"/>
    <w:rsid w:val="00507CF1"/>
    <w:rsid w:val="0051009A"/>
    <w:rsid w:val="0051024A"/>
    <w:rsid w:val="00514F79"/>
    <w:rsid w:val="00515068"/>
    <w:rsid w:val="00516A27"/>
    <w:rsid w:val="00530D3A"/>
    <w:rsid w:val="00531072"/>
    <w:rsid w:val="0053188B"/>
    <w:rsid w:val="005343C3"/>
    <w:rsid w:val="005344EF"/>
    <w:rsid w:val="005360F8"/>
    <w:rsid w:val="005363E7"/>
    <w:rsid w:val="005378B9"/>
    <w:rsid w:val="00540AB2"/>
    <w:rsid w:val="00541718"/>
    <w:rsid w:val="00541E73"/>
    <w:rsid w:val="005433D0"/>
    <w:rsid w:val="005442AC"/>
    <w:rsid w:val="00552D56"/>
    <w:rsid w:val="00555C30"/>
    <w:rsid w:val="00561232"/>
    <w:rsid w:val="00562AC3"/>
    <w:rsid w:val="0056574D"/>
    <w:rsid w:val="005666D0"/>
    <w:rsid w:val="00566F5C"/>
    <w:rsid w:val="00571B94"/>
    <w:rsid w:val="00573F27"/>
    <w:rsid w:val="00575641"/>
    <w:rsid w:val="005774BB"/>
    <w:rsid w:val="005779E9"/>
    <w:rsid w:val="00580035"/>
    <w:rsid w:val="00580AC1"/>
    <w:rsid w:val="00580D17"/>
    <w:rsid w:val="00581B74"/>
    <w:rsid w:val="00582883"/>
    <w:rsid w:val="00584BF6"/>
    <w:rsid w:val="00584E5D"/>
    <w:rsid w:val="005865E1"/>
    <w:rsid w:val="00587BFC"/>
    <w:rsid w:val="00591A9F"/>
    <w:rsid w:val="00595558"/>
    <w:rsid w:val="00595D79"/>
    <w:rsid w:val="005963E4"/>
    <w:rsid w:val="00596427"/>
    <w:rsid w:val="00596EC2"/>
    <w:rsid w:val="00597B8E"/>
    <w:rsid w:val="005A29AE"/>
    <w:rsid w:val="005A48BA"/>
    <w:rsid w:val="005A58E8"/>
    <w:rsid w:val="005A63F6"/>
    <w:rsid w:val="005A662D"/>
    <w:rsid w:val="005A6B7D"/>
    <w:rsid w:val="005B09A3"/>
    <w:rsid w:val="005B0AA4"/>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4F15"/>
    <w:rsid w:val="005D597D"/>
    <w:rsid w:val="005E03A3"/>
    <w:rsid w:val="005E25A2"/>
    <w:rsid w:val="005E2784"/>
    <w:rsid w:val="005F2810"/>
    <w:rsid w:val="005F3A95"/>
    <w:rsid w:val="005F3B26"/>
    <w:rsid w:val="005F40B0"/>
    <w:rsid w:val="006008A3"/>
    <w:rsid w:val="0060219D"/>
    <w:rsid w:val="00602C98"/>
    <w:rsid w:val="00604A15"/>
    <w:rsid w:val="006055C7"/>
    <w:rsid w:val="00612BC8"/>
    <w:rsid w:val="00612E83"/>
    <w:rsid w:val="0061322A"/>
    <w:rsid w:val="006151FE"/>
    <w:rsid w:val="00615C24"/>
    <w:rsid w:val="00620AB0"/>
    <w:rsid w:val="00622149"/>
    <w:rsid w:val="006221C8"/>
    <w:rsid w:val="00622907"/>
    <w:rsid w:val="00622F77"/>
    <w:rsid w:val="00623E48"/>
    <w:rsid w:val="0062585D"/>
    <w:rsid w:val="0062750E"/>
    <w:rsid w:val="00630340"/>
    <w:rsid w:val="00631698"/>
    <w:rsid w:val="006319BC"/>
    <w:rsid w:val="0063218E"/>
    <w:rsid w:val="00632AC2"/>
    <w:rsid w:val="006331E1"/>
    <w:rsid w:val="00634B5B"/>
    <w:rsid w:val="00634F13"/>
    <w:rsid w:val="00636532"/>
    <w:rsid w:val="00637024"/>
    <w:rsid w:val="006376BE"/>
    <w:rsid w:val="00640AF9"/>
    <w:rsid w:val="00641BDD"/>
    <w:rsid w:val="00644F2E"/>
    <w:rsid w:val="0064571F"/>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0EAE"/>
    <w:rsid w:val="006818A3"/>
    <w:rsid w:val="00684D44"/>
    <w:rsid w:val="00685704"/>
    <w:rsid w:val="00692682"/>
    <w:rsid w:val="00692C11"/>
    <w:rsid w:val="0069578A"/>
    <w:rsid w:val="00695884"/>
    <w:rsid w:val="00696343"/>
    <w:rsid w:val="006969C0"/>
    <w:rsid w:val="006A41E5"/>
    <w:rsid w:val="006A47C2"/>
    <w:rsid w:val="006A5065"/>
    <w:rsid w:val="006B0423"/>
    <w:rsid w:val="006B350E"/>
    <w:rsid w:val="006B5A76"/>
    <w:rsid w:val="006C0F1F"/>
    <w:rsid w:val="006C23DE"/>
    <w:rsid w:val="006C23F4"/>
    <w:rsid w:val="006C33B3"/>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4C0"/>
    <w:rsid w:val="0071258F"/>
    <w:rsid w:val="00714BB7"/>
    <w:rsid w:val="0071595F"/>
    <w:rsid w:val="00715B95"/>
    <w:rsid w:val="007168CC"/>
    <w:rsid w:val="00724EF1"/>
    <w:rsid w:val="00725F3C"/>
    <w:rsid w:val="00727304"/>
    <w:rsid w:val="007274AE"/>
    <w:rsid w:val="0072786E"/>
    <w:rsid w:val="0073029B"/>
    <w:rsid w:val="00732486"/>
    <w:rsid w:val="00733473"/>
    <w:rsid w:val="00736FE1"/>
    <w:rsid w:val="0074232E"/>
    <w:rsid w:val="007426DA"/>
    <w:rsid w:val="00742756"/>
    <w:rsid w:val="00745323"/>
    <w:rsid w:val="007463D9"/>
    <w:rsid w:val="00751BEE"/>
    <w:rsid w:val="007553AF"/>
    <w:rsid w:val="007639C3"/>
    <w:rsid w:val="00764E70"/>
    <w:rsid w:val="0076509F"/>
    <w:rsid w:val="00765377"/>
    <w:rsid w:val="0076689F"/>
    <w:rsid w:val="00767DFA"/>
    <w:rsid w:val="00771811"/>
    <w:rsid w:val="00773895"/>
    <w:rsid w:val="007761A9"/>
    <w:rsid w:val="00776977"/>
    <w:rsid w:val="0077700C"/>
    <w:rsid w:val="00777709"/>
    <w:rsid w:val="00777B3F"/>
    <w:rsid w:val="00780396"/>
    <w:rsid w:val="0078195D"/>
    <w:rsid w:val="00783052"/>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B0D45"/>
    <w:rsid w:val="007B5AE1"/>
    <w:rsid w:val="007C14F8"/>
    <w:rsid w:val="007C1E01"/>
    <w:rsid w:val="007C2088"/>
    <w:rsid w:val="007C2734"/>
    <w:rsid w:val="007C3D4A"/>
    <w:rsid w:val="007C742F"/>
    <w:rsid w:val="007D0F2F"/>
    <w:rsid w:val="007D14AD"/>
    <w:rsid w:val="007D1FB8"/>
    <w:rsid w:val="007D2CBE"/>
    <w:rsid w:val="007D37B6"/>
    <w:rsid w:val="007D449B"/>
    <w:rsid w:val="007D49A7"/>
    <w:rsid w:val="007D64D3"/>
    <w:rsid w:val="007E080C"/>
    <w:rsid w:val="007E329E"/>
    <w:rsid w:val="007E4615"/>
    <w:rsid w:val="007E7894"/>
    <w:rsid w:val="007F120F"/>
    <w:rsid w:val="007F231A"/>
    <w:rsid w:val="007F5620"/>
    <w:rsid w:val="007F60CD"/>
    <w:rsid w:val="008014AA"/>
    <w:rsid w:val="00803768"/>
    <w:rsid w:val="008046E6"/>
    <w:rsid w:val="00806674"/>
    <w:rsid w:val="00810DA9"/>
    <w:rsid w:val="00812077"/>
    <w:rsid w:val="00812E38"/>
    <w:rsid w:val="008175DA"/>
    <w:rsid w:val="00820204"/>
    <w:rsid w:val="00820C06"/>
    <w:rsid w:val="00822519"/>
    <w:rsid w:val="008227C6"/>
    <w:rsid w:val="00823625"/>
    <w:rsid w:val="008236B4"/>
    <w:rsid w:val="00824BC0"/>
    <w:rsid w:val="0082537C"/>
    <w:rsid w:val="0083021F"/>
    <w:rsid w:val="00833BF6"/>
    <w:rsid w:val="0083530A"/>
    <w:rsid w:val="0083547D"/>
    <w:rsid w:val="00836C5F"/>
    <w:rsid w:val="00837829"/>
    <w:rsid w:val="0084074E"/>
    <w:rsid w:val="00846D7C"/>
    <w:rsid w:val="00847E4A"/>
    <w:rsid w:val="008525D9"/>
    <w:rsid w:val="00855440"/>
    <w:rsid w:val="0085790B"/>
    <w:rsid w:val="0085791D"/>
    <w:rsid w:val="00865FF4"/>
    <w:rsid w:val="008662CF"/>
    <w:rsid w:val="00866665"/>
    <w:rsid w:val="00874CFF"/>
    <w:rsid w:val="0087577B"/>
    <w:rsid w:val="00875C65"/>
    <w:rsid w:val="00877268"/>
    <w:rsid w:val="00885771"/>
    <w:rsid w:val="00885E20"/>
    <w:rsid w:val="008930D6"/>
    <w:rsid w:val="00893746"/>
    <w:rsid w:val="0089391C"/>
    <w:rsid w:val="00896865"/>
    <w:rsid w:val="00896D36"/>
    <w:rsid w:val="008A086A"/>
    <w:rsid w:val="008A1FA6"/>
    <w:rsid w:val="008A41B4"/>
    <w:rsid w:val="008A5A71"/>
    <w:rsid w:val="008A7236"/>
    <w:rsid w:val="008B5EC7"/>
    <w:rsid w:val="008B7AFF"/>
    <w:rsid w:val="008B7B95"/>
    <w:rsid w:val="008C1610"/>
    <w:rsid w:val="008C17E3"/>
    <w:rsid w:val="008C4568"/>
    <w:rsid w:val="008C48E2"/>
    <w:rsid w:val="008C7DF6"/>
    <w:rsid w:val="008D0135"/>
    <w:rsid w:val="008D33DE"/>
    <w:rsid w:val="008D3F9B"/>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2460E"/>
    <w:rsid w:val="00930606"/>
    <w:rsid w:val="00930D2A"/>
    <w:rsid w:val="00932DA7"/>
    <w:rsid w:val="0093584F"/>
    <w:rsid w:val="00937177"/>
    <w:rsid w:val="0094055B"/>
    <w:rsid w:val="00940D55"/>
    <w:rsid w:val="00942715"/>
    <w:rsid w:val="00942A6F"/>
    <w:rsid w:val="0094378B"/>
    <w:rsid w:val="009441B5"/>
    <w:rsid w:val="009451D4"/>
    <w:rsid w:val="0094633C"/>
    <w:rsid w:val="00947401"/>
    <w:rsid w:val="009520B1"/>
    <w:rsid w:val="009542D5"/>
    <w:rsid w:val="0095506C"/>
    <w:rsid w:val="00955B87"/>
    <w:rsid w:val="00957595"/>
    <w:rsid w:val="009611D4"/>
    <w:rsid w:val="00964356"/>
    <w:rsid w:val="00964816"/>
    <w:rsid w:val="00965440"/>
    <w:rsid w:val="00965D98"/>
    <w:rsid w:val="009707F5"/>
    <w:rsid w:val="0097084E"/>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4C5B"/>
    <w:rsid w:val="009B74BA"/>
    <w:rsid w:val="009C44DF"/>
    <w:rsid w:val="009C6732"/>
    <w:rsid w:val="009C6856"/>
    <w:rsid w:val="009C79FE"/>
    <w:rsid w:val="009D0746"/>
    <w:rsid w:val="009D0DBE"/>
    <w:rsid w:val="009D1056"/>
    <w:rsid w:val="009D19C9"/>
    <w:rsid w:val="009D2A2C"/>
    <w:rsid w:val="009D342A"/>
    <w:rsid w:val="009D411B"/>
    <w:rsid w:val="009D5676"/>
    <w:rsid w:val="009D63E3"/>
    <w:rsid w:val="009D6580"/>
    <w:rsid w:val="009D6DF6"/>
    <w:rsid w:val="009E0CE6"/>
    <w:rsid w:val="009E12FE"/>
    <w:rsid w:val="009E295A"/>
    <w:rsid w:val="009E2EF3"/>
    <w:rsid w:val="009E5F47"/>
    <w:rsid w:val="009E7500"/>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25B"/>
    <w:rsid w:val="00A13D88"/>
    <w:rsid w:val="00A13E98"/>
    <w:rsid w:val="00A1474C"/>
    <w:rsid w:val="00A150D0"/>
    <w:rsid w:val="00A15908"/>
    <w:rsid w:val="00A15F9C"/>
    <w:rsid w:val="00A20099"/>
    <w:rsid w:val="00A21590"/>
    <w:rsid w:val="00A245CD"/>
    <w:rsid w:val="00A2530B"/>
    <w:rsid w:val="00A27573"/>
    <w:rsid w:val="00A31628"/>
    <w:rsid w:val="00A32523"/>
    <w:rsid w:val="00A34164"/>
    <w:rsid w:val="00A341BE"/>
    <w:rsid w:val="00A37BE5"/>
    <w:rsid w:val="00A40062"/>
    <w:rsid w:val="00A40B58"/>
    <w:rsid w:val="00A4332D"/>
    <w:rsid w:val="00A438C9"/>
    <w:rsid w:val="00A457F8"/>
    <w:rsid w:val="00A46459"/>
    <w:rsid w:val="00A46B0A"/>
    <w:rsid w:val="00A50EC9"/>
    <w:rsid w:val="00A52A55"/>
    <w:rsid w:val="00A53FF6"/>
    <w:rsid w:val="00A55895"/>
    <w:rsid w:val="00A56B06"/>
    <w:rsid w:val="00A60C27"/>
    <w:rsid w:val="00A62B27"/>
    <w:rsid w:val="00A63A78"/>
    <w:rsid w:val="00A64423"/>
    <w:rsid w:val="00A6502C"/>
    <w:rsid w:val="00A653A4"/>
    <w:rsid w:val="00A65510"/>
    <w:rsid w:val="00A672A4"/>
    <w:rsid w:val="00A67E75"/>
    <w:rsid w:val="00A7076F"/>
    <w:rsid w:val="00A709A9"/>
    <w:rsid w:val="00A7534E"/>
    <w:rsid w:val="00A75805"/>
    <w:rsid w:val="00A76CE2"/>
    <w:rsid w:val="00A80BF8"/>
    <w:rsid w:val="00A81311"/>
    <w:rsid w:val="00A82062"/>
    <w:rsid w:val="00A85278"/>
    <w:rsid w:val="00A86FC5"/>
    <w:rsid w:val="00A901FC"/>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D98"/>
    <w:rsid w:val="00AB59E2"/>
    <w:rsid w:val="00AB737D"/>
    <w:rsid w:val="00AB74D8"/>
    <w:rsid w:val="00AC0447"/>
    <w:rsid w:val="00AC098D"/>
    <w:rsid w:val="00AC09B7"/>
    <w:rsid w:val="00AC0D6F"/>
    <w:rsid w:val="00AC25E3"/>
    <w:rsid w:val="00AC5327"/>
    <w:rsid w:val="00AC62F1"/>
    <w:rsid w:val="00AC6BCE"/>
    <w:rsid w:val="00AD063F"/>
    <w:rsid w:val="00AD193E"/>
    <w:rsid w:val="00AD75A7"/>
    <w:rsid w:val="00AD7996"/>
    <w:rsid w:val="00AD7C3C"/>
    <w:rsid w:val="00AE46FB"/>
    <w:rsid w:val="00AE4DDB"/>
    <w:rsid w:val="00AE7596"/>
    <w:rsid w:val="00AF0609"/>
    <w:rsid w:val="00AF23A8"/>
    <w:rsid w:val="00AF441A"/>
    <w:rsid w:val="00AF4CE8"/>
    <w:rsid w:val="00AF6422"/>
    <w:rsid w:val="00B02C39"/>
    <w:rsid w:val="00B04D6C"/>
    <w:rsid w:val="00B05E48"/>
    <w:rsid w:val="00B10CE6"/>
    <w:rsid w:val="00B11916"/>
    <w:rsid w:val="00B17E6F"/>
    <w:rsid w:val="00B207A7"/>
    <w:rsid w:val="00B2529D"/>
    <w:rsid w:val="00B262F4"/>
    <w:rsid w:val="00B27650"/>
    <w:rsid w:val="00B34440"/>
    <w:rsid w:val="00B34D1F"/>
    <w:rsid w:val="00B35D44"/>
    <w:rsid w:val="00B367A7"/>
    <w:rsid w:val="00B47500"/>
    <w:rsid w:val="00B51864"/>
    <w:rsid w:val="00B54FCC"/>
    <w:rsid w:val="00B55007"/>
    <w:rsid w:val="00B606B8"/>
    <w:rsid w:val="00B6480F"/>
    <w:rsid w:val="00B648F5"/>
    <w:rsid w:val="00B64BA0"/>
    <w:rsid w:val="00B66E1E"/>
    <w:rsid w:val="00B6779D"/>
    <w:rsid w:val="00B67E33"/>
    <w:rsid w:val="00B7112A"/>
    <w:rsid w:val="00B728E0"/>
    <w:rsid w:val="00B73315"/>
    <w:rsid w:val="00B73DB4"/>
    <w:rsid w:val="00B814BF"/>
    <w:rsid w:val="00B8352A"/>
    <w:rsid w:val="00B83AEF"/>
    <w:rsid w:val="00B91CB5"/>
    <w:rsid w:val="00B96463"/>
    <w:rsid w:val="00B97ACE"/>
    <w:rsid w:val="00BA2165"/>
    <w:rsid w:val="00BA2973"/>
    <w:rsid w:val="00BA782A"/>
    <w:rsid w:val="00BA7B8E"/>
    <w:rsid w:val="00BA7C71"/>
    <w:rsid w:val="00BB09B9"/>
    <w:rsid w:val="00BB3354"/>
    <w:rsid w:val="00BB351D"/>
    <w:rsid w:val="00BB52D0"/>
    <w:rsid w:val="00BB5373"/>
    <w:rsid w:val="00BB6241"/>
    <w:rsid w:val="00BC00BC"/>
    <w:rsid w:val="00BC16EB"/>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0C5"/>
    <w:rsid w:val="00BE76F6"/>
    <w:rsid w:val="00BE7C3C"/>
    <w:rsid w:val="00BF1BA9"/>
    <w:rsid w:val="00BF3B08"/>
    <w:rsid w:val="00BF42F3"/>
    <w:rsid w:val="00BF564C"/>
    <w:rsid w:val="00BF56C7"/>
    <w:rsid w:val="00BF79D0"/>
    <w:rsid w:val="00C003C7"/>
    <w:rsid w:val="00C00738"/>
    <w:rsid w:val="00C00ACF"/>
    <w:rsid w:val="00C00C44"/>
    <w:rsid w:val="00C02767"/>
    <w:rsid w:val="00C02D2F"/>
    <w:rsid w:val="00C03CA6"/>
    <w:rsid w:val="00C0552D"/>
    <w:rsid w:val="00C05A24"/>
    <w:rsid w:val="00C064FB"/>
    <w:rsid w:val="00C06DE3"/>
    <w:rsid w:val="00C11556"/>
    <w:rsid w:val="00C13A09"/>
    <w:rsid w:val="00C14944"/>
    <w:rsid w:val="00C16091"/>
    <w:rsid w:val="00C162DE"/>
    <w:rsid w:val="00C17982"/>
    <w:rsid w:val="00C17E61"/>
    <w:rsid w:val="00C20C46"/>
    <w:rsid w:val="00C22E63"/>
    <w:rsid w:val="00C233B0"/>
    <w:rsid w:val="00C24B81"/>
    <w:rsid w:val="00C25531"/>
    <w:rsid w:val="00C31F4E"/>
    <w:rsid w:val="00C34D83"/>
    <w:rsid w:val="00C35098"/>
    <w:rsid w:val="00C35F39"/>
    <w:rsid w:val="00C3749F"/>
    <w:rsid w:val="00C37653"/>
    <w:rsid w:val="00C37CD8"/>
    <w:rsid w:val="00C40891"/>
    <w:rsid w:val="00C40994"/>
    <w:rsid w:val="00C4142B"/>
    <w:rsid w:val="00C446F5"/>
    <w:rsid w:val="00C45BF8"/>
    <w:rsid w:val="00C5015A"/>
    <w:rsid w:val="00C52839"/>
    <w:rsid w:val="00C5325B"/>
    <w:rsid w:val="00C55DCB"/>
    <w:rsid w:val="00C55F71"/>
    <w:rsid w:val="00C572AE"/>
    <w:rsid w:val="00C614F6"/>
    <w:rsid w:val="00C63E3A"/>
    <w:rsid w:val="00C67397"/>
    <w:rsid w:val="00C726FA"/>
    <w:rsid w:val="00C7300A"/>
    <w:rsid w:val="00C74621"/>
    <w:rsid w:val="00C7522F"/>
    <w:rsid w:val="00C81832"/>
    <w:rsid w:val="00C86F1C"/>
    <w:rsid w:val="00C874FC"/>
    <w:rsid w:val="00C9013C"/>
    <w:rsid w:val="00C9317B"/>
    <w:rsid w:val="00C94547"/>
    <w:rsid w:val="00C94E94"/>
    <w:rsid w:val="00C9672D"/>
    <w:rsid w:val="00C97293"/>
    <w:rsid w:val="00C97FB9"/>
    <w:rsid w:val="00CA07A4"/>
    <w:rsid w:val="00CA2BF6"/>
    <w:rsid w:val="00CA2F07"/>
    <w:rsid w:val="00CA3A3A"/>
    <w:rsid w:val="00CA45B2"/>
    <w:rsid w:val="00CA6983"/>
    <w:rsid w:val="00CB0F12"/>
    <w:rsid w:val="00CB4E3A"/>
    <w:rsid w:val="00CB5BE4"/>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6261"/>
    <w:rsid w:val="00CE6EE2"/>
    <w:rsid w:val="00CE73BA"/>
    <w:rsid w:val="00CF3149"/>
    <w:rsid w:val="00CF34A4"/>
    <w:rsid w:val="00CF4C82"/>
    <w:rsid w:val="00CF6048"/>
    <w:rsid w:val="00CF747B"/>
    <w:rsid w:val="00CF7A7D"/>
    <w:rsid w:val="00D00E72"/>
    <w:rsid w:val="00D01314"/>
    <w:rsid w:val="00D02DD9"/>
    <w:rsid w:val="00D0323E"/>
    <w:rsid w:val="00D04988"/>
    <w:rsid w:val="00D12DC2"/>
    <w:rsid w:val="00D14219"/>
    <w:rsid w:val="00D159B6"/>
    <w:rsid w:val="00D162F7"/>
    <w:rsid w:val="00D16C38"/>
    <w:rsid w:val="00D17DFF"/>
    <w:rsid w:val="00D17F61"/>
    <w:rsid w:val="00D22322"/>
    <w:rsid w:val="00D22AEB"/>
    <w:rsid w:val="00D231D2"/>
    <w:rsid w:val="00D252E1"/>
    <w:rsid w:val="00D26CC3"/>
    <w:rsid w:val="00D30A92"/>
    <w:rsid w:val="00D30B9C"/>
    <w:rsid w:val="00D35674"/>
    <w:rsid w:val="00D37B74"/>
    <w:rsid w:val="00D41D73"/>
    <w:rsid w:val="00D42E2A"/>
    <w:rsid w:val="00D438F2"/>
    <w:rsid w:val="00D45484"/>
    <w:rsid w:val="00D454EF"/>
    <w:rsid w:val="00D4583F"/>
    <w:rsid w:val="00D46903"/>
    <w:rsid w:val="00D47DD8"/>
    <w:rsid w:val="00D503C8"/>
    <w:rsid w:val="00D508E1"/>
    <w:rsid w:val="00D50CA5"/>
    <w:rsid w:val="00D5125E"/>
    <w:rsid w:val="00D55381"/>
    <w:rsid w:val="00D56332"/>
    <w:rsid w:val="00D60E6A"/>
    <w:rsid w:val="00D6193A"/>
    <w:rsid w:val="00D662A6"/>
    <w:rsid w:val="00D71D2E"/>
    <w:rsid w:val="00D73A86"/>
    <w:rsid w:val="00D73F3D"/>
    <w:rsid w:val="00D743CC"/>
    <w:rsid w:val="00D813E8"/>
    <w:rsid w:val="00D855F9"/>
    <w:rsid w:val="00D85AD9"/>
    <w:rsid w:val="00D90984"/>
    <w:rsid w:val="00D91202"/>
    <w:rsid w:val="00D919C6"/>
    <w:rsid w:val="00D91A9C"/>
    <w:rsid w:val="00D92708"/>
    <w:rsid w:val="00D93A2C"/>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C6830"/>
    <w:rsid w:val="00DD0D8D"/>
    <w:rsid w:val="00DD1D6F"/>
    <w:rsid w:val="00DD241A"/>
    <w:rsid w:val="00DD30E6"/>
    <w:rsid w:val="00DD3984"/>
    <w:rsid w:val="00DD4B91"/>
    <w:rsid w:val="00DD4B9C"/>
    <w:rsid w:val="00DD6217"/>
    <w:rsid w:val="00DD7EC2"/>
    <w:rsid w:val="00DD7EF7"/>
    <w:rsid w:val="00DE07F3"/>
    <w:rsid w:val="00DE15F8"/>
    <w:rsid w:val="00DE60D9"/>
    <w:rsid w:val="00DE701C"/>
    <w:rsid w:val="00DF1334"/>
    <w:rsid w:val="00DF236B"/>
    <w:rsid w:val="00DF5109"/>
    <w:rsid w:val="00E01ED5"/>
    <w:rsid w:val="00E03BD8"/>
    <w:rsid w:val="00E0578A"/>
    <w:rsid w:val="00E0611F"/>
    <w:rsid w:val="00E06D5F"/>
    <w:rsid w:val="00E10141"/>
    <w:rsid w:val="00E10C81"/>
    <w:rsid w:val="00E12EF2"/>
    <w:rsid w:val="00E130E5"/>
    <w:rsid w:val="00E1555D"/>
    <w:rsid w:val="00E17503"/>
    <w:rsid w:val="00E17D36"/>
    <w:rsid w:val="00E205DF"/>
    <w:rsid w:val="00E20F14"/>
    <w:rsid w:val="00E2140D"/>
    <w:rsid w:val="00E232FC"/>
    <w:rsid w:val="00E2333C"/>
    <w:rsid w:val="00E2358B"/>
    <w:rsid w:val="00E24344"/>
    <w:rsid w:val="00E300D4"/>
    <w:rsid w:val="00E30EAE"/>
    <w:rsid w:val="00E32BA7"/>
    <w:rsid w:val="00E35788"/>
    <w:rsid w:val="00E40DE8"/>
    <w:rsid w:val="00E420B2"/>
    <w:rsid w:val="00E425B4"/>
    <w:rsid w:val="00E42A79"/>
    <w:rsid w:val="00E52ABA"/>
    <w:rsid w:val="00E5445F"/>
    <w:rsid w:val="00E550BE"/>
    <w:rsid w:val="00E55178"/>
    <w:rsid w:val="00E55489"/>
    <w:rsid w:val="00E57DD4"/>
    <w:rsid w:val="00E61428"/>
    <w:rsid w:val="00E63C03"/>
    <w:rsid w:val="00E67F64"/>
    <w:rsid w:val="00E8115A"/>
    <w:rsid w:val="00E81280"/>
    <w:rsid w:val="00E93272"/>
    <w:rsid w:val="00E95339"/>
    <w:rsid w:val="00E95F8D"/>
    <w:rsid w:val="00EA00B1"/>
    <w:rsid w:val="00EA0BA2"/>
    <w:rsid w:val="00EA1918"/>
    <w:rsid w:val="00EA31F6"/>
    <w:rsid w:val="00EA37D0"/>
    <w:rsid w:val="00EA3C11"/>
    <w:rsid w:val="00EA75CA"/>
    <w:rsid w:val="00EB2773"/>
    <w:rsid w:val="00EB2DFB"/>
    <w:rsid w:val="00EB41EB"/>
    <w:rsid w:val="00EB4481"/>
    <w:rsid w:val="00EB70CF"/>
    <w:rsid w:val="00EC0704"/>
    <w:rsid w:val="00EC1BF3"/>
    <w:rsid w:val="00EC2162"/>
    <w:rsid w:val="00EC2526"/>
    <w:rsid w:val="00EC2785"/>
    <w:rsid w:val="00EC41FE"/>
    <w:rsid w:val="00EC6CAA"/>
    <w:rsid w:val="00ED2326"/>
    <w:rsid w:val="00ED386D"/>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6292"/>
    <w:rsid w:val="00F4787A"/>
    <w:rsid w:val="00F5243C"/>
    <w:rsid w:val="00F555FD"/>
    <w:rsid w:val="00F55BB4"/>
    <w:rsid w:val="00F57564"/>
    <w:rsid w:val="00F57599"/>
    <w:rsid w:val="00F57C6C"/>
    <w:rsid w:val="00F63599"/>
    <w:rsid w:val="00F64202"/>
    <w:rsid w:val="00F66D8C"/>
    <w:rsid w:val="00F67C00"/>
    <w:rsid w:val="00F712DE"/>
    <w:rsid w:val="00F74547"/>
    <w:rsid w:val="00F74965"/>
    <w:rsid w:val="00F7670C"/>
    <w:rsid w:val="00F778B3"/>
    <w:rsid w:val="00F831B6"/>
    <w:rsid w:val="00F9142D"/>
    <w:rsid w:val="00F9447A"/>
    <w:rsid w:val="00F97051"/>
    <w:rsid w:val="00F9782D"/>
    <w:rsid w:val="00FA2C3D"/>
    <w:rsid w:val="00FA2DE8"/>
    <w:rsid w:val="00FA3348"/>
    <w:rsid w:val="00FA344C"/>
    <w:rsid w:val="00FA429C"/>
    <w:rsid w:val="00FA5888"/>
    <w:rsid w:val="00FA5F81"/>
    <w:rsid w:val="00FA6284"/>
    <w:rsid w:val="00FA6C49"/>
    <w:rsid w:val="00FA7ED0"/>
    <w:rsid w:val="00FB452C"/>
    <w:rsid w:val="00FB4C6C"/>
    <w:rsid w:val="00FB4D19"/>
    <w:rsid w:val="00FB5B6C"/>
    <w:rsid w:val="00FB6E90"/>
    <w:rsid w:val="00FB6FE1"/>
    <w:rsid w:val="00FB7E4E"/>
    <w:rsid w:val="00FC0490"/>
    <w:rsid w:val="00FC2269"/>
    <w:rsid w:val="00FC25FE"/>
    <w:rsid w:val="00FD04F9"/>
    <w:rsid w:val="00FD0BEA"/>
    <w:rsid w:val="00FD106E"/>
    <w:rsid w:val="00FD152F"/>
    <w:rsid w:val="00FD1AD2"/>
    <w:rsid w:val="00FD2B36"/>
    <w:rsid w:val="00FD483A"/>
    <w:rsid w:val="00FD56BF"/>
    <w:rsid w:val="00FD76A8"/>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15:docId w15:val="{31D5BA46-D7C1-448F-8E96-0488F12E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60E"/>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460E"/>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tax-professionals/enrolled-agents/become-an-enrolled-agent" TargetMode="External" /><Relationship Id="rId6" Type="http://schemas.openxmlformats.org/officeDocument/2006/relationships/hyperlink" Target="https://www.irs.gov/tax-professionals/enrolled-agents" TargetMode="External" /><Relationship Id="rId7" Type="http://schemas.openxmlformats.org/officeDocument/2006/relationships/hyperlink" Target="https://www.irs.gov/uac/Privacy-Impact-Assessments-P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3282</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Jon R</dc:creator>
  <cp:lastModifiedBy>Durbala R Joseph</cp:lastModifiedBy>
  <cp:revision>12</cp:revision>
  <dcterms:created xsi:type="dcterms:W3CDTF">2026-03-03T18:29:00Z</dcterms:created>
  <dcterms:modified xsi:type="dcterms:W3CDTF">2026-03-04T12:25:00Z</dcterms:modified>
</cp:coreProperties>
</file>