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4418" w:rsidRPr="00820B40" w14:paraId="136D07A0" w14:textId="77777777">
      <w:pPr>
        <w:tabs>
          <w:tab w:val="center" w:pos="4680"/>
        </w:tabs>
        <w:rPr>
          <w:rFonts w:ascii="Times New Roman" w:hAnsi="Times New Roman"/>
          <w:b/>
          <w:bCs/>
        </w:rPr>
      </w:pPr>
      <w:r>
        <w:rPr>
          <w:rFonts w:ascii="Elephant" w:hAnsi="Elephant" w:cs="Elephant"/>
          <w:b/>
          <w:bCs/>
        </w:rPr>
        <w:tab/>
      </w:r>
      <w:r w:rsidRPr="00820B40">
        <w:rPr>
          <w:rFonts w:ascii="Times New Roman" w:hAnsi="Times New Roman"/>
          <w:b/>
          <w:bCs/>
        </w:rPr>
        <w:t>SUPPORTING STATEMENT</w:t>
      </w:r>
    </w:p>
    <w:p w:rsidR="00894418" w:rsidRPr="00820B40" w14:paraId="58CA4D0E" w14:textId="790D8FBB">
      <w:pPr>
        <w:tabs>
          <w:tab w:val="center" w:pos="4680"/>
        </w:tabs>
        <w:rPr>
          <w:rFonts w:ascii="Times New Roman" w:hAnsi="Times New Roman"/>
          <w:bCs/>
        </w:rPr>
      </w:pPr>
      <w:r w:rsidRPr="00820B40">
        <w:rPr>
          <w:rFonts w:ascii="Times New Roman" w:hAnsi="Times New Roman"/>
          <w:bCs/>
        </w:rPr>
        <w:tab/>
        <w:t xml:space="preserve"> </w:t>
      </w:r>
      <w:r w:rsidRPr="00820B40" w:rsidR="00820B40">
        <w:rPr>
          <w:rFonts w:ascii="Times New Roman" w:hAnsi="Times New Roman"/>
          <w:bCs/>
        </w:rPr>
        <w:t xml:space="preserve">Internal </w:t>
      </w:r>
      <w:r w:rsidR="00D37D90">
        <w:rPr>
          <w:rFonts w:ascii="Times New Roman" w:hAnsi="Times New Roman"/>
          <w:bCs/>
        </w:rPr>
        <w:t>R</w:t>
      </w:r>
      <w:r w:rsidRPr="00820B40" w:rsidR="00820B40">
        <w:rPr>
          <w:rFonts w:ascii="Times New Roman" w:hAnsi="Times New Roman"/>
          <w:bCs/>
        </w:rPr>
        <w:t xml:space="preserve">evenue Service </w:t>
      </w:r>
      <w:r w:rsidR="005B0B33">
        <w:rPr>
          <w:rFonts w:ascii="Times New Roman" w:hAnsi="Times New Roman"/>
          <w:bCs/>
        </w:rPr>
        <w:t>(IRS)</w:t>
      </w:r>
    </w:p>
    <w:p w:rsidR="008E34B0" w:rsidP="00DA6CC6" w14:paraId="63FAFA4F" w14:textId="77777777">
      <w:pPr>
        <w:tabs>
          <w:tab w:val="center" w:pos="4680"/>
        </w:tabs>
        <w:jc w:val="center"/>
        <w:rPr>
          <w:rFonts w:ascii="Times New Roman" w:hAnsi="Times New Roman"/>
          <w:color w:val="000000"/>
        </w:rPr>
      </w:pPr>
      <w:r>
        <w:rPr>
          <w:rFonts w:ascii="Times New Roman" w:hAnsi="Times New Roman"/>
          <w:color w:val="000000"/>
        </w:rPr>
        <w:t>Golden Parachute Payments</w:t>
      </w:r>
    </w:p>
    <w:p w:rsidR="00DA6CC6" w:rsidRPr="00820B40" w:rsidP="00DA6CC6" w14:paraId="2E619BF1" w14:textId="7A2E3320">
      <w:pPr>
        <w:tabs>
          <w:tab w:val="center" w:pos="4680"/>
        </w:tabs>
        <w:jc w:val="center"/>
        <w:rPr>
          <w:rFonts w:ascii="Times New Roman" w:hAnsi="Times New Roman"/>
          <w:bCs/>
        </w:rPr>
      </w:pPr>
      <w:r w:rsidRPr="00820B40">
        <w:rPr>
          <w:rFonts w:ascii="Times New Roman" w:hAnsi="Times New Roman"/>
          <w:color w:val="000000"/>
        </w:rPr>
        <w:t>OMB</w:t>
      </w:r>
      <w:r w:rsidR="005D1A38">
        <w:rPr>
          <w:rFonts w:ascii="Times New Roman" w:hAnsi="Times New Roman"/>
          <w:color w:val="000000"/>
        </w:rPr>
        <w:t xml:space="preserve"> Control Number</w:t>
      </w:r>
      <w:r w:rsidRPr="00820B40">
        <w:rPr>
          <w:rFonts w:ascii="Times New Roman" w:hAnsi="Times New Roman"/>
          <w:color w:val="000000"/>
        </w:rPr>
        <w:t xml:space="preserve"> 1545-</w:t>
      </w:r>
      <w:r w:rsidR="00DE699D">
        <w:rPr>
          <w:rFonts w:ascii="Times New Roman" w:hAnsi="Times New Roman"/>
          <w:color w:val="000000"/>
        </w:rPr>
        <w:t>1851</w:t>
      </w:r>
    </w:p>
    <w:p w:rsidR="00894418" w:rsidRPr="00820B40" w14:paraId="71A82DF6" w14:textId="77777777">
      <w:pPr>
        <w:rPr>
          <w:rFonts w:ascii="Times New Roman" w:hAnsi="Times New Roman"/>
          <w:bCs/>
        </w:rPr>
      </w:pPr>
    </w:p>
    <w:p w:rsidR="00894418" w:rsidRPr="00820B40" w14:paraId="5BF82629" w14:textId="77777777">
      <w:pPr>
        <w:rPr>
          <w:rFonts w:ascii="Times New Roman" w:hAnsi="Times New Roman"/>
          <w:bCs/>
        </w:rPr>
      </w:pPr>
    </w:p>
    <w:p w:rsidR="00894418" w:rsidRPr="00820B40" w14:paraId="59DCCD08" w14:textId="77777777">
      <w:pPr>
        <w:rPr>
          <w:rFonts w:ascii="Times New Roman" w:hAnsi="Times New Roman"/>
          <w:bCs/>
        </w:rPr>
      </w:pPr>
      <w:r w:rsidRPr="00820B40">
        <w:rPr>
          <w:rFonts w:ascii="Times New Roman" w:hAnsi="Times New Roman"/>
          <w:bCs/>
        </w:rPr>
        <w:t xml:space="preserve">1.  </w:t>
      </w:r>
      <w:r w:rsidR="00820B40">
        <w:rPr>
          <w:rFonts w:ascii="Times New Roman" w:hAnsi="Times New Roman"/>
          <w:bCs/>
        </w:rPr>
        <w:tab/>
      </w:r>
      <w:r w:rsidRPr="00820B40">
        <w:rPr>
          <w:rFonts w:ascii="Times New Roman" w:hAnsi="Times New Roman"/>
          <w:bCs/>
          <w:u w:val="single"/>
        </w:rPr>
        <w:t>CIRCUMSTANCES NECESSITATING COLLECTION OF INFORMATION</w:t>
      </w:r>
    </w:p>
    <w:p w:rsidR="00894418" w:rsidRPr="00820B40" w14:paraId="06B29975" w14:textId="77777777">
      <w:pPr>
        <w:rPr>
          <w:rFonts w:ascii="Times New Roman" w:hAnsi="Times New Roman"/>
          <w:bCs/>
        </w:rPr>
      </w:pPr>
    </w:p>
    <w:p w:rsidR="00DE699D" w:rsidRPr="00DE699D" w:rsidP="00DE699D" w14:paraId="0CB5C00D" w14:textId="77777777">
      <w:pPr>
        <w:ind w:left="720"/>
        <w:rPr>
          <w:rFonts w:ascii="Times New Roman" w:hAnsi="Times New Roman"/>
          <w:bCs/>
        </w:rPr>
      </w:pPr>
      <w:r w:rsidRPr="00DE699D">
        <w:rPr>
          <w:rFonts w:ascii="Times New Roman" w:hAnsi="Times New Roman"/>
          <w:bCs/>
        </w:rPr>
        <w:t xml:space="preserve">A corporation may provide generous severance and other benefits to key personnel on a change in ownership or control of the company. Significant tax consequences are imposed on excessive payments made to certain individuals. </w:t>
      </w:r>
    </w:p>
    <w:p w:rsidR="00DE699D" w:rsidRPr="00DE699D" w:rsidP="00DE699D" w14:paraId="33955C16" w14:textId="77777777">
      <w:pPr>
        <w:ind w:left="720"/>
        <w:rPr>
          <w:rFonts w:ascii="Times New Roman" w:hAnsi="Times New Roman"/>
          <w:bCs/>
        </w:rPr>
      </w:pPr>
    </w:p>
    <w:p w:rsidR="00E71C83" w:rsidRPr="00E71C83" w:rsidP="00E71C83" w14:paraId="2B6D88FF" w14:textId="77777777">
      <w:pPr>
        <w:ind w:left="720"/>
        <w:rPr>
          <w:rFonts w:ascii="Times New Roman" w:hAnsi="Times New Roman"/>
          <w:bCs/>
        </w:rPr>
      </w:pPr>
      <w:r w:rsidRPr="00E71C83">
        <w:rPr>
          <w:rFonts w:ascii="Times New Roman" w:hAnsi="Times New Roman"/>
          <w:bCs/>
        </w:rPr>
        <w:t xml:space="preserve">Golden parachute arrangements can provide for payments to </w:t>
      </w:r>
      <w:r w:rsidRPr="00E71C83">
        <w:rPr>
          <w:rFonts w:ascii="Times New Roman" w:hAnsi="Times New Roman"/>
          <w:bCs/>
        </w:rPr>
        <w:t>be made</w:t>
      </w:r>
      <w:r w:rsidRPr="00E71C83">
        <w:rPr>
          <w:rFonts w:ascii="Times New Roman" w:hAnsi="Times New Roman"/>
          <w:bCs/>
        </w:rPr>
        <w:t xml:space="preserve"> by: </w:t>
      </w:r>
    </w:p>
    <w:p w:rsidR="00E71C83" w:rsidRPr="00E71C83" w:rsidP="00E71C83" w14:paraId="242D7B2D" w14:textId="50684652">
      <w:pPr>
        <w:ind w:left="720"/>
        <w:rPr>
          <w:rFonts w:ascii="Times New Roman" w:hAnsi="Times New Roman"/>
          <w:bCs/>
        </w:rPr>
      </w:pPr>
      <w:r w:rsidRPr="00E71C83">
        <w:rPr>
          <w:rFonts w:ascii="Times New Roman" w:hAnsi="Times New Roman"/>
          <w:bCs/>
        </w:rPr>
        <w:t>•</w:t>
      </w:r>
      <w:r w:rsidR="00F0020E">
        <w:rPr>
          <w:rFonts w:ascii="Times New Roman" w:hAnsi="Times New Roman"/>
          <w:bCs/>
        </w:rPr>
        <w:t xml:space="preserve"> t</w:t>
      </w:r>
      <w:r w:rsidRPr="00E71C83">
        <w:rPr>
          <w:rFonts w:ascii="Times New Roman" w:hAnsi="Times New Roman"/>
          <w:bCs/>
        </w:rPr>
        <w:t xml:space="preserve">he target entity </w:t>
      </w:r>
      <w:r w:rsidRPr="00E71C83">
        <w:rPr>
          <w:rFonts w:ascii="Times New Roman" w:hAnsi="Times New Roman"/>
          <w:bCs/>
        </w:rPr>
        <w:t>to</w:t>
      </w:r>
      <w:r w:rsidRPr="00E71C83">
        <w:rPr>
          <w:rFonts w:ascii="Times New Roman" w:hAnsi="Times New Roman"/>
          <w:bCs/>
        </w:rPr>
        <w:t xml:space="preserve"> its own </w:t>
      </w:r>
      <w:r w:rsidRPr="00E71C83">
        <w:rPr>
          <w:rFonts w:ascii="Times New Roman" w:hAnsi="Times New Roman"/>
          <w:bCs/>
        </w:rPr>
        <w:t>employees;</w:t>
      </w:r>
    </w:p>
    <w:p w:rsidR="00E71C83" w:rsidRPr="00E71C83" w:rsidP="00E71C83" w14:paraId="7FDB2D55" w14:textId="7EAC458B">
      <w:pPr>
        <w:ind w:left="720"/>
        <w:rPr>
          <w:rFonts w:ascii="Times New Roman" w:hAnsi="Times New Roman"/>
          <w:bCs/>
        </w:rPr>
      </w:pPr>
      <w:r w:rsidRPr="00E71C83">
        <w:rPr>
          <w:rFonts w:ascii="Times New Roman" w:hAnsi="Times New Roman"/>
          <w:bCs/>
        </w:rPr>
        <w:t>•</w:t>
      </w:r>
      <w:r w:rsidR="00F0020E">
        <w:rPr>
          <w:rFonts w:ascii="Times New Roman" w:hAnsi="Times New Roman"/>
          <w:bCs/>
        </w:rPr>
        <w:t xml:space="preserve"> t</w:t>
      </w:r>
      <w:r w:rsidRPr="00E71C83">
        <w:rPr>
          <w:rFonts w:ascii="Times New Roman" w:hAnsi="Times New Roman"/>
          <w:bCs/>
        </w:rPr>
        <w:t>he acquiring entity to the target's employees; or</w:t>
      </w:r>
    </w:p>
    <w:p w:rsidR="00DE699D" w:rsidRPr="00DE699D" w:rsidP="00DE699D" w14:paraId="1175BDDA" w14:textId="7A13A706">
      <w:pPr>
        <w:ind w:left="720"/>
        <w:rPr>
          <w:rFonts w:ascii="Times New Roman" w:hAnsi="Times New Roman"/>
          <w:bCs/>
        </w:rPr>
      </w:pPr>
      <w:r w:rsidRPr="00E71C83">
        <w:rPr>
          <w:rFonts w:ascii="Times New Roman" w:hAnsi="Times New Roman"/>
          <w:bCs/>
        </w:rPr>
        <w:t>•</w:t>
      </w:r>
      <w:r w:rsidR="00F0020E">
        <w:rPr>
          <w:rFonts w:ascii="Times New Roman" w:hAnsi="Times New Roman"/>
          <w:bCs/>
        </w:rPr>
        <w:t xml:space="preserve"> </w:t>
      </w:r>
      <w:r w:rsidR="00CE553F">
        <w:rPr>
          <w:rFonts w:ascii="Times New Roman" w:hAnsi="Times New Roman"/>
          <w:bCs/>
        </w:rPr>
        <w:t>i</w:t>
      </w:r>
      <w:r w:rsidRPr="00E71C83">
        <w:rPr>
          <w:rFonts w:ascii="Times New Roman" w:hAnsi="Times New Roman"/>
          <w:bCs/>
        </w:rPr>
        <w:t xml:space="preserve">nterested parties in the takeover </w:t>
      </w:r>
      <w:r w:rsidRPr="00E71C83">
        <w:rPr>
          <w:rFonts w:ascii="Times New Roman" w:hAnsi="Times New Roman"/>
          <w:bCs/>
        </w:rPr>
        <w:t>to</w:t>
      </w:r>
      <w:r w:rsidRPr="00E71C83">
        <w:rPr>
          <w:rFonts w:ascii="Times New Roman" w:hAnsi="Times New Roman"/>
          <w:bCs/>
        </w:rPr>
        <w:t xml:space="preserve"> the target's employees</w:t>
      </w:r>
      <w:r w:rsidR="00F0020E">
        <w:rPr>
          <w:rFonts w:ascii="Times New Roman" w:hAnsi="Times New Roman"/>
          <w:bCs/>
        </w:rPr>
        <w:t>.</w:t>
      </w:r>
    </w:p>
    <w:p w:rsidR="00894418" w:rsidP="00DE699D" w14:paraId="6D011E60" w14:textId="5EFB914E">
      <w:pPr>
        <w:ind w:left="720"/>
        <w:rPr>
          <w:rFonts w:ascii="Times New Roman" w:hAnsi="Times New Roman"/>
          <w:bCs/>
        </w:rPr>
      </w:pPr>
      <w:r w:rsidRPr="00DE699D">
        <w:rPr>
          <w:rFonts w:ascii="Times New Roman" w:hAnsi="Times New Roman"/>
          <w:bCs/>
        </w:rPr>
        <w:t xml:space="preserve">Takeover protection, in the form of golden parachute payments, can </w:t>
      </w:r>
      <w:r w:rsidRPr="00DE699D">
        <w:rPr>
          <w:rFonts w:ascii="Times New Roman" w:hAnsi="Times New Roman"/>
          <w:bCs/>
        </w:rPr>
        <w:t>be written</w:t>
      </w:r>
      <w:r w:rsidRPr="00DE699D">
        <w:rPr>
          <w:rFonts w:ascii="Times New Roman" w:hAnsi="Times New Roman"/>
          <w:bCs/>
        </w:rPr>
        <w:t xml:space="preserve"> into an officer's or key employee's employment contract to be triggered in the event of a change in control of the company. It can also </w:t>
      </w:r>
      <w:r w:rsidRPr="00DE699D">
        <w:rPr>
          <w:rFonts w:ascii="Times New Roman" w:hAnsi="Times New Roman"/>
          <w:bCs/>
        </w:rPr>
        <w:t>be written</w:t>
      </w:r>
      <w:r w:rsidRPr="00DE699D">
        <w:rPr>
          <w:rFonts w:ascii="Times New Roman" w:hAnsi="Times New Roman"/>
          <w:bCs/>
        </w:rPr>
        <w:t xml:space="preserve"> into a consulting agreement, covenant not to compete, or similar arrangement</w:t>
      </w:r>
      <w:r w:rsidR="00F3734C">
        <w:rPr>
          <w:rFonts w:ascii="Times New Roman" w:hAnsi="Times New Roman"/>
          <w:bCs/>
        </w:rPr>
        <w:t>.</w:t>
      </w:r>
    </w:p>
    <w:p w:rsidR="00DE699D" w:rsidP="00DE699D" w14:paraId="5EF732F9" w14:textId="74D9BD86">
      <w:pPr>
        <w:ind w:left="720"/>
        <w:rPr>
          <w:rFonts w:ascii="Times New Roman" w:hAnsi="Times New Roman"/>
          <w:bCs/>
        </w:rPr>
      </w:pPr>
    </w:p>
    <w:p w:rsidR="00DE699D" w:rsidP="00DE699D" w14:paraId="4C6B5C17" w14:textId="77777777">
      <w:pPr>
        <w:ind w:left="720"/>
        <w:rPr>
          <w:rFonts w:ascii="Times New Roman" w:hAnsi="Times New Roman"/>
          <w:bCs/>
        </w:rPr>
      </w:pPr>
      <w:r w:rsidRPr="00DE699D">
        <w:rPr>
          <w:rFonts w:ascii="Times New Roman" w:hAnsi="Times New Roman"/>
          <w:bCs/>
        </w:rPr>
        <w:t>An excess parachute payment is the amount by which a parachute payment exceeds the greater of the base amount allocated to such payment or the portion of the payment the individual establishes by clear and convincing evidence is reasonable compensation for services rendered before the change in ownership or control. An excess parachute payment is the portion of a parachute payment that is disallowed as a compensation deduction to the payor and is subject to the 20% excise tax assessed to the recipient</w:t>
      </w:r>
      <w:r>
        <w:rPr>
          <w:rFonts w:ascii="Times New Roman" w:hAnsi="Times New Roman"/>
          <w:bCs/>
        </w:rPr>
        <w:t>.</w:t>
      </w:r>
    </w:p>
    <w:p w:rsidR="00DE699D" w:rsidP="00DE699D" w14:paraId="4DB8ABD5" w14:textId="77777777">
      <w:pPr>
        <w:ind w:left="720"/>
        <w:rPr>
          <w:rFonts w:ascii="Times New Roman" w:hAnsi="Times New Roman"/>
          <w:bCs/>
        </w:rPr>
      </w:pPr>
    </w:p>
    <w:p w:rsidR="00DE699D" w:rsidP="00A5596F" w14:paraId="40A4DD2D" w14:textId="2EF0C1FA">
      <w:pPr>
        <w:ind w:left="720"/>
        <w:rPr>
          <w:rFonts w:ascii="Times New Roman" w:hAnsi="Times New Roman"/>
          <w:bCs/>
        </w:rPr>
      </w:pPr>
      <w:r w:rsidRPr="00DE699D">
        <w:rPr>
          <w:rFonts w:ascii="Times New Roman" w:hAnsi="Times New Roman"/>
          <w:bCs/>
        </w:rPr>
        <w:t xml:space="preserve">Significant tax consequences are imposed on “excess parachute payments” made to disqualified individuals. First, </w:t>
      </w:r>
      <w:r w:rsidR="00A5596F">
        <w:rPr>
          <w:rFonts w:ascii="Times New Roman" w:hAnsi="Times New Roman"/>
          <w:bCs/>
        </w:rPr>
        <w:t>the Internal Revenue Code (</w:t>
      </w:r>
      <w:r w:rsidRPr="00DE699D">
        <w:rPr>
          <w:rFonts w:ascii="Times New Roman" w:hAnsi="Times New Roman"/>
          <w:bCs/>
        </w:rPr>
        <w:t>IRC</w:t>
      </w:r>
      <w:r w:rsidR="00A5596F">
        <w:rPr>
          <w:rFonts w:ascii="Times New Roman" w:hAnsi="Times New Roman"/>
          <w:bCs/>
        </w:rPr>
        <w:t>)</w:t>
      </w:r>
      <w:r w:rsidRPr="00DE699D">
        <w:rPr>
          <w:rFonts w:ascii="Times New Roman" w:hAnsi="Times New Roman"/>
          <w:bCs/>
        </w:rPr>
        <w:t xml:space="preserve"> § 280G applies to the corporate payor and disallows the deduction of an excess parachute payment. Second, the recipient of the excess parachute payment is subject to a nondeductible 20% excise tax under IRC § 4999.</w:t>
      </w:r>
    </w:p>
    <w:p w:rsidR="006A1628" w:rsidP="00DE699D" w14:paraId="7C810EBE" w14:textId="7E1F7FDD">
      <w:pPr>
        <w:ind w:left="720"/>
        <w:rPr>
          <w:rFonts w:ascii="Times New Roman" w:hAnsi="Times New Roman"/>
          <w:bCs/>
        </w:rPr>
      </w:pPr>
    </w:p>
    <w:p w:rsidR="006A1628" w:rsidP="006A1628" w14:paraId="640612B6" w14:textId="77777777">
      <w:pPr>
        <w:ind w:left="720"/>
        <w:rPr>
          <w:rFonts w:ascii="Times New Roman" w:hAnsi="Times New Roman"/>
        </w:rPr>
      </w:pPr>
      <w:r w:rsidRPr="00904733">
        <w:rPr>
          <w:rFonts w:ascii="Times New Roman" w:hAnsi="Times New Roman"/>
          <w:bCs/>
        </w:rPr>
        <w:t>The collection of information in this</w:t>
      </w:r>
      <w:r>
        <w:rPr>
          <w:rFonts w:ascii="Times New Roman" w:hAnsi="Times New Roman"/>
          <w:bCs/>
        </w:rPr>
        <w:t xml:space="preserve"> </w:t>
      </w:r>
      <w:r w:rsidRPr="00904733">
        <w:rPr>
          <w:rFonts w:ascii="Times New Roman" w:hAnsi="Times New Roman"/>
          <w:bCs/>
        </w:rPr>
        <w:t>regulation is in §1.280G–1, Q/A–7(a).</w:t>
      </w:r>
      <w:r>
        <w:rPr>
          <w:rFonts w:ascii="Times New Roman" w:hAnsi="Times New Roman"/>
          <w:bCs/>
        </w:rPr>
        <w:t xml:space="preserve">  </w:t>
      </w:r>
      <w:r w:rsidRPr="00904733">
        <w:rPr>
          <w:rFonts w:ascii="Times New Roman" w:hAnsi="Times New Roman"/>
          <w:bCs/>
        </w:rPr>
        <w:t>This information is a brief description of</w:t>
      </w:r>
      <w:r>
        <w:rPr>
          <w:rFonts w:ascii="Times New Roman" w:hAnsi="Times New Roman"/>
          <w:bCs/>
        </w:rPr>
        <w:t xml:space="preserve"> </w:t>
      </w:r>
      <w:r w:rsidRPr="00904733">
        <w:rPr>
          <w:rFonts w:ascii="Times New Roman" w:hAnsi="Times New Roman"/>
          <w:bCs/>
        </w:rPr>
        <w:t>all material facts concerning all payments</w:t>
      </w:r>
      <w:r>
        <w:rPr>
          <w:rFonts w:ascii="Times New Roman" w:hAnsi="Times New Roman"/>
          <w:bCs/>
        </w:rPr>
        <w:t xml:space="preserve"> </w:t>
      </w:r>
      <w:r w:rsidRPr="00904733">
        <w:rPr>
          <w:rFonts w:ascii="Times New Roman" w:hAnsi="Times New Roman"/>
          <w:bCs/>
        </w:rPr>
        <w:t>which would be parachute payments (but</w:t>
      </w:r>
      <w:r>
        <w:rPr>
          <w:rFonts w:ascii="Times New Roman" w:hAnsi="Times New Roman"/>
          <w:bCs/>
        </w:rPr>
        <w:t xml:space="preserve"> </w:t>
      </w:r>
      <w:r w:rsidRPr="00904733">
        <w:rPr>
          <w:rFonts w:ascii="Times New Roman" w:hAnsi="Times New Roman"/>
          <w:bCs/>
        </w:rPr>
        <w:t>for §1.280G–1, Q/A–6). This information</w:t>
      </w:r>
      <w:r>
        <w:rPr>
          <w:rFonts w:ascii="Times New Roman" w:hAnsi="Times New Roman"/>
          <w:bCs/>
        </w:rPr>
        <w:t xml:space="preserve"> </w:t>
      </w:r>
      <w:r w:rsidRPr="00904733">
        <w:rPr>
          <w:rFonts w:ascii="Times New Roman" w:hAnsi="Times New Roman"/>
          <w:bCs/>
        </w:rPr>
        <w:t>may be used by certain corporations with</w:t>
      </w:r>
      <w:r>
        <w:rPr>
          <w:rFonts w:ascii="Times New Roman" w:hAnsi="Times New Roman"/>
          <w:bCs/>
        </w:rPr>
        <w:t xml:space="preserve"> </w:t>
      </w:r>
      <w:r w:rsidRPr="00904733">
        <w:rPr>
          <w:rFonts w:ascii="Times New Roman" w:hAnsi="Times New Roman"/>
          <w:bCs/>
        </w:rPr>
        <w:t>no readily tradeable stock (assuming certain</w:t>
      </w:r>
      <w:r>
        <w:rPr>
          <w:rFonts w:ascii="Times New Roman" w:hAnsi="Times New Roman"/>
          <w:bCs/>
        </w:rPr>
        <w:t xml:space="preserve"> </w:t>
      </w:r>
      <w:r w:rsidRPr="00904733">
        <w:rPr>
          <w:rFonts w:ascii="Times New Roman" w:hAnsi="Times New Roman"/>
          <w:bCs/>
        </w:rPr>
        <w:t>shareholder approval requirements are</w:t>
      </w:r>
      <w:r>
        <w:rPr>
          <w:rFonts w:ascii="Times New Roman" w:hAnsi="Times New Roman"/>
          <w:bCs/>
        </w:rPr>
        <w:t xml:space="preserve"> </w:t>
      </w:r>
      <w:r w:rsidRPr="00904733">
        <w:rPr>
          <w:rFonts w:ascii="Times New Roman" w:hAnsi="Times New Roman"/>
          <w:bCs/>
        </w:rPr>
        <w:t>also met) to determine if the payments to</w:t>
      </w:r>
      <w:r>
        <w:rPr>
          <w:rFonts w:ascii="Times New Roman" w:hAnsi="Times New Roman"/>
          <w:bCs/>
        </w:rPr>
        <w:t xml:space="preserve"> </w:t>
      </w:r>
      <w:r w:rsidRPr="00904733">
        <w:rPr>
          <w:rFonts w:ascii="Times New Roman" w:hAnsi="Times New Roman"/>
          <w:bCs/>
        </w:rPr>
        <w:t>a disqualified individual are exempt from</w:t>
      </w:r>
      <w:r>
        <w:rPr>
          <w:rFonts w:ascii="Times New Roman" w:hAnsi="Times New Roman"/>
          <w:bCs/>
        </w:rPr>
        <w:t xml:space="preserve"> </w:t>
      </w:r>
      <w:r w:rsidRPr="00904733">
        <w:rPr>
          <w:rFonts w:ascii="Times New Roman" w:hAnsi="Times New Roman"/>
          <w:bCs/>
        </w:rPr>
        <w:t>the definition of parachute payments. The</w:t>
      </w:r>
      <w:r>
        <w:rPr>
          <w:rFonts w:ascii="Times New Roman" w:hAnsi="Times New Roman"/>
          <w:bCs/>
        </w:rPr>
        <w:t xml:space="preserve"> </w:t>
      </w:r>
      <w:r w:rsidRPr="00904733">
        <w:rPr>
          <w:rFonts w:ascii="Times New Roman" w:hAnsi="Times New Roman"/>
          <w:bCs/>
        </w:rPr>
        <w:t>collection of information is voluntary. The</w:t>
      </w:r>
      <w:r>
        <w:rPr>
          <w:rFonts w:ascii="Times New Roman" w:hAnsi="Times New Roman"/>
          <w:bCs/>
        </w:rPr>
        <w:t xml:space="preserve"> </w:t>
      </w:r>
      <w:r w:rsidRPr="00904733">
        <w:rPr>
          <w:rFonts w:ascii="Times New Roman" w:hAnsi="Times New Roman"/>
          <w:bCs/>
        </w:rPr>
        <w:t>likely respondents are business or other</w:t>
      </w:r>
      <w:r>
        <w:rPr>
          <w:rFonts w:ascii="Times New Roman" w:hAnsi="Times New Roman"/>
          <w:bCs/>
        </w:rPr>
        <w:t xml:space="preserve"> </w:t>
      </w:r>
      <w:r w:rsidRPr="00904733">
        <w:rPr>
          <w:rFonts w:ascii="Times New Roman" w:hAnsi="Times New Roman"/>
          <w:bCs/>
        </w:rPr>
        <w:t>for-profit institutions.</w:t>
      </w:r>
    </w:p>
    <w:p w:rsidR="006A1628" w:rsidP="006A1628" w14:paraId="5808C348" w14:textId="3ED0D9EC">
      <w:pPr>
        <w:rPr>
          <w:rFonts w:ascii="Times New Roman" w:hAnsi="Times New Roman"/>
        </w:rPr>
      </w:pPr>
    </w:p>
    <w:p w:rsidR="006A1628" w:rsidP="006A1628" w14:paraId="6D44FD6F" w14:textId="0ABB8F34">
      <w:pPr>
        <w:rPr>
          <w:rFonts w:ascii="Times New Roman" w:hAnsi="Times New Roman"/>
        </w:rPr>
      </w:pPr>
    </w:p>
    <w:p w:rsidR="006A1628" w:rsidP="006A1628" w14:paraId="58716560" w14:textId="114B0984">
      <w:pPr>
        <w:rPr>
          <w:rFonts w:ascii="Times New Roman" w:hAnsi="Times New Roman"/>
        </w:rPr>
      </w:pPr>
    </w:p>
    <w:p w:rsidR="006A1628" w:rsidP="006A1628" w14:paraId="06B8C72D" w14:textId="77777777">
      <w:pPr>
        <w:rPr>
          <w:rFonts w:ascii="Times New Roman" w:hAnsi="Times New Roman"/>
        </w:rPr>
      </w:pPr>
    </w:p>
    <w:p w:rsidR="00894418" w:rsidRPr="00820B40" w14:paraId="33B6331F" w14:textId="77777777">
      <w:pPr>
        <w:rPr>
          <w:rFonts w:ascii="Times New Roman" w:hAnsi="Times New Roman"/>
          <w:bCs/>
        </w:rPr>
      </w:pPr>
      <w:r w:rsidRPr="00820B40">
        <w:rPr>
          <w:rFonts w:ascii="Times New Roman" w:hAnsi="Times New Roman"/>
          <w:bCs/>
        </w:rPr>
        <w:t xml:space="preserve">2.  </w:t>
      </w:r>
      <w:r w:rsidR="00820B40">
        <w:rPr>
          <w:rFonts w:ascii="Times New Roman" w:hAnsi="Times New Roman"/>
          <w:bCs/>
        </w:rPr>
        <w:tab/>
      </w:r>
      <w:r w:rsidRPr="00820B40">
        <w:rPr>
          <w:rFonts w:ascii="Times New Roman" w:hAnsi="Times New Roman"/>
          <w:bCs/>
          <w:u w:val="single"/>
        </w:rPr>
        <w:t>USE OF DATA</w:t>
      </w:r>
    </w:p>
    <w:p w:rsidR="00894418" w:rsidRPr="00820B40" w14:paraId="6FD3FDA2" w14:textId="77777777">
      <w:pPr>
        <w:rPr>
          <w:rFonts w:ascii="Times New Roman" w:hAnsi="Times New Roman"/>
          <w:bCs/>
        </w:rPr>
      </w:pPr>
    </w:p>
    <w:p w:rsidR="00894418" w:rsidRPr="00820B40" w:rsidP="00904733" w14:paraId="32B613BB" w14:textId="41757EC8">
      <w:pPr>
        <w:widowControl/>
        <w:ind w:left="720"/>
        <w:rPr>
          <w:rFonts w:ascii="Times New Roman" w:hAnsi="Times New Roman"/>
          <w:bCs/>
        </w:rPr>
      </w:pPr>
      <w:r w:rsidRPr="00904733">
        <w:rPr>
          <w:rFonts w:ascii="Times New Roman" w:hAnsi="Times New Roman"/>
          <w:bCs/>
        </w:rPr>
        <w:t>This information is a brief description of</w:t>
      </w:r>
      <w:r>
        <w:rPr>
          <w:rFonts w:ascii="Times New Roman" w:hAnsi="Times New Roman"/>
          <w:bCs/>
        </w:rPr>
        <w:t xml:space="preserve"> </w:t>
      </w:r>
      <w:r w:rsidRPr="00904733">
        <w:rPr>
          <w:rFonts w:ascii="Times New Roman" w:hAnsi="Times New Roman"/>
          <w:bCs/>
        </w:rPr>
        <w:t>all material facts concerning all payments</w:t>
      </w:r>
      <w:r>
        <w:rPr>
          <w:rFonts w:ascii="Times New Roman" w:hAnsi="Times New Roman"/>
          <w:bCs/>
        </w:rPr>
        <w:t xml:space="preserve"> </w:t>
      </w:r>
      <w:r w:rsidRPr="00904733">
        <w:rPr>
          <w:rFonts w:ascii="Times New Roman" w:hAnsi="Times New Roman"/>
          <w:bCs/>
        </w:rPr>
        <w:t>which would be parachute payments (but</w:t>
      </w:r>
      <w:r>
        <w:rPr>
          <w:rFonts w:ascii="Times New Roman" w:hAnsi="Times New Roman"/>
          <w:bCs/>
        </w:rPr>
        <w:t xml:space="preserve"> </w:t>
      </w:r>
      <w:r w:rsidRPr="00904733">
        <w:rPr>
          <w:rFonts w:ascii="Times New Roman" w:hAnsi="Times New Roman"/>
          <w:bCs/>
        </w:rPr>
        <w:t>for §1.280G–1, Q/A–6). This information</w:t>
      </w:r>
      <w:r>
        <w:rPr>
          <w:rFonts w:ascii="Times New Roman" w:hAnsi="Times New Roman"/>
          <w:bCs/>
        </w:rPr>
        <w:t xml:space="preserve"> </w:t>
      </w:r>
      <w:r w:rsidRPr="00904733">
        <w:rPr>
          <w:rFonts w:ascii="Times New Roman" w:hAnsi="Times New Roman"/>
          <w:bCs/>
        </w:rPr>
        <w:t xml:space="preserve">may </w:t>
      </w:r>
      <w:r w:rsidRPr="00904733">
        <w:rPr>
          <w:rFonts w:ascii="Times New Roman" w:hAnsi="Times New Roman"/>
          <w:bCs/>
        </w:rPr>
        <w:t>be used</w:t>
      </w:r>
      <w:r w:rsidRPr="00904733">
        <w:rPr>
          <w:rFonts w:ascii="Times New Roman" w:hAnsi="Times New Roman"/>
          <w:bCs/>
        </w:rPr>
        <w:t xml:space="preserve"> by certain corporations with</w:t>
      </w:r>
      <w:r>
        <w:rPr>
          <w:rFonts w:ascii="Times New Roman" w:hAnsi="Times New Roman"/>
          <w:bCs/>
        </w:rPr>
        <w:t xml:space="preserve"> </w:t>
      </w:r>
      <w:r w:rsidRPr="00904733">
        <w:rPr>
          <w:rFonts w:ascii="Times New Roman" w:hAnsi="Times New Roman"/>
          <w:bCs/>
        </w:rPr>
        <w:t>no readily tradeable stock (assuming certain</w:t>
      </w:r>
      <w:r>
        <w:rPr>
          <w:rFonts w:ascii="Times New Roman" w:hAnsi="Times New Roman"/>
          <w:bCs/>
        </w:rPr>
        <w:t xml:space="preserve"> </w:t>
      </w:r>
      <w:r w:rsidRPr="00904733">
        <w:rPr>
          <w:rFonts w:ascii="Times New Roman" w:hAnsi="Times New Roman"/>
          <w:bCs/>
        </w:rPr>
        <w:t>shareholder approval requirements are</w:t>
      </w:r>
      <w:r>
        <w:rPr>
          <w:rFonts w:ascii="Times New Roman" w:hAnsi="Times New Roman"/>
          <w:bCs/>
        </w:rPr>
        <w:t xml:space="preserve"> </w:t>
      </w:r>
      <w:r w:rsidRPr="00904733">
        <w:rPr>
          <w:rFonts w:ascii="Times New Roman" w:hAnsi="Times New Roman"/>
          <w:bCs/>
        </w:rPr>
        <w:t>also met)</w:t>
      </w:r>
      <w:r w:rsidR="00210652">
        <w:rPr>
          <w:rFonts w:ascii="Times New Roman" w:hAnsi="Times New Roman"/>
          <w:bCs/>
        </w:rPr>
        <w:t xml:space="preserve"> </w:t>
      </w:r>
      <w:r w:rsidRPr="00904733">
        <w:rPr>
          <w:rFonts w:ascii="Times New Roman" w:hAnsi="Times New Roman"/>
          <w:bCs/>
        </w:rPr>
        <w:t>to determine if the payments to</w:t>
      </w:r>
      <w:r>
        <w:rPr>
          <w:rFonts w:ascii="Times New Roman" w:hAnsi="Times New Roman"/>
          <w:bCs/>
        </w:rPr>
        <w:t xml:space="preserve"> </w:t>
      </w:r>
      <w:r w:rsidRPr="00904733">
        <w:rPr>
          <w:rFonts w:ascii="Times New Roman" w:hAnsi="Times New Roman"/>
          <w:bCs/>
        </w:rPr>
        <w:t>a disqualified individual are exempt from</w:t>
      </w:r>
      <w:r>
        <w:rPr>
          <w:rFonts w:ascii="Times New Roman" w:hAnsi="Times New Roman"/>
          <w:bCs/>
        </w:rPr>
        <w:t xml:space="preserve"> </w:t>
      </w:r>
      <w:r w:rsidRPr="00904733">
        <w:rPr>
          <w:rFonts w:ascii="Times New Roman" w:hAnsi="Times New Roman"/>
          <w:bCs/>
        </w:rPr>
        <w:t>the definition of parachute payments.</w:t>
      </w:r>
      <w:r w:rsidR="00210652">
        <w:rPr>
          <w:rFonts w:ascii="Times New Roman" w:hAnsi="Times New Roman"/>
          <w:bCs/>
        </w:rPr>
        <w:t xml:space="preserve"> </w:t>
      </w:r>
    </w:p>
    <w:p w:rsidR="00894418" w:rsidRPr="00820B40" w14:paraId="0E1FCBB9" w14:textId="77777777">
      <w:pPr>
        <w:rPr>
          <w:rFonts w:ascii="Times New Roman" w:hAnsi="Times New Roman"/>
          <w:bCs/>
        </w:rPr>
      </w:pPr>
      <w:r w:rsidRPr="00820B40">
        <w:rPr>
          <w:rFonts w:ascii="Times New Roman" w:hAnsi="Times New Roman"/>
          <w:bCs/>
        </w:rPr>
        <w:t xml:space="preserve">           </w:t>
      </w:r>
    </w:p>
    <w:p w:rsidR="00894418" w:rsidRPr="00820B40" w14:paraId="74D72310" w14:textId="4090B74E">
      <w:pPr>
        <w:rPr>
          <w:rFonts w:ascii="Times New Roman" w:hAnsi="Times New Roman"/>
          <w:bCs/>
        </w:rPr>
      </w:pPr>
      <w:r w:rsidRPr="00820B40">
        <w:rPr>
          <w:rFonts w:ascii="Times New Roman" w:hAnsi="Times New Roman"/>
          <w:bCs/>
        </w:rPr>
        <w:t>3.</w:t>
      </w:r>
      <w:r w:rsidR="005E0602">
        <w:rPr>
          <w:rFonts w:ascii="Times New Roman" w:hAnsi="Times New Roman"/>
          <w:bCs/>
        </w:rPr>
        <w:tab/>
      </w:r>
      <w:r w:rsidRPr="005E0602">
        <w:rPr>
          <w:rFonts w:ascii="Times New Roman" w:hAnsi="Times New Roman"/>
          <w:bCs/>
          <w:u w:val="single"/>
        </w:rPr>
        <w:t>USE OF IMPROVED INFORMATION TECHNOLOGY TO REDUCE BURDEN</w:t>
      </w:r>
    </w:p>
    <w:p w:rsidR="00894418" w:rsidRPr="00820B40" w14:paraId="7C69191D" w14:textId="77777777">
      <w:pPr>
        <w:rPr>
          <w:rFonts w:ascii="Times New Roman" w:hAnsi="Times New Roman"/>
          <w:bCs/>
        </w:rPr>
      </w:pPr>
    </w:p>
    <w:p w:rsidR="00894418" w:rsidP="004F543D" w14:paraId="66F57AEC" w14:textId="6956292E">
      <w:pPr>
        <w:ind w:left="720"/>
        <w:rPr>
          <w:rFonts w:ascii="Times New Roman" w:hAnsi="Times New Roman"/>
          <w:bCs/>
        </w:rPr>
      </w:pPr>
      <w:r>
        <w:rPr>
          <w:rFonts w:ascii="Times New Roman" w:hAnsi="Times New Roman"/>
          <w:bCs/>
        </w:rPr>
        <w:t xml:space="preserve">The disclosure </w:t>
      </w:r>
      <w:r>
        <w:rPr>
          <w:rFonts w:ascii="Times New Roman" w:hAnsi="Times New Roman"/>
          <w:bCs/>
        </w:rPr>
        <w:t>is given</w:t>
      </w:r>
      <w:r>
        <w:rPr>
          <w:rFonts w:ascii="Times New Roman" w:hAnsi="Times New Roman"/>
          <w:bCs/>
        </w:rPr>
        <w:t xml:space="preserve"> directly to the shareholder and not collected by the </w:t>
      </w:r>
      <w:r w:rsidR="004F543D">
        <w:rPr>
          <w:rFonts w:ascii="Times New Roman" w:hAnsi="Times New Roman"/>
          <w:bCs/>
        </w:rPr>
        <w:t>Internal Revenue Service (</w:t>
      </w:r>
      <w:r>
        <w:rPr>
          <w:rFonts w:ascii="Times New Roman" w:hAnsi="Times New Roman"/>
          <w:bCs/>
        </w:rPr>
        <w:t>IRS</w:t>
      </w:r>
      <w:r w:rsidR="004F543D">
        <w:rPr>
          <w:rFonts w:ascii="Times New Roman" w:hAnsi="Times New Roman"/>
          <w:bCs/>
        </w:rPr>
        <w:t>)</w:t>
      </w:r>
      <w:r>
        <w:rPr>
          <w:rFonts w:ascii="Times New Roman" w:hAnsi="Times New Roman"/>
          <w:bCs/>
        </w:rPr>
        <w:t xml:space="preserve"> so there is no need for electronic technology. </w:t>
      </w:r>
    </w:p>
    <w:p w:rsidR="006A1628" w:rsidRPr="00820B40" w:rsidP="004F543D" w14:paraId="7FC81366" w14:textId="77777777">
      <w:pPr>
        <w:ind w:left="720"/>
        <w:rPr>
          <w:rFonts w:ascii="Times New Roman" w:hAnsi="Times New Roman"/>
          <w:bCs/>
        </w:rPr>
      </w:pPr>
    </w:p>
    <w:p w:rsidR="00894418" w:rsidRPr="00820B40" w14:paraId="7279A6A5" w14:textId="77777777">
      <w:pPr>
        <w:rPr>
          <w:rFonts w:ascii="Times New Roman" w:hAnsi="Times New Roman"/>
          <w:bCs/>
        </w:rPr>
      </w:pPr>
      <w:r w:rsidRPr="00820B40">
        <w:rPr>
          <w:rFonts w:ascii="Times New Roman" w:hAnsi="Times New Roman"/>
          <w:bCs/>
        </w:rPr>
        <w:t xml:space="preserve">4.   </w:t>
      </w:r>
      <w:r w:rsidR="00820B40">
        <w:rPr>
          <w:rFonts w:ascii="Times New Roman" w:hAnsi="Times New Roman"/>
          <w:bCs/>
        </w:rPr>
        <w:tab/>
      </w:r>
      <w:r w:rsidRPr="00820B40">
        <w:rPr>
          <w:rFonts w:ascii="Times New Roman" w:hAnsi="Times New Roman"/>
          <w:bCs/>
          <w:u w:val="single"/>
        </w:rPr>
        <w:t>EFFORTS TO IDENTIFY DUPLICATION</w:t>
      </w:r>
    </w:p>
    <w:p w:rsidR="00894418" w:rsidRPr="00820B40" w14:paraId="3FFAEBE5" w14:textId="77777777">
      <w:pPr>
        <w:rPr>
          <w:rFonts w:ascii="Times New Roman" w:hAnsi="Times New Roman"/>
          <w:bCs/>
        </w:rPr>
      </w:pPr>
    </w:p>
    <w:p w:rsidR="00894418" w:rsidRPr="00820B40" w:rsidP="007F03B7" w14:paraId="18389606" w14:textId="7FB2263D">
      <w:pPr>
        <w:ind w:left="720"/>
        <w:rPr>
          <w:rFonts w:ascii="Times New Roman" w:hAnsi="Times New Roman"/>
          <w:bCs/>
        </w:rPr>
      </w:pPr>
      <w:r w:rsidRPr="00820B40">
        <w:rPr>
          <w:rFonts w:ascii="Times New Roman" w:hAnsi="Times New Roman"/>
          <w:bCs/>
        </w:rPr>
        <w:t>The information obtained through this collection is unique and is not already available for use or adaptation from another source.</w:t>
      </w:r>
    </w:p>
    <w:p w:rsidR="00894418" w:rsidRPr="007F03B7" w:rsidP="007F03B7" w14:paraId="4DE011E3" w14:textId="77777777">
      <w:pPr>
        <w:ind w:left="720"/>
        <w:rPr>
          <w:rFonts w:ascii="Times New Roman" w:hAnsi="Times New Roman"/>
          <w:bCs/>
        </w:rPr>
      </w:pPr>
    </w:p>
    <w:p w:rsidR="00894418" w:rsidRPr="00820B40" w:rsidP="00820B40" w14:paraId="281B03AA" w14:textId="77777777">
      <w:pPr>
        <w:pStyle w:val="Level1"/>
        <w:numPr>
          <w:ilvl w:val="0"/>
          <w:numId w:val="1"/>
        </w:numPr>
        <w:tabs>
          <w:tab w:val="left" w:pos="-1440"/>
        </w:tabs>
        <w:rPr>
          <w:rFonts w:ascii="Times New Roman" w:hAnsi="Times New Roman"/>
        </w:rPr>
      </w:pPr>
      <w:r w:rsidRPr="00820B40">
        <w:rPr>
          <w:rFonts w:ascii="Times New Roman" w:hAnsi="Times New Roman"/>
          <w:u w:val="single"/>
        </w:rPr>
        <w:t>METHODS TO MINIMIZE BURDEN ON SMALL BUSINESSES OR OTHER</w:t>
      </w:r>
      <w:r w:rsidRPr="00820B40">
        <w:rPr>
          <w:rFonts w:ascii="Times New Roman" w:hAnsi="Times New Roman"/>
        </w:rPr>
        <w:t xml:space="preserve">     </w:t>
      </w:r>
      <w:r w:rsidRPr="00820B40">
        <w:rPr>
          <w:rFonts w:ascii="Times New Roman" w:hAnsi="Times New Roman"/>
          <w:u w:val="single"/>
        </w:rPr>
        <w:t>SMALL ENTITIES</w:t>
      </w:r>
    </w:p>
    <w:p w:rsidR="00894418" w:rsidRPr="00721711" w:rsidP="007F03B7" w14:paraId="2F684E33" w14:textId="77777777">
      <w:pPr>
        <w:ind w:left="720"/>
        <w:rPr>
          <w:rFonts w:ascii="Times New Roman" w:hAnsi="Times New Roman"/>
          <w:bCs/>
        </w:rPr>
      </w:pPr>
    </w:p>
    <w:p w:rsidR="00721711" w:rsidRPr="007F03B7" w:rsidP="00721711" w14:paraId="56704C4A" w14:textId="5E203EAC">
      <w:pPr>
        <w:ind w:left="720"/>
        <w:rPr>
          <w:rFonts w:ascii="Times New Roman" w:hAnsi="Times New Roman"/>
          <w:bCs/>
        </w:rPr>
      </w:pPr>
      <w:r w:rsidRPr="007F03B7">
        <w:rPr>
          <w:rFonts w:ascii="Times New Roman" w:hAnsi="Times New Roman"/>
          <w:bCs/>
        </w:rPr>
        <w:t>This information collection will not have a significant economic impact on small businesses or other small entities.</w:t>
      </w:r>
    </w:p>
    <w:p w:rsidR="00894418" w:rsidRPr="00721711" w:rsidP="007F03B7" w14:paraId="0CE7F31D" w14:textId="77777777">
      <w:pPr>
        <w:ind w:left="720"/>
        <w:rPr>
          <w:rFonts w:ascii="Times New Roman" w:hAnsi="Times New Roman"/>
          <w:bCs/>
        </w:rPr>
      </w:pPr>
    </w:p>
    <w:p w:rsidR="00894418" w:rsidRPr="00820B40" w14:paraId="396646B9"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CONSEQUENCES OF LESS FREQUENT COLLECTION ON FEDERAL PROGRAMS OR POLICY ACTIVITIES</w:t>
      </w:r>
    </w:p>
    <w:p w:rsidR="00894418" w:rsidRPr="00820B40" w14:paraId="23B400F9" w14:textId="77777777">
      <w:pPr>
        <w:rPr>
          <w:rFonts w:ascii="Times New Roman" w:hAnsi="Times New Roman"/>
        </w:rPr>
      </w:pPr>
    </w:p>
    <w:p w:rsidR="00894418" w:rsidRPr="00820B40" w:rsidP="000D1446" w14:paraId="4B961B29" w14:textId="78A2C6F7">
      <w:pPr>
        <w:widowControl/>
        <w:ind w:left="720"/>
        <w:rPr>
          <w:rFonts w:ascii="Times New Roman" w:hAnsi="Times New Roman"/>
        </w:rPr>
      </w:pPr>
      <w:r w:rsidRPr="0089338D">
        <w:rPr>
          <w:rFonts w:ascii="Times New Roman" w:hAnsi="Times New Roman"/>
          <w:bCs/>
        </w:rPr>
        <w:t xml:space="preserve">Consequences of less frequent collection on federal programs or policy activities would result in an increase in payments made to a disqualified individual who is exempt from the definition of </w:t>
      </w:r>
      <w:r w:rsidR="005B0B33">
        <w:rPr>
          <w:rFonts w:ascii="Times New Roman" w:hAnsi="Times New Roman"/>
          <w:bCs/>
        </w:rPr>
        <w:t>Golden P</w:t>
      </w:r>
      <w:r w:rsidRPr="0089338D">
        <w:rPr>
          <w:rFonts w:ascii="Times New Roman" w:hAnsi="Times New Roman"/>
          <w:bCs/>
        </w:rPr>
        <w:t xml:space="preserve">arachute </w:t>
      </w:r>
      <w:r w:rsidR="005B0B33">
        <w:rPr>
          <w:rFonts w:ascii="Times New Roman" w:hAnsi="Times New Roman"/>
          <w:bCs/>
        </w:rPr>
        <w:t>P</w:t>
      </w:r>
      <w:r w:rsidRPr="0089338D">
        <w:rPr>
          <w:rFonts w:ascii="Times New Roman" w:hAnsi="Times New Roman"/>
          <w:bCs/>
        </w:rPr>
        <w:t>ayment</w:t>
      </w:r>
      <w:r w:rsidR="005B0B33">
        <w:rPr>
          <w:rFonts w:ascii="Times New Roman" w:hAnsi="Times New Roman"/>
          <w:bCs/>
        </w:rPr>
        <w:t>s</w:t>
      </w:r>
      <w:r w:rsidRPr="00820B40" w:rsidR="000D1446">
        <w:rPr>
          <w:rFonts w:ascii="Times New Roman" w:eastAsia="HelveticaNeue-Roman" w:hAnsi="Times New Roman"/>
        </w:rPr>
        <w:t xml:space="preserve">. </w:t>
      </w:r>
    </w:p>
    <w:p w:rsidR="005668A3" w:rsidRPr="00820B40" w:rsidP="000D1446" w14:paraId="589CD167" w14:textId="77777777">
      <w:pPr>
        <w:ind w:left="720"/>
        <w:rPr>
          <w:rFonts w:ascii="Times New Roman" w:hAnsi="Times New Roman"/>
        </w:rPr>
      </w:pPr>
    </w:p>
    <w:p w:rsidR="00894418" w:rsidRPr="00820B40" w14:paraId="131A50A3"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SPECIAL CIRCUMSTANCES REQUIRING DATA COLLECTION TO BE</w:t>
      </w:r>
      <w:r w:rsidRPr="00820B40">
        <w:rPr>
          <w:rFonts w:ascii="Times New Roman" w:hAnsi="Times New Roman"/>
        </w:rPr>
        <w:t xml:space="preserve"> </w:t>
      </w:r>
      <w:r w:rsidRPr="00820B40">
        <w:rPr>
          <w:rFonts w:ascii="Times New Roman" w:hAnsi="Times New Roman"/>
          <w:u w:val="single"/>
        </w:rPr>
        <w:t>INCONSISTENT WITH GUIDELINES IN 5 CFR 1320.5(d)(2)</w:t>
      </w:r>
    </w:p>
    <w:p w:rsidR="00894418" w:rsidRPr="00820B40" w14:paraId="7394261F" w14:textId="77777777">
      <w:pPr>
        <w:rPr>
          <w:rFonts w:ascii="Times New Roman" w:hAnsi="Times New Roman"/>
        </w:rPr>
      </w:pPr>
    </w:p>
    <w:p w:rsidR="00033535" w:rsidRPr="00820B40" w:rsidP="00033535" w14:paraId="15877A36" w14:textId="17B7E7F8">
      <w:pPr>
        <w:autoSpaceDE/>
        <w:autoSpaceDN/>
        <w:adjustRightInd/>
        <w:ind w:left="720" w:firstLine="15"/>
        <w:rPr>
          <w:rFonts w:ascii="Times New Roman" w:hAnsi="Times New Roman"/>
          <w:snapToGrid w:val="0"/>
        </w:rPr>
      </w:pPr>
      <w:r w:rsidRPr="00820B40">
        <w:rPr>
          <w:rFonts w:ascii="Times New Roman" w:hAnsi="Times New Roman"/>
          <w:snapToGrid w:val="0"/>
        </w:rPr>
        <w:t xml:space="preserve">There are no special circumstances requiring data collection to be inconsistent with </w:t>
      </w:r>
      <w:r w:rsidR="00CD6C73">
        <w:rPr>
          <w:rFonts w:ascii="Times New Roman" w:hAnsi="Times New Roman"/>
          <w:snapToGrid w:val="0"/>
        </w:rPr>
        <w:t>g</w:t>
      </w:r>
      <w:r w:rsidRPr="00820B40">
        <w:rPr>
          <w:rFonts w:ascii="Times New Roman" w:hAnsi="Times New Roman"/>
          <w:snapToGrid w:val="0"/>
        </w:rPr>
        <w:t xml:space="preserve">uidelines in 5 CFR 1320.5(d)(2). </w:t>
      </w:r>
    </w:p>
    <w:p w:rsidR="00894418" w:rsidRPr="00820B40" w14:paraId="09682257" w14:textId="77777777">
      <w:pPr>
        <w:rPr>
          <w:rFonts w:ascii="Times New Roman" w:hAnsi="Times New Roman"/>
        </w:rPr>
      </w:pPr>
    </w:p>
    <w:p w:rsidR="000D1446" w:rsidRPr="00820B40" w14:paraId="7AFA2A56" w14:textId="77777777">
      <w:pPr>
        <w:rPr>
          <w:rFonts w:ascii="Times New Roman" w:hAnsi="Times New Roman"/>
        </w:rPr>
        <w:sectPr>
          <w:pgSz w:w="12240" w:h="15840"/>
          <w:pgMar w:top="1440" w:right="1440" w:bottom="1440" w:left="1440" w:header="1440" w:footer="1440" w:gutter="0"/>
          <w:cols w:space="720"/>
          <w:noEndnote/>
        </w:sectPr>
      </w:pPr>
    </w:p>
    <w:p w:rsidR="00894418" w:rsidRPr="00CD6C73" w14:paraId="6A371110" w14:textId="77777777">
      <w:pPr>
        <w:tabs>
          <w:tab w:val="left" w:pos="-1440"/>
        </w:tabs>
        <w:ind w:left="720" w:hanging="720"/>
        <w:rPr>
          <w:rFonts w:ascii="Times New Roman" w:hAnsi="Times New Roman"/>
        </w:rPr>
      </w:pPr>
      <w:r w:rsidRPr="00820B40">
        <w:rPr>
          <w:rFonts w:ascii="Times New Roman" w:hAnsi="Times New Roman"/>
        </w:rPr>
        <w:t>8.</w:t>
      </w:r>
      <w:r w:rsidRPr="00820B40">
        <w:rPr>
          <w:rFonts w:ascii="Times New Roman" w:hAnsi="Times New Roman"/>
        </w:rPr>
        <w:tab/>
      </w:r>
      <w:r w:rsidRPr="00210652">
        <w:rPr>
          <w:rFonts w:ascii="Times New Roman" w:hAnsi="Times New Roman"/>
          <w:u w:val="single"/>
        </w:rPr>
        <w:t>CONSULT</w:t>
      </w:r>
      <w:r w:rsidRPr="00820B40">
        <w:rPr>
          <w:rFonts w:ascii="Times New Roman" w:hAnsi="Times New Roman"/>
          <w:u w:val="single"/>
        </w:rPr>
        <w:t xml:space="preserve">ATION WITH INDIVIDUALS OUTSIDE OF THE AGENCY ON AVAILABILITY OF DATA, FREQUENCY OF COLLECTION, CLARITY OF </w:t>
      </w:r>
      <w:r w:rsidRPr="00CD6C73">
        <w:rPr>
          <w:rFonts w:ascii="Times New Roman" w:hAnsi="Times New Roman"/>
          <w:u w:val="single"/>
        </w:rPr>
        <w:t>INSTRUCTIONS AND FORMS, AND DATA ELEMENTS</w:t>
      </w:r>
    </w:p>
    <w:p w:rsidR="00894418" w:rsidRPr="00CD6C73" w14:paraId="5D967B56" w14:textId="77777777">
      <w:pPr>
        <w:rPr>
          <w:rFonts w:ascii="Times New Roman" w:hAnsi="Times New Roman"/>
        </w:rPr>
      </w:pPr>
    </w:p>
    <w:p w:rsidR="00894418" w:rsidRPr="00820B40" w14:paraId="71067AFD" w14:textId="07D44A37">
      <w:pPr>
        <w:ind w:left="720"/>
        <w:rPr>
          <w:rFonts w:ascii="Times New Roman" w:hAnsi="Times New Roman"/>
        </w:rPr>
      </w:pPr>
      <w:r w:rsidRPr="00CD6C73">
        <w:rPr>
          <w:rFonts w:ascii="Times New Roman" w:hAnsi="Times New Roman"/>
        </w:rPr>
        <w:t xml:space="preserve">In response to the </w:t>
      </w:r>
      <w:r w:rsidRPr="00CD6C73">
        <w:rPr>
          <w:rFonts w:ascii="Times New Roman" w:hAnsi="Times New Roman"/>
          <w:i/>
          <w:iCs/>
        </w:rPr>
        <w:t>Federal Register</w:t>
      </w:r>
      <w:r w:rsidRPr="00CD6C73">
        <w:rPr>
          <w:rFonts w:ascii="Times New Roman" w:hAnsi="Times New Roman"/>
        </w:rPr>
        <w:t xml:space="preserve"> notice dated </w:t>
      </w:r>
      <w:r w:rsidR="00FF3F12">
        <w:rPr>
          <w:rFonts w:ascii="Times New Roman" w:hAnsi="Times New Roman"/>
        </w:rPr>
        <w:t>November 26, 2025</w:t>
      </w:r>
      <w:r w:rsidRPr="00CD6C73" w:rsidR="00F273A2">
        <w:rPr>
          <w:rFonts w:ascii="Times New Roman" w:hAnsi="Times New Roman"/>
        </w:rPr>
        <w:t xml:space="preserve"> (</w:t>
      </w:r>
      <w:r w:rsidRPr="00DA6D3F" w:rsidR="00DA6D3F">
        <w:rPr>
          <w:rFonts w:ascii="Times New Roman" w:hAnsi="Times New Roman"/>
        </w:rPr>
        <w:t>90 FR 54460</w:t>
      </w:r>
      <w:r w:rsidRPr="00CD6C73" w:rsidR="009201A2">
        <w:rPr>
          <w:rFonts w:ascii="Times New Roman" w:hAnsi="Times New Roman"/>
        </w:rPr>
        <w:t>)</w:t>
      </w:r>
      <w:r w:rsidRPr="00CD6C73">
        <w:rPr>
          <w:rFonts w:ascii="Times New Roman" w:hAnsi="Times New Roman"/>
        </w:rPr>
        <w:t xml:space="preserve">, we received no comments during the comment period regarding </w:t>
      </w:r>
      <w:r w:rsidRPr="00CD6C73" w:rsidR="005367B3">
        <w:rPr>
          <w:rFonts w:ascii="Times New Roman" w:hAnsi="Times New Roman"/>
        </w:rPr>
        <w:t>this regulation</w:t>
      </w:r>
      <w:r w:rsidRPr="00CD6C73">
        <w:rPr>
          <w:rFonts w:ascii="Times New Roman" w:hAnsi="Times New Roman"/>
        </w:rPr>
        <w:t>.</w:t>
      </w:r>
    </w:p>
    <w:p w:rsidR="00894418" w:rsidRPr="00820B40" w14:paraId="20A93991" w14:textId="77777777">
      <w:pPr>
        <w:rPr>
          <w:rFonts w:ascii="Times New Roman" w:hAnsi="Times New Roman"/>
        </w:rPr>
      </w:pPr>
    </w:p>
    <w:p w:rsidR="00894418" w:rsidRPr="00820B40" w14:paraId="17123AAF" w14:textId="77777777">
      <w:pPr>
        <w:pStyle w:val="Level1"/>
        <w:tabs>
          <w:tab w:val="left" w:pos="-1440"/>
          <w:tab w:val="num" w:pos="720"/>
        </w:tabs>
        <w:rPr>
          <w:rFonts w:ascii="Times New Roman" w:hAnsi="Times New Roman"/>
        </w:rPr>
      </w:pPr>
      <w:r w:rsidRPr="00820B40">
        <w:rPr>
          <w:rFonts w:ascii="Times New Roman" w:hAnsi="Times New Roman"/>
          <w:u w:val="single"/>
        </w:rPr>
        <w:t>EXPLANATION OF DECISION TO PROVIDE ANY PAYMENT OR GIFT TO</w:t>
      </w:r>
      <w:r w:rsidRPr="00820B40">
        <w:rPr>
          <w:rFonts w:ascii="Times New Roman" w:hAnsi="Times New Roman"/>
        </w:rPr>
        <w:t xml:space="preserve"> </w:t>
      </w:r>
      <w:r w:rsidRPr="00820B40">
        <w:rPr>
          <w:rFonts w:ascii="Times New Roman" w:hAnsi="Times New Roman"/>
          <w:u w:val="single"/>
        </w:rPr>
        <w:t>RESPONDENTS</w:t>
      </w:r>
    </w:p>
    <w:p w:rsidR="00894418" w:rsidRPr="00820B40" w14:paraId="3161F83C" w14:textId="77777777">
      <w:pPr>
        <w:rPr>
          <w:rFonts w:ascii="Times New Roman" w:hAnsi="Times New Roman"/>
        </w:rPr>
      </w:pPr>
    </w:p>
    <w:p w:rsidR="00894418" w:rsidRPr="00820B40" w:rsidP="00033535" w14:paraId="167CD32A" w14:textId="77777777">
      <w:pPr>
        <w:ind w:left="720"/>
        <w:rPr>
          <w:rFonts w:ascii="Times New Roman" w:hAnsi="Times New Roman"/>
        </w:rPr>
      </w:pPr>
      <w:r w:rsidRPr="00820B40">
        <w:rPr>
          <w:rFonts w:ascii="Times New Roman" w:eastAsia="Calibri" w:hAnsi="Times New Roman"/>
        </w:rPr>
        <w:t>No payment or gift has been provided to any respondents.</w:t>
      </w:r>
    </w:p>
    <w:p w:rsidR="00894418" w:rsidRPr="00820B40" w14:paraId="4DBDC308" w14:textId="77777777">
      <w:pPr>
        <w:rPr>
          <w:rFonts w:ascii="Times New Roman" w:hAnsi="Times New Roman"/>
        </w:rPr>
      </w:pPr>
    </w:p>
    <w:p w:rsidR="00894418" w:rsidRPr="00820B40" w14:paraId="03EFDC68" w14:textId="77777777">
      <w:pPr>
        <w:pStyle w:val="Level1"/>
        <w:tabs>
          <w:tab w:val="left" w:pos="-1440"/>
          <w:tab w:val="num" w:pos="720"/>
        </w:tabs>
        <w:rPr>
          <w:rFonts w:ascii="Times New Roman" w:hAnsi="Times New Roman"/>
        </w:rPr>
      </w:pPr>
      <w:r w:rsidRPr="00820B40">
        <w:rPr>
          <w:rFonts w:ascii="Times New Roman" w:hAnsi="Times New Roman"/>
          <w:u w:val="single"/>
        </w:rPr>
        <w:t>ASSURANCE OF CONFIDENTIALITY OF RESPONSES</w:t>
      </w:r>
    </w:p>
    <w:p w:rsidR="00894418" w:rsidRPr="00820B40" w14:paraId="23E734BC" w14:textId="77777777">
      <w:pPr>
        <w:rPr>
          <w:rFonts w:ascii="Times New Roman" w:hAnsi="Times New Roman"/>
        </w:rPr>
      </w:pPr>
    </w:p>
    <w:p w:rsidR="00894418" w:rsidRPr="00820B40" w14:paraId="77DED78D" w14:textId="77777777">
      <w:pPr>
        <w:ind w:left="720"/>
        <w:rPr>
          <w:rFonts w:ascii="Times New Roman" w:hAnsi="Times New Roman"/>
        </w:rPr>
      </w:pPr>
      <w:r w:rsidRPr="00820B40">
        <w:rPr>
          <w:rFonts w:ascii="Times New Roman" w:hAnsi="Times New Roman"/>
        </w:rPr>
        <w:t>Generally, tax returns and tax return information are confidential as required by 26 USC 6103.</w:t>
      </w:r>
    </w:p>
    <w:p w:rsidR="00894418" w:rsidRPr="00820B40" w14:paraId="3B003276" w14:textId="77777777">
      <w:pPr>
        <w:rPr>
          <w:rFonts w:ascii="Times New Roman" w:hAnsi="Times New Roman"/>
        </w:rPr>
      </w:pPr>
    </w:p>
    <w:p w:rsidR="00894418" w:rsidRPr="00820B40" w14:paraId="119CA49F" w14:textId="77777777">
      <w:pPr>
        <w:pStyle w:val="Level1"/>
        <w:tabs>
          <w:tab w:val="left" w:pos="-1440"/>
          <w:tab w:val="num" w:pos="720"/>
        </w:tabs>
        <w:rPr>
          <w:rFonts w:ascii="Times New Roman" w:hAnsi="Times New Roman"/>
          <w:u w:val="single"/>
        </w:rPr>
      </w:pPr>
      <w:r w:rsidRPr="00820B40">
        <w:rPr>
          <w:rFonts w:ascii="Times New Roman" w:hAnsi="Times New Roman"/>
          <w:u w:val="single"/>
        </w:rPr>
        <w:t>JUSTIFICATION OF SENSITIVE QUESTIONS</w:t>
      </w:r>
    </w:p>
    <w:p w:rsidR="00894418" w:rsidRPr="007F03B7" w:rsidP="007F03B7" w14:paraId="416433BD" w14:textId="77777777">
      <w:pPr>
        <w:ind w:left="720"/>
        <w:rPr>
          <w:rFonts w:ascii="Times New Roman" w:hAnsi="Times New Roman"/>
        </w:rPr>
      </w:pPr>
    </w:p>
    <w:p w:rsidR="00B262C2" w:rsidP="00B262C2" w14:paraId="6E3216D1" w14:textId="77777777">
      <w:pPr>
        <w:ind w:left="720"/>
        <w:rPr>
          <w:rFonts w:ascii="Times New Roman" w:hAnsi="Times New Roman"/>
        </w:rPr>
      </w:pPr>
      <w:r w:rsidRPr="007F03B7">
        <w:rPr>
          <w:rFonts w:ascii="Times New Roman" w:hAnsi="Times New Roman"/>
        </w:rPr>
        <w:t>There is no Personally Identifiable Information (PII) collected.</w:t>
      </w:r>
    </w:p>
    <w:p w:rsidR="00B262C2" w:rsidRPr="00820B40" w:rsidP="007F03B7" w14:paraId="03911CB2" w14:textId="49367A92">
      <w:pPr>
        <w:ind w:left="720"/>
        <w:rPr>
          <w:rFonts w:ascii="Times New Roman" w:hAnsi="Times New Roman"/>
        </w:rPr>
      </w:pPr>
      <w:r w:rsidRPr="007F03B7">
        <w:rPr>
          <w:rFonts w:ascii="Times New Roman" w:hAnsi="Times New Roman"/>
        </w:rPr>
        <w:t xml:space="preserve"> </w:t>
      </w:r>
    </w:p>
    <w:p w:rsidR="00894418" w:rsidRPr="00820B40" w14:paraId="74FE3B03" w14:textId="77777777">
      <w:pPr>
        <w:pStyle w:val="Level1"/>
        <w:tabs>
          <w:tab w:val="left" w:pos="-1440"/>
          <w:tab w:val="num" w:pos="720"/>
        </w:tabs>
        <w:rPr>
          <w:rFonts w:ascii="Times New Roman" w:hAnsi="Times New Roman"/>
        </w:rPr>
      </w:pPr>
      <w:r w:rsidRPr="00820B40">
        <w:rPr>
          <w:rFonts w:ascii="Times New Roman" w:hAnsi="Times New Roman"/>
          <w:u w:val="single"/>
        </w:rPr>
        <w:t>ESTIMATED BURDEN OF INFORMATION COLLECTION</w:t>
      </w:r>
    </w:p>
    <w:p w:rsidR="00894418" w:rsidRPr="00820B40" w14:paraId="582ADE18" w14:textId="77777777">
      <w:pPr>
        <w:rPr>
          <w:rFonts w:ascii="Times New Roman" w:hAnsi="Times New Roman"/>
        </w:rPr>
      </w:pPr>
    </w:p>
    <w:p w:rsidR="00E9356B" w:rsidP="00904733" w14:paraId="7F97303B" w14:textId="77777777">
      <w:pPr>
        <w:ind w:left="720"/>
        <w:rPr>
          <w:rFonts w:ascii="Times New Roman" w:hAnsi="Times New Roman"/>
        </w:rPr>
      </w:pPr>
      <w:r w:rsidRPr="00904733">
        <w:rPr>
          <w:rFonts w:ascii="Times New Roman" w:hAnsi="Times New Roman"/>
          <w:bCs/>
        </w:rPr>
        <w:t>The collection of information in this</w:t>
      </w:r>
      <w:r>
        <w:rPr>
          <w:rFonts w:ascii="Times New Roman" w:hAnsi="Times New Roman"/>
          <w:bCs/>
        </w:rPr>
        <w:t xml:space="preserve"> </w:t>
      </w:r>
      <w:r w:rsidRPr="00904733">
        <w:rPr>
          <w:rFonts w:ascii="Times New Roman" w:hAnsi="Times New Roman"/>
          <w:bCs/>
        </w:rPr>
        <w:t>regulation is in §1.280G–1, Q/A–7(a).</w:t>
      </w:r>
      <w:r>
        <w:rPr>
          <w:rFonts w:ascii="Times New Roman" w:hAnsi="Times New Roman"/>
          <w:bCs/>
        </w:rPr>
        <w:t xml:space="preserve">  </w:t>
      </w:r>
      <w:r w:rsidRPr="00904733">
        <w:rPr>
          <w:rFonts w:ascii="Times New Roman" w:hAnsi="Times New Roman"/>
          <w:bCs/>
        </w:rPr>
        <w:t>This information is a brief description of</w:t>
      </w:r>
      <w:r>
        <w:rPr>
          <w:rFonts w:ascii="Times New Roman" w:hAnsi="Times New Roman"/>
          <w:bCs/>
        </w:rPr>
        <w:t xml:space="preserve"> </w:t>
      </w:r>
      <w:r w:rsidRPr="00904733">
        <w:rPr>
          <w:rFonts w:ascii="Times New Roman" w:hAnsi="Times New Roman"/>
          <w:bCs/>
        </w:rPr>
        <w:t>all material facts concerning all payments</w:t>
      </w:r>
      <w:r>
        <w:rPr>
          <w:rFonts w:ascii="Times New Roman" w:hAnsi="Times New Roman"/>
          <w:bCs/>
        </w:rPr>
        <w:t xml:space="preserve"> </w:t>
      </w:r>
      <w:r w:rsidRPr="00904733">
        <w:rPr>
          <w:rFonts w:ascii="Times New Roman" w:hAnsi="Times New Roman"/>
          <w:bCs/>
        </w:rPr>
        <w:t>which would be parachute payments (but</w:t>
      </w:r>
      <w:r>
        <w:rPr>
          <w:rFonts w:ascii="Times New Roman" w:hAnsi="Times New Roman"/>
          <w:bCs/>
        </w:rPr>
        <w:t xml:space="preserve"> </w:t>
      </w:r>
      <w:r w:rsidRPr="00904733">
        <w:rPr>
          <w:rFonts w:ascii="Times New Roman" w:hAnsi="Times New Roman"/>
          <w:bCs/>
        </w:rPr>
        <w:t>for §1.280G–1, Q/A–6). This information</w:t>
      </w:r>
      <w:r>
        <w:rPr>
          <w:rFonts w:ascii="Times New Roman" w:hAnsi="Times New Roman"/>
          <w:bCs/>
        </w:rPr>
        <w:t xml:space="preserve"> </w:t>
      </w:r>
      <w:r w:rsidRPr="00904733">
        <w:rPr>
          <w:rFonts w:ascii="Times New Roman" w:hAnsi="Times New Roman"/>
          <w:bCs/>
        </w:rPr>
        <w:t>may be used by certain corporations with</w:t>
      </w:r>
      <w:r>
        <w:rPr>
          <w:rFonts w:ascii="Times New Roman" w:hAnsi="Times New Roman"/>
          <w:bCs/>
        </w:rPr>
        <w:t xml:space="preserve"> </w:t>
      </w:r>
      <w:r w:rsidRPr="00904733">
        <w:rPr>
          <w:rFonts w:ascii="Times New Roman" w:hAnsi="Times New Roman"/>
          <w:bCs/>
        </w:rPr>
        <w:t>no readily tradeable stock (assuming certain</w:t>
      </w:r>
      <w:r>
        <w:rPr>
          <w:rFonts w:ascii="Times New Roman" w:hAnsi="Times New Roman"/>
          <w:bCs/>
        </w:rPr>
        <w:t xml:space="preserve"> </w:t>
      </w:r>
      <w:r w:rsidRPr="00904733">
        <w:rPr>
          <w:rFonts w:ascii="Times New Roman" w:hAnsi="Times New Roman"/>
          <w:bCs/>
        </w:rPr>
        <w:t>shareholder approval requirements are</w:t>
      </w:r>
      <w:r>
        <w:rPr>
          <w:rFonts w:ascii="Times New Roman" w:hAnsi="Times New Roman"/>
          <w:bCs/>
        </w:rPr>
        <w:t xml:space="preserve"> </w:t>
      </w:r>
      <w:r w:rsidRPr="00904733">
        <w:rPr>
          <w:rFonts w:ascii="Times New Roman" w:hAnsi="Times New Roman"/>
          <w:bCs/>
        </w:rPr>
        <w:t>also met) to determine if the payments to</w:t>
      </w:r>
      <w:r>
        <w:rPr>
          <w:rFonts w:ascii="Times New Roman" w:hAnsi="Times New Roman"/>
          <w:bCs/>
        </w:rPr>
        <w:t xml:space="preserve"> </w:t>
      </w:r>
      <w:r w:rsidRPr="00904733">
        <w:rPr>
          <w:rFonts w:ascii="Times New Roman" w:hAnsi="Times New Roman"/>
          <w:bCs/>
        </w:rPr>
        <w:t>a disqualified individual are exempt from</w:t>
      </w:r>
      <w:r>
        <w:rPr>
          <w:rFonts w:ascii="Times New Roman" w:hAnsi="Times New Roman"/>
          <w:bCs/>
        </w:rPr>
        <w:t xml:space="preserve"> </w:t>
      </w:r>
      <w:r w:rsidRPr="00904733">
        <w:rPr>
          <w:rFonts w:ascii="Times New Roman" w:hAnsi="Times New Roman"/>
          <w:bCs/>
        </w:rPr>
        <w:t>the definition of parachute payments. The</w:t>
      </w:r>
      <w:r>
        <w:rPr>
          <w:rFonts w:ascii="Times New Roman" w:hAnsi="Times New Roman"/>
          <w:bCs/>
        </w:rPr>
        <w:t xml:space="preserve"> </w:t>
      </w:r>
      <w:r w:rsidRPr="00904733">
        <w:rPr>
          <w:rFonts w:ascii="Times New Roman" w:hAnsi="Times New Roman"/>
          <w:bCs/>
        </w:rPr>
        <w:t>collection of information is voluntary. The</w:t>
      </w:r>
      <w:r>
        <w:rPr>
          <w:rFonts w:ascii="Times New Roman" w:hAnsi="Times New Roman"/>
          <w:bCs/>
        </w:rPr>
        <w:t xml:space="preserve"> </w:t>
      </w:r>
      <w:r w:rsidRPr="00904733">
        <w:rPr>
          <w:rFonts w:ascii="Times New Roman" w:hAnsi="Times New Roman"/>
          <w:bCs/>
        </w:rPr>
        <w:t>likely respondents are business or other</w:t>
      </w:r>
      <w:r>
        <w:rPr>
          <w:rFonts w:ascii="Times New Roman" w:hAnsi="Times New Roman"/>
          <w:bCs/>
        </w:rPr>
        <w:t xml:space="preserve"> </w:t>
      </w:r>
      <w:r w:rsidRPr="00904733">
        <w:rPr>
          <w:rFonts w:ascii="Times New Roman" w:hAnsi="Times New Roman"/>
          <w:bCs/>
        </w:rPr>
        <w:t>for-profit institutions.</w:t>
      </w:r>
    </w:p>
    <w:p w:rsidR="00E9356B" w14:paraId="66224EC1" w14:textId="77777777">
      <w:pPr>
        <w:rPr>
          <w:rFonts w:ascii="Times New Roman" w:hAnsi="Times New Roman"/>
        </w:rPr>
      </w:pPr>
    </w:p>
    <w:p w:rsidR="00894418" w:rsidP="00E9356B" w14:paraId="4D341DC0" w14:textId="77777777">
      <w:pPr>
        <w:ind w:left="810"/>
        <w:rPr>
          <w:rFonts w:ascii="Times New Roman" w:hAnsi="Times New Roman"/>
        </w:rPr>
      </w:pPr>
      <w:r w:rsidRPr="00820B40">
        <w:rPr>
          <w:rFonts w:ascii="Times New Roman" w:hAnsi="Times New Roman"/>
        </w:rPr>
        <w:t>The burden estimate is as follows:</w:t>
      </w:r>
    </w:p>
    <w:p w:rsidR="00335184" w:rsidP="00E9356B" w14:paraId="2ADD1757" w14:textId="77777777">
      <w:pPr>
        <w:ind w:left="81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546"/>
        <w:gridCol w:w="1283"/>
        <w:gridCol w:w="1308"/>
        <w:gridCol w:w="1091"/>
        <w:gridCol w:w="1158"/>
        <w:gridCol w:w="1100"/>
      </w:tblGrid>
      <w:tr w14:paraId="7D1E7401" w14:textId="77777777" w:rsidTr="007F03B7">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335184" w:rsidRPr="001222FC" w:rsidP="00D74B28" w14:paraId="36DF2593" w14:textId="77777777">
            <w:pPr>
              <w:keepNext/>
              <w:keepLines/>
              <w:numPr>
                <w:ilvl w:val="12"/>
                <w:numId w:val="0"/>
              </w:numPr>
              <w:jc w:val="center"/>
              <w:rPr>
                <w:rFonts w:ascii="Arial Narrow" w:hAnsi="Arial Narrow"/>
                <w:b/>
                <w:sz w:val="20"/>
                <w:szCs w:val="20"/>
              </w:rPr>
            </w:pPr>
            <w:bookmarkStart w:id="0" w:name="_Hlk103748992"/>
            <w:r w:rsidRPr="001222FC">
              <w:rPr>
                <w:rFonts w:ascii="Arial Narrow" w:hAnsi="Arial Narrow"/>
                <w:b/>
                <w:sz w:val="20"/>
                <w:szCs w:val="20"/>
              </w:rPr>
              <w:t>Authority</w:t>
            </w:r>
          </w:p>
        </w:tc>
        <w:tc>
          <w:tcPr>
            <w:tcW w:w="1546" w:type="dxa"/>
            <w:vAlign w:val="bottom"/>
          </w:tcPr>
          <w:p w:rsidR="00335184" w:rsidRPr="001222FC" w:rsidP="00D74B28" w14:paraId="29B1540B"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83" w:type="dxa"/>
            <w:vAlign w:val="bottom"/>
          </w:tcPr>
          <w:p w:rsidR="00335184" w:rsidRPr="001222FC" w:rsidP="00D74B28" w14:paraId="12F1E318"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308" w:type="dxa"/>
            <w:vAlign w:val="bottom"/>
          </w:tcPr>
          <w:p w:rsidR="00335184" w:rsidRPr="001222FC" w:rsidP="00D74B28" w14:paraId="64A1D2ED"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335184" w:rsidRPr="001222FC" w:rsidP="00D74B28" w14:paraId="2F25CBA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335184" w:rsidRPr="001222FC" w:rsidP="00D74B28" w14:paraId="5803962B"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335184" w:rsidRPr="001222FC" w:rsidP="00D74B28" w14:paraId="1CA4E629"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2E9BAD87" w14:textId="77777777" w:rsidTr="007F03B7">
        <w:tblPrEx>
          <w:tblW w:w="8640" w:type="dxa"/>
          <w:tblInd w:w="715" w:type="dxa"/>
          <w:tblLayout w:type="fixed"/>
          <w:tblLook w:val="04A0"/>
        </w:tblPrEx>
        <w:tc>
          <w:tcPr>
            <w:tcW w:w="1154" w:type="dxa"/>
            <w:shd w:val="clear" w:color="auto" w:fill="auto"/>
            <w:vAlign w:val="bottom"/>
          </w:tcPr>
          <w:p w:rsidR="00335184" w:rsidRPr="001222FC" w:rsidP="00D74B28" w14:paraId="145544A6" w14:textId="249B14A7">
            <w:pPr>
              <w:keepNext/>
              <w:keepLines/>
              <w:numPr>
                <w:ilvl w:val="12"/>
                <w:numId w:val="0"/>
              </w:numPr>
              <w:jc w:val="center"/>
              <w:rPr>
                <w:rFonts w:ascii="Arial Narrow" w:hAnsi="Arial Narrow"/>
                <w:sz w:val="20"/>
                <w:szCs w:val="20"/>
              </w:rPr>
            </w:pPr>
            <w:r>
              <w:rPr>
                <w:rFonts w:ascii="Arial Narrow" w:hAnsi="Arial Narrow"/>
                <w:sz w:val="20"/>
                <w:szCs w:val="20"/>
              </w:rPr>
              <w:t>IRC 280G</w:t>
            </w:r>
          </w:p>
        </w:tc>
        <w:tc>
          <w:tcPr>
            <w:tcW w:w="1546" w:type="dxa"/>
            <w:vAlign w:val="bottom"/>
          </w:tcPr>
          <w:p w:rsidR="00335184" w:rsidRPr="001222FC" w:rsidP="00D74B28" w14:paraId="26375891" w14:textId="7707B03A">
            <w:pPr>
              <w:keepNext/>
              <w:keepLines/>
              <w:numPr>
                <w:ilvl w:val="12"/>
                <w:numId w:val="0"/>
              </w:numPr>
              <w:jc w:val="center"/>
              <w:rPr>
                <w:rFonts w:ascii="Arial Narrow" w:hAnsi="Arial Narrow"/>
                <w:sz w:val="20"/>
                <w:szCs w:val="20"/>
              </w:rPr>
            </w:pPr>
            <w:r>
              <w:rPr>
                <w:rFonts w:ascii="Arial Narrow" w:hAnsi="Arial Narrow"/>
                <w:sz w:val="20"/>
                <w:szCs w:val="20"/>
              </w:rPr>
              <w:t>26 CFR 1.280G-1</w:t>
            </w:r>
          </w:p>
        </w:tc>
        <w:tc>
          <w:tcPr>
            <w:tcW w:w="1283" w:type="dxa"/>
            <w:vAlign w:val="bottom"/>
          </w:tcPr>
          <w:p w:rsidR="00335184" w:rsidRPr="001222FC" w:rsidP="00D74B28" w14:paraId="344D785C" w14:textId="1DE6F753">
            <w:pPr>
              <w:keepNext/>
              <w:keepLines/>
              <w:numPr>
                <w:ilvl w:val="12"/>
                <w:numId w:val="0"/>
              </w:numPr>
              <w:jc w:val="center"/>
              <w:rPr>
                <w:rFonts w:ascii="Arial Narrow" w:hAnsi="Arial Narrow"/>
                <w:sz w:val="20"/>
                <w:szCs w:val="20"/>
              </w:rPr>
            </w:pPr>
            <w:r>
              <w:rPr>
                <w:rFonts w:ascii="Arial Narrow" w:hAnsi="Arial Narrow"/>
                <w:sz w:val="20"/>
                <w:szCs w:val="20"/>
              </w:rPr>
              <w:t>800</w:t>
            </w:r>
          </w:p>
        </w:tc>
        <w:tc>
          <w:tcPr>
            <w:tcW w:w="1308" w:type="dxa"/>
            <w:vAlign w:val="bottom"/>
          </w:tcPr>
          <w:p w:rsidR="00335184" w:rsidRPr="001222FC" w:rsidP="00D74B28" w14:paraId="1B0F386B" w14:textId="5535F7C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335184" w:rsidRPr="001222FC" w:rsidP="00D74B28" w14:paraId="31F40FED" w14:textId="50EA6083">
            <w:pPr>
              <w:keepNext/>
              <w:keepLines/>
              <w:numPr>
                <w:ilvl w:val="12"/>
                <w:numId w:val="0"/>
              </w:numPr>
              <w:jc w:val="center"/>
              <w:rPr>
                <w:rFonts w:ascii="Arial Narrow" w:hAnsi="Arial Narrow"/>
                <w:sz w:val="20"/>
                <w:szCs w:val="20"/>
              </w:rPr>
            </w:pPr>
            <w:r>
              <w:rPr>
                <w:rFonts w:ascii="Arial Narrow" w:hAnsi="Arial Narrow"/>
                <w:sz w:val="20"/>
                <w:szCs w:val="20"/>
              </w:rPr>
              <w:t>800</w:t>
            </w:r>
          </w:p>
        </w:tc>
        <w:tc>
          <w:tcPr>
            <w:tcW w:w="1158" w:type="dxa"/>
            <w:vAlign w:val="bottom"/>
          </w:tcPr>
          <w:p w:rsidR="00335184" w:rsidRPr="001222FC" w:rsidP="00D74B28" w14:paraId="7B13D3A1" w14:textId="2EDD0B78">
            <w:pPr>
              <w:keepNext/>
              <w:keepLines/>
              <w:numPr>
                <w:ilvl w:val="12"/>
                <w:numId w:val="0"/>
              </w:numPr>
              <w:jc w:val="center"/>
              <w:rPr>
                <w:rFonts w:ascii="Arial Narrow" w:hAnsi="Arial Narrow"/>
                <w:sz w:val="20"/>
                <w:szCs w:val="20"/>
              </w:rPr>
            </w:pPr>
            <w:r>
              <w:rPr>
                <w:rFonts w:ascii="Arial Narrow" w:hAnsi="Arial Narrow"/>
                <w:sz w:val="20"/>
                <w:szCs w:val="20"/>
              </w:rPr>
              <w:t>15</w:t>
            </w:r>
          </w:p>
        </w:tc>
        <w:tc>
          <w:tcPr>
            <w:tcW w:w="1100" w:type="dxa"/>
            <w:shd w:val="clear" w:color="auto" w:fill="auto"/>
            <w:vAlign w:val="bottom"/>
          </w:tcPr>
          <w:p w:rsidR="00335184" w:rsidRPr="001222FC" w:rsidP="00D74B28" w14:paraId="42AAD434" w14:textId="40E3EC5F">
            <w:pPr>
              <w:keepNext/>
              <w:keepLines/>
              <w:numPr>
                <w:ilvl w:val="12"/>
                <w:numId w:val="0"/>
              </w:numPr>
              <w:jc w:val="center"/>
              <w:rPr>
                <w:rFonts w:ascii="Arial Narrow" w:hAnsi="Arial Narrow"/>
                <w:sz w:val="20"/>
                <w:szCs w:val="20"/>
              </w:rPr>
            </w:pPr>
            <w:r>
              <w:rPr>
                <w:rFonts w:ascii="Arial Narrow" w:hAnsi="Arial Narrow"/>
                <w:sz w:val="20"/>
                <w:szCs w:val="20"/>
              </w:rPr>
              <w:t>12,000</w:t>
            </w:r>
          </w:p>
        </w:tc>
      </w:tr>
      <w:tr w14:paraId="5616F0DF" w14:textId="77777777" w:rsidTr="007F03B7">
        <w:tblPrEx>
          <w:tblW w:w="8640" w:type="dxa"/>
          <w:tblInd w:w="715" w:type="dxa"/>
          <w:tblLayout w:type="fixed"/>
          <w:tblLook w:val="04A0"/>
        </w:tblPrEx>
        <w:tc>
          <w:tcPr>
            <w:tcW w:w="1154" w:type="dxa"/>
            <w:shd w:val="clear" w:color="auto" w:fill="auto"/>
            <w:vAlign w:val="bottom"/>
          </w:tcPr>
          <w:p w:rsidR="00335184" w:rsidRPr="001222FC" w:rsidP="00D74B28" w14:paraId="255CD755"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546" w:type="dxa"/>
            <w:vAlign w:val="bottom"/>
          </w:tcPr>
          <w:p w:rsidR="00335184" w:rsidRPr="001222FC" w:rsidP="00D74B28" w14:paraId="75BD8FB3" w14:textId="77777777">
            <w:pPr>
              <w:keepNext/>
              <w:keepLines/>
              <w:numPr>
                <w:ilvl w:val="12"/>
                <w:numId w:val="0"/>
              </w:numPr>
              <w:jc w:val="center"/>
              <w:rPr>
                <w:rFonts w:ascii="Arial Narrow" w:hAnsi="Arial Narrow"/>
                <w:b/>
                <w:bCs/>
                <w:sz w:val="20"/>
                <w:szCs w:val="20"/>
              </w:rPr>
            </w:pPr>
          </w:p>
        </w:tc>
        <w:tc>
          <w:tcPr>
            <w:tcW w:w="1283" w:type="dxa"/>
            <w:vAlign w:val="bottom"/>
          </w:tcPr>
          <w:p w:rsidR="00335184" w:rsidRPr="001222FC" w:rsidP="00D74B28" w14:paraId="043EAC3C" w14:textId="35B12DC0">
            <w:pPr>
              <w:keepNext/>
              <w:keepLines/>
              <w:numPr>
                <w:ilvl w:val="12"/>
                <w:numId w:val="0"/>
              </w:numPr>
              <w:jc w:val="center"/>
              <w:rPr>
                <w:rFonts w:ascii="Arial Narrow" w:hAnsi="Arial Narrow"/>
                <w:b/>
                <w:bCs/>
                <w:sz w:val="20"/>
                <w:szCs w:val="20"/>
              </w:rPr>
            </w:pPr>
            <w:r>
              <w:rPr>
                <w:rFonts w:ascii="Arial Narrow" w:hAnsi="Arial Narrow"/>
                <w:b/>
                <w:bCs/>
                <w:sz w:val="20"/>
                <w:szCs w:val="20"/>
              </w:rPr>
              <w:t>800</w:t>
            </w:r>
          </w:p>
        </w:tc>
        <w:tc>
          <w:tcPr>
            <w:tcW w:w="1308" w:type="dxa"/>
            <w:vAlign w:val="bottom"/>
          </w:tcPr>
          <w:p w:rsidR="00335184" w:rsidRPr="001222FC" w:rsidP="00D74B28" w14:paraId="736223FB"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335184" w:rsidRPr="001222FC" w:rsidP="00D74B28" w14:paraId="170B3824" w14:textId="1B391A19">
            <w:pPr>
              <w:keepNext/>
              <w:keepLines/>
              <w:numPr>
                <w:ilvl w:val="12"/>
                <w:numId w:val="0"/>
              </w:numPr>
              <w:jc w:val="center"/>
              <w:rPr>
                <w:rFonts w:ascii="Arial Narrow" w:hAnsi="Arial Narrow"/>
                <w:b/>
                <w:bCs/>
                <w:sz w:val="20"/>
                <w:szCs w:val="20"/>
              </w:rPr>
            </w:pPr>
            <w:r>
              <w:rPr>
                <w:rFonts w:ascii="Arial Narrow" w:hAnsi="Arial Narrow"/>
                <w:b/>
                <w:bCs/>
                <w:sz w:val="20"/>
                <w:szCs w:val="20"/>
              </w:rPr>
              <w:t>800</w:t>
            </w:r>
          </w:p>
        </w:tc>
        <w:tc>
          <w:tcPr>
            <w:tcW w:w="1158" w:type="dxa"/>
            <w:vAlign w:val="bottom"/>
          </w:tcPr>
          <w:p w:rsidR="00335184" w:rsidRPr="001222FC" w:rsidP="00D74B28" w14:paraId="24757C8B"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335184" w:rsidRPr="001222FC" w:rsidP="00D74B28" w14:paraId="4A37B491" w14:textId="4F298C91">
            <w:pPr>
              <w:keepNext/>
              <w:keepLines/>
              <w:numPr>
                <w:ilvl w:val="12"/>
                <w:numId w:val="0"/>
              </w:numPr>
              <w:jc w:val="center"/>
              <w:rPr>
                <w:rFonts w:ascii="Arial Narrow" w:hAnsi="Arial Narrow"/>
                <w:b/>
                <w:bCs/>
                <w:sz w:val="20"/>
                <w:szCs w:val="20"/>
              </w:rPr>
            </w:pPr>
            <w:r>
              <w:rPr>
                <w:rFonts w:ascii="Arial Narrow" w:hAnsi="Arial Narrow"/>
                <w:b/>
                <w:bCs/>
                <w:sz w:val="20"/>
                <w:szCs w:val="20"/>
              </w:rPr>
              <w:t>12,000</w:t>
            </w:r>
          </w:p>
        </w:tc>
      </w:tr>
      <w:bookmarkEnd w:id="0"/>
    </w:tbl>
    <w:p w:rsidR="00894418" w:rsidRPr="00820B40" w:rsidP="007F03B7" w14:paraId="33A1F54A" w14:textId="77777777">
      <w:pPr>
        <w:rPr>
          <w:rFonts w:ascii="Times New Roman" w:hAnsi="Times New Roman"/>
        </w:rPr>
      </w:pPr>
    </w:p>
    <w:p w:rsidR="00894418" w:rsidRPr="00820B40" w14:paraId="674BFA1D" w14:textId="77777777">
      <w:pPr>
        <w:pStyle w:val="Level1"/>
        <w:tabs>
          <w:tab w:val="left" w:pos="-1440"/>
          <w:tab w:val="num" w:pos="720"/>
        </w:tabs>
        <w:rPr>
          <w:rFonts w:ascii="Times New Roman" w:hAnsi="Times New Roman"/>
        </w:rPr>
      </w:pPr>
      <w:r w:rsidRPr="0008647E">
        <w:rPr>
          <w:rFonts w:ascii="Times New Roman" w:hAnsi="Times New Roman"/>
          <w:u w:val="single"/>
        </w:rPr>
        <w:t>ESTIMATED</w:t>
      </w:r>
      <w:r w:rsidRPr="00820B40">
        <w:rPr>
          <w:rFonts w:ascii="Times New Roman" w:hAnsi="Times New Roman"/>
          <w:u w:val="single"/>
        </w:rPr>
        <w:t xml:space="preserve"> TOTAL ANNUAL COST BURDEN TO RESPONDENTS</w:t>
      </w:r>
    </w:p>
    <w:p w:rsidR="005668A3" w:rsidRPr="007F03B7" w:rsidP="007F03B7" w14:paraId="68C70964" w14:textId="77777777">
      <w:pPr>
        <w:ind w:left="720"/>
        <w:rPr>
          <w:rFonts w:ascii="Times New Roman" w:hAnsi="Times New Roman"/>
        </w:rPr>
      </w:pPr>
    </w:p>
    <w:p w:rsidR="0014135F" w:rsidRPr="007F03B7" w:rsidP="007F03B7" w14:paraId="36C03FE2" w14:textId="497C2025">
      <w:pPr>
        <w:ind w:left="720"/>
        <w:rPr>
          <w:rFonts w:ascii="Times New Roman" w:hAnsi="Times New Roman"/>
        </w:rPr>
      </w:pPr>
      <w:r w:rsidRPr="007F03B7">
        <w:rPr>
          <w:rFonts w:ascii="Times New Roman" w:hAnsi="Times New Roman"/>
        </w:rPr>
        <w:t xml:space="preserve">From our Federal Register notice dated </w:t>
      </w:r>
      <w:r w:rsidR="00421522">
        <w:rPr>
          <w:rFonts w:ascii="Times New Roman" w:hAnsi="Times New Roman"/>
        </w:rPr>
        <w:t>November 26</w:t>
      </w:r>
      <w:r w:rsidRPr="007F03B7">
        <w:rPr>
          <w:rFonts w:ascii="Times New Roman" w:hAnsi="Times New Roman"/>
        </w:rPr>
        <w:t xml:space="preserve">, 2025, no public comments </w:t>
      </w:r>
      <w:r w:rsidRPr="007F03B7">
        <w:rPr>
          <w:rFonts w:ascii="Times New Roman" w:hAnsi="Times New Roman"/>
        </w:rPr>
        <w:t>were received</w:t>
      </w:r>
      <w:r w:rsidRPr="007F03B7">
        <w:rPr>
          <w:rFonts w:ascii="Times New Roman" w:hAnsi="Times New Roman"/>
        </w:rPr>
        <w:t xml:space="preserve"> on the estimates of cost burden that are not captured in the estimates of burden hours, i.e., estimates of capital or start-up costs and costs of operation, maintenance, and purchase of services to provide information. As a result, estimates of these cost burdens </w:t>
      </w:r>
      <w:r w:rsidRPr="007F03B7">
        <w:rPr>
          <w:rFonts w:ascii="Times New Roman" w:hAnsi="Times New Roman"/>
        </w:rPr>
        <w:t>are considered</w:t>
      </w:r>
      <w:r w:rsidRPr="007F03B7">
        <w:rPr>
          <w:rFonts w:ascii="Times New Roman" w:hAnsi="Times New Roman"/>
        </w:rPr>
        <w:t xml:space="preserve"> nominal.</w:t>
      </w:r>
      <w:r w:rsidRPr="007F03B7" w:rsidR="007D56CC">
        <w:rPr>
          <w:rFonts w:ascii="Times New Roman" w:hAnsi="Times New Roman"/>
        </w:rPr>
        <w:t xml:space="preserve"> </w:t>
      </w:r>
    </w:p>
    <w:p w:rsidR="00894418" w:rsidRPr="00820B40" w:rsidP="007F03B7" w14:paraId="085F92ED" w14:textId="77777777">
      <w:pPr>
        <w:ind w:left="720"/>
        <w:rPr>
          <w:rFonts w:ascii="Times New Roman" w:hAnsi="Times New Roman"/>
        </w:rPr>
      </w:pPr>
    </w:p>
    <w:p w:rsidR="00894418" w:rsidRPr="00820B40" w14:paraId="55944F0F" w14:textId="77777777">
      <w:pPr>
        <w:tabs>
          <w:tab w:val="left" w:pos="-1440"/>
        </w:tabs>
        <w:ind w:left="720" w:hanging="720"/>
        <w:rPr>
          <w:rFonts w:ascii="Times New Roman" w:hAnsi="Times New Roman"/>
        </w:rPr>
      </w:pPr>
      <w:r w:rsidRPr="00820B40">
        <w:rPr>
          <w:rFonts w:ascii="Times New Roman" w:hAnsi="Times New Roman"/>
        </w:rPr>
        <w:t>14.</w:t>
      </w:r>
      <w:r w:rsidRPr="00820B40">
        <w:rPr>
          <w:rFonts w:ascii="Times New Roman" w:hAnsi="Times New Roman"/>
        </w:rPr>
        <w:tab/>
      </w:r>
      <w:r w:rsidRPr="00820B40">
        <w:rPr>
          <w:rFonts w:ascii="Times New Roman" w:hAnsi="Times New Roman"/>
          <w:u w:val="single"/>
        </w:rPr>
        <w:t>ESTIMATED ANNUALIZED COST TO THE FEDERAL GOVERNMENT</w:t>
      </w:r>
    </w:p>
    <w:p w:rsidR="00894418" w:rsidRPr="00820B40" w14:paraId="35A9DECC" w14:textId="77777777">
      <w:pPr>
        <w:rPr>
          <w:rFonts w:ascii="Times New Roman" w:hAnsi="Times New Roman"/>
        </w:rPr>
      </w:pPr>
    </w:p>
    <w:p w:rsidR="00894418" w:rsidP="00577D80" w14:paraId="50D5049C" w14:textId="77777777">
      <w:pPr>
        <w:ind w:left="720"/>
        <w:rPr>
          <w:rFonts w:ascii="Times New Roman" w:hAnsi="Times New Roman"/>
        </w:rPr>
      </w:pPr>
      <w:r w:rsidRPr="00577D80">
        <w:rPr>
          <w:rFonts w:ascii="Times New Roman" w:hAnsi="Times New Roman"/>
        </w:rPr>
        <w:t>There is no estimated annualized cost to the federal government</w:t>
      </w:r>
      <w:r>
        <w:rPr>
          <w:rFonts w:ascii="Times New Roman" w:hAnsi="Times New Roman"/>
        </w:rPr>
        <w:t>.</w:t>
      </w:r>
    </w:p>
    <w:p w:rsidR="00577D80" w:rsidRPr="00820B40" w14:paraId="171EBFF9" w14:textId="77777777">
      <w:pPr>
        <w:rPr>
          <w:rFonts w:ascii="Times New Roman" w:hAnsi="Times New Roman"/>
        </w:rPr>
      </w:pPr>
    </w:p>
    <w:p w:rsidR="00894418" w:rsidRPr="00820B40" w:rsidP="00820B40" w14:paraId="11B76B22" w14:textId="5BE441A8">
      <w:pPr>
        <w:ind w:left="450" w:hanging="450"/>
        <w:rPr>
          <w:rFonts w:ascii="Times New Roman" w:hAnsi="Times New Roman"/>
        </w:rPr>
      </w:pPr>
      <w:r w:rsidRPr="00820B40">
        <w:rPr>
          <w:rFonts w:ascii="Times New Roman" w:hAnsi="Times New Roman"/>
        </w:rPr>
        <w:t xml:space="preserve">15. </w:t>
      </w:r>
      <w:r w:rsidR="006A1628">
        <w:rPr>
          <w:rFonts w:ascii="Times New Roman" w:hAnsi="Times New Roman"/>
        </w:rPr>
        <w:t xml:space="preserve"> </w:t>
      </w:r>
      <w:r w:rsidRPr="00820B40">
        <w:rPr>
          <w:rFonts w:ascii="Times New Roman" w:hAnsi="Times New Roman"/>
        </w:rPr>
        <w:t xml:space="preserve"> </w:t>
      </w:r>
      <w:r w:rsidR="00820B40">
        <w:rPr>
          <w:rFonts w:ascii="Times New Roman" w:hAnsi="Times New Roman"/>
        </w:rPr>
        <w:tab/>
      </w:r>
      <w:r w:rsidRPr="00820B40">
        <w:rPr>
          <w:rFonts w:ascii="Times New Roman" w:hAnsi="Times New Roman"/>
          <w:u w:val="single"/>
        </w:rPr>
        <w:t>REASONS FOR CHANGE IN BURDEN</w:t>
      </w:r>
    </w:p>
    <w:p w:rsidR="00894418" w:rsidRPr="00820B40" w14:paraId="4495A941" w14:textId="77777777">
      <w:pPr>
        <w:rPr>
          <w:rFonts w:ascii="Times New Roman" w:hAnsi="Times New Roman"/>
        </w:rPr>
      </w:pPr>
    </w:p>
    <w:p w:rsidR="00D37D90" w:rsidP="00495DFF" w14:paraId="3C8AFB67" w14:textId="77777777">
      <w:pPr>
        <w:tabs>
          <w:tab w:val="left" w:pos="-1440"/>
        </w:tabs>
        <w:ind w:left="720"/>
        <w:rPr>
          <w:rFonts w:ascii="Times New Roman" w:hAnsi="Times New Roman"/>
        </w:rPr>
      </w:pPr>
      <w:r w:rsidRPr="00820B40">
        <w:rPr>
          <w:rFonts w:ascii="Times New Roman" w:hAnsi="Times New Roman"/>
        </w:rPr>
        <w:t xml:space="preserve">There are no changes to the </w:t>
      </w:r>
      <w:r w:rsidR="001A1CA2">
        <w:rPr>
          <w:rFonts w:ascii="Times New Roman" w:hAnsi="Times New Roman"/>
        </w:rPr>
        <w:t>burden</w:t>
      </w:r>
      <w:r w:rsidR="008E34B0">
        <w:rPr>
          <w:rFonts w:ascii="Times New Roman" w:hAnsi="Times New Roman"/>
        </w:rPr>
        <w:t xml:space="preserve">. </w:t>
      </w:r>
      <w:r w:rsidRPr="00820B40">
        <w:rPr>
          <w:rFonts w:ascii="Times New Roman" w:hAnsi="Times New Roman"/>
        </w:rPr>
        <w:t xml:space="preserve">  </w:t>
      </w:r>
    </w:p>
    <w:p w:rsidR="00D37D90" w:rsidP="00495DFF" w14:paraId="3ADB81A0" w14:textId="77777777">
      <w:pPr>
        <w:tabs>
          <w:tab w:val="left" w:pos="-1440"/>
        </w:tabs>
        <w:ind w:left="720"/>
        <w:rPr>
          <w:rFonts w:ascii="Times New Roman" w:hAnsi="Times New Roman"/>
        </w:rPr>
      </w:pPr>
    </w:p>
    <w:tbl>
      <w:tblPr>
        <w:tblW w:w="4784" w:type="pct"/>
        <w:tblInd w:w="68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650"/>
        <w:gridCol w:w="1153"/>
        <w:gridCol w:w="1187"/>
        <w:gridCol w:w="1439"/>
        <w:gridCol w:w="1261"/>
        <w:gridCol w:w="1252"/>
        <w:gridCol w:w="998"/>
      </w:tblGrid>
      <w:tr w14:paraId="501C5966" w14:textId="77777777" w:rsidTr="009E2CF4">
        <w:tblPrEx>
          <w:tblW w:w="4784" w:type="pct"/>
          <w:tblInd w:w="68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923" w:type="pct"/>
            <w:tcBorders>
              <w:top w:val="outset" w:sz="6" w:space="0" w:color="auto"/>
              <w:left w:val="outset" w:sz="6" w:space="0" w:color="auto"/>
              <w:bottom w:val="outset" w:sz="6" w:space="0" w:color="auto"/>
              <w:right w:val="outset" w:sz="6" w:space="0" w:color="auto"/>
            </w:tcBorders>
            <w:vAlign w:val="center"/>
            <w:hideMark/>
          </w:tcPr>
          <w:p w:rsidR="009E2CF4" w:rsidRPr="009E2CF4" w:rsidP="009E2CF4" w14:paraId="04F31129" w14:textId="77777777">
            <w:pPr>
              <w:keepNext/>
              <w:keepLines/>
              <w:autoSpaceDE/>
              <w:autoSpaceDN/>
              <w:adjustRightInd/>
              <w:jc w:val="center"/>
              <w:rPr>
                <w:rFonts w:ascii="Times New Roman" w:hAnsi="Times New Roman"/>
                <w:b/>
                <w:bCs/>
                <w:color w:val="000000"/>
                <w:sz w:val="20"/>
                <w:szCs w:val="20"/>
              </w:rPr>
            </w:pPr>
            <w:r w:rsidRPr="009E2CF4">
              <w:rPr>
                <w:rFonts w:ascii="Times New Roman" w:hAnsi="Times New Roman"/>
                <w:b/>
                <w:bCs/>
                <w:color w:val="000000"/>
                <w:sz w:val="20"/>
                <w:szCs w:val="20"/>
              </w:rPr>
              <w:t> </w:t>
            </w:r>
          </w:p>
        </w:tc>
        <w:tc>
          <w:tcPr>
            <w:tcW w:w="645" w:type="pct"/>
            <w:tcBorders>
              <w:top w:val="outset" w:sz="6" w:space="0" w:color="auto"/>
              <w:left w:val="outset" w:sz="6" w:space="0" w:color="auto"/>
              <w:bottom w:val="outset" w:sz="6" w:space="0" w:color="auto"/>
              <w:right w:val="outset" w:sz="6" w:space="0" w:color="auto"/>
            </w:tcBorders>
            <w:vAlign w:val="center"/>
            <w:hideMark/>
          </w:tcPr>
          <w:p w:rsidR="009E2CF4" w:rsidRPr="009E2CF4" w:rsidP="009E2CF4" w14:paraId="7BE61268" w14:textId="77777777">
            <w:pPr>
              <w:keepNext/>
              <w:keepLines/>
              <w:autoSpaceDE/>
              <w:autoSpaceDN/>
              <w:adjustRightInd/>
              <w:jc w:val="center"/>
              <w:rPr>
                <w:rFonts w:ascii="Times New Roman" w:hAnsi="Times New Roman"/>
                <w:b/>
                <w:bCs/>
                <w:color w:val="000000"/>
                <w:sz w:val="20"/>
                <w:szCs w:val="20"/>
              </w:rPr>
            </w:pPr>
            <w:r w:rsidRPr="009E2CF4">
              <w:rPr>
                <w:rFonts w:ascii="Times New Roman" w:hAnsi="Times New Roman"/>
                <w:b/>
                <w:bCs/>
                <w:color w:val="000000"/>
                <w:sz w:val="20"/>
                <w:szCs w:val="20"/>
              </w:rPr>
              <w:t>Requested</w:t>
            </w:r>
          </w:p>
        </w:tc>
        <w:tc>
          <w:tcPr>
            <w:tcW w:w="664" w:type="pct"/>
            <w:tcBorders>
              <w:top w:val="outset" w:sz="6" w:space="0" w:color="auto"/>
              <w:left w:val="outset" w:sz="6" w:space="0" w:color="auto"/>
              <w:bottom w:val="outset" w:sz="6" w:space="0" w:color="auto"/>
              <w:right w:val="outset" w:sz="6" w:space="0" w:color="auto"/>
            </w:tcBorders>
            <w:vAlign w:val="center"/>
            <w:hideMark/>
          </w:tcPr>
          <w:p w:rsidR="009E2CF4" w:rsidRPr="009E2CF4" w:rsidP="009E2CF4" w14:paraId="445D08AE" w14:textId="77777777">
            <w:pPr>
              <w:keepNext/>
              <w:keepLines/>
              <w:autoSpaceDE/>
              <w:autoSpaceDN/>
              <w:adjustRightInd/>
              <w:jc w:val="center"/>
              <w:rPr>
                <w:rFonts w:ascii="Times New Roman" w:hAnsi="Times New Roman"/>
                <w:b/>
                <w:bCs/>
                <w:color w:val="000000"/>
                <w:sz w:val="20"/>
                <w:szCs w:val="20"/>
              </w:rPr>
            </w:pPr>
            <w:r w:rsidRPr="009E2CF4">
              <w:rPr>
                <w:rFonts w:ascii="Times New Roman" w:hAnsi="Times New Roman"/>
                <w:b/>
                <w:bCs/>
                <w:color w:val="000000"/>
                <w:sz w:val="20"/>
                <w:szCs w:val="20"/>
              </w:rPr>
              <w:t>Program Change Due to New Statute</w:t>
            </w:r>
          </w:p>
        </w:tc>
        <w:tc>
          <w:tcPr>
            <w:tcW w:w="805" w:type="pct"/>
            <w:tcBorders>
              <w:top w:val="outset" w:sz="6" w:space="0" w:color="auto"/>
              <w:left w:val="outset" w:sz="6" w:space="0" w:color="auto"/>
              <w:bottom w:val="outset" w:sz="6" w:space="0" w:color="auto"/>
              <w:right w:val="outset" w:sz="6" w:space="0" w:color="auto"/>
            </w:tcBorders>
            <w:vAlign w:val="center"/>
            <w:hideMark/>
          </w:tcPr>
          <w:p w:rsidR="009E2CF4" w:rsidRPr="009E2CF4" w:rsidP="009E2CF4" w14:paraId="4022E070" w14:textId="77777777">
            <w:pPr>
              <w:keepNext/>
              <w:keepLines/>
              <w:autoSpaceDE/>
              <w:autoSpaceDN/>
              <w:adjustRightInd/>
              <w:jc w:val="center"/>
              <w:rPr>
                <w:rFonts w:ascii="Times New Roman" w:hAnsi="Times New Roman"/>
                <w:b/>
                <w:bCs/>
                <w:color w:val="000000"/>
                <w:sz w:val="20"/>
                <w:szCs w:val="20"/>
              </w:rPr>
            </w:pPr>
            <w:r w:rsidRPr="009E2CF4">
              <w:rPr>
                <w:rFonts w:ascii="Times New Roman" w:hAnsi="Times New Roman"/>
                <w:b/>
                <w:bCs/>
                <w:color w:val="000000"/>
                <w:sz w:val="20"/>
                <w:szCs w:val="20"/>
              </w:rPr>
              <w:t>Program Change Due to Agency Discretion</w:t>
            </w:r>
          </w:p>
        </w:tc>
        <w:tc>
          <w:tcPr>
            <w:tcW w:w="705" w:type="pct"/>
            <w:tcBorders>
              <w:top w:val="outset" w:sz="6" w:space="0" w:color="auto"/>
              <w:left w:val="outset" w:sz="6" w:space="0" w:color="auto"/>
              <w:bottom w:val="outset" w:sz="6" w:space="0" w:color="auto"/>
              <w:right w:val="outset" w:sz="6" w:space="0" w:color="auto"/>
            </w:tcBorders>
            <w:vAlign w:val="center"/>
            <w:hideMark/>
          </w:tcPr>
          <w:p w:rsidR="009E2CF4" w:rsidRPr="009E2CF4" w:rsidP="009E2CF4" w14:paraId="150911BD" w14:textId="77777777">
            <w:pPr>
              <w:keepNext/>
              <w:keepLines/>
              <w:autoSpaceDE/>
              <w:autoSpaceDN/>
              <w:adjustRightInd/>
              <w:jc w:val="center"/>
              <w:rPr>
                <w:rFonts w:ascii="Times New Roman" w:hAnsi="Times New Roman"/>
                <w:b/>
                <w:bCs/>
                <w:color w:val="000000"/>
                <w:sz w:val="20"/>
                <w:szCs w:val="20"/>
              </w:rPr>
            </w:pPr>
            <w:r w:rsidRPr="009E2CF4">
              <w:rPr>
                <w:rFonts w:ascii="Times New Roman" w:hAnsi="Times New Roman"/>
                <w:b/>
                <w:bCs/>
                <w:color w:val="000000"/>
                <w:sz w:val="20"/>
                <w:szCs w:val="2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9E2CF4" w:rsidRPr="009E2CF4" w:rsidP="009E2CF4" w14:paraId="17FA4C77" w14:textId="77777777">
            <w:pPr>
              <w:keepNext/>
              <w:keepLines/>
              <w:autoSpaceDE/>
              <w:autoSpaceDN/>
              <w:adjustRightInd/>
              <w:jc w:val="center"/>
              <w:rPr>
                <w:rFonts w:ascii="Times New Roman" w:hAnsi="Times New Roman"/>
                <w:b/>
                <w:bCs/>
                <w:color w:val="000000"/>
                <w:sz w:val="20"/>
                <w:szCs w:val="20"/>
              </w:rPr>
            </w:pPr>
            <w:r w:rsidRPr="009E2CF4">
              <w:rPr>
                <w:rFonts w:ascii="Times New Roman" w:hAnsi="Times New Roman"/>
                <w:b/>
                <w:bCs/>
                <w:color w:val="000000"/>
                <w:sz w:val="20"/>
                <w:szCs w:val="20"/>
              </w:rPr>
              <w:t>Change Due to Potential Violation of the PRA</w:t>
            </w:r>
          </w:p>
        </w:tc>
        <w:tc>
          <w:tcPr>
            <w:tcW w:w="558" w:type="pct"/>
            <w:tcBorders>
              <w:top w:val="outset" w:sz="6" w:space="0" w:color="auto"/>
              <w:left w:val="outset" w:sz="6" w:space="0" w:color="auto"/>
              <w:bottom w:val="outset" w:sz="6" w:space="0" w:color="auto"/>
              <w:right w:val="outset" w:sz="6" w:space="0" w:color="auto"/>
            </w:tcBorders>
            <w:vAlign w:val="center"/>
            <w:hideMark/>
          </w:tcPr>
          <w:p w:rsidR="009E2CF4" w:rsidRPr="009E2CF4" w:rsidP="009E2CF4" w14:paraId="78542BAC" w14:textId="77777777">
            <w:pPr>
              <w:keepNext/>
              <w:keepLines/>
              <w:autoSpaceDE/>
              <w:autoSpaceDN/>
              <w:adjustRightInd/>
              <w:jc w:val="center"/>
              <w:rPr>
                <w:rFonts w:ascii="Times New Roman" w:hAnsi="Times New Roman"/>
                <w:b/>
                <w:bCs/>
                <w:color w:val="000000"/>
                <w:sz w:val="20"/>
                <w:szCs w:val="20"/>
              </w:rPr>
            </w:pPr>
            <w:r w:rsidRPr="009E2CF4">
              <w:rPr>
                <w:rFonts w:ascii="Times New Roman" w:hAnsi="Times New Roman"/>
                <w:b/>
                <w:bCs/>
                <w:color w:val="000000"/>
                <w:sz w:val="20"/>
                <w:szCs w:val="20"/>
              </w:rPr>
              <w:t>Previously Approved</w:t>
            </w:r>
          </w:p>
        </w:tc>
      </w:tr>
      <w:tr w14:paraId="1F6FAE31" w14:textId="77777777" w:rsidTr="009E2CF4">
        <w:tblPrEx>
          <w:tblW w:w="4784" w:type="pct"/>
          <w:tblInd w:w="682" w:type="dxa"/>
          <w:tblCellMar>
            <w:top w:w="15" w:type="dxa"/>
            <w:left w:w="15" w:type="dxa"/>
            <w:bottom w:w="15" w:type="dxa"/>
            <w:right w:w="15" w:type="dxa"/>
          </w:tblCellMar>
          <w:tblLook w:val="04A0"/>
        </w:tblPrEx>
        <w:tc>
          <w:tcPr>
            <w:tcW w:w="923" w:type="pct"/>
            <w:tcBorders>
              <w:top w:val="outset" w:sz="6" w:space="0" w:color="auto"/>
              <w:left w:val="outset" w:sz="6" w:space="0" w:color="auto"/>
              <w:bottom w:val="outset" w:sz="6" w:space="0" w:color="auto"/>
              <w:right w:val="outset" w:sz="6" w:space="0" w:color="auto"/>
            </w:tcBorders>
            <w:hideMark/>
          </w:tcPr>
          <w:p w:rsidR="009E2CF4" w:rsidRPr="009E2CF4" w:rsidP="009E2CF4" w14:paraId="6A9E77E4"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Annual Number of Responses for this IC</w:t>
            </w:r>
          </w:p>
        </w:tc>
        <w:tc>
          <w:tcPr>
            <w:tcW w:w="645" w:type="pct"/>
            <w:tcBorders>
              <w:top w:val="outset" w:sz="6" w:space="0" w:color="auto"/>
              <w:left w:val="outset" w:sz="6" w:space="0" w:color="auto"/>
              <w:bottom w:val="outset" w:sz="6" w:space="0" w:color="auto"/>
              <w:right w:val="outset" w:sz="6" w:space="0" w:color="auto"/>
            </w:tcBorders>
            <w:hideMark/>
          </w:tcPr>
          <w:p w:rsidR="009E2CF4" w:rsidRPr="009E2CF4" w:rsidP="009E2CF4" w14:paraId="5C6A5DDD" w14:textId="0336BC59">
            <w:pPr>
              <w:keepNext/>
              <w:keepLines/>
              <w:autoSpaceDE/>
              <w:autoSpaceDN/>
              <w:adjustRightInd/>
              <w:rPr>
                <w:rFonts w:ascii="Times New Roman" w:hAnsi="Times New Roman"/>
                <w:color w:val="000000"/>
                <w:sz w:val="20"/>
                <w:szCs w:val="20"/>
              </w:rPr>
            </w:pPr>
            <w:r>
              <w:rPr>
                <w:rFonts w:ascii="Times New Roman" w:hAnsi="Times New Roman"/>
                <w:color w:val="000000"/>
                <w:sz w:val="20"/>
                <w:szCs w:val="20"/>
              </w:rPr>
              <w:t>800</w:t>
            </w:r>
          </w:p>
        </w:tc>
        <w:tc>
          <w:tcPr>
            <w:tcW w:w="664" w:type="pct"/>
            <w:tcBorders>
              <w:top w:val="outset" w:sz="6" w:space="0" w:color="auto"/>
              <w:left w:val="outset" w:sz="6" w:space="0" w:color="auto"/>
              <w:bottom w:val="outset" w:sz="6" w:space="0" w:color="auto"/>
              <w:right w:val="outset" w:sz="6" w:space="0" w:color="auto"/>
            </w:tcBorders>
            <w:hideMark/>
          </w:tcPr>
          <w:p w:rsidR="009E2CF4" w:rsidRPr="009E2CF4" w:rsidP="009E2CF4" w14:paraId="779FC0AC"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805" w:type="pct"/>
            <w:tcBorders>
              <w:top w:val="outset" w:sz="6" w:space="0" w:color="auto"/>
              <w:left w:val="outset" w:sz="6" w:space="0" w:color="auto"/>
              <w:bottom w:val="outset" w:sz="6" w:space="0" w:color="auto"/>
              <w:right w:val="outset" w:sz="6" w:space="0" w:color="auto"/>
            </w:tcBorders>
            <w:hideMark/>
          </w:tcPr>
          <w:p w:rsidR="009E2CF4" w:rsidRPr="009E2CF4" w:rsidP="009E2CF4" w14:paraId="46AF7B13"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705" w:type="pct"/>
            <w:tcBorders>
              <w:top w:val="outset" w:sz="6" w:space="0" w:color="auto"/>
              <w:left w:val="outset" w:sz="6" w:space="0" w:color="auto"/>
              <w:bottom w:val="outset" w:sz="6" w:space="0" w:color="auto"/>
              <w:right w:val="outset" w:sz="6" w:space="0" w:color="auto"/>
            </w:tcBorders>
            <w:hideMark/>
          </w:tcPr>
          <w:p w:rsidR="009E2CF4" w:rsidRPr="009E2CF4" w:rsidP="009E2CF4" w14:paraId="551153A7"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700" w:type="pct"/>
            <w:tcBorders>
              <w:top w:val="outset" w:sz="6" w:space="0" w:color="auto"/>
              <w:left w:val="outset" w:sz="6" w:space="0" w:color="auto"/>
              <w:bottom w:val="outset" w:sz="6" w:space="0" w:color="auto"/>
              <w:right w:val="outset" w:sz="6" w:space="0" w:color="auto"/>
            </w:tcBorders>
            <w:hideMark/>
          </w:tcPr>
          <w:p w:rsidR="009E2CF4" w:rsidRPr="009E2CF4" w:rsidP="009E2CF4" w14:paraId="14C32003"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558" w:type="pct"/>
            <w:tcBorders>
              <w:top w:val="outset" w:sz="6" w:space="0" w:color="auto"/>
              <w:left w:val="outset" w:sz="6" w:space="0" w:color="auto"/>
              <w:bottom w:val="outset" w:sz="6" w:space="0" w:color="auto"/>
              <w:right w:val="outset" w:sz="6" w:space="0" w:color="auto"/>
            </w:tcBorders>
          </w:tcPr>
          <w:p w:rsidR="009E2CF4" w:rsidRPr="009E2CF4" w:rsidP="009E2CF4" w14:paraId="1CAFCD9C" w14:textId="438A430B">
            <w:pPr>
              <w:keepNext/>
              <w:keepLines/>
              <w:autoSpaceDE/>
              <w:autoSpaceDN/>
              <w:adjustRightInd/>
              <w:rPr>
                <w:rFonts w:ascii="Times New Roman" w:hAnsi="Times New Roman"/>
                <w:color w:val="000000"/>
                <w:sz w:val="20"/>
                <w:szCs w:val="20"/>
              </w:rPr>
            </w:pPr>
            <w:r>
              <w:rPr>
                <w:rFonts w:ascii="Times New Roman" w:hAnsi="Times New Roman"/>
                <w:color w:val="000000"/>
                <w:sz w:val="20"/>
                <w:szCs w:val="20"/>
              </w:rPr>
              <w:t>800</w:t>
            </w:r>
          </w:p>
        </w:tc>
      </w:tr>
      <w:tr w14:paraId="7688762A" w14:textId="77777777" w:rsidTr="009E2CF4">
        <w:tblPrEx>
          <w:tblW w:w="4784" w:type="pct"/>
          <w:tblInd w:w="682" w:type="dxa"/>
          <w:tblCellMar>
            <w:top w:w="15" w:type="dxa"/>
            <w:left w:w="15" w:type="dxa"/>
            <w:bottom w:w="15" w:type="dxa"/>
            <w:right w:w="15" w:type="dxa"/>
          </w:tblCellMar>
          <w:tblLook w:val="04A0"/>
        </w:tblPrEx>
        <w:trPr>
          <w:trHeight w:val="672"/>
        </w:trPr>
        <w:tc>
          <w:tcPr>
            <w:tcW w:w="923" w:type="pct"/>
            <w:tcBorders>
              <w:top w:val="outset" w:sz="6" w:space="0" w:color="auto"/>
              <w:left w:val="outset" w:sz="6" w:space="0" w:color="auto"/>
              <w:bottom w:val="outset" w:sz="6" w:space="0" w:color="auto"/>
              <w:right w:val="outset" w:sz="6" w:space="0" w:color="auto"/>
            </w:tcBorders>
            <w:hideMark/>
          </w:tcPr>
          <w:p w:rsidR="009E2CF4" w:rsidRPr="009E2CF4" w:rsidP="009E2CF4" w14:paraId="1A7A6372"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Annual IC Time Burden (Hours)</w:t>
            </w:r>
          </w:p>
        </w:tc>
        <w:tc>
          <w:tcPr>
            <w:tcW w:w="645" w:type="pct"/>
            <w:tcBorders>
              <w:top w:val="outset" w:sz="6" w:space="0" w:color="auto"/>
              <w:left w:val="outset" w:sz="6" w:space="0" w:color="auto"/>
              <w:bottom w:val="outset" w:sz="6" w:space="0" w:color="auto"/>
              <w:right w:val="outset" w:sz="6" w:space="0" w:color="auto"/>
            </w:tcBorders>
            <w:hideMark/>
          </w:tcPr>
          <w:p w:rsidR="009E2CF4" w:rsidRPr="009E2CF4" w:rsidP="009E2CF4" w14:paraId="6445D77E" w14:textId="0BB3E9F6">
            <w:pPr>
              <w:keepNext/>
              <w:keepLines/>
              <w:autoSpaceDE/>
              <w:autoSpaceDN/>
              <w:adjustRightInd/>
              <w:rPr>
                <w:rFonts w:ascii="Times New Roman" w:hAnsi="Times New Roman"/>
                <w:color w:val="000000"/>
                <w:sz w:val="20"/>
                <w:szCs w:val="20"/>
              </w:rPr>
            </w:pPr>
            <w:r>
              <w:rPr>
                <w:rFonts w:ascii="Times New Roman" w:hAnsi="Times New Roman"/>
                <w:color w:val="000000"/>
                <w:sz w:val="20"/>
                <w:szCs w:val="20"/>
              </w:rPr>
              <w:t>12,000</w:t>
            </w:r>
          </w:p>
        </w:tc>
        <w:tc>
          <w:tcPr>
            <w:tcW w:w="664" w:type="pct"/>
            <w:tcBorders>
              <w:top w:val="outset" w:sz="6" w:space="0" w:color="auto"/>
              <w:left w:val="outset" w:sz="6" w:space="0" w:color="auto"/>
              <w:bottom w:val="outset" w:sz="6" w:space="0" w:color="auto"/>
              <w:right w:val="outset" w:sz="6" w:space="0" w:color="auto"/>
            </w:tcBorders>
            <w:hideMark/>
          </w:tcPr>
          <w:p w:rsidR="009E2CF4" w:rsidRPr="009E2CF4" w:rsidP="009E2CF4" w14:paraId="6668D6C3"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805" w:type="pct"/>
            <w:tcBorders>
              <w:top w:val="outset" w:sz="6" w:space="0" w:color="auto"/>
              <w:left w:val="outset" w:sz="6" w:space="0" w:color="auto"/>
              <w:bottom w:val="outset" w:sz="6" w:space="0" w:color="auto"/>
              <w:right w:val="outset" w:sz="6" w:space="0" w:color="auto"/>
            </w:tcBorders>
          </w:tcPr>
          <w:p w:rsidR="009E2CF4" w:rsidRPr="009E2CF4" w:rsidP="009E2CF4" w14:paraId="5F03D672"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705" w:type="pct"/>
            <w:tcBorders>
              <w:top w:val="outset" w:sz="6" w:space="0" w:color="auto"/>
              <w:left w:val="outset" w:sz="6" w:space="0" w:color="auto"/>
              <w:bottom w:val="outset" w:sz="6" w:space="0" w:color="auto"/>
              <w:right w:val="outset" w:sz="6" w:space="0" w:color="auto"/>
            </w:tcBorders>
            <w:hideMark/>
          </w:tcPr>
          <w:p w:rsidR="009E2CF4" w:rsidRPr="009E2CF4" w:rsidP="009E2CF4" w14:paraId="3146CAED"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700" w:type="pct"/>
            <w:tcBorders>
              <w:top w:val="outset" w:sz="6" w:space="0" w:color="auto"/>
              <w:left w:val="outset" w:sz="6" w:space="0" w:color="auto"/>
              <w:bottom w:val="outset" w:sz="6" w:space="0" w:color="auto"/>
              <w:right w:val="outset" w:sz="6" w:space="0" w:color="auto"/>
            </w:tcBorders>
            <w:hideMark/>
          </w:tcPr>
          <w:p w:rsidR="009E2CF4" w:rsidRPr="009E2CF4" w:rsidP="009E2CF4" w14:paraId="03E3B513" w14:textId="77777777">
            <w:pPr>
              <w:keepNext/>
              <w:keepLines/>
              <w:autoSpaceDE/>
              <w:autoSpaceDN/>
              <w:adjustRightInd/>
              <w:rPr>
                <w:rFonts w:ascii="Times New Roman" w:hAnsi="Times New Roman"/>
                <w:color w:val="000000"/>
                <w:sz w:val="20"/>
                <w:szCs w:val="20"/>
              </w:rPr>
            </w:pPr>
            <w:r w:rsidRPr="009E2CF4">
              <w:rPr>
                <w:rFonts w:ascii="Times New Roman" w:hAnsi="Times New Roman"/>
                <w:color w:val="000000"/>
                <w:sz w:val="20"/>
                <w:szCs w:val="20"/>
              </w:rPr>
              <w:t>0</w:t>
            </w:r>
          </w:p>
        </w:tc>
        <w:tc>
          <w:tcPr>
            <w:tcW w:w="558" w:type="pct"/>
            <w:tcBorders>
              <w:top w:val="outset" w:sz="6" w:space="0" w:color="auto"/>
              <w:left w:val="outset" w:sz="6" w:space="0" w:color="auto"/>
              <w:bottom w:val="outset" w:sz="6" w:space="0" w:color="auto"/>
              <w:right w:val="outset" w:sz="6" w:space="0" w:color="auto"/>
            </w:tcBorders>
            <w:hideMark/>
          </w:tcPr>
          <w:p w:rsidR="009E2CF4" w:rsidRPr="009E2CF4" w:rsidP="009E2CF4" w14:paraId="51A65E9C" w14:textId="6F998E18">
            <w:pPr>
              <w:keepNext/>
              <w:keepLines/>
              <w:autoSpaceDE/>
              <w:autoSpaceDN/>
              <w:adjustRightInd/>
              <w:rPr>
                <w:rFonts w:ascii="Times New Roman" w:hAnsi="Times New Roman"/>
                <w:color w:val="000000"/>
                <w:sz w:val="20"/>
                <w:szCs w:val="20"/>
              </w:rPr>
            </w:pPr>
            <w:r>
              <w:rPr>
                <w:rFonts w:ascii="Times New Roman" w:hAnsi="Times New Roman"/>
                <w:color w:val="000000"/>
                <w:sz w:val="20"/>
                <w:szCs w:val="20"/>
              </w:rPr>
              <w:t>12,000</w:t>
            </w:r>
          </w:p>
        </w:tc>
      </w:tr>
    </w:tbl>
    <w:p w:rsidR="00894418" w:rsidRPr="00820B40" w14:paraId="6F8E6706" w14:textId="77777777">
      <w:pPr>
        <w:rPr>
          <w:rFonts w:ascii="Times New Roman" w:hAnsi="Times New Roman"/>
        </w:rPr>
      </w:pPr>
    </w:p>
    <w:p w:rsidR="00894418" w:rsidRPr="00820B40" w14:paraId="45134E3C" w14:textId="77777777">
      <w:pPr>
        <w:rPr>
          <w:rFonts w:ascii="Times New Roman" w:hAnsi="Times New Roman"/>
        </w:rPr>
      </w:pPr>
      <w:r w:rsidRPr="00820B40">
        <w:rPr>
          <w:rFonts w:ascii="Times New Roman" w:hAnsi="Times New Roman"/>
        </w:rPr>
        <w:t xml:space="preserve">16.  </w:t>
      </w:r>
      <w:r w:rsidR="00820B40">
        <w:rPr>
          <w:rFonts w:ascii="Times New Roman" w:hAnsi="Times New Roman"/>
        </w:rPr>
        <w:tab/>
      </w:r>
      <w:r w:rsidRPr="00820B40">
        <w:rPr>
          <w:rFonts w:ascii="Times New Roman" w:hAnsi="Times New Roman"/>
          <w:u w:val="single"/>
        </w:rPr>
        <w:t>PLANS FOR TABULATION, STATISTICAL ANALYSIS AND PUBLICATION</w:t>
      </w:r>
    </w:p>
    <w:p w:rsidR="00894418" w:rsidRPr="00820B40" w14:paraId="10AD33C9" w14:textId="77777777">
      <w:pPr>
        <w:rPr>
          <w:rFonts w:ascii="Times New Roman" w:hAnsi="Times New Roman"/>
        </w:rPr>
      </w:pPr>
    </w:p>
    <w:p w:rsidR="00894418" w:rsidRPr="00820B40" w:rsidP="005668A3" w14:paraId="5FA84D48" w14:textId="77777777">
      <w:pPr>
        <w:ind w:left="720" w:firstLine="15"/>
        <w:rPr>
          <w:rFonts w:ascii="Times New Roman" w:hAnsi="Times New Roman"/>
        </w:rPr>
      </w:pPr>
      <w:r w:rsidRPr="00820B40">
        <w:rPr>
          <w:rFonts w:ascii="Times New Roman" w:hAnsi="Times New Roman"/>
          <w:snapToGrid w:val="0"/>
        </w:rPr>
        <w:t>There are no plans for tabulation, statistical analysis</w:t>
      </w:r>
      <w:r w:rsidR="00C633A8">
        <w:rPr>
          <w:rFonts w:ascii="Times New Roman" w:hAnsi="Times New Roman"/>
          <w:snapToGrid w:val="0"/>
        </w:rPr>
        <w:t>,</w:t>
      </w:r>
      <w:r w:rsidRPr="00820B40">
        <w:rPr>
          <w:rFonts w:ascii="Times New Roman" w:hAnsi="Times New Roman"/>
          <w:snapToGrid w:val="0"/>
        </w:rPr>
        <w:t xml:space="preserve"> and publication.</w:t>
      </w:r>
    </w:p>
    <w:p w:rsidR="005668A3" w:rsidRPr="00820B40" w14:paraId="56A9A3E3" w14:textId="77777777">
      <w:pPr>
        <w:rPr>
          <w:rFonts w:ascii="Times New Roman" w:hAnsi="Times New Roman"/>
        </w:rPr>
      </w:pPr>
    </w:p>
    <w:p w:rsidR="00894418" w:rsidRPr="00820B40" w:rsidP="00D37D90" w14:paraId="45012869" w14:textId="77777777">
      <w:pPr>
        <w:pStyle w:val="Level1"/>
        <w:numPr>
          <w:ilvl w:val="0"/>
          <w:numId w:val="3"/>
        </w:numPr>
        <w:tabs>
          <w:tab w:val="left" w:pos="-1440"/>
        </w:tabs>
        <w:ind w:left="720" w:hanging="720"/>
        <w:rPr>
          <w:rFonts w:ascii="Times New Roman" w:hAnsi="Times New Roman"/>
        </w:rPr>
      </w:pPr>
      <w:r w:rsidRPr="00820B40">
        <w:rPr>
          <w:rFonts w:ascii="Times New Roman" w:hAnsi="Times New Roman"/>
          <w:u w:val="single"/>
        </w:rPr>
        <w:t>REASONS WHY DISPLAYING THE OMB EXPIRATION DATE IS</w:t>
      </w:r>
      <w:r w:rsidRPr="00820B40">
        <w:rPr>
          <w:rFonts w:ascii="Times New Roman" w:hAnsi="Times New Roman"/>
        </w:rPr>
        <w:t xml:space="preserve">     </w:t>
      </w:r>
      <w:r w:rsidRPr="00820B40">
        <w:rPr>
          <w:rFonts w:ascii="Times New Roman" w:hAnsi="Times New Roman"/>
          <w:u w:val="single"/>
        </w:rPr>
        <w:t>INAPPROPRIATE</w:t>
      </w:r>
    </w:p>
    <w:p w:rsidR="00894418" w:rsidRPr="00820B40" w14:paraId="58782207" w14:textId="77777777">
      <w:pPr>
        <w:rPr>
          <w:rFonts w:ascii="Times New Roman" w:hAnsi="Times New Roman"/>
        </w:rPr>
      </w:pPr>
    </w:p>
    <w:p w:rsidR="00894418" w:rsidRPr="00820B40" w:rsidP="005668A3" w14:paraId="13BE573D" w14:textId="77777777">
      <w:pPr>
        <w:ind w:left="720"/>
        <w:rPr>
          <w:rFonts w:ascii="Times New Roman" w:hAnsi="Times New Roman"/>
        </w:rPr>
      </w:pPr>
      <w:r w:rsidRPr="00D37D90">
        <w:rPr>
          <w:rFonts w:ascii="Times New Roman" w:hAnsi="Times New Roman"/>
        </w:rPr>
        <w:t>IRS believes that displaying the OMB expiration date is inappropriate because it could cause confusion by leading taxpayers to believe that the regulation sunsets as of the expiration date.  Taxpayers are not likely to be aware that the</w:t>
      </w:r>
      <w:r w:rsidR="00C633A8">
        <w:rPr>
          <w:rFonts w:ascii="Times New Roman" w:hAnsi="Times New Roman"/>
        </w:rPr>
        <w:t xml:space="preserve"> IRS</w:t>
      </w:r>
      <w:r w:rsidRPr="00D37D90">
        <w:rPr>
          <w:rFonts w:ascii="Times New Roman" w:hAnsi="Times New Roman"/>
        </w:rPr>
        <w:t xml:space="preserve"> intends to request renewal of OMB approval and obtain a new expiration date before the old one expires</w:t>
      </w:r>
      <w:r w:rsidRPr="00820B40" w:rsidR="005668A3">
        <w:rPr>
          <w:rFonts w:ascii="Times New Roman" w:hAnsi="Times New Roman"/>
        </w:rPr>
        <w:t>.</w:t>
      </w:r>
    </w:p>
    <w:p w:rsidR="005668A3" w:rsidRPr="00820B40" w:rsidP="005668A3" w14:paraId="082579D5" w14:textId="77777777">
      <w:pPr>
        <w:ind w:left="720"/>
        <w:rPr>
          <w:rFonts w:ascii="Times New Roman" w:hAnsi="Times New Roman"/>
        </w:rPr>
      </w:pPr>
    </w:p>
    <w:p w:rsidR="00894418" w:rsidRPr="00820B40" w:rsidP="00D37D90" w14:paraId="20BF9C79" w14:textId="77777777">
      <w:pPr>
        <w:pStyle w:val="Level1"/>
        <w:numPr>
          <w:ilvl w:val="0"/>
          <w:numId w:val="3"/>
        </w:numPr>
        <w:tabs>
          <w:tab w:val="left" w:pos="-1440"/>
        </w:tabs>
        <w:rPr>
          <w:rFonts w:ascii="Times New Roman" w:hAnsi="Times New Roman"/>
        </w:rPr>
      </w:pPr>
      <w:r w:rsidRPr="00820B40">
        <w:rPr>
          <w:rFonts w:ascii="Times New Roman" w:hAnsi="Times New Roman"/>
          <w:u w:val="single"/>
        </w:rPr>
        <w:t>EXCEPTIONS TO THE CERTIFICATION STATEMENT</w:t>
      </w:r>
    </w:p>
    <w:p w:rsidR="00894418" w:rsidRPr="00820B40" w14:paraId="71E29B5B" w14:textId="77777777">
      <w:pPr>
        <w:rPr>
          <w:rFonts w:ascii="Times New Roman" w:hAnsi="Times New Roman"/>
        </w:rPr>
      </w:pPr>
    </w:p>
    <w:p w:rsidR="00894418" w:rsidRPr="00820B40" w14:paraId="1D6EE440" w14:textId="77777777">
      <w:pPr>
        <w:ind w:firstLine="720"/>
        <w:rPr>
          <w:rFonts w:ascii="Times New Roman" w:hAnsi="Times New Roman"/>
        </w:rPr>
      </w:pPr>
      <w:r w:rsidRPr="00820B40">
        <w:rPr>
          <w:rFonts w:ascii="Times New Roman" w:hAnsi="Times New Roman"/>
        </w:rPr>
        <w:t>There are no exceptions to the certification statement.</w:t>
      </w:r>
    </w:p>
    <w:p w:rsidR="00894418" w:rsidRPr="00820B40" w14:paraId="42373E32" w14:textId="77777777">
      <w:pPr>
        <w:rPr>
          <w:rFonts w:ascii="Times New Roman" w:hAnsi="Times New Roman"/>
        </w:rPr>
      </w:pPr>
    </w:p>
    <w:p w:rsidR="005668A3" w:rsidRPr="00820B40" w:rsidP="005668A3" w14:paraId="0925C3E9" w14:textId="77777777">
      <w:pPr>
        <w:rPr>
          <w:rFonts w:ascii="Times New Roman" w:hAnsi="Times New Roman"/>
        </w:rPr>
      </w:pPr>
    </w:p>
    <w:sectPr w:rsidSect="00894418">
      <w:footerReference w:type="default" r:id="rId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HelveticaNeue-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F5" w14:paraId="6910C0DC" w14:textId="77777777">
    <w:pPr>
      <w:spacing w:line="240" w:lineRule="exact"/>
    </w:pPr>
  </w:p>
  <w:p w:rsidR="008250F5" w14:paraId="42C3B9B3" w14:textId="77777777">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rsidR="008250F5" w14:paraId="69B7D29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2137989484">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02543214">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46520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33535"/>
    <w:rsid w:val="00045994"/>
    <w:rsid w:val="00070473"/>
    <w:rsid w:val="0008647E"/>
    <w:rsid w:val="000D1446"/>
    <w:rsid w:val="000E488E"/>
    <w:rsid w:val="000F479E"/>
    <w:rsid w:val="0010293A"/>
    <w:rsid w:val="001222FC"/>
    <w:rsid w:val="0014135F"/>
    <w:rsid w:val="0016165B"/>
    <w:rsid w:val="001620E6"/>
    <w:rsid w:val="00185E36"/>
    <w:rsid w:val="001A1CA2"/>
    <w:rsid w:val="001A3997"/>
    <w:rsid w:val="00210652"/>
    <w:rsid w:val="00217792"/>
    <w:rsid w:val="002F64DB"/>
    <w:rsid w:val="002F6C8B"/>
    <w:rsid w:val="00335184"/>
    <w:rsid w:val="00340845"/>
    <w:rsid w:val="00374F04"/>
    <w:rsid w:val="003C6D98"/>
    <w:rsid w:val="003D3A76"/>
    <w:rsid w:val="00421522"/>
    <w:rsid w:val="00421882"/>
    <w:rsid w:val="00425299"/>
    <w:rsid w:val="00450B00"/>
    <w:rsid w:val="004932AF"/>
    <w:rsid w:val="00495DFF"/>
    <w:rsid w:val="004C26B9"/>
    <w:rsid w:val="004C4228"/>
    <w:rsid w:val="004F543D"/>
    <w:rsid w:val="00521993"/>
    <w:rsid w:val="005317FB"/>
    <w:rsid w:val="005367B3"/>
    <w:rsid w:val="0055110B"/>
    <w:rsid w:val="005668A3"/>
    <w:rsid w:val="00577D80"/>
    <w:rsid w:val="005A19EB"/>
    <w:rsid w:val="005B0B33"/>
    <w:rsid w:val="005D1A38"/>
    <w:rsid w:val="005E0602"/>
    <w:rsid w:val="00606401"/>
    <w:rsid w:val="00615FF7"/>
    <w:rsid w:val="006229F4"/>
    <w:rsid w:val="0068637A"/>
    <w:rsid w:val="0069025C"/>
    <w:rsid w:val="00692CEC"/>
    <w:rsid w:val="00694EC2"/>
    <w:rsid w:val="006A1628"/>
    <w:rsid w:val="00721711"/>
    <w:rsid w:val="007B130B"/>
    <w:rsid w:val="007B4BFC"/>
    <w:rsid w:val="007D56CC"/>
    <w:rsid w:val="007F03B7"/>
    <w:rsid w:val="00802DBC"/>
    <w:rsid w:val="00820B40"/>
    <w:rsid w:val="00820CD3"/>
    <w:rsid w:val="008250F5"/>
    <w:rsid w:val="00850DBA"/>
    <w:rsid w:val="00872A7A"/>
    <w:rsid w:val="00875CDA"/>
    <w:rsid w:val="008818C1"/>
    <w:rsid w:val="0089338D"/>
    <w:rsid w:val="00894418"/>
    <w:rsid w:val="008D3DAC"/>
    <w:rsid w:val="008E34B0"/>
    <w:rsid w:val="00904733"/>
    <w:rsid w:val="009201A2"/>
    <w:rsid w:val="009D08AC"/>
    <w:rsid w:val="009E2CF4"/>
    <w:rsid w:val="009E7690"/>
    <w:rsid w:val="009F38F0"/>
    <w:rsid w:val="00A150CE"/>
    <w:rsid w:val="00A17E3A"/>
    <w:rsid w:val="00A27395"/>
    <w:rsid w:val="00A52D3C"/>
    <w:rsid w:val="00A5596F"/>
    <w:rsid w:val="00AF6781"/>
    <w:rsid w:val="00B262C2"/>
    <w:rsid w:val="00B6345E"/>
    <w:rsid w:val="00B70A72"/>
    <w:rsid w:val="00C46534"/>
    <w:rsid w:val="00C6010A"/>
    <w:rsid w:val="00C6328B"/>
    <w:rsid w:val="00C633A8"/>
    <w:rsid w:val="00C64EE7"/>
    <w:rsid w:val="00C77026"/>
    <w:rsid w:val="00CA0D8F"/>
    <w:rsid w:val="00CB56DD"/>
    <w:rsid w:val="00CD6C73"/>
    <w:rsid w:val="00CE553F"/>
    <w:rsid w:val="00D1657B"/>
    <w:rsid w:val="00D27829"/>
    <w:rsid w:val="00D37D90"/>
    <w:rsid w:val="00D45A77"/>
    <w:rsid w:val="00D66CE1"/>
    <w:rsid w:val="00D74B28"/>
    <w:rsid w:val="00D75EE6"/>
    <w:rsid w:val="00D84E52"/>
    <w:rsid w:val="00DA6CC6"/>
    <w:rsid w:val="00DA6D3F"/>
    <w:rsid w:val="00DE699D"/>
    <w:rsid w:val="00E16B62"/>
    <w:rsid w:val="00E200E2"/>
    <w:rsid w:val="00E20C8E"/>
    <w:rsid w:val="00E63FF9"/>
    <w:rsid w:val="00E71C83"/>
    <w:rsid w:val="00E9356B"/>
    <w:rsid w:val="00F0020E"/>
    <w:rsid w:val="00F078AB"/>
    <w:rsid w:val="00F273A2"/>
    <w:rsid w:val="00F3734C"/>
    <w:rsid w:val="00F601B7"/>
    <w:rsid w:val="00F72007"/>
    <w:rsid w:val="00F77CEA"/>
    <w:rsid w:val="00F9409E"/>
    <w:rsid w:val="00F95E49"/>
    <w:rsid w:val="00FB3A61"/>
    <w:rsid w:val="00FC0402"/>
    <w:rsid w:val="00FF3F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DE867AB"/>
  <w15:chartTrackingRefBased/>
  <w15:docId w15:val="{8B8F3416-4306-48FD-8FB4-C2621C2D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8E34B0"/>
    <w:rPr>
      <w:color w:val="808080"/>
      <w:shd w:val="clear" w:color="auto" w:fill="E6E6E6"/>
    </w:rPr>
  </w:style>
  <w:style w:type="character" w:styleId="CommentReference">
    <w:name w:val="annotation reference"/>
    <w:basedOn w:val="DefaultParagraphFont"/>
    <w:rsid w:val="00A5596F"/>
    <w:rPr>
      <w:sz w:val="16"/>
      <w:szCs w:val="16"/>
    </w:rPr>
  </w:style>
  <w:style w:type="paragraph" w:styleId="CommentText">
    <w:name w:val="annotation text"/>
    <w:basedOn w:val="Normal"/>
    <w:link w:val="CommentTextChar"/>
    <w:rsid w:val="00A5596F"/>
    <w:rPr>
      <w:sz w:val="20"/>
      <w:szCs w:val="20"/>
    </w:rPr>
  </w:style>
  <w:style w:type="character" w:customStyle="1" w:styleId="CommentTextChar">
    <w:name w:val="Comment Text Char"/>
    <w:basedOn w:val="DefaultParagraphFont"/>
    <w:link w:val="CommentText"/>
    <w:rsid w:val="00A5596F"/>
    <w:rPr>
      <w:rFonts w:ascii="Courier" w:hAnsi="Courier"/>
    </w:rPr>
  </w:style>
  <w:style w:type="paragraph" w:styleId="CommentSubject">
    <w:name w:val="annotation subject"/>
    <w:basedOn w:val="CommentText"/>
    <w:next w:val="CommentText"/>
    <w:link w:val="CommentSubjectChar"/>
    <w:rsid w:val="00A5596F"/>
    <w:rPr>
      <w:b/>
      <w:bCs/>
    </w:rPr>
  </w:style>
  <w:style w:type="character" w:customStyle="1" w:styleId="CommentSubjectChar">
    <w:name w:val="Comment Subject Char"/>
    <w:basedOn w:val="CommentTextChar"/>
    <w:link w:val="CommentSubject"/>
    <w:rsid w:val="00A5596F"/>
    <w:rPr>
      <w:rFonts w:ascii="Courier" w:hAnsi="Courier"/>
      <w:b/>
      <w:bCs/>
    </w:rPr>
  </w:style>
  <w:style w:type="paragraph" w:styleId="Revision">
    <w:name w:val="Revision"/>
    <w:hidden/>
    <w:uiPriority w:val="99"/>
    <w:semiHidden/>
    <w:rsid w:val="00F95E49"/>
    <w:rPr>
      <w:rFonts w:ascii="Courier" w:hAnsi="Courier"/>
      <w:sz w:val="24"/>
      <w:szCs w:val="24"/>
    </w:rPr>
  </w:style>
  <w:style w:type="paragraph" w:styleId="ListParagraph">
    <w:name w:val="List Paragraph"/>
    <w:basedOn w:val="Normal"/>
    <w:uiPriority w:val="34"/>
    <w:qFormat/>
    <w:rsid w:val="00E71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5</cp:revision>
  <cp:lastPrinted>2006-05-24T14:55:00Z</cp:lastPrinted>
  <dcterms:created xsi:type="dcterms:W3CDTF">2026-01-28T15:02:00Z</dcterms:created>
  <dcterms:modified xsi:type="dcterms:W3CDTF">2026-01-28T15:05:00Z</dcterms:modified>
</cp:coreProperties>
</file>