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94C90" w:rsidRPr="005413E5" w14:paraId="78B3FE2A" w14:textId="77777777">
      <w:pPr>
        <w:rPr>
          <w:rFonts w:asciiTheme="minorHAnsi" w:hAnsiTheme="minorHAnsi" w:cstheme="minorHAnsi"/>
          <w:sz w:val="22"/>
          <w:szCs w:val="22"/>
        </w:rPr>
      </w:pPr>
    </w:p>
    <w:p w:rsidR="00BF7092" w:rsidRPr="005413E5" w:rsidP="00BF7092" w14:paraId="621FBB61" w14:textId="2CE94FA2">
      <w:pPr>
        <w:jc w:val="center"/>
        <w:rPr>
          <w:rFonts w:asciiTheme="minorHAnsi" w:hAnsiTheme="minorHAnsi" w:cstheme="minorHAnsi"/>
          <w:b/>
          <w:sz w:val="22"/>
          <w:szCs w:val="22"/>
        </w:rPr>
      </w:pPr>
      <w:r w:rsidRPr="005413E5">
        <w:rPr>
          <w:rFonts w:asciiTheme="minorHAnsi" w:hAnsiTheme="minorHAnsi" w:cstheme="minorHAnsi"/>
          <w:b/>
          <w:sz w:val="22"/>
          <w:szCs w:val="22"/>
        </w:rPr>
        <w:t>PayPal Stripe Comments from February</w:t>
      </w:r>
      <w:r w:rsidRPr="005413E5" w:rsidR="00AC7AE0">
        <w:rPr>
          <w:rFonts w:asciiTheme="minorHAnsi" w:hAnsiTheme="minorHAnsi" w:cstheme="minorHAnsi"/>
          <w:b/>
          <w:sz w:val="22"/>
          <w:szCs w:val="22"/>
        </w:rPr>
        <w:t xml:space="preserve"> </w:t>
      </w:r>
      <w:r w:rsidRPr="005413E5" w:rsidR="00DA16AF">
        <w:rPr>
          <w:rFonts w:asciiTheme="minorHAnsi" w:hAnsiTheme="minorHAnsi" w:cstheme="minorHAnsi"/>
          <w:b/>
          <w:sz w:val="22"/>
          <w:szCs w:val="22"/>
        </w:rPr>
        <w:t>2</w:t>
      </w:r>
      <w:r w:rsidRPr="005413E5" w:rsidR="006162B6">
        <w:rPr>
          <w:rFonts w:asciiTheme="minorHAnsi" w:hAnsiTheme="minorHAnsi" w:cstheme="minorHAnsi"/>
          <w:b/>
          <w:sz w:val="22"/>
          <w:szCs w:val="22"/>
        </w:rPr>
        <w:t>6</w:t>
      </w:r>
      <w:r w:rsidRPr="005413E5" w:rsidR="00EF6394">
        <w:rPr>
          <w:rFonts w:asciiTheme="minorHAnsi" w:hAnsiTheme="minorHAnsi" w:cstheme="minorHAnsi"/>
          <w:b/>
          <w:sz w:val="22"/>
          <w:szCs w:val="22"/>
        </w:rPr>
        <w:t xml:space="preserve">, </w:t>
      </w:r>
      <w:r w:rsidRPr="005413E5" w:rsidR="00A239E2">
        <w:rPr>
          <w:rFonts w:asciiTheme="minorHAnsi" w:hAnsiTheme="minorHAnsi" w:cstheme="minorHAnsi"/>
          <w:b/>
          <w:sz w:val="22"/>
          <w:szCs w:val="22"/>
        </w:rPr>
        <w:t>2025,</w:t>
      </w:r>
      <w:r w:rsidRPr="005413E5">
        <w:rPr>
          <w:rFonts w:asciiTheme="minorHAnsi" w:hAnsiTheme="minorHAnsi" w:cstheme="minorHAnsi"/>
          <w:b/>
          <w:sz w:val="22"/>
          <w:szCs w:val="22"/>
        </w:rPr>
        <w:t xml:space="preserve"> </w:t>
      </w:r>
      <w:r w:rsidRPr="005413E5">
        <w:rPr>
          <w:rFonts w:asciiTheme="minorHAnsi" w:hAnsiTheme="minorHAnsi" w:cstheme="minorHAnsi"/>
          <w:b/>
          <w:sz w:val="22"/>
          <w:szCs w:val="22"/>
        </w:rPr>
        <w:br/>
      </w:r>
      <w:r w:rsidRPr="005413E5" w:rsidR="00816A1D">
        <w:rPr>
          <w:rFonts w:asciiTheme="minorHAnsi" w:hAnsiTheme="minorHAnsi" w:cstheme="minorHAnsi"/>
          <w:b/>
          <w:sz w:val="22"/>
          <w:szCs w:val="22"/>
        </w:rPr>
        <w:t xml:space="preserve">Reporting Forms </w:t>
      </w:r>
      <w:r w:rsidRPr="005413E5">
        <w:rPr>
          <w:rFonts w:asciiTheme="minorHAnsi" w:hAnsiTheme="minorHAnsi" w:cstheme="minorHAnsi"/>
          <w:b/>
          <w:sz w:val="22"/>
          <w:szCs w:val="22"/>
        </w:rPr>
        <w:t>1099-K</w:t>
      </w:r>
    </w:p>
    <w:p w:rsidR="00BF7092" w:rsidRPr="005413E5" w:rsidP="00BF7092" w14:paraId="76646E53" w14:textId="2F722115">
      <w:pPr>
        <w:rPr>
          <w:rFonts w:asciiTheme="minorHAnsi" w:hAnsiTheme="minorHAnsi" w:cstheme="minorHAnsi"/>
          <w:bCs/>
          <w:sz w:val="22"/>
          <w:szCs w:val="22"/>
        </w:rPr>
      </w:pPr>
      <w:r w:rsidRPr="005413E5">
        <w:rPr>
          <w:rFonts w:asciiTheme="minorHAnsi" w:hAnsiTheme="minorHAnsi" w:cstheme="minorHAnsi"/>
          <w:bCs/>
          <w:sz w:val="22"/>
          <w:szCs w:val="22"/>
        </w:rPr>
        <w:t xml:space="preserve">Note: Page numbers are based on the PDF document consisting of </w:t>
      </w:r>
      <w:r w:rsidRPr="005413E5" w:rsidR="00B24C8F">
        <w:rPr>
          <w:rFonts w:asciiTheme="minorHAnsi" w:hAnsiTheme="minorHAnsi" w:cstheme="minorHAnsi"/>
          <w:bCs/>
          <w:sz w:val="22"/>
          <w:szCs w:val="22"/>
        </w:rPr>
        <w:t>7</w:t>
      </w:r>
      <w:r w:rsidRPr="005413E5">
        <w:rPr>
          <w:rFonts w:asciiTheme="minorHAnsi" w:hAnsiTheme="minorHAnsi" w:cstheme="minorHAnsi"/>
          <w:bCs/>
          <w:sz w:val="22"/>
          <w:szCs w:val="22"/>
        </w:rPr>
        <w:t xml:space="preserve"> pages (internal page numbering within that document differs).</w:t>
      </w:r>
    </w:p>
    <w:tbl>
      <w:tblPr>
        <w:tblStyle w:val="TableGrid"/>
        <w:tblW w:w="10345" w:type="dxa"/>
        <w:tblLayout w:type="fixed"/>
        <w:tblLook w:val="04A0"/>
      </w:tblPr>
      <w:tblGrid>
        <w:gridCol w:w="715"/>
        <w:gridCol w:w="4680"/>
        <w:gridCol w:w="4950"/>
      </w:tblGrid>
      <w:tr w14:paraId="1AE5FDAC" w14:textId="77777777" w:rsidTr="00D37F74">
        <w:tblPrEx>
          <w:tblW w:w="10345" w:type="dxa"/>
          <w:tblLayout w:type="fixed"/>
          <w:tblLook w:val="04A0"/>
        </w:tblPrEx>
        <w:tc>
          <w:tcPr>
            <w:tcW w:w="715" w:type="dxa"/>
          </w:tcPr>
          <w:p w:rsidR="00BF7092" w:rsidRPr="005413E5" w:rsidP="00D37F74" w14:paraId="05E94A2F" w14:textId="77777777">
            <w:pPr>
              <w:rPr>
                <w:rFonts w:asciiTheme="minorHAnsi" w:hAnsiTheme="minorHAnsi" w:cstheme="minorHAnsi"/>
                <w:b/>
                <w:sz w:val="22"/>
                <w:szCs w:val="22"/>
              </w:rPr>
            </w:pPr>
            <w:r w:rsidRPr="005413E5">
              <w:rPr>
                <w:rFonts w:asciiTheme="minorHAnsi" w:hAnsiTheme="minorHAnsi" w:cstheme="minorHAnsi"/>
                <w:b/>
                <w:sz w:val="22"/>
                <w:szCs w:val="22"/>
              </w:rPr>
              <w:t>Page no.</w:t>
            </w:r>
          </w:p>
        </w:tc>
        <w:tc>
          <w:tcPr>
            <w:tcW w:w="4680" w:type="dxa"/>
          </w:tcPr>
          <w:p w:rsidR="00BF7092" w:rsidRPr="005413E5" w:rsidP="00D37F74" w14:paraId="61CFB36E" w14:textId="77777777">
            <w:pPr>
              <w:rPr>
                <w:rFonts w:asciiTheme="minorHAnsi" w:hAnsiTheme="minorHAnsi" w:cstheme="minorHAnsi"/>
                <w:b/>
                <w:sz w:val="22"/>
                <w:szCs w:val="22"/>
              </w:rPr>
            </w:pPr>
          </w:p>
          <w:p w:rsidR="00BF7092" w:rsidRPr="005413E5" w:rsidP="00D37F74" w14:paraId="7823724D" w14:textId="65183128">
            <w:pPr>
              <w:rPr>
                <w:rFonts w:asciiTheme="minorHAnsi" w:hAnsiTheme="minorHAnsi" w:cstheme="minorHAnsi"/>
                <w:b/>
                <w:sz w:val="22"/>
                <w:szCs w:val="22"/>
              </w:rPr>
            </w:pPr>
            <w:r w:rsidRPr="005413E5">
              <w:rPr>
                <w:rFonts w:asciiTheme="minorHAnsi" w:hAnsiTheme="minorHAnsi" w:cstheme="minorHAnsi"/>
                <w:b/>
                <w:sz w:val="22"/>
                <w:szCs w:val="22"/>
              </w:rPr>
              <w:t xml:space="preserve">Summary of </w:t>
            </w:r>
            <w:r w:rsidRPr="005413E5" w:rsidR="00EE3D74">
              <w:rPr>
                <w:rFonts w:asciiTheme="minorHAnsi" w:hAnsiTheme="minorHAnsi" w:cstheme="minorHAnsi"/>
                <w:b/>
                <w:sz w:val="22"/>
                <w:szCs w:val="22"/>
              </w:rPr>
              <w:t xml:space="preserve">the </w:t>
            </w:r>
            <w:r w:rsidRPr="005413E5" w:rsidR="006E21CE">
              <w:rPr>
                <w:rFonts w:asciiTheme="minorHAnsi" w:hAnsiTheme="minorHAnsi" w:cstheme="minorHAnsi"/>
                <w:b/>
                <w:sz w:val="22"/>
                <w:szCs w:val="22"/>
              </w:rPr>
              <w:t>PayPal Stripe</w:t>
            </w:r>
            <w:r w:rsidRPr="005413E5">
              <w:rPr>
                <w:rFonts w:asciiTheme="minorHAnsi" w:hAnsiTheme="minorHAnsi" w:cstheme="minorHAnsi"/>
                <w:b/>
                <w:sz w:val="22"/>
                <w:szCs w:val="22"/>
              </w:rPr>
              <w:t xml:space="preserve"> comment</w:t>
            </w:r>
            <w:r w:rsidRPr="005413E5" w:rsidR="003E1107">
              <w:rPr>
                <w:rFonts w:asciiTheme="minorHAnsi" w:hAnsiTheme="minorHAnsi" w:cstheme="minorHAnsi"/>
                <w:b/>
                <w:sz w:val="22"/>
                <w:szCs w:val="22"/>
              </w:rPr>
              <w:t>s</w:t>
            </w:r>
          </w:p>
        </w:tc>
        <w:tc>
          <w:tcPr>
            <w:tcW w:w="4950" w:type="dxa"/>
          </w:tcPr>
          <w:p w:rsidR="00BF7092" w:rsidRPr="005413E5" w:rsidP="00D37F74" w14:paraId="02E4F108" w14:textId="77777777">
            <w:pPr>
              <w:rPr>
                <w:rFonts w:asciiTheme="minorHAnsi" w:hAnsiTheme="minorHAnsi" w:cstheme="minorHAnsi"/>
                <w:b/>
                <w:sz w:val="22"/>
                <w:szCs w:val="22"/>
              </w:rPr>
            </w:pPr>
          </w:p>
          <w:p w:rsidR="00BF7092" w:rsidRPr="005413E5" w:rsidP="00D37F74" w14:paraId="23FF7987" w14:textId="70F80195">
            <w:pPr>
              <w:rPr>
                <w:rFonts w:asciiTheme="minorHAnsi" w:hAnsiTheme="minorHAnsi" w:cstheme="minorHAnsi"/>
                <w:b/>
                <w:sz w:val="22"/>
                <w:szCs w:val="22"/>
              </w:rPr>
            </w:pPr>
            <w:r>
              <w:rPr>
                <w:rFonts w:asciiTheme="minorHAnsi" w:hAnsiTheme="minorHAnsi" w:cstheme="minorHAnsi"/>
                <w:b/>
                <w:sz w:val="22"/>
                <w:szCs w:val="22"/>
              </w:rPr>
              <w:t>IRS Response</w:t>
            </w:r>
          </w:p>
        </w:tc>
      </w:tr>
      <w:tr w14:paraId="3D775B4F" w14:textId="77777777" w:rsidTr="00D37F74">
        <w:tblPrEx>
          <w:tblW w:w="10345" w:type="dxa"/>
          <w:tblLayout w:type="fixed"/>
          <w:tblLook w:val="04A0"/>
        </w:tblPrEx>
        <w:tc>
          <w:tcPr>
            <w:tcW w:w="715" w:type="dxa"/>
          </w:tcPr>
          <w:p w:rsidR="00BF7092" w:rsidRPr="005413E5" w:rsidP="00D37F74" w14:paraId="044180DC" w14:textId="122E382D">
            <w:pPr>
              <w:rPr>
                <w:rFonts w:asciiTheme="minorHAnsi" w:hAnsiTheme="minorHAnsi" w:cstheme="minorHAnsi"/>
                <w:bCs/>
                <w:sz w:val="22"/>
                <w:szCs w:val="22"/>
              </w:rPr>
            </w:pPr>
            <w:r w:rsidRPr="005413E5">
              <w:rPr>
                <w:rFonts w:asciiTheme="minorHAnsi" w:hAnsiTheme="minorHAnsi" w:cstheme="minorHAnsi"/>
                <w:bCs/>
                <w:sz w:val="22"/>
                <w:szCs w:val="22"/>
              </w:rPr>
              <w:t>1</w:t>
            </w:r>
            <w:r w:rsidRPr="005413E5" w:rsidR="0012386D">
              <w:rPr>
                <w:rFonts w:asciiTheme="minorHAnsi" w:hAnsiTheme="minorHAnsi" w:cstheme="minorHAnsi"/>
                <w:bCs/>
                <w:sz w:val="22"/>
                <w:szCs w:val="22"/>
              </w:rPr>
              <w:t>-</w:t>
            </w:r>
            <w:r w:rsidRPr="005413E5" w:rsidR="00394F58">
              <w:rPr>
                <w:rFonts w:asciiTheme="minorHAnsi" w:hAnsiTheme="minorHAnsi" w:cstheme="minorHAnsi"/>
                <w:bCs/>
                <w:sz w:val="22"/>
                <w:szCs w:val="22"/>
              </w:rPr>
              <w:t>4</w:t>
            </w:r>
          </w:p>
        </w:tc>
        <w:tc>
          <w:tcPr>
            <w:tcW w:w="4680" w:type="dxa"/>
          </w:tcPr>
          <w:p w:rsidR="00BF7092" w:rsidRPr="002E5BD8" w:rsidP="00D37F74" w14:paraId="5FF93570" w14:textId="234E3239">
            <w:pPr>
              <w:rPr>
                <w:rFonts w:asciiTheme="minorHAnsi" w:hAnsiTheme="minorHAnsi" w:cstheme="minorHAnsi"/>
                <w:bCs/>
                <w:sz w:val="22"/>
                <w:szCs w:val="22"/>
              </w:rPr>
            </w:pPr>
            <w:r w:rsidRPr="002E5BD8">
              <w:rPr>
                <w:rFonts w:asciiTheme="minorHAnsi" w:hAnsiTheme="minorHAnsi" w:cstheme="minorHAnsi"/>
                <w:bCs/>
                <w:sz w:val="22"/>
                <w:szCs w:val="22"/>
              </w:rPr>
              <w:t xml:space="preserve">Expand the use of Form 4137 for tax years 2025 to 2028, for purposes of claiming a deduction for qualified tips, regardless of who receives them.  IRC 224 will provide </w:t>
            </w:r>
            <w:r w:rsidRPr="002E5BD8" w:rsidR="00B24C8F">
              <w:rPr>
                <w:rFonts w:asciiTheme="minorHAnsi" w:hAnsiTheme="minorHAnsi" w:cstheme="minorHAnsi"/>
                <w:bCs/>
                <w:sz w:val="22"/>
                <w:szCs w:val="22"/>
              </w:rPr>
              <w:t>sanctions</w:t>
            </w:r>
            <w:r w:rsidRPr="002E5BD8">
              <w:rPr>
                <w:rFonts w:asciiTheme="minorHAnsi" w:hAnsiTheme="minorHAnsi" w:cstheme="minorHAnsi"/>
                <w:bCs/>
                <w:sz w:val="22"/>
                <w:szCs w:val="22"/>
              </w:rPr>
              <w:t xml:space="preserve"> for taxpayers whose </w:t>
            </w:r>
            <w:r w:rsidRPr="002E5BD8" w:rsidR="00AE7B74">
              <w:rPr>
                <w:rFonts w:asciiTheme="minorHAnsi" w:hAnsiTheme="minorHAnsi" w:cstheme="minorHAnsi"/>
                <w:bCs/>
                <w:sz w:val="22"/>
                <w:szCs w:val="22"/>
              </w:rPr>
              <w:t xml:space="preserve">form </w:t>
            </w:r>
            <w:r w:rsidRPr="002E5BD8">
              <w:rPr>
                <w:rFonts w:asciiTheme="minorHAnsi" w:hAnsiTheme="minorHAnsi" w:cstheme="minorHAnsi"/>
                <w:bCs/>
                <w:sz w:val="22"/>
                <w:szCs w:val="22"/>
              </w:rPr>
              <w:t xml:space="preserve">1099 does not reflect the total cash tips </w:t>
            </w:r>
            <w:r w:rsidRPr="002E5BD8">
              <w:rPr>
                <w:rFonts w:asciiTheme="minorHAnsi" w:hAnsiTheme="minorHAnsi" w:cstheme="minorHAnsi"/>
                <w:bCs/>
                <w:sz w:val="22"/>
                <w:szCs w:val="22"/>
              </w:rPr>
              <w:t>actually received.</w:t>
            </w:r>
          </w:p>
        </w:tc>
        <w:tc>
          <w:tcPr>
            <w:tcW w:w="4950" w:type="dxa"/>
          </w:tcPr>
          <w:p w:rsidR="00BF7092" w:rsidRPr="002E5BD8" w:rsidP="00D37F74" w14:paraId="7683E865" w14:textId="3A3D350D">
            <w:pPr>
              <w:rPr>
                <w:rFonts w:asciiTheme="minorHAnsi" w:hAnsiTheme="minorHAnsi" w:cstheme="minorHAnsi"/>
                <w:bCs/>
                <w:sz w:val="22"/>
                <w:szCs w:val="22"/>
              </w:rPr>
            </w:pPr>
            <w:r w:rsidRPr="002E5BD8">
              <w:rPr>
                <w:rFonts w:asciiTheme="minorHAnsi" w:hAnsiTheme="minorHAnsi" w:cstheme="minorHAnsi"/>
                <w:bCs/>
                <w:sz w:val="22"/>
                <w:szCs w:val="22"/>
              </w:rPr>
              <w:t xml:space="preserve">The IRS does not have the statutory authority to expand the use of Form 4137 in order to provide </w:t>
            </w:r>
            <w:r w:rsidRPr="002E5BD8" w:rsidR="008F2380">
              <w:rPr>
                <w:rFonts w:asciiTheme="minorHAnsi" w:hAnsiTheme="minorHAnsi" w:cstheme="minorHAnsi"/>
                <w:bCs/>
                <w:sz w:val="22"/>
                <w:szCs w:val="22"/>
              </w:rPr>
              <w:t>a means of avoiding</w:t>
            </w:r>
            <w:r w:rsidRPr="002E5BD8">
              <w:rPr>
                <w:rFonts w:asciiTheme="minorHAnsi" w:hAnsiTheme="minorHAnsi" w:cstheme="minorHAnsi"/>
                <w:bCs/>
                <w:sz w:val="22"/>
                <w:szCs w:val="22"/>
              </w:rPr>
              <w:t xml:space="preserve"> the statutory requirement</w:t>
            </w:r>
            <w:r w:rsidRPr="002E5BD8" w:rsidR="0032514E">
              <w:rPr>
                <w:rFonts w:asciiTheme="minorHAnsi" w:hAnsiTheme="minorHAnsi" w:cstheme="minorHAnsi"/>
                <w:bCs/>
                <w:sz w:val="22"/>
                <w:szCs w:val="22"/>
              </w:rPr>
              <w:t xml:space="preserve"> in section 224(</w:t>
            </w:r>
            <w:r w:rsidRPr="002E5BD8" w:rsidR="00256262">
              <w:rPr>
                <w:rFonts w:asciiTheme="minorHAnsi" w:hAnsiTheme="minorHAnsi" w:cstheme="minorHAnsi"/>
                <w:bCs/>
                <w:sz w:val="22"/>
                <w:szCs w:val="22"/>
              </w:rPr>
              <w:t>a)</w:t>
            </w:r>
            <w:r w:rsidRPr="002E5BD8">
              <w:rPr>
                <w:rFonts w:asciiTheme="minorHAnsi" w:hAnsiTheme="minorHAnsi" w:cstheme="minorHAnsi"/>
                <w:bCs/>
                <w:sz w:val="22"/>
                <w:szCs w:val="22"/>
              </w:rPr>
              <w:t xml:space="preserve"> that tip amounts paid to non-employees </w:t>
            </w:r>
            <w:r w:rsidRPr="002E5BD8" w:rsidR="008F2380">
              <w:rPr>
                <w:rFonts w:asciiTheme="minorHAnsi" w:hAnsiTheme="minorHAnsi" w:cstheme="minorHAnsi"/>
                <w:bCs/>
                <w:sz w:val="22"/>
                <w:szCs w:val="22"/>
              </w:rPr>
              <w:t xml:space="preserve">must be reported on a Form 1099 to be eligible for the deduction under section 224. </w:t>
            </w:r>
          </w:p>
        </w:tc>
      </w:tr>
      <w:tr w14:paraId="42920A1B" w14:textId="77777777" w:rsidTr="00295D87">
        <w:tblPrEx>
          <w:tblW w:w="10345" w:type="dxa"/>
          <w:tblLayout w:type="fixed"/>
          <w:tblLook w:val="04A0"/>
        </w:tblPrEx>
        <w:trPr>
          <w:trHeight w:val="1007"/>
        </w:trPr>
        <w:tc>
          <w:tcPr>
            <w:tcW w:w="715" w:type="dxa"/>
          </w:tcPr>
          <w:p w:rsidR="00BF7092" w:rsidRPr="007C3FD4" w:rsidP="00D37F74" w14:paraId="26F6BFD7" w14:textId="44DF2FE3">
            <w:pPr>
              <w:rPr>
                <w:rFonts w:asciiTheme="minorHAnsi" w:hAnsiTheme="minorHAnsi" w:cstheme="minorHAnsi"/>
                <w:bCs/>
                <w:sz w:val="22"/>
                <w:szCs w:val="22"/>
              </w:rPr>
            </w:pPr>
            <w:r w:rsidRPr="007C3FD4">
              <w:rPr>
                <w:rFonts w:asciiTheme="minorHAnsi" w:hAnsiTheme="minorHAnsi" w:cstheme="minorHAnsi"/>
                <w:bCs/>
                <w:sz w:val="22"/>
                <w:szCs w:val="22"/>
              </w:rPr>
              <w:t>5</w:t>
            </w:r>
          </w:p>
        </w:tc>
        <w:tc>
          <w:tcPr>
            <w:tcW w:w="4680" w:type="dxa"/>
          </w:tcPr>
          <w:p w:rsidR="005413E5" w:rsidRPr="007C3FD4" w:rsidP="0006678A" w14:paraId="330EBE02" w14:textId="77777777">
            <w:pPr>
              <w:widowControl/>
              <w:rPr>
                <w:rFonts w:asciiTheme="minorHAnsi" w:hAnsiTheme="minorHAnsi" w:cstheme="minorHAnsi"/>
                <w:bCs/>
                <w:sz w:val="22"/>
                <w:szCs w:val="22"/>
              </w:rPr>
            </w:pPr>
            <w:r w:rsidRPr="007C3FD4">
              <w:rPr>
                <w:rFonts w:asciiTheme="minorHAnsi" w:hAnsiTheme="minorHAnsi" w:cstheme="minorHAnsi"/>
                <w:bCs/>
                <w:sz w:val="22"/>
                <w:szCs w:val="22"/>
              </w:rPr>
              <w:t xml:space="preserve">Publish clear and robust guidance for taxpayers to include: </w:t>
            </w:r>
          </w:p>
          <w:p w:rsidR="005413E5" w:rsidRPr="007C3FD4" w:rsidP="005413E5" w14:paraId="36275009" w14:textId="77777777">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bCs/>
                <w:sz w:val="22"/>
              </w:rPr>
              <w:t xml:space="preserve">What type and level of record-keeping is needed by the taxpayer. </w:t>
            </w:r>
          </w:p>
          <w:p w:rsidR="005413E5" w:rsidRPr="007C3FD4" w:rsidP="005413E5" w14:paraId="7786547E" w14:textId="77777777">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bCs/>
                <w:sz w:val="22"/>
              </w:rPr>
              <w:t xml:space="preserve"> What alternatives would be acceptable, due to the fact that taxpayers are neither obligated nor incentivized to claim this deduction. </w:t>
            </w:r>
          </w:p>
          <w:p w:rsidR="005413E5" w:rsidRPr="007C3FD4" w:rsidP="005413E5" w14:paraId="67627FCC" w14:textId="77777777">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bCs/>
                <w:sz w:val="22"/>
              </w:rPr>
              <w:t xml:space="preserve">Identify the level of investigation a taxpayer must engage in to determine whether their employer is a </w:t>
            </w:r>
            <w:r w:rsidRPr="007C3FD4">
              <w:rPr>
                <w:rFonts w:asciiTheme="minorHAnsi" w:hAnsiTheme="minorHAnsi" w:cstheme="minorHAnsi"/>
                <w:sz w:val="22"/>
              </w:rPr>
              <w:t xml:space="preserve">specified service trade or business. </w:t>
            </w:r>
          </w:p>
          <w:p w:rsidR="005413E5" w:rsidRPr="007C3FD4" w:rsidP="005413E5" w14:paraId="738E43AC" w14:textId="77777777">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sz w:val="22"/>
              </w:rPr>
              <w:t>Is there an expectation that taxpayers clearly understand the tip-related policies of their employers/clients, the operational functionality of the POS providers, and other business decisions/policies outside of their control to understand which amounts are compulsory versus voluntary?</w:t>
            </w:r>
          </w:p>
          <w:p w:rsidR="005413E5" w:rsidRPr="007C3FD4" w:rsidP="005413E5" w14:paraId="3517455C" w14:textId="77777777">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sz w:val="22"/>
              </w:rPr>
              <w:t>How can a taxpayer determine whether they received tips during or outside the course of their employer’s SSTB?</w:t>
            </w:r>
            <w:r w:rsidRPr="007C3FD4" w:rsidR="00AE7B74">
              <w:rPr>
                <w:rFonts w:asciiTheme="minorHAnsi" w:hAnsiTheme="minorHAnsi" w:cstheme="minorHAnsi"/>
                <w:sz w:val="22"/>
              </w:rPr>
              <w:t xml:space="preserve"> </w:t>
            </w:r>
          </w:p>
          <w:p w:rsidR="005413E5" w:rsidRPr="007C3FD4" w:rsidP="005413E5" w14:paraId="38B5C031" w14:textId="77777777">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sz w:val="22"/>
              </w:rPr>
              <w:t>Can a taxpayer still claim the deduction if their cash tips were not reported on a Form 1099 or W-2 (due to, for example, not meeting the reporting threshold)?</w:t>
            </w:r>
            <w:r w:rsidRPr="007C3FD4" w:rsidR="00AE7B74">
              <w:rPr>
                <w:rFonts w:asciiTheme="minorHAnsi" w:hAnsiTheme="minorHAnsi" w:cstheme="minorHAnsi"/>
                <w:sz w:val="22"/>
              </w:rPr>
              <w:t xml:space="preserve"> </w:t>
            </w:r>
          </w:p>
          <w:p w:rsidR="0006678A" w:rsidRPr="007C3FD4" w:rsidP="005413E5" w14:paraId="632A6249" w14:textId="0997FE9D">
            <w:pPr>
              <w:pStyle w:val="ListParagraph"/>
              <w:numPr>
                <w:ilvl w:val="0"/>
                <w:numId w:val="21"/>
              </w:numPr>
              <w:ind w:left="520" w:hanging="270"/>
              <w:rPr>
                <w:rFonts w:asciiTheme="minorHAnsi" w:hAnsiTheme="minorHAnsi" w:cstheme="minorHAnsi"/>
                <w:bCs/>
                <w:sz w:val="22"/>
              </w:rPr>
            </w:pPr>
            <w:r w:rsidRPr="007C3FD4">
              <w:rPr>
                <w:rFonts w:asciiTheme="minorHAnsi" w:hAnsiTheme="minorHAnsi" w:cstheme="minorHAnsi"/>
                <w:sz w:val="22"/>
              </w:rPr>
              <w:t>If the use of Form 4137 is permitted by non-employees, instructions on how and when taxpayers</w:t>
            </w:r>
            <w:r w:rsidRPr="007C3FD4" w:rsidR="005413E5">
              <w:rPr>
                <w:rFonts w:asciiTheme="minorHAnsi" w:hAnsiTheme="minorHAnsi" w:cstheme="minorHAnsi"/>
                <w:sz w:val="22"/>
              </w:rPr>
              <w:t xml:space="preserve"> </w:t>
            </w:r>
            <w:r w:rsidRPr="007C3FD4">
              <w:rPr>
                <w:rFonts w:asciiTheme="minorHAnsi" w:hAnsiTheme="minorHAnsi" w:cstheme="minorHAnsi"/>
                <w:sz w:val="22"/>
              </w:rPr>
              <w:t>may use this form.</w:t>
            </w:r>
          </w:p>
        </w:tc>
        <w:tc>
          <w:tcPr>
            <w:tcW w:w="4950" w:type="dxa"/>
          </w:tcPr>
          <w:p w:rsidR="00BF7092" w:rsidRPr="007C3FD4" w:rsidP="00D37F74" w14:paraId="1CE1C26C" w14:textId="20AD2ED7">
            <w:pPr>
              <w:rPr>
                <w:rFonts w:asciiTheme="minorHAnsi" w:hAnsiTheme="minorHAnsi" w:cstheme="minorHAnsi"/>
                <w:bCs/>
                <w:sz w:val="22"/>
                <w:szCs w:val="22"/>
              </w:rPr>
            </w:pPr>
            <w:r w:rsidRPr="007C3FD4">
              <w:rPr>
                <w:rFonts w:asciiTheme="minorHAnsi" w:hAnsiTheme="minorHAnsi" w:cstheme="minorHAnsi"/>
                <w:bCs/>
                <w:sz w:val="22"/>
                <w:szCs w:val="22"/>
              </w:rPr>
              <w:t xml:space="preserve">Currently, guidance for taxpayers concerning claiming this deduction can be found in the instructions to Schedule 1-A of the Form 1040 and, for the 2025 filing season, in Notice </w:t>
            </w:r>
            <w:r w:rsidRPr="007C3FD4" w:rsidR="00757031">
              <w:rPr>
                <w:rFonts w:asciiTheme="minorHAnsi" w:hAnsiTheme="minorHAnsi" w:cstheme="minorHAnsi"/>
                <w:bCs/>
                <w:sz w:val="22"/>
                <w:szCs w:val="22"/>
              </w:rPr>
              <w:t>2025-69.</w:t>
            </w:r>
            <w:r w:rsidRPr="007C3FD4" w:rsidR="00F2131D">
              <w:rPr>
                <w:rFonts w:asciiTheme="minorHAnsi" w:hAnsiTheme="minorHAnsi" w:cstheme="minorHAnsi"/>
                <w:bCs/>
                <w:sz w:val="22"/>
                <w:szCs w:val="22"/>
              </w:rPr>
              <w:t xml:space="preserve"> The</w:t>
            </w:r>
            <w:r w:rsidRPr="007C3FD4" w:rsidR="008F2380">
              <w:rPr>
                <w:rFonts w:asciiTheme="minorHAnsi" w:hAnsiTheme="minorHAnsi" w:cstheme="minorHAnsi"/>
                <w:bCs/>
                <w:sz w:val="22"/>
                <w:szCs w:val="22"/>
              </w:rPr>
              <w:t xml:space="preserve"> IRS continues to consider additional means of providing </w:t>
            </w:r>
            <w:r w:rsidRPr="007C3FD4" w:rsidR="00C55F15">
              <w:rPr>
                <w:rFonts w:asciiTheme="minorHAnsi" w:hAnsiTheme="minorHAnsi" w:cstheme="minorHAnsi"/>
                <w:bCs/>
                <w:sz w:val="22"/>
                <w:szCs w:val="22"/>
              </w:rPr>
              <w:t xml:space="preserve">guidance and information to taxpayers concerning the deduction for qualified tips under section 224. </w:t>
            </w:r>
          </w:p>
          <w:p w:rsidR="00C55F15" w:rsidRPr="007C3FD4" w:rsidP="00D37F74" w14:paraId="59D513F0" w14:textId="77777777">
            <w:pPr>
              <w:rPr>
                <w:rFonts w:asciiTheme="minorHAnsi" w:hAnsiTheme="minorHAnsi" w:cstheme="minorHAnsi"/>
                <w:bCs/>
                <w:sz w:val="22"/>
                <w:szCs w:val="22"/>
              </w:rPr>
            </w:pPr>
          </w:p>
          <w:p w:rsidR="00C55F15" w:rsidRPr="007C3FD4" w:rsidP="00D37F74" w14:paraId="4A87A92A" w14:textId="77777777">
            <w:pPr>
              <w:rPr>
                <w:rFonts w:asciiTheme="minorHAnsi" w:hAnsiTheme="minorHAnsi" w:cstheme="minorHAnsi"/>
                <w:bCs/>
                <w:sz w:val="22"/>
                <w:szCs w:val="22"/>
              </w:rPr>
            </w:pPr>
            <w:r w:rsidRPr="007C3FD4">
              <w:rPr>
                <w:rFonts w:asciiTheme="minorHAnsi" w:hAnsiTheme="minorHAnsi" w:cstheme="minorHAnsi"/>
                <w:bCs/>
                <w:sz w:val="22"/>
                <w:szCs w:val="22"/>
              </w:rPr>
              <w:t>Note that the IRS has provided relief concerning the SSTB requirement in Notice 2025-69. Specifically, the notice provides that:</w:t>
            </w:r>
          </w:p>
          <w:p w:rsidR="00C55F15" w:rsidRPr="007C3FD4" w:rsidP="00D37F74" w14:paraId="0AAC3FB1" w14:textId="77777777">
            <w:pPr>
              <w:rPr>
                <w:rFonts w:asciiTheme="minorHAnsi" w:hAnsiTheme="minorHAnsi" w:cstheme="minorHAnsi"/>
                <w:bCs/>
                <w:sz w:val="22"/>
                <w:szCs w:val="22"/>
              </w:rPr>
            </w:pPr>
          </w:p>
          <w:p w:rsidR="00C55F15" w:rsidRPr="007C3FD4" w:rsidP="00D37F74" w14:paraId="6C0979C9" w14:textId="4F79EF96">
            <w:pPr>
              <w:rPr>
                <w:rFonts w:asciiTheme="minorHAnsi" w:hAnsiTheme="minorHAnsi" w:cstheme="minorHAnsi"/>
                <w:bCs/>
                <w:sz w:val="22"/>
                <w:szCs w:val="22"/>
              </w:rPr>
            </w:pPr>
            <w:r w:rsidRPr="007C3FD4">
              <w:rPr>
                <w:rFonts w:asciiTheme="minorHAnsi" w:hAnsiTheme="minorHAnsi" w:cstheme="minorHAnsi"/>
                <w:bCs/>
                <w:sz w:val="22"/>
                <w:szCs w:val="22"/>
              </w:rPr>
              <w:t>“[U]ntil January 1 of the first calendar year following the issuance of final regulations regarding the determination of whether a trade or business is a specified service trade or business for purposes of section 224 and associated employer information reporting, the IRS will treat the employee as having received tips in the course of a trade or business that is not a specified service trade or business if the employee is in an occupation that customarily and regularly received tips on or before December 3</w:t>
            </w:r>
            <w:r w:rsidRPr="007C3FD4">
              <w:rPr>
                <w:rFonts w:asciiTheme="minorHAnsi" w:hAnsiTheme="minorHAnsi" w:cstheme="minorHAnsi"/>
                <w:bCs/>
                <w:sz w:val="22"/>
                <w:szCs w:val="22"/>
              </w:rPr>
              <w:t>1, 2024, as provided by the Secretary. The Treasury Department and the IRS intend to issue proposed regulations and solicit public comment on these issues before publishing final regulations.”</w:t>
            </w:r>
          </w:p>
        </w:tc>
      </w:tr>
      <w:tr w14:paraId="73882F2E" w14:textId="77777777" w:rsidTr="00295D87">
        <w:tblPrEx>
          <w:tblW w:w="10345" w:type="dxa"/>
          <w:tblLayout w:type="fixed"/>
          <w:tblLook w:val="04A0"/>
        </w:tblPrEx>
        <w:trPr>
          <w:trHeight w:val="1007"/>
        </w:trPr>
        <w:tc>
          <w:tcPr>
            <w:tcW w:w="715" w:type="dxa"/>
          </w:tcPr>
          <w:p w:rsidR="005413E5" w:rsidRPr="007C3FD4" w:rsidP="00D37F74" w14:paraId="51EDAC88" w14:textId="202DA0CD">
            <w:pPr>
              <w:rPr>
                <w:rFonts w:asciiTheme="minorHAnsi" w:hAnsiTheme="minorHAnsi" w:cstheme="minorHAnsi"/>
                <w:bCs/>
                <w:sz w:val="22"/>
                <w:szCs w:val="22"/>
              </w:rPr>
            </w:pPr>
            <w:r w:rsidRPr="007C3FD4">
              <w:rPr>
                <w:rFonts w:asciiTheme="minorHAnsi" w:hAnsiTheme="minorHAnsi" w:cstheme="minorHAnsi"/>
                <w:bCs/>
                <w:sz w:val="22"/>
                <w:szCs w:val="22"/>
              </w:rPr>
              <w:t>5</w:t>
            </w:r>
          </w:p>
        </w:tc>
        <w:tc>
          <w:tcPr>
            <w:tcW w:w="4680" w:type="dxa"/>
          </w:tcPr>
          <w:p w:rsidR="005413E5" w:rsidRPr="007C3FD4" w:rsidP="005413E5" w14:paraId="2E524B4C" w14:textId="170B4E2D">
            <w:pPr>
              <w:widowControl/>
              <w:rPr>
                <w:rFonts w:asciiTheme="minorHAnsi" w:hAnsiTheme="minorHAnsi" w:cstheme="minorHAnsi"/>
                <w:sz w:val="22"/>
                <w:szCs w:val="22"/>
              </w:rPr>
            </w:pPr>
            <w:r w:rsidRPr="007C3FD4">
              <w:rPr>
                <w:rFonts w:asciiTheme="minorHAnsi" w:hAnsiTheme="minorHAnsi" w:cstheme="minorHAnsi"/>
                <w:sz w:val="22"/>
                <w:szCs w:val="22"/>
              </w:rPr>
              <w:t>R</w:t>
            </w:r>
            <w:r w:rsidRPr="007C3FD4">
              <w:rPr>
                <w:rFonts w:asciiTheme="minorHAnsi" w:hAnsiTheme="minorHAnsi" w:cstheme="minorHAnsi"/>
                <w:sz w:val="22"/>
                <w:szCs w:val="22"/>
              </w:rPr>
              <w:t>ecommend that Treasury and the IRS</w:t>
            </w:r>
            <w:r w:rsidRPr="007C3FD4">
              <w:rPr>
                <w:rFonts w:asciiTheme="minorHAnsi" w:hAnsiTheme="minorHAnsi" w:cstheme="minorHAnsi"/>
                <w:sz w:val="22"/>
                <w:szCs w:val="22"/>
              </w:rPr>
              <w:t xml:space="preserve"> </w:t>
            </w:r>
            <w:r w:rsidRPr="007C3FD4">
              <w:rPr>
                <w:rFonts w:asciiTheme="minorHAnsi" w:hAnsiTheme="minorHAnsi" w:cstheme="minorHAnsi"/>
                <w:sz w:val="22"/>
                <w:szCs w:val="22"/>
              </w:rPr>
              <w:t>promulgate rules and regulations that are consistent with the simple tax deduction embodied by the colloquial</w:t>
            </w:r>
            <w:r w:rsidRPr="007C3FD4">
              <w:rPr>
                <w:rFonts w:asciiTheme="minorHAnsi" w:hAnsiTheme="minorHAnsi" w:cstheme="minorHAnsi"/>
                <w:sz w:val="22"/>
                <w:szCs w:val="22"/>
              </w:rPr>
              <w:t xml:space="preserve"> </w:t>
            </w:r>
            <w:r w:rsidRPr="007C3FD4">
              <w:rPr>
                <w:rFonts w:asciiTheme="minorHAnsi" w:hAnsiTheme="minorHAnsi" w:cstheme="minorHAnsi"/>
                <w:sz w:val="22"/>
                <w:szCs w:val="22"/>
              </w:rPr>
              <w:t>name ‘No Tax on Tips.’ Simplification of the Proposed Regulations could ease taxpayers’ burden and encourage</w:t>
            </w:r>
          </w:p>
          <w:p w:rsidR="005413E5" w:rsidRPr="007C3FD4" w:rsidP="005413E5" w14:paraId="77B20D39" w14:textId="77777777">
            <w:pPr>
              <w:rPr>
                <w:rFonts w:asciiTheme="minorHAnsi" w:hAnsiTheme="minorHAnsi" w:cstheme="minorHAnsi"/>
                <w:sz w:val="22"/>
                <w:szCs w:val="22"/>
              </w:rPr>
            </w:pPr>
            <w:r w:rsidRPr="007C3FD4">
              <w:rPr>
                <w:rFonts w:asciiTheme="minorHAnsi" w:hAnsiTheme="minorHAnsi" w:cstheme="minorHAnsi"/>
                <w:sz w:val="22"/>
                <w:szCs w:val="22"/>
              </w:rPr>
              <w:t>proper tax deduction claims while making Forms 1099 and W-2 more useful to both taxpayers and the IRS.</w:t>
            </w:r>
          </w:p>
          <w:p w:rsidR="005413E5" w:rsidRPr="007C3FD4" w:rsidP="005413E5" w14:paraId="477F20F9" w14:textId="77777777">
            <w:pPr>
              <w:rPr>
                <w:rFonts w:asciiTheme="minorHAnsi" w:hAnsiTheme="minorHAnsi" w:cstheme="minorHAnsi"/>
                <w:sz w:val="22"/>
                <w:szCs w:val="22"/>
              </w:rPr>
            </w:pPr>
          </w:p>
          <w:p w:rsidR="005413E5" w:rsidRPr="007C3FD4" w:rsidP="005413E5" w14:paraId="2600B54D" w14:textId="29BFF458">
            <w:pPr>
              <w:rPr>
                <w:rFonts w:asciiTheme="minorHAnsi" w:hAnsiTheme="minorHAnsi" w:cstheme="minorHAnsi"/>
                <w:sz w:val="22"/>
                <w:szCs w:val="22"/>
              </w:rPr>
            </w:pPr>
            <w:r w:rsidRPr="007C3FD4">
              <w:rPr>
                <w:rFonts w:asciiTheme="minorHAnsi" w:hAnsiTheme="minorHAnsi" w:cstheme="minorHAnsi"/>
                <w:sz w:val="22"/>
                <w:szCs w:val="22"/>
              </w:rPr>
              <w:t>For example, instead of the many situational examples relating to SSTBs in the Proposed Regulations, the</w:t>
            </w:r>
            <w:r w:rsidRPr="007C3FD4">
              <w:rPr>
                <w:rFonts w:asciiTheme="minorHAnsi" w:hAnsiTheme="minorHAnsi" w:cstheme="minorHAnsi"/>
                <w:sz w:val="22"/>
                <w:szCs w:val="22"/>
              </w:rPr>
              <w:t xml:space="preserve"> </w:t>
            </w:r>
            <w:r w:rsidRPr="007C3FD4">
              <w:rPr>
                <w:rFonts w:asciiTheme="minorHAnsi" w:hAnsiTheme="minorHAnsi" w:cstheme="minorHAnsi"/>
                <w:sz w:val="22"/>
                <w:szCs w:val="22"/>
              </w:rPr>
              <w:t>occupation list could be made more robust and clear with respect to the interplay between eligible occupations</w:t>
            </w:r>
            <w:r w:rsidRPr="007C3FD4">
              <w:rPr>
                <w:rFonts w:asciiTheme="minorHAnsi" w:hAnsiTheme="minorHAnsi" w:cstheme="minorHAnsi"/>
                <w:sz w:val="22"/>
                <w:szCs w:val="22"/>
              </w:rPr>
              <w:t xml:space="preserve"> </w:t>
            </w:r>
            <w:r w:rsidRPr="007C3FD4">
              <w:rPr>
                <w:rFonts w:asciiTheme="minorHAnsi" w:hAnsiTheme="minorHAnsi" w:cstheme="minorHAnsi"/>
                <w:sz w:val="22"/>
                <w:szCs w:val="22"/>
              </w:rPr>
              <w:t>and disqualification due to SSTB status. Many individuals are only looking to the occupation list to determine</w:t>
            </w:r>
            <w:r w:rsidRPr="007C3FD4">
              <w:rPr>
                <w:rFonts w:asciiTheme="minorHAnsi" w:hAnsiTheme="minorHAnsi" w:cstheme="minorHAnsi"/>
                <w:sz w:val="22"/>
                <w:szCs w:val="22"/>
              </w:rPr>
              <w:t xml:space="preserve"> </w:t>
            </w:r>
            <w:r w:rsidRPr="007C3FD4">
              <w:rPr>
                <w:rFonts w:asciiTheme="minorHAnsi" w:hAnsiTheme="minorHAnsi" w:cstheme="minorHAnsi"/>
                <w:sz w:val="22"/>
                <w:szCs w:val="22"/>
              </w:rPr>
              <w:t>their eligibility; they are not poring over the Proposed Regulations to understand the nuances of when an eligible</w:t>
            </w:r>
            <w:r w:rsidRPr="007C3FD4">
              <w:rPr>
                <w:rFonts w:asciiTheme="minorHAnsi" w:hAnsiTheme="minorHAnsi" w:cstheme="minorHAnsi"/>
                <w:sz w:val="22"/>
                <w:szCs w:val="22"/>
              </w:rPr>
              <w:t xml:space="preserve"> </w:t>
            </w:r>
            <w:r w:rsidRPr="007C3FD4">
              <w:rPr>
                <w:rFonts w:asciiTheme="minorHAnsi" w:hAnsiTheme="minorHAnsi" w:cstheme="minorHAnsi"/>
                <w:sz w:val="22"/>
                <w:szCs w:val="22"/>
              </w:rPr>
              <w:t>occupation is, in fact, no longer eligible.</w:t>
            </w:r>
          </w:p>
        </w:tc>
        <w:tc>
          <w:tcPr>
            <w:tcW w:w="4950" w:type="dxa"/>
          </w:tcPr>
          <w:p w:rsidR="005413E5" w:rsidRPr="007C3FD4" w:rsidP="00D37F74" w14:paraId="4885376D" w14:textId="77777777">
            <w:pPr>
              <w:rPr>
                <w:rFonts w:asciiTheme="minorHAnsi" w:hAnsiTheme="minorHAnsi" w:cstheme="minorHAnsi"/>
                <w:bCs/>
                <w:sz w:val="22"/>
                <w:szCs w:val="22"/>
              </w:rPr>
            </w:pPr>
            <w:r w:rsidRPr="007C3FD4">
              <w:rPr>
                <w:rFonts w:asciiTheme="minorHAnsi" w:hAnsiTheme="minorHAnsi" w:cstheme="minorHAnsi"/>
                <w:bCs/>
                <w:sz w:val="22"/>
                <w:szCs w:val="22"/>
              </w:rPr>
              <w:t xml:space="preserve">In promulgating rules and regulations, Treasury and the IRS endeavor to reduce taxpayer burden, encourage proper tax treatment, and also </w:t>
            </w:r>
            <w:r w:rsidRPr="007C3FD4" w:rsidR="00EE1F54">
              <w:rPr>
                <w:rFonts w:asciiTheme="minorHAnsi" w:hAnsiTheme="minorHAnsi" w:cstheme="minorHAnsi"/>
                <w:bCs/>
                <w:sz w:val="22"/>
                <w:szCs w:val="22"/>
              </w:rPr>
              <w:t>remain consistent with statutory</w:t>
            </w:r>
            <w:r w:rsidRPr="007C3FD4" w:rsidR="009E7AC5">
              <w:rPr>
                <w:rFonts w:asciiTheme="minorHAnsi" w:hAnsiTheme="minorHAnsi" w:cstheme="minorHAnsi"/>
                <w:bCs/>
                <w:sz w:val="22"/>
                <w:szCs w:val="22"/>
              </w:rPr>
              <w:t xml:space="preserve"> requirements. </w:t>
            </w:r>
          </w:p>
          <w:p w:rsidR="009E7AC5" w:rsidRPr="007C3FD4" w:rsidP="00D37F74" w14:paraId="1A7DB80A" w14:textId="77777777">
            <w:pPr>
              <w:rPr>
                <w:rFonts w:asciiTheme="minorHAnsi" w:hAnsiTheme="minorHAnsi" w:cstheme="minorHAnsi"/>
                <w:bCs/>
                <w:sz w:val="22"/>
                <w:szCs w:val="22"/>
              </w:rPr>
            </w:pPr>
          </w:p>
          <w:p w:rsidR="009E7AC5" w:rsidRPr="007C3FD4" w:rsidP="00D37F74" w14:paraId="043800ED" w14:textId="42949A9F">
            <w:pPr>
              <w:rPr>
                <w:rFonts w:asciiTheme="minorHAnsi" w:hAnsiTheme="minorHAnsi" w:cstheme="minorHAnsi"/>
                <w:bCs/>
                <w:sz w:val="22"/>
                <w:szCs w:val="22"/>
              </w:rPr>
            </w:pPr>
            <w:r w:rsidRPr="007C3FD4">
              <w:rPr>
                <w:rFonts w:asciiTheme="minorHAnsi" w:hAnsiTheme="minorHAnsi" w:cstheme="minorHAnsi"/>
                <w:bCs/>
                <w:sz w:val="22"/>
                <w:szCs w:val="22"/>
              </w:rPr>
              <w:t xml:space="preserve">Note that </w:t>
            </w:r>
            <w:r w:rsidRPr="007C3FD4">
              <w:rPr>
                <w:rFonts w:asciiTheme="minorHAnsi" w:hAnsiTheme="minorHAnsi" w:cstheme="minorHAnsi"/>
                <w:bCs/>
                <w:sz w:val="22"/>
                <w:szCs w:val="22"/>
              </w:rPr>
              <w:t>Notice 2025-69 provides relief concerning th</w:t>
            </w:r>
            <w:r w:rsidRPr="007C3FD4">
              <w:rPr>
                <w:rFonts w:asciiTheme="minorHAnsi" w:hAnsiTheme="minorHAnsi" w:cstheme="minorHAnsi"/>
                <w:bCs/>
                <w:sz w:val="22"/>
                <w:szCs w:val="22"/>
              </w:rPr>
              <w:t>e SSTB</w:t>
            </w:r>
            <w:r w:rsidRPr="007C3FD4">
              <w:rPr>
                <w:rFonts w:asciiTheme="minorHAnsi" w:hAnsiTheme="minorHAnsi" w:cstheme="minorHAnsi"/>
                <w:bCs/>
                <w:sz w:val="22"/>
                <w:szCs w:val="22"/>
              </w:rPr>
              <w:t xml:space="preserve"> restriction </w:t>
            </w:r>
            <w:r w:rsidRPr="007C3FD4">
              <w:rPr>
                <w:rFonts w:asciiTheme="minorHAnsi" w:hAnsiTheme="minorHAnsi" w:cstheme="minorHAnsi"/>
                <w:bCs/>
                <w:sz w:val="22"/>
                <w:szCs w:val="22"/>
              </w:rPr>
              <w:t xml:space="preserve">in section 224 </w:t>
            </w:r>
            <w:r w:rsidRPr="007C3FD4">
              <w:rPr>
                <w:rFonts w:asciiTheme="minorHAnsi" w:hAnsiTheme="minorHAnsi" w:cstheme="minorHAnsi"/>
                <w:bCs/>
                <w:sz w:val="22"/>
                <w:szCs w:val="22"/>
              </w:rPr>
              <w:t>(see previous response).</w:t>
            </w:r>
          </w:p>
        </w:tc>
      </w:tr>
      <w:tr w14:paraId="3C8DED3C" w14:textId="77777777" w:rsidTr="00D37F74">
        <w:tblPrEx>
          <w:tblW w:w="10345" w:type="dxa"/>
          <w:tblLayout w:type="fixed"/>
          <w:tblLook w:val="04A0"/>
        </w:tblPrEx>
        <w:tc>
          <w:tcPr>
            <w:tcW w:w="715" w:type="dxa"/>
          </w:tcPr>
          <w:p w:rsidR="00BF7092" w:rsidRPr="007C3FD4" w:rsidP="00D37F74" w14:paraId="779A91D6" w14:textId="458F0688">
            <w:pPr>
              <w:rPr>
                <w:rFonts w:asciiTheme="minorHAnsi" w:hAnsiTheme="minorHAnsi" w:cstheme="minorHAnsi"/>
                <w:bCs/>
                <w:sz w:val="22"/>
                <w:szCs w:val="22"/>
              </w:rPr>
            </w:pPr>
            <w:r w:rsidRPr="007C3FD4">
              <w:rPr>
                <w:rFonts w:asciiTheme="minorHAnsi" w:hAnsiTheme="minorHAnsi" w:cstheme="minorHAnsi"/>
                <w:bCs/>
                <w:sz w:val="22"/>
                <w:szCs w:val="22"/>
              </w:rPr>
              <w:t>6</w:t>
            </w:r>
          </w:p>
        </w:tc>
        <w:tc>
          <w:tcPr>
            <w:tcW w:w="4680" w:type="dxa"/>
          </w:tcPr>
          <w:p w:rsidR="00B24C8F" w:rsidRPr="007C3FD4" w:rsidP="00B24C8F" w14:paraId="2B9C535E" w14:textId="77777777">
            <w:pPr>
              <w:widowControl/>
              <w:rPr>
                <w:rFonts w:asciiTheme="minorHAnsi" w:hAnsiTheme="minorHAnsi" w:cstheme="minorHAnsi"/>
                <w:sz w:val="22"/>
                <w:szCs w:val="22"/>
              </w:rPr>
            </w:pPr>
            <w:r w:rsidRPr="007C3FD4">
              <w:rPr>
                <w:rFonts w:asciiTheme="minorHAnsi" w:hAnsiTheme="minorHAnsi" w:cstheme="minorHAnsi"/>
                <w:sz w:val="22"/>
                <w:szCs w:val="22"/>
              </w:rPr>
              <w:t xml:space="preserve">Provide alternatives to tip recipients who do not receive Forms 1099. </w:t>
            </w:r>
            <w:r w:rsidRPr="007C3FD4" w:rsidR="00B94E6E">
              <w:rPr>
                <w:rFonts w:asciiTheme="minorHAnsi" w:hAnsiTheme="minorHAnsi" w:cstheme="minorHAnsi"/>
                <w:sz w:val="22"/>
                <w:szCs w:val="22"/>
              </w:rPr>
              <w:t>T</w:t>
            </w:r>
            <w:r w:rsidRPr="007C3FD4">
              <w:rPr>
                <w:rFonts w:asciiTheme="minorHAnsi" w:hAnsiTheme="minorHAnsi" w:cstheme="minorHAnsi"/>
                <w:sz w:val="22"/>
                <w:szCs w:val="22"/>
              </w:rPr>
              <w:t xml:space="preserve">here will be many instances where the presence and/or amount of cash tips is unknown to the TPSO. </w:t>
            </w:r>
            <w:r w:rsidRPr="007C3FD4" w:rsidR="00B94E6E">
              <w:rPr>
                <w:rFonts w:asciiTheme="minorHAnsi" w:hAnsiTheme="minorHAnsi" w:cstheme="minorHAnsi"/>
                <w:sz w:val="22"/>
                <w:szCs w:val="22"/>
              </w:rPr>
              <w:t xml:space="preserve">Individuals </w:t>
            </w:r>
            <w:r w:rsidRPr="007C3FD4">
              <w:rPr>
                <w:rFonts w:asciiTheme="minorHAnsi" w:hAnsiTheme="minorHAnsi" w:cstheme="minorHAnsi"/>
                <w:sz w:val="22"/>
                <w:szCs w:val="22"/>
              </w:rPr>
              <w:t xml:space="preserve">may not meet the reporting threshold of more than $20,000 and more than 200 transactions for the provision of goods or services. </w:t>
            </w:r>
          </w:p>
          <w:p w:rsidR="00B94E6E" w:rsidRPr="007C3FD4" w:rsidP="00B24C8F" w14:paraId="05C7AD1D" w14:textId="77777777">
            <w:pPr>
              <w:widowControl/>
              <w:rPr>
                <w:rFonts w:asciiTheme="minorHAnsi" w:hAnsiTheme="minorHAnsi" w:cstheme="minorHAnsi"/>
                <w:sz w:val="22"/>
                <w:szCs w:val="22"/>
              </w:rPr>
            </w:pPr>
          </w:p>
          <w:p w:rsidR="00B94E6E" w:rsidRPr="007C3FD4" w:rsidP="00B24C8F" w14:paraId="7FD9AB62" w14:textId="29E03C32">
            <w:pPr>
              <w:widowControl/>
              <w:rPr>
                <w:rFonts w:asciiTheme="minorHAnsi" w:hAnsiTheme="minorHAnsi" w:cstheme="minorHAnsi"/>
                <w:sz w:val="22"/>
                <w:szCs w:val="22"/>
              </w:rPr>
            </w:pPr>
            <w:r w:rsidRPr="007C3FD4">
              <w:rPr>
                <w:rFonts w:asciiTheme="minorHAnsi" w:hAnsiTheme="minorHAnsi" w:cstheme="minorHAnsi"/>
                <w:sz w:val="22"/>
                <w:szCs w:val="22"/>
              </w:rPr>
              <w:t>Recommend that tip recipients b</w:t>
            </w:r>
            <w:r w:rsidRPr="007C3FD4" w:rsidR="003422EA">
              <w:rPr>
                <w:rFonts w:asciiTheme="minorHAnsi" w:hAnsiTheme="minorHAnsi" w:cstheme="minorHAnsi"/>
                <w:sz w:val="22"/>
                <w:szCs w:val="22"/>
              </w:rPr>
              <w:t xml:space="preserve">e </w:t>
            </w:r>
            <w:r w:rsidRPr="007C3FD4">
              <w:rPr>
                <w:rFonts w:asciiTheme="minorHAnsi" w:hAnsiTheme="minorHAnsi" w:cstheme="minorHAnsi"/>
                <w:sz w:val="22"/>
                <w:szCs w:val="22"/>
              </w:rPr>
              <w:t xml:space="preserve">allowed to use Form 4137 when cash tips were not reported on Form 1099. </w:t>
            </w:r>
          </w:p>
        </w:tc>
        <w:tc>
          <w:tcPr>
            <w:tcW w:w="4950" w:type="dxa"/>
          </w:tcPr>
          <w:p w:rsidR="00BF7092" w:rsidRPr="007C3FD4" w:rsidP="00D37F74" w14:paraId="5C90DD7D" w14:textId="19530E89">
            <w:pPr>
              <w:rPr>
                <w:rFonts w:asciiTheme="minorHAnsi" w:hAnsiTheme="minorHAnsi" w:cstheme="minorHAnsi"/>
                <w:bCs/>
                <w:sz w:val="22"/>
                <w:szCs w:val="22"/>
              </w:rPr>
            </w:pPr>
            <w:r w:rsidRPr="007C3FD4">
              <w:rPr>
                <w:rFonts w:asciiTheme="minorHAnsi" w:hAnsiTheme="minorHAnsi" w:cstheme="minorHAnsi"/>
                <w:bCs/>
                <w:sz w:val="22"/>
                <w:szCs w:val="22"/>
              </w:rPr>
              <w:t>Section 224</w:t>
            </w:r>
            <w:r w:rsidRPr="007C3FD4" w:rsidR="00EB26ED">
              <w:rPr>
                <w:rFonts w:asciiTheme="minorHAnsi" w:hAnsiTheme="minorHAnsi" w:cstheme="minorHAnsi"/>
                <w:bCs/>
                <w:sz w:val="22"/>
                <w:szCs w:val="22"/>
              </w:rPr>
              <w:t>(a)</w:t>
            </w:r>
            <w:r w:rsidRPr="007C3FD4">
              <w:rPr>
                <w:rFonts w:asciiTheme="minorHAnsi" w:hAnsiTheme="minorHAnsi" w:cstheme="minorHAnsi"/>
                <w:bCs/>
                <w:sz w:val="22"/>
                <w:szCs w:val="22"/>
              </w:rPr>
              <w:t xml:space="preserve"> requires that tips paid to non-employees be reported on a Form 1099 to be eligible for the deduction under section 224. The IRS does not have the statutory authority to provide a means of avoiding this statutory requirement.</w:t>
            </w:r>
          </w:p>
        </w:tc>
      </w:tr>
      <w:tr w14:paraId="7B4DFB8A" w14:textId="77777777" w:rsidTr="00D37F74">
        <w:tblPrEx>
          <w:tblW w:w="10345" w:type="dxa"/>
          <w:tblLayout w:type="fixed"/>
          <w:tblLook w:val="04A0"/>
        </w:tblPrEx>
        <w:tc>
          <w:tcPr>
            <w:tcW w:w="715" w:type="dxa"/>
          </w:tcPr>
          <w:p w:rsidR="00BF7092" w:rsidRPr="007C3FD4" w:rsidP="00D37F74" w14:paraId="2BD2F50F" w14:textId="3CA5287D">
            <w:pPr>
              <w:rPr>
                <w:rFonts w:asciiTheme="minorHAnsi" w:hAnsiTheme="minorHAnsi" w:cstheme="minorHAnsi"/>
                <w:bCs/>
                <w:sz w:val="22"/>
                <w:szCs w:val="22"/>
              </w:rPr>
            </w:pPr>
            <w:r w:rsidRPr="007C3FD4">
              <w:rPr>
                <w:rFonts w:asciiTheme="minorHAnsi" w:hAnsiTheme="minorHAnsi" w:cstheme="minorHAnsi"/>
                <w:bCs/>
                <w:sz w:val="22"/>
                <w:szCs w:val="22"/>
              </w:rPr>
              <w:t>7</w:t>
            </w:r>
          </w:p>
        </w:tc>
        <w:tc>
          <w:tcPr>
            <w:tcW w:w="4680" w:type="dxa"/>
          </w:tcPr>
          <w:p w:rsidR="00BF7092" w:rsidRPr="007C3FD4" w:rsidP="00D37F74" w14:paraId="1CF33B68" w14:textId="4B52E497">
            <w:pPr>
              <w:rPr>
                <w:rFonts w:asciiTheme="minorHAnsi" w:hAnsiTheme="minorHAnsi" w:cstheme="minorHAnsi"/>
                <w:bCs/>
                <w:sz w:val="22"/>
                <w:szCs w:val="22"/>
              </w:rPr>
            </w:pPr>
            <w:r w:rsidRPr="007C3FD4">
              <w:rPr>
                <w:rFonts w:asciiTheme="minorHAnsi" w:hAnsiTheme="minorHAnsi" w:cstheme="minorHAnsi"/>
                <w:sz w:val="22"/>
                <w:szCs w:val="22"/>
              </w:rPr>
              <w:t xml:space="preserve">We recommend that the IRS develop additional certifications for Form 1040 relating to qualified tip deduction eligibility and the taxpayer’s occupation(s) instead of relying on reported occupations from TPSOs and other payors. If this is not feasible, we would appreciate guidance on how TPSOs should navigate </w:t>
            </w:r>
            <w:r w:rsidRPr="007C3FD4" w:rsidR="00E7060B">
              <w:rPr>
                <w:rFonts w:asciiTheme="minorHAnsi" w:hAnsiTheme="minorHAnsi" w:cstheme="minorHAnsi"/>
                <w:sz w:val="22"/>
                <w:szCs w:val="22"/>
              </w:rPr>
              <w:t>complex issues</w:t>
            </w:r>
            <w:r w:rsidRPr="007C3FD4">
              <w:rPr>
                <w:rFonts w:asciiTheme="minorHAnsi" w:hAnsiTheme="minorHAnsi" w:cstheme="minorHAnsi"/>
                <w:sz w:val="22"/>
                <w:szCs w:val="22"/>
              </w:rPr>
              <w:t xml:space="preserve"> </w:t>
            </w:r>
            <w:r w:rsidRPr="007C3FD4" w:rsidR="00E7060B">
              <w:rPr>
                <w:rFonts w:asciiTheme="minorHAnsi" w:hAnsiTheme="minorHAnsi" w:cstheme="minorHAnsi"/>
                <w:sz w:val="22"/>
                <w:szCs w:val="22"/>
              </w:rPr>
              <w:t xml:space="preserve">that </w:t>
            </w:r>
            <w:r w:rsidRPr="007C3FD4">
              <w:rPr>
                <w:rFonts w:asciiTheme="minorHAnsi" w:hAnsiTheme="minorHAnsi" w:cstheme="minorHAnsi"/>
                <w:sz w:val="22"/>
                <w:szCs w:val="22"/>
              </w:rPr>
              <w:t>is practicable for both TPSOs and the IRS, acknowledging that this need is immediate for TPSOs to properly handle cash tips paid beginning on January 1, 2026.</w:t>
            </w:r>
          </w:p>
        </w:tc>
        <w:tc>
          <w:tcPr>
            <w:tcW w:w="4950" w:type="dxa"/>
          </w:tcPr>
          <w:p w:rsidR="00BF7092" w:rsidRPr="007C3FD4" w:rsidP="00D37F74" w14:paraId="58882D1A" w14:textId="3BEB1E84">
            <w:pPr>
              <w:rPr>
                <w:rFonts w:asciiTheme="minorHAnsi" w:hAnsiTheme="minorHAnsi" w:cstheme="minorHAnsi"/>
                <w:bCs/>
                <w:sz w:val="22"/>
                <w:szCs w:val="22"/>
              </w:rPr>
            </w:pPr>
            <w:r w:rsidRPr="007C3FD4">
              <w:rPr>
                <w:rFonts w:asciiTheme="minorHAnsi" w:hAnsiTheme="minorHAnsi" w:cstheme="minorHAnsi"/>
                <w:bCs/>
                <w:sz w:val="22"/>
                <w:szCs w:val="22"/>
              </w:rPr>
              <w:t>Section 224</w:t>
            </w:r>
            <w:r w:rsidRPr="007C3FD4" w:rsidR="00091F72">
              <w:rPr>
                <w:rFonts w:asciiTheme="minorHAnsi" w:hAnsiTheme="minorHAnsi" w:cstheme="minorHAnsi"/>
                <w:bCs/>
                <w:sz w:val="22"/>
                <w:szCs w:val="22"/>
              </w:rPr>
              <w:t>(a)</w:t>
            </w:r>
            <w:r w:rsidRPr="007C3FD4">
              <w:rPr>
                <w:rFonts w:asciiTheme="minorHAnsi" w:hAnsiTheme="minorHAnsi" w:cstheme="minorHAnsi"/>
                <w:bCs/>
                <w:sz w:val="22"/>
                <w:szCs w:val="22"/>
              </w:rPr>
              <w:t xml:space="preserve"> requires that tips paid to non-employees be reported on a Form 1099 to be eligible for the deduction under section 224. The IRS does not have the statutory authority to provide a means of avoiding this statutory requirement.</w:t>
            </w:r>
          </w:p>
          <w:p w:rsidR="0029308D" w:rsidRPr="007C3FD4" w:rsidP="00D37F74" w14:paraId="0D1B69A4" w14:textId="77777777">
            <w:pPr>
              <w:rPr>
                <w:rFonts w:asciiTheme="minorHAnsi" w:hAnsiTheme="minorHAnsi" w:cstheme="minorHAnsi"/>
                <w:bCs/>
                <w:sz w:val="22"/>
                <w:szCs w:val="22"/>
              </w:rPr>
            </w:pPr>
          </w:p>
          <w:p w:rsidR="0029308D" w:rsidRPr="007C3FD4" w:rsidP="0029308D" w14:paraId="15AD0476" w14:textId="62EB5FBD">
            <w:pPr>
              <w:rPr>
                <w:rFonts w:asciiTheme="minorHAnsi" w:hAnsiTheme="minorHAnsi" w:cstheme="minorHAnsi"/>
                <w:bCs/>
                <w:sz w:val="22"/>
                <w:szCs w:val="22"/>
              </w:rPr>
            </w:pPr>
            <w:r w:rsidRPr="007C3FD4">
              <w:rPr>
                <w:rFonts w:asciiTheme="minorHAnsi" w:hAnsiTheme="minorHAnsi" w:cstheme="minorHAnsi"/>
                <w:bCs/>
                <w:sz w:val="22"/>
                <w:szCs w:val="22"/>
              </w:rPr>
              <w:t>The IRS continues to consider additional means of providing guidance and information to taxpayers concerning the deduction for qualified tips under section 224 and the related reporting requirements.</w:t>
            </w:r>
          </w:p>
          <w:p w:rsidR="0029308D" w:rsidRPr="007C3FD4" w:rsidP="00D37F74" w14:paraId="3A3AC2BF" w14:textId="107BD1E9">
            <w:pPr>
              <w:rPr>
                <w:rFonts w:asciiTheme="minorHAnsi" w:hAnsiTheme="minorHAnsi" w:cstheme="minorHAnsi"/>
                <w:bCs/>
                <w:sz w:val="22"/>
                <w:szCs w:val="22"/>
              </w:rPr>
            </w:pPr>
          </w:p>
        </w:tc>
      </w:tr>
    </w:tbl>
    <w:p w:rsidR="00A209F0" w:rsidRPr="007C3FD4" w:rsidP="00530200" w14:paraId="3419F401" w14:textId="754E2BFC">
      <w:pPr>
        <w:widowControl/>
        <w:autoSpaceDE/>
        <w:autoSpaceDN/>
        <w:adjustRightInd/>
        <w:rPr>
          <w:rFonts w:asciiTheme="minorHAnsi" w:hAnsiTheme="minorHAnsi" w:cstheme="minorHAnsi"/>
          <w:sz w:val="22"/>
          <w:szCs w:val="22"/>
        </w:rPr>
      </w:pPr>
    </w:p>
    <w:sectPr w:rsidSect="00173479">
      <w:headerReference w:type="default" r:id="rId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0C9" w14:paraId="59E747A8"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0C15CE">
      <w:rPr>
        <w:rFonts w:cs="Courier"/>
        <w:b/>
        <w:bCs/>
        <w:noProof/>
      </w:rPr>
      <w:t>1</w:t>
    </w:r>
    <w:r>
      <w:rPr>
        <w:rFonts w:cs="Courier"/>
        <w:b/>
        <w:bCs/>
      </w:rPr>
      <w:fldChar w:fldCharType="end"/>
    </w:r>
  </w:p>
  <w:p w:rsidR="00A630C9" w14:paraId="18B4D4DF" w14:textId="77777777"/>
  <w:p w:rsidR="00A630C9" w14:paraId="6C57248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FE72366"/>
    <w:multiLevelType w:val="hybridMultilevel"/>
    <w:tmpl w:val="4D6C8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2080114">
    <w:abstractNumId w:val="0"/>
    <w:lvlOverride w:ilvl="0">
      <w:startOverride w:val="1"/>
      <w:lvl w:ilvl="0">
        <w:start w:val="1"/>
        <w:numFmt w:val="decimal"/>
        <w:pStyle w:val="Quick1"/>
        <w:lvlText w:val="%1."/>
        <w:lvlJc w:val="left"/>
      </w:lvl>
    </w:lvlOverride>
  </w:num>
  <w:num w:numId="2" w16cid:durableId="120043028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30613642">
    <w:abstractNumId w:val="0"/>
    <w:lvlOverride w:ilvl="0">
      <w:startOverride w:val="4"/>
      <w:lvl w:ilvl="0">
        <w:start w:val="4"/>
        <w:numFmt w:val="decimal"/>
        <w:pStyle w:val="Quick1"/>
        <w:lvlText w:val="%1."/>
        <w:lvlJc w:val="left"/>
      </w:lvl>
    </w:lvlOverride>
  </w:num>
  <w:num w:numId="4" w16cid:durableId="1698964161">
    <w:abstractNumId w:val="0"/>
    <w:lvlOverride w:ilvl="0">
      <w:startOverride w:val="6"/>
      <w:lvl w:ilvl="0">
        <w:start w:val="6"/>
        <w:numFmt w:val="decimal"/>
        <w:pStyle w:val="Quick1"/>
        <w:lvlText w:val="%1."/>
        <w:lvlJc w:val="left"/>
      </w:lvl>
    </w:lvlOverride>
  </w:num>
  <w:num w:numId="5" w16cid:durableId="753747749">
    <w:abstractNumId w:val="0"/>
    <w:lvlOverride w:ilvl="0">
      <w:startOverride w:val="8"/>
      <w:lvl w:ilvl="0">
        <w:start w:val="8"/>
        <w:numFmt w:val="decimal"/>
        <w:pStyle w:val="Quick1"/>
        <w:lvlText w:val="%1."/>
        <w:lvlJc w:val="left"/>
      </w:lvl>
    </w:lvlOverride>
  </w:num>
  <w:num w:numId="6" w16cid:durableId="1883247359">
    <w:abstractNumId w:val="0"/>
    <w:lvlOverride w:ilvl="0">
      <w:startOverride w:val="10"/>
      <w:lvl w:ilvl="0">
        <w:start w:val="10"/>
        <w:numFmt w:val="decimal"/>
        <w:pStyle w:val="Quick1"/>
        <w:lvlText w:val="%1."/>
        <w:lvlJc w:val="left"/>
      </w:lvl>
    </w:lvlOverride>
  </w:num>
  <w:num w:numId="7" w16cid:durableId="456870671">
    <w:abstractNumId w:val="0"/>
    <w:lvlOverride w:ilvl="0">
      <w:startOverride w:val="15"/>
      <w:lvl w:ilvl="0">
        <w:start w:val="15"/>
        <w:numFmt w:val="decimal"/>
        <w:pStyle w:val="Quick1"/>
        <w:lvlText w:val="%1."/>
        <w:lvlJc w:val="left"/>
      </w:lvl>
    </w:lvlOverride>
  </w:num>
  <w:num w:numId="8" w16cid:durableId="906063864">
    <w:abstractNumId w:val="0"/>
    <w:lvlOverride w:ilvl="0">
      <w:startOverride w:val="18"/>
      <w:lvl w:ilvl="0">
        <w:start w:val="18"/>
        <w:numFmt w:val="decimal"/>
        <w:pStyle w:val="Quick1"/>
        <w:lvlText w:val="%1."/>
        <w:lvlJc w:val="left"/>
      </w:lvl>
    </w:lvlOverride>
  </w:num>
  <w:num w:numId="9" w16cid:durableId="1212812487">
    <w:abstractNumId w:val="0"/>
    <w:lvlOverride w:ilvl="0">
      <w:startOverride w:val="17"/>
      <w:lvl w:ilvl="0">
        <w:start w:val="17"/>
        <w:numFmt w:val="decimal"/>
        <w:pStyle w:val="Quick1"/>
        <w:lvlText w:val="%1."/>
        <w:lvlJc w:val="left"/>
      </w:lvl>
    </w:lvlOverride>
  </w:num>
  <w:num w:numId="10" w16cid:durableId="379061622">
    <w:abstractNumId w:val="0"/>
    <w:lvlOverride w:ilvl="0">
      <w:startOverride w:val="15"/>
      <w:lvl w:ilvl="0">
        <w:start w:val="15"/>
        <w:numFmt w:val="decimal"/>
        <w:pStyle w:val="Quick1"/>
        <w:lvlText w:val="%1."/>
        <w:lvlJc w:val="left"/>
      </w:lvl>
    </w:lvlOverride>
  </w:num>
  <w:num w:numId="11" w16cid:durableId="1741052906">
    <w:abstractNumId w:val="0"/>
    <w:lvlOverride w:ilvl="0">
      <w:startOverride w:val="17"/>
      <w:lvl w:ilvl="0">
        <w:start w:val="17"/>
        <w:numFmt w:val="decimal"/>
        <w:pStyle w:val="Quick1"/>
        <w:lvlText w:val="%1."/>
        <w:lvlJc w:val="left"/>
      </w:lvl>
    </w:lvlOverride>
  </w:num>
  <w:num w:numId="12" w16cid:durableId="277337">
    <w:abstractNumId w:val="0"/>
    <w:lvlOverride w:ilvl="0">
      <w:startOverride w:val="17"/>
      <w:lvl w:ilvl="0">
        <w:start w:val="17"/>
        <w:numFmt w:val="decimal"/>
        <w:pStyle w:val="Quick1"/>
        <w:lvlText w:val="%1."/>
        <w:lvlJc w:val="left"/>
      </w:lvl>
    </w:lvlOverride>
  </w:num>
  <w:num w:numId="13" w16cid:durableId="205214948">
    <w:abstractNumId w:val="0"/>
    <w:lvlOverride w:ilvl="0">
      <w:startOverride w:val="17"/>
      <w:lvl w:ilvl="0">
        <w:start w:val="17"/>
        <w:numFmt w:val="decimal"/>
        <w:pStyle w:val="Quick1"/>
        <w:lvlText w:val="%1."/>
        <w:lvlJc w:val="left"/>
      </w:lvl>
    </w:lvlOverride>
  </w:num>
  <w:num w:numId="14" w16cid:durableId="822547411">
    <w:abstractNumId w:val="0"/>
    <w:lvlOverride w:ilvl="0">
      <w:startOverride w:val="17"/>
      <w:lvl w:ilvl="0">
        <w:start w:val="17"/>
        <w:numFmt w:val="decimal"/>
        <w:pStyle w:val="Quick1"/>
        <w:lvlText w:val="%1."/>
        <w:lvlJc w:val="left"/>
      </w:lvl>
    </w:lvlOverride>
  </w:num>
  <w:num w:numId="15" w16cid:durableId="205411209">
    <w:abstractNumId w:val="0"/>
    <w:lvlOverride w:ilvl="0">
      <w:startOverride w:val="17"/>
      <w:lvl w:ilvl="0">
        <w:start w:val="17"/>
        <w:numFmt w:val="decimal"/>
        <w:pStyle w:val="Quick1"/>
        <w:lvlText w:val="%1."/>
        <w:lvlJc w:val="left"/>
      </w:lvl>
    </w:lvlOverride>
  </w:num>
  <w:num w:numId="16" w16cid:durableId="2096248039">
    <w:abstractNumId w:val="0"/>
    <w:lvlOverride w:ilvl="0">
      <w:startOverride w:val="17"/>
      <w:lvl w:ilvl="0">
        <w:start w:val="17"/>
        <w:numFmt w:val="decimal"/>
        <w:pStyle w:val="Quick1"/>
        <w:lvlText w:val="%1."/>
        <w:lvlJc w:val="left"/>
      </w:lvl>
    </w:lvlOverride>
  </w:num>
  <w:num w:numId="17" w16cid:durableId="1085030712">
    <w:abstractNumId w:val="0"/>
    <w:lvlOverride w:ilvl="0">
      <w:startOverride w:val="17"/>
      <w:lvl w:ilvl="0">
        <w:start w:val="17"/>
        <w:numFmt w:val="decimal"/>
        <w:pStyle w:val="Quick1"/>
        <w:lvlText w:val="%1."/>
        <w:lvlJc w:val="left"/>
      </w:lvl>
    </w:lvlOverride>
  </w:num>
  <w:num w:numId="18" w16cid:durableId="131409600">
    <w:abstractNumId w:val="0"/>
    <w:lvlOverride w:ilvl="0">
      <w:startOverride w:val="18"/>
      <w:lvl w:ilvl="0">
        <w:start w:val="18"/>
        <w:numFmt w:val="decimal"/>
        <w:pStyle w:val="Quick1"/>
        <w:lvlText w:val="%1."/>
        <w:lvlJc w:val="left"/>
      </w:lvl>
    </w:lvlOverride>
  </w:num>
  <w:num w:numId="19" w16cid:durableId="534118469">
    <w:abstractNumId w:val="0"/>
    <w:lvlOverride w:ilvl="0">
      <w:startOverride w:val="18"/>
      <w:lvl w:ilvl="0">
        <w:start w:val="18"/>
        <w:numFmt w:val="decimal"/>
        <w:pStyle w:val="Quick1"/>
        <w:lvlText w:val="%1."/>
        <w:lvlJc w:val="left"/>
      </w:lvl>
    </w:lvlOverride>
  </w:num>
  <w:num w:numId="20" w16cid:durableId="1559626809">
    <w:abstractNumId w:val="0"/>
    <w:lvlOverride w:ilvl="0">
      <w:startOverride w:val="18"/>
      <w:lvl w:ilvl="0">
        <w:start w:val="18"/>
        <w:numFmt w:val="decimal"/>
        <w:pStyle w:val="Quick1"/>
        <w:lvlText w:val="%1."/>
        <w:lvlJc w:val="left"/>
      </w:lvl>
    </w:lvlOverride>
  </w:num>
  <w:num w:numId="21" w16cid:durableId="201290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79"/>
    <w:rsid w:val="00030A2F"/>
    <w:rsid w:val="00031FEB"/>
    <w:rsid w:val="00033903"/>
    <w:rsid w:val="00061DF2"/>
    <w:rsid w:val="00065FD1"/>
    <w:rsid w:val="0006678A"/>
    <w:rsid w:val="00071775"/>
    <w:rsid w:val="00076B9C"/>
    <w:rsid w:val="000854E2"/>
    <w:rsid w:val="00091F72"/>
    <w:rsid w:val="00092D7B"/>
    <w:rsid w:val="000A1B16"/>
    <w:rsid w:val="000B438E"/>
    <w:rsid w:val="000C15CE"/>
    <w:rsid w:val="000D2FA9"/>
    <w:rsid w:val="000D419D"/>
    <w:rsid w:val="001016D4"/>
    <w:rsid w:val="00112D27"/>
    <w:rsid w:val="001237FF"/>
    <w:rsid w:val="0012386D"/>
    <w:rsid w:val="00125681"/>
    <w:rsid w:val="001474E7"/>
    <w:rsid w:val="00152CF6"/>
    <w:rsid w:val="0015330B"/>
    <w:rsid w:val="001606C5"/>
    <w:rsid w:val="00164738"/>
    <w:rsid w:val="001707DE"/>
    <w:rsid w:val="00173479"/>
    <w:rsid w:val="0018312A"/>
    <w:rsid w:val="00190C2E"/>
    <w:rsid w:val="001B7274"/>
    <w:rsid w:val="001D527F"/>
    <w:rsid w:val="00200E96"/>
    <w:rsid w:val="00206C84"/>
    <w:rsid w:val="00213B68"/>
    <w:rsid w:val="002358B8"/>
    <w:rsid w:val="00237BA5"/>
    <w:rsid w:val="00256262"/>
    <w:rsid w:val="00260095"/>
    <w:rsid w:val="002656F5"/>
    <w:rsid w:val="002779E0"/>
    <w:rsid w:val="002847B2"/>
    <w:rsid w:val="00292D73"/>
    <w:rsid w:val="0029308D"/>
    <w:rsid w:val="00295D87"/>
    <w:rsid w:val="002A0B56"/>
    <w:rsid w:val="002B1A40"/>
    <w:rsid w:val="002B2145"/>
    <w:rsid w:val="002B6B88"/>
    <w:rsid w:val="002D22BB"/>
    <w:rsid w:val="002D2D2C"/>
    <w:rsid w:val="002E5BD8"/>
    <w:rsid w:val="002E6D32"/>
    <w:rsid w:val="00312AF5"/>
    <w:rsid w:val="00321FCE"/>
    <w:rsid w:val="0032514E"/>
    <w:rsid w:val="003329CD"/>
    <w:rsid w:val="00333BAC"/>
    <w:rsid w:val="003422EA"/>
    <w:rsid w:val="00352873"/>
    <w:rsid w:val="00354DCD"/>
    <w:rsid w:val="00361777"/>
    <w:rsid w:val="003936A1"/>
    <w:rsid w:val="00394F58"/>
    <w:rsid w:val="003B0C37"/>
    <w:rsid w:val="003B1CE3"/>
    <w:rsid w:val="003E06FC"/>
    <w:rsid w:val="003E0C56"/>
    <w:rsid w:val="003E1107"/>
    <w:rsid w:val="003F5F42"/>
    <w:rsid w:val="00435907"/>
    <w:rsid w:val="00437CE2"/>
    <w:rsid w:val="00451111"/>
    <w:rsid w:val="00465D59"/>
    <w:rsid w:val="00467C49"/>
    <w:rsid w:val="00475638"/>
    <w:rsid w:val="004768E0"/>
    <w:rsid w:val="004800DB"/>
    <w:rsid w:val="004A2465"/>
    <w:rsid w:val="004A7D00"/>
    <w:rsid w:val="004B18E9"/>
    <w:rsid w:val="004B2B6D"/>
    <w:rsid w:val="004E49FD"/>
    <w:rsid w:val="00506EDF"/>
    <w:rsid w:val="005241A4"/>
    <w:rsid w:val="00525D32"/>
    <w:rsid w:val="00530200"/>
    <w:rsid w:val="005413E5"/>
    <w:rsid w:val="0055300F"/>
    <w:rsid w:val="0055653B"/>
    <w:rsid w:val="0056364C"/>
    <w:rsid w:val="00566008"/>
    <w:rsid w:val="00581C10"/>
    <w:rsid w:val="005863BD"/>
    <w:rsid w:val="00591AD2"/>
    <w:rsid w:val="005A6CC3"/>
    <w:rsid w:val="005D74CB"/>
    <w:rsid w:val="005E11CD"/>
    <w:rsid w:val="005E1E93"/>
    <w:rsid w:val="00603FD5"/>
    <w:rsid w:val="006162B6"/>
    <w:rsid w:val="00624BEC"/>
    <w:rsid w:val="00634B8D"/>
    <w:rsid w:val="00647B9E"/>
    <w:rsid w:val="00651959"/>
    <w:rsid w:val="0066585B"/>
    <w:rsid w:val="00666B25"/>
    <w:rsid w:val="006816F7"/>
    <w:rsid w:val="00682253"/>
    <w:rsid w:val="00692B58"/>
    <w:rsid w:val="00695037"/>
    <w:rsid w:val="006B7709"/>
    <w:rsid w:val="006C6236"/>
    <w:rsid w:val="006D0206"/>
    <w:rsid w:val="006E21CE"/>
    <w:rsid w:val="007007D8"/>
    <w:rsid w:val="00730555"/>
    <w:rsid w:val="007369C1"/>
    <w:rsid w:val="00753AC1"/>
    <w:rsid w:val="00757031"/>
    <w:rsid w:val="007651B8"/>
    <w:rsid w:val="00771923"/>
    <w:rsid w:val="00775A59"/>
    <w:rsid w:val="007775B1"/>
    <w:rsid w:val="007B4596"/>
    <w:rsid w:val="007C287F"/>
    <w:rsid w:val="007C3FD4"/>
    <w:rsid w:val="007C4C49"/>
    <w:rsid w:val="007C7FAB"/>
    <w:rsid w:val="007C7FE1"/>
    <w:rsid w:val="007D33A5"/>
    <w:rsid w:val="00812194"/>
    <w:rsid w:val="00812263"/>
    <w:rsid w:val="0081302F"/>
    <w:rsid w:val="00816A1D"/>
    <w:rsid w:val="0084003A"/>
    <w:rsid w:val="00841589"/>
    <w:rsid w:val="00857687"/>
    <w:rsid w:val="00860006"/>
    <w:rsid w:val="00863CEC"/>
    <w:rsid w:val="008C5F92"/>
    <w:rsid w:val="008C75CD"/>
    <w:rsid w:val="008C77D2"/>
    <w:rsid w:val="008C7E77"/>
    <w:rsid w:val="008F2380"/>
    <w:rsid w:val="00904A59"/>
    <w:rsid w:val="00906765"/>
    <w:rsid w:val="00906B57"/>
    <w:rsid w:val="00914CD4"/>
    <w:rsid w:val="009310D6"/>
    <w:rsid w:val="009517E1"/>
    <w:rsid w:val="00960704"/>
    <w:rsid w:val="009720EE"/>
    <w:rsid w:val="00976159"/>
    <w:rsid w:val="00994C90"/>
    <w:rsid w:val="009B7642"/>
    <w:rsid w:val="009D53AC"/>
    <w:rsid w:val="009E7AC5"/>
    <w:rsid w:val="00A02ACF"/>
    <w:rsid w:val="00A0354D"/>
    <w:rsid w:val="00A043E2"/>
    <w:rsid w:val="00A209F0"/>
    <w:rsid w:val="00A239E2"/>
    <w:rsid w:val="00A31A6E"/>
    <w:rsid w:val="00A40D9A"/>
    <w:rsid w:val="00A51834"/>
    <w:rsid w:val="00A55F64"/>
    <w:rsid w:val="00A630C9"/>
    <w:rsid w:val="00A6797B"/>
    <w:rsid w:val="00A7609F"/>
    <w:rsid w:val="00A9036B"/>
    <w:rsid w:val="00A90E71"/>
    <w:rsid w:val="00AA02ED"/>
    <w:rsid w:val="00AC7AE0"/>
    <w:rsid w:val="00AE4F02"/>
    <w:rsid w:val="00AE7B74"/>
    <w:rsid w:val="00AF35F8"/>
    <w:rsid w:val="00AF36C7"/>
    <w:rsid w:val="00B24C8F"/>
    <w:rsid w:val="00B24E6E"/>
    <w:rsid w:val="00B318CF"/>
    <w:rsid w:val="00B4212F"/>
    <w:rsid w:val="00B52BE8"/>
    <w:rsid w:val="00B52BF8"/>
    <w:rsid w:val="00B803F3"/>
    <w:rsid w:val="00B94E6E"/>
    <w:rsid w:val="00B97FF3"/>
    <w:rsid w:val="00BB174B"/>
    <w:rsid w:val="00BD41C5"/>
    <w:rsid w:val="00BE5FB0"/>
    <w:rsid w:val="00BF7092"/>
    <w:rsid w:val="00C03E30"/>
    <w:rsid w:val="00C32A42"/>
    <w:rsid w:val="00C33A8A"/>
    <w:rsid w:val="00C37208"/>
    <w:rsid w:val="00C44C05"/>
    <w:rsid w:val="00C44CC9"/>
    <w:rsid w:val="00C4613B"/>
    <w:rsid w:val="00C50CAD"/>
    <w:rsid w:val="00C55F15"/>
    <w:rsid w:val="00C6101E"/>
    <w:rsid w:val="00C705AA"/>
    <w:rsid w:val="00C71C10"/>
    <w:rsid w:val="00C767D4"/>
    <w:rsid w:val="00C9594F"/>
    <w:rsid w:val="00CB1886"/>
    <w:rsid w:val="00CB284C"/>
    <w:rsid w:val="00CB6EBE"/>
    <w:rsid w:val="00CC5071"/>
    <w:rsid w:val="00D37F74"/>
    <w:rsid w:val="00D4667A"/>
    <w:rsid w:val="00D72155"/>
    <w:rsid w:val="00D90BF5"/>
    <w:rsid w:val="00D966AF"/>
    <w:rsid w:val="00DA01BF"/>
    <w:rsid w:val="00DA16AF"/>
    <w:rsid w:val="00DC0BF4"/>
    <w:rsid w:val="00DD3F01"/>
    <w:rsid w:val="00DE038A"/>
    <w:rsid w:val="00DF65EF"/>
    <w:rsid w:val="00E00671"/>
    <w:rsid w:val="00E04305"/>
    <w:rsid w:val="00E15A13"/>
    <w:rsid w:val="00E20541"/>
    <w:rsid w:val="00E2684E"/>
    <w:rsid w:val="00E2717A"/>
    <w:rsid w:val="00E60B2A"/>
    <w:rsid w:val="00E628D1"/>
    <w:rsid w:val="00E7060B"/>
    <w:rsid w:val="00E931A3"/>
    <w:rsid w:val="00EA141E"/>
    <w:rsid w:val="00EA435E"/>
    <w:rsid w:val="00EB26ED"/>
    <w:rsid w:val="00ED584F"/>
    <w:rsid w:val="00EE0CFB"/>
    <w:rsid w:val="00EE1F54"/>
    <w:rsid w:val="00EE3D74"/>
    <w:rsid w:val="00EF6394"/>
    <w:rsid w:val="00EF6C5E"/>
    <w:rsid w:val="00EF7C72"/>
    <w:rsid w:val="00F11D28"/>
    <w:rsid w:val="00F152F8"/>
    <w:rsid w:val="00F2131D"/>
    <w:rsid w:val="00F50D99"/>
    <w:rsid w:val="00F53D96"/>
    <w:rsid w:val="00F63F73"/>
    <w:rsid w:val="00F65640"/>
    <w:rsid w:val="00F769F2"/>
    <w:rsid w:val="00FB7331"/>
    <w:rsid w:val="00FC1CA3"/>
    <w:rsid w:val="00FF09F4"/>
    <w:rsid w:val="00FF29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B4E29B"/>
  <w15:chartTrackingRefBased/>
  <w15:docId w15:val="{0AA3CCEE-A5C0-46FD-8B15-537F5482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D41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customStyle="1" w:styleId="Level1">
    <w:name w:val="Level 1"/>
    <w:basedOn w:val="Normal"/>
    <w:pPr>
      <w:numPr>
        <w:numId w:val="2"/>
      </w:numPr>
      <w:ind w:left="720" w:hanging="720"/>
      <w:outlineLvl w:val="0"/>
    </w:pPr>
  </w:style>
  <w:style w:type="character" w:styleId="Hyperlink">
    <w:name w:val="Hyperlink"/>
    <w:unhideWhenUsed/>
    <w:rsid w:val="0015330B"/>
    <w:rPr>
      <w:color w:val="0000FF"/>
      <w:u w:val="single"/>
    </w:rPr>
  </w:style>
  <w:style w:type="paragraph" w:styleId="PlainText">
    <w:name w:val="Plain Text"/>
    <w:basedOn w:val="Normal"/>
    <w:link w:val="PlainTextChar"/>
    <w:unhideWhenUsed/>
    <w:rsid w:val="00ED584F"/>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ED584F"/>
    <w:rPr>
      <w:rFonts w:ascii="Courier New" w:hAnsi="Courier New" w:cs="Courier New"/>
    </w:rPr>
  </w:style>
  <w:style w:type="character" w:customStyle="1" w:styleId="documentbody1">
    <w:name w:val="documentbody1"/>
    <w:rsid w:val="00ED584F"/>
    <w:rPr>
      <w:rFonts w:ascii="Verdana" w:hAnsi="Verdana" w:hint="default"/>
      <w:sz w:val="19"/>
      <w:szCs w:val="19"/>
    </w:rPr>
  </w:style>
  <w:style w:type="paragraph" w:styleId="NormalWeb">
    <w:name w:val="Normal (Web)"/>
    <w:basedOn w:val="Normal"/>
    <w:uiPriority w:val="99"/>
    <w:unhideWhenUsed/>
    <w:rsid w:val="00ED584F"/>
    <w:pPr>
      <w:widowControl/>
      <w:autoSpaceDE/>
      <w:autoSpaceDN/>
      <w:adjustRightInd/>
      <w:spacing w:before="150" w:after="150"/>
    </w:pPr>
    <w:rPr>
      <w:rFonts w:ascii="Times New Roman" w:hAnsi="Times New Roman"/>
    </w:rPr>
  </w:style>
  <w:style w:type="paragraph" w:styleId="BalloonText">
    <w:name w:val="Balloon Text"/>
    <w:basedOn w:val="Normal"/>
    <w:link w:val="BalloonTextChar"/>
    <w:rsid w:val="00C705AA"/>
    <w:rPr>
      <w:rFonts w:ascii="Segoe UI" w:hAnsi="Segoe UI" w:cs="Segoe UI"/>
      <w:sz w:val="18"/>
      <w:szCs w:val="18"/>
    </w:rPr>
  </w:style>
  <w:style w:type="character" w:customStyle="1" w:styleId="BalloonTextChar">
    <w:name w:val="Balloon Text Char"/>
    <w:link w:val="BalloonText"/>
    <w:rsid w:val="00C705AA"/>
    <w:rPr>
      <w:rFonts w:ascii="Segoe UI" w:hAnsi="Segoe UI" w:cs="Segoe UI"/>
      <w:sz w:val="18"/>
      <w:szCs w:val="18"/>
    </w:rPr>
  </w:style>
  <w:style w:type="character" w:styleId="CommentReference">
    <w:name w:val="annotation reference"/>
    <w:basedOn w:val="DefaultParagraphFont"/>
    <w:rsid w:val="002358B8"/>
    <w:rPr>
      <w:sz w:val="16"/>
      <w:szCs w:val="16"/>
    </w:rPr>
  </w:style>
  <w:style w:type="paragraph" w:styleId="CommentText">
    <w:name w:val="annotation text"/>
    <w:basedOn w:val="Normal"/>
    <w:link w:val="CommentTextChar"/>
    <w:rsid w:val="002358B8"/>
    <w:rPr>
      <w:sz w:val="20"/>
      <w:szCs w:val="20"/>
    </w:rPr>
  </w:style>
  <w:style w:type="character" w:customStyle="1" w:styleId="CommentTextChar">
    <w:name w:val="Comment Text Char"/>
    <w:basedOn w:val="DefaultParagraphFont"/>
    <w:link w:val="CommentText"/>
    <w:rsid w:val="002358B8"/>
    <w:rPr>
      <w:rFonts w:ascii="Courier" w:hAnsi="Courier"/>
    </w:rPr>
  </w:style>
  <w:style w:type="paragraph" w:styleId="CommentSubject">
    <w:name w:val="annotation subject"/>
    <w:basedOn w:val="CommentText"/>
    <w:next w:val="CommentText"/>
    <w:link w:val="CommentSubjectChar"/>
    <w:rsid w:val="002358B8"/>
    <w:rPr>
      <w:b/>
      <w:bCs/>
    </w:rPr>
  </w:style>
  <w:style w:type="character" w:customStyle="1" w:styleId="CommentSubjectChar">
    <w:name w:val="Comment Subject Char"/>
    <w:basedOn w:val="CommentTextChar"/>
    <w:link w:val="CommentSubject"/>
    <w:rsid w:val="002358B8"/>
    <w:rPr>
      <w:rFonts w:ascii="Courier" w:hAnsi="Courier"/>
      <w:b/>
      <w:bCs/>
    </w:rPr>
  </w:style>
  <w:style w:type="character" w:styleId="FollowedHyperlink">
    <w:name w:val="FollowedHyperlink"/>
    <w:basedOn w:val="DefaultParagraphFont"/>
    <w:rsid w:val="00A6797B"/>
    <w:rPr>
      <w:color w:val="954F72" w:themeColor="followedHyperlink"/>
      <w:u w:val="single"/>
    </w:rPr>
  </w:style>
  <w:style w:type="paragraph" w:customStyle="1" w:styleId="Default">
    <w:name w:val="Default"/>
    <w:rsid w:val="002B1A40"/>
    <w:pPr>
      <w:autoSpaceDE w:val="0"/>
      <w:autoSpaceDN w:val="0"/>
      <w:adjustRightInd w:val="0"/>
    </w:pPr>
    <w:rPr>
      <w:color w:val="000000"/>
      <w:sz w:val="24"/>
      <w:szCs w:val="24"/>
    </w:rPr>
  </w:style>
  <w:style w:type="table" w:styleId="TableGrid">
    <w:name w:val="Table Grid"/>
    <w:basedOn w:val="TableNormal"/>
    <w:uiPriority w:val="59"/>
    <w:rsid w:val="00E0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B56"/>
    <w:pPr>
      <w:widowControl/>
      <w:autoSpaceDE/>
      <w:autoSpaceDN/>
      <w:adjustRightInd/>
      <w:ind w:left="720"/>
      <w:contextualSpacing/>
    </w:pPr>
    <w:rPr>
      <w:rFonts w:ascii="Times New Roman" w:hAnsi="Times New Roman" w:eastAsiaTheme="minorHAnsi" w:cstheme="minorBidi"/>
      <w:szCs w:val="22"/>
    </w:rPr>
  </w:style>
  <w:style w:type="character" w:customStyle="1" w:styleId="Heading1Char">
    <w:name w:val="Heading 1 Char"/>
    <w:basedOn w:val="DefaultParagraphFont"/>
    <w:link w:val="Heading1"/>
    <w:rsid w:val="000D41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7657-5F94-411E-B58A-A9A17178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926</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Stasko Molly J</cp:lastModifiedBy>
  <cp:revision>3</cp:revision>
  <cp:lastPrinted>2019-05-28T18:38:00Z</cp:lastPrinted>
  <dcterms:created xsi:type="dcterms:W3CDTF">2026-04-21T19:53:00Z</dcterms:created>
  <dcterms:modified xsi:type="dcterms:W3CDTF">2026-04-21T19:54:00Z</dcterms:modified>
</cp:coreProperties>
</file>