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82F45" w:rsidP="005F26B6" w14:paraId="0FE2D7CA" w14:textId="77777777">
      <w:pPr>
        <w:pStyle w:val="Heading1"/>
        <w:spacing w:before="0" w:after="0"/>
        <w:jc w:val="center"/>
      </w:pPr>
      <w:r>
        <w:t>Regulations.gov Public Comments</w:t>
      </w:r>
    </w:p>
    <w:p w:rsidR="00B82F45" w:rsidP="005F26B6" w14:paraId="1AD2E2FA" w14:textId="68C2738A">
      <w:pPr>
        <w:pStyle w:val="Heading2"/>
        <w:spacing w:before="0" w:after="0"/>
        <w:jc w:val="center"/>
      </w:pPr>
      <w:r>
        <w:t>Paper Medical Information Collection</w:t>
      </w:r>
    </w:p>
    <w:p w:rsidR="00A26B45" w:rsidP="005F26B6" w14:paraId="203A0479" w14:textId="08B125BC">
      <w:pPr>
        <w:pStyle w:val="Heading2"/>
        <w:spacing w:before="0" w:after="0"/>
        <w:jc w:val="center"/>
      </w:pPr>
      <w:r>
        <w:t>60-day Notice and Comment Period Ending June 16, 2025</w:t>
      </w:r>
    </w:p>
    <w:p w:rsidR="00B82F45" w:rsidP="005F26B6" w14:paraId="102B0000" w14:textId="77777777">
      <w:pPr>
        <w:spacing w:after="0"/>
      </w:pPr>
    </w:p>
    <w:p w:rsidR="3EA041D4" w:rsidP="00C43C23" w14:paraId="7C9206ED" w14:textId="64A5DAEA">
      <w:pPr>
        <w:pStyle w:val="Heading3"/>
        <w:spacing w:after="0"/>
      </w:pPr>
      <w:r>
        <w:t>Comment from AILA</w:t>
      </w:r>
    </w:p>
    <w:p w:rsidR="3B7440DA" w:rsidP="3B7440DA" w14:paraId="10AE7314" w14:textId="11E093B2">
      <w:pPr>
        <w:spacing w:after="0" w:line="240" w:lineRule="auto"/>
      </w:pPr>
    </w:p>
    <w:p w:rsidR="01AB317A" w:rsidP="00343BF9" w14:paraId="08636ED6" w14:textId="120727ED">
      <w:pPr>
        <w:spacing w:after="0" w:line="240" w:lineRule="auto"/>
      </w:pPr>
      <w:r>
        <w:t>Senior Regulatory Coordinator</w:t>
      </w:r>
    </w:p>
    <w:p w:rsidR="01AB317A" w:rsidP="00343BF9" w14:paraId="092BAFFE" w14:textId="4DB61127">
      <w:pPr>
        <w:spacing w:after="0" w:line="240" w:lineRule="auto"/>
      </w:pPr>
      <w:r>
        <w:t>Visa Services</w:t>
      </w:r>
    </w:p>
    <w:p w:rsidR="01AB317A" w:rsidP="00343BF9" w14:paraId="65E53F6D" w14:textId="17E70D2C">
      <w:pPr>
        <w:spacing w:after="0" w:line="240" w:lineRule="auto"/>
      </w:pPr>
      <w:r>
        <w:t>Department of State</w:t>
      </w:r>
    </w:p>
    <w:p w:rsidR="01AB317A" w:rsidP="00343BF9" w14:paraId="4C57538A" w14:textId="665C46F5">
      <w:pPr>
        <w:spacing w:after="0" w:line="240" w:lineRule="auto"/>
      </w:pPr>
      <w:r>
        <w:t>600 19th St. NW</w:t>
      </w:r>
    </w:p>
    <w:p w:rsidR="01AB317A" w:rsidP="00AF6990" w14:paraId="1C686A94" w14:textId="113A5BA7">
      <w:pPr>
        <w:spacing w:after="120" w:line="240" w:lineRule="auto"/>
      </w:pPr>
      <w:r>
        <w:t>Washington, DC 20006</w:t>
      </w:r>
    </w:p>
    <w:p w:rsidR="3B7440DA" w:rsidP="00AF6990" w14:paraId="7044B2FE" w14:textId="0F6F0F57">
      <w:pPr>
        <w:spacing w:after="120" w:line="240" w:lineRule="auto"/>
      </w:pPr>
    </w:p>
    <w:p w:rsidR="01AB317A" w:rsidP="00AF6990" w14:paraId="19379C37" w14:textId="050D767F">
      <w:pPr>
        <w:spacing w:after="120" w:line="240" w:lineRule="auto"/>
      </w:pPr>
      <w:r>
        <w:t xml:space="preserve">Re: </w:t>
      </w:r>
      <w:r>
        <w:tab/>
        <w:t>Comment on:</w:t>
      </w:r>
      <w:r w:rsidR="26F3ED8B">
        <w:t xml:space="preserve"> </w:t>
      </w:r>
      <w:r w:rsidR="000F2982">
        <w:t xml:space="preserve"> </w:t>
      </w:r>
      <w:r>
        <w:t>60-Day Notice of Proposed Information Collection: Medical</w:t>
      </w:r>
      <w:r w:rsidR="0C074DEC">
        <w:t xml:space="preserve"> </w:t>
      </w:r>
      <w:r>
        <w:t>Examination for Visa or Immigration Benefit (DOS-2025-0002)</w:t>
      </w:r>
    </w:p>
    <w:p w:rsidR="3B7440DA" w:rsidP="00AF6990" w14:paraId="23736198" w14:textId="62AC3429">
      <w:pPr>
        <w:spacing w:after="120" w:line="240" w:lineRule="auto"/>
      </w:pPr>
    </w:p>
    <w:p w:rsidR="01AB317A" w:rsidP="00343BF9" w14:paraId="403E75D7" w14:textId="0C9570A8">
      <w:pPr>
        <w:spacing w:after="240" w:line="240" w:lineRule="auto"/>
      </w:pPr>
      <w:r>
        <w:t>To Whom it May Concern:</w:t>
      </w:r>
    </w:p>
    <w:p w:rsidR="01AB317A" w:rsidP="00343BF9" w14:paraId="058F04BE" w14:textId="7CFAC194">
      <w:pPr>
        <w:spacing w:after="240" w:line="240" w:lineRule="auto"/>
      </w:pPr>
      <w:r>
        <w:t>Established in 1946, the American Immigration Lawyers Association (AILA) is a voluntary bar</w:t>
      </w:r>
      <w:r w:rsidR="71C7DF3E">
        <w:t xml:space="preserve"> </w:t>
      </w:r>
      <w:r>
        <w:t>association of more than 17,000 attorneys and law professors practicing, researching, and</w:t>
      </w:r>
      <w:r w:rsidR="713D2BF0">
        <w:t xml:space="preserve"> </w:t>
      </w:r>
      <w:r>
        <w:t>teaching in the field of immigration and nationality law. AILA’s mission includes the</w:t>
      </w:r>
      <w:r w:rsidR="59D3B573">
        <w:t xml:space="preserve"> </w:t>
      </w:r>
      <w:r>
        <w:t>advancement of the law pertaining to immigration and naturalization, and the facilitation of</w:t>
      </w:r>
      <w:r w:rsidR="6D582709">
        <w:t xml:space="preserve"> </w:t>
      </w:r>
      <w:r>
        <w:t>justice in the field. AILA members regularly advise and represent businesses, U.S. citizens, U.S.</w:t>
      </w:r>
      <w:r w:rsidR="71282ABC">
        <w:t xml:space="preserve"> </w:t>
      </w:r>
      <w:r>
        <w:t>lawful permanent residents, and foreign nationals regarding the application and interpretation of</w:t>
      </w:r>
      <w:r w:rsidR="2F575C09">
        <w:t xml:space="preserve"> </w:t>
      </w:r>
      <w:r>
        <w:t>U.S. immigration laws. The collective expertise and experience of our members makes us</w:t>
      </w:r>
      <w:r w:rsidR="1D53AD2C">
        <w:t xml:space="preserve"> </w:t>
      </w:r>
      <w:r>
        <w:t>especially well-qualified to offer comments on the proposed changes to several immigration</w:t>
      </w:r>
      <w:r w:rsidR="5126CE3F">
        <w:t xml:space="preserve"> </w:t>
      </w:r>
      <w:r>
        <w:t>forms that will benefit both the public and the agency.</w:t>
      </w:r>
    </w:p>
    <w:p w:rsidR="01AB317A" w:rsidP="00343BF9" w14:paraId="3F0A46B5" w14:textId="59CEEA98">
      <w:pPr>
        <w:spacing w:after="240" w:line="240" w:lineRule="auto"/>
      </w:pPr>
      <w:r>
        <w:t>AILA submits this comment in response to the Department of State’s 60-day notice of proposed</w:t>
      </w:r>
      <w:r w:rsidR="152A3BF7">
        <w:t xml:space="preserve"> </w:t>
      </w:r>
      <w:r>
        <w:t>information collection for “Medical Examination for Visa or Immigration Benefit” (Forms DS-2054, DS-3025, DS-3026, DS-3030). We write to express concern about the Department’s</w:t>
      </w:r>
      <w:r w:rsidR="49723C7B">
        <w:t xml:space="preserve"> </w:t>
      </w:r>
      <w:r>
        <w:t>reclassification of the “respondent” for these forms from the visa applicant to the panel</w:t>
      </w:r>
      <w:r w:rsidR="2C6608D5">
        <w:t xml:space="preserve"> </w:t>
      </w:r>
      <w:r>
        <w:t>physician. This change, as reflected in the Federal Register notice, shifts the identified</w:t>
      </w:r>
      <w:r w:rsidR="77364853">
        <w:t xml:space="preserve"> </w:t>
      </w:r>
      <w:r>
        <w:t>respondents from “Visa and Refugee Applicants” in prior approvals to “Panel Physicians on</w:t>
      </w:r>
      <w:r w:rsidR="65B5FB42">
        <w:t xml:space="preserve"> </w:t>
      </w:r>
      <w:r>
        <w:t>behalf of Visa Applicants” in the current request. While we understand this reclassification may</w:t>
      </w:r>
      <w:r w:rsidR="4C9DC5C1">
        <w:t xml:space="preserve"> </w:t>
      </w:r>
      <w:r>
        <w:t>be intended for Paperwork Reduction Act accounting, we note the significant implications to visa</w:t>
      </w:r>
      <w:r w:rsidR="69833DC2">
        <w:t xml:space="preserve"> </w:t>
      </w:r>
      <w:r>
        <w:t>applicants’ privacy and access to their own medical records. We urge the Department to</w:t>
      </w:r>
      <w:r w:rsidR="78620216">
        <w:t xml:space="preserve"> </w:t>
      </w:r>
      <w:r>
        <w:t>recognize that, despite the panel physician’s role in form completion, the medical information</w:t>
      </w:r>
      <w:r w:rsidR="13C52E5E">
        <w:t xml:space="preserve"> </w:t>
      </w:r>
      <w:r>
        <w:t>recorded pertains to the individual visa applicant and implicates their personal data rights.</w:t>
      </w:r>
    </w:p>
    <w:p w:rsidR="01AB317A" w:rsidP="00343BF9" w14:paraId="69D4158A" w14:textId="4F30D746">
      <w:pPr>
        <w:spacing w:after="240" w:line="240" w:lineRule="auto"/>
      </w:pPr>
      <w:r>
        <w:t>Under the reclassified framework, the panel physician – not the applicant – is deemed the</w:t>
      </w:r>
      <w:r w:rsidR="23D73E31">
        <w:t xml:space="preserve"> </w:t>
      </w:r>
      <w:r>
        <w:t>information provider for the medical examination forms. We are concerned that this technical</w:t>
      </w:r>
      <w:r w:rsidR="479E0053">
        <w:t xml:space="preserve"> </w:t>
      </w:r>
      <w:r>
        <w:t>shift could be interpreted to mean that the data is legally attributed to or “owned” by the</w:t>
      </w:r>
      <w:r w:rsidR="7B0E4CEE">
        <w:t xml:space="preserve"> </w:t>
      </w:r>
      <w:r>
        <w:t>physician rather than the applicant. Such an interpretation may undermine visa applicants’ ability</w:t>
      </w:r>
      <w:r w:rsidR="3FB8E3BF">
        <w:t xml:space="preserve"> </w:t>
      </w:r>
      <w:r>
        <w:t>to obtain copies of their own medical examination results. DOS policy treats visa records as</w:t>
      </w:r>
      <w:r w:rsidR="65A2BC88">
        <w:t xml:space="preserve"> </w:t>
      </w:r>
      <w:r>
        <w:t>highly confidential and generally not disclosable under FOIA or the Privacy Act “unless the</w:t>
      </w:r>
      <w:r w:rsidR="3273A7E1">
        <w:t xml:space="preserve"> </w:t>
      </w:r>
      <w:r>
        <w:t>document was submitted by or sent to the requesting party.” A panel physician’s medical report,</w:t>
      </w:r>
      <w:r w:rsidR="202314BA">
        <w:t xml:space="preserve"> </w:t>
      </w:r>
      <w:r>
        <w:t>which is submitted directly to the consular officer and not given to the applicant, squarely falls</w:t>
      </w:r>
      <w:r w:rsidR="1990B4E3">
        <w:t xml:space="preserve"> </w:t>
      </w:r>
      <w:r>
        <w:t>outside the category of records “submitted by or sent to” the applicant. The Foreign Affairs</w:t>
      </w:r>
      <w:r w:rsidR="32AD8E09">
        <w:t xml:space="preserve"> </w:t>
      </w:r>
      <w:r>
        <w:t>Manual confirms that “visa records and information contained in a visa applicant's file are</w:t>
      </w:r>
      <w:r w:rsidR="2DB5047C">
        <w:t xml:space="preserve"> </w:t>
      </w:r>
      <w:r>
        <w:t>statutorily exempt from release” under these disclosure laws (pursuant to INA § 222(f), 8 U.S.C.</w:t>
      </w:r>
      <w:r w:rsidR="666DE128">
        <w:t xml:space="preserve"> </w:t>
      </w:r>
      <w:r>
        <w:t>§1202(f)). In other words, by treating the panel physician as the respondent and direct submitter</w:t>
      </w:r>
      <w:r w:rsidR="047F738F">
        <w:t xml:space="preserve"> </w:t>
      </w:r>
      <w:r>
        <w:t>of the DS-2054, DS-3025, DS-3026, and DS-3030 forms, the Department could effectively deny</w:t>
      </w:r>
      <w:r w:rsidR="5E33F3C6">
        <w:t xml:space="preserve"> </w:t>
      </w:r>
      <w:r>
        <w:t>visa applicants access to their own medical information on the grounds of statutory</w:t>
      </w:r>
      <w:r w:rsidR="6D0FEAA2">
        <w:t xml:space="preserve"> </w:t>
      </w:r>
      <w:r>
        <w:t>confidentiality.</w:t>
      </w:r>
    </w:p>
    <w:p w:rsidR="01AB317A" w:rsidP="00343BF9" w14:paraId="68B0A6A4" w14:textId="23E1BFC9">
      <w:pPr>
        <w:spacing w:after="240" w:line="240" w:lineRule="auto"/>
      </w:pPr>
      <w:r>
        <w:t>This outcome would be fundamentally at odds with prevailing principles of individual privacy</w:t>
      </w:r>
      <w:r w:rsidR="235DC12D">
        <w:t xml:space="preserve"> </w:t>
      </w:r>
      <w:r>
        <w:t>and data access. The information collected in the visa medical exam forms – results of diagnostic</w:t>
      </w:r>
      <w:r w:rsidR="5BB9A5E5">
        <w:t xml:space="preserve"> </w:t>
      </w:r>
      <w:r>
        <w:t>tests, vaccination records, diagnoses of communicable diseases or other health conditions – is</w:t>
      </w:r>
      <w:r w:rsidR="6EE78C83">
        <w:t xml:space="preserve"> </w:t>
      </w:r>
      <w:r>
        <w:t>highly sensitive personal health data. Although the forms are completed by a panel physician, the</w:t>
      </w:r>
      <w:r w:rsidR="11FB659E">
        <w:t xml:space="preserve"> </w:t>
      </w:r>
      <w:r>
        <w:t>underlying data concerns the visa applicant’s body, health, and medical history. The</w:t>
      </w:r>
      <w:r w:rsidR="00C83FF2">
        <w:t xml:space="preserve"> </w:t>
      </w:r>
      <w:r>
        <w:t>Department’s methodology acknowledges that after the physician completes the exam and forms,</w:t>
      </w:r>
      <w:r w:rsidR="38605B25">
        <w:t xml:space="preserve"> </w:t>
      </w:r>
      <w:r>
        <w:t>the information is retained by the Department’s Bureau of Consular Affairs and shared with</w:t>
      </w:r>
      <w:r w:rsidR="39D2D3C5">
        <w:t xml:space="preserve"> </w:t>
      </w:r>
      <w:r>
        <w:t>other U.S. agencies as needed. In substance, these records become part of the government’s files</w:t>
      </w:r>
      <w:r w:rsidR="2231AE43">
        <w:t xml:space="preserve"> </w:t>
      </w:r>
      <w:r>
        <w:t>on the individual applicant. It would be a concerning result if a visa applicant could be prevented</w:t>
      </w:r>
      <w:r w:rsidR="3813AA54">
        <w:t xml:space="preserve"> </w:t>
      </w:r>
      <w:r>
        <w:t>from ever seeing or obtaining information about their own health that the U.S. government uses</w:t>
      </w:r>
      <w:r w:rsidR="7A8CD53D">
        <w:t xml:space="preserve"> </w:t>
      </w:r>
      <w:r>
        <w:t>to evaluate their visa eligibility. Moreover, if a panel physician discovers a health issue about</w:t>
      </w:r>
      <w:r w:rsidR="7963E57A">
        <w:t xml:space="preserve"> </w:t>
      </w:r>
      <w:r>
        <w:t>the applicant, the applicant should be aware so that they can get necessary treatment.</w:t>
      </w:r>
    </w:p>
    <w:p w:rsidR="01AB317A" w:rsidP="00343BF9" w14:paraId="0F98FBBE" w14:textId="506E4E89">
      <w:pPr>
        <w:spacing w:after="240" w:line="240" w:lineRule="auto"/>
      </w:pPr>
      <w:r>
        <w:t>Both law and policy in the United States have long recognized that individuals have a right to</w:t>
      </w:r>
      <w:r w:rsidR="5A7240E9">
        <w:t xml:space="preserve"> </w:t>
      </w:r>
      <w:r>
        <w:t>access their personal medical records, even when those records are held by a third party such as a</w:t>
      </w:r>
      <w:r w:rsidR="6E91D065">
        <w:t xml:space="preserve"> </w:t>
      </w:r>
      <w:r>
        <w:t>physician. The Health Insurance Portability and Accountability Act (HIPAA) Privacy Rule, for</w:t>
      </w:r>
      <w:r w:rsidR="669FACD9">
        <w:t xml:space="preserve"> </w:t>
      </w:r>
      <w:r>
        <w:t>example, grants patients the right to obtain copies of their medical records from healthcare</w:t>
      </w:r>
      <w:r w:rsidR="3111639A">
        <w:t xml:space="preserve"> </w:t>
      </w:r>
      <w:r>
        <w:t>providers and plans (with limited exceptions). As Department of Health and Human Services</w:t>
      </w:r>
      <w:r w:rsidR="6A49DDF1">
        <w:t xml:space="preserve"> </w:t>
      </w:r>
      <w:r>
        <w:t>guidance explains, individuals are entitled to a broad array of health information about</w:t>
      </w:r>
      <w:r w:rsidR="4A56068E">
        <w:t xml:space="preserve"> </w:t>
      </w:r>
      <w:r>
        <w:t xml:space="preserve">themselves maintained by or for providers, including medical exam reports, test results, and </w:t>
      </w:r>
      <w:r>
        <w:t>Xrays</w:t>
      </w:r>
      <w:r>
        <w:t>.</w:t>
      </w:r>
      <w:r w:rsidR="76479565">
        <w:t xml:space="preserve"> </w:t>
      </w:r>
      <w:r>
        <w:t>Importantly, the HIPAA right is not contingent on who created or provided the record; even</w:t>
      </w:r>
      <w:r w:rsidR="1E03C605">
        <w:t xml:space="preserve"> </w:t>
      </w:r>
      <w:r>
        <w:t>if a test or exam was performed by a third party on a provider’s behalf, the patient still has the</w:t>
      </w:r>
      <w:r w:rsidR="1896DFE5">
        <w:t xml:space="preserve"> </w:t>
      </w:r>
      <w:r>
        <w:t>right to access the results. In the same vein, most U.S. states impose obligations on healthcare</w:t>
      </w:r>
      <w:r w:rsidR="11516747">
        <w:t xml:space="preserve"> </w:t>
      </w:r>
      <w:r>
        <w:t>providers to furnish patients with copies of their medical records within a reasonable time (often</w:t>
      </w:r>
      <w:r w:rsidR="39F8D82C">
        <w:t xml:space="preserve"> </w:t>
      </w:r>
      <w:r>
        <w:t>30 to 60 days) upon request, underscoring a widespread consensus that patients should not be</w:t>
      </w:r>
      <w:r w:rsidR="70FCBE19">
        <w:t xml:space="preserve"> </w:t>
      </w:r>
      <w:r>
        <w:t>denied information about their own health. Denying an applicant access to the exam report not</w:t>
      </w:r>
      <w:r w:rsidR="41C9FB8E">
        <w:t xml:space="preserve"> </w:t>
      </w:r>
      <w:r>
        <w:t xml:space="preserve">only </w:t>
      </w:r>
      <w:r>
        <w:t>undermines their autonomy and dignity but can also have real adverse consequences – for</w:t>
      </w:r>
      <w:r w:rsidR="6A23F363">
        <w:t xml:space="preserve"> </w:t>
      </w:r>
      <w:r>
        <w:t>instance, an applicant might be unable to correct erroneous information that could wrongly affect</w:t>
      </w:r>
      <w:r w:rsidR="710ABC36">
        <w:t xml:space="preserve"> </w:t>
      </w:r>
      <w:r>
        <w:t>their immigration case. The panel physician’s involvement does not transform an applicant’s</w:t>
      </w:r>
      <w:r w:rsidR="61E97FD3">
        <w:t xml:space="preserve"> </w:t>
      </w:r>
      <w:r>
        <w:t>health information into the physician’s proprietary data, nor extinguish the applicant’s interest in</w:t>
      </w:r>
      <w:r w:rsidR="0A6B9822">
        <w:t xml:space="preserve"> </w:t>
      </w:r>
      <w:r>
        <w:t>it. The forms are completed for the U.S. government’s use in adjudicating a benefit for the</w:t>
      </w:r>
      <w:r w:rsidR="4EF0A5A4">
        <w:t xml:space="preserve"> </w:t>
      </w:r>
      <w:r>
        <w:t>individual; accordingly, the data should be viewed as the applicant’s personal information,</w:t>
      </w:r>
      <w:r w:rsidR="224C3BA3">
        <w:t xml:space="preserve"> </w:t>
      </w:r>
      <w:r>
        <w:t>subject to privacy protections and accessible to the applicant to the fullest extent possible.</w:t>
      </w:r>
      <w:r w:rsidR="24F12489">
        <w:t xml:space="preserve"> </w:t>
      </w:r>
      <w:r>
        <w:t>Moreover, INA § 222(f)’s confidentiality of visa records was intended to protect sensitive</w:t>
      </w:r>
      <w:r w:rsidR="2C330E4E">
        <w:t xml:space="preserve"> </w:t>
      </w:r>
      <w:r>
        <w:t>information from public disclosure and exploitation by third parties, not to withhold information</w:t>
      </w:r>
      <w:r w:rsidR="55CC777F">
        <w:t xml:space="preserve"> </w:t>
      </w:r>
      <w:r>
        <w:t>from the very person to whom it pertains. Nothing in the statutory language suggests Congress</w:t>
      </w:r>
      <w:r w:rsidR="20F3001D">
        <w:t xml:space="preserve"> </w:t>
      </w:r>
      <w:r>
        <w:t>intended to deny visa applicants knowledge of their own records. In fact, Department practice</w:t>
      </w:r>
      <w:r w:rsidR="7753BF22">
        <w:t xml:space="preserve"> </w:t>
      </w:r>
      <w:r>
        <w:t>recognizes that certain visa-related documents provided to or by the applicant (such as the</w:t>
      </w:r>
      <w:r w:rsidR="2107AC5E">
        <w:t xml:space="preserve"> </w:t>
      </w:r>
      <w:r>
        <w:t>applicant’s own submissions) are releasable to that person. It would be inconsistent with both the</w:t>
      </w:r>
      <w:r w:rsidR="0F61E60D">
        <w:t xml:space="preserve"> </w:t>
      </w:r>
      <w:r>
        <w:t>spirit of the law and basic fairness to interpret § 222(f) as a limit on applicants’ medical</w:t>
      </w:r>
      <w:r w:rsidR="5B910F74">
        <w:t xml:space="preserve"> </w:t>
      </w:r>
      <w:r>
        <w:t>information. We urge the Department to avoid any such result in implementing this</w:t>
      </w:r>
      <w:r w:rsidR="0A5DE9FF">
        <w:t xml:space="preserve"> </w:t>
      </w:r>
      <w:r>
        <w:t>information</w:t>
      </w:r>
      <w:r w:rsidR="35B365A3">
        <w:t xml:space="preserve"> </w:t>
      </w:r>
      <w:r>
        <w:t>collection change.</w:t>
      </w:r>
    </w:p>
    <w:p w:rsidR="01AB317A" w:rsidP="00343BF9" w14:paraId="234570E5" w14:textId="013F412B">
      <w:pPr>
        <w:spacing w:after="240" w:line="240" w:lineRule="auto"/>
      </w:pPr>
      <w:r>
        <w:t>In conclusion, AILA strongly urges the Department of State to consider the privacy and access</w:t>
      </w:r>
      <w:r w:rsidR="70174DBE">
        <w:t xml:space="preserve"> </w:t>
      </w:r>
      <w:r>
        <w:t>rights of visa applicants as it proceeds with this information collection change. Reclassifying the</w:t>
      </w:r>
      <w:r w:rsidR="1E2DE20D">
        <w:t xml:space="preserve"> </w:t>
      </w:r>
      <w:r>
        <w:t>respondent as the panel physician must not inadvertently curtail an individual’s ability to obtain</w:t>
      </w:r>
      <w:r w:rsidR="58BDB29A">
        <w:t xml:space="preserve"> </w:t>
      </w:r>
      <w:r>
        <w:t>and review his or her own medical examination records. The forms may be completed by panel</w:t>
      </w:r>
      <w:r w:rsidR="7CD8D5B4">
        <w:t xml:space="preserve"> </w:t>
      </w:r>
      <w:r>
        <w:t>physicians, but the personal data recorded belongs to the visa applicant in every meaningful</w:t>
      </w:r>
      <w:r w:rsidR="1257430C">
        <w:t xml:space="preserve"> </w:t>
      </w:r>
      <w:r>
        <w:t>sense. We respectfully request that the Department affirm, through its handling of this collection,</w:t>
      </w:r>
      <w:r w:rsidR="68BAAAFD">
        <w:t xml:space="preserve"> </w:t>
      </w:r>
      <w:r>
        <w:t>that visa applicants retain the right to access their medical exam information, and that</w:t>
      </w:r>
      <w:r w:rsidR="30295777">
        <w:t xml:space="preserve"> </w:t>
      </w:r>
      <w:r>
        <w:t>appropriate measures are in place to facilitate applicants’ obtaining copies of their medical</w:t>
      </w:r>
      <w:r w:rsidR="54FB9CD8">
        <w:t xml:space="preserve"> </w:t>
      </w:r>
      <w:r>
        <w:t>records even when those records are held by panel physicians under contract with the U.S.</w:t>
      </w:r>
      <w:r w:rsidR="4914C3FF">
        <w:t xml:space="preserve"> </w:t>
      </w:r>
      <w:r>
        <w:t>government.</w:t>
      </w:r>
    </w:p>
    <w:p w:rsidR="01AB317A" w:rsidP="00343BF9" w14:paraId="113E9025" w14:textId="4B8B258E">
      <w:pPr>
        <w:spacing w:after="0" w:line="240" w:lineRule="auto"/>
      </w:pPr>
      <w:r>
        <w:t>Sincerely,</w:t>
      </w:r>
    </w:p>
    <w:p w:rsidR="01AB317A" w:rsidP="00343BF9" w14:paraId="458515FA" w14:textId="6FBA419F">
      <w:pPr>
        <w:spacing w:after="120" w:line="240" w:lineRule="auto"/>
      </w:pPr>
      <w:r>
        <w:t>The American Immigration Lawyers Association</w:t>
      </w:r>
    </w:p>
    <w:p w:rsidR="24DB4083" w:rsidP="00343BF9" w14:paraId="7D582096" w14:textId="75CFCDC3">
      <w:pPr>
        <w:spacing w:after="120" w:line="240" w:lineRule="auto"/>
      </w:pPr>
    </w:p>
    <w:p w:rsidR="00B82F45" w:rsidP="00C43C23" w14:paraId="5FA7763A" w14:textId="339D0D7E">
      <w:pPr>
        <w:pStyle w:val="Heading3"/>
        <w:spacing w:after="0"/>
      </w:pPr>
      <w:r>
        <w:t>Comment</w:t>
      </w:r>
      <w:r w:rsidR="13ACA71D">
        <w:t>s</w:t>
      </w:r>
      <w:r w:rsidR="4A960FEC">
        <w:t xml:space="preserve"> </w:t>
      </w:r>
      <w:r w:rsidR="17F7BD42">
        <w:t xml:space="preserve">from Anonymous </w:t>
      </w:r>
      <w:r w:rsidR="4A960FEC">
        <w:t>(</w:t>
      </w:r>
      <w:r w:rsidR="14B908F5">
        <w:t>x</w:t>
      </w:r>
      <w:r w:rsidR="4A960FEC">
        <w:t>2)</w:t>
      </w:r>
    </w:p>
    <w:p w:rsidR="4FCA016F" w:rsidP="007E2E9B" w14:paraId="6E3D9563" w14:textId="1C7BC06F">
      <w:pPr>
        <w:spacing w:after="0" w:line="240" w:lineRule="auto"/>
      </w:pPr>
    </w:p>
    <w:p w:rsidR="00B82F45" w:rsidRPr="00B82F45" w:rsidP="007E2E9B" w14:paraId="03F54713" w14:textId="6DB398C0">
      <w:pPr>
        <w:pStyle w:val="Heading4"/>
        <w:spacing w:before="0" w:after="0" w:line="240" w:lineRule="auto"/>
      </w:pPr>
      <w:r w:rsidRPr="00B82F45">
        <w:t>On Equity in Medical Evaluation Standards</w:t>
      </w:r>
    </w:p>
    <w:p w:rsidR="00B82F45" w:rsidP="007E2E9B" w14:paraId="73B45248" w14:textId="77777777">
      <w:pPr>
        <w:numPr>
          <w:ilvl w:val="0"/>
          <w:numId w:val="1"/>
        </w:numPr>
        <w:spacing w:after="0" w:line="240" w:lineRule="auto"/>
      </w:pPr>
      <w:r w:rsidRPr="005F26B6">
        <w:rPr>
          <w:b/>
          <w:bCs/>
        </w:rPr>
        <w:t>Comment</w:t>
      </w:r>
      <w:r>
        <w:t xml:space="preserve">: The Department must ensure panel physicians are trained in trauma-informed, culturally competent care and prohibit discriminatory screening practices based on race, gender identity, HIV status, or disability.  </w:t>
      </w:r>
    </w:p>
    <w:p w:rsidR="00B82F45" w:rsidP="007E2E9B" w14:paraId="67C57EB4" w14:textId="6F7167BF">
      <w:pPr>
        <w:numPr>
          <w:ilvl w:val="0"/>
          <w:numId w:val="1"/>
        </w:numPr>
        <w:spacing w:after="0" w:line="240" w:lineRule="auto"/>
      </w:pPr>
      <w:r w:rsidRPr="005F26B6">
        <w:rPr>
          <w:b/>
          <w:bCs/>
        </w:rPr>
        <w:t>Supporting Evidence</w:t>
      </w:r>
      <w:r>
        <w:t xml:space="preserve">: A 2021 Human Rights Watch report found visa applicants with disabilities or HIV often face unfair denials and humiliating treatment in consular medical exams (HRW, 2021, </w:t>
      </w:r>
      <w:hyperlink r:id="rId8" w:history="1">
        <w:r w:rsidRPr="006C16AB" w:rsidR="005F26B6">
          <w:rPr>
            <w:rStyle w:val="Hyperlink"/>
          </w:rPr>
          <w:t>https://www.hrw.org/news/2021/06/22</w:t>
        </w:r>
      </w:hyperlink>
      <w:r>
        <w:t xml:space="preserve">).  </w:t>
      </w:r>
    </w:p>
    <w:p w:rsidR="00B82F45" w:rsidRPr="00B82F45" w:rsidP="007E2E9B" w14:paraId="2DAA2A73" w14:textId="50F995C1">
      <w:pPr>
        <w:pStyle w:val="Heading4"/>
        <w:spacing w:before="0" w:after="0" w:line="240" w:lineRule="auto"/>
      </w:pPr>
      <w:r w:rsidRPr="00B82F45">
        <w:t>On Transparency and Due Process</w:t>
      </w:r>
    </w:p>
    <w:p w:rsidR="00B82F45" w:rsidP="007E2E9B" w14:paraId="0C9204F5" w14:textId="3F4B25B4">
      <w:pPr>
        <w:numPr>
          <w:ilvl w:val="0"/>
          <w:numId w:val="2"/>
        </w:numPr>
        <w:spacing w:after="0" w:line="240" w:lineRule="auto"/>
      </w:pPr>
      <w:r w:rsidRPr="005F26B6">
        <w:rPr>
          <w:b/>
          <w:bCs/>
        </w:rPr>
        <w:t>Comment</w:t>
      </w:r>
      <w:r>
        <w:t>: Applicants must have access to their exam results in their native language, and an accessible, standardized appeals process if they believe findings are inaccurate or discriminatory.</w:t>
      </w:r>
    </w:p>
    <w:p w:rsidR="00B82F45" w:rsidP="007E2E9B" w14:paraId="58D4DE67" w14:textId="282DA8BF">
      <w:pPr>
        <w:numPr>
          <w:ilvl w:val="0"/>
          <w:numId w:val="2"/>
        </w:numPr>
        <w:spacing w:after="0" w:line="240" w:lineRule="auto"/>
      </w:pPr>
      <w:r w:rsidRPr="005F26B6">
        <w:rPr>
          <w:b/>
          <w:bCs/>
        </w:rPr>
        <w:t>Supporting Evidence</w:t>
      </w:r>
      <w:r>
        <w:t xml:space="preserve">: The American Immigration Council reports widespread inconsistencies in how health-related ineligibilities are communicated, with minimal recourse (AIC, 2022, </w:t>
      </w:r>
      <w:hyperlink r:id="rId9" w:history="1">
        <w:r w:rsidRPr="006C16AB" w:rsidR="005F26B6">
          <w:rPr>
            <w:rStyle w:val="Hyperlink"/>
          </w:rPr>
          <w:t>https://www.americanimmigrationcouncil.org/research/</w:t>
        </w:r>
      </w:hyperlink>
      <w:r>
        <w:t>).</w:t>
      </w:r>
    </w:p>
    <w:p w:rsidR="00B82F45" w:rsidRPr="00B82F45" w:rsidP="007E2E9B" w14:paraId="003A5BCE" w14:textId="10603AF1">
      <w:pPr>
        <w:pStyle w:val="Heading4"/>
        <w:spacing w:before="0" w:after="0" w:line="240" w:lineRule="auto"/>
      </w:pPr>
      <w:r w:rsidRPr="00B82F45">
        <w:t>On LGBTQ+ Protections</w:t>
      </w:r>
    </w:p>
    <w:p w:rsidR="00B82F45" w:rsidP="007E2E9B" w14:paraId="1803FDF9" w14:textId="18DA0ACD">
      <w:pPr>
        <w:numPr>
          <w:ilvl w:val="0"/>
          <w:numId w:val="3"/>
        </w:numPr>
        <w:spacing w:after="0" w:line="240" w:lineRule="auto"/>
      </w:pPr>
      <w:r w:rsidRPr="005F26B6">
        <w:rPr>
          <w:b/>
          <w:bCs/>
        </w:rPr>
        <w:t>Comment</w:t>
      </w:r>
      <w:r>
        <w:t xml:space="preserve">: The Department must prohibit use of outdated or biased medical frameworks that pathologize LGBTQ+ identity or gender transition; panel physician guidance should reflect modern, inclusive public health practices.  </w:t>
      </w:r>
    </w:p>
    <w:p w:rsidR="00B82F45" w:rsidP="007E2E9B" w14:paraId="6C33007D" w14:textId="69825A71">
      <w:pPr>
        <w:numPr>
          <w:ilvl w:val="0"/>
          <w:numId w:val="3"/>
        </w:numPr>
        <w:spacing w:after="0" w:line="240" w:lineRule="auto"/>
      </w:pPr>
      <w:r w:rsidRPr="005F26B6">
        <w:rPr>
          <w:b/>
          <w:bCs/>
        </w:rPr>
        <w:t>Supporting Evidence</w:t>
      </w:r>
      <w:r>
        <w:t xml:space="preserve">: The American Psychological Association affirms that trans status is not a medical pathology and should not factor into immigration eligibility (APA, 2021, </w:t>
      </w:r>
      <w:hyperlink r:id="rId10" w:history="1">
        <w:r w:rsidRPr="006C16AB" w:rsidR="005F26B6">
          <w:rPr>
            <w:rStyle w:val="Hyperlink"/>
          </w:rPr>
          <w:t>https://www.apa.org/news/press/releases/stress/2021/lgbtq-health-equity</w:t>
        </w:r>
      </w:hyperlink>
      <w:r>
        <w:t>).</w:t>
      </w:r>
    </w:p>
    <w:p w:rsidR="00B82F45" w:rsidRPr="00B82F45" w:rsidP="007E2E9B" w14:paraId="41D7FD10" w14:textId="3206601F">
      <w:pPr>
        <w:pStyle w:val="Heading4"/>
        <w:spacing w:before="0" w:after="0" w:line="240" w:lineRule="auto"/>
      </w:pPr>
      <w:r w:rsidRPr="00B82F45">
        <w:t>On Data Privacy and Security</w:t>
      </w:r>
    </w:p>
    <w:p w:rsidR="00B82F45" w:rsidP="007E2E9B" w14:paraId="20E0C3E4" w14:textId="2113C911">
      <w:pPr>
        <w:numPr>
          <w:ilvl w:val="0"/>
          <w:numId w:val="4"/>
        </w:numPr>
        <w:spacing w:after="0" w:line="240" w:lineRule="auto"/>
      </w:pPr>
      <w:r w:rsidRPr="005F26B6">
        <w:rPr>
          <w:b/>
          <w:bCs/>
        </w:rPr>
        <w:t>Comment</w:t>
      </w:r>
      <w:r>
        <w:t>: The Department must explicitly define how medical data is protected, limit disclosure to DHS and CDC only as necessary, and prohibit long-term storage or secondary use without applicant consent.</w:t>
      </w:r>
    </w:p>
    <w:p w:rsidR="00B82F45" w:rsidP="007E2E9B" w14:paraId="2F8E6B79" w14:textId="3DDDAD81">
      <w:pPr>
        <w:numPr>
          <w:ilvl w:val="0"/>
          <w:numId w:val="4"/>
        </w:numPr>
        <w:spacing w:after="0" w:line="240" w:lineRule="auto"/>
      </w:pPr>
      <w:r w:rsidRPr="005F26B6">
        <w:rPr>
          <w:b/>
          <w:bCs/>
        </w:rPr>
        <w:t>Supporting Evidence</w:t>
      </w:r>
      <w:r>
        <w:t xml:space="preserve">: Immigrant data abuse has occurred in other DHS systems; transparency and oversight are essential (Brennan Center, 2020, </w:t>
      </w:r>
      <w:hyperlink r:id="rId11" w:history="1">
        <w:r w:rsidRPr="006C16AB" w:rsidR="005F26B6">
          <w:rPr>
            <w:rStyle w:val="Hyperlink"/>
          </w:rPr>
          <w:t>https://www.brennancenter.org/our-work/analysis-opinion/protecting-immigrants-data</w:t>
        </w:r>
      </w:hyperlink>
      <w:r>
        <w:t>).</w:t>
      </w:r>
    </w:p>
    <w:p w:rsidR="00B82F45" w:rsidRPr="00B82F45" w:rsidP="007E2E9B" w14:paraId="5C43BB07" w14:textId="7763AD52">
      <w:pPr>
        <w:pStyle w:val="Heading4"/>
        <w:spacing w:before="0" w:after="0" w:line="240" w:lineRule="auto"/>
      </w:pPr>
      <w:r w:rsidRPr="00B82F45">
        <w:t>On Language Justice</w:t>
      </w:r>
    </w:p>
    <w:p w:rsidR="00B82F45" w:rsidP="007E2E9B" w14:paraId="1DE9B8FA" w14:textId="191D9414">
      <w:pPr>
        <w:numPr>
          <w:ilvl w:val="0"/>
          <w:numId w:val="5"/>
        </w:numPr>
        <w:spacing w:after="0" w:line="240" w:lineRule="auto"/>
      </w:pPr>
      <w:r w:rsidRPr="005F26B6">
        <w:rPr>
          <w:b/>
          <w:bCs/>
        </w:rPr>
        <w:t>Comment</w:t>
      </w:r>
      <w:r>
        <w:t>: Medical forms and exam instructions must be available in major world languages, including Indigenous and African diaspora languages, to ensure fair access for all applicants.</w:t>
      </w:r>
    </w:p>
    <w:p w:rsidR="00B82F45" w:rsidP="007E2E9B" w14:paraId="2A6A0EE3" w14:textId="5B194BC8">
      <w:pPr>
        <w:numPr>
          <w:ilvl w:val="0"/>
          <w:numId w:val="5"/>
        </w:numPr>
        <w:spacing w:after="0" w:line="240" w:lineRule="auto"/>
      </w:pPr>
      <w:r w:rsidRPr="005F26B6">
        <w:rPr>
          <w:b/>
          <w:bCs/>
        </w:rPr>
        <w:t>Supporting Evidence</w:t>
      </w:r>
      <w:r>
        <w:t xml:space="preserve">: Nearly 40% of U.S. visa applicants come from countries with high rates of LEP (limited English proficiency); language access is a civil rights issue (KFF, 2023, </w:t>
      </w:r>
      <w:hyperlink r:id="rId12" w:history="1">
        <w:r w:rsidRPr="006C16AB" w:rsidR="005F26B6">
          <w:rPr>
            <w:rStyle w:val="Hyperlink"/>
          </w:rPr>
          <w:t>https://www.kff.org/racial-equity-and-health-policy/</w:t>
        </w:r>
      </w:hyperlink>
      <w:r>
        <w:t>).</w:t>
      </w:r>
    </w:p>
    <w:p w:rsidR="00B82F45" w:rsidRPr="00B82F45" w:rsidP="007E2E9B" w14:paraId="77ABF42D" w14:textId="41601CED">
      <w:pPr>
        <w:pStyle w:val="Heading4"/>
        <w:spacing w:before="0" w:after="0" w:line="240" w:lineRule="auto"/>
      </w:pPr>
      <w:r w:rsidRPr="00B82F45">
        <w:t>On Anti-Racism and Implicit Bias</w:t>
      </w:r>
    </w:p>
    <w:p w:rsidR="00B82F45" w:rsidP="007E2E9B" w14:paraId="50DA18BC" w14:textId="01285E4C">
      <w:pPr>
        <w:numPr>
          <w:ilvl w:val="0"/>
          <w:numId w:val="6"/>
        </w:numPr>
        <w:spacing w:after="0" w:line="240" w:lineRule="auto"/>
      </w:pPr>
      <w:r w:rsidRPr="005F26B6">
        <w:rPr>
          <w:b/>
          <w:bCs/>
        </w:rPr>
        <w:t>Comment</w:t>
      </w:r>
      <w:r>
        <w:t>: The Department should publicly disclose panel physician demographics, training completion, and bias complaints—especially where screening outcomes show racial disparities.</w:t>
      </w:r>
    </w:p>
    <w:p w:rsidR="00B82F45" w:rsidP="007E2E9B" w14:paraId="79251B9D" w14:textId="7B0BBDAC">
      <w:pPr>
        <w:numPr>
          <w:ilvl w:val="0"/>
          <w:numId w:val="6"/>
        </w:numPr>
        <w:spacing w:after="0" w:line="240" w:lineRule="auto"/>
      </w:pPr>
      <w:r w:rsidRPr="005F26B6">
        <w:rPr>
          <w:b/>
          <w:bCs/>
        </w:rPr>
        <w:t>Supporting Evidence</w:t>
      </w:r>
      <w:r>
        <w:t xml:space="preserve">: CDC studies show implicit bias in clinical settings affects diagnosis and treatment of Black and brown patients (CDC, 2022, </w:t>
      </w:r>
      <w:hyperlink r:id="rId13" w:history="1">
        <w:r w:rsidRPr="006C16AB" w:rsidR="005F26B6">
          <w:rPr>
            <w:rStyle w:val="Hyperlink"/>
          </w:rPr>
          <w:t>https://www.cdc.gov/healthequity/index.html</w:t>
        </w:r>
      </w:hyperlink>
      <w:r>
        <w:t>).</w:t>
      </w:r>
    </w:p>
    <w:p w:rsidR="00B82F45" w:rsidRPr="00B82F45" w:rsidP="007E2E9B" w14:paraId="0A092443" w14:textId="02DFE047">
      <w:pPr>
        <w:pStyle w:val="Heading4"/>
        <w:spacing w:before="0" w:after="0" w:line="240" w:lineRule="auto"/>
      </w:pPr>
      <w:r w:rsidRPr="00B82F45">
        <w:t>On HIV and Public Health Updates</w:t>
      </w:r>
    </w:p>
    <w:p w:rsidR="00B82F45" w:rsidP="007E2E9B" w14:paraId="4D1EC90A" w14:textId="79037DF3">
      <w:pPr>
        <w:numPr>
          <w:ilvl w:val="0"/>
          <w:numId w:val="7"/>
        </w:numPr>
        <w:spacing w:after="0" w:line="240" w:lineRule="auto"/>
      </w:pPr>
      <w:r w:rsidRPr="005F26B6">
        <w:rPr>
          <w:b/>
          <w:bCs/>
        </w:rPr>
        <w:t>Comment</w:t>
      </w:r>
      <w:r>
        <w:t xml:space="preserve">: The DS-2054 series must be updated to reflect that HIV is no longer a ground of inadmissibility and cannot be used as a basis for denial, delay, or stigma.  </w:t>
      </w:r>
    </w:p>
    <w:p w:rsidR="00B82F45" w:rsidP="007E2E9B" w14:paraId="50C8665C" w14:textId="4557F6D4">
      <w:pPr>
        <w:numPr>
          <w:ilvl w:val="0"/>
          <w:numId w:val="7"/>
        </w:numPr>
        <w:spacing w:after="0" w:line="240" w:lineRule="auto"/>
      </w:pPr>
      <w:r w:rsidRPr="005F26B6">
        <w:rPr>
          <w:b/>
          <w:bCs/>
        </w:rPr>
        <w:t>Supporting Evidence</w:t>
      </w:r>
      <w:r>
        <w:t xml:space="preserve">: HIV-based exclusions were repealed in 2010; USCIS still receives complaints of HIV-related discrimination in overseas visa processes </w:t>
      </w:r>
      <w:r>
        <w:t xml:space="preserve">(Lambda Legal, 2022, </w:t>
      </w:r>
      <w:hyperlink r:id="rId14" w:history="1">
        <w:r w:rsidRPr="006C16AB" w:rsidR="005F26B6">
          <w:rPr>
            <w:rStyle w:val="Hyperlink"/>
          </w:rPr>
          <w:t>https://www.lambdalegal.org/know-your-rights/article/immigration-hiv</w:t>
        </w:r>
      </w:hyperlink>
      <w:r>
        <w:t>).</w:t>
      </w:r>
    </w:p>
    <w:p w:rsidR="00B82F45" w:rsidRPr="00B82F45" w:rsidP="007E2E9B" w14:paraId="62824A2D" w14:textId="206C3BBB">
      <w:pPr>
        <w:pStyle w:val="Heading4"/>
        <w:spacing w:before="0" w:after="0" w:line="240" w:lineRule="auto"/>
      </w:pPr>
      <w:r w:rsidRPr="00B82F45">
        <w:t>On Financial Burden of Exams</w:t>
      </w:r>
    </w:p>
    <w:p w:rsidR="00B82F45" w:rsidP="007E2E9B" w14:paraId="186E3816" w14:textId="6E1D6AD7">
      <w:pPr>
        <w:numPr>
          <w:ilvl w:val="0"/>
          <w:numId w:val="8"/>
        </w:numPr>
        <w:spacing w:after="0" w:line="240" w:lineRule="auto"/>
      </w:pPr>
      <w:r w:rsidRPr="005F26B6">
        <w:rPr>
          <w:b/>
          <w:bCs/>
        </w:rPr>
        <w:t>Comment</w:t>
      </w:r>
      <w:r>
        <w:t>: The Department should review exam cost caps and require embassies to publish fee ranges. Low-income refugee and asylum applicants should never be denied a visa due to unaffordable medical screening costs.</w:t>
      </w:r>
    </w:p>
    <w:p w:rsidR="00B82F45" w:rsidP="007E2E9B" w14:paraId="284DE9E0" w14:textId="06DDD3B3">
      <w:pPr>
        <w:numPr>
          <w:ilvl w:val="0"/>
          <w:numId w:val="8"/>
        </w:numPr>
        <w:spacing w:after="0" w:line="240" w:lineRule="auto"/>
      </w:pPr>
      <w:r w:rsidRPr="005F26B6">
        <w:rPr>
          <w:b/>
          <w:bCs/>
        </w:rPr>
        <w:t>Supporting Evidence</w:t>
      </w:r>
      <w:r>
        <w:t xml:space="preserve">: Some panel physicians in low-income countries charge as much as a month’s wages per exam (Doctors Without Borders, 2020, </w:t>
      </w:r>
      <w:hyperlink r:id="rId15" w:history="1">
        <w:r w:rsidRPr="006C16AB" w:rsidR="005F26B6">
          <w:rPr>
            <w:rStyle w:val="Hyperlink"/>
          </w:rPr>
          <w:t>https://www.doctorswithoutborders.org/what-we-do/news-stories/research/immigrant-healthcare-access</w:t>
        </w:r>
      </w:hyperlink>
      <w:r>
        <w:t>).</w:t>
      </w:r>
    </w:p>
    <w:p w:rsidR="00B82F45" w:rsidRPr="00B82F45" w:rsidP="007E2E9B" w14:paraId="5E8C5098" w14:textId="2C7F21BF">
      <w:pPr>
        <w:pStyle w:val="Heading4"/>
        <w:spacing w:before="0" w:after="0" w:line="240" w:lineRule="auto"/>
      </w:pPr>
      <w:r w:rsidRPr="00B82F45">
        <w:t>On Refugee Rights Under International Law</w:t>
      </w:r>
    </w:p>
    <w:p w:rsidR="00B82F45" w:rsidP="007E2E9B" w14:paraId="29AB7743" w14:textId="2F2C4A09">
      <w:pPr>
        <w:numPr>
          <w:ilvl w:val="0"/>
          <w:numId w:val="9"/>
        </w:numPr>
        <w:spacing w:after="0" w:line="240" w:lineRule="auto"/>
      </w:pPr>
      <w:r w:rsidRPr="005F26B6">
        <w:rPr>
          <w:b/>
          <w:bCs/>
        </w:rPr>
        <w:t>Comment</w:t>
      </w:r>
      <w:r>
        <w:t>: U.S. immigration health screenings must not erect barriers that undermine the right to seek asylum or violate international obligations under the Refugee Convention.</w:t>
      </w:r>
    </w:p>
    <w:p w:rsidR="00B82F45" w:rsidP="007E2E9B" w14:paraId="320B1F2E" w14:textId="65F83863">
      <w:pPr>
        <w:numPr>
          <w:ilvl w:val="0"/>
          <w:numId w:val="9"/>
        </w:numPr>
        <w:spacing w:after="0" w:line="240" w:lineRule="auto"/>
      </w:pPr>
      <w:r w:rsidRPr="005F26B6">
        <w:rPr>
          <w:b/>
          <w:bCs/>
        </w:rPr>
        <w:t>Supporting Evidence</w:t>
      </w:r>
      <w:r>
        <w:t xml:space="preserve">: WHO guidance affirms that public health screenings must be proportional, nondiscriminatory, and rights-respecting (WHO, 2021, </w:t>
      </w:r>
      <w:hyperlink r:id="rId16" w:history="1">
        <w:r w:rsidRPr="006C16AB">
          <w:rPr>
            <w:rStyle w:val="Hyperlink"/>
          </w:rPr>
          <w:t>https://www.who.int/publications/i/item/9789240019203</w:t>
        </w:r>
      </w:hyperlink>
      <w:r>
        <w:t>).</w:t>
      </w:r>
    </w:p>
    <w:p w:rsidR="00B82F45" w:rsidRPr="00B82F45" w:rsidP="007E2E9B" w14:paraId="7FE6FDFD" w14:textId="68B4EC4C">
      <w:pPr>
        <w:pStyle w:val="Heading4"/>
        <w:spacing w:before="0" w:after="0" w:line="240" w:lineRule="auto"/>
      </w:pPr>
      <w:r w:rsidRPr="00B82F45">
        <w:t>On Data Disaggregation and Oversight</w:t>
      </w:r>
    </w:p>
    <w:p w:rsidR="00B82F45" w:rsidP="007E2E9B" w14:paraId="2A1AE45B" w14:textId="2BA0C24A">
      <w:pPr>
        <w:numPr>
          <w:ilvl w:val="0"/>
          <w:numId w:val="10"/>
        </w:numPr>
        <w:spacing w:after="0" w:line="240" w:lineRule="auto"/>
      </w:pPr>
      <w:r w:rsidRPr="005F26B6">
        <w:rPr>
          <w:b/>
          <w:bCs/>
        </w:rPr>
        <w:t>Comment</w:t>
      </w:r>
      <w:r>
        <w:t>: The Department should publish anonymized annual reports disaggregated by country, race, diagnosis, and visa outcome to ensure screening is fair and non-discriminatory.</w:t>
      </w:r>
    </w:p>
    <w:p w:rsidR="00B82F45" w:rsidP="007E2E9B" w14:paraId="07008C40" w14:textId="1B623C92">
      <w:pPr>
        <w:numPr>
          <w:ilvl w:val="0"/>
          <w:numId w:val="10"/>
        </w:numPr>
        <w:spacing w:after="0" w:line="240" w:lineRule="auto"/>
      </w:pPr>
      <w:r w:rsidRPr="24DB4083">
        <w:rPr>
          <w:b/>
          <w:bCs/>
        </w:rPr>
        <w:t>Supporting Evidence</w:t>
      </w:r>
      <w:r>
        <w:t xml:space="preserve">: Equity-driven immigration systems depend on disaggregated data to prevent systemic harm (White House Equitable Data Working Group, 2023, </w:t>
      </w:r>
      <w:hyperlink r:id="rId17">
        <w:r w:rsidRPr="24DB4083">
          <w:rPr>
            <w:rStyle w:val="Hyperlink"/>
          </w:rPr>
          <w:t>https://www.whitehouse.gov/equity/</w:t>
        </w:r>
      </w:hyperlink>
      <w:r>
        <w:t>).</w:t>
      </w:r>
    </w:p>
    <w:p w:rsidR="24DB4083" w:rsidP="24DB4083" w14:paraId="1EC97D5E" w14:textId="3BB0B6CE">
      <w:pPr>
        <w:spacing w:after="0"/>
      </w:pPr>
    </w:p>
    <w:p w:rsidR="5FC44349" w:rsidP="00C43C23" w14:paraId="45EBCD3C" w14:textId="6C300295">
      <w:pPr>
        <w:pStyle w:val="Heading3"/>
        <w:spacing w:after="0"/>
      </w:pPr>
      <w:r>
        <w:t xml:space="preserve">Comment from </w:t>
      </w:r>
      <w:r>
        <w:t>Jean Public</w:t>
      </w:r>
    </w:p>
    <w:p w:rsidR="4FCA016F" w:rsidP="00AB754A" w14:paraId="139AF607" w14:textId="3866DA21">
      <w:pPr>
        <w:spacing w:line="240" w:lineRule="auto"/>
      </w:pPr>
    </w:p>
    <w:p w:rsidR="24DB4083" w:rsidP="00AB754A" w14:paraId="00401187" w14:textId="69D50B56">
      <w:pPr>
        <w:spacing w:line="240" w:lineRule="auto"/>
      </w:pPr>
      <w:r>
        <w:t xml:space="preserve">public comment on federal register it is </w:t>
      </w:r>
      <w:r>
        <w:t>tim</w:t>
      </w:r>
      <w:r>
        <w:t xml:space="preserve"> to just completely shut down any immigrant or refugee </w:t>
      </w:r>
      <w:r>
        <w:t>tryin</w:t>
      </w:r>
      <w:r>
        <w:t xml:space="preserve"> to come to this country. we have 20 million people, who are takin all our cheap apartments from </w:t>
      </w:r>
      <w:r>
        <w:t>americans</w:t>
      </w:r>
      <w:r>
        <w:t xml:space="preserve"> who need them, who are buying up our cheap cars so they are not available for </w:t>
      </w:r>
      <w:r>
        <w:t>americas</w:t>
      </w:r>
      <w:r>
        <w:t xml:space="preserve"> and who are getting hundreds of thousands of free medical care, free education, free rent, free food, free telephone, free everything when nothing is free for </w:t>
      </w:r>
      <w:r>
        <w:t>americans</w:t>
      </w:r>
      <w:r>
        <w:t xml:space="preserve">. all our </w:t>
      </w:r>
      <w:r>
        <w:t>american</w:t>
      </w:r>
      <w:r>
        <w:t xml:space="preserve"> programs are cut to the bone and we are not eligible for </w:t>
      </w:r>
      <w:r>
        <w:t>anyting</w:t>
      </w:r>
      <w:r>
        <w:t xml:space="preserve"> any more. </w:t>
      </w:r>
      <w:r>
        <w:t>its</w:t>
      </w:r>
      <w:r>
        <w:t xml:space="preserve"> time to let them all stay in their own foreign lands and fix their own countries. we </w:t>
      </w:r>
      <w:r>
        <w:t>dont</w:t>
      </w:r>
      <w:r>
        <w:t xml:space="preserve"> need or want any more of them here. in fact we want the 20 million who came here to be forced to leave. no jobs for them. no fake documents for them, no social security benefits for them. cut them out of all the freebies now and tell them to deport. as they easily came in they should be easily invited out. Jean </w:t>
      </w:r>
      <w:r>
        <w:t>publiee</w:t>
      </w:r>
      <w:r>
        <w:t xml:space="preserve"> </w:t>
      </w:r>
      <w:hyperlink r:id="rId18">
        <w:r w:rsidRPr="4FCA016F">
          <w:rPr>
            <w:rStyle w:val="Hyperlink"/>
          </w:rPr>
          <w:t>jeanpublic1@gmail.com</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4E0346"/>
    <w:multiLevelType w:val="hybridMultilevel"/>
    <w:tmpl w:val="8DF8F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8201D5"/>
    <w:multiLevelType w:val="hybridMultilevel"/>
    <w:tmpl w:val="0C1E26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37B2A75"/>
    <w:multiLevelType w:val="hybridMultilevel"/>
    <w:tmpl w:val="1778A6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5FE0DAF"/>
    <w:multiLevelType w:val="hybridMultilevel"/>
    <w:tmpl w:val="35324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48271A7"/>
    <w:multiLevelType w:val="hybridMultilevel"/>
    <w:tmpl w:val="C0541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4EB4B63"/>
    <w:multiLevelType w:val="hybridMultilevel"/>
    <w:tmpl w:val="9C6AFC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9180B37"/>
    <w:multiLevelType w:val="hybridMultilevel"/>
    <w:tmpl w:val="EEF858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11787A"/>
    <w:multiLevelType w:val="hybridMultilevel"/>
    <w:tmpl w:val="82CA15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8E7A53"/>
    <w:multiLevelType w:val="hybridMultilevel"/>
    <w:tmpl w:val="2006FC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7FE0CCE"/>
    <w:multiLevelType w:val="hybridMultilevel"/>
    <w:tmpl w:val="FA1C8C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8449278">
    <w:abstractNumId w:val="6"/>
  </w:num>
  <w:num w:numId="2" w16cid:durableId="1356230018">
    <w:abstractNumId w:val="8"/>
  </w:num>
  <w:num w:numId="3" w16cid:durableId="22481552">
    <w:abstractNumId w:val="5"/>
  </w:num>
  <w:num w:numId="4" w16cid:durableId="709959805">
    <w:abstractNumId w:val="0"/>
  </w:num>
  <w:num w:numId="5" w16cid:durableId="1238591245">
    <w:abstractNumId w:val="1"/>
  </w:num>
  <w:num w:numId="6" w16cid:durableId="2126534919">
    <w:abstractNumId w:val="2"/>
  </w:num>
  <w:num w:numId="7" w16cid:durableId="431515303">
    <w:abstractNumId w:val="7"/>
  </w:num>
  <w:num w:numId="8" w16cid:durableId="550532251">
    <w:abstractNumId w:val="3"/>
  </w:num>
  <w:num w:numId="9" w16cid:durableId="1670870039">
    <w:abstractNumId w:val="9"/>
  </w:num>
  <w:num w:numId="10" w16cid:durableId="2030177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45"/>
    <w:rsid w:val="000F2982"/>
    <w:rsid w:val="00343BF9"/>
    <w:rsid w:val="00524822"/>
    <w:rsid w:val="005F26B6"/>
    <w:rsid w:val="006C16AB"/>
    <w:rsid w:val="006E13F9"/>
    <w:rsid w:val="007E2E9B"/>
    <w:rsid w:val="00843196"/>
    <w:rsid w:val="00851C97"/>
    <w:rsid w:val="00911AF3"/>
    <w:rsid w:val="00A26B45"/>
    <w:rsid w:val="00AB754A"/>
    <w:rsid w:val="00AF6990"/>
    <w:rsid w:val="00B82F45"/>
    <w:rsid w:val="00C43C23"/>
    <w:rsid w:val="00C83FF2"/>
    <w:rsid w:val="00DA1C36"/>
    <w:rsid w:val="00E69FAF"/>
    <w:rsid w:val="00F27667"/>
    <w:rsid w:val="01AB317A"/>
    <w:rsid w:val="03F05F0C"/>
    <w:rsid w:val="047F738F"/>
    <w:rsid w:val="0A5DE9FF"/>
    <w:rsid w:val="0A6B9822"/>
    <w:rsid w:val="0C074DEC"/>
    <w:rsid w:val="0F61E60D"/>
    <w:rsid w:val="11516747"/>
    <w:rsid w:val="11FB659E"/>
    <w:rsid w:val="1257430C"/>
    <w:rsid w:val="13ACA71D"/>
    <w:rsid w:val="13C52E5E"/>
    <w:rsid w:val="14B908F5"/>
    <w:rsid w:val="152A3BF7"/>
    <w:rsid w:val="17F7BD42"/>
    <w:rsid w:val="1896DFE5"/>
    <w:rsid w:val="1990B4E3"/>
    <w:rsid w:val="1C68819D"/>
    <w:rsid w:val="1D53AD2C"/>
    <w:rsid w:val="1E03C605"/>
    <w:rsid w:val="1E2DE20D"/>
    <w:rsid w:val="202314BA"/>
    <w:rsid w:val="20F3001D"/>
    <w:rsid w:val="2107AC5E"/>
    <w:rsid w:val="2231AE43"/>
    <w:rsid w:val="224C3BA3"/>
    <w:rsid w:val="235DC12D"/>
    <w:rsid w:val="23D73E31"/>
    <w:rsid w:val="24DB4083"/>
    <w:rsid w:val="24F12489"/>
    <w:rsid w:val="26F3ED8B"/>
    <w:rsid w:val="2C330E4E"/>
    <w:rsid w:val="2C6608D5"/>
    <w:rsid w:val="2DB5047C"/>
    <w:rsid w:val="2F575C09"/>
    <w:rsid w:val="30295777"/>
    <w:rsid w:val="3111639A"/>
    <w:rsid w:val="3273A7E1"/>
    <w:rsid w:val="32AD8E09"/>
    <w:rsid w:val="35B365A3"/>
    <w:rsid w:val="3813AA54"/>
    <w:rsid w:val="38605B25"/>
    <w:rsid w:val="39D2D3C5"/>
    <w:rsid w:val="39F8D82C"/>
    <w:rsid w:val="3B7440DA"/>
    <w:rsid w:val="3EA041D4"/>
    <w:rsid w:val="3F06EAE9"/>
    <w:rsid w:val="3FB8E3BF"/>
    <w:rsid w:val="41C9FB8E"/>
    <w:rsid w:val="41F2F2C8"/>
    <w:rsid w:val="479E0053"/>
    <w:rsid w:val="485000B9"/>
    <w:rsid w:val="4855D819"/>
    <w:rsid w:val="4914C3FF"/>
    <w:rsid w:val="49723C7B"/>
    <w:rsid w:val="4A56068E"/>
    <w:rsid w:val="4A960FEC"/>
    <w:rsid w:val="4C9DC5C1"/>
    <w:rsid w:val="4CBD83D4"/>
    <w:rsid w:val="4EF0A5A4"/>
    <w:rsid w:val="4FCA016F"/>
    <w:rsid w:val="5126CE3F"/>
    <w:rsid w:val="521DBD3D"/>
    <w:rsid w:val="54FB9CD8"/>
    <w:rsid w:val="55CC777F"/>
    <w:rsid w:val="5650130B"/>
    <w:rsid w:val="58BDB29A"/>
    <w:rsid w:val="59D3B573"/>
    <w:rsid w:val="5A7240E9"/>
    <w:rsid w:val="5B910F74"/>
    <w:rsid w:val="5BB9A5E5"/>
    <w:rsid w:val="5E33F3C6"/>
    <w:rsid w:val="5FC44349"/>
    <w:rsid w:val="611235B7"/>
    <w:rsid w:val="61E97FD3"/>
    <w:rsid w:val="65A2BC88"/>
    <w:rsid w:val="65B5FB42"/>
    <w:rsid w:val="666DE128"/>
    <w:rsid w:val="669FACD9"/>
    <w:rsid w:val="68BAAAFD"/>
    <w:rsid w:val="69833DC2"/>
    <w:rsid w:val="6A23F363"/>
    <w:rsid w:val="6A49DDF1"/>
    <w:rsid w:val="6D0FEAA2"/>
    <w:rsid w:val="6D582709"/>
    <w:rsid w:val="6E47AA04"/>
    <w:rsid w:val="6E91D065"/>
    <w:rsid w:val="6EE78C83"/>
    <w:rsid w:val="6F760D43"/>
    <w:rsid w:val="70174DBE"/>
    <w:rsid w:val="70FCBE19"/>
    <w:rsid w:val="710ABC36"/>
    <w:rsid w:val="71282ABC"/>
    <w:rsid w:val="713D2BF0"/>
    <w:rsid w:val="71C7DF3E"/>
    <w:rsid w:val="72FD61B0"/>
    <w:rsid w:val="74D14087"/>
    <w:rsid w:val="753897BD"/>
    <w:rsid w:val="76479565"/>
    <w:rsid w:val="77364853"/>
    <w:rsid w:val="7753BF22"/>
    <w:rsid w:val="78620216"/>
    <w:rsid w:val="7963E57A"/>
    <w:rsid w:val="7A8CD53D"/>
    <w:rsid w:val="7B0E4CEE"/>
    <w:rsid w:val="7CD8D5B4"/>
    <w:rsid w:val="7E9077E7"/>
    <w:rsid w:val="7FA0BA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23530B"/>
  <w15:chartTrackingRefBased/>
  <w15:docId w15:val="{170793C1-526A-4EAE-8ECD-FA6DF1A0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2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82F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82F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F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F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F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F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F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F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2F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82F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82F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F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F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F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F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F45"/>
    <w:rPr>
      <w:rFonts w:eastAsiaTheme="majorEastAsia" w:cstheme="majorBidi"/>
      <w:color w:val="272727" w:themeColor="text1" w:themeTint="D8"/>
    </w:rPr>
  </w:style>
  <w:style w:type="paragraph" w:styleId="Title">
    <w:name w:val="Title"/>
    <w:basedOn w:val="Normal"/>
    <w:next w:val="Normal"/>
    <w:link w:val="TitleChar"/>
    <w:uiPriority w:val="10"/>
    <w:qFormat/>
    <w:rsid w:val="00B82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F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F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F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F45"/>
    <w:pPr>
      <w:spacing w:before="160"/>
      <w:jc w:val="center"/>
    </w:pPr>
    <w:rPr>
      <w:i/>
      <w:iCs/>
      <w:color w:val="404040" w:themeColor="text1" w:themeTint="BF"/>
    </w:rPr>
  </w:style>
  <w:style w:type="character" w:customStyle="1" w:styleId="QuoteChar">
    <w:name w:val="Quote Char"/>
    <w:basedOn w:val="DefaultParagraphFont"/>
    <w:link w:val="Quote"/>
    <w:uiPriority w:val="29"/>
    <w:rsid w:val="00B82F45"/>
    <w:rPr>
      <w:i/>
      <w:iCs/>
      <w:color w:val="404040" w:themeColor="text1" w:themeTint="BF"/>
    </w:rPr>
  </w:style>
  <w:style w:type="paragraph" w:styleId="ListParagraph">
    <w:name w:val="List Paragraph"/>
    <w:basedOn w:val="Normal"/>
    <w:uiPriority w:val="34"/>
    <w:qFormat/>
    <w:rsid w:val="00B82F45"/>
    <w:pPr>
      <w:ind w:left="720"/>
      <w:contextualSpacing/>
    </w:pPr>
  </w:style>
  <w:style w:type="character" w:styleId="IntenseEmphasis">
    <w:name w:val="Intense Emphasis"/>
    <w:basedOn w:val="DefaultParagraphFont"/>
    <w:uiPriority w:val="21"/>
    <w:qFormat/>
    <w:rsid w:val="00B82F45"/>
    <w:rPr>
      <w:i/>
      <w:iCs/>
      <w:color w:val="0F4761" w:themeColor="accent1" w:themeShade="BF"/>
    </w:rPr>
  </w:style>
  <w:style w:type="paragraph" w:styleId="IntenseQuote">
    <w:name w:val="Intense Quote"/>
    <w:basedOn w:val="Normal"/>
    <w:next w:val="Normal"/>
    <w:link w:val="IntenseQuoteChar"/>
    <w:uiPriority w:val="30"/>
    <w:qFormat/>
    <w:rsid w:val="00B82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F45"/>
    <w:rPr>
      <w:i/>
      <w:iCs/>
      <w:color w:val="0F4761" w:themeColor="accent1" w:themeShade="BF"/>
    </w:rPr>
  </w:style>
  <w:style w:type="character" w:styleId="IntenseReference">
    <w:name w:val="Intense Reference"/>
    <w:basedOn w:val="DefaultParagraphFont"/>
    <w:uiPriority w:val="32"/>
    <w:qFormat/>
    <w:rsid w:val="00B82F45"/>
    <w:rPr>
      <w:b/>
      <w:bCs/>
      <w:smallCaps/>
      <w:color w:val="0F4761" w:themeColor="accent1" w:themeShade="BF"/>
      <w:spacing w:val="5"/>
    </w:rPr>
  </w:style>
  <w:style w:type="character" w:styleId="Hyperlink">
    <w:name w:val="Hyperlink"/>
    <w:basedOn w:val="DefaultParagraphFont"/>
    <w:uiPriority w:val="99"/>
    <w:unhideWhenUsed/>
    <w:rsid w:val="00B82F45"/>
    <w:rPr>
      <w:color w:val="467886" w:themeColor="hyperlink"/>
      <w:u w:val="single"/>
    </w:rPr>
  </w:style>
  <w:style w:type="character" w:styleId="UnresolvedMention">
    <w:name w:val="Unresolved Mention"/>
    <w:basedOn w:val="DefaultParagraphFont"/>
    <w:uiPriority w:val="99"/>
    <w:semiHidden/>
    <w:unhideWhenUsed/>
    <w:rsid w:val="00B82F45"/>
    <w:rPr>
      <w:color w:val="605E5C"/>
      <w:shd w:val="clear" w:color="auto" w:fill="E1DFDD"/>
    </w:rPr>
  </w:style>
  <w:style w:type="character" w:styleId="FollowedHyperlink">
    <w:name w:val="FollowedHyperlink"/>
    <w:basedOn w:val="DefaultParagraphFont"/>
    <w:uiPriority w:val="99"/>
    <w:semiHidden/>
    <w:unhideWhenUsed/>
    <w:rsid w:val="00B82F4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pa.org/news/press/releases/stress/2021/lgbtq-health-equity" TargetMode="External" /><Relationship Id="rId11" Type="http://schemas.openxmlformats.org/officeDocument/2006/relationships/hyperlink" Target="https://www.brennancenter.org/our-work/analysis-opinion/protecting-immigrants-data" TargetMode="External" /><Relationship Id="rId12" Type="http://schemas.openxmlformats.org/officeDocument/2006/relationships/hyperlink" Target="https://www.kff.org/racial-equity-and-health-policy/" TargetMode="External" /><Relationship Id="rId13" Type="http://schemas.openxmlformats.org/officeDocument/2006/relationships/hyperlink" Target="https://www.cdc.gov/healthequity/index.html" TargetMode="External" /><Relationship Id="rId14" Type="http://schemas.openxmlformats.org/officeDocument/2006/relationships/hyperlink" Target="https://www.lambdalegal.org/know-your-rights/article/immigration-hiv" TargetMode="External" /><Relationship Id="rId15" Type="http://schemas.openxmlformats.org/officeDocument/2006/relationships/hyperlink" Target="https://www.doctorswithoutborders.org/what-we-do/news-stories/research/immigrant-healthcare-access" TargetMode="External" /><Relationship Id="rId16" Type="http://schemas.openxmlformats.org/officeDocument/2006/relationships/hyperlink" Target="https://www.who.int/publications/i/item/9789240019203" TargetMode="External" /><Relationship Id="rId17" Type="http://schemas.openxmlformats.org/officeDocument/2006/relationships/hyperlink" Target="https://www.whitehouse.gov/equity/" TargetMode="External" /><Relationship Id="rId18" Type="http://schemas.openxmlformats.org/officeDocument/2006/relationships/hyperlink" Target="mailto:jeanpublic1@gmail.com"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rw.org/news/2021/06/22" TargetMode="External" /><Relationship Id="rId9" Type="http://schemas.openxmlformats.org/officeDocument/2006/relationships/hyperlink" Target="https://www.americanimmigrationcouncil.org/resear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122b023-50f0-4a27-ad7c-51b7c9325289" xsi:nil="true"/>
    <_dlc_DocId xmlns="c60a6009-aa1a-461d-a537-351556f0a008">FRWFSZHP46NX-2045051740-24363</_dlc_DocId>
    <_dlc_DocIdUrl xmlns="c60a6009-aa1a-461d-a537-351556f0a008">
      <Url>https://usdos.sharepoint.com/sites/CA-Clearance/_layouts/15/DocIdRedir.aspx?ID=FRWFSZHP46NX-2045051740-24363</Url>
      <Description>FRWFSZHP46NX-2045051740-24363</Description>
    </_dlc_DocIdUrl>
    <lcf76f155ced4ddcb4097134ff3c332f xmlns="2f16053b-c75d-4912-a19b-7a80a6a9c5a6">
      <Terms xmlns="http://schemas.microsoft.com/office/infopath/2007/PartnerControls"/>
    </lcf76f155ced4ddcb4097134ff3c332f>
    <HideFromDelve xmlns="2f16053b-c75d-4912-a19b-7a80a6a9c5a6">true</HideFromDelve>
    <PrintedY_x002f_N xmlns="2f16053b-c75d-4912-a19b-7a80a6a9c5a6" xsi:nil="true"/>
    <TaskerNumber xmlns="2f16053b-c75d-4912-a19b-7a80a6a9c5a6" xsi:nil="true"/>
    <TaskerTitle xmlns="2f16053b-c75d-4912-a19b-7a80a6a9c5a6" xsi:nil="true"/>
    <Comments xmlns="2f16053b-c75d-4912-a19b-7a80a6a9c5a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F40333DEF9D348A3088A9BD3E96D18" ma:contentTypeVersion="19" ma:contentTypeDescription="Create a new document." ma:contentTypeScope="" ma:versionID="78c3e3c599717bd5995a07beb2cdbfbd">
  <xsd:schema xmlns:xsd="http://www.w3.org/2001/XMLSchema" xmlns:xs="http://www.w3.org/2001/XMLSchema" xmlns:p="http://schemas.microsoft.com/office/2006/metadata/properties" xmlns:ns2="c60a6009-aa1a-461d-a537-351556f0a008" xmlns:ns3="2f16053b-c75d-4912-a19b-7a80a6a9c5a6" xmlns:ns4="4122b023-50f0-4a27-ad7c-51b7c9325289" targetNamespace="http://schemas.microsoft.com/office/2006/metadata/properties" ma:root="true" ma:fieldsID="628c9aa20f3689578ab29adecb5b6886" ns2:_="" ns3:_="" ns4:_="">
    <xsd:import namespace="c60a6009-aa1a-461d-a537-351556f0a008"/>
    <xsd:import namespace="2f16053b-c75d-4912-a19b-7a80a6a9c5a6"/>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TaskerNumber" minOccurs="0"/>
                <xsd:element ref="ns3:TaskerTitle" minOccurs="0"/>
                <xsd:element ref="ns3:lcf76f155ced4ddcb4097134ff3c332f" minOccurs="0"/>
                <xsd:element ref="ns4:TaxCatchAll" minOccurs="0"/>
                <xsd:element ref="ns3:Comment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3:PrintedY_x002f_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16053b-c75d-4912-a19b-7a80a6a9c5a6"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TaskerNumber" ma:index="12" nillable="true" ma:displayName="FO Tasker #" ma:format="Dropdown" ma:indexed="true" ma:internalName="TaskerNumber">
      <xsd:simpleType>
        <xsd:restriction base="dms:Text">
          <xsd:maxLength value="255"/>
        </xsd:restriction>
      </xsd:simpleType>
    </xsd:element>
    <xsd:element name="TaskerTitle" ma:index="13" nillable="true" ma:displayName="Tasker Title" ma:format="Dropdown" ma:internalName="TaskerTitle">
      <xsd:simpleType>
        <xsd:restriction base="dms:Text">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Comments" ma:index="17" nillable="true" ma:displayName="Comments" ma:format="Dropdown" ma:internalName="Comments">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PrintedY_x002f_N" ma:index="29" nillable="true" ma:displayName="Printed Y/N" ma:format="Dropdown" ma:internalName="PrintedY_x002f_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35FE9-51FB-4878-983B-370F8EDD108C}">
  <ds:schemaRefs>
    <ds:schemaRef ds:uri="http://schemas.microsoft.com/sharepoint/events"/>
    <ds:schemaRef ds:uri=""/>
  </ds:schemaRefs>
</ds:datastoreItem>
</file>

<file path=customXml/itemProps2.xml><?xml version="1.0" encoding="utf-8"?>
<ds:datastoreItem xmlns:ds="http://schemas.openxmlformats.org/officeDocument/2006/customXml" ds:itemID="{BD39BC48-A50A-4A9B-968B-124AE5DB0A3D}">
  <ds:schemaRefs>
    <ds:schemaRef ds:uri="http://schemas.microsoft.com/sharepoint/v3/contenttype/forms"/>
  </ds:schemaRefs>
</ds:datastoreItem>
</file>

<file path=customXml/itemProps3.xml><?xml version="1.0" encoding="utf-8"?>
<ds:datastoreItem xmlns:ds="http://schemas.openxmlformats.org/officeDocument/2006/customXml" ds:itemID="{20E0FAE1-8213-4284-A134-01CC45BAEAF0}">
  <ds:schemaRefs>
    <ds:schemaRef ds:uri="http://schemas.microsoft.com/office/2006/metadata/properties"/>
    <ds:schemaRef ds:uri="http://schemas.microsoft.com/office/infopath/2007/PartnerControls"/>
    <ds:schemaRef ds:uri="70e44377-1289-40d5-be6b-35abed3b60f0"/>
    <ds:schemaRef ds:uri="4122b023-50f0-4a27-ad7c-51b7c9325289"/>
    <ds:schemaRef ds:uri="c60a6009-aa1a-461d-a537-351556f0a008"/>
  </ds:schemaRefs>
</ds:datastoreItem>
</file>

<file path=customXml/itemProps4.xml><?xml version="1.0" encoding="utf-8"?>
<ds:datastoreItem xmlns:ds="http://schemas.openxmlformats.org/officeDocument/2006/customXml" ds:itemID="{616B172E-9A27-47A8-8BAE-EEE02F07B3D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2181</Words>
  <Characters>12434</Characters>
  <Application>Microsoft Office Word</Application>
  <DocSecurity>0</DocSecurity>
  <Lines>103</Lines>
  <Paragraphs>29</Paragraphs>
  <ScaleCrop>false</ScaleCrop>
  <Company>Department of State</Company>
  <LinksUpToDate>false</LinksUpToDate>
  <CharactersWithSpaces>14586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Moreno-Mendez, Anabel</dc:creator>
  <cp:lastModifiedBy>Dodds, Rebecca E</cp:lastModifiedBy>
  <cp:revision>12</cp:revision>
  <dcterms:created xsi:type="dcterms:W3CDTF">2025-05-06T13:08:00Z</dcterms:created>
  <dcterms:modified xsi:type="dcterms:W3CDTF">2025-10-22T15:16:00Z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0x01010073F40333DEF9D348A3088A9BD3E96D18</vt:lpwstr>
  </property>
  <property fmtid="{D5CDD505-2E9C-101B-9397-08002B2CF9AE}" pid="3" name="MediaServiceImageTags">
    <vt:lpwstr/>
  </property>
  <property fmtid="{D5CDD505-2E9C-101B-9397-08002B2CF9AE}" pid="4" name="MSIP_Label_1665d9ee-429a-4d5f-97cc-cfb56e044a6e_ActionId">
    <vt:lpwstr>b856d0eb-d5e9-4614-8969-8ac3437f0455</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2025-05-06T13:26:04Z</vt:lpwstr>
  </property>
  <property fmtid="{D5CDD505-2E9C-101B-9397-08002B2CF9AE}" pid="10" name="MSIP_Label_1665d9ee-429a-4d5f-97cc-cfb56e044a6e_SiteId">
    <vt:lpwstr>66cf5074-5afe-48d1-a691-a12b2121f44b</vt:lpwstr>
  </property>
  <property fmtid="{D5CDD505-2E9C-101B-9397-08002B2CF9AE}" pid="11" name="_dlc_DocIdItemGuid">
    <vt:lpwstr>988cf476-d393-4910-8fd8-513e7eef2c31</vt:lpwstr>
  </property>
</Properties>
</file>