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5A761C" w:rsidP="00F34DED" w14:paraId="7D7A25F1" w14:textId="77777777">
      <w:pPr>
        <w:tabs>
          <w:tab w:val="center" w:pos="4680"/>
        </w:tabs>
        <w:rPr>
          <w:sz w:val="22"/>
        </w:rPr>
      </w:pPr>
      <w:r w:rsidRPr="005A761C">
        <w:rPr>
          <w:b/>
          <w:bCs/>
          <w:sz w:val="22"/>
        </w:rPr>
        <w:t>Justification for No Material or Nonsubstantive Change to Currently-Approved Collection</w:t>
      </w:r>
    </w:p>
    <w:p w:rsidR="00F34DED" w:rsidRPr="005A761C" w:rsidP="00F34DED" w14:paraId="520E8DDA" w14:textId="77777777">
      <w:pPr>
        <w:rPr>
          <w:sz w:val="22"/>
        </w:rPr>
      </w:pPr>
    </w:p>
    <w:p w:rsidR="00F34DED" w:rsidRPr="005A761C" w:rsidP="00F34DED" w14:paraId="1364D56A" w14:textId="77777777">
      <w:pPr>
        <w:rPr>
          <w:sz w:val="22"/>
        </w:rPr>
      </w:pPr>
      <w:r w:rsidRPr="005A761C">
        <w:rPr>
          <w:b/>
          <w:bCs/>
          <w:sz w:val="22"/>
        </w:rPr>
        <w:t>AGENCY:</w:t>
      </w:r>
      <w:r w:rsidRPr="005A761C">
        <w:rPr>
          <w:sz w:val="22"/>
        </w:rPr>
        <w:tab/>
        <w:t>Pension Benefit Guaranty Corporation (PBGC)</w:t>
      </w:r>
    </w:p>
    <w:p w:rsidR="00F34DED" w:rsidRPr="005A761C" w:rsidP="00F34DED" w14:paraId="1E5C0898" w14:textId="77777777">
      <w:pPr>
        <w:rPr>
          <w:sz w:val="22"/>
        </w:rPr>
      </w:pPr>
    </w:p>
    <w:p w:rsidR="00F34DED" w:rsidRPr="005A761C" w:rsidP="00F34DED" w14:paraId="4BC274D4" w14:textId="77777777">
      <w:pPr>
        <w:tabs>
          <w:tab w:val="left" w:pos="-1440"/>
        </w:tabs>
        <w:ind w:left="1440" w:hanging="1440"/>
        <w:rPr>
          <w:sz w:val="22"/>
        </w:rPr>
      </w:pPr>
      <w:r w:rsidRPr="005A761C">
        <w:rPr>
          <w:b/>
          <w:bCs/>
          <w:sz w:val="22"/>
        </w:rPr>
        <w:t>TITLE:</w:t>
      </w:r>
      <w:r w:rsidRPr="005A761C">
        <w:rPr>
          <w:sz w:val="22"/>
        </w:rPr>
        <w:tab/>
        <w:t>Payment of Premiums (29 CFR Part 4007)</w:t>
      </w:r>
    </w:p>
    <w:p w:rsidR="00F34DED" w:rsidRPr="005A761C" w:rsidP="00F34DED" w14:paraId="7E08B909" w14:textId="77777777">
      <w:pPr>
        <w:rPr>
          <w:sz w:val="22"/>
        </w:rPr>
      </w:pPr>
    </w:p>
    <w:p w:rsidR="00F34DED" w:rsidRPr="005A761C" w:rsidP="00F34DED" w14:paraId="2FAF8E2C" w14:textId="0AE9DD62">
      <w:pPr>
        <w:rPr>
          <w:sz w:val="22"/>
        </w:rPr>
      </w:pPr>
      <w:r w:rsidRPr="005A761C">
        <w:rPr>
          <w:b/>
          <w:bCs/>
          <w:sz w:val="22"/>
        </w:rPr>
        <w:t>STATUS:</w:t>
      </w:r>
      <w:r w:rsidRPr="005A761C">
        <w:rPr>
          <w:sz w:val="22"/>
        </w:rPr>
        <w:tab/>
        <w:t>OMB control number 1212</w:t>
      </w:r>
      <w:r w:rsidRPr="005A761C">
        <w:rPr>
          <w:sz w:val="22"/>
        </w:rPr>
        <w:noBreakHyphen/>
        <w:t xml:space="preserve">0009; expires </w:t>
      </w:r>
      <w:r w:rsidR="00B46CF8">
        <w:rPr>
          <w:sz w:val="22"/>
        </w:rPr>
        <w:t>December 31</w:t>
      </w:r>
      <w:r w:rsidR="002856E3">
        <w:rPr>
          <w:sz w:val="22"/>
        </w:rPr>
        <w:t>, 20</w:t>
      </w:r>
      <w:r w:rsidR="00DC00F0">
        <w:rPr>
          <w:sz w:val="22"/>
        </w:rPr>
        <w:t>2</w:t>
      </w:r>
      <w:r w:rsidR="00B46CF8">
        <w:rPr>
          <w:sz w:val="22"/>
        </w:rPr>
        <w:t>6</w:t>
      </w:r>
    </w:p>
    <w:p w:rsidR="00F34DED" w:rsidRPr="005A761C" w:rsidP="00F34DED" w14:paraId="7CEE0A38" w14:textId="77777777">
      <w:pPr>
        <w:rPr>
          <w:sz w:val="22"/>
        </w:rPr>
      </w:pPr>
    </w:p>
    <w:p w:rsidR="00F34DED" w:rsidRPr="005A761C" w:rsidP="00F34DED" w14:paraId="530AF72F" w14:textId="6FEBB01C">
      <w:pPr>
        <w:tabs>
          <w:tab w:val="left" w:pos="-1440"/>
        </w:tabs>
        <w:ind w:left="1440" w:hanging="1440"/>
        <w:rPr>
          <w:sz w:val="22"/>
        </w:rPr>
      </w:pPr>
      <w:r w:rsidRPr="005A761C">
        <w:rPr>
          <w:b/>
          <w:bCs/>
          <w:sz w:val="22"/>
        </w:rPr>
        <w:t>CONTACT:</w:t>
      </w:r>
      <w:r w:rsidRPr="005A761C">
        <w:rPr>
          <w:sz w:val="22"/>
        </w:rPr>
        <w:tab/>
      </w:r>
      <w:r w:rsidR="00B46CF8">
        <w:rPr>
          <w:sz w:val="22"/>
        </w:rPr>
        <w:t>Karen Levin</w:t>
      </w:r>
      <w:r w:rsidRPr="005A761C">
        <w:rPr>
          <w:sz w:val="22"/>
        </w:rPr>
        <w:t xml:space="preserve"> (202-</w:t>
      </w:r>
      <w:r w:rsidR="002856E3">
        <w:rPr>
          <w:sz w:val="22"/>
        </w:rPr>
        <w:t>229-</w:t>
      </w:r>
      <w:r w:rsidR="00B46CF8">
        <w:rPr>
          <w:sz w:val="22"/>
        </w:rPr>
        <w:t>3559</w:t>
      </w:r>
      <w:r w:rsidRPr="005A761C">
        <w:rPr>
          <w:sz w:val="22"/>
        </w:rPr>
        <w:t>)</w:t>
      </w:r>
    </w:p>
    <w:p w:rsidR="00F34DED" w:rsidRPr="005A761C" w:rsidP="00F34DED" w14:paraId="66B9B531" w14:textId="77777777">
      <w:pPr>
        <w:rPr>
          <w:sz w:val="22"/>
        </w:rPr>
      </w:pPr>
    </w:p>
    <w:p w:rsidR="00710FDD" w:rsidP="00DC00F0" w14:paraId="1DDE3989" w14:textId="68F02C97">
      <w:pPr>
        <w:rPr>
          <w:rFonts w:cs="Times New Roman"/>
          <w:sz w:val="22"/>
        </w:rPr>
      </w:pPr>
      <w:r>
        <w:rPr>
          <w:rFonts w:cs="Times New Roman"/>
          <w:sz w:val="22"/>
        </w:rPr>
        <w:t>T</w:t>
      </w:r>
      <w:r w:rsidRPr="007E17D8">
        <w:rPr>
          <w:rFonts w:cs="Times New Roman"/>
          <w:sz w:val="22"/>
        </w:rPr>
        <w:t xml:space="preserve">he Pension Benefit Guaranty Corporation (PBGC) </w:t>
      </w:r>
      <w:r>
        <w:rPr>
          <w:rFonts w:cs="Times New Roman"/>
          <w:sz w:val="22"/>
        </w:rPr>
        <w:t>is making non-material changes to t</w:t>
      </w:r>
      <w:r w:rsidRPr="00DC00F0">
        <w:rPr>
          <w:rFonts w:cs="Times New Roman"/>
          <w:sz w:val="22"/>
        </w:rPr>
        <w:t xml:space="preserve">he </w:t>
      </w:r>
      <w:r w:rsidR="009F5EF2">
        <w:rPr>
          <w:rFonts w:cs="Times New Roman"/>
          <w:sz w:val="22"/>
        </w:rPr>
        <w:t>approved filing instructions</w:t>
      </w:r>
      <w:r w:rsidR="00D47AC3">
        <w:rPr>
          <w:rFonts w:cs="Times New Roman"/>
          <w:sz w:val="22"/>
        </w:rPr>
        <w:t xml:space="preserve"> for </w:t>
      </w:r>
      <w:r w:rsidR="009E7F69">
        <w:rPr>
          <w:rFonts w:cs="Times New Roman"/>
          <w:sz w:val="22"/>
        </w:rPr>
        <w:t xml:space="preserve">2024 plan years </w:t>
      </w:r>
      <w:r w:rsidRPr="00DC00F0">
        <w:rPr>
          <w:rFonts w:cs="Times New Roman"/>
          <w:sz w:val="22"/>
        </w:rPr>
        <w:t xml:space="preserve">for the collection of information relating to the computation and payment of premiums to </w:t>
      </w:r>
      <w:bookmarkStart w:id="0" w:name="_Hlk90365622"/>
      <w:r w:rsidRPr="00DC00F0">
        <w:rPr>
          <w:rFonts w:cs="Times New Roman"/>
          <w:sz w:val="22"/>
        </w:rPr>
        <w:t xml:space="preserve">PBGC </w:t>
      </w:r>
      <w:bookmarkEnd w:id="0"/>
      <w:r w:rsidRPr="00DC00F0">
        <w:rPr>
          <w:rFonts w:cs="Times New Roman"/>
          <w:sz w:val="22"/>
        </w:rPr>
        <w:t>under title IV of the Employee Retirement Income Security Act of 1974 (ERISA)</w:t>
      </w:r>
      <w:r w:rsidR="006326BE">
        <w:rPr>
          <w:rFonts w:cs="Times New Roman"/>
          <w:sz w:val="22"/>
        </w:rPr>
        <w:t>,</w:t>
      </w:r>
      <w:r w:rsidRPr="00DC00F0">
        <w:rPr>
          <w:rFonts w:cs="Times New Roman"/>
          <w:sz w:val="22"/>
        </w:rPr>
        <w:t xml:space="preserve"> for plan years beginning in 20</w:t>
      </w:r>
      <w:r>
        <w:rPr>
          <w:rFonts w:cs="Times New Roman"/>
          <w:sz w:val="22"/>
        </w:rPr>
        <w:t>2</w:t>
      </w:r>
      <w:r w:rsidR="00B46CF8">
        <w:rPr>
          <w:rFonts w:cs="Times New Roman"/>
          <w:sz w:val="22"/>
        </w:rPr>
        <w:t>5</w:t>
      </w:r>
      <w:r w:rsidR="007E17D8">
        <w:rPr>
          <w:rFonts w:cs="Times New Roman"/>
          <w:sz w:val="22"/>
        </w:rPr>
        <w:t>.</w:t>
      </w:r>
      <w:r w:rsidR="00133F61">
        <w:rPr>
          <w:rFonts w:cs="Times New Roman"/>
          <w:sz w:val="22"/>
        </w:rPr>
        <w:t xml:space="preserve">  </w:t>
      </w:r>
      <w:r w:rsidR="008D6F71">
        <w:rPr>
          <w:rFonts w:cs="Times New Roman"/>
          <w:sz w:val="22"/>
        </w:rPr>
        <w:t>T</w:t>
      </w:r>
      <w:r w:rsidRPr="00DC00F0">
        <w:rPr>
          <w:rFonts w:cs="Times New Roman"/>
          <w:sz w:val="22"/>
        </w:rPr>
        <w:t xml:space="preserve">he changes </w:t>
      </w:r>
      <w:r w:rsidR="008D6F71">
        <w:rPr>
          <w:rFonts w:cs="Times New Roman"/>
          <w:sz w:val="22"/>
        </w:rPr>
        <w:t>are as follows</w:t>
      </w:r>
      <w:r w:rsidR="002B0CE2">
        <w:rPr>
          <w:rFonts w:cs="Times New Roman"/>
          <w:sz w:val="22"/>
        </w:rPr>
        <w:t xml:space="preserve">. </w:t>
      </w:r>
    </w:p>
    <w:p w:rsidR="00DC00F0" w:rsidRPr="009D5532" w:rsidP="00DC00F0" w14:paraId="6EA75E4B" w14:textId="77777777">
      <w:pPr>
        <w:rPr>
          <w:rFonts w:cs="Times New Roman"/>
          <w:sz w:val="22"/>
        </w:rPr>
      </w:pPr>
    </w:p>
    <w:p w:rsidR="004327E7" w:rsidRPr="008D3BD5" w:rsidP="008D3BD5" w14:paraId="4F7F3D37" w14:textId="3DD5F25B">
      <w:pPr>
        <w:numPr>
          <w:ilvl w:val="0"/>
          <w:numId w:val="1"/>
        </w:numPr>
        <w:rPr>
          <w:sz w:val="22"/>
        </w:rPr>
      </w:pPr>
      <w:r w:rsidRPr="008F3F49">
        <w:rPr>
          <w:sz w:val="22"/>
        </w:rPr>
        <w:t xml:space="preserve">Revised the “What’s New” section </w:t>
      </w:r>
      <w:r w:rsidRPr="008F3F49" w:rsidR="0076638C">
        <w:rPr>
          <w:sz w:val="22"/>
        </w:rPr>
        <w:t xml:space="preserve">to </w:t>
      </w:r>
      <w:r w:rsidRPr="008F3F49" w:rsidR="001F5023">
        <w:rPr>
          <w:sz w:val="22"/>
        </w:rPr>
        <w:t>highlight minor changes</w:t>
      </w:r>
      <w:r w:rsidRPr="008F3F49" w:rsidR="00377B54">
        <w:rPr>
          <w:sz w:val="22"/>
        </w:rPr>
        <w:t xml:space="preserve"> in premium rates</w:t>
      </w:r>
      <w:r w:rsidRPr="008F3F49" w:rsidR="00CF165F">
        <w:rPr>
          <w:sz w:val="22"/>
        </w:rPr>
        <w:t>,</w:t>
      </w:r>
      <w:r w:rsidRPr="008F3F49" w:rsidR="00377B54">
        <w:rPr>
          <w:sz w:val="22"/>
        </w:rPr>
        <w:t xml:space="preserve"> caps</w:t>
      </w:r>
      <w:r w:rsidRPr="008F3F49" w:rsidR="00614CFD">
        <w:rPr>
          <w:sz w:val="22"/>
        </w:rPr>
        <w:t>, indexing</w:t>
      </w:r>
      <w:r w:rsidRPr="008F3F49" w:rsidR="00CF165F">
        <w:rPr>
          <w:sz w:val="22"/>
        </w:rPr>
        <w:t>,</w:t>
      </w:r>
      <w:r w:rsidRPr="008F3F49" w:rsidR="0039768C">
        <w:rPr>
          <w:sz w:val="22"/>
        </w:rPr>
        <w:t xml:space="preserve"> and clarifications, and </w:t>
      </w:r>
      <w:r w:rsidRPr="008F3F49" w:rsidR="00CC7024">
        <w:rPr>
          <w:sz w:val="22"/>
        </w:rPr>
        <w:t xml:space="preserve">modifications to </w:t>
      </w:r>
      <w:r w:rsidR="00FE220D">
        <w:rPr>
          <w:sz w:val="22"/>
        </w:rPr>
        <w:t>item 13 con</w:t>
      </w:r>
      <w:r w:rsidR="00F6784A">
        <w:rPr>
          <w:sz w:val="22"/>
        </w:rPr>
        <w:t>cerning</w:t>
      </w:r>
      <w:r w:rsidRPr="008F3F49" w:rsidR="003226F0">
        <w:rPr>
          <w:sz w:val="22"/>
        </w:rPr>
        <w:t xml:space="preserve"> whether </w:t>
      </w:r>
      <w:r w:rsidR="00D6447C">
        <w:rPr>
          <w:sz w:val="22"/>
        </w:rPr>
        <w:t xml:space="preserve">(and why) </w:t>
      </w:r>
      <w:r w:rsidRPr="008F3F49" w:rsidR="003226F0">
        <w:rPr>
          <w:sz w:val="22"/>
        </w:rPr>
        <w:t xml:space="preserve">this </w:t>
      </w:r>
      <w:r w:rsidRPr="008F3F49" w:rsidR="00747B7A">
        <w:rPr>
          <w:sz w:val="22"/>
        </w:rPr>
        <w:t>is a final premium fil</w:t>
      </w:r>
      <w:r w:rsidRPr="008F3F49" w:rsidR="0039768C">
        <w:rPr>
          <w:sz w:val="22"/>
        </w:rPr>
        <w:t>ing</w:t>
      </w:r>
      <w:r w:rsidRPr="008F3F49" w:rsidR="00D63EF9">
        <w:rPr>
          <w:sz w:val="22"/>
        </w:rPr>
        <w:t>.</w:t>
      </w:r>
      <w:r w:rsidRPr="008F3F49" w:rsidR="0060783D">
        <w:rPr>
          <w:sz w:val="22"/>
        </w:rPr>
        <w:t xml:space="preserve"> </w:t>
      </w:r>
      <w:r w:rsidRPr="008D3BD5" w:rsidR="008F3F49">
        <w:rPr>
          <w:sz w:val="22"/>
        </w:rPr>
        <w:t>(</w:t>
      </w:r>
      <w:r w:rsidRPr="008D3BD5" w:rsidR="00E0406C">
        <w:rPr>
          <w:sz w:val="22"/>
        </w:rPr>
        <w:t xml:space="preserve">p. </w:t>
      </w:r>
      <w:r w:rsidRPr="008D3BD5" w:rsidR="00DE6EEE">
        <w:rPr>
          <w:sz w:val="22"/>
        </w:rPr>
        <w:t>2</w:t>
      </w:r>
      <w:r w:rsidRPr="008D3BD5" w:rsidR="00E0406C">
        <w:rPr>
          <w:sz w:val="22"/>
        </w:rPr>
        <w:t xml:space="preserve">) </w:t>
      </w:r>
    </w:p>
    <w:p w:rsidR="00C74080" w:rsidP="00C74080" w14:paraId="42094A94" w14:textId="77777777">
      <w:pPr>
        <w:ind w:left="720"/>
        <w:rPr>
          <w:sz w:val="22"/>
        </w:rPr>
      </w:pPr>
    </w:p>
    <w:p w:rsidR="008B5E08" w:rsidP="008B5E08" w14:paraId="67DB3DBA" w14:textId="7683E765">
      <w:pPr>
        <w:numPr>
          <w:ilvl w:val="0"/>
          <w:numId w:val="1"/>
        </w:numPr>
        <w:rPr>
          <w:sz w:val="22"/>
        </w:rPr>
      </w:pPr>
      <w:r w:rsidRPr="008B5E08">
        <w:rPr>
          <w:sz w:val="22"/>
        </w:rPr>
        <w:t>Replaced references to the 202</w:t>
      </w:r>
      <w:r>
        <w:rPr>
          <w:sz w:val="22"/>
        </w:rPr>
        <w:t>4</w:t>
      </w:r>
      <w:r w:rsidRPr="008B5E08">
        <w:rPr>
          <w:sz w:val="22"/>
        </w:rPr>
        <w:t xml:space="preserve"> premium rates</w:t>
      </w:r>
      <w:r w:rsidR="00D6447C">
        <w:rPr>
          <w:sz w:val="22"/>
        </w:rPr>
        <w:t xml:space="preserve"> and cap</w:t>
      </w:r>
      <w:r w:rsidRPr="008B5E08">
        <w:rPr>
          <w:sz w:val="22"/>
        </w:rPr>
        <w:t xml:space="preserve"> with </w:t>
      </w:r>
      <w:r w:rsidRPr="008B5E08">
        <w:rPr>
          <w:sz w:val="22"/>
        </w:rPr>
        <w:t>the rates applicable for 202</w:t>
      </w:r>
      <w:r>
        <w:rPr>
          <w:sz w:val="22"/>
        </w:rPr>
        <w:t>5</w:t>
      </w:r>
      <w:r w:rsidR="004E7B89">
        <w:rPr>
          <w:sz w:val="22"/>
        </w:rPr>
        <w:t xml:space="preserve"> </w:t>
      </w:r>
      <w:r w:rsidRPr="008B5E08">
        <w:rPr>
          <w:sz w:val="22"/>
        </w:rPr>
        <w:t xml:space="preserve">(Note: Premium rates are set by statute.) (throughout the instructions) </w:t>
      </w:r>
    </w:p>
    <w:p w:rsidR="00C12AA1" w:rsidP="00C12AA1" w14:paraId="745E7C65" w14:textId="77777777">
      <w:pPr>
        <w:ind w:left="720"/>
        <w:rPr>
          <w:sz w:val="22"/>
        </w:rPr>
      </w:pPr>
    </w:p>
    <w:p w:rsidR="00C93400" w:rsidP="00C93400" w14:paraId="5B88F858" w14:textId="77777777">
      <w:pPr>
        <w:numPr>
          <w:ilvl w:val="0"/>
          <w:numId w:val="1"/>
        </w:numPr>
        <w:rPr>
          <w:sz w:val="22"/>
        </w:rPr>
      </w:pPr>
      <w:r>
        <w:rPr>
          <w:sz w:val="22"/>
        </w:rPr>
        <w:t>Updated due dates and other dates to those relevant for 2025 (Note: The due dates for 2025 are generally a month earlier than usual as required by section 502 of the Bipartisan Budget Act of 2015.) (throughout the instructions)</w:t>
      </w:r>
      <w:r w:rsidRPr="002B0CE2">
        <w:rPr>
          <w:sz w:val="22"/>
        </w:rPr>
        <w:t xml:space="preserve"> </w:t>
      </w:r>
    </w:p>
    <w:p w:rsidR="00C93400" w:rsidP="00C12AA1" w14:paraId="2A7267B7" w14:textId="77777777">
      <w:pPr>
        <w:ind w:left="720"/>
        <w:rPr>
          <w:sz w:val="22"/>
        </w:rPr>
      </w:pPr>
    </w:p>
    <w:p w:rsidR="008B5E08" w:rsidRPr="00230184" w:rsidP="001F78F3" w14:paraId="60DC045A" w14:textId="545D3997">
      <w:pPr>
        <w:numPr>
          <w:ilvl w:val="0"/>
          <w:numId w:val="1"/>
        </w:numPr>
        <w:rPr>
          <w:sz w:val="22"/>
        </w:rPr>
      </w:pPr>
      <w:r w:rsidRPr="00230184">
        <w:rPr>
          <w:sz w:val="22"/>
        </w:rPr>
        <w:t xml:space="preserve">Modified the instructions </w:t>
      </w:r>
      <w:r w:rsidRPr="00230184" w:rsidR="00230184">
        <w:rPr>
          <w:sz w:val="22"/>
        </w:rPr>
        <w:t xml:space="preserve">and the illustrative form </w:t>
      </w:r>
      <w:r w:rsidRPr="00230184">
        <w:rPr>
          <w:sz w:val="22"/>
        </w:rPr>
        <w:t xml:space="preserve">for </w:t>
      </w:r>
      <w:r w:rsidRPr="00230184" w:rsidR="0014416F">
        <w:rPr>
          <w:sz w:val="22"/>
        </w:rPr>
        <w:t xml:space="preserve">final premium filings </w:t>
      </w:r>
      <w:r w:rsidRPr="00230184" w:rsidR="00624D55">
        <w:rPr>
          <w:sz w:val="22"/>
        </w:rPr>
        <w:t xml:space="preserve">about whether </w:t>
      </w:r>
      <w:r w:rsidR="00D6447C">
        <w:rPr>
          <w:sz w:val="22"/>
        </w:rPr>
        <w:t xml:space="preserve">(and why) </w:t>
      </w:r>
      <w:r w:rsidRPr="00230184" w:rsidR="00624D55">
        <w:rPr>
          <w:sz w:val="22"/>
        </w:rPr>
        <w:t xml:space="preserve">this is the final premium </w:t>
      </w:r>
      <w:r w:rsidRPr="00230184" w:rsidR="00CD5D7E">
        <w:rPr>
          <w:sz w:val="22"/>
        </w:rPr>
        <w:t xml:space="preserve">filing </w:t>
      </w:r>
      <w:r w:rsidR="002D15C5">
        <w:rPr>
          <w:sz w:val="22"/>
        </w:rPr>
        <w:t xml:space="preserve">by providing </w:t>
      </w:r>
      <w:r w:rsidRPr="00230184" w:rsidR="00624D55">
        <w:rPr>
          <w:sz w:val="22"/>
        </w:rPr>
        <w:t xml:space="preserve">two options </w:t>
      </w:r>
      <w:r w:rsidR="006B3341">
        <w:rPr>
          <w:sz w:val="22"/>
        </w:rPr>
        <w:t xml:space="preserve">for responses </w:t>
      </w:r>
      <w:r w:rsidRPr="00230184" w:rsidR="00624D55">
        <w:rPr>
          <w:sz w:val="22"/>
        </w:rPr>
        <w:t>for</w:t>
      </w:r>
      <w:r w:rsidRPr="00230184" w:rsidR="009F1F45">
        <w:rPr>
          <w:sz w:val="22"/>
        </w:rPr>
        <w:t xml:space="preserve"> PBGC-coverage ceasing, ins</w:t>
      </w:r>
      <w:r w:rsidRPr="00230184" w:rsidR="00230184">
        <w:rPr>
          <w:sz w:val="22"/>
        </w:rPr>
        <w:t>tead of one</w:t>
      </w:r>
      <w:r w:rsidRPr="00230184" w:rsidR="009F1F45">
        <w:rPr>
          <w:sz w:val="22"/>
        </w:rPr>
        <w:t>.</w:t>
      </w:r>
      <w:r w:rsidR="00CD7CC8">
        <w:rPr>
          <w:sz w:val="22"/>
        </w:rPr>
        <w:t xml:space="preserve">  (p</w:t>
      </w:r>
      <w:r w:rsidR="00CA2AB4">
        <w:rPr>
          <w:sz w:val="22"/>
        </w:rPr>
        <w:t>p</w:t>
      </w:r>
      <w:r w:rsidR="00CD7CC8">
        <w:rPr>
          <w:sz w:val="22"/>
        </w:rPr>
        <w:t xml:space="preserve">. </w:t>
      </w:r>
      <w:r w:rsidR="00D6447C">
        <w:rPr>
          <w:sz w:val="22"/>
        </w:rPr>
        <w:t>31, 43</w:t>
      </w:r>
      <w:r w:rsidR="00200CFF">
        <w:rPr>
          <w:sz w:val="22"/>
        </w:rPr>
        <w:t xml:space="preserve"> (changes are shown </w:t>
      </w:r>
      <w:r w:rsidR="000B7B0D">
        <w:rPr>
          <w:sz w:val="22"/>
        </w:rPr>
        <w:t xml:space="preserve">in strikeout and red </w:t>
      </w:r>
      <w:r w:rsidR="00200CFF">
        <w:rPr>
          <w:sz w:val="22"/>
        </w:rPr>
        <w:t>below</w:t>
      </w:r>
      <w:r w:rsidR="00980F4A">
        <w:rPr>
          <w:sz w:val="22"/>
        </w:rPr>
        <w:t>)</w:t>
      </w:r>
      <w:r w:rsidR="007A7C9F">
        <w:rPr>
          <w:sz w:val="22"/>
        </w:rPr>
        <w:t>)</w:t>
      </w:r>
      <w:r w:rsidRPr="00230184" w:rsidR="009F1F45">
        <w:rPr>
          <w:sz w:val="22"/>
        </w:rPr>
        <w:t xml:space="preserve">  </w:t>
      </w:r>
    </w:p>
    <w:p w:rsidR="00D0308B" w:rsidRPr="003E7B9B" w:rsidP="003E7B9B" w14:paraId="54FF8B57" w14:textId="77777777">
      <w:pPr>
        <w:ind w:left="720"/>
        <w:rPr>
          <w:sz w:val="22"/>
        </w:rPr>
      </w:pPr>
    </w:p>
    <w:p w:rsidR="00C16B5D" w:rsidP="00CD5D7E" w14:paraId="2AFBD013" w14:textId="7A6BC708">
      <w:pPr>
        <w:rPr>
          <w:sz w:val="22"/>
        </w:rPr>
      </w:pPr>
      <w:r>
        <w:rPr>
          <w:sz w:val="22"/>
        </w:rPr>
        <w:t>The changes</w:t>
      </w:r>
      <w:r w:rsidR="0032177B">
        <w:rPr>
          <w:sz w:val="22"/>
        </w:rPr>
        <w:t xml:space="preserve"> made</w:t>
      </w:r>
      <w:r>
        <w:rPr>
          <w:sz w:val="22"/>
        </w:rPr>
        <w:t xml:space="preserve"> </w:t>
      </w:r>
      <w:r w:rsidR="00C47F85">
        <w:rPr>
          <w:sz w:val="22"/>
        </w:rPr>
        <w:t xml:space="preserve">to the filing </w:t>
      </w:r>
      <w:r w:rsidR="00FC4325">
        <w:rPr>
          <w:sz w:val="22"/>
        </w:rPr>
        <w:t>requirements</w:t>
      </w:r>
      <w:r w:rsidR="00C47F85">
        <w:rPr>
          <w:sz w:val="22"/>
        </w:rPr>
        <w:t xml:space="preserve"> </w:t>
      </w:r>
      <w:r w:rsidR="00C47F85">
        <w:rPr>
          <w:sz w:val="22"/>
        </w:rPr>
        <w:t xml:space="preserve">will not increase the </w:t>
      </w:r>
      <w:r w:rsidR="00224B93">
        <w:rPr>
          <w:sz w:val="22"/>
        </w:rPr>
        <w:t xml:space="preserve">hour or cost </w:t>
      </w:r>
      <w:r w:rsidR="00C47F85">
        <w:rPr>
          <w:sz w:val="22"/>
        </w:rPr>
        <w:t>burden</w:t>
      </w:r>
      <w:r w:rsidR="00224B93">
        <w:rPr>
          <w:sz w:val="22"/>
        </w:rPr>
        <w:t xml:space="preserve"> for this information collection. </w:t>
      </w:r>
      <w:r w:rsidR="00C47F85">
        <w:rPr>
          <w:sz w:val="22"/>
        </w:rPr>
        <w:t xml:space="preserve"> </w:t>
      </w:r>
    </w:p>
    <w:p w:rsidR="00C16B5D" w:rsidP="00CD5D7E" w14:paraId="76142BE2" w14:textId="77777777">
      <w:pPr>
        <w:rPr>
          <w:sz w:val="22"/>
        </w:rPr>
      </w:pPr>
    </w:p>
    <w:p w:rsidR="000F4994" w:rsidP="00CD5D7E" w14:paraId="6A3C6FFF" w14:textId="323C922B">
      <w:pPr>
        <w:rPr>
          <w:sz w:val="22"/>
        </w:rPr>
      </w:pPr>
      <w:r>
        <w:rPr>
          <w:sz w:val="22"/>
        </w:rPr>
        <w:t>The changes to pages 3</w:t>
      </w:r>
      <w:r w:rsidR="00C16B5D">
        <w:rPr>
          <w:sz w:val="22"/>
        </w:rPr>
        <w:t>1</w:t>
      </w:r>
      <w:r>
        <w:rPr>
          <w:sz w:val="22"/>
        </w:rPr>
        <w:t xml:space="preserve"> and 4</w:t>
      </w:r>
      <w:r w:rsidR="00C16B5D">
        <w:rPr>
          <w:sz w:val="22"/>
        </w:rPr>
        <w:t>3</w:t>
      </w:r>
      <w:r>
        <w:rPr>
          <w:sz w:val="22"/>
        </w:rPr>
        <w:t xml:space="preserve"> </w:t>
      </w:r>
      <w:r w:rsidR="002C6525">
        <w:rPr>
          <w:sz w:val="22"/>
        </w:rPr>
        <w:t>merely replace</w:t>
      </w:r>
      <w:r w:rsidR="00714532">
        <w:rPr>
          <w:sz w:val="22"/>
        </w:rPr>
        <w:t xml:space="preserve"> the current “cessation of coverage” box with two boxes and </w:t>
      </w:r>
      <w:r w:rsidR="00541317">
        <w:rPr>
          <w:sz w:val="22"/>
        </w:rPr>
        <w:t xml:space="preserve">are intended to make the information </w:t>
      </w:r>
      <w:r w:rsidR="00320DFA">
        <w:rPr>
          <w:sz w:val="22"/>
        </w:rPr>
        <w:t xml:space="preserve">reported </w:t>
      </w:r>
      <w:r w:rsidR="00541317">
        <w:rPr>
          <w:sz w:val="22"/>
        </w:rPr>
        <w:t xml:space="preserve">more usable.  The changes </w:t>
      </w:r>
      <w:r w:rsidR="00425F4B">
        <w:rPr>
          <w:sz w:val="22"/>
        </w:rPr>
        <w:t>to pages</w:t>
      </w:r>
      <w:r w:rsidR="00D6447C">
        <w:rPr>
          <w:sz w:val="22"/>
        </w:rPr>
        <w:t xml:space="preserve"> 31 and 43</w:t>
      </w:r>
      <w:r w:rsidR="00425F4B">
        <w:rPr>
          <w:sz w:val="22"/>
        </w:rPr>
        <w:t xml:space="preserve"> </w:t>
      </w:r>
      <w:r>
        <w:rPr>
          <w:sz w:val="22"/>
        </w:rPr>
        <w:t>are as follows:</w:t>
      </w:r>
    </w:p>
    <w:p w:rsidR="00980F4A" w:rsidP="00CD5D7E" w14:paraId="2E1156FC" w14:textId="77777777">
      <w:pPr>
        <w:rPr>
          <w:sz w:val="22"/>
        </w:rPr>
      </w:pPr>
    </w:p>
    <w:tbl>
      <w:tblPr>
        <w:tblW w:w="9820" w:type="dxa"/>
        <w:jc w:val="center"/>
        <w:tblLayout w:type="fixed"/>
        <w:tblLook w:val="01E0"/>
      </w:tblPr>
      <w:tblGrid>
        <w:gridCol w:w="9820"/>
      </w:tblGrid>
      <w:tr w14:paraId="6022727D" w14:textId="77777777" w:rsidTr="006F105E">
        <w:tblPrEx>
          <w:tblW w:w="9820" w:type="dxa"/>
          <w:jc w:val="center"/>
          <w:tblLayout w:type="fixed"/>
          <w:tblLook w:val="01E0"/>
        </w:tblPrEx>
        <w:trPr>
          <w:cantSplit/>
          <w:trHeight w:val="414"/>
          <w:jc w:val="center"/>
        </w:trPr>
        <w:tc>
          <w:tcPr>
            <w:tcW w:w="9820" w:type="dxa"/>
            <w:tcBorders>
              <w:top w:val="single" w:sz="4" w:space="0" w:color="auto"/>
              <w:left w:val="single" w:sz="4" w:space="0" w:color="auto"/>
              <w:right w:val="single" w:sz="4" w:space="0" w:color="auto"/>
            </w:tcBorders>
            <w:shd w:val="clear" w:color="auto" w:fill="auto"/>
            <w:vAlign w:val="center"/>
          </w:tcPr>
          <w:p w:rsidR="0049420B" w:rsidRPr="00302F13" w:rsidP="00332D0C" w14:paraId="3B164359" w14:textId="63305AC4">
            <w:pPr>
              <w:spacing w:before="120"/>
              <w:ind w:left="1060" w:hanging="1060"/>
              <w:rPr>
                <w:rFonts w:asciiTheme="minorHAnsi" w:hAnsiTheme="minorHAnsi"/>
                <w:b/>
                <w:sz w:val="16"/>
              </w:rPr>
            </w:pPr>
            <w:bookmarkStart w:id="1" w:name="Finalfiling"/>
            <w:r w:rsidRPr="00171E73">
              <w:rPr>
                <w:rFonts w:asciiTheme="minorHAnsi" w:hAnsiTheme="minorHAnsi"/>
                <w:b/>
                <w:sz w:val="16"/>
              </w:rPr>
              <w:t xml:space="preserve">13 Final filing </w:t>
            </w:r>
            <w:bookmarkEnd w:id="1"/>
            <w:r w:rsidRPr="00171E73">
              <w:rPr>
                <w:rFonts w:asciiTheme="minorHAnsi" w:hAnsiTheme="minorHAnsi"/>
                <w:b/>
                <w:sz w:val="16"/>
              </w:rPr>
              <w:t xml:space="preserve">–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8938C7">
              <w:rPr>
                <w:rFonts w:asciiTheme="minorHAnsi" w:hAnsiTheme="minorHAnsi"/>
                <w:strike/>
                <w:sz w:val="16"/>
              </w:rPr>
              <w:fldChar w:fldCharType="begin">
                <w:ffData>
                  <w:name w:val="Check41"/>
                  <w:enabled/>
                  <w:calcOnExit w:val="0"/>
                  <w:checkBox>
                    <w:sizeAuto/>
                    <w:default w:val="0"/>
                  </w:checkBox>
                </w:ffData>
              </w:fldChar>
            </w:r>
            <w:r w:rsidRPr="008938C7">
              <w:rPr>
                <w:rFonts w:asciiTheme="minorHAnsi" w:hAnsiTheme="minorHAnsi"/>
                <w:strike/>
                <w:sz w:val="16"/>
              </w:rPr>
              <w:instrText xml:space="preserve"> FORMCHECKBOX </w:instrText>
            </w:r>
            <w:r w:rsidRPr="008938C7">
              <w:rPr>
                <w:rFonts w:asciiTheme="minorHAnsi" w:hAnsiTheme="minorHAnsi"/>
                <w:strike/>
                <w:sz w:val="16"/>
              </w:rPr>
              <w:fldChar w:fldCharType="separate"/>
            </w:r>
            <w:r w:rsidRPr="008938C7">
              <w:rPr>
                <w:rFonts w:asciiTheme="minorHAnsi" w:hAnsiTheme="minorHAnsi"/>
                <w:strike/>
                <w:sz w:val="16"/>
              </w:rPr>
              <w:fldChar w:fldCharType="end"/>
            </w:r>
            <w:r w:rsidRPr="008938C7">
              <w:rPr>
                <w:rFonts w:asciiTheme="minorHAnsi" w:hAnsiTheme="minorHAnsi"/>
                <w:strike/>
                <w:sz w:val="16"/>
              </w:rPr>
              <w:t xml:space="preserve"> </w:t>
            </w:r>
            <w:r w:rsidRPr="008938C7" w:rsidR="00502D08">
              <w:rPr>
                <w:rFonts w:asciiTheme="minorHAnsi" w:hAnsiTheme="minorHAnsi"/>
                <w:strike/>
                <w:sz w:val="16"/>
              </w:rPr>
              <w:t>Cessation of covered status</w:t>
            </w:r>
            <w:r w:rsidRPr="008938C7" w:rsidR="008938C7">
              <w:rPr>
                <w:rFonts w:asciiTheme="minorHAnsi" w:hAnsiTheme="minorHAnsi"/>
                <w:strike/>
                <w:sz w:val="16"/>
              </w:rPr>
              <w:t xml:space="preserve"> (enter explanation)</w:t>
            </w:r>
            <w:r w:rsidR="00147CA6">
              <w:rPr>
                <w:rFonts w:asciiTheme="minorHAnsi" w:hAnsiTheme="minorHAnsi"/>
                <w:sz w:val="16"/>
              </w:rPr>
              <w:t xml:space="preserve"> </w:t>
            </w:r>
            <w:r w:rsidRPr="000B7B0D" w:rsidR="00147CA6">
              <w:rPr>
                <w:rFonts w:asciiTheme="minorHAnsi" w:hAnsiTheme="minorHAnsi"/>
                <w:color w:val="FF0000"/>
                <w:sz w:val="16"/>
              </w:rPr>
              <w:fldChar w:fldCharType="begin">
                <w:ffData>
                  <w:name w:val="Check41"/>
                  <w:enabled/>
                  <w:calcOnExit w:val="0"/>
                  <w:checkBox>
                    <w:sizeAuto/>
                    <w:default w:val="0"/>
                  </w:checkBox>
                </w:ffData>
              </w:fldChar>
            </w:r>
            <w:r w:rsidRPr="000B7B0D" w:rsidR="00147CA6">
              <w:rPr>
                <w:rFonts w:asciiTheme="minorHAnsi" w:hAnsiTheme="minorHAnsi"/>
                <w:color w:val="FF0000"/>
                <w:sz w:val="16"/>
              </w:rPr>
              <w:instrText xml:space="preserve"> FORMCHECKBOX </w:instrText>
            </w:r>
            <w:r w:rsidRPr="000B7B0D" w:rsidR="00147CA6">
              <w:rPr>
                <w:rFonts w:asciiTheme="minorHAnsi" w:hAnsiTheme="minorHAnsi"/>
                <w:color w:val="FF0000"/>
                <w:sz w:val="16"/>
              </w:rPr>
              <w:fldChar w:fldCharType="separate"/>
            </w:r>
            <w:r w:rsidRPr="000B7B0D" w:rsidR="00147CA6">
              <w:rPr>
                <w:rFonts w:asciiTheme="minorHAnsi" w:hAnsiTheme="minorHAnsi"/>
                <w:color w:val="FF0000"/>
                <w:sz w:val="16"/>
              </w:rPr>
              <w:fldChar w:fldCharType="end"/>
            </w:r>
            <w:r w:rsidRPr="000B7B0D" w:rsidR="00147CA6">
              <w:rPr>
                <w:rFonts w:asciiTheme="minorHAnsi" w:hAnsiTheme="minorHAnsi"/>
                <w:color w:val="FF0000"/>
                <w:sz w:val="16"/>
              </w:rPr>
              <w:t xml:space="preserve"> </w:t>
            </w:r>
            <w:r w:rsidRPr="000B7B0D">
              <w:rPr>
                <w:rFonts w:asciiTheme="minorHAnsi" w:hAnsiTheme="minorHAnsi"/>
                <w:color w:val="FF0000"/>
                <w:sz w:val="16"/>
              </w:rPr>
              <w:t xml:space="preserve">Coverage ceased because only remaining participants are substantial owners  </w:t>
            </w:r>
            <w:r w:rsidRPr="000B7B0D">
              <w:rPr>
                <w:rFonts w:asciiTheme="minorHAnsi" w:hAnsiTheme="minorHAnsi"/>
                <w:color w:val="FF0000"/>
                <w:sz w:val="16"/>
              </w:rPr>
              <w:fldChar w:fldCharType="begin">
                <w:ffData>
                  <w:name w:val="Check40"/>
                  <w:enabled/>
                  <w:calcOnExit w:val="0"/>
                  <w:checkBox>
                    <w:sizeAuto/>
                    <w:default w:val="0"/>
                  </w:checkBox>
                </w:ffData>
              </w:fldChar>
            </w:r>
            <w:r w:rsidRPr="000B7B0D">
              <w:rPr>
                <w:rFonts w:asciiTheme="minorHAnsi" w:hAnsiTheme="minorHAnsi"/>
                <w:color w:val="FF0000"/>
                <w:sz w:val="16"/>
              </w:rPr>
              <w:instrText xml:space="preserve"> FORMCHECKBOX </w:instrText>
            </w:r>
            <w:r w:rsidRPr="000B7B0D">
              <w:rPr>
                <w:rFonts w:asciiTheme="minorHAnsi" w:hAnsiTheme="minorHAnsi"/>
                <w:color w:val="FF0000"/>
                <w:sz w:val="16"/>
              </w:rPr>
              <w:fldChar w:fldCharType="separate"/>
            </w:r>
            <w:r w:rsidRPr="000B7B0D">
              <w:rPr>
                <w:rFonts w:asciiTheme="minorHAnsi" w:hAnsiTheme="minorHAnsi"/>
                <w:color w:val="FF0000"/>
                <w:sz w:val="16"/>
              </w:rPr>
              <w:fldChar w:fldCharType="end"/>
            </w:r>
            <w:r w:rsidRPr="000B7B0D">
              <w:rPr>
                <w:rFonts w:asciiTheme="minorHAnsi" w:hAnsiTheme="minorHAnsi"/>
                <w:color w:val="FF0000"/>
                <w:sz w:val="16"/>
              </w:rPr>
              <w:t xml:space="preserve"> Coverage ceased for some other reason. Enter explanation:</w:t>
            </w:r>
          </w:p>
        </w:tc>
      </w:tr>
      <w:tr w14:paraId="20A6009A" w14:textId="77777777" w:rsidTr="006F105E">
        <w:tblPrEx>
          <w:tblW w:w="9820" w:type="dxa"/>
          <w:jc w:val="center"/>
          <w:tblLayout w:type="fixed"/>
          <w:tblLook w:val="01E0"/>
        </w:tblPrEx>
        <w:trPr>
          <w:cantSplit/>
          <w:trHeight w:val="657"/>
          <w:jc w:val="center"/>
        </w:trPr>
        <w:tc>
          <w:tcPr>
            <w:tcW w:w="9820" w:type="dxa"/>
            <w:tcBorders>
              <w:left w:val="single" w:sz="4" w:space="0" w:color="auto"/>
              <w:bottom w:val="single" w:sz="4" w:space="0" w:color="auto"/>
              <w:right w:val="single" w:sz="4" w:space="0" w:color="auto"/>
            </w:tcBorders>
            <w:shd w:val="clear" w:color="auto" w:fill="auto"/>
          </w:tcPr>
          <w:p w:rsidR="0049420B" w:rsidRPr="00C637A0" w:rsidP="00332D0C" w14:paraId="248F185A"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bl>
    <w:p w:rsidR="00980F4A" w:rsidP="00CD5D7E" w14:paraId="1F0477E0" w14:textId="77777777">
      <w:pPr>
        <w:rPr>
          <w:sz w:val="22"/>
        </w:rPr>
      </w:pPr>
    </w:p>
    <w:p w:rsidR="00DA309C" w:rsidRPr="00F62144" w:rsidP="00DA309C" w14:paraId="014042F7" w14:textId="77777777">
      <w:pPr>
        <w:autoSpaceDE w:val="0"/>
        <w:autoSpaceDN w:val="0"/>
        <w:adjustRightInd w:val="0"/>
        <w:spacing w:before="120"/>
        <w:rPr>
          <w:rFonts w:asciiTheme="minorHAnsi" w:hAnsiTheme="minorHAnsi"/>
          <w:b/>
          <w:sz w:val="22"/>
        </w:rPr>
      </w:pPr>
      <w:bookmarkStart w:id="2" w:name="_Hlk175059380"/>
      <w:r w:rsidRPr="00F62144">
        <w:rPr>
          <w:rFonts w:asciiTheme="minorHAnsi" w:hAnsiTheme="minorHAnsi"/>
          <w:b/>
          <w:sz w:val="22"/>
        </w:rPr>
        <w:t xml:space="preserve">13 </w:t>
      </w:r>
      <w:r>
        <w:rPr>
          <w:rFonts w:asciiTheme="minorHAnsi" w:hAnsiTheme="minorHAnsi"/>
          <w:b/>
          <w:sz w:val="22"/>
        </w:rPr>
        <w:t xml:space="preserve"> </w:t>
      </w:r>
      <w:r w:rsidRPr="00F62144">
        <w:rPr>
          <w:rFonts w:asciiTheme="minorHAnsi" w:hAnsiTheme="minorHAnsi"/>
          <w:b/>
          <w:sz w:val="22"/>
        </w:rPr>
        <w:t xml:space="preserve">Final premium filing </w:t>
      </w:r>
    </w:p>
    <w:p w:rsidR="00DA309C" w:rsidP="00DA309C" w14:paraId="1955A3DF" w14:textId="77777777">
      <w:pPr>
        <w:autoSpaceDE w:val="0"/>
        <w:autoSpaceDN w:val="0"/>
        <w:adjustRightInd w:val="0"/>
        <w:spacing w:before="120"/>
        <w:ind w:left="360"/>
        <w:rPr>
          <w:rFonts w:asciiTheme="minorHAnsi" w:hAnsiTheme="minorHAnsi"/>
          <w:sz w:val="22"/>
        </w:rPr>
      </w:pPr>
      <w:r w:rsidRPr="00F62144">
        <w:rPr>
          <w:rFonts w:asciiTheme="minorHAnsi" w:hAnsiTheme="minorHAnsi"/>
          <w:sz w:val="22"/>
        </w:rPr>
        <w:t xml:space="preserve">If this is the last premium filing for this plan, </w:t>
      </w:r>
      <w:r>
        <w:rPr>
          <w:rFonts w:asciiTheme="minorHAnsi" w:hAnsiTheme="minorHAnsi"/>
          <w:sz w:val="22"/>
        </w:rPr>
        <w:t>check the box to i</w:t>
      </w:r>
      <w:r w:rsidRPr="00F62144">
        <w:rPr>
          <w:rFonts w:asciiTheme="minorHAnsi" w:hAnsiTheme="minorHAnsi"/>
          <w:sz w:val="22"/>
        </w:rPr>
        <w:t xml:space="preserve">ndicate the reason: </w:t>
      </w:r>
    </w:p>
    <w:p w:rsidR="00DA309C" w:rsidP="00DA309C" w14:paraId="057C66F3" w14:textId="77777777">
      <w:pPr>
        <w:numPr>
          <w:ilvl w:val="0"/>
          <w:numId w:val="4"/>
        </w:numPr>
        <w:autoSpaceDE w:val="0"/>
        <w:autoSpaceDN w:val="0"/>
        <w:adjustRightInd w:val="0"/>
        <w:spacing w:before="120"/>
        <w:rPr>
          <w:rFonts w:asciiTheme="minorHAnsi" w:hAnsiTheme="minorHAnsi"/>
          <w:sz w:val="22"/>
        </w:rPr>
      </w:pPr>
      <w:r w:rsidRPr="00F62144">
        <w:rPr>
          <w:rFonts w:asciiTheme="minorHAnsi" w:hAnsiTheme="minorHAnsi"/>
          <w:sz w:val="22"/>
        </w:rPr>
        <w:t xml:space="preserve">the plan merged or consolidated with another plan, </w:t>
      </w:r>
    </w:p>
    <w:p w:rsidR="00DA309C" w:rsidP="00DA309C" w14:paraId="10863B74" w14:textId="77777777">
      <w:pPr>
        <w:numPr>
          <w:ilvl w:val="0"/>
          <w:numId w:val="4"/>
        </w:numPr>
        <w:autoSpaceDE w:val="0"/>
        <w:autoSpaceDN w:val="0"/>
        <w:adjustRightInd w:val="0"/>
        <w:spacing w:before="120"/>
        <w:rPr>
          <w:rFonts w:asciiTheme="minorHAnsi" w:hAnsiTheme="minorHAnsi"/>
          <w:sz w:val="22"/>
        </w:rPr>
      </w:pPr>
      <w:r w:rsidRPr="00F62144">
        <w:rPr>
          <w:rFonts w:asciiTheme="minorHAnsi" w:hAnsiTheme="minorHAnsi"/>
          <w:sz w:val="22"/>
        </w:rPr>
        <w:t xml:space="preserve">the plan was trusteed under ERISA section 4042, </w:t>
      </w:r>
    </w:p>
    <w:p w:rsidR="00DA309C" w:rsidP="00DA309C" w14:paraId="08A391B2" w14:textId="77777777">
      <w:pPr>
        <w:numPr>
          <w:ilvl w:val="0"/>
          <w:numId w:val="4"/>
        </w:numPr>
        <w:autoSpaceDE w:val="0"/>
        <w:autoSpaceDN w:val="0"/>
        <w:adjustRightInd w:val="0"/>
        <w:spacing w:before="120"/>
        <w:rPr>
          <w:rFonts w:asciiTheme="minorHAnsi" w:hAnsiTheme="minorHAnsi"/>
          <w:sz w:val="22"/>
        </w:rPr>
      </w:pPr>
      <w:r w:rsidRPr="00F62144">
        <w:rPr>
          <w:rFonts w:asciiTheme="minorHAnsi" w:hAnsiTheme="minorHAnsi"/>
          <w:sz w:val="22"/>
        </w:rPr>
        <w:t>the plan completed a distribution pursuant to termination, or</w:t>
      </w:r>
    </w:p>
    <w:p w:rsidR="00DA309C" w:rsidP="00DA309C" w14:paraId="06190C82" w14:textId="4E19A254">
      <w:pPr>
        <w:numPr>
          <w:ilvl w:val="0"/>
          <w:numId w:val="4"/>
        </w:numPr>
        <w:autoSpaceDE w:val="0"/>
        <w:autoSpaceDN w:val="0"/>
        <w:adjustRightInd w:val="0"/>
        <w:spacing w:before="120"/>
        <w:rPr>
          <w:rFonts w:asciiTheme="minorHAnsi" w:hAnsiTheme="minorHAnsi"/>
          <w:sz w:val="22"/>
        </w:rPr>
      </w:pPr>
      <w:r w:rsidRPr="00F62144">
        <w:rPr>
          <w:rFonts w:asciiTheme="minorHAnsi" w:hAnsiTheme="minorHAnsi"/>
          <w:sz w:val="22"/>
        </w:rPr>
        <w:t xml:space="preserve">the plan ceased to be </w:t>
      </w:r>
      <w:r>
        <w:rPr>
          <w:rFonts w:asciiTheme="minorHAnsi" w:hAnsiTheme="minorHAnsi"/>
          <w:sz w:val="22"/>
        </w:rPr>
        <w:t xml:space="preserve">covered </w:t>
      </w:r>
      <w:r w:rsidRPr="00F62144">
        <w:rPr>
          <w:rFonts w:asciiTheme="minorHAnsi" w:hAnsiTheme="minorHAnsi"/>
          <w:sz w:val="22"/>
        </w:rPr>
        <w:t>by Title IV of ERISA</w:t>
      </w:r>
      <w:r w:rsidR="00D6447C">
        <w:rPr>
          <w:rFonts w:asciiTheme="minorHAnsi" w:hAnsiTheme="minorHAnsi"/>
          <w:sz w:val="22"/>
        </w:rPr>
        <w:t>.</w:t>
      </w:r>
      <w:r w:rsidRPr="00FA7BA2">
        <w:rPr>
          <w:rFonts w:asciiTheme="minorHAnsi" w:hAnsiTheme="minorHAnsi"/>
          <w:sz w:val="22"/>
        </w:rPr>
        <w:t xml:space="preserve"> </w:t>
      </w:r>
    </w:p>
    <w:p w:rsidR="00DA309C" w:rsidRPr="00BF08AC" w:rsidP="00DA309C" w14:paraId="0A0180DA" w14:textId="6E3C6B93">
      <w:pPr>
        <w:autoSpaceDE w:val="0"/>
        <w:autoSpaceDN w:val="0"/>
        <w:adjustRightInd w:val="0"/>
        <w:spacing w:before="120"/>
        <w:ind w:left="360"/>
        <w:rPr>
          <w:rFonts w:asciiTheme="minorHAnsi" w:hAnsiTheme="minorHAnsi"/>
          <w:sz w:val="22"/>
        </w:rPr>
      </w:pPr>
      <w:r w:rsidRPr="00644D71">
        <w:rPr>
          <w:rFonts w:asciiTheme="minorHAnsi" w:hAnsiTheme="minorHAnsi"/>
          <w:strike/>
          <w:sz w:val="22"/>
        </w:rPr>
        <w:t>If the reason is a cessation of coverage,</w:t>
      </w:r>
      <w:r>
        <w:rPr>
          <w:rFonts w:asciiTheme="minorHAnsi" w:hAnsiTheme="minorHAnsi"/>
          <w:sz w:val="22"/>
        </w:rPr>
        <w:t xml:space="preserve"> </w:t>
      </w:r>
      <w:r w:rsidRPr="006E1FF7">
        <w:rPr>
          <w:rFonts w:asciiTheme="minorHAnsi" w:hAnsiTheme="minorHAnsi"/>
          <w:color w:val="FF0000"/>
          <w:sz w:val="22"/>
        </w:rPr>
        <w:t xml:space="preserve">Note that there are two options (i.e., checkboxes) related to coverage ceasing.  The first is for a situation where the plan is no longer covered because the only remaining participants are substantial owners.  The second is for any other cessation of coverage situation.  If the second option applies, you must </w:t>
      </w:r>
      <w:r>
        <w:rPr>
          <w:rFonts w:asciiTheme="minorHAnsi" w:hAnsiTheme="minorHAnsi"/>
          <w:sz w:val="22"/>
        </w:rPr>
        <w:t xml:space="preserve">include an explanation </w:t>
      </w:r>
      <w:r w:rsidRPr="00BF08AC">
        <w:rPr>
          <w:rFonts w:asciiTheme="minorHAnsi" w:hAnsiTheme="minorHAnsi"/>
          <w:sz w:val="22"/>
        </w:rPr>
        <w:t>as to why you believe the plan is no longer covered</w:t>
      </w:r>
      <w:r w:rsidR="00947809">
        <w:rPr>
          <w:rFonts w:asciiTheme="minorHAnsi" w:hAnsiTheme="minorHAnsi"/>
          <w:sz w:val="22"/>
        </w:rPr>
        <w:t xml:space="preserve"> </w:t>
      </w:r>
      <w:r w:rsidRPr="00947809" w:rsidR="00947809">
        <w:rPr>
          <w:rFonts w:asciiTheme="minorHAnsi" w:hAnsiTheme="minorHAnsi"/>
          <w:strike/>
          <w:sz w:val="22"/>
        </w:rPr>
        <w:t>(e.g., the only remaining Participant is a substantial owner)</w:t>
      </w:r>
      <w:r>
        <w:rPr>
          <w:rFonts w:asciiTheme="minorHAnsi" w:hAnsiTheme="minorHAnsi"/>
          <w:sz w:val="22"/>
        </w:rPr>
        <w:t xml:space="preserve">.  </w:t>
      </w:r>
      <w:r w:rsidRPr="00644D71">
        <w:rPr>
          <w:rFonts w:asciiTheme="minorHAnsi" w:hAnsiTheme="minorHAnsi"/>
          <w:color w:val="FF0000"/>
          <w:sz w:val="22"/>
        </w:rPr>
        <w:t xml:space="preserve">In either situation, </w:t>
      </w:r>
      <w:r w:rsidRPr="004147FF" w:rsidR="004147FF">
        <w:rPr>
          <w:rFonts w:asciiTheme="minorHAnsi" w:hAnsiTheme="minorHAnsi"/>
          <w:strike/>
          <w:sz w:val="22"/>
        </w:rPr>
        <w:t xml:space="preserve">and </w:t>
      </w:r>
      <w:r w:rsidRPr="00BF08AC">
        <w:rPr>
          <w:rFonts w:asciiTheme="minorHAnsi" w:hAnsiTheme="minorHAnsi"/>
          <w:sz w:val="22"/>
        </w:rPr>
        <w:t>if you have not already done so, request a determination by submitting a coverage determination form available on PBGC’s “</w:t>
      </w:r>
      <w:hyperlink r:id="rId8" w:history="1">
        <w:r w:rsidRPr="00BF08AC">
          <w:rPr>
            <w:rStyle w:val="Hyperlink"/>
            <w:rFonts w:asciiTheme="minorHAnsi" w:hAnsiTheme="minorHAnsi"/>
            <w:sz w:val="22"/>
          </w:rPr>
          <w:t>Pension Insurance Coverage</w:t>
        </w:r>
      </w:hyperlink>
      <w:r w:rsidRPr="00BF08AC">
        <w:rPr>
          <w:rStyle w:val="Hyperlink"/>
          <w:rFonts w:asciiTheme="minorHAnsi" w:hAnsiTheme="minorHAnsi"/>
          <w:sz w:val="22"/>
        </w:rPr>
        <w:t>”</w:t>
      </w:r>
      <w:r w:rsidRPr="00BF08AC">
        <w:rPr>
          <w:rFonts w:asciiTheme="minorHAnsi" w:hAnsiTheme="minorHAnsi"/>
          <w:sz w:val="22"/>
        </w:rPr>
        <w:t xml:space="preserve"> </w:t>
      </w:r>
      <w:r>
        <w:rPr>
          <w:rFonts w:asciiTheme="minorHAnsi" w:hAnsiTheme="minorHAnsi"/>
          <w:sz w:val="22"/>
        </w:rPr>
        <w:t>web page</w:t>
      </w:r>
      <w:r w:rsidRPr="00BF08AC">
        <w:rPr>
          <w:rFonts w:asciiTheme="minorHAnsi" w:hAnsiTheme="minorHAnsi"/>
          <w:sz w:val="22"/>
        </w:rPr>
        <w:t>.</w:t>
      </w:r>
    </w:p>
    <w:bookmarkEnd w:id="2"/>
    <w:p w:rsidR="00DA309C" w:rsidRPr="002B0CE2" w:rsidP="00CD5D7E" w14:paraId="27E46D42" w14:textId="77777777">
      <w:pPr>
        <w:rPr>
          <w:sz w:val="22"/>
        </w:rPr>
      </w:pPr>
    </w:p>
    <w:sectPr w:rsidSect="009847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6463184">
    <w:abstractNumId w:val="2"/>
  </w:num>
  <w:num w:numId="2" w16cid:durableId="1478573507">
    <w:abstractNumId w:val="2"/>
  </w:num>
  <w:num w:numId="3" w16cid:durableId="2041321240">
    <w:abstractNumId w:val="1"/>
  </w:num>
  <w:num w:numId="4" w16cid:durableId="32828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0366"/>
    <w:rsid w:val="0002793A"/>
    <w:rsid w:val="00057D00"/>
    <w:rsid w:val="00062B89"/>
    <w:rsid w:val="00070EB7"/>
    <w:rsid w:val="0007287C"/>
    <w:rsid w:val="0007444C"/>
    <w:rsid w:val="00084303"/>
    <w:rsid w:val="000A5716"/>
    <w:rsid w:val="000B19F5"/>
    <w:rsid w:val="000B7B0D"/>
    <w:rsid w:val="000D761D"/>
    <w:rsid w:val="000F4994"/>
    <w:rsid w:val="00105C0B"/>
    <w:rsid w:val="00116CF6"/>
    <w:rsid w:val="00120FFB"/>
    <w:rsid w:val="0013180B"/>
    <w:rsid w:val="00133F61"/>
    <w:rsid w:val="0014416F"/>
    <w:rsid w:val="00147CA6"/>
    <w:rsid w:val="00153D04"/>
    <w:rsid w:val="0015499F"/>
    <w:rsid w:val="00171E73"/>
    <w:rsid w:val="00186539"/>
    <w:rsid w:val="001A1C29"/>
    <w:rsid w:val="001B15C8"/>
    <w:rsid w:val="001B3AEB"/>
    <w:rsid w:val="001C5145"/>
    <w:rsid w:val="001E50CE"/>
    <w:rsid w:val="001F2AE0"/>
    <w:rsid w:val="001F5023"/>
    <w:rsid w:val="001F78F3"/>
    <w:rsid w:val="002008D1"/>
    <w:rsid w:val="00200CFF"/>
    <w:rsid w:val="00204070"/>
    <w:rsid w:val="002132DD"/>
    <w:rsid w:val="002139B3"/>
    <w:rsid w:val="00217516"/>
    <w:rsid w:val="00217CA0"/>
    <w:rsid w:val="0022452C"/>
    <w:rsid w:val="00224B93"/>
    <w:rsid w:val="00230184"/>
    <w:rsid w:val="002537E1"/>
    <w:rsid w:val="00267C7E"/>
    <w:rsid w:val="002856E3"/>
    <w:rsid w:val="002960FE"/>
    <w:rsid w:val="002B0CE2"/>
    <w:rsid w:val="002B25D0"/>
    <w:rsid w:val="002B324E"/>
    <w:rsid w:val="002C1758"/>
    <w:rsid w:val="002C1D2C"/>
    <w:rsid w:val="002C46D2"/>
    <w:rsid w:val="002C6525"/>
    <w:rsid w:val="002D15C5"/>
    <w:rsid w:val="002F1F45"/>
    <w:rsid w:val="00300CA5"/>
    <w:rsid w:val="00302F13"/>
    <w:rsid w:val="00305E7E"/>
    <w:rsid w:val="00314353"/>
    <w:rsid w:val="00320DFA"/>
    <w:rsid w:val="0032177B"/>
    <w:rsid w:val="003226F0"/>
    <w:rsid w:val="0032311D"/>
    <w:rsid w:val="0033116A"/>
    <w:rsid w:val="00332D0C"/>
    <w:rsid w:val="00351BE7"/>
    <w:rsid w:val="003537D4"/>
    <w:rsid w:val="00365209"/>
    <w:rsid w:val="003740F3"/>
    <w:rsid w:val="00377B54"/>
    <w:rsid w:val="00381BCF"/>
    <w:rsid w:val="0039768C"/>
    <w:rsid w:val="003B0E1A"/>
    <w:rsid w:val="003C3EDB"/>
    <w:rsid w:val="003D2BA5"/>
    <w:rsid w:val="003D3F59"/>
    <w:rsid w:val="003D476F"/>
    <w:rsid w:val="003D7AC1"/>
    <w:rsid w:val="003E5B42"/>
    <w:rsid w:val="003E7B9B"/>
    <w:rsid w:val="00412E43"/>
    <w:rsid w:val="004147FF"/>
    <w:rsid w:val="00422047"/>
    <w:rsid w:val="00422D40"/>
    <w:rsid w:val="00425F4B"/>
    <w:rsid w:val="00427C04"/>
    <w:rsid w:val="004324B3"/>
    <w:rsid w:val="004327E7"/>
    <w:rsid w:val="00437778"/>
    <w:rsid w:val="004542B8"/>
    <w:rsid w:val="00472A7B"/>
    <w:rsid w:val="004826A3"/>
    <w:rsid w:val="0049420B"/>
    <w:rsid w:val="004A0857"/>
    <w:rsid w:val="004C4084"/>
    <w:rsid w:val="004E0277"/>
    <w:rsid w:val="004E08A5"/>
    <w:rsid w:val="004E7B89"/>
    <w:rsid w:val="004F5774"/>
    <w:rsid w:val="004F7BDB"/>
    <w:rsid w:val="005000B9"/>
    <w:rsid w:val="00502D08"/>
    <w:rsid w:val="0050556A"/>
    <w:rsid w:val="0052791C"/>
    <w:rsid w:val="00541317"/>
    <w:rsid w:val="00541AAB"/>
    <w:rsid w:val="00546765"/>
    <w:rsid w:val="0055164B"/>
    <w:rsid w:val="005562EB"/>
    <w:rsid w:val="005619F5"/>
    <w:rsid w:val="0057401E"/>
    <w:rsid w:val="00594B0F"/>
    <w:rsid w:val="005A079F"/>
    <w:rsid w:val="005A0CAE"/>
    <w:rsid w:val="005A33E6"/>
    <w:rsid w:val="005A761C"/>
    <w:rsid w:val="005B2666"/>
    <w:rsid w:val="005B5696"/>
    <w:rsid w:val="005C76A8"/>
    <w:rsid w:val="005D53C3"/>
    <w:rsid w:val="005E1EBB"/>
    <w:rsid w:val="005E2E26"/>
    <w:rsid w:val="0060783D"/>
    <w:rsid w:val="00614CFD"/>
    <w:rsid w:val="00624D55"/>
    <w:rsid w:val="006326BE"/>
    <w:rsid w:val="006365F7"/>
    <w:rsid w:val="00640915"/>
    <w:rsid w:val="00644D71"/>
    <w:rsid w:val="0065764A"/>
    <w:rsid w:val="006607AD"/>
    <w:rsid w:val="00662614"/>
    <w:rsid w:val="00675D8F"/>
    <w:rsid w:val="00687F87"/>
    <w:rsid w:val="00691A71"/>
    <w:rsid w:val="006B3341"/>
    <w:rsid w:val="006D36D6"/>
    <w:rsid w:val="006E1FF7"/>
    <w:rsid w:val="006E2AAF"/>
    <w:rsid w:val="006E537F"/>
    <w:rsid w:val="006F105E"/>
    <w:rsid w:val="00710FDD"/>
    <w:rsid w:val="00714532"/>
    <w:rsid w:val="007209FC"/>
    <w:rsid w:val="00722427"/>
    <w:rsid w:val="00725AA5"/>
    <w:rsid w:val="007271C7"/>
    <w:rsid w:val="0073126E"/>
    <w:rsid w:val="00744C5D"/>
    <w:rsid w:val="00747B7A"/>
    <w:rsid w:val="00764966"/>
    <w:rsid w:val="0076638C"/>
    <w:rsid w:val="007811C8"/>
    <w:rsid w:val="007812E9"/>
    <w:rsid w:val="00784D2A"/>
    <w:rsid w:val="00791687"/>
    <w:rsid w:val="0079680E"/>
    <w:rsid w:val="007979EB"/>
    <w:rsid w:val="007A6DA1"/>
    <w:rsid w:val="007A7C9F"/>
    <w:rsid w:val="007B2D1D"/>
    <w:rsid w:val="007B2F1C"/>
    <w:rsid w:val="007E17D8"/>
    <w:rsid w:val="007E1873"/>
    <w:rsid w:val="007E2D43"/>
    <w:rsid w:val="007F53EB"/>
    <w:rsid w:val="00806AF9"/>
    <w:rsid w:val="0081673F"/>
    <w:rsid w:val="00824481"/>
    <w:rsid w:val="00831CBC"/>
    <w:rsid w:val="00845164"/>
    <w:rsid w:val="00863606"/>
    <w:rsid w:val="00865269"/>
    <w:rsid w:val="008938C7"/>
    <w:rsid w:val="008A2E57"/>
    <w:rsid w:val="008B3F03"/>
    <w:rsid w:val="008B5AB2"/>
    <w:rsid w:val="008B5E08"/>
    <w:rsid w:val="008B6CCC"/>
    <w:rsid w:val="008D3801"/>
    <w:rsid w:val="008D3BD5"/>
    <w:rsid w:val="008D6F71"/>
    <w:rsid w:val="008E5CD3"/>
    <w:rsid w:val="008F0512"/>
    <w:rsid w:val="008F0EFE"/>
    <w:rsid w:val="008F3F49"/>
    <w:rsid w:val="00905F3E"/>
    <w:rsid w:val="0092216B"/>
    <w:rsid w:val="009313C2"/>
    <w:rsid w:val="00947809"/>
    <w:rsid w:val="0095641A"/>
    <w:rsid w:val="00961934"/>
    <w:rsid w:val="0096265C"/>
    <w:rsid w:val="009637D1"/>
    <w:rsid w:val="00974129"/>
    <w:rsid w:val="00980F4A"/>
    <w:rsid w:val="00984710"/>
    <w:rsid w:val="009B1C08"/>
    <w:rsid w:val="009C3029"/>
    <w:rsid w:val="009D5532"/>
    <w:rsid w:val="009E1BE6"/>
    <w:rsid w:val="009E7D50"/>
    <w:rsid w:val="009E7F69"/>
    <w:rsid w:val="009F1F45"/>
    <w:rsid w:val="009F53A5"/>
    <w:rsid w:val="009F5EF2"/>
    <w:rsid w:val="00A11B93"/>
    <w:rsid w:val="00A21448"/>
    <w:rsid w:val="00A235DE"/>
    <w:rsid w:val="00A32A56"/>
    <w:rsid w:val="00A34878"/>
    <w:rsid w:val="00A755FC"/>
    <w:rsid w:val="00AA77BD"/>
    <w:rsid w:val="00AB0814"/>
    <w:rsid w:val="00AB1D3E"/>
    <w:rsid w:val="00AE22D6"/>
    <w:rsid w:val="00AE6EC4"/>
    <w:rsid w:val="00B002FE"/>
    <w:rsid w:val="00B00DE1"/>
    <w:rsid w:val="00B46CF8"/>
    <w:rsid w:val="00B823D5"/>
    <w:rsid w:val="00B918FE"/>
    <w:rsid w:val="00B95808"/>
    <w:rsid w:val="00B96A39"/>
    <w:rsid w:val="00BA1BC8"/>
    <w:rsid w:val="00BA7F07"/>
    <w:rsid w:val="00BC318A"/>
    <w:rsid w:val="00BD1603"/>
    <w:rsid w:val="00BD4E25"/>
    <w:rsid w:val="00BD556E"/>
    <w:rsid w:val="00BF08AC"/>
    <w:rsid w:val="00BF64E3"/>
    <w:rsid w:val="00C12AA1"/>
    <w:rsid w:val="00C16B5D"/>
    <w:rsid w:val="00C26320"/>
    <w:rsid w:val="00C3414B"/>
    <w:rsid w:val="00C345CD"/>
    <w:rsid w:val="00C4796E"/>
    <w:rsid w:val="00C47F85"/>
    <w:rsid w:val="00C50770"/>
    <w:rsid w:val="00C637A0"/>
    <w:rsid w:val="00C74080"/>
    <w:rsid w:val="00C75377"/>
    <w:rsid w:val="00C869CF"/>
    <w:rsid w:val="00C932A3"/>
    <w:rsid w:val="00C93400"/>
    <w:rsid w:val="00CA2AB4"/>
    <w:rsid w:val="00CA71D7"/>
    <w:rsid w:val="00CC5764"/>
    <w:rsid w:val="00CC7024"/>
    <w:rsid w:val="00CC774B"/>
    <w:rsid w:val="00CD5D7E"/>
    <w:rsid w:val="00CD7372"/>
    <w:rsid w:val="00CD7CC8"/>
    <w:rsid w:val="00CF165F"/>
    <w:rsid w:val="00CF5661"/>
    <w:rsid w:val="00D0308B"/>
    <w:rsid w:val="00D1439E"/>
    <w:rsid w:val="00D26FBC"/>
    <w:rsid w:val="00D31452"/>
    <w:rsid w:val="00D47AC3"/>
    <w:rsid w:val="00D53368"/>
    <w:rsid w:val="00D57850"/>
    <w:rsid w:val="00D63735"/>
    <w:rsid w:val="00D63EF9"/>
    <w:rsid w:val="00D6447C"/>
    <w:rsid w:val="00D64749"/>
    <w:rsid w:val="00D65C06"/>
    <w:rsid w:val="00D71646"/>
    <w:rsid w:val="00D731EE"/>
    <w:rsid w:val="00D83E0A"/>
    <w:rsid w:val="00D94975"/>
    <w:rsid w:val="00D97846"/>
    <w:rsid w:val="00DA309C"/>
    <w:rsid w:val="00DA4CAC"/>
    <w:rsid w:val="00DB0642"/>
    <w:rsid w:val="00DB369B"/>
    <w:rsid w:val="00DB4949"/>
    <w:rsid w:val="00DB672F"/>
    <w:rsid w:val="00DB6DD4"/>
    <w:rsid w:val="00DB7057"/>
    <w:rsid w:val="00DC00F0"/>
    <w:rsid w:val="00DE6EEE"/>
    <w:rsid w:val="00DE76FE"/>
    <w:rsid w:val="00E016E1"/>
    <w:rsid w:val="00E0406C"/>
    <w:rsid w:val="00E04FAB"/>
    <w:rsid w:val="00E1738A"/>
    <w:rsid w:val="00E2069D"/>
    <w:rsid w:val="00E27396"/>
    <w:rsid w:val="00E275E3"/>
    <w:rsid w:val="00E314C6"/>
    <w:rsid w:val="00E40CCE"/>
    <w:rsid w:val="00E469BE"/>
    <w:rsid w:val="00E65BFF"/>
    <w:rsid w:val="00E67D00"/>
    <w:rsid w:val="00E96581"/>
    <w:rsid w:val="00EA5AB8"/>
    <w:rsid w:val="00EB1C5A"/>
    <w:rsid w:val="00EC2D62"/>
    <w:rsid w:val="00EC3288"/>
    <w:rsid w:val="00ED0B32"/>
    <w:rsid w:val="00EE2829"/>
    <w:rsid w:val="00EF34AD"/>
    <w:rsid w:val="00EF6DA4"/>
    <w:rsid w:val="00F01A5A"/>
    <w:rsid w:val="00F34DED"/>
    <w:rsid w:val="00F51987"/>
    <w:rsid w:val="00F543B6"/>
    <w:rsid w:val="00F62144"/>
    <w:rsid w:val="00F6784A"/>
    <w:rsid w:val="00F8283C"/>
    <w:rsid w:val="00F842ED"/>
    <w:rsid w:val="00F844F0"/>
    <w:rsid w:val="00F91834"/>
    <w:rsid w:val="00FA7BA2"/>
    <w:rsid w:val="00FB31C0"/>
    <w:rsid w:val="00FB3F29"/>
    <w:rsid w:val="00FC4325"/>
    <w:rsid w:val="00FD35CD"/>
    <w:rsid w:val="00FE220D"/>
    <w:rsid w:val="00FE5F79"/>
    <w:rsid w:val="00FF65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381BCF"/>
    <w:pPr>
      <w:ind w:left="720"/>
      <w:contextualSpacing/>
    </w:pPr>
  </w:style>
  <w:style w:type="paragraph" w:styleId="Revision">
    <w:name w:val="Revision"/>
    <w:hidden/>
    <w:uiPriority w:val="99"/>
    <w:semiHidden/>
    <w:rsid w:val="001F5023"/>
  </w:style>
  <w:style w:type="character" w:styleId="CommentReference">
    <w:name w:val="annotation reference"/>
    <w:basedOn w:val="DefaultParagraphFont"/>
    <w:uiPriority w:val="99"/>
    <w:semiHidden/>
    <w:unhideWhenUsed/>
    <w:rsid w:val="001F5023"/>
    <w:rPr>
      <w:sz w:val="16"/>
      <w:szCs w:val="16"/>
    </w:rPr>
  </w:style>
  <w:style w:type="paragraph" w:styleId="CommentText">
    <w:name w:val="annotation text"/>
    <w:basedOn w:val="Normal"/>
    <w:link w:val="CommentTextChar"/>
    <w:uiPriority w:val="99"/>
    <w:unhideWhenUsed/>
    <w:rsid w:val="001F5023"/>
    <w:rPr>
      <w:sz w:val="20"/>
      <w:szCs w:val="20"/>
    </w:rPr>
  </w:style>
  <w:style w:type="character" w:customStyle="1" w:styleId="CommentTextChar">
    <w:name w:val="Comment Text Char"/>
    <w:basedOn w:val="DefaultParagraphFont"/>
    <w:link w:val="CommentText"/>
    <w:uiPriority w:val="99"/>
    <w:rsid w:val="001F5023"/>
    <w:rPr>
      <w:sz w:val="20"/>
      <w:szCs w:val="20"/>
    </w:rPr>
  </w:style>
  <w:style w:type="paragraph" w:styleId="CommentSubject">
    <w:name w:val="annotation subject"/>
    <w:basedOn w:val="CommentText"/>
    <w:next w:val="CommentText"/>
    <w:link w:val="CommentSubjectChar"/>
    <w:uiPriority w:val="99"/>
    <w:semiHidden/>
    <w:unhideWhenUsed/>
    <w:rsid w:val="001F5023"/>
    <w:rPr>
      <w:b/>
      <w:bCs/>
    </w:rPr>
  </w:style>
  <w:style w:type="character" w:customStyle="1" w:styleId="CommentSubjectChar">
    <w:name w:val="Comment Subject Char"/>
    <w:basedOn w:val="CommentTextChar"/>
    <w:link w:val="CommentSubject"/>
    <w:uiPriority w:val="99"/>
    <w:semiHidden/>
    <w:rsid w:val="001F5023"/>
    <w:rPr>
      <w:b/>
      <w:bCs/>
      <w:sz w:val="20"/>
      <w:szCs w:val="20"/>
    </w:rPr>
  </w:style>
  <w:style w:type="character" w:styleId="Hyperlink">
    <w:name w:val="Hyperlink"/>
    <w:basedOn w:val="DefaultParagraphFont"/>
    <w:uiPriority w:val="99"/>
    <w:rsid w:val="00144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bgc.gov/prac/other-guidance/insurance-coverag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D63B3567-C67F-45DF-843C-16EF47422D49}">
  <ds:schemaRefs>
    <ds:schemaRef ds:uri="Microsoft.SharePoint.Taxonomy.ContentTypeSync"/>
  </ds:schemaRefs>
</ds:datastoreItem>
</file>

<file path=customXml/itemProps3.xml><?xml version="1.0" encoding="utf-8"?>
<ds:datastoreItem xmlns:ds="http://schemas.openxmlformats.org/officeDocument/2006/customXml" ds:itemID="{9BEA2D98-D6E4-4EB4-A947-A1AA571B9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90B16-A781-4190-9642-88BA393C4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Duke Hilary</cp:lastModifiedBy>
  <cp:revision>4</cp:revision>
  <dcterms:created xsi:type="dcterms:W3CDTF">2024-11-21T20:39:00Z</dcterms:created>
  <dcterms:modified xsi:type="dcterms:W3CDTF">2024-11-21T20:43:00Z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y fmtid="{D5CDD505-2E9C-101B-9397-08002B2CF9AE}" pid="7" name="Order">
    <vt:r8>100</vt:r8>
  </property>
  <property fmtid="{D5CDD505-2E9C-101B-9397-08002B2CF9AE}" pid="8" name="Source Library">
    <vt:lpwstr/>
  </property>
  <property fmtid="{D5CDD505-2E9C-101B-9397-08002B2CF9AE}" pid="9" name="Source Type">
    <vt:lpwstr>File share</vt:lpwstr>
  </property>
</Properties>
</file>