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36A54" w:rsidRPr="009D08AC" w:rsidP="00B36A54" w14:paraId="0FA80B7A" w14:textId="429D921B">
      <w:pPr>
        <w:pStyle w:val="Heading1"/>
        <w:widowControl/>
        <w:jc w:val="center"/>
        <w:rPr>
          <w:szCs w:val="24"/>
        </w:rPr>
      </w:pPr>
      <w:r w:rsidRPr="009D08AC">
        <w:rPr>
          <w:szCs w:val="24"/>
        </w:rPr>
        <w:t xml:space="preserve">SUPPORTING STATEMENT FOR PAPERWORK REDUCTION ACT OF 1995: </w:t>
      </w:r>
      <w:r w:rsidRPr="009D08AC" w:rsidR="00696A6B">
        <w:rPr>
          <w:szCs w:val="24"/>
        </w:rPr>
        <w:t>ELECTRONIC DISCLOSURE BY EMPLOYEE BENEFIT</w:t>
      </w:r>
      <w:r w:rsidRPr="009D08AC" w:rsidR="00FD0AA6">
        <w:rPr>
          <w:szCs w:val="24"/>
        </w:rPr>
        <w:t xml:space="preserve"> PLANS</w:t>
      </w:r>
    </w:p>
    <w:p w:rsidR="00D33C4C" w:rsidRPr="009D08AC" w:rsidP="00B36A54" w14:paraId="7EA62692" w14:textId="77777777">
      <w:pPr>
        <w:widowControl/>
        <w:rPr>
          <w:b w:val="0"/>
          <w:bCs w:val="0"/>
          <w:sz w:val="24"/>
          <w:szCs w:val="24"/>
        </w:rPr>
      </w:pPr>
    </w:p>
    <w:p w:rsidR="001C24D7" w:rsidRPr="009D08AC" w:rsidP="001C24D7" w14:paraId="6A975FAD" w14:textId="77777777">
      <w:pPr>
        <w:widowControl/>
        <w:rPr>
          <w:color w:val="000000" w:themeColor="text1"/>
          <w:sz w:val="24"/>
          <w:szCs w:val="24"/>
        </w:rPr>
      </w:pPr>
      <w:r w:rsidRPr="009D08AC">
        <w:rPr>
          <w:color w:val="000000" w:themeColor="text1"/>
          <w:sz w:val="24"/>
          <w:szCs w:val="24"/>
        </w:rPr>
        <w:t xml:space="preserve">This information collection request (ICR) seeks approval for an extension without change of </w:t>
      </w:r>
      <w:r w:rsidRPr="009D08AC">
        <w:rPr>
          <w:color w:val="000000" w:themeColor="text1"/>
          <w:sz w:val="24"/>
          <w:szCs w:val="24"/>
        </w:rPr>
        <w:t>an</w:t>
      </w:r>
      <w:r w:rsidRPr="009D08AC">
        <w:rPr>
          <w:color w:val="000000" w:themeColor="text1"/>
          <w:sz w:val="24"/>
          <w:szCs w:val="24"/>
        </w:rPr>
        <w:t xml:space="preserve"> existing control number. </w:t>
      </w:r>
    </w:p>
    <w:p w:rsidR="00381C42" w:rsidRPr="009D08AC" w:rsidP="00D55011" w14:paraId="667011E5" w14:textId="77777777">
      <w:pPr>
        <w:widowControl/>
        <w:ind w:left="720"/>
        <w:rPr>
          <w:b w:val="0"/>
          <w:bCs w:val="0"/>
          <w:sz w:val="24"/>
          <w:szCs w:val="24"/>
        </w:rPr>
      </w:pPr>
    </w:p>
    <w:p w:rsidR="00D33C4C" w:rsidRPr="009D08AC" w:rsidP="00D55011" w14:paraId="746B7AF2" w14:textId="7AFD00C4">
      <w:pPr>
        <w:pStyle w:val="ListParagraph"/>
        <w:widowControl/>
        <w:numPr>
          <w:ilvl w:val="0"/>
          <w:numId w:val="7"/>
        </w:numPr>
        <w:ind w:hanging="720"/>
        <w:outlineLvl w:val="0"/>
        <w:rPr>
          <w:sz w:val="24"/>
          <w:szCs w:val="24"/>
        </w:rPr>
      </w:pPr>
      <w:r w:rsidRPr="009D08AC">
        <w:rPr>
          <w:sz w:val="24"/>
          <w:szCs w:val="24"/>
        </w:rPr>
        <w:t>JUSTIFICATION</w:t>
      </w:r>
    </w:p>
    <w:p w:rsidR="00D33C4C" w:rsidRPr="009D08AC" w:rsidP="00D55011" w14:paraId="5A588050" w14:textId="77777777">
      <w:pPr>
        <w:widowControl/>
        <w:ind w:left="720"/>
        <w:rPr>
          <w:b w:val="0"/>
          <w:bCs w:val="0"/>
          <w:sz w:val="24"/>
          <w:szCs w:val="24"/>
        </w:rPr>
      </w:pPr>
    </w:p>
    <w:p w:rsidR="00D33C4C" w:rsidRPr="009D08AC" w:rsidP="00D55011" w14:paraId="103F5435" w14:textId="125D60DC">
      <w:pPr>
        <w:pStyle w:val="Quick1"/>
        <w:widowControl/>
        <w:numPr>
          <w:ilvl w:val="0"/>
          <w:numId w:val="1"/>
        </w:numPr>
        <w:tabs>
          <w:tab w:val="left" w:pos="-1440"/>
          <w:tab w:val="num" w:pos="720"/>
        </w:tabs>
        <w:rPr>
          <w:sz w:val="24"/>
          <w:szCs w:val="24"/>
        </w:rPr>
      </w:pPr>
      <w:r w:rsidRPr="009D08AC">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33C4C" w:rsidRPr="009D08AC" w:rsidP="00D55011" w14:paraId="688E323E" w14:textId="77777777">
      <w:pPr>
        <w:pStyle w:val="Quick1"/>
        <w:widowControl/>
        <w:numPr>
          <w:ilvl w:val="0"/>
          <w:numId w:val="0"/>
        </w:numPr>
        <w:tabs>
          <w:tab w:val="left" w:pos="-1440"/>
        </w:tabs>
        <w:ind w:left="720"/>
        <w:rPr>
          <w:b w:val="0"/>
          <w:bCs w:val="0"/>
          <w:i/>
          <w:iCs/>
          <w:sz w:val="24"/>
          <w:szCs w:val="24"/>
        </w:rPr>
      </w:pPr>
    </w:p>
    <w:p w:rsidR="00D33C4C" w:rsidRPr="009D08AC" w:rsidP="00D55011" w14:paraId="322A6F2F" w14:textId="77777777">
      <w:pPr>
        <w:pStyle w:val="Quick1"/>
        <w:widowControl/>
        <w:numPr>
          <w:ilvl w:val="0"/>
          <w:numId w:val="0"/>
        </w:numPr>
        <w:tabs>
          <w:tab w:val="left" w:pos="-1440"/>
        </w:tabs>
        <w:ind w:left="720"/>
        <w:rPr>
          <w:b w:val="0"/>
          <w:bCs w:val="0"/>
          <w:sz w:val="24"/>
          <w:szCs w:val="24"/>
        </w:rPr>
      </w:pPr>
      <w:r w:rsidRPr="009D08AC">
        <w:rPr>
          <w:b w:val="0"/>
          <w:bCs w:val="0"/>
          <w:sz w:val="24"/>
          <w:szCs w:val="24"/>
        </w:rPr>
        <w:t>Pursuant to section 1510(a) of the Taxpayer Relief Act of 1997 (TRA ’97), the Secretary of Labor and the Secretary of the Treasury were directed to issue guidance designed to interpret the notice, election, consent, disclosure, time requirements, and related recordkeeping requirements of the Employee Retirement Income Security Act of 1974 (ERISA) and the Internal Revenue Code, respectively, as applied to the use of new technologies by sponsors and administrators of retirement plans.</w:t>
      </w:r>
    </w:p>
    <w:p w:rsidR="00D33C4C" w:rsidRPr="009D08AC" w:rsidP="00D55011" w14:paraId="20F81ED1" w14:textId="77777777">
      <w:pPr>
        <w:pStyle w:val="Quick1"/>
        <w:widowControl/>
        <w:numPr>
          <w:ilvl w:val="0"/>
          <w:numId w:val="0"/>
        </w:numPr>
        <w:tabs>
          <w:tab w:val="left" w:pos="-1440"/>
        </w:tabs>
        <w:ind w:left="720"/>
        <w:rPr>
          <w:b w:val="0"/>
          <w:bCs w:val="0"/>
          <w:sz w:val="24"/>
          <w:szCs w:val="24"/>
        </w:rPr>
      </w:pPr>
    </w:p>
    <w:p w:rsidR="00D33C4C" w:rsidRPr="009D08AC" w:rsidP="00D55011" w14:paraId="69C2E900" w14:textId="69775032">
      <w:pPr>
        <w:pStyle w:val="Quick1"/>
        <w:widowControl/>
        <w:numPr>
          <w:ilvl w:val="0"/>
          <w:numId w:val="0"/>
        </w:numPr>
        <w:tabs>
          <w:tab w:val="left" w:pos="-1440"/>
        </w:tabs>
        <w:ind w:left="720"/>
        <w:rPr>
          <w:b w:val="0"/>
          <w:bCs w:val="0"/>
          <w:sz w:val="24"/>
          <w:szCs w:val="24"/>
        </w:rPr>
      </w:pPr>
      <w:r w:rsidRPr="009D08AC">
        <w:rPr>
          <w:b w:val="0"/>
          <w:bCs w:val="0"/>
          <w:sz w:val="24"/>
          <w:szCs w:val="24"/>
        </w:rPr>
        <w:t xml:space="preserve">While electronic disclosure was not precluded by existing regulations, the Department </w:t>
      </w:r>
      <w:r w:rsidRPr="009D08AC" w:rsidR="00785826">
        <w:rPr>
          <w:b w:val="0"/>
          <w:bCs w:val="0"/>
          <w:sz w:val="24"/>
          <w:szCs w:val="24"/>
        </w:rPr>
        <w:t xml:space="preserve">of Labor (the Department) </w:t>
      </w:r>
      <w:r w:rsidRPr="009D08AC">
        <w:rPr>
          <w:b w:val="0"/>
          <w:bCs w:val="0"/>
          <w:sz w:val="24"/>
          <w:szCs w:val="24"/>
        </w:rPr>
        <w:t>had not previously issued guidance with respect to electronic delivery of disclosure documents. On January 28, 1999, the Department published a notice of proposed rulemaking on electronic disclosure and recordkeeping issues (64 FR 4506). Where</w:t>
      </w:r>
      <w:r w:rsidRPr="009D08AC" w:rsidR="00785826">
        <w:rPr>
          <w:b w:val="0"/>
          <w:bCs w:val="0"/>
          <w:sz w:val="24"/>
          <w:szCs w:val="24"/>
        </w:rPr>
        <w:t>,</w:t>
      </w:r>
      <w:r w:rsidRPr="009D08AC">
        <w:rPr>
          <w:b w:val="0"/>
          <w:bCs w:val="0"/>
          <w:sz w:val="24"/>
          <w:szCs w:val="24"/>
        </w:rPr>
        <w:t xml:space="preserve"> previously</w:t>
      </w:r>
      <w:r w:rsidRPr="009D08AC" w:rsidR="00785826">
        <w:rPr>
          <w:b w:val="0"/>
          <w:bCs w:val="0"/>
          <w:sz w:val="24"/>
          <w:szCs w:val="24"/>
        </w:rPr>
        <w:t>,</w:t>
      </w:r>
      <w:r w:rsidRPr="009D08AC">
        <w:rPr>
          <w:b w:val="0"/>
          <w:bCs w:val="0"/>
          <w:sz w:val="24"/>
          <w:szCs w:val="24"/>
        </w:rPr>
        <w:t xml:space="preserve"> only group health plans had specifically been provided with a safe harbor for electronic disclosure, the proposal expanded the use of electronic disclosure to include all pension and welfare benefit plans covered by Title I of ERISA. In addition, the proposal added summary annual reports to the list of disclosure documents included in the safe harbor provisions.</w:t>
      </w:r>
    </w:p>
    <w:p w:rsidR="00D33C4C" w:rsidRPr="009D08AC" w:rsidP="00D55011" w14:paraId="7571A43A" w14:textId="77777777">
      <w:pPr>
        <w:pStyle w:val="Quick1"/>
        <w:widowControl/>
        <w:numPr>
          <w:ilvl w:val="0"/>
          <w:numId w:val="0"/>
        </w:numPr>
        <w:tabs>
          <w:tab w:val="left" w:pos="-1440"/>
        </w:tabs>
        <w:ind w:left="720"/>
        <w:rPr>
          <w:b w:val="0"/>
          <w:bCs w:val="0"/>
          <w:sz w:val="24"/>
          <w:szCs w:val="24"/>
        </w:rPr>
      </w:pPr>
    </w:p>
    <w:p w:rsidR="00222809" w:rsidRPr="009D08AC" w:rsidP="00222809" w14:paraId="4D3377FA" w14:textId="1DD0FDCF">
      <w:pPr>
        <w:spacing w:line="276" w:lineRule="auto"/>
        <w:ind w:firstLine="720"/>
        <w:rPr>
          <w:bCs w:val="0"/>
          <w:sz w:val="24"/>
          <w:szCs w:val="24"/>
          <w:u w:val="single"/>
        </w:rPr>
      </w:pPr>
      <w:r w:rsidRPr="009D08AC">
        <w:rPr>
          <w:bCs w:val="0"/>
          <w:sz w:val="24"/>
          <w:szCs w:val="24"/>
          <w:u w:val="single"/>
        </w:rPr>
        <w:t xml:space="preserve">2002 </w:t>
      </w:r>
      <w:r w:rsidRPr="009D08AC" w:rsidR="001B554A">
        <w:rPr>
          <w:bCs w:val="0"/>
          <w:sz w:val="24"/>
          <w:szCs w:val="24"/>
          <w:u w:val="single"/>
        </w:rPr>
        <w:t>Safe Harbor</w:t>
      </w:r>
    </w:p>
    <w:p w:rsidR="00222809" w:rsidRPr="009D08AC" w:rsidP="00D55011" w14:paraId="1A0855C0" w14:textId="77777777">
      <w:pPr>
        <w:pStyle w:val="Quick1"/>
        <w:widowControl/>
        <w:numPr>
          <w:ilvl w:val="0"/>
          <w:numId w:val="0"/>
        </w:numPr>
        <w:tabs>
          <w:tab w:val="left" w:pos="-1440"/>
        </w:tabs>
        <w:ind w:left="720"/>
        <w:rPr>
          <w:b w:val="0"/>
          <w:bCs w:val="0"/>
          <w:sz w:val="24"/>
          <w:szCs w:val="24"/>
        </w:rPr>
      </w:pPr>
    </w:p>
    <w:p w:rsidR="00D33C4C" w:rsidRPr="009D08AC" w:rsidP="00D55011" w14:paraId="23B62F3F" w14:textId="705650FF">
      <w:pPr>
        <w:pStyle w:val="Quick1"/>
        <w:widowControl/>
        <w:numPr>
          <w:ilvl w:val="0"/>
          <w:numId w:val="0"/>
        </w:numPr>
        <w:tabs>
          <w:tab w:val="left" w:pos="-1440"/>
        </w:tabs>
        <w:ind w:left="720"/>
        <w:rPr>
          <w:b w:val="0"/>
          <w:bCs w:val="0"/>
          <w:sz w:val="24"/>
          <w:szCs w:val="24"/>
        </w:rPr>
      </w:pPr>
      <w:r w:rsidRPr="009D08AC">
        <w:rPr>
          <w:b w:val="0"/>
          <w:bCs w:val="0"/>
          <w:sz w:val="24"/>
          <w:szCs w:val="24"/>
        </w:rPr>
        <w:t>On April 9, 2002, the Department published a notice of rulemaking on electronic disclosure and recordkeeping issues (67 FR 17264)</w:t>
      </w:r>
      <w:r w:rsidRPr="009D08AC" w:rsidR="00941844">
        <w:rPr>
          <w:b w:val="0"/>
          <w:bCs w:val="0"/>
          <w:sz w:val="24"/>
          <w:szCs w:val="24"/>
        </w:rPr>
        <w:t xml:space="preserve"> to establish a safe harbor for the use of electronic media to satisfy </w:t>
      </w:r>
      <w:r w:rsidRPr="009D08AC" w:rsidR="00CB2362">
        <w:rPr>
          <w:b w:val="0"/>
          <w:bCs w:val="0"/>
          <w:sz w:val="24"/>
          <w:szCs w:val="24"/>
        </w:rPr>
        <w:t>ERISA’s</w:t>
      </w:r>
      <w:r w:rsidRPr="009D08AC" w:rsidR="00941844">
        <w:rPr>
          <w:b w:val="0"/>
          <w:bCs w:val="0"/>
          <w:sz w:val="24"/>
          <w:szCs w:val="24"/>
        </w:rPr>
        <w:t xml:space="preserve"> general furnishing requirement</w:t>
      </w:r>
      <w:r w:rsidRPr="009D08AC">
        <w:rPr>
          <w:b w:val="0"/>
          <w:bCs w:val="0"/>
          <w:sz w:val="24"/>
          <w:szCs w:val="24"/>
        </w:rPr>
        <w:t xml:space="preserve">. Based on public comments, the regulation expanded the list of disclosures addressed by the safe harbor to disclosures under Title I </w:t>
      </w:r>
      <w:r w:rsidRPr="009D08AC" w:rsidR="006B588D">
        <w:rPr>
          <w:b w:val="0"/>
          <w:bCs w:val="0"/>
          <w:sz w:val="24"/>
          <w:szCs w:val="24"/>
        </w:rPr>
        <w:t xml:space="preserve">of ERISA </w:t>
      </w:r>
      <w:r w:rsidRPr="009D08AC">
        <w:rPr>
          <w:b w:val="0"/>
          <w:bCs w:val="0"/>
          <w:sz w:val="24"/>
          <w:szCs w:val="24"/>
        </w:rPr>
        <w:t xml:space="preserve">generally. The regulation also provided for the receipt of required disclosures </w:t>
      </w:r>
      <w:r w:rsidRPr="009D08AC" w:rsidR="00EE3FA7">
        <w:rPr>
          <w:b w:val="0"/>
          <w:bCs w:val="0"/>
          <w:sz w:val="24"/>
          <w:szCs w:val="24"/>
        </w:rPr>
        <w:t>through electronic media</w:t>
      </w:r>
      <w:r w:rsidRPr="009D08AC" w:rsidR="003554A1">
        <w:rPr>
          <w:b w:val="0"/>
          <w:bCs w:val="0"/>
          <w:sz w:val="24"/>
          <w:szCs w:val="24"/>
        </w:rPr>
        <w:t xml:space="preserve"> </w:t>
      </w:r>
      <w:r w:rsidRPr="009D08AC">
        <w:rPr>
          <w:b w:val="0"/>
          <w:bCs w:val="0"/>
          <w:sz w:val="24"/>
          <w:szCs w:val="24"/>
        </w:rPr>
        <w:t xml:space="preserve">at locations other than the workplace. </w:t>
      </w:r>
      <w:r w:rsidRPr="009D08AC" w:rsidR="00B37D36">
        <w:rPr>
          <w:b w:val="0"/>
          <w:bCs w:val="0"/>
          <w:sz w:val="24"/>
          <w:szCs w:val="24"/>
        </w:rPr>
        <w:t xml:space="preserve">The regulation allowed electronic </w:t>
      </w:r>
      <w:r w:rsidRPr="009D08AC" w:rsidR="00AE4A02">
        <w:rPr>
          <w:b w:val="0"/>
          <w:bCs w:val="0"/>
          <w:sz w:val="24"/>
          <w:szCs w:val="24"/>
        </w:rPr>
        <w:t xml:space="preserve">delivery for participants </w:t>
      </w:r>
      <w:r w:rsidRPr="009D08AC" w:rsidR="00EA6A12">
        <w:rPr>
          <w:b w:val="0"/>
          <w:bCs w:val="0"/>
          <w:sz w:val="24"/>
          <w:szCs w:val="24"/>
        </w:rPr>
        <w:t xml:space="preserve">that </w:t>
      </w:r>
      <w:r w:rsidRPr="009D08AC" w:rsidR="00EA6A12">
        <w:rPr>
          <w:b w:val="0"/>
          <w:bCs w:val="0"/>
          <w:sz w:val="24"/>
          <w:szCs w:val="24"/>
        </w:rPr>
        <w:t>have</w:t>
      </w:r>
      <w:r w:rsidRPr="009D08AC" w:rsidR="00AE4A02">
        <w:rPr>
          <w:b w:val="0"/>
          <w:bCs w:val="0"/>
          <w:sz w:val="24"/>
          <w:szCs w:val="24"/>
        </w:rPr>
        <w:t xml:space="preserve"> the ability to</w:t>
      </w:r>
      <w:r w:rsidRPr="009D08AC" w:rsidR="00AE4A02">
        <w:rPr>
          <w:b w:val="0"/>
          <w:bCs w:val="0"/>
          <w:sz w:val="24"/>
          <w:szCs w:val="24"/>
        </w:rPr>
        <w:t xml:space="preserve"> effectively access electronic documents at any location where they reasonably could be expected to perform their employment duties</w:t>
      </w:r>
      <w:r w:rsidRPr="009D08AC" w:rsidR="00EA6A12">
        <w:rPr>
          <w:b w:val="0"/>
          <w:bCs w:val="0"/>
          <w:sz w:val="24"/>
          <w:szCs w:val="24"/>
        </w:rPr>
        <w:t xml:space="preserve"> and </w:t>
      </w:r>
      <w:r w:rsidRPr="009D08AC" w:rsidR="001766B6">
        <w:rPr>
          <w:b w:val="0"/>
          <w:bCs w:val="0"/>
          <w:sz w:val="24"/>
          <w:szCs w:val="24"/>
        </w:rPr>
        <w:t>whose access is</w:t>
      </w:r>
      <w:r w:rsidRPr="009D08AC" w:rsidR="001766B6">
        <w:rPr>
          <w:b w:val="0"/>
          <w:bCs w:val="0"/>
          <w:sz w:val="24"/>
          <w:szCs w:val="24"/>
          <w:u w:val="single"/>
        </w:rPr>
        <w:t xml:space="preserve"> an integral part of those employment duties</w:t>
      </w:r>
      <w:r w:rsidRPr="009D08AC" w:rsidR="00AE4A02">
        <w:rPr>
          <w:b w:val="0"/>
          <w:bCs w:val="0"/>
          <w:sz w:val="24"/>
          <w:szCs w:val="24"/>
        </w:rPr>
        <w:t xml:space="preserve">, unless they opted out. These participants are generally referred to as </w:t>
      </w:r>
      <w:r w:rsidRPr="009D08AC" w:rsidR="000A2ABB">
        <w:rPr>
          <w:b w:val="0"/>
          <w:bCs w:val="0"/>
          <w:sz w:val="24"/>
          <w:szCs w:val="24"/>
        </w:rPr>
        <w:t>“</w:t>
      </w:r>
      <w:r w:rsidRPr="009D08AC" w:rsidR="00AE4A02">
        <w:rPr>
          <w:b w:val="0"/>
          <w:bCs w:val="0"/>
          <w:sz w:val="24"/>
          <w:szCs w:val="24"/>
        </w:rPr>
        <w:t>wired-at-work</w:t>
      </w:r>
      <w:r w:rsidRPr="009D08AC" w:rsidR="000A2ABB">
        <w:rPr>
          <w:b w:val="0"/>
          <w:bCs w:val="0"/>
          <w:sz w:val="24"/>
          <w:szCs w:val="24"/>
        </w:rPr>
        <w:t>”</w:t>
      </w:r>
      <w:r w:rsidRPr="009D08AC" w:rsidR="00AE4A02">
        <w:rPr>
          <w:b w:val="0"/>
          <w:bCs w:val="0"/>
          <w:sz w:val="24"/>
          <w:szCs w:val="24"/>
        </w:rPr>
        <w:t>.</w:t>
      </w:r>
      <w:r w:rsidRPr="009D08AC" w:rsidR="000A2ABB">
        <w:rPr>
          <w:b w:val="0"/>
          <w:bCs w:val="0"/>
          <w:sz w:val="24"/>
          <w:szCs w:val="24"/>
        </w:rPr>
        <w:t xml:space="preserve"> </w:t>
      </w:r>
      <w:r w:rsidRPr="009D08AC">
        <w:rPr>
          <w:b w:val="0"/>
          <w:bCs w:val="0"/>
          <w:sz w:val="24"/>
          <w:szCs w:val="24"/>
        </w:rPr>
        <w:t xml:space="preserve">For those participants and beneficiaries </w:t>
      </w:r>
      <w:r w:rsidRPr="009D08AC" w:rsidR="00AE4A02">
        <w:rPr>
          <w:b w:val="0"/>
          <w:bCs w:val="0"/>
          <w:sz w:val="24"/>
          <w:szCs w:val="24"/>
        </w:rPr>
        <w:t>who are not wired-at-work and</w:t>
      </w:r>
      <w:r w:rsidRPr="009D08AC">
        <w:rPr>
          <w:b w:val="0"/>
          <w:bCs w:val="0"/>
          <w:sz w:val="24"/>
          <w:szCs w:val="24"/>
        </w:rPr>
        <w:t xml:space="preserve"> wish to receive disclosures via electronic information systems outside the workplace, the regulation required advance affirmative consent on the part of the recipient. This requirement is incorporated at 29 CFR 2520.104b-1(c)(2)(ii)(A), (B), and (C). Prior to consenting, the plan administrator must provide a participant or beneficiary with a clear and conspicuous </w:t>
      </w:r>
      <w:r w:rsidRPr="009D08AC">
        <w:rPr>
          <w:b w:val="0"/>
          <w:bCs w:val="0"/>
          <w:sz w:val="24"/>
          <w:szCs w:val="24"/>
        </w:rPr>
        <w:t>statement indicating: the types of documents to which the consent would apply; that consent may be withdrawn at any time; the procedures for withdrawing consent and updating necessary information; the right to obtain a paper copy</w:t>
      </w:r>
      <w:r w:rsidRPr="009D08AC" w:rsidR="00941844">
        <w:rPr>
          <w:b w:val="0"/>
          <w:bCs w:val="0"/>
          <w:sz w:val="24"/>
          <w:szCs w:val="24"/>
        </w:rPr>
        <w:t xml:space="preserve"> free of charge</w:t>
      </w:r>
      <w:r w:rsidRPr="009D08AC">
        <w:rPr>
          <w:b w:val="0"/>
          <w:bCs w:val="0"/>
          <w:sz w:val="24"/>
          <w:szCs w:val="24"/>
        </w:rPr>
        <w:t xml:space="preserve">; and any hardware and software requirements. </w:t>
      </w:r>
    </w:p>
    <w:p w:rsidR="00D33C4C" w:rsidRPr="009D08AC" w:rsidP="00D55011" w14:paraId="1F3F4633" w14:textId="77777777">
      <w:pPr>
        <w:pStyle w:val="Quick1"/>
        <w:widowControl/>
        <w:numPr>
          <w:ilvl w:val="0"/>
          <w:numId w:val="0"/>
        </w:numPr>
        <w:tabs>
          <w:tab w:val="left" w:pos="-1440"/>
        </w:tabs>
        <w:ind w:left="720"/>
        <w:rPr>
          <w:b w:val="0"/>
          <w:bCs w:val="0"/>
          <w:sz w:val="24"/>
          <w:szCs w:val="24"/>
        </w:rPr>
      </w:pPr>
    </w:p>
    <w:p w:rsidR="00D33C4C" w:rsidRPr="009D08AC" w:rsidP="00D55011" w14:paraId="5974E2D9" w14:textId="3A6E4CC2">
      <w:pPr>
        <w:pStyle w:val="Quick1"/>
        <w:widowControl/>
        <w:numPr>
          <w:ilvl w:val="0"/>
          <w:numId w:val="0"/>
        </w:numPr>
        <w:tabs>
          <w:tab w:val="left" w:pos="-1440"/>
        </w:tabs>
        <w:ind w:left="720"/>
        <w:rPr>
          <w:b w:val="0"/>
          <w:bCs w:val="0"/>
          <w:sz w:val="24"/>
          <w:szCs w:val="24"/>
        </w:rPr>
      </w:pPr>
      <w:r w:rsidRPr="009D08AC">
        <w:rPr>
          <w:b w:val="0"/>
          <w:bCs w:val="0"/>
          <w:sz w:val="24"/>
          <w:szCs w:val="24"/>
        </w:rPr>
        <w:t xml:space="preserve">The regulations under 29 CFR 2520.104b-1 and 2520.107-1 do not affect the substantive disclosure provisions of Title I and related regulations. These regulations provide guidance on the circumstances in which the substantive requirements will </w:t>
      </w:r>
      <w:r w:rsidRPr="009D08AC">
        <w:rPr>
          <w:b w:val="0"/>
          <w:bCs w:val="0"/>
          <w:sz w:val="24"/>
          <w:szCs w:val="24"/>
        </w:rPr>
        <w:t>be deemed</w:t>
      </w:r>
      <w:r w:rsidRPr="009D08AC">
        <w:rPr>
          <w:b w:val="0"/>
          <w:bCs w:val="0"/>
          <w:sz w:val="24"/>
          <w:szCs w:val="24"/>
        </w:rPr>
        <w:t xml:space="preserve"> met when electronic technologies are used.</w:t>
      </w:r>
    </w:p>
    <w:p w:rsidR="003B50F8" w:rsidRPr="009D08AC" w:rsidP="00D55011" w14:paraId="6112F823" w14:textId="77777777">
      <w:pPr>
        <w:pStyle w:val="Quick1"/>
        <w:widowControl/>
        <w:numPr>
          <w:ilvl w:val="0"/>
          <w:numId w:val="0"/>
        </w:numPr>
        <w:tabs>
          <w:tab w:val="left" w:pos="-1440"/>
        </w:tabs>
        <w:ind w:left="720"/>
        <w:rPr>
          <w:b w:val="0"/>
          <w:bCs w:val="0"/>
          <w:sz w:val="24"/>
          <w:szCs w:val="24"/>
        </w:rPr>
      </w:pPr>
    </w:p>
    <w:p w:rsidR="003B50F8" w:rsidRPr="009D08AC" w:rsidP="00D55011" w14:paraId="64E7BF3A" w14:textId="31734229">
      <w:pPr>
        <w:pStyle w:val="Quick1"/>
        <w:widowControl/>
        <w:numPr>
          <w:ilvl w:val="0"/>
          <w:numId w:val="0"/>
        </w:numPr>
        <w:tabs>
          <w:tab w:val="left" w:pos="-1440"/>
        </w:tabs>
        <w:ind w:left="720"/>
        <w:rPr>
          <w:b w:val="0"/>
          <w:bCs w:val="0"/>
          <w:sz w:val="24"/>
          <w:szCs w:val="24"/>
        </w:rPr>
      </w:pPr>
      <w:r w:rsidRPr="009D08AC">
        <w:rPr>
          <w:b w:val="0"/>
          <w:bCs w:val="0"/>
          <w:sz w:val="24"/>
          <w:szCs w:val="24"/>
        </w:rPr>
        <w:t xml:space="preserve">The </w:t>
      </w:r>
      <w:r w:rsidRPr="009D08AC" w:rsidR="001667A6">
        <w:rPr>
          <w:b w:val="0"/>
          <w:bCs w:val="0"/>
          <w:sz w:val="24"/>
          <w:szCs w:val="24"/>
        </w:rPr>
        <w:t>SECURE 2.0</w:t>
      </w:r>
      <w:r w:rsidRPr="009D08AC">
        <w:rPr>
          <w:b w:val="0"/>
          <w:bCs w:val="0"/>
          <w:sz w:val="24"/>
          <w:szCs w:val="24"/>
        </w:rPr>
        <w:t xml:space="preserve"> Act</w:t>
      </w:r>
      <w:r w:rsidRPr="009D08AC" w:rsidR="00C8130C">
        <w:rPr>
          <w:b w:val="0"/>
          <w:bCs w:val="0"/>
          <w:sz w:val="24"/>
          <w:szCs w:val="24"/>
        </w:rPr>
        <w:t>, and the Department’s accompanying proposal,</w:t>
      </w:r>
      <w:r w:rsidRPr="009D08AC" w:rsidR="001667A6">
        <w:rPr>
          <w:b w:val="0"/>
          <w:bCs w:val="0"/>
          <w:sz w:val="24"/>
          <w:szCs w:val="24"/>
        </w:rPr>
        <w:t xml:space="preserve"> </w:t>
      </w:r>
      <w:r w:rsidRPr="009D08AC" w:rsidR="00970AA3">
        <w:rPr>
          <w:b w:val="0"/>
          <w:bCs w:val="0"/>
          <w:sz w:val="24"/>
          <w:szCs w:val="24"/>
        </w:rPr>
        <w:t xml:space="preserve">require </w:t>
      </w:r>
      <w:r w:rsidRPr="009D08AC" w:rsidR="00B52FE6">
        <w:rPr>
          <w:b w:val="0"/>
          <w:bCs w:val="0"/>
          <w:sz w:val="24"/>
          <w:szCs w:val="24"/>
        </w:rPr>
        <w:t>a new</w:t>
      </w:r>
      <w:r w:rsidRPr="009D08AC" w:rsidR="00970AA3">
        <w:rPr>
          <w:b w:val="0"/>
          <w:bCs w:val="0"/>
          <w:sz w:val="24"/>
          <w:szCs w:val="24"/>
        </w:rPr>
        <w:t xml:space="preserve"> initial notice</w:t>
      </w:r>
      <w:r w:rsidRPr="009D08AC" w:rsidR="00B52FE6">
        <w:rPr>
          <w:b w:val="0"/>
          <w:bCs w:val="0"/>
          <w:sz w:val="24"/>
          <w:szCs w:val="24"/>
        </w:rPr>
        <w:t>, which</w:t>
      </w:r>
      <w:r w:rsidRPr="009D08AC" w:rsidR="00970AA3">
        <w:rPr>
          <w:b w:val="0"/>
          <w:bCs w:val="0"/>
          <w:sz w:val="24"/>
          <w:szCs w:val="24"/>
        </w:rPr>
        <w:t xml:space="preserve"> must be furnished on paper</w:t>
      </w:r>
      <w:r w:rsidRPr="009D08AC" w:rsidR="005C55FB">
        <w:rPr>
          <w:b w:val="0"/>
          <w:bCs w:val="0"/>
          <w:sz w:val="24"/>
          <w:szCs w:val="24"/>
        </w:rPr>
        <w:t xml:space="preserve"> and </w:t>
      </w:r>
      <w:r w:rsidRPr="009D08AC" w:rsidR="00C42890">
        <w:rPr>
          <w:b w:val="0"/>
          <w:bCs w:val="0"/>
          <w:sz w:val="24"/>
          <w:szCs w:val="24"/>
        </w:rPr>
        <w:t xml:space="preserve">must </w:t>
      </w:r>
      <w:r w:rsidRPr="009D08AC" w:rsidR="00D327DA">
        <w:rPr>
          <w:b w:val="0"/>
          <w:bCs w:val="0"/>
          <w:sz w:val="24"/>
          <w:szCs w:val="24"/>
        </w:rPr>
        <w:t xml:space="preserve">incorporate </w:t>
      </w:r>
      <w:r w:rsidRPr="009D08AC" w:rsidR="001667A6">
        <w:rPr>
          <w:b w:val="0"/>
          <w:bCs w:val="0"/>
          <w:sz w:val="24"/>
          <w:szCs w:val="24"/>
        </w:rPr>
        <w:t xml:space="preserve">additional </w:t>
      </w:r>
      <w:r w:rsidRPr="009D08AC" w:rsidR="005C55FB">
        <w:rPr>
          <w:b w:val="0"/>
          <w:bCs w:val="0"/>
          <w:sz w:val="24"/>
          <w:szCs w:val="24"/>
        </w:rPr>
        <w:t>content</w:t>
      </w:r>
      <w:r w:rsidRPr="009D08AC" w:rsidR="001667A6">
        <w:rPr>
          <w:b w:val="0"/>
          <w:bCs w:val="0"/>
          <w:sz w:val="24"/>
          <w:szCs w:val="24"/>
        </w:rPr>
        <w:t xml:space="preserve"> </w:t>
      </w:r>
      <w:r w:rsidRPr="009D08AC" w:rsidR="001667A6">
        <w:rPr>
          <w:b w:val="0"/>
          <w:bCs w:val="0"/>
          <w:sz w:val="24"/>
          <w:szCs w:val="24"/>
        </w:rPr>
        <w:t>requirements</w:t>
      </w:r>
      <w:r w:rsidRPr="009D08AC" w:rsidR="00B52FE6">
        <w:rPr>
          <w:b w:val="0"/>
          <w:bCs w:val="0"/>
          <w:sz w:val="24"/>
          <w:szCs w:val="24"/>
        </w:rPr>
        <w:t>.</w:t>
      </w:r>
      <w:r w:rsidRPr="009D08AC" w:rsidR="001667A6">
        <w:rPr>
          <w:b w:val="0"/>
          <w:bCs w:val="0"/>
          <w:sz w:val="24"/>
          <w:szCs w:val="24"/>
        </w:rPr>
        <w:t>.</w:t>
      </w:r>
      <w:r w:rsidRPr="009D08AC" w:rsidR="001667A6">
        <w:rPr>
          <w:b w:val="0"/>
          <w:bCs w:val="0"/>
          <w:sz w:val="24"/>
          <w:szCs w:val="24"/>
        </w:rPr>
        <w:t xml:space="preserve"> </w:t>
      </w:r>
      <w:r w:rsidRPr="009D08AC" w:rsidR="0067118F">
        <w:rPr>
          <w:b w:val="0"/>
          <w:bCs w:val="0"/>
          <w:sz w:val="24"/>
          <w:szCs w:val="24"/>
        </w:rPr>
        <w:t xml:space="preserve">Under </w:t>
      </w:r>
      <w:r w:rsidRPr="009D08AC" w:rsidR="001667A6">
        <w:rPr>
          <w:b w:val="0"/>
          <w:bCs w:val="0"/>
          <w:sz w:val="24"/>
          <w:szCs w:val="24"/>
        </w:rPr>
        <w:t>the 2002 safe harbor</w:t>
      </w:r>
      <w:r w:rsidRPr="009D08AC" w:rsidR="00B22470">
        <w:rPr>
          <w:b w:val="0"/>
          <w:bCs w:val="0"/>
          <w:sz w:val="24"/>
          <w:szCs w:val="24"/>
        </w:rPr>
        <w:t>,</w:t>
      </w:r>
      <w:r w:rsidRPr="009D08AC" w:rsidR="001667A6">
        <w:rPr>
          <w:b w:val="0"/>
          <w:bCs w:val="0"/>
          <w:sz w:val="24"/>
          <w:szCs w:val="24"/>
        </w:rPr>
        <w:t xml:space="preserve"> </w:t>
      </w:r>
      <w:r w:rsidRPr="009D08AC" w:rsidR="0067118F">
        <w:rPr>
          <w:b w:val="0"/>
          <w:bCs w:val="0"/>
          <w:sz w:val="24"/>
          <w:szCs w:val="24"/>
        </w:rPr>
        <w:t xml:space="preserve">employee benefit plan administrators </w:t>
      </w:r>
      <w:r w:rsidRPr="009D08AC" w:rsidR="001667A6">
        <w:rPr>
          <w:b w:val="0"/>
          <w:bCs w:val="0"/>
          <w:sz w:val="24"/>
          <w:szCs w:val="24"/>
        </w:rPr>
        <w:t xml:space="preserve">will need to furnish </w:t>
      </w:r>
      <w:r w:rsidRPr="009D08AC" w:rsidR="00AA03CC">
        <w:rPr>
          <w:b w:val="0"/>
          <w:bCs w:val="0"/>
          <w:sz w:val="24"/>
          <w:szCs w:val="24"/>
        </w:rPr>
        <w:t>the</w:t>
      </w:r>
      <w:r w:rsidRPr="009D08AC" w:rsidR="001667A6">
        <w:rPr>
          <w:b w:val="0"/>
          <w:bCs w:val="0"/>
          <w:sz w:val="24"/>
          <w:szCs w:val="24"/>
        </w:rPr>
        <w:t xml:space="preserve"> initial notice </w:t>
      </w:r>
      <w:r w:rsidRPr="009D08AC" w:rsidR="00AA03CC">
        <w:rPr>
          <w:b w:val="0"/>
          <w:bCs w:val="0"/>
          <w:sz w:val="24"/>
          <w:szCs w:val="24"/>
        </w:rPr>
        <w:t xml:space="preserve">on paper </w:t>
      </w:r>
      <w:r w:rsidRPr="009D08AC" w:rsidR="00C570D3">
        <w:rPr>
          <w:b w:val="0"/>
          <w:bCs w:val="0"/>
          <w:sz w:val="24"/>
          <w:szCs w:val="24"/>
        </w:rPr>
        <w:t>to all participants who first become eligible to participate, and beneficiaries who first become eligible for benefits, after December 31, 2025</w:t>
      </w:r>
      <w:r w:rsidRPr="009D08AC" w:rsidR="00512EBB">
        <w:rPr>
          <w:b w:val="0"/>
          <w:bCs w:val="0"/>
          <w:sz w:val="24"/>
          <w:szCs w:val="24"/>
        </w:rPr>
        <w:t>. T</w:t>
      </w:r>
      <w:r w:rsidRPr="009D08AC" w:rsidR="00FD3822">
        <w:rPr>
          <w:b w:val="0"/>
          <w:bCs w:val="0"/>
          <w:sz w:val="24"/>
          <w:szCs w:val="24"/>
        </w:rPr>
        <w:t xml:space="preserve">he notice must </w:t>
      </w:r>
      <w:r w:rsidRPr="009D08AC" w:rsidR="00C570D3">
        <w:rPr>
          <w:b w:val="0"/>
          <w:bCs w:val="0"/>
          <w:sz w:val="24"/>
          <w:szCs w:val="24"/>
        </w:rPr>
        <w:t>inform</w:t>
      </w:r>
      <w:r w:rsidRPr="009D08AC" w:rsidR="001667A6">
        <w:rPr>
          <w:b w:val="0"/>
          <w:bCs w:val="0"/>
          <w:sz w:val="24"/>
          <w:szCs w:val="24"/>
        </w:rPr>
        <w:t xml:space="preserve"> participants of their right to receive</w:t>
      </w:r>
      <w:r w:rsidRPr="009D08AC" w:rsidR="00117095">
        <w:rPr>
          <w:b w:val="0"/>
          <w:bCs w:val="0"/>
          <w:sz w:val="24"/>
          <w:szCs w:val="24"/>
        </w:rPr>
        <w:t xml:space="preserve"> all</w:t>
      </w:r>
      <w:r w:rsidRPr="009D08AC" w:rsidR="001667A6">
        <w:rPr>
          <w:b w:val="0"/>
          <w:bCs w:val="0"/>
          <w:sz w:val="24"/>
          <w:szCs w:val="24"/>
        </w:rPr>
        <w:t xml:space="preserve"> documents on paper.</w:t>
      </w:r>
    </w:p>
    <w:p w:rsidR="00381C42" w:rsidRPr="009D08AC" w:rsidP="006B024B" w14:paraId="60570090" w14:textId="77777777">
      <w:pPr>
        <w:pStyle w:val="Quick1"/>
        <w:widowControl/>
        <w:numPr>
          <w:ilvl w:val="0"/>
          <w:numId w:val="0"/>
        </w:numPr>
        <w:tabs>
          <w:tab w:val="left" w:pos="-1440"/>
        </w:tabs>
        <w:rPr>
          <w:b w:val="0"/>
          <w:bCs w:val="0"/>
          <w:sz w:val="24"/>
          <w:szCs w:val="24"/>
        </w:rPr>
      </w:pPr>
    </w:p>
    <w:p w:rsidR="00381C42" w:rsidRPr="009D08AC" w:rsidP="00381C42" w14:paraId="04BD7FD7" w14:textId="3F5FFD46">
      <w:pPr>
        <w:spacing w:line="276" w:lineRule="auto"/>
        <w:ind w:firstLine="720"/>
        <w:rPr>
          <w:sz w:val="24"/>
          <w:szCs w:val="24"/>
          <w:u w:val="single"/>
        </w:rPr>
      </w:pPr>
      <w:r w:rsidRPr="009D08AC">
        <w:rPr>
          <w:sz w:val="24"/>
          <w:szCs w:val="24"/>
          <w:u w:val="single"/>
        </w:rPr>
        <w:t>20</w:t>
      </w:r>
      <w:r w:rsidRPr="009D08AC" w:rsidR="00021EBF">
        <w:rPr>
          <w:sz w:val="24"/>
          <w:szCs w:val="24"/>
          <w:u w:val="single"/>
        </w:rPr>
        <w:t>20</w:t>
      </w:r>
      <w:r w:rsidRPr="009D08AC">
        <w:rPr>
          <w:sz w:val="24"/>
          <w:szCs w:val="24"/>
          <w:u w:val="single"/>
        </w:rPr>
        <w:t xml:space="preserve"> </w:t>
      </w:r>
      <w:r w:rsidRPr="009D08AC" w:rsidR="001B554A">
        <w:rPr>
          <w:bCs w:val="0"/>
          <w:sz w:val="24"/>
          <w:szCs w:val="24"/>
          <w:u w:val="single"/>
        </w:rPr>
        <w:t>Safe Harbor</w:t>
      </w:r>
    </w:p>
    <w:p w:rsidR="00381C42" w:rsidRPr="009D08AC" w:rsidP="00381C42" w14:paraId="74DE0151" w14:textId="77777777">
      <w:pPr>
        <w:spacing w:line="276" w:lineRule="auto"/>
        <w:ind w:firstLine="720"/>
        <w:rPr>
          <w:b w:val="0"/>
          <w:sz w:val="24"/>
          <w:szCs w:val="24"/>
        </w:rPr>
      </w:pPr>
    </w:p>
    <w:p w:rsidR="009E0937" w:rsidRPr="009D08AC" w:rsidP="00DC20FB" w14:paraId="03E572B2" w14:textId="6C956346">
      <w:pPr>
        <w:autoSpaceDE/>
        <w:ind w:left="720"/>
        <w:rPr>
          <w:b w:val="0"/>
          <w:sz w:val="24"/>
          <w:szCs w:val="24"/>
        </w:rPr>
      </w:pPr>
      <w:r w:rsidRPr="009D08AC">
        <w:rPr>
          <w:b w:val="0"/>
          <w:sz w:val="24"/>
          <w:szCs w:val="24"/>
        </w:rPr>
        <w:t xml:space="preserve">In </w:t>
      </w:r>
      <w:r w:rsidRPr="009D08AC" w:rsidR="004827B5">
        <w:rPr>
          <w:b w:val="0"/>
          <w:sz w:val="24"/>
          <w:szCs w:val="24"/>
        </w:rPr>
        <w:t>2020</w:t>
      </w:r>
      <w:r w:rsidRPr="009D08AC">
        <w:rPr>
          <w:b w:val="0"/>
          <w:sz w:val="24"/>
          <w:szCs w:val="24"/>
        </w:rPr>
        <w:t>, t</w:t>
      </w:r>
      <w:r w:rsidRPr="009D08AC">
        <w:rPr>
          <w:b w:val="0"/>
          <w:sz w:val="24"/>
          <w:szCs w:val="24"/>
        </w:rPr>
        <w:t>he Department issu</w:t>
      </w:r>
      <w:r w:rsidRPr="009D08AC">
        <w:rPr>
          <w:b w:val="0"/>
          <w:sz w:val="24"/>
          <w:szCs w:val="24"/>
        </w:rPr>
        <w:t>ed</w:t>
      </w:r>
      <w:r w:rsidRPr="009D08AC">
        <w:rPr>
          <w:b w:val="0"/>
          <w:sz w:val="24"/>
          <w:szCs w:val="24"/>
        </w:rPr>
        <w:t xml:space="preserve"> a rule providing a safe harbor for plan administrators who wish to satisfy ERISA’s delivery requirements for retirement plan documents by posting them on a website and notifying workers of the online availability of such documents. The </w:t>
      </w:r>
      <w:r w:rsidRPr="009D08AC" w:rsidR="00AD7E7D">
        <w:rPr>
          <w:b w:val="0"/>
          <w:sz w:val="24"/>
          <w:szCs w:val="24"/>
        </w:rPr>
        <w:t>rule</w:t>
      </w:r>
      <w:r w:rsidRPr="009D08AC">
        <w:rPr>
          <w:b w:val="0"/>
          <w:sz w:val="24"/>
          <w:szCs w:val="24"/>
        </w:rPr>
        <w:t xml:space="preserve"> respond</w:t>
      </w:r>
      <w:r w:rsidRPr="009D08AC" w:rsidR="00A039E3">
        <w:rPr>
          <w:b w:val="0"/>
          <w:sz w:val="24"/>
          <w:szCs w:val="24"/>
        </w:rPr>
        <w:t>ed</w:t>
      </w:r>
      <w:r w:rsidRPr="009D08AC">
        <w:rPr>
          <w:b w:val="0"/>
          <w:sz w:val="24"/>
          <w:szCs w:val="24"/>
        </w:rPr>
        <w:t xml:space="preserve"> to Executive Order 13847, Strengthening Retirement Security in America, in which the Secretary of Labor </w:t>
      </w:r>
      <w:r w:rsidRPr="009D08AC" w:rsidR="000B76ED">
        <w:rPr>
          <w:b w:val="0"/>
          <w:sz w:val="24"/>
          <w:szCs w:val="24"/>
        </w:rPr>
        <w:t xml:space="preserve">was </w:t>
      </w:r>
      <w:r w:rsidRPr="009D08AC">
        <w:rPr>
          <w:b w:val="0"/>
          <w:sz w:val="24"/>
          <w:szCs w:val="24"/>
        </w:rPr>
        <w:t>directed to explore the potential for broader use of electronic delivery as a way to improve the effectiveness of retirement documents and to reduce the costs and burdens they impose on employers and other plan fiduciaries responsible for their production and distribution.</w:t>
      </w:r>
    </w:p>
    <w:p w:rsidR="009E0937" w:rsidRPr="009D08AC" w:rsidP="00DC20FB" w14:paraId="146DCA4B" w14:textId="77777777">
      <w:pPr>
        <w:autoSpaceDE/>
        <w:ind w:left="720"/>
        <w:rPr>
          <w:b w:val="0"/>
          <w:sz w:val="24"/>
          <w:szCs w:val="24"/>
        </w:rPr>
      </w:pPr>
    </w:p>
    <w:p w:rsidR="00DC20FB" w:rsidRPr="009D08AC" w:rsidP="00DC20FB" w14:paraId="52F6587E" w14:textId="60842DAF">
      <w:pPr>
        <w:autoSpaceDE/>
        <w:ind w:left="720"/>
        <w:rPr>
          <w:b w:val="0"/>
          <w:bCs w:val="0"/>
          <w:sz w:val="24"/>
          <w:szCs w:val="24"/>
        </w:rPr>
      </w:pPr>
      <w:r w:rsidRPr="009D08AC">
        <w:rPr>
          <w:b w:val="0"/>
          <w:sz w:val="24"/>
          <w:szCs w:val="24"/>
        </w:rPr>
        <w:t>In order to</w:t>
      </w:r>
      <w:r w:rsidRPr="009D08AC">
        <w:rPr>
          <w:b w:val="0"/>
          <w:sz w:val="24"/>
          <w:szCs w:val="24"/>
        </w:rPr>
        <w:t xml:space="preserve"> use the </w:t>
      </w:r>
      <w:r w:rsidRPr="009D08AC" w:rsidR="00037D38">
        <w:rPr>
          <w:b w:val="0"/>
          <w:sz w:val="24"/>
          <w:szCs w:val="24"/>
        </w:rPr>
        <w:t>20</w:t>
      </w:r>
      <w:r w:rsidRPr="009D08AC" w:rsidR="00021EBF">
        <w:rPr>
          <w:b w:val="0"/>
          <w:sz w:val="24"/>
          <w:szCs w:val="24"/>
        </w:rPr>
        <w:t>20</w:t>
      </w:r>
      <w:r w:rsidRPr="009D08AC" w:rsidR="00037D38">
        <w:rPr>
          <w:b w:val="0"/>
          <w:sz w:val="24"/>
          <w:szCs w:val="24"/>
        </w:rPr>
        <w:t xml:space="preserve"> </w:t>
      </w:r>
      <w:r w:rsidRPr="009D08AC">
        <w:rPr>
          <w:b w:val="0"/>
          <w:sz w:val="24"/>
          <w:szCs w:val="24"/>
        </w:rPr>
        <w:t xml:space="preserve">safe harbor, retirement plan administrators must: </w:t>
      </w:r>
    </w:p>
    <w:p w:rsidR="00DC20FB" w:rsidRPr="009D08AC" w:rsidP="00DC20FB" w14:paraId="4FADAAEC" w14:textId="77777777">
      <w:pPr>
        <w:autoSpaceDE/>
        <w:ind w:left="720"/>
        <w:rPr>
          <w:b w:val="0"/>
          <w:sz w:val="24"/>
          <w:szCs w:val="24"/>
        </w:rPr>
      </w:pPr>
    </w:p>
    <w:p w:rsidR="00DC20FB" w:rsidRPr="009D08AC" w:rsidP="00DC20FB" w14:paraId="5482EEB5" w14:textId="3A0E5743">
      <w:pPr>
        <w:widowControl/>
        <w:numPr>
          <w:ilvl w:val="0"/>
          <w:numId w:val="10"/>
        </w:numPr>
        <w:autoSpaceDE/>
        <w:adjustRightInd/>
        <w:spacing w:after="160"/>
        <w:contextualSpacing/>
        <w:rPr>
          <w:b w:val="0"/>
          <w:sz w:val="24"/>
          <w:szCs w:val="24"/>
        </w:rPr>
      </w:pPr>
      <w:r w:rsidRPr="009D08AC">
        <w:rPr>
          <w:b w:val="0"/>
          <w:sz w:val="24"/>
          <w:szCs w:val="24"/>
        </w:rPr>
        <w:t xml:space="preserve">Furnish covered individuals with a notice of internet availability delivered to their electronic addresses, for example to the covered individual’s email address. The notice must include, among other things, a brief description of the document being posted online, a website address where the document is posted, and instructions for requesting a free paper copy or electing paper delivery in the future. It must </w:t>
      </w:r>
      <w:r w:rsidRPr="009D08AC">
        <w:rPr>
          <w:b w:val="0"/>
          <w:sz w:val="24"/>
          <w:szCs w:val="24"/>
        </w:rPr>
        <w:t>sen</w:t>
      </w:r>
      <w:r w:rsidRPr="009D08AC" w:rsidR="00AD7E7D">
        <w:rPr>
          <w:b w:val="0"/>
          <w:sz w:val="24"/>
          <w:szCs w:val="24"/>
        </w:rPr>
        <w:t>d</w:t>
      </w:r>
      <w:r w:rsidRPr="009D08AC" w:rsidR="00AD7E7D">
        <w:rPr>
          <w:b w:val="0"/>
          <w:sz w:val="24"/>
          <w:szCs w:val="24"/>
        </w:rPr>
        <w:t xml:space="preserve"> </w:t>
      </w:r>
      <w:r w:rsidRPr="009D08AC">
        <w:rPr>
          <w:b w:val="0"/>
          <w:sz w:val="24"/>
          <w:szCs w:val="24"/>
        </w:rPr>
        <w:t xml:space="preserve">each time a retirement plan disclosure is posted to the internet website. To prevent “email overload,” the </w:t>
      </w:r>
      <w:r w:rsidRPr="009D08AC" w:rsidR="00AD7E7D">
        <w:rPr>
          <w:b w:val="0"/>
          <w:sz w:val="24"/>
          <w:szCs w:val="24"/>
        </w:rPr>
        <w:t xml:space="preserve">rule </w:t>
      </w:r>
      <w:r w:rsidRPr="009D08AC">
        <w:rPr>
          <w:b w:val="0"/>
          <w:sz w:val="24"/>
          <w:szCs w:val="24"/>
        </w:rPr>
        <w:t xml:space="preserve">allows a notice of internet availability to incorporate or combine other notices of internet availability in limited circumstances. </w:t>
      </w:r>
    </w:p>
    <w:p w:rsidR="00DC20FB" w:rsidRPr="009D08AC" w:rsidP="00DC20FB" w14:paraId="3E0C80D4" w14:textId="77777777">
      <w:pPr>
        <w:pStyle w:val="ListParagraph"/>
        <w:widowControl/>
        <w:numPr>
          <w:ilvl w:val="0"/>
          <w:numId w:val="10"/>
        </w:numPr>
        <w:autoSpaceDE/>
        <w:adjustRightInd/>
        <w:spacing w:after="160"/>
        <w:rPr>
          <w:b w:val="0"/>
          <w:sz w:val="24"/>
          <w:szCs w:val="24"/>
        </w:rPr>
      </w:pPr>
      <w:r w:rsidRPr="009D08AC">
        <w:rPr>
          <w:b w:val="0"/>
          <w:sz w:val="24"/>
          <w:szCs w:val="24"/>
        </w:rPr>
        <w:t xml:space="preserve">Furnish covered individuals, free of charge, with a paper copy of a covered document, as soon as possible after receiving the covered individual’s request (2520.104b-31(f)(1)).  </w:t>
      </w:r>
    </w:p>
    <w:p w:rsidR="00DC20FB" w:rsidRPr="009D08AC" w:rsidP="00DC20FB" w14:paraId="00B70E26" w14:textId="77777777">
      <w:pPr>
        <w:pStyle w:val="ListParagraph"/>
        <w:rPr>
          <w:b w:val="0"/>
          <w:sz w:val="24"/>
          <w:szCs w:val="24"/>
        </w:rPr>
      </w:pPr>
    </w:p>
    <w:p w:rsidR="00DC20FB" w:rsidRPr="009D08AC" w:rsidP="00DC20FB" w14:paraId="09A68613" w14:textId="53366F4B">
      <w:pPr>
        <w:pStyle w:val="ListParagraph"/>
        <w:widowControl/>
        <w:numPr>
          <w:ilvl w:val="0"/>
          <w:numId w:val="10"/>
        </w:numPr>
        <w:autoSpaceDE/>
        <w:adjustRightInd/>
        <w:spacing w:after="160"/>
        <w:rPr>
          <w:b w:val="0"/>
          <w:sz w:val="24"/>
          <w:szCs w:val="24"/>
        </w:rPr>
      </w:pPr>
      <w:r w:rsidRPr="009D08AC">
        <w:rPr>
          <w:b w:val="0"/>
          <w:sz w:val="24"/>
          <w:szCs w:val="24"/>
        </w:rPr>
        <w:t xml:space="preserve">Provide covered individuals with the ability to opt out of electronic delivery and receive only paper versions of some or all covered documents (2520.104b-31(f)(2)). In the event that a plan administrator becomes aware of an invalid or inoperable electronic address, such as if an email is returned as undeliverable, the administrator must treat the covered individual as if he or she had elected to opt out of electronic delivery if the problem is not promptly cured (2520.104b-31(f)(4)). This provision is intended to ensure that covered individuals </w:t>
      </w:r>
      <w:r w:rsidRPr="009D08AC">
        <w:rPr>
          <w:b w:val="0"/>
          <w:sz w:val="24"/>
          <w:szCs w:val="24"/>
        </w:rPr>
        <w:t>actually receive</w:t>
      </w:r>
      <w:r w:rsidRPr="009D08AC">
        <w:rPr>
          <w:b w:val="0"/>
          <w:sz w:val="24"/>
          <w:szCs w:val="24"/>
        </w:rPr>
        <w:t xml:space="preserve"> their pension documents by guarding against invalid or inoperable electronic addresses.</w:t>
      </w:r>
    </w:p>
    <w:p w:rsidR="00D33C4C" w:rsidRPr="009D08AC" w:rsidP="003611AD" w14:paraId="3CE31C2A" w14:textId="6A5874CC">
      <w:pPr>
        <w:autoSpaceDE/>
        <w:ind w:left="720"/>
        <w:rPr>
          <w:b w:val="0"/>
          <w:sz w:val="24"/>
          <w:szCs w:val="24"/>
        </w:rPr>
      </w:pPr>
      <w:r w:rsidRPr="009D08AC">
        <w:rPr>
          <w:b w:val="0"/>
          <w:sz w:val="24"/>
          <w:szCs w:val="24"/>
        </w:rPr>
        <w:t>In accordance with</w:t>
      </w:r>
      <w:r w:rsidRPr="009D08AC" w:rsidR="00A9664E">
        <w:rPr>
          <w:b w:val="0"/>
          <w:sz w:val="24"/>
          <w:szCs w:val="24"/>
        </w:rPr>
        <w:t xml:space="preserve"> the</w:t>
      </w:r>
      <w:r w:rsidRPr="009D08AC">
        <w:rPr>
          <w:b w:val="0"/>
          <w:sz w:val="24"/>
          <w:szCs w:val="24"/>
        </w:rPr>
        <w:t xml:space="preserve"> SECURE 2.0</w:t>
      </w:r>
      <w:r w:rsidRPr="009D08AC" w:rsidR="00A9664E">
        <w:rPr>
          <w:b w:val="0"/>
          <w:sz w:val="24"/>
          <w:szCs w:val="24"/>
        </w:rPr>
        <w:t xml:space="preserve"> Act</w:t>
      </w:r>
      <w:r w:rsidRPr="009D08AC" w:rsidR="00C8130C">
        <w:rPr>
          <w:b w:val="0"/>
          <w:bCs w:val="0"/>
          <w:sz w:val="24"/>
          <w:szCs w:val="24"/>
        </w:rPr>
        <w:t>, and the Department’s accompanying proposal,</w:t>
      </w:r>
      <w:r w:rsidRPr="009D08AC">
        <w:rPr>
          <w:b w:val="0"/>
          <w:sz w:val="24"/>
          <w:szCs w:val="24"/>
        </w:rPr>
        <w:t xml:space="preserve"> </w:t>
      </w:r>
      <w:r w:rsidRPr="009D08AC" w:rsidR="00CE716B">
        <w:rPr>
          <w:b w:val="0"/>
          <w:sz w:val="24"/>
          <w:szCs w:val="24"/>
        </w:rPr>
        <w:t xml:space="preserve">plans </w:t>
      </w:r>
      <w:r w:rsidRPr="009D08AC" w:rsidR="00CE716B">
        <w:rPr>
          <w:b w:val="0"/>
          <w:sz w:val="24"/>
          <w:szCs w:val="24"/>
        </w:rPr>
        <w:t>using</w:t>
      </w:r>
      <w:r w:rsidRPr="009D08AC" w:rsidR="00CE716B">
        <w:rPr>
          <w:b w:val="0"/>
          <w:sz w:val="24"/>
          <w:szCs w:val="24"/>
        </w:rPr>
        <w:t xml:space="preserve"> the 2020 safe harbor for electronic disclosure </w:t>
      </w:r>
      <w:r w:rsidRPr="009D08AC" w:rsidR="00AF0314">
        <w:rPr>
          <w:b w:val="0"/>
          <w:sz w:val="24"/>
          <w:szCs w:val="24"/>
        </w:rPr>
        <w:t>face new requirements</w:t>
      </w:r>
      <w:r w:rsidRPr="009D08AC" w:rsidR="00CE716B">
        <w:rPr>
          <w:b w:val="0"/>
          <w:sz w:val="24"/>
          <w:szCs w:val="24"/>
        </w:rPr>
        <w:t>. Employee benefit plan administrators utilizing the 2020 safe harbor shall:</w:t>
      </w:r>
    </w:p>
    <w:p w:rsidR="00251A5B" w:rsidRPr="009D08AC" w:rsidP="006B024B" w14:paraId="2A8AAB45" w14:textId="77777777">
      <w:pPr>
        <w:pStyle w:val="Quick1"/>
        <w:widowControl/>
        <w:numPr>
          <w:ilvl w:val="0"/>
          <w:numId w:val="0"/>
        </w:numPr>
        <w:tabs>
          <w:tab w:val="left" w:pos="-1440"/>
        </w:tabs>
        <w:rPr>
          <w:b w:val="0"/>
          <w:bCs w:val="0"/>
          <w:sz w:val="24"/>
          <w:szCs w:val="24"/>
        </w:rPr>
      </w:pPr>
    </w:p>
    <w:p w:rsidR="00862BB9" w:rsidRPr="009D08AC" w:rsidP="00862BB9" w14:paraId="1D96816A" w14:textId="52F9F8E7">
      <w:pPr>
        <w:pStyle w:val="Quick1"/>
        <w:widowControl/>
        <w:numPr>
          <w:ilvl w:val="0"/>
          <w:numId w:val="15"/>
        </w:numPr>
        <w:tabs>
          <w:tab w:val="left" w:pos="-1440"/>
        </w:tabs>
        <w:rPr>
          <w:b w:val="0"/>
          <w:bCs w:val="0"/>
          <w:sz w:val="24"/>
          <w:szCs w:val="24"/>
        </w:rPr>
      </w:pPr>
      <w:r w:rsidRPr="009D08AC">
        <w:rPr>
          <w:b w:val="0"/>
          <w:bCs w:val="0"/>
          <w:sz w:val="24"/>
          <w:szCs w:val="24"/>
        </w:rPr>
        <w:t>Furnish one pension benefit</w:t>
      </w:r>
      <w:r w:rsidRPr="009D08AC" w:rsidR="00776C3F">
        <w:rPr>
          <w:b w:val="0"/>
          <w:bCs w:val="0"/>
          <w:sz w:val="24"/>
          <w:szCs w:val="24"/>
        </w:rPr>
        <w:t xml:space="preserve"> statement</w:t>
      </w:r>
      <w:r w:rsidRPr="009D08AC">
        <w:rPr>
          <w:b w:val="0"/>
          <w:bCs w:val="0"/>
          <w:sz w:val="24"/>
          <w:szCs w:val="24"/>
        </w:rPr>
        <w:t xml:space="preserve"> per year on paper to defined contribution participants and beneficiaries, and one</w:t>
      </w:r>
      <w:r w:rsidRPr="009D08AC" w:rsidR="002A3F92">
        <w:rPr>
          <w:b w:val="0"/>
          <w:bCs w:val="0"/>
          <w:sz w:val="24"/>
          <w:szCs w:val="24"/>
        </w:rPr>
        <w:t xml:space="preserve"> pension benefit</w:t>
      </w:r>
      <w:r w:rsidRPr="009D08AC">
        <w:rPr>
          <w:b w:val="0"/>
          <w:bCs w:val="0"/>
          <w:sz w:val="24"/>
          <w:szCs w:val="24"/>
        </w:rPr>
        <w:t xml:space="preserve"> statement per three years on paper to defined benefit participants,</w:t>
      </w:r>
    </w:p>
    <w:p w:rsidR="00862BB9" w:rsidRPr="009D08AC" w:rsidP="00862BB9" w14:paraId="31EF8B30" w14:textId="77777777">
      <w:pPr>
        <w:pStyle w:val="Quick1"/>
        <w:widowControl/>
        <w:numPr>
          <w:ilvl w:val="0"/>
          <w:numId w:val="0"/>
        </w:numPr>
        <w:tabs>
          <w:tab w:val="left" w:pos="-1440"/>
        </w:tabs>
        <w:ind w:left="720"/>
        <w:rPr>
          <w:b w:val="0"/>
          <w:bCs w:val="0"/>
          <w:sz w:val="24"/>
          <w:szCs w:val="24"/>
        </w:rPr>
      </w:pPr>
    </w:p>
    <w:p w:rsidR="00862BB9" w:rsidRPr="009D08AC" w:rsidP="00862BB9" w14:paraId="4DBB7572" w14:textId="77777777">
      <w:pPr>
        <w:pStyle w:val="Quick1"/>
        <w:widowControl/>
        <w:numPr>
          <w:ilvl w:val="0"/>
          <w:numId w:val="15"/>
        </w:numPr>
        <w:tabs>
          <w:tab w:val="left" w:pos="-1440"/>
        </w:tabs>
        <w:rPr>
          <w:b w:val="0"/>
          <w:bCs w:val="0"/>
          <w:sz w:val="24"/>
          <w:szCs w:val="24"/>
        </w:rPr>
      </w:pPr>
      <w:r w:rsidRPr="009D08AC">
        <w:rPr>
          <w:b w:val="0"/>
          <w:bCs w:val="0"/>
          <w:sz w:val="24"/>
          <w:szCs w:val="24"/>
        </w:rPr>
        <w:t>Establish a system allowing participants to opt out of these mandatory paper disclosures, including an explanation sent with the statement which explains how to receive these documents electronically,</w:t>
      </w:r>
    </w:p>
    <w:p w:rsidR="00862BB9" w:rsidRPr="009D08AC" w:rsidP="00862BB9" w14:paraId="2B957B6B" w14:textId="77777777">
      <w:pPr>
        <w:pStyle w:val="Quick1"/>
        <w:widowControl/>
        <w:numPr>
          <w:ilvl w:val="0"/>
          <w:numId w:val="0"/>
        </w:numPr>
        <w:tabs>
          <w:tab w:val="left" w:pos="-1440"/>
        </w:tabs>
        <w:ind w:left="720"/>
        <w:rPr>
          <w:b w:val="0"/>
          <w:bCs w:val="0"/>
          <w:sz w:val="24"/>
          <w:szCs w:val="24"/>
        </w:rPr>
      </w:pPr>
    </w:p>
    <w:p w:rsidR="00E44F4B" w:rsidRPr="009D08AC" w:rsidP="003611AD" w14:paraId="2215055C" w14:textId="5E85AD2B">
      <w:pPr>
        <w:pStyle w:val="Quick1"/>
        <w:widowControl/>
        <w:numPr>
          <w:ilvl w:val="0"/>
          <w:numId w:val="15"/>
        </w:numPr>
        <w:tabs>
          <w:tab w:val="left" w:pos="-1440"/>
        </w:tabs>
        <w:rPr>
          <w:b w:val="0"/>
          <w:bCs w:val="0"/>
          <w:sz w:val="24"/>
          <w:szCs w:val="24"/>
        </w:rPr>
      </w:pPr>
      <w:r w:rsidRPr="009D08AC">
        <w:rPr>
          <w:b w:val="0"/>
          <w:sz w:val="24"/>
          <w:szCs w:val="24"/>
        </w:rPr>
        <w:t>N</w:t>
      </w:r>
      <w:r w:rsidRPr="009D08AC" w:rsidR="000143C1">
        <w:rPr>
          <w:b w:val="0"/>
          <w:sz w:val="24"/>
          <w:szCs w:val="24"/>
        </w:rPr>
        <w:t>ot</w:t>
      </w:r>
      <w:r w:rsidRPr="009D08AC" w:rsidR="000143C1">
        <w:rPr>
          <w:b w:val="0"/>
          <w:sz w:val="24"/>
          <w:szCs w:val="24"/>
        </w:rPr>
        <w:t xml:space="preserve"> charge any fee to a participant or beneficiary for the delivery of any paper statements</w:t>
      </w:r>
      <w:r w:rsidRPr="009D08AC" w:rsidR="00BB087C">
        <w:rPr>
          <w:b w:val="0"/>
          <w:sz w:val="24"/>
          <w:szCs w:val="24"/>
        </w:rPr>
        <w:t>.</w:t>
      </w:r>
    </w:p>
    <w:p w:rsidR="00862BB9" w:rsidRPr="009D08AC" w:rsidP="006B024B" w14:paraId="1792B3BB" w14:textId="77777777">
      <w:pPr>
        <w:pStyle w:val="Quick1"/>
        <w:widowControl/>
        <w:numPr>
          <w:ilvl w:val="0"/>
          <w:numId w:val="0"/>
        </w:numPr>
        <w:tabs>
          <w:tab w:val="left" w:pos="-1440"/>
        </w:tabs>
        <w:rPr>
          <w:b w:val="0"/>
          <w:bCs w:val="0"/>
          <w:sz w:val="24"/>
          <w:szCs w:val="24"/>
        </w:rPr>
      </w:pPr>
    </w:p>
    <w:p w:rsidR="00251A5B" w:rsidRPr="009D08AC" w:rsidP="006B024B" w14:paraId="793B8BDC" w14:textId="77777777">
      <w:pPr>
        <w:pStyle w:val="Quick1"/>
        <w:widowControl/>
        <w:numPr>
          <w:ilvl w:val="0"/>
          <w:numId w:val="0"/>
        </w:numPr>
        <w:tabs>
          <w:tab w:val="left" w:pos="-1440"/>
        </w:tabs>
        <w:rPr>
          <w:b w:val="0"/>
          <w:bCs w:val="0"/>
          <w:sz w:val="24"/>
          <w:szCs w:val="24"/>
        </w:rPr>
      </w:pPr>
    </w:p>
    <w:p w:rsidR="00D33C4C" w:rsidRPr="009D08AC" w:rsidP="00D55011" w14:paraId="6FBC3D63" w14:textId="16CA126E">
      <w:pPr>
        <w:pStyle w:val="Quick1"/>
        <w:widowControl/>
        <w:numPr>
          <w:ilvl w:val="0"/>
          <w:numId w:val="0"/>
        </w:numPr>
        <w:tabs>
          <w:tab w:val="left" w:pos="-1440"/>
        </w:tabs>
        <w:ind w:left="720" w:hanging="720"/>
        <w:rPr>
          <w:sz w:val="24"/>
          <w:szCs w:val="24"/>
        </w:rPr>
      </w:pPr>
      <w:r w:rsidRPr="009D08AC">
        <w:rPr>
          <w:sz w:val="24"/>
          <w:szCs w:val="24"/>
        </w:rPr>
        <w:t>2.</w:t>
      </w:r>
      <w:r w:rsidRPr="009D08AC">
        <w:rPr>
          <w:sz w:val="24"/>
          <w:szCs w:val="24"/>
        </w:rPr>
        <w:tab/>
        <w:t>Indicate how, by whom, and for what purpose the information is to be used. Except for a new collection, indicate the actual use the agency has made of the information received from the current collection.</w:t>
      </w:r>
    </w:p>
    <w:p w:rsidR="00D33C4C" w:rsidRPr="009D08AC" w:rsidP="006B024B" w14:paraId="238BFFC5" w14:textId="77777777">
      <w:pPr>
        <w:pStyle w:val="Quick1"/>
        <w:widowControl/>
        <w:numPr>
          <w:ilvl w:val="0"/>
          <w:numId w:val="0"/>
        </w:numPr>
        <w:ind w:left="720"/>
        <w:contextualSpacing/>
        <w:rPr>
          <w:b w:val="0"/>
          <w:bCs w:val="0"/>
          <w:sz w:val="24"/>
          <w:szCs w:val="24"/>
        </w:rPr>
      </w:pPr>
    </w:p>
    <w:p w:rsidR="003B2DFD" w:rsidRPr="009D08AC" w:rsidP="006B024B" w14:paraId="2BD3A775" w14:textId="3641750E">
      <w:pPr>
        <w:pStyle w:val="Quick1"/>
        <w:widowControl/>
        <w:numPr>
          <w:ilvl w:val="0"/>
          <w:numId w:val="0"/>
        </w:numPr>
        <w:ind w:left="720"/>
        <w:contextualSpacing/>
        <w:rPr>
          <w:sz w:val="24"/>
          <w:szCs w:val="24"/>
          <w:u w:val="single"/>
        </w:rPr>
      </w:pPr>
      <w:r w:rsidRPr="009D08AC">
        <w:rPr>
          <w:sz w:val="24"/>
          <w:szCs w:val="24"/>
          <w:u w:val="single"/>
        </w:rPr>
        <w:t>2002 Safe Harbor</w:t>
      </w:r>
    </w:p>
    <w:p w:rsidR="003B2DFD" w:rsidRPr="009D08AC" w:rsidP="006B024B" w14:paraId="74A58D98" w14:textId="77777777">
      <w:pPr>
        <w:pStyle w:val="Quick1"/>
        <w:widowControl/>
        <w:numPr>
          <w:ilvl w:val="0"/>
          <w:numId w:val="0"/>
        </w:numPr>
        <w:ind w:left="720"/>
        <w:contextualSpacing/>
        <w:rPr>
          <w:b w:val="0"/>
          <w:bCs w:val="0"/>
          <w:sz w:val="24"/>
          <w:szCs w:val="24"/>
        </w:rPr>
      </w:pPr>
    </w:p>
    <w:p w:rsidR="00026E64" w:rsidRPr="009D08AC" w:rsidP="0059720E" w14:paraId="09C4F499" w14:textId="045867BE">
      <w:pPr>
        <w:pStyle w:val="Quick1"/>
        <w:widowControl/>
        <w:numPr>
          <w:ilvl w:val="0"/>
          <w:numId w:val="0"/>
        </w:numPr>
        <w:ind w:left="720"/>
        <w:contextualSpacing/>
        <w:rPr>
          <w:b w:val="0"/>
          <w:bCs w:val="0"/>
          <w:sz w:val="24"/>
          <w:szCs w:val="24"/>
        </w:rPr>
      </w:pPr>
      <w:r w:rsidRPr="009D08AC">
        <w:rPr>
          <w:b w:val="0"/>
          <w:bCs w:val="0"/>
          <w:sz w:val="24"/>
          <w:szCs w:val="24"/>
        </w:rPr>
        <w:t xml:space="preserve">The Department’s 2002 regulatory safe harbor at 29 CFR 2520.104b-1(c) describes the circumstances under which the administrator of an employee benefit plan may furnish required disclosure documents through electronic media. </w:t>
      </w:r>
      <w:r w:rsidRPr="009D08AC" w:rsidR="00D33C4C">
        <w:rPr>
          <w:b w:val="0"/>
          <w:bCs w:val="0"/>
          <w:sz w:val="24"/>
          <w:szCs w:val="24"/>
        </w:rPr>
        <w:t>The information is a disclosure</w:t>
      </w:r>
      <w:r w:rsidRPr="009D08AC" w:rsidR="002B2B78">
        <w:rPr>
          <w:b w:val="0"/>
          <w:bCs w:val="0"/>
          <w:sz w:val="24"/>
          <w:szCs w:val="24"/>
        </w:rPr>
        <w:t xml:space="preserve"> requirement</w:t>
      </w:r>
      <w:r w:rsidRPr="009D08AC" w:rsidR="00537211">
        <w:rPr>
          <w:b w:val="0"/>
          <w:bCs w:val="0"/>
          <w:sz w:val="24"/>
          <w:szCs w:val="24"/>
        </w:rPr>
        <w:t xml:space="preserve"> </w:t>
      </w:r>
      <w:r w:rsidRPr="009D08AC" w:rsidR="00D373CD">
        <w:rPr>
          <w:b w:val="0"/>
          <w:bCs w:val="0"/>
          <w:sz w:val="24"/>
          <w:szCs w:val="24"/>
        </w:rPr>
        <w:t>for wired-at-work individuals</w:t>
      </w:r>
      <w:r w:rsidRPr="009D08AC" w:rsidR="002B2B78">
        <w:rPr>
          <w:b w:val="0"/>
          <w:bCs w:val="0"/>
          <w:sz w:val="24"/>
          <w:szCs w:val="24"/>
        </w:rPr>
        <w:t xml:space="preserve"> and a requirement that</w:t>
      </w:r>
      <w:r w:rsidRPr="009D08AC" w:rsidR="00D373CD">
        <w:rPr>
          <w:b w:val="0"/>
          <w:bCs w:val="0"/>
          <w:sz w:val="24"/>
          <w:szCs w:val="24"/>
        </w:rPr>
        <w:t xml:space="preserve"> </w:t>
      </w:r>
      <w:r w:rsidRPr="009D08AC" w:rsidR="00D373CD">
        <w:rPr>
          <w:b w:val="0"/>
          <w:bCs w:val="0"/>
          <w:sz w:val="24"/>
          <w:szCs w:val="24"/>
        </w:rPr>
        <w:t>non wired</w:t>
      </w:r>
      <w:r w:rsidRPr="009D08AC" w:rsidR="00D373CD">
        <w:rPr>
          <w:b w:val="0"/>
          <w:bCs w:val="0"/>
          <w:sz w:val="24"/>
          <w:szCs w:val="24"/>
        </w:rPr>
        <w:t>-at-work</w:t>
      </w:r>
      <w:r w:rsidRPr="009D08AC" w:rsidR="002B2B78">
        <w:rPr>
          <w:b w:val="0"/>
          <w:bCs w:val="0"/>
          <w:sz w:val="24"/>
          <w:szCs w:val="24"/>
        </w:rPr>
        <w:t xml:space="preserve"> participants affirmatively consent to electronic delivery or confirm consent electronically</w:t>
      </w:r>
      <w:r w:rsidRPr="009D08AC" w:rsidR="00D33C4C">
        <w:rPr>
          <w:b w:val="0"/>
          <w:bCs w:val="0"/>
          <w:sz w:val="24"/>
          <w:szCs w:val="24"/>
        </w:rPr>
        <w:t>. The consent</w:t>
      </w:r>
      <w:r w:rsidRPr="009D08AC" w:rsidR="004F22CB">
        <w:rPr>
          <w:b w:val="0"/>
          <w:bCs w:val="0"/>
          <w:sz w:val="24"/>
          <w:szCs w:val="24"/>
        </w:rPr>
        <w:t xml:space="preserve"> process</w:t>
      </w:r>
      <w:r w:rsidRPr="009D08AC" w:rsidR="00D33C4C">
        <w:rPr>
          <w:b w:val="0"/>
          <w:bCs w:val="0"/>
          <w:sz w:val="24"/>
          <w:szCs w:val="24"/>
        </w:rPr>
        <w:t xml:space="preserve"> serves to demonstrate to the plan administrator that an individual </w:t>
      </w:r>
      <w:r w:rsidRPr="009D08AC" w:rsidR="00D33C4C">
        <w:rPr>
          <w:b w:val="0"/>
          <w:bCs w:val="0"/>
          <w:sz w:val="24"/>
          <w:szCs w:val="24"/>
        </w:rPr>
        <w:t>has the ability to</w:t>
      </w:r>
      <w:r w:rsidRPr="009D08AC" w:rsidR="00D33C4C">
        <w:rPr>
          <w:b w:val="0"/>
          <w:bCs w:val="0"/>
          <w:sz w:val="24"/>
          <w:szCs w:val="24"/>
        </w:rPr>
        <w:t xml:space="preserve"> access information in the electronic form that will be used for disclosure purposes. Such confirmation will ensure the compatibility of the hardware and software between the individual and the plan and will serve to demonstrate that the administrator has taken appropriate and necessary measures reasonably calculated to ensure that the system for furnishing documents results in actual receipt, as required under ERISA. Lastly, where applicable, the consent</w:t>
      </w:r>
      <w:r w:rsidRPr="009D08AC" w:rsidR="004F22CB">
        <w:rPr>
          <w:b w:val="0"/>
          <w:bCs w:val="0"/>
          <w:sz w:val="24"/>
          <w:szCs w:val="24"/>
        </w:rPr>
        <w:t xml:space="preserve"> process</w:t>
      </w:r>
      <w:r w:rsidRPr="009D08AC" w:rsidR="00D33C4C">
        <w:rPr>
          <w:b w:val="0"/>
          <w:bCs w:val="0"/>
          <w:sz w:val="24"/>
          <w:szCs w:val="24"/>
        </w:rPr>
        <w:t xml:space="preserve"> </w:t>
      </w:r>
      <w:r w:rsidRPr="009D08AC" w:rsidR="00D33C4C">
        <w:rPr>
          <w:b w:val="0"/>
          <w:bCs w:val="0"/>
          <w:sz w:val="24"/>
          <w:szCs w:val="24"/>
        </w:rPr>
        <w:t>provides a means for the individual to provide the plan with the correct e-mail address to facilitate the efficiencies that may arise from the use of electronic technologies where appropriate.</w:t>
      </w:r>
      <w:r w:rsidRPr="009D08AC" w:rsidR="0059720E">
        <w:rPr>
          <w:b w:val="0"/>
          <w:bCs w:val="0"/>
          <w:sz w:val="24"/>
          <w:szCs w:val="24"/>
        </w:rPr>
        <w:t xml:space="preserve"> </w:t>
      </w:r>
      <w:r w:rsidRPr="009D08AC">
        <w:rPr>
          <w:b w:val="0"/>
          <w:bCs w:val="0"/>
          <w:sz w:val="24"/>
          <w:szCs w:val="24"/>
        </w:rPr>
        <w:t xml:space="preserve">The new </w:t>
      </w:r>
      <w:r w:rsidRPr="009D08AC" w:rsidR="006C2419">
        <w:rPr>
          <w:b w:val="0"/>
          <w:bCs w:val="0"/>
          <w:sz w:val="24"/>
          <w:szCs w:val="24"/>
        </w:rPr>
        <w:t xml:space="preserve">initial notice, required by </w:t>
      </w:r>
      <w:r w:rsidRPr="009D08AC" w:rsidR="003420A0">
        <w:rPr>
          <w:b w:val="0"/>
          <w:bCs w:val="0"/>
          <w:sz w:val="24"/>
          <w:szCs w:val="24"/>
        </w:rPr>
        <w:t xml:space="preserve">the </w:t>
      </w:r>
      <w:r w:rsidRPr="009D08AC" w:rsidR="006C2419">
        <w:rPr>
          <w:b w:val="0"/>
          <w:bCs w:val="0"/>
          <w:sz w:val="24"/>
          <w:szCs w:val="24"/>
        </w:rPr>
        <w:t>SECURE 2.0</w:t>
      </w:r>
      <w:r w:rsidRPr="009D08AC" w:rsidR="003420A0">
        <w:rPr>
          <w:b w:val="0"/>
          <w:bCs w:val="0"/>
          <w:sz w:val="24"/>
          <w:szCs w:val="24"/>
        </w:rPr>
        <w:t xml:space="preserve"> Act</w:t>
      </w:r>
      <w:r w:rsidRPr="009D08AC" w:rsidR="00C8130C">
        <w:rPr>
          <w:b w:val="0"/>
          <w:bCs w:val="0"/>
          <w:sz w:val="24"/>
          <w:szCs w:val="24"/>
        </w:rPr>
        <w:t xml:space="preserve"> and the Department’s accompanying proposal</w:t>
      </w:r>
      <w:r w:rsidRPr="009D08AC" w:rsidR="00036896">
        <w:rPr>
          <w:b w:val="0"/>
          <w:bCs w:val="0"/>
          <w:sz w:val="24"/>
          <w:szCs w:val="24"/>
        </w:rPr>
        <w:t xml:space="preserve">, will </w:t>
      </w:r>
      <w:r w:rsidRPr="009D08AC" w:rsidR="00D23B2E">
        <w:rPr>
          <w:b w:val="0"/>
          <w:bCs w:val="0"/>
          <w:sz w:val="24"/>
          <w:szCs w:val="24"/>
        </w:rPr>
        <w:t>better inform</w:t>
      </w:r>
      <w:r w:rsidRPr="009D08AC" w:rsidR="0018755B">
        <w:rPr>
          <w:b w:val="0"/>
          <w:bCs w:val="0"/>
          <w:sz w:val="24"/>
          <w:szCs w:val="24"/>
        </w:rPr>
        <w:t xml:space="preserve"> participants of their rights to receive paper </w:t>
      </w:r>
      <w:r w:rsidRPr="009D08AC" w:rsidR="00FA3F4F">
        <w:rPr>
          <w:b w:val="0"/>
          <w:bCs w:val="0"/>
          <w:sz w:val="24"/>
          <w:szCs w:val="24"/>
        </w:rPr>
        <w:t xml:space="preserve">before electronic </w:t>
      </w:r>
      <w:r w:rsidRPr="009D08AC" w:rsidR="0059720E">
        <w:rPr>
          <w:b w:val="0"/>
          <w:bCs w:val="0"/>
          <w:sz w:val="24"/>
          <w:szCs w:val="24"/>
        </w:rPr>
        <w:t>documents are furnished.</w:t>
      </w:r>
    </w:p>
    <w:p w:rsidR="00B619AD" w:rsidRPr="009D08AC" w:rsidP="006B024B" w14:paraId="446DD3A2" w14:textId="77777777">
      <w:pPr>
        <w:pStyle w:val="Quick1"/>
        <w:widowControl/>
        <w:numPr>
          <w:ilvl w:val="0"/>
          <w:numId w:val="0"/>
        </w:numPr>
        <w:ind w:left="720"/>
        <w:contextualSpacing/>
        <w:rPr>
          <w:b w:val="0"/>
          <w:bCs w:val="0"/>
          <w:sz w:val="24"/>
          <w:szCs w:val="24"/>
        </w:rPr>
      </w:pPr>
    </w:p>
    <w:p w:rsidR="00B619AD" w:rsidRPr="009D08AC" w:rsidP="006B024B" w14:paraId="445CBAF4" w14:textId="49D988D0">
      <w:pPr>
        <w:ind w:firstLine="720"/>
        <w:contextualSpacing/>
        <w:rPr>
          <w:sz w:val="24"/>
          <w:szCs w:val="24"/>
          <w:u w:val="single"/>
        </w:rPr>
      </w:pPr>
      <w:r w:rsidRPr="009D08AC">
        <w:rPr>
          <w:sz w:val="24"/>
          <w:szCs w:val="24"/>
          <w:u w:val="single"/>
        </w:rPr>
        <w:t>20</w:t>
      </w:r>
      <w:r w:rsidRPr="009D08AC" w:rsidR="00021EBF">
        <w:rPr>
          <w:sz w:val="24"/>
          <w:szCs w:val="24"/>
          <w:u w:val="single"/>
        </w:rPr>
        <w:t>20</w:t>
      </w:r>
      <w:r w:rsidRPr="009D08AC" w:rsidR="00F56FAC">
        <w:rPr>
          <w:sz w:val="24"/>
          <w:szCs w:val="24"/>
          <w:u w:val="single"/>
        </w:rPr>
        <w:t xml:space="preserve"> </w:t>
      </w:r>
      <w:r w:rsidRPr="009D08AC" w:rsidR="002D0620">
        <w:rPr>
          <w:bCs w:val="0"/>
          <w:sz w:val="24"/>
          <w:szCs w:val="24"/>
          <w:u w:val="single"/>
        </w:rPr>
        <w:t>Safe Harbor</w:t>
      </w:r>
      <w:r w:rsidRPr="009D08AC">
        <w:rPr>
          <w:sz w:val="24"/>
          <w:szCs w:val="24"/>
          <w:u w:val="single"/>
        </w:rPr>
        <w:t xml:space="preserve"> </w:t>
      </w:r>
    </w:p>
    <w:p w:rsidR="00215336" w:rsidRPr="009D08AC" w:rsidP="006B024B" w14:paraId="347CF8F6" w14:textId="77777777">
      <w:pPr>
        <w:widowControl/>
        <w:autoSpaceDE/>
        <w:autoSpaceDN/>
        <w:adjustRightInd/>
        <w:ind w:left="720"/>
        <w:contextualSpacing/>
        <w:rPr>
          <w:b w:val="0"/>
          <w:sz w:val="24"/>
          <w:szCs w:val="24"/>
        </w:rPr>
      </w:pPr>
    </w:p>
    <w:p w:rsidR="00C527B7" w:rsidRPr="009D08AC" w:rsidP="006B024B" w14:paraId="0D4BCF57" w14:textId="7E481F40">
      <w:pPr>
        <w:widowControl/>
        <w:autoSpaceDE/>
        <w:autoSpaceDN/>
        <w:adjustRightInd/>
        <w:ind w:left="720"/>
        <w:contextualSpacing/>
        <w:rPr>
          <w:b w:val="0"/>
          <w:sz w:val="24"/>
          <w:szCs w:val="24"/>
        </w:rPr>
      </w:pPr>
      <w:r w:rsidRPr="009D08AC">
        <w:rPr>
          <w:b w:val="0"/>
          <w:sz w:val="24"/>
          <w:szCs w:val="24"/>
        </w:rPr>
        <w:t xml:space="preserve">Retirement plan administrators </w:t>
      </w:r>
      <w:r w:rsidRPr="009D08AC" w:rsidR="009E0937">
        <w:rPr>
          <w:b w:val="0"/>
          <w:sz w:val="24"/>
          <w:szCs w:val="24"/>
        </w:rPr>
        <w:t>may</w:t>
      </w:r>
      <w:r w:rsidRPr="009D08AC">
        <w:rPr>
          <w:b w:val="0"/>
          <w:sz w:val="24"/>
          <w:szCs w:val="24"/>
        </w:rPr>
        <w:t xml:space="preserve"> satisfy their obligation to furnish ERISA-required disclosures </w:t>
      </w:r>
      <w:r w:rsidRPr="009D08AC" w:rsidR="009E0937">
        <w:rPr>
          <w:b w:val="0"/>
          <w:sz w:val="24"/>
          <w:szCs w:val="24"/>
        </w:rPr>
        <w:t>by</w:t>
      </w:r>
      <w:r w:rsidRPr="009D08AC">
        <w:rPr>
          <w:b w:val="0"/>
          <w:sz w:val="24"/>
          <w:szCs w:val="24"/>
        </w:rPr>
        <w:t xml:space="preserve"> mak</w:t>
      </w:r>
      <w:r w:rsidRPr="009D08AC" w:rsidR="009E0937">
        <w:rPr>
          <w:b w:val="0"/>
          <w:sz w:val="24"/>
          <w:szCs w:val="24"/>
        </w:rPr>
        <w:t>ing</w:t>
      </w:r>
      <w:r w:rsidRPr="009D08AC">
        <w:rPr>
          <w:b w:val="0"/>
          <w:sz w:val="24"/>
          <w:szCs w:val="24"/>
        </w:rPr>
        <w:t xml:space="preserve"> the information accessible online</w:t>
      </w:r>
      <w:r w:rsidRPr="009D08AC" w:rsidR="009E0937">
        <w:rPr>
          <w:b w:val="0"/>
          <w:sz w:val="24"/>
          <w:szCs w:val="24"/>
        </w:rPr>
        <w:t xml:space="preserve"> and furnishing</w:t>
      </w:r>
      <w:r w:rsidRPr="009D08AC">
        <w:rPr>
          <w:b w:val="0"/>
          <w:sz w:val="24"/>
          <w:szCs w:val="24"/>
        </w:rPr>
        <w:t xml:space="preserve"> a notice of internet availability of these disclosures</w:t>
      </w:r>
      <w:r w:rsidRPr="009D08AC" w:rsidR="009E0937">
        <w:rPr>
          <w:b w:val="0"/>
          <w:sz w:val="24"/>
          <w:szCs w:val="24"/>
        </w:rPr>
        <w:t xml:space="preserve"> to covered individuals</w:t>
      </w:r>
      <w:r w:rsidRPr="009D08AC">
        <w:rPr>
          <w:b w:val="0"/>
          <w:sz w:val="24"/>
          <w:szCs w:val="24"/>
        </w:rPr>
        <w:t>.</w:t>
      </w:r>
      <w:r w:rsidRPr="009D08AC" w:rsidR="00FF5362">
        <w:rPr>
          <w:b w:val="0"/>
          <w:sz w:val="24"/>
          <w:szCs w:val="24"/>
        </w:rPr>
        <w:t xml:space="preserve"> As a result of </w:t>
      </w:r>
      <w:r w:rsidRPr="009D08AC" w:rsidR="00A07767">
        <w:rPr>
          <w:b w:val="0"/>
          <w:sz w:val="24"/>
          <w:szCs w:val="24"/>
        </w:rPr>
        <w:t xml:space="preserve">the </w:t>
      </w:r>
      <w:r w:rsidRPr="009D08AC" w:rsidR="00FF5362">
        <w:rPr>
          <w:b w:val="0"/>
          <w:sz w:val="24"/>
          <w:szCs w:val="24"/>
        </w:rPr>
        <w:t>SECURE 2.0</w:t>
      </w:r>
      <w:r w:rsidRPr="009D08AC" w:rsidR="00C8130C">
        <w:rPr>
          <w:b w:val="0"/>
          <w:sz w:val="24"/>
          <w:szCs w:val="24"/>
        </w:rPr>
        <w:t xml:space="preserve"> </w:t>
      </w:r>
      <w:r w:rsidRPr="009D08AC" w:rsidR="00A07767">
        <w:rPr>
          <w:b w:val="0"/>
          <w:sz w:val="24"/>
          <w:szCs w:val="24"/>
        </w:rPr>
        <w:t xml:space="preserve">Act </w:t>
      </w:r>
      <w:r w:rsidRPr="009D08AC" w:rsidR="00C8130C">
        <w:rPr>
          <w:b w:val="0"/>
          <w:bCs w:val="0"/>
          <w:sz w:val="24"/>
          <w:szCs w:val="24"/>
        </w:rPr>
        <w:t>and the Department’s accompanying proposal</w:t>
      </w:r>
      <w:r w:rsidRPr="009D08AC" w:rsidR="00FF5362">
        <w:rPr>
          <w:b w:val="0"/>
          <w:sz w:val="24"/>
          <w:szCs w:val="24"/>
        </w:rPr>
        <w:t>, administrators must also</w:t>
      </w:r>
      <w:r w:rsidRPr="009D08AC">
        <w:rPr>
          <w:b w:val="0"/>
          <w:sz w:val="24"/>
          <w:szCs w:val="24"/>
        </w:rPr>
        <w:t xml:space="preserve"> </w:t>
      </w:r>
      <w:r w:rsidRPr="009D08AC" w:rsidR="00834402">
        <w:rPr>
          <w:b w:val="0"/>
          <w:sz w:val="24"/>
          <w:szCs w:val="24"/>
        </w:rPr>
        <w:t xml:space="preserve">(1) </w:t>
      </w:r>
      <w:r w:rsidRPr="009D08AC" w:rsidR="00FF5362">
        <w:rPr>
          <w:b w:val="0"/>
          <w:sz w:val="24"/>
          <w:szCs w:val="24"/>
        </w:rPr>
        <w:t xml:space="preserve">not charge </w:t>
      </w:r>
      <w:r w:rsidRPr="009D08AC" w:rsidR="00226495">
        <w:rPr>
          <w:b w:val="0"/>
          <w:sz w:val="24"/>
          <w:szCs w:val="24"/>
        </w:rPr>
        <w:t>any</w:t>
      </w:r>
      <w:r w:rsidRPr="009D08AC" w:rsidR="007C4559">
        <w:rPr>
          <w:b w:val="0"/>
          <w:sz w:val="24"/>
          <w:szCs w:val="24"/>
        </w:rPr>
        <w:t xml:space="preserve"> fee to a participant or beneficiary for the delivery of any</w:t>
      </w:r>
      <w:r w:rsidRPr="009D08AC" w:rsidR="00FF5362">
        <w:rPr>
          <w:b w:val="0"/>
          <w:sz w:val="24"/>
          <w:szCs w:val="24"/>
        </w:rPr>
        <w:t xml:space="preserve"> paper </w:t>
      </w:r>
      <w:r w:rsidRPr="009D08AC" w:rsidR="00F8542F">
        <w:rPr>
          <w:b w:val="0"/>
          <w:sz w:val="24"/>
          <w:szCs w:val="24"/>
        </w:rPr>
        <w:t xml:space="preserve">statements and </w:t>
      </w:r>
      <w:r w:rsidRPr="009D08AC" w:rsidR="00834402">
        <w:rPr>
          <w:b w:val="0"/>
          <w:sz w:val="24"/>
          <w:szCs w:val="24"/>
        </w:rPr>
        <w:t xml:space="preserve">(2) </w:t>
      </w:r>
      <w:r w:rsidRPr="009D08AC" w:rsidR="007A4237">
        <w:rPr>
          <w:b w:val="0"/>
          <w:sz w:val="24"/>
          <w:szCs w:val="24"/>
        </w:rPr>
        <w:t xml:space="preserve">furnish </w:t>
      </w:r>
      <w:r w:rsidRPr="009D08AC" w:rsidR="00FF5362">
        <w:rPr>
          <w:b w:val="0"/>
          <w:bCs w:val="0"/>
          <w:sz w:val="24"/>
          <w:szCs w:val="24"/>
        </w:rPr>
        <w:t>one pension benefit per year on paper to defined contribution participants and beneficiaries and one statement per three years on paper to defined benefit participants</w:t>
      </w:r>
      <w:r w:rsidRPr="009D08AC" w:rsidR="00F8542F">
        <w:rPr>
          <w:b w:val="0"/>
          <w:bCs w:val="0"/>
          <w:sz w:val="24"/>
          <w:szCs w:val="24"/>
        </w:rPr>
        <w:t xml:space="preserve">, unless the participant opts-out of these paper disclosures. </w:t>
      </w:r>
    </w:p>
    <w:p w:rsidR="00C527B7" w:rsidRPr="009D08AC" w:rsidP="006B024B" w14:paraId="6A411C56" w14:textId="77777777">
      <w:pPr>
        <w:widowControl/>
        <w:autoSpaceDE/>
        <w:autoSpaceDN/>
        <w:adjustRightInd/>
        <w:ind w:left="720"/>
        <w:contextualSpacing/>
        <w:rPr>
          <w:b w:val="0"/>
          <w:sz w:val="24"/>
          <w:szCs w:val="24"/>
        </w:rPr>
      </w:pPr>
    </w:p>
    <w:p w:rsidR="00B619AD" w:rsidRPr="009D08AC" w:rsidP="006B024B" w14:paraId="3967B26F" w14:textId="2FE3D2A9">
      <w:pPr>
        <w:widowControl/>
        <w:autoSpaceDE/>
        <w:autoSpaceDN/>
        <w:adjustRightInd/>
        <w:ind w:left="720"/>
        <w:contextualSpacing/>
        <w:rPr>
          <w:b w:val="0"/>
          <w:sz w:val="24"/>
          <w:szCs w:val="24"/>
        </w:rPr>
      </w:pPr>
      <w:r w:rsidRPr="009D08AC">
        <w:rPr>
          <w:b w:val="0"/>
          <w:sz w:val="24"/>
          <w:szCs w:val="24"/>
        </w:rPr>
        <w:t xml:space="preserve">The notice of internet availability </w:t>
      </w:r>
      <w:r w:rsidRPr="009D08AC" w:rsidR="009E0937">
        <w:rPr>
          <w:b w:val="0"/>
          <w:sz w:val="24"/>
          <w:szCs w:val="24"/>
        </w:rPr>
        <w:t>must</w:t>
      </w:r>
      <w:r w:rsidRPr="009D08AC">
        <w:rPr>
          <w:b w:val="0"/>
          <w:sz w:val="24"/>
          <w:szCs w:val="24"/>
        </w:rPr>
        <w:t xml:space="preserve"> be sent to the electronic address of the participant, for example to the participant’s email address</w:t>
      </w:r>
      <w:r w:rsidRPr="009D08AC" w:rsidR="009E0937">
        <w:rPr>
          <w:b w:val="0"/>
          <w:sz w:val="24"/>
          <w:szCs w:val="24"/>
        </w:rPr>
        <w:t xml:space="preserve"> and </w:t>
      </w:r>
      <w:r w:rsidRPr="009D08AC">
        <w:rPr>
          <w:b w:val="0"/>
          <w:sz w:val="24"/>
          <w:szCs w:val="24"/>
        </w:rPr>
        <w:t xml:space="preserve">include, among other things, a brief description of the document being posted online, a website address where the document is posted, and instructions for requesting a free paper copy or electing paper delivery in the future. </w:t>
      </w:r>
      <w:r w:rsidRPr="009D08AC">
        <w:rPr>
          <w:b w:val="0"/>
          <w:sz w:val="24"/>
          <w:szCs w:val="24"/>
        </w:rPr>
        <w:t>It must be sent each</w:t>
      </w:r>
      <w:r w:rsidRPr="009D08AC">
        <w:rPr>
          <w:b w:val="0"/>
          <w:sz w:val="24"/>
          <w:szCs w:val="24"/>
        </w:rPr>
        <w:t xml:space="preserve"> time a retirement plan disclosure is posted to the internet website. To prevent “email overload,” the </w:t>
      </w:r>
      <w:r w:rsidRPr="009D08AC" w:rsidR="00DF23DD">
        <w:rPr>
          <w:b w:val="0"/>
          <w:sz w:val="24"/>
          <w:szCs w:val="24"/>
        </w:rPr>
        <w:t>rule</w:t>
      </w:r>
      <w:r w:rsidRPr="009D08AC">
        <w:rPr>
          <w:b w:val="0"/>
          <w:sz w:val="24"/>
          <w:szCs w:val="24"/>
        </w:rPr>
        <w:t xml:space="preserve"> allows a notice of internet availability to incorporate or combine other notices of internet availability in limited circumstances. </w:t>
      </w:r>
    </w:p>
    <w:p w:rsidR="00D33C4C" w:rsidRPr="009D08AC" w:rsidP="006B024B" w14:paraId="443C8879" w14:textId="77777777">
      <w:pPr>
        <w:widowControl/>
        <w:rPr>
          <w:b w:val="0"/>
          <w:bCs w:val="0"/>
          <w:sz w:val="24"/>
          <w:szCs w:val="24"/>
        </w:rPr>
      </w:pPr>
    </w:p>
    <w:p w:rsidR="00D33C4C" w:rsidRPr="009D08AC" w:rsidP="00D55011" w14:paraId="614C61C5" w14:textId="52157356">
      <w:pPr>
        <w:pStyle w:val="Quick1"/>
        <w:widowControl/>
        <w:numPr>
          <w:ilvl w:val="0"/>
          <w:numId w:val="3"/>
        </w:numPr>
        <w:rPr>
          <w:sz w:val="24"/>
          <w:szCs w:val="24"/>
        </w:rPr>
      </w:pPr>
      <w:r w:rsidRPr="009D08AC">
        <w:rPr>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9D08AC">
        <w:rPr>
          <w:sz w:val="24"/>
          <w:szCs w:val="24"/>
        </w:rPr>
        <w:t>for adopting</w:t>
      </w:r>
      <w:r w:rsidRPr="009D08AC">
        <w:rPr>
          <w:sz w:val="24"/>
          <w:szCs w:val="24"/>
        </w:rPr>
        <w:t xml:space="preserve"> this means of collection. Also describe any consideration for using information technology to reduce burden.</w:t>
      </w:r>
    </w:p>
    <w:p w:rsidR="00D33C4C" w:rsidRPr="009D08AC" w:rsidP="00D55011" w14:paraId="4A4FBE46" w14:textId="77777777">
      <w:pPr>
        <w:pStyle w:val="Quick1"/>
        <w:widowControl/>
        <w:numPr>
          <w:ilvl w:val="0"/>
          <w:numId w:val="0"/>
        </w:numPr>
        <w:ind w:left="720"/>
        <w:rPr>
          <w:b w:val="0"/>
          <w:bCs w:val="0"/>
          <w:sz w:val="24"/>
          <w:szCs w:val="24"/>
        </w:rPr>
      </w:pPr>
    </w:p>
    <w:p w:rsidR="00592E2F" w:rsidRPr="009D08AC" w:rsidP="00D55011" w14:paraId="54C78CCD" w14:textId="150B8F46">
      <w:pPr>
        <w:pStyle w:val="BodyTextIndent"/>
        <w:tabs>
          <w:tab w:val="clear" w:pos="-1440"/>
        </w:tabs>
        <w:rPr>
          <w:szCs w:val="24"/>
          <w:u w:val="single"/>
        </w:rPr>
      </w:pPr>
      <w:r w:rsidRPr="009D08AC">
        <w:rPr>
          <w:szCs w:val="24"/>
          <w:u w:val="single"/>
        </w:rPr>
        <w:t>2002 Safe Harbor</w:t>
      </w:r>
    </w:p>
    <w:p w:rsidR="00592E2F" w:rsidRPr="009D08AC" w:rsidP="00D55011" w14:paraId="520D958A" w14:textId="77777777">
      <w:pPr>
        <w:pStyle w:val="BodyTextIndent"/>
        <w:tabs>
          <w:tab w:val="clear" w:pos="-1440"/>
        </w:tabs>
        <w:rPr>
          <w:b w:val="0"/>
          <w:bCs w:val="0"/>
          <w:szCs w:val="24"/>
        </w:rPr>
      </w:pPr>
    </w:p>
    <w:p w:rsidR="00A211C9" w:rsidRPr="009D08AC" w:rsidP="00D55011" w14:paraId="62BA191C" w14:textId="7A4553B0">
      <w:pPr>
        <w:pStyle w:val="BodyTextIndent"/>
        <w:tabs>
          <w:tab w:val="clear" w:pos="-1440"/>
        </w:tabs>
        <w:rPr>
          <w:b w:val="0"/>
          <w:bCs w:val="0"/>
          <w:szCs w:val="24"/>
        </w:rPr>
      </w:pPr>
      <w:r w:rsidRPr="009D08AC">
        <w:rPr>
          <w:b w:val="0"/>
          <w:bCs w:val="0"/>
          <w:szCs w:val="24"/>
        </w:rPr>
        <w:t>Under 29 C.F.R. § 2520.104b-1(b), “where certain material, including reports, statements, notices and other documents, is required under Title I of the Act, or regulations issued thereunder, to be furnished either by direct operation of law or on individual request, the plan administrator shall use measures reasonably calculated to ensure actual receipt of the material by plan participants, beneficiaries and other specified individuals.” Sections 2520.104b-1(c) and 2520.104b-31 establish the standards by which disclosures under Title I of ERISA made through electronic media will be deemed to satisfy the general furnishing requirement of § 2520.104b-1(b). Section 2520.107-1 establishes standards concerning the use of electronic media for maintenance and retention of records. Under these rules, all pension plans covered under Title I of ERISA may use electronic media to satisfy disclosure and recordkeeping obligations, subject to specific safeguards</w:t>
      </w:r>
    </w:p>
    <w:p w:rsidR="00A211C9" w:rsidRPr="009D08AC" w:rsidP="00A211C9" w14:paraId="1862255C" w14:textId="39625F2A">
      <w:pPr>
        <w:spacing w:line="276" w:lineRule="auto"/>
        <w:ind w:firstLine="720"/>
        <w:rPr>
          <w:sz w:val="24"/>
          <w:szCs w:val="24"/>
          <w:u w:val="single"/>
        </w:rPr>
      </w:pPr>
      <w:r w:rsidRPr="009D08AC">
        <w:rPr>
          <w:sz w:val="24"/>
          <w:szCs w:val="24"/>
          <w:u w:val="single"/>
        </w:rPr>
        <w:t>20</w:t>
      </w:r>
      <w:r w:rsidRPr="009D08AC" w:rsidR="00021EBF">
        <w:rPr>
          <w:sz w:val="24"/>
          <w:szCs w:val="24"/>
          <w:u w:val="single"/>
        </w:rPr>
        <w:t>20</w:t>
      </w:r>
      <w:r w:rsidRPr="009D08AC">
        <w:rPr>
          <w:sz w:val="24"/>
          <w:szCs w:val="24"/>
          <w:u w:val="single"/>
        </w:rPr>
        <w:t xml:space="preserve"> </w:t>
      </w:r>
      <w:r w:rsidRPr="009D08AC" w:rsidR="002D0620">
        <w:rPr>
          <w:bCs w:val="0"/>
          <w:sz w:val="24"/>
          <w:szCs w:val="24"/>
          <w:u w:val="single"/>
        </w:rPr>
        <w:t>Safe Harbor</w:t>
      </w:r>
    </w:p>
    <w:p w:rsidR="00A211C9" w:rsidRPr="009D08AC" w:rsidP="00A211C9" w14:paraId="083FFA44" w14:textId="77777777">
      <w:pPr>
        <w:spacing w:line="276" w:lineRule="auto"/>
        <w:ind w:firstLine="720"/>
        <w:rPr>
          <w:b w:val="0"/>
          <w:sz w:val="24"/>
          <w:szCs w:val="24"/>
        </w:rPr>
      </w:pPr>
    </w:p>
    <w:p w:rsidR="006C3AF6" w:rsidRPr="009D08AC" w:rsidP="00A211C9" w14:paraId="315750A0" w14:textId="50A870BC">
      <w:pPr>
        <w:pStyle w:val="BodyTextIndent"/>
        <w:tabs>
          <w:tab w:val="clear" w:pos="-1440"/>
        </w:tabs>
        <w:rPr>
          <w:b w:val="0"/>
          <w:szCs w:val="24"/>
        </w:rPr>
      </w:pPr>
      <w:r w:rsidRPr="009D08AC">
        <w:rPr>
          <w:b w:val="0"/>
          <w:szCs w:val="24"/>
        </w:rPr>
        <w:t>Under the 20</w:t>
      </w:r>
      <w:r w:rsidRPr="009D08AC" w:rsidR="0068579A">
        <w:rPr>
          <w:b w:val="0"/>
          <w:szCs w:val="24"/>
        </w:rPr>
        <w:t>20</w:t>
      </w:r>
      <w:r w:rsidRPr="009D08AC">
        <w:rPr>
          <w:b w:val="0"/>
          <w:szCs w:val="24"/>
        </w:rPr>
        <w:t xml:space="preserve"> safe harbor, </w:t>
      </w:r>
      <w:r w:rsidRPr="009D08AC" w:rsidR="00A211C9">
        <w:rPr>
          <w:b w:val="0"/>
          <w:szCs w:val="24"/>
        </w:rPr>
        <w:t xml:space="preserve">plan administrators who satisfy specified conditions </w:t>
      </w:r>
      <w:r w:rsidRPr="009D08AC" w:rsidR="004401BC">
        <w:rPr>
          <w:b w:val="0"/>
          <w:szCs w:val="24"/>
        </w:rPr>
        <w:t>may</w:t>
      </w:r>
      <w:r w:rsidRPr="009D08AC" w:rsidR="00A211C9">
        <w:rPr>
          <w:b w:val="0"/>
          <w:szCs w:val="24"/>
        </w:rPr>
        <w:t xml:space="preserve"> provide </w:t>
      </w:r>
      <w:r w:rsidRPr="009D08AC" w:rsidR="00215336">
        <w:rPr>
          <w:b w:val="0"/>
          <w:szCs w:val="24"/>
        </w:rPr>
        <w:t xml:space="preserve">covered individuals </w:t>
      </w:r>
      <w:r w:rsidRPr="009D08AC" w:rsidR="00A211C9">
        <w:rPr>
          <w:b w:val="0"/>
          <w:szCs w:val="24"/>
        </w:rPr>
        <w:t xml:space="preserve">with a notice </w:t>
      </w:r>
      <w:r w:rsidRPr="009D08AC" w:rsidR="00AF046D">
        <w:rPr>
          <w:b w:val="0"/>
          <w:szCs w:val="24"/>
        </w:rPr>
        <w:t xml:space="preserve">stating </w:t>
      </w:r>
      <w:r w:rsidRPr="009D08AC" w:rsidR="00A211C9">
        <w:rPr>
          <w:b w:val="0"/>
          <w:szCs w:val="24"/>
        </w:rPr>
        <w:t xml:space="preserve">that </w:t>
      </w:r>
      <w:r w:rsidRPr="009D08AC" w:rsidR="00215336">
        <w:rPr>
          <w:b w:val="0"/>
          <w:szCs w:val="24"/>
        </w:rPr>
        <w:t xml:space="preserve">required </w:t>
      </w:r>
      <w:r w:rsidRPr="009D08AC" w:rsidR="00A211C9">
        <w:rPr>
          <w:b w:val="0"/>
          <w:szCs w:val="24"/>
        </w:rPr>
        <w:t xml:space="preserve">pension disclosures will be made available on a website. Individuals who prefer to receive disclosures on paper will be able to request paper copies and to opt out of electronic delivery entirely. These changes reduce burden </w:t>
      </w:r>
      <w:r w:rsidRPr="009D08AC" w:rsidR="00A211C9">
        <w:rPr>
          <w:b w:val="0"/>
          <w:szCs w:val="24"/>
        </w:rPr>
        <w:t>for</w:t>
      </w:r>
      <w:r w:rsidRPr="009D08AC" w:rsidR="00A211C9">
        <w:rPr>
          <w:b w:val="0"/>
          <w:szCs w:val="24"/>
        </w:rPr>
        <w:t xml:space="preserve"> pension plans by lowering the cost </w:t>
      </w:r>
      <w:r w:rsidRPr="009D08AC" w:rsidR="009E0937">
        <w:rPr>
          <w:b w:val="0"/>
          <w:szCs w:val="24"/>
        </w:rPr>
        <w:t xml:space="preserve">to </w:t>
      </w:r>
      <w:r w:rsidRPr="009D08AC" w:rsidR="00A211C9">
        <w:rPr>
          <w:b w:val="0"/>
          <w:szCs w:val="24"/>
        </w:rPr>
        <w:t>deliver required notices.</w:t>
      </w:r>
      <w:r w:rsidRPr="009D08AC" w:rsidR="00091F81">
        <w:rPr>
          <w:b w:val="0"/>
          <w:szCs w:val="24"/>
        </w:rPr>
        <w:t xml:space="preserve"> </w:t>
      </w:r>
    </w:p>
    <w:p w:rsidR="006C3AF6" w:rsidRPr="009D08AC" w:rsidP="00A211C9" w14:paraId="6EC320F5" w14:textId="77777777">
      <w:pPr>
        <w:pStyle w:val="BodyTextIndent"/>
        <w:tabs>
          <w:tab w:val="clear" w:pos="-1440"/>
        </w:tabs>
        <w:rPr>
          <w:b w:val="0"/>
          <w:szCs w:val="24"/>
        </w:rPr>
      </w:pPr>
    </w:p>
    <w:p w:rsidR="00A211C9" w:rsidRPr="009D08AC" w:rsidP="00A211C9" w14:paraId="1970ACE4" w14:textId="3D11BC84">
      <w:pPr>
        <w:pStyle w:val="BodyTextIndent"/>
        <w:tabs>
          <w:tab w:val="clear" w:pos="-1440"/>
        </w:tabs>
        <w:rPr>
          <w:b w:val="0"/>
          <w:bCs w:val="0"/>
          <w:szCs w:val="24"/>
        </w:rPr>
      </w:pPr>
      <w:r w:rsidRPr="009D08AC">
        <w:rPr>
          <w:b w:val="0"/>
          <w:szCs w:val="24"/>
        </w:rPr>
        <w:t>T</w:t>
      </w:r>
      <w:r w:rsidRPr="009D08AC" w:rsidR="00EE3719">
        <w:rPr>
          <w:b w:val="0"/>
          <w:szCs w:val="24"/>
        </w:rPr>
        <w:t xml:space="preserve">he </w:t>
      </w:r>
      <w:r w:rsidRPr="009D08AC" w:rsidR="00091F81">
        <w:rPr>
          <w:b w:val="0"/>
          <w:szCs w:val="24"/>
        </w:rPr>
        <w:t>SECURE 2.0</w:t>
      </w:r>
      <w:r w:rsidRPr="009D08AC" w:rsidR="00C8130C">
        <w:rPr>
          <w:b w:val="0"/>
          <w:szCs w:val="24"/>
        </w:rPr>
        <w:t xml:space="preserve"> </w:t>
      </w:r>
      <w:r w:rsidRPr="009D08AC" w:rsidR="00EE3719">
        <w:rPr>
          <w:b w:val="0"/>
          <w:szCs w:val="24"/>
        </w:rPr>
        <w:t xml:space="preserve">Act </w:t>
      </w:r>
      <w:r w:rsidRPr="009D08AC" w:rsidR="00C8130C">
        <w:rPr>
          <w:b w:val="0"/>
          <w:bCs w:val="0"/>
          <w:szCs w:val="24"/>
        </w:rPr>
        <w:t>and the Department’s accompanying proposal</w:t>
      </w:r>
      <w:r w:rsidRPr="009D08AC">
        <w:rPr>
          <w:b w:val="0"/>
          <w:szCs w:val="24"/>
        </w:rPr>
        <w:t xml:space="preserve"> require </w:t>
      </w:r>
      <w:r w:rsidRPr="009D08AC" w:rsidR="00091F81">
        <w:rPr>
          <w:b w:val="0"/>
          <w:szCs w:val="24"/>
        </w:rPr>
        <w:t xml:space="preserve">administrators </w:t>
      </w:r>
      <w:r w:rsidRPr="009D08AC">
        <w:rPr>
          <w:b w:val="0"/>
          <w:szCs w:val="24"/>
        </w:rPr>
        <w:t xml:space="preserve">to </w:t>
      </w:r>
      <w:r w:rsidRPr="009D08AC" w:rsidR="00091F81">
        <w:rPr>
          <w:b w:val="0"/>
          <w:szCs w:val="24"/>
        </w:rPr>
        <w:t xml:space="preserve">furnish </w:t>
      </w:r>
      <w:r w:rsidRPr="009D08AC" w:rsidR="00091F81">
        <w:rPr>
          <w:b w:val="0"/>
          <w:bCs w:val="0"/>
          <w:szCs w:val="24"/>
        </w:rPr>
        <w:t xml:space="preserve">one pension benefit </w:t>
      </w:r>
      <w:r w:rsidRPr="009D08AC" w:rsidR="00431A5A">
        <w:rPr>
          <w:b w:val="0"/>
          <w:bCs w:val="0"/>
          <w:szCs w:val="24"/>
        </w:rPr>
        <w:t>statement</w:t>
      </w:r>
      <w:r w:rsidRPr="009D08AC" w:rsidR="00091F81">
        <w:rPr>
          <w:b w:val="0"/>
          <w:bCs w:val="0"/>
          <w:szCs w:val="24"/>
        </w:rPr>
        <w:t xml:space="preserve"> per year on paper to </w:t>
      </w:r>
      <w:r w:rsidRPr="009D08AC" w:rsidR="00091F81">
        <w:rPr>
          <w:b w:val="0"/>
          <w:bCs w:val="0"/>
          <w:szCs w:val="24"/>
        </w:rPr>
        <w:t>defined</w:t>
      </w:r>
      <w:r w:rsidRPr="009D08AC" w:rsidR="00091F81">
        <w:rPr>
          <w:b w:val="0"/>
          <w:bCs w:val="0"/>
          <w:szCs w:val="24"/>
        </w:rPr>
        <w:t xml:space="preserve"> contribution participants and beneficiaries, and one statement per three years on paper to </w:t>
      </w:r>
      <w:r w:rsidRPr="009D08AC" w:rsidR="00091F81">
        <w:rPr>
          <w:b w:val="0"/>
          <w:bCs w:val="0"/>
          <w:szCs w:val="24"/>
        </w:rPr>
        <w:t>defined</w:t>
      </w:r>
      <w:r w:rsidRPr="009D08AC" w:rsidR="00091F81">
        <w:rPr>
          <w:b w:val="0"/>
          <w:bCs w:val="0"/>
          <w:szCs w:val="24"/>
        </w:rPr>
        <w:t xml:space="preserve"> benefit participants, unless the participant opts-out of these paper disclosures.</w:t>
      </w:r>
      <w:r w:rsidRPr="009D08AC" w:rsidR="003134D8">
        <w:rPr>
          <w:b w:val="0"/>
          <w:szCs w:val="24"/>
        </w:rPr>
        <w:t xml:space="preserve"> </w:t>
      </w:r>
    </w:p>
    <w:p w:rsidR="00D33C4C" w:rsidRPr="009D08AC" w:rsidP="00D55011" w14:paraId="12A5646C" w14:textId="77777777">
      <w:pPr>
        <w:widowControl/>
        <w:ind w:left="720"/>
        <w:rPr>
          <w:b w:val="0"/>
          <w:bCs w:val="0"/>
          <w:iCs/>
          <w:sz w:val="24"/>
          <w:szCs w:val="24"/>
        </w:rPr>
      </w:pPr>
    </w:p>
    <w:p w:rsidR="00D33C4C" w:rsidRPr="009D08AC" w:rsidP="00D55011" w14:paraId="6E0A428C" w14:textId="6C79DF1B">
      <w:pPr>
        <w:widowControl/>
        <w:numPr>
          <w:ilvl w:val="0"/>
          <w:numId w:val="4"/>
        </w:numPr>
        <w:tabs>
          <w:tab w:val="left" w:pos="-1440"/>
        </w:tabs>
        <w:ind w:hanging="720"/>
        <w:rPr>
          <w:sz w:val="24"/>
          <w:szCs w:val="24"/>
        </w:rPr>
      </w:pPr>
      <w:r w:rsidRPr="009D08AC">
        <w:rPr>
          <w:sz w:val="24"/>
          <w:szCs w:val="24"/>
        </w:rPr>
        <w:t>Describe efforts to identify duplication. Show specifically why any similar information already available cannot be used or modified for use for the purposes described in Item 2 above.</w:t>
      </w:r>
    </w:p>
    <w:p w:rsidR="00D33C4C" w:rsidRPr="009D08AC" w:rsidP="00D55011" w14:paraId="1AA7E15C" w14:textId="77777777">
      <w:pPr>
        <w:widowControl/>
        <w:tabs>
          <w:tab w:val="left" w:pos="-1440"/>
        </w:tabs>
        <w:ind w:left="720"/>
        <w:rPr>
          <w:b w:val="0"/>
          <w:bCs w:val="0"/>
          <w:i/>
          <w:iCs/>
          <w:sz w:val="24"/>
          <w:szCs w:val="24"/>
        </w:rPr>
      </w:pPr>
    </w:p>
    <w:p w:rsidR="00D33C4C" w:rsidRPr="009D08AC" w:rsidP="00D55011" w14:paraId="357D3A7F" w14:textId="1A70EFC5">
      <w:pPr>
        <w:pStyle w:val="BodyTextIndent"/>
        <w:tabs>
          <w:tab w:val="clear" w:pos="-1440"/>
        </w:tabs>
        <w:rPr>
          <w:b w:val="0"/>
          <w:bCs w:val="0"/>
          <w:szCs w:val="24"/>
        </w:rPr>
      </w:pPr>
      <w:bookmarkStart w:id="0" w:name="OLE_LINK1"/>
      <w:r w:rsidRPr="009D08AC">
        <w:rPr>
          <w:b w:val="0"/>
          <w:bCs w:val="0"/>
          <w:szCs w:val="24"/>
        </w:rPr>
        <w:t>Under these rules, all pension and welfare plans covered under Title I of ERISA may use electronic media to satisfy disclosure and recordkeeping obligations, s</w:t>
      </w:r>
      <w:r w:rsidRPr="009D08AC" w:rsidR="00E96269">
        <w:rPr>
          <w:b w:val="0"/>
          <w:bCs w:val="0"/>
          <w:szCs w:val="24"/>
        </w:rPr>
        <w:t>ubject to specific safeguards.</w:t>
      </w:r>
      <w:r w:rsidRPr="009D08AC" w:rsidR="00BC4A97">
        <w:t xml:space="preserve"> </w:t>
      </w:r>
      <w:r w:rsidRPr="009D08AC" w:rsidR="00BC4A97">
        <w:rPr>
          <w:b w:val="0"/>
          <w:bCs w:val="0"/>
          <w:szCs w:val="24"/>
        </w:rPr>
        <w:t xml:space="preserve">ERISA establishes the </w:t>
      </w:r>
      <w:r w:rsidRPr="009D08AC" w:rsidR="00BC4A97">
        <w:rPr>
          <w:b w:val="0"/>
          <w:bCs w:val="0"/>
          <w:szCs w:val="24"/>
        </w:rPr>
        <w:t>manner in which</w:t>
      </w:r>
      <w:r w:rsidRPr="009D08AC" w:rsidR="00BC4A97">
        <w:rPr>
          <w:b w:val="0"/>
          <w:bCs w:val="0"/>
          <w:szCs w:val="24"/>
        </w:rPr>
        <w:t xml:space="preserve"> disclosures made through electronic media satisfy the statutory disclosure requirements and the standards concerning the use of electronic media for maintenance and retention of records. There are no other rules that facilitate the use of electronic media for ERISA plans. </w:t>
      </w:r>
    </w:p>
    <w:p w:rsidR="0088365F" w:rsidRPr="009D08AC" w:rsidP="00D55011" w14:paraId="2039FD32" w14:textId="77777777">
      <w:pPr>
        <w:pStyle w:val="BodyTextIndent"/>
        <w:tabs>
          <w:tab w:val="clear" w:pos="-1440"/>
        </w:tabs>
        <w:rPr>
          <w:b w:val="0"/>
          <w:bCs w:val="0"/>
          <w:szCs w:val="24"/>
        </w:rPr>
      </w:pPr>
    </w:p>
    <w:p w:rsidR="0088365F" w:rsidRPr="009D08AC" w:rsidP="00D55011" w14:paraId="6BB31F95" w14:textId="5977E685">
      <w:pPr>
        <w:pStyle w:val="BodyTextIndent"/>
        <w:tabs>
          <w:tab w:val="clear" w:pos="-1440"/>
        </w:tabs>
        <w:rPr>
          <w:b w:val="0"/>
          <w:bCs w:val="0"/>
          <w:szCs w:val="24"/>
        </w:rPr>
      </w:pPr>
      <w:r w:rsidRPr="009D08AC">
        <w:rPr>
          <w:b w:val="0"/>
          <w:szCs w:val="24"/>
        </w:rPr>
        <w:t xml:space="preserve">The framework of the </w:t>
      </w:r>
      <w:r w:rsidRPr="009D08AC" w:rsidR="00ED55A2">
        <w:rPr>
          <w:b w:val="0"/>
          <w:szCs w:val="24"/>
        </w:rPr>
        <w:t>20</w:t>
      </w:r>
      <w:r w:rsidRPr="009D08AC" w:rsidR="0068579A">
        <w:rPr>
          <w:b w:val="0"/>
          <w:szCs w:val="24"/>
        </w:rPr>
        <w:t>20</w:t>
      </w:r>
      <w:r w:rsidRPr="009D08AC" w:rsidR="00ED55A2">
        <w:rPr>
          <w:b w:val="0"/>
          <w:szCs w:val="24"/>
        </w:rPr>
        <w:t xml:space="preserve"> safe harbor </w:t>
      </w:r>
      <w:r w:rsidRPr="009D08AC">
        <w:rPr>
          <w:b w:val="0"/>
          <w:szCs w:val="24"/>
        </w:rPr>
        <w:t xml:space="preserve">is </w:t>
      </w:r>
      <w:r w:rsidRPr="009D08AC">
        <w:rPr>
          <w:b w:val="0"/>
          <w:szCs w:val="24"/>
        </w:rPr>
        <w:t>similar to</w:t>
      </w:r>
      <w:r w:rsidRPr="009D08AC">
        <w:rPr>
          <w:b w:val="0"/>
          <w:szCs w:val="24"/>
        </w:rPr>
        <w:t xml:space="preserve"> the approach</w:t>
      </w:r>
      <w:r w:rsidRPr="009D08AC" w:rsidR="00B7185B">
        <w:rPr>
          <w:b w:val="0"/>
          <w:szCs w:val="24"/>
        </w:rPr>
        <w:t>es taken by</w:t>
      </w:r>
      <w:r w:rsidRPr="009D08AC">
        <w:rPr>
          <w:b w:val="0"/>
          <w:szCs w:val="24"/>
        </w:rPr>
        <w:t xml:space="preserve"> the Securities and Exchange Commission for certain investor disclosures and </w:t>
      </w:r>
      <w:r w:rsidRPr="009D08AC" w:rsidR="00B7185B">
        <w:rPr>
          <w:b w:val="0"/>
          <w:szCs w:val="24"/>
        </w:rPr>
        <w:t>the</w:t>
      </w:r>
      <w:r w:rsidRPr="009D08AC">
        <w:rPr>
          <w:b w:val="0"/>
          <w:szCs w:val="24"/>
        </w:rPr>
        <w:t xml:space="preserve"> Internal Revenue Service rules about delivering retirement plan disclosures electronically.</w:t>
      </w:r>
    </w:p>
    <w:bookmarkEnd w:id="0"/>
    <w:p w:rsidR="00D33C4C" w:rsidRPr="009D08AC" w:rsidP="00D55011" w14:paraId="51CF8EB7" w14:textId="77777777">
      <w:pPr>
        <w:widowControl/>
        <w:tabs>
          <w:tab w:val="left" w:pos="-1440"/>
        </w:tabs>
        <w:ind w:left="720"/>
        <w:rPr>
          <w:sz w:val="24"/>
          <w:szCs w:val="24"/>
        </w:rPr>
      </w:pPr>
    </w:p>
    <w:p w:rsidR="00D33C4C" w:rsidRPr="009D08AC" w:rsidP="00D55011" w14:paraId="22A2D86D" w14:textId="77777777">
      <w:pPr>
        <w:widowControl/>
        <w:numPr>
          <w:ilvl w:val="0"/>
          <w:numId w:val="4"/>
        </w:numPr>
        <w:tabs>
          <w:tab w:val="left" w:pos="-1440"/>
        </w:tabs>
        <w:ind w:hanging="720"/>
        <w:rPr>
          <w:sz w:val="24"/>
          <w:szCs w:val="24"/>
        </w:rPr>
      </w:pPr>
      <w:r w:rsidRPr="009D08AC">
        <w:rPr>
          <w:sz w:val="24"/>
          <w:szCs w:val="24"/>
        </w:rPr>
        <w:t>If the collection of information impacts small businesses or other small entities, describe any methods used to minimize burden.</w:t>
      </w:r>
    </w:p>
    <w:p w:rsidR="00D33C4C" w:rsidRPr="009D08AC" w:rsidP="00D55011" w14:paraId="5C558E2F" w14:textId="77777777">
      <w:pPr>
        <w:widowControl/>
        <w:tabs>
          <w:tab w:val="left" w:pos="-1440"/>
        </w:tabs>
        <w:ind w:left="720"/>
        <w:rPr>
          <w:b w:val="0"/>
          <w:bCs w:val="0"/>
          <w:i/>
          <w:iCs/>
          <w:sz w:val="24"/>
          <w:szCs w:val="24"/>
        </w:rPr>
      </w:pPr>
    </w:p>
    <w:p w:rsidR="006242CD" w:rsidRPr="009D08AC" w:rsidP="00D55011" w14:paraId="7377FBC0" w14:textId="07E20A13">
      <w:pPr>
        <w:pStyle w:val="Quick1"/>
        <w:widowControl/>
        <w:numPr>
          <w:ilvl w:val="0"/>
          <w:numId w:val="0"/>
        </w:numPr>
        <w:ind w:left="720"/>
        <w:rPr>
          <w:sz w:val="24"/>
          <w:szCs w:val="24"/>
          <w:u w:val="single"/>
        </w:rPr>
      </w:pPr>
      <w:r w:rsidRPr="009D08AC">
        <w:rPr>
          <w:sz w:val="24"/>
          <w:szCs w:val="24"/>
          <w:u w:val="single"/>
        </w:rPr>
        <w:t>2002 Safe Harbor</w:t>
      </w:r>
    </w:p>
    <w:p w:rsidR="006242CD" w:rsidRPr="009D08AC" w:rsidP="00D55011" w14:paraId="2964B190" w14:textId="77777777">
      <w:pPr>
        <w:pStyle w:val="Quick1"/>
        <w:widowControl/>
        <w:numPr>
          <w:ilvl w:val="0"/>
          <w:numId w:val="0"/>
        </w:numPr>
        <w:ind w:left="720"/>
        <w:rPr>
          <w:b w:val="0"/>
          <w:bCs w:val="0"/>
          <w:sz w:val="24"/>
          <w:szCs w:val="24"/>
        </w:rPr>
      </w:pPr>
    </w:p>
    <w:p w:rsidR="00E55C50" w:rsidRPr="009D08AC" w:rsidP="00D55011" w14:paraId="2AED2D96" w14:textId="3449C142">
      <w:pPr>
        <w:pStyle w:val="Quick1"/>
        <w:widowControl/>
        <w:numPr>
          <w:ilvl w:val="0"/>
          <w:numId w:val="0"/>
        </w:numPr>
        <w:ind w:left="720"/>
        <w:rPr>
          <w:b w:val="0"/>
          <w:bCs w:val="0"/>
          <w:sz w:val="24"/>
          <w:szCs w:val="24"/>
        </w:rPr>
      </w:pPr>
      <w:r w:rsidRPr="009D08AC">
        <w:rPr>
          <w:b w:val="0"/>
          <w:bCs w:val="0"/>
          <w:sz w:val="24"/>
          <w:szCs w:val="24"/>
        </w:rPr>
        <w:t>A plan administrator that manages several plans is considered likely to develop a single consent</w:t>
      </w:r>
      <w:r w:rsidRPr="009D08AC" w:rsidR="004F22CB">
        <w:rPr>
          <w:b w:val="0"/>
          <w:bCs w:val="0"/>
          <w:sz w:val="24"/>
          <w:szCs w:val="24"/>
        </w:rPr>
        <w:t xml:space="preserve"> process</w:t>
      </w:r>
      <w:r w:rsidRPr="009D08AC" w:rsidR="00A530BD">
        <w:rPr>
          <w:b w:val="0"/>
          <w:bCs w:val="0"/>
          <w:sz w:val="24"/>
          <w:szCs w:val="24"/>
        </w:rPr>
        <w:t xml:space="preserve">, as well as the </w:t>
      </w:r>
      <w:r w:rsidRPr="009D08AC" w:rsidR="00A530BD">
        <w:rPr>
          <w:b w:val="0"/>
          <w:bCs w:val="0"/>
          <w:sz w:val="24"/>
          <w:szCs w:val="24"/>
        </w:rPr>
        <w:t>newly-required</w:t>
      </w:r>
      <w:r w:rsidRPr="009D08AC" w:rsidR="00A530BD">
        <w:rPr>
          <w:b w:val="0"/>
          <w:bCs w:val="0"/>
          <w:sz w:val="24"/>
          <w:szCs w:val="24"/>
        </w:rPr>
        <w:t xml:space="preserve"> initial notice,</w:t>
      </w:r>
      <w:r w:rsidRPr="009D08AC">
        <w:rPr>
          <w:b w:val="0"/>
          <w:bCs w:val="0"/>
          <w:sz w:val="24"/>
          <w:szCs w:val="24"/>
        </w:rPr>
        <w:t xml:space="preserve"> that will satisfy the requirements for all plans. In addition, because </w:t>
      </w:r>
      <w:r w:rsidRPr="009D08AC">
        <w:rPr>
          <w:b w:val="0"/>
          <w:bCs w:val="0"/>
          <w:sz w:val="24"/>
          <w:szCs w:val="24"/>
        </w:rPr>
        <w:t>a majority of</w:t>
      </w:r>
      <w:r w:rsidRPr="009D08AC">
        <w:rPr>
          <w:b w:val="0"/>
          <w:bCs w:val="0"/>
          <w:sz w:val="24"/>
          <w:szCs w:val="24"/>
        </w:rPr>
        <w:t xml:space="preserve"> small plans use a service provider for recordkeeping and disclosure purposes, it is likely that the service provider will develop a consent</w:t>
      </w:r>
      <w:r w:rsidRPr="009D08AC" w:rsidR="00202952">
        <w:rPr>
          <w:b w:val="0"/>
          <w:bCs w:val="0"/>
          <w:sz w:val="24"/>
          <w:szCs w:val="24"/>
        </w:rPr>
        <w:t xml:space="preserve"> </w:t>
      </w:r>
      <w:r w:rsidRPr="009D08AC" w:rsidR="00EA39F0">
        <w:rPr>
          <w:b w:val="0"/>
          <w:bCs w:val="0"/>
          <w:sz w:val="24"/>
          <w:szCs w:val="24"/>
        </w:rPr>
        <w:t>procedure</w:t>
      </w:r>
      <w:r w:rsidRPr="009D08AC" w:rsidR="00507F69">
        <w:rPr>
          <w:b w:val="0"/>
          <w:bCs w:val="0"/>
          <w:sz w:val="24"/>
          <w:szCs w:val="24"/>
        </w:rPr>
        <w:t xml:space="preserve"> and initial notice</w:t>
      </w:r>
      <w:r w:rsidRPr="009D08AC">
        <w:rPr>
          <w:b w:val="0"/>
          <w:bCs w:val="0"/>
          <w:sz w:val="24"/>
          <w:szCs w:val="24"/>
        </w:rPr>
        <w:t xml:space="preserve"> for all plan clients, thereby minimizing the cost to small plans. </w:t>
      </w:r>
      <w:r w:rsidRPr="009D08AC" w:rsidR="000B51DB">
        <w:rPr>
          <w:b w:val="0"/>
          <w:bCs w:val="0"/>
          <w:sz w:val="24"/>
          <w:szCs w:val="24"/>
        </w:rPr>
        <w:t>In 29 CFR 2520.104b-1(c)(2)(ii)(A), (B), and (C), t</w:t>
      </w:r>
      <w:r w:rsidRPr="009D08AC">
        <w:rPr>
          <w:b w:val="0"/>
          <w:bCs w:val="0"/>
          <w:sz w:val="24"/>
          <w:szCs w:val="24"/>
        </w:rPr>
        <w:t xml:space="preserve">he rule does not require any plan or other entity to make use of electronic media for </w:t>
      </w:r>
      <w:r w:rsidRPr="009D08AC">
        <w:rPr>
          <w:b w:val="0"/>
          <w:bCs w:val="0"/>
          <w:sz w:val="24"/>
          <w:szCs w:val="24"/>
        </w:rPr>
        <w:t>disclosure or recordkeeping; if the plan administrator chooses to provide electronic disclosures, obtaining consent is a one-time occurrence. Finally, much of the information</w:t>
      </w:r>
      <w:r w:rsidRPr="009D08AC" w:rsidR="00D63299">
        <w:rPr>
          <w:b w:val="0"/>
          <w:bCs w:val="0"/>
          <w:sz w:val="24"/>
          <w:szCs w:val="24"/>
        </w:rPr>
        <w:t xml:space="preserve"> required</w:t>
      </w:r>
      <w:r w:rsidRPr="009D08AC">
        <w:rPr>
          <w:b w:val="0"/>
          <w:bCs w:val="0"/>
          <w:sz w:val="24"/>
          <w:szCs w:val="24"/>
        </w:rPr>
        <w:t xml:space="preserve"> to be included as part of the consent </w:t>
      </w:r>
      <w:r w:rsidRPr="009D08AC" w:rsidR="00450BB1">
        <w:rPr>
          <w:b w:val="0"/>
          <w:bCs w:val="0"/>
          <w:sz w:val="24"/>
          <w:szCs w:val="24"/>
        </w:rPr>
        <w:t xml:space="preserve">procedure </w:t>
      </w:r>
      <w:r w:rsidRPr="009D08AC">
        <w:rPr>
          <w:b w:val="0"/>
          <w:bCs w:val="0"/>
          <w:sz w:val="24"/>
          <w:szCs w:val="24"/>
        </w:rPr>
        <w:t>is specifically outlined in the provisions of the rule. For the foregoing reasons, the Department believes that the rule will not have a significant impact on small plans.</w:t>
      </w:r>
      <w:r w:rsidRPr="009D08AC" w:rsidR="001320F8">
        <w:rPr>
          <w:b w:val="0"/>
          <w:bCs w:val="0"/>
          <w:sz w:val="24"/>
          <w:szCs w:val="24"/>
        </w:rPr>
        <w:t xml:space="preserve"> T</w:t>
      </w:r>
      <w:r w:rsidRPr="009D08AC" w:rsidR="00A076DB">
        <w:rPr>
          <w:b w:val="0"/>
          <w:bCs w:val="0"/>
          <w:sz w:val="24"/>
          <w:szCs w:val="24"/>
        </w:rPr>
        <w:t xml:space="preserve">he Department </w:t>
      </w:r>
      <w:r w:rsidRPr="009D08AC" w:rsidR="00D57E52">
        <w:rPr>
          <w:b w:val="0"/>
          <w:bCs w:val="0"/>
          <w:sz w:val="24"/>
          <w:szCs w:val="24"/>
        </w:rPr>
        <w:t xml:space="preserve">also </w:t>
      </w:r>
      <w:r w:rsidRPr="009D08AC" w:rsidR="0058463C">
        <w:rPr>
          <w:b w:val="0"/>
          <w:bCs w:val="0"/>
          <w:sz w:val="24"/>
          <w:szCs w:val="24"/>
        </w:rPr>
        <w:t>coordinated the 2002 safe harbor’s existing advance statement requirement with the requirements of the new initial notice contained in SECURE 2.0, which will reduce the burden on small businesses.</w:t>
      </w:r>
    </w:p>
    <w:p w:rsidR="00D33C4C" w:rsidRPr="009D08AC" w:rsidP="00D55011" w14:paraId="03914EA9" w14:textId="77777777">
      <w:pPr>
        <w:pStyle w:val="Quick1"/>
        <w:widowControl/>
        <w:numPr>
          <w:ilvl w:val="0"/>
          <w:numId w:val="0"/>
        </w:numPr>
        <w:ind w:left="720"/>
        <w:rPr>
          <w:b w:val="0"/>
          <w:bCs w:val="0"/>
          <w:sz w:val="24"/>
          <w:szCs w:val="24"/>
        </w:rPr>
      </w:pPr>
    </w:p>
    <w:p w:rsidR="00A211C9" w:rsidRPr="009D08AC" w:rsidP="00A211C9" w14:paraId="78836C74" w14:textId="1B50AFC7">
      <w:pPr>
        <w:spacing w:line="276" w:lineRule="auto"/>
        <w:ind w:firstLine="720"/>
        <w:rPr>
          <w:sz w:val="24"/>
          <w:szCs w:val="24"/>
          <w:u w:val="single"/>
        </w:rPr>
      </w:pPr>
      <w:r w:rsidRPr="009D08AC">
        <w:rPr>
          <w:sz w:val="24"/>
          <w:szCs w:val="24"/>
          <w:u w:val="single"/>
        </w:rPr>
        <w:t>20</w:t>
      </w:r>
      <w:r w:rsidRPr="009D08AC" w:rsidR="0068579A">
        <w:rPr>
          <w:sz w:val="24"/>
          <w:szCs w:val="24"/>
          <w:u w:val="single"/>
        </w:rPr>
        <w:t>20</w:t>
      </w:r>
      <w:r w:rsidRPr="009D08AC">
        <w:rPr>
          <w:sz w:val="24"/>
          <w:szCs w:val="24"/>
          <w:u w:val="single"/>
        </w:rPr>
        <w:t xml:space="preserve"> </w:t>
      </w:r>
      <w:r w:rsidRPr="009D08AC" w:rsidR="006242CD">
        <w:rPr>
          <w:bCs w:val="0"/>
          <w:sz w:val="24"/>
          <w:szCs w:val="24"/>
          <w:u w:val="single"/>
        </w:rPr>
        <w:t xml:space="preserve">Safe </w:t>
      </w:r>
      <w:r w:rsidRPr="009D08AC" w:rsidR="00557F33">
        <w:rPr>
          <w:bCs w:val="0"/>
          <w:sz w:val="24"/>
          <w:szCs w:val="24"/>
          <w:u w:val="single"/>
        </w:rPr>
        <w:t>H</w:t>
      </w:r>
      <w:r w:rsidRPr="009D08AC" w:rsidR="006242CD">
        <w:rPr>
          <w:bCs w:val="0"/>
          <w:sz w:val="24"/>
          <w:szCs w:val="24"/>
          <w:u w:val="single"/>
        </w:rPr>
        <w:t>arbor</w:t>
      </w:r>
    </w:p>
    <w:p w:rsidR="006333B1" w:rsidRPr="009D08AC" w:rsidP="0068579A" w14:paraId="32F8E196" w14:textId="77777777">
      <w:pPr>
        <w:spacing w:line="276" w:lineRule="auto"/>
        <w:rPr>
          <w:bCs w:val="0"/>
          <w:sz w:val="24"/>
          <w:szCs w:val="24"/>
          <w:u w:val="single"/>
        </w:rPr>
      </w:pPr>
    </w:p>
    <w:p w:rsidR="00217583" w:rsidRPr="009D08AC" w:rsidP="002D73D8" w14:paraId="65B5A44A" w14:textId="6798E5AF">
      <w:pPr>
        <w:spacing w:line="276" w:lineRule="auto"/>
        <w:ind w:left="720"/>
        <w:rPr>
          <w:b w:val="0"/>
          <w:sz w:val="24"/>
          <w:szCs w:val="24"/>
        </w:rPr>
      </w:pPr>
      <w:r w:rsidRPr="009D08AC">
        <w:rPr>
          <w:b w:val="0"/>
          <w:sz w:val="24"/>
          <w:szCs w:val="24"/>
        </w:rPr>
        <w:t xml:space="preserve">The </w:t>
      </w:r>
      <w:r w:rsidRPr="009D08AC" w:rsidR="00983C6A">
        <w:rPr>
          <w:b w:val="0"/>
          <w:sz w:val="24"/>
          <w:szCs w:val="24"/>
        </w:rPr>
        <w:t xml:space="preserve">2020 safe harbor </w:t>
      </w:r>
      <w:r w:rsidRPr="009D08AC">
        <w:rPr>
          <w:b w:val="0"/>
          <w:sz w:val="24"/>
          <w:szCs w:val="24"/>
        </w:rPr>
        <w:t>lower</w:t>
      </w:r>
      <w:r w:rsidRPr="009D08AC" w:rsidR="00983C6A">
        <w:rPr>
          <w:b w:val="0"/>
          <w:sz w:val="24"/>
          <w:szCs w:val="24"/>
        </w:rPr>
        <w:t>ed</w:t>
      </w:r>
      <w:r w:rsidRPr="009D08AC">
        <w:rPr>
          <w:b w:val="0"/>
          <w:sz w:val="24"/>
          <w:szCs w:val="24"/>
        </w:rPr>
        <w:t xml:space="preserve"> costs for small businesses and small plans by</w:t>
      </w:r>
      <w:r w:rsidRPr="009D08AC" w:rsidR="00983C6A">
        <w:rPr>
          <w:b w:val="0"/>
          <w:sz w:val="24"/>
          <w:szCs w:val="24"/>
        </w:rPr>
        <w:t xml:space="preserve"> allowing them to</w:t>
      </w:r>
      <w:r w:rsidRPr="009D08AC">
        <w:rPr>
          <w:b w:val="0"/>
          <w:sz w:val="24"/>
          <w:szCs w:val="24"/>
        </w:rPr>
        <w:t xml:space="preserve"> reduc</w:t>
      </w:r>
      <w:r w:rsidRPr="009D08AC" w:rsidR="00983C6A">
        <w:rPr>
          <w:b w:val="0"/>
          <w:sz w:val="24"/>
          <w:szCs w:val="24"/>
        </w:rPr>
        <w:t>e</w:t>
      </w:r>
      <w:r w:rsidRPr="009D08AC">
        <w:rPr>
          <w:b w:val="0"/>
          <w:sz w:val="24"/>
          <w:szCs w:val="24"/>
        </w:rPr>
        <w:t xml:space="preserve"> the costs </w:t>
      </w:r>
      <w:r w:rsidRPr="009D08AC" w:rsidR="009E0937">
        <w:rPr>
          <w:b w:val="0"/>
          <w:sz w:val="24"/>
          <w:szCs w:val="24"/>
        </w:rPr>
        <w:t>to</w:t>
      </w:r>
      <w:r w:rsidRPr="009D08AC" w:rsidR="00F56FAC">
        <w:rPr>
          <w:b w:val="0"/>
          <w:sz w:val="24"/>
          <w:szCs w:val="24"/>
        </w:rPr>
        <w:t xml:space="preserve"> </w:t>
      </w:r>
      <w:r w:rsidRPr="009D08AC">
        <w:rPr>
          <w:b w:val="0"/>
          <w:sz w:val="24"/>
          <w:szCs w:val="24"/>
        </w:rPr>
        <w:t>deliver required notices.</w:t>
      </w:r>
      <w:r w:rsidRPr="009D08AC" w:rsidR="00983C6A">
        <w:rPr>
          <w:b w:val="0"/>
          <w:sz w:val="24"/>
          <w:szCs w:val="24"/>
        </w:rPr>
        <w:t xml:space="preserve"> </w:t>
      </w:r>
    </w:p>
    <w:p w:rsidR="00AB493E" w:rsidRPr="009D08AC" w:rsidP="002D73D8" w14:paraId="0C67B4A2" w14:textId="77777777">
      <w:pPr>
        <w:spacing w:line="276" w:lineRule="auto"/>
        <w:ind w:left="720"/>
        <w:rPr>
          <w:b w:val="0"/>
          <w:sz w:val="24"/>
          <w:szCs w:val="24"/>
        </w:rPr>
      </w:pPr>
    </w:p>
    <w:p w:rsidR="00AB493E" w:rsidRPr="009D08AC" w:rsidP="002D73D8" w14:paraId="66CF9048" w14:textId="5D719C63">
      <w:pPr>
        <w:spacing w:line="276" w:lineRule="auto"/>
        <w:ind w:left="720"/>
        <w:rPr>
          <w:bCs w:val="0"/>
          <w:sz w:val="24"/>
          <w:szCs w:val="24"/>
          <w:u w:val="single"/>
        </w:rPr>
      </w:pPr>
      <w:r w:rsidRPr="009D08AC">
        <w:rPr>
          <w:bCs w:val="0"/>
          <w:sz w:val="24"/>
          <w:szCs w:val="24"/>
          <w:u w:val="single"/>
        </w:rPr>
        <w:t>SECURE 2.0</w:t>
      </w:r>
      <w:r w:rsidRPr="009D08AC" w:rsidR="00E103B1">
        <w:rPr>
          <w:bCs w:val="0"/>
          <w:sz w:val="24"/>
          <w:szCs w:val="24"/>
          <w:u w:val="single"/>
        </w:rPr>
        <w:t xml:space="preserve"> A</w:t>
      </w:r>
      <w:r w:rsidRPr="009D08AC" w:rsidR="00196095">
        <w:rPr>
          <w:bCs w:val="0"/>
          <w:sz w:val="24"/>
          <w:szCs w:val="24"/>
          <w:u w:val="single"/>
        </w:rPr>
        <w:t>ct</w:t>
      </w:r>
    </w:p>
    <w:p w:rsidR="00D57E52" w:rsidRPr="009D08AC" w:rsidP="002D73D8" w14:paraId="66C75BE2" w14:textId="68017702">
      <w:pPr>
        <w:spacing w:line="276" w:lineRule="auto"/>
        <w:ind w:left="720"/>
        <w:rPr>
          <w:b w:val="0"/>
          <w:bCs w:val="0"/>
          <w:sz w:val="24"/>
          <w:szCs w:val="24"/>
        </w:rPr>
      </w:pPr>
      <w:r w:rsidRPr="009D08AC">
        <w:rPr>
          <w:b w:val="0"/>
          <w:sz w:val="24"/>
          <w:szCs w:val="24"/>
        </w:rPr>
        <w:t xml:space="preserve">As a result of </w:t>
      </w:r>
      <w:r w:rsidRPr="009D08AC" w:rsidR="000A2849">
        <w:rPr>
          <w:b w:val="0"/>
          <w:sz w:val="24"/>
          <w:szCs w:val="24"/>
        </w:rPr>
        <w:t xml:space="preserve">the </w:t>
      </w:r>
      <w:r w:rsidRPr="009D08AC">
        <w:rPr>
          <w:b w:val="0"/>
          <w:sz w:val="24"/>
          <w:szCs w:val="24"/>
        </w:rPr>
        <w:t>Secure 2.0</w:t>
      </w:r>
      <w:r w:rsidRPr="009D08AC" w:rsidR="00C8130C">
        <w:rPr>
          <w:b w:val="0"/>
          <w:sz w:val="24"/>
          <w:szCs w:val="24"/>
        </w:rPr>
        <w:t xml:space="preserve"> </w:t>
      </w:r>
      <w:r w:rsidRPr="009D08AC" w:rsidR="000A2849">
        <w:rPr>
          <w:b w:val="0"/>
          <w:sz w:val="24"/>
          <w:szCs w:val="24"/>
        </w:rPr>
        <w:t xml:space="preserve">Act </w:t>
      </w:r>
      <w:r w:rsidRPr="009D08AC" w:rsidR="00C8130C">
        <w:rPr>
          <w:b w:val="0"/>
          <w:bCs w:val="0"/>
          <w:sz w:val="24"/>
          <w:szCs w:val="24"/>
        </w:rPr>
        <w:t>and the Department’s accompanying proposal</w:t>
      </w:r>
      <w:r w:rsidRPr="009D08AC">
        <w:rPr>
          <w:b w:val="0"/>
          <w:sz w:val="24"/>
          <w:szCs w:val="24"/>
        </w:rPr>
        <w:t xml:space="preserve">, some of these previous savings by small businesses will be lost </w:t>
      </w:r>
      <w:r w:rsidRPr="009D08AC">
        <w:rPr>
          <w:b w:val="0"/>
          <w:sz w:val="24"/>
          <w:szCs w:val="24"/>
        </w:rPr>
        <w:t>as a result of</w:t>
      </w:r>
      <w:r w:rsidRPr="009D08AC">
        <w:rPr>
          <w:b w:val="0"/>
          <w:sz w:val="24"/>
          <w:szCs w:val="24"/>
        </w:rPr>
        <w:t xml:space="preserve"> the required pension benefit statement on paper. However, </w:t>
      </w:r>
      <w:r w:rsidRPr="009D08AC">
        <w:rPr>
          <w:b w:val="0"/>
          <w:bCs w:val="0"/>
          <w:sz w:val="24"/>
          <w:szCs w:val="24"/>
        </w:rPr>
        <w:t xml:space="preserve">because </w:t>
      </w:r>
      <w:r w:rsidRPr="009D08AC">
        <w:rPr>
          <w:b w:val="0"/>
          <w:bCs w:val="0"/>
          <w:sz w:val="24"/>
          <w:szCs w:val="24"/>
        </w:rPr>
        <w:t>a majority of</w:t>
      </w:r>
      <w:r w:rsidRPr="009D08AC">
        <w:rPr>
          <w:b w:val="0"/>
          <w:bCs w:val="0"/>
          <w:sz w:val="24"/>
          <w:szCs w:val="24"/>
        </w:rPr>
        <w:t xml:space="preserve"> small plans use a service provider for recordkeeping and disclosure purposes, it is likely that the service provider will develop </w:t>
      </w:r>
      <w:r w:rsidRPr="009D08AC" w:rsidR="001A7FAA">
        <w:rPr>
          <w:b w:val="0"/>
          <w:bCs w:val="0"/>
          <w:sz w:val="24"/>
          <w:szCs w:val="24"/>
        </w:rPr>
        <w:t xml:space="preserve">the required notices </w:t>
      </w:r>
      <w:r w:rsidRPr="009D08AC">
        <w:rPr>
          <w:b w:val="0"/>
          <w:bCs w:val="0"/>
          <w:sz w:val="24"/>
          <w:szCs w:val="24"/>
        </w:rPr>
        <w:t xml:space="preserve">thereby minimizing the cost to small plans.  </w:t>
      </w:r>
    </w:p>
    <w:p w:rsidR="00D57E52" w:rsidRPr="009D08AC" w:rsidP="002D73D8" w14:paraId="046E9C01" w14:textId="77777777">
      <w:pPr>
        <w:spacing w:line="276" w:lineRule="auto"/>
        <w:ind w:left="720"/>
        <w:rPr>
          <w:b w:val="0"/>
          <w:bCs w:val="0"/>
          <w:sz w:val="24"/>
          <w:szCs w:val="24"/>
        </w:rPr>
      </w:pPr>
    </w:p>
    <w:p w:rsidR="00A211C9" w:rsidRPr="009D08AC" w:rsidP="002D73D8" w14:paraId="64E48DC8" w14:textId="3FE763A7">
      <w:pPr>
        <w:spacing w:line="276" w:lineRule="auto"/>
        <w:ind w:left="720"/>
        <w:rPr>
          <w:b w:val="0"/>
          <w:sz w:val="24"/>
          <w:szCs w:val="24"/>
        </w:rPr>
      </w:pPr>
      <w:r w:rsidRPr="009D08AC">
        <w:rPr>
          <w:b w:val="0"/>
          <w:bCs w:val="0"/>
          <w:sz w:val="24"/>
          <w:szCs w:val="24"/>
        </w:rPr>
        <w:t>The Department</w:t>
      </w:r>
      <w:r w:rsidRPr="009D08AC" w:rsidR="00C8130C">
        <w:rPr>
          <w:b w:val="0"/>
          <w:bCs w:val="0"/>
          <w:sz w:val="24"/>
          <w:szCs w:val="24"/>
        </w:rPr>
        <w:t>’s accompanying proposal</w:t>
      </w:r>
      <w:r w:rsidRPr="009D08AC" w:rsidR="00D57E52">
        <w:rPr>
          <w:b w:val="0"/>
          <w:bCs w:val="0"/>
          <w:sz w:val="24"/>
          <w:szCs w:val="24"/>
        </w:rPr>
        <w:t xml:space="preserve"> also </w:t>
      </w:r>
      <w:r w:rsidRPr="009D08AC" w:rsidR="00F13030">
        <w:rPr>
          <w:b w:val="0"/>
          <w:bCs w:val="0"/>
          <w:sz w:val="24"/>
          <w:szCs w:val="24"/>
        </w:rPr>
        <w:t xml:space="preserve">allowed the contact </w:t>
      </w:r>
      <w:r w:rsidRPr="009D08AC" w:rsidR="009B28EA">
        <w:rPr>
          <w:b w:val="0"/>
          <w:bCs w:val="0"/>
          <w:sz w:val="24"/>
          <w:szCs w:val="24"/>
        </w:rPr>
        <w:t>information requirement in SECURE 2.0 to list</w:t>
      </w:r>
      <w:r w:rsidRPr="009D08AC" w:rsidR="00DA3177">
        <w:rPr>
          <w:b w:val="0"/>
          <w:bCs w:val="0"/>
          <w:sz w:val="24"/>
          <w:szCs w:val="24"/>
        </w:rPr>
        <w:t xml:space="preserve"> the contact information for the</w:t>
      </w:r>
      <w:r w:rsidRPr="009D08AC" w:rsidR="00E44674">
        <w:rPr>
          <w:b w:val="0"/>
          <w:bCs w:val="0"/>
          <w:sz w:val="24"/>
          <w:szCs w:val="24"/>
        </w:rPr>
        <w:t xml:space="preserve"> plan sponsor, plan administrator, or other designated representative of the plan, rather than simply the plan sponsor. Since many </w:t>
      </w:r>
      <w:r w:rsidRPr="009D08AC" w:rsidR="005932F5">
        <w:rPr>
          <w:b w:val="0"/>
          <w:bCs w:val="0"/>
          <w:sz w:val="24"/>
          <w:szCs w:val="24"/>
        </w:rPr>
        <w:t>small plans rely on third-party administrators</w:t>
      </w:r>
      <w:r w:rsidRPr="009D08AC" w:rsidR="00D57E52">
        <w:rPr>
          <w:b w:val="0"/>
          <w:bCs w:val="0"/>
          <w:sz w:val="24"/>
          <w:szCs w:val="24"/>
        </w:rPr>
        <w:t xml:space="preserve">, this will reduce the burden on small plans that would be caused </w:t>
      </w:r>
      <w:r w:rsidRPr="009D08AC" w:rsidR="00C8130C">
        <w:rPr>
          <w:b w:val="0"/>
          <w:bCs w:val="0"/>
          <w:sz w:val="24"/>
          <w:szCs w:val="24"/>
        </w:rPr>
        <w:t>by</w:t>
      </w:r>
      <w:r w:rsidRPr="009D08AC" w:rsidR="00D57E52">
        <w:rPr>
          <w:b w:val="0"/>
          <w:bCs w:val="0"/>
          <w:sz w:val="24"/>
          <w:szCs w:val="24"/>
        </w:rPr>
        <w:t xml:space="preserve"> having to re-route </w:t>
      </w:r>
      <w:r w:rsidRPr="009D08AC" w:rsidR="00B52CD1">
        <w:rPr>
          <w:b w:val="0"/>
          <w:bCs w:val="0"/>
          <w:sz w:val="24"/>
          <w:szCs w:val="24"/>
        </w:rPr>
        <w:t>participants</w:t>
      </w:r>
      <w:r w:rsidRPr="009D08AC" w:rsidR="00D57E52">
        <w:rPr>
          <w:b w:val="0"/>
          <w:bCs w:val="0"/>
          <w:sz w:val="24"/>
          <w:szCs w:val="24"/>
        </w:rPr>
        <w:t xml:space="preserve"> to the appropriate party.</w:t>
      </w:r>
    </w:p>
    <w:p w:rsidR="00A211C9" w:rsidRPr="009D08AC" w:rsidP="00A211C9" w14:paraId="2F20245F" w14:textId="77777777">
      <w:pPr>
        <w:spacing w:line="276" w:lineRule="auto"/>
        <w:ind w:firstLine="720"/>
        <w:rPr>
          <w:sz w:val="24"/>
          <w:szCs w:val="24"/>
        </w:rPr>
      </w:pPr>
    </w:p>
    <w:p w:rsidR="00D33C4C" w:rsidRPr="009D08AC" w:rsidP="00D55011" w14:paraId="7F202DDE" w14:textId="77777777">
      <w:pPr>
        <w:widowControl/>
        <w:tabs>
          <w:tab w:val="left" w:pos="-1440"/>
        </w:tabs>
        <w:ind w:left="720" w:hanging="720"/>
        <w:rPr>
          <w:sz w:val="24"/>
          <w:szCs w:val="24"/>
        </w:rPr>
      </w:pPr>
      <w:r w:rsidRPr="009D08AC">
        <w:rPr>
          <w:sz w:val="24"/>
          <w:szCs w:val="24"/>
        </w:rPr>
        <w:t>6.</w:t>
      </w:r>
      <w:r w:rsidRPr="009D08AC">
        <w:rPr>
          <w:sz w:val="24"/>
          <w:szCs w:val="24"/>
        </w:rPr>
        <w:tab/>
        <w:t xml:space="preserve">Describe the </w:t>
      </w:r>
      <w:r w:rsidRPr="009D08AC">
        <w:rPr>
          <w:sz w:val="24"/>
          <w:szCs w:val="24"/>
        </w:rPr>
        <w:t>consequence</w:t>
      </w:r>
      <w:r w:rsidRPr="009D08AC">
        <w:rPr>
          <w:sz w:val="24"/>
          <w:szCs w:val="24"/>
        </w:rPr>
        <w:t xml:space="preserve"> </w:t>
      </w:r>
      <w:r w:rsidRPr="009D08AC">
        <w:rPr>
          <w:sz w:val="24"/>
          <w:szCs w:val="24"/>
        </w:rPr>
        <w:t>to</w:t>
      </w:r>
      <w:r w:rsidRPr="009D08AC">
        <w:rPr>
          <w:sz w:val="24"/>
          <w:szCs w:val="24"/>
        </w:rPr>
        <w:t xml:space="preserve"> Federal program or policy activities if the collection is not conducted or is conducted less frequently, as well as any technical or legal obstacles to reducing burden.</w:t>
      </w:r>
    </w:p>
    <w:p w:rsidR="00D33C4C" w:rsidRPr="009D08AC" w:rsidP="00D55011" w14:paraId="108CAA4B" w14:textId="77777777">
      <w:pPr>
        <w:widowControl/>
        <w:ind w:left="720"/>
        <w:rPr>
          <w:b w:val="0"/>
          <w:bCs w:val="0"/>
          <w:sz w:val="24"/>
          <w:szCs w:val="24"/>
        </w:rPr>
      </w:pPr>
    </w:p>
    <w:p w:rsidR="00B904DD" w:rsidRPr="009D08AC" w:rsidP="00D55011" w14:paraId="3CEBBE3C" w14:textId="45517CF5">
      <w:pPr>
        <w:widowControl/>
        <w:ind w:left="720"/>
        <w:rPr>
          <w:sz w:val="24"/>
          <w:szCs w:val="24"/>
          <w:u w:val="single"/>
        </w:rPr>
      </w:pPr>
      <w:r w:rsidRPr="009D08AC">
        <w:rPr>
          <w:sz w:val="24"/>
          <w:szCs w:val="24"/>
          <w:u w:val="single"/>
        </w:rPr>
        <w:t>2002 Safe Harbor</w:t>
      </w:r>
    </w:p>
    <w:p w:rsidR="00B904DD" w:rsidRPr="009D08AC" w:rsidP="00D55011" w14:paraId="087297D0" w14:textId="77777777">
      <w:pPr>
        <w:widowControl/>
        <w:ind w:left="720"/>
        <w:rPr>
          <w:b w:val="0"/>
          <w:bCs w:val="0"/>
          <w:sz w:val="24"/>
          <w:szCs w:val="24"/>
        </w:rPr>
      </w:pPr>
    </w:p>
    <w:p w:rsidR="00D33C4C" w:rsidRPr="009D08AC" w:rsidP="00D55011" w14:paraId="7F6DB078" w14:textId="6BED4E0F">
      <w:pPr>
        <w:widowControl/>
        <w:ind w:left="720"/>
        <w:rPr>
          <w:b w:val="0"/>
          <w:bCs w:val="0"/>
          <w:sz w:val="24"/>
          <w:szCs w:val="24"/>
        </w:rPr>
      </w:pPr>
      <w:r w:rsidRPr="009D08AC">
        <w:rPr>
          <w:b w:val="0"/>
          <w:bCs w:val="0"/>
          <w:sz w:val="24"/>
          <w:szCs w:val="24"/>
        </w:rPr>
        <w:t>The purpose of the consent</w:t>
      </w:r>
      <w:r w:rsidRPr="009D08AC" w:rsidR="00844178">
        <w:rPr>
          <w:b w:val="0"/>
          <w:bCs w:val="0"/>
          <w:sz w:val="24"/>
          <w:szCs w:val="24"/>
        </w:rPr>
        <w:t xml:space="preserve"> </w:t>
      </w:r>
      <w:r w:rsidRPr="009D08AC" w:rsidR="00450BB1">
        <w:rPr>
          <w:b w:val="0"/>
          <w:bCs w:val="0"/>
          <w:sz w:val="24"/>
          <w:szCs w:val="24"/>
        </w:rPr>
        <w:t>procedure</w:t>
      </w:r>
      <w:r w:rsidRPr="009D08AC" w:rsidR="00844178">
        <w:rPr>
          <w:b w:val="0"/>
          <w:bCs w:val="0"/>
          <w:sz w:val="24"/>
          <w:szCs w:val="24"/>
        </w:rPr>
        <w:t xml:space="preserve"> and initial notice</w:t>
      </w:r>
      <w:r w:rsidRPr="009D08AC">
        <w:rPr>
          <w:b w:val="0"/>
          <w:bCs w:val="0"/>
          <w:sz w:val="24"/>
          <w:szCs w:val="24"/>
        </w:rPr>
        <w:t xml:space="preserve"> is to ensure that participants and beneficiaries have agreed to receive disclosures about their employee benefit plan(s) by electronic means and, if the information is to be disseminated outside the workplace, that they have the necessary hardware and software for receiving the disclosures. The general purpose is to ensure that electronic dissemination is likely to result in actual receipt, as required by ERISA. Offering electronic disclosure methods, and acceptance by </w:t>
      </w:r>
      <w:r w:rsidRPr="009D08AC">
        <w:rPr>
          <w:b w:val="0"/>
          <w:bCs w:val="0"/>
          <w:sz w:val="24"/>
          <w:szCs w:val="24"/>
        </w:rPr>
        <w:t>participants and beneficiaries, are entirely voluntary, and consent generally needs to be obtained once unless specifically enumerated changes occur subsequently.</w:t>
      </w:r>
    </w:p>
    <w:p w:rsidR="00A211C9" w:rsidRPr="009D08AC" w:rsidP="00D55011" w14:paraId="2E17F8C3" w14:textId="77777777">
      <w:pPr>
        <w:widowControl/>
        <w:ind w:left="720"/>
        <w:rPr>
          <w:b w:val="0"/>
          <w:bCs w:val="0"/>
          <w:sz w:val="24"/>
          <w:szCs w:val="24"/>
        </w:rPr>
      </w:pPr>
    </w:p>
    <w:p w:rsidR="00A211C9" w:rsidRPr="009D08AC" w:rsidP="00D55011" w14:paraId="68AF0C68" w14:textId="506FC9F5">
      <w:pPr>
        <w:widowControl/>
        <w:ind w:left="720"/>
        <w:rPr>
          <w:sz w:val="24"/>
          <w:szCs w:val="24"/>
          <w:u w:val="single"/>
        </w:rPr>
      </w:pPr>
      <w:r w:rsidRPr="009D08AC">
        <w:rPr>
          <w:sz w:val="24"/>
          <w:szCs w:val="24"/>
          <w:u w:val="single"/>
        </w:rPr>
        <w:t>20</w:t>
      </w:r>
      <w:r w:rsidRPr="009D08AC" w:rsidR="0068579A">
        <w:rPr>
          <w:sz w:val="24"/>
          <w:szCs w:val="24"/>
          <w:u w:val="single"/>
        </w:rPr>
        <w:t>20</w:t>
      </w:r>
      <w:r w:rsidRPr="009D08AC">
        <w:rPr>
          <w:sz w:val="24"/>
          <w:szCs w:val="24"/>
          <w:u w:val="single"/>
        </w:rPr>
        <w:t xml:space="preserve"> </w:t>
      </w:r>
      <w:r w:rsidRPr="009D08AC" w:rsidR="00202D0C">
        <w:rPr>
          <w:sz w:val="24"/>
          <w:szCs w:val="24"/>
          <w:u w:val="single"/>
        </w:rPr>
        <w:t>Safe Harbor</w:t>
      </w:r>
    </w:p>
    <w:p w:rsidR="006B024B" w:rsidRPr="009D08AC" w:rsidP="00D55011" w14:paraId="07BB101A" w14:textId="77777777">
      <w:pPr>
        <w:widowControl/>
        <w:ind w:left="720"/>
        <w:rPr>
          <w:sz w:val="24"/>
          <w:szCs w:val="24"/>
          <w:u w:val="single"/>
        </w:rPr>
      </w:pPr>
    </w:p>
    <w:p w:rsidR="00E4440A" w:rsidRPr="009D08AC" w:rsidP="00D55011" w14:paraId="1E7BDB22" w14:textId="510C8637">
      <w:pPr>
        <w:widowControl/>
        <w:ind w:left="720"/>
        <w:rPr>
          <w:b w:val="0"/>
          <w:bCs w:val="0"/>
          <w:sz w:val="24"/>
          <w:szCs w:val="24"/>
        </w:rPr>
      </w:pPr>
      <w:r w:rsidRPr="009D08AC">
        <w:rPr>
          <w:b w:val="0"/>
          <w:bCs w:val="0"/>
          <w:sz w:val="24"/>
          <w:szCs w:val="24"/>
        </w:rPr>
        <w:t xml:space="preserve">The </w:t>
      </w:r>
      <w:r w:rsidRPr="009D08AC" w:rsidR="00AD5975">
        <w:rPr>
          <w:b w:val="0"/>
          <w:bCs w:val="0"/>
          <w:sz w:val="24"/>
          <w:szCs w:val="24"/>
        </w:rPr>
        <w:t xml:space="preserve">2020 Safe Harbor </w:t>
      </w:r>
      <w:r w:rsidRPr="009D08AC">
        <w:rPr>
          <w:b w:val="0"/>
          <w:bCs w:val="0"/>
          <w:sz w:val="24"/>
          <w:szCs w:val="24"/>
        </w:rPr>
        <w:t xml:space="preserve">removes legal obstacles to electronic disclosure allowing pension plans to provide disclosures on a website after notifying </w:t>
      </w:r>
      <w:r w:rsidRPr="009D08AC" w:rsidR="009E0937">
        <w:rPr>
          <w:b w:val="0"/>
          <w:bCs w:val="0"/>
          <w:sz w:val="24"/>
          <w:szCs w:val="24"/>
        </w:rPr>
        <w:t xml:space="preserve">covered individuals </w:t>
      </w:r>
      <w:r w:rsidRPr="009D08AC">
        <w:rPr>
          <w:b w:val="0"/>
          <w:bCs w:val="0"/>
          <w:sz w:val="24"/>
          <w:szCs w:val="24"/>
        </w:rPr>
        <w:t xml:space="preserve">of the availability of the disclosure </w:t>
      </w:r>
      <w:r w:rsidRPr="009D08AC" w:rsidR="009E0937">
        <w:rPr>
          <w:b w:val="0"/>
          <w:bCs w:val="0"/>
          <w:sz w:val="24"/>
          <w:szCs w:val="24"/>
        </w:rPr>
        <w:t xml:space="preserve">and providing them with the opportunity </w:t>
      </w:r>
      <w:r w:rsidRPr="009D08AC">
        <w:rPr>
          <w:b w:val="0"/>
          <w:bCs w:val="0"/>
          <w:sz w:val="24"/>
          <w:szCs w:val="24"/>
        </w:rPr>
        <w:t xml:space="preserve">to request paper disclosures. </w:t>
      </w:r>
      <w:r w:rsidRPr="009D08AC" w:rsidR="00AD5975">
        <w:rPr>
          <w:b w:val="0"/>
          <w:bCs w:val="0"/>
          <w:sz w:val="24"/>
          <w:szCs w:val="24"/>
        </w:rPr>
        <w:t xml:space="preserve">The </w:t>
      </w:r>
      <w:r w:rsidRPr="009D08AC" w:rsidR="008B4C0F">
        <w:rPr>
          <w:b w:val="0"/>
          <w:bCs w:val="0"/>
          <w:sz w:val="24"/>
          <w:szCs w:val="24"/>
        </w:rPr>
        <w:t xml:space="preserve">proposal conforms the 2020 Safe Harbor </w:t>
      </w:r>
      <w:r w:rsidRPr="009D08AC" w:rsidR="00DC38BF">
        <w:rPr>
          <w:b w:val="0"/>
          <w:bCs w:val="0"/>
          <w:sz w:val="24"/>
          <w:szCs w:val="24"/>
        </w:rPr>
        <w:t xml:space="preserve">to </w:t>
      </w:r>
      <w:r w:rsidRPr="009D08AC" w:rsidR="00E47733">
        <w:rPr>
          <w:b w:val="0"/>
          <w:bCs w:val="0"/>
          <w:sz w:val="24"/>
          <w:szCs w:val="24"/>
        </w:rPr>
        <w:t xml:space="preserve">changes implemented </w:t>
      </w:r>
      <w:r w:rsidRPr="009D08AC" w:rsidR="006E1E59">
        <w:rPr>
          <w:b w:val="0"/>
          <w:bCs w:val="0"/>
          <w:sz w:val="24"/>
          <w:szCs w:val="24"/>
        </w:rPr>
        <w:t xml:space="preserve">to ERISA in </w:t>
      </w:r>
      <w:r w:rsidRPr="009D08AC" w:rsidR="00B13A8C">
        <w:rPr>
          <w:b w:val="0"/>
          <w:bCs w:val="0"/>
          <w:sz w:val="24"/>
          <w:szCs w:val="24"/>
        </w:rPr>
        <w:t xml:space="preserve">the </w:t>
      </w:r>
      <w:r w:rsidRPr="009D08AC" w:rsidR="006E1E59">
        <w:rPr>
          <w:b w:val="0"/>
          <w:bCs w:val="0"/>
          <w:sz w:val="24"/>
          <w:szCs w:val="24"/>
        </w:rPr>
        <w:t>SECURE 2.0</w:t>
      </w:r>
      <w:r w:rsidRPr="009D08AC" w:rsidR="00B13A8C">
        <w:rPr>
          <w:b w:val="0"/>
          <w:bCs w:val="0"/>
          <w:sz w:val="24"/>
          <w:szCs w:val="24"/>
        </w:rPr>
        <w:t xml:space="preserve"> Act.</w:t>
      </w:r>
      <w:r w:rsidRPr="009D08AC" w:rsidR="00DA5B9E">
        <w:rPr>
          <w:b w:val="0"/>
          <w:bCs w:val="0"/>
          <w:sz w:val="24"/>
          <w:szCs w:val="24"/>
        </w:rPr>
        <w:t xml:space="preserve"> </w:t>
      </w:r>
    </w:p>
    <w:p w:rsidR="00D33C4C" w:rsidRPr="009D08AC" w:rsidP="006B024B" w14:paraId="5BEC6F14" w14:textId="77777777">
      <w:pPr>
        <w:widowControl/>
        <w:rPr>
          <w:sz w:val="24"/>
          <w:szCs w:val="24"/>
        </w:rPr>
      </w:pPr>
    </w:p>
    <w:p w:rsidR="00D33C4C" w:rsidRPr="009D08AC" w:rsidP="00D55011" w14:paraId="186E47AE" w14:textId="77777777">
      <w:pPr>
        <w:widowControl/>
        <w:tabs>
          <w:tab w:val="left" w:pos="-1440"/>
        </w:tabs>
        <w:ind w:left="720" w:hanging="720"/>
        <w:rPr>
          <w:sz w:val="24"/>
          <w:szCs w:val="24"/>
        </w:rPr>
      </w:pPr>
      <w:r w:rsidRPr="009D08AC">
        <w:rPr>
          <w:sz w:val="24"/>
          <w:szCs w:val="24"/>
        </w:rPr>
        <w:t>7.</w:t>
      </w:r>
      <w:r w:rsidRPr="009D08AC">
        <w:rPr>
          <w:sz w:val="24"/>
          <w:szCs w:val="24"/>
        </w:rPr>
        <w:tab/>
        <w:t>Explain any special circumstances that would cause an information collection to be conducted in a manner:</w:t>
      </w:r>
    </w:p>
    <w:p w:rsidR="00D33C4C" w:rsidRPr="009D08AC" w:rsidP="00D55011" w14:paraId="59C0A9E3" w14:textId="77777777">
      <w:pPr>
        <w:widowControl/>
        <w:numPr>
          <w:ilvl w:val="0"/>
          <w:numId w:val="5"/>
        </w:numPr>
        <w:tabs>
          <w:tab w:val="left" w:pos="-1440"/>
        </w:tabs>
        <w:ind w:hanging="720"/>
        <w:rPr>
          <w:sz w:val="24"/>
          <w:szCs w:val="24"/>
        </w:rPr>
      </w:pPr>
      <w:r w:rsidRPr="009D08AC">
        <w:rPr>
          <w:sz w:val="24"/>
          <w:szCs w:val="24"/>
        </w:rPr>
        <w:t xml:space="preserve">requiring respondents to report information to the agency more often than </w:t>
      </w:r>
      <w:r w:rsidRPr="009D08AC">
        <w:rPr>
          <w:sz w:val="24"/>
          <w:szCs w:val="24"/>
        </w:rPr>
        <w:t>quarterly;</w:t>
      </w:r>
    </w:p>
    <w:p w:rsidR="00D33C4C" w:rsidRPr="009D08AC" w:rsidP="00D55011" w14:paraId="4F4254D6" w14:textId="77777777">
      <w:pPr>
        <w:widowControl/>
        <w:numPr>
          <w:ilvl w:val="0"/>
          <w:numId w:val="5"/>
        </w:numPr>
        <w:tabs>
          <w:tab w:val="left" w:pos="-1440"/>
        </w:tabs>
        <w:ind w:hanging="720"/>
        <w:rPr>
          <w:sz w:val="24"/>
          <w:szCs w:val="24"/>
        </w:rPr>
      </w:pPr>
      <w:r w:rsidRPr="009D08AC">
        <w:rPr>
          <w:sz w:val="24"/>
          <w:szCs w:val="24"/>
        </w:rPr>
        <w:t xml:space="preserve">requiring respondents to prepare a written response to a collection of information in fewer than 30 days after receipt of </w:t>
      </w:r>
      <w:r w:rsidRPr="009D08AC">
        <w:rPr>
          <w:sz w:val="24"/>
          <w:szCs w:val="24"/>
        </w:rPr>
        <w:t>it;</w:t>
      </w:r>
    </w:p>
    <w:p w:rsidR="00D33C4C" w:rsidRPr="009D08AC" w:rsidP="00D55011" w14:paraId="3EBD7ABF" w14:textId="77777777">
      <w:pPr>
        <w:widowControl/>
        <w:numPr>
          <w:ilvl w:val="0"/>
          <w:numId w:val="5"/>
        </w:numPr>
        <w:tabs>
          <w:tab w:val="left" w:pos="-1440"/>
        </w:tabs>
        <w:ind w:hanging="720"/>
        <w:rPr>
          <w:sz w:val="24"/>
          <w:szCs w:val="24"/>
        </w:rPr>
      </w:pPr>
      <w:r w:rsidRPr="009D08AC">
        <w:rPr>
          <w:sz w:val="24"/>
          <w:szCs w:val="24"/>
        </w:rPr>
        <w:t xml:space="preserve">requiring respondents to submit more than an original and two copies of any </w:t>
      </w:r>
      <w:r w:rsidRPr="009D08AC">
        <w:rPr>
          <w:sz w:val="24"/>
          <w:szCs w:val="24"/>
        </w:rPr>
        <w:t>document;</w:t>
      </w:r>
    </w:p>
    <w:p w:rsidR="00D33C4C" w:rsidRPr="009D08AC" w:rsidP="00D55011" w14:paraId="061AC589" w14:textId="77777777">
      <w:pPr>
        <w:widowControl/>
        <w:numPr>
          <w:ilvl w:val="0"/>
          <w:numId w:val="5"/>
        </w:numPr>
        <w:tabs>
          <w:tab w:val="left" w:pos="-1440"/>
        </w:tabs>
        <w:ind w:hanging="720"/>
        <w:rPr>
          <w:sz w:val="24"/>
          <w:szCs w:val="24"/>
        </w:rPr>
      </w:pPr>
      <w:r w:rsidRPr="009D08AC">
        <w:rPr>
          <w:sz w:val="24"/>
          <w:szCs w:val="24"/>
        </w:rPr>
        <w:t xml:space="preserve">requiring respondents to retain records, other than health, medical, government contract, grant-in-aid, or tax records for more than three </w:t>
      </w:r>
      <w:r w:rsidRPr="009D08AC">
        <w:rPr>
          <w:sz w:val="24"/>
          <w:szCs w:val="24"/>
        </w:rPr>
        <w:t>years;</w:t>
      </w:r>
    </w:p>
    <w:p w:rsidR="00D33C4C" w:rsidRPr="009D08AC" w:rsidP="00D55011" w14:paraId="4C18CB92" w14:textId="77777777">
      <w:pPr>
        <w:widowControl/>
        <w:numPr>
          <w:ilvl w:val="0"/>
          <w:numId w:val="5"/>
        </w:numPr>
        <w:tabs>
          <w:tab w:val="left" w:pos="-1440"/>
        </w:tabs>
        <w:ind w:hanging="720"/>
        <w:rPr>
          <w:sz w:val="24"/>
          <w:szCs w:val="24"/>
        </w:rPr>
      </w:pPr>
      <w:r w:rsidRPr="009D08AC">
        <w:rPr>
          <w:sz w:val="24"/>
          <w:szCs w:val="24"/>
        </w:rPr>
        <w:t xml:space="preserve">in connection with a statistical survey, that is not designed to produce valid and reliable results that can be generalized to the universe of </w:t>
      </w:r>
      <w:r w:rsidRPr="009D08AC">
        <w:rPr>
          <w:sz w:val="24"/>
          <w:szCs w:val="24"/>
        </w:rPr>
        <w:t>study;</w:t>
      </w:r>
    </w:p>
    <w:p w:rsidR="00D33C4C" w:rsidRPr="009D08AC" w:rsidP="00D55011" w14:paraId="6E467FB8" w14:textId="77777777">
      <w:pPr>
        <w:widowControl/>
        <w:numPr>
          <w:ilvl w:val="0"/>
          <w:numId w:val="5"/>
        </w:numPr>
        <w:tabs>
          <w:tab w:val="left" w:pos="-1440"/>
        </w:tabs>
        <w:ind w:hanging="720"/>
        <w:rPr>
          <w:sz w:val="24"/>
          <w:szCs w:val="24"/>
        </w:rPr>
      </w:pPr>
      <w:r w:rsidRPr="009D08AC">
        <w:rPr>
          <w:sz w:val="24"/>
          <w:szCs w:val="24"/>
        </w:rPr>
        <w:t xml:space="preserve">requiring the use of a statistical data classification that has not been reviewed and approved by </w:t>
      </w:r>
      <w:r w:rsidRPr="009D08AC">
        <w:rPr>
          <w:sz w:val="24"/>
          <w:szCs w:val="24"/>
        </w:rPr>
        <w:t>OMB;</w:t>
      </w:r>
    </w:p>
    <w:p w:rsidR="00D33C4C" w:rsidRPr="009D08AC" w:rsidP="00D55011" w14:paraId="219EB453" w14:textId="77777777">
      <w:pPr>
        <w:widowControl/>
        <w:numPr>
          <w:ilvl w:val="0"/>
          <w:numId w:val="5"/>
        </w:numPr>
        <w:tabs>
          <w:tab w:val="left" w:pos="-1440"/>
        </w:tabs>
        <w:ind w:hanging="720"/>
        <w:rPr>
          <w:sz w:val="24"/>
          <w:szCs w:val="24"/>
        </w:rPr>
      </w:pPr>
      <w:r w:rsidRPr="009D08AC">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33C4C" w:rsidRPr="009D08AC" w:rsidP="00D55011" w14:paraId="60789F01" w14:textId="77777777">
      <w:pPr>
        <w:widowControl/>
        <w:numPr>
          <w:ilvl w:val="0"/>
          <w:numId w:val="5"/>
        </w:numPr>
        <w:tabs>
          <w:tab w:val="left" w:pos="-1440"/>
        </w:tabs>
        <w:ind w:hanging="720"/>
        <w:rPr>
          <w:sz w:val="24"/>
          <w:szCs w:val="24"/>
        </w:rPr>
      </w:pPr>
      <w:r w:rsidRPr="009D08AC">
        <w:rPr>
          <w:sz w:val="24"/>
          <w:szCs w:val="24"/>
        </w:rPr>
        <w:t xml:space="preserve">requiring respondents to submit proprietary trade </w:t>
      </w:r>
      <w:r w:rsidRPr="009D08AC">
        <w:rPr>
          <w:sz w:val="24"/>
          <w:szCs w:val="24"/>
        </w:rPr>
        <w:t>secret</w:t>
      </w:r>
      <w:r w:rsidRPr="009D08AC">
        <w:rPr>
          <w:sz w:val="24"/>
          <w:szCs w:val="24"/>
        </w:rPr>
        <w:t>, or other confidential information unless the agency can demonstrate that it has instituted procedures to protect the information's confidentiality to the extent permitted by law.</w:t>
      </w:r>
    </w:p>
    <w:p w:rsidR="00D33C4C" w:rsidRPr="009D08AC" w:rsidP="00D55011" w14:paraId="0E78D4D0" w14:textId="77777777">
      <w:pPr>
        <w:widowControl/>
        <w:tabs>
          <w:tab w:val="left" w:pos="-1440"/>
        </w:tabs>
        <w:ind w:left="720"/>
        <w:rPr>
          <w:b w:val="0"/>
          <w:bCs w:val="0"/>
          <w:i/>
          <w:iCs/>
          <w:sz w:val="24"/>
          <w:szCs w:val="24"/>
        </w:rPr>
      </w:pPr>
    </w:p>
    <w:p w:rsidR="00D33C4C" w:rsidRPr="009D08AC" w:rsidP="00D55011" w14:paraId="4C88F52C" w14:textId="707E57DE">
      <w:pPr>
        <w:pStyle w:val="BodyTextIndent2"/>
        <w:widowControl/>
        <w:ind w:left="720" w:firstLine="0"/>
        <w:rPr>
          <w:b w:val="0"/>
          <w:bCs w:val="0"/>
          <w:szCs w:val="24"/>
        </w:rPr>
      </w:pPr>
      <w:r w:rsidRPr="009D08AC">
        <w:rPr>
          <w:b w:val="0"/>
          <w:bCs w:val="0"/>
          <w:szCs w:val="24"/>
        </w:rPr>
        <w:t>None</w:t>
      </w:r>
      <w:r w:rsidRPr="009D08AC" w:rsidR="00672E93">
        <w:rPr>
          <w:b w:val="0"/>
          <w:bCs w:val="0"/>
          <w:szCs w:val="24"/>
        </w:rPr>
        <w:t xml:space="preserve"> of the specified special circumstances apply</w:t>
      </w:r>
      <w:r w:rsidRPr="009D08AC">
        <w:rPr>
          <w:b w:val="0"/>
          <w:bCs w:val="0"/>
          <w:szCs w:val="24"/>
        </w:rPr>
        <w:t>.</w:t>
      </w:r>
    </w:p>
    <w:p w:rsidR="00D33C4C" w:rsidRPr="009D08AC" w:rsidP="00D55011" w14:paraId="3D326902" w14:textId="77777777">
      <w:pPr>
        <w:widowControl/>
        <w:tabs>
          <w:tab w:val="left" w:pos="-1440"/>
        </w:tabs>
        <w:ind w:left="720"/>
        <w:rPr>
          <w:b w:val="0"/>
          <w:bCs w:val="0"/>
          <w:sz w:val="24"/>
          <w:szCs w:val="24"/>
        </w:rPr>
      </w:pPr>
    </w:p>
    <w:p w:rsidR="00D33C4C" w:rsidRPr="009D08AC" w:rsidP="00D55011" w14:paraId="51F34B44" w14:textId="7086E980">
      <w:pPr>
        <w:widowControl/>
        <w:tabs>
          <w:tab w:val="left" w:pos="-1440"/>
        </w:tabs>
        <w:ind w:left="720" w:hanging="720"/>
        <w:rPr>
          <w:sz w:val="24"/>
          <w:szCs w:val="24"/>
        </w:rPr>
      </w:pPr>
      <w:r w:rsidRPr="009D08AC">
        <w:rPr>
          <w:sz w:val="24"/>
          <w:szCs w:val="24"/>
        </w:rPr>
        <w:t>8.</w:t>
      </w:r>
      <w:r w:rsidRPr="009D08AC">
        <w:rPr>
          <w:sz w:val="24"/>
          <w:szCs w:val="24"/>
        </w:rPr>
        <w:tab/>
        <w:t xml:space="preserve">If applicable, provide a copy and identify the date and page number of </w:t>
      </w:r>
      <w:r w:rsidRPr="009D08AC">
        <w:rPr>
          <w:sz w:val="24"/>
          <w:szCs w:val="24"/>
        </w:rPr>
        <w:t>publication</w:t>
      </w:r>
      <w:r w:rsidRPr="009D08AC">
        <w:rPr>
          <w:sz w:val="24"/>
          <w:szCs w:val="24"/>
        </w:rPr>
        <w:t xml:space="preserve"> in the Federal Register of the agency's notice, required by 5 CFR 1320.8(d), soliciting comments on the information collection prior to submission to OMB. Summarize public comments received in response to that notice and describe </w:t>
      </w:r>
      <w:r w:rsidRPr="009D08AC">
        <w:rPr>
          <w:sz w:val="24"/>
          <w:szCs w:val="24"/>
        </w:rPr>
        <w:t>actions taken by the agency in response to these comments. Specifically address comments received on cost and hour burden.</w:t>
      </w:r>
    </w:p>
    <w:p w:rsidR="00D33C4C" w:rsidRPr="009D08AC" w:rsidP="00D55011" w14:paraId="7D9B4BDD" w14:textId="77777777">
      <w:pPr>
        <w:widowControl/>
        <w:ind w:left="720"/>
        <w:rPr>
          <w:sz w:val="24"/>
          <w:szCs w:val="24"/>
        </w:rPr>
      </w:pPr>
    </w:p>
    <w:p w:rsidR="00D33C4C" w:rsidRPr="009D08AC" w:rsidP="00D55011" w14:paraId="49BA4729" w14:textId="77777777">
      <w:pPr>
        <w:widowControl/>
        <w:ind w:left="720"/>
        <w:rPr>
          <w:sz w:val="24"/>
          <w:szCs w:val="24"/>
        </w:rPr>
      </w:pPr>
      <w:r w:rsidRPr="009D08AC">
        <w:rPr>
          <w:sz w:val="24"/>
          <w:szCs w:val="24"/>
        </w:rPr>
        <w:t xml:space="preserve">Describe efforts to consult with </w:t>
      </w:r>
      <w:r w:rsidRPr="009D08AC">
        <w:rPr>
          <w:sz w:val="24"/>
          <w:szCs w:val="24"/>
        </w:rPr>
        <w:t>persons</w:t>
      </w:r>
      <w:r w:rsidRPr="009D08AC">
        <w:rPr>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D33C4C" w:rsidRPr="009D08AC" w:rsidP="00D55011" w14:paraId="0A48BCB3" w14:textId="77777777">
      <w:pPr>
        <w:widowControl/>
        <w:ind w:left="720"/>
        <w:rPr>
          <w:sz w:val="24"/>
          <w:szCs w:val="24"/>
        </w:rPr>
      </w:pPr>
    </w:p>
    <w:p w:rsidR="00D33C4C" w:rsidRPr="009D08AC" w:rsidP="00D55011" w14:paraId="237BD979" w14:textId="04AA7414">
      <w:pPr>
        <w:widowControl/>
        <w:ind w:left="720"/>
        <w:rPr>
          <w:sz w:val="24"/>
          <w:szCs w:val="24"/>
        </w:rPr>
      </w:pPr>
      <w:r w:rsidRPr="009D08AC">
        <w:rPr>
          <w:sz w:val="24"/>
          <w:szCs w:val="24"/>
        </w:rPr>
        <w:t>Consultation</w:t>
      </w:r>
      <w:r w:rsidRPr="009D08AC">
        <w:rPr>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33C4C" w:rsidRPr="009D08AC" w:rsidP="00D55011" w14:paraId="6152C482" w14:textId="77777777">
      <w:pPr>
        <w:widowControl/>
        <w:ind w:left="720"/>
        <w:rPr>
          <w:b w:val="0"/>
          <w:bCs w:val="0"/>
          <w:i/>
          <w:iCs/>
          <w:sz w:val="24"/>
          <w:szCs w:val="24"/>
        </w:rPr>
      </w:pPr>
    </w:p>
    <w:p w:rsidR="000665A4" w:rsidRPr="009D08AC" w:rsidP="00675146" w14:paraId="7A2990C7" w14:textId="05E1F166">
      <w:pPr>
        <w:widowControl/>
        <w:ind w:left="720"/>
        <w:rPr>
          <w:b w:val="0"/>
          <w:sz w:val="24"/>
          <w:szCs w:val="24"/>
        </w:rPr>
      </w:pPr>
      <w:r w:rsidRPr="009D08AC">
        <w:rPr>
          <w:b w:val="0"/>
          <w:bCs w:val="0"/>
          <w:sz w:val="24"/>
          <w:szCs w:val="24"/>
        </w:rPr>
        <w:t>In accordance with 5 CFR 1320.11, the proposed rule provides the public with 75 days to comment on the information collection and burden estimates.</w:t>
      </w:r>
    </w:p>
    <w:p w:rsidR="00D33C4C" w:rsidRPr="009D08AC" w:rsidP="00D55011" w14:paraId="031942FB" w14:textId="6D78D7E6">
      <w:pPr>
        <w:widowControl/>
        <w:ind w:left="720"/>
        <w:rPr>
          <w:b w:val="0"/>
          <w:bCs w:val="0"/>
          <w:sz w:val="24"/>
          <w:szCs w:val="24"/>
        </w:rPr>
      </w:pPr>
    </w:p>
    <w:p w:rsidR="00D33C4C" w:rsidRPr="009D08AC" w:rsidP="00D55011" w14:paraId="7B2B4E54" w14:textId="77777777">
      <w:pPr>
        <w:widowControl/>
        <w:tabs>
          <w:tab w:val="left" w:pos="-1440"/>
        </w:tabs>
        <w:ind w:left="720" w:hanging="720"/>
        <w:rPr>
          <w:sz w:val="24"/>
          <w:szCs w:val="24"/>
        </w:rPr>
      </w:pPr>
      <w:r w:rsidRPr="009D08AC">
        <w:rPr>
          <w:sz w:val="24"/>
          <w:szCs w:val="24"/>
        </w:rPr>
        <w:t>9.</w:t>
      </w:r>
      <w:r w:rsidRPr="009D08AC">
        <w:rPr>
          <w:sz w:val="24"/>
          <w:szCs w:val="24"/>
        </w:rPr>
        <w:tab/>
        <w:t>Explain any decision to provide any payment or gift to respondents, other than remuneration of contractors or grantees.</w:t>
      </w:r>
    </w:p>
    <w:p w:rsidR="00D33C4C" w:rsidRPr="009D08AC" w:rsidP="00D55011" w14:paraId="4768E0BB" w14:textId="77777777">
      <w:pPr>
        <w:widowControl/>
        <w:ind w:left="720"/>
        <w:rPr>
          <w:b w:val="0"/>
          <w:bCs w:val="0"/>
          <w:sz w:val="24"/>
          <w:szCs w:val="24"/>
        </w:rPr>
      </w:pPr>
    </w:p>
    <w:p w:rsidR="00D33C4C" w:rsidRPr="009D08AC" w:rsidP="00D55011" w14:paraId="1D824C37" w14:textId="100C7816">
      <w:pPr>
        <w:widowControl/>
        <w:ind w:left="720"/>
        <w:rPr>
          <w:b w:val="0"/>
          <w:bCs w:val="0"/>
          <w:sz w:val="24"/>
          <w:szCs w:val="24"/>
        </w:rPr>
      </w:pPr>
      <w:r w:rsidRPr="009D08AC">
        <w:rPr>
          <w:b w:val="0"/>
          <w:bCs w:val="0"/>
          <w:sz w:val="24"/>
          <w:szCs w:val="24"/>
        </w:rPr>
        <w:t>No payments or gifts are provided to respondents</w:t>
      </w:r>
      <w:r w:rsidRPr="009D08AC">
        <w:rPr>
          <w:b w:val="0"/>
          <w:bCs w:val="0"/>
          <w:sz w:val="24"/>
          <w:szCs w:val="24"/>
        </w:rPr>
        <w:t>.</w:t>
      </w:r>
    </w:p>
    <w:p w:rsidR="00D33C4C" w:rsidRPr="009D08AC" w:rsidP="00D55011" w14:paraId="2AB28B23" w14:textId="77777777">
      <w:pPr>
        <w:widowControl/>
        <w:ind w:left="720"/>
        <w:rPr>
          <w:b w:val="0"/>
          <w:bCs w:val="0"/>
          <w:sz w:val="24"/>
          <w:szCs w:val="24"/>
        </w:rPr>
      </w:pPr>
    </w:p>
    <w:p w:rsidR="00D33C4C" w:rsidRPr="009D08AC" w:rsidP="00D55011" w14:paraId="1E907730" w14:textId="77777777">
      <w:pPr>
        <w:widowControl/>
        <w:tabs>
          <w:tab w:val="left" w:pos="-1440"/>
        </w:tabs>
        <w:ind w:left="720" w:hanging="720"/>
        <w:rPr>
          <w:sz w:val="24"/>
          <w:szCs w:val="24"/>
        </w:rPr>
      </w:pPr>
      <w:r w:rsidRPr="009D08AC">
        <w:rPr>
          <w:sz w:val="24"/>
          <w:szCs w:val="24"/>
        </w:rPr>
        <w:t>10.</w:t>
      </w:r>
      <w:r w:rsidRPr="009D08AC">
        <w:rPr>
          <w:sz w:val="24"/>
          <w:szCs w:val="24"/>
        </w:rPr>
        <w:tab/>
        <w:t>Describe any assurance of confidentiality provided to respondents and the basis for the assurance in statute, regulation, or agency policy.</w:t>
      </w:r>
    </w:p>
    <w:p w:rsidR="00D33C4C" w:rsidRPr="009D08AC" w:rsidP="00D55011" w14:paraId="27392C21" w14:textId="77777777">
      <w:pPr>
        <w:widowControl/>
        <w:ind w:left="720"/>
        <w:rPr>
          <w:b w:val="0"/>
          <w:bCs w:val="0"/>
          <w:sz w:val="24"/>
          <w:szCs w:val="24"/>
        </w:rPr>
      </w:pPr>
    </w:p>
    <w:p w:rsidR="00D33C4C" w:rsidRPr="009D08AC" w:rsidP="00D55011" w14:paraId="575EB099" w14:textId="49679020">
      <w:pPr>
        <w:widowControl/>
        <w:ind w:left="720"/>
        <w:rPr>
          <w:b w:val="0"/>
          <w:bCs w:val="0"/>
          <w:sz w:val="24"/>
          <w:szCs w:val="24"/>
        </w:rPr>
      </w:pPr>
      <w:r w:rsidRPr="009D08AC">
        <w:rPr>
          <w:b w:val="0"/>
          <w:bCs w:val="0"/>
          <w:sz w:val="24"/>
          <w:szCs w:val="24"/>
        </w:rPr>
        <w:t>No assurance of confidentiality was provided</w:t>
      </w:r>
      <w:r w:rsidRPr="009D08AC">
        <w:rPr>
          <w:b w:val="0"/>
          <w:bCs w:val="0"/>
          <w:sz w:val="24"/>
          <w:szCs w:val="24"/>
        </w:rPr>
        <w:t>.</w:t>
      </w:r>
    </w:p>
    <w:p w:rsidR="00D33C4C" w:rsidRPr="009D08AC" w:rsidP="00D55011" w14:paraId="66A9C9C7" w14:textId="77777777">
      <w:pPr>
        <w:widowControl/>
        <w:ind w:left="720"/>
        <w:rPr>
          <w:b w:val="0"/>
          <w:bCs w:val="0"/>
          <w:sz w:val="24"/>
          <w:szCs w:val="24"/>
        </w:rPr>
      </w:pPr>
    </w:p>
    <w:p w:rsidR="00D33C4C" w:rsidRPr="009D08AC" w:rsidP="00D55011" w14:paraId="1AAEBC39" w14:textId="47F68DBA">
      <w:pPr>
        <w:widowControl/>
        <w:tabs>
          <w:tab w:val="left" w:pos="-1440"/>
        </w:tabs>
        <w:ind w:left="720" w:hanging="720"/>
        <w:rPr>
          <w:sz w:val="24"/>
          <w:szCs w:val="24"/>
        </w:rPr>
      </w:pPr>
      <w:r w:rsidRPr="009D08AC">
        <w:rPr>
          <w:sz w:val="24"/>
          <w:szCs w:val="24"/>
        </w:rPr>
        <w:t>11.</w:t>
      </w:r>
      <w:r w:rsidRPr="009D08AC">
        <w:rPr>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9D08AC">
        <w:rPr>
          <w:sz w:val="24"/>
          <w:szCs w:val="24"/>
        </w:rPr>
        <w:t>persons</w:t>
      </w:r>
      <w:r w:rsidRPr="009D08AC">
        <w:rPr>
          <w:sz w:val="24"/>
          <w:szCs w:val="24"/>
        </w:rPr>
        <w:t xml:space="preserve"> from whom the information is requested, and any steps to be taken to obtain their consent.</w:t>
      </w:r>
    </w:p>
    <w:p w:rsidR="00D33C4C" w:rsidRPr="009D08AC" w:rsidP="00D55011" w14:paraId="3C77A3E2" w14:textId="77777777">
      <w:pPr>
        <w:widowControl/>
        <w:ind w:left="720"/>
        <w:rPr>
          <w:b w:val="0"/>
          <w:bCs w:val="0"/>
          <w:i/>
          <w:iCs/>
          <w:sz w:val="24"/>
          <w:szCs w:val="24"/>
        </w:rPr>
      </w:pPr>
    </w:p>
    <w:p w:rsidR="00D33C4C" w:rsidRPr="009D08AC" w:rsidP="00D55011" w14:paraId="54D6F263" w14:textId="2510F4F1">
      <w:pPr>
        <w:widowControl/>
        <w:ind w:left="720"/>
        <w:rPr>
          <w:b w:val="0"/>
          <w:bCs w:val="0"/>
          <w:sz w:val="24"/>
          <w:szCs w:val="24"/>
        </w:rPr>
      </w:pPr>
      <w:r w:rsidRPr="009D08AC">
        <w:rPr>
          <w:b w:val="0"/>
          <w:bCs w:val="0"/>
          <w:sz w:val="24"/>
          <w:szCs w:val="24"/>
        </w:rPr>
        <w:t>There are no questions of a sensitive nature</w:t>
      </w:r>
      <w:r w:rsidRPr="009D08AC">
        <w:rPr>
          <w:b w:val="0"/>
          <w:bCs w:val="0"/>
          <w:sz w:val="24"/>
          <w:szCs w:val="24"/>
        </w:rPr>
        <w:t>.</w:t>
      </w:r>
    </w:p>
    <w:p w:rsidR="00D33C4C" w:rsidRPr="009D08AC" w:rsidP="00D55011" w14:paraId="551D9F46" w14:textId="77777777">
      <w:pPr>
        <w:widowControl/>
        <w:ind w:left="720"/>
        <w:rPr>
          <w:b w:val="0"/>
          <w:bCs w:val="0"/>
          <w:sz w:val="24"/>
          <w:szCs w:val="24"/>
        </w:rPr>
      </w:pPr>
    </w:p>
    <w:p w:rsidR="001308C3" w:rsidRPr="009D08AC" w:rsidP="001308C3" w14:paraId="6A1417F4" w14:textId="58A7F0D6">
      <w:pPr>
        <w:widowControl/>
        <w:rPr>
          <w:sz w:val="24"/>
          <w:szCs w:val="24"/>
        </w:rPr>
      </w:pPr>
      <w:r w:rsidRPr="009D08AC">
        <w:rPr>
          <w:sz w:val="24"/>
          <w:szCs w:val="24"/>
        </w:rPr>
        <w:t>12</w:t>
      </w:r>
      <w:r w:rsidRPr="009D08AC">
        <w:rPr>
          <w:sz w:val="24"/>
          <w:szCs w:val="24"/>
        </w:rPr>
        <w:t xml:space="preserve">. </w:t>
      </w:r>
      <w:r w:rsidRPr="009D08AC">
        <w:rPr>
          <w:sz w:val="24"/>
          <w:szCs w:val="24"/>
        </w:rPr>
        <w:tab/>
        <w:t>Provide</w:t>
      </w:r>
      <w:r w:rsidRPr="009D08AC">
        <w:rPr>
          <w:sz w:val="24"/>
          <w:szCs w:val="24"/>
        </w:rPr>
        <w:t xml:space="preserve"> estimates of the hour burden of the collection of information. The </w:t>
      </w:r>
    </w:p>
    <w:p w:rsidR="001308C3" w:rsidRPr="009D08AC" w:rsidP="001308C3" w14:paraId="1CF591B4" w14:textId="6943D375">
      <w:pPr>
        <w:widowControl/>
        <w:ind w:firstLine="720"/>
        <w:rPr>
          <w:sz w:val="24"/>
          <w:szCs w:val="24"/>
        </w:rPr>
      </w:pPr>
      <w:r w:rsidRPr="009D08AC">
        <w:rPr>
          <w:sz w:val="24"/>
          <w:szCs w:val="24"/>
        </w:rPr>
        <w:t>statement should:  </w:t>
      </w:r>
    </w:p>
    <w:p w:rsidR="001308C3" w:rsidRPr="009D08AC" w:rsidP="001308C3" w14:paraId="13E37332" w14:textId="3A1F6B65">
      <w:pPr>
        <w:widowControl/>
        <w:numPr>
          <w:ilvl w:val="0"/>
          <w:numId w:val="14"/>
        </w:numPr>
        <w:tabs>
          <w:tab w:val="left" w:pos="720"/>
          <w:tab w:val="clear" w:pos="1440"/>
        </w:tabs>
        <w:rPr>
          <w:sz w:val="24"/>
          <w:szCs w:val="24"/>
        </w:rPr>
      </w:pPr>
      <w:r w:rsidRPr="009D08AC">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w:t>
      </w:r>
      <w:r w:rsidRPr="009D08AC">
        <w:rPr>
          <w:sz w:val="24"/>
          <w:szCs w:val="24"/>
        </w:rPr>
        <w:t>burden on respondents is expected to vary widely because of differences in activity, size, or complexity, show the range of estimated hour burden, and explain the reasons for the variance. </w:t>
      </w:r>
      <w:r w:rsidRPr="009D08AC">
        <w:rPr>
          <w:sz w:val="24"/>
          <w:szCs w:val="24"/>
        </w:rPr>
        <w:t>General</w:t>
      </w:r>
      <w:r w:rsidRPr="009D08AC">
        <w:rPr>
          <w:sz w:val="24"/>
          <w:szCs w:val="24"/>
        </w:rPr>
        <w:t>, estimates should not include burden hours for customary and usual business practices. </w:t>
      </w:r>
    </w:p>
    <w:p w:rsidR="001308C3" w:rsidRPr="009D08AC" w:rsidP="001308C3" w14:paraId="17C6FF9C" w14:textId="77777777">
      <w:pPr>
        <w:widowControl/>
        <w:numPr>
          <w:ilvl w:val="0"/>
          <w:numId w:val="14"/>
        </w:numPr>
        <w:tabs>
          <w:tab w:val="left" w:pos="720"/>
          <w:tab w:val="clear" w:pos="1440"/>
        </w:tabs>
        <w:rPr>
          <w:sz w:val="24"/>
          <w:szCs w:val="24"/>
        </w:rPr>
      </w:pPr>
      <w:r w:rsidRPr="009D08AC">
        <w:rPr>
          <w:sz w:val="24"/>
          <w:szCs w:val="24"/>
        </w:rPr>
        <w:t>If this request for approval covers more than one form, provide separate hour burden estimates for each form. </w:t>
      </w:r>
    </w:p>
    <w:p w:rsidR="001308C3" w:rsidRPr="009D08AC" w:rsidP="001308C3" w14:paraId="4848D139" w14:textId="42D6FF2D">
      <w:pPr>
        <w:widowControl/>
        <w:numPr>
          <w:ilvl w:val="0"/>
          <w:numId w:val="14"/>
        </w:numPr>
        <w:tabs>
          <w:tab w:val="left" w:pos="720"/>
          <w:tab w:val="clear" w:pos="1440"/>
        </w:tabs>
        <w:rPr>
          <w:sz w:val="24"/>
          <w:szCs w:val="24"/>
        </w:rPr>
      </w:pPr>
      <w:r w:rsidRPr="009D08AC">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D33C4C" w:rsidRPr="009D08AC" w:rsidP="00D55011" w14:paraId="407088D1" w14:textId="77777777">
      <w:pPr>
        <w:widowControl/>
        <w:ind w:left="720"/>
        <w:rPr>
          <w:b w:val="0"/>
          <w:bCs w:val="0"/>
          <w:i/>
          <w:iCs/>
          <w:sz w:val="24"/>
          <w:szCs w:val="24"/>
        </w:rPr>
      </w:pPr>
    </w:p>
    <w:p w:rsidR="00DD77B8" w:rsidRPr="009D08AC" w:rsidP="00D55011" w14:paraId="14EA8E91" w14:textId="41A02C34">
      <w:pPr>
        <w:widowControl/>
        <w:ind w:left="720"/>
        <w:rPr>
          <w:sz w:val="24"/>
          <w:szCs w:val="24"/>
          <w:u w:val="single"/>
        </w:rPr>
      </w:pPr>
      <w:r w:rsidRPr="009D08AC">
        <w:rPr>
          <w:sz w:val="24"/>
          <w:szCs w:val="24"/>
          <w:u w:val="single"/>
        </w:rPr>
        <w:t>2002 Safe Harbor</w:t>
      </w:r>
    </w:p>
    <w:p w:rsidR="00DD77B8" w:rsidRPr="009D08AC" w:rsidP="00D55011" w14:paraId="4265401C" w14:textId="77777777">
      <w:pPr>
        <w:widowControl/>
        <w:ind w:left="720"/>
        <w:rPr>
          <w:b w:val="0"/>
          <w:bCs w:val="0"/>
          <w:sz w:val="24"/>
          <w:szCs w:val="24"/>
        </w:rPr>
      </w:pPr>
    </w:p>
    <w:p w:rsidR="00D33C4C" w:rsidRPr="009D08AC" w:rsidP="00D55011" w14:paraId="383D98C9" w14:textId="50BC47A2">
      <w:pPr>
        <w:widowControl/>
        <w:ind w:left="720"/>
        <w:rPr>
          <w:b w:val="0"/>
          <w:bCs w:val="0"/>
          <w:sz w:val="24"/>
          <w:szCs w:val="24"/>
          <w:vertAlign w:val="superscript"/>
        </w:rPr>
      </w:pPr>
      <w:r w:rsidRPr="009D08AC">
        <w:rPr>
          <w:b w:val="0"/>
          <w:bCs w:val="0"/>
          <w:sz w:val="24"/>
          <w:szCs w:val="24"/>
        </w:rPr>
        <w:t xml:space="preserve">Employee benefit plan administrators will be deemed to satisfy their disclosure obligations </w:t>
      </w:r>
      <w:r w:rsidRPr="009D08AC" w:rsidR="00B0697E">
        <w:rPr>
          <w:b w:val="0"/>
          <w:bCs w:val="0"/>
          <w:sz w:val="24"/>
          <w:szCs w:val="24"/>
        </w:rPr>
        <w:t xml:space="preserve">under the 2002 safe harbor </w:t>
      </w:r>
      <w:r w:rsidRPr="009D08AC">
        <w:rPr>
          <w:b w:val="0"/>
          <w:bCs w:val="0"/>
          <w:sz w:val="24"/>
          <w:szCs w:val="24"/>
        </w:rPr>
        <w:t>when furnishing documents electronically only if a participant who does not have access to the employer’s electronic information system in the normal course of his duties, or a beneficiary or other person entitled to documents, affirmatively consents to receive the disclosure documents. Prior to consenting, the participant or beneficiary must be provided with a</w:t>
      </w:r>
      <w:r w:rsidRPr="009D08AC" w:rsidR="003C7848">
        <w:rPr>
          <w:b w:val="0"/>
          <w:bCs w:val="0"/>
          <w:sz w:val="24"/>
          <w:szCs w:val="24"/>
        </w:rPr>
        <w:t>n initial notice explaining the right to receive documents on paper and a</w:t>
      </w:r>
      <w:r w:rsidRPr="009D08AC">
        <w:rPr>
          <w:b w:val="0"/>
          <w:bCs w:val="0"/>
          <w:sz w:val="24"/>
          <w:szCs w:val="24"/>
        </w:rPr>
        <w:t xml:space="preserve"> clear and conspicuous statement indicating the types of documents to which the consent would apply and other information about procedures and obligations on the part of both the plan administrator and the recipient. New plans are expected to incur a one-time start-up cost with regards to the acquisition of materials us</w:t>
      </w:r>
      <w:r w:rsidRPr="009D08AC" w:rsidR="00607839">
        <w:rPr>
          <w:b w:val="0"/>
          <w:bCs w:val="0"/>
          <w:sz w:val="24"/>
          <w:szCs w:val="24"/>
        </w:rPr>
        <w:t>ed to seek and verify consent.</w:t>
      </w:r>
    </w:p>
    <w:p w:rsidR="00D33C4C" w:rsidRPr="009D08AC" w:rsidP="00D55011" w14:paraId="2E1B2F36" w14:textId="77777777">
      <w:pPr>
        <w:widowControl/>
        <w:ind w:left="720"/>
        <w:rPr>
          <w:b w:val="0"/>
          <w:bCs w:val="0"/>
          <w:sz w:val="24"/>
          <w:szCs w:val="24"/>
        </w:rPr>
      </w:pPr>
    </w:p>
    <w:p w:rsidR="0058089D" w:rsidRPr="009D08AC" w:rsidP="002438CC" w14:paraId="66331E9F" w14:textId="20F14B19">
      <w:pPr>
        <w:widowControl/>
        <w:ind w:left="720"/>
        <w:rPr>
          <w:b w:val="0"/>
          <w:bCs w:val="0"/>
          <w:sz w:val="24"/>
          <w:szCs w:val="24"/>
        </w:rPr>
      </w:pPr>
      <w:r w:rsidRPr="009D08AC">
        <w:rPr>
          <w:b w:val="0"/>
          <w:bCs w:val="0"/>
          <w:sz w:val="24"/>
          <w:szCs w:val="24"/>
        </w:rPr>
        <w:t xml:space="preserve">The Department assumes that because significant cost savings can be achieved by limiting distribution expenses, most sponsors of new plans will choose to avail themselves of the opportunity to deliver plan documents electronically and will therefore develop a procedure for consent and document delivery. As noted above, a plan </w:t>
      </w:r>
      <w:r w:rsidRPr="009D08AC" w:rsidR="008465D8">
        <w:rPr>
          <w:b w:val="0"/>
          <w:bCs w:val="0"/>
          <w:sz w:val="24"/>
          <w:szCs w:val="24"/>
        </w:rPr>
        <w:t>sponsor</w:t>
      </w:r>
      <w:r w:rsidRPr="009D08AC">
        <w:rPr>
          <w:b w:val="0"/>
          <w:bCs w:val="0"/>
          <w:sz w:val="24"/>
          <w:szCs w:val="24"/>
        </w:rPr>
        <w:t xml:space="preserve"> that manages several plans is considered likely to develop a single consent </w:t>
      </w:r>
      <w:r w:rsidRPr="009D08AC" w:rsidR="00450BB1">
        <w:rPr>
          <w:b w:val="0"/>
          <w:bCs w:val="0"/>
          <w:sz w:val="24"/>
          <w:szCs w:val="24"/>
        </w:rPr>
        <w:t>procedure</w:t>
      </w:r>
      <w:r w:rsidRPr="009D08AC">
        <w:rPr>
          <w:b w:val="0"/>
          <w:bCs w:val="0"/>
          <w:sz w:val="24"/>
          <w:szCs w:val="24"/>
        </w:rPr>
        <w:t xml:space="preserve"> that will satisfy the requirements for all plans.</w:t>
      </w:r>
      <w:r w:rsidRPr="009D08AC" w:rsidR="009C3D67">
        <w:rPr>
          <w:b w:val="0"/>
          <w:bCs w:val="0"/>
          <w:sz w:val="24"/>
          <w:szCs w:val="24"/>
        </w:rPr>
        <w:t xml:space="preserve"> The Department assumes that pension plans will utilize the 20</w:t>
      </w:r>
      <w:r w:rsidRPr="009D08AC" w:rsidR="00751087">
        <w:rPr>
          <w:b w:val="0"/>
          <w:bCs w:val="0"/>
          <w:sz w:val="24"/>
          <w:szCs w:val="24"/>
        </w:rPr>
        <w:t>20</w:t>
      </w:r>
      <w:r w:rsidRPr="009D08AC" w:rsidR="009C3D67">
        <w:rPr>
          <w:b w:val="0"/>
          <w:bCs w:val="0"/>
          <w:sz w:val="24"/>
          <w:szCs w:val="24"/>
        </w:rPr>
        <w:t xml:space="preserve"> safe harbor due to its reduced costs</w:t>
      </w:r>
      <w:r w:rsidRPr="009D08AC" w:rsidR="007D11D5">
        <w:rPr>
          <w:b w:val="0"/>
          <w:bCs w:val="0"/>
          <w:sz w:val="24"/>
          <w:szCs w:val="24"/>
        </w:rPr>
        <w:t xml:space="preserve"> associated with electronic disclosure. </w:t>
      </w:r>
      <w:r w:rsidRPr="009D08AC" w:rsidR="002438CC">
        <w:rPr>
          <w:b w:val="0"/>
          <w:bCs w:val="0"/>
          <w:sz w:val="24"/>
          <w:szCs w:val="24"/>
        </w:rPr>
        <w:t xml:space="preserve">As a result of Section 338 of the SECURE 2.0 Act requiring that one pension benefit statement be sent on paper per year for </w:t>
      </w:r>
      <w:r w:rsidRPr="009D08AC" w:rsidR="00C83D4D">
        <w:rPr>
          <w:b w:val="0"/>
          <w:bCs w:val="0"/>
          <w:sz w:val="24"/>
          <w:szCs w:val="24"/>
        </w:rPr>
        <w:t>defined contribution (</w:t>
      </w:r>
      <w:r w:rsidRPr="009D08AC" w:rsidR="002438CC">
        <w:rPr>
          <w:b w:val="0"/>
          <w:bCs w:val="0"/>
          <w:sz w:val="24"/>
          <w:szCs w:val="24"/>
        </w:rPr>
        <w:t>DC</w:t>
      </w:r>
      <w:r w:rsidRPr="009D08AC" w:rsidR="00C83D4D">
        <w:rPr>
          <w:b w:val="0"/>
          <w:bCs w:val="0"/>
          <w:sz w:val="24"/>
          <w:szCs w:val="24"/>
        </w:rPr>
        <w:t>)</w:t>
      </w:r>
      <w:r w:rsidRPr="009D08AC" w:rsidR="002438CC">
        <w:rPr>
          <w:b w:val="0"/>
          <w:bCs w:val="0"/>
          <w:sz w:val="24"/>
          <w:szCs w:val="24"/>
        </w:rPr>
        <w:t xml:space="preserve"> plans and one per three years for</w:t>
      </w:r>
      <w:r w:rsidRPr="009D08AC" w:rsidR="00FB522E">
        <w:rPr>
          <w:b w:val="0"/>
          <w:bCs w:val="0"/>
          <w:sz w:val="24"/>
          <w:szCs w:val="24"/>
        </w:rPr>
        <w:t xml:space="preserve"> defined benefit</w:t>
      </w:r>
      <w:r w:rsidRPr="009D08AC" w:rsidR="002438CC">
        <w:rPr>
          <w:b w:val="0"/>
          <w:bCs w:val="0"/>
          <w:sz w:val="24"/>
          <w:szCs w:val="24"/>
        </w:rPr>
        <w:t xml:space="preserve"> </w:t>
      </w:r>
      <w:r w:rsidRPr="009D08AC" w:rsidR="00FB522E">
        <w:rPr>
          <w:b w:val="0"/>
          <w:bCs w:val="0"/>
          <w:sz w:val="24"/>
          <w:szCs w:val="24"/>
        </w:rPr>
        <w:t>(</w:t>
      </w:r>
      <w:r w:rsidRPr="009D08AC" w:rsidR="002438CC">
        <w:rPr>
          <w:b w:val="0"/>
          <w:bCs w:val="0"/>
          <w:sz w:val="24"/>
          <w:szCs w:val="24"/>
        </w:rPr>
        <w:t>DB</w:t>
      </w:r>
      <w:r w:rsidRPr="009D08AC" w:rsidR="00FB522E">
        <w:rPr>
          <w:b w:val="0"/>
          <w:bCs w:val="0"/>
          <w:sz w:val="24"/>
          <w:szCs w:val="24"/>
        </w:rPr>
        <w:t>)</w:t>
      </w:r>
      <w:r w:rsidRPr="009D08AC" w:rsidR="002438CC">
        <w:rPr>
          <w:b w:val="0"/>
          <w:bCs w:val="0"/>
          <w:sz w:val="24"/>
          <w:szCs w:val="24"/>
        </w:rPr>
        <w:t xml:space="preserve"> plans, the Department assumes that some pension plans may revert to using the 2002 safe harbor for their wired-at-work population. </w:t>
      </w:r>
      <w:r w:rsidRPr="009D08AC" w:rsidR="007A2F8A">
        <w:rPr>
          <w:b w:val="0"/>
          <w:bCs w:val="0"/>
          <w:sz w:val="24"/>
          <w:szCs w:val="24"/>
        </w:rPr>
        <w:t xml:space="preserve">Additionally, the Department </w:t>
      </w:r>
      <w:r w:rsidRPr="009D08AC" w:rsidR="00EC15E3">
        <w:rPr>
          <w:b w:val="0"/>
          <w:bCs w:val="0"/>
          <w:sz w:val="24"/>
          <w:szCs w:val="24"/>
        </w:rPr>
        <w:t>anticipates</w:t>
      </w:r>
      <w:r w:rsidRPr="009D08AC" w:rsidR="007A2F8A">
        <w:rPr>
          <w:b w:val="0"/>
          <w:bCs w:val="0"/>
          <w:sz w:val="24"/>
          <w:szCs w:val="24"/>
        </w:rPr>
        <w:t xml:space="preserve"> that the 2002 safe harbor will also be</w:t>
      </w:r>
      <w:r w:rsidRPr="009D08AC" w:rsidR="00C6759C">
        <w:rPr>
          <w:b w:val="0"/>
          <w:bCs w:val="0"/>
          <w:sz w:val="24"/>
          <w:szCs w:val="24"/>
        </w:rPr>
        <w:t xml:space="preserve"> used </w:t>
      </w:r>
      <w:r w:rsidRPr="009D08AC" w:rsidR="00C6759C">
        <w:rPr>
          <w:b w:val="0"/>
          <w:bCs w:val="0"/>
          <w:sz w:val="24"/>
          <w:szCs w:val="24"/>
        </w:rPr>
        <w:t>by</w:t>
      </w:r>
      <w:r w:rsidRPr="009D08AC" w:rsidR="00C6759C">
        <w:rPr>
          <w:b w:val="0"/>
          <w:bCs w:val="0"/>
          <w:sz w:val="24"/>
          <w:szCs w:val="24"/>
        </w:rPr>
        <w:t xml:space="preserve"> welfare benefit plans</w:t>
      </w:r>
      <w:r w:rsidRPr="009D08AC" w:rsidR="007A2F8A">
        <w:rPr>
          <w:b w:val="0"/>
          <w:bCs w:val="0"/>
          <w:sz w:val="24"/>
          <w:szCs w:val="24"/>
        </w:rPr>
        <w:t xml:space="preserve">. Thus, </w:t>
      </w:r>
      <w:r w:rsidRPr="009D08AC" w:rsidR="00C6759C">
        <w:rPr>
          <w:b w:val="0"/>
          <w:bCs w:val="0"/>
          <w:sz w:val="24"/>
          <w:szCs w:val="24"/>
        </w:rPr>
        <w:t xml:space="preserve">the burden of developing </w:t>
      </w:r>
      <w:r w:rsidRPr="009D08AC" w:rsidR="00A76DA9">
        <w:rPr>
          <w:b w:val="0"/>
          <w:bCs w:val="0"/>
          <w:sz w:val="24"/>
          <w:szCs w:val="24"/>
        </w:rPr>
        <w:t>a</w:t>
      </w:r>
      <w:r w:rsidRPr="009D08AC" w:rsidR="00C6759C">
        <w:rPr>
          <w:b w:val="0"/>
          <w:bCs w:val="0"/>
          <w:sz w:val="24"/>
          <w:szCs w:val="24"/>
        </w:rPr>
        <w:t xml:space="preserve"> new consent </w:t>
      </w:r>
      <w:r w:rsidRPr="009D08AC" w:rsidR="00450BB1">
        <w:rPr>
          <w:b w:val="0"/>
          <w:bCs w:val="0"/>
          <w:sz w:val="24"/>
          <w:szCs w:val="24"/>
        </w:rPr>
        <w:t>procedure</w:t>
      </w:r>
      <w:r w:rsidRPr="009D08AC" w:rsidR="00A76DA9">
        <w:rPr>
          <w:b w:val="0"/>
          <w:bCs w:val="0"/>
          <w:sz w:val="24"/>
          <w:szCs w:val="24"/>
        </w:rPr>
        <w:t xml:space="preserve"> </w:t>
      </w:r>
      <w:r w:rsidRPr="009D08AC" w:rsidR="00C6759C">
        <w:rPr>
          <w:b w:val="0"/>
          <w:bCs w:val="0"/>
          <w:sz w:val="24"/>
          <w:szCs w:val="24"/>
        </w:rPr>
        <w:t xml:space="preserve">will fall on new welfare plans that have to file a </w:t>
      </w:r>
      <w:r w:rsidRPr="009D08AC" w:rsidR="00C6759C">
        <w:rPr>
          <w:b w:val="0"/>
          <w:bCs w:val="0"/>
          <w:sz w:val="24"/>
          <w:szCs w:val="24"/>
        </w:rPr>
        <w:t>form</w:t>
      </w:r>
      <w:r w:rsidRPr="009D08AC" w:rsidR="00C6759C">
        <w:rPr>
          <w:b w:val="0"/>
          <w:bCs w:val="0"/>
          <w:sz w:val="24"/>
          <w:szCs w:val="24"/>
        </w:rPr>
        <w:t xml:space="preserve"> 5500</w:t>
      </w:r>
      <w:r w:rsidRPr="009D08AC" w:rsidR="005870A3">
        <w:rPr>
          <w:b w:val="0"/>
          <w:bCs w:val="0"/>
          <w:sz w:val="24"/>
          <w:szCs w:val="24"/>
        </w:rPr>
        <w:t xml:space="preserve">, and new pension plans that use the 2002 safe harbor for their wired-at-work </w:t>
      </w:r>
      <w:r w:rsidRPr="009D08AC" w:rsidR="0006239F">
        <w:rPr>
          <w:b w:val="0"/>
          <w:bCs w:val="0"/>
          <w:sz w:val="24"/>
          <w:szCs w:val="24"/>
        </w:rPr>
        <w:t xml:space="preserve">population. </w:t>
      </w:r>
      <w:r w:rsidRPr="009D08AC" w:rsidR="00502ECE">
        <w:rPr>
          <w:b w:val="0"/>
          <w:bCs w:val="0"/>
          <w:sz w:val="24"/>
          <w:szCs w:val="24"/>
        </w:rPr>
        <w:t>All p</w:t>
      </w:r>
      <w:r w:rsidRPr="009D08AC" w:rsidR="0006239F">
        <w:rPr>
          <w:b w:val="0"/>
          <w:bCs w:val="0"/>
          <w:sz w:val="24"/>
          <w:szCs w:val="24"/>
        </w:rPr>
        <w:t>ension plans using the 2002 safe harbor will also have to develop a</w:t>
      </w:r>
      <w:r w:rsidRPr="009D08AC" w:rsidR="00502ECE">
        <w:rPr>
          <w:b w:val="0"/>
          <w:bCs w:val="0"/>
          <w:sz w:val="24"/>
          <w:szCs w:val="24"/>
        </w:rPr>
        <w:t xml:space="preserve">n initial notice explaining the right to </w:t>
      </w:r>
      <w:r w:rsidRPr="009D08AC">
        <w:rPr>
          <w:b w:val="0"/>
          <w:bCs w:val="0"/>
          <w:sz w:val="24"/>
          <w:szCs w:val="24"/>
        </w:rPr>
        <w:t>receive documents on paper.</w:t>
      </w:r>
    </w:p>
    <w:p w:rsidR="00E24664" w:rsidRPr="009D08AC" w:rsidP="002438CC" w14:paraId="56C28FAA" w14:textId="63DACBDB">
      <w:pPr>
        <w:widowControl/>
        <w:ind w:left="720"/>
        <w:rPr>
          <w:b w:val="0"/>
          <w:bCs w:val="0"/>
          <w:sz w:val="24"/>
          <w:szCs w:val="24"/>
        </w:rPr>
      </w:pPr>
    </w:p>
    <w:p w:rsidR="00DA63BC" w:rsidRPr="009D08AC" w:rsidP="00DA63BC" w14:paraId="352F30CB" w14:textId="2BBB51D4">
      <w:pPr>
        <w:widowControl/>
        <w:ind w:left="720"/>
        <w:rPr>
          <w:b w:val="0"/>
          <w:bCs w:val="0"/>
          <w:sz w:val="24"/>
          <w:szCs w:val="24"/>
        </w:rPr>
      </w:pPr>
      <w:r w:rsidRPr="009D08AC">
        <w:rPr>
          <w:b w:val="0"/>
          <w:bCs w:val="0"/>
          <w:sz w:val="24"/>
          <w:szCs w:val="24"/>
        </w:rPr>
        <w:t xml:space="preserve">These plans are the </w:t>
      </w:r>
      <w:r w:rsidRPr="009D08AC">
        <w:rPr>
          <w:b w:val="0"/>
          <w:bCs w:val="0"/>
          <w:sz w:val="24"/>
          <w:szCs w:val="24"/>
        </w:rPr>
        <w:t>mostly</w:t>
      </w:r>
      <w:r w:rsidRPr="009D08AC">
        <w:rPr>
          <w:b w:val="0"/>
          <w:bCs w:val="0"/>
          <w:sz w:val="24"/>
          <w:szCs w:val="24"/>
        </w:rPr>
        <w:t xml:space="preserve"> likely to need to develop their own consent </w:t>
      </w:r>
      <w:r w:rsidRPr="009D08AC" w:rsidR="00450BB1">
        <w:rPr>
          <w:b w:val="0"/>
          <w:bCs w:val="0"/>
          <w:sz w:val="24"/>
          <w:szCs w:val="24"/>
        </w:rPr>
        <w:t>procedure</w:t>
      </w:r>
      <w:r w:rsidRPr="009D08AC">
        <w:rPr>
          <w:b w:val="0"/>
          <w:bCs w:val="0"/>
          <w:sz w:val="24"/>
          <w:szCs w:val="24"/>
        </w:rPr>
        <w:t xml:space="preserve">. The Department expects that fully insured welfare plans that do not file </w:t>
      </w:r>
      <w:r w:rsidRPr="009D08AC">
        <w:rPr>
          <w:b w:val="0"/>
          <w:bCs w:val="0"/>
          <w:sz w:val="24"/>
          <w:szCs w:val="24"/>
        </w:rPr>
        <w:t>a Form</w:t>
      </w:r>
      <w:r w:rsidRPr="009D08AC">
        <w:rPr>
          <w:b w:val="0"/>
          <w:bCs w:val="0"/>
          <w:sz w:val="24"/>
          <w:szCs w:val="24"/>
        </w:rPr>
        <w:t xml:space="preserve"> 5500 will utilize existing consent </w:t>
      </w:r>
      <w:r w:rsidRPr="009D08AC" w:rsidR="00450BB1">
        <w:rPr>
          <w:b w:val="0"/>
          <w:bCs w:val="0"/>
          <w:sz w:val="24"/>
          <w:szCs w:val="24"/>
        </w:rPr>
        <w:t>procedure</w:t>
      </w:r>
      <w:r w:rsidRPr="009D08AC" w:rsidR="00285D07">
        <w:rPr>
          <w:b w:val="0"/>
          <w:bCs w:val="0"/>
          <w:sz w:val="24"/>
          <w:szCs w:val="24"/>
        </w:rPr>
        <w:t xml:space="preserve"> </w:t>
      </w:r>
      <w:r w:rsidRPr="009D08AC">
        <w:rPr>
          <w:b w:val="0"/>
          <w:bCs w:val="0"/>
          <w:sz w:val="24"/>
          <w:szCs w:val="24"/>
        </w:rPr>
        <w:t>developed by the issuer of the plan's coverage or their third-party administrator.</w:t>
      </w:r>
      <w:r w:rsidRPr="009D08AC" w:rsidR="009C7619">
        <w:rPr>
          <w:b w:val="0"/>
          <w:bCs w:val="0"/>
          <w:sz w:val="24"/>
          <w:szCs w:val="24"/>
        </w:rPr>
        <w:t xml:space="preserve"> </w:t>
      </w:r>
      <w:r w:rsidRPr="009D08AC">
        <w:rPr>
          <w:b w:val="0"/>
          <w:bCs w:val="0"/>
          <w:sz w:val="24"/>
          <w:szCs w:val="24"/>
        </w:rPr>
        <w:t>Data from the 202</w:t>
      </w:r>
      <w:r w:rsidRPr="009D08AC" w:rsidR="005D626C">
        <w:rPr>
          <w:b w:val="0"/>
          <w:bCs w:val="0"/>
          <w:sz w:val="24"/>
          <w:szCs w:val="24"/>
        </w:rPr>
        <w:t>2</w:t>
      </w:r>
      <w:r w:rsidRPr="009D08AC">
        <w:rPr>
          <w:b w:val="0"/>
          <w:bCs w:val="0"/>
          <w:sz w:val="24"/>
          <w:szCs w:val="24"/>
        </w:rPr>
        <w:t xml:space="preserve"> Form 5500, the most recent year data are available, indicate that there were </w:t>
      </w:r>
      <w:r w:rsidRPr="009D08AC" w:rsidR="003D0C7E">
        <w:rPr>
          <w:b w:val="0"/>
          <w:bCs w:val="0"/>
          <w:sz w:val="24"/>
          <w:szCs w:val="24"/>
        </w:rPr>
        <w:t>13,975</w:t>
      </w:r>
      <w:r w:rsidRPr="009D08AC">
        <w:rPr>
          <w:b w:val="0"/>
          <w:bCs w:val="0"/>
          <w:sz w:val="24"/>
          <w:szCs w:val="24"/>
        </w:rPr>
        <w:t xml:space="preserve"> new </w:t>
      </w:r>
      <w:r w:rsidRPr="009D08AC" w:rsidR="00534B1E">
        <w:rPr>
          <w:b w:val="0"/>
          <w:bCs w:val="0"/>
          <w:sz w:val="24"/>
          <w:szCs w:val="24"/>
        </w:rPr>
        <w:t xml:space="preserve">welfare benefit </w:t>
      </w:r>
      <w:r w:rsidRPr="009D08AC">
        <w:rPr>
          <w:b w:val="0"/>
          <w:bCs w:val="0"/>
          <w:sz w:val="24"/>
          <w:szCs w:val="24"/>
        </w:rPr>
        <w:t>plan sponsors</w:t>
      </w:r>
      <w:r w:rsidRPr="009D08AC" w:rsidR="003114C6">
        <w:rPr>
          <w:b w:val="0"/>
          <w:bCs w:val="0"/>
          <w:sz w:val="24"/>
          <w:szCs w:val="24"/>
        </w:rPr>
        <w:t xml:space="preserve"> and 48,079 new pension plan sponsors</w:t>
      </w:r>
      <w:r w:rsidRPr="009D08AC">
        <w:rPr>
          <w:b w:val="0"/>
          <w:bCs w:val="0"/>
          <w:sz w:val="24"/>
          <w:szCs w:val="24"/>
        </w:rPr>
        <w:t xml:space="preserve"> that year.</w:t>
      </w:r>
      <w:r w:rsidRPr="009D08AC" w:rsidR="005D626C">
        <w:rPr>
          <w:b w:val="0"/>
          <w:bCs w:val="0"/>
          <w:sz w:val="24"/>
          <w:szCs w:val="24"/>
        </w:rPr>
        <w:t xml:space="preserve"> The Department assumes that the share of plans using the 2002 safe harbor will mirror the share of participants who are </w:t>
      </w:r>
      <w:r w:rsidRPr="009D08AC" w:rsidR="005D626C">
        <w:rPr>
          <w:b w:val="0"/>
          <w:bCs w:val="0"/>
          <w:sz w:val="24"/>
          <w:szCs w:val="24"/>
        </w:rPr>
        <w:t>wired-at-work</w:t>
      </w:r>
      <w:r w:rsidRPr="009D08AC" w:rsidR="005D626C">
        <w:rPr>
          <w:b w:val="0"/>
          <w:bCs w:val="0"/>
          <w:sz w:val="24"/>
          <w:szCs w:val="24"/>
        </w:rPr>
        <w:t xml:space="preserve">. The </w:t>
      </w:r>
      <w:r w:rsidRPr="009D08AC" w:rsidR="00CF27F4">
        <w:rPr>
          <w:b w:val="0"/>
          <w:bCs w:val="0"/>
          <w:sz w:val="24"/>
          <w:szCs w:val="24"/>
        </w:rPr>
        <w:t>D</w:t>
      </w:r>
      <w:r w:rsidRPr="009D08AC" w:rsidR="005D626C">
        <w:rPr>
          <w:b w:val="0"/>
          <w:bCs w:val="0"/>
          <w:sz w:val="24"/>
          <w:szCs w:val="24"/>
        </w:rPr>
        <w:t>epartment estimates that</w:t>
      </w:r>
      <w:r w:rsidRPr="009D08AC" w:rsidR="00324D69">
        <w:rPr>
          <w:b w:val="0"/>
          <w:bCs w:val="0"/>
          <w:sz w:val="24"/>
          <w:szCs w:val="24"/>
        </w:rPr>
        <w:t xml:space="preserve"> 37.4 percent of workers are </w:t>
      </w:r>
      <w:r w:rsidRPr="009D08AC" w:rsidR="00324D69">
        <w:rPr>
          <w:b w:val="0"/>
          <w:bCs w:val="0"/>
          <w:sz w:val="24"/>
          <w:szCs w:val="24"/>
        </w:rPr>
        <w:t>wired-at-work</w:t>
      </w:r>
      <w:r w:rsidRPr="009D08AC" w:rsidR="00324D69">
        <w:rPr>
          <w:b w:val="0"/>
          <w:bCs w:val="0"/>
          <w:sz w:val="24"/>
          <w:szCs w:val="24"/>
        </w:rPr>
        <w:t>. Thus, the Department estimates that 37.4 percent of new pension plans, or</w:t>
      </w:r>
      <w:r w:rsidRPr="009D08AC" w:rsidR="00D734E7">
        <w:rPr>
          <w:b w:val="0"/>
          <w:bCs w:val="0"/>
          <w:sz w:val="24"/>
          <w:szCs w:val="24"/>
        </w:rPr>
        <w:t xml:space="preserve"> 17,981 plans, will use the 2002 safe harbor. In total, the Department estimates that</w:t>
      </w:r>
      <w:r w:rsidRPr="009D08AC" w:rsidR="000931CD">
        <w:rPr>
          <w:b w:val="0"/>
          <w:bCs w:val="0"/>
          <w:sz w:val="24"/>
          <w:szCs w:val="24"/>
        </w:rPr>
        <w:t xml:space="preserve"> 31,957 pension and welfare plans will be affected.</w:t>
      </w:r>
      <w:r>
        <w:rPr>
          <w:rStyle w:val="FootnoteReference"/>
          <w:b w:val="0"/>
          <w:bCs w:val="0"/>
          <w:sz w:val="24"/>
          <w:szCs w:val="24"/>
          <w:vertAlign w:val="superscript"/>
        </w:rPr>
        <w:footnoteReference w:id="3"/>
      </w:r>
      <w:r w:rsidRPr="009D08AC">
        <w:rPr>
          <w:b w:val="0"/>
          <w:bCs w:val="0"/>
          <w:sz w:val="24"/>
          <w:szCs w:val="24"/>
          <w:vertAlign w:val="superscript"/>
        </w:rPr>
        <w:t xml:space="preserve"> </w:t>
      </w:r>
      <w:r w:rsidRPr="009D08AC">
        <w:rPr>
          <w:b w:val="0"/>
          <w:bCs w:val="0"/>
          <w:sz w:val="24"/>
          <w:szCs w:val="24"/>
        </w:rPr>
        <w:t xml:space="preserve"> We have taken the conservative view that each of these sponsors will seek to use the consent materials.</w:t>
      </w:r>
      <w:r w:rsidRPr="009D08AC" w:rsidR="00265797">
        <w:rPr>
          <w:b w:val="0"/>
          <w:bCs w:val="0"/>
          <w:sz w:val="24"/>
          <w:szCs w:val="24"/>
        </w:rPr>
        <w:t xml:space="preserve"> The Department</w:t>
      </w:r>
      <w:r w:rsidRPr="009D08AC" w:rsidR="00DF3886">
        <w:rPr>
          <w:b w:val="0"/>
          <w:bCs w:val="0"/>
          <w:sz w:val="24"/>
          <w:szCs w:val="24"/>
        </w:rPr>
        <w:t xml:space="preserve"> assumes that 90% of </w:t>
      </w:r>
      <w:r w:rsidRPr="009D08AC" w:rsidR="008A10BB">
        <w:rPr>
          <w:b w:val="0"/>
          <w:bCs w:val="0"/>
          <w:sz w:val="24"/>
          <w:szCs w:val="24"/>
        </w:rPr>
        <w:t>plans will</w:t>
      </w:r>
      <w:r w:rsidRPr="009D08AC" w:rsidR="00E30158">
        <w:rPr>
          <w:b w:val="0"/>
          <w:bCs w:val="0"/>
          <w:sz w:val="24"/>
          <w:szCs w:val="24"/>
        </w:rPr>
        <w:t xml:space="preserve"> use service providers to draft the initial notice for the 2002 safe harbor.</w:t>
      </w:r>
      <w:r w:rsidRPr="009D08AC" w:rsidR="008A10BB">
        <w:rPr>
          <w:b w:val="0"/>
          <w:bCs w:val="0"/>
          <w:sz w:val="24"/>
          <w:szCs w:val="24"/>
        </w:rPr>
        <w:t xml:space="preserve"> </w:t>
      </w:r>
      <w:r w:rsidRPr="009D08AC" w:rsidR="00C66FF4">
        <w:rPr>
          <w:b w:val="0"/>
          <w:bCs w:val="0"/>
          <w:sz w:val="24"/>
          <w:szCs w:val="24"/>
        </w:rPr>
        <w:t>The Department’s estimates for these costs are displayed below:</w:t>
      </w:r>
    </w:p>
    <w:p w:rsidR="00C66FF4" w:rsidRPr="009D08AC" w:rsidP="00DA63BC" w14:paraId="5E23302C" w14:textId="77777777">
      <w:pPr>
        <w:widowControl/>
        <w:ind w:left="720"/>
        <w:rPr>
          <w:b w:val="0"/>
          <w:bCs w:val="0"/>
          <w:sz w:val="24"/>
          <w:szCs w:val="24"/>
        </w:rPr>
      </w:pPr>
    </w:p>
    <w:tbl>
      <w:tblPr>
        <w:tblW w:w="9810" w:type="dxa"/>
        <w:jc w:val="center"/>
        <w:tblLook w:val="04A0"/>
      </w:tblPr>
      <w:tblGrid>
        <w:gridCol w:w="3330"/>
        <w:gridCol w:w="1980"/>
        <w:gridCol w:w="1260"/>
        <w:gridCol w:w="931"/>
        <w:gridCol w:w="959"/>
        <w:gridCol w:w="1350"/>
      </w:tblGrid>
      <w:tr w14:paraId="7B4AC90E" w14:textId="77777777" w:rsidTr="001824E3">
        <w:tblPrEx>
          <w:tblW w:w="9810" w:type="dxa"/>
          <w:jc w:val="center"/>
          <w:tblLook w:val="04A0"/>
        </w:tblPrEx>
        <w:trPr>
          <w:trHeight w:val="234"/>
          <w:jc w:val="center"/>
        </w:trPr>
        <w:tc>
          <w:tcPr>
            <w:tcW w:w="9810" w:type="dxa"/>
            <w:gridSpan w:val="6"/>
            <w:tcBorders>
              <w:top w:val="nil"/>
              <w:left w:val="nil"/>
              <w:bottom w:val="single" w:sz="8" w:space="0" w:color="auto"/>
              <w:right w:val="nil"/>
            </w:tcBorders>
            <w:shd w:val="clear" w:color="000000" w:fill="FFFFFF"/>
            <w:noWrap/>
            <w:hideMark/>
          </w:tcPr>
          <w:p w:rsidR="00BD3E9B" w:rsidRPr="009D08AC" w:rsidP="007B45BF" w14:paraId="061F569F" w14:textId="275A5969">
            <w:pPr>
              <w:keepNext/>
              <w:widowControl/>
              <w:autoSpaceDE/>
              <w:autoSpaceDN/>
              <w:adjustRightInd/>
              <w:rPr>
                <w:color w:val="000000"/>
                <w:sz w:val="22"/>
                <w:szCs w:val="22"/>
              </w:rPr>
            </w:pPr>
            <w:r w:rsidRPr="009D08AC">
              <w:rPr>
                <w:color w:val="000000"/>
                <w:sz w:val="22"/>
                <w:szCs w:val="22"/>
              </w:rPr>
              <w:t>Table 1</w:t>
            </w:r>
            <w:r w:rsidRPr="009D08AC">
              <w:rPr>
                <w:i/>
                <w:iCs/>
                <w:color w:val="000000"/>
                <w:sz w:val="22"/>
                <w:szCs w:val="22"/>
              </w:rPr>
              <w:t>.—Costs for 2002 Safe Harbor Disclosure Materials</w:t>
            </w:r>
          </w:p>
        </w:tc>
      </w:tr>
      <w:tr w14:paraId="3096BBC4" w14:textId="77777777" w:rsidTr="0047503A">
        <w:tblPrEx>
          <w:tblW w:w="9810" w:type="dxa"/>
          <w:jc w:val="center"/>
          <w:tblLook w:val="04A0"/>
        </w:tblPrEx>
        <w:trPr>
          <w:trHeight w:val="600"/>
          <w:jc w:val="center"/>
        </w:trPr>
        <w:tc>
          <w:tcPr>
            <w:tcW w:w="3330" w:type="dxa"/>
            <w:tcBorders>
              <w:top w:val="nil"/>
              <w:left w:val="nil"/>
              <w:bottom w:val="nil"/>
              <w:right w:val="nil"/>
            </w:tcBorders>
            <w:hideMark/>
          </w:tcPr>
          <w:p w:rsidR="00BD3E9B" w:rsidRPr="009D08AC" w:rsidP="007B45BF" w14:paraId="7F10203C" w14:textId="77777777">
            <w:pPr>
              <w:keepNext/>
              <w:widowControl/>
              <w:autoSpaceDE/>
              <w:autoSpaceDN/>
              <w:adjustRightInd/>
              <w:rPr>
                <w:b w:val="0"/>
                <w:bCs w:val="0"/>
                <w:color w:val="000000"/>
                <w:sz w:val="22"/>
                <w:szCs w:val="22"/>
              </w:rPr>
            </w:pPr>
            <w:r w:rsidRPr="009D08AC">
              <w:rPr>
                <w:b w:val="0"/>
                <w:bCs w:val="0"/>
                <w:color w:val="000000"/>
                <w:sz w:val="22"/>
                <w:szCs w:val="22"/>
              </w:rPr>
              <w:t>Description</w:t>
            </w:r>
          </w:p>
        </w:tc>
        <w:tc>
          <w:tcPr>
            <w:tcW w:w="1980" w:type="dxa"/>
            <w:tcBorders>
              <w:top w:val="nil"/>
              <w:left w:val="nil"/>
              <w:bottom w:val="nil"/>
              <w:right w:val="nil"/>
            </w:tcBorders>
            <w:noWrap/>
            <w:hideMark/>
          </w:tcPr>
          <w:p w:rsidR="00BD3E9B" w:rsidRPr="009D08AC" w:rsidP="007B45BF" w14:paraId="28B18B45" w14:textId="77777777">
            <w:pPr>
              <w:keepNext/>
              <w:widowControl/>
              <w:autoSpaceDE/>
              <w:autoSpaceDN/>
              <w:adjustRightInd/>
              <w:rPr>
                <w:b w:val="0"/>
                <w:bCs w:val="0"/>
                <w:color w:val="000000"/>
                <w:sz w:val="22"/>
                <w:szCs w:val="22"/>
              </w:rPr>
            </w:pPr>
            <w:r w:rsidRPr="009D08AC">
              <w:rPr>
                <w:b w:val="0"/>
                <w:bCs w:val="0"/>
                <w:color w:val="000000"/>
                <w:sz w:val="22"/>
                <w:szCs w:val="22"/>
              </w:rPr>
              <w:t>Affected Entities</w:t>
            </w:r>
          </w:p>
        </w:tc>
        <w:tc>
          <w:tcPr>
            <w:tcW w:w="1260" w:type="dxa"/>
            <w:tcBorders>
              <w:top w:val="nil"/>
              <w:left w:val="nil"/>
              <w:bottom w:val="nil"/>
              <w:right w:val="nil"/>
            </w:tcBorders>
            <w:noWrap/>
            <w:hideMark/>
          </w:tcPr>
          <w:p w:rsidR="00BD3E9B" w:rsidRPr="009D08AC" w:rsidP="007B45BF" w14:paraId="3E389814" w14:textId="77777777">
            <w:pPr>
              <w:keepNext/>
              <w:widowControl/>
              <w:autoSpaceDE/>
              <w:autoSpaceDN/>
              <w:adjustRightInd/>
              <w:jc w:val="right"/>
              <w:rPr>
                <w:b w:val="0"/>
                <w:bCs w:val="0"/>
                <w:color w:val="000000"/>
                <w:sz w:val="22"/>
                <w:szCs w:val="22"/>
              </w:rPr>
            </w:pPr>
            <w:r w:rsidRPr="009D08AC">
              <w:rPr>
                <w:b w:val="0"/>
                <w:bCs w:val="0"/>
                <w:color w:val="000000"/>
                <w:sz w:val="22"/>
                <w:szCs w:val="22"/>
              </w:rPr>
              <w:t>Hours per Entity</w:t>
            </w:r>
          </w:p>
        </w:tc>
        <w:tc>
          <w:tcPr>
            <w:tcW w:w="931" w:type="dxa"/>
            <w:tcBorders>
              <w:top w:val="nil"/>
              <w:left w:val="nil"/>
              <w:bottom w:val="nil"/>
              <w:right w:val="nil"/>
            </w:tcBorders>
            <w:noWrap/>
            <w:hideMark/>
          </w:tcPr>
          <w:p w:rsidR="00BD3E9B" w:rsidRPr="009D08AC" w:rsidP="007B45BF" w14:paraId="1C2F1215" w14:textId="77777777">
            <w:pPr>
              <w:keepNext/>
              <w:widowControl/>
              <w:autoSpaceDE/>
              <w:autoSpaceDN/>
              <w:adjustRightInd/>
              <w:jc w:val="right"/>
              <w:rPr>
                <w:b w:val="0"/>
                <w:bCs w:val="0"/>
                <w:color w:val="000000"/>
                <w:sz w:val="22"/>
                <w:szCs w:val="22"/>
              </w:rPr>
            </w:pPr>
            <w:r w:rsidRPr="009D08AC">
              <w:rPr>
                <w:b w:val="0"/>
                <w:bCs w:val="0"/>
                <w:color w:val="000000"/>
                <w:sz w:val="22"/>
                <w:szCs w:val="22"/>
              </w:rPr>
              <w:t>Hourly Wage</w:t>
            </w:r>
          </w:p>
        </w:tc>
        <w:tc>
          <w:tcPr>
            <w:tcW w:w="959" w:type="dxa"/>
            <w:tcBorders>
              <w:top w:val="nil"/>
              <w:left w:val="nil"/>
              <w:bottom w:val="nil"/>
              <w:right w:val="nil"/>
            </w:tcBorders>
            <w:noWrap/>
            <w:hideMark/>
          </w:tcPr>
          <w:p w:rsidR="00BD3E9B" w:rsidRPr="009D08AC" w:rsidP="007B45BF" w14:paraId="54D568CC" w14:textId="77777777">
            <w:pPr>
              <w:keepNext/>
              <w:widowControl/>
              <w:autoSpaceDE/>
              <w:autoSpaceDN/>
              <w:adjustRightInd/>
              <w:jc w:val="right"/>
              <w:rPr>
                <w:b w:val="0"/>
                <w:bCs w:val="0"/>
                <w:color w:val="000000"/>
                <w:sz w:val="22"/>
                <w:szCs w:val="22"/>
              </w:rPr>
            </w:pPr>
            <w:r w:rsidRPr="009D08AC">
              <w:rPr>
                <w:b w:val="0"/>
                <w:bCs w:val="0"/>
                <w:color w:val="000000"/>
                <w:sz w:val="22"/>
                <w:szCs w:val="22"/>
              </w:rPr>
              <w:t>Total Hours</w:t>
            </w:r>
          </w:p>
        </w:tc>
        <w:tc>
          <w:tcPr>
            <w:tcW w:w="1350" w:type="dxa"/>
            <w:tcBorders>
              <w:top w:val="nil"/>
              <w:left w:val="nil"/>
              <w:bottom w:val="nil"/>
              <w:right w:val="nil"/>
            </w:tcBorders>
            <w:noWrap/>
            <w:hideMark/>
          </w:tcPr>
          <w:p w:rsidR="00BD3E9B" w:rsidRPr="009D08AC" w:rsidP="007B45BF" w14:paraId="1A224AA8" w14:textId="77777777">
            <w:pPr>
              <w:keepNext/>
              <w:widowControl/>
              <w:autoSpaceDE/>
              <w:autoSpaceDN/>
              <w:adjustRightInd/>
              <w:jc w:val="right"/>
              <w:rPr>
                <w:b w:val="0"/>
                <w:bCs w:val="0"/>
                <w:color w:val="000000"/>
                <w:sz w:val="22"/>
                <w:szCs w:val="22"/>
              </w:rPr>
            </w:pPr>
            <w:r w:rsidRPr="009D08AC">
              <w:rPr>
                <w:b w:val="0"/>
                <w:bCs w:val="0"/>
                <w:color w:val="000000"/>
                <w:sz w:val="22"/>
                <w:szCs w:val="22"/>
              </w:rPr>
              <w:t>Equivalent Cost</w:t>
            </w:r>
          </w:p>
        </w:tc>
      </w:tr>
      <w:tr w14:paraId="0BD174FE" w14:textId="77777777" w:rsidTr="0047503A">
        <w:tblPrEx>
          <w:tblW w:w="9810" w:type="dxa"/>
          <w:jc w:val="center"/>
          <w:tblLook w:val="04A0"/>
        </w:tblPrEx>
        <w:trPr>
          <w:trHeight w:val="300"/>
          <w:jc w:val="center"/>
        </w:trPr>
        <w:tc>
          <w:tcPr>
            <w:tcW w:w="3330" w:type="dxa"/>
            <w:tcBorders>
              <w:top w:val="nil"/>
              <w:left w:val="nil"/>
              <w:bottom w:val="nil"/>
              <w:right w:val="nil"/>
            </w:tcBorders>
            <w:hideMark/>
          </w:tcPr>
          <w:p w:rsidR="00BD3E9B" w:rsidRPr="009D08AC" w:rsidP="007B45BF" w14:paraId="21AE128A" w14:textId="77777777">
            <w:pPr>
              <w:keepNext/>
              <w:widowControl/>
              <w:autoSpaceDE/>
              <w:autoSpaceDN/>
              <w:adjustRightInd/>
              <w:rPr>
                <w:b w:val="0"/>
                <w:bCs w:val="0"/>
                <w:color w:val="000000"/>
                <w:sz w:val="22"/>
                <w:szCs w:val="22"/>
              </w:rPr>
            </w:pPr>
          </w:p>
        </w:tc>
        <w:tc>
          <w:tcPr>
            <w:tcW w:w="1980" w:type="dxa"/>
            <w:tcBorders>
              <w:top w:val="nil"/>
              <w:left w:val="nil"/>
              <w:bottom w:val="nil"/>
              <w:right w:val="nil"/>
            </w:tcBorders>
            <w:noWrap/>
            <w:hideMark/>
          </w:tcPr>
          <w:p w:rsidR="00BD3E9B" w:rsidRPr="009D08AC" w:rsidP="007B45BF" w14:paraId="2E0A04C9" w14:textId="77777777">
            <w:pPr>
              <w:keepNext/>
              <w:widowControl/>
              <w:autoSpaceDE/>
              <w:autoSpaceDN/>
              <w:adjustRightInd/>
              <w:rPr>
                <w:b w:val="0"/>
                <w:bCs w:val="0"/>
                <w:color w:val="000000"/>
                <w:sz w:val="22"/>
                <w:szCs w:val="22"/>
              </w:rPr>
            </w:pPr>
            <w:r w:rsidRPr="009D08AC">
              <w:rPr>
                <w:b w:val="0"/>
                <w:bCs w:val="0"/>
                <w:color w:val="000000"/>
                <w:sz w:val="22"/>
                <w:szCs w:val="22"/>
              </w:rPr>
              <w:t>(A)</w:t>
            </w:r>
          </w:p>
        </w:tc>
        <w:tc>
          <w:tcPr>
            <w:tcW w:w="1260" w:type="dxa"/>
            <w:tcBorders>
              <w:top w:val="nil"/>
              <w:left w:val="nil"/>
              <w:bottom w:val="nil"/>
              <w:right w:val="nil"/>
            </w:tcBorders>
            <w:noWrap/>
            <w:hideMark/>
          </w:tcPr>
          <w:p w:rsidR="00BD3E9B" w:rsidRPr="009D08AC" w:rsidP="007B45BF" w14:paraId="516665E4" w14:textId="77777777">
            <w:pPr>
              <w:keepNext/>
              <w:widowControl/>
              <w:autoSpaceDE/>
              <w:autoSpaceDN/>
              <w:adjustRightInd/>
              <w:jc w:val="right"/>
              <w:rPr>
                <w:b w:val="0"/>
                <w:bCs w:val="0"/>
                <w:color w:val="000000"/>
                <w:sz w:val="22"/>
                <w:szCs w:val="22"/>
              </w:rPr>
            </w:pPr>
            <w:r w:rsidRPr="009D08AC">
              <w:rPr>
                <w:b w:val="0"/>
                <w:bCs w:val="0"/>
                <w:color w:val="000000"/>
                <w:sz w:val="22"/>
                <w:szCs w:val="22"/>
              </w:rPr>
              <w:t>(B)</w:t>
            </w:r>
          </w:p>
        </w:tc>
        <w:tc>
          <w:tcPr>
            <w:tcW w:w="931" w:type="dxa"/>
            <w:tcBorders>
              <w:top w:val="nil"/>
              <w:left w:val="nil"/>
              <w:bottom w:val="nil"/>
              <w:right w:val="nil"/>
            </w:tcBorders>
            <w:noWrap/>
            <w:hideMark/>
          </w:tcPr>
          <w:p w:rsidR="00BD3E9B" w:rsidRPr="009D08AC" w:rsidP="007B45BF" w14:paraId="605FB19F" w14:textId="77777777">
            <w:pPr>
              <w:keepNext/>
              <w:widowControl/>
              <w:autoSpaceDE/>
              <w:autoSpaceDN/>
              <w:adjustRightInd/>
              <w:jc w:val="right"/>
              <w:rPr>
                <w:b w:val="0"/>
                <w:bCs w:val="0"/>
                <w:color w:val="000000"/>
                <w:sz w:val="22"/>
                <w:szCs w:val="22"/>
              </w:rPr>
            </w:pPr>
            <w:r w:rsidRPr="009D08AC">
              <w:rPr>
                <w:b w:val="0"/>
                <w:bCs w:val="0"/>
                <w:color w:val="000000"/>
                <w:sz w:val="22"/>
                <w:szCs w:val="22"/>
              </w:rPr>
              <w:t>(C)</w:t>
            </w:r>
          </w:p>
        </w:tc>
        <w:tc>
          <w:tcPr>
            <w:tcW w:w="959" w:type="dxa"/>
            <w:tcBorders>
              <w:top w:val="nil"/>
              <w:left w:val="nil"/>
              <w:bottom w:val="nil"/>
              <w:right w:val="nil"/>
            </w:tcBorders>
            <w:noWrap/>
            <w:hideMark/>
          </w:tcPr>
          <w:p w:rsidR="00BD3E9B" w:rsidRPr="009D08AC" w:rsidP="007B45BF" w14:paraId="522DF9C7" w14:textId="77777777">
            <w:pPr>
              <w:keepNext/>
              <w:widowControl/>
              <w:autoSpaceDE/>
              <w:autoSpaceDN/>
              <w:adjustRightInd/>
              <w:jc w:val="right"/>
              <w:rPr>
                <w:b w:val="0"/>
                <w:bCs w:val="0"/>
                <w:color w:val="000000"/>
                <w:sz w:val="22"/>
                <w:szCs w:val="22"/>
              </w:rPr>
            </w:pPr>
            <w:r w:rsidRPr="009D08AC">
              <w:rPr>
                <w:b w:val="0"/>
                <w:bCs w:val="0"/>
                <w:color w:val="000000"/>
                <w:sz w:val="22"/>
                <w:szCs w:val="22"/>
              </w:rPr>
              <w:t>(A x B)</w:t>
            </w:r>
          </w:p>
        </w:tc>
        <w:tc>
          <w:tcPr>
            <w:tcW w:w="1350" w:type="dxa"/>
            <w:tcBorders>
              <w:top w:val="nil"/>
              <w:left w:val="nil"/>
              <w:bottom w:val="nil"/>
              <w:right w:val="nil"/>
            </w:tcBorders>
            <w:noWrap/>
            <w:hideMark/>
          </w:tcPr>
          <w:p w:rsidR="00BD3E9B" w:rsidRPr="009D08AC" w:rsidP="007B45BF" w14:paraId="48D4190A" w14:textId="77777777">
            <w:pPr>
              <w:keepNext/>
              <w:widowControl/>
              <w:autoSpaceDE/>
              <w:autoSpaceDN/>
              <w:adjustRightInd/>
              <w:jc w:val="right"/>
              <w:rPr>
                <w:b w:val="0"/>
                <w:bCs w:val="0"/>
                <w:color w:val="000000"/>
                <w:sz w:val="22"/>
                <w:szCs w:val="22"/>
              </w:rPr>
            </w:pPr>
            <w:r w:rsidRPr="009D08AC">
              <w:rPr>
                <w:b w:val="0"/>
                <w:bCs w:val="0"/>
                <w:color w:val="000000"/>
                <w:sz w:val="22"/>
                <w:szCs w:val="22"/>
              </w:rPr>
              <w:t>(A x B x C)</w:t>
            </w:r>
          </w:p>
        </w:tc>
      </w:tr>
      <w:tr w14:paraId="1655A8D9" w14:textId="77777777" w:rsidTr="001824E3">
        <w:tblPrEx>
          <w:tblW w:w="9810" w:type="dxa"/>
          <w:jc w:val="center"/>
          <w:tblLook w:val="04A0"/>
        </w:tblPrEx>
        <w:trPr>
          <w:trHeight w:val="300"/>
          <w:jc w:val="center"/>
        </w:trPr>
        <w:tc>
          <w:tcPr>
            <w:tcW w:w="3330" w:type="dxa"/>
            <w:tcBorders>
              <w:top w:val="single" w:sz="4" w:space="0" w:color="auto"/>
              <w:left w:val="nil"/>
              <w:bottom w:val="nil"/>
              <w:right w:val="nil"/>
            </w:tcBorders>
            <w:hideMark/>
          </w:tcPr>
          <w:p w:rsidR="00BD3E9B" w:rsidRPr="009D08AC" w:rsidP="007B45BF" w14:paraId="7D81FE60" w14:textId="77777777">
            <w:pPr>
              <w:keepNext/>
              <w:widowControl/>
              <w:autoSpaceDE/>
              <w:autoSpaceDN/>
              <w:adjustRightInd/>
              <w:rPr>
                <w:b w:val="0"/>
                <w:sz w:val="22"/>
                <w:szCs w:val="22"/>
              </w:rPr>
            </w:pPr>
            <w:r w:rsidRPr="009D08AC">
              <w:rPr>
                <w:b w:val="0"/>
                <w:sz w:val="22"/>
                <w:szCs w:val="22"/>
              </w:rPr>
              <w:t>Legal professional prepares disclosure materials (2002 safe harbor)</w:t>
            </w:r>
          </w:p>
        </w:tc>
        <w:tc>
          <w:tcPr>
            <w:tcW w:w="1980" w:type="dxa"/>
            <w:tcBorders>
              <w:top w:val="single" w:sz="4" w:space="0" w:color="auto"/>
              <w:left w:val="nil"/>
              <w:bottom w:val="nil"/>
              <w:right w:val="nil"/>
            </w:tcBorders>
            <w:noWrap/>
            <w:hideMark/>
          </w:tcPr>
          <w:p w:rsidR="00BD3E9B" w:rsidRPr="009D08AC" w:rsidP="007B45BF" w14:paraId="7F089B5D" w14:textId="6F6A7F0D">
            <w:pPr>
              <w:keepNext/>
              <w:widowControl/>
              <w:autoSpaceDE/>
              <w:autoSpaceDN/>
              <w:adjustRightInd/>
              <w:rPr>
                <w:b w:val="0"/>
                <w:bCs w:val="0"/>
                <w:color w:val="000000"/>
                <w:sz w:val="22"/>
                <w:szCs w:val="22"/>
              </w:rPr>
            </w:pPr>
            <w:r w:rsidRPr="009D08AC">
              <w:rPr>
                <w:b w:val="0"/>
                <w:bCs w:val="0"/>
                <w:color w:val="000000"/>
                <w:sz w:val="22"/>
                <w:szCs w:val="22"/>
              </w:rPr>
              <w:t>31,957 Pension and Welfare Plans</w:t>
            </w:r>
          </w:p>
        </w:tc>
        <w:tc>
          <w:tcPr>
            <w:tcW w:w="1260" w:type="dxa"/>
            <w:tcBorders>
              <w:top w:val="single" w:sz="4" w:space="0" w:color="auto"/>
              <w:left w:val="nil"/>
              <w:bottom w:val="nil"/>
              <w:right w:val="nil"/>
            </w:tcBorders>
            <w:noWrap/>
            <w:hideMark/>
          </w:tcPr>
          <w:p w:rsidR="00BD3E9B" w:rsidRPr="009D08AC" w:rsidP="007B45BF" w14:paraId="083D2D9C" w14:textId="63990870">
            <w:pPr>
              <w:keepNext/>
              <w:widowControl/>
              <w:autoSpaceDE/>
              <w:autoSpaceDN/>
              <w:adjustRightInd/>
              <w:jc w:val="right"/>
              <w:rPr>
                <w:b w:val="0"/>
                <w:sz w:val="22"/>
                <w:szCs w:val="22"/>
              </w:rPr>
            </w:pPr>
            <w:r w:rsidRPr="009D08AC">
              <w:rPr>
                <w:b w:val="0"/>
                <w:sz w:val="22"/>
                <w:szCs w:val="22"/>
              </w:rPr>
              <w:t>10/60</w:t>
            </w:r>
          </w:p>
        </w:tc>
        <w:tc>
          <w:tcPr>
            <w:tcW w:w="931" w:type="dxa"/>
            <w:tcBorders>
              <w:top w:val="single" w:sz="4" w:space="0" w:color="auto"/>
              <w:left w:val="nil"/>
              <w:bottom w:val="nil"/>
              <w:right w:val="nil"/>
            </w:tcBorders>
            <w:noWrap/>
            <w:hideMark/>
          </w:tcPr>
          <w:p w:rsidR="00BD3E9B" w:rsidRPr="009D08AC" w:rsidP="007B45BF" w14:paraId="2E0B5FA9" w14:textId="77777777">
            <w:pPr>
              <w:keepNext/>
              <w:widowControl/>
              <w:autoSpaceDE/>
              <w:autoSpaceDN/>
              <w:adjustRightInd/>
              <w:jc w:val="right"/>
              <w:rPr>
                <w:b w:val="0"/>
                <w:bCs w:val="0"/>
                <w:color w:val="000000"/>
                <w:sz w:val="22"/>
                <w:szCs w:val="22"/>
              </w:rPr>
            </w:pPr>
            <w:r w:rsidRPr="009D08AC">
              <w:rPr>
                <w:b w:val="0"/>
                <w:bCs w:val="0"/>
                <w:color w:val="000000"/>
                <w:sz w:val="22"/>
                <w:szCs w:val="22"/>
              </w:rPr>
              <w:t>$181.06</w:t>
            </w:r>
          </w:p>
        </w:tc>
        <w:tc>
          <w:tcPr>
            <w:tcW w:w="959" w:type="dxa"/>
            <w:tcBorders>
              <w:top w:val="single" w:sz="4" w:space="0" w:color="auto"/>
              <w:left w:val="nil"/>
              <w:bottom w:val="nil"/>
              <w:right w:val="nil"/>
            </w:tcBorders>
            <w:noWrap/>
            <w:hideMark/>
          </w:tcPr>
          <w:p w:rsidR="00BD3E9B" w:rsidRPr="009D08AC" w:rsidP="007B45BF" w14:paraId="0561B3C2" w14:textId="023D9A53">
            <w:pPr>
              <w:keepNext/>
              <w:widowControl/>
              <w:autoSpaceDE/>
              <w:autoSpaceDN/>
              <w:adjustRightInd/>
              <w:jc w:val="right"/>
              <w:rPr>
                <w:b w:val="0"/>
                <w:sz w:val="22"/>
                <w:szCs w:val="22"/>
              </w:rPr>
            </w:pPr>
            <w:r w:rsidRPr="009D08AC">
              <w:rPr>
                <w:b w:val="0"/>
                <w:sz w:val="22"/>
                <w:szCs w:val="22"/>
              </w:rPr>
              <w:t>5,326</w:t>
            </w:r>
          </w:p>
        </w:tc>
        <w:tc>
          <w:tcPr>
            <w:tcW w:w="1350" w:type="dxa"/>
            <w:tcBorders>
              <w:top w:val="single" w:sz="4" w:space="0" w:color="auto"/>
              <w:left w:val="nil"/>
              <w:bottom w:val="nil"/>
              <w:right w:val="nil"/>
            </w:tcBorders>
            <w:noWrap/>
            <w:hideMark/>
          </w:tcPr>
          <w:p w:rsidR="00BD3E9B" w:rsidRPr="009D08AC" w:rsidP="007B45BF" w14:paraId="1039D965" w14:textId="77777777">
            <w:pPr>
              <w:keepNext/>
              <w:widowControl/>
              <w:autoSpaceDE/>
              <w:autoSpaceDN/>
              <w:adjustRightInd/>
              <w:jc w:val="right"/>
              <w:rPr>
                <w:b w:val="0"/>
                <w:bCs w:val="0"/>
                <w:color w:val="000000"/>
                <w:sz w:val="22"/>
                <w:szCs w:val="22"/>
              </w:rPr>
            </w:pPr>
            <w:r w:rsidRPr="009D08AC">
              <w:rPr>
                <w:b w:val="0"/>
                <w:bCs w:val="0"/>
                <w:color w:val="000000"/>
                <w:sz w:val="22"/>
                <w:szCs w:val="22"/>
              </w:rPr>
              <w:t>$964,342</w:t>
            </w:r>
          </w:p>
        </w:tc>
      </w:tr>
      <w:tr w14:paraId="0DA53B0F" w14:textId="77777777" w:rsidTr="003611AD">
        <w:tblPrEx>
          <w:tblW w:w="9810" w:type="dxa"/>
          <w:jc w:val="center"/>
          <w:tblLook w:val="04A0"/>
        </w:tblPrEx>
        <w:trPr>
          <w:trHeight w:val="525"/>
          <w:jc w:val="center"/>
        </w:trPr>
        <w:tc>
          <w:tcPr>
            <w:tcW w:w="3330" w:type="dxa"/>
            <w:tcBorders>
              <w:top w:val="nil"/>
              <w:left w:val="nil"/>
              <w:bottom w:val="single" w:sz="4" w:space="0" w:color="auto"/>
              <w:right w:val="nil"/>
            </w:tcBorders>
            <w:hideMark/>
          </w:tcPr>
          <w:p w:rsidR="00BD3E9B" w:rsidRPr="009D08AC" w:rsidP="007B45BF" w14:paraId="6F3B464D" w14:textId="5E8A291D">
            <w:pPr>
              <w:keepNext/>
              <w:widowControl/>
              <w:autoSpaceDE/>
              <w:autoSpaceDN/>
              <w:adjustRightInd/>
              <w:rPr>
                <w:b w:val="0"/>
                <w:sz w:val="22"/>
                <w:szCs w:val="22"/>
              </w:rPr>
            </w:pPr>
            <w:r w:rsidRPr="009D08AC">
              <w:rPr>
                <w:b w:val="0"/>
                <w:sz w:val="22"/>
                <w:szCs w:val="22"/>
              </w:rPr>
              <w:t xml:space="preserve">Clerical </w:t>
            </w:r>
            <w:r w:rsidRPr="009D08AC" w:rsidR="0047503A">
              <w:rPr>
                <w:b w:val="0"/>
                <w:sz w:val="22"/>
                <w:szCs w:val="22"/>
              </w:rPr>
              <w:t>professional</w:t>
            </w:r>
            <w:r w:rsidRPr="009D08AC">
              <w:rPr>
                <w:b w:val="0"/>
                <w:sz w:val="22"/>
                <w:szCs w:val="22"/>
              </w:rPr>
              <w:t xml:space="preserve"> photocopies and organize materials (2002 safe harbor)</w:t>
            </w:r>
          </w:p>
        </w:tc>
        <w:tc>
          <w:tcPr>
            <w:tcW w:w="1980" w:type="dxa"/>
            <w:tcBorders>
              <w:top w:val="nil"/>
              <w:left w:val="nil"/>
              <w:bottom w:val="single" w:sz="4" w:space="0" w:color="auto"/>
              <w:right w:val="nil"/>
            </w:tcBorders>
            <w:hideMark/>
          </w:tcPr>
          <w:p w:rsidR="00BD3E9B" w:rsidRPr="009D08AC" w:rsidP="007B45BF" w14:paraId="5004DE06" w14:textId="018A2883">
            <w:pPr>
              <w:keepNext/>
              <w:widowControl/>
              <w:autoSpaceDE/>
              <w:autoSpaceDN/>
              <w:adjustRightInd/>
              <w:rPr>
                <w:b w:val="0"/>
                <w:bCs w:val="0"/>
                <w:color w:val="000000"/>
                <w:sz w:val="22"/>
                <w:szCs w:val="22"/>
              </w:rPr>
            </w:pPr>
            <w:r w:rsidRPr="009D08AC">
              <w:rPr>
                <w:b w:val="0"/>
                <w:bCs w:val="0"/>
                <w:color w:val="000000"/>
                <w:sz w:val="22"/>
                <w:szCs w:val="22"/>
              </w:rPr>
              <w:t>31,957 Pension and Welfare Plans</w:t>
            </w:r>
          </w:p>
        </w:tc>
        <w:tc>
          <w:tcPr>
            <w:tcW w:w="1260" w:type="dxa"/>
            <w:tcBorders>
              <w:top w:val="nil"/>
              <w:left w:val="nil"/>
              <w:bottom w:val="single" w:sz="4" w:space="0" w:color="auto"/>
              <w:right w:val="nil"/>
            </w:tcBorders>
            <w:noWrap/>
            <w:hideMark/>
          </w:tcPr>
          <w:p w:rsidR="00BD3E9B" w:rsidRPr="009D08AC" w:rsidP="007B45BF" w14:paraId="65C6754D" w14:textId="2C40D6A0">
            <w:pPr>
              <w:keepNext/>
              <w:widowControl/>
              <w:autoSpaceDE/>
              <w:autoSpaceDN/>
              <w:adjustRightInd/>
              <w:jc w:val="right"/>
              <w:rPr>
                <w:b w:val="0"/>
                <w:sz w:val="22"/>
                <w:szCs w:val="22"/>
              </w:rPr>
            </w:pPr>
            <w:r w:rsidRPr="009D08AC">
              <w:rPr>
                <w:b w:val="0"/>
                <w:sz w:val="22"/>
                <w:szCs w:val="22"/>
              </w:rPr>
              <w:t>15/60</w:t>
            </w:r>
          </w:p>
        </w:tc>
        <w:tc>
          <w:tcPr>
            <w:tcW w:w="931" w:type="dxa"/>
            <w:tcBorders>
              <w:top w:val="nil"/>
              <w:left w:val="nil"/>
              <w:bottom w:val="single" w:sz="4" w:space="0" w:color="auto"/>
              <w:right w:val="nil"/>
            </w:tcBorders>
            <w:noWrap/>
            <w:hideMark/>
          </w:tcPr>
          <w:p w:rsidR="00BD3E9B" w:rsidRPr="009D08AC" w:rsidP="007B45BF" w14:paraId="098F051C" w14:textId="77777777">
            <w:pPr>
              <w:keepNext/>
              <w:widowControl/>
              <w:autoSpaceDE/>
              <w:autoSpaceDN/>
              <w:adjustRightInd/>
              <w:jc w:val="right"/>
              <w:rPr>
                <w:b w:val="0"/>
                <w:bCs w:val="0"/>
                <w:color w:val="000000"/>
                <w:sz w:val="22"/>
                <w:szCs w:val="22"/>
              </w:rPr>
            </w:pPr>
            <w:r w:rsidRPr="009D08AC">
              <w:rPr>
                <w:b w:val="0"/>
                <w:bCs w:val="0"/>
                <w:color w:val="000000"/>
                <w:sz w:val="22"/>
                <w:szCs w:val="22"/>
              </w:rPr>
              <w:t>$70.29</w:t>
            </w:r>
          </w:p>
        </w:tc>
        <w:tc>
          <w:tcPr>
            <w:tcW w:w="959" w:type="dxa"/>
            <w:tcBorders>
              <w:top w:val="nil"/>
              <w:left w:val="nil"/>
              <w:bottom w:val="single" w:sz="4" w:space="0" w:color="auto"/>
              <w:right w:val="nil"/>
            </w:tcBorders>
            <w:noWrap/>
            <w:hideMark/>
          </w:tcPr>
          <w:p w:rsidR="00BD3E9B" w:rsidRPr="009D08AC" w:rsidP="007B45BF" w14:paraId="4EC3B97F" w14:textId="203740E3">
            <w:pPr>
              <w:keepNext/>
              <w:widowControl/>
              <w:autoSpaceDE/>
              <w:autoSpaceDN/>
              <w:adjustRightInd/>
              <w:jc w:val="right"/>
              <w:rPr>
                <w:b w:val="0"/>
                <w:sz w:val="22"/>
                <w:szCs w:val="22"/>
              </w:rPr>
            </w:pPr>
            <w:r w:rsidRPr="009D08AC">
              <w:rPr>
                <w:b w:val="0"/>
                <w:sz w:val="22"/>
                <w:szCs w:val="22"/>
              </w:rPr>
              <w:t>7,989</w:t>
            </w:r>
          </w:p>
        </w:tc>
        <w:tc>
          <w:tcPr>
            <w:tcW w:w="1350" w:type="dxa"/>
            <w:tcBorders>
              <w:top w:val="nil"/>
              <w:left w:val="nil"/>
              <w:bottom w:val="single" w:sz="4" w:space="0" w:color="auto"/>
              <w:right w:val="nil"/>
            </w:tcBorders>
            <w:noWrap/>
            <w:hideMark/>
          </w:tcPr>
          <w:p w:rsidR="00BD3E9B" w:rsidRPr="009D08AC" w:rsidP="007B45BF" w14:paraId="45B00B10" w14:textId="77777777">
            <w:pPr>
              <w:keepNext/>
              <w:widowControl/>
              <w:autoSpaceDE/>
              <w:autoSpaceDN/>
              <w:adjustRightInd/>
              <w:jc w:val="right"/>
              <w:rPr>
                <w:b w:val="0"/>
                <w:bCs w:val="0"/>
                <w:color w:val="000000"/>
                <w:sz w:val="22"/>
                <w:szCs w:val="22"/>
              </w:rPr>
            </w:pPr>
            <w:r w:rsidRPr="009D08AC">
              <w:rPr>
                <w:b w:val="0"/>
                <w:bCs w:val="0"/>
                <w:color w:val="000000"/>
                <w:sz w:val="22"/>
                <w:szCs w:val="22"/>
              </w:rPr>
              <w:t>$561,556</w:t>
            </w:r>
          </w:p>
        </w:tc>
      </w:tr>
      <w:tr w14:paraId="7E7FFC29" w14:textId="77777777" w:rsidTr="003611AD">
        <w:tblPrEx>
          <w:tblW w:w="9810" w:type="dxa"/>
          <w:jc w:val="center"/>
          <w:tblLook w:val="04A0"/>
        </w:tblPrEx>
        <w:trPr>
          <w:trHeight w:val="315"/>
          <w:jc w:val="center"/>
        </w:trPr>
        <w:tc>
          <w:tcPr>
            <w:tcW w:w="6570" w:type="dxa"/>
            <w:gridSpan w:val="3"/>
            <w:tcBorders>
              <w:top w:val="single" w:sz="4" w:space="0" w:color="auto"/>
              <w:bottom w:val="single" w:sz="4" w:space="0" w:color="auto"/>
              <w:right w:val="nil"/>
            </w:tcBorders>
            <w:noWrap/>
            <w:hideMark/>
          </w:tcPr>
          <w:p w:rsidR="00BD3E9B" w:rsidRPr="009D08AC" w:rsidP="007B45BF" w14:paraId="16D7648D" w14:textId="39AB5BCF">
            <w:pPr>
              <w:keepNext/>
              <w:widowControl/>
              <w:autoSpaceDE/>
              <w:autoSpaceDN/>
              <w:adjustRightInd/>
              <w:rPr>
                <w:color w:val="000000"/>
                <w:sz w:val="22"/>
                <w:szCs w:val="22"/>
                <w:vertAlign w:val="superscript"/>
              </w:rPr>
            </w:pPr>
            <w:r w:rsidRPr="009D08AC">
              <w:rPr>
                <w:color w:val="000000"/>
                <w:sz w:val="22"/>
                <w:szCs w:val="22"/>
              </w:rPr>
              <w:t>Total</w:t>
            </w:r>
            <w:r w:rsidRPr="009D08AC" w:rsidR="00767F0B">
              <w:rPr>
                <w:color w:val="000000"/>
                <w:sz w:val="22"/>
                <w:szCs w:val="22"/>
                <w:vertAlign w:val="superscript"/>
              </w:rPr>
              <w:t>1</w:t>
            </w:r>
          </w:p>
        </w:tc>
        <w:tc>
          <w:tcPr>
            <w:tcW w:w="931" w:type="dxa"/>
            <w:tcBorders>
              <w:top w:val="single" w:sz="4" w:space="0" w:color="auto"/>
              <w:left w:val="nil"/>
              <w:bottom w:val="single" w:sz="4" w:space="0" w:color="auto"/>
              <w:right w:val="nil"/>
            </w:tcBorders>
            <w:noWrap/>
            <w:hideMark/>
          </w:tcPr>
          <w:p w:rsidR="00BD3E9B" w:rsidRPr="009D08AC" w:rsidP="007B45BF" w14:paraId="60392E3E" w14:textId="77777777">
            <w:pPr>
              <w:keepNext/>
              <w:widowControl/>
              <w:autoSpaceDE/>
              <w:autoSpaceDN/>
              <w:adjustRightInd/>
              <w:rPr>
                <w:b w:val="0"/>
                <w:bCs w:val="0"/>
                <w:color w:val="000000"/>
                <w:sz w:val="22"/>
                <w:szCs w:val="22"/>
              </w:rPr>
            </w:pPr>
            <w:r w:rsidRPr="009D08AC">
              <w:rPr>
                <w:b w:val="0"/>
                <w:bCs w:val="0"/>
                <w:color w:val="000000"/>
                <w:sz w:val="22"/>
                <w:szCs w:val="22"/>
              </w:rPr>
              <w:t> </w:t>
            </w:r>
          </w:p>
        </w:tc>
        <w:tc>
          <w:tcPr>
            <w:tcW w:w="959" w:type="dxa"/>
            <w:tcBorders>
              <w:top w:val="single" w:sz="4" w:space="0" w:color="auto"/>
              <w:left w:val="nil"/>
              <w:bottom w:val="single" w:sz="4" w:space="0" w:color="auto"/>
              <w:right w:val="nil"/>
            </w:tcBorders>
            <w:noWrap/>
            <w:hideMark/>
          </w:tcPr>
          <w:p w:rsidR="00BD3E9B" w:rsidRPr="009D08AC" w:rsidP="007B45BF" w14:paraId="0CAFE322" w14:textId="4AFA1DD9">
            <w:pPr>
              <w:keepNext/>
              <w:widowControl/>
              <w:autoSpaceDE/>
              <w:autoSpaceDN/>
              <w:adjustRightInd/>
              <w:jc w:val="right"/>
              <w:rPr>
                <w:color w:val="000000"/>
                <w:sz w:val="22"/>
                <w:szCs w:val="22"/>
              </w:rPr>
            </w:pPr>
            <w:r w:rsidRPr="009D08AC">
              <w:rPr>
                <w:color w:val="000000"/>
                <w:sz w:val="22"/>
                <w:szCs w:val="22"/>
              </w:rPr>
              <w:t>13,315</w:t>
            </w:r>
          </w:p>
        </w:tc>
        <w:tc>
          <w:tcPr>
            <w:tcW w:w="1350" w:type="dxa"/>
            <w:tcBorders>
              <w:top w:val="single" w:sz="4" w:space="0" w:color="auto"/>
              <w:left w:val="nil"/>
              <w:bottom w:val="single" w:sz="4" w:space="0" w:color="auto"/>
              <w:right w:val="nil"/>
            </w:tcBorders>
            <w:noWrap/>
            <w:hideMark/>
          </w:tcPr>
          <w:p w:rsidR="00BD3E9B" w:rsidRPr="009D08AC" w:rsidP="007B45BF" w14:paraId="52A94453" w14:textId="77777777">
            <w:pPr>
              <w:keepNext/>
              <w:widowControl/>
              <w:autoSpaceDE/>
              <w:autoSpaceDN/>
              <w:adjustRightInd/>
              <w:jc w:val="right"/>
              <w:rPr>
                <w:color w:val="000000"/>
                <w:sz w:val="22"/>
                <w:szCs w:val="22"/>
              </w:rPr>
            </w:pPr>
            <w:r w:rsidRPr="009D08AC">
              <w:rPr>
                <w:color w:val="000000"/>
                <w:sz w:val="22"/>
                <w:szCs w:val="22"/>
              </w:rPr>
              <w:t>$1,525,898</w:t>
            </w:r>
          </w:p>
        </w:tc>
      </w:tr>
      <w:tr w14:paraId="1C8644BC" w14:textId="77777777" w:rsidTr="003611AD">
        <w:tblPrEx>
          <w:tblW w:w="9810" w:type="dxa"/>
          <w:jc w:val="center"/>
          <w:tblLook w:val="04A0"/>
        </w:tblPrEx>
        <w:trPr>
          <w:trHeight w:val="315"/>
          <w:jc w:val="center"/>
        </w:trPr>
        <w:tc>
          <w:tcPr>
            <w:tcW w:w="9810" w:type="dxa"/>
            <w:gridSpan w:val="6"/>
            <w:tcBorders>
              <w:top w:val="single" w:sz="4" w:space="0" w:color="auto"/>
              <w:right w:val="nil"/>
            </w:tcBorders>
            <w:noWrap/>
          </w:tcPr>
          <w:p w:rsidR="00767F0B" w:rsidRPr="009D08AC" w:rsidP="00767F0B" w14:paraId="68F5107C" w14:textId="525B8A49">
            <w:pPr>
              <w:keepNext/>
              <w:widowControl/>
              <w:autoSpaceDE/>
              <w:autoSpaceDN/>
              <w:adjustRightInd/>
              <w:rPr>
                <w:color w:val="000000"/>
                <w:sz w:val="22"/>
                <w:szCs w:val="22"/>
              </w:rPr>
            </w:pPr>
            <w:r w:rsidRPr="009D08AC">
              <w:rPr>
                <w:rStyle w:val="FootnoteReference"/>
                <w:vertAlign w:val="superscript"/>
              </w:rPr>
              <w:footnoteRef/>
            </w:r>
            <w:r w:rsidRPr="009D08AC">
              <w:rPr>
                <w:vertAlign w:val="superscript"/>
              </w:rPr>
              <w:t xml:space="preserve"> </w:t>
            </w:r>
            <w:r w:rsidRPr="009D08AC">
              <w:rPr>
                <w:b w:val="0"/>
                <w:bCs w:val="0"/>
              </w:rPr>
              <w:t xml:space="preserve">The Department has not rounded intermediate values, so the components may not </w:t>
            </w:r>
            <w:r w:rsidRPr="009D08AC">
              <w:rPr>
                <w:b w:val="0"/>
                <w:bCs w:val="0"/>
              </w:rPr>
              <w:t>sum</w:t>
            </w:r>
            <w:r w:rsidRPr="009D08AC">
              <w:rPr>
                <w:b w:val="0"/>
                <w:bCs w:val="0"/>
              </w:rPr>
              <w:t xml:space="preserve"> to the whole.</w:t>
            </w:r>
          </w:p>
        </w:tc>
      </w:tr>
    </w:tbl>
    <w:p w:rsidR="00C66FF4" w:rsidRPr="009D08AC" w:rsidP="00DA63BC" w14:paraId="49F13F72" w14:textId="77777777">
      <w:pPr>
        <w:widowControl/>
        <w:ind w:left="720"/>
        <w:rPr>
          <w:b w:val="0"/>
          <w:bCs w:val="0"/>
          <w:sz w:val="24"/>
          <w:szCs w:val="24"/>
        </w:rPr>
      </w:pPr>
    </w:p>
    <w:tbl>
      <w:tblPr>
        <w:tblW w:w="10510" w:type="dxa"/>
        <w:jc w:val="center"/>
        <w:tblLook w:val="04A0"/>
      </w:tblPr>
      <w:tblGrid>
        <w:gridCol w:w="2070"/>
        <w:gridCol w:w="3240"/>
        <w:gridCol w:w="1260"/>
        <w:gridCol w:w="931"/>
        <w:gridCol w:w="959"/>
        <w:gridCol w:w="2050"/>
      </w:tblGrid>
      <w:tr w14:paraId="0297C521" w14:textId="77777777" w:rsidTr="003611AD">
        <w:tblPrEx>
          <w:tblW w:w="10510" w:type="dxa"/>
          <w:jc w:val="center"/>
          <w:tblLook w:val="04A0"/>
        </w:tblPrEx>
        <w:trPr>
          <w:trHeight w:val="216"/>
          <w:tblHeader/>
          <w:jc w:val="center"/>
        </w:trPr>
        <w:tc>
          <w:tcPr>
            <w:tcW w:w="10510" w:type="dxa"/>
            <w:gridSpan w:val="6"/>
            <w:tcBorders>
              <w:top w:val="nil"/>
              <w:left w:val="nil"/>
              <w:bottom w:val="single" w:sz="8" w:space="0" w:color="auto"/>
              <w:right w:val="nil"/>
            </w:tcBorders>
            <w:shd w:val="clear" w:color="000000" w:fill="FFFFFF"/>
            <w:noWrap/>
            <w:hideMark/>
          </w:tcPr>
          <w:p w:rsidR="0047503A" w:rsidRPr="009D08AC" w:rsidP="007B45BF" w14:paraId="604999A2" w14:textId="4CDABC15">
            <w:pPr>
              <w:keepNext/>
              <w:widowControl/>
              <w:autoSpaceDE/>
              <w:autoSpaceDN/>
              <w:adjustRightInd/>
              <w:rPr>
                <w:color w:val="000000"/>
                <w:sz w:val="22"/>
                <w:szCs w:val="22"/>
              </w:rPr>
            </w:pPr>
            <w:r w:rsidRPr="009D08AC">
              <w:rPr>
                <w:color w:val="000000"/>
                <w:sz w:val="22"/>
                <w:szCs w:val="22"/>
              </w:rPr>
              <w:t>Table 2.—</w:t>
            </w:r>
            <w:r w:rsidRPr="009D08AC">
              <w:rPr>
                <w:i/>
                <w:iCs/>
                <w:color w:val="000000"/>
                <w:sz w:val="22"/>
                <w:szCs w:val="22"/>
              </w:rPr>
              <w:t>Costs for Legal Drafting and Preparation of 2002 Safe Harbor Initial Notice</w:t>
            </w:r>
          </w:p>
        </w:tc>
      </w:tr>
      <w:tr w14:paraId="6C73205D" w14:textId="77777777" w:rsidTr="003611AD">
        <w:tblPrEx>
          <w:tblW w:w="10510" w:type="dxa"/>
          <w:jc w:val="center"/>
          <w:tblLook w:val="04A0"/>
        </w:tblPrEx>
        <w:trPr>
          <w:trHeight w:val="600"/>
          <w:tblHeader/>
          <w:jc w:val="center"/>
        </w:trPr>
        <w:tc>
          <w:tcPr>
            <w:tcW w:w="2070" w:type="dxa"/>
            <w:tcBorders>
              <w:top w:val="nil"/>
              <w:left w:val="nil"/>
              <w:bottom w:val="nil"/>
              <w:right w:val="nil"/>
            </w:tcBorders>
            <w:hideMark/>
          </w:tcPr>
          <w:p w:rsidR="0047503A" w:rsidRPr="009D08AC" w:rsidP="007B45BF" w14:paraId="13723E56" w14:textId="77777777">
            <w:pPr>
              <w:keepNext/>
              <w:widowControl/>
              <w:autoSpaceDE/>
              <w:autoSpaceDN/>
              <w:adjustRightInd/>
              <w:rPr>
                <w:b w:val="0"/>
                <w:bCs w:val="0"/>
                <w:color w:val="000000"/>
                <w:sz w:val="22"/>
                <w:szCs w:val="22"/>
              </w:rPr>
            </w:pPr>
            <w:r w:rsidRPr="009D08AC">
              <w:rPr>
                <w:b w:val="0"/>
                <w:bCs w:val="0"/>
                <w:color w:val="000000"/>
                <w:sz w:val="22"/>
                <w:szCs w:val="22"/>
              </w:rPr>
              <w:t>Description</w:t>
            </w:r>
          </w:p>
        </w:tc>
        <w:tc>
          <w:tcPr>
            <w:tcW w:w="3240" w:type="dxa"/>
            <w:tcBorders>
              <w:top w:val="nil"/>
              <w:left w:val="nil"/>
              <w:bottom w:val="nil"/>
              <w:right w:val="nil"/>
            </w:tcBorders>
            <w:noWrap/>
            <w:hideMark/>
          </w:tcPr>
          <w:p w:rsidR="0047503A" w:rsidRPr="009D08AC" w:rsidP="007B45BF" w14:paraId="20CE1754" w14:textId="77777777">
            <w:pPr>
              <w:keepNext/>
              <w:widowControl/>
              <w:autoSpaceDE/>
              <w:autoSpaceDN/>
              <w:adjustRightInd/>
              <w:rPr>
                <w:b w:val="0"/>
                <w:bCs w:val="0"/>
                <w:color w:val="000000"/>
                <w:sz w:val="22"/>
                <w:szCs w:val="22"/>
              </w:rPr>
            </w:pPr>
            <w:r w:rsidRPr="009D08AC">
              <w:rPr>
                <w:b w:val="0"/>
                <w:bCs w:val="0"/>
                <w:color w:val="000000"/>
                <w:sz w:val="22"/>
                <w:szCs w:val="22"/>
              </w:rPr>
              <w:t>Affected Entities</w:t>
            </w:r>
          </w:p>
        </w:tc>
        <w:tc>
          <w:tcPr>
            <w:tcW w:w="1260" w:type="dxa"/>
            <w:tcBorders>
              <w:top w:val="nil"/>
              <w:left w:val="nil"/>
              <w:bottom w:val="nil"/>
              <w:right w:val="nil"/>
            </w:tcBorders>
            <w:noWrap/>
            <w:hideMark/>
          </w:tcPr>
          <w:p w:rsidR="0047503A" w:rsidRPr="009D08AC" w:rsidP="007B45BF" w14:paraId="1D61B0D5" w14:textId="77777777">
            <w:pPr>
              <w:keepNext/>
              <w:widowControl/>
              <w:autoSpaceDE/>
              <w:autoSpaceDN/>
              <w:adjustRightInd/>
              <w:jc w:val="right"/>
              <w:rPr>
                <w:b w:val="0"/>
                <w:bCs w:val="0"/>
                <w:color w:val="000000"/>
                <w:sz w:val="22"/>
                <w:szCs w:val="22"/>
              </w:rPr>
            </w:pPr>
            <w:r w:rsidRPr="009D08AC">
              <w:rPr>
                <w:b w:val="0"/>
                <w:bCs w:val="0"/>
                <w:color w:val="000000"/>
                <w:sz w:val="22"/>
                <w:szCs w:val="22"/>
              </w:rPr>
              <w:t>Hours per Entity</w:t>
            </w:r>
          </w:p>
        </w:tc>
        <w:tc>
          <w:tcPr>
            <w:tcW w:w="931" w:type="dxa"/>
            <w:tcBorders>
              <w:top w:val="nil"/>
              <w:left w:val="nil"/>
              <w:bottom w:val="nil"/>
              <w:right w:val="nil"/>
            </w:tcBorders>
            <w:noWrap/>
            <w:hideMark/>
          </w:tcPr>
          <w:p w:rsidR="0047503A" w:rsidRPr="009D08AC" w:rsidP="007B45BF" w14:paraId="47C9A183" w14:textId="77777777">
            <w:pPr>
              <w:keepNext/>
              <w:widowControl/>
              <w:autoSpaceDE/>
              <w:autoSpaceDN/>
              <w:adjustRightInd/>
              <w:jc w:val="right"/>
              <w:rPr>
                <w:b w:val="0"/>
                <w:bCs w:val="0"/>
                <w:color w:val="000000"/>
                <w:sz w:val="22"/>
                <w:szCs w:val="22"/>
              </w:rPr>
            </w:pPr>
            <w:r w:rsidRPr="009D08AC">
              <w:rPr>
                <w:b w:val="0"/>
                <w:bCs w:val="0"/>
                <w:color w:val="000000"/>
                <w:sz w:val="22"/>
                <w:szCs w:val="22"/>
              </w:rPr>
              <w:t>Hourly Wage</w:t>
            </w:r>
          </w:p>
        </w:tc>
        <w:tc>
          <w:tcPr>
            <w:tcW w:w="959" w:type="dxa"/>
            <w:tcBorders>
              <w:top w:val="nil"/>
              <w:left w:val="nil"/>
              <w:bottom w:val="nil"/>
              <w:right w:val="nil"/>
            </w:tcBorders>
            <w:noWrap/>
            <w:hideMark/>
          </w:tcPr>
          <w:p w:rsidR="0047503A" w:rsidRPr="009D08AC" w:rsidP="007B45BF" w14:paraId="1D45F908" w14:textId="77777777">
            <w:pPr>
              <w:keepNext/>
              <w:widowControl/>
              <w:autoSpaceDE/>
              <w:autoSpaceDN/>
              <w:adjustRightInd/>
              <w:jc w:val="right"/>
              <w:rPr>
                <w:b w:val="0"/>
                <w:bCs w:val="0"/>
                <w:color w:val="000000"/>
                <w:sz w:val="22"/>
                <w:szCs w:val="22"/>
              </w:rPr>
            </w:pPr>
            <w:r w:rsidRPr="009D08AC">
              <w:rPr>
                <w:b w:val="0"/>
                <w:bCs w:val="0"/>
                <w:color w:val="000000"/>
                <w:sz w:val="22"/>
                <w:szCs w:val="22"/>
              </w:rPr>
              <w:t>Total Hours</w:t>
            </w:r>
          </w:p>
        </w:tc>
        <w:tc>
          <w:tcPr>
            <w:tcW w:w="2050" w:type="dxa"/>
            <w:tcBorders>
              <w:top w:val="nil"/>
              <w:left w:val="nil"/>
              <w:bottom w:val="nil"/>
              <w:right w:val="nil"/>
            </w:tcBorders>
            <w:noWrap/>
            <w:hideMark/>
          </w:tcPr>
          <w:p w:rsidR="0047503A" w:rsidRPr="009D08AC" w:rsidP="007B45BF" w14:paraId="206F649A" w14:textId="77777777">
            <w:pPr>
              <w:keepNext/>
              <w:widowControl/>
              <w:autoSpaceDE/>
              <w:autoSpaceDN/>
              <w:adjustRightInd/>
              <w:jc w:val="right"/>
              <w:rPr>
                <w:b w:val="0"/>
                <w:bCs w:val="0"/>
                <w:color w:val="000000"/>
                <w:sz w:val="22"/>
                <w:szCs w:val="22"/>
              </w:rPr>
            </w:pPr>
            <w:r w:rsidRPr="009D08AC">
              <w:rPr>
                <w:b w:val="0"/>
                <w:bCs w:val="0"/>
                <w:color w:val="000000"/>
                <w:sz w:val="22"/>
                <w:szCs w:val="22"/>
              </w:rPr>
              <w:t>Equivalent Cost</w:t>
            </w:r>
          </w:p>
        </w:tc>
      </w:tr>
      <w:tr w14:paraId="2780B657" w14:textId="77777777" w:rsidTr="003611AD">
        <w:tblPrEx>
          <w:tblW w:w="10510" w:type="dxa"/>
          <w:jc w:val="center"/>
          <w:tblLook w:val="04A0"/>
        </w:tblPrEx>
        <w:trPr>
          <w:trHeight w:val="300"/>
          <w:tblHeader/>
          <w:jc w:val="center"/>
        </w:trPr>
        <w:tc>
          <w:tcPr>
            <w:tcW w:w="2070" w:type="dxa"/>
            <w:tcBorders>
              <w:top w:val="nil"/>
              <w:left w:val="nil"/>
              <w:bottom w:val="single" w:sz="4" w:space="0" w:color="auto"/>
              <w:right w:val="nil"/>
            </w:tcBorders>
            <w:hideMark/>
          </w:tcPr>
          <w:p w:rsidR="0047503A" w:rsidRPr="009D08AC" w:rsidP="007B45BF" w14:paraId="17AD8760" w14:textId="77777777">
            <w:pPr>
              <w:keepNext/>
              <w:widowControl/>
              <w:autoSpaceDE/>
              <w:autoSpaceDN/>
              <w:adjustRightInd/>
              <w:rPr>
                <w:b w:val="0"/>
                <w:bCs w:val="0"/>
                <w:color w:val="000000"/>
                <w:sz w:val="22"/>
                <w:szCs w:val="22"/>
              </w:rPr>
            </w:pPr>
          </w:p>
        </w:tc>
        <w:tc>
          <w:tcPr>
            <w:tcW w:w="3240" w:type="dxa"/>
            <w:tcBorders>
              <w:top w:val="nil"/>
              <w:left w:val="nil"/>
              <w:bottom w:val="single" w:sz="4" w:space="0" w:color="auto"/>
              <w:right w:val="nil"/>
            </w:tcBorders>
            <w:noWrap/>
            <w:hideMark/>
          </w:tcPr>
          <w:p w:rsidR="0047503A" w:rsidRPr="009D08AC" w:rsidP="007B45BF" w14:paraId="772F1D74" w14:textId="77777777">
            <w:pPr>
              <w:keepNext/>
              <w:widowControl/>
              <w:autoSpaceDE/>
              <w:autoSpaceDN/>
              <w:adjustRightInd/>
              <w:rPr>
                <w:b w:val="0"/>
                <w:bCs w:val="0"/>
                <w:color w:val="000000"/>
                <w:sz w:val="22"/>
                <w:szCs w:val="22"/>
              </w:rPr>
            </w:pPr>
            <w:r w:rsidRPr="009D08AC">
              <w:rPr>
                <w:b w:val="0"/>
                <w:bCs w:val="0"/>
                <w:color w:val="000000"/>
                <w:sz w:val="22"/>
                <w:szCs w:val="22"/>
              </w:rPr>
              <w:t>(A)</w:t>
            </w:r>
          </w:p>
        </w:tc>
        <w:tc>
          <w:tcPr>
            <w:tcW w:w="1260" w:type="dxa"/>
            <w:tcBorders>
              <w:top w:val="nil"/>
              <w:left w:val="nil"/>
              <w:bottom w:val="single" w:sz="4" w:space="0" w:color="auto"/>
              <w:right w:val="nil"/>
            </w:tcBorders>
            <w:noWrap/>
            <w:hideMark/>
          </w:tcPr>
          <w:p w:rsidR="0047503A" w:rsidRPr="009D08AC" w:rsidP="007B45BF" w14:paraId="6589D217" w14:textId="77777777">
            <w:pPr>
              <w:keepNext/>
              <w:widowControl/>
              <w:autoSpaceDE/>
              <w:autoSpaceDN/>
              <w:adjustRightInd/>
              <w:jc w:val="right"/>
              <w:rPr>
                <w:b w:val="0"/>
                <w:bCs w:val="0"/>
                <w:color w:val="000000"/>
                <w:sz w:val="22"/>
                <w:szCs w:val="22"/>
              </w:rPr>
            </w:pPr>
            <w:r w:rsidRPr="009D08AC">
              <w:rPr>
                <w:b w:val="0"/>
                <w:bCs w:val="0"/>
                <w:color w:val="000000"/>
                <w:sz w:val="22"/>
                <w:szCs w:val="22"/>
              </w:rPr>
              <w:t>(B)</w:t>
            </w:r>
          </w:p>
        </w:tc>
        <w:tc>
          <w:tcPr>
            <w:tcW w:w="931" w:type="dxa"/>
            <w:tcBorders>
              <w:top w:val="nil"/>
              <w:left w:val="nil"/>
              <w:bottom w:val="single" w:sz="4" w:space="0" w:color="auto"/>
              <w:right w:val="nil"/>
            </w:tcBorders>
            <w:noWrap/>
            <w:hideMark/>
          </w:tcPr>
          <w:p w:rsidR="0047503A" w:rsidRPr="009D08AC" w:rsidP="007B45BF" w14:paraId="734DAC5F" w14:textId="77777777">
            <w:pPr>
              <w:keepNext/>
              <w:widowControl/>
              <w:autoSpaceDE/>
              <w:autoSpaceDN/>
              <w:adjustRightInd/>
              <w:jc w:val="right"/>
              <w:rPr>
                <w:b w:val="0"/>
                <w:bCs w:val="0"/>
                <w:color w:val="000000"/>
                <w:sz w:val="22"/>
                <w:szCs w:val="22"/>
              </w:rPr>
            </w:pPr>
            <w:r w:rsidRPr="009D08AC">
              <w:rPr>
                <w:b w:val="0"/>
                <w:bCs w:val="0"/>
                <w:color w:val="000000"/>
                <w:sz w:val="22"/>
                <w:szCs w:val="22"/>
              </w:rPr>
              <w:t>(C)</w:t>
            </w:r>
          </w:p>
        </w:tc>
        <w:tc>
          <w:tcPr>
            <w:tcW w:w="959" w:type="dxa"/>
            <w:tcBorders>
              <w:top w:val="nil"/>
              <w:left w:val="nil"/>
              <w:bottom w:val="single" w:sz="4" w:space="0" w:color="auto"/>
              <w:right w:val="nil"/>
            </w:tcBorders>
            <w:noWrap/>
            <w:hideMark/>
          </w:tcPr>
          <w:p w:rsidR="0047503A" w:rsidRPr="009D08AC" w:rsidP="007B45BF" w14:paraId="05DAA78F" w14:textId="77777777">
            <w:pPr>
              <w:keepNext/>
              <w:widowControl/>
              <w:autoSpaceDE/>
              <w:autoSpaceDN/>
              <w:adjustRightInd/>
              <w:jc w:val="right"/>
              <w:rPr>
                <w:b w:val="0"/>
                <w:bCs w:val="0"/>
                <w:color w:val="000000"/>
                <w:sz w:val="22"/>
                <w:szCs w:val="22"/>
              </w:rPr>
            </w:pPr>
            <w:r w:rsidRPr="009D08AC">
              <w:rPr>
                <w:b w:val="0"/>
                <w:bCs w:val="0"/>
                <w:color w:val="000000"/>
                <w:sz w:val="22"/>
                <w:szCs w:val="22"/>
              </w:rPr>
              <w:t>(A x B)</w:t>
            </w:r>
          </w:p>
        </w:tc>
        <w:tc>
          <w:tcPr>
            <w:tcW w:w="2050" w:type="dxa"/>
            <w:tcBorders>
              <w:top w:val="nil"/>
              <w:left w:val="nil"/>
              <w:bottom w:val="single" w:sz="4" w:space="0" w:color="auto"/>
              <w:right w:val="nil"/>
            </w:tcBorders>
            <w:noWrap/>
            <w:hideMark/>
          </w:tcPr>
          <w:p w:rsidR="0047503A" w:rsidRPr="009D08AC" w:rsidP="007B45BF" w14:paraId="305AD3EB" w14:textId="77777777">
            <w:pPr>
              <w:keepNext/>
              <w:widowControl/>
              <w:autoSpaceDE/>
              <w:autoSpaceDN/>
              <w:adjustRightInd/>
              <w:jc w:val="right"/>
              <w:rPr>
                <w:b w:val="0"/>
                <w:bCs w:val="0"/>
                <w:color w:val="000000"/>
                <w:sz w:val="22"/>
                <w:szCs w:val="22"/>
              </w:rPr>
            </w:pPr>
            <w:r w:rsidRPr="009D08AC">
              <w:rPr>
                <w:b w:val="0"/>
                <w:bCs w:val="0"/>
                <w:color w:val="000000"/>
                <w:sz w:val="22"/>
                <w:szCs w:val="22"/>
              </w:rPr>
              <w:t>(A x B x C)</w:t>
            </w:r>
          </w:p>
        </w:tc>
      </w:tr>
      <w:tr w14:paraId="3CD010C2" w14:textId="77777777" w:rsidTr="00767F0B">
        <w:tblPrEx>
          <w:tblW w:w="10510" w:type="dxa"/>
          <w:jc w:val="center"/>
          <w:tblLook w:val="04A0"/>
        </w:tblPrEx>
        <w:trPr>
          <w:trHeight w:val="300"/>
          <w:jc w:val="center"/>
        </w:trPr>
        <w:tc>
          <w:tcPr>
            <w:tcW w:w="2070" w:type="dxa"/>
            <w:tcBorders>
              <w:top w:val="single" w:sz="4" w:space="0" w:color="auto"/>
              <w:left w:val="nil"/>
              <w:bottom w:val="nil"/>
              <w:right w:val="nil"/>
            </w:tcBorders>
            <w:hideMark/>
          </w:tcPr>
          <w:p w:rsidR="009E597C" w:rsidRPr="009D08AC" w:rsidP="007B45BF" w14:paraId="0FDFE487" w14:textId="5A6839CC">
            <w:pPr>
              <w:keepNext/>
              <w:widowControl/>
              <w:autoSpaceDE/>
              <w:autoSpaceDN/>
              <w:adjustRightInd/>
              <w:rPr>
                <w:b w:val="0"/>
                <w:sz w:val="22"/>
                <w:szCs w:val="22"/>
              </w:rPr>
            </w:pPr>
            <w:r w:rsidRPr="009D08AC">
              <w:rPr>
                <w:b w:val="0"/>
                <w:sz w:val="22"/>
                <w:szCs w:val="22"/>
              </w:rPr>
              <w:t>Notice Preparation (Service Providers)</w:t>
            </w:r>
          </w:p>
        </w:tc>
        <w:tc>
          <w:tcPr>
            <w:tcW w:w="3240" w:type="dxa"/>
            <w:tcBorders>
              <w:top w:val="single" w:sz="4" w:space="0" w:color="auto"/>
              <w:left w:val="nil"/>
              <w:bottom w:val="nil"/>
              <w:right w:val="nil"/>
            </w:tcBorders>
            <w:noWrap/>
            <w:hideMark/>
          </w:tcPr>
          <w:p w:rsidR="009E597C" w:rsidRPr="009D08AC" w:rsidP="007B45BF" w14:paraId="1B4EB602" w14:textId="604461A3">
            <w:pPr>
              <w:keepNext/>
              <w:widowControl/>
              <w:autoSpaceDE/>
              <w:autoSpaceDN/>
              <w:adjustRightInd/>
              <w:rPr>
                <w:b w:val="0"/>
                <w:bCs w:val="0"/>
                <w:color w:val="000000"/>
                <w:sz w:val="22"/>
                <w:szCs w:val="22"/>
              </w:rPr>
            </w:pPr>
            <w:r w:rsidRPr="009D08AC">
              <w:rPr>
                <w:b w:val="0"/>
                <w:sz w:val="22"/>
                <w:szCs w:val="22"/>
              </w:rPr>
              <w:t xml:space="preserve"> 3,552 Service Providers </w:t>
            </w:r>
          </w:p>
        </w:tc>
        <w:tc>
          <w:tcPr>
            <w:tcW w:w="1260" w:type="dxa"/>
            <w:tcBorders>
              <w:top w:val="single" w:sz="4" w:space="0" w:color="auto"/>
              <w:left w:val="nil"/>
              <w:bottom w:val="nil"/>
              <w:right w:val="nil"/>
            </w:tcBorders>
            <w:noWrap/>
            <w:hideMark/>
          </w:tcPr>
          <w:p w:rsidR="009E597C" w:rsidRPr="009D08AC" w:rsidP="007B45BF" w14:paraId="35A92F96" w14:textId="7492AF2A">
            <w:pPr>
              <w:keepNext/>
              <w:widowControl/>
              <w:autoSpaceDE/>
              <w:autoSpaceDN/>
              <w:adjustRightInd/>
              <w:jc w:val="right"/>
              <w:rPr>
                <w:b w:val="0"/>
                <w:sz w:val="22"/>
                <w:szCs w:val="22"/>
              </w:rPr>
            </w:pPr>
            <w:r w:rsidRPr="009D08AC">
              <w:rPr>
                <w:b w:val="0"/>
                <w:sz w:val="22"/>
                <w:szCs w:val="22"/>
              </w:rPr>
              <w:t xml:space="preserve">1     </w:t>
            </w:r>
          </w:p>
        </w:tc>
        <w:tc>
          <w:tcPr>
            <w:tcW w:w="931" w:type="dxa"/>
            <w:tcBorders>
              <w:top w:val="single" w:sz="4" w:space="0" w:color="auto"/>
              <w:left w:val="nil"/>
              <w:bottom w:val="nil"/>
              <w:right w:val="nil"/>
            </w:tcBorders>
            <w:noWrap/>
            <w:hideMark/>
          </w:tcPr>
          <w:p w:rsidR="009E597C" w:rsidRPr="009D08AC" w:rsidP="007B45BF" w14:paraId="3693648F" w14:textId="2E820A91">
            <w:pPr>
              <w:keepNext/>
              <w:widowControl/>
              <w:autoSpaceDE/>
              <w:autoSpaceDN/>
              <w:adjustRightInd/>
              <w:jc w:val="right"/>
              <w:rPr>
                <w:b w:val="0"/>
                <w:bCs w:val="0"/>
                <w:color w:val="000000"/>
                <w:sz w:val="22"/>
                <w:szCs w:val="22"/>
              </w:rPr>
            </w:pPr>
            <w:r w:rsidRPr="009D08AC">
              <w:rPr>
                <w:b w:val="0"/>
                <w:sz w:val="22"/>
                <w:szCs w:val="22"/>
              </w:rPr>
              <w:t>$181.06</w:t>
            </w:r>
          </w:p>
        </w:tc>
        <w:tc>
          <w:tcPr>
            <w:tcW w:w="959" w:type="dxa"/>
            <w:tcBorders>
              <w:top w:val="single" w:sz="4" w:space="0" w:color="auto"/>
              <w:left w:val="nil"/>
              <w:bottom w:val="nil"/>
              <w:right w:val="nil"/>
            </w:tcBorders>
            <w:noWrap/>
            <w:hideMark/>
          </w:tcPr>
          <w:p w:rsidR="009E597C" w:rsidRPr="009D08AC" w:rsidP="007B45BF" w14:paraId="4F859E56" w14:textId="1455156E">
            <w:pPr>
              <w:keepNext/>
              <w:widowControl/>
              <w:autoSpaceDE/>
              <w:autoSpaceDN/>
              <w:adjustRightInd/>
              <w:jc w:val="right"/>
              <w:rPr>
                <w:b w:val="0"/>
                <w:sz w:val="22"/>
                <w:szCs w:val="22"/>
              </w:rPr>
            </w:pPr>
            <w:r w:rsidRPr="009D08AC">
              <w:rPr>
                <w:b w:val="0"/>
                <w:sz w:val="22"/>
                <w:szCs w:val="22"/>
              </w:rPr>
              <w:t xml:space="preserve"> 3,552 </w:t>
            </w:r>
          </w:p>
        </w:tc>
        <w:tc>
          <w:tcPr>
            <w:tcW w:w="2050" w:type="dxa"/>
            <w:tcBorders>
              <w:top w:val="single" w:sz="4" w:space="0" w:color="auto"/>
              <w:left w:val="nil"/>
              <w:bottom w:val="nil"/>
              <w:right w:val="nil"/>
            </w:tcBorders>
            <w:noWrap/>
            <w:hideMark/>
          </w:tcPr>
          <w:p w:rsidR="009E597C" w:rsidRPr="009D08AC" w:rsidP="007B45BF" w14:paraId="541821A8" w14:textId="3CEEBFA0">
            <w:pPr>
              <w:keepNext/>
              <w:widowControl/>
              <w:autoSpaceDE/>
              <w:autoSpaceDN/>
              <w:adjustRightInd/>
              <w:jc w:val="right"/>
              <w:rPr>
                <w:b w:val="0"/>
                <w:bCs w:val="0"/>
                <w:color w:val="000000"/>
                <w:sz w:val="22"/>
                <w:szCs w:val="22"/>
              </w:rPr>
            </w:pPr>
            <w:r w:rsidRPr="009D08AC">
              <w:rPr>
                <w:b w:val="0"/>
                <w:sz w:val="22"/>
                <w:szCs w:val="22"/>
              </w:rPr>
              <w:t>$643,125</w:t>
            </w:r>
          </w:p>
        </w:tc>
      </w:tr>
      <w:tr w14:paraId="1D3A7E7A" w14:textId="77777777" w:rsidTr="00767F0B">
        <w:tblPrEx>
          <w:tblW w:w="10510" w:type="dxa"/>
          <w:jc w:val="center"/>
          <w:tblLook w:val="04A0"/>
        </w:tblPrEx>
        <w:trPr>
          <w:trHeight w:val="525"/>
          <w:jc w:val="center"/>
        </w:trPr>
        <w:tc>
          <w:tcPr>
            <w:tcW w:w="2070" w:type="dxa"/>
            <w:tcBorders>
              <w:top w:val="nil"/>
              <w:left w:val="nil"/>
              <w:right w:val="nil"/>
            </w:tcBorders>
            <w:hideMark/>
          </w:tcPr>
          <w:p w:rsidR="009E597C" w:rsidRPr="009D08AC" w:rsidP="007B45BF" w14:paraId="151FBD71" w14:textId="0AC5CE9F">
            <w:pPr>
              <w:keepNext/>
              <w:widowControl/>
              <w:autoSpaceDE/>
              <w:autoSpaceDN/>
              <w:adjustRightInd/>
              <w:rPr>
                <w:b w:val="0"/>
                <w:sz w:val="22"/>
                <w:szCs w:val="22"/>
              </w:rPr>
            </w:pPr>
            <w:r w:rsidRPr="009D08AC">
              <w:rPr>
                <w:b w:val="0"/>
                <w:sz w:val="22"/>
                <w:szCs w:val="22"/>
              </w:rPr>
              <w:t>Notice Preparation (In-House)</w:t>
            </w:r>
          </w:p>
        </w:tc>
        <w:tc>
          <w:tcPr>
            <w:tcW w:w="3240" w:type="dxa"/>
            <w:tcBorders>
              <w:top w:val="nil"/>
              <w:left w:val="nil"/>
              <w:right w:val="nil"/>
            </w:tcBorders>
            <w:hideMark/>
          </w:tcPr>
          <w:p w:rsidR="009E597C" w:rsidRPr="009D08AC" w:rsidP="007B45BF" w14:paraId="7DB35F27" w14:textId="13DDDDEE">
            <w:pPr>
              <w:keepNext/>
              <w:widowControl/>
              <w:autoSpaceDE/>
              <w:autoSpaceDN/>
              <w:adjustRightInd/>
              <w:rPr>
                <w:b w:val="0"/>
                <w:bCs w:val="0"/>
                <w:color w:val="000000"/>
                <w:sz w:val="22"/>
                <w:szCs w:val="22"/>
              </w:rPr>
            </w:pPr>
            <w:r w:rsidRPr="009D08AC">
              <w:rPr>
                <w:b w:val="0"/>
                <w:sz w:val="22"/>
                <w:szCs w:val="22"/>
              </w:rPr>
              <w:t xml:space="preserve"> 29,971 = 299,712 Plans x 10% Not Using a Service Provider </w:t>
            </w:r>
          </w:p>
        </w:tc>
        <w:tc>
          <w:tcPr>
            <w:tcW w:w="1260" w:type="dxa"/>
            <w:tcBorders>
              <w:top w:val="nil"/>
              <w:left w:val="nil"/>
              <w:right w:val="nil"/>
            </w:tcBorders>
            <w:noWrap/>
            <w:hideMark/>
          </w:tcPr>
          <w:p w:rsidR="009E597C" w:rsidRPr="009D08AC" w:rsidP="007B45BF" w14:paraId="655669D4" w14:textId="7347E735">
            <w:pPr>
              <w:keepNext/>
              <w:widowControl/>
              <w:autoSpaceDE/>
              <w:autoSpaceDN/>
              <w:adjustRightInd/>
              <w:jc w:val="right"/>
              <w:rPr>
                <w:b w:val="0"/>
                <w:sz w:val="22"/>
                <w:szCs w:val="22"/>
              </w:rPr>
            </w:pPr>
            <w:r w:rsidRPr="009D08AC">
              <w:rPr>
                <w:b w:val="0"/>
                <w:sz w:val="22"/>
                <w:szCs w:val="22"/>
              </w:rPr>
              <w:t xml:space="preserve">1     </w:t>
            </w:r>
          </w:p>
        </w:tc>
        <w:tc>
          <w:tcPr>
            <w:tcW w:w="931" w:type="dxa"/>
            <w:tcBorders>
              <w:top w:val="nil"/>
              <w:left w:val="nil"/>
              <w:right w:val="nil"/>
            </w:tcBorders>
            <w:noWrap/>
            <w:hideMark/>
          </w:tcPr>
          <w:p w:rsidR="009E597C" w:rsidRPr="009D08AC" w:rsidP="007B45BF" w14:paraId="3F26E439" w14:textId="7F70E6F8">
            <w:pPr>
              <w:keepNext/>
              <w:widowControl/>
              <w:autoSpaceDE/>
              <w:autoSpaceDN/>
              <w:adjustRightInd/>
              <w:jc w:val="right"/>
              <w:rPr>
                <w:b w:val="0"/>
                <w:bCs w:val="0"/>
                <w:color w:val="000000"/>
                <w:sz w:val="22"/>
                <w:szCs w:val="22"/>
              </w:rPr>
            </w:pPr>
            <w:r w:rsidRPr="009D08AC">
              <w:rPr>
                <w:b w:val="0"/>
                <w:sz w:val="22"/>
                <w:szCs w:val="22"/>
              </w:rPr>
              <w:t>$181.06</w:t>
            </w:r>
          </w:p>
        </w:tc>
        <w:tc>
          <w:tcPr>
            <w:tcW w:w="959" w:type="dxa"/>
            <w:tcBorders>
              <w:top w:val="nil"/>
              <w:left w:val="nil"/>
              <w:right w:val="nil"/>
            </w:tcBorders>
            <w:noWrap/>
            <w:hideMark/>
          </w:tcPr>
          <w:p w:rsidR="009E597C" w:rsidRPr="009D08AC" w:rsidP="007B45BF" w14:paraId="520E425C" w14:textId="715C34CD">
            <w:pPr>
              <w:keepNext/>
              <w:widowControl/>
              <w:autoSpaceDE/>
              <w:autoSpaceDN/>
              <w:adjustRightInd/>
              <w:jc w:val="right"/>
              <w:rPr>
                <w:b w:val="0"/>
                <w:sz w:val="22"/>
                <w:szCs w:val="22"/>
              </w:rPr>
            </w:pPr>
            <w:r w:rsidRPr="009D08AC">
              <w:rPr>
                <w:b w:val="0"/>
                <w:sz w:val="22"/>
                <w:szCs w:val="22"/>
              </w:rPr>
              <w:t xml:space="preserve"> 29,971 </w:t>
            </w:r>
          </w:p>
        </w:tc>
        <w:tc>
          <w:tcPr>
            <w:tcW w:w="2050" w:type="dxa"/>
            <w:tcBorders>
              <w:top w:val="nil"/>
              <w:left w:val="nil"/>
              <w:right w:val="nil"/>
            </w:tcBorders>
            <w:noWrap/>
            <w:hideMark/>
          </w:tcPr>
          <w:p w:rsidR="009E597C" w:rsidRPr="009D08AC" w:rsidP="007B45BF" w14:paraId="0814B398" w14:textId="541C2D75">
            <w:pPr>
              <w:keepNext/>
              <w:widowControl/>
              <w:autoSpaceDE/>
              <w:autoSpaceDN/>
              <w:adjustRightInd/>
              <w:jc w:val="right"/>
              <w:rPr>
                <w:b w:val="0"/>
                <w:bCs w:val="0"/>
                <w:color w:val="000000"/>
                <w:sz w:val="22"/>
                <w:szCs w:val="22"/>
              </w:rPr>
            </w:pPr>
            <w:r w:rsidRPr="009D08AC">
              <w:rPr>
                <w:b w:val="0"/>
                <w:sz w:val="22"/>
                <w:szCs w:val="22"/>
              </w:rPr>
              <w:t>$5,426,592</w:t>
            </w:r>
          </w:p>
        </w:tc>
      </w:tr>
      <w:tr w14:paraId="6908DF41" w14:textId="77777777" w:rsidTr="003611AD">
        <w:tblPrEx>
          <w:tblW w:w="10510" w:type="dxa"/>
          <w:jc w:val="center"/>
          <w:tblLook w:val="04A0"/>
        </w:tblPrEx>
        <w:trPr>
          <w:trHeight w:val="525"/>
          <w:jc w:val="center"/>
        </w:trPr>
        <w:tc>
          <w:tcPr>
            <w:tcW w:w="2070" w:type="dxa"/>
            <w:tcBorders>
              <w:top w:val="nil"/>
              <w:left w:val="nil"/>
              <w:bottom w:val="single" w:sz="4" w:space="0" w:color="auto"/>
              <w:right w:val="nil"/>
            </w:tcBorders>
          </w:tcPr>
          <w:p w:rsidR="009E597C" w:rsidRPr="009D08AC" w:rsidP="007B45BF" w14:paraId="15268A7F" w14:textId="5808C4EF">
            <w:pPr>
              <w:keepNext/>
              <w:widowControl/>
              <w:autoSpaceDE/>
              <w:autoSpaceDN/>
              <w:adjustRightInd/>
              <w:rPr>
                <w:b w:val="0"/>
                <w:sz w:val="22"/>
                <w:szCs w:val="22"/>
              </w:rPr>
            </w:pPr>
            <w:r w:rsidRPr="009D08AC">
              <w:rPr>
                <w:b w:val="0"/>
                <w:sz w:val="22"/>
                <w:szCs w:val="22"/>
              </w:rPr>
              <w:t>Adding Contact and Plan Information to Drafted Notices</w:t>
            </w:r>
          </w:p>
        </w:tc>
        <w:tc>
          <w:tcPr>
            <w:tcW w:w="3240" w:type="dxa"/>
            <w:tcBorders>
              <w:top w:val="nil"/>
              <w:left w:val="nil"/>
              <w:bottom w:val="single" w:sz="4" w:space="0" w:color="auto"/>
              <w:right w:val="nil"/>
            </w:tcBorders>
          </w:tcPr>
          <w:p w:rsidR="009E597C" w:rsidRPr="009D08AC" w:rsidP="007B45BF" w14:paraId="029BD453" w14:textId="6377E016">
            <w:pPr>
              <w:keepNext/>
              <w:widowControl/>
              <w:autoSpaceDE/>
              <w:autoSpaceDN/>
              <w:adjustRightInd/>
              <w:rPr>
                <w:b w:val="0"/>
                <w:bCs w:val="0"/>
                <w:color w:val="000000"/>
                <w:sz w:val="22"/>
                <w:szCs w:val="22"/>
              </w:rPr>
            </w:pPr>
            <w:r w:rsidRPr="009D08AC">
              <w:rPr>
                <w:b w:val="0"/>
                <w:sz w:val="22"/>
                <w:szCs w:val="22"/>
              </w:rPr>
              <w:t xml:space="preserve"> 269,741 = 299,712 Plans x 90% Using a Service Provider </w:t>
            </w:r>
          </w:p>
        </w:tc>
        <w:tc>
          <w:tcPr>
            <w:tcW w:w="1260" w:type="dxa"/>
            <w:tcBorders>
              <w:top w:val="nil"/>
              <w:left w:val="nil"/>
              <w:bottom w:val="single" w:sz="4" w:space="0" w:color="auto"/>
              <w:right w:val="nil"/>
            </w:tcBorders>
            <w:noWrap/>
          </w:tcPr>
          <w:p w:rsidR="009E597C" w:rsidRPr="009D08AC" w:rsidP="007B45BF" w14:paraId="2F2D31BF" w14:textId="08DC8EFA">
            <w:pPr>
              <w:keepNext/>
              <w:widowControl/>
              <w:autoSpaceDE/>
              <w:autoSpaceDN/>
              <w:adjustRightInd/>
              <w:jc w:val="right"/>
              <w:rPr>
                <w:b w:val="0"/>
                <w:sz w:val="22"/>
                <w:szCs w:val="22"/>
              </w:rPr>
            </w:pPr>
            <w:r w:rsidRPr="009D08AC">
              <w:rPr>
                <w:b w:val="0"/>
                <w:sz w:val="22"/>
                <w:szCs w:val="22"/>
              </w:rPr>
              <w:t xml:space="preserve"> 5/60</w:t>
            </w:r>
          </w:p>
        </w:tc>
        <w:tc>
          <w:tcPr>
            <w:tcW w:w="931" w:type="dxa"/>
            <w:tcBorders>
              <w:top w:val="nil"/>
              <w:left w:val="nil"/>
              <w:bottom w:val="single" w:sz="4" w:space="0" w:color="auto"/>
              <w:right w:val="nil"/>
            </w:tcBorders>
            <w:noWrap/>
          </w:tcPr>
          <w:p w:rsidR="009E597C" w:rsidRPr="009D08AC" w:rsidP="007B45BF" w14:paraId="73DA2BB3" w14:textId="1065BE47">
            <w:pPr>
              <w:keepNext/>
              <w:widowControl/>
              <w:autoSpaceDE/>
              <w:autoSpaceDN/>
              <w:adjustRightInd/>
              <w:jc w:val="right"/>
              <w:rPr>
                <w:b w:val="0"/>
                <w:bCs w:val="0"/>
                <w:color w:val="000000"/>
                <w:sz w:val="22"/>
                <w:szCs w:val="22"/>
              </w:rPr>
            </w:pPr>
            <w:r w:rsidRPr="009D08AC">
              <w:rPr>
                <w:b w:val="0"/>
                <w:sz w:val="22"/>
                <w:szCs w:val="22"/>
              </w:rPr>
              <w:t>$70.29</w:t>
            </w:r>
          </w:p>
        </w:tc>
        <w:tc>
          <w:tcPr>
            <w:tcW w:w="959" w:type="dxa"/>
            <w:tcBorders>
              <w:top w:val="nil"/>
              <w:left w:val="nil"/>
              <w:bottom w:val="single" w:sz="4" w:space="0" w:color="auto"/>
              <w:right w:val="nil"/>
            </w:tcBorders>
            <w:noWrap/>
          </w:tcPr>
          <w:p w:rsidR="009E597C" w:rsidRPr="009D08AC" w:rsidP="007B45BF" w14:paraId="13CB7588" w14:textId="2A4158C6">
            <w:pPr>
              <w:keepNext/>
              <w:widowControl/>
              <w:autoSpaceDE/>
              <w:autoSpaceDN/>
              <w:adjustRightInd/>
              <w:jc w:val="right"/>
              <w:rPr>
                <w:b w:val="0"/>
                <w:sz w:val="22"/>
                <w:szCs w:val="22"/>
              </w:rPr>
            </w:pPr>
            <w:r w:rsidRPr="009D08AC">
              <w:rPr>
                <w:b w:val="0"/>
                <w:sz w:val="22"/>
                <w:szCs w:val="22"/>
              </w:rPr>
              <w:t xml:space="preserve"> 22,478 </w:t>
            </w:r>
          </w:p>
        </w:tc>
        <w:tc>
          <w:tcPr>
            <w:tcW w:w="2050" w:type="dxa"/>
            <w:tcBorders>
              <w:top w:val="nil"/>
              <w:left w:val="nil"/>
              <w:bottom w:val="single" w:sz="4" w:space="0" w:color="auto"/>
              <w:right w:val="nil"/>
            </w:tcBorders>
            <w:noWrap/>
          </w:tcPr>
          <w:p w:rsidR="009E597C" w:rsidRPr="009D08AC" w:rsidP="007B45BF" w14:paraId="7F688D7D" w14:textId="27F77980">
            <w:pPr>
              <w:keepNext/>
              <w:widowControl/>
              <w:autoSpaceDE/>
              <w:autoSpaceDN/>
              <w:adjustRightInd/>
              <w:jc w:val="right"/>
              <w:rPr>
                <w:b w:val="0"/>
                <w:bCs w:val="0"/>
                <w:color w:val="000000"/>
                <w:sz w:val="22"/>
                <w:szCs w:val="22"/>
              </w:rPr>
            </w:pPr>
            <w:r w:rsidRPr="009D08AC">
              <w:rPr>
                <w:b w:val="0"/>
                <w:sz w:val="22"/>
                <w:szCs w:val="22"/>
              </w:rPr>
              <w:t>$1,580,009</w:t>
            </w:r>
          </w:p>
        </w:tc>
      </w:tr>
      <w:tr w14:paraId="139381D2" w14:textId="77777777" w:rsidTr="00767F0B">
        <w:tblPrEx>
          <w:tblW w:w="10510" w:type="dxa"/>
          <w:jc w:val="center"/>
          <w:tblLook w:val="04A0"/>
        </w:tblPrEx>
        <w:trPr>
          <w:trHeight w:val="315"/>
          <w:jc w:val="center"/>
        </w:trPr>
        <w:tc>
          <w:tcPr>
            <w:tcW w:w="6570" w:type="dxa"/>
            <w:gridSpan w:val="3"/>
            <w:tcBorders>
              <w:top w:val="single" w:sz="4" w:space="0" w:color="auto"/>
              <w:bottom w:val="single" w:sz="4" w:space="0" w:color="auto"/>
              <w:right w:val="nil"/>
            </w:tcBorders>
            <w:noWrap/>
            <w:hideMark/>
          </w:tcPr>
          <w:p w:rsidR="00965978" w:rsidRPr="009D08AC" w:rsidP="007B45BF" w14:paraId="6812C0E5" w14:textId="6F9A558B">
            <w:pPr>
              <w:keepNext/>
              <w:widowControl/>
              <w:autoSpaceDE/>
              <w:autoSpaceDN/>
              <w:adjustRightInd/>
              <w:rPr>
                <w:color w:val="000000"/>
                <w:sz w:val="22"/>
                <w:szCs w:val="22"/>
                <w:vertAlign w:val="superscript"/>
              </w:rPr>
            </w:pPr>
            <w:r w:rsidRPr="009D08AC">
              <w:rPr>
                <w:color w:val="000000"/>
                <w:sz w:val="22"/>
                <w:szCs w:val="22"/>
              </w:rPr>
              <w:t>Total</w:t>
            </w:r>
            <w:r w:rsidRPr="009D08AC" w:rsidR="00767F0B">
              <w:rPr>
                <w:color w:val="000000"/>
                <w:sz w:val="22"/>
                <w:szCs w:val="22"/>
                <w:vertAlign w:val="superscript"/>
              </w:rPr>
              <w:t>1</w:t>
            </w:r>
          </w:p>
        </w:tc>
        <w:tc>
          <w:tcPr>
            <w:tcW w:w="931" w:type="dxa"/>
            <w:tcBorders>
              <w:top w:val="single" w:sz="4" w:space="0" w:color="auto"/>
              <w:left w:val="nil"/>
              <w:bottom w:val="single" w:sz="4" w:space="0" w:color="auto"/>
              <w:right w:val="nil"/>
            </w:tcBorders>
            <w:noWrap/>
            <w:hideMark/>
          </w:tcPr>
          <w:p w:rsidR="00965978" w:rsidRPr="009D08AC" w:rsidP="007B45BF" w14:paraId="327F0256" w14:textId="77777777">
            <w:pPr>
              <w:keepNext/>
              <w:widowControl/>
              <w:autoSpaceDE/>
              <w:autoSpaceDN/>
              <w:adjustRightInd/>
              <w:rPr>
                <w:b w:val="0"/>
                <w:bCs w:val="0"/>
                <w:color w:val="000000"/>
                <w:sz w:val="22"/>
                <w:szCs w:val="22"/>
              </w:rPr>
            </w:pPr>
            <w:r w:rsidRPr="009D08AC">
              <w:rPr>
                <w:b w:val="0"/>
                <w:bCs w:val="0"/>
                <w:color w:val="000000"/>
                <w:sz w:val="22"/>
                <w:szCs w:val="22"/>
              </w:rPr>
              <w:t> </w:t>
            </w:r>
          </w:p>
        </w:tc>
        <w:tc>
          <w:tcPr>
            <w:tcW w:w="959" w:type="dxa"/>
            <w:tcBorders>
              <w:top w:val="single" w:sz="4" w:space="0" w:color="auto"/>
              <w:left w:val="nil"/>
              <w:bottom w:val="single" w:sz="4" w:space="0" w:color="auto"/>
              <w:right w:val="nil"/>
            </w:tcBorders>
            <w:noWrap/>
            <w:hideMark/>
          </w:tcPr>
          <w:p w:rsidR="00965978" w:rsidRPr="009D08AC" w:rsidP="007B45BF" w14:paraId="4D895B5B" w14:textId="29422FAF">
            <w:pPr>
              <w:keepNext/>
              <w:widowControl/>
              <w:autoSpaceDE/>
              <w:autoSpaceDN/>
              <w:adjustRightInd/>
              <w:jc w:val="right"/>
              <w:rPr>
                <w:color w:val="000000"/>
                <w:sz w:val="22"/>
                <w:szCs w:val="22"/>
              </w:rPr>
            </w:pPr>
            <w:r w:rsidRPr="009D08AC">
              <w:rPr>
                <w:sz w:val="22"/>
                <w:szCs w:val="22"/>
              </w:rPr>
              <w:t xml:space="preserve"> 56,002 </w:t>
            </w:r>
          </w:p>
        </w:tc>
        <w:tc>
          <w:tcPr>
            <w:tcW w:w="2050" w:type="dxa"/>
            <w:tcBorders>
              <w:top w:val="single" w:sz="4" w:space="0" w:color="auto"/>
              <w:left w:val="nil"/>
              <w:bottom w:val="single" w:sz="4" w:space="0" w:color="auto"/>
              <w:right w:val="nil"/>
            </w:tcBorders>
            <w:noWrap/>
            <w:hideMark/>
          </w:tcPr>
          <w:p w:rsidR="00965978" w:rsidRPr="009D08AC" w:rsidP="007B45BF" w14:paraId="2982A227" w14:textId="12D6DB37">
            <w:pPr>
              <w:keepNext/>
              <w:widowControl/>
              <w:autoSpaceDE/>
              <w:autoSpaceDN/>
              <w:adjustRightInd/>
              <w:jc w:val="right"/>
              <w:rPr>
                <w:color w:val="000000"/>
                <w:sz w:val="22"/>
                <w:szCs w:val="22"/>
              </w:rPr>
            </w:pPr>
            <w:r w:rsidRPr="009D08AC">
              <w:rPr>
                <w:sz w:val="22"/>
                <w:szCs w:val="22"/>
              </w:rPr>
              <w:t>$7,649,726</w:t>
            </w:r>
          </w:p>
        </w:tc>
      </w:tr>
      <w:tr w14:paraId="67D553A4" w14:textId="77777777" w:rsidTr="00767F0B">
        <w:tblPrEx>
          <w:tblW w:w="10510" w:type="dxa"/>
          <w:jc w:val="center"/>
          <w:tblLook w:val="04A0"/>
        </w:tblPrEx>
        <w:trPr>
          <w:trHeight w:val="315"/>
          <w:jc w:val="center"/>
        </w:trPr>
        <w:tc>
          <w:tcPr>
            <w:tcW w:w="10510" w:type="dxa"/>
            <w:gridSpan w:val="6"/>
            <w:tcBorders>
              <w:top w:val="single" w:sz="4" w:space="0" w:color="auto"/>
              <w:right w:val="nil"/>
            </w:tcBorders>
            <w:noWrap/>
          </w:tcPr>
          <w:p w:rsidR="00767F0B" w:rsidRPr="009D08AC" w:rsidP="00767F0B" w14:paraId="656ED459" w14:textId="6AE4DE58">
            <w:pPr>
              <w:keepNext/>
              <w:widowControl/>
              <w:autoSpaceDE/>
              <w:autoSpaceDN/>
              <w:adjustRightInd/>
              <w:rPr>
                <w:sz w:val="22"/>
                <w:szCs w:val="22"/>
              </w:rPr>
            </w:pPr>
            <w:r w:rsidRPr="009D08AC">
              <w:rPr>
                <w:rStyle w:val="FootnoteReference"/>
                <w:vertAlign w:val="superscript"/>
              </w:rPr>
              <w:footnoteRef/>
            </w:r>
            <w:r w:rsidRPr="009D08AC">
              <w:rPr>
                <w:vertAlign w:val="superscript"/>
              </w:rPr>
              <w:t xml:space="preserve"> </w:t>
            </w:r>
            <w:r w:rsidRPr="009D08AC">
              <w:rPr>
                <w:b w:val="0"/>
                <w:bCs w:val="0"/>
              </w:rPr>
              <w:t xml:space="preserve">The Department has not rounded intermediate values, so the components may not </w:t>
            </w:r>
            <w:r w:rsidRPr="009D08AC">
              <w:rPr>
                <w:b w:val="0"/>
                <w:bCs w:val="0"/>
              </w:rPr>
              <w:t>sum</w:t>
            </w:r>
            <w:r w:rsidRPr="009D08AC">
              <w:rPr>
                <w:b w:val="0"/>
                <w:bCs w:val="0"/>
              </w:rPr>
              <w:t xml:space="preserve"> to the whole.</w:t>
            </w:r>
          </w:p>
        </w:tc>
      </w:tr>
    </w:tbl>
    <w:p w:rsidR="0047503A" w:rsidRPr="009D08AC" w:rsidP="00DA63BC" w14:paraId="5C18D7B7" w14:textId="77777777">
      <w:pPr>
        <w:widowControl/>
        <w:ind w:left="720"/>
        <w:rPr>
          <w:b w:val="0"/>
          <w:bCs w:val="0"/>
          <w:sz w:val="24"/>
          <w:szCs w:val="24"/>
        </w:rPr>
      </w:pPr>
    </w:p>
    <w:p w:rsidR="0083559F" w:rsidRPr="009D08AC" w:rsidP="00D55011" w14:paraId="62573C03" w14:textId="5E3BAE95">
      <w:pPr>
        <w:widowControl/>
        <w:ind w:left="720"/>
        <w:rPr>
          <w:b w:val="0"/>
          <w:bCs w:val="0"/>
          <w:sz w:val="24"/>
          <w:szCs w:val="24"/>
        </w:rPr>
      </w:pPr>
    </w:p>
    <w:p w:rsidR="004B10CB" w:rsidRPr="009D08AC" w:rsidP="003611AD" w14:paraId="51D80D41" w14:textId="6C7B808E">
      <w:pPr>
        <w:ind w:left="720"/>
        <w:rPr>
          <w:b w:val="0"/>
          <w:bCs w:val="0"/>
          <w:sz w:val="24"/>
          <w:szCs w:val="24"/>
        </w:rPr>
      </w:pPr>
      <w:r w:rsidRPr="009D08AC">
        <w:rPr>
          <w:b w:val="0"/>
          <w:sz w:val="24"/>
          <w:szCs w:val="24"/>
        </w:rPr>
        <w:t>Each sponsor is expected to use on average 10 minu</w:t>
      </w:r>
      <w:r w:rsidRPr="009D08AC" w:rsidR="00FC65C6">
        <w:rPr>
          <w:b w:val="0"/>
          <w:sz w:val="24"/>
          <w:szCs w:val="24"/>
        </w:rPr>
        <w:t>te</w:t>
      </w:r>
      <w:r w:rsidRPr="009D08AC">
        <w:rPr>
          <w:b w:val="0"/>
          <w:sz w:val="24"/>
          <w:szCs w:val="24"/>
        </w:rPr>
        <w:t xml:space="preserve">s of in-house legal professional </w:t>
      </w:r>
    </w:p>
    <w:p w:rsidR="004B10CB" w:rsidRPr="009D08AC" w:rsidP="004B10CB" w14:paraId="68815240" w14:textId="4BA3CE8E">
      <w:pPr>
        <w:widowControl/>
        <w:ind w:left="720"/>
        <w:rPr>
          <w:b w:val="0"/>
          <w:bCs w:val="0"/>
          <w:sz w:val="24"/>
          <w:szCs w:val="24"/>
        </w:rPr>
      </w:pPr>
    </w:p>
    <w:p w:rsidR="005F0E8A" w:rsidRPr="009D08AC" w:rsidP="008B4A30" w14:paraId="3CE63725" w14:textId="63BDCEE0">
      <w:pPr>
        <w:widowControl/>
        <w:autoSpaceDE/>
        <w:autoSpaceDN/>
        <w:adjustRightInd/>
        <w:ind w:left="720"/>
        <w:rPr>
          <w:b w:val="0"/>
          <w:bCs w:val="0"/>
          <w:sz w:val="24"/>
        </w:rPr>
      </w:pPr>
      <w:r w:rsidRPr="009D08AC">
        <w:rPr>
          <w:b w:val="0"/>
          <w:bCs w:val="0"/>
          <w:sz w:val="24"/>
        </w:rPr>
        <w:t xml:space="preserve">Overall, the total hour burden for the existing ICR is approximately </w:t>
      </w:r>
      <w:r w:rsidRPr="009D08AC" w:rsidR="008D3E06">
        <w:rPr>
          <w:b w:val="0"/>
          <w:bCs w:val="0"/>
          <w:sz w:val="24"/>
        </w:rPr>
        <w:t>69,317</w:t>
      </w:r>
      <w:r w:rsidRPr="009D08AC">
        <w:rPr>
          <w:b w:val="0"/>
          <w:bCs w:val="0"/>
          <w:sz w:val="24"/>
        </w:rPr>
        <w:t xml:space="preserve"> hours with an equivalent cost of approximately $</w:t>
      </w:r>
      <w:r w:rsidRPr="009D08AC" w:rsidR="008D3E06">
        <w:rPr>
          <w:b w:val="0"/>
          <w:bCs w:val="0"/>
          <w:sz w:val="24"/>
        </w:rPr>
        <w:t>9,175,625</w:t>
      </w:r>
      <w:r w:rsidRPr="009D08AC" w:rsidR="00E627B0">
        <w:rPr>
          <w:b w:val="0"/>
          <w:bCs w:val="0"/>
          <w:sz w:val="24"/>
        </w:rPr>
        <w:t>.</w:t>
      </w:r>
    </w:p>
    <w:p w:rsidR="00BF4D05" w:rsidRPr="009D08AC" w:rsidP="00D55011" w14:paraId="66DE5F3B" w14:textId="77777777">
      <w:pPr>
        <w:widowControl/>
        <w:ind w:left="720"/>
        <w:rPr>
          <w:b w:val="0"/>
          <w:bCs w:val="0"/>
          <w:sz w:val="24"/>
          <w:szCs w:val="24"/>
        </w:rPr>
      </w:pPr>
    </w:p>
    <w:p w:rsidR="00BF4D05" w:rsidRPr="009D08AC" w:rsidP="002D73D8" w14:paraId="7BF83DA3" w14:textId="3A443291">
      <w:pPr>
        <w:widowControl/>
        <w:autoSpaceDE/>
        <w:autoSpaceDN/>
        <w:adjustRightInd/>
        <w:spacing w:after="160"/>
        <w:ind w:left="720"/>
        <w:rPr>
          <w:rFonts w:eastAsia="Calibri"/>
          <w:sz w:val="24"/>
          <w:szCs w:val="24"/>
          <w:u w:val="single"/>
        </w:rPr>
      </w:pPr>
      <w:r w:rsidRPr="009D08AC">
        <w:rPr>
          <w:rFonts w:eastAsia="Calibri"/>
          <w:sz w:val="24"/>
          <w:szCs w:val="24"/>
          <w:u w:val="single"/>
        </w:rPr>
        <w:t>20</w:t>
      </w:r>
      <w:r w:rsidRPr="009D08AC" w:rsidR="00FD5341">
        <w:rPr>
          <w:rFonts w:eastAsia="Calibri"/>
          <w:sz w:val="24"/>
          <w:szCs w:val="24"/>
          <w:u w:val="single"/>
        </w:rPr>
        <w:t>20</w:t>
      </w:r>
      <w:r w:rsidRPr="009D08AC">
        <w:rPr>
          <w:rFonts w:eastAsia="Calibri"/>
          <w:sz w:val="24"/>
          <w:szCs w:val="24"/>
          <w:u w:val="single"/>
        </w:rPr>
        <w:t xml:space="preserve"> </w:t>
      </w:r>
      <w:r w:rsidRPr="009D08AC" w:rsidR="00DD77B8">
        <w:rPr>
          <w:rFonts w:eastAsia="Calibri"/>
          <w:sz w:val="24"/>
          <w:szCs w:val="24"/>
          <w:u w:val="single"/>
        </w:rPr>
        <w:t>Safe Harbor</w:t>
      </w:r>
    </w:p>
    <w:p w:rsidR="00BF4D05" w:rsidRPr="009D08AC" w:rsidP="002B491C" w14:paraId="7D6182EF" w14:textId="16C4F979">
      <w:pPr>
        <w:widowControl/>
        <w:autoSpaceDE/>
        <w:autoSpaceDN/>
        <w:adjustRightInd/>
        <w:ind w:left="720"/>
        <w:rPr>
          <w:rFonts w:eastAsia="Calibri"/>
          <w:b w:val="0"/>
          <w:bCs w:val="0"/>
          <w:sz w:val="24"/>
          <w:szCs w:val="24"/>
        </w:rPr>
      </w:pPr>
      <w:r w:rsidRPr="009D08AC">
        <w:rPr>
          <w:b w:val="0"/>
          <w:bCs w:val="0"/>
          <w:sz w:val="24"/>
        </w:rPr>
        <w:t xml:space="preserve">While the Department expects the </w:t>
      </w:r>
      <w:r w:rsidRPr="009D08AC" w:rsidR="006E48A0">
        <w:rPr>
          <w:b w:val="0"/>
          <w:bCs w:val="0"/>
          <w:sz w:val="24"/>
        </w:rPr>
        <w:t>20</w:t>
      </w:r>
      <w:r w:rsidRPr="009D08AC" w:rsidR="00FD5341">
        <w:rPr>
          <w:b w:val="0"/>
          <w:bCs w:val="0"/>
          <w:sz w:val="24"/>
        </w:rPr>
        <w:t>20</w:t>
      </w:r>
      <w:r w:rsidRPr="009D08AC" w:rsidR="006E48A0">
        <w:rPr>
          <w:b w:val="0"/>
          <w:bCs w:val="0"/>
          <w:sz w:val="24"/>
        </w:rPr>
        <w:t xml:space="preserve"> safe harbor</w:t>
      </w:r>
      <w:r w:rsidRPr="009D08AC">
        <w:rPr>
          <w:b w:val="0"/>
          <w:bCs w:val="0"/>
          <w:sz w:val="24"/>
        </w:rPr>
        <w:t xml:space="preserve"> to reduce costs associated with distributing covered disclosures by eliminating material, printing, and mailing costs, these cost reductions are partly offset by costs incurred by administrators to meet the new safe harbor’s requirements</w:t>
      </w:r>
      <w:r w:rsidRPr="009D08AC" w:rsidR="00B257CF">
        <w:rPr>
          <w:b w:val="0"/>
          <w:bCs w:val="0"/>
          <w:sz w:val="24"/>
        </w:rPr>
        <w:t>. The</w:t>
      </w:r>
      <w:r w:rsidRPr="009D08AC" w:rsidR="00D86015">
        <w:rPr>
          <w:b w:val="0"/>
          <w:bCs w:val="0"/>
          <w:sz w:val="24"/>
        </w:rPr>
        <w:t xml:space="preserve"> safe harbor requires</w:t>
      </w:r>
      <w:r w:rsidRPr="009D08AC" w:rsidR="00B257CF">
        <w:rPr>
          <w:b w:val="0"/>
          <w:bCs w:val="0"/>
          <w:sz w:val="24"/>
        </w:rPr>
        <w:t xml:space="preserve"> </w:t>
      </w:r>
      <w:r w:rsidRPr="009D08AC" w:rsidR="00453FBC">
        <w:rPr>
          <w:b w:val="0"/>
          <w:bCs w:val="0"/>
          <w:sz w:val="24"/>
        </w:rPr>
        <w:t>plan administrators</w:t>
      </w:r>
      <w:r w:rsidRPr="009D08AC">
        <w:rPr>
          <w:b w:val="0"/>
          <w:bCs w:val="0"/>
          <w:sz w:val="24"/>
        </w:rPr>
        <w:t xml:space="preserve"> to: (1) furnish a notice of internet availability to covered individuals; (2) </w:t>
      </w:r>
      <w:r w:rsidRPr="009D08AC">
        <w:rPr>
          <w:rFonts w:eastAsia="Calibri"/>
          <w:b w:val="0"/>
          <w:bCs w:val="0"/>
          <w:sz w:val="24"/>
          <w:szCs w:val="24"/>
        </w:rPr>
        <w:t>ensure the existence of an website at which a covered individual is able to access, free of charge, one or more covered documents;</w:t>
      </w:r>
      <w:r w:rsidRPr="009D08AC">
        <w:rPr>
          <w:b w:val="0"/>
          <w:bCs w:val="0"/>
          <w:sz w:val="24"/>
        </w:rPr>
        <w:t xml:space="preserve"> and (3) </w:t>
      </w:r>
      <w:r w:rsidRPr="009D08AC">
        <w:rPr>
          <w:rFonts w:eastAsia="Calibri"/>
          <w:b w:val="0"/>
          <w:bCs w:val="0"/>
          <w:sz w:val="24"/>
          <w:szCs w:val="24"/>
        </w:rPr>
        <w:t xml:space="preserve">furnish an </w:t>
      </w:r>
      <w:r w:rsidRPr="009D08AC">
        <w:rPr>
          <w:b w:val="0"/>
          <w:bCs w:val="0"/>
          <w:sz w:val="24"/>
        </w:rPr>
        <w:t>initial notification of default electronic delivery and right to opt out</w:t>
      </w:r>
      <w:r w:rsidRPr="009D08AC">
        <w:rPr>
          <w:rFonts w:eastAsia="Calibri"/>
          <w:b w:val="0"/>
          <w:bCs w:val="0"/>
          <w:sz w:val="24"/>
          <w:szCs w:val="24"/>
        </w:rPr>
        <w:t xml:space="preserve"> in paper to each person, before he or she becomes a covered individual. </w:t>
      </w:r>
    </w:p>
    <w:p w:rsidR="00BF4D05" w:rsidRPr="009D08AC" w:rsidP="002D73D8" w14:paraId="20E8FA3F" w14:textId="77777777">
      <w:pPr>
        <w:widowControl/>
        <w:autoSpaceDE/>
        <w:autoSpaceDN/>
        <w:adjustRightInd/>
        <w:ind w:left="720" w:firstLine="720"/>
        <w:rPr>
          <w:rFonts w:eastAsia="Calibri"/>
          <w:b w:val="0"/>
          <w:bCs w:val="0"/>
          <w:sz w:val="24"/>
          <w:szCs w:val="24"/>
        </w:rPr>
      </w:pPr>
    </w:p>
    <w:p w:rsidR="00DD2656" w:rsidRPr="009D08AC" w:rsidP="002B491C" w14:paraId="076F2E42" w14:textId="3504878E">
      <w:pPr>
        <w:widowControl/>
        <w:autoSpaceDE/>
        <w:autoSpaceDN/>
        <w:adjustRightInd/>
        <w:ind w:left="720"/>
        <w:rPr>
          <w:b w:val="0"/>
          <w:bCs w:val="0"/>
          <w:sz w:val="24"/>
        </w:rPr>
      </w:pPr>
      <w:r w:rsidRPr="009D08AC">
        <w:rPr>
          <w:b w:val="0"/>
          <w:bCs w:val="0"/>
          <w:sz w:val="24"/>
        </w:rPr>
        <w:t xml:space="preserve">The purpose of the initial notice was to alert covered individuals to the coming change and of their rights under the new disclosure framework. Covered individuals, however, will continue to be informed of these rights in all future </w:t>
      </w:r>
      <w:r w:rsidRPr="009D08AC" w:rsidR="00306B32">
        <w:rPr>
          <w:b w:val="0"/>
          <w:bCs w:val="0"/>
          <w:sz w:val="24"/>
        </w:rPr>
        <w:t>notice of internet availability</w:t>
      </w:r>
      <w:r w:rsidRPr="009D08AC" w:rsidR="004B770F">
        <w:rPr>
          <w:b w:val="0"/>
          <w:bCs w:val="0"/>
          <w:sz w:val="24"/>
        </w:rPr>
        <w:t>, discussed below</w:t>
      </w:r>
      <w:r w:rsidRPr="009D08AC">
        <w:rPr>
          <w:b w:val="0"/>
          <w:bCs w:val="0"/>
          <w:sz w:val="24"/>
        </w:rPr>
        <w:t xml:space="preserve">. </w:t>
      </w:r>
      <w:r w:rsidRPr="009D08AC" w:rsidR="008E6C70">
        <w:rPr>
          <w:b w:val="0"/>
          <w:bCs w:val="0"/>
          <w:sz w:val="24"/>
        </w:rPr>
        <w:t xml:space="preserve">Accordingly, </w:t>
      </w:r>
      <w:r w:rsidRPr="009D08AC" w:rsidR="00251626">
        <w:rPr>
          <w:b w:val="0"/>
          <w:bCs w:val="0"/>
          <w:sz w:val="24"/>
        </w:rPr>
        <w:t>plans will not incur costs related to this notice after the first year</w:t>
      </w:r>
      <w:r w:rsidRPr="009D08AC" w:rsidR="000F6142">
        <w:rPr>
          <w:b w:val="0"/>
          <w:bCs w:val="0"/>
          <w:sz w:val="24"/>
        </w:rPr>
        <w:t>.</w:t>
      </w:r>
    </w:p>
    <w:p w:rsidR="00BF4D05" w:rsidRPr="009D08AC" w:rsidP="002D73D8" w14:paraId="199198BC" w14:textId="77777777">
      <w:pPr>
        <w:widowControl/>
        <w:autoSpaceDE/>
        <w:autoSpaceDN/>
        <w:adjustRightInd/>
        <w:ind w:left="720"/>
        <w:rPr>
          <w:b w:val="0"/>
          <w:bCs w:val="0"/>
          <w:sz w:val="24"/>
        </w:rPr>
      </w:pPr>
    </w:p>
    <w:p w:rsidR="00BF4D05" w:rsidRPr="009D08AC" w:rsidP="002D73D8" w14:paraId="60A149AE" w14:textId="7C11F37D">
      <w:pPr>
        <w:widowControl/>
        <w:autoSpaceDE/>
        <w:autoSpaceDN/>
        <w:adjustRightInd/>
        <w:ind w:left="720"/>
        <w:rPr>
          <w:rFonts w:eastAsia="Calibri"/>
          <w:b w:val="0"/>
          <w:bCs w:val="0"/>
          <w:sz w:val="24"/>
          <w:szCs w:val="24"/>
          <w:u w:val="single"/>
        </w:rPr>
      </w:pPr>
      <w:r w:rsidRPr="009D08AC">
        <w:rPr>
          <w:rFonts w:eastAsia="Calibri"/>
          <w:b w:val="0"/>
          <w:bCs w:val="0"/>
          <w:sz w:val="24"/>
          <w:szCs w:val="24"/>
          <w:u w:val="single"/>
        </w:rPr>
        <w:t>Notice of Internet Availability</w:t>
      </w:r>
    </w:p>
    <w:p w:rsidR="009E0937" w:rsidRPr="009D08AC" w:rsidP="002D73D8" w14:paraId="26949438" w14:textId="77777777">
      <w:pPr>
        <w:widowControl/>
        <w:autoSpaceDE/>
        <w:autoSpaceDN/>
        <w:adjustRightInd/>
        <w:ind w:left="720"/>
        <w:rPr>
          <w:rFonts w:eastAsia="Calibri"/>
          <w:bCs w:val="0"/>
          <w:sz w:val="24"/>
          <w:szCs w:val="24"/>
        </w:rPr>
      </w:pPr>
    </w:p>
    <w:p w:rsidR="00D12CF2" w:rsidRPr="009D08AC" w:rsidP="00834A03" w14:paraId="2E57C00B" w14:textId="03B64E2E">
      <w:pPr>
        <w:widowControl/>
        <w:autoSpaceDE/>
        <w:autoSpaceDN/>
        <w:adjustRightInd/>
        <w:ind w:left="720"/>
        <w:rPr>
          <w:b w:val="0"/>
          <w:bCs w:val="0"/>
          <w:sz w:val="24"/>
        </w:rPr>
      </w:pPr>
      <w:r w:rsidRPr="009D08AC">
        <w:rPr>
          <w:b w:val="0"/>
          <w:bCs w:val="0"/>
          <w:sz w:val="24"/>
        </w:rPr>
        <w:t xml:space="preserve">Plan </w:t>
      </w:r>
      <w:r w:rsidRPr="009D08AC" w:rsidR="001538BC">
        <w:rPr>
          <w:b w:val="0"/>
          <w:bCs w:val="0"/>
          <w:sz w:val="24"/>
        </w:rPr>
        <w:t>a</w:t>
      </w:r>
      <w:r w:rsidRPr="009D08AC">
        <w:rPr>
          <w:b w:val="0"/>
          <w:bCs w:val="0"/>
          <w:sz w:val="24"/>
        </w:rPr>
        <w:t xml:space="preserve">dministrators are generally required to send a notice of internet availability each time a retirement plan disclosure is posted to the internet website. To prevent “email overload,” </w:t>
      </w:r>
      <w:r w:rsidRPr="009D08AC" w:rsidR="009E0937">
        <w:rPr>
          <w:b w:val="0"/>
          <w:bCs w:val="0"/>
          <w:sz w:val="24"/>
        </w:rPr>
        <w:t xml:space="preserve">paragraph (k) of </w:t>
      </w:r>
      <w:r w:rsidRPr="009D08AC">
        <w:rPr>
          <w:b w:val="0"/>
          <w:bCs w:val="0"/>
          <w:sz w:val="24"/>
        </w:rPr>
        <w:t xml:space="preserve">the </w:t>
      </w:r>
      <w:r w:rsidRPr="009D08AC" w:rsidR="00312779">
        <w:rPr>
          <w:b w:val="0"/>
          <w:bCs w:val="0"/>
          <w:sz w:val="24"/>
        </w:rPr>
        <w:t>20</w:t>
      </w:r>
      <w:r w:rsidRPr="009D08AC" w:rsidR="00FD5341">
        <w:rPr>
          <w:b w:val="0"/>
          <w:bCs w:val="0"/>
          <w:sz w:val="24"/>
        </w:rPr>
        <w:t>20</w:t>
      </w:r>
      <w:r w:rsidRPr="009D08AC" w:rsidR="00312779">
        <w:rPr>
          <w:b w:val="0"/>
          <w:bCs w:val="0"/>
          <w:sz w:val="24"/>
        </w:rPr>
        <w:t xml:space="preserve"> safe harbor</w:t>
      </w:r>
      <w:r w:rsidRPr="009D08AC">
        <w:rPr>
          <w:b w:val="0"/>
          <w:bCs w:val="0"/>
          <w:sz w:val="24"/>
        </w:rPr>
        <w:t xml:space="preserve"> allows a notice of internet availability to </w:t>
      </w:r>
      <w:r w:rsidRPr="009D08AC">
        <w:rPr>
          <w:b w:val="0"/>
          <w:bCs w:val="0"/>
          <w:sz w:val="24"/>
        </w:rPr>
        <w:t>incorporate or combine other notices of internet availability in limited circumstances. A notice of internet availability must include, among other things, a brief description of the document being posted online, a website address where the document is posted, and instructions for requesting a free paper copy or electing paper delivery in the future</w:t>
      </w:r>
      <w:r w:rsidRPr="009D08AC" w:rsidR="007A251E">
        <w:rPr>
          <w:b w:val="0"/>
          <w:bCs w:val="0"/>
          <w:sz w:val="24"/>
        </w:rPr>
        <w:t>.</w:t>
      </w:r>
      <w:r w:rsidRPr="009D08AC" w:rsidR="007173D2">
        <w:rPr>
          <w:b w:val="0"/>
          <w:bCs w:val="0"/>
          <w:sz w:val="24"/>
        </w:rPr>
        <w:t xml:space="preserve"> </w:t>
      </w:r>
      <w:r w:rsidRPr="009D08AC" w:rsidR="00EF7BDB">
        <w:rPr>
          <w:b w:val="0"/>
          <w:bCs w:val="0"/>
          <w:sz w:val="24"/>
        </w:rPr>
        <w:t xml:space="preserve">The Department estimates that this notice </w:t>
      </w:r>
      <w:r w:rsidRPr="009D08AC" w:rsidR="00A825A9">
        <w:rPr>
          <w:b w:val="0"/>
          <w:bCs w:val="0"/>
          <w:sz w:val="24"/>
        </w:rPr>
        <w:t xml:space="preserve">will affect plans in different ways based </w:t>
      </w:r>
      <w:r w:rsidRPr="009D08AC" w:rsidR="00975030">
        <w:rPr>
          <w:b w:val="0"/>
          <w:bCs w:val="0"/>
          <w:sz w:val="24"/>
        </w:rPr>
        <w:t xml:space="preserve">on </w:t>
      </w:r>
      <w:r w:rsidRPr="009D08AC" w:rsidR="00975030">
        <w:rPr>
          <w:b w:val="0"/>
          <w:bCs w:val="0"/>
          <w:sz w:val="24"/>
        </w:rPr>
        <w:t>whether or not</w:t>
      </w:r>
      <w:r w:rsidRPr="009D08AC" w:rsidR="00975030">
        <w:rPr>
          <w:b w:val="0"/>
          <w:bCs w:val="0"/>
          <w:sz w:val="24"/>
        </w:rPr>
        <w:t xml:space="preserve"> they have a website. T</w:t>
      </w:r>
      <w:r w:rsidRPr="009D08AC" w:rsidR="009419A1">
        <w:rPr>
          <w:b w:val="0"/>
          <w:bCs w:val="0"/>
          <w:sz w:val="24"/>
        </w:rPr>
        <w:t xml:space="preserve">he </w:t>
      </w:r>
      <w:r w:rsidRPr="009D08AC" w:rsidR="00D43BE0">
        <w:rPr>
          <w:b w:val="0"/>
          <w:bCs w:val="0"/>
          <w:sz w:val="24"/>
        </w:rPr>
        <w:t>first subgroup of interest</w:t>
      </w:r>
      <w:r w:rsidRPr="009D08AC" w:rsidR="009419A1">
        <w:rPr>
          <w:b w:val="0"/>
          <w:bCs w:val="0"/>
          <w:sz w:val="24"/>
        </w:rPr>
        <w:t xml:space="preserve"> will be participant directed plans, which are re</w:t>
      </w:r>
      <w:r w:rsidRPr="009D08AC" w:rsidR="001812F5">
        <w:rPr>
          <w:b w:val="0"/>
          <w:bCs w:val="0"/>
          <w:sz w:val="24"/>
        </w:rPr>
        <w:t xml:space="preserve">quired to have a website </w:t>
      </w:r>
      <w:r w:rsidRPr="009D08AC" w:rsidR="00D43BE0">
        <w:rPr>
          <w:b w:val="0"/>
          <w:bCs w:val="0"/>
          <w:sz w:val="24"/>
        </w:rPr>
        <w:t xml:space="preserve">under the fee disclosure requirements of ERISA 404(a)(5). </w:t>
      </w:r>
      <w:r w:rsidRPr="009D08AC" w:rsidR="00B82FA9">
        <w:rPr>
          <w:b w:val="0"/>
          <w:bCs w:val="0"/>
          <w:sz w:val="24"/>
        </w:rPr>
        <w:t>Non-participant directed plans</w:t>
      </w:r>
      <w:r w:rsidRPr="009D08AC" w:rsidR="000A29B3">
        <w:rPr>
          <w:b w:val="0"/>
          <w:bCs w:val="0"/>
          <w:sz w:val="24"/>
        </w:rPr>
        <w:t xml:space="preserve"> and defined benefit plans</w:t>
      </w:r>
      <w:r w:rsidRPr="009D08AC" w:rsidR="00B82FA9">
        <w:rPr>
          <w:b w:val="0"/>
          <w:bCs w:val="0"/>
          <w:sz w:val="24"/>
        </w:rPr>
        <w:t xml:space="preserve"> are not required to have a website</w:t>
      </w:r>
      <w:r w:rsidRPr="009D08AC" w:rsidR="005332C0">
        <w:rPr>
          <w:b w:val="0"/>
          <w:bCs w:val="0"/>
          <w:sz w:val="24"/>
        </w:rPr>
        <w:t>, but many still choose to have one. Plans without a website, and plans that voluntarily provide a website</w:t>
      </w:r>
      <w:r w:rsidRPr="009D08AC" w:rsidR="00D61129">
        <w:rPr>
          <w:b w:val="0"/>
          <w:bCs w:val="0"/>
          <w:sz w:val="24"/>
        </w:rPr>
        <w:t xml:space="preserve"> will make up the second and third subgroups of interest.</w:t>
      </w:r>
      <w:r w:rsidRPr="009D08AC" w:rsidR="00E902AF">
        <w:rPr>
          <w:b w:val="0"/>
          <w:bCs w:val="0"/>
          <w:sz w:val="24"/>
        </w:rPr>
        <w:t xml:space="preserve"> </w:t>
      </w:r>
    </w:p>
    <w:p w:rsidR="00D12CF2" w:rsidRPr="009D08AC" w:rsidP="00834A03" w14:paraId="4A4D9D11" w14:textId="77777777">
      <w:pPr>
        <w:widowControl/>
        <w:autoSpaceDE/>
        <w:autoSpaceDN/>
        <w:adjustRightInd/>
        <w:ind w:left="720"/>
        <w:rPr>
          <w:b w:val="0"/>
          <w:bCs w:val="0"/>
          <w:sz w:val="24"/>
        </w:rPr>
      </w:pPr>
    </w:p>
    <w:p w:rsidR="00BF4D05" w:rsidRPr="009D08AC" w:rsidP="00834A03" w14:paraId="2D06F36C" w14:textId="0CBB6754">
      <w:pPr>
        <w:widowControl/>
        <w:autoSpaceDE/>
        <w:autoSpaceDN/>
        <w:adjustRightInd/>
        <w:ind w:left="720"/>
        <w:rPr>
          <w:b w:val="0"/>
          <w:bCs w:val="0"/>
          <w:sz w:val="24"/>
        </w:rPr>
      </w:pPr>
      <w:r w:rsidRPr="009D08AC">
        <w:rPr>
          <w:b w:val="0"/>
          <w:bCs w:val="0"/>
          <w:sz w:val="24"/>
        </w:rPr>
        <w:t>The Department estimates that non</w:t>
      </w:r>
      <w:r w:rsidRPr="009D08AC" w:rsidR="00AA1DD4">
        <w:rPr>
          <w:b w:val="0"/>
          <w:bCs w:val="0"/>
          <w:sz w:val="24"/>
        </w:rPr>
        <w:t>-</w:t>
      </w:r>
      <w:r w:rsidRPr="009D08AC">
        <w:rPr>
          <w:b w:val="0"/>
          <w:bCs w:val="0"/>
          <w:sz w:val="24"/>
        </w:rPr>
        <w:t xml:space="preserve">participant-directed DC plans and DB plans will </w:t>
      </w:r>
      <w:r w:rsidRPr="009D08AC" w:rsidR="001D04F9">
        <w:rPr>
          <w:b w:val="0"/>
          <w:bCs w:val="0"/>
          <w:sz w:val="24"/>
        </w:rPr>
        <w:t>need two notices of internet availability per year, one for the consolidated annual reports, and another for the annual statement</w:t>
      </w:r>
      <w:r w:rsidRPr="009D08AC" w:rsidR="00B04B31">
        <w:rPr>
          <w:b w:val="0"/>
          <w:bCs w:val="0"/>
          <w:sz w:val="24"/>
        </w:rPr>
        <w:t xml:space="preserve">. Participant-directed DC plans would need 5 notices, due </w:t>
      </w:r>
      <w:r w:rsidRPr="009D08AC" w:rsidR="00E96388">
        <w:rPr>
          <w:b w:val="0"/>
          <w:bCs w:val="0"/>
          <w:sz w:val="24"/>
        </w:rPr>
        <w:t xml:space="preserve">to them issuing quarterly statements. The </w:t>
      </w:r>
      <w:r w:rsidRPr="009D08AC" w:rsidR="005615F7">
        <w:rPr>
          <w:b w:val="0"/>
          <w:bCs w:val="0"/>
          <w:sz w:val="24"/>
        </w:rPr>
        <w:t>D</w:t>
      </w:r>
      <w:r w:rsidRPr="009D08AC" w:rsidR="00E96388">
        <w:rPr>
          <w:b w:val="0"/>
          <w:bCs w:val="0"/>
          <w:sz w:val="24"/>
        </w:rPr>
        <w:t>epartment estimates that each email or post will take 5 minutes of a clerical worker’s time. The Department’s estimates for the burden associated with this requirement are displayed below.</w:t>
      </w:r>
    </w:p>
    <w:p w:rsidR="00E96388" w:rsidRPr="009D08AC" w:rsidP="00834A03" w14:paraId="5D795351" w14:textId="77777777">
      <w:pPr>
        <w:widowControl/>
        <w:autoSpaceDE/>
        <w:autoSpaceDN/>
        <w:adjustRightInd/>
        <w:ind w:left="720"/>
        <w:rPr>
          <w:b w:val="0"/>
          <w:bCs w:val="0"/>
          <w:sz w:val="24"/>
        </w:rPr>
      </w:pPr>
    </w:p>
    <w:tbl>
      <w:tblPr>
        <w:tblW w:w="10596" w:type="dxa"/>
        <w:jc w:val="center"/>
        <w:tblLook w:val="04A0"/>
      </w:tblPr>
      <w:tblGrid>
        <w:gridCol w:w="2520"/>
        <w:gridCol w:w="3240"/>
        <w:gridCol w:w="1260"/>
        <w:gridCol w:w="931"/>
        <w:gridCol w:w="1229"/>
        <w:gridCol w:w="1416"/>
      </w:tblGrid>
      <w:tr w14:paraId="6B9B8D14" w14:textId="77777777" w:rsidTr="003611AD">
        <w:tblPrEx>
          <w:tblW w:w="10596" w:type="dxa"/>
          <w:jc w:val="center"/>
          <w:tblLook w:val="04A0"/>
        </w:tblPrEx>
        <w:trPr>
          <w:trHeight w:val="216"/>
          <w:jc w:val="center"/>
        </w:trPr>
        <w:tc>
          <w:tcPr>
            <w:tcW w:w="10596" w:type="dxa"/>
            <w:gridSpan w:val="6"/>
            <w:tcBorders>
              <w:top w:val="nil"/>
              <w:left w:val="nil"/>
              <w:bottom w:val="single" w:sz="8" w:space="0" w:color="auto"/>
              <w:right w:val="nil"/>
            </w:tcBorders>
            <w:shd w:val="clear" w:color="000000" w:fill="FFFFFF"/>
            <w:noWrap/>
            <w:hideMark/>
          </w:tcPr>
          <w:p w:rsidR="00E96388" w:rsidRPr="009D08AC" w:rsidP="00984C45" w14:paraId="31F3A8B2" w14:textId="1636E26F">
            <w:pPr>
              <w:keepNext/>
              <w:widowControl/>
              <w:autoSpaceDE/>
              <w:autoSpaceDN/>
              <w:adjustRightInd/>
              <w:rPr>
                <w:color w:val="000000"/>
                <w:sz w:val="24"/>
                <w:szCs w:val="24"/>
              </w:rPr>
            </w:pPr>
            <w:r w:rsidRPr="009D08AC">
              <w:rPr>
                <w:color w:val="000000"/>
                <w:sz w:val="24"/>
                <w:szCs w:val="24"/>
              </w:rPr>
              <w:t xml:space="preserve">Table </w:t>
            </w:r>
            <w:r w:rsidRPr="009D08AC" w:rsidR="008A06FF">
              <w:rPr>
                <w:color w:val="000000"/>
                <w:sz w:val="24"/>
                <w:szCs w:val="24"/>
              </w:rPr>
              <w:t>3</w:t>
            </w:r>
            <w:r w:rsidRPr="009D08AC">
              <w:rPr>
                <w:color w:val="000000"/>
                <w:sz w:val="24"/>
                <w:szCs w:val="24"/>
              </w:rPr>
              <w:t>.—</w:t>
            </w:r>
            <w:r w:rsidRPr="009D08AC" w:rsidR="00F46B88">
              <w:rPr>
                <w:sz w:val="24"/>
                <w:szCs w:val="24"/>
              </w:rPr>
              <w:t xml:space="preserve"> </w:t>
            </w:r>
            <w:r w:rsidRPr="009D08AC" w:rsidR="00F46B88">
              <w:rPr>
                <w:i/>
                <w:iCs/>
                <w:color w:val="000000"/>
                <w:sz w:val="24"/>
                <w:szCs w:val="24"/>
              </w:rPr>
              <w:t>Costs for Notice of Internet Availability</w:t>
            </w:r>
          </w:p>
        </w:tc>
      </w:tr>
      <w:tr w14:paraId="4E691A6E" w14:textId="77777777" w:rsidTr="003611AD">
        <w:tblPrEx>
          <w:tblW w:w="10596" w:type="dxa"/>
          <w:jc w:val="center"/>
          <w:tblLook w:val="04A0"/>
        </w:tblPrEx>
        <w:trPr>
          <w:trHeight w:val="600"/>
          <w:jc w:val="center"/>
        </w:trPr>
        <w:tc>
          <w:tcPr>
            <w:tcW w:w="2520" w:type="dxa"/>
            <w:tcBorders>
              <w:top w:val="nil"/>
              <w:left w:val="nil"/>
              <w:bottom w:val="nil"/>
              <w:right w:val="nil"/>
            </w:tcBorders>
            <w:hideMark/>
          </w:tcPr>
          <w:p w:rsidR="00E96388" w:rsidRPr="009D08AC" w:rsidP="00984C45" w14:paraId="49801EFE" w14:textId="77777777">
            <w:pPr>
              <w:keepNext/>
              <w:widowControl/>
              <w:autoSpaceDE/>
              <w:autoSpaceDN/>
              <w:adjustRightInd/>
              <w:jc w:val="center"/>
              <w:rPr>
                <w:b w:val="0"/>
                <w:bCs w:val="0"/>
                <w:color w:val="000000"/>
                <w:sz w:val="24"/>
                <w:szCs w:val="24"/>
              </w:rPr>
            </w:pPr>
            <w:r w:rsidRPr="009D08AC">
              <w:rPr>
                <w:b w:val="0"/>
                <w:bCs w:val="0"/>
                <w:color w:val="000000"/>
                <w:sz w:val="24"/>
                <w:szCs w:val="24"/>
              </w:rPr>
              <w:t>Description</w:t>
            </w:r>
          </w:p>
        </w:tc>
        <w:tc>
          <w:tcPr>
            <w:tcW w:w="3240" w:type="dxa"/>
            <w:tcBorders>
              <w:top w:val="nil"/>
              <w:left w:val="nil"/>
              <w:bottom w:val="nil"/>
              <w:right w:val="nil"/>
            </w:tcBorders>
            <w:noWrap/>
            <w:hideMark/>
          </w:tcPr>
          <w:p w:rsidR="00E96388" w:rsidRPr="009D08AC" w:rsidP="00984C45" w14:paraId="5331D14F" w14:textId="77777777">
            <w:pPr>
              <w:keepNext/>
              <w:widowControl/>
              <w:autoSpaceDE/>
              <w:autoSpaceDN/>
              <w:adjustRightInd/>
              <w:jc w:val="center"/>
              <w:rPr>
                <w:b w:val="0"/>
                <w:bCs w:val="0"/>
                <w:color w:val="000000"/>
                <w:sz w:val="24"/>
                <w:szCs w:val="24"/>
              </w:rPr>
            </w:pPr>
            <w:r w:rsidRPr="009D08AC">
              <w:rPr>
                <w:b w:val="0"/>
                <w:bCs w:val="0"/>
                <w:color w:val="000000"/>
                <w:sz w:val="24"/>
                <w:szCs w:val="24"/>
              </w:rPr>
              <w:t>Affected Entities</w:t>
            </w:r>
          </w:p>
        </w:tc>
        <w:tc>
          <w:tcPr>
            <w:tcW w:w="1260" w:type="dxa"/>
            <w:tcBorders>
              <w:top w:val="nil"/>
              <w:left w:val="nil"/>
              <w:bottom w:val="nil"/>
              <w:right w:val="nil"/>
            </w:tcBorders>
            <w:noWrap/>
            <w:hideMark/>
          </w:tcPr>
          <w:p w:rsidR="00E96388" w:rsidRPr="009D08AC" w:rsidP="00984C45" w14:paraId="3937B823" w14:textId="77777777">
            <w:pPr>
              <w:keepNext/>
              <w:widowControl/>
              <w:autoSpaceDE/>
              <w:autoSpaceDN/>
              <w:adjustRightInd/>
              <w:jc w:val="center"/>
              <w:rPr>
                <w:b w:val="0"/>
                <w:bCs w:val="0"/>
                <w:color w:val="000000"/>
                <w:sz w:val="24"/>
                <w:szCs w:val="24"/>
              </w:rPr>
            </w:pPr>
            <w:r w:rsidRPr="009D08AC">
              <w:rPr>
                <w:b w:val="0"/>
                <w:bCs w:val="0"/>
                <w:color w:val="000000"/>
                <w:sz w:val="24"/>
                <w:szCs w:val="24"/>
              </w:rPr>
              <w:t>Hours per Entity</w:t>
            </w:r>
          </w:p>
        </w:tc>
        <w:tc>
          <w:tcPr>
            <w:tcW w:w="931" w:type="dxa"/>
            <w:tcBorders>
              <w:top w:val="nil"/>
              <w:left w:val="nil"/>
              <w:bottom w:val="nil"/>
              <w:right w:val="nil"/>
            </w:tcBorders>
            <w:noWrap/>
            <w:hideMark/>
          </w:tcPr>
          <w:p w:rsidR="00E96388" w:rsidRPr="009D08AC" w:rsidP="00984C45" w14:paraId="299FFAE5" w14:textId="77777777">
            <w:pPr>
              <w:keepNext/>
              <w:widowControl/>
              <w:autoSpaceDE/>
              <w:autoSpaceDN/>
              <w:adjustRightInd/>
              <w:jc w:val="center"/>
              <w:rPr>
                <w:b w:val="0"/>
                <w:bCs w:val="0"/>
                <w:color w:val="000000"/>
                <w:sz w:val="24"/>
                <w:szCs w:val="24"/>
              </w:rPr>
            </w:pPr>
            <w:r w:rsidRPr="009D08AC">
              <w:rPr>
                <w:b w:val="0"/>
                <w:bCs w:val="0"/>
                <w:color w:val="000000"/>
                <w:sz w:val="24"/>
                <w:szCs w:val="24"/>
              </w:rPr>
              <w:t>Hourly Wage</w:t>
            </w:r>
          </w:p>
        </w:tc>
        <w:tc>
          <w:tcPr>
            <w:tcW w:w="1229" w:type="dxa"/>
            <w:tcBorders>
              <w:top w:val="nil"/>
              <w:left w:val="nil"/>
              <w:bottom w:val="nil"/>
              <w:right w:val="nil"/>
            </w:tcBorders>
            <w:noWrap/>
            <w:hideMark/>
          </w:tcPr>
          <w:p w:rsidR="00E96388" w:rsidRPr="009D08AC" w:rsidP="00984C45" w14:paraId="7968F768" w14:textId="77777777">
            <w:pPr>
              <w:keepNext/>
              <w:widowControl/>
              <w:autoSpaceDE/>
              <w:autoSpaceDN/>
              <w:adjustRightInd/>
              <w:jc w:val="center"/>
              <w:rPr>
                <w:b w:val="0"/>
                <w:bCs w:val="0"/>
                <w:color w:val="000000"/>
                <w:sz w:val="24"/>
                <w:szCs w:val="24"/>
              </w:rPr>
            </w:pPr>
            <w:r w:rsidRPr="009D08AC">
              <w:rPr>
                <w:b w:val="0"/>
                <w:bCs w:val="0"/>
                <w:color w:val="000000"/>
                <w:sz w:val="24"/>
                <w:szCs w:val="24"/>
              </w:rPr>
              <w:t>Total Hours</w:t>
            </w:r>
          </w:p>
        </w:tc>
        <w:tc>
          <w:tcPr>
            <w:tcW w:w="1416" w:type="dxa"/>
            <w:tcBorders>
              <w:top w:val="nil"/>
              <w:left w:val="nil"/>
              <w:bottom w:val="nil"/>
              <w:right w:val="nil"/>
            </w:tcBorders>
            <w:noWrap/>
            <w:hideMark/>
          </w:tcPr>
          <w:p w:rsidR="00E96388" w:rsidRPr="009D08AC" w:rsidP="00984C45" w14:paraId="4AE85747" w14:textId="77777777">
            <w:pPr>
              <w:keepNext/>
              <w:widowControl/>
              <w:autoSpaceDE/>
              <w:autoSpaceDN/>
              <w:adjustRightInd/>
              <w:jc w:val="center"/>
              <w:rPr>
                <w:b w:val="0"/>
                <w:bCs w:val="0"/>
                <w:color w:val="000000"/>
                <w:sz w:val="24"/>
                <w:szCs w:val="24"/>
              </w:rPr>
            </w:pPr>
            <w:r w:rsidRPr="009D08AC">
              <w:rPr>
                <w:b w:val="0"/>
                <w:bCs w:val="0"/>
                <w:color w:val="000000"/>
                <w:sz w:val="24"/>
                <w:szCs w:val="24"/>
              </w:rPr>
              <w:t>Equivalent Cost</w:t>
            </w:r>
          </w:p>
        </w:tc>
      </w:tr>
      <w:tr w14:paraId="03A166DA" w14:textId="77777777" w:rsidTr="003611AD">
        <w:tblPrEx>
          <w:tblW w:w="10596" w:type="dxa"/>
          <w:jc w:val="center"/>
          <w:tblLook w:val="04A0"/>
        </w:tblPrEx>
        <w:trPr>
          <w:trHeight w:val="300"/>
          <w:jc w:val="center"/>
        </w:trPr>
        <w:tc>
          <w:tcPr>
            <w:tcW w:w="2520" w:type="dxa"/>
            <w:tcBorders>
              <w:top w:val="nil"/>
              <w:left w:val="nil"/>
              <w:bottom w:val="single" w:sz="4" w:space="0" w:color="auto"/>
              <w:right w:val="nil"/>
            </w:tcBorders>
            <w:hideMark/>
          </w:tcPr>
          <w:p w:rsidR="00E96388" w:rsidRPr="009D08AC" w:rsidP="00984C45" w14:paraId="3127CD6C" w14:textId="77777777">
            <w:pPr>
              <w:keepNext/>
              <w:widowControl/>
              <w:autoSpaceDE/>
              <w:autoSpaceDN/>
              <w:adjustRightInd/>
              <w:jc w:val="center"/>
              <w:rPr>
                <w:b w:val="0"/>
                <w:bCs w:val="0"/>
                <w:color w:val="000000"/>
                <w:sz w:val="24"/>
                <w:szCs w:val="24"/>
              </w:rPr>
            </w:pPr>
          </w:p>
        </w:tc>
        <w:tc>
          <w:tcPr>
            <w:tcW w:w="3240" w:type="dxa"/>
            <w:tcBorders>
              <w:top w:val="nil"/>
              <w:left w:val="nil"/>
              <w:bottom w:val="single" w:sz="4" w:space="0" w:color="auto"/>
              <w:right w:val="nil"/>
            </w:tcBorders>
            <w:noWrap/>
            <w:hideMark/>
          </w:tcPr>
          <w:p w:rsidR="00E96388" w:rsidRPr="009D08AC" w:rsidP="00984C45" w14:paraId="5F006B72" w14:textId="77777777">
            <w:pPr>
              <w:keepNext/>
              <w:widowControl/>
              <w:autoSpaceDE/>
              <w:autoSpaceDN/>
              <w:adjustRightInd/>
              <w:jc w:val="center"/>
              <w:rPr>
                <w:b w:val="0"/>
                <w:bCs w:val="0"/>
                <w:color w:val="000000"/>
                <w:sz w:val="24"/>
                <w:szCs w:val="24"/>
              </w:rPr>
            </w:pPr>
            <w:r w:rsidRPr="009D08AC">
              <w:rPr>
                <w:b w:val="0"/>
                <w:bCs w:val="0"/>
                <w:color w:val="000000"/>
                <w:sz w:val="24"/>
                <w:szCs w:val="24"/>
              </w:rPr>
              <w:t>(A)</w:t>
            </w:r>
          </w:p>
        </w:tc>
        <w:tc>
          <w:tcPr>
            <w:tcW w:w="1260" w:type="dxa"/>
            <w:tcBorders>
              <w:top w:val="nil"/>
              <w:left w:val="nil"/>
              <w:bottom w:val="single" w:sz="4" w:space="0" w:color="auto"/>
              <w:right w:val="nil"/>
            </w:tcBorders>
            <w:noWrap/>
            <w:hideMark/>
          </w:tcPr>
          <w:p w:rsidR="00E96388" w:rsidRPr="009D08AC" w:rsidP="00984C45" w14:paraId="2E26CBA2" w14:textId="77777777">
            <w:pPr>
              <w:keepNext/>
              <w:widowControl/>
              <w:autoSpaceDE/>
              <w:autoSpaceDN/>
              <w:adjustRightInd/>
              <w:jc w:val="center"/>
              <w:rPr>
                <w:b w:val="0"/>
                <w:bCs w:val="0"/>
                <w:color w:val="000000"/>
                <w:sz w:val="24"/>
                <w:szCs w:val="24"/>
              </w:rPr>
            </w:pPr>
            <w:r w:rsidRPr="009D08AC">
              <w:rPr>
                <w:b w:val="0"/>
                <w:bCs w:val="0"/>
                <w:color w:val="000000"/>
                <w:sz w:val="24"/>
                <w:szCs w:val="24"/>
              </w:rPr>
              <w:t>(B)</w:t>
            </w:r>
          </w:p>
        </w:tc>
        <w:tc>
          <w:tcPr>
            <w:tcW w:w="931" w:type="dxa"/>
            <w:tcBorders>
              <w:top w:val="nil"/>
              <w:left w:val="nil"/>
              <w:bottom w:val="single" w:sz="4" w:space="0" w:color="auto"/>
              <w:right w:val="nil"/>
            </w:tcBorders>
            <w:noWrap/>
            <w:hideMark/>
          </w:tcPr>
          <w:p w:rsidR="00E96388" w:rsidRPr="009D08AC" w:rsidP="00984C45" w14:paraId="215EC9D0" w14:textId="77777777">
            <w:pPr>
              <w:keepNext/>
              <w:widowControl/>
              <w:autoSpaceDE/>
              <w:autoSpaceDN/>
              <w:adjustRightInd/>
              <w:jc w:val="center"/>
              <w:rPr>
                <w:b w:val="0"/>
                <w:bCs w:val="0"/>
                <w:color w:val="000000"/>
                <w:sz w:val="24"/>
                <w:szCs w:val="24"/>
              </w:rPr>
            </w:pPr>
            <w:r w:rsidRPr="009D08AC">
              <w:rPr>
                <w:b w:val="0"/>
                <w:bCs w:val="0"/>
                <w:color w:val="000000"/>
                <w:sz w:val="24"/>
                <w:szCs w:val="24"/>
              </w:rPr>
              <w:t>(C)</w:t>
            </w:r>
          </w:p>
        </w:tc>
        <w:tc>
          <w:tcPr>
            <w:tcW w:w="1229" w:type="dxa"/>
            <w:tcBorders>
              <w:top w:val="nil"/>
              <w:left w:val="nil"/>
              <w:bottom w:val="single" w:sz="4" w:space="0" w:color="auto"/>
              <w:right w:val="nil"/>
            </w:tcBorders>
            <w:noWrap/>
            <w:hideMark/>
          </w:tcPr>
          <w:p w:rsidR="00E96388" w:rsidRPr="009D08AC" w:rsidP="00984C45" w14:paraId="4C7100BC" w14:textId="77777777">
            <w:pPr>
              <w:keepNext/>
              <w:widowControl/>
              <w:autoSpaceDE/>
              <w:autoSpaceDN/>
              <w:adjustRightInd/>
              <w:jc w:val="center"/>
              <w:rPr>
                <w:b w:val="0"/>
                <w:bCs w:val="0"/>
                <w:color w:val="000000"/>
                <w:sz w:val="24"/>
                <w:szCs w:val="24"/>
              </w:rPr>
            </w:pPr>
            <w:r w:rsidRPr="009D08AC">
              <w:rPr>
                <w:b w:val="0"/>
                <w:bCs w:val="0"/>
                <w:color w:val="000000"/>
                <w:sz w:val="24"/>
                <w:szCs w:val="24"/>
              </w:rPr>
              <w:t>(A x B)</w:t>
            </w:r>
          </w:p>
        </w:tc>
        <w:tc>
          <w:tcPr>
            <w:tcW w:w="1416" w:type="dxa"/>
            <w:tcBorders>
              <w:top w:val="nil"/>
              <w:left w:val="nil"/>
              <w:bottom w:val="single" w:sz="4" w:space="0" w:color="auto"/>
              <w:right w:val="nil"/>
            </w:tcBorders>
            <w:noWrap/>
            <w:hideMark/>
          </w:tcPr>
          <w:p w:rsidR="00E96388" w:rsidRPr="009D08AC" w:rsidP="00984C45" w14:paraId="263613C6" w14:textId="77777777">
            <w:pPr>
              <w:keepNext/>
              <w:widowControl/>
              <w:autoSpaceDE/>
              <w:autoSpaceDN/>
              <w:adjustRightInd/>
              <w:jc w:val="center"/>
              <w:rPr>
                <w:b w:val="0"/>
                <w:bCs w:val="0"/>
                <w:color w:val="000000"/>
                <w:sz w:val="24"/>
                <w:szCs w:val="24"/>
              </w:rPr>
            </w:pPr>
            <w:r w:rsidRPr="009D08AC">
              <w:rPr>
                <w:b w:val="0"/>
                <w:bCs w:val="0"/>
                <w:color w:val="000000"/>
                <w:sz w:val="24"/>
                <w:szCs w:val="24"/>
              </w:rPr>
              <w:t>(A x B x C)</w:t>
            </w:r>
          </w:p>
        </w:tc>
      </w:tr>
      <w:tr w14:paraId="3C6B6783" w14:textId="77777777" w:rsidTr="003611AD">
        <w:tblPrEx>
          <w:tblW w:w="10596" w:type="dxa"/>
          <w:jc w:val="center"/>
          <w:tblLook w:val="04A0"/>
        </w:tblPrEx>
        <w:trPr>
          <w:trHeight w:val="300"/>
          <w:jc w:val="center"/>
        </w:trPr>
        <w:tc>
          <w:tcPr>
            <w:tcW w:w="2520" w:type="dxa"/>
            <w:tcBorders>
              <w:top w:val="single" w:sz="4" w:space="0" w:color="auto"/>
              <w:left w:val="nil"/>
              <w:bottom w:val="nil"/>
              <w:right w:val="nil"/>
            </w:tcBorders>
            <w:hideMark/>
          </w:tcPr>
          <w:p w:rsidR="00A76520" w:rsidRPr="009D08AC" w:rsidP="00984C45" w14:paraId="61F37D74" w14:textId="20C82582">
            <w:pPr>
              <w:keepNext/>
              <w:widowControl/>
              <w:autoSpaceDE/>
              <w:autoSpaceDN/>
              <w:adjustRightInd/>
              <w:rPr>
                <w:b w:val="0"/>
                <w:bCs w:val="0"/>
                <w:sz w:val="24"/>
                <w:szCs w:val="24"/>
              </w:rPr>
            </w:pPr>
            <w:r w:rsidRPr="009D08AC">
              <w:rPr>
                <w:b w:val="0"/>
                <w:bCs w:val="0"/>
                <w:sz w:val="24"/>
                <w:szCs w:val="24"/>
              </w:rPr>
              <w:t>Plans Without Websites That E-mail Twice Per Year</w:t>
            </w:r>
          </w:p>
        </w:tc>
        <w:tc>
          <w:tcPr>
            <w:tcW w:w="3240" w:type="dxa"/>
            <w:tcBorders>
              <w:top w:val="single" w:sz="4" w:space="0" w:color="auto"/>
              <w:left w:val="nil"/>
              <w:bottom w:val="nil"/>
              <w:right w:val="nil"/>
            </w:tcBorders>
            <w:noWrap/>
            <w:hideMark/>
          </w:tcPr>
          <w:p w:rsidR="00A76520" w:rsidRPr="009D08AC" w:rsidP="00984C45" w14:paraId="5520B730" w14:textId="5AE88E1E">
            <w:pPr>
              <w:keepNext/>
              <w:widowControl/>
              <w:autoSpaceDE/>
              <w:autoSpaceDN/>
              <w:adjustRightInd/>
              <w:rPr>
                <w:b w:val="0"/>
                <w:bCs w:val="0"/>
                <w:color w:val="000000"/>
                <w:sz w:val="24"/>
                <w:szCs w:val="24"/>
              </w:rPr>
            </w:pPr>
            <w:r w:rsidRPr="009D08AC">
              <w:rPr>
                <w:b w:val="0"/>
                <w:bCs w:val="0"/>
                <w:sz w:val="24"/>
                <w:szCs w:val="24"/>
              </w:rPr>
              <w:t xml:space="preserve"> 8,247 = 119,526 DB and </w:t>
            </w:r>
            <w:r w:rsidRPr="009D08AC">
              <w:rPr>
                <w:b w:val="0"/>
                <w:bCs w:val="0"/>
                <w:sz w:val="24"/>
                <w:szCs w:val="24"/>
              </w:rPr>
              <w:t>non Participant</w:t>
            </w:r>
            <w:r w:rsidRPr="009D08AC">
              <w:rPr>
                <w:b w:val="0"/>
                <w:bCs w:val="0"/>
                <w:sz w:val="24"/>
                <w:szCs w:val="24"/>
              </w:rPr>
              <w:t xml:space="preserve">-Directed DC plans x 6.9% without a website </w:t>
            </w:r>
          </w:p>
        </w:tc>
        <w:tc>
          <w:tcPr>
            <w:tcW w:w="1260" w:type="dxa"/>
            <w:tcBorders>
              <w:top w:val="single" w:sz="4" w:space="0" w:color="auto"/>
              <w:left w:val="nil"/>
              <w:bottom w:val="nil"/>
              <w:right w:val="nil"/>
            </w:tcBorders>
            <w:noWrap/>
            <w:hideMark/>
          </w:tcPr>
          <w:p w:rsidR="00A76520" w:rsidRPr="009D08AC" w:rsidP="00984C45" w14:paraId="6320836D" w14:textId="09915C34">
            <w:pPr>
              <w:keepNext/>
              <w:widowControl/>
              <w:autoSpaceDE/>
              <w:autoSpaceDN/>
              <w:adjustRightInd/>
              <w:jc w:val="center"/>
              <w:rPr>
                <w:b w:val="0"/>
                <w:bCs w:val="0"/>
                <w:sz w:val="24"/>
                <w:szCs w:val="24"/>
              </w:rPr>
            </w:pPr>
            <w:r w:rsidRPr="009D08AC">
              <w:rPr>
                <w:b w:val="0"/>
                <w:bCs w:val="0"/>
                <w:sz w:val="24"/>
                <w:szCs w:val="24"/>
              </w:rPr>
              <w:t xml:space="preserve"> 10/60</w:t>
            </w:r>
          </w:p>
        </w:tc>
        <w:tc>
          <w:tcPr>
            <w:tcW w:w="931" w:type="dxa"/>
            <w:tcBorders>
              <w:top w:val="single" w:sz="4" w:space="0" w:color="auto"/>
              <w:left w:val="nil"/>
              <w:bottom w:val="nil"/>
              <w:right w:val="nil"/>
            </w:tcBorders>
            <w:noWrap/>
            <w:hideMark/>
          </w:tcPr>
          <w:p w:rsidR="00A76520" w:rsidRPr="009D08AC" w:rsidP="00984C45" w14:paraId="715EE860" w14:textId="74118C89">
            <w:pPr>
              <w:keepNext/>
              <w:widowControl/>
              <w:autoSpaceDE/>
              <w:autoSpaceDN/>
              <w:adjustRightInd/>
              <w:jc w:val="center"/>
              <w:rPr>
                <w:b w:val="0"/>
                <w:bCs w:val="0"/>
                <w:color w:val="000000"/>
                <w:sz w:val="24"/>
                <w:szCs w:val="24"/>
              </w:rPr>
            </w:pPr>
            <w:r w:rsidRPr="009D08AC">
              <w:rPr>
                <w:b w:val="0"/>
                <w:bCs w:val="0"/>
                <w:sz w:val="24"/>
                <w:szCs w:val="24"/>
              </w:rPr>
              <w:t>$70.29</w:t>
            </w:r>
          </w:p>
        </w:tc>
        <w:tc>
          <w:tcPr>
            <w:tcW w:w="1229" w:type="dxa"/>
            <w:tcBorders>
              <w:top w:val="single" w:sz="4" w:space="0" w:color="auto"/>
              <w:left w:val="nil"/>
              <w:bottom w:val="nil"/>
              <w:right w:val="nil"/>
            </w:tcBorders>
            <w:noWrap/>
            <w:hideMark/>
          </w:tcPr>
          <w:p w:rsidR="00A76520" w:rsidRPr="009D08AC" w:rsidP="00984C45" w14:paraId="6105ADC6" w14:textId="7634AB2D">
            <w:pPr>
              <w:keepNext/>
              <w:widowControl/>
              <w:autoSpaceDE/>
              <w:autoSpaceDN/>
              <w:adjustRightInd/>
              <w:jc w:val="center"/>
              <w:rPr>
                <w:b w:val="0"/>
                <w:bCs w:val="0"/>
                <w:sz w:val="24"/>
                <w:szCs w:val="24"/>
              </w:rPr>
            </w:pPr>
            <w:r w:rsidRPr="009D08AC">
              <w:rPr>
                <w:b w:val="0"/>
                <w:bCs w:val="0"/>
                <w:sz w:val="24"/>
                <w:szCs w:val="24"/>
              </w:rPr>
              <w:t xml:space="preserve"> 1,375 </w:t>
            </w:r>
          </w:p>
        </w:tc>
        <w:tc>
          <w:tcPr>
            <w:tcW w:w="1416" w:type="dxa"/>
            <w:tcBorders>
              <w:top w:val="single" w:sz="4" w:space="0" w:color="auto"/>
              <w:left w:val="nil"/>
              <w:bottom w:val="nil"/>
              <w:right w:val="nil"/>
            </w:tcBorders>
            <w:noWrap/>
            <w:hideMark/>
          </w:tcPr>
          <w:p w:rsidR="00A76520" w:rsidRPr="009D08AC" w:rsidP="00984C45" w14:paraId="31E86B5C" w14:textId="23947925">
            <w:pPr>
              <w:keepNext/>
              <w:widowControl/>
              <w:autoSpaceDE/>
              <w:autoSpaceDN/>
              <w:adjustRightInd/>
              <w:jc w:val="center"/>
              <w:rPr>
                <w:b w:val="0"/>
                <w:bCs w:val="0"/>
                <w:color w:val="000000"/>
                <w:sz w:val="24"/>
                <w:szCs w:val="24"/>
              </w:rPr>
            </w:pPr>
            <w:r w:rsidRPr="009D08AC">
              <w:rPr>
                <w:b w:val="0"/>
                <w:bCs w:val="0"/>
                <w:sz w:val="24"/>
                <w:szCs w:val="24"/>
              </w:rPr>
              <w:t>$96,614</w:t>
            </w:r>
          </w:p>
        </w:tc>
      </w:tr>
      <w:tr w14:paraId="2B98645B" w14:textId="77777777" w:rsidTr="003611AD">
        <w:tblPrEx>
          <w:tblW w:w="10596" w:type="dxa"/>
          <w:jc w:val="center"/>
          <w:tblLook w:val="04A0"/>
        </w:tblPrEx>
        <w:trPr>
          <w:trHeight w:val="525"/>
          <w:jc w:val="center"/>
        </w:trPr>
        <w:tc>
          <w:tcPr>
            <w:tcW w:w="2520" w:type="dxa"/>
            <w:tcBorders>
              <w:top w:val="nil"/>
              <w:left w:val="nil"/>
              <w:right w:val="nil"/>
            </w:tcBorders>
            <w:hideMark/>
          </w:tcPr>
          <w:p w:rsidR="00A76520" w:rsidRPr="009D08AC" w:rsidP="00984C45" w14:paraId="7F6EE42D" w14:textId="7CEC0D82">
            <w:pPr>
              <w:keepNext/>
              <w:widowControl/>
              <w:autoSpaceDE/>
              <w:autoSpaceDN/>
              <w:adjustRightInd/>
              <w:rPr>
                <w:b w:val="0"/>
                <w:bCs w:val="0"/>
                <w:sz w:val="24"/>
                <w:szCs w:val="24"/>
              </w:rPr>
            </w:pPr>
            <w:r w:rsidRPr="009D08AC">
              <w:rPr>
                <w:b w:val="0"/>
                <w:bCs w:val="0"/>
                <w:sz w:val="24"/>
                <w:szCs w:val="24"/>
              </w:rPr>
              <w:t>Plans with Websites That Post Twice Per Year (Annual Statement and Consolidated Annual Report)</w:t>
            </w:r>
          </w:p>
        </w:tc>
        <w:tc>
          <w:tcPr>
            <w:tcW w:w="3240" w:type="dxa"/>
            <w:tcBorders>
              <w:top w:val="nil"/>
              <w:left w:val="nil"/>
              <w:right w:val="nil"/>
            </w:tcBorders>
            <w:hideMark/>
          </w:tcPr>
          <w:p w:rsidR="00A76520" w:rsidRPr="009D08AC" w:rsidP="00984C45" w14:paraId="5C349F83" w14:textId="57DE7D54">
            <w:pPr>
              <w:keepNext/>
              <w:widowControl/>
              <w:autoSpaceDE/>
              <w:autoSpaceDN/>
              <w:adjustRightInd/>
              <w:rPr>
                <w:b w:val="0"/>
                <w:bCs w:val="0"/>
                <w:color w:val="000000"/>
                <w:sz w:val="24"/>
                <w:szCs w:val="24"/>
              </w:rPr>
            </w:pPr>
            <w:r w:rsidRPr="009D08AC">
              <w:rPr>
                <w:b w:val="0"/>
                <w:bCs w:val="0"/>
                <w:sz w:val="24"/>
                <w:szCs w:val="24"/>
              </w:rPr>
              <w:t xml:space="preserve"> 111,279 = 119,526 DB and </w:t>
            </w:r>
            <w:r w:rsidRPr="009D08AC">
              <w:rPr>
                <w:b w:val="0"/>
                <w:bCs w:val="0"/>
                <w:sz w:val="24"/>
                <w:szCs w:val="24"/>
              </w:rPr>
              <w:t>non Participant</w:t>
            </w:r>
            <w:r w:rsidRPr="009D08AC">
              <w:rPr>
                <w:b w:val="0"/>
                <w:bCs w:val="0"/>
                <w:sz w:val="24"/>
                <w:szCs w:val="24"/>
              </w:rPr>
              <w:t xml:space="preserve">-Directed DC plans x 93.1% with a website </w:t>
            </w:r>
          </w:p>
        </w:tc>
        <w:tc>
          <w:tcPr>
            <w:tcW w:w="1260" w:type="dxa"/>
            <w:tcBorders>
              <w:top w:val="nil"/>
              <w:left w:val="nil"/>
              <w:right w:val="nil"/>
            </w:tcBorders>
            <w:noWrap/>
            <w:hideMark/>
          </w:tcPr>
          <w:p w:rsidR="00A76520" w:rsidRPr="009D08AC" w:rsidP="00984C45" w14:paraId="69D84685" w14:textId="3DA66195">
            <w:pPr>
              <w:keepNext/>
              <w:widowControl/>
              <w:autoSpaceDE/>
              <w:autoSpaceDN/>
              <w:adjustRightInd/>
              <w:jc w:val="center"/>
              <w:rPr>
                <w:b w:val="0"/>
                <w:bCs w:val="0"/>
                <w:sz w:val="24"/>
                <w:szCs w:val="24"/>
              </w:rPr>
            </w:pPr>
            <w:r w:rsidRPr="009D08AC">
              <w:rPr>
                <w:b w:val="0"/>
                <w:bCs w:val="0"/>
                <w:sz w:val="24"/>
                <w:szCs w:val="24"/>
              </w:rPr>
              <w:t xml:space="preserve"> 10/60</w:t>
            </w:r>
          </w:p>
        </w:tc>
        <w:tc>
          <w:tcPr>
            <w:tcW w:w="931" w:type="dxa"/>
            <w:tcBorders>
              <w:top w:val="nil"/>
              <w:left w:val="nil"/>
              <w:right w:val="nil"/>
            </w:tcBorders>
            <w:noWrap/>
            <w:hideMark/>
          </w:tcPr>
          <w:p w:rsidR="00A76520" w:rsidRPr="009D08AC" w:rsidP="00984C45" w14:paraId="291645AB" w14:textId="4D2B4F27">
            <w:pPr>
              <w:keepNext/>
              <w:widowControl/>
              <w:autoSpaceDE/>
              <w:autoSpaceDN/>
              <w:adjustRightInd/>
              <w:jc w:val="center"/>
              <w:rPr>
                <w:b w:val="0"/>
                <w:bCs w:val="0"/>
                <w:color w:val="000000"/>
                <w:sz w:val="24"/>
                <w:szCs w:val="24"/>
              </w:rPr>
            </w:pPr>
            <w:r w:rsidRPr="009D08AC">
              <w:rPr>
                <w:b w:val="0"/>
                <w:bCs w:val="0"/>
                <w:sz w:val="24"/>
                <w:szCs w:val="24"/>
              </w:rPr>
              <w:t>$70.29</w:t>
            </w:r>
          </w:p>
        </w:tc>
        <w:tc>
          <w:tcPr>
            <w:tcW w:w="1229" w:type="dxa"/>
            <w:tcBorders>
              <w:top w:val="nil"/>
              <w:left w:val="nil"/>
              <w:right w:val="nil"/>
            </w:tcBorders>
            <w:noWrap/>
            <w:hideMark/>
          </w:tcPr>
          <w:p w:rsidR="00A76520" w:rsidRPr="009D08AC" w:rsidP="00984C45" w14:paraId="567B736E" w14:textId="37BA795B">
            <w:pPr>
              <w:keepNext/>
              <w:widowControl/>
              <w:autoSpaceDE/>
              <w:autoSpaceDN/>
              <w:adjustRightInd/>
              <w:jc w:val="center"/>
              <w:rPr>
                <w:b w:val="0"/>
                <w:bCs w:val="0"/>
                <w:sz w:val="24"/>
                <w:szCs w:val="24"/>
              </w:rPr>
            </w:pPr>
            <w:r w:rsidRPr="009D08AC">
              <w:rPr>
                <w:b w:val="0"/>
                <w:bCs w:val="0"/>
                <w:sz w:val="24"/>
                <w:szCs w:val="24"/>
              </w:rPr>
              <w:t xml:space="preserve"> 18,547 </w:t>
            </w:r>
          </w:p>
        </w:tc>
        <w:tc>
          <w:tcPr>
            <w:tcW w:w="1416" w:type="dxa"/>
            <w:tcBorders>
              <w:top w:val="nil"/>
              <w:left w:val="nil"/>
              <w:right w:val="nil"/>
            </w:tcBorders>
            <w:noWrap/>
            <w:hideMark/>
          </w:tcPr>
          <w:p w:rsidR="00A76520" w:rsidRPr="009D08AC" w:rsidP="00984C45" w14:paraId="590839A5" w14:textId="1772A507">
            <w:pPr>
              <w:keepNext/>
              <w:widowControl/>
              <w:autoSpaceDE/>
              <w:autoSpaceDN/>
              <w:adjustRightInd/>
              <w:jc w:val="center"/>
              <w:rPr>
                <w:b w:val="0"/>
                <w:bCs w:val="0"/>
                <w:color w:val="000000"/>
                <w:sz w:val="24"/>
                <w:szCs w:val="24"/>
              </w:rPr>
            </w:pPr>
            <w:r w:rsidRPr="009D08AC">
              <w:rPr>
                <w:b w:val="0"/>
                <w:bCs w:val="0"/>
                <w:sz w:val="24"/>
                <w:szCs w:val="24"/>
              </w:rPr>
              <w:t>$1,303,633</w:t>
            </w:r>
          </w:p>
        </w:tc>
      </w:tr>
      <w:tr w14:paraId="3E6C7184" w14:textId="77777777" w:rsidTr="003611AD">
        <w:tblPrEx>
          <w:tblW w:w="10596" w:type="dxa"/>
          <w:jc w:val="center"/>
          <w:tblLook w:val="04A0"/>
        </w:tblPrEx>
        <w:trPr>
          <w:trHeight w:val="525"/>
          <w:jc w:val="center"/>
        </w:trPr>
        <w:tc>
          <w:tcPr>
            <w:tcW w:w="2520" w:type="dxa"/>
            <w:tcBorders>
              <w:top w:val="nil"/>
              <w:left w:val="nil"/>
              <w:bottom w:val="single" w:sz="4" w:space="0" w:color="auto"/>
              <w:right w:val="nil"/>
            </w:tcBorders>
          </w:tcPr>
          <w:p w:rsidR="00A76520" w:rsidRPr="009D08AC" w:rsidP="00984C45" w14:paraId="104EC2BD" w14:textId="2568D010">
            <w:pPr>
              <w:keepNext/>
              <w:widowControl/>
              <w:autoSpaceDE/>
              <w:autoSpaceDN/>
              <w:adjustRightInd/>
              <w:rPr>
                <w:b w:val="0"/>
                <w:bCs w:val="0"/>
                <w:sz w:val="24"/>
                <w:szCs w:val="24"/>
              </w:rPr>
            </w:pPr>
            <w:r w:rsidRPr="009D08AC">
              <w:rPr>
                <w:b w:val="0"/>
                <w:bCs w:val="0"/>
                <w:sz w:val="24"/>
                <w:szCs w:val="24"/>
              </w:rPr>
              <w:t>Plans with Websites That Post Five Times Per Year (Quarterly Statements and Consolidated Annual Report)</w:t>
            </w:r>
          </w:p>
        </w:tc>
        <w:tc>
          <w:tcPr>
            <w:tcW w:w="3240" w:type="dxa"/>
            <w:tcBorders>
              <w:top w:val="nil"/>
              <w:left w:val="nil"/>
              <w:bottom w:val="single" w:sz="4" w:space="0" w:color="auto"/>
              <w:right w:val="nil"/>
            </w:tcBorders>
          </w:tcPr>
          <w:p w:rsidR="00A76520" w:rsidRPr="009D08AC" w:rsidP="00984C45" w14:paraId="389191AB" w14:textId="2095117E">
            <w:pPr>
              <w:keepNext/>
              <w:widowControl/>
              <w:autoSpaceDE/>
              <w:autoSpaceDN/>
              <w:adjustRightInd/>
              <w:rPr>
                <w:b w:val="0"/>
                <w:bCs w:val="0"/>
                <w:color w:val="000000"/>
                <w:sz w:val="24"/>
                <w:szCs w:val="24"/>
              </w:rPr>
            </w:pPr>
            <w:r w:rsidRPr="009D08AC">
              <w:rPr>
                <w:b w:val="0"/>
                <w:bCs w:val="0"/>
                <w:sz w:val="24"/>
                <w:szCs w:val="24"/>
              </w:rPr>
              <w:t xml:space="preserve"> 681,844 Participant-Directed Plans </w:t>
            </w:r>
          </w:p>
        </w:tc>
        <w:tc>
          <w:tcPr>
            <w:tcW w:w="1260" w:type="dxa"/>
            <w:tcBorders>
              <w:top w:val="nil"/>
              <w:left w:val="nil"/>
              <w:bottom w:val="single" w:sz="4" w:space="0" w:color="auto"/>
              <w:right w:val="nil"/>
            </w:tcBorders>
            <w:noWrap/>
          </w:tcPr>
          <w:p w:rsidR="00A76520" w:rsidRPr="009D08AC" w:rsidP="00984C45" w14:paraId="438E3220" w14:textId="7B2A560B">
            <w:pPr>
              <w:keepNext/>
              <w:widowControl/>
              <w:autoSpaceDE/>
              <w:autoSpaceDN/>
              <w:adjustRightInd/>
              <w:jc w:val="center"/>
              <w:rPr>
                <w:b w:val="0"/>
                <w:bCs w:val="0"/>
                <w:sz w:val="24"/>
                <w:szCs w:val="24"/>
              </w:rPr>
            </w:pPr>
            <w:r w:rsidRPr="009D08AC">
              <w:rPr>
                <w:b w:val="0"/>
                <w:bCs w:val="0"/>
                <w:sz w:val="24"/>
                <w:szCs w:val="24"/>
              </w:rPr>
              <w:t xml:space="preserve"> 25/60</w:t>
            </w:r>
          </w:p>
        </w:tc>
        <w:tc>
          <w:tcPr>
            <w:tcW w:w="931" w:type="dxa"/>
            <w:tcBorders>
              <w:top w:val="nil"/>
              <w:left w:val="nil"/>
              <w:bottom w:val="single" w:sz="4" w:space="0" w:color="auto"/>
              <w:right w:val="nil"/>
            </w:tcBorders>
            <w:noWrap/>
          </w:tcPr>
          <w:p w:rsidR="00A76520" w:rsidRPr="009D08AC" w:rsidP="00984C45" w14:paraId="4125C9C5" w14:textId="3A1FBD36">
            <w:pPr>
              <w:keepNext/>
              <w:widowControl/>
              <w:autoSpaceDE/>
              <w:autoSpaceDN/>
              <w:adjustRightInd/>
              <w:jc w:val="center"/>
              <w:rPr>
                <w:b w:val="0"/>
                <w:bCs w:val="0"/>
                <w:color w:val="000000"/>
                <w:sz w:val="24"/>
                <w:szCs w:val="24"/>
              </w:rPr>
            </w:pPr>
            <w:r w:rsidRPr="009D08AC">
              <w:rPr>
                <w:b w:val="0"/>
                <w:bCs w:val="0"/>
                <w:sz w:val="24"/>
                <w:szCs w:val="24"/>
              </w:rPr>
              <w:t>$70.29</w:t>
            </w:r>
          </w:p>
        </w:tc>
        <w:tc>
          <w:tcPr>
            <w:tcW w:w="1229" w:type="dxa"/>
            <w:tcBorders>
              <w:top w:val="nil"/>
              <w:left w:val="nil"/>
              <w:bottom w:val="single" w:sz="4" w:space="0" w:color="auto"/>
              <w:right w:val="nil"/>
            </w:tcBorders>
            <w:noWrap/>
          </w:tcPr>
          <w:p w:rsidR="00A76520" w:rsidRPr="009D08AC" w:rsidP="00984C45" w14:paraId="61BA63BB" w14:textId="20AF7ACB">
            <w:pPr>
              <w:keepNext/>
              <w:widowControl/>
              <w:autoSpaceDE/>
              <w:autoSpaceDN/>
              <w:adjustRightInd/>
              <w:jc w:val="center"/>
              <w:rPr>
                <w:b w:val="0"/>
                <w:bCs w:val="0"/>
                <w:sz w:val="24"/>
                <w:szCs w:val="24"/>
              </w:rPr>
            </w:pPr>
            <w:r w:rsidRPr="009D08AC">
              <w:rPr>
                <w:b w:val="0"/>
                <w:bCs w:val="0"/>
                <w:sz w:val="24"/>
                <w:szCs w:val="24"/>
              </w:rPr>
              <w:t xml:space="preserve"> 284,102 </w:t>
            </w:r>
          </w:p>
        </w:tc>
        <w:tc>
          <w:tcPr>
            <w:tcW w:w="1416" w:type="dxa"/>
            <w:tcBorders>
              <w:top w:val="nil"/>
              <w:left w:val="nil"/>
              <w:bottom w:val="single" w:sz="4" w:space="0" w:color="auto"/>
              <w:right w:val="nil"/>
            </w:tcBorders>
            <w:noWrap/>
          </w:tcPr>
          <w:p w:rsidR="00A76520" w:rsidRPr="009D08AC" w:rsidP="00984C45" w14:paraId="4690DC9E" w14:textId="1DF020D9">
            <w:pPr>
              <w:keepNext/>
              <w:widowControl/>
              <w:autoSpaceDE/>
              <w:autoSpaceDN/>
              <w:adjustRightInd/>
              <w:jc w:val="center"/>
              <w:rPr>
                <w:b w:val="0"/>
                <w:bCs w:val="0"/>
                <w:color w:val="000000"/>
                <w:sz w:val="24"/>
                <w:szCs w:val="24"/>
              </w:rPr>
            </w:pPr>
            <w:r w:rsidRPr="009D08AC">
              <w:rPr>
                <w:b w:val="0"/>
                <w:bCs w:val="0"/>
                <w:sz w:val="24"/>
                <w:szCs w:val="24"/>
              </w:rPr>
              <w:t>$19,969,506</w:t>
            </w:r>
          </w:p>
        </w:tc>
      </w:tr>
      <w:tr w14:paraId="1BA96DA2" w14:textId="77777777" w:rsidTr="003611AD">
        <w:tblPrEx>
          <w:tblW w:w="10596" w:type="dxa"/>
          <w:jc w:val="center"/>
          <w:tblLook w:val="04A0"/>
        </w:tblPrEx>
        <w:trPr>
          <w:trHeight w:val="315"/>
          <w:jc w:val="center"/>
        </w:trPr>
        <w:tc>
          <w:tcPr>
            <w:tcW w:w="7020" w:type="dxa"/>
            <w:gridSpan w:val="3"/>
            <w:tcBorders>
              <w:top w:val="single" w:sz="4" w:space="0" w:color="auto"/>
              <w:bottom w:val="single" w:sz="4" w:space="0" w:color="auto"/>
              <w:right w:val="nil"/>
            </w:tcBorders>
            <w:noWrap/>
            <w:hideMark/>
          </w:tcPr>
          <w:p w:rsidR="008A06FF" w:rsidRPr="009D08AC" w:rsidP="00984C45" w14:paraId="614B9FCE" w14:textId="336EAA05">
            <w:pPr>
              <w:keepNext/>
              <w:widowControl/>
              <w:autoSpaceDE/>
              <w:autoSpaceDN/>
              <w:adjustRightInd/>
              <w:rPr>
                <w:color w:val="000000"/>
                <w:sz w:val="24"/>
                <w:szCs w:val="24"/>
                <w:vertAlign w:val="superscript"/>
              </w:rPr>
            </w:pPr>
            <w:r w:rsidRPr="009D08AC">
              <w:rPr>
                <w:color w:val="000000"/>
                <w:sz w:val="24"/>
                <w:szCs w:val="24"/>
              </w:rPr>
              <w:t>Total</w:t>
            </w:r>
            <w:r w:rsidRPr="009D08AC" w:rsidR="00767F0B">
              <w:rPr>
                <w:color w:val="000000"/>
                <w:sz w:val="24"/>
                <w:szCs w:val="24"/>
                <w:vertAlign w:val="superscript"/>
              </w:rPr>
              <w:t>1</w:t>
            </w:r>
          </w:p>
        </w:tc>
        <w:tc>
          <w:tcPr>
            <w:tcW w:w="931" w:type="dxa"/>
            <w:tcBorders>
              <w:top w:val="single" w:sz="4" w:space="0" w:color="auto"/>
              <w:left w:val="nil"/>
              <w:bottom w:val="single" w:sz="4" w:space="0" w:color="auto"/>
              <w:right w:val="nil"/>
            </w:tcBorders>
            <w:noWrap/>
            <w:hideMark/>
          </w:tcPr>
          <w:p w:rsidR="008A06FF" w:rsidRPr="009D08AC" w:rsidP="00984C45" w14:paraId="2D3E8D49" w14:textId="77777777">
            <w:pPr>
              <w:keepNext/>
              <w:widowControl/>
              <w:autoSpaceDE/>
              <w:autoSpaceDN/>
              <w:adjustRightInd/>
              <w:rPr>
                <w:color w:val="000000"/>
                <w:sz w:val="24"/>
                <w:szCs w:val="24"/>
              </w:rPr>
            </w:pPr>
            <w:r w:rsidRPr="009D08AC">
              <w:rPr>
                <w:color w:val="000000"/>
                <w:sz w:val="24"/>
                <w:szCs w:val="24"/>
              </w:rPr>
              <w:t> </w:t>
            </w:r>
          </w:p>
        </w:tc>
        <w:tc>
          <w:tcPr>
            <w:tcW w:w="1229" w:type="dxa"/>
            <w:tcBorders>
              <w:top w:val="single" w:sz="4" w:space="0" w:color="auto"/>
              <w:left w:val="nil"/>
              <w:bottom w:val="single" w:sz="4" w:space="0" w:color="auto"/>
              <w:right w:val="nil"/>
            </w:tcBorders>
            <w:noWrap/>
            <w:hideMark/>
          </w:tcPr>
          <w:p w:rsidR="008A06FF" w:rsidRPr="009D08AC" w:rsidP="00984C45" w14:paraId="53BEEF21" w14:textId="7E488FFA">
            <w:pPr>
              <w:keepNext/>
              <w:widowControl/>
              <w:autoSpaceDE/>
              <w:autoSpaceDN/>
              <w:adjustRightInd/>
              <w:jc w:val="center"/>
              <w:rPr>
                <w:color w:val="000000"/>
                <w:sz w:val="24"/>
                <w:szCs w:val="24"/>
              </w:rPr>
            </w:pPr>
            <w:r w:rsidRPr="009D08AC">
              <w:rPr>
                <w:sz w:val="24"/>
                <w:szCs w:val="24"/>
              </w:rPr>
              <w:t xml:space="preserve"> 304,023 </w:t>
            </w:r>
          </w:p>
        </w:tc>
        <w:tc>
          <w:tcPr>
            <w:tcW w:w="1416" w:type="dxa"/>
            <w:tcBorders>
              <w:top w:val="single" w:sz="4" w:space="0" w:color="auto"/>
              <w:left w:val="nil"/>
              <w:bottom w:val="single" w:sz="4" w:space="0" w:color="auto"/>
              <w:right w:val="nil"/>
            </w:tcBorders>
            <w:noWrap/>
            <w:hideMark/>
          </w:tcPr>
          <w:p w:rsidR="008A06FF" w:rsidRPr="009D08AC" w:rsidP="00984C45" w14:paraId="5EE89503" w14:textId="6195B100">
            <w:pPr>
              <w:keepNext/>
              <w:widowControl/>
              <w:autoSpaceDE/>
              <w:autoSpaceDN/>
              <w:adjustRightInd/>
              <w:jc w:val="center"/>
              <w:rPr>
                <w:color w:val="000000"/>
                <w:sz w:val="24"/>
                <w:szCs w:val="24"/>
              </w:rPr>
            </w:pPr>
            <w:r w:rsidRPr="009D08AC">
              <w:rPr>
                <w:sz w:val="24"/>
                <w:szCs w:val="24"/>
              </w:rPr>
              <w:t>$21,369,753</w:t>
            </w:r>
          </w:p>
        </w:tc>
      </w:tr>
      <w:tr w14:paraId="48379250" w14:textId="77777777" w:rsidTr="003611AD">
        <w:tblPrEx>
          <w:tblW w:w="10596" w:type="dxa"/>
          <w:jc w:val="center"/>
          <w:tblLook w:val="04A0"/>
        </w:tblPrEx>
        <w:trPr>
          <w:trHeight w:val="315"/>
          <w:jc w:val="center"/>
        </w:trPr>
        <w:tc>
          <w:tcPr>
            <w:tcW w:w="10596" w:type="dxa"/>
            <w:gridSpan w:val="6"/>
            <w:tcBorders>
              <w:top w:val="single" w:sz="4" w:space="0" w:color="auto"/>
              <w:right w:val="nil"/>
            </w:tcBorders>
            <w:noWrap/>
          </w:tcPr>
          <w:p w:rsidR="00767F0B" w:rsidRPr="009D08AC" w:rsidP="00767F0B" w14:paraId="253A4A0D" w14:textId="021AD1D6">
            <w:pPr>
              <w:keepNext/>
              <w:widowControl/>
              <w:autoSpaceDE/>
              <w:autoSpaceDN/>
              <w:adjustRightInd/>
              <w:rPr>
                <w:b w:val="0"/>
                <w:bCs w:val="0"/>
              </w:rPr>
            </w:pPr>
            <w:r w:rsidRPr="009D08AC">
              <w:rPr>
                <w:rStyle w:val="FootnoteReference"/>
                <w:vertAlign w:val="superscript"/>
              </w:rPr>
              <w:footnoteRef/>
            </w:r>
            <w:r w:rsidRPr="009D08AC">
              <w:rPr>
                <w:vertAlign w:val="superscript"/>
              </w:rPr>
              <w:t xml:space="preserve"> </w:t>
            </w:r>
            <w:r w:rsidRPr="009D08AC">
              <w:rPr>
                <w:b w:val="0"/>
                <w:bCs w:val="0"/>
              </w:rPr>
              <w:t xml:space="preserve">The Department has not rounded intermediate values, so the components may not </w:t>
            </w:r>
            <w:r w:rsidRPr="009D08AC">
              <w:rPr>
                <w:b w:val="0"/>
                <w:bCs w:val="0"/>
              </w:rPr>
              <w:t>sum</w:t>
            </w:r>
            <w:r w:rsidRPr="009D08AC">
              <w:rPr>
                <w:b w:val="0"/>
                <w:bCs w:val="0"/>
              </w:rPr>
              <w:t xml:space="preserve"> to the whole.</w:t>
            </w:r>
          </w:p>
        </w:tc>
      </w:tr>
    </w:tbl>
    <w:p w:rsidR="00E96388" w:rsidRPr="009D08AC" w:rsidP="00834A03" w14:paraId="161F444E" w14:textId="77777777">
      <w:pPr>
        <w:widowControl/>
        <w:autoSpaceDE/>
        <w:autoSpaceDN/>
        <w:adjustRightInd/>
        <w:ind w:left="720"/>
        <w:rPr>
          <w:b w:val="0"/>
          <w:bCs w:val="0"/>
          <w:sz w:val="24"/>
        </w:rPr>
      </w:pPr>
    </w:p>
    <w:p w:rsidR="00BF4D05" w:rsidRPr="009D08AC" w:rsidP="002D73D8" w14:paraId="7EB55038" w14:textId="77777777">
      <w:pPr>
        <w:widowControl/>
        <w:autoSpaceDE/>
        <w:autoSpaceDN/>
        <w:adjustRightInd/>
        <w:ind w:left="720" w:firstLine="720"/>
        <w:rPr>
          <w:rFonts w:eastAsia="Calibri"/>
          <w:b w:val="0"/>
          <w:bCs w:val="0"/>
          <w:sz w:val="24"/>
          <w:szCs w:val="24"/>
        </w:rPr>
      </w:pPr>
    </w:p>
    <w:p w:rsidR="00581531" w:rsidRPr="009D08AC" w:rsidP="00581531" w14:paraId="6FFA0F16" w14:textId="15603421">
      <w:pPr>
        <w:widowControl/>
        <w:autoSpaceDE/>
        <w:autoSpaceDN/>
        <w:adjustRightInd/>
        <w:ind w:left="720"/>
        <w:rPr>
          <w:b w:val="0"/>
          <w:bCs w:val="0"/>
          <w:sz w:val="24"/>
        </w:rPr>
      </w:pPr>
      <w:r w:rsidRPr="009D08AC">
        <w:rPr>
          <w:b w:val="0"/>
          <w:bCs w:val="0"/>
          <w:sz w:val="24"/>
        </w:rPr>
        <w:t xml:space="preserve">Plan administrators also would incur costs to remedy failed delivery of internet availability notices. The Department assumes plan administrators would </w:t>
      </w:r>
      <w:r w:rsidRPr="009D08AC" w:rsidR="00EA55DD">
        <w:rPr>
          <w:b w:val="0"/>
          <w:bCs w:val="0"/>
          <w:sz w:val="24"/>
        </w:rPr>
        <w:t>resolve</w:t>
      </w:r>
      <w:r w:rsidRPr="009D08AC" w:rsidR="00C502EB">
        <w:rPr>
          <w:b w:val="0"/>
          <w:bCs w:val="0"/>
          <w:sz w:val="24"/>
        </w:rPr>
        <w:t xml:space="preserve"> failed delivery by </w:t>
      </w:r>
      <w:r w:rsidRPr="009D08AC">
        <w:rPr>
          <w:b w:val="0"/>
          <w:bCs w:val="0"/>
          <w:sz w:val="24"/>
        </w:rPr>
        <w:t xml:space="preserve">attempting to redeliver bounced emails or </w:t>
      </w:r>
      <w:r w:rsidRPr="009D08AC" w:rsidR="004F6796">
        <w:rPr>
          <w:b w:val="0"/>
          <w:bCs w:val="0"/>
          <w:sz w:val="24"/>
        </w:rPr>
        <w:t>by</w:t>
      </w:r>
      <w:r w:rsidRPr="009D08AC">
        <w:rPr>
          <w:b w:val="0"/>
          <w:bCs w:val="0"/>
          <w:sz w:val="24"/>
        </w:rPr>
        <w:t xml:space="preserve"> reaching out to covered employees to obtain updated electronic addresses. However, it may be difficult for plan administrators to remedy failed delivery for certain covered individuals, such as those who have separated from service. </w:t>
      </w:r>
      <w:r w:rsidRPr="009D08AC" w:rsidR="0024385C">
        <w:rPr>
          <w:b w:val="0"/>
          <w:bCs w:val="0"/>
          <w:sz w:val="24"/>
        </w:rPr>
        <w:t xml:space="preserve">For these individuals, the Department </w:t>
      </w:r>
      <w:r w:rsidRPr="009D08AC" w:rsidR="00184195">
        <w:rPr>
          <w:b w:val="0"/>
          <w:bCs w:val="0"/>
          <w:sz w:val="24"/>
        </w:rPr>
        <w:t>expects</w:t>
      </w:r>
      <w:r w:rsidRPr="009D08AC" w:rsidR="0024385C">
        <w:rPr>
          <w:b w:val="0"/>
          <w:bCs w:val="0"/>
          <w:sz w:val="24"/>
        </w:rPr>
        <w:t xml:space="preserve"> p</w:t>
      </w:r>
      <w:r w:rsidRPr="009D08AC">
        <w:rPr>
          <w:b w:val="0"/>
          <w:bCs w:val="0"/>
          <w:sz w:val="24"/>
        </w:rPr>
        <w:t xml:space="preserve">lan administrators </w:t>
      </w:r>
      <w:r w:rsidRPr="009D08AC" w:rsidR="0024385C">
        <w:rPr>
          <w:b w:val="0"/>
          <w:bCs w:val="0"/>
          <w:sz w:val="24"/>
        </w:rPr>
        <w:t xml:space="preserve">will </w:t>
      </w:r>
      <w:r w:rsidRPr="009D08AC">
        <w:rPr>
          <w:b w:val="0"/>
          <w:bCs w:val="0"/>
          <w:sz w:val="24"/>
        </w:rPr>
        <w:t xml:space="preserve">treat </w:t>
      </w:r>
      <w:r w:rsidRPr="009D08AC" w:rsidR="007A09B4">
        <w:rPr>
          <w:b w:val="0"/>
          <w:bCs w:val="0"/>
          <w:sz w:val="24"/>
        </w:rPr>
        <w:t>them as if they had</w:t>
      </w:r>
      <w:r w:rsidRPr="009D08AC">
        <w:rPr>
          <w:b w:val="0"/>
          <w:bCs w:val="0"/>
          <w:sz w:val="24"/>
        </w:rPr>
        <w:t xml:space="preserve"> opt</w:t>
      </w:r>
      <w:r w:rsidRPr="009D08AC" w:rsidR="007A09B4">
        <w:rPr>
          <w:b w:val="0"/>
          <w:bCs w:val="0"/>
          <w:sz w:val="24"/>
        </w:rPr>
        <w:t>ed</w:t>
      </w:r>
      <w:r w:rsidRPr="009D08AC">
        <w:rPr>
          <w:b w:val="0"/>
          <w:bCs w:val="0"/>
          <w:sz w:val="24"/>
        </w:rPr>
        <w:t xml:space="preserve"> out of electronic delivery. Although the Department acknowledges that plan administrators would spend time attempting to correct failed delivery as provided in paragraph (f)(4) of the </w:t>
      </w:r>
      <w:r w:rsidRPr="009D08AC" w:rsidR="00BB516F">
        <w:rPr>
          <w:b w:val="0"/>
          <w:bCs w:val="0"/>
          <w:sz w:val="24"/>
        </w:rPr>
        <w:t>20</w:t>
      </w:r>
      <w:r w:rsidRPr="009D08AC" w:rsidR="00FD5341">
        <w:rPr>
          <w:b w:val="0"/>
          <w:bCs w:val="0"/>
          <w:sz w:val="24"/>
        </w:rPr>
        <w:t>20</w:t>
      </w:r>
      <w:r w:rsidRPr="009D08AC" w:rsidR="00BB516F">
        <w:rPr>
          <w:b w:val="0"/>
          <w:bCs w:val="0"/>
          <w:sz w:val="24"/>
        </w:rPr>
        <w:t xml:space="preserve"> safe harbor</w:t>
      </w:r>
      <w:r w:rsidRPr="009D08AC">
        <w:rPr>
          <w:b w:val="0"/>
          <w:bCs w:val="0"/>
          <w:sz w:val="24"/>
        </w:rPr>
        <w:t xml:space="preserve">, it does not have sufficient data to quantify associated costs. The Department, however, assumes that plan administrators always would select the least costly and most efficient option. Therefore, if locating </w:t>
      </w:r>
      <w:r w:rsidRPr="009D08AC" w:rsidR="00215336">
        <w:rPr>
          <w:b w:val="0"/>
          <w:bCs w:val="0"/>
          <w:sz w:val="24"/>
        </w:rPr>
        <w:t xml:space="preserve">covered individuals </w:t>
      </w:r>
      <w:r w:rsidRPr="009D08AC">
        <w:rPr>
          <w:b w:val="0"/>
          <w:bCs w:val="0"/>
          <w:sz w:val="24"/>
        </w:rPr>
        <w:t xml:space="preserve">and obtaining updated electronic addresses were too burdensome, the Department assumes that the plans would furnish covered documents identified in the undelivered notice of internet availability to those </w:t>
      </w:r>
      <w:r w:rsidRPr="009D08AC" w:rsidR="00215336">
        <w:rPr>
          <w:b w:val="0"/>
          <w:bCs w:val="0"/>
          <w:sz w:val="24"/>
        </w:rPr>
        <w:t xml:space="preserve">covered individuals </w:t>
      </w:r>
      <w:r w:rsidRPr="009D08AC">
        <w:rPr>
          <w:b w:val="0"/>
          <w:bCs w:val="0"/>
          <w:sz w:val="24"/>
        </w:rPr>
        <w:t xml:space="preserve">by mail. </w:t>
      </w:r>
    </w:p>
    <w:p w:rsidR="000B2D1F" w:rsidRPr="009D08AC" w:rsidP="002B491C" w14:paraId="5C2265B0" w14:textId="77777777">
      <w:pPr>
        <w:widowControl/>
        <w:autoSpaceDE/>
        <w:autoSpaceDN/>
        <w:adjustRightInd/>
        <w:ind w:left="720"/>
        <w:rPr>
          <w:b w:val="0"/>
          <w:bCs w:val="0"/>
          <w:sz w:val="24"/>
        </w:rPr>
      </w:pPr>
    </w:p>
    <w:p w:rsidR="00BF4D05" w:rsidRPr="009D08AC" w:rsidP="002B491C" w14:paraId="0CD37A52" w14:textId="6CFF58E8">
      <w:pPr>
        <w:widowControl/>
        <w:autoSpaceDE/>
        <w:autoSpaceDN/>
        <w:adjustRightInd/>
        <w:ind w:left="720"/>
        <w:rPr>
          <w:b w:val="0"/>
          <w:bCs w:val="0"/>
          <w:sz w:val="24"/>
        </w:rPr>
      </w:pPr>
      <w:r w:rsidRPr="009D08AC">
        <w:rPr>
          <w:b w:val="0"/>
          <w:bCs w:val="0"/>
          <w:sz w:val="24"/>
        </w:rPr>
        <w:t xml:space="preserve">The Department estimates that it will take a clerical worker </w:t>
      </w:r>
      <w:r w:rsidRPr="009D08AC" w:rsidR="00491905">
        <w:rPr>
          <w:b w:val="0"/>
          <w:bCs w:val="0"/>
          <w:sz w:val="24"/>
        </w:rPr>
        <w:t>seven</w:t>
      </w:r>
      <w:r w:rsidRPr="009D08AC">
        <w:rPr>
          <w:b w:val="0"/>
          <w:bCs w:val="0"/>
          <w:sz w:val="24"/>
        </w:rPr>
        <w:t xml:space="preserve"> and a half minutes per e-mail to prepare the list </w:t>
      </w:r>
      <w:r w:rsidRPr="009D08AC" w:rsidR="00806BF6">
        <w:rPr>
          <w:b w:val="0"/>
          <w:bCs w:val="0"/>
          <w:sz w:val="24"/>
        </w:rPr>
        <w:t xml:space="preserve">of bounced e-mails. </w:t>
      </w:r>
      <w:r w:rsidRPr="009D08AC" w:rsidR="00581531">
        <w:rPr>
          <w:b w:val="0"/>
          <w:bCs w:val="0"/>
          <w:sz w:val="24"/>
        </w:rPr>
        <w:t xml:space="preserve">The annual burden to prepare a list of bounced emails and include them in database for mailing </w:t>
      </w:r>
      <w:r w:rsidRPr="009D08AC" w:rsidR="00C201E2">
        <w:rPr>
          <w:b w:val="0"/>
          <w:bCs w:val="0"/>
          <w:sz w:val="24"/>
        </w:rPr>
        <w:t xml:space="preserve">is </w:t>
      </w:r>
      <w:r w:rsidRPr="009D08AC" w:rsidR="004C02FE">
        <w:rPr>
          <w:b w:val="0"/>
          <w:bCs w:val="0"/>
          <w:sz w:val="24"/>
        </w:rPr>
        <w:t>displayed below</w:t>
      </w:r>
      <w:r w:rsidRPr="009D08AC" w:rsidR="00984C45">
        <w:rPr>
          <w:b w:val="0"/>
          <w:bCs w:val="0"/>
          <w:sz w:val="24"/>
        </w:rPr>
        <w:t>.</w:t>
      </w:r>
    </w:p>
    <w:p w:rsidR="00984C45" w:rsidRPr="009D08AC" w:rsidP="002B491C" w14:paraId="0775A6FF" w14:textId="77777777">
      <w:pPr>
        <w:widowControl/>
        <w:autoSpaceDE/>
        <w:autoSpaceDN/>
        <w:adjustRightInd/>
        <w:ind w:left="720"/>
        <w:rPr>
          <w:b w:val="0"/>
          <w:bCs w:val="0"/>
          <w:sz w:val="24"/>
        </w:rPr>
      </w:pPr>
    </w:p>
    <w:tbl>
      <w:tblPr>
        <w:tblW w:w="10993" w:type="dxa"/>
        <w:jc w:val="center"/>
        <w:tblLook w:val="04A0"/>
      </w:tblPr>
      <w:tblGrid>
        <w:gridCol w:w="2512"/>
        <w:gridCol w:w="3240"/>
        <w:gridCol w:w="1898"/>
        <w:gridCol w:w="931"/>
        <w:gridCol w:w="1229"/>
        <w:gridCol w:w="1416"/>
      </w:tblGrid>
      <w:tr w14:paraId="6EBFD81C" w14:textId="77777777" w:rsidTr="003611AD">
        <w:tblPrEx>
          <w:tblW w:w="10993" w:type="dxa"/>
          <w:jc w:val="center"/>
          <w:tblLook w:val="04A0"/>
        </w:tblPrEx>
        <w:trPr>
          <w:trHeight w:val="216"/>
          <w:jc w:val="center"/>
        </w:trPr>
        <w:tc>
          <w:tcPr>
            <w:tcW w:w="10993" w:type="dxa"/>
            <w:gridSpan w:val="6"/>
            <w:tcBorders>
              <w:top w:val="nil"/>
              <w:left w:val="nil"/>
              <w:bottom w:val="single" w:sz="8" w:space="0" w:color="auto"/>
              <w:right w:val="nil"/>
            </w:tcBorders>
            <w:shd w:val="clear" w:color="000000" w:fill="FFFFFF"/>
            <w:noWrap/>
            <w:hideMark/>
          </w:tcPr>
          <w:p w:rsidR="00984C45" w:rsidRPr="009D08AC" w14:paraId="58D14138" w14:textId="1BAABE1F">
            <w:pPr>
              <w:keepNext/>
              <w:widowControl/>
              <w:autoSpaceDE/>
              <w:autoSpaceDN/>
              <w:adjustRightInd/>
              <w:rPr>
                <w:color w:val="000000"/>
                <w:sz w:val="24"/>
                <w:szCs w:val="24"/>
              </w:rPr>
            </w:pPr>
            <w:r w:rsidRPr="009D08AC">
              <w:rPr>
                <w:color w:val="000000"/>
                <w:sz w:val="24"/>
                <w:szCs w:val="24"/>
              </w:rPr>
              <w:t xml:space="preserve">Table </w:t>
            </w:r>
            <w:r w:rsidRPr="009D08AC" w:rsidR="00887271">
              <w:rPr>
                <w:color w:val="000000"/>
                <w:sz w:val="24"/>
                <w:szCs w:val="24"/>
              </w:rPr>
              <w:t>4</w:t>
            </w:r>
            <w:r w:rsidRPr="009D08AC">
              <w:rPr>
                <w:color w:val="000000"/>
                <w:sz w:val="24"/>
                <w:szCs w:val="24"/>
              </w:rPr>
              <w:t>.—</w:t>
            </w:r>
            <w:r w:rsidRPr="009D08AC">
              <w:rPr>
                <w:sz w:val="24"/>
                <w:szCs w:val="24"/>
              </w:rPr>
              <w:t xml:space="preserve"> </w:t>
            </w:r>
            <w:r w:rsidRPr="009D08AC" w:rsidR="00887271">
              <w:rPr>
                <w:i/>
                <w:iCs/>
                <w:color w:val="000000"/>
                <w:sz w:val="24"/>
                <w:szCs w:val="24"/>
              </w:rPr>
              <w:t>Costs for Bounced E-mail List</w:t>
            </w:r>
          </w:p>
        </w:tc>
      </w:tr>
      <w:tr w14:paraId="05B447F6" w14:textId="77777777" w:rsidTr="003611AD">
        <w:tblPrEx>
          <w:tblW w:w="10993" w:type="dxa"/>
          <w:jc w:val="center"/>
          <w:tblLook w:val="04A0"/>
        </w:tblPrEx>
        <w:trPr>
          <w:trHeight w:val="600"/>
          <w:jc w:val="center"/>
        </w:trPr>
        <w:tc>
          <w:tcPr>
            <w:tcW w:w="2512" w:type="dxa"/>
            <w:tcBorders>
              <w:top w:val="nil"/>
              <w:left w:val="nil"/>
              <w:bottom w:val="nil"/>
              <w:right w:val="nil"/>
            </w:tcBorders>
            <w:hideMark/>
          </w:tcPr>
          <w:p w:rsidR="00984C45" w:rsidRPr="009D08AC" w14:paraId="50D2910C" w14:textId="77777777">
            <w:pPr>
              <w:keepNext/>
              <w:widowControl/>
              <w:autoSpaceDE/>
              <w:autoSpaceDN/>
              <w:adjustRightInd/>
              <w:jc w:val="center"/>
              <w:rPr>
                <w:b w:val="0"/>
                <w:bCs w:val="0"/>
                <w:color w:val="000000"/>
                <w:sz w:val="22"/>
                <w:szCs w:val="22"/>
              </w:rPr>
            </w:pPr>
            <w:r w:rsidRPr="009D08AC">
              <w:rPr>
                <w:b w:val="0"/>
                <w:bCs w:val="0"/>
                <w:color w:val="000000"/>
                <w:sz w:val="22"/>
                <w:szCs w:val="22"/>
              </w:rPr>
              <w:t>Description</w:t>
            </w:r>
          </w:p>
        </w:tc>
        <w:tc>
          <w:tcPr>
            <w:tcW w:w="3240" w:type="dxa"/>
            <w:tcBorders>
              <w:top w:val="nil"/>
              <w:left w:val="nil"/>
              <w:bottom w:val="nil"/>
              <w:right w:val="nil"/>
            </w:tcBorders>
            <w:noWrap/>
            <w:hideMark/>
          </w:tcPr>
          <w:p w:rsidR="00984C45" w:rsidRPr="009D08AC" w14:paraId="39136256" w14:textId="77777777">
            <w:pPr>
              <w:keepNext/>
              <w:widowControl/>
              <w:autoSpaceDE/>
              <w:autoSpaceDN/>
              <w:adjustRightInd/>
              <w:jc w:val="center"/>
              <w:rPr>
                <w:b w:val="0"/>
                <w:bCs w:val="0"/>
                <w:color w:val="000000"/>
                <w:sz w:val="24"/>
                <w:szCs w:val="24"/>
              </w:rPr>
            </w:pPr>
            <w:r w:rsidRPr="009D08AC">
              <w:rPr>
                <w:b w:val="0"/>
                <w:bCs w:val="0"/>
                <w:color w:val="000000"/>
                <w:sz w:val="24"/>
                <w:szCs w:val="24"/>
              </w:rPr>
              <w:t>Affected Entities</w:t>
            </w:r>
          </w:p>
        </w:tc>
        <w:tc>
          <w:tcPr>
            <w:tcW w:w="1898" w:type="dxa"/>
            <w:tcBorders>
              <w:top w:val="nil"/>
              <w:left w:val="nil"/>
              <w:bottom w:val="nil"/>
              <w:right w:val="nil"/>
            </w:tcBorders>
            <w:noWrap/>
            <w:hideMark/>
          </w:tcPr>
          <w:p w:rsidR="00984C45" w:rsidRPr="009D08AC" w14:paraId="37B04314" w14:textId="355738D8">
            <w:pPr>
              <w:keepNext/>
              <w:widowControl/>
              <w:autoSpaceDE/>
              <w:autoSpaceDN/>
              <w:adjustRightInd/>
              <w:jc w:val="center"/>
              <w:rPr>
                <w:b w:val="0"/>
                <w:color w:val="000000"/>
                <w:sz w:val="24"/>
                <w:szCs w:val="24"/>
                <w:vertAlign w:val="superscript"/>
              </w:rPr>
            </w:pPr>
            <w:r w:rsidRPr="009D08AC">
              <w:rPr>
                <w:b w:val="0"/>
                <w:bCs w:val="0"/>
                <w:color w:val="000000"/>
                <w:sz w:val="24"/>
                <w:szCs w:val="24"/>
              </w:rPr>
              <w:t>Hours per Entity</w:t>
            </w:r>
            <w:r w:rsidRPr="009D08AC" w:rsidR="00DF7F2C">
              <w:rPr>
                <w:b w:val="0"/>
                <w:bCs w:val="0"/>
                <w:color w:val="000000"/>
                <w:sz w:val="24"/>
                <w:szCs w:val="24"/>
                <w:vertAlign w:val="superscript"/>
              </w:rPr>
              <w:t>1</w:t>
            </w:r>
          </w:p>
        </w:tc>
        <w:tc>
          <w:tcPr>
            <w:tcW w:w="931" w:type="dxa"/>
            <w:tcBorders>
              <w:top w:val="nil"/>
              <w:left w:val="nil"/>
              <w:bottom w:val="nil"/>
              <w:right w:val="nil"/>
            </w:tcBorders>
            <w:noWrap/>
            <w:hideMark/>
          </w:tcPr>
          <w:p w:rsidR="00984C45" w:rsidRPr="009D08AC" w14:paraId="000A14D6" w14:textId="77777777">
            <w:pPr>
              <w:keepNext/>
              <w:widowControl/>
              <w:autoSpaceDE/>
              <w:autoSpaceDN/>
              <w:adjustRightInd/>
              <w:jc w:val="center"/>
              <w:rPr>
                <w:b w:val="0"/>
                <w:bCs w:val="0"/>
                <w:color w:val="000000"/>
                <w:sz w:val="24"/>
                <w:szCs w:val="24"/>
              </w:rPr>
            </w:pPr>
            <w:r w:rsidRPr="009D08AC">
              <w:rPr>
                <w:b w:val="0"/>
                <w:bCs w:val="0"/>
                <w:color w:val="000000"/>
                <w:sz w:val="24"/>
                <w:szCs w:val="24"/>
              </w:rPr>
              <w:t>Hourly Wage</w:t>
            </w:r>
          </w:p>
        </w:tc>
        <w:tc>
          <w:tcPr>
            <w:tcW w:w="1229" w:type="dxa"/>
            <w:tcBorders>
              <w:top w:val="nil"/>
              <w:left w:val="nil"/>
              <w:bottom w:val="nil"/>
              <w:right w:val="nil"/>
            </w:tcBorders>
            <w:noWrap/>
            <w:hideMark/>
          </w:tcPr>
          <w:p w:rsidR="00984C45" w:rsidRPr="009D08AC" w14:paraId="1DCDFC8F" w14:textId="77777777">
            <w:pPr>
              <w:keepNext/>
              <w:widowControl/>
              <w:autoSpaceDE/>
              <w:autoSpaceDN/>
              <w:adjustRightInd/>
              <w:jc w:val="center"/>
              <w:rPr>
                <w:b w:val="0"/>
                <w:bCs w:val="0"/>
                <w:color w:val="000000"/>
                <w:sz w:val="24"/>
                <w:szCs w:val="24"/>
              </w:rPr>
            </w:pPr>
            <w:r w:rsidRPr="009D08AC">
              <w:rPr>
                <w:b w:val="0"/>
                <w:bCs w:val="0"/>
                <w:color w:val="000000"/>
                <w:sz w:val="24"/>
                <w:szCs w:val="24"/>
              </w:rPr>
              <w:t>Total Hours</w:t>
            </w:r>
          </w:p>
        </w:tc>
        <w:tc>
          <w:tcPr>
            <w:tcW w:w="1183" w:type="dxa"/>
            <w:tcBorders>
              <w:top w:val="nil"/>
              <w:left w:val="nil"/>
              <w:bottom w:val="nil"/>
              <w:right w:val="nil"/>
            </w:tcBorders>
            <w:noWrap/>
            <w:hideMark/>
          </w:tcPr>
          <w:p w:rsidR="00984C45" w:rsidRPr="009D08AC" w14:paraId="025EB0E1" w14:textId="77777777">
            <w:pPr>
              <w:keepNext/>
              <w:widowControl/>
              <w:autoSpaceDE/>
              <w:autoSpaceDN/>
              <w:adjustRightInd/>
              <w:jc w:val="center"/>
              <w:rPr>
                <w:b w:val="0"/>
                <w:bCs w:val="0"/>
                <w:color w:val="000000"/>
                <w:sz w:val="24"/>
                <w:szCs w:val="24"/>
              </w:rPr>
            </w:pPr>
            <w:r w:rsidRPr="009D08AC">
              <w:rPr>
                <w:b w:val="0"/>
                <w:bCs w:val="0"/>
                <w:color w:val="000000"/>
                <w:sz w:val="24"/>
                <w:szCs w:val="24"/>
              </w:rPr>
              <w:t>Equivalent Cost</w:t>
            </w:r>
          </w:p>
        </w:tc>
      </w:tr>
      <w:tr w14:paraId="175F0334" w14:textId="77777777" w:rsidTr="003611AD">
        <w:tblPrEx>
          <w:tblW w:w="10993" w:type="dxa"/>
          <w:jc w:val="center"/>
          <w:tblLook w:val="04A0"/>
        </w:tblPrEx>
        <w:trPr>
          <w:trHeight w:val="300"/>
          <w:jc w:val="center"/>
        </w:trPr>
        <w:tc>
          <w:tcPr>
            <w:tcW w:w="2512" w:type="dxa"/>
            <w:tcBorders>
              <w:top w:val="nil"/>
              <w:left w:val="nil"/>
              <w:bottom w:val="single" w:sz="4" w:space="0" w:color="auto"/>
              <w:right w:val="nil"/>
            </w:tcBorders>
            <w:hideMark/>
          </w:tcPr>
          <w:p w:rsidR="00984C45" w:rsidRPr="009D08AC" w14:paraId="70395FE4" w14:textId="77777777">
            <w:pPr>
              <w:keepNext/>
              <w:widowControl/>
              <w:autoSpaceDE/>
              <w:autoSpaceDN/>
              <w:adjustRightInd/>
              <w:jc w:val="center"/>
              <w:rPr>
                <w:b w:val="0"/>
                <w:bCs w:val="0"/>
                <w:color w:val="000000"/>
                <w:sz w:val="22"/>
                <w:szCs w:val="22"/>
              </w:rPr>
            </w:pPr>
          </w:p>
        </w:tc>
        <w:tc>
          <w:tcPr>
            <w:tcW w:w="3240" w:type="dxa"/>
            <w:tcBorders>
              <w:top w:val="nil"/>
              <w:left w:val="nil"/>
              <w:bottom w:val="single" w:sz="4" w:space="0" w:color="auto"/>
              <w:right w:val="nil"/>
            </w:tcBorders>
            <w:noWrap/>
            <w:hideMark/>
          </w:tcPr>
          <w:p w:rsidR="00984C45" w:rsidRPr="009D08AC" w14:paraId="64208F26" w14:textId="77777777">
            <w:pPr>
              <w:keepNext/>
              <w:widowControl/>
              <w:autoSpaceDE/>
              <w:autoSpaceDN/>
              <w:adjustRightInd/>
              <w:jc w:val="center"/>
              <w:rPr>
                <w:b w:val="0"/>
                <w:bCs w:val="0"/>
                <w:color w:val="000000"/>
                <w:sz w:val="24"/>
                <w:szCs w:val="24"/>
              </w:rPr>
            </w:pPr>
            <w:r w:rsidRPr="009D08AC">
              <w:rPr>
                <w:b w:val="0"/>
                <w:bCs w:val="0"/>
                <w:color w:val="000000"/>
                <w:sz w:val="24"/>
                <w:szCs w:val="24"/>
              </w:rPr>
              <w:t>(A)</w:t>
            </w:r>
          </w:p>
        </w:tc>
        <w:tc>
          <w:tcPr>
            <w:tcW w:w="1898" w:type="dxa"/>
            <w:tcBorders>
              <w:top w:val="nil"/>
              <w:left w:val="nil"/>
              <w:bottom w:val="single" w:sz="4" w:space="0" w:color="auto"/>
              <w:right w:val="nil"/>
            </w:tcBorders>
            <w:noWrap/>
            <w:hideMark/>
          </w:tcPr>
          <w:p w:rsidR="00984C45" w:rsidRPr="009D08AC" w14:paraId="502093EC" w14:textId="77777777">
            <w:pPr>
              <w:keepNext/>
              <w:widowControl/>
              <w:autoSpaceDE/>
              <w:autoSpaceDN/>
              <w:adjustRightInd/>
              <w:jc w:val="center"/>
              <w:rPr>
                <w:b w:val="0"/>
                <w:bCs w:val="0"/>
                <w:color w:val="000000"/>
                <w:sz w:val="24"/>
                <w:szCs w:val="24"/>
              </w:rPr>
            </w:pPr>
            <w:r w:rsidRPr="009D08AC">
              <w:rPr>
                <w:b w:val="0"/>
                <w:bCs w:val="0"/>
                <w:color w:val="000000"/>
                <w:sz w:val="24"/>
                <w:szCs w:val="24"/>
              </w:rPr>
              <w:t>(B)</w:t>
            </w:r>
          </w:p>
        </w:tc>
        <w:tc>
          <w:tcPr>
            <w:tcW w:w="931" w:type="dxa"/>
            <w:tcBorders>
              <w:top w:val="nil"/>
              <w:left w:val="nil"/>
              <w:bottom w:val="single" w:sz="4" w:space="0" w:color="auto"/>
              <w:right w:val="nil"/>
            </w:tcBorders>
            <w:noWrap/>
            <w:hideMark/>
          </w:tcPr>
          <w:p w:rsidR="00984C45" w:rsidRPr="009D08AC" w14:paraId="0CD7ACE3" w14:textId="77777777">
            <w:pPr>
              <w:keepNext/>
              <w:widowControl/>
              <w:autoSpaceDE/>
              <w:autoSpaceDN/>
              <w:adjustRightInd/>
              <w:jc w:val="center"/>
              <w:rPr>
                <w:b w:val="0"/>
                <w:bCs w:val="0"/>
                <w:color w:val="000000"/>
                <w:sz w:val="24"/>
                <w:szCs w:val="24"/>
              </w:rPr>
            </w:pPr>
            <w:r w:rsidRPr="009D08AC">
              <w:rPr>
                <w:b w:val="0"/>
                <w:bCs w:val="0"/>
                <w:color w:val="000000"/>
                <w:sz w:val="24"/>
                <w:szCs w:val="24"/>
              </w:rPr>
              <w:t>(C)</w:t>
            </w:r>
          </w:p>
        </w:tc>
        <w:tc>
          <w:tcPr>
            <w:tcW w:w="1229" w:type="dxa"/>
            <w:tcBorders>
              <w:top w:val="nil"/>
              <w:left w:val="nil"/>
              <w:bottom w:val="single" w:sz="4" w:space="0" w:color="auto"/>
              <w:right w:val="nil"/>
            </w:tcBorders>
            <w:noWrap/>
            <w:hideMark/>
          </w:tcPr>
          <w:p w:rsidR="00984C45" w:rsidRPr="009D08AC" w14:paraId="4910465F" w14:textId="77777777">
            <w:pPr>
              <w:keepNext/>
              <w:widowControl/>
              <w:autoSpaceDE/>
              <w:autoSpaceDN/>
              <w:adjustRightInd/>
              <w:jc w:val="center"/>
              <w:rPr>
                <w:b w:val="0"/>
                <w:bCs w:val="0"/>
                <w:color w:val="000000"/>
                <w:sz w:val="24"/>
                <w:szCs w:val="24"/>
              </w:rPr>
            </w:pPr>
            <w:r w:rsidRPr="009D08AC">
              <w:rPr>
                <w:b w:val="0"/>
                <w:bCs w:val="0"/>
                <w:color w:val="000000"/>
                <w:sz w:val="24"/>
                <w:szCs w:val="24"/>
              </w:rPr>
              <w:t>(A x B)</w:t>
            </w:r>
          </w:p>
        </w:tc>
        <w:tc>
          <w:tcPr>
            <w:tcW w:w="1183" w:type="dxa"/>
            <w:tcBorders>
              <w:top w:val="nil"/>
              <w:left w:val="nil"/>
              <w:bottom w:val="single" w:sz="4" w:space="0" w:color="auto"/>
              <w:right w:val="nil"/>
            </w:tcBorders>
            <w:noWrap/>
            <w:hideMark/>
          </w:tcPr>
          <w:p w:rsidR="00984C45" w:rsidRPr="009D08AC" w14:paraId="10689669" w14:textId="77777777">
            <w:pPr>
              <w:keepNext/>
              <w:widowControl/>
              <w:autoSpaceDE/>
              <w:autoSpaceDN/>
              <w:adjustRightInd/>
              <w:jc w:val="center"/>
              <w:rPr>
                <w:b w:val="0"/>
                <w:bCs w:val="0"/>
                <w:color w:val="000000"/>
                <w:sz w:val="24"/>
                <w:szCs w:val="24"/>
              </w:rPr>
            </w:pPr>
            <w:r w:rsidRPr="009D08AC">
              <w:rPr>
                <w:b w:val="0"/>
                <w:bCs w:val="0"/>
                <w:color w:val="000000"/>
                <w:sz w:val="24"/>
                <w:szCs w:val="24"/>
              </w:rPr>
              <w:t>(A x B x C)</w:t>
            </w:r>
          </w:p>
        </w:tc>
      </w:tr>
      <w:tr w14:paraId="3676B032" w14:textId="77777777" w:rsidTr="003611AD">
        <w:tblPrEx>
          <w:tblW w:w="10993" w:type="dxa"/>
          <w:jc w:val="center"/>
          <w:tblLook w:val="04A0"/>
        </w:tblPrEx>
        <w:trPr>
          <w:trHeight w:val="300"/>
          <w:jc w:val="center"/>
        </w:trPr>
        <w:tc>
          <w:tcPr>
            <w:tcW w:w="2512" w:type="dxa"/>
            <w:tcBorders>
              <w:top w:val="single" w:sz="4" w:space="0" w:color="auto"/>
              <w:left w:val="nil"/>
              <w:bottom w:val="nil"/>
              <w:right w:val="nil"/>
            </w:tcBorders>
            <w:hideMark/>
          </w:tcPr>
          <w:p w:rsidR="00095BB6" w:rsidRPr="009D08AC" w:rsidP="00095BB6" w14:paraId="330A9930" w14:textId="72655B92">
            <w:pPr>
              <w:keepNext/>
              <w:widowControl/>
              <w:autoSpaceDE/>
              <w:autoSpaceDN/>
              <w:adjustRightInd/>
              <w:rPr>
                <w:b w:val="0"/>
                <w:bCs w:val="0"/>
              </w:rPr>
            </w:pPr>
            <w:r w:rsidRPr="009D08AC">
              <w:rPr>
                <w:b w:val="0"/>
                <w:bCs w:val="0"/>
              </w:rPr>
              <w:t>Plans Without Websites That E-mail Twice Per Year</w:t>
            </w:r>
          </w:p>
        </w:tc>
        <w:tc>
          <w:tcPr>
            <w:tcW w:w="3240" w:type="dxa"/>
            <w:tcBorders>
              <w:top w:val="single" w:sz="4" w:space="0" w:color="auto"/>
              <w:left w:val="nil"/>
              <w:bottom w:val="nil"/>
              <w:right w:val="nil"/>
            </w:tcBorders>
            <w:noWrap/>
            <w:hideMark/>
          </w:tcPr>
          <w:p w:rsidR="00095BB6" w:rsidRPr="009D08AC" w:rsidP="00095BB6" w14:paraId="38A3A23A" w14:textId="2E221553">
            <w:pPr>
              <w:keepNext/>
              <w:widowControl/>
              <w:autoSpaceDE/>
              <w:autoSpaceDN/>
              <w:adjustRightInd/>
              <w:rPr>
                <w:b w:val="0"/>
                <w:bCs w:val="0"/>
                <w:color w:val="000000"/>
                <w:sz w:val="24"/>
                <w:szCs w:val="24"/>
              </w:rPr>
            </w:pPr>
            <w:r w:rsidRPr="009D08AC">
              <w:rPr>
                <w:b w:val="0"/>
                <w:bCs w:val="0"/>
                <w:sz w:val="24"/>
                <w:szCs w:val="24"/>
              </w:rPr>
              <w:t xml:space="preserve"> 8,247 = 119,526 DB and </w:t>
            </w:r>
            <w:r w:rsidRPr="009D08AC">
              <w:rPr>
                <w:b w:val="0"/>
                <w:bCs w:val="0"/>
                <w:sz w:val="24"/>
                <w:szCs w:val="24"/>
              </w:rPr>
              <w:t>non Participant</w:t>
            </w:r>
            <w:r w:rsidRPr="009D08AC">
              <w:rPr>
                <w:b w:val="0"/>
                <w:bCs w:val="0"/>
                <w:sz w:val="24"/>
                <w:szCs w:val="24"/>
              </w:rPr>
              <w:t xml:space="preserve">-Directed DC plans x 6.9% without a website </w:t>
            </w:r>
          </w:p>
        </w:tc>
        <w:tc>
          <w:tcPr>
            <w:tcW w:w="1898" w:type="dxa"/>
            <w:tcBorders>
              <w:top w:val="single" w:sz="4" w:space="0" w:color="auto"/>
              <w:left w:val="nil"/>
              <w:bottom w:val="nil"/>
              <w:right w:val="nil"/>
            </w:tcBorders>
            <w:noWrap/>
            <w:hideMark/>
          </w:tcPr>
          <w:p w:rsidR="00095BB6" w:rsidRPr="009D08AC" w:rsidP="00095BB6" w14:paraId="78935219" w14:textId="3FB2D882">
            <w:pPr>
              <w:keepNext/>
              <w:widowControl/>
              <w:autoSpaceDE/>
              <w:autoSpaceDN/>
              <w:adjustRightInd/>
              <w:jc w:val="center"/>
              <w:rPr>
                <w:b w:val="0"/>
                <w:bCs w:val="0"/>
                <w:sz w:val="24"/>
                <w:szCs w:val="24"/>
              </w:rPr>
            </w:pPr>
            <w:r w:rsidRPr="009D08AC">
              <w:rPr>
                <w:b w:val="0"/>
                <w:bCs w:val="0"/>
                <w:sz w:val="24"/>
                <w:szCs w:val="24"/>
              </w:rPr>
              <w:t xml:space="preserve"> 15/60</w:t>
            </w:r>
          </w:p>
        </w:tc>
        <w:tc>
          <w:tcPr>
            <w:tcW w:w="931" w:type="dxa"/>
            <w:tcBorders>
              <w:top w:val="single" w:sz="4" w:space="0" w:color="auto"/>
              <w:left w:val="nil"/>
              <w:bottom w:val="nil"/>
              <w:right w:val="nil"/>
            </w:tcBorders>
            <w:noWrap/>
            <w:hideMark/>
          </w:tcPr>
          <w:p w:rsidR="00095BB6" w:rsidRPr="009D08AC" w:rsidP="00095BB6" w14:paraId="46C190C7" w14:textId="77B75230">
            <w:pPr>
              <w:keepNext/>
              <w:widowControl/>
              <w:autoSpaceDE/>
              <w:autoSpaceDN/>
              <w:adjustRightInd/>
              <w:jc w:val="center"/>
              <w:rPr>
                <w:b w:val="0"/>
                <w:bCs w:val="0"/>
                <w:color w:val="000000"/>
                <w:sz w:val="24"/>
                <w:szCs w:val="24"/>
              </w:rPr>
            </w:pPr>
            <w:r w:rsidRPr="009D08AC">
              <w:rPr>
                <w:b w:val="0"/>
                <w:bCs w:val="0"/>
                <w:sz w:val="24"/>
                <w:szCs w:val="24"/>
              </w:rPr>
              <w:t>$70.29</w:t>
            </w:r>
          </w:p>
        </w:tc>
        <w:tc>
          <w:tcPr>
            <w:tcW w:w="1229" w:type="dxa"/>
            <w:tcBorders>
              <w:top w:val="single" w:sz="4" w:space="0" w:color="auto"/>
              <w:left w:val="nil"/>
              <w:bottom w:val="nil"/>
              <w:right w:val="nil"/>
            </w:tcBorders>
            <w:noWrap/>
            <w:hideMark/>
          </w:tcPr>
          <w:p w:rsidR="00095BB6" w:rsidRPr="009D08AC" w:rsidP="00095BB6" w14:paraId="0ADBFA56" w14:textId="75ECCC4E">
            <w:pPr>
              <w:keepNext/>
              <w:widowControl/>
              <w:autoSpaceDE/>
              <w:autoSpaceDN/>
              <w:adjustRightInd/>
              <w:jc w:val="center"/>
              <w:rPr>
                <w:b w:val="0"/>
                <w:bCs w:val="0"/>
                <w:sz w:val="24"/>
                <w:szCs w:val="24"/>
              </w:rPr>
            </w:pPr>
            <w:r w:rsidRPr="009D08AC">
              <w:rPr>
                <w:b w:val="0"/>
                <w:bCs w:val="0"/>
                <w:sz w:val="24"/>
                <w:szCs w:val="24"/>
              </w:rPr>
              <w:t xml:space="preserve"> 2,062 </w:t>
            </w:r>
          </w:p>
        </w:tc>
        <w:tc>
          <w:tcPr>
            <w:tcW w:w="1183" w:type="dxa"/>
            <w:tcBorders>
              <w:top w:val="single" w:sz="4" w:space="0" w:color="auto"/>
              <w:left w:val="nil"/>
              <w:bottom w:val="nil"/>
              <w:right w:val="nil"/>
            </w:tcBorders>
            <w:noWrap/>
            <w:hideMark/>
          </w:tcPr>
          <w:p w:rsidR="00095BB6" w:rsidRPr="009D08AC" w:rsidP="00095BB6" w14:paraId="341F7921" w14:textId="37F01C44">
            <w:pPr>
              <w:keepNext/>
              <w:widowControl/>
              <w:autoSpaceDE/>
              <w:autoSpaceDN/>
              <w:adjustRightInd/>
              <w:jc w:val="center"/>
              <w:rPr>
                <w:b w:val="0"/>
                <w:bCs w:val="0"/>
                <w:color w:val="000000"/>
                <w:sz w:val="24"/>
                <w:szCs w:val="24"/>
              </w:rPr>
            </w:pPr>
            <w:r w:rsidRPr="009D08AC">
              <w:rPr>
                <w:b w:val="0"/>
                <w:bCs w:val="0"/>
                <w:sz w:val="24"/>
                <w:szCs w:val="24"/>
              </w:rPr>
              <w:t>$144,920</w:t>
            </w:r>
          </w:p>
        </w:tc>
      </w:tr>
      <w:tr w14:paraId="321BA41E" w14:textId="77777777" w:rsidTr="003611AD">
        <w:tblPrEx>
          <w:tblW w:w="10993" w:type="dxa"/>
          <w:jc w:val="center"/>
          <w:tblLook w:val="04A0"/>
        </w:tblPrEx>
        <w:trPr>
          <w:trHeight w:val="525"/>
          <w:jc w:val="center"/>
        </w:trPr>
        <w:tc>
          <w:tcPr>
            <w:tcW w:w="2512" w:type="dxa"/>
            <w:tcBorders>
              <w:top w:val="nil"/>
              <w:left w:val="nil"/>
              <w:right w:val="nil"/>
            </w:tcBorders>
            <w:hideMark/>
          </w:tcPr>
          <w:p w:rsidR="00095BB6" w:rsidRPr="009D08AC" w:rsidP="00095BB6" w14:paraId="02523367" w14:textId="71E66766">
            <w:pPr>
              <w:keepNext/>
              <w:widowControl/>
              <w:autoSpaceDE/>
              <w:autoSpaceDN/>
              <w:adjustRightInd/>
              <w:rPr>
                <w:b w:val="0"/>
                <w:bCs w:val="0"/>
              </w:rPr>
            </w:pPr>
            <w:r w:rsidRPr="009D08AC">
              <w:rPr>
                <w:b w:val="0"/>
                <w:bCs w:val="0"/>
              </w:rPr>
              <w:t>Plans with Websites That Post Twice Per Year (Annual Statement and Consolidated Annual Report)</w:t>
            </w:r>
          </w:p>
        </w:tc>
        <w:tc>
          <w:tcPr>
            <w:tcW w:w="3240" w:type="dxa"/>
            <w:tcBorders>
              <w:top w:val="nil"/>
              <w:left w:val="nil"/>
              <w:right w:val="nil"/>
            </w:tcBorders>
            <w:hideMark/>
          </w:tcPr>
          <w:p w:rsidR="00095BB6" w:rsidRPr="009D08AC" w:rsidP="00095BB6" w14:paraId="268AA39A" w14:textId="06450F40">
            <w:pPr>
              <w:keepNext/>
              <w:widowControl/>
              <w:autoSpaceDE/>
              <w:autoSpaceDN/>
              <w:adjustRightInd/>
              <w:rPr>
                <w:b w:val="0"/>
                <w:bCs w:val="0"/>
                <w:color w:val="000000"/>
                <w:sz w:val="24"/>
                <w:szCs w:val="24"/>
              </w:rPr>
            </w:pPr>
            <w:r w:rsidRPr="009D08AC">
              <w:rPr>
                <w:b w:val="0"/>
                <w:bCs w:val="0"/>
                <w:sz w:val="24"/>
                <w:szCs w:val="24"/>
              </w:rPr>
              <w:t xml:space="preserve"> 111,279 = 119,526 DB and </w:t>
            </w:r>
            <w:r w:rsidRPr="009D08AC">
              <w:rPr>
                <w:b w:val="0"/>
                <w:bCs w:val="0"/>
                <w:sz w:val="24"/>
                <w:szCs w:val="24"/>
              </w:rPr>
              <w:t>non Participant</w:t>
            </w:r>
            <w:r w:rsidRPr="009D08AC">
              <w:rPr>
                <w:b w:val="0"/>
                <w:bCs w:val="0"/>
                <w:sz w:val="24"/>
                <w:szCs w:val="24"/>
              </w:rPr>
              <w:t xml:space="preserve">-Directed DC plans x 93.1% with a website </w:t>
            </w:r>
          </w:p>
        </w:tc>
        <w:tc>
          <w:tcPr>
            <w:tcW w:w="1898" w:type="dxa"/>
            <w:tcBorders>
              <w:top w:val="nil"/>
              <w:left w:val="nil"/>
              <w:right w:val="nil"/>
            </w:tcBorders>
            <w:noWrap/>
            <w:hideMark/>
          </w:tcPr>
          <w:p w:rsidR="00095BB6" w:rsidRPr="009D08AC" w:rsidP="00095BB6" w14:paraId="2FB312BB" w14:textId="5A1EFF07">
            <w:pPr>
              <w:keepNext/>
              <w:widowControl/>
              <w:autoSpaceDE/>
              <w:autoSpaceDN/>
              <w:adjustRightInd/>
              <w:jc w:val="center"/>
              <w:rPr>
                <w:b w:val="0"/>
                <w:bCs w:val="0"/>
                <w:sz w:val="24"/>
                <w:szCs w:val="24"/>
              </w:rPr>
            </w:pPr>
            <w:r w:rsidRPr="009D08AC">
              <w:rPr>
                <w:b w:val="0"/>
                <w:bCs w:val="0"/>
                <w:sz w:val="24"/>
                <w:szCs w:val="24"/>
              </w:rPr>
              <w:t xml:space="preserve"> 15/60</w:t>
            </w:r>
          </w:p>
        </w:tc>
        <w:tc>
          <w:tcPr>
            <w:tcW w:w="931" w:type="dxa"/>
            <w:tcBorders>
              <w:top w:val="nil"/>
              <w:left w:val="nil"/>
              <w:right w:val="nil"/>
            </w:tcBorders>
            <w:noWrap/>
            <w:hideMark/>
          </w:tcPr>
          <w:p w:rsidR="00095BB6" w:rsidRPr="009D08AC" w:rsidP="00095BB6" w14:paraId="03E25ADE" w14:textId="64AEA8BB">
            <w:pPr>
              <w:keepNext/>
              <w:widowControl/>
              <w:autoSpaceDE/>
              <w:autoSpaceDN/>
              <w:adjustRightInd/>
              <w:jc w:val="center"/>
              <w:rPr>
                <w:b w:val="0"/>
                <w:bCs w:val="0"/>
                <w:color w:val="000000"/>
                <w:sz w:val="24"/>
                <w:szCs w:val="24"/>
              </w:rPr>
            </w:pPr>
            <w:r w:rsidRPr="009D08AC">
              <w:rPr>
                <w:b w:val="0"/>
                <w:bCs w:val="0"/>
                <w:sz w:val="24"/>
                <w:szCs w:val="24"/>
              </w:rPr>
              <w:t>$70.29</w:t>
            </w:r>
          </w:p>
        </w:tc>
        <w:tc>
          <w:tcPr>
            <w:tcW w:w="1229" w:type="dxa"/>
            <w:tcBorders>
              <w:top w:val="nil"/>
              <w:left w:val="nil"/>
              <w:right w:val="nil"/>
            </w:tcBorders>
            <w:noWrap/>
            <w:hideMark/>
          </w:tcPr>
          <w:p w:rsidR="00095BB6" w:rsidRPr="009D08AC" w:rsidP="00095BB6" w14:paraId="1DC49C57" w14:textId="61756688">
            <w:pPr>
              <w:keepNext/>
              <w:widowControl/>
              <w:autoSpaceDE/>
              <w:autoSpaceDN/>
              <w:adjustRightInd/>
              <w:jc w:val="center"/>
              <w:rPr>
                <w:b w:val="0"/>
                <w:bCs w:val="0"/>
                <w:sz w:val="24"/>
                <w:szCs w:val="24"/>
              </w:rPr>
            </w:pPr>
            <w:r w:rsidRPr="009D08AC">
              <w:rPr>
                <w:b w:val="0"/>
                <w:bCs w:val="0"/>
                <w:sz w:val="24"/>
                <w:szCs w:val="24"/>
              </w:rPr>
              <w:t xml:space="preserve"> 27,820 </w:t>
            </w:r>
          </w:p>
        </w:tc>
        <w:tc>
          <w:tcPr>
            <w:tcW w:w="1183" w:type="dxa"/>
            <w:tcBorders>
              <w:top w:val="nil"/>
              <w:left w:val="nil"/>
              <w:right w:val="nil"/>
            </w:tcBorders>
            <w:noWrap/>
            <w:hideMark/>
          </w:tcPr>
          <w:p w:rsidR="00095BB6" w:rsidRPr="009D08AC" w:rsidP="00095BB6" w14:paraId="1AAE7718" w14:textId="31F275B6">
            <w:pPr>
              <w:keepNext/>
              <w:widowControl/>
              <w:autoSpaceDE/>
              <w:autoSpaceDN/>
              <w:adjustRightInd/>
              <w:jc w:val="center"/>
              <w:rPr>
                <w:b w:val="0"/>
                <w:bCs w:val="0"/>
                <w:color w:val="000000"/>
                <w:sz w:val="24"/>
                <w:szCs w:val="24"/>
              </w:rPr>
            </w:pPr>
            <w:r w:rsidRPr="009D08AC">
              <w:rPr>
                <w:b w:val="0"/>
                <w:bCs w:val="0"/>
                <w:sz w:val="24"/>
                <w:szCs w:val="24"/>
              </w:rPr>
              <w:t>$1,955,450</w:t>
            </w:r>
          </w:p>
        </w:tc>
      </w:tr>
      <w:tr w14:paraId="3D8D6ED3" w14:textId="77777777" w:rsidTr="003611AD">
        <w:tblPrEx>
          <w:tblW w:w="10993" w:type="dxa"/>
          <w:jc w:val="center"/>
          <w:tblLook w:val="04A0"/>
        </w:tblPrEx>
        <w:trPr>
          <w:trHeight w:val="525"/>
          <w:jc w:val="center"/>
        </w:trPr>
        <w:tc>
          <w:tcPr>
            <w:tcW w:w="2512" w:type="dxa"/>
            <w:tcBorders>
              <w:top w:val="nil"/>
              <w:left w:val="nil"/>
              <w:bottom w:val="single" w:sz="4" w:space="0" w:color="auto"/>
              <w:right w:val="nil"/>
            </w:tcBorders>
          </w:tcPr>
          <w:p w:rsidR="00095BB6" w:rsidRPr="009D08AC" w:rsidP="00095BB6" w14:paraId="6973E8EA" w14:textId="710F1DCF">
            <w:pPr>
              <w:keepNext/>
              <w:widowControl/>
              <w:autoSpaceDE/>
              <w:autoSpaceDN/>
              <w:adjustRightInd/>
              <w:rPr>
                <w:b w:val="0"/>
                <w:bCs w:val="0"/>
              </w:rPr>
            </w:pPr>
            <w:r w:rsidRPr="009D08AC">
              <w:rPr>
                <w:b w:val="0"/>
                <w:bCs w:val="0"/>
              </w:rPr>
              <w:t>Plans with Websites That Post Five Times Per Year (Quarterly Statements and Consolidated Annual Report)</w:t>
            </w:r>
          </w:p>
        </w:tc>
        <w:tc>
          <w:tcPr>
            <w:tcW w:w="3240" w:type="dxa"/>
            <w:tcBorders>
              <w:top w:val="nil"/>
              <w:left w:val="nil"/>
              <w:bottom w:val="single" w:sz="4" w:space="0" w:color="auto"/>
              <w:right w:val="nil"/>
            </w:tcBorders>
          </w:tcPr>
          <w:p w:rsidR="00095BB6" w:rsidRPr="009D08AC" w:rsidP="00095BB6" w14:paraId="1EBB46EE" w14:textId="12EB197F">
            <w:pPr>
              <w:keepNext/>
              <w:widowControl/>
              <w:autoSpaceDE/>
              <w:autoSpaceDN/>
              <w:adjustRightInd/>
              <w:rPr>
                <w:b w:val="0"/>
                <w:bCs w:val="0"/>
                <w:color w:val="000000"/>
                <w:sz w:val="24"/>
                <w:szCs w:val="24"/>
              </w:rPr>
            </w:pPr>
            <w:r w:rsidRPr="009D08AC">
              <w:rPr>
                <w:b w:val="0"/>
                <w:bCs w:val="0"/>
                <w:sz w:val="24"/>
                <w:szCs w:val="24"/>
              </w:rPr>
              <w:t xml:space="preserve"> 681,844 Participant-Directed Plans </w:t>
            </w:r>
          </w:p>
        </w:tc>
        <w:tc>
          <w:tcPr>
            <w:tcW w:w="1898" w:type="dxa"/>
            <w:tcBorders>
              <w:top w:val="nil"/>
              <w:left w:val="nil"/>
              <w:bottom w:val="single" w:sz="4" w:space="0" w:color="auto"/>
              <w:right w:val="nil"/>
            </w:tcBorders>
            <w:noWrap/>
          </w:tcPr>
          <w:p w:rsidR="00095BB6" w:rsidRPr="009D08AC" w:rsidP="00095BB6" w14:paraId="119CDDD9" w14:textId="1B893041">
            <w:pPr>
              <w:keepNext/>
              <w:widowControl/>
              <w:autoSpaceDE/>
              <w:autoSpaceDN/>
              <w:adjustRightInd/>
              <w:jc w:val="center"/>
              <w:rPr>
                <w:b w:val="0"/>
                <w:bCs w:val="0"/>
                <w:sz w:val="24"/>
                <w:szCs w:val="24"/>
              </w:rPr>
            </w:pPr>
            <w:r w:rsidRPr="009D08AC">
              <w:rPr>
                <w:b w:val="0"/>
                <w:bCs w:val="0"/>
                <w:sz w:val="24"/>
                <w:szCs w:val="24"/>
              </w:rPr>
              <w:t xml:space="preserve"> 3</w:t>
            </w:r>
            <w:r w:rsidRPr="009D08AC" w:rsidR="00584E39">
              <w:rPr>
                <w:b w:val="0"/>
                <w:bCs w:val="0"/>
                <w:sz w:val="24"/>
                <w:szCs w:val="24"/>
              </w:rPr>
              <w:t>7.5</w:t>
            </w:r>
            <w:r w:rsidRPr="009D08AC">
              <w:rPr>
                <w:b w:val="0"/>
                <w:bCs w:val="0"/>
                <w:sz w:val="24"/>
                <w:szCs w:val="24"/>
              </w:rPr>
              <w:t>/60</w:t>
            </w:r>
          </w:p>
        </w:tc>
        <w:tc>
          <w:tcPr>
            <w:tcW w:w="931" w:type="dxa"/>
            <w:tcBorders>
              <w:top w:val="nil"/>
              <w:left w:val="nil"/>
              <w:bottom w:val="single" w:sz="4" w:space="0" w:color="auto"/>
              <w:right w:val="nil"/>
            </w:tcBorders>
            <w:noWrap/>
          </w:tcPr>
          <w:p w:rsidR="00095BB6" w:rsidRPr="009D08AC" w:rsidP="00095BB6" w14:paraId="49F788F3" w14:textId="01DCE19F">
            <w:pPr>
              <w:keepNext/>
              <w:widowControl/>
              <w:autoSpaceDE/>
              <w:autoSpaceDN/>
              <w:adjustRightInd/>
              <w:jc w:val="center"/>
              <w:rPr>
                <w:b w:val="0"/>
                <w:bCs w:val="0"/>
                <w:color w:val="000000"/>
                <w:sz w:val="24"/>
                <w:szCs w:val="24"/>
              </w:rPr>
            </w:pPr>
            <w:r w:rsidRPr="009D08AC">
              <w:rPr>
                <w:b w:val="0"/>
                <w:bCs w:val="0"/>
                <w:sz w:val="24"/>
                <w:szCs w:val="24"/>
              </w:rPr>
              <w:t>$70.29</w:t>
            </w:r>
          </w:p>
        </w:tc>
        <w:tc>
          <w:tcPr>
            <w:tcW w:w="1229" w:type="dxa"/>
            <w:tcBorders>
              <w:top w:val="nil"/>
              <w:left w:val="nil"/>
              <w:bottom w:val="single" w:sz="4" w:space="0" w:color="auto"/>
              <w:right w:val="nil"/>
            </w:tcBorders>
            <w:noWrap/>
          </w:tcPr>
          <w:p w:rsidR="00095BB6" w:rsidRPr="009D08AC" w:rsidP="00095BB6" w14:paraId="384DB82E" w14:textId="4911964C">
            <w:pPr>
              <w:keepNext/>
              <w:widowControl/>
              <w:autoSpaceDE/>
              <w:autoSpaceDN/>
              <w:adjustRightInd/>
              <w:jc w:val="center"/>
              <w:rPr>
                <w:b w:val="0"/>
                <w:bCs w:val="0"/>
                <w:sz w:val="24"/>
                <w:szCs w:val="24"/>
              </w:rPr>
            </w:pPr>
            <w:r w:rsidRPr="009D08AC">
              <w:rPr>
                <w:b w:val="0"/>
                <w:bCs w:val="0"/>
                <w:sz w:val="24"/>
                <w:szCs w:val="24"/>
              </w:rPr>
              <w:t xml:space="preserve"> 426,153 </w:t>
            </w:r>
          </w:p>
        </w:tc>
        <w:tc>
          <w:tcPr>
            <w:tcW w:w="1183" w:type="dxa"/>
            <w:tcBorders>
              <w:top w:val="nil"/>
              <w:left w:val="nil"/>
              <w:bottom w:val="single" w:sz="4" w:space="0" w:color="auto"/>
              <w:right w:val="nil"/>
            </w:tcBorders>
            <w:noWrap/>
          </w:tcPr>
          <w:p w:rsidR="00095BB6" w:rsidRPr="009D08AC" w:rsidP="00095BB6" w14:paraId="189F97C0" w14:textId="52BDFAEC">
            <w:pPr>
              <w:keepNext/>
              <w:widowControl/>
              <w:autoSpaceDE/>
              <w:autoSpaceDN/>
              <w:adjustRightInd/>
              <w:jc w:val="center"/>
              <w:rPr>
                <w:b w:val="0"/>
                <w:bCs w:val="0"/>
                <w:color w:val="000000"/>
                <w:sz w:val="24"/>
                <w:szCs w:val="24"/>
              </w:rPr>
            </w:pPr>
            <w:r w:rsidRPr="009D08AC">
              <w:rPr>
                <w:b w:val="0"/>
                <w:bCs w:val="0"/>
                <w:sz w:val="24"/>
                <w:szCs w:val="24"/>
              </w:rPr>
              <w:t>$29,954,259</w:t>
            </w:r>
          </w:p>
        </w:tc>
      </w:tr>
      <w:tr w14:paraId="02484E7E" w14:textId="77777777" w:rsidTr="003611AD">
        <w:tblPrEx>
          <w:tblW w:w="10993" w:type="dxa"/>
          <w:jc w:val="center"/>
          <w:tblLook w:val="04A0"/>
        </w:tblPrEx>
        <w:trPr>
          <w:trHeight w:val="315"/>
          <w:jc w:val="center"/>
        </w:trPr>
        <w:tc>
          <w:tcPr>
            <w:tcW w:w="7650" w:type="dxa"/>
            <w:gridSpan w:val="3"/>
            <w:tcBorders>
              <w:top w:val="single" w:sz="4" w:space="0" w:color="auto"/>
              <w:bottom w:val="single" w:sz="4" w:space="0" w:color="auto"/>
              <w:right w:val="nil"/>
            </w:tcBorders>
            <w:noWrap/>
            <w:hideMark/>
          </w:tcPr>
          <w:p w:rsidR="00095BB6" w:rsidRPr="009D08AC" w:rsidP="00095BB6" w14:paraId="75E178D4" w14:textId="5E148B98">
            <w:pPr>
              <w:keepNext/>
              <w:widowControl/>
              <w:autoSpaceDE/>
              <w:autoSpaceDN/>
              <w:adjustRightInd/>
              <w:rPr>
                <w:color w:val="000000"/>
                <w:sz w:val="24"/>
                <w:szCs w:val="24"/>
                <w:vertAlign w:val="superscript"/>
              </w:rPr>
            </w:pPr>
            <w:r w:rsidRPr="009D08AC">
              <w:rPr>
                <w:color w:val="000000"/>
                <w:sz w:val="24"/>
                <w:szCs w:val="24"/>
              </w:rPr>
              <w:t>Total</w:t>
            </w:r>
            <w:r w:rsidRPr="009D08AC" w:rsidR="00DF7F2C">
              <w:rPr>
                <w:color w:val="000000"/>
                <w:sz w:val="24"/>
                <w:szCs w:val="24"/>
                <w:vertAlign w:val="superscript"/>
              </w:rPr>
              <w:t>2</w:t>
            </w:r>
          </w:p>
        </w:tc>
        <w:tc>
          <w:tcPr>
            <w:tcW w:w="931" w:type="dxa"/>
            <w:tcBorders>
              <w:top w:val="single" w:sz="4" w:space="0" w:color="auto"/>
              <w:left w:val="nil"/>
              <w:bottom w:val="single" w:sz="4" w:space="0" w:color="auto"/>
              <w:right w:val="nil"/>
            </w:tcBorders>
            <w:noWrap/>
            <w:hideMark/>
          </w:tcPr>
          <w:p w:rsidR="00095BB6" w:rsidRPr="009D08AC" w:rsidP="00095BB6" w14:paraId="65E55799" w14:textId="77777777">
            <w:pPr>
              <w:keepNext/>
              <w:widowControl/>
              <w:autoSpaceDE/>
              <w:autoSpaceDN/>
              <w:adjustRightInd/>
              <w:rPr>
                <w:color w:val="000000"/>
                <w:sz w:val="24"/>
                <w:szCs w:val="24"/>
              </w:rPr>
            </w:pPr>
            <w:r w:rsidRPr="009D08AC">
              <w:rPr>
                <w:color w:val="000000"/>
                <w:sz w:val="24"/>
                <w:szCs w:val="24"/>
              </w:rPr>
              <w:t> </w:t>
            </w:r>
          </w:p>
        </w:tc>
        <w:tc>
          <w:tcPr>
            <w:tcW w:w="1229" w:type="dxa"/>
            <w:tcBorders>
              <w:top w:val="single" w:sz="4" w:space="0" w:color="auto"/>
              <w:left w:val="nil"/>
              <w:bottom w:val="single" w:sz="4" w:space="0" w:color="auto"/>
              <w:right w:val="nil"/>
            </w:tcBorders>
            <w:noWrap/>
            <w:hideMark/>
          </w:tcPr>
          <w:p w:rsidR="00095BB6" w:rsidRPr="009D08AC" w:rsidP="00095BB6" w14:paraId="2A5E68B7" w14:textId="37643BB2">
            <w:pPr>
              <w:keepNext/>
              <w:widowControl/>
              <w:autoSpaceDE/>
              <w:autoSpaceDN/>
              <w:adjustRightInd/>
              <w:jc w:val="center"/>
              <w:rPr>
                <w:color w:val="000000"/>
                <w:sz w:val="24"/>
                <w:szCs w:val="24"/>
              </w:rPr>
            </w:pPr>
            <w:r w:rsidRPr="009D08AC">
              <w:rPr>
                <w:sz w:val="24"/>
                <w:szCs w:val="24"/>
              </w:rPr>
              <w:t xml:space="preserve"> 456,034 </w:t>
            </w:r>
          </w:p>
        </w:tc>
        <w:tc>
          <w:tcPr>
            <w:tcW w:w="1183" w:type="dxa"/>
            <w:tcBorders>
              <w:top w:val="single" w:sz="4" w:space="0" w:color="auto"/>
              <w:left w:val="nil"/>
              <w:bottom w:val="single" w:sz="4" w:space="0" w:color="auto"/>
              <w:right w:val="nil"/>
            </w:tcBorders>
            <w:noWrap/>
            <w:hideMark/>
          </w:tcPr>
          <w:p w:rsidR="00095BB6" w:rsidRPr="009D08AC" w:rsidP="00095BB6" w14:paraId="02E4100C" w14:textId="54F811B2">
            <w:pPr>
              <w:keepNext/>
              <w:widowControl/>
              <w:autoSpaceDE/>
              <w:autoSpaceDN/>
              <w:adjustRightInd/>
              <w:jc w:val="center"/>
              <w:rPr>
                <w:color w:val="000000"/>
                <w:sz w:val="24"/>
                <w:szCs w:val="24"/>
              </w:rPr>
            </w:pPr>
            <w:r w:rsidRPr="009D08AC">
              <w:rPr>
                <w:sz w:val="24"/>
                <w:szCs w:val="24"/>
              </w:rPr>
              <w:t>$32,054,630</w:t>
            </w:r>
          </w:p>
        </w:tc>
      </w:tr>
      <w:tr w14:paraId="011A03EC" w14:textId="77777777" w:rsidTr="003611AD">
        <w:tblPrEx>
          <w:tblW w:w="10993" w:type="dxa"/>
          <w:jc w:val="center"/>
          <w:tblLook w:val="04A0"/>
        </w:tblPrEx>
        <w:trPr>
          <w:trHeight w:val="315"/>
          <w:jc w:val="center"/>
        </w:trPr>
        <w:tc>
          <w:tcPr>
            <w:tcW w:w="10993" w:type="dxa"/>
            <w:gridSpan w:val="6"/>
            <w:tcBorders>
              <w:top w:val="single" w:sz="4" w:space="0" w:color="auto"/>
              <w:right w:val="nil"/>
            </w:tcBorders>
            <w:noWrap/>
          </w:tcPr>
          <w:p w:rsidR="006B533B" w:rsidRPr="009D08AC" w:rsidP="00767F0B" w14:paraId="61A203D2" w14:textId="5A21EDEF">
            <w:pPr>
              <w:keepNext/>
              <w:widowControl/>
              <w:autoSpaceDE/>
              <w:autoSpaceDN/>
              <w:adjustRightInd/>
              <w:rPr>
                <w:b w:val="0"/>
                <w:bCs w:val="0"/>
              </w:rPr>
            </w:pPr>
            <w:r w:rsidRPr="009D08AC">
              <w:rPr>
                <w:rStyle w:val="FootnoteReference"/>
                <w:b w:val="0"/>
                <w:bCs w:val="0"/>
                <w:vertAlign w:val="superscript"/>
              </w:rPr>
              <w:footnoteRef/>
            </w:r>
            <w:r w:rsidRPr="009D08AC">
              <w:rPr>
                <w:b w:val="0"/>
                <w:bCs w:val="0"/>
                <w:vertAlign w:val="superscript"/>
              </w:rPr>
              <w:t xml:space="preserve"> </w:t>
            </w:r>
            <w:r w:rsidRPr="009D08AC" w:rsidR="002720EB">
              <w:rPr>
                <w:b w:val="0"/>
                <w:bCs w:val="0"/>
              </w:rPr>
              <w:t>The Department assumes</w:t>
            </w:r>
            <w:r w:rsidRPr="009D08AC" w:rsidR="00E300E8">
              <w:rPr>
                <w:b w:val="0"/>
                <w:bCs w:val="0"/>
              </w:rPr>
              <w:t xml:space="preserve"> that each posting or email will take </w:t>
            </w:r>
            <w:r w:rsidRPr="009D08AC" w:rsidR="00523B88">
              <w:rPr>
                <w:b w:val="0"/>
                <w:bCs w:val="0"/>
              </w:rPr>
              <w:t>a clerical worker 7.5 minutes</w:t>
            </w:r>
            <w:r w:rsidRPr="009D08AC" w:rsidR="00FA4227">
              <w:rPr>
                <w:b w:val="0"/>
                <w:bCs w:val="0"/>
              </w:rPr>
              <w:t>. Thus, plans with two e-mails/postings will take 7.5 x 2 = 15 minutes of a clerical workers time. Plans with 5 postings will take 7.5 x 5 = 37.5 minutes of a clerical workers time.</w:t>
            </w:r>
          </w:p>
          <w:p w:rsidR="00767F0B" w:rsidRPr="009D08AC" w:rsidP="00767F0B" w14:paraId="7E0E2E7A" w14:textId="3C166595">
            <w:pPr>
              <w:keepNext/>
              <w:widowControl/>
              <w:autoSpaceDE/>
              <w:autoSpaceDN/>
              <w:adjustRightInd/>
            </w:pPr>
            <w:r w:rsidRPr="009D08AC">
              <w:rPr>
                <w:b w:val="0"/>
                <w:bCs w:val="0"/>
                <w:vertAlign w:val="superscript"/>
              </w:rPr>
              <w:t xml:space="preserve">2 </w:t>
            </w:r>
            <w:r w:rsidRPr="009D08AC">
              <w:rPr>
                <w:b w:val="0"/>
                <w:bCs w:val="0"/>
              </w:rPr>
              <w:t>The Department has not rounded intermediate values, so the components may not sum to the whole.</w:t>
            </w:r>
          </w:p>
        </w:tc>
      </w:tr>
    </w:tbl>
    <w:p w:rsidR="00984C45" w:rsidRPr="009D08AC" w:rsidP="002B491C" w14:paraId="45CCED68" w14:textId="77777777">
      <w:pPr>
        <w:widowControl/>
        <w:autoSpaceDE/>
        <w:autoSpaceDN/>
        <w:adjustRightInd/>
        <w:ind w:left="720"/>
        <w:rPr>
          <w:sz w:val="24"/>
        </w:rPr>
      </w:pPr>
    </w:p>
    <w:p w:rsidR="00984C45" w:rsidRPr="009D08AC" w:rsidP="002B491C" w14:paraId="23AB8EC1" w14:textId="77777777">
      <w:pPr>
        <w:widowControl/>
        <w:autoSpaceDE/>
        <w:autoSpaceDN/>
        <w:adjustRightInd/>
        <w:ind w:left="720"/>
        <w:rPr>
          <w:b w:val="0"/>
          <w:bCs w:val="0"/>
          <w:sz w:val="24"/>
        </w:rPr>
      </w:pPr>
    </w:p>
    <w:p w:rsidR="00BF4D05" w:rsidRPr="009D08AC" w:rsidP="002D73D8" w14:paraId="28084693" w14:textId="77777777">
      <w:pPr>
        <w:widowControl/>
        <w:autoSpaceDE/>
        <w:autoSpaceDN/>
        <w:adjustRightInd/>
        <w:ind w:left="720" w:firstLine="720"/>
        <w:rPr>
          <w:b w:val="0"/>
          <w:bCs w:val="0"/>
          <w:sz w:val="24"/>
        </w:rPr>
      </w:pPr>
    </w:p>
    <w:p w:rsidR="000C0580" w:rsidRPr="009D08AC" w:rsidP="008B4A30" w14:paraId="2F58DE4A" w14:textId="66D4CCA5">
      <w:pPr>
        <w:widowControl/>
        <w:autoSpaceDE/>
        <w:autoSpaceDN/>
        <w:adjustRightInd/>
        <w:ind w:left="720"/>
        <w:rPr>
          <w:b w:val="0"/>
          <w:bCs w:val="0"/>
          <w:sz w:val="24"/>
        </w:rPr>
      </w:pPr>
      <w:r w:rsidRPr="009D08AC">
        <w:rPr>
          <w:b w:val="0"/>
          <w:bCs w:val="0"/>
          <w:sz w:val="24"/>
        </w:rPr>
        <w:t xml:space="preserve">Therefore, the Department estimates that retirement plans would incur a total burden for this requirement of </w:t>
      </w:r>
      <w:r w:rsidRPr="009D08AC" w:rsidR="004314FA">
        <w:rPr>
          <w:b w:val="0"/>
          <w:bCs w:val="0"/>
          <w:sz w:val="24"/>
        </w:rPr>
        <w:t xml:space="preserve">760,057 </w:t>
      </w:r>
      <w:r w:rsidRPr="009D08AC">
        <w:rPr>
          <w:b w:val="0"/>
          <w:bCs w:val="0"/>
          <w:sz w:val="24"/>
        </w:rPr>
        <w:t xml:space="preserve">hours with an equivalent cost of </w:t>
      </w:r>
      <w:r w:rsidRPr="009D08AC" w:rsidR="004314FA">
        <w:rPr>
          <w:b w:val="0"/>
          <w:bCs w:val="0"/>
          <w:sz w:val="24"/>
        </w:rPr>
        <w:t>$53,424,383</w:t>
      </w:r>
      <w:r w:rsidRPr="009D08AC">
        <w:rPr>
          <w:b w:val="0"/>
          <w:bCs w:val="0"/>
          <w:sz w:val="24"/>
        </w:rPr>
        <w:t>.</w:t>
      </w:r>
    </w:p>
    <w:p w:rsidR="00BF4D05" w:rsidRPr="009D08AC" w:rsidP="006B024B" w14:paraId="66B401F2" w14:textId="0310A0FA">
      <w:pPr>
        <w:widowControl/>
        <w:autoSpaceDE/>
        <w:autoSpaceDN/>
        <w:adjustRightInd/>
        <w:ind w:left="720"/>
        <w:rPr>
          <w:rFonts w:eastAsia="Calibri"/>
          <w:b w:val="0"/>
          <w:bCs w:val="0"/>
          <w:sz w:val="24"/>
          <w:szCs w:val="24"/>
        </w:rPr>
      </w:pPr>
    </w:p>
    <w:p w:rsidR="00BF4D05" w:rsidRPr="009D08AC" w:rsidP="002D73D8" w14:paraId="22BB9069" w14:textId="77777777">
      <w:pPr>
        <w:widowControl/>
        <w:autoSpaceDE/>
        <w:autoSpaceDN/>
        <w:adjustRightInd/>
        <w:ind w:left="720"/>
        <w:rPr>
          <w:rFonts w:eastAsia="Calibri"/>
          <w:b w:val="0"/>
          <w:bCs w:val="0"/>
          <w:sz w:val="24"/>
          <w:szCs w:val="24"/>
          <w:u w:val="single"/>
        </w:rPr>
      </w:pPr>
      <w:r w:rsidRPr="009D08AC">
        <w:rPr>
          <w:rFonts w:eastAsia="Calibri"/>
          <w:b w:val="0"/>
          <w:bCs w:val="0"/>
          <w:sz w:val="24"/>
          <w:szCs w:val="24"/>
          <w:u w:val="single"/>
        </w:rPr>
        <w:t>Website</w:t>
      </w:r>
    </w:p>
    <w:p w:rsidR="009E0937" w:rsidRPr="009D08AC" w:rsidP="002B491C" w14:paraId="109FCA6A" w14:textId="77777777">
      <w:pPr>
        <w:widowControl/>
        <w:autoSpaceDE/>
        <w:autoSpaceDN/>
        <w:adjustRightInd/>
        <w:ind w:left="720"/>
        <w:rPr>
          <w:rFonts w:eastAsia="Calibri"/>
          <w:b w:val="0"/>
          <w:bCs w:val="0"/>
          <w:sz w:val="24"/>
          <w:szCs w:val="24"/>
        </w:rPr>
      </w:pPr>
    </w:p>
    <w:p w:rsidR="00CD3B07" w:rsidRPr="009D08AC" w:rsidP="00CD3B07" w14:paraId="0671F1B7" w14:textId="1C836195">
      <w:pPr>
        <w:widowControl/>
        <w:autoSpaceDE/>
        <w:autoSpaceDN/>
        <w:adjustRightInd/>
        <w:ind w:left="720"/>
        <w:rPr>
          <w:rFonts w:eastAsia="Calibri"/>
          <w:b w:val="0"/>
          <w:bCs w:val="0"/>
          <w:sz w:val="24"/>
          <w:szCs w:val="24"/>
        </w:rPr>
      </w:pPr>
      <w:r w:rsidRPr="009D08AC">
        <w:rPr>
          <w:rFonts w:eastAsia="Calibri"/>
          <w:b w:val="0"/>
          <w:bCs w:val="0"/>
          <w:sz w:val="24"/>
          <w:szCs w:val="24"/>
        </w:rPr>
        <w:t xml:space="preserve">Paragraph (e) of the </w:t>
      </w:r>
      <w:r w:rsidRPr="009D08AC" w:rsidR="003B685A">
        <w:rPr>
          <w:rFonts w:eastAsia="Calibri"/>
          <w:b w:val="0"/>
          <w:bCs w:val="0"/>
          <w:sz w:val="24"/>
          <w:szCs w:val="24"/>
        </w:rPr>
        <w:t>20</w:t>
      </w:r>
      <w:r w:rsidRPr="009D08AC" w:rsidR="00FD5341">
        <w:rPr>
          <w:rFonts w:eastAsia="Calibri"/>
          <w:b w:val="0"/>
          <w:bCs w:val="0"/>
          <w:sz w:val="24"/>
          <w:szCs w:val="24"/>
        </w:rPr>
        <w:t>20</w:t>
      </w:r>
      <w:r w:rsidRPr="009D08AC" w:rsidR="003B685A">
        <w:rPr>
          <w:rFonts w:eastAsia="Calibri"/>
          <w:b w:val="0"/>
          <w:bCs w:val="0"/>
          <w:sz w:val="24"/>
          <w:szCs w:val="24"/>
        </w:rPr>
        <w:t xml:space="preserve"> safe harbor</w:t>
      </w:r>
      <w:r w:rsidRPr="009D08AC">
        <w:rPr>
          <w:rFonts w:eastAsia="Calibri"/>
          <w:b w:val="0"/>
          <w:bCs w:val="0"/>
          <w:sz w:val="24"/>
          <w:szCs w:val="24"/>
        </w:rPr>
        <w:t xml:space="preserve"> would require administrators to ensure the existence of a website at which plan </w:t>
      </w:r>
      <w:r w:rsidRPr="009D08AC" w:rsidR="00215336">
        <w:rPr>
          <w:rFonts w:eastAsia="Calibri"/>
          <w:b w:val="0"/>
          <w:bCs w:val="0"/>
          <w:sz w:val="24"/>
          <w:szCs w:val="24"/>
        </w:rPr>
        <w:t>covered individuals</w:t>
      </w:r>
      <w:r w:rsidRPr="009D08AC">
        <w:rPr>
          <w:rFonts w:eastAsia="Calibri"/>
          <w:b w:val="0"/>
          <w:bCs w:val="0"/>
          <w:sz w:val="24"/>
          <w:szCs w:val="24"/>
        </w:rPr>
        <w:t xml:space="preserve"> can access covered disclosures free of charge. </w:t>
      </w:r>
      <w:r w:rsidRPr="009D08AC" w:rsidR="00682B7E">
        <w:rPr>
          <w:rFonts w:eastAsia="Calibri"/>
          <w:b w:val="0"/>
          <w:bCs w:val="0"/>
          <w:sz w:val="24"/>
          <w:szCs w:val="24"/>
        </w:rPr>
        <w:t>T</w:t>
      </w:r>
      <w:r w:rsidRPr="009D08AC" w:rsidR="0044677E">
        <w:rPr>
          <w:rFonts w:eastAsia="Calibri"/>
          <w:b w:val="0"/>
          <w:bCs w:val="0"/>
          <w:sz w:val="24"/>
          <w:szCs w:val="24"/>
        </w:rPr>
        <w:t xml:space="preserve">he Department estimates that approximately </w:t>
      </w:r>
      <w:r w:rsidRPr="009D08AC" w:rsidR="009A68F2">
        <w:rPr>
          <w:rFonts w:eastAsia="Calibri"/>
          <w:b w:val="0"/>
          <w:bCs w:val="0"/>
          <w:sz w:val="24"/>
          <w:szCs w:val="24"/>
        </w:rPr>
        <w:t>8</w:t>
      </w:r>
      <w:r w:rsidRPr="009D08AC" w:rsidR="0020613E">
        <w:rPr>
          <w:rFonts w:eastAsia="Calibri"/>
          <w:b w:val="0"/>
          <w:bCs w:val="0"/>
          <w:sz w:val="24"/>
          <w:szCs w:val="24"/>
        </w:rPr>
        <w:t>,</w:t>
      </w:r>
      <w:r w:rsidRPr="009D08AC" w:rsidR="0044677E">
        <w:rPr>
          <w:rFonts w:eastAsia="Calibri"/>
          <w:b w:val="0"/>
          <w:bCs w:val="0"/>
          <w:sz w:val="24"/>
          <w:szCs w:val="24"/>
        </w:rPr>
        <w:t>000 plans currently do not have, directly or indirectly through a plan service provider, a website where they can post the covered documents.</w:t>
      </w:r>
      <w:r>
        <w:rPr>
          <w:rFonts w:eastAsia="Calibri"/>
          <w:b w:val="0"/>
          <w:bCs w:val="0"/>
          <w:sz w:val="24"/>
          <w:szCs w:val="24"/>
          <w:vertAlign w:val="superscript"/>
        </w:rPr>
        <w:footnoteReference w:id="4"/>
      </w:r>
      <w:r w:rsidRPr="009D08AC">
        <w:rPr>
          <w:rFonts w:eastAsia="Calibri"/>
          <w:b w:val="0"/>
          <w:bCs w:val="0"/>
          <w:sz w:val="24"/>
          <w:szCs w:val="24"/>
        </w:rPr>
        <w:t xml:space="preserve"> </w:t>
      </w:r>
    </w:p>
    <w:p w:rsidR="00E74B01" w:rsidRPr="009D08AC" w:rsidP="00CD3B07" w14:paraId="7295538D" w14:textId="77777777">
      <w:pPr>
        <w:widowControl/>
        <w:autoSpaceDE/>
        <w:autoSpaceDN/>
        <w:adjustRightInd/>
        <w:ind w:left="720"/>
        <w:rPr>
          <w:rFonts w:eastAsia="Calibri"/>
          <w:b w:val="0"/>
          <w:bCs w:val="0"/>
          <w:sz w:val="24"/>
          <w:szCs w:val="24"/>
        </w:rPr>
      </w:pPr>
    </w:p>
    <w:p w:rsidR="00BF4D05" w:rsidRPr="009D08AC" w:rsidP="00E965D6" w14:paraId="5D24F5CF" w14:textId="42EC7F16">
      <w:pPr>
        <w:widowControl/>
        <w:autoSpaceDE/>
        <w:autoSpaceDN/>
        <w:adjustRightInd/>
        <w:ind w:left="720"/>
        <w:rPr>
          <w:rFonts w:eastAsia="Calibri"/>
          <w:b w:val="0"/>
          <w:bCs w:val="0"/>
          <w:sz w:val="24"/>
          <w:szCs w:val="24"/>
        </w:rPr>
      </w:pPr>
      <w:r w:rsidRPr="009D08AC">
        <w:rPr>
          <w:rFonts w:eastAsia="Calibri"/>
          <w:b w:val="0"/>
          <w:bCs w:val="0"/>
          <w:sz w:val="24"/>
          <w:szCs w:val="24"/>
        </w:rPr>
        <w:t>Although approximately 9</w:t>
      </w:r>
      <w:r w:rsidRPr="009D08AC" w:rsidR="00B43338">
        <w:rPr>
          <w:rFonts w:eastAsia="Calibri"/>
          <w:b w:val="0"/>
          <w:bCs w:val="0"/>
          <w:sz w:val="24"/>
          <w:szCs w:val="24"/>
        </w:rPr>
        <w:t>,</w:t>
      </w:r>
      <w:r w:rsidRPr="009D08AC">
        <w:rPr>
          <w:rFonts w:eastAsia="Calibri"/>
          <w:b w:val="0"/>
          <w:bCs w:val="0"/>
          <w:sz w:val="24"/>
          <w:szCs w:val="24"/>
        </w:rPr>
        <w:t xml:space="preserve">000 plans </w:t>
      </w:r>
      <w:r w:rsidRPr="009D08AC" w:rsidR="008E1BCC">
        <w:rPr>
          <w:rFonts w:eastAsia="Calibri"/>
          <w:b w:val="0"/>
          <w:bCs w:val="0"/>
          <w:sz w:val="24"/>
          <w:szCs w:val="24"/>
        </w:rPr>
        <w:t>only</w:t>
      </w:r>
      <w:r w:rsidRPr="009D08AC">
        <w:rPr>
          <w:rFonts w:eastAsia="Calibri"/>
          <w:b w:val="0"/>
          <w:bCs w:val="0"/>
          <w:sz w:val="24"/>
          <w:szCs w:val="24"/>
        </w:rPr>
        <w:t xml:space="preserve"> have a websi</w:t>
      </w:r>
      <w:r w:rsidRPr="009D08AC" w:rsidR="00680DC0">
        <w:rPr>
          <w:rFonts w:eastAsia="Calibri"/>
          <w:b w:val="0"/>
          <w:bCs w:val="0"/>
          <w:sz w:val="24"/>
          <w:szCs w:val="24"/>
        </w:rPr>
        <w:t>te</w:t>
      </w:r>
      <w:r w:rsidRPr="009D08AC" w:rsidR="00971C39">
        <w:rPr>
          <w:rFonts w:eastAsia="Calibri"/>
          <w:b w:val="0"/>
          <w:bCs w:val="0"/>
          <w:sz w:val="24"/>
          <w:szCs w:val="24"/>
        </w:rPr>
        <w:t xml:space="preserve"> to sa</w:t>
      </w:r>
      <w:r w:rsidRPr="009D08AC" w:rsidR="004B5A31">
        <w:rPr>
          <w:rFonts w:eastAsia="Calibri"/>
          <w:b w:val="0"/>
          <w:bCs w:val="0"/>
          <w:sz w:val="24"/>
          <w:szCs w:val="24"/>
        </w:rPr>
        <w:t>tisfy</w:t>
      </w:r>
      <w:r w:rsidRPr="009D08AC" w:rsidR="004717E6">
        <w:rPr>
          <w:rFonts w:eastAsia="Calibri"/>
          <w:b w:val="0"/>
          <w:bCs w:val="0"/>
          <w:sz w:val="24"/>
          <w:szCs w:val="24"/>
        </w:rPr>
        <w:t xml:space="preserve"> the </w:t>
      </w:r>
      <w:r w:rsidRPr="009D08AC" w:rsidR="005D59E6">
        <w:rPr>
          <w:rFonts w:eastAsia="Calibri"/>
          <w:b w:val="0"/>
          <w:bCs w:val="0"/>
          <w:sz w:val="24"/>
          <w:szCs w:val="24"/>
        </w:rPr>
        <w:t>requirements o</w:t>
      </w:r>
      <w:r w:rsidRPr="009D08AC" w:rsidR="00804764">
        <w:rPr>
          <w:rFonts w:eastAsia="Calibri"/>
          <w:b w:val="0"/>
          <w:bCs w:val="0"/>
          <w:sz w:val="24"/>
          <w:szCs w:val="24"/>
        </w:rPr>
        <w:t xml:space="preserve">f this </w:t>
      </w:r>
      <w:r w:rsidRPr="009D08AC" w:rsidR="000B7FAF">
        <w:rPr>
          <w:rFonts w:eastAsia="Calibri"/>
          <w:b w:val="0"/>
          <w:bCs w:val="0"/>
          <w:sz w:val="24"/>
          <w:szCs w:val="24"/>
        </w:rPr>
        <w:t>rule</w:t>
      </w:r>
      <w:r w:rsidRPr="009D08AC">
        <w:rPr>
          <w:rFonts w:eastAsia="Calibri"/>
          <w:b w:val="0"/>
          <w:bCs w:val="0"/>
          <w:sz w:val="24"/>
          <w:szCs w:val="24"/>
        </w:rPr>
        <w:t>, the Department expects the impact of paragraph (e) of the rule to be minimal</w:t>
      </w:r>
      <w:r w:rsidRPr="009D08AC" w:rsidR="00CD3B07">
        <w:rPr>
          <w:rFonts w:eastAsia="Calibri"/>
          <w:b w:val="0"/>
          <w:bCs w:val="0"/>
          <w:sz w:val="24"/>
          <w:szCs w:val="24"/>
        </w:rPr>
        <w:t>, in part, because paragraph (k) of the</w:t>
      </w:r>
      <w:r w:rsidRPr="009D08AC" w:rsidR="0077164F">
        <w:rPr>
          <w:rFonts w:eastAsia="Calibri"/>
          <w:b w:val="0"/>
          <w:bCs w:val="0"/>
          <w:sz w:val="24"/>
          <w:szCs w:val="24"/>
        </w:rPr>
        <w:t xml:space="preserve"> </w:t>
      </w:r>
      <w:r w:rsidRPr="009D08AC" w:rsidR="00CD3B07">
        <w:rPr>
          <w:rFonts w:eastAsia="Calibri"/>
          <w:b w:val="0"/>
          <w:bCs w:val="0"/>
          <w:sz w:val="24"/>
          <w:szCs w:val="24"/>
        </w:rPr>
        <w:t xml:space="preserve">rule allows plans to furnish covered documents by email. </w:t>
      </w:r>
      <w:r w:rsidRPr="009D08AC" w:rsidR="001663C5">
        <w:rPr>
          <w:rFonts w:eastAsia="Calibri"/>
          <w:b w:val="0"/>
          <w:bCs w:val="0"/>
          <w:sz w:val="24"/>
          <w:szCs w:val="24"/>
        </w:rPr>
        <w:t xml:space="preserve">The direct delivery option will likely ease the burden on small </w:t>
      </w:r>
      <w:r w:rsidRPr="009D08AC" w:rsidR="001663C5">
        <w:rPr>
          <w:rFonts w:eastAsia="Calibri"/>
          <w:b w:val="0"/>
          <w:bCs w:val="0"/>
          <w:sz w:val="24"/>
          <w:szCs w:val="24"/>
        </w:rPr>
        <w:t>plans</w:t>
      </w:r>
      <w:r w:rsidRPr="009D08AC" w:rsidR="001663C5">
        <w:rPr>
          <w:rFonts w:eastAsia="Calibri"/>
          <w:b w:val="0"/>
          <w:bCs w:val="0"/>
          <w:sz w:val="24"/>
          <w:szCs w:val="24"/>
        </w:rPr>
        <w:t xml:space="preserve">, as they are less likely to have, or have access to, a website. </w:t>
      </w:r>
      <w:r w:rsidRPr="009D08AC" w:rsidR="000C787B">
        <w:rPr>
          <w:rFonts w:eastAsia="Calibri"/>
          <w:b w:val="0"/>
          <w:bCs w:val="0"/>
          <w:sz w:val="24"/>
          <w:szCs w:val="24"/>
        </w:rPr>
        <w:t>All plans will incur a burden to post disclosures on the website.</w:t>
      </w:r>
      <w:r w:rsidRPr="009D08AC" w:rsidR="00E965D6">
        <w:rPr>
          <w:rFonts w:eastAsia="Calibri"/>
          <w:b w:val="0"/>
          <w:bCs w:val="0"/>
          <w:sz w:val="24"/>
          <w:szCs w:val="24"/>
        </w:rPr>
        <w:t xml:space="preserve"> The Department estimates that each post will take 5 minutes of an IT professional’s time.</w:t>
      </w:r>
      <w:r w:rsidRPr="009D08AC" w:rsidR="000C787B">
        <w:rPr>
          <w:rFonts w:eastAsia="Calibri"/>
          <w:b w:val="0"/>
          <w:bCs w:val="0"/>
          <w:sz w:val="24"/>
          <w:szCs w:val="24"/>
        </w:rPr>
        <w:t xml:space="preserve"> </w:t>
      </w:r>
      <w:r w:rsidRPr="009D08AC" w:rsidR="00E965D6">
        <w:rPr>
          <w:rFonts w:eastAsia="Calibri"/>
          <w:b w:val="0"/>
          <w:bCs w:val="0"/>
          <w:sz w:val="24"/>
          <w:szCs w:val="24"/>
        </w:rPr>
        <w:t xml:space="preserve">The </w:t>
      </w:r>
      <w:r w:rsidRPr="009D08AC" w:rsidR="000C787B">
        <w:rPr>
          <w:rFonts w:eastAsia="Calibri"/>
          <w:b w:val="0"/>
          <w:bCs w:val="0"/>
          <w:sz w:val="24"/>
          <w:szCs w:val="24"/>
        </w:rPr>
        <w:t xml:space="preserve">annual burden </w:t>
      </w:r>
      <w:r w:rsidRPr="009D08AC" w:rsidR="000C787B">
        <w:rPr>
          <w:rFonts w:eastAsia="Calibri"/>
          <w:b w:val="0"/>
          <w:bCs w:val="0"/>
          <w:sz w:val="24"/>
          <w:szCs w:val="24"/>
        </w:rPr>
        <w:t>i</w:t>
      </w:r>
      <w:r w:rsidRPr="009D08AC" w:rsidR="008A063F">
        <w:rPr>
          <w:rFonts w:eastAsia="Calibri"/>
          <w:b w:val="0"/>
          <w:bCs w:val="0"/>
          <w:sz w:val="24"/>
          <w:szCs w:val="24"/>
        </w:rPr>
        <w:t>for</w:t>
      </w:r>
      <w:r w:rsidRPr="009D08AC" w:rsidR="008A063F">
        <w:rPr>
          <w:rFonts w:eastAsia="Calibri"/>
          <w:b w:val="0"/>
          <w:bCs w:val="0"/>
          <w:sz w:val="24"/>
          <w:szCs w:val="24"/>
        </w:rPr>
        <w:t xml:space="preserve"> this requirement </w:t>
      </w:r>
      <w:r w:rsidRPr="009D08AC" w:rsidR="00E965D6">
        <w:rPr>
          <w:rFonts w:eastAsia="Calibri"/>
          <w:b w:val="0"/>
          <w:bCs w:val="0"/>
          <w:sz w:val="24"/>
          <w:szCs w:val="24"/>
        </w:rPr>
        <w:t>is displayed below.</w:t>
      </w:r>
    </w:p>
    <w:p w:rsidR="00E965D6" w:rsidRPr="009D08AC" w:rsidP="00E965D6" w14:paraId="7003B53A" w14:textId="77777777">
      <w:pPr>
        <w:widowControl/>
        <w:autoSpaceDE/>
        <w:autoSpaceDN/>
        <w:adjustRightInd/>
        <w:ind w:left="720"/>
        <w:rPr>
          <w:rFonts w:eastAsia="Calibri"/>
          <w:b w:val="0"/>
          <w:bCs w:val="0"/>
          <w:sz w:val="24"/>
          <w:szCs w:val="24"/>
        </w:rPr>
      </w:pPr>
    </w:p>
    <w:tbl>
      <w:tblPr>
        <w:tblW w:w="10608" w:type="dxa"/>
        <w:jc w:val="center"/>
        <w:tblLook w:val="04A0"/>
      </w:tblPr>
      <w:tblGrid>
        <w:gridCol w:w="2700"/>
        <w:gridCol w:w="3240"/>
        <w:gridCol w:w="1260"/>
        <w:gridCol w:w="996"/>
        <w:gridCol w:w="1254"/>
        <w:gridCol w:w="1416"/>
      </w:tblGrid>
      <w:tr w14:paraId="5E1A51CF" w14:textId="77777777" w:rsidTr="003611AD">
        <w:tblPrEx>
          <w:tblW w:w="10608" w:type="dxa"/>
          <w:jc w:val="center"/>
          <w:tblLook w:val="04A0"/>
        </w:tblPrEx>
        <w:trPr>
          <w:trHeight w:val="216"/>
          <w:jc w:val="center"/>
        </w:trPr>
        <w:tc>
          <w:tcPr>
            <w:tcW w:w="10608" w:type="dxa"/>
            <w:gridSpan w:val="6"/>
            <w:tcBorders>
              <w:top w:val="nil"/>
              <w:left w:val="nil"/>
              <w:bottom w:val="single" w:sz="8" w:space="0" w:color="auto"/>
              <w:right w:val="nil"/>
            </w:tcBorders>
            <w:shd w:val="clear" w:color="000000" w:fill="FFFFFF"/>
            <w:noWrap/>
            <w:hideMark/>
          </w:tcPr>
          <w:p w:rsidR="00E965D6" w:rsidRPr="009D08AC" w14:paraId="1CBEC863" w14:textId="048C8EE5">
            <w:pPr>
              <w:keepNext/>
              <w:widowControl/>
              <w:autoSpaceDE/>
              <w:autoSpaceDN/>
              <w:adjustRightInd/>
              <w:rPr>
                <w:color w:val="000000"/>
                <w:sz w:val="24"/>
                <w:szCs w:val="24"/>
              </w:rPr>
            </w:pPr>
            <w:r w:rsidRPr="009D08AC">
              <w:rPr>
                <w:color w:val="000000"/>
                <w:sz w:val="24"/>
                <w:szCs w:val="24"/>
              </w:rPr>
              <w:t xml:space="preserve">Table </w:t>
            </w:r>
            <w:r w:rsidRPr="009D08AC">
              <w:rPr>
                <w:color w:val="000000"/>
                <w:sz w:val="24"/>
                <w:szCs w:val="24"/>
              </w:rPr>
              <w:t>5.—</w:t>
            </w:r>
            <w:r w:rsidRPr="009D08AC">
              <w:rPr>
                <w:color w:val="000000"/>
                <w:sz w:val="24"/>
                <w:szCs w:val="24"/>
              </w:rPr>
              <w:t>Costs to Post Disclosures to Website</w:t>
            </w:r>
          </w:p>
        </w:tc>
      </w:tr>
      <w:tr w14:paraId="234BE975" w14:textId="77777777" w:rsidTr="003611AD">
        <w:tblPrEx>
          <w:tblW w:w="10608" w:type="dxa"/>
          <w:jc w:val="center"/>
          <w:tblLook w:val="04A0"/>
        </w:tblPrEx>
        <w:trPr>
          <w:trHeight w:val="600"/>
          <w:jc w:val="center"/>
        </w:trPr>
        <w:tc>
          <w:tcPr>
            <w:tcW w:w="2700" w:type="dxa"/>
            <w:tcBorders>
              <w:top w:val="nil"/>
              <w:left w:val="nil"/>
              <w:bottom w:val="nil"/>
              <w:right w:val="nil"/>
            </w:tcBorders>
            <w:hideMark/>
          </w:tcPr>
          <w:p w:rsidR="00E965D6" w:rsidRPr="009D08AC" w14:paraId="32C155DB" w14:textId="77777777">
            <w:pPr>
              <w:keepNext/>
              <w:widowControl/>
              <w:autoSpaceDE/>
              <w:autoSpaceDN/>
              <w:adjustRightInd/>
              <w:jc w:val="center"/>
              <w:rPr>
                <w:b w:val="0"/>
                <w:bCs w:val="0"/>
                <w:color w:val="000000"/>
                <w:sz w:val="24"/>
                <w:szCs w:val="24"/>
              </w:rPr>
            </w:pPr>
            <w:r w:rsidRPr="009D08AC">
              <w:rPr>
                <w:b w:val="0"/>
                <w:bCs w:val="0"/>
                <w:color w:val="000000"/>
                <w:sz w:val="24"/>
                <w:szCs w:val="24"/>
              </w:rPr>
              <w:t>Description</w:t>
            </w:r>
          </w:p>
        </w:tc>
        <w:tc>
          <w:tcPr>
            <w:tcW w:w="3240" w:type="dxa"/>
            <w:tcBorders>
              <w:top w:val="nil"/>
              <w:left w:val="nil"/>
              <w:bottom w:val="nil"/>
              <w:right w:val="nil"/>
            </w:tcBorders>
            <w:noWrap/>
            <w:hideMark/>
          </w:tcPr>
          <w:p w:rsidR="00E965D6" w:rsidRPr="009D08AC" w14:paraId="3E077C5D" w14:textId="77777777">
            <w:pPr>
              <w:keepNext/>
              <w:widowControl/>
              <w:autoSpaceDE/>
              <w:autoSpaceDN/>
              <w:adjustRightInd/>
              <w:jc w:val="center"/>
              <w:rPr>
                <w:b w:val="0"/>
                <w:bCs w:val="0"/>
                <w:color w:val="000000"/>
                <w:sz w:val="24"/>
                <w:szCs w:val="24"/>
              </w:rPr>
            </w:pPr>
            <w:r w:rsidRPr="009D08AC">
              <w:rPr>
                <w:b w:val="0"/>
                <w:bCs w:val="0"/>
                <w:color w:val="000000"/>
                <w:sz w:val="24"/>
                <w:szCs w:val="24"/>
              </w:rPr>
              <w:t>Affected Entities</w:t>
            </w:r>
          </w:p>
        </w:tc>
        <w:tc>
          <w:tcPr>
            <w:tcW w:w="1260" w:type="dxa"/>
            <w:tcBorders>
              <w:top w:val="nil"/>
              <w:left w:val="nil"/>
              <w:bottom w:val="nil"/>
              <w:right w:val="nil"/>
            </w:tcBorders>
            <w:noWrap/>
            <w:hideMark/>
          </w:tcPr>
          <w:p w:rsidR="00E965D6" w:rsidRPr="009D08AC" w14:paraId="403AD267" w14:textId="77777777">
            <w:pPr>
              <w:keepNext/>
              <w:widowControl/>
              <w:autoSpaceDE/>
              <w:autoSpaceDN/>
              <w:adjustRightInd/>
              <w:jc w:val="center"/>
              <w:rPr>
                <w:b w:val="0"/>
                <w:bCs w:val="0"/>
                <w:color w:val="000000"/>
                <w:sz w:val="24"/>
                <w:szCs w:val="24"/>
              </w:rPr>
            </w:pPr>
            <w:r w:rsidRPr="009D08AC">
              <w:rPr>
                <w:b w:val="0"/>
                <w:bCs w:val="0"/>
                <w:color w:val="000000"/>
                <w:sz w:val="24"/>
                <w:szCs w:val="24"/>
              </w:rPr>
              <w:t>Hours per Entity</w:t>
            </w:r>
          </w:p>
        </w:tc>
        <w:tc>
          <w:tcPr>
            <w:tcW w:w="996" w:type="dxa"/>
            <w:tcBorders>
              <w:top w:val="nil"/>
              <w:left w:val="nil"/>
              <w:bottom w:val="nil"/>
              <w:right w:val="nil"/>
            </w:tcBorders>
            <w:noWrap/>
            <w:hideMark/>
          </w:tcPr>
          <w:p w:rsidR="00E965D6" w:rsidRPr="009D08AC" w14:paraId="2BA6925C" w14:textId="77777777">
            <w:pPr>
              <w:keepNext/>
              <w:widowControl/>
              <w:autoSpaceDE/>
              <w:autoSpaceDN/>
              <w:adjustRightInd/>
              <w:jc w:val="center"/>
              <w:rPr>
                <w:b w:val="0"/>
                <w:bCs w:val="0"/>
                <w:color w:val="000000"/>
                <w:sz w:val="24"/>
                <w:szCs w:val="24"/>
              </w:rPr>
            </w:pPr>
            <w:r w:rsidRPr="009D08AC">
              <w:rPr>
                <w:b w:val="0"/>
                <w:bCs w:val="0"/>
                <w:color w:val="000000"/>
                <w:sz w:val="24"/>
                <w:szCs w:val="24"/>
              </w:rPr>
              <w:t>Hourly Wage</w:t>
            </w:r>
          </w:p>
        </w:tc>
        <w:tc>
          <w:tcPr>
            <w:tcW w:w="1254" w:type="dxa"/>
            <w:tcBorders>
              <w:top w:val="nil"/>
              <w:left w:val="nil"/>
              <w:bottom w:val="nil"/>
              <w:right w:val="nil"/>
            </w:tcBorders>
            <w:noWrap/>
            <w:hideMark/>
          </w:tcPr>
          <w:p w:rsidR="00E965D6" w:rsidRPr="009D08AC" w14:paraId="30499E34" w14:textId="77777777">
            <w:pPr>
              <w:keepNext/>
              <w:widowControl/>
              <w:autoSpaceDE/>
              <w:autoSpaceDN/>
              <w:adjustRightInd/>
              <w:jc w:val="center"/>
              <w:rPr>
                <w:b w:val="0"/>
                <w:bCs w:val="0"/>
                <w:color w:val="000000"/>
                <w:sz w:val="24"/>
                <w:szCs w:val="24"/>
              </w:rPr>
            </w:pPr>
            <w:r w:rsidRPr="009D08AC">
              <w:rPr>
                <w:b w:val="0"/>
                <w:bCs w:val="0"/>
                <w:color w:val="000000"/>
                <w:sz w:val="24"/>
                <w:szCs w:val="24"/>
              </w:rPr>
              <w:t>Total Hours</w:t>
            </w:r>
          </w:p>
        </w:tc>
        <w:tc>
          <w:tcPr>
            <w:tcW w:w="1158" w:type="dxa"/>
            <w:tcBorders>
              <w:top w:val="nil"/>
              <w:left w:val="nil"/>
              <w:bottom w:val="nil"/>
              <w:right w:val="nil"/>
            </w:tcBorders>
            <w:noWrap/>
            <w:hideMark/>
          </w:tcPr>
          <w:p w:rsidR="00E965D6" w:rsidRPr="009D08AC" w14:paraId="1346EF02" w14:textId="77777777">
            <w:pPr>
              <w:keepNext/>
              <w:widowControl/>
              <w:autoSpaceDE/>
              <w:autoSpaceDN/>
              <w:adjustRightInd/>
              <w:jc w:val="center"/>
              <w:rPr>
                <w:b w:val="0"/>
                <w:bCs w:val="0"/>
                <w:color w:val="000000"/>
                <w:sz w:val="24"/>
                <w:szCs w:val="24"/>
              </w:rPr>
            </w:pPr>
            <w:r w:rsidRPr="009D08AC">
              <w:rPr>
                <w:b w:val="0"/>
                <w:bCs w:val="0"/>
                <w:color w:val="000000"/>
                <w:sz w:val="24"/>
                <w:szCs w:val="24"/>
              </w:rPr>
              <w:t>Equivalent Cost</w:t>
            </w:r>
          </w:p>
        </w:tc>
      </w:tr>
      <w:tr w14:paraId="28852AFC" w14:textId="77777777" w:rsidTr="003611AD">
        <w:tblPrEx>
          <w:tblW w:w="10608" w:type="dxa"/>
          <w:jc w:val="center"/>
          <w:tblLook w:val="04A0"/>
        </w:tblPrEx>
        <w:trPr>
          <w:trHeight w:val="300"/>
          <w:jc w:val="center"/>
        </w:trPr>
        <w:tc>
          <w:tcPr>
            <w:tcW w:w="2700" w:type="dxa"/>
            <w:tcBorders>
              <w:top w:val="nil"/>
              <w:left w:val="nil"/>
              <w:bottom w:val="single" w:sz="4" w:space="0" w:color="auto"/>
              <w:right w:val="nil"/>
            </w:tcBorders>
            <w:hideMark/>
          </w:tcPr>
          <w:p w:rsidR="00E965D6" w:rsidRPr="009D08AC" w14:paraId="3247FD27" w14:textId="77777777">
            <w:pPr>
              <w:keepNext/>
              <w:widowControl/>
              <w:autoSpaceDE/>
              <w:autoSpaceDN/>
              <w:adjustRightInd/>
              <w:jc w:val="center"/>
              <w:rPr>
                <w:b w:val="0"/>
                <w:bCs w:val="0"/>
                <w:color w:val="000000"/>
                <w:sz w:val="24"/>
                <w:szCs w:val="24"/>
              </w:rPr>
            </w:pPr>
          </w:p>
        </w:tc>
        <w:tc>
          <w:tcPr>
            <w:tcW w:w="3240" w:type="dxa"/>
            <w:tcBorders>
              <w:top w:val="nil"/>
              <w:left w:val="nil"/>
              <w:bottom w:val="single" w:sz="4" w:space="0" w:color="auto"/>
              <w:right w:val="nil"/>
            </w:tcBorders>
            <w:noWrap/>
            <w:hideMark/>
          </w:tcPr>
          <w:p w:rsidR="00E965D6" w:rsidRPr="009D08AC" w14:paraId="0EC79E3B" w14:textId="77777777">
            <w:pPr>
              <w:keepNext/>
              <w:widowControl/>
              <w:autoSpaceDE/>
              <w:autoSpaceDN/>
              <w:adjustRightInd/>
              <w:jc w:val="center"/>
              <w:rPr>
                <w:b w:val="0"/>
                <w:bCs w:val="0"/>
                <w:color w:val="000000"/>
                <w:sz w:val="24"/>
                <w:szCs w:val="24"/>
              </w:rPr>
            </w:pPr>
            <w:r w:rsidRPr="009D08AC">
              <w:rPr>
                <w:b w:val="0"/>
                <w:bCs w:val="0"/>
                <w:color w:val="000000"/>
                <w:sz w:val="24"/>
                <w:szCs w:val="24"/>
              </w:rPr>
              <w:t>(A)</w:t>
            </w:r>
          </w:p>
        </w:tc>
        <w:tc>
          <w:tcPr>
            <w:tcW w:w="1260" w:type="dxa"/>
            <w:tcBorders>
              <w:top w:val="nil"/>
              <w:left w:val="nil"/>
              <w:bottom w:val="single" w:sz="4" w:space="0" w:color="auto"/>
              <w:right w:val="nil"/>
            </w:tcBorders>
            <w:noWrap/>
            <w:hideMark/>
          </w:tcPr>
          <w:p w:rsidR="00E965D6" w:rsidRPr="009D08AC" w14:paraId="1B0E07D7" w14:textId="77777777">
            <w:pPr>
              <w:keepNext/>
              <w:widowControl/>
              <w:autoSpaceDE/>
              <w:autoSpaceDN/>
              <w:adjustRightInd/>
              <w:jc w:val="center"/>
              <w:rPr>
                <w:b w:val="0"/>
                <w:bCs w:val="0"/>
                <w:color w:val="000000"/>
                <w:sz w:val="24"/>
                <w:szCs w:val="24"/>
              </w:rPr>
            </w:pPr>
            <w:r w:rsidRPr="009D08AC">
              <w:rPr>
                <w:b w:val="0"/>
                <w:bCs w:val="0"/>
                <w:color w:val="000000"/>
                <w:sz w:val="24"/>
                <w:szCs w:val="24"/>
              </w:rPr>
              <w:t>(B)</w:t>
            </w:r>
          </w:p>
        </w:tc>
        <w:tc>
          <w:tcPr>
            <w:tcW w:w="996" w:type="dxa"/>
            <w:tcBorders>
              <w:top w:val="nil"/>
              <w:left w:val="nil"/>
              <w:bottom w:val="single" w:sz="4" w:space="0" w:color="auto"/>
              <w:right w:val="nil"/>
            </w:tcBorders>
            <w:noWrap/>
            <w:hideMark/>
          </w:tcPr>
          <w:p w:rsidR="00E965D6" w:rsidRPr="009D08AC" w14:paraId="044F84BF" w14:textId="77777777">
            <w:pPr>
              <w:keepNext/>
              <w:widowControl/>
              <w:autoSpaceDE/>
              <w:autoSpaceDN/>
              <w:adjustRightInd/>
              <w:jc w:val="center"/>
              <w:rPr>
                <w:b w:val="0"/>
                <w:bCs w:val="0"/>
                <w:color w:val="000000"/>
                <w:sz w:val="24"/>
                <w:szCs w:val="24"/>
              </w:rPr>
            </w:pPr>
            <w:r w:rsidRPr="009D08AC">
              <w:rPr>
                <w:b w:val="0"/>
                <w:bCs w:val="0"/>
                <w:color w:val="000000"/>
                <w:sz w:val="24"/>
                <w:szCs w:val="24"/>
              </w:rPr>
              <w:t>(C)</w:t>
            </w:r>
          </w:p>
        </w:tc>
        <w:tc>
          <w:tcPr>
            <w:tcW w:w="1254" w:type="dxa"/>
            <w:tcBorders>
              <w:top w:val="nil"/>
              <w:left w:val="nil"/>
              <w:bottom w:val="single" w:sz="4" w:space="0" w:color="auto"/>
              <w:right w:val="nil"/>
            </w:tcBorders>
            <w:noWrap/>
            <w:hideMark/>
          </w:tcPr>
          <w:p w:rsidR="00E965D6" w:rsidRPr="009D08AC" w14:paraId="79A44B5B" w14:textId="77777777">
            <w:pPr>
              <w:keepNext/>
              <w:widowControl/>
              <w:autoSpaceDE/>
              <w:autoSpaceDN/>
              <w:adjustRightInd/>
              <w:jc w:val="center"/>
              <w:rPr>
                <w:b w:val="0"/>
                <w:bCs w:val="0"/>
                <w:color w:val="000000"/>
                <w:sz w:val="24"/>
                <w:szCs w:val="24"/>
              </w:rPr>
            </w:pPr>
            <w:r w:rsidRPr="009D08AC">
              <w:rPr>
                <w:b w:val="0"/>
                <w:bCs w:val="0"/>
                <w:color w:val="000000"/>
                <w:sz w:val="24"/>
                <w:szCs w:val="24"/>
              </w:rPr>
              <w:t>(A x B)</w:t>
            </w:r>
          </w:p>
        </w:tc>
        <w:tc>
          <w:tcPr>
            <w:tcW w:w="1158" w:type="dxa"/>
            <w:tcBorders>
              <w:top w:val="nil"/>
              <w:left w:val="nil"/>
              <w:bottom w:val="single" w:sz="4" w:space="0" w:color="auto"/>
              <w:right w:val="nil"/>
            </w:tcBorders>
            <w:noWrap/>
            <w:hideMark/>
          </w:tcPr>
          <w:p w:rsidR="00E965D6" w:rsidRPr="009D08AC" w14:paraId="2EEBD633" w14:textId="77777777">
            <w:pPr>
              <w:keepNext/>
              <w:widowControl/>
              <w:autoSpaceDE/>
              <w:autoSpaceDN/>
              <w:adjustRightInd/>
              <w:jc w:val="center"/>
              <w:rPr>
                <w:b w:val="0"/>
                <w:bCs w:val="0"/>
                <w:color w:val="000000"/>
                <w:sz w:val="24"/>
                <w:szCs w:val="24"/>
              </w:rPr>
            </w:pPr>
            <w:r w:rsidRPr="009D08AC">
              <w:rPr>
                <w:b w:val="0"/>
                <w:bCs w:val="0"/>
                <w:color w:val="000000"/>
                <w:sz w:val="24"/>
                <w:szCs w:val="24"/>
              </w:rPr>
              <w:t>(A x B x C)</w:t>
            </w:r>
          </w:p>
        </w:tc>
      </w:tr>
      <w:tr w14:paraId="7B15EEDA" w14:textId="77777777" w:rsidTr="003611AD">
        <w:tblPrEx>
          <w:tblW w:w="10608" w:type="dxa"/>
          <w:jc w:val="center"/>
          <w:tblLook w:val="04A0"/>
        </w:tblPrEx>
        <w:trPr>
          <w:trHeight w:val="525"/>
          <w:jc w:val="center"/>
        </w:trPr>
        <w:tc>
          <w:tcPr>
            <w:tcW w:w="2700" w:type="dxa"/>
            <w:tcBorders>
              <w:top w:val="nil"/>
              <w:left w:val="nil"/>
              <w:right w:val="nil"/>
            </w:tcBorders>
            <w:hideMark/>
          </w:tcPr>
          <w:p w:rsidR="00B5144F" w:rsidRPr="009D08AC" w:rsidP="00B5144F" w14:paraId="1F42E173" w14:textId="7243A6D5">
            <w:pPr>
              <w:keepNext/>
              <w:widowControl/>
              <w:autoSpaceDE/>
              <w:autoSpaceDN/>
              <w:adjustRightInd/>
              <w:rPr>
                <w:b w:val="0"/>
                <w:bCs w:val="0"/>
                <w:sz w:val="24"/>
                <w:szCs w:val="24"/>
              </w:rPr>
            </w:pPr>
            <w:r w:rsidRPr="009D08AC">
              <w:rPr>
                <w:b w:val="0"/>
                <w:bCs w:val="0"/>
                <w:sz w:val="24"/>
                <w:szCs w:val="24"/>
              </w:rPr>
              <w:t>Plans with Websites That Post Twice Per Year (Annual Statement and Consolidated Annual Report)</w:t>
            </w:r>
          </w:p>
        </w:tc>
        <w:tc>
          <w:tcPr>
            <w:tcW w:w="3240" w:type="dxa"/>
            <w:tcBorders>
              <w:top w:val="nil"/>
              <w:left w:val="nil"/>
              <w:right w:val="nil"/>
            </w:tcBorders>
            <w:hideMark/>
          </w:tcPr>
          <w:p w:rsidR="00B5144F" w:rsidRPr="009D08AC" w:rsidP="00B5144F" w14:paraId="63CFC893" w14:textId="25C2F4BE">
            <w:pPr>
              <w:keepNext/>
              <w:widowControl/>
              <w:autoSpaceDE/>
              <w:autoSpaceDN/>
              <w:adjustRightInd/>
              <w:rPr>
                <w:b w:val="0"/>
                <w:bCs w:val="0"/>
                <w:color w:val="000000"/>
                <w:sz w:val="24"/>
                <w:szCs w:val="24"/>
              </w:rPr>
            </w:pPr>
            <w:r w:rsidRPr="009D08AC">
              <w:rPr>
                <w:b w:val="0"/>
                <w:bCs w:val="0"/>
                <w:sz w:val="24"/>
                <w:szCs w:val="24"/>
              </w:rPr>
              <w:t xml:space="preserve"> 111,279 = 119,526 DB and </w:t>
            </w:r>
            <w:r w:rsidRPr="009D08AC">
              <w:rPr>
                <w:b w:val="0"/>
                <w:bCs w:val="0"/>
                <w:sz w:val="24"/>
                <w:szCs w:val="24"/>
              </w:rPr>
              <w:t>non Participant</w:t>
            </w:r>
            <w:r w:rsidRPr="009D08AC">
              <w:rPr>
                <w:b w:val="0"/>
                <w:bCs w:val="0"/>
                <w:sz w:val="24"/>
                <w:szCs w:val="24"/>
              </w:rPr>
              <w:t xml:space="preserve">-Directed DC plans x 93.1% with a website </w:t>
            </w:r>
          </w:p>
        </w:tc>
        <w:tc>
          <w:tcPr>
            <w:tcW w:w="1260" w:type="dxa"/>
            <w:tcBorders>
              <w:top w:val="nil"/>
              <w:left w:val="nil"/>
              <w:right w:val="nil"/>
            </w:tcBorders>
            <w:noWrap/>
            <w:hideMark/>
          </w:tcPr>
          <w:p w:rsidR="00B5144F" w:rsidRPr="009D08AC" w:rsidP="00B5144F" w14:paraId="354EA5E7" w14:textId="399584D9">
            <w:pPr>
              <w:keepNext/>
              <w:widowControl/>
              <w:autoSpaceDE/>
              <w:autoSpaceDN/>
              <w:adjustRightInd/>
              <w:jc w:val="center"/>
              <w:rPr>
                <w:b w:val="0"/>
                <w:bCs w:val="0"/>
                <w:sz w:val="24"/>
                <w:szCs w:val="24"/>
              </w:rPr>
            </w:pPr>
            <w:r w:rsidRPr="009D08AC">
              <w:rPr>
                <w:b w:val="0"/>
                <w:bCs w:val="0"/>
                <w:sz w:val="24"/>
                <w:szCs w:val="24"/>
              </w:rPr>
              <w:t xml:space="preserve"> 10/60</w:t>
            </w:r>
          </w:p>
        </w:tc>
        <w:tc>
          <w:tcPr>
            <w:tcW w:w="996" w:type="dxa"/>
            <w:tcBorders>
              <w:top w:val="nil"/>
              <w:left w:val="nil"/>
              <w:right w:val="nil"/>
            </w:tcBorders>
            <w:noWrap/>
            <w:hideMark/>
          </w:tcPr>
          <w:p w:rsidR="00B5144F" w:rsidRPr="009D08AC" w:rsidP="00B5144F" w14:paraId="253F5FB1" w14:textId="4B714207">
            <w:pPr>
              <w:keepNext/>
              <w:widowControl/>
              <w:autoSpaceDE/>
              <w:autoSpaceDN/>
              <w:adjustRightInd/>
              <w:jc w:val="center"/>
              <w:rPr>
                <w:b w:val="0"/>
                <w:bCs w:val="0"/>
                <w:color w:val="000000"/>
                <w:sz w:val="24"/>
                <w:szCs w:val="24"/>
              </w:rPr>
            </w:pPr>
            <w:r w:rsidRPr="009D08AC">
              <w:rPr>
                <w:b w:val="0"/>
                <w:bCs w:val="0"/>
                <w:sz w:val="24"/>
                <w:szCs w:val="24"/>
              </w:rPr>
              <w:t>$130.33</w:t>
            </w:r>
          </w:p>
        </w:tc>
        <w:tc>
          <w:tcPr>
            <w:tcW w:w="1254" w:type="dxa"/>
            <w:tcBorders>
              <w:top w:val="nil"/>
              <w:left w:val="nil"/>
              <w:right w:val="nil"/>
            </w:tcBorders>
            <w:noWrap/>
            <w:hideMark/>
          </w:tcPr>
          <w:p w:rsidR="00B5144F" w:rsidRPr="009D08AC" w:rsidP="00B5144F" w14:paraId="0B46DBCD" w14:textId="1643892A">
            <w:pPr>
              <w:keepNext/>
              <w:widowControl/>
              <w:autoSpaceDE/>
              <w:autoSpaceDN/>
              <w:adjustRightInd/>
              <w:jc w:val="center"/>
              <w:rPr>
                <w:b w:val="0"/>
                <w:bCs w:val="0"/>
                <w:sz w:val="24"/>
                <w:szCs w:val="24"/>
              </w:rPr>
            </w:pPr>
            <w:r w:rsidRPr="009D08AC">
              <w:rPr>
                <w:b w:val="0"/>
                <w:bCs w:val="0"/>
                <w:sz w:val="24"/>
                <w:szCs w:val="24"/>
              </w:rPr>
              <w:t xml:space="preserve"> 18,547 </w:t>
            </w:r>
          </w:p>
        </w:tc>
        <w:tc>
          <w:tcPr>
            <w:tcW w:w="1158" w:type="dxa"/>
            <w:tcBorders>
              <w:top w:val="nil"/>
              <w:left w:val="nil"/>
              <w:right w:val="nil"/>
            </w:tcBorders>
            <w:noWrap/>
            <w:hideMark/>
          </w:tcPr>
          <w:p w:rsidR="00B5144F" w:rsidRPr="009D08AC" w:rsidP="00B5144F" w14:paraId="386AFA6D" w14:textId="540B1125">
            <w:pPr>
              <w:keepNext/>
              <w:widowControl/>
              <w:autoSpaceDE/>
              <w:autoSpaceDN/>
              <w:adjustRightInd/>
              <w:jc w:val="center"/>
              <w:rPr>
                <w:b w:val="0"/>
                <w:bCs w:val="0"/>
                <w:color w:val="000000"/>
                <w:sz w:val="24"/>
                <w:szCs w:val="24"/>
              </w:rPr>
            </w:pPr>
            <w:r w:rsidRPr="009D08AC">
              <w:rPr>
                <w:b w:val="0"/>
                <w:bCs w:val="0"/>
                <w:sz w:val="24"/>
                <w:szCs w:val="24"/>
              </w:rPr>
              <w:t>$2,417,165</w:t>
            </w:r>
          </w:p>
        </w:tc>
      </w:tr>
      <w:tr w14:paraId="3ECCDC7A" w14:textId="77777777" w:rsidTr="003611AD">
        <w:tblPrEx>
          <w:tblW w:w="10608" w:type="dxa"/>
          <w:jc w:val="center"/>
          <w:tblLook w:val="04A0"/>
        </w:tblPrEx>
        <w:trPr>
          <w:trHeight w:val="525"/>
          <w:jc w:val="center"/>
        </w:trPr>
        <w:tc>
          <w:tcPr>
            <w:tcW w:w="2700" w:type="dxa"/>
            <w:tcBorders>
              <w:top w:val="nil"/>
              <w:left w:val="nil"/>
              <w:bottom w:val="single" w:sz="4" w:space="0" w:color="auto"/>
              <w:right w:val="nil"/>
            </w:tcBorders>
          </w:tcPr>
          <w:p w:rsidR="00B5144F" w:rsidRPr="009D08AC" w:rsidP="00B5144F" w14:paraId="1379176F" w14:textId="0457B671">
            <w:pPr>
              <w:keepNext/>
              <w:widowControl/>
              <w:autoSpaceDE/>
              <w:autoSpaceDN/>
              <w:adjustRightInd/>
              <w:rPr>
                <w:b w:val="0"/>
                <w:bCs w:val="0"/>
                <w:sz w:val="24"/>
                <w:szCs w:val="24"/>
              </w:rPr>
            </w:pPr>
            <w:r w:rsidRPr="009D08AC">
              <w:rPr>
                <w:b w:val="0"/>
                <w:bCs w:val="0"/>
                <w:sz w:val="24"/>
                <w:szCs w:val="24"/>
              </w:rPr>
              <w:t>Plans with Websites That Post Five Times Per Year (Quarterly Statements and Consolidated Annual Report)</w:t>
            </w:r>
          </w:p>
        </w:tc>
        <w:tc>
          <w:tcPr>
            <w:tcW w:w="3240" w:type="dxa"/>
            <w:tcBorders>
              <w:top w:val="nil"/>
              <w:left w:val="nil"/>
              <w:bottom w:val="single" w:sz="4" w:space="0" w:color="auto"/>
              <w:right w:val="nil"/>
            </w:tcBorders>
          </w:tcPr>
          <w:p w:rsidR="00B5144F" w:rsidRPr="009D08AC" w:rsidP="00B5144F" w14:paraId="2784C914" w14:textId="505A9F23">
            <w:pPr>
              <w:keepNext/>
              <w:widowControl/>
              <w:autoSpaceDE/>
              <w:autoSpaceDN/>
              <w:adjustRightInd/>
              <w:rPr>
                <w:b w:val="0"/>
                <w:bCs w:val="0"/>
                <w:color w:val="000000"/>
                <w:sz w:val="24"/>
                <w:szCs w:val="24"/>
              </w:rPr>
            </w:pPr>
            <w:r w:rsidRPr="009D08AC">
              <w:rPr>
                <w:b w:val="0"/>
                <w:bCs w:val="0"/>
                <w:sz w:val="24"/>
                <w:szCs w:val="24"/>
              </w:rPr>
              <w:t xml:space="preserve"> 681,844 Participant-Directed Plans </w:t>
            </w:r>
          </w:p>
        </w:tc>
        <w:tc>
          <w:tcPr>
            <w:tcW w:w="1260" w:type="dxa"/>
            <w:tcBorders>
              <w:top w:val="nil"/>
              <w:left w:val="nil"/>
              <w:bottom w:val="single" w:sz="4" w:space="0" w:color="auto"/>
              <w:right w:val="nil"/>
            </w:tcBorders>
            <w:noWrap/>
          </w:tcPr>
          <w:p w:rsidR="00B5144F" w:rsidRPr="009D08AC" w:rsidP="00B5144F" w14:paraId="2C22D03F" w14:textId="3E225B87">
            <w:pPr>
              <w:keepNext/>
              <w:widowControl/>
              <w:autoSpaceDE/>
              <w:autoSpaceDN/>
              <w:adjustRightInd/>
              <w:jc w:val="center"/>
              <w:rPr>
                <w:b w:val="0"/>
                <w:bCs w:val="0"/>
                <w:sz w:val="24"/>
                <w:szCs w:val="24"/>
              </w:rPr>
            </w:pPr>
            <w:r w:rsidRPr="009D08AC">
              <w:rPr>
                <w:b w:val="0"/>
                <w:bCs w:val="0"/>
                <w:sz w:val="24"/>
                <w:szCs w:val="24"/>
              </w:rPr>
              <w:t xml:space="preserve"> 25/60</w:t>
            </w:r>
          </w:p>
        </w:tc>
        <w:tc>
          <w:tcPr>
            <w:tcW w:w="996" w:type="dxa"/>
            <w:tcBorders>
              <w:top w:val="nil"/>
              <w:left w:val="nil"/>
              <w:bottom w:val="single" w:sz="4" w:space="0" w:color="auto"/>
              <w:right w:val="nil"/>
            </w:tcBorders>
            <w:noWrap/>
          </w:tcPr>
          <w:p w:rsidR="00B5144F" w:rsidRPr="009D08AC" w:rsidP="00B5144F" w14:paraId="4E9BBB68" w14:textId="6A4AC729">
            <w:pPr>
              <w:keepNext/>
              <w:widowControl/>
              <w:autoSpaceDE/>
              <w:autoSpaceDN/>
              <w:adjustRightInd/>
              <w:jc w:val="center"/>
              <w:rPr>
                <w:b w:val="0"/>
                <w:bCs w:val="0"/>
                <w:color w:val="000000"/>
                <w:sz w:val="24"/>
                <w:szCs w:val="24"/>
              </w:rPr>
            </w:pPr>
            <w:r w:rsidRPr="009D08AC">
              <w:rPr>
                <w:b w:val="0"/>
                <w:bCs w:val="0"/>
                <w:sz w:val="24"/>
                <w:szCs w:val="24"/>
              </w:rPr>
              <w:t>$130.33</w:t>
            </w:r>
          </w:p>
        </w:tc>
        <w:tc>
          <w:tcPr>
            <w:tcW w:w="1254" w:type="dxa"/>
            <w:tcBorders>
              <w:top w:val="nil"/>
              <w:left w:val="nil"/>
              <w:bottom w:val="single" w:sz="4" w:space="0" w:color="auto"/>
              <w:right w:val="nil"/>
            </w:tcBorders>
            <w:noWrap/>
          </w:tcPr>
          <w:p w:rsidR="00B5144F" w:rsidRPr="009D08AC" w:rsidP="00B5144F" w14:paraId="4771594D" w14:textId="672D8E67">
            <w:pPr>
              <w:keepNext/>
              <w:widowControl/>
              <w:autoSpaceDE/>
              <w:autoSpaceDN/>
              <w:adjustRightInd/>
              <w:jc w:val="center"/>
              <w:rPr>
                <w:b w:val="0"/>
                <w:bCs w:val="0"/>
                <w:sz w:val="24"/>
                <w:szCs w:val="24"/>
              </w:rPr>
            </w:pPr>
            <w:r w:rsidRPr="009D08AC">
              <w:rPr>
                <w:b w:val="0"/>
                <w:bCs w:val="0"/>
                <w:sz w:val="24"/>
                <w:szCs w:val="24"/>
              </w:rPr>
              <w:t xml:space="preserve"> 284,102 </w:t>
            </w:r>
          </w:p>
        </w:tc>
        <w:tc>
          <w:tcPr>
            <w:tcW w:w="1158" w:type="dxa"/>
            <w:tcBorders>
              <w:top w:val="nil"/>
              <w:left w:val="nil"/>
              <w:bottom w:val="single" w:sz="4" w:space="0" w:color="auto"/>
              <w:right w:val="nil"/>
            </w:tcBorders>
            <w:noWrap/>
          </w:tcPr>
          <w:p w:rsidR="00B5144F" w:rsidRPr="009D08AC" w:rsidP="00B5144F" w14:paraId="627BB49D" w14:textId="43065C83">
            <w:pPr>
              <w:keepNext/>
              <w:widowControl/>
              <w:autoSpaceDE/>
              <w:autoSpaceDN/>
              <w:adjustRightInd/>
              <w:jc w:val="center"/>
              <w:rPr>
                <w:b w:val="0"/>
                <w:bCs w:val="0"/>
                <w:color w:val="000000"/>
                <w:sz w:val="24"/>
                <w:szCs w:val="24"/>
              </w:rPr>
            </w:pPr>
            <w:r w:rsidRPr="009D08AC">
              <w:rPr>
                <w:b w:val="0"/>
                <w:bCs w:val="0"/>
                <w:sz w:val="24"/>
                <w:szCs w:val="24"/>
              </w:rPr>
              <w:t>$37,026,970</w:t>
            </w:r>
          </w:p>
        </w:tc>
      </w:tr>
      <w:tr w14:paraId="27970BE9" w14:textId="77777777" w:rsidTr="003611AD">
        <w:tblPrEx>
          <w:tblW w:w="10608" w:type="dxa"/>
          <w:jc w:val="center"/>
          <w:tblLook w:val="04A0"/>
        </w:tblPrEx>
        <w:trPr>
          <w:trHeight w:val="242"/>
          <w:jc w:val="center"/>
        </w:trPr>
        <w:tc>
          <w:tcPr>
            <w:tcW w:w="7200" w:type="dxa"/>
            <w:gridSpan w:val="3"/>
            <w:tcBorders>
              <w:top w:val="single" w:sz="4" w:space="0" w:color="auto"/>
              <w:bottom w:val="single" w:sz="4" w:space="0" w:color="auto"/>
              <w:right w:val="nil"/>
            </w:tcBorders>
            <w:noWrap/>
            <w:hideMark/>
          </w:tcPr>
          <w:p w:rsidR="00B5144F" w:rsidRPr="009D08AC" w:rsidP="00B5144F" w14:paraId="54330E4F" w14:textId="747DA063">
            <w:pPr>
              <w:keepNext/>
              <w:widowControl/>
              <w:autoSpaceDE/>
              <w:autoSpaceDN/>
              <w:adjustRightInd/>
              <w:rPr>
                <w:color w:val="000000"/>
                <w:sz w:val="24"/>
                <w:szCs w:val="24"/>
                <w:vertAlign w:val="superscript"/>
              </w:rPr>
            </w:pPr>
            <w:r w:rsidRPr="009D08AC">
              <w:rPr>
                <w:color w:val="000000"/>
                <w:sz w:val="24"/>
                <w:szCs w:val="24"/>
              </w:rPr>
              <w:t>Total</w:t>
            </w:r>
            <w:r w:rsidRPr="009D08AC" w:rsidR="00767F0B">
              <w:rPr>
                <w:color w:val="000000"/>
                <w:sz w:val="24"/>
                <w:szCs w:val="24"/>
                <w:vertAlign w:val="superscript"/>
              </w:rPr>
              <w:t>1</w:t>
            </w:r>
          </w:p>
        </w:tc>
        <w:tc>
          <w:tcPr>
            <w:tcW w:w="996" w:type="dxa"/>
            <w:tcBorders>
              <w:top w:val="single" w:sz="4" w:space="0" w:color="auto"/>
              <w:left w:val="nil"/>
              <w:bottom w:val="single" w:sz="4" w:space="0" w:color="auto"/>
              <w:right w:val="nil"/>
            </w:tcBorders>
            <w:noWrap/>
            <w:hideMark/>
          </w:tcPr>
          <w:p w:rsidR="00B5144F" w:rsidRPr="009D08AC" w:rsidP="00B5144F" w14:paraId="45B8CC4F" w14:textId="77777777">
            <w:pPr>
              <w:keepNext/>
              <w:widowControl/>
              <w:autoSpaceDE/>
              <w:autoSpaceDN/>
              <w:adjustRightInd/>
              <w:rPr>
                <w:color w:val="000000"/>
                <w:sz w:val="24"/>
                <w:szCs w:val="24"/>
              </w:rPr>
            </w:pPr>
            <w:r w:rsidRPr="009D08AC">
              <w:rPr>
                <w:color w:val="000000"/>
                <w:sz w:val="24"/>
                <w:szCs w:val="24"/>
              </w:rPr>
              <w:t> </w:t>
            </w:r>
          </w:p>
        </w:tc>
        <w:tc>
          <w:tcPr>
            <w:tcW w:w="1254" w:type="dxa"/>
            <w:tcBorders>
              <w:top w:val="single" w:sz="4" w:space="0" w:color="auto"/>
              <w:left w:val="nil"/>
              <w:bottom w:val="single" w:sz="4" w:space="0" w:color="auto"/>
              <w:right w:val="nil"/>
            </w:tcBorders>
            <w:noWrap/>
            <w:hideMark/>
          </w:tcPr>
          <w:p w:rsidR="00B5144F" w:rsidRPr="009D08AC" w:rsidP="00B5144F" w14:paraId="5D82C3D8" w14:textId="13224D53">
            <w:pPr>
              <w:keepNext/>
              <w:widowControl/>
              <w:autoSpaceDE/>
              <w:autoSpaceDN/>
              <w:adjustRightInd/>
              <w:jc w:val="center"/>
              <w:rPr>
                <w:color w:val="000000"/>
                <w:sz w:val="24"/>
                <w:szCs w:val="24"/>
              </w:rPr>
            </w:pPr>
            <w:r w:rsidRPr="009D08AC">
              <w:rPr>
                <w:sz w:val="24"/>
                <w:szCs w:val="24"/>
              </w:rPr>
              <w:t xml:space="preserve"> 302,648 </w:t>
            </w:r>
          </w:p>
        </w:tc>
        <w:tc>
          <w:tcPr>
            <w:tcW w:w="1158" w:type="dxa"/>
            <w:tcBorders>
              <w:top w:val="single" w:sz="4" w:space="0" w:color="auto"/>
              <w:left w:val="nil"/>
              <w:bottom w:val="single" w:sz="4" w:space="0" w:color="auto"/>
              <w:right w:val="nil"/>
            </w:tcBorders>
            <w:noWrap/>
            <w:hideMark/>
          </w:tcPr>
          <w:p w:rsidR="00B5144F" w:rsidRPr="009D08AC" w:rsidP="00B5144F" w14:paraId="7CA02ACE" w14:textId="7B6DF094">
            <w:pPr>
              <w:keepNext/>
              <w:widowControl/>
              <w:autoSpaceDE/>
              <w:autoSpaceDN/>
              <w:adjustRightInd/>
              <w:jc w:val="center"/>
              <w:rPr>
                <w:color w:val="000000"/>
                <w:sz w:val="24"/>
                <w:szCs w:val="24"/>
              </w:rPr>
            </w:pPr>
            <w:r w:rsidRPr="009D08AC">
              <w:rPr>
                <w:sz w:val="24"/>
                <w:szCs w:val="24"/>
              </w:rPr>
              <w:t>$39,444,136</w:t>
            </w:r>
          </w:p>
        </w:tc>
      </w:tr>
      <w:tr w14:paraId="0F8491DA" w14:textId="77777777" w:rsidTr="003611AD">
        <w:tblPrEx>
          <w:tblW w:w="10608" w:type="dxa"/>
          <w:jc w:val="center"/>
          <w:tblLook w:val="04A0"/>
        </w:tblPrEx>
        <w:trPr>
          <w:trHeight w:val="242"/>
          <w:jc w:val="center"/>
        </w:trPr>
        <w:tc>
          <w:tcPr>
            <w:tcW w:w="10608" w:type="dxa"/>
            <w:gridSpan w:val="6"/>
            <w:tcBorders>
              <w:top w:val="single" w:sz="4" w:space="0" w:color="auto"/>
              <w:right w:val="nil"/>
            </w:tcBorders>
            <w:noWrap/>
          </w:tcPr>
          <w:p w:rsidR="00767F0B" w:rsidRPr="009D08AC" w:rsidP="00767F0B" w14:paraId="2BD7C3F0" w14:textId="770FB7F2">
            <w:pPr>
              <w:keepNext/>
              <w:widowControl/>
              <w:autoSpaceDE/>
              <w:autoSpaceDN/>
              <w:adjustRightInd/>
            </w:pPr>
            <w:r w:rsidRPr="009D08AC">
              <w:rPr>
                <w:rStyle w:val="FootnoteReference"/>
                <w:vertAlign w:val="superscript"/>
              </w:rPr>
              <w:footnoteRef/>
            </w:r>
            <w:r w:rsidRPr="009D08AC">
              <w:rPr>
                <w:vertAlign w:val="superscript"/>
              </w:rPr>
              <w:t xml:space="preserve"> </w:t>
            </w:r>
            <w:r w:rsidRPr="009D08AC">
              <w:rPr>
                <w:b w:val="0"/>
                <w:bCs w:val="0"/>
              </w:rPr>
              <w:t xml:space="preserve">The Department has not rounded intermediate values, so the components may not </w:t>
            </w:r>
            <w:r w:rsidRPr="009D08AC">
              <w:rPr>
                <w:b w:val="0"/>
                <w:bCs w:val="0"/>
              </w:rPr>
              <w:t>sum</w:t>
            </w:r>
            <w:r w:rsidRPr="009D08AC">
              <w:rPr>
                <w:b w:val="0"/>
                <w:bCs w:val="0"/>
              </w:rPr>
              <w:t xml:space="preserve"> to the whole.</w:t>
            </w:r>
          </w:p>
        </w:tc>
      </w:tr>
    </w:tbl>
    <w:p w:rsidR="00662FEA" w:rsidRPr="009D08AC" w:rsidP="00B5144F" w14:paraId="5CC48D4D" w14:textId="77777777">
      <w:pPr>
        <w:widowControl/>
        <w:autoSpaceDE/>
        <w:autoSpaceDN/>
        <w:adjustRightInd/>
        <w:rPr>
          <w:rFonts w:eastAsia="Calibri"/>
          <w:b w:val="0"/>
          <w:bCs w:val="0"/>
          <w:sz w:val="24"/>
          <w:szCs w:val="24"/>
        </w:rPr>
      </w:pPr>
    </w:p>
    <w:p w:rsidR="00662FEA" w:rsidRPr="009D08AC" w:rsidP="00662FEA" w14:paraId="7AE2DC61" w14:textId="77777777">
      <w:pPr>
        <w:widowControl/>
        <w:autoSpaceDE/>
        <w:autoSpaceDN/>
        <w:adjustRightInd/>
        <w:ind w:left="720"/>
        <w:rPr>
          <w:rFonts w:eastAsia="Calibri"/>
          <w:b w:val="0"/>
          <w:bCs w:val="0"/>
          <w:sz w:val="24"/>
          <w:szCs w:val="24"/>
          <w:u w:val="single"/>
        </w:rPr>
      </w:pPr>
      <w:r w:rsidRPr="009D08AC">
        <w:rPr>
          <w:rFonts w:eastAsia="Calibri"/>
          <w:b w:val="0"/>
          <w:bCs w:val="0"/>
          <w:sz w:val="24"/>
          <w:szCs w:val="24"/>
          <w:u w:val="single"/>
        </w:rPr>
        <w:t>Explanation of Electronic Delivery</w:t>
      </w:r>
    </w:p>
    <w:p w:rsidR="00662FEA" w:rsidRPr="009D08AC" w:rsidP="00662FEA" w14:paraId="1B07C23E" w14:textId="77777777">
      <w:pPr>
        <w:widowControl/>
        <w:autoSpaceDE/>
        <w:autoSpaceDN/>
        <w:adjustRightInd/>
        <w:ind w:left="720"/>
        <w:rPr>
          <w:rFonts w:eastAsia="Calibri"/>
          <w:b w:val="0"/>
          <w:bCs w:val="0"/>
          <w:sz w:val="24"/>
          <w:szCs w:val="24"/>
          <w:u w:val="single"/>
        </w:rPr>
      </w:pPr>
    </w:p>
    <w:p w:rsidR="00662FEA" w:rsidRPr="009D08AC" w:rsidP="002D73D8" w14:paraId="248A9EC8" w14:textId="161F6F93">
      <w:pPr>
        <w:widowControl/>
        <w:autoSpaceDE/>
        <w:autoSpaceDN/>
        <w:adjustRightInd/>
        <w:ind w:left="720"/>
        <w:rPr>
          <w:rFonts w:eastAsia="Calibri"/>
          <w:b w:val="0"/>
          <w:bCs w:val="0"/>
          <w:sz w:val="24"/>
          <w:szCs w:val="24"/>
        </w:rPr>
      </w:pPr>
      <w:r w:rsidRPr="009D08AC">
        <w:rPr>
          <w:rFonts w:eastAsia="Calibri"/>
          <w:b w:val="0"/>
          <w:bCs w:val="0"/>
          <w:sz w:val="24"/>
          <w:szCs w:val="24"/>
        </w:rPr>
        <w:t xml:space="preserve">As part of Section 338 of the SECURE 2.0 Act, pension plans using the 2020 safe harbor must send </w:t>
      </w:r>
      <w:r w:rsidRPr="009D08AC" w:rsidR="006F115B">
        <w:rPr>
          <w:rFonts w:eastAsia="Calibri"/>
          <w:b w:val="0"/>
          <w:bCs w:val="0"/>
          <w:sz w:val="24"/>
          <w:szCs w:val="24"/>
        </w:rPr>
        <w:t>at least one pension benefit statement</w:t>
      </w:r>
      <w:r w:rsidRPr="009D08AC" w:rsidR="00211BBF">
        <w:rPr>
          <w:rFonts w:eastAsia="Calibri"/>
          <w:b w:val="0"/>
          <w:bCs w:val="0"/>
          <w:sz w:val="24"/>
          <w:szCs w:val="24"/>
        </w:rPr>
        <w:t xml:space="preserve"> on paper</w:t>
      </w:r>
      <w:r w:rsidRPr="009D08AC" w:rsidR="006F115B">
        <w:rPr>
          <w:rFonts w:eastAsia="Calibri"/>
          <w:b w:val="0"/>
          <w:bCs w:val="0"/>
          <w:sz w:val="24"/>
          <w:szCs w:val="24"/>
        </w:rPr>
        <w:t xml:space="preserve"> per year to DC plans. DB plans must </w:t>
      </w:r>
      <w:r w:rsidRPr="009D08AC" w:rsidR="00211BBF">
        <w:rPr>
          <w:rFonts w:eastAsia="Calibri"/>
          <w:b w:val="0"/>
          <w:bCs w:val="0"/>
          <w:sz w:val="24"/>
          <w:szCs w:val="24"/>
        </w:rPr>
        <w:t>send</w:t>
      </w:r>
      <w:r w:rsidRPr="009D08AC" w:rsidR="006F115B">
        <w:rPr>
          <w:rFonts w:eastAsia="Calibri"/>
          <w:b w:val="0"/>
          <w:bCs w:val="0"/>
          <w:sz w:val="24"/>
          <w:szCs w:val="24"/>
        </w:rPr>
        <w:t xml:space="preserve"> </w:t>
      </w:r>
      <w:r w:rsidRPr="009D08AC" w:rsidR="00211BBF">
        <w:rPr>
          <w:rFonts w:eastAsia="Calibri"/>
          <w:b w:val="0"/>
          <w:bCs w:val="0"/>
          <w:sz w:val="24"/>
          <w:szCs w:val="24"/>
        </w:rPr>
        <w:t>at least one pension benefit statement on paper every three years</w:t>
      </w:r>
      <w:r w:rsidRPr="009D08AC" w:rsidR="009C34A6">
        <w:rPr>
          <w:rFonts w:eastAsia="Calibri"/>
          <w:b w:val="0"/>
          <w:bCs w:val="0"/>
          <w:sz w:val="24"/>
          <w:szCs w:val="24"/>
        </w:rPr>
        <w:t xml:space="preserve">. However, participants must be given the option to opt-out of these required paper statements, and </w:t>
      </w:r>
      <w:r w:rsidRPr="009D08AC" w:rsidR="009C34A6">
        <w:rPr>
          <w:rFonts w:eastAsia="Calibri"/>
          <w:b w:val="0"/>
          <w:bCs w:val="0"/>
          <w:sz w:val="24"/>
          <w:szCs w:val="24"/>
        </w:rPr>
        <w:t>these paper</w:t>
      </w:r>
      <w:r w:rsidRPr="009D08AC" w:rsidR="009C34A6">
        <w:rPr>
          <w:rFonts w:eastAsia="Calibri"/>
          <w:b w:val="0"/>
          <w:bCs w:val="0"/>
          <w:sz w:val="24"/>
          <w:szCs w:val="24"/>
        </w:rPr>
        <w:t xml:space="preserve"> statements must include an explanation of how to request that these documents be sent electronically.</w:t>
      </w:r>
      <w:r w:rsidRPr="009D08AC" w:rsidR="00CE5C42">
        <w:rPr>
          <w:rFonts w:eastAsia="Calibri"/>
          <w:b w:val="0"/>
          <w:bCs w:val="0"/>
          <w:sz w:val="24"/>
          <w:szCs w:val="24"/>
        </w:rPr>
        <w:t xml:space="preserve"> The Department assumes that 90% of plans will use service providers to prepare this explanation.</w:t>
      </w:r>
      <w:r w:rsidRPr="009D08AC" w:rsidR="00D8684C">
        <w:rPr>
          <w:rFonts w:eastAsia="Calibri"/>
          <w:b w:val="0"/>
          <w:bCs w:val="0"/>
          <w:sz w:val="24"/>
          <w:szCs w:val="24"/>
        </w:rPr>
        <w:t xml:space="preserve"> The burden associated with this requirement is displayed below.</w:t>
      </w:r>
    </w:p>
    <w:p w:rsidR="000267E1" w:rsidRPr="009D08AC" w:rsidP="000267E1" w14:paraId="23C877AA" w14:textId="77777777">
      <w:pPr>
        <w:widowControl/>
        <w:autoSpaceDE/>
        <w:autoSpaceDN/>
        <w:adjustRightInd/>
        <w:rPr>
          <w:rFonts w:eastAsia="Calibri"/>
          <w:b w:val="0"/>
          <w:bCs w:val="0"/>
          <w:sz w:val="24"/>
          <w:szCs w:val="24"/>
        </w:rPr>
      </w:pPr>
    </w:p>
    <w:tbl>
      <w:tblPr>
        <w:tblW w:w="10392" w:type="dxa"/>
        <w:jc w:val="center"/>
        <w:tblLook w:val="04A0"/>
      </w:tblPr>
      <w:tblGrid>
        <w:gridCol w:w="2070"/>
        <w:gridCol w:w="3240"/>
        <w:gridCol w:w="1260"/>
        <w:gridCol w:w="996"/>
        <w:gridCol w:w="1074"/>
        <w:gridCol w:w="1752"/>
      </w:tblGrid>
      <w:tr w14:paraId="1BEE26DF" w14:textId="77777777" w:rsidTr="00E85FFB">
        <w:tblPrEx>
          <w:tblW w:w="10392" w:type="dxa"/>
          <w:jc w:val="center"/>
          <w:tblLook w:val="04A0"/>
        </w:tblPrEx>
        <w:trPr>
          <w:trHeight w:val="216"/>
          <w:jc w:val="center"/>
        </w:trPr>
        <w:tc>
          <w:tcPr>
            <w:tcW w:w="10392" w:type="dxa"/>
            <w:gridSpan w:val="6"/>
            <w:tcBorders>
              <w:top w:val="nil"/>
              <w:left w:val="nil"/>
              <w:bottom w:val="single" w:sz="8" w:space="0" w:color="auto"/>
              <w:right w:val="nil"/>
            </w:tcBorders>
            <w:shd w:val="clear" w:color="000000" w:fill="FFFFFF"/>
            <w:noWrap/>
            <w:hideMark/>
          </w:tcPr>
          <w:p w:rsidR="002A7BDF" w:rsidRPr="009D08AC" w:rsidP="00570298" w14:paraId="35C68522" w14:textId="039983CF">
            <w:pPr>
              <w:keepNext/>
              <w:widowControl/>
              <w:autoSpaceDE/>
              <w:autoSpaceDN/>
              <w:adjustRightInd/>
              <w:rPr>
                <w:color w:val="000000"/>
                <w:sz w:val="22"/>
                <w:szCs w:val="22"/>
              </w:rPr>
            </w:pPr>
            <w:r w:rsidRPr="009D08AC">
              <w:rPr>
                <w:color w:val="000000"/>
                <w:sz w:val="22"/>
                <w:szCs w:val="22"/>
              </w:rPr>
              <w:t>Table 6.—Costs for Legal Drafting and Preparation of 2020 Safe Harbor Explanation of How to Request Electronic Delivery</w:t>
            </w:r>
          </w:p>
        </w:tc>
      </w:tr>
      <w:tr w14:paraId="4E2B1AE6" w14:textId="77777777" w:rsidTr="00E85FFB">
        <w:tblPrEx>
          <w:tblW w:w="10392" w:type="dxa"/>
          <w:jc w:val="center"/>
          <w:tblLook w:val="04A0"/>
        </w:tblPrEx>
        <w:trPr>
          <w:trHeight w:val="600"/>
          <w:jc w:val="center"/>
        </w:trPr>
        <w:tc>
          <w:tcPr>
            <w:tcW w:w="2070" w:type="dxa"/>
            <w:tcBorders>
              <w:top w:val="nil"/>
              <w:left w:val="nil"/>
              <w:bottom w:val="nil"/>
              <w:right w:val="nil"/>
            </w:tcBorders>
            <w:hideMark/>
          </w:tcPr>
          <w:p w:rsidR="002A7BDF" w:rsidRPr="009D08AC" w:rsidP="00570298" w14:paraId="1A55F15C" w14:textId="77777777">
            <w:pPr>
              <w:keepNext/>
              <w:widowControl/>
              <w:autoSpaceDE/>
              <w:autoSpaceDN/>
              <w:adjustRightInd/>
              <w:rPr>
                <w:b w:val="0"/>
                <w:bCs w:val="0"/>
                <w:color w:val="000000"/>
                <w:sz w:val="24"/>
                <w:szCs w:val="24"/>
              </w:rPr>
            </w:pPr>
            <w:r w:rsidRPr="009D08AC">
              <w:rPr>
                <w:b w:val="0"/>
                <w:bCs w:val="0"/>
                <w:color w:val="000000"/>
                <w:sz w:val="24"/>
                <w:szCs w:val="24"/>
              </w:rPr>
              <w:t>Description</w:t>
            </w:r>
          </w:p>
        </w:tc>
        <w:tc>
          <w:tcPr>
            <w:tcW w:w="3240" w:type="dxa"/>
            <w:tcBorders>
              <w:top w:val="nil"/>
              <w:left w:val="nil"/>
              <w:bottom w:val="nil"/>
              <w:right w:val="nil"/>
            </w:tcBorders>
            <w:noWrap/>
            <w:hideMark/>
          </w:tcPr>
          <w:p w:rsidR="002A7BDF" w:rsidRPr="009D08AC" w:rsidP="00570298" w14:paraId="6E1920AC" w14:textId="77777777">
            <w:pPr>
              <w:keepNext/>
              <w:widowControl/>
              <w:autoSpaceDE/>
              <w:autoSpaceDN/>
              <w:adjustRightInd/>
              <w:rPr>
                <w:b w:val="0"/>
                <w:bCs w:val="0"/>
                <w:color w:val="000000"/>
                <w:sz w:val="24"/>
                <w:szCs w:val="24"/>
              </w:rPr>
            </w:pPr>
            <w:r w:rsidRPr="009D08AC">
              <w:rPr>
                <w:b w:val="0"/>
                <w:bCs w:val="0"/>
                <w:color w:val="000000"/>
                <w:sz w:val="24"/>
                <w:szCs w:val="24"/>
              </w:rPr>
              <w:t>Affected Entities</w:t>
            </w:r>
          </w:p>
        </w:tc>
        <w:tc>
          <w:tcPr>
            <w:tcW w:w="1260" w:type="dxa"/>
            <w:tcBorders>
              <w:top w:val="nil"/>
              <w:left w:val="nil"/>
              <w:bottom w:val="nil"/>
              <w:right w:val="nil"/>
            </w:tcBorders>
            <w:noWrap/>
            <w:hideMark/>
          </w:tcPr>
          <w:p w:rsidR="002A7BDF" w:rsidRPr="009D08AC" w:rsidP="00E85FFB" w14:paraId="550766E9" w14:textId="77777777">
            <w:pPr>
              <w:keepNext/>
              <w:widowControl/>
              <w:autoSpaceDE/>
              <w:autoSpaceDN/>
              <w:adjustRightInd/>
              <w:jc w:val="center"/>
              <w:rPr>
                <w:b w:val="0"/>
                <w:bCs w:val="0"/>
                <w:color w:val="000000"/>
                <w:sz w:val="24"/>
                <w:szCs w:val="24"/>
              </w:rPr>
            </w:pPr>
            <w:r w:rsidRPr="009D08AC">
              <w:rPr>
                <w:b w:val="0"/>
                <w:bCs w:val="0"/>
                <w:color w:val="000000"/>
                <w:sz w:val="24"/>
                <w:szCs w:val="24"/>
              </w:rPr>
              <w:t>Hours per Entity</w:t>
            </w:r>
          </w:p>
        </w:tc>
        <w:tc>
          <w:tcPr>
            <w:tcW w:w="996" w:type="dxa"/>
            <w:tcBorders>
              <w:top w:val="nil"/>
              <w:left w:val="nil"/>
              <w:bottom w:val="nil"/>
              <w:right w:val="nil"/>
            </w:tcBorders>
            <w:noWrap/>
            <w:hideMark/>
          </w:tcPr>
          <w:p w:rsidR="002A7BDF" w:rsidRPr="009D08AC" w:rsidP="00E85FFB" w14:paraId="1803DF60" w14:textId="77777777">
            <w:pPr>
              <w:keepNext/>
              <w:widowControl/>
              <w:autoSpaceDE/>
              <w:autoSpaceDN/>
              <w:adjustRightInd/>
              <w:jc w:val="center"/>
              <w:rPr>
                <w:b w:val="0"/>
                <w:bCs w:val="0"/>
                <w:color w:val="000000"/>
                <w:sz w:val="24"/>
                <w:szCs w:val="24"/>
              </w:rPr>
            </w:pPr>
            <w:r w:rsidRPr="009D08AC">
              <w:rPr>
                <w:b w:val="0"/>
                <w:bCs w:val="0"/>
                <w:color w:val="000000"/>
                <w:sz w:val="24"/>
                <w:szCs w:val="24"/>
              </w:rPr>
              <w:t>Hourly Wage</w:t>
            </w:r>
          </w:p>
        </w:tc>
        <w:tc>
          <w:tcPr>
            <w:tcW w:w="1074" w:type="dxa"/>
            <w:tcBorders>
              <w:top w:val="nil"/>
              <w:left w:val="nil"/>
              <w:bottom w:val="nil"/>
              <w:right w:val="nil"/>
            </w:tcBorders>
            <w:noWrap/>
            <w:hideMark/>
          </w:tcPr>
          <w:p w:rsidR="002A7BDF" w:rsidRPr="009D08AC" w:rsidP="00E85FFB" w14:paraId="679D1A79" w14:textId="77777777">
            <w:pPr>
              <w:keepNext/>
              <w:widowControl/>
              <w:autoSpaceDE/>
              <w:autoSpaceDN/>
              <w:adjustRightInd/>
              <w:jc w:val="center"/>
              <w:rPr>
                <w:b w:val="0"/>
                <w:bCs w:val="0"/>
                <w:color w:val="000000"/>
                <w:sz w:val="24"/>
                <w:szCs w:val="24"/>
              </w:rPr>
            </w:pPr>
            <w:r w:rsidRPr="009D08AC">
              <w:rPr>
                <w:b w:val="0"/>
                <w:bCs w:val="0"/>
                <w:color w:val="000000"/>
                <w:sz w:val="24"/>
                <w:szCs w:val="24"/>
              </w:rPr>
              <w:t>Total Hours</w:t>
            </w:r>
          </w:p>
        </w:tc>
        <w:tc>
          <w:tcPr>
            <w:tcW w:w="1752" w:type="dxa"/>
            <w:tcBorders>
              <w:top w:val="nil"/>
              <w:left w:val="nil"/>
              <w:bottom w:val="nil"/>
              <w:right w:val="nil"/>
            </w:tcBorders>
            <w:noWrap/>
            <w:hideMark/>
          </w:tcPr>
          <w:p w:rsidR="002A7BDF" w:rsidRPr="009D08AC" w:rsidP="00E85FFB" w14:paraId="110D816E" w14:textId="77777777">
            <w:pPr>
              <w:keepNext/>
              <w:widowControl/>
              <w:autoSpaceDE/>
              <w:autoSpaceDN/>
              <w:adjustRightInd/>
              <w:jc w:val="center"/>
              <w:rPr>
                <w:b w:val="0"/>
                <w:bCs w:val="0"/>
                <w:color w:val="000000"/>
                <w:sz w:val="24"/>
                <w:szCs w:val="24"/>
              </w:rPr>
            </w:pPr>
            <w:r w:rsidRPr="009D08AC">
              <w:rPr>
                <w:b w:val="0"/>
                <w:bCs w:val="0"/>
                <w:color w:val="000000"/>
                <w:sz w:val="24"/>
                <w:szCs w:val="24"/>
              </w:rPr>
              <w:t>Equivalent Cost</w:t>
            </w:r>
          </w:p>
        </w:tc>
      </w:tr>
      <w:tr w14:paraId="4B2020C0" w14:textId="77777777" w:rsidTr="00E85FFB">
        <w:tblPrEx>
          <w:tblW w:w="10392" w:type="dxa"/>
          <w:jc w:val="center"/>
          <w:tblLook w:val="04A0"/>
        </w:tblPrEx>
        <w:trPr>
          <w:trHeight w:val="300"/>
          <w:jc w:val="center"/>
        </w:trPr>
        <w:tc>
          <w:tcPr>
            <w:tcW w:w="2070" w:type="dxa"/>
            <w:tcBorders>
              <w:top w:val="nil"/>
              <w:left w:val="nil"/>
              <w:bottom w:val="single" w:sz="4" w:space="0" w:color="auto"/>
              <w:right w:val="nil"/>
            </w:tcBorders>
            <w:hideMark/>
          </w:tcPr>
          <w:p w:rsidR="002A7BDF" w:rsidRPr="009D08AC" w:rsidP="00570298" w14:paraId="66B3BD66" w14:textId="77777777">
            <w:pPr>
              <w:keepNext/>
              <w:widowControl/>
              <w:autoSpaceDE/>
              <w:autoSpaceDN/>
              <w:adjustRightInd/>
              <w:rPr>
                <w:b w:val="0"/>
                <w:bCs w:val="0"/>
                <w:color w:val="000000"/>
                <w:sz w:val="24"/>
                <w:szCs w:val="24"/>
              </w:rPr>
            </w:pPr>
          </w:p>
        </w:tc>
        <w:tc>
          <w:tcPr>
            <w:tcW w:w="3240" w:type="dxa"/>
            <w:tcBorders>
              <w:top w:val="nil"/>
              <w:left w:val="nil"/>
              <w:bottom w:val="single" w:sz="4" w:space="0" w:color="auto"/>
              <w:right w:val="nil"/>
            </w:tcBorders>
            <w:noWrap/>
            <w:hideMark/>
          </w:tcPr>
          <w:p w:rsidR="002A7BDF" w:rsidRPr="009D08AC" w:rsidP="00570298" w14:paraId="1875D5B6" w14:textId="77777777">
            <w:pPr>
              <w:keepNext/>
              <w:widowControl/>
              <w:autoSpaceDE/>
              <w:autoSpaceDN/>
              <w:adjustRightInd/>
              <w:rPr>
                <w:b w:val="0"/>
                <w:bCs w:val="0"/>
                <w:color w:val="000000"/>
                <w:sz w:val="24"/>
                <w:szCs w:val="24"/>
              </w:rPr>
            </w:pPr>
            <w:r w:rsidRPr="009D08AC">
              <w:rPr>
                <w:b w:val="0"/>
                <w:bCs w:val="0"/>
                <w:color w:val="000000"/>
                <w:sz w:val="24"/>
                <w:szCs w:val="24"/>
              </w:rPr>
              <w:t>(A)</w:t>
            </w:r>
          </w:p>
        </w:tc>
        <w:tc>
          <w:tcPr>
            <w:tcW w:w="1260" w:type="dxa"/>
            <w:tcBorders>
              <w:top w:val="nil"/>
              <w:left w:val="nil"/>
              <w:bottom w:val="single" w:sz="4" w:space="0" w:color="auto"/>
              <w:right w:val="nil"/>
            </w:tcBorders>
            <w:noWrap/>
            <w:hideMark/>
          </w:tcPr>
          <w:p w:rsidR="002A7BDF" w:rsidRPr="009D08AC" w:rsidP="00E85FFB" w14:paraId="7B9470EB" w14:textId="77777777">
            <w:pPr>
              <w:keepNext/>
              <w:widowControl/>
              <w:autoSpaceDE/>
              <w:autoSpaceDN/>
              <w:adjustRightInd/>
              <w:jc w:val="center"/>
              <w:rPr>
                <w:b w:val="0"/>
                <w:bCs w:val="0"/>
                <w:color w:val="000000"/>
                <w:sz w:val="24"/>
                <w:szCs w:val="24"/>
              </w:rPr>
            </w:pPr>
            <w:r w:rsidRPr="009D08AC">
              <w:rPr>
                <w:b w:val="0"/>
                <w:bCs w:val="0"/>
                <w:color w:val="000000"/>
                <w:sz w:val="24"/>
                <w:szCs w:val="24"/>
              </w:rPr>
              <w:t>(B)</w:t>
            </w:r>
          </w:p>
        </w:tc>
        <w:tc>
          <w:tcPr>
            <w:tcW w:w="996" w:type="dxa"/>
            <w:tcBorders>
              <w:top w:val="nil"/>
              <w:left w:val="nil"/>
              <w:bottom w:val="single" w:sz="4" w:space="0" w:color="auto"/>
              <w:right w:val="nil"/>
            </w:tcBorders>
            <w:noWrap/>
            <w:hideMark/>
          </w:tcPr>
          <w:p w:rsidR="002A7BDF" w:rsidRPr="009D08AC" w:rsidP="00E85FFB" w14:paraId="08BCE45B" w14:textId="77777777">
            <w:pPr>
              <w:keepNext/>
              <w:widowControl/>
              <w:autoSpaceDE/>
              <w:autoSpaceDN/>
              <w:adjustRightInd/>
              <w:jc w:val="center"/>
              <w:rPr>
                <w:b w:val="0"/>
                <w:bCs w:val="0"/>
                <w:color w:val="000000"/>
                <w:sz w:val="24"/>
                <w:szCs w:val="24"/>
              </w:rPr>
            </w:pPr>
            <w:r w:rsidRPr="009D08AC">
              <w:rPr>
                <w:b w:val="0"/>
                <w:bCs w:val="0"/>
                <w:color w:val="000000"/>
                <w:sz w:val="24"/>
                <w:szCs w:val="24"/>
              </w:rPr>
              <w:t>(C)</w:t>
            </w:r>
          </w:p>
        </w:tc>
        <w:tc>
          <w:tcPr>
            <w:tcW w:w="1074" w:type="dxa"/>
            <w:tcBorders>
              <w:top w:val="nil"/>
              <w:left w:val="nil"/>
              <w:bottom w:val="single" w:sz="4" w:space="0" w:color="auto"/>
              <w:right w:val="nil"/>
            </w:tcBorders>
            <w:noWrap/>
            <w:hideMark/>
          </w:tcPr>
          <w:p w:rsidR="002A7BDF" w:rsidRPr="009D08AC" w:rsidP="00E85FFB" w14:paraId="519129A2" w14:textId="77777777">
            <w:pPr>
              <w:keepNext/>
              <w:widowControl/>
              <w:autoSpaceDE/>
              <w:autoSpaceDN/>
              <w:adjustRightInd/>
              <w:jc w:val="center"/>
              <w:rPr>
                <w:b w:val="0"/>
                <w:bCs w:val="0"/>
                <w:color w:val="000000"/>
                <w:sz w:val="24"/>
                <w:szCs w:val="24"/>
              </w:rPr>
            </w:pPr>
            <w:r w:rsidRPr="009D08AC">
              <w:rPr>
                <w:b w:val="0"/>
                <w:bCs w:val="0"/>
                <w:color w:val="000000"/>
                <w:sz w:val="24"/>
                <w:szCs w:val="24"/>
              </w:rPr>
              <w:t>(A x B)</w:t>
            </w:r>
          </w:p>
        </w:tc>
        <w:tc>
          <w:tcPr>
            <w:tcW w:w="1752" w:type="dxa"/>
            <w:tcBorders>
              <w:top w:val="nil"/>
              <w:left w:val="nil"/>
              <w:bottom w:val="single" w:sz="4" w:space="0" w:color="auto"/>
              <w:right w:val="nil"/>
            </w:tcBorders>
            <w:noWrap/>
            <w:hideMark/>
          </w:tcPr>
          <w:p w:rsidR="002A7BDF" w:rsidRPr="009D08AC" w:rsidP="00E85FFB" w14:paraId="48F71CFE" w14:textId="77777777">
            <w:pPr>
              <w:keepNext/>
              <w:widowControl/>
              <w:autoSpaceDE/>
              <w:autoSpaceDN/>
              <w:adjustRightInd/>
              <w:jc w:val="center"/>
              <w:rPr>
                <w:b w:val="0"/>
                <w:bCs w:val="0"/>
                <w:color w:val="000000"/>
                <w:sz w:val="24"/>
                <w:szCs w:val="24"/>
              </w:rPr>
            </w:pPr>
            <w:r w:rsidRPr="009D08AC">
              <w:rPr>
                <w:b w:val="0"/>
                <w:bCs w:val="0"/>
                <w:color w:val="000000"/>
                <w:sz w:val="24"/>
                <w:szCs w:val="24"/>
              </w:rPr>
              <w:t>(A x B x C)</w:t>
            </w:r>
          </w:p>
        </w:tc>
      </w:tr>
      <w:tr w14:paraId="4096DBDE" w14:textId="77777777" w:rsidTr="00E85FFB">
        <w:tblPrEx>
          <w:tblW w:w="10392" w:type="dxa"/>
          <w:jc w:val="center"/>
          <w:tblLook w:val="04A0"/>
        </w:tblPrEx>
        <w:trPr>
          <w:trHeight w:val="300"/>
          <w:jc w:val="center"/>
        </w:trPr>
        <w:tc>
          <w:tcPr>
            <w:tcW w:w="2070" w:type="dxa"/>
            <w:tcBorders>
              <w:top w:val="single" w:sz="4" w:space="0" w:color="auto"/>
              <w:left w:val="nil"/>
              <w:bottom w:val="nil"/>
              <w:right w:val="nil"/>
            </w:tcBorders>
            <w:hideMark/>
          </w:tcPr>
          <w:p w:rsidR="00610CEF" w:rsidRPr="009D08AC" w:rsidP="00570298" w14:paraId="2A9555D8" w14:textId="77777777">
            <w:pPr>
              <w:keepNext/>
              <w:widowControl/>
              <w:autoSpaceDE/>
              <w:autoSpaceDN/>
              <w:adjustRightInd/>
              <w:rPr>
                <w:b w:val="0"/>
                <w:bCs w:val="0"/>
                <w:sz w:val="24"/>
                <w:szCs w:val="24"/>
              </w:rPr>
            </w:pPr>
            <w:r w:rsidRPr="009D08AC">
              <w:rPr>
                <w:b w:val="0"/>
                <w:bCs w:val="0"/>
                <w:sz w:val="24"/>
                <w:szCs w:val="24"/>
              </w:rPr>
              <w:t>Notice Preparation (Service Providers)</w:t>
            </w:r>
          </w:p>
        </w:tc>
        <w:tc>
          <w:tcPr>
            <w:tcW w:w="3240" w:type="dxa"/>
            <w:tcBorders>
              <w:top w:val="single" w:sz="4" w:space="0" w:color="auto"/>
              <w:left w:val="nil"/>
              <w:bottom w:val="nil"/>
              <w:right w:val="nil"/>
            </w:tcBorders>
            <w:noWrap/>
            <w:hideMark/>
          </w:tcPr>
          <w:p w:rsidR="00610CEF" w:rsidRPr="009D08AC" w:rsidP="00570298" w14:paraId="3E0B0F1E" w14:textId="731FDF0C">
            <w:pPr>
              <w:keepNext/>
              <w:widowControl/>
              <w:autoSpaceDE/>
              <w:autoSpaceDN/>
              <w:adjustRightInd/>
              <w:rPr>
                <w:b w:val="0"/>
                <w:bCs w:val="0"/>
                <w:color w:val="000000"/>
                <w:sz w:val="24"/>
                <w:szCs w:val="24"/>
              </w:rPr>
            </w:pPr>
            <w:r w:rsidRPr="009D08AC">
              <w:rPr>
                <w:b w:val="0"/>
                <w:bCs w:val="0"/>
                <w:sz w:val="24"/>
                <w:szCs w:val="24"/>
              </w:rPr>
              <w:t xml:space="preserve"> 3,552 Service Providers </w:t>
            </w:r>
          </w:p>
        </w:tc>
        <w:tc>
          <w:tcPr>
            <w:tcW w:w="1260" w:type="dxa"/>
            <w:tcBorders>
              <w:top w:val="single" w:sz="4" w:space="0" w:color="auto"/>
              <w:left w:val="nil"/>
              <w:bottom w:val="nil"/>
              <w:right w:val="nil"/>
            </w:tcBorders>
            <w:noWrap/>
            <w:hideMark/>
          </w:tcPr>
          <w:p w:rsidR="00610CEF" w:rsidRPr="009D08AC" w:rsidP="00570298" w14:paraId="494FCEF6" w14:textId="6E98F74D">
            <w:pPr>
              <w:keepNext/>
              <w:widowControl/>
              <w:autoSpaceDE/>
              <w:autoSpaceDN/>
              <w:adjustRightInd/>
              <w:jc w:val="right"/>
              <w:rPr>
                <w:b w:val="0"/>
                <w:bCs w:val="0"/>
                <w:sz w:val="24"/>
                <w:szCs w:val="24"/>
              </w:rPr>
            </w:pPr>
            <w:r w:rsidRPr="009D08AC">
              <w:rPr>
                <w:b w:val="0"/>
                <w:bCs w:val="0"/>
                <w:sz w:val="24"/>
                <w:szCs w:val="24"/>
              </w:rPr>
              <w:t xml:space="preserve">1     </w:t>
            </w:r>
          </w:p>
        </w:tc>
        <w:tc>
          <w:tcPr>
            <w:tcW w:w="996" w:type="dxa"/>
            <w:tcBorders>
              <w:top w:val="single" w:sz="4" w:space="0" w:color="auto"/>
              <w:left w:val="nil"/>
              <w:bottom w:val="nil"/>
              <w:right w:val="nil"/>
            </w:tcBorders>
            <w:noWrap/>
            <w:hideMark/>
          </w:tcPr>
          <w:p w:rsidR="00610CEF" w:rsidRPr="009D08AC" w:rsidP="00570298" w14:paraId="15C37DC6" w14:textId="2295DC33">
            <w:pPr>
              <w:keepNext/>
              <w:widowControl/>
              <w:autoSpaceDE/>
              <w:autoSpaceDN/>
              <w:adjustRightInd/>
              <w:jc w:val="right"/>
              <w:rPr>
                <w:b w:val="0"/>
                <w:bCs w:val="0"/>
                <w:color w:val="000000"/>
                <w:sz w:val="24"/>
                <w:szCs w:val="24"/>
              </w:rPr>
            </w:pPr>
            <w:r w:rsidRPr="009D08AC">
              <w:rPr>
                <w:b w:val="0"/>
                <w:bCs w:val="0"/>
                <w:sz w:val="24"/>
                <w:szCs w:val="24"/>
              </w:rPr>
              <w:t>$181.06</w:t>
            </w:r>
          </w:p>
        </w:tc>
        <w:tc>
          <w:tcPr>
            <w:tcW w:w="1074" w:type="dxa"/>
            <w:tcBorders>
              <w:top w:val="single" w:sz="4" w:space="0" w:color="auto"/>
              <w:left w:val="nil"/>
              <w:bottom w:val="nil"/>
              <w:right w:val="nil"/>
            </w:tcBorders>
            <w:noWrap/>
            <w:hideMark/>
          </w:tcPr>
          <w:p w:rsidR="00610CEF" w:rsidRPr="009D08AC" w:rsidP="00570298" w14:paraId="07BCD692" w14:textId="6A36F6C0">
            <w:pPr>
              <w:keepNext/>
              <w:widowControl/>
              <w:autoSpaceDE/>
              <w:autoSpaceDN/>
              <w:adjustRightInd/>
              <w:jc w:val="right"/>
              <w:rPr>
                <w:b w:val="0"/>
                <w:bCs w:val="0"/>
                <w:sz w:val="24"/>
                <w:szCs w:val="24"/>
              </w:rPr>
            </w:pPr>
            <w:r w:rsidRPr="009D08AC">
              <w:rPr>
                <w:b w:val="0"/>
                <w:bCs w:val="0"/>
                <w:sz w:val="24"/>
                <w:szCs w:val="24"/>
              </w:rPr>
              <w:t xml:space="preserve"> 3,552 </w:t>
            </w:r>
          </w:p>
        </w:tc>
        <w:tc>
          <w:tcPr>
            <w:tcW w:w="1752" w:type="dxa"/>
            <w:tcBorders>
              <w:top w:val="single" w:sz="4" w:space="0" w:color="auto"/>
              <w:left w:val="nil"/>
              <w:bottom w:val="nil"/>
              <w:right w:val="nil"/>
            </w:tcBorders>
            <w:noWrap/>
            <w:hideMark/>
          </w:tcPr>
          <w:p w:rsidR="00610CEF" w:rsidRPr="009D08AC" w:rsidP="00570298" w14:paraId="72805702" w14:textId="2DD46B29">
            <w:pPr>
              <w:keepNext/>
              <w:widowControl/>
              <w:autoSpaceDE/>
              <w:autoSpaceDN/>
              <w:adjustRightInd/>
              <w:jc w:val="right"/>
              <w:rPr>
                <w:b w:val="0"/>
                <w:bCs w:val="0"/>
                <w:color w:val="000000"/>
                <w:sz w:val="24"/>
                <w:szCs w:val="24"/>
              </w:rPr>
            </w:pPr>
            <w:r w:rsidRPr="009D08AC">
              <w:rPr>
                <w:b w:val="0"/>
                <w:bCs w:val="0"/>
                <w:sz w:val="24"/>
                <w:szCs w:val="24"/>
              </w:rPr>
              <w:t>$643,125</w:t>
            </w:r>
          </w:p>
        </w:tc>
      </w:tr>
      <w:tr w14:paraId="1B73145C" w14:textId="77777777" w:rsidTr="00E85FFB">
        <w:tblPrEx>
          <w:tblW w:w="10392" w:type="dxa"/>
          <w:jc w:val="center"/>
          <w:tblLook w:val="04A0"/>
        </w:tblPrEx>
        <w:trPr>
          <w:trHeight w:val="525"/>
          <w:jc w:val="center"/>
        </w:trPr>
        <w:tc>
          <w:tcPr>
            <w:tcW w:w="2070" w:type="dxa"/>
            <w:tcBorders>
              <w:top w:val="nil"/>
              <w:left w:val="nil"/>
              <w:right w:val="nil"/>
            </w:tcBorders>
            <w:hideMark/>
          </w:tcPr>
          <w:p w:rsidR="00610CEF" w:rsidRPr="009D08AC" w:rsidP="00570298" w14:paraId="767D9C1A" w14:textId="77777777">
            <w:pPr>
              <w:keepNext/>
              <w:widowControl/>
              <w:autoSpaceDE/>
              <w:autoSpaceDN/>
              <w:adjustRightInd/>
              <w:rPr>
                <w:b w:val="0"/>
                <w:bCs w:val="0"/>
                <w:sz w:val="24"/>
                <w:szCs w:val="24"/>
              </w:rPr>
            </w:pPr>
            <w:r w:rsidRPr="009D08AC">
              <w:rPr>
                <w:b w:val="0"/>
                <w:bCs w:val="0"/>
                <w:sz w:val="24"/>
                <w:szCs w:val="24"/>
              </w:rPr>
              <w:t>Notice Preparation (In-House)</w:t>
            </w:r>
          </w:p>
        </w:tc>
        <w:tc>
          <w:tcPr>
            <w:tcW w:w="3240" w:type="dxa"/>
            <w:tcBorders>
              <w:top w:val="nil"/>
              <w:left w:val="nil"/>
              <w:right w:val="nil"/>
            </w:tcBorders>
            <w:hideMark/>
          </w:tcPr>
          <w:p w:rsidR="00610CEF" w:rsidRPr="009D08AC" w:rsidP="00570298" w14:paraId="4BDA8416" w14:textId="65765362">
            <w:pPr>
              <w:keepNext/>
              <w:widowControl/>
              <w:autoSpaceDE/>
              <w:autoSpaceDN/>
              <w:adjustRightInd/>
              <w:rPr>
                <w:b w:val="0"/>
                <w:bCs w:val="0"/>
                <w:color w:val="000000"/>
                <w:sz w:val="24"/>
                <w:szCs w:val="24"/>
              </w:rPr>
            </w:pPr>
            <w:r w:rsidRPr="009D08AC">
              <w:rPr>
                <w:b w:val="0"/>
                <w:bCs w:val="0"/>
                <w:sz w:val="24"/>
                <w:szCs w:val="24"/>
              </w:rPr>
              <w:t xml:space="preserve"> 77,012 = 770,117 Plans x 10% Not Using a Service Provider </w:t>
            </w:r>
          </w:p>
        </w:tc>
        <w:tc>
          <w:tcPr>
            <w:tcW w:w="1260" w:type="dxa"/>
            <w:tcBorders>
              <w:top w:val="nil"/>
              <w:left w:val="nil"/>
              <w:right w:val="nil"/>
            </w:tcBorders>
            <w:noWrap/>
            <w:hideMark/>
          </w:tcPr>
          <w:p w:rsidR="00610CEF" w:rsidRPr="009D08AC" w:rsidP="00570298" w14:paraId="190A1689" w14:textId="7E5D5CCE">
            <w:pPr>
              <w:keepNext/>
              <w:widowControl/>
              <w:autoSpaceDE/>
              <w:autoSpaceDN/>
              <w:adjustRightInd/>
              <w:jc w:val="right"/>
              <w:rPr>
                <w:b w:val="0"/>
                <w:bCs w:val="0"/>
                <w:sz w:val="24"/>
                <w:szCs w:val="24"/>
              </w:rPr>
            </w:pPr>
            <w:r w:rsidRPr="009D08AC">
              <w:rPr>
                <w:b w:val="0"/>
                <w:bCs w:val="0"/>
                <w:sz w:val="24"/>
                <w:szCs w:val="24"/>
              </w:rPr>
              <w:t xml:space="preserve">1     </w:t>
            </w:r>
          </w:p>
        </w:tc>
        <w:tc>
          <w:tcPr>
            <w:tcW w:w="996" w:type="dxa"/>
            <w:tcBorders>
              <w:top w:val="nil"/>
              <w:left w:val="nil"/>
              <w:right w:val="nil"/>
            </w:tcBorders>
            <w:noWrap/>
            <w:hideMark/>
          </w:tcPr>
          <w:p w:rsidR="00610CEF" w:rsidRPr="009D08AC" w:rsidP="00570298" w14:paraId="330F57BE" w14:textId="4221351C">
            <w:pPr>
              <w:keepNext/>
              <w:widowControl/>
              <w:autoSpaceDE/>
              <w:autoSpaceDN/>
              <w:adjustRightInd/>
              <w:jc w:val="right"/>
              <w:rPr>
                <w:b w:val="0"/>
                <w:bCs w:val="0"/>
                <w:color w:val="000000"/>
                <w:sz w:val="24"/>
                <w:szCs w:val="24"/>
              </w:rPr>
            </w:pPr>
            <w:r w:rsidRPr="009D08AC">
              <w:rPr>
                <w:b w:val="0"/>
                <w:bCs w:val="0"/>
                <w:sz w:val="24"/>
                <w:szCs w:val="24"/>
              </w:rPr>
              <w:t>$181.06</w:t>
            </w:r>
          </w:p>
        </w:tc>
        <w:tc>
          <w:tcPr>
            <w:tcW w:w="1074" w:type="dxa"/>
            <w:tcBorders>
              <w:top w:val="nil"/>
              <w:left w:val="nil"/>
              <w:right w:val="nil"/>
            </w:tcBorders>
            <w:noWrap/>
            <w:hideMark/>
          </w:tcPr>
          <w:p w:rsidR="00610CEF" w:rsidRPr="009D08AC" w:rsidP="00570298" w14:paraId="6EA5E2EC" w14:textId="715FF319">
            <w:pPr>
              <w:keepNext/>
              <w:widowControl/>
              <w:autoSpaceDE/>
              <w:autoSpaceDN/>
              <w:adjustRightInd/>
              <w:jc w:val="right"/>
              <w:rPr>
                <w:b w:val="0"/>
                <w:bCs w:val="0"/>
                <w:sz w:val="24"/>
                <w:szCs w:val="24"/>
              </w:rPr>
            </w:pPr>
            <w:r w:rsidRPr="009D08AC">
              <w:rPr>
                <w:b w:val="0"/>
                <w:bCs w:val="0"/>
                <w:sz w:val="24"/>
                <w:szCs w:val="24"/>
              </w:rPr>
              <w:t xml:space="preserve"> 77,012 </w:t>
            </w:r>
          </w:p>
        </w:tc>
        <w:tc>
          <w:tcPr>
            <w:tcW w:w="1752" w:type="dxa"/>
            <w:tcBorders>
              <w:top w:val="nil"/>
              <w:left w:val="nil"/>
              <w:right w:val="nil"/>
            </w:tcBorders>
            <w:noWrap/>
            <w:hideMark/>
          </w:tcPr>
          <w:p w:rsidR="00610CEF" w:rsidRPr="009D08AC" w:rsidP="00570298" w14:paraId="6CFF5BD6" w14:textId="129D6335">
            <w:pPr>
              <w:keepNext/>
              <w:widowControl/>
              <w:autoSpaceDE/>
              <w:autoSpaceDN/>
              <w:adjustRightInd/>
              <w:jc w:val="right"/>
              <w:rPr>
                <w:b w:val="0"/>
                <w:bCs w:val="0"/>
                <w:color w:val="000000"/>
                <w:sz w:val="24"/>
                <w:szCs w:val="24"/>
              </w:rPr>
            </w:pPr>
            <w:r w:rsidRPr="009D08AC">
              <w:rPr>
                <w:b w:val="0"/>
                <w:bCs w:val="0"/>
                <w:sz w:val="24"/>
                <w:szCs w:val="24"/>
              </w:rPr>
              <w:t>$13,943,731</w:t>
            </w:r>
          </w:p>
        </w:tc>
      </w:tr>
      <w:tr w14:paraId="1557D455" w14:textId="77777777" w:rsidTr="00E85FFB">
        <w:tblPrEx>
          <w:tblW w:w="10392" w:type="dxa"/>
          <w:jc w:val="center"/>
          <w:tblLook w:val="04A0"/>
        </w:tblPrEx>
        <w:trPr>
          <w:trHeight w:val="525"/>
          <w:jc w:val="center"/>
        </w:trPr>
        <w:tc>
          <w:tcPr>
            <w:tcW w:w="2070" w:type="dxa"/>
            <w:tcBorders>
              <w:top w:val="nil"/>
              <w:left w:val="nil"/>
              <w:bottom w:val="single" w:sz="4" w:space="0" w:color="auto"/>
              <w:right w:val="nil"/>
            </w:tcBorders>
          </w:tcPr>
          <w:p w:rsidR="00610CEF" w:rsidRPr="009D08AC" w:rsidP="00570298" w14:paraId="28E0CB64" w14:textId="77777777">
            <w:pPr>
              <w:keepNext/>
              <w:widowControl/>
              <w:autoSpaceDE/>
              <w:autoSpaceDN/>
              <w:adjustRightInd/>
              <w:rPr>
                <w:b w:val="0"/>
                <w:bCs w:val="0"/>
                <w:sz w:val="24"/>
                <w:szCs w:val="24"/>
              </w:rPr>
            </w:pPr>
            <w:r w:rsidRPr="009D08AC">
              <w:rPr>
                <w:b w:val="0"/>
                <w:bCs w:val="0"/>
                <w:sz w:val="24"/>
                <w:szCs w:val="24"/>
              </w:rPr>
              <w:t>Adding Contact and Plan Information to Drafted Notices</w:t>
            </w:r>
          </w:p>
        </w:tc>
        <w:tc>
          <w:tcPr>
            <w:tcW w:w="3240" w:type="dxa"/>
            <w:tcBorders>
              <w:top w:val="nil"/>
              <w:left w:val="nil"/>
              <w:bottom w:val="single" w:sz="4" w:space="0" w:color="auto"/>
              <w:right w:val="nil"/>
            </w:tcBorders>
          </w:tcPr>
          <w:p w:rsidR="00610CEF" w:rsidRPr="009D08AC" w:rsidP="00570298" w14:paraId="52E7771F" w14:textId="2D655539">
            <w:pPr>
              <w:keepNext/>
              <w:widowControl/>
              <w:autoSpaceDE/>
              <w:autoSpaceDN/>
              <w:adjustRightInd/>
              <w:rPr>
                <w:b w:val="0"/>
                <w:bCs w:val="0"/>
                <w:color w:val="000000"/>
                <w:sz w:val="24"/>
                <w:szCs w:val="24"/>
              </w:rPr>
            </w:pPr>
            <w:r w:rsidRPr="009D08AC">
              <w:rPr>
                <w:b w:val="0"/>
                <w:bCs w:val="0"/>
                <w:sz w:val="24"/>
                <w:szCs w:val="24"/>
              </w:rPr>
              <w:t xml:space="preserve"> 693,105 = 770,117 Plans x 90% Using a Service Provider </w:t>
            </w:r>
          </w:p>
        </w:tc>
        <w:tc>
          <w:tcPr>
            <w:tcW w:w="1260" w:type="dxa"/>
            <w:tcBorders>
              <w:top w:val="nil"/>
              <w:left w:val="nil"/>
              <w:bottom w:val="single" w:sz="4" w:space="0" w:color="auto"/>
              <w:right w:val="nil"/>
            </w:tcBorders>
            <w:noWrap/>
          </w:tcPr>
          <w:p w:rsidR="00610CEF" w:rsidRPr="009D08AC" w:rsidP="00570298" w14:paraId="14D1B828" w14:textId="790AF756">
            <w:pPr>
              <w:keepNext/>
              <w:widowControl/>
              <w:autoSpaceDE/>
              <w:autoSpaceDN/>
              <w:adjustRightInd/>
              <w:jc w:val="right"/>
              <w:rPr>
                <w:b w:val="0"/>
                <w:bCs w:val="0"/>
                <w:sz w:val="24"/>
                <w:szCs w:val="24"/>
              </w:rPr>
            </w:pPr>
            <w:r w:rsidRPr="009D08AC">
              <w:rPr>
                <w:b w:val="0"/>
                <w:bCs w:val="0"/>
                <w:sz w:val="24"/>
                <w:szCs w:val="24"/>
              </w:rPr>
              <w:t xml:space="preserve"> 5/60</w:t>
            </w:r>
          </w:p>
        </w:tc>
        <w:tc>
          <w:tcPr>
            <w:tcW w:w="996" w:type="dxa"/>
            <w:tcBorders>
              <w:top w:val="nil"/>
              <w:left w:val="nil"/>
              <w:bottom w:val="single" w:sz="4" w:space="0" w:color="auto"/>
              <w:right w:val="nil"/>
            </w:tcBorders>
            <w:noWrap/>
          </w:tcPr>
          <w:p w:rsidR="00610CEF" w:rsidRPr="009D08AC" w:rsidP="00570298" w14:paraId="4C928C7B" w14:textId="3636ECD9">
            <w:pPr>
              <w:keepNext/>
              <w:widowControl/>
              <w:autoSpaceDE/>
              <w:autoSpaceDN/>
              <w:adjustRightInd/>
              <w:jc w:val="right"/>
              <w:rPr>
                <w:b w:val="0"/>
                <w:bCs w:val="0"/>
                <w:color w:val="000000"/>
                <w:sz w:val="24"/>
                <w:szCs w:val="24"/>
              </w:rPr>
            </w:pPr>
            <w:r w:rsidRPr="009D08AC">
              <w:rPr>
                <w:b w:val="0"/>
                <w:bCs w:val="0"/>
                <w:sz w:val="24"/>
                <w:szCs w:val="24"/>
              </w:rPr>
              <w:t>$70.29</w:t>
            </w:r>
          </w:p>
        </w:tc>
        <w:tc>
          <w:tcPr>
            <w:tcW w:w="1074" w:type="dxa"/>
            <w:tcBorders>
              <w:top w:val="nil"/>
              <w:left w:val="nil"/>
              <w:bottom w:val="single" w:sz="4" w:space="0" w:color="auto"/>
              <w:right w:val="nil"/>
            </w:tcBorders>
            <w:noWrap/>
          </w:tcPr>
          <w:p w:rsidR="00610CEF" w:rsidRPr="009D08AC" w:rsidP="00570298" w14:paraId="2D241C22" w14:textId="681C2837">
            <w:pPr>
              <w:keepNext/>
              <w:widowControl/>
              <w:autoSpaceDE/>
              <w:autoSpaceDN/>
              <w:adjustRightInd/>
              <w:jc w:val="right"/>
              <w:rPr>
                <w:b w:val="0"/>
                <w:bCs w:val="0"/>
                <w:sz w:val="24"/>
                <w:szCs w:val="24"/>
              </w:rPr>
            </w:pPr>
            <w:r w:rsidRPr="009D08AC">
              <w:rPr>
                <w:b w:val="0"/>
                <w:bCs w:val="0"/>
                <w:sz w:val="24"/>
                <w:szCs w:val="24"/>
              </w:rPr>
              <w:t xml:space="preserve"> 57,759 </w:t>
            </w:r>
          </w:p>
        </w:tc>
        <w:tc>
          <w:tcPr>
            <w:tcW w:w="1752" w:type="dxa"/>
            <w:tcBorders>
              <w:top w:val="nil"/>
              <w:left w:val="nil"/>
              <w:bottom w:val="single" w:sz="4" w:space="0" w:color="auto"/>
              <w:right w:val="nil"/>
            </w:tcBorders>
            <w:noWrap/>
          </w:tcPr>
          <w:p w:rsidR="00610CEF" w:rsidRPr="009D08AC" w:rsidP="00570298" w14:paraId="5D5808D6" w14:textId="7510B3DE">
            <w:pPr>
              <w:keepNext/>
              <w:widowControl/>
              <w:autoSpaceDE/>
              <w:autoSpaceDN/>
              <w:adjustRightInd/>
              <w:jc w:val="right"/>
              <w:rPr>
                <w:b w:val="0"/>
                <w:bCs w:val="0"/>
                <w:color w:val="000000"/>
                <w:sz w:val="24"/>
                <w:szCs w:val="24"/>
              </w:rPr>
            </w:pPr>
            <w:r w:rsidRPr="009D08AC">
              <w:rPr>
                <w:b w:val="0"/>
                <w:bCs w:val="0"/>
                <w:sz w:val="24"/>
                <w:szCs w:val="24"/>
              </w:rPr>
              <w:t>$4,059,862</w:t>
            </w:r>
          </w:p>
        </w:tc>
      </w:tr>
      <w:tr w14:paraId="1750F604" w14:textId="77777777" w:rsidTr="00E85FFB">
        <w:tblPrEx>
          <w:tblW w:w="10392" w:type="dxa"/>
          <w:jc w:val="center"/>
          <w:tblLook w:val="04A0"/>
        </w:tblPrEx>
        <w:trPr>
          <w:trHeight w:val="315"/>
          <w:jc w:val="center"/>
        </w:trPr>
        <w:tc>
          <w:tcPr>
            <w:tcW w:w="6570" w:type="dxa"/>
            <w:gridSpan w:val="3"/>
            <w:tcBorders>
              <w:top w:val="single" w:sz="4" w:space="0" w:color="auto"/>
              <w:bottom w:val="single" w:sz="4" w:space="0" w:color="auto"/>
              <w:right w:val="nil"/>
            </w:tcBorders>
            <w:noWrap/>
            <w:hideMark/>
          </w:tcPr>
          <w:p w:rsidR="00610CEF" w:rsidRPr="009D08AC" w:rsidP="00570298" w14:paraId="65798B81" w14:textId="0352555F">
            <w:pPr>
              <w:keepNext/>
              <w:widowControl/>
              <w:autoSpaceDE/>
              <w:autoSpaceDN/>
              <w:adjustRightInd/>
              <w:rPr>
                <w:color w:val="000000"/>
                <w:sz w:val="24"/>
                <w:szCs w:val="24"/>
                <w:vertAlign w:val="superscript"/>
              </w:rPr>
            </w:pPr>
            <w:r w:rsidRPr="009D08AC">
              <w:rPr>
                <w:color w:val="000000"/>
                <w:sz w:val="24"/>
                <w:szCs w:val="24"/>
              </w:rPr>
              <w:t>Total</w:t>
            </w:r>
            <w:r w:rsidRPr="009D08AC" w:rsidR="00570298">
              <w:rPr>
                <w:color w:val="000000"/>
                <w:sz w:val="24"/>
                <w:szCs w:val="24"/>
                <w:vertAlign w:val="superscript"/>
              </w:rPr>
              <w:t>1</w:t>
            </w:r>
          </w:p>
        </w:tc>
        <w:tc>
          <w:tcPr>
            <w:tcW w:w="996" w:type="dxa"/>
            <w:tcBorders>
              <w:top w:val="single" w:sz="4" w:space="0" w:color="auto"/>
              <w:left w:val="nil"/>
              <w:bottom w:val="single" w:sz="4" w:space="0" w:color="auto"/>
              <w:right w:val="nil"/>
            </w:tcBorders>
            <w:noWrap/>
            <w:hideMark/>
          </w:tcPr>
          <w:p w:rsidR="00610CEF" w:rsidRPr="009D08AC" w:rsidP="00570298" w14:paraId="02E9D0C6" w14:textId="77777777">
            <w:pPr>
              <w:keepNext/>
              <w:widowControl/>
              <w:autoSpaceDE/>
              <w:autoSpaceDN/>
              <w:adjustRightInd/>
              <w:rPr>
                <w:b w:val="0"/>
                <w:bCs w:val="0"/>
                <w:color w:val="000000"/>
                <w:sz w:val="24"/>
                <w:szCs w:val="24"/>
              </w:rPr>
            </w:pPr>
            <w:r w:rsidRPr="009D08AC">
              <w:rPr>
                <w:b w:val="0"/>
                <w:bCs w:val="0"/>
                <w:color w:val="000000"/>
                <w:sz w:val="24"/>
                <w:szCs w:val="24"/>
              </w:rPr>
              <w:t> </w:t>
            </w:r>
          </w:p>
        </w:tc>
        <w:tc>
          <w:tcPr>
            <w:tcW w:w="1074" w:type="dxa"/>
            <w:tcBorders>
              <w:top w:val="single" w:sz="4" w:space="0" w:color="auto"/>
              <w:left w:val="nil"/>
              <w:bottom w:val="single" w:sz="4" w:space="0" w:color="auto"/>
              <w:right w:val="nil"/>
            </w:tcBorders>
            <w:noWrap/>
            <w:hideMark/>
          </w:tcPr>
          <w:p w:rsidR="00610CEF" w:rsidRPr="009D08AC" w:rsidP="00570298" w14:paraId="5EFAE789" w14:textId="777204BA">
            <w:pPr>
              <w:keepNext/>
              <w:widowControl/>
              <w:autoSpaceDE/>
              <w:autoSpaceDN/>
              <w:adjustRightInd/>
              <w:jc w:val="right"/>
              <w:rPr>
                <w:color w:val="000000"/>
                <w:sz w:val="24"/>
                <w:szCs w:val="24"/>
              </w:rPr>
            </w:pPr>
            <w:r w:rsidRPr="009D08AC">
              <w:rPr>
                <w:sz w:val="24"/>
                <w:szCs w:val="24"/>
              </w:rPr>
              <w:t xml:space="preserve"> 138,322 </w:t>
            </w:r>
          </w:p>
        </w:tc>
        <w:tc>
          <w:tcPr>
            <w:tcW w:w="1752" w:type="dxa"/>
            <w:tcBorders>
              <w:top w:val="single" w:sz="4" w:space="0" w:color="auto"/>
              <w:left w:val="nil"/>
              <w:bottom w:val="single" w:sz="4" w:space="0" w:color="auto"/>
              <w:right w:val="nil"/>
            </w:tcBorders>
            <w:noWrap/>
            <w:hideMark/>
          </w:tcPr>
          <w:p w:rsidR="00610CEF" w:rsidRPr="009D08AC" w:rsidP="00570298" w14:paraId="5A916809" w14:textId="78BF6578">
            <w:pPr>
              <w:keepNext/>
              <w:widowControl/>
              <w:autoSpaceDE/>
              <w:autoSpaceDN/>
              <w:adjustRightInd/>
              <w:jc w:val="right"/>
              <w:rPr>
                <w:color w:val="000000"/>
                <w:sz w:val="24"/>
                <w:szCs w:val="24"/>
              </w:rPr>
            </w:pPr>
            <w:r w:rsidRPr="009D08AC">
              <w:rPr>
                <w:sz w:val="24"/>
                <w:szCs w:val="24"/>
              </w:rPr>
              <w:t>$18,646,718</w:t>
            </w:r>
          </w:p>
        </w:tc>
      </w:tr>
      <w:tr w14:paraId="5678C82A" w14:textId="77777777" w:rsidTr="00E85FFB">
        <w:tblPrEx>
          <w:tblW w:w="10392" w:type="dxa"/>
          <w:jc w:val="center"/>
          <w:tblLook w:val="04A0"/>
        </w:tblPrEx>
        <w:trPr>
          <w:trHeight w:val="315"/>
          <w:jc w:val="center"/>
        </w:trPr>
        <w:tc>
          <w:tcPr>
            <w:tcW w:w="10392" w:type="dxa"/>
            <w:gridSpan w:val="6"/>
            <w:tcBorders>
              <w:top w:val="single" w:sz="4" w:space="0" w:color="auto"/>
              <w:right w:val="nil"/>
            </w:tcBorders>
            <w:noWrap/>
          </w:tcPr>
          <w:p w:rsidR="00570298" w:rsidRPr="009D08AC" w:rsidP="00570298" w14:paraId="6817071D" w14:textId="49D1F214">
            <w:pPr>
              <w:keepNext/>
              <w:widowControl/>
              <w:autoSpaceDE/>
              <w:autoSpaceDN/>
              <w:adjustRightInd/>
            </w:pPr>
            <w:r w:rsidRPr="009D08AC">
              <w:rPr>
                <w:rStyle w:val="FootnoteReference"/>
                <w:vertAlign w:val="superscript"/>
              </w:rPr>
              <w:footnoteRef/>
            </w:r>
            <w:r w:rsidRPr="009D08AC">
              <w:rPr>
                <w:vertAlign w:val="superscript"/>
              </w:rPr>
              <w:t xml:space="preserve"> </w:t>
            </w:r>
            <w:r w:rsidRPr="009D08AC">
              <w:rPr>
                <w:b w:val="0"/>
                <w:bCs w:val="0"/>
              </w:rPr>
              <w:t xml:space="preserve">The Department has not rounded intermediate values, so the components may not </w:t>
            </w:r>
            <w:r w:rsidRPr="009D08AC">
              <w:rPr>
                <w:b w:val="0"/>
                <w:bCs w:val="0"/>
              </w:rPr>
              <w:t>sum</w:t>
            </w:r>
            <w:r w:rsidRPr="009D08AC">
              <w:rPr>
                <w:b w:val="0"/>
                <w:bCs w:val="0"/>
              </w:rPr>
              <w:t xml:space="preserve"> to the whole.</w:t>
            </w:r>
          </w:p>
        </w:tc>
      </w:tr>
    </w:tbl>
    <w:p w:rsidR="000267E1" w:rsidRPr="009D08AC" w:rsidP="000267E1" w14:paraId="06D71FD4" w14:textId="77777777">
      <w:pPr>
        <w:widowControl/>
        <w:autoSpaceDE/>
        <w:autoSpaceDN/>
        <w:adjustRightInd/>
        <w:rPr>
          <w:rFonts w:eastAsia="Calibri"/>
          <w:b w:val="0"/>
          <w:bCs w:val="0"/>
          <w:sz w:val="24"/>
          <w:szCs w:val="24"/>
        </w:rPr>
      </w:pPr>
    </w:p>
    <w:p w:rsidR="00BF4D05" w:rsidRPr="009D08AC" w:rsidP="002D73D8" w14:paraId="5EB1DDA4" w14:textId="77777777">
      <w:pPr>
        <w:widowControl/>
        <w:autoSpaceDE/>
        <w:autoSpaceDN/>
        <w:adjustRightInd/>
        <w:ind w:left="720"/>
        <w:rPr>
          <w:b w:val="0"/>
          <w:bCs w:val="0"/>
          <w:sz w:val="24"/>
        </w:rPr>
      </w:pPr>
    </w:p>
    <w:p w:rsidR="009A00B6" w:rsidRPr="009D08AC" w:rsidP="002D73D8" w14:paraId="3AA98A2F" w14:textId="6AD1452D">
      <w:pPr>
        <w:widowControl/>
        <w:autoSpaceDE/>
        <w:autoSpaceDN/>
        <w:adjustRightInd/>
        <w:ind w:left="720"/>
        <w:rPr>
          <w:sz w:val="24"/>
          <w:u w:val="single"/>
        </w:rPr>
      </w:pPr>
      <w:r w:rsidRPr="009D08AC">
        <w:rPr>
          <w:sz w:val="24"/>
          <w:u w:val="single"/>
        </w:rPr>
        <w:t>Summary Hour Burden and Equivalent Cost for the 20</w:t>
      </w:r>
      <w:r w:rsidRPr="009D08AC" w:rsidR="00FD5341">
        <w:rPr>
          <w:sz w:val="24"/>
          <w:u w:val="single"/>
        </w:rPr>
        <w:t>20</w:t>
      </w:r>
      <w:r w:rsidRPr="009D08AC">
        <w:rPr>
          <w:sz w:val="24"/>
          <w:u w:val="single"/>
        </w:rPr>
        <w:t xml:space="preserve"> Safe Harbor</w:t>
      </w:r>
    </w:p>
    <w:p w:rsidR="009A00B6" w:rsidRPr="009D08AC" w:rsidP="002D73D8" w14:paraId="46325AF3" w14:textId="77777777">
      <w:pPr>
        <w:widowControl/>
        <w:autoSpaceDE/>
        <w:autoSpaceDN/>
        <w:adjustRightInd/>
        <w:ind w:left="720"/>
        <w:rPr>
          <w:b w:val="0"/>
          <w:bCs w:val="0"/>
          <w:sz w:val="24"/>
        </w:rPr>
      </w:pPr>
    </w:p>
    <w:p w:rsidR="00BF4D05" w:rsidRPr="009D08AC" w:rsidP="0036196E" w14:paraId="6890C1BB" w14:textId="6812302B">
      <w:pPr>
        <w:widowControl/>
        <w:autoSpaceDE/>
        <w:autoSpaceDN/>
        <w:adjustRightInd/>
        <w:ind w:left="720"/>
        <w:rPr>
          <w:rFonts w:eastAsia="Calibri"/>
          <w:b w:val="0"/>
          <w:bCs w:val="0"/>
          <w:sz w:val="24"/>
          <w:szCs w:val="24"/>
        </w:rPr>
      </w:pPr>
      <w:r w:rsidRPr="009D08AC">
        <w:rPr>
          <w:rFonts w:eastAsia="Calibri"/>
          <w:b w:val="0"/>
          <w:bCs w:val="0"/>
          <w:sz w:val="24"/>
          <w:szCs w:val="24"/>
        </w:rPr>
        <w:t>In total</w:t>
      </w:r>
      <w:r w:rsidRPr="009D08AC" w:rsidR="00A64F8C">
        <w:rPr>
          <w:rFonts w:eastAsia="Calibri"/>
          <w:b w:val="0"/>
          <w:bCs w:val="0"/>
          <w:sz w:val="24"/>
          <w:szCs w:val="24"/>
        </w:rPr>
        <w:t>,</w:t>
      </w:r>
      <w:r w:rsidRPr="009D08AC">
        <w:rPr>
          <w:rFonts w:eastAsia="Calibri"/>
          <w:b w:val="0"/>
          <w:bCs w:val="0"/>
          <w:sz w:val="24"/>
          <w:szCs w:val="24"/>
        </w:rPr>
        <w:t xml:space="preserve"> the rule is expected to increase the </w:t>
      </w:r>
      <w:r w:rsidRPr="009D08AC">
        <w:rPr>
          <w:rFonts w:eastAsia="Calibri"/>
          <w:b w:val="0"/>
          <w:bCs w:val="0"/>
          <w:sz w:val="24"/>
          <w:szCs w:val="24"/>
        </w:rPr>
        <w:t>burden</w:t>
      </w:r>
      <w:r w:rsidRPr="009D08AC">
        <w:rPr>
          <w:rFonts w:eastAsia="Calibri"/>
          <w:b w:val="0"/>
          <w:bCs w:val="0"/>
          <w:sz w:val="24"/>
          <w:szCs w:val="24"/>
        </w:rPr>
        <w:t xml:space="preserve"> </w:t>
      </w:r>
      <w:r w:rsidRPr="009D08AC" w:rsidR="00FC4D8F">
        <w:rPr>
          <w:rFonts w:eastAsia="Calibri"/>
          <w:b w:val="0"/>
          <w:bCs w:val="0"/>
          <w:sz w:val="24"/>
          <w:szCs w:val="24"/>
        </w:rPr>
        <w:t>1,201,027</w:t>
      </w:r>
      <w:r w:rsidRPr="009D08AC">
        <w:rPr>
          <w:rFonts w:eastAsia="Calibri"/>
          <w:b w:val="0"/>
          <w:bCs w:val="0"/>
          <w:sz w:val="24"/>
          <w:szCs w:val="24"/>
        </w:rPr>
        <w:t xml:space="preserve"> hours with an equivalent cost of $</w:t>
      </w:r>
      <w:r w:rsidRPr="009D08AC" w:rsidR="0058334F">
        <w:rPr>
          <w:rFonts w:eastAsia="Calibri"/>
          <w:b w:val="0"/>
          <w:bCs w:val="0"/>
          <w:sz w:val="24"/>
          <w:szCs w:val="24"/>
        </w:rPr>
        <w:t>111,515,236</w:t>
      </w:r>
      <w:r w:rsidRPr="009D08AC" w:rsidR="00032D0A">
        <w:rPr>
          <w:rFonts w:eastAsia="Calibri"/>
          <w:b w:val="0"/>
          <w:bCs w:val="0"/>
          <w:sz w:val="24"/>
          <w:szCs w:val="24"/>
        </w:rPr>
        <w:t>.</w:t>
      </w:r>
    </w:p>
    <w:p w:rsidR="006718C6" w:rsidRPr="009D08AC" w:rsidP="002D73D8" w14:paraId="14650505" w14:textId="216A45BC">
      <w:pPr>
        <w:widowControl/>
        <w:autoSpaceDE/>
        <w:autoSpaceDN/>
        <w:adjustRightInd/>
        <w:ind w:left="720"/>
        <w:rPr>
          <w:b w:val="0"/>
          <w:bCs w:val="0"/>
          <w:sz w:val="24"/>
        </w:rPr>
      </w:pPr>
    </w:p>
    <w:p w:rsidR="001B0860" w:rsidRPr="009D08AC" w:rsidP="002D73D8" w14:paraId="1A2073B5" w14:textId="6A039A27">
      <w:pPr>
        <w:widowControl/>
        <w:autoSpaceDE/>
        <w:autoSpaceDN/>
        <w:adjustRightInd/>
        <w:ind w:left="720"/>
        <w:rPr>
          <w:sz w:val="24"/>
        </w:rPr>
      </w:pPr>
    </w:p>
    <w:p w:rsidR="001B0860" w:rsidRPr="009D08AC" w:rsidP="001B0860" w14:paraId="77AD616B" w14:textId="77777777">
      <w:pPr>
        <w:ind w:left="720" w:firstLine="720"/>
        <w:rPr>
          <w:sz w:val="24"/>
          <w:szCs w:val="24"/>
        </w:rPr>
      </w:pPr>
    </w:p>
    <w:p w:rsidR="006F31FE" w:rsidRPr="009D08AC" w:rsidP="001B0860" w14:paraId="434C4F5E" w14:textId="77777777">
      <w:pPr>
        <w:ind w:left="720" w:firstLine="720"/>
        <w:rPr>
          <w:sz w:val="24"/>
          <w:szCs w:val="24"/>
        </w:rPr>
      </w:pPr>
    </w:p>
    <w:p w:rsidR="006F31FE" w:rsidRPr="009D08AC" w:rsidP="001B0860" w14:paraId="69ACDE72" w14:textId="77777777">
      <w:pPr>
        <w:ind w:left="720" w:firstLine="720"/>
        <w:rPr>
          <w:sz w:val="24"/>
          <w:szCs w:val="24"/>
        </w:rPr>
      </w:pPr>
    </w:p>
    <w:p w:rsidR="006F31FE" w:rsidRPr="009D08AC" w:rsidP="001B0860" w14:paraId="2C3A1EE1" w14:textId="77777777">
      <w:pPr>
        <w:ind w:left="720" w:firstLine="720"/>
        <w:rPr>
          <w:sz w:val="24"/>
          <w:szCs w:val="24"/>
        </w:rPr>
      </w:pPr>
    </w:p>
    <w:p w:rsidR="006F31FE" w:rsidRPr="009D08AC" w:rsidP="001B0860" w14:paraId="263068AA" w14:textId="77777777">
      <w:pPr>
        <w:ind w:left="720" w:firstLine="720"/>
        <w:rPr>
          <w:sz w:val="24"/>
          <w:szCs w:val="24"/>
        </w:rPr>
      </w:pPr>
    </w:p>
    <w:p w:rsidR="006F31FE" w:rsidRPr="009D08AC" w:rsidP="001B0860" w14:paraId="11DAAE67" w14:textId="77777777">
      <w:pPr>
        <w:ind w:left="720" w:firstLine="720"/>
        <w:rPr>
          <w:sz w:val="24"/>
          <w:szCs w:val="24"/>
        </w:rPr>
      </w:pPr>
    </w:p>
    <w:p w:rsidR="006F31FE" w:rsidRPr="009D08AC" w:rsidP="001B0860" w14:paraId="51DEA4A4" w14:textId="77777777">
      <w:pPr>
        <w:ind w:left="720" w:firstLine="720"/>
        <w:rPr>
          <w:sz w:val="24"/>
          <w:szCs w:val="24"/>
        </w:rPr>
      </w:pPr>
    </w:p>
    <w:p w:rsidR="006F31FE" w:rsidRPr="009D08AC" w:rsidP="001B0860" w14:paraId="7409E625" w14:textId="77777777">
      <w:pPr>
        <w:ind w:left="720" w:firstLine="720"/>
        <w:rPr>
          <w:sz w:val="24"/>
          <w:szCs w:val="24"/>
        </w:rPr>
      </w:pPr>
    </w:p>
    <w:p w:rsidR="006F31FE" w:rsidRPr="009D08AC" w:rsidP="001B0860" w14:paraId="15534EE5" w14:textId="77777777">
      <w:pPr>
        <w:ind w:left="720" w:firstLine="720"/>
        <w:rPr>
          <w:sz w:val="24"/>
          <w:szCs w:val="24"/>
        </w:rPr>
      </w:pPr>
    </w:p>
    <w:p w:rsidR="006F31FE" w:rsidRPr="009D08AC" w:rsidP="001B0860" w14:paraId="11CE67D1" w14:textId="77777777">
      <w:pPr>
        <w:ind w:left="720" w:firstLine="720"/>
        <w:rPr>
          <w:sz w:val="24"/>
          <w:szCs w:val="24"/>
        </w:rPr>
      </w:pPr>
    </w:p>
    <w:p w:rsidR="006F31FE" w:rsidRPr="009D08AC" w:rsidP="001B0860" w14:paraId="69277C5A" w14:textId="77777777">
      <w:pPr>
        <w:ind w:left="720" w:firstLine="720"/>
        <w:rPr>
          <w:sz w:val="24"/>
          <w:szCs w:val="24"/>
        </w:rPr>
      </w:pPr>
    </w:p>
    <w:p w:rsidR="006F31FE" w:rsidRPr="009D08AC" w:rsidP="001B0860" w14:paraId="797403D5" w14:textId="77777777">
      <w:pPr>
        <w:ind w:left="720" w:firstLine="720"/>
        <w:rPr>
          <w:sz w:val="24"/>
          <w:szCs w:val="24"/>
        </w:rPr>
      </w:pPr>
    </w:p>
    <w:p w:rsidR="006F31FE" w:rsidRPr="009D08AC" w:rsidP="001B0860" w14:paraId="7DDECA0F" w14:textId="77777777">
      <w:pPr>
        <w:ind w:left="720" w:firstLine="720"/>
        <w:rPr>
          <w:sz w:val="24"/>
          <w:szCs w:val="24"/>
        </w:rPr>
      </w:pPr>
    </w:p>
    <w:p w:rsidR="006F31FE" w:rsidRPr="009D08AC" w:rsidP="001B0860" w14:paraId="5349911F" w14:textId="77777777">
      <w:pPr>
        <w:ind w:left="720" w:firstLine="720"/>
        <w:rPr>
          <w:sz w:val="24"/>
          <w:szCs w:val="24"/>
        </w:rPr>
      </w:pPr>
    </w:p>
    <w:p w:rsidR="006F31FE" w:rsidRPr="009D08AC" w:rsidP="001B0860" w14:paraId="7AC8C58F" w14:textId="77777777">
      <w:pPr>
        <w:ind w:left="720" w:firstLine="720"/>
        <w:rPr>
          <w:sz w:val="24"/>
          <w:szCs w:val="24"/>
        </w:rPr>
      </w:pPr>
    </w:p>
    <w:p w:rsidR="006F31FE" w:rsidRPr="009D08AC" w:rsidP="001B0860" w14:paraId="21D4ED81" w14:textId="77777777">
      <w:pPr>
        <w:ind w:left="720" w:firstLine="720"/>
        <w:rPr>
          <w:sz w:val="24"/>
          <w:szCs w:val="24"/>
        </w:rPr>
      </w:pPr>
    </w:p>
    <w:p w:rsidR="006F31FE" w:rsidRPr="009D08AC" w:rsidP="001B0860" w14:paraId="7C87412F" w14:textId="77777777">
      <w:pPr>
        <w:ind w:left="720" w:firstLine="720"/>
        <w:rPr>
          <w:sz w:val="24"/>
          <w:szCs w:val="24"/>
        </w:rPr>
      </w:pPr>
    </w:p>
    <w:p w:rsidR="006F31FE" w:rsidRPr="009D08AC" w:rsidP="001B0860" w14:paraId="07FC0E6E" w14:textId="77777777">
      <w:pPr>
        <w:ind w:left="720" w:firstLine="720"/>
        <w:rPr>
          <w:sz w:val="24"/>
          <w:szCs w:val="24"/>
        </w:rPr>
      </w:pPr>
    </w:p>
    <w:p w:rsidR="006F31FE" w:rsidRPr="009D08AC" w:rsidP="001B0860" w14:paraId="6DA900C5" w14:textId="77777777">
      <w:pPr>
        <w:ind w:left="720" w:firstLine="720"/>
        <w:rPr>
          <w:sz w:val="24"/>
          <w:szCs w:val="24"/>
        </w:rPr>
      </w:pPr>
    </w:p>
    <w:p w:rsidR="006F31FE" w:rsidRPr="009D08AC" w:rsidP="001B0860" w14:paraId="183E96F2" w14:textId="77777777">
      <w:pPr>
        <w:ind w:left="720" w:firstLine="720"/>
        <w:rPr>
          <w:sz w:val="24"/>
          <w:szCs w:val="24"/>
        </w:rPr>
      </w:pPr>
    </w:p>
    <w:p w:rsidR="006F31FE" w:rsidRPr="009D08AC" w:rsidP="001B0860" w14:paraId="3FDD7D26" w14:textId="77777777">
      <w:pPr>
        <w:ind w:left="720" w:firstLine="720"/>
        <w:rPr>
          <w:sz w:val="24"/>
          <w:szCs w:val="24"/>
        </w:rPr>
      </w:pPr>
    </w:p>
    <w:p w:rsidR="001B0860" w:rsidRPr="009D08AC" w:rsidP="005D05AE" w14:paraId="1F691084" w14:textId="0B39EC84">
      <w:pPr>
        <w:rPr>
          <w:sz w:val="24"/>
          <w:szCs w:val="24"/>
        </w:rPr>
      </w:pPr>
      <w:r w:rsidRPr="009D08AC">
        <w:rPr>
          <w:sz w:val="24"/>
          <w:szCs w:val="24"/>
        </w:rPr>
        <w:t>Estimated Annualized Respondent Hour Burden and</w:t>
      </w:r>
      <w:r w:rsidRPr="009D08AC" w:rsidR="00A64F8C">
        <w:rPr>
          <w:sz w:val="24"/>
          <w:szCs w:val="24"/>
        </w:rPr>
        <w:t xml:space="preserve"> </w:t>
      </w:r>
      <w:r w:rsidRPr="009D08AC">
        <w:rPr>
          <w:sz w:val="24"/>
          <w:szCs w:val="24"/>
        </w:rPr>
        <w:t>Equivalent Cost</w:t>
      </w:r>
      <w:r w:rsidRPr="009D08AC" w:rsidR="00A64F8C">
        <w:rPr>
          <w:sz w:val="24"/>
          <w:szCs w:val="24"/>
        </w:rPr>
        <w:t xml:space="preserve"> of Hour Burden</w:t>
      </w:r>
    </w:p>
    <w:p w:rsidR="009E0937" w:rsidRPr="009D08AC" w:rsidP="002D73D8" w14:paraId="3FB8B24F" w14:textId="77777777">
      <w:pPr>
        <w:widowControl/>
        <w:autoSpaceDE/>
        <w:autoSpaceDN/>
        <w:adjustRightInd/>
        <w:ind w:left="720"/>
        <w:rPr>
          <w:b w:val="0"/>
          <w:bCs w:val="0"/>
          <w:sz w:val="24"/>
        </w:rPr>
      </w:pPr>
    </w:p>
    <w:tbl>
      <w:tblPr>
        <w:tblStyle w:val="TableGrid"/>
        <w:tblpPr w:leftFromText="180" w:rightFromText="180" w:vertAnchor="text" w:horzAnchor="margin" w:tblpXSpec="center" w:tblpY="7"/>
        <w:tblW w:w="12150" w:type="dxa"/>
        <w:tblLayout w:type="fixed"/>
        <w:tblLook w:val="04A0"/>
      </w:tblPr>
      <w:tblGrid>
        <w:gridCol w:w="3415"/>
        <w:gridCol w:w="1440"/>
        <w:gridCol w:w="1355"/>
        <w:gridCol w:w="1535"/>
        <w:gridCol w:w="1070"/>
        <w:gridCol w:w="1080"/>
        <w:gridCol w:w="900"/>
        <w:gridCol w:w="1355"/>
      </w:tblGrid>
      <w:tr w14:paraId="1AEC8496" w14:textId="77777777" w:rsidTr="000D0D2A">
        <w:tblPrEx>
          <w:tblW w:w="12150" w:type="dxa"/>
          <w:tblLayout w:type="fixed"/>
          <w:tblLook w:val="04A0"/>
        </w:tblPrEx>
        <w:tc>
          <w:tcPr>
            <w:tcW w:w="3415" w:type="dxa"/>
            <w:vAlign w:val="center"/>
          </w:tcPr>
          <w:p w:rsidR="001B0860" w:rsidRPr="009D08AC" w:rsidP="006F31FE" w14:paraId="01603B3E" w14:textId="77777777">
            <w:pPr>
              <w:keepNext/>
              <w:widowControl/>
              <w:jc w:val="center"/>
              <w:rPr>
                <w:sz w:val="24"/>
                <w:szCs w:val="24"/>
              </w:rPr>
            </w:pPr>
            <w:r w:rsidRPr="009D08AC">
              <w:rPr>
                <w:color w:val="000000"/>
                <w:sz w:val="22"/>
                <w:szCs w:val="22"/>
              </w:rPr>
              <w:t>Activity</w:t>
            </w:r>
          </w:p>
        </w:tc>
        <w:tc>
          <w:tcPr>
            <w:tcW w:w="1440" w:type="dxa"/>
            <w:vAlign w:val="center"/>
          </w:tcPr>
          <w:p w:rsidR="001B0860" w:rsidRPr="009D08AC" w:rsidP="006F31FE" w14:paraId="63CD71CB" w14:textId="77777777">
            <w:pPr>
              <w:keepNext/>
              <w:widowControl/>
              <w:jc w:val="center"/>
              <w:rPr>
                <w:sz w:val="24"/>
                <w:szCs w:val="24"/>
              </w:rPr>
            </w:pPr>
            <w:r w:rsidRPr="009D08AC">
              <w:rPr>
                <w:color w:val="000000"/>
                <w:sz w:val="22"/>
                <w:szCs w:val="22"/>
              </w:rPr>
              <w:t>No. of Respondents</w:t>
            </w:r>
          </w:p>
        </w:tc>
        <w:tc>
          <w:tcPr>
            <w:tcW w:w="1355" w:type="dxa"/>
            <w:vAlign w:val="center"/>
          </w:tcPr>
          <w:p w:rsidR="001B0860" w:rsidRPr="009D08AC" w:rsidP="006F31FE" w14:paraId="5B936265" w14:textId="77777777">
            <w:pPr>
              <w:keepNext/>
              <w:widowControl/>
              <w:jc w:val="center"/>
              <w:rPr>
                <w:sz w:val="24"/>
                <w:szCs w:val="24"/>
              </w:rPr>
            </w:pPr>
            <w:r w:rsidRPr="009D08AC">
              <w:rPr>
                <w:color w:val="000000"/>
                <w:sz w:val="22"/>
                <w:szCs w:val="22"/>
              </w:rPr>
              <w:t>No. of Responses per Respondent</w:t>
            </w:r>
          </w:p>
        </w:tc>
        <w:tc>
          <w:tcPr>
            <w:tcW w:w="1535" w:type="dxa"/>
            <w:vAlign w:val="center"/>
          </w:tcPr>
          <w:p w:rsidR="001B0860" w:rsidRPr="009D08AC" w:rsidP="006F31FE" w14:paraId="4032A657" w14:textId="77777777">
            <w:pPr>
              <w:keepNext/>
              <w:widowControl/>
              <w:jc w:val="center"/>
              <w:rPr>
                <w:sz w:val="24"/>
                <w:szCs w:val="24"/>
              </w:rPr>
            </w:pPr>
            <w:r w:rsidRPr="009D08AC">
              <w:rPr>
                <w:color w:val="000000"/>
                <w:sz w:val="22"/>
                <w:szCs w:val="22"/>
              </w:rPr>
              <w:t>Total Responses</w:t>
            </w:r>
          </w:p>
        </w:tc>
        <w:tc>
          <w:tcPr>
            <w:tcW w:w="1070" w:type="dxa"/>
            <w:vAlign w:val="center"/>
          </w:tcPr>
          <w:p w:rsidR="001B0860" w:rsidRPr="009D08AC" w:rsidP="006F31FE" w14:paraId="722435CA" w14:textId="77777777">
            <w:pPr>
              <w:keepNext/>
              <w:widowControl/>
              <w:jc w:val="center"/>
              <w:rPr>
                <w:sz w:val="24"/>
                <w:szCs w:val="24"/>
              </w:rPr>
            </w:pPr>
            <w:r w:rsidRPr="009D08AC">
              <w:rPr>
                <w:color w:val="000000"/>
                <w:sz w:val="22"/>
                <w:szCs w:val="22"/>
              </w:rPr>
              <w:t>Average Burden (Hours)</w:t>
            </w:r>
          </w:p>
        </w:tc>
        <w:tc>
          <w:tcPr>
            <w:tcW w:w="1080" w:type="dxa"/>
            <w:vAlign w:val="center"/>
          </w:tcPr>
          <w:p w:rsidR="001B0860" w:rsidRPr="009D08AC" w:rsidP="006F31FE" w14:paraId="72306C95" w14:textId="77777777">
            <w:pPr>
              <w:keepNext/>
              <w:widowControl/>
              <w:jc w:val="center"/>
              <w:rPr>
                <w:sz w:val="24"/>
                <w:szCs w:val="24"/>
              </w:rPr>
            </w:pPr>
            <w:r w:rsidRPr="009D08AC">
              <w:rPr>
                <w:color w:val="000000"/>
                <w:sz w:val="22"/>
                <w:szCs w:val="22"/>
              </w:rPr>
              <w:t>Total Burden (Hours)</w:t>
            </w:r>
          </w:p>
        </w:tc>
        <w:tc>
          <w:tcPr>
            <w:tcW w:w="900" w:type="dxa"/>
            <w:vAlign w:val="center"/>
          </w:tcPr>
          <w:p w:rsidR="001B0860" w:rsidRPr="009D08AC" w:rsidP="006F31FE" w14:paraId="46C2870A" w14:textId="77777777">
            <w:pPr>
              <w:keepNext/>
              <w:widowControl/>
              <w:jc w:val="center"/>
              <w:rPr>
                <w:sz w:val="24"/>
                <w:szCs w:val="24"/>
              </w:rPr>
            </w:pPr>
            <w:r w:rsidRPr="009D08AC">
              <w:rPr>
                <w:color w:val="000000"/>
                <w:sz w:val="22"/>
                <w:szCs w:val="22"/>
              </w:rPr>
              <w:t>Hourly Wage Rate</w:t>
            </w:r>
          </w:p>
        </w:tc>
        <w:tc>
          <w:tcPr>
            <w:tcW w:w="1355" w:type="dxa"/>
            <w:vAlign w:val="center"/>
          </w:tcPr>
          <w:p w:rsidR="001B0860" w:rsidRPr="009D08AC" w:rsidP="006F31FE" w14:paraId="2FC36EAA" w14:textId="717DF762">
            <w:pPr>
              <w:keepNext/>
              <w:widowControl/>
              <w:jc w:val="center"/>
              <w:rPr>
                <w:sz w:val="24"/>
                <w:szCs w:val="24"/>
              </w:rPr>
            </w:pPr>
            <w:r w:rsidRPr="009D08AC">
              <w:rPr>
                <w:color w:val="000000"/>
                <w:sz w:val="22"/>
                <w:szCs w:val="22"/>
              </w:rPr>
              <w:t>Equivalent Cost of Hour Burden</w:t>
            </w:r>
          </w:p>
        </w:tc>
      </w:tr>
      <w:tr w14:paraId="7C19D9AB" w14:textId="77777777" w:rsidTr="00E85FFB">
        <w:tblPrEx>
          <w:tblW w:w="12150" w:type="dxa"/>
          <w:tblLayout w:type="fixed"/>
          <w:tblLook w:val="04A0"/>
        </w:tblPrEx>
        <w:tc>
          <w:tcPr>
            <w:tcW w:w="3415" w:type="dxa"/>
          </w:tcPr>
          <w:p w:rsidR="0069059A" w:rsidRPr="009D08AC" w:rsidP="006F31FE" w14:paraId="001B0603" w14:textId="56DDFD5F">
            <w:pPr>
              <w:keepNext/>
              <w:widowControl/>
              <w:jc w:val="center"/>
              <w:rPr>
                <w:b w:val="0"/>
                <w:bCs w:val="0"/>
                <w:sz w:val="22"/>
                <w:szCs w:val="22"/>
              </w:rPr>
            </w:pPr>
            <w:r w:rsidRPr="009D08AC">
              <w:t>Legal professional develops disclosure materials for pre-2019 ICR</w:t>
            </w:r>
          </w:p>
        </w:tc>
        <w:tc>
          <w:tcPr>
            <w:tcW w:w="1440" w:type="dxa"/>
          </w:tcPr>
          <w:p w:rsidR="0069059A" w:rsidRPr="009D08AC" w:rsidP="006F31FE" w14:paraId="27C2559E" w14:textId="1D4E002D">
            <w:pPr>
              <w:keepNext/>
              <w:widowControl/>
              <w:jc w:val="center"/>
              <w:rPr>
                <w:b w:val="0"/>
                <w:bCs w:val="0"/>
                <w:sz w:val="22"/>
                <w:szCs w:val="22"/>
              </w:rPr>
            </w:pPr>
            <w:r w:rsidRPr="009D08AC">
              <w:t>31,957</w:t>
            </w:r>
          </w:p>
        </w:tc>
        <w:tc>
          <w:tcPr>
            <w:tcW w:w="1355" w:type="dxa"/>
          </w:tcPr>
          <w:p w:rsidR="0069059A" w:rsidRPr="009D08AC" w:rsidP="006F31FE" w14:paraId="655B4E89" w14:textId="54698FF2">
            <w:pPr>
              <w:keepNext/>
              <w:widowControl/>
              <w:jc w:val="center"/>
              <w:rPr>
                <w:b w:val="0"/>
                <w:bCs w:val="0"/>
                <w:sz w:val="22"/>
                <w:szCs w:val="22"/>
              </w:rPr>
            </w:pPr>
            <w:r w:rsidRPr="009D08AC">
              <w:t>1</w:t>
            </w:r>
          </w:p>
        </w:tc>
        <w:tc>
          <w:tcPr>
            <w:tcW w:w="1535" w:type="dxa"/>
          </w:tcPr>
          <w:p w:rsidR="0069059A" w:rsidRPr="009D08AC" w:rsidP="006F31FE" w14:paraId="7AE0D893" w14:textId="70C40955">
            <w:pPr>
              <w:keepNext/>
              <w:widowControl/>
              <w:jc w:val="center"/>
              <w:rPr>
                <w:b w:val="0"/>
                <w:bCs w:val="0"/>
                <w:sz w:val="22"/>
                <w:szCs w:val="22"/>
              </w:rPr>
            </w:pPr>
            <w:r w:rsidRPr="009D08AC">
              <w:t>31,957</w:t>
            </w:r>
          </w:p>
        </w:tc>
        <w:tc>
          <w:tcPr>
            <w:tcW w:w="1070" w:type="dxa"/>
          </w:tcPr>
          <w:p w:rsidR="0069059A" w:rsidRPr="009D08AC" w:rsidP="006F31FE" w14:paraId="1EE17471" w14:textId="2BA6FA97">
            <w:pPr>
              <w:keepNext/>
              <w:widowControl/>
              <w:jc w:val="center"/>
              <w:rPr>
                <w:b w:val="0"/>
                <w:bCs w:val="0"/>
                <w:sz w:val="22"/>
                <w:szCs w:val="22"/>
              </w:rPr>
            </w:pPr>
            <w:r w:rsidRPr="009D08AC">
              <w:t xml:space="preserve"> 10/60</w:t>
            </w:r>
          </w:p>
        </w:tc>
        <w:tc>
          <w:tcPr>
            <w:tcW w:w="1080" w:type="dxa"/>
          </w:tcPr>
          <w:p w:rsidR="0069059A" w:rsidRPr="009D08AC" w:rsidP="006F31FE" w14:paraId="4A3CE266" w14:textId="3FE83E4F">
            <w:pPr>
              <w:keepNext/>
              <w:widowControl/>
              <w:jc w:val="center"/>
              <w:rPr>
                <w:b w:val="0"/>
                <w:bCs w:val="0"/>
                <w:sz w:val="22"/>
                <w:szCs w:val="22"/>
              </w:rPr>
            </w:pPr>
            <w:r w:rsidRPr="009D08AC">
              <w:t>5,326</w:t>
            </w:r>
          </w:p>
        </w:tc>
        <w:tc>
          <w:tcPr>
            <w:tcW w:w="900" w:type="dxa"/>
          </w:tcPr>
          <w:p w:rsidR="0069059A" w:rsidRPr="009D08AC" w:rsidP="006F31FE" w14:paraId="1CC64A9C" w14:textId="4BAB332B">
            <w:pPr>
              <w:keepNext/>
              <w:widowControl/>
              <w:jc w:val="center"/>
              <w:rPr>
                <w:b w:val="0"/>
                <w:bCs w:val="0"/>
                <w:sz w:val="22"/>
                <w:szCs w:val="22"/>
              </w:rPr>
            </w:pPr>
            <w:r w:rsidRPr="009D08AC">
              <w:t xml:space="preserve">$181.06 </w:t>
            </w:r>
          </w:p>
        </w:tc>
        <w:tc>
          <w:tcPr>
            <w:tcW w:w="1355" w:type="dxa"/>
          </w:tcPr>
          <w:p w:rsidR="0069059A" w:rsidRPr="009D08AC" w:rsidP="006F31FE" w14:paraId="7E28F731" w14:textId="01D6C3A1">
            <w:pPr>
              <w:keepNext/>
              <w:widowControl/>
              <w:jc w:val="center"/>
              <w:rPr>
                <w:b w:val="0"/>
                <w:bCs w:val="0"/>
                <w:sz w:val="22"/>
                <w:szCs w:val="22"/>
              </w:rPr>
            </w:pPr>
            <w:r w:rsidRPr="009D08AC">
              <w:t xml:space="preserve">$964,342 </w:t>
            </w:r>
          </w:p>
        </w:tc>
      </w:tr>
      <w:tr w14:paraId="59933D35" w14:textId="77777777" w:rsidTr="00E85FFB">
        <w:tblPrEx>
          <w:tblW w:w="12150" w:type="dxa"/>
          <w:tblLayout w:type="fixed"/>
          <w:tblLook w:val="04A0"/>
        </w:tblPrEx>
        <w:tc>
          <w:tcPr>
            <w:tcW w:w="3415" w:type="dxa"/>
          </w:tcPr>
          <w:p w:rsidR="0069059A" w:rsidRPr="009D08AC" w:rsidP="006F31FE" w14:paraId="14FB62D1" w14:textId="271BA426">
            <w:pPr>
              <w:keepNext/>
              <w:widowControl/>
              <w:jc w:val="center"/>
              <w:rPr>
                <w:b w:val="0"/>
                <w:bCs w:val="0"/>
                <w:color w:val="000000"/>
                <w:sz w:val="22"/>
                <w:szCs w:val="22"/>
              </w:rPr>
            </w:pPr>
            <w:r w:rsidRPr="009D08AC">
              <w:t>Clerical professional photocopies and organizes materials for pre-2019 ICR</w:t>
            </w:r>
          </w:p>
        </w:tc>
        <w:tc>
          <w:tcPr>
            <w:tcW w:w="1440" w:type="dxa"/>
          </w:tcPr>
          <w:p w:rsidR="0069059A" w:rsidRPr="009D08AC" w:rsidP="006F31FE" w14:paraId="0B0AB030" w14:textId="6A75032C">
            <w:pPr>
              <w:keepNext/>
              <w:widowControl/>
              <w:jc w:val="center"/>
              <w:rPr>
                <w:b w:val="0"/>
                <w:bCs w:val="0"/>
                <w:color w:val="000000"/>
                <w:sz w:val="22"/>
                <w:szCs w:val="22"/>
              </w:rPr>
            </w:pPr>
            <w:r w:rsidRPr="009D08AC">
              <w:t>31,957</w:t>
            </w:r>
          </w:p>
        </w:tc>
        <w:tc>
          <w:tcPr>
            <w:tcW w:w="1355" w:type="dxa"/>
          </w:tcPr>
          <w:p w:rsidR="0069059A" w:rsidRPr="009D08AC" w:rsidP="006F31FE" w14:paraId="3415E71F" w14:textId="260796C3">
            <w:pPr>
              <w:keepNext/>
              <w:widowControl/>
              <w:jc w:val="center"/>
              <w:rPr>
                <w:b w:val="0"/>
                <w:bCs w:val="0"/>
                <w:color w:val="000000"/>
                <w:sz w:val="22"/>
                <w:szCs w:val="22"/>
              </w:rPr>
            </w:pPr>
            <w:r w:rsidRPr="009D08AC">
              <w:t>1</w:t>
            </w:r>
          </w:p>
        </w:tc>
        <w:tc>
          <w:tcPr>
            <w:tcW w:w="1535" w:type="dxa"/>
          </w:tcPr>
          <w:p w:rsidR="0069059A" w:rsidRPr="009D08AC" w:rsidP="006F31FE" w14:paraId="47506741" w14:textId="0C2F8046">
            <w:pPr>
              <w:keepNext/>
              <w:widowControl/>
              <w:jc w:val="center"/>
              <w:rPr>
                <w:b w:val="0"/>
                <w:bCs w:val="0"/>
                <w:color w:val="000000"/>
                <w:sz w:val="22"/>
                <w:szCs w:val="22"/>
              </w:rPr>
            </w:pPr>
            <w:r w:rsidRPr="009D08AC">
              <w:t>31,957</w:t>
            </w:r>
          </w:p>
        </w:tc>
        <w:tc>
          <w:tcPr>
            <w:tcW w:w="1070" w:type="dxa"/>
          </w:tcPr>
          <w:p w:rsidR="0069059A" w:rsidRPr="009D08AC" w:rsidP="006F31FE" w14:paraId="7295FE07" w14:textId="1558B135">
            <w:pPr>
              <w:keepNext/>
              <w:widowControl/>
              <w:jc w:val="center"/>
              <w:rPr>
                <w:b w:val="0"/>
                <w:bCs w:val="0"/>
                <w:sz w:val="22"/>
                <w:szCs w:val="22"/>
              </w:rPr>
            </w:pPr>
            <w:r w:rsidRPr="009D08AC">
              <w:t xml:space="preserve"> 15/60</w:t>
            </w:r>
          </w:p>
        </w:tc>
        <w:tc>
          <w:tcPr>
            <w:tcW w:w="1080" w:type="dxa"/>
          </w:tcPr>
          <w:p w:rsidR="0069059A" w:rsidRPr="009D08AC" w:rsidP="006F31FE" w14:paraId="7F3F5570" w14:textId="06930571">
            <w:pPr>
              <w:keepNext/>
              <w:widowControl/>
              <w:jc w:val="center"/>
              <w:rPr>
                <w:b w:val="0"/>
                <w:bCs w:val="0"/>
                <w:color w:val="000000"/>
                <w:sz w:val="22"/>
                <w:szCs w:val="22"/>
              </w:rPr>
            </w:pPr>
            <w:r w:rsidRPr="009D08AC">
              <w:t>7,989</w:t>
            </w:r>
          </w:p>
        </w:tc>
        <w:tc>
          <w:tcPr>
            <w:tcW w:w="900" w:type="dxa"/>
          </w:tcPr>
          <w:p w:rsidR="0069059A" w:rsidRPr="009D08AC" w:rsidP="006F31FE" w14:paraId="3BBDB67A" w14:textId="51446298">
            <w:pPr>
              <w:keepNext/>
              <w:widowControl/>
              <w:jc w:val="center"/>
              <w:rPr>
                <w:b w:val="0"/>
                <w:bCs w:val="0"/>
                <w:color w:val="000000"/>
                <w:sz w:val="22"/>
                <w:szCs w:val="22"/>
              </w:rPr>
            </w:pPr>
            <w:r w:rsidRPr="009D08AC">
              <w:t xml:space="preserve">$70.29 </w:t>
            </w:r>
          </w:p>
        </w:tc>
        <w:tc>
          <w:tcPr>
            <w:tcW w:w="1355" w:type="dxa"/>
          </w:tcPr>
          <w:p w:rsidR="0069059A" w:rsidRPr="009D08AC" w:rsidP="006F31FE" w14:paraId="780E4BD8" w14:textId="478730F1">
            <w:pPr>
              <w:keepNext/>
              <w:widowControl/>
              <w:jc w:val="center"/>
              <w:rPr>
                <w:b w:val="0"/>
                <w:bCs w:val="0"/>
                <w:color w:val="000000"/>
                <w:sz w:val="22"/>
                <w:szCs w:val="22"/>
              </w:rPr>
            </w:pPr>
            <w:r w:rsidRPr="009D08AC">
              <w:t xml:space="preserve">$561,556 </w:t>
            </w:r>
          </w:p>
        </w:tc>
      </w:tr>
      <w:tr w14:paraId="2D00FF25" w14:textId="77777777" w:rsidTr="00E85FFB">
        <w:tblPrEx>
          <w:tblW w:w="12150" w:type="dxa"/>
          <w:tblLayout w:type="fixed"/>
          <w:tblLook w:val="04A0"/>
        </w:tblPrEx>
        <w:tc>
          <w:tcPr>
            <w:tcW w:w="3415" w:type="dxa"/>
          </w:tcPr>
          <w:p w:rsidR="0069059A" w:rsidRPr="009D08AC" w:rsidP="006F31FE" w14:paraId="0DEBA92F" w14:textId="286D7195">
            <w:pPr>
              <w:keepNext/>
              <w:widowControl/>
              <w:jc w:val="center"/>
              <w:rPr>
                <w:b w:val="0"/>
                <w:bCs w:val="0"/>
                <w:sz w:val="22"/>
                <w:szCs w:val="22"/>
              </w:rPr>
            </w:pPr>
            <w:r w:rsidRPr="009D08AC">
              <w:t>Legal professional at Service Provider Develops 2002 safe harbor initial notice</w:t>
            </w:r>
          </w:p>
        </w:tc>
        <w:tc>
          <w:tcPr>
            <w:tcW w:w="1440" w:type="dxa"/>
          </w:tcPr>
          <w:p w:rsidR="0069059A" w:rsidRPr="009D08AC" w:rsidP="006F31FE" w14:paraId="24C61D2F" w14:textId="09AB276A">
            <w:pPr>
              <w:keepNext/>
              <w:widowControl/>
              <w:jc w:val="center"/>
              <w:rPr>
                <w:b w:val="0"/>
                <w:bCs w:val="0"/>
                <w:sz w:val="22"/>
                <w:szCs w:val="22"/>
              </w:rPr>
            </w:pPr>
            <w:r w:rsidRPr="009D08AC">
              <w:t>3,552</w:t>
            </w:r>
          </w:p>
        </w:tc>
        <w:tc>
          <w:tcPr>
            <w:tcW w:w="1355" w:type="dxa"/>
          </w:tcPr>
          <w:p w:rsidR="0069059A" w:rsidRPr="009D08AC" w:rsidP="006F31FE" w14:paraId="5F5A54E3" w14:textId="0613CF86">
            <w:pPr>
              <w:keepNext/>
              <w:widowControl/>
              <w:jc w:val="center"/>
              <w:rPr>
                <w:b w:val="0"/>
                <w:bCs w:val="0"/>
                <w:sz w:val="22"/>
                <w:szCs w:val="22"/>
              </w:rPr>
            </w:pPr>
            <w:r w:rsidRPr="009D08AC">
              <w:t>76</w:t>
            </w:r>
          </w:p>
        </w:tc>
        <w:tc>
          <w:tcPr>
            <w:tcW w:w="1535" w:type="dxa"/>
          </w:tcPr>
          <w:p w:rsidR="0069059A" w:rsidRPr="009D08AC" w:rsidP="006F31FE" w14:paraId="277766E0" w14:textId="410CFC21">
            <w:pPr>
              <w:keepNext/>
              <w:widowControl/>
              <w:jc w:val="center"/>
              <w:rPr>
                <w:b w:val="0"/>
                <w:bCs w:val="0"/>
                <w:sz w:val="22"/>
                <w:szCs w:val="22"/>
              </w:rPr>
            </w:pPr>
            <w:r w:rsidRPr="009D08AC">
              <w:t>269,741</w:t>
            </w:r>
          </w:p>
        </w:tc>
        <w:tc>
          <w:tcPr>
            <w:tcW w:w="1070" w:type="dxa"/>
          </w:tcPr>
          <w:p w:rsidR="0069059A" w:rsidRPr="009D08AC" w:rsidP="006F31FE" w14:paraId="2AB2741F" w14:textId="2A315D86">
            <w:pPr>
              <w:keepNext/>
              <w:widowControl/>
              <w:jc w:val="center"/>
              <w:rPr>
                <w:b w:val="0"/>
                <w:bCs w:val="0"/>
                <w:sz w:val="22"/>
                <w:szCs w:val="22"/>
              </w:rPr>
            </w:pPr>
            <w:r w:rsidRPr="009D08AC">
              <w:t xml:space="preserve">1     </w:t>
            </w:r>
          </w:p>
        </w:tc>
        <w:tc>
          <w:tcPr>
            <w:tcW w:w="1080" w:type="dxa"/>
          </w:tcPr>
          <w:p w:rsidR="0069059A" w:rsidRPr="009D08AC" w:rsidP="006F31FE" w14:paraId="1B1D8D73" w14:textId="42DDA7DC">
            <w:pPr>
              <w:keepNext/>
              <w:widowControl/>
              <w:jc w:val="center"/>
              <w:rPr>
                <w:b w:val="0"/>
                <w:bCs w:val="0"/>
                <w:sz w:val="22"/>
                <w:szCs w:val="22"/>
              </w:rPr>
            </w:pPr>
            <w:r w:rsidRPr="009D08AC">
              <w:t>3,552</w:t>
            </w:r>
          </w:p>
        </w:tc>
        <w:tc>
          <w:tcPr>
            <w:tcW w:w="900" w:type="dxa"/>
          </w:tcPr>
          <w:p w:rsidR="0069059A" w:rsidRPr="009D08AC" w:rsidP="006F31FE" w14:paraId="57C8337E" w14:textId="4C7D7604">
            <w:pPr>
              <w:keepNext/>
              <w:widowControl/>
              <w:jc w:val="center"/>
              <w:rPr>
                <w:b w:val="0"/>
                <w:bCs w:val="0"/>
                <w:sz w:val="22"/>
                <w:szCs w:val="22"/>
              </w:rPr>
            </w:pPr>
            <w:r w:rsidRPr="009D08AC">
              <w:t xml:space="preserve">$181.06 </w:t>
            </w:r>
          </w:p>
        </w:tc>
        <w:tc>
          <w:tcPr>
            <w:tcW w:w="1355" w:type="dxa"/>
          </w:tcPr>
          <w:p w:rsidR="0069059A" w:rsidRPr="009D08AC" w:rsidP="006F31FE" w14:paraId="366C43E3" w14:textId="04256228">
            <w:pPr>
              <w:keepNext/>
              <w:widowControl/>
              <w:jc w:val="center"/>
              <w:rPr>
                <w:b w:val="0"/>
                <w:bCs w:val="0"/>
                <w:sz w:val="22"/>
                <w:szCs w:val="22"/>
              </w:rPr>
            </w:pPr>
            <w:r w:rsidRPr="009D08AC">
              <w:t xml:space="preserve">$643,125 </w:t>
            </w:r>
          </w:p>
        </w:tc>
      </w:tr>
      <w:tr w14:paraId="3C75B6B1" w14:textId="77777777" w:rsidTr="00E85FFB">
        <w:tblPrEx>
          <w:tblW w:w="12150" w:type="dxa"/>
          <w:tblLayout w:type="fixed"/>
          <w:tblLook w:val="04A0"/>
        </w:tblPrEx>
        <w:tc>
          <w:tcPr>
            <w:tcW w:w="3415" w:type="dxa"/>
          </w:tcPr>
          <w:p w:rsidR="0069059A" w:rsidRPr="009D08AC" w:rsidP="006F31FE" w14:paraId="14D2CB4A" w14:textId="29333ED2">
            <w:pPr>
              <w:keepNext/>
              <w:widowControl/>
              <w:jc w:val="center"/>
              <w:rPr>
                <w:b w:val="0"/>
                <w:bCs w:val="0"/>
                <w:sz w:val="22"/>
                <w:szCs w:val="22"/>
              </w:rPr>
            </w:pPr>
            <w:r w:rsidRPr="009D08AC">
              <w:t>In-House Legal professional Develops 2002 safe harbor initial notice</w:t>
            </w:r>
          </w:p>
        </w:tc>
        <w:tc>
          <w:tcPr>
            <w:tcW w:w="1440" w:type="dxa"/>
          </w:tcPr>
          <w:p w:rsidR="0069059A" w:rsidRPr="009D08AC" w:rsidP="006F31FE" w14:paraId="75CD8443" w14:textId="2DFDD129">
            <w:pPr>
              <w:keepNext/>
              <w:widowControl/>
              <w:jc w:val="center"/>
              <w:rPr>
                <w:b w:val="0"/>
                <w:bCs w:val="0"/>
                <w:sz w:val="22"/>
                <w:szCs w:val="22"/>
              </w:rPr>
            </w:pPr>
            <w:r w:rsidRPr="009D08AC">
              <w:t>29,971</w:t>
            </w:r>
          </w:p>
        </w:tc>
        <w:tc>
          <w:tcPr>
            <w:tcW w:w="1355" w:type="dxa"/>
          </w:tcPr>
          <w:p w:rsidR="0069059A" w:rsidRPr="009D08AC" w:rsidP="006F31FE" w14:paraId="6857E8E3" w14:textId="7D4DE7AF">
            <w:pPr>
              <w:keepNext/>
              <w:widowControl/>
              <w:jc w:val="center"/>
              <w:rPr>
                <w:b w:val="0"/>
                <w:bCs w:val="0"/>
                <w:sz w:val="22"/>
                <w:szCs w:val="22"/>
              </w:rPr>
            </w:pPr>
            <w:r w:rsidRPr="009D08AC">
              <w:t>1</w:t>
            </w:r>
          </w:p>
        </w:tc>
        <w:tc>
          <w:tcPr>
            <w:tcW w:w="1535" w:type="dxa"/>
          </w:tcPr>
          <w:p w:rsidR="0069059A" w:rsidRPr="009D08AC" w:rsidP="006F31FE" w14:paraId="0F8E31B2" w14:textId="30BE23F4">
            <w:pPr>
              <w:keepNext/>
              <w:widowControl/>
              <w:jc w:val="center"/>
              <w:rPr>
                <w:b w:val="0"/>
                <w:bCs w:val="0"/>
                <w:sz w:val="22"/>
                <w:szCs w:val="22"/>
              </w:rPr>
            </w:pPr>
            <w:r w:rsidRPr="009D08AC">
              <w:t>29,971</w:t>
            </w:r>
          </w:p>
        </w:tc>
        <w:tc>
          <w:tcPr>
            <w:tcW w:w="1070" w:type="dxa"/>
          </w:tcPr>
          <w:p w:rsidR="0069059A" w:rsidRPr="009D08AC" w:rsidP="006F31FE" w14:paraId="5D153C59" w14:textId="09761964">
            <w:pPr>
              <w:keepNext/>
              <w:widowControl/>
              <w:jc w:val="center"/>
              <w:rPr>
                <w:b w:val="0"/>
                <w:bCs w:val="0"/>
                <w:sz w:val="22"/>
                <w:szCs w:val="22"/>
              </w:rPr>
            </w:pPr>
            <w:r w:rsidRPr="009D08AC">
              <w:t xml:space="preserve">1     </w:t>
            </w:r>
          </w:p>
        </w:tc>
        <w:tc>
          <w:tcPr>
            <w:tcW w:w="1080" w:type="dxa"/>
          </w:tcPr>
          <w:p w:rsidR="0069059A" w:rsidRPr="009D08AC" w:rsidP="006F31FE" w14:paraId="12B91580" w14:textId="12B8CB53">
            <w:pPr>
              <w:keepNext/>
              <w:widowControl/>
              <w:jc w:val="center"/>
              <w:rPr>
                <w:b w:val="0"/>
                <w:bCs w:val="0"/>
                <w:sz w:val="22"/>
                <w:szCs w:val="22"/>
              </w:rPr>
            </w:pPr>
            <w:r w:rsidRPr="009D08AC">
              <w:t>29,971</w:t>
            </w:r>
          </w:p>
        </w:tc>
        <w:tc>
          <w:tcPr>
            <w:tcW w:w="900" w:type="dxa"/>
          </w:tcPr>
          <w:p w:rsidR="0069059A" w:rsidRPr="009D08AC" w:rsidP="006F31FE" w14:paraId="617A89F1" w14:textId="565CF941">
            <w:pPr>
              <w:keepNext/>
              <w:widowControl/>
              <w:jc w:val="center"/>
              <w:rPr>
                <w:b w:val="0"/>
                <w:bCs w:val="0"/>
                <w:sz w:val="22"/>
                <w:szCs w:val="22"/>
              </w:rPr>
            </w:pPr>
            <w:r w:rsidRPr="009D08AC">
              <w:t xml:space="preserve">$181.06 </w:t>
            </w:r>
          </w:p>
        </w:tc>
        <w:tc>
          <w:tcPr>
            <w:tcW w:w="1355" w:type="dxa"/>
          </w:tcPr>
          <w:p w:rsidR="0069059A" w:rsidRPr="009D08AC" w:rsidP="006F31FE" w14:paraId="350AD677" w14:textId="47D3251B">
            <w:pPr>
              <w:keepNext/>
              <w:widowControl/>
              <w:jc w:val="center"/>
              <w:rPr>
                <w:b w:val="0"/>
                <w:bCs w:val="0"/>
                <w:sz w:val="22"/>
                <w:szCs w:val="22"/>
              </w:rPr>
            </w:pPr>
            <w:r w:rsidRPr="009D08AC">
              <w:t xml:space="preserve">$5,426,592 </w:t>
            </w:r>
          </w:p>
        </w:tc>
      </w:tr>
      <w:tr w14:paraId="2E026718" w14:textId="77777777" w:rsidTr="00E85FFB">
        <w:tblPrEx>
          <w:tblW w:w="12150" w:type="dxa"/>
          <w:tblLayout w:type="fixed"/>
          <w:tblLook w:val="04A0"/>
        </w:tblPrEx>
        <w:tc>
          <w:tcPr>
            <w:tcW w:w="3415" w:type="dxa"/>
          </w:tcPr>
          <w:p w:rsidR="0069059A" w:rsidRPr="009D08AC" w:rsidP="006F31FE" w14:paraId="52AC3D57" w14:textId="0A434545">
            <w:pPr>
              <w:keepNext/>
              <w:widowControl/>
              <w:jc w:val="center"/>
              <w:rPr>
                <w:b w:val="0"/>
                <w:bCs w:val="0"/>
                <w:sz w:val="22"/>
                <w:szCs w:val="22"/>
              </w:rPr>
            </w:pPr>
            <w:r w:rsidRPr="009D08AC">
              <w:t xml:space="preserve">Clerical Professional Adds </w:t>
            </w:r>
            <w:r w:rsidRPr="009D08AC">
              <w:t>contact</w:t>
            </w:r>
            <w:r w:rsidRPr="009D08AC">
              <w:t xml:space="preserve"> Information to Template 2002 safe harbor initial notice</w:t>
            </w:r>
          </w:p>
        </w:tc>
        <w:tc>
          <w:tcPr>
            <w:tcW w:w="1440" w:type="dxa"/>
          </w:tcPr>
          <w:p w:rsidR="0069059A" w:rsidRPr="009D08AC" w:rsidP="006F31FE" w14:paraId="34BA1031" w14:textId="51C50DFB">
            <w:pPr>
              <w:keepNext/>
              <w:widowControl/>
              <w:jc w:val="center"/>
              <w:rPr>
                <w:b w:val="0"/>
                <w:bCs w:val="0"/>
                <w:sz w:val="22"/>
                <w:szCs w:val="22"/>
              </w:rPr>
            </w:pPr>
            <w:r w:rsidRPr="009D08AC">
              <w:t>269,741</w:t>
            </w:r>
          </w:p>
        </w:tc>
        <w:tc>
          <w:tcPr>
            <w:tcW w:w="1355" w:type="dxa"/>
          </w:tcPr>
          <w:p w:rsidR="0069059A" w:rsidRPr="009D08AC" w:rsidP="006F31FE" w14:paraId="610BFC9E" w14:textId="0FB62C94">
            <w:pPr>
              <w:keepNext/>
              <w:widowControl/>
              <w:jc w:val="center"/>
              <w:rPr>
                <w:b w:val="0"/>
                <w:bCs w:val="0"/>
                <w:sz w:val="22"/>
                <w:szCs w:val="22"/>
              </w:rPr>
            </w:pPr>
            <w:r w:rsidRPr="009D08AC">
              <w:t>7.27</w:t>
            </w:r>
          </w:p>
        </w:tc>
        <w:tc>
          <w:tcPr>
            <w:tcW w:w="1535" w:type="dxa"/>
          </w:tcPr>
          <w:p w:rsidR="0069059A" w:rsidRPr="009D08AC" w:rsidP="006F31FE" w14:paraId="23E72AEB" w14:textId="5AD8EDCD">
            <w:pPr>
              <w:keepNext/>
              <w:widowControl/>
              <w:jc w:val="center"/>
              <w:rPr>
                <w:b w:val="0"/>
                <w:bCs w:val="0"/>
                <w:sz w:val="22"/>
                <w:szCs w:val="22"/>
              </w:rPr>
            </w:pPr>
            <w:r w:rsidRPr="009D08AC">
              <w:t>1,961,730</w:t>
            </w:r>
          </w:p>
        </w:tc>
        <w:tc>
          <w:tcPr>
            <w:tcW w:w="1070" w:type="dxa"/>
          </w:tcPr>
          <w:p w:rsidR="0069059A" w:rsidRPr="009D08AC" w:rsidP="006F31FE" w14:paraId="766633F6" w14:textId="4F27A89D">
            <w:pPr>
              <w:keepNext/>
              <w:widowControl/>
              <w:jc w:val="center"/>
              <w:rPr>
                <w:b w:val="0"/>
                <w:bCs w:val="0"/>
                <w:sz w:val="22"/>
                <w:szCs w:val="22"/>
              </w:rPr>
            </w:pPr>
            <w:r w:rsidRPr="009D08AC">
              <w:t xml:space="preserve"> 5/60</w:t>
            </w:r>
          </w:p>
        </w:tc>
        <w:tc>
          <w:tcPr>
            <w:tcW w:w="1080" w:type="dxa"/>
          </w:tcPr>
          <w:p w:rsidR="0069059A" w:rsidRPr="009D08AC" w:rsidP="006F31FE" w14:paraId="49E46638" w14:textId="3F7C7264">
            <w:pPr>
              <w:keepNext/>
              <w:widowControl/>
              <w:jc w:val="center"/>
              <w:rPr>
                <w:b w:val="0"/>
                <w:bCs w:val="0"/>
                <w:sz w:val="22"/>
                <w:szCs w:val="22"/>
              </w:rPr>
            </w:pPr>
            <w:r w:rsidRPr="009D08AC">
              <w:t>22,478</w:t>
            </w:r>
          </w:p>
        </w:tc>
        <w:tc>
          <w:tcPr>
            <w:tcW w:w="900" w:type="dxa"/>
          </w:tcPr>
          <w:p w:rsidR="0069059A" w:rsidRPr="009D08AC" w:rsidP="006F31FE" w14:paraId="5A3243F0" w14:textId="243D3AA0">
            <w:pPr>
              <w:keepNext/>
              <w:widowControl/>
              <w:jc w:val="center"/>
              <w:rPr>
                <w:b w:val="0"/>
                <w:bCs w:val="0"/>
                <w:sz w:val="22"/>
                <w:szCs w:val="22"/>
              </w:rPr>
            </w:pPr>
            <w:r w:rsidRPr="009D08AC">
              <w:t xml:space="preserve">$70.29 </w:t>
            </w:r>
          </w:p>
        </w:tc>
        <w:tc>
          <w:tcPr>
            <w:tcW w:w="1355" w:type="dxa"/>
          </w:tcPr>
          <w:p w:rsidR="0069059A" w:rsidRPr="009D08AC" w:rsidP="006F31FE" w14:paraId="556546F9" w14:textId="5BFECCDD">
            <w:pPr>
              <w:keepNext/>
              <w:widowControl/>
              <w:jc w:val="center"/>
              <w:rPr>
                <w:b w:val="0"/>
                <w:bCs w:val="0"/>
                <w:sz w:val="22"/>
                <w:szCs w:val="22"/>
              </w:rPr>
            </w:pPr>
            <w:r w:rsidRPr="009D08AC">
              <w:t xml:space="preserve">$1,580,009 </w:t>
            </w:r>
          </w:p>
        </w:tc>
      </w:tr>
      <w:tr w14:paraId="34A10BF2" w14:textId="77777777" w:rsidTr="00E85FFB">
        <w:tblPrEx>
          <w:tblW w:w="12150" w:type="dxa"/>
          <w:tblLayout w:type="fixed"/>
          <w:tblLook w:val="04A0"/>
        </w:tblPrEx>
        <w:tc>
          <w:tcPr>
            <w:tcW w:w="3415" w:type="dxa"/>
          </w:tcPr>
          <w:p w:rsidR="0069059A" w:rsidRPr="009D08AC" w:rsidP="006F31FE" w14:paraId="789FFA36" w14:textId="2F0CA2CA">
            <w:pPr>
              <w:keepNext/>
              <w:widowControl/>
              <w:jc w:val="center"/>
              <w:rPr>
                <w:b w:val="0"/>
                <w:bCs w:val="0"/>
                <w:sz w:val="22"/>
                <w:szCs w:val="22"/>
              </w:rPr>
            </w:pPr>
            <w:r w:rsidRPr="009D08AC">
              <w:t xml:space="preserve">Clerical </w:t>
            </w:r>
            <w:r w:rsidRPr="009D08AC">
              <w:t>professional prepares</w:t>
            </w:r>
            <w:r w:rsidRPr="009D08AC">
              <w:t xml:space="preserve"> materials for notice of internet availability</w:t>
            </w:r>
          </w:p>
        </w:tc>
        <w:tc>
          <w:tcPr>
            <w:tcW w:w="1440" w:type="dxa"/>
          </w:tcPr>
          <w:p w:rsidR="0069059A" w:rsidRPr="009D08AC" w:rsidP="006F31FE" w14:paraId="2C4EDF7B" w14:textId="58E2E56F">
            <w:pPr>
              <w:keepNext/>
              <w:widowControl/>
              <w:jc w:val="center"/>
              <w:rPr>
                <w:b w:val="0"/>
                <w:bCs w:val="0"/>
                <w:sz w:val="22"/>
                <w:szCs w:val="22"/>
              </w:rPr>
            </w:pPr>
            <w:r w:rsidRPr="009D08AC">
              <w:t>801,370</w:t>
            </w:r>
          </w:p>
        </w:tc>
        <w:tc>
          <w:tcPr>
            <w:tcW w:w="1355" w:type="dxa"/>
          </w:tcPr>
          <w:p w:rsidR="0069059A" w:rsidRPr="009D08AC" w:rsidP="006F31FE" w14:paraId="68E040E1" w14:textId="1388BD80">
            <w:pPr>
              <w:keepNext/>
              <w:widowControl/>
              <w:jc w:val="center"/>
              <w:rPr>
                <w:b w:val="0"/>
                <w:bCs w:val="0"/>
                <w:sz w:val="22"/>
                <w:szCs w:val="22"/>
              </w:rPr>
            </w:pPr>
            <w:r w:rsidRPr="009D08AC">
              <w:t>4.55</w:t>
            </w:r>
          </w:p>
        </w:tc>
        <w:tc>
          <w:tcPr>
            <w:tcW w:w="1535" w:type="dxa"/>
          </w:tcPr>
          <w:p w:rsidR="0069059A" w:rsidRPr="009D08AC" w:rsidP="006F31FE" w14:paraId="7E25F7B6" w14:textId="7FDA99BC">
            <w:pPr>
              <w:keepNext/>
              <w:widowControl/>
              <w:jc w:val="center"/>
              <w:rPr>
                <w:b w:val="0"/>
                <w:bCs w:val="0"/>
                <w:sz w:val="22"/>
                <w:szCs w:val="22"/>
              </w:rPr>
            </w:pPr>
            <w:r w:rsidRPr="009D08AC">
              <w:t>3,648,272</w:t>
            </w:r>
          </w:p>
        </w:tc>
        <w:tc>
          <w:tcPr>
            <w:tcW w:w="1070" w:type="dxa"/>
          </w:tcPr>
          <w:p w:rsidR="0069059A" w:rsidRPr="009D08AC" w:rsidP="006F31FE" w14:paraId="119D0A9D" w14:textId="0048B105">
            <w:pPr>
              <w:keepNext/>
              <w:widowControl/>
              <w:jc w:val="center"/>
              <w:rPr>
                <w:b w:val="0"/>
                <w:bCs w:val="0"/>
                <w:sz w:val="22"/>
                <w:szCs w:val="22"/>
              </w:rPr>
            </w:pPr>
            <w:r w:rsidRPr="009D08AC">
              <w:t xml:space="preserve"> 5/60</w:t>
            </w:r>
          </w:p>
        </w:tc>
        <w:tc>
          <w:tcPr>
            <w:tcW w:w="1080" w:type="dxa"/>
          </w:tcPr>
          <w:p w:rsidR="0069059A" w:rsidRPr="009D08AC" w:rsidP="006F31FE" w14:paraId="50ACE880" w14:textId="7FBBB9B2">
            <w:pPr>
              <w:keepNext/>
              <w:widowControl/>
              <w:jc w:val="center"/>
              <w:rPr>
                <w:b w:val="0"/>
                <w:bCs w:val="0"/>
                <w:sz w:val="22"/>
                <w:szCs w:val="22"/>
              </w:rPr>
            </w:pPr>
            <w:r w:rsidRPr="009D08AC">
              <w:t>304,023</w:t>
            </w:r>
          </w:p>
        </w:tc>
        <w:tc>
          <w:tcPr>
            <w:tcW w:w="900" w:type="dxa"/>
          </w:tcPr>
          <w:p w:rsidR="0069059A" w:rsidRPr="009D08AC" w:rsidP="006F31FE" w14:paraId="14604A93" w14:textId="5FCFDA4C">
            <w:pPr>
              <w:keepNext/>
              <w:widowControl/>
              <w:jc w:val="center"/>
              <w:rPr>
                <w:b w:val="0"/>
                <w:bCs w:val="0"/>
                <w:sz w:val="22"/>
                <w:szCs w:val="22"/>
              </w:rPr>
            </w:pPr>
            <w:r w:rsidRPr="009D08AC">
              <w:t xml:space="preserve">$70.29 </w:t>
            </w:r>
          </w:p>
        </w:tc>
        <w:tc>
          <w:tcPr>
            <w:tcW w:w="1355" w:type="dxa"/>
          </w:tcPr>
          <w:p w:rsidR="0069059A" w:rsidRPr="009D08AC" w:rsidP="006F31FE" w14:paraId="4D19953C" w14:textId="43F68EC5">
            <w:pPr>
              <w:keepNext/>
              <w:widowControl/>
              <w:jc w:val="center"/>
              <w:rPr>
                <w:b w:val="0"/>
                <w:bCs w:val="0"/>
                <w:sz w:val="22"/>
                <w:szCs w:val="22"/>
              </w:rPr>
            </w:pPr>
            <w:r w:rsidRPr="009D08AC">
              <w:t xml:space="preserve">$21,369,753 </w:t>
            </w:r>
          </w:p>
        </w:tc>
      </w:tr>
      <w:tr w14:paraId="39B52B9D" w14:textId="77777777" w:rsidTr="00E85FFB">
        <w:tblPrEx>
          <w:tblW w:w="12150" w:type="dxa"/>
          <w:tblLayout w:type="fixed"/>
          <w:tblLook w:val="04A0"/>
        </w:tblPrEx>
        <w:tc>
          <w:tcPr>
            <w:tcW w:w="3415" w:type="dxa"/>
          </w:tcPr>
          <w:p w:rsidR="0069059A" w:rsidRPr="009D08AC" w:rsidP="006F31FE" w14:paraId="2AA242D2" w14:textId="64CFEA64">
            <w:pPr>
              <w:keepNext/>
              <w:widowControl/>
              <w:jc w:val="center"/>
              <w:rPr>
                <w:b w:val="0"/>
                <w:bCs w:val="0"/>
                <w:color w:val="000000"/>
                <w:sz w:val="22"/>
                <w:szCs w:val="22"/>
              </w:rPr>
            </w:pPr>
            <w:r w:rsidRPr="009D08AC">
              <w:t>Clerical professional prepares a list of bounced emails</w:t>
            </w:r>
          </w:p>
        </w:tc>
        <w:tc>
          <w:tcPr>
            <w:tcW w:w="1440" w:type="dxa"/>
          </w:tcPr>
          <w:p w:rsidR="0069059A" w:rsidRPr="009D08AC" w:rsidP="006F31FE" w14:paraId="2DEA307B" w14:textId="175FDB78">
            <w:pPr>
              <w:keepNext/>
              <w:widowControl/>
              <w:jc w:val="center"/>
              <w:rPr>
                <w:b w:val="0"/>
                <w:bCs w:val="0"/>
                <w:color w:val="000000"/>
                <w:sz w:val="22"/>
                <w:szCs w:val="22"/>
              </w:rPr>
            </w:pPr>
            <w:r w:rsidRPr="009D08AC">
              <w:t>801,370</w:t>
            </w:r>
          </w:p>
        </w:tc>
        <w:tc>
          <w:tcPr>
            <w:tcW w:w="1355" w:type="dxa"/>
          </w:tcPr>
          <w:p w:rsidR="0069059A" w:rsidRPr="009D08AC" w:rsidP="006F31FE" w14:paraId="0C52AF63" w14:textId="5373359A">
            <w:pPr>
              <w:keepNext/>
              <w:widowControl/>
              <w:jc w:val="center"/>
              <w:rPr>
                <w:b w:val="0"/>
                <w:bCs w:val="0"/>
                <w:color w:val="000000"/>
                <w:sz w:val="22"/>
                <w:szCs w:val="22"/>
              </w:rPr>
            </w:pPr>
            <w:r w:rsidRPr="009D08AC">
              <w:t>4.55</w:t>
            </w:r>
          </w:p>
        </w:tc>
        <w:tc>
          <w:tcPr>
            <w:tcW w:w="1535" w:type="dxa"/>
          </w:tcPr>
          <w:p w:rsidR="0069059A" w:rsidRPr="009D08AC" w:rsidP="006F31FE" w14:paraId="5B1F0E21" w14:textId="05DC38D4">
            <w:pPr>
              <w:keepNext/>
              <w:widowControl/>
              <w:jc w:val="center"/>
              <w:rPr>
                <w:b w:val="0"/>
                <w:bCs w:val="0"/>
                <w:color w:val="000000"/>
                <w:sz w:val="22"/>
                <w:szCs w:val="22"/>
              </w:rPr>
            </w:pPr>
            <w:r w:rsidRPr="009D08AC">
              <w:t>3,648,272</w:t>
            </w:r>
          </w:p>
        </w:tc>
        <w:tc>
          <w:tcPr>
            <w:tcW w:w="1070" w:type="dxa"/>
          </w:tcPr>
          <w:p w:rsidR="0069059A" w:rsidRPr="009D08AC" w:rsidP="006F31FE" w14:paraId="516DE56C" w14:textId="6C7CD55C">
            <w:pPr>
              <w:keepNext/>
              <w:widowControl/>
              <w:jc w:val="center"/>
              <w:rPr>
                <w:b w:val="0"/>
                <w:bCs w:val="0"/>
                <w:sz w:val="22"/>
                <w:szCs w:val="22"/>
              </w:rPr>
            </w:pPr>
            <w:r w:rsidRPr="009D08AC">
              <w:t xml:space="preserve"> 8/60</w:t>
            </w:r>
          </w:p>
        </w:tc>
        <w:tc>
          <w:tcPr>
            <w:tcW w:w="1080" w:type="dxa"/>
          </w:tcPr>
          <w:p w:rsidR="0069059A" w:rsidRPr="009D08AC" w:rsidP="006F31FE" w14:paraId="00074D7C" w14:textId="0C121B0B">
            <w:pPr>
              <w:keepNext/>
              <w:widowControl/>
              <w:jc w:val="center"/>
              <w:rPr>
                <w:b w:val="0"/>
                <w:bCs w:val="0"/>
                <w:color w:val="000000"/>
                <w:sz w:val="22"/>
                <w:szCs w:val="22"/>
              </w:rPr>
            </w:pPr>
            <w:r w:rsidRPr="009D08AC">
              <w:t>456,034</w:t>
            </w:r>
          </w:p>
        </w:tc>
        <w:tc>
          <w:tcPr>
            <w:tcW w:w="900" w:type="dxa"/>
          </w:tcPr>
          <w:p w:rsidR="0069059A" w:rsidRPr="009D08AC" w:rsidP="006F31FE" w14:paraId="33343B14" w14:textId="2DA428C6">
            <w:pPr>
              <w:keepNext/>
              <w:widowControl/>
              <w:jc w:val="center"/>
              <w:rPr>
                <w:b w:val="0"/>
                <w:bCs w:val="0"/>
                <w:color w:val="000000"/>
                <w:sz w:val="22"/>
                <w:szCs w:val="22"/>
              </w:rPr>
            </w:pPr>
            <w:r w:rsidRPr="009D08AC">
              <w:t xml:space="preserve">$70.29 </w:t>
            </w:r>
          </w:p>
        </w:tc>
        <w:tc>
          <w:tcPr>
            <w:tcW w:w="1355" w:type="dxa"/>
          </w:tcPr>
          <w:p w:rsidR="0069059A" w:rsidRPr="009D08AC" w:rsidP="006F31FE" w14:paraId="75CB4E79" w14:textId="0DBCFB1D">
            <w:pPr>
              <w:keepNext/>
              <w:widowControl/>
              <w:jc w:val="center"/>
              <w:rPr>
                <w:b w:val="0"/>
                <w:bCs w:val="0"/>
                <w:color w:val="000000"/>
                <w:sz w:val="22"/>
                <w:szCs w:val="22"/>
              </w:rPr>
            </w:pPr>
            <w:r w:rsidRPr="009D08AC">
              <w:t xml:space="preserve">$32,054,630 </w:t>
            </w:r>
          </w:p>
        </w:tc>
      </w:tr>
      <w:tr w14:paraId="64ED61E9" w14:textId="77777777" w:rsidTr="00E85FFB">
        <w:tblPrEx>
          <w:tblW w:w="12150" w:type="dxa"/>
          <w:tblLayout w:type="fixed"/>
          <w:tblLook w:val="04A0"/>
        </w:tblPrEx>
        <w:tc>
          <w:tcPr>
            <w:tcW w:w="3415" w:type="dxa"/>
          </w:tcPr>
          <w:p w:rsidR="0069059A" w:rsidRPr="009D08AC" w:rsidP="006F31FE" w14:paraId="593D6A51" w14:textId="4D6DD846">
            <w:pPr>
              <w:keepNext/>
              <w:widowControl/>
              <w:jc w:val="center"/>
              <w:rPr>
                <w:b w:val="0"/>
                <w:bCs w:val="0"/>
                <w:color w:val="000000"/>
                <w:sz w:val="22"/>
                <w:szCs w:val="22"/>
              </w:rPr>
            </w:pPr>
            <w:r w:rsidRPr="009D08AC">
              <w:t>Programming professional reviews requirements and disclosures on website</w:t>
            </w:r>
          </w:p>
        </w:tc>
        <w:tc>
          <w:tcPr>
            <w:tcW w:w="1440" w:type="dxa"/>
          </w:tcPr>
          <w:p w:rsidR="0069059A" w:rsidRPr="009D08AC" w:rsidP="006F31FE" w14:paraId="24248556" w14:textId="0EECCEC7">
            <w:pPr>
              <w:keepNext/>
              <w:widowControl/>
              <w:jc w:val="center"/>
              <w:rPr>
                <w:b w:val="0"/>
                <w:bCs w:val="0"/>
                <w:color w:val="000000"/>
                <w:sz w:val="22"/>
                <w:szCs w:val="22"/>
              </w:rPr>
            </w:pPr>
            <w:r w:rsidRPr="009D08AC">
              <w:t>801,370</w:t>
            </w:r>
          </w:p>
        </w:tc>
        <w:tc>
          <w:tcPr>
            <w:tcW w:w="1355" w:type="dxa"/>
          </w:tcPr>
          <w:p w:rsidR="0069059A" w:rsidRPr="009D08AC" w:rsidP="006F31FE" w14:paraId="281BFAE7" w14:textId="2DC565F6">
            <w:pPr>
              <w:keepNext/>
              <w:widowControl/>
              <w:jc w:val="center"/>
              <w:rPr>
                <w:b w:val="0"/>
                <w:bCs w:val="0"/>
                <w:color w:val="000000"/>
                <w:sz w:val="22"/>
                <w:szCs w:val="22"/>
              </w:rPr>
            </w:pPr>
            <w:r w:rsidRPr="009D08AC">
              <w:t>4.53</w:t>
            </w:r>
          </w:p>
        </w:tc>
        <w:tc>
          <w:tcPr>
            <w:tcW w:w="1535" w:type="dxa"/>
          </w:tcPr>
          <w:p w:rsidR="0069059A" w:rsidRPr="009D08AC" w:rsidP="006F31FE" w14:paraId="54752E68" w14:textId="08E554A7">
            <w:pPr>
              <w:keepNext/>
              <w:widowControl/>
              <w:jc w:val="center"/>
              <w:rPr>
                <w:b w:val="0"/>
                <w:bCs w:val="0"/>
                <w:color w:val="000000"/>
                <w:sz w:val="22"/>
                <w:szCs w:val="22"/>
              </w:rPr>
            </w:pPr>
            <w:r w:rsidRPr="009D08AC">
              <w:t>3,631,778</w:t>
            </w:r>
          </w:p>
        </w:tc>
        <w:tc>
          <w:tcPr>
            <w:tcW w:w="1070" w:type="dxa"/>
          </w:tcPr>
          <w:p w:rsidR="0069059A" w:rsidRPr="009D08AC" w:rsidP="006F31FE" w14:paraId="2E82385B" w14:textId="60ED4CAE">
            <w:pPr>
              <w:keepNext/>
              <w:widowControl/>
              <w:jc w:val="center"/>
              <w:rPr>
                <w:b w:val="0"/>
                <w:bCs w:val="0"/>
                <w:sz w:val="22"/>
                <w:szCs w:val="22"/>
              </w:rPr>
            </w:pPr>
            <w:r w:rsidRPr="009D08AC">
              <w:t xml:space="preserve"> 5/60</w:t>
            </w:r>
          </w:p>
        </w:tc>
        <w:tc>
          <w:tcPr>
            <w:tcW w:w="1080" w:type="dxa"/>
          </w:tcPr>
          <w:p w:rsidR="0069059A" w:rsidRPr="009D08AC" w:rsidP="006F31FE" w14:paraId="54B8B61A" w14:textId="0AA38A07">
            <w:pPr>
              <w:keepNext/>
              <w:widowControl/>
              <w:jc w:val="center"/>
              <w:rPr>
                <w:b w:val="0"/>
                <w:bCs w:val="0"/>
                <w:color w:val="000000"/>
                <w:sz w:val="22"/>
                <w:szCs w:val="22"/>
              </w:rPr>
            </w:pPr>
            <w:r w:rsidRPr="009D08AC">
              <w:t>302,648</w:t>
            </w:r>
          </w:p>
        </w:tc>
        <w:tc>
          <w:tcPr>
            <w:tcW w:w="900" w:type="dxa"/>
          </w:tcPr>
          <w:p w:rsidR="0069059A" w:rsidRPr="009D08AC" w:rsidP="006F31FE" w14:paraId="4D2EE261" w14:textId="3EF2E7B7">
            <w:pPr>
              <w:keepNext/>
              <w:widowControl/>
              <w:jc w:val="center"/>
              <w:rPr>
                <w:b w:val="0"/>
                <w:bCs w:val="0"/>
                <w:color w:val="000000"/>
                <w:sz w:val="22"/>
                <w:szCs w:val="22"/>
              </w:rPr>
            </w:pPr>
            <w:r w:rsidRPr="009D08AC">
              <w:t xml:space="preserve">$130.33 </w:t>
            </w:r>
          </w:p>
        </w:tc>
        <w:tc>
          <w:tcPr>
            <w:tcW w:w="1355" w:type="dxa"/>
          </w:tcPr>
          <w:p w:rsidR="0069059A" w:rsidRPr="009D08AC" w:rsidP="006F31FE" w14:paraId="1AAF8266" w14:textId="07B021AA">
            <w:pPr>
              <w:keepNext/>
              <w:widowControl/>
              <w:jc w:val="center"/>
              <w:rPr>
                <w:b w:val="0"/>
                <w:bCs w:val="0"/>
                <w:color w:val="000000"/>
                <w:sz w:val="22"/>
                <w:szCs w:val="22"/>
              </w:rPr>
            </w:pPr>
            <w:r w:rsidRPr="009D08AC">
              <w:t xml:space="preserve">$39,444,136 </w:t>
            </w:r>
          </w:p>
        </w:tc>
      </w:tr>
      <w:tr w14:paraId="35A59443" w14:textId="77777777" w:rsidTr="00E85FFB">
        <w:tblPrEx>
          <w:tblW w:w="12150" w:type="dxa"/>
          <w:tblLayout w:type="fixed"/>
          <w:tblLook w:val="04A0"/>
        </w:tblPrEx>
        <w:tc>
          <w:tcPr>
            <w:tcW w:w="3415" w:type="dxa"/>
          </w:tcPr>
          <w:p w:rsidR="0069059A" w:rsidRPr="009D08AC" w:rsidP="006F31FE" w14:paraId="2468E3D1" w14:textId="0B08237E">
            <w:pPr>
              <w:keepNext/>
              <w:widowControl/>
              <w:jc w:val="center"/>
              <w:rPr>
                <w:b w:val="0"/>
                <w:bCs w:val="0"/>
                <w:color w:val="000000"/>
                <w:sz w:val="22"/>
                <w:szCs w:val="22"/>
              </w:rPr>
            </w:pPr>
            <w:r w:rsidRPr="009D08AC">
              <w:t>Legal professional at Service Provider Develops 2020 safe harbor explanation</w:t>
            </w:r>
          </w:p>
        </w:tc>
        <w:tc>
          <w:tcPr>
            <w:tcW w:w="1440" w:type="dxa"/>
          </w:tcPr>
          <w:p w:rsidR="0069059A" w:rsidRPr="009D08AC" w:rsidP="006F31FE" w14:paraId="66F88B63" w14:textId="52465D1B">
            <w:pPr>
              <w:keepNext/>
              <w:widowControl/>
              <w:jc w:val="center"/>
              <w:rPr>
                <w:b w:val="0"/>
                <w:bCs w:val="0"/>
                <w:color w:val="000000"/>
                <w:sz w:val="22"/>
                <w:szCs w:val="22"/>
              </w:rPr>
            </w:pPr>
            <w:r w:rsidRPr="009D08AC">
              <w:t>3,552</w:t>
            </w:r>
          </w:p>
        </w:tc>
        <w:tc>
          <w:tcPr>
            <w:tcW w:w="1355" w:type="dxa"/>
          </w:tcPr>
          <w:p w:rsidR="0069059A" w:rsidRPr="009D08AC" w:rsidP="006F31FE" w14:paraId="68083339" w14:textId="706EC7D2">
            <w:pPr>
              <w:keepNext/>
              <w:widowControl/>
              <w:jc w:val="center"/>
              <w:rPr>
                <w:b w:val="0"/>
                <w:bCs w:val="0"/>
                <w:color w:val="000000"/>
                <w:sz w:val="22"/>
                <w:szCs w:val="22"/>
              </w:rPr>
            </w:pPr>
            <w:r w:rsidRPr="009D08AC">
              <w:t>195</w:t>
            </w:r>
          </w:p>
        </w:tc>
        <w:tc>
          <w:tcPr>
            <w:tcW w:w="1535" w:type="dxa"/>
          </w:tcPr>
          <w:p w:rsidR="0069059A" w:rsidRPr="009D08AC" w:rsidP="006F31FE" w14:paraId="1DA1FEE1" w14:textId="64F4BC85">
            <w:pPr>
              <w:keepNext/>
              <w:widowControl/>
              <w:jc w:val="center"/>
              <w:rPr>
                <w:b w:val="0"/>
                <w:bCs w:val="0"/>
                <w:color w:val="000000"/>
                <w:sz w:val="22"/>
                <w:szCs w:val="22"/>
              </w:rPr>
            </w:pPr>
            <w:r w:rsidRPr="009D08AC">
              <w:t>693,105</w:t>
            </w:r>
          </w:p>
        </w:tc>
        <w:tc>
          <w:tcPr>
            <w:tcW w:w="1070" w:type="dxa"/>
          </w:tcPr>
          <w:p w:rsidR="0069059A" w:rsidRPr="009D08AC" w:rsidP="006F31FE" w14:paraId="6ABBCA2A" w14:textId="1BF136A0">
            <w:pPr>
              <w:keepNext/>
              <w:widowControl/>
              <w:jc w:val="center"/>
              <w:rPr>
                <w:b w:val="0"/>
                <w:bCs w:val="0"/>
                <w:sz w:val="22"/>
                <w:szCs w:val="22"/>
              </w:rPr>
            </w:pPr>
            <w:r w:rsidRPr="009D08AC">
              <w:t xml:space="preserve">1     </w:t>
            </w:r>
          </w:p>
        </w:tc>
        <w:tc>
          <w:tcPr>
            <w:tcW w:w="1080" w:type="dxa"/>
          </w:tcPr>
          <w:p w:rsidR="0069059A" w:rsidRPr="009D08AC" w:rsidP="006F31FE" w14:paraId="41479196" w14:textId="0FC958B7">
            <w:pPr>
              <w:keepNext/>
              <w:widowControl/>
              <w:jc w:val="center"/>
              <w:rPr>
                <w:b w:val="0"/>
                <w:bCs w:val="0"/>
                <w:color w:val="000000"/>
                <w:sz w:val="22"/>
                <w:szCs w:val="22"/>
              </w:rPr>
            </w:pPr>
            <w:r w:rsidRPr="009D08AC">
              <w:t>3,552</w:t>
            </w:r>
          </w:p>
        </w:tc>
        <w:tc>
          <w:tcPr>
            <w:tcW w:w="900" w:type="dxa"/>
          </w:tcPr>
          <w:p w:rsidR="0069059A" w:rsidRPr="009D08AC" w:rsidP="006F31FE" w14:paraId="71A909A5" w14:textId="3A5D2DFC">
            <w:pPr>
              <w:keepNext/>
              <w:widowControl/>
              <w:jc w:val="center"/>
              <w:rPr>
                <w:b w:val="0"/>
                <w:bCs w:val="0"/>
                <w:color w:val="000000"/>
                <w:sz w:val="22"/>
                <w:szCs w:val="22"/>
              </w:rPr>
            </w:pPr>
            <w:r w:rsidRPr="009D08AC">
              <w:t xml:space="preserve">$181.06 </w:t>
            </w:r>
          </w:p>
        </w:tc>
        <w:tc>
          <w:tcPr>
            <w:tcW w:w="1355" w:type="dxa"/>
          </w:tcPr>
          <w:p w:rsidR="0069059A" w:rsidRPr="009D08AC" w:rsidP="006F31FE" w14:paraId="7CE3FD31" w14:textId="23B9FDA8">
            <w:pPr>
              <w:keepNext/>
              <w:widowControl/>
              <w:jc w:val="center"/>
              <w:rPr>
                <w:b w:val="0"/>
                <w:bCs w:val="0"/>
                <w:color w:val="000000"/>
                <w:sz w:val="22"/>
                <w:szCs w:val="22"/>
              </w:rPr>
            </w:pPr>
            <w:r w:rsidRPr="009D08AC">
              <w:t xml:space="preserve">$643,125 </w:t>
            </w:r>
          </w:p>
        </w:tc>
      </w:tr>
      <w:tr w14:paraId="777E1841" w14:textId="77777777" w:rsidTr="00E85FFB">
        <w:tblPrEx>
          <w:tblW w:w="12150" w:type="dxa"/>
          <w:tblLayout w:type="fixed"/>
          <w:tblLook w:val="04A0"/>
        </w:tblPrEx>
        <w:tc>
          <w:tcPr>
            <w:tcW w:w="3415" w:type="dxa"/>
          </w:tcPr>
          <w:p w:rsidR="0069059A" w:rsidRPr="009D08AC" w:rsidP="006F31FE" w14:paraId="1AAD50B7" w14:textId="3144D918">
            <w:pPr>
              <w:keepNext/>
              <w:widowControl/>
              <w:jc w:val="center"/>
              <w:rPr>
                <w:b w:val="0"/>
                <w:bCs w:val="0"/>
                <w:color w:val="000000"/>
                <w:sz w:val="22"/>
                <w:szCs w:val="22"/>
              </w:rPr>
            </w:pPr>
            <w:r w:rsidRPr="009D08AC">
              <w:t>In-House Legal professional Develops 2020 safe harbor explanation</w:t>
            </w:r>
          </w:p>
        </w:tc>
        <w:tc>
          <w:tcPr>
            <w:tcW w:w="1440" w:type="dxa"/>
          </w:tcPr>
          <w:p w:rsidR="0069059A" w:rsidRPr="009D08AC" w:rsidP="006F31FE" w14:paraId="05FE43D1" w14:textId="39493700">
            <w:pPr>
              <w:keepNext/>
              <w:widowControl/>
              <w:jc w:val="center"/>
              <w:rPr>
                <w:b w:val="0"/>
                <w:bCs w:val="0"/>
                <w:color w:val="000000"/>
                <w:sz w:val="22"/>
                <w:szCs w:val="22"/>
              </w:rPr>
            </w:pPr>
            <w:r w:rsidRPr="009D08AC">
              <w:t>77,012</w:t>
            </w:r>
          </w:p>
        </w:tc>
        <w:tc>
          <w:tcPr>
            <w:tcW w:w="1355" w:type="dxa"/>
          </w:tcPr>
          <w:p w:rsidR="0069059A" w:rsidRPr="009D08AC" w:rsidP="006F31FE" w14:paraId="067C5969" w14:textId="48CFC734">
            <w:pPr>
              <w:keepNext/>
              <w:widowControl/>
              <w:jc w:val="center"/>
              <w:rPr>
                <w:b w:val="0"/>
                <w:bCs w:val="0"/>
                <w:color w:val="000000"/>
                <w:sz w:val="22"/>
                <w:szCs w:val="22"/>
              </w:rPr>
            </w:pPr>
            <w:r w:rsidRPr="009D08AC">
              <w:t>1</w:t>
            </w:r>
          </w:p>
        </w:tc>
        <w:tc>
          <w:tcPr>
            <w:tcW w:w="1535" w:type="dxa"/>
          </w:tcPr>
          <w:p w:rsidR="0069059A" w:rsidRPr="009D08AC" w:rsidP="006F31FE" w14:paraId="6B7EB243" w14:textId="6619E550">
            <w:pPr>
              <w:keepNext/>
              <w:widowControl/>
              <w:jc w:val="center"/>
              <w:rPr>
                <w:b w:val="0"/>
                <w:bCs w:val="0"/>
                <w:color w:val="000000"/>
                <w:sz w:val="22"/>
                <w:szCs w:val="22"/>
              </w:rPr>
            </w:pPr>
            <w:r w:rsidRPr="009D08AC">
              <w:t>77,012</w:t>
            </w:r>
          </w:p>
        </w:tc>
        <w:tc>
          <w:tcPr>
            <w:tcW w:w="1070" w:type="dxa"/>
          </w:tcPr>
          <w:p w:rsidR="0069059A" w:rsidRPr="009D08AC" w:rsidP="006F31FE" w14:paraId="7689991E" w14:textId="0A7F1C96">
            <w:pPr>
              <w:keepNext/>
              <w:widowControl/>
              <w:jc w:val="center"/>
              <w:rPr>
                <w:b w:val="0"/>
                <w:bCs w:val="0"/>
                <w:sz w:val="22"/>
                <w:szCs w:val="22"/>
              </w:rPr>
            </w:pPr>
            <w:r w:rsidRPr="009D08AC">
              <w:t xml:space="preserve">1     </w:t>
            </w:r>
          </w:p>
        </w:tc>
        <w:tc>
          <w:tcPr>
            <w:tcW w:w="1080" w:type="dxa"/>
          </w:tcPr>
          <w:p w:rsidR="0069059A" w:rsidRPr="009D08AC" w:rsidP="006F31FE" w14:paraId="17C3F994" w14:textId="497856E5">
            <w:pPr>
              <w:keepNext/>
              <w:widowControl/>
              <w:jc w:val="center"/>
              <w:rPr>
                <w:b w:val="0"/>
                <w:bCs w:val="0"/>
                <w:color w:val="000000"/>
                <w:sz w:val="22"/>
                <w:szCs w:val="22"/>
              </w:rPr>
            </w:pPr>
            <w:r w:rsidRPr="009D08AC">
              <w:t>77,012</w:t>
            </w:r>
          </w:p>
        </w:tc>
        <w:tc>
          <w:tcPr>
            <w:tcW w:w="900" w:type="dxa"/>
          </w:tcPr>
          <w:p w:rsidR="0069059A" w:rsidRPr="009D08AC" w:rsidP="006F31FE" w14:paraId="544A68F9" w14:textId="28AA7612">
            <w:pPr>
              <w:keepNext/>
              <w:widowControl/>
              <w:jc w:val="center"/>
              <w:rPr>
                <w:b w:val="0"/>
                <w:bCs w:val="0"/>
                <w:color w:val="000000"/>
                <w:sz w:val="22"/>
                <w:szCs w:val="22"/>
              </w:rPr>
            </w:pPr>
            <w:r w:rsidRPr="009D08AC">
              <w:t xml:space="preserve">$181.06 </w:t>
            </w:r>
          </w:p>
        </w:tc>
        <w:tc>
          <w:tcPr>
            <w:tcW w:w="1355" w:type="dxa"/>
          </w:tcPr>
          <w:p w:rsidR="0069059A" w:rsidRPr="009D08AC" w:rsidP="006F31FE" w14:paraId="45A9F9DD" w14:textId="2E805314">
            <w:pPr>
              <w:keepNext/>
              <w:widowControl/>
              <w:jc w:val="center"/>
              <w:rPr>
                <w:b w:val="0"/>
                <w:bCs w:val="0"/>
                <w:color w:val="000000"/>
                <w:sz w:val="22"/>
                <w:szCs w:val="22"/>
              </w:rPr>
            </w:pPr>
            <w:r w:rsidRPr="009D08AC">
              <w:t xml:space="preserve">$13,943,731 </w:t>
            </w:r>
          </w:p>
        </w:tc>
      </w:tr>
      <w:tr w14:paraId="59B5DBF4" w14:textId="77777777" w:rsidTr="00E85FFB">
        <w:tblPrEx>
          <w:tblW w:w="12150" w:type="dxa"/>
          <w:tblLayout w:type="fixed"/>
          <w:tblLook w:val="04A0"/>
        </w:tblPrEx>
        <w:tc>
          <w:tcPr>
            <w:tcW w:w="3415" w:type="dxa"/>
          </w:tcPr>
          <w:p w:rsidR="0069059A" w:rsidRPr="009D08AC" w:rsidP="006F31FE" w14:paraId="44A1AD81" w14:textId="7136395F">
            <w:pPr>
              <w:keepNext/>
              <w:widowControl/>
              <w:jc w:val="center"/>
              <w:rPr>
                <w:b w:val="0"/>
                <w:bCs w:val="0"/>
                <w:color w:val="000000"/>
                <w:sz w:val="22"/>
                <w:szCs w:val="22"/>
              </w:rPr>
            </w:pPr>
            <w:r w:rsidRPr="009D08AC">
              <w:t xml:space="preserve">Clerical Professional Adds </w:t>
            </w:r>
            <w:r w:rsidRPr="009D08AC">
              <w:t>contact</w:t>
            </w:r>
            <w:r w:rsidRPr="009D08AC">
              <w:t xml:space="preserve"> Info</w:t>
            </w:r>
            <w:r w:rsidRPr="009D08AC" w:rsidR="008A45CF">
              <w:t>.</w:t>
            </w:r>
            <w:r w:rsidRPr="009D08AC">
              <w:t xml:space="preserve"> to 2020 safe harbor explanation</w:t>
            </w:r>
          </w:p>
        </w:tc>
        <w:tc>
          <w:tcPr>
            <w:tcW w:w="1440" w:type="dxa"/>
          </w:tcPr>
          <w:p w:rsidR="0069059A" w:rsidRPr="009D08AC" w:rsidP="006F31FE" w14:paraId="0989FB91" w14:textId="73060C09">
            <w:pPr>
              <w:keepNext/>
              <w:widowControl/>
              <w:jc w:val="center"/>
              <w:rPr>
                <w:b w:val="0"/>
                <w:bCs w:val="0"/>
                <w:color w:val="000000"/>
                <w:sz w:val="22"/>
                <w:szCs w:val="22"/>
              </w:rPr>
            </w:pPr>
            <w:r w:rsidRPr="009D08AC">
              <w:t>693,105</w:t>
            </w:r>
          </w:p>
        </w:tc>
        <w:tc>
          <w:tcPr>
            <w:tcW w:w="1355" w:type="dxa"/>
          </w:tcPr>
          <w:p w:rsidR="0069059A" w:rsidRPr="009D08AC" w:rsidP="006F31FE" w14:paraId="0D84AB04" w14:textId="4A08A86F">
            <w:pPr>
              <w:keepNext/>
              <w:widowControl/>
              <w:jc w:val="center"/>
              <w:rPr>
                <w:b w:val="0"/>
                <w:bCs w:val="0"/>
                <w:color w:val="000000"/>
                <w:sz w:val="22"/>
                <w:szCs w:val="22"/>
              </w:rPr>
            </w:pPr>
            <w:r w:rsidRPr="009D08AC">
              <w:t>139.34</w:t>
            </w:r>
          </w:p>
        </w:tc>
        <w:tc>
          <w:tcPr>
            <w:tcW w:w="1535" w:type="dxa"/>
          </w:tcPr>
          <w:p w:rsidR="0069059A" w:rsidRPr="009D08AC" w:rsidP="006F31FE" w14:paraId="35A17AEA" w14:textId="49328B35">
            <w:pPr>
              <w:keepNext/>
              <w:widowControl/>
              <w:jc w:val="center"/>
              <w:rPr>
                <w:b w:val="0"/>
                <w:bCs w:val="0"/>
                <w:color w:val="000000"/>
                <w:sz w:val="22"/>
                <w:szCs w:val="22"/>
              </w:rPr>
            </w:pPr>
            <w:r w:rsidRPr="009D08AC">
              <w:t>96,574,608</w:t>
            </w:r>
          </w:p>
        </w:tc>
        <w:tc>
          <w:tcPr>
            <w:tcW w:w="1070" w:type="dxa"/>
          </w:tcPr>
          <w:p w:rsidR="0069059A" w:rsidRPr="009D08AC" w:rsidP="006F31FE" w14:paraId="0EF54145" w14:textId="331344C6">
            <w:pPr>
              <w:keepNext/>
              <w:widowControl/>
              <w:jc w:val="center"/>
              <w:rPr>
                <w:b w:val="0"/>
                <w:bCs w:val="0"/>
                <w:sz w:val="22"/>
                <w:szCs w:val="22"/>
              </w:rPr>
            </w:pPr>
            <w:r w:rsidRPr="009D08AC">
              <w:t xml:space="preserve"> 5/60</w:t>
            </w:r>
          </w:p>
        </w:tc>
        <w:tc>
          <w:tcPr>
            <w:tcW w:w="1080" w:type="dxa"/>
          </w:tcPr>
          <w:p w:rsidR="0069059A" w:rsidRPr="009D08AC" w:rsidP="006F31FE" w14:paraId="71D5BADF" w14:textId="05423594">
            <w:pPr>
              <w:keepNext/>
              <w:widowControl/>
              <w:jc w:val="center"/>
              <w:rPr>
                <w:b w:val="0"/>
                <w:bCs w:val="0"/>
                <w:color w:val="000000"/>
                <w:sz w:val="22"/>
                <w:szCs w:val="22"/>
              </w:rPr>
            </w:pPr>
            <w:r w:rsidRPr="009D08AC">
              <w:t>57,759</w:t>
            </w:r>
          </w:p>
        </w:tc>
        <w:tc>
          <w:tcPr>
            <w:tcW w:w="900" w:type="dxa"/>
          </w:tcPr>
          <w:p w:rsidR="0069059A" w:rsidRPr="009D08AC" w:rsidP="006F31FE" w14:paraId="2F6EEFCE" w14:textId="580E137B">
            <w:pPr>
              <w:keepNext/>
              <w:widowControl/>
              <w:jc w:val="center"/>
              <w:rPr>
                <w:b w:val="0"/>
                <w:bCs w:val="0"/>
                <w:color w:val="000000"/>
                <w:sz w:val="22"/>
                <w:szCs w:val="22"/>
              </w:rPr>
            </w:pPr>
            <w:r w:rsidRPr="009D08AC">
              <w:t xml:space="preserve">$70.29 </w:t>
            </w:r>
          </w:p>
        </w:tc>
        <w:tc>
          <w:tcPr>
            <w:tcW w:w="1355" w:type="dxa"/>
          </w:tcPr>
          <w:p w:rsidR="0069059A" w:rsidRPr="009D08AC" w:rsidP="006F31FE" w14:paraId="4DF26FCD" w14:textId="2F0E2FAD">
            <w:pPr>
              <w:keepNext/>
              <w:widowControl/>
              <w:jc w:val="center"/>
              <w:rPr>
                <w:b w:val="0"/>
                <w:bCs w:val="0"/>
                <w:color w:val="000000"/>
                <w:sz w:val="22"/>
                <w:szCs w:val="22"/>
              </w:rPr>
            </w:pPr>
            <w:r w:rsidRPr="009D08AC">
              <w:t xml:space="preserve">$4,059,862 </w:t>
            </w:r>
          </w:p>
        </w:tc>
      </w:tr>
      <w:tr w14:paraId="500A6BF5" w14:textId="77777777" w:rsidTr="000D0D2A">
        <w:tblPrEx>
          <w:tblW w:w="12150" w:type="dxa"/>
          <w:tblLayout w:type="fixed"/>
          <w:tblLook w:val="04A0"/>
        </w:tblPrEx>
        <w:tc>
          <w:tcPr>
            <w:tcW w:w="3415" w:type="dxa"/>
            <w:vAlign w:val="center"/>
          </w:tcPr>
          <w:p w:rsidR="0022657E" w:rsidRPr="009D08AC" w:rsidP="006F31FE" w14:paraId="4893A5B0" w14:textId="69552A1E">
            <w:pPr>
              <w:keepNext/>
              <w:widowControl/>
              <w:jc w:val="center"/>
              <w:rPr>
                <w:sz w:val="22"/>
                <w:szCs w:val="22"/>
              </w:rPr>
            </w:pPr>
            <w:r w:rsidRPr="009D08AC">
              <w:rPr>
                <w:color w:val="000000"/>
                <w:sz w:val="22"/>
                <w:szCs w:val="22"/>
              </w:rPr>
              <w:t>Unduplicated Total</w:t>
            </w:r>
            <w:r w:rsidRPr="009D08AC" w:rsidR="000C39B0">
              <w:rPr>
                <w:color w:val="000000"/>
                <w:sz w:val="22"/>
                <w:szCs w:val="22"/>
              </w:rPr>
              <w:t>*</w:t>
            </w:r>
          </w:p>
        </w:tc>
        <w:tc>
          <w:tcPr>
            <w:tcW w:w="1440" w:type="dxa"/>
          </w:tcPr>
          <w:p w:rsidR="0022657E" w:rsidRPr="009D08AC" w:rsidP="006F31FE" w14:paraId="63481F50" w14:textId="1A380FCF">
            <w:pPr>
              <w:keepNext/>
              <w:widowControl/>
              <w:jc w:val="center"/>
              <w:rPr>
                <w:b w:val="0"/>
                <w:bCs w:val="0"/>
                <w:sz w:val="22"/>
                <w:szCs w:val="22"/>
              </w:rPr>
            </w:pPr>
            <w:r w:rsidRPr="009D08AC">
              <w:t>836,879</w:t>
            </w:r>
            <w:r w:rsidRPr="009D08AC" w:rsidR="00D77C29">
              <w:t>*</w:t>
            </w:r>
            <w:r w:rsidRPr="009D08AC" w:rsidR="0019276F">
              <w:t>*</w:t>
            </w:r>
          </w:p>
        </w:tc>
        <w:tc>
          <w:tcPr>
            <w:tcW w:w="1355" w:type="dxa"/>
          </w:tcPr>
          <w:p w:rsidR="0022657E" w:rsidRPr="009D08AC" w:rsidP="006F31FE" w14:paraId="60E619C0" w14:textId="300B5103">
            <w:pPr>
              <w:keepNext/>
              <w:widowControl/>
              <w:jc w:val="center"/>
              <w:rPr>
                <w:b w:val="0"/>
                <w:bCs w:val="0"/>
                <w:sz w:val="22"/>
                <w:szCs w:val="22"/>
              </w:rPr>
            </w:pPr>
            <w:r w:rsidRPr="009D08AC">
              <w:t>122.98</w:t>
            </w:r>
          </w:p>
        </w:tc>
        <w:tc>
          <w:tcPr>
            <w:tcW w:w="1535" w:type="dxa"/>
          </w:tcPr>
          <w:p w:rsidR="0022657E" w:rsidRPr="009D08AC" w:rsidP="006F31FE" w14:paraId="7676C4D8" w14:textId="4F125EDD">
            <w:pPr>
              <w:keepNext/>
              <w:widowControl/>
              <w:jc w:val="center"/>
              <w:rPr>
                <w:b w:val="0"/>
                <w:bCs w:val="0"/>
                <w:sz w:val="22"/>
                <w:szCs w:val="22"/>
              </w:rPr>
            </w:pPr>
            <w:r w:rsidRPr="009D08AC">
              <w:t>102,918,597</w:t>
            </w:r>
            <w:r w:rsidRPr="009D08AC" w:rsidR="00D77C29">
              <w:t>**</w:t>
            </w:r>
            <w:r w:rsidRPr="009D08AC" w:rsidR="0019276F">
              <w:t>*</w:t>
            </w:r>
          </w:p>
        </w:tc>
        <w:tc>
          <w:tcPr>
            <w:tcW w:w="1070" w:type="dxa"/>
            <w:shd w:val="clear" w:color="auto" w:fill="000000" w:themeFill="text1"/>
          </w:tcPr>
          <w:p w:rsidR="0022657E" w:rsidRPr="009D08AC" w:rsidP="006F31FE" w14:paraId="456A9A77" w14:textId="7A171D62">
            <w:pPr>
              <w:keepNext/>
              <w:widowControl/>
              <w:jc w:val="center"/>
              <w:rPr>
                <w:b w:val="0"/>
                <w:bCs w:val="0"/>
                <w:sz w:val="22"/>
                <w:szCs w:val="22"/>
              </w:rPr>
            </w:pPr>
          </w:p>
        </w:tc>
        <w:tc>
          <w:tcPr>
            <w:tcW w:w="1080" w:type="dxa"/>
          </w:tcPr>
          <w:p w:rsidR="0022657E" w:rsidRPr="009D08AC" w:rsidP="006F31FE" w14:paraId="25B494C8" w14:textId="689B4C8C">
            <w:pPr>
              <w:keepNext/>
              <w:widowControl/>
              <w:jc w:val="center"/>
              <w:rPr>
                <w:b w:val="0"/>
                <w:bCs w:val="0"/>
                <w:sz w:val="22"/>
                <w:szCs w:val="22"/>
              </w:rPr>
            </w:pPr>
            <w:r w:rsidRPr="009D08AC">
              <w:t>1,270,344</w:t>
            </w:r>
          </w:p>
        </w:tc>
        <w:tc>
          <w:tcPr>
            <w:tcW w:w="900" w:type="dxa"/>
            <w:shd w:val="clear" w:color="auto" w:fill="000000" w:themeFill="text1"/>
          </w:tcPr>
          <w:p w:rsidR="0022657E" w:rsidRPr="009D08AC" w:rsidP="006F31FE" w14:paraId="1BBC966C" w14:textId="28D48DEC">
            <w:pPr>
              <w:keepNext/>
              <w:widowControl/>
              <w:jc w:val="center"/>
              <w:rPr>
                <w:b w:val="0"/>
                <w:bCs w:val="0"/>
                <w:sz w:val="22"/>
                <w:szCs w:val="22"/>
              </w:rPr>
            </w:pPr>
            <w:r w:rsidRPr="009D08AC">
              <w:t>-</w:t>
            </w:r>
          </w:p>
        </w:tc>
        <w:tc>
          <w:tcPr>
            <w:tcW w:w="1355" w:type="dxa"/>
          </w:tcPr>
          <w:p w:rsidR="0022657E" w:rsidRPr="009D08AC" w:rsidP="006F31FE" w14:paraId="2CE377F0" w14:textId="7D556242">
            <w:pPr>
              <w:keepNext/>
              <w:widowControl/>
              <w:jc w:val="center"/>
              <w:rPr>
                <w:b w:val="0"/>
                <w:bCs w:val="0"/>
                <w:sz w:val="22"/>
                <w:szCs w:val="22"/>
              </w:rPr>
            </w:pPr>
            <w:r w:rsidRPr="009D08AC">
              <w:t xml:space="preserve">$120,690,861 </w:t>
            </w:r>
          </w:p>
        </w:tc>
      </w:tr>
      <w:tr w14:paraId="2757918B" w14:textId="77777777" w:rsidTr="008A45CF">
        <w:tblPrEx>
          <w:tblW w:w="12150" w:type="dxa"/>
          <w:tblLayout w:type="fixed"/>
          <w:tblLook w:val="04A0"/>
        </w:tblPrEx>
        <w:trPr>
          <w:trHeight w:val="965"/>
        </w:trPr>
        <w:tc>
          <w:tcPr>
            <w:tcW w:w="12150" w:type="dxa"/>
            <w:gridSpan w:val="8"/>
            <w:vAlign w:val="center"/>
          </w:tcPr>
          <w:p w:rsidR="0019276F" w:rsidRPr="009D08AC" w:rsidP="006F31FE" w14:paraId="4E4230DF" w14:textId="7227781D">
            <w:pPr>
              <w:keepNext/>
              <w:widowControl/>
              <w:rPr>
                <w:b w:val="0"/>
                <w:bCs w:val="0"/>
                <w:color w:val="000000"/>
              </w:rPr>
            </w:pPr>
            <w:r w:rsidRPr="009D08AC">
              <w:rPr>
                <w:rStyle w:val="FootnoteReference"/>
              </w:rPr>
              <w:t>*</w:t>
            </w:r>
            <w:r w:rsidRPr="009D08AC">
              <w:rPr>
                <w:b w:val="0"/>
                <w:bCs w:val="0"/>
              </w:rPr>
              <w:t>The Department has not rounded intermediate values, so the components may not sum to the whole.</w:t>
            </w:r>
            <w:r w:rsidRPr="009D08AC">
              <w:rPr>
                <w:b w:val="0"/>
                <w:bCs w:val="0"/>
                <w:color w:val="000000"/>
                <w:sz w:val="22"/>
                <w:szCs w:val="22"/>
              </w:rPr>
              <w:tab/>
            </w:r>
            <w:r w:rsidRPr="009D08AC">
              <w:rPr>
                <w:b w:val="0"/>
                <w:bCs w:val="0"/>
                <w:color w:val="000000"/>
                <w:sz w:val="22"/>
                <w:szCs w:val="22"/>
              </w:rPr>
              <w:tab/>
            </w:r>
            <w:r w:rsidRPr="009D08AC">
              <w:rPr>
                <w:b w:val="0"/>
                <w:bCs w:val="0"/>
                <w:color w:val="000000"/>
                <w:sz w:val="22"/>
                <w:szCs w:val="22"/>
              </w:rPr>
              <w:tab/>
            </w:r>
            <w:r w:rsidRPr="009D08AC">
              <w:rPr>
                <w:b w:val="0"/>
                <w:bCs w:val="0"/>
                <w:color w:val="000000"/>
                <w:sz w:val="22"/>
                <w:szCs w:val="22"/>
              </w:rPr>
              <w:tab/>
            </w:r>
            <w:r w:rsidRPr="009D08AC">
              <w:rPr>
                <w:b w:val="0"/>
                <w:bCs w:val="0"/>
                <w:color w:val="000000"/>
                <w:sz w:val="22"/>
                <w:szCs w:val="22"/>
              </w:rPr>
              <w:tab/>
            </w:r>
          </w:p>
          <w:p w:rsidR="0022657E" w:rsidRPr="009D08AC" w:rsidP="006F31FE" w14:paraId="2D0EBC6F" w14:textId="101DE7F7">
            <w:pPr>
              <w:keepNext/>
              <w:widowControl/>
              <w:rPr>
                <w:b w:val="0"/>
                <w:color w:val="000000"/>
              </w:rPr>
            </w:pPr>
            <w:r w:rsidRPr="009D08AC">
              <w:rPr>
                <w:b w:val="0"/>
                <w:bCs w:val="0"/>
                <w:color w:val="000000"/>
              </w:rPr>
              <w:t>**</w:t>
            </w:r>
            <w:r w:rsidRPr="009D08AC">
              <w:rPr>
                <w:b w:val="0"/>
                <w:color w:val="000000"/>
              </w:rPr>
              <w:t>Respondents is the number of new plan sponsors + total number of plans + total number of service providers (</w:t>
            </w:r>
            <w:r w:rsidRPr="009D08AC" w:rsidR="00EF47A2">
              <w:rPr>
                <w:b w:val="0"/>
                <w:bCs w:val="0"/>
                <w:color w:val="000000"/>
              </w:rPr>
              <w:t>31,957</w:t>
            </w:r>
            <w:r w:rsidRPr="009D08AC">
              <w:rPr>
                <w:b w:val="0"/>
                <w:color w:val="000000"/>
              </w:rPr>
              <w:t xml:space="preserve"> + 801,370 + 3,552 = 836,878)</w:t>
            </w:r>
          </w:p>
          <w:p w:rsidR="000C39B0" w:rsidRPr="009D08AC" w:rsidP="006F31FE" w14:paraId="06039F1B" w14:textId="5916D31C">
            <w:pPr>
              <w:keepNext/>
              <w:widowControl/>
              <w:rPr>
                <w:b w:val="0"/>
                <w:bCs w:val="0"/>
                <w:color w:val="000000"/>
              </w:rPr>
            </w:pPr>
            <w:r w:rsidRPr="009D08AC">
              <w:rPr>
                <w:b w:val="0"/>
                <w:bCs w:val="0"/>
                <w:color w:val="000000"/>
              </w:rPr>
              <w:t>*</w:t>
            </w:r>
            <w:r w:rsidRPr="009D08AC" w:rsidR="0022657E">
              <w:rPr>
                <w:b w:val="0"/>
                <w:bCs w:val="0"/>
                <w:color w:val="000000"/>
              </w:rPr>
              <w:t>**</w:t>
            </w:r>
            <w:r w:rsidRPr="009D08AC" w:rsidR="0022657E">
              <w:rPr>
                <w:b w:val="0"/>
                <w:color w:val="000000"/>
              </w:rPr>
              <w:t xml:space="preserve"> Responses </w:t>
            </w:r>
            <w:r w:rsidRPr="009D08AC" w:rsidR="0022657E">
              <w:rPr>
                <w:b w:val="0"/>
                <w:color w:val="000000"/>
              </w:rPr>
              <w:t>is</w:t>
            </w:r>
            <w:r w:rsidRPr="009D08AC" w:rsidR="0022657E">
              <w:rPr>
                <w:b w:val="0"/>
                <w:color w:val="000000"/>
              </w:rPr>
              <w:t xml:space="preserve"> the number of participants in new plans + </w:t>
            </w:r>
            <w:r w:rsidRPr="009D08AC" w:rsidR="00D43E8B">
              <w:rPr>
                <w:b w:val="0"/>
                <w:color w:val="000000"/>
              </w:rPr>
              <w:t>n</w:t>
            </w:r>
            <w:r w:rsidRPr="009D08AC" w:rsidR="0022657E">
              <w:rPr>
                <w:b w:val="0"/>
                <w:color w:val="000000"/>
              </w:rPr>
              <w:t>ewly-hired</w:t>
            </w:r>
            <w:r w:rsidRPr="009D08AC" w:rsidR="0022657E">
              <w:rPr>
                <w:b w:val="0"/>
                <w:color w:val="000000"/>
              </w:rPr>
              <w:t xml:space="preserve"> participants under the 2002 safe harbor + all participants under the 2020 safe harbor + total number of plans (3,580,890 + 1961,729 + 96,574,607+ 801,370 = 102,918,597)"</w:t>
            </w:r>
            <w:r w:rsidRPr="009D08AC" w:rsidR="0022657E">
              <w:rPr>
                <w:b w:val="0"/>
                <w:color w:val="000000"/>
              </w:rPr>
              <w:tab/>
            </w:r>
          </w:p>
          <w:p w:rsidR="001B0860" w:rsidRPr="009D08AC" w:rsidP="006F31FE" w14:paraId="4A6449AC" w14:textId="4E920CE6">
            <w:pPr>
              <w:keepNext/>
              <w:widowControl/>
              <w:rPr>
                <w:b w:val="0"/>
                <w:bCs w:val="0"/>
                <w:color w:val="000000"/>
                <w:sz w:val="22"/>
                <w:szCs w:val="22"/>
              </w:rPr>
            </w:pPr>
          </w:p>
        </w:tc>
      </w:tr>
    </w:tbl>
    <w:p w:rsidR="006F31FE" w:rsidRPr="009D08AC" w:rsidP="00D55011" w14:paraId="2A8C91CC" w14:textId="77777777">
      <w:pPr>
        <w:pStyle w:val="BodyTextIndent3"/>
        <w:widowControl/>
        <w:ind w:firstLine="0"/>
        <w:rPr>
          <w:b w:val="0"/>
          <w:bCs w:val="0"/>
          <w:szCs w:val="24"/>
        </w:rPr>
      </w:pPr>
    </w:p>
    <w:p w:rsidR="009A7E89" w:rsidRPr="009D08AC" w:rsidP="00D55011" w14:paraId="734A2501" w14:textId="77777777">
      <w:pPr>
        <w:pStyle w:val="BodyTextIndent3"/>
        <w:widowControl/>
        <w:ind w:firstLine="0"/>
        <w:rPr>
          <w:b w:val="0"/>
          <w:bCs w:val="0"/>
          <w:szCs w:val="24"/>
        </w:rPr>
      </w:pPr>
    </w:p>
    <w:p w:rsidR="00077485" w:rsidRPr="009D08AC" w:rsidP="00077485" w14:paraId="7A48A8D4" w14:textId="0EDFD115">
      <w:pPr>
        <w:widowControl/>
        <w:rPr>
          <w:iCs/>
          <w:sz w:val="24"/>
          <w:szCs w:val="24"/>
        </w:rPr>
      </w:pPr>
      <w:r w:rsidRPr="009D08AC">
        <w:rPr>
          <w:iCs/>
          <w:sz w:val="24"/>
          <w:szCs w:val="24"/>
        </w:rPr>
        <w:t>13</w:t>
      </w:r>
      <w:r w:rsidRPr="009D08AC">
        <w:rPr>
          <w:iCs/>
          <w:sz w:val="24"/>
          <w:szCs w:val="24"/>
        </w:rPr>
        <w:t xml:space="preserve">. </w:t>
      </w:r>
      <w:r w:rsidRPr="009D08AC">
        <w:rPr>
          <w:iCs/>
          <w:sz w:val="24"/>
          <w:szCs w:val="24"/>
        </w:rPr>
        <w:tab/>
        <w:t>Provide</w:t>
      </w:r>
      <w:r w:rsidRPr="009D08AC">
        <w:rPr>
          <w:iCs/>
          <w:sz w:val="24"/>
          <w:szCs w:val="24"/>
        </w:rPr>
        <w:t xml:space="preserve"> an estimate of the total annual cost burden to respondents or recordkeepers </w:t>
      </w:r>
    </w:p>
    <w:p w:rsidR="00077485" w:rsidRPr="009D08AC" w:rsidP="00077485" w14:paraId="5081D888" w14:textId="2417C15F">
      <w:pPr>
        <w:widowControl/>
        <w:ind w:left="720"/>
        <w:rPr>
          <w:iCs/>
          <w:sz w:val="24"/>
          <w:szCs w:val="24"/>
        </w:rPr>
      </w:pPr>
      <w:r w:rsidRPr="009D08AC">
        <w:rPr>
          <w:iCs/>
          <w:sz w:val="24"/>
          <w:szCs w:val="24"/>
        </w:rPr>
        <w:t>resulting from the collection of information. (Do not include the cost of any hour burden shown in Items 12 and 14).  </w:t>
      </w:r>
    </w:p>
    <w:p w:rsidR="00077485" w:rsidRPr="009D08AC" w:rsidP="00077485" w14:paraId="205CBBA4" w14:textId="77777777">
      <w:pPr>
        <w:widowControl/>
        <w:numPr>
          <w:ilvl w:val="0"/>
          <w:numId w:val="12"/>
        </w:numPr>
        <w:tabs>
          <w:tab w:val="clear" w:pos="720"/>
          <w:tab w:val="num" w:pos="1440"/>
        </w:tabs>
        <w:ind w:left="1440"/>
        <w:rPr>
          <w:iCs/>
          <w:sz w:val="24"/>
          <w:szCs w:val="24"/>
        </w:rPr>
      </w:pPr>
      <w:r w:rsidRPr="009D08AC">
        <w:rPr>
          <w:iCs/>
          <w:sz w:val="24"/>
          <w:szCs w:val="24"/>
        </w:rPr>
        <w:t xml:space="preserve">The cost estimate should be split into two components: (a) </w:t>
      </w:r>
      <w:r w:rsidRPr="009D08AC">
        <w:rPr>
          <w:iCs/>
          <w:sz w:val="24"/>
          <w:szCs w:val="24"/>
        </w:rPr>
        <w:t>a total</w:t>
      </w:r>
      <w:r w:rsidRPr="009D08AC">
        <w:rPr>
          <w:iCs/>
          <w:sz w:val="24"/>
          <w:szCs w:val="24"/>
        </w:rPr>
        <w:t xml:space="preserve"> capital </w:t>
      </w:r>
    </w:p>
    <w:p w:rsidR="00077485" w:rsidRPr="009D08AC" w:rsidP="00077485" w14:paraId="20973B14" w14:textId="3E62215E">
      <w:pPr>
        <w:widowControl/>
        <w:ind w:left="1440"/>
        <w:rPr>
          <w:iCs/>
          <w:sz w:val="24"/>
          <w:szCs w:val="24"/>
        </w:rPr>
      </w:pPr>
      <w:r w:rsidRPr="009D08AC">
        <w:rPr>
          <w:iCs/>
          <w:sz w:val="24"/>
          <w:szCs w:val="24"/>
        </w:rPr>
        <w:t xml:space="preserve">and </w:t>
      </w:r>
      <w:r w:rsidRPr="009D08AC">
        <w:rPr>
          <w:iCs/>
          <w:sz w:val="24"/>
          <w:szCs w:val="24"/>
        </w:rPr>
        <w:t>start up</w:t>
      </w:r>
      <w:r w:rsidRPr="009D08AC">
        <w:rPr>
          <w:iCs/>
          <w:sz w:val="24"/>
          <w:szCs w:val="24"/>
        </w:rPr>
        <w:t xml:space="preserve"> cost component (annualized over its expected useful life); and (b) a total operation and maintenance and purchase of service component. </w:t>
      </w:r>
    </w:p>
    <w:p w:rsidR="00077485" w:rsidRPr="009D08AC" w:rsidP="00077485" w14:paraId="64C22017" w14:textId="77777777">
      <w:pPr>
        <w:widowControl/>
        <w:ind w:left="1440"/>
        <w:rPr>
          <w:iCs/>
          <w:sz w:val="24"/>
          <w:szCs w:val="24"/>
        </w:rPr>
      </w:pPr>
      <w:r w:rsidRPr="009D08AC">
        <w:rPr>
          <w:iCs/>
          <w:sz w:val="24"/>
          <w:szCs w:val="24"/>
        </w:rPr>
        <w:t xml:space="preserve">The estimates should </w:t>
      </w:r>
      <w:r w:rsidRPr="009D08AC">
        <w:rPr>
          <w:iCs/>
          <w:sz w:val="24"/>
          <w:szCs w:val="24"/>
        </w:rPr>
        <w:t>take into account</w:t>
      </w:r>
      <w:r w:rsidRPr="009D08AC">
        <w:rPr>
          <w:iCs/>
          <w:sz w:val="24"/>
          <w:szCs w:val="24"/>
        </w:rPr>
        <w:t xml:space="preserve"> costs associated with generating,  </w:t>
      </w:r>
    </w:p>
    <w:p w:rsidR="00077485" w:rsidRPr="009D08AC" w:rsidP="00077485" w14:paraId="06560A8B" w14:textId="00FB0AC8">
      <w:pPr>
        <w:widowControl/>
        <w:ind w:left="1440"/>
        <w:rPr>
          <w:iCs/>
          <w:sz w:val="24"/>
          <w:szCs w:val="24"/>
        </w:rPr>
      </w:pPr>
      <w:r w:rsidRPr="009D08AC">
        <w:rPr>
          <w:iCs/>
          <w:sz w:val="24"/>
          <w:szCs w:val="24"/>
        </w:rPr>
        <w:t xml:space="preserve">maintaining, and disclosing or providing </w:t>
      </w:r>
      <w:r w:rsidRPr="009D08AC">
        <w:rPr>
          <w:iCs/>
          <w:sz w:val="24"/>
          <w:szCs w:val="24"/>
        </w:rPr>
        <w:t>the information</w:t>
      </w:r>
      <w:r w:rsidRPr="009D08AC">
        <w:rPr>
          <w:iCs/>
          <w:sz w:val="24"/>
          <w:szCs w:val="24"/>
        </w:rPr>
        <w:t xml:space="preserve">. Include descriptions of methods used to estimate major cost factors including system and technology acquisition, expected useful life of capital equipment, the discount rate(s), and the </w:t>
      </w:r>
      <w:r w:rsidRPr="009D08AC">
        <w:rPr>
          <w:iCs/>
          <w:sz w:val="24"/>
          <w:szCs w:val="24"/>
        </w:rPr>
        <w:t>time period</w:t>
      </w:r>
      <w:r w:rsidRPr="009D08AC">
        <w:rPr>
          <w:i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077485" w:rsidRPr="009D08AC" w:rsidP="00077485" w14:paraId="2DDF3776" w14:textId="629F889D">
      <w:pPr>
        <w:widowControl/>
        <w:numPr>
          <w:ilvl w:val="0"/>
          <w:numId w:val="13"/>
        </w:numPr>
        <w:tabs>
          <w:tab w:val="clear" w:pos="720"/>
          <w:tab w:val="num" w:pos="1440"/>
        </w:tabs>
        <w:ind w:left="1440"/>
        <w:rPr>
          <w:iCs/>
          <w:sz w:val="24"/>
          <w:szCs w:val="24"/>
        </w:rPr>
      </w:pPr>
      <w:r w:rsidRPr="009D08AC">
        <w:rPr>
          <w:i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077485" w:rsidRPr="009D08AC" w:rsidP="00077485" w14:paraId="675F6FD9" w14:textId="77777777">
      <w:pPr>
        <w:widowControl/>
        <w:numPr>
          <w:ilvl w:val="0"/>
          <w:numId w:val="13"/>
        </w:numPr>
        <w:tabs>
          <w:tab w:val="clear" w:pos="720"/>
          <w:tab w:val="num" w:pos="1440"/>
        </w:tabs>
        <w:ind w:left="1440"/>
        <w:rPr>
          <w:iCs/>
          <w:sz w:val="24"/>
          <w:szCs w:val="24"/>
        </w:rPr>
      </w:pPr>
      <w:r w:rsidRPr="009D08AC">
        <w:rPr>
          <w:i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D33C4C" w:rsidRPr="009D08AC" w:rsidP="00D55011" w14:paraId="3C77D111" w14:textId="77777777">
      <w:pPr>
        <w:widowControl/>
        <w:ind w:left="720"/>
        <w:rPr>
          <w:b w:val="0"/>
          <w:bCs w:val="0"/>
          <w:sz w:val="24"/>
          <w:szCs w:val="24"/>
        </w:rPr>
      </w:pPr>
    </w:p>
    <w:p w:rsidR="00FB24D1" w:rsidRPr="009D08AC" w:rsidP="00FB24D1" w14:paraId="34F37669" w14:textId="77777777">
      <w:pPr>
        <w:widowControl/>
        <w:ind w:left="720"/>
        <w:rPr>
          <w:sz w:val="24"/>
          <w:szCs w:val="24"/>
          <w:u w:val="single"/>
        </w:rPr>
      </w:pPr>
      <w:r w:rsidRPr="009D08AC">
        <w:rPr>
          <w:sz w:val="24"/>
          <w:szCs w:val="24"/>
          <w:u w:val="single"/>
        </w:rPr>
        <w:t>2002 Safe Harbor</w:t>
      </w:r>
    </w:p>
    <w:p w:rsidR="00FB24D1" w:rsidRPr="009D08AC" w:rsidP="00D55011" w14:paraId="250AC096" w14:textId="77777777">
      <w:pPr>
        <w:ind w:left="720"/>
        <w:rPr>
          <w:b w:val="0"/>
          <w:sz w:val="24"/>
          <w:szCs w:val="24"/>
        </w:rPr>
      </w:pPr>
    </w:p>
    <w:p w:rsidR="00E627B0" w:rsidRPr="009D08AC" w:rsidP="00D55011" w14:paraId="5B9C49DF" w14:textId="663A5583">
      <w:pPr>
        <w:ind w:left="720"/>
        <w:rPr>
          <w:b w:val="0"/>
          <w:sz w:val="24"/>
          <w:szCs w:val="24"/>
        </w:rPr>
      </w:pPr>
      <w:r w:rsidRPr="009D08AC">
        <w:rPr>
          <w:b w:val="0"/>
          <w:sz w:val="24"/>
          <w:szCs w:val="24"/>
        </w:rPr>
        <w:t xml:space="preserve">The Department assumes that </w:t>
      </w:r>
      <w:r w:rsidRPr="009D08AC">
        <w:rPr>
          <w:b w:val="0"/>
          <w:sz w:val="24"/>
          <w:szCs w:val="24"/>
        </w:rPr>
        <w:t>all of</w:t>
      </w:r>
      <w:r w:rsidRPr="009D08AC">
        <w:rPr>
          <w:b w:val="0"/>
          <w:sz w:val="24"/>
          <w:szCs w:val="24"/>
        </w:rPr>
        <w:t xml:space="preserve"> the </w:t>
      </w:r>
      <w:r w:rsidRPr="009D08AC" w:rsidR="002C3169">
        <w:rPr>
          <w:b w:val="0"/>
          <w:sz w:val="24"/>
          <w:szCs w:val="24"/>
        </w:rPr>
        <w:t xml:space="preserve">affected </w:t>
      </w:r>
      <w:r w:rsidRPr="009D08AC">
        <w:rPr>
          <w:b w:val="0"/>
          <w:sz w:val="24"/>
          <w:szCs w:val="24"/>
        </w:rPr>
        <w:t xml:space="preserve">participants and beneficiaries will receive paper consent materials either on their job site or as an insertion into other material received through the mail, thus there are no mailing costs associated with delivery of the opt-out notifications. </w:t>
      </w:r>
      <w:r w:rsidRPr="009D08AC" w:rsidR="00206964">
        <w:rPr>
          <w:b w:val="0"/>
          <w:sz w:val="24"/>
          <w:szCs w:val="24"/>
        </w:rPr>
        <w:t xml:space="preserve">The </w:t>
      </w:r>
      <w:r w:rsidRPr="009D08AC" w:rsidR="00206964">
        <w:rPr>
          <w:b w:val="0"/>
          <w:sz w:val="24"/>
          <w:szCs w:val="24"/>
        </w:rPr>
        <w:t>per page</w:t>
      </w:r>
      <w:r w:rsidRPr="009D08AC" w:rsidR="00206964">
        <w:rPr>
          <w:b w:val="0"/>
          <w:sz w:val="24"/>
          <w:szCs w:val="24"/>
        </w:rPr>
        <w:t xml:space="preserve"> photocopy costs are assumed to be five cents. </w:t>
      </w:r>
      <w:r w:rsidRPr="009D08AC" w:rsidR="00206964">
        <w:rPr>
          <w:b w:val="0"/>
          <w:sz w:val="24"/>
          <w:szCs w:val="24"/>
        </w:rPr>
        <w:t>Form</w:t>
      </w:r>
      <w:r w:rsidRPr="009D08AC" w:rsidR="00206964">
        <w:rPr>
          <w:b w:val="0"/>
          <w:sz w:val="24"/>
          <w:szCs w:val="24"/>
        </w:rPr>
        <w:t xml:space="preserve"> 5500 data from 202</w:t>
      </w:r>
      <w:r w:rsidRPr="009D08AC" w:rsidR="00A10423">
        <w:rPr>
          <w:b w:val="0"/>
          <w:sz w:val="24"/>
          <w:szCs w:val="24"/>
        </w:rPr>
        <w:t>2</w:t>
      </w:r>
      <w:r w:rsidRPr="009D08AC" w:rsidR="00206964">
        <w:rPr>
          <w:b w:val="0"/>
          <w:sz w:val="24"/>
          <w:szCs w:val="24"/>
        </w:rPr>
        <w:t xml:space="preserve"> </w:t>
      </w:r>
      <w:r w:rsidRPr="009D08AC" w:rsidR="00206964">
        <w:rPr>
          <w:b w:val="0"/>
          <w:sz w:val="24"/>
          <w:szCs w:val="24"/>
        </w:rPr>
        <w:t>indicate</w:t>
      </w:r>
      <w:r w:rsidRPr="009D08AC" w:rsidR="00206964">
        <w:rPr>
          <w:b w:val="0"/>
          <w:sz w:val="24"/>
          <w:szCs w:val="24"/>
        </w:rPr>
        <w:t xml:space="preserve"> that there are 3</w:t>
      </w:r>
      <w:r w:rsidRPr="009D08AC" w:rsidR="00BB4C34">
        <w:rPr>
          <w:b w:val="0"/>
          <w:sz w:val="24"/>
          <w:szCs w:val="24"/>
        </w:rPr>
        <w:t>,</w:t>
      </w:r>
      <w:r w:rsidRPr="009D08AC" w:rsidR="00206964">
        <w:rPr>
          <w:b w:val="0"/>
          <w:sz w:val="24"/>
          <w:szCs w:val="24"/>
        </w:rPr>
        <w:t xml:space="preserve">580,890 participants in new plans, who will </w:t>
      </w:r>
      <w:r w:rsidRPr="009D08AC" w:rsidR="00206964">
        <w:rPr>
          <w:b w:val="0"/>
          <w:sz w:val="24"/>
          <w:szCs w:val="24"/>
        </w:rPr>
        <w:t>receive paper</w:t>
      </w:r>
      <w:r w:rsidRPr="009D08AC" w:rsidR="00206964">
        <w:rPr>
          <w:b w:val="0"/>
          <w:sz w:val="24"/>
          <w:szCs w:val="24"/>
        </w:rPr>
        <w:t xml:space="preserve"> opt-out notifications. The associated cost burden for generating paper copies of the opt-out notification to participants under the regulation is estimated to be approximately $179,04</w:t>
      </w:r>
      <w:r w:rsidRPr="009D08AC" w:rsidR="00291BCE">
        <w:rPr>
          <w:b w:val="0"/>
          <w:sz w:val="24"/>
          <w:szCs w:val="24"/>
        </w:rPr>
        <w:t>5</w:t>
      </w:r>
      <w:r w:rsidRPr="009D08AC" w:rsidR="002673ED">
        <w:rPr>
          <w:b w:val="0"/>
          <w:sz w:val="24"/>
          <w:szCs w:val="24"/>
        </w:rPr>
        <w:t>.</w:t>
      </w:r>
      <w:r>
        <w:rPr>
          <w:rStyle w:val="FootnoteReference"/>
          <w:b w:val="0"/>
          <w:sz w:val="24"/>
          <w:szCs w:val="24"/>
          <w:vertAlign w:val="superscript"/>
        </w:rPr>
        <w:footnoteReference w:id="5"/>
      </w:r>
      <w:r w:rsidRPr="009D08AC" w:rsidR="00F61696">
        <w:rPr>
          <w:b w:val="0"/>
          <w:sz w:val="24"/>
          <w:szCs w:val="24"/>
        </w:rPr>
        <w:t xml:space="preserve"> </w:t>
      </w:r>
    </w:p>
    <w:p w:rsidR="00BF4D05" w:rsidRPr="009D08AC" w:rsidP="00D55011" w14:paraId="15CAE1E8" w14:textId="77777777">
      <w:pPr>
        <w:ind w:left="720"/>
        <w:rPr>
          <w:b w:val="0"/>
          <w:sz w:val="24"/>
          <w:szCs w:val="24"/>
        </w:rPr>
      </w:pPr>
    </w:p>
    <w:p w:rsidR="00BF4D05" w:rsidRPr="009D08AC" w:rsidP="008B4A30" w14:paraId="2349385B" w14:textId="7D6F088F">
      <w:pPr>
        <w:widowControl/>
        <w:autoSpaceDE/>
        <w:autoSpaceDN/>
        <w:adjustRightInd/>
        <w:ind w:left="720"/>
        <w:rPr>
          <w:rFonts w:eastAsia="Calibri"/>
          <w:sz w:val="24"/>
          <w:szCs w:val="24"/>
          <w:u w:val="single"/>
        </w:rPr>
      </w:pPr>
      <w:r w:rsidRPr="009D08AC">
        <w:rPr>
          <w:rFonts w:eastAsia="Calibri"/>
          <w:sz w:val="24"/>
          <w:szCs w:val="24"/>
          <w:u w:val="single"/>
        </w:rPr>
        <w:t>20</w:t>
      </w:r>
      <w:r w:rsidRPr="009D08AC" w:rsidR="00FD5341">
        <w:rPr>
          <w:rFonts w:eastAsia="Calibri"/>
          <w:sz w:val="24"/>
          <w:szCs w:val="24"/>
          <w:u w:val="single"/>
        </w:rPr>
        <w:t>20</w:t>
      </w:r>
      <w:r w:rsidRPr="009D08AC">
        <w:rPr>
          <w:rFonts w:eastAsia="Calibri"/>
          <w:sz w:val="24"/>
          <w:szCs w:val="24"/>
          <w:u w:val="single"/>
        </w:rPr>
        <w:t xml:space="preserve"> </w:t>
      </w:r>
      <w:r w:rsidRPr="009D08AC" w:rsidR="00547C31">
        <w:rPr>
          <w:rFonts w:eastAsia="Calibri"/>
          <w:sz w:val="24"/>
          <w:szCs w:val="24"/>
          <w:u w:val="single"/>
        </w:rPr>
        <w:t>Safe Harbor</w:t>
      </w:r>
    </w:p>
    <w:p w:rsidR="00BF4D05" w:rsidRPr="009D08AC" w:rsidP="002D73D8" w14:paraId="4ABAD0CB" w14:textId="3D7C40BD">
      <w:pPr>
        <w:widowControl/>
        <w:autoSpaceDE/>
        <w:autoSpaceDN/>
        <w:adjustRightInd/>
        <w:ind w:left="720" w:firstLine="720"/>
        <w:rPr>
          <w:rFonts w:eastAsia="Calibri"/>
          <w:b w:val="0"/>
          <w:sz w:val="24"/>
          <w:szCs w:val="24"/>
        </w:rPr>
      </w:pPr>
    </w:p>
    <w:p w:rsidR="00BF4D05" w:rsidRPr="009D08AC" w:rsidP="002D73D8" w14:paraId="7BE8D01D" w14:textId="77777777">
      <w:pPr>
        <w:widowControl/>
        <w:autoSpaceDE/>
        <w:autoSpaceDN/>
        <w:adjustRightInd/>
        <w:ind w:left="720"/>
        <w:rPr>
          <w:rFonts w:eastAsia="Calibri"/>
          <w:b w:val="0"/>
          <w:sz w:val="24"/>
          <w:szCs w:val="24"/>
          <w:u w:val="single"/>
        </w:rPr>
      </w:pPr>
      <w:r w:rsidRPr="009D08AC">
        <w:rPr>
          <w:rFonts w:eastAsia="Calibri"/>
          <w:b w:val="0"/>
          <w:sz w:val="24"/>
          <w:szCs w:val="24"/>
          <w:u w:val="single"/>
        </w:rPr>
        <w:t>Notice of Internet Availability</w:t>
      </w:r>
    </w:p>
    <w:p w:rsidR="009E0937" w:rsidRPr="009D08AC" w:rsidP="002B491C" w14:paraId="2D84D69B" w14:textId="77777777">
      <w:pPr>
        <w:widowControl/>
        <w:autoSpaceDE/>
        <w:autoSpaceDN/>
        <w:adjustRightInd/>
        <w:ind w:left="720"/>
        <w:rPr>
          <w:b w:val="0"/>
          <w:bCs w:val="0"/>
          <w:sz w:val="24"/>
        </w:rPr>
      </w:pPr>
    </w:p>
    <w:p w:rsidR="000460CE" w:rsidRPr="009D08AC" w:rsidP="00547C31" w14:paraId="4E8E99AA" w14:textId="324CA6C9">
      <w:pPr>
        <w:widowControl/>
        <w:autoSpaceDE/>
        <w:autoSpaceDN/>
        <w:adjustRightInd/>
        <w:ind w:left="720"/>
        <w:rPr>
          <w:b w:val="0"/>
          <w:bCs w:val="0"/>
          <w:sz w:val="24"/>
        </w:rPr>
      </w:pPr>
      <w:r w:rsidRPr="009D08AC">
        <w:rPr>
          <w:b w:val="0"/>
          <w:bCs w:val="0"/>
          <w:sz w:val="24"/>
        </w:rPr>
        <w:t xml:space="preserve">Paragraph (f)(4) of the </w:t>
      </w:r>
      <w:r w:rsidRPr="009D08AC" w:rsidR="00FE7F32">
        <w:rPr>
          <w:b w:val="0"/>
          <w:bCs w:val="0"/>
          <w:sz w:val="24"/>
        </w:rPr>
        <w:t>20</w:t>
      </w:r>
      <w:r w:rsidRPr="009D08AC" w:rsidR="00FD5341">
        <w:rPr>
          <w:b w:val="0"/>
          <w:bCs w:val="0"/>
          <w:sz w:val="24"/>
        </w:rPr>
        <w:t>20</w:t>
      </w:r>
      <w:r w:rsidRPr="009D08AC" w:rsidR="00547C31">
        <w:rPr>
          <w:b w:val="0"/>
          <w:bCs w:val="0"/>
          <w:sz w:val="24"/>
        </w:rPr>
        <w:t xml:space="preserve"> safe harbor</w:t>
      </w:r>
      <w:r w:rsidRPr="009D08AC" w:rsidR="00FE7F32">
        <w:rPr>
          <w:b w:val="0"/>
          <w:bCs w:val="0"/>
          <w:sz w:val="24"/>
        </w:rPr>
        <w:t xml:space="preserve"> </w:t>
      </w:r>
      <w:r w:rsidRPr="009D08AC">
        <w:rPr>
          <w:b w:val="0"/>
          <w:bCs w:val="0"/>
          <w:sz w:val="24"/>
        </w:rPr>
        <w:t xml:space="preserve">requires </w:t>
      </w:r>
      <w:r w:rsidRPr="009D08AC">
        <w:rPr>
          <w:rFonts w:eastAsia="Calibri"/>
          <w:b w:val="0"/>
          <w:bCs w:val="0"/>
          <w:color w:val="000000"/>
          <w:sz w:val="24"/>
          <w:szCs w:val="24"/>
        </w:rPr>
        <w:t xml:space="preserve">plan administrators to take certain actions if they are alerted that a covered individual’s electronic address has become invalid or inoperable, such as if a notice of internet availability sent to that address is returned as undeliverable. In such circumstances, the administrator must (1) promptly take reasonable steps to cure the problem (for example, by furnishing a notice of internet availability to the covered individual’s secondary electronic address that is valid and operable, if available, or obtaining a new valid and operable electronic address for the covered individual), or (2) treat the covered individual as if he or she made an election to opt out of electronic disclosure under paragraph (f)(2) of the </w:t>
      </w:r>
      <w:r w:rsidRPr="009D08AC" w:rsidR="00BB516F">
        <w:rPr>
          <w:rFonts w:eastAsia="Calibri"/>
          <w:b w:val="0"/>
          <w:bCs w:val="0"/>
          <w:color w:val="000000"/>
          <w:sz w:val="24"/>
          <w:szCs w:val="24"/>
        </w:rPr>
        <w:t>20</w:t>
      </w:r>
      <w:r w:rsidRPr="009D08AC" w:rsidR="00FD5341">
        <w:rPr>
          <w:rFonts w:eastAsia="Calibri"/>
          <w:b w:val="0"/>
          <w:bCs w:val="0"/>
          <w:color w:val="000000"/>
          <w:sz w:val="24"/>
          <w:szCs w:val="24"/>
        </w:rPr>
        <w:t>20</w:t>
      </w:r>
      <w:r w:rsidRPr="009D08AC" w:rsidR="00BB516F">
        <w:rPr>
          <w:rFonts w:eastAsia="Calibri"/>
          <w:b w:val="0"/>
          <w:bCs w:val="0"/>
          <w:color w:val="000000"/>
          <w:sz w:val="24"/>
          <w:szCs w:val="24"/>
        </w:rPr>
        <w:t xml:space="preserve"> safe ha</w:t>
      </w:r>
      <w:r w:rsidRPr="009D08AC" w:rsidR="00D87A73">
        <w:rPr>
          <w:rFonts w:eastAsia="Calibri"/>
          <w:b w:val="0"/>
          <w:bCs w:val="0"/>
          <w:color w:val="000000"/>
          <w:sz w:val="24"/>
          <w:szCs w:val="24"/>
        </w:rPr>
        <w:t>r</w:t>
      </w:r>
      <w:r w:rsidRPr="009D08AC" w:rsidR="00BB516F">
        <w:rPr>
          <w:rFonts w:eastAsia="Calibri"/>
          <w:b w:val="0"/>
          <w:bCs w:val="0"/>
          <w:color w:val="000000"/>
          <w:sz w:val="24"/>
          <w:szCs w:val="24"/>
        </w:rPr>
        <w:t>bor</w:t>
      </w:r>
      <w:r w:rsidRPr="009D08AC">
        <w:rPr>
          <w:rFonts w:eastAsia="Calibri"/>
          <w:b w:val="0"/>
          <w:bCs w:val="0"/>
          <w:color w:val="000000"/>
          <w:sz w:val="24"/>
          <w:szCs w:val="24"/>
        </w:rPr>
        <w:t xml:space="preserve">. </w:t>
      </w:r>
      <w:r w:rsidRPr="009D08AC">
        <w:rPr>
          <w:b w:val="0"/>
          <w:bCs w:val="0"/>
          <w:sz w:val="24"/>
        </w:rPr>
        <w:t xml:space="preserve">To satisfy this requirement, plan administrators would incur costs associated with monitoring for invalid or inoperable electronic addresses. The Department believes, however, that most plan administrators already have such features built into their electronic delivery systems. </w:t>
      </w:r>
    </w:p>
    <w:p w:rsidR="000460CE" w:rsidRPr="009D08AC" w:rsidP="00547C31" w14:paraId="23360867" w14:textId="77777777">
      <w:pPr>
        <w:widowControl/>
        <w:autoSpaceDE/>
        <w:autoSpaceDN/>
        <w:adjustRightInd/>
        <w:ind w:left="720"/>
        <w:rPr>
          <w:b w:val="0"/>
          <w:bCs w:val="0"/>
          <w:sz w:val="24"/>
        </w:rPr>
      </w:pPr>
    </w:p>
    <w:p w:rsidR="00BF4D05" w:rsidRPr="009D08AC" w:rsidP="00141360" w14:paraId="4A789899" w14:textId="0CFDDCFB">
      <w:pPr>
        <w:widowControl/>
        <w:autoSpaceDE/>
        <w:autoSpaceDN/>
        <w:adjustRightInd/>
        <w:ind w:left="720"/>
        <w:rPr>
          <w:b w:val="0"/>
          <w:bCs w:val="0"/>
          <w:sz w:val="24"/>
        </w:rPr>
      </w:pPr>
      <w:r w:rsidRPr="009D08AC">
        <w:rPr>
          <w:b w:val="0"/>
          <w:bCs w:val="0"/>
          <w:sz w:val="24"/>
        </w:rPr>
        <w:t xml:space="preserve">The Department assumes that approximately </w:t>
      </w:r>
      <w:r w:rsidRPr="009D08AC" w:rsidR="00EA4BC5">
        <w:rPr>
          <w:b w:val="0"/>
          <w:bCs w:val="0"/>
          <w:sz w:val="24"/>
        </w:rPr>
        <w:t>8</w:t>
      </w:r>
      <w:r w:rsidRPr="009D08AC" w:rsidR="00245881">
        <w:rPr>
          <w:b w:val="0"/>
          <w:bCs w:val="0"/>
          <w:sz w:val="24"/>
        </w:rPr>
        <w:t>,</w:t>
      </w:r>
      <w:r w:rsidRPr="009D08AC">
        <w:rPr>
          <w:b w:val="0"/>
          <w:bCs w:val="0"/>
          <w:sz w:val="24"/>
        </w:rPr>
        <w:t xml:space="preserve">000 plans </w:t>
      </w:r>
      <w:r w:rsidRPr="009D08AC" w:rsidR="004D2D44">
        <w:rPr>
          <w:b w:val="0"/>
          <w:bCs w:val="0"/>
          <w:sz w:val="24"/>
        </w:rPr>
        <w:t>only</w:t>
      </w:r>
      <w:r w:rsidRPr="009D08AC">
        <w:rPr>
          <w:b w:val="0"/>
          <w:bCs w:val="0"/>
          <w:sz w:val="24"/>
        </w:rPr>
        <w:t xml:space="preserve"> have such features built in to their systems</w:t>
      </w:r>
      <w:r w:rsidRPr="009D08AC" w:rsidR="00041F82">
        <w:rPr>
          <w:b w:val="0"/>
          <w:bCs w:val="0"/>
          <w:sz w:val="24"/>
        </w:rPr>
        <w:t xml:space="preserve"> because of the</w:t>
      </w:r>
      <w:r w:rsidRPr="009D08AC" w:rsidR="00AE2F96">
        <w:rPr>
          <w:b w:val="0"/>
          <w:bCs w:val="0"/>
          <w:sz w:val="24"/>
        </w:rPr>
        <w:t xml:space="preserve"> rule</w:t>
      </w:r>
      <w:r w:rsidRPr="009D08AC">
        <w:rPr>
          <w:b w:val="0"/>
          <w:bCs w:val="0"/>
          <w:sz w:val="24"/>
        </w:rPr>
        <w:t>, and thus, incur</w:t>
      </w:r>
      <w:r w:rsidRPr="009D08AC" w:rsidR="00DD2AAC">
        <w:rPr>
          <w:b w:val="0"/>
          <w:bCs w:val="0"/>
          <w:sz w:val="24"/>
        </w:rPr>
        <w:t xml:space="preserve"> annual subscription</w:t>
      </w:r>
      <w:r w:rsidRPr="009D08AC">
        <w:rPr>
          <w:b w:val="0"/>
          <w:bCs w:val="0"/>
          <w:sz w:val="24"/>
        </w:rPr>
        <w:t xml:space="preserve"> costs to purchase software to allow them to monitor whether electronic notices are delivered, bounced back, opened, and clicked through.</w:t>
      </w:r>
      <w:r>
        <w:rPr>
          <w:b w:val="0"/>
          <w:bCs w:val="0"/>
          <w:sz w:val="24"/>
          <w:szCs w:val="22"/>
          <w:vertAlign w:val="superscript"/>
        </w:rPr>
        <w:footnoteReference w:id="6"/>
      </w:r>
      <w:r w:rsidRPr="009D08AC">
        <w:rPr>
          <w:b w:val="0"/>
          <w:bCs w:val="0"/>
          <w:sz w:val="24"/>
        </w:rPr>
        <w:t xml:space="preserve"> </w:t>
      </w:r>
      <w:r w:rsidRPr="009D08AC" w:rsidR="00D57BA0">
        <w:rPr>
          <w:b w:val="0"/>
          <w:bCs w:val="0"/>
          <w:sz w:val="24"/>
        </w:rPr>
        <w:t>The Department estimates these plan administrators would incur $2.</w:t>
      </w:r>
      <w:r w:rsidRPr="009D08AC" w:rsidR="00EA4BC5">
        <w:rPr>
          <w:b w:val="0"/>
          <w:bCs w:val="0"/>
          <w:sz w:val="24"/>
        </w:rPr>
        <w:t>8</w:t>
      </w:r>
      <w:r w:rsidRPr="009D08AC" w:rsidR="00D57BA0">
        <w:rPr>
          <w:b w:val="0"/>
          <w:bCs w:val="0"/>
          <w:sz w:val="24"/>
        </w:rPr>
        <w:t xml:space="preserve"> million in aggregate annual costs to purchase such software.</w:t>
      </w:r>
      <w:r>
        <w:rPr>
          <w:b w:val="0"/>
          <w:bCs w:val="0"/>
          <w:sz w:val="24"/>
          <w:szCs w:val="22"/>
          <w:vertAlign w:val="superscript"/>
        </w:rPr>
        <w:footnoteReference w:id="7"/>
      </w:r>
      <w:r w:rsidRPr="009D08AC">
        <w:rPr>
          <w:b w:val="0"/>
          <w:bCs w:val="0"/>
          <w:sz w:val="24"/>
        </w:rPr>
        <w:t xml:space="preserve"> </w:t>
      </w:r>
    </w:p>
    <w:p w:rsidR="00BF4D05" w:rsidRPr="009D08AC" w:rsidP="002D73D8" w14:paraId="0F83081E" w14:textId="77777777">
      <w:pPr>
        <w:widowControl/>
        <w:autoSpaceDE/>
        <w:autoSpaceDN/>
        <w:adjustRightInd/>
        <w:ind w:left="720"/>
        <w:rPr>
          <w:bCs w:val="0"/>
          <w:sz w:val="24"/>
        </w:rPr>
      </w:pPr>
    </w:p>
    <w:p w:rsidR="00BF4D05" w:rsidRPr="009D08AC" w:rsidP="002D73D8" w14:paraId="30DB14E8" w14:textId="77777777">
      <w:pPr>
        <w:widowControl/>
        <w:autoSpaceDE/>
        <w:autoSpaceDN/>
        <w:adjustRightInd/>
        <w:ind w:left="720"/>
        <w:rPr>
          <w:b w:val="0"/>
          <w:bCs w:val="0"/>
          <w:sz w:val="24"/>
          <w:u w:val="single"/>
        </w:rPr>
      </w:pPr>
      <w:r w:rsidRPr="009D08AC">
        <w:rPr>
          <w:b w:val="0"/>
          <w:bCs w:val="0"/>
          <w:sz w:val="24"/>
          <w:u w:val="single"/>
        </w:rPr>
        <w:t>Website</w:t>
      </w:r>
    </w:p>
    <w:p w:rsidR="009E0937" w:rsidRPr="009D08AC" w:rsidP="002B491C" w14:paraId="5FBDCFFC" w14:textId="77777777">
      <w:pPr>
        <w:widowControl/>
        <w:autoSpaceDE/>
        <w:autoSpaceDN/>
        <w:adjustRightInd/>
        <w:ind w:left="720"/>
        <w:rPr>
          <w:rFonts w:eastAsia="Calibri"/>
          <w:b w:val="0"/>
          <w:bCs w:val="0"/>
          <w:sz w:val="24"/>
          <w:szCs w:val="24"/>
        </w:rPr>
      </w:pPr>
    </w:p>
    <w:p w:rsidR="00C45610" w:rsidRPr="009D08AC" w:rsidP="002B491C" w14:paraId="2493DB65" w14:textId="021353F7">
      <w:pPr>
        <w:widowControl/>
        <w:autoSpaceDE/>
        <w:autoSpaceDN/>
        <w:adjustRightInd/>
        <w:ind w:left="720"/>
        <w:rPr>
          <w:b w:val="0"/>
          <w:bCs w:val="0"/>
          <w:sz w:val="24"/>
        </w:rPr>
      </w:pPr>
      <w:r w:rsidRPr="009D08AC">
        <w:rPr>
          <w:rFonts w:eastAsia="Calibri"/>
          <w:b w:val="0"/>
          <w:bCs w:val="0"/>
          <w:sz w:val="24"/>
          <w:szCs w:val="24"/>
        </w:rPr>
        <w:t>Although t</w:t>
      </w:r>
      <w:r w:rsidRPr="009D08AC" w:rsidR="00BF4D05">
        <w:rPr>
          <w:rFonts w:eastAsia="Calibri"/>
          <w:b w:val="0"/>
          <w:bCs w:val="0"/>
          <w:sz w:val="24"/>
          <w:szCs w:val="24"/>
        </w:rPr>
        <w:t xml:space="preserve">he Department estimates that about </w:t>
      </w:r>
      <w:r w:rsidRPr="009D08AC" w:rsidR="006D5443">
        <w:rPr>
          <w:rFonts w:eastAsia="Calibri"/>
          <w:b w:val="0"/>
          <w:bCs w:val="0"/>
          <w:sz w:val="24"/>
          <w:szCs w:val="24"/>
        </w:rPr>
        <w:t>8</w:t>
      </w:r>
      <w:r w:rsidRPr="009D08AC" w:rsidR="00BF4D05">
        <w:rPr>
          <w:rFonts w:eastAsia="Calibri"/>
          <w:b w:val="0"/>
          <w:bCs w:val="0"/>
          <w:sz w:val="24"/>
          <w:szCs w:val="24"/>
        </w:rPr>
        <w:t>,</w:t>
      </w:r>
      <w:r w:rsidRPr="009D08AC">
        <w:rPr>
          <w:rFonts w:eastAsia="Calibri"/>
          <w:b w:val="0"/>
          <w:bCs w:val="0"/>
          <w:sz w:val="24"/>
          <w:szCs w:val="24"/>
        </w:rPr>
        <w:t>0</w:t>
      </w:r>
      <w:r w:rsidRPr="009D08AC" w:rsidR="00BF4D05">
        <w:rPr>
          <w:rFonts w:eastAsia="Calibri"/>
          <w:b w:val="0"/>
          <w:bCs w:val="0"/>
          <w:sz w:val="24"/>
          <w:szCs w:val="24"/>
        </w:rPr>
        <w:t xml:space="preserve">00 plans </w:t>
      </w:r>
      <w:r w:rsidRPr="009D08AC" w:rsidR="00816849">
        <w:rPr>
          <w:rFonts w:eastAsia="Calibri"/>
          <w:b w:val="0"/>
          <w:bCs w:val="0"/>
          <w:sz w:val="24"/>
          <w:szCs w:val="24"/>
        </w:rPr>
        <w:t>only</w:t>
      </w:r>
      <w:r w:rsidRPr="009D08AC" w:rsidR="00BF4D05">
        <w:rPr>
          <w:rFonts w:eastAsia="Calibri"/>
          <w:b w:val="0"/>
          <w:bCs w:val="0"/>
          <w:sz w:val="24"/>
          <w:szCs w:val="24"/>
        </w:rPr>
        <w:t xml:space="preserve"> have website</w:t>
      </w:r>
      <w:r w:rsidRPr="009D08AC" w:rsidR="00816849">
        <w:rPr>
          <w:rFonts w:eastAsia="Calibri"/>
          <w:b w:val="0"/>
          <w:bCs w:val="0"/>
          <w:sz w:val="24"/>
          <w:szCs w:val="24"/>
        </w:rPr>
        <w:t xml:space="preserve"> a website be</w:t>
      </w:r>
      <w:r w:rsidRPr="009D08AC" w:rsidR="002A4DA5">
        <w:rPr>
          <w:rFonts w:eastAsia="Calibri"/>
          <w:b w:val="0"/>
          <w:bCs w:val="0"/>
          <w:sz w:val="24"/>
          <w:szCs w:val="24"/>
        </w:rPr>
        <w:t xml:space="preserve">cause of the </w:t>
      </w:r>
      <w:r w:rsidRPr="009D08AC" w:rsidR="001F07CD">
        <w:rPr>
          <w:rFonts w:eastAsia="Calibri"/>
          <w:b w:val="0"/>
          <w:bCs w:val="0"/>
          <w:sz w:val="24"/>
          <w:szCs w:val="24"/>
        </w:rPr>
        <w:t>safe ha</w:t>
      </w:r>
      <w:r w:rsidRPr="009D08AC" w:rsidR="003B1C7A">
        <w:rPr>
          <w:rFonts w:eastAsia="Calibri"/>
          <w:b w:val="0"/>
          <w:bCs w:val="0"/>
          <w:sz w:val="24"/>
          <w:szCs w:val="24"/>
        </w:rPr>
        <w:t>r</w:t>
      </w:r>
      <w:r w:rsidRPr="009D08AC" w:rsidR="001F07CD">
        <w:rPr>
          <w:rFonts w:eastAsia="Calibri"/>
          <w:b w:val="0"/>
          <w:bCs w:val="0"/>
          <w:sz w:val="24"/>
          <w:szCs w:val="24"/>
        </w:rPr>
        <w:t>bors’ requirement</w:t>
      </w:r>
      <w:r w:rsidRPr="009D08AC">
        <w:rPr>
          <w:rFonts w:eastAsia="Calibri"/>
          <w:b w:val="0"/>
          <w:bCs w:val="0"/>
          <w:sz w:val="24"/>
          <w:szCs w:val="24"/>
        </w:rPr>
        <w:t>,</w:t>
      </w:r>
      <w:r w:rsidRPr="009D08AC" w:rsidR="00BF4D05">
        <w:rPr>
          <w:rFonts w:eastAsia="Calibri"/>
          <w:b w:val="0"/>
          <w:bCs w:val="0"/>
          <w:sz w:val="24"/>
          <w:szCs w:val="24"/>
        </w:rPr>
        <w:t xml:space="preserve"> </w:t>
      </w:r>
      <w:r w:rsidRPr="009D08AC">
        <w:rPr>
          <w:rFonts w:eastAsia="Calibri"/>
          <w:b w:val="0"/>
          <w:bCs w:val="0"/>
          <w:sz w:val="24"/>
          <w:szCs w:val="24"/>
        </w:rPr>
        <w:t xml:space="preserve">the Department expects the impact of paragraph (e) of the final rule to be minimal, in part, because paragraph (k) of the rule allows plans to furnish covered documents by email. </w:t>
      </w:r>
    </w:p>
    <w:p w:rsidR="00492438" w:rsidRPr="009D08AC" w:rsidP="00135737" w14:paraId="7D7A44F5" w14:textId="77777777">
      <w:pPr>
        <w:widowControl/>
        <w:autoSpaceDE/>
        <w:autoSpaceDN/>
        <w:adjustRightInd/>
        <w:ind w:left="720"/>
        <w:rPr>
          <w:sz w:val="24"/>
          <w:u w:val="single"/>
        </w:rPr>
      </w:pPr>
    </w:p>
    <w:p w:rsidR="00135737" w:rsidRPr="009D08AC" w:rsidP="00135737" w14:paraId="7C4FDEB1" w14:textId="7403B4F9">
      <w:pPr>
        <w:widowControl/>
        <w:autoSpaceDE/>
        <w:autoSpaceDN/>
        <w:adjustRightInd/>
        <w:ind w:left="720"/>
        <w:rPr>
          <w:b w:val="0"/>
          <w:bCs w:val="0"/>
          <w:sz w:val="24"/>
          <w:u w:val="single"/>
        </w:rPr>
      </w:pPr>
      <w:r w:rsidRPr="009D08AC">
        <w:rPr>
          <w:b w:val="0"/>
          <w:bCs w:val="0"/>
          <w:sz w:val="24"/>
          <w:u w:val="single"/>
        </w:rPr>
        <w:t>Summary Cost for the 20</w:t>
      </w:r>
      <w:r w:rsidRPr="009D08AC" w:rsidR="00FD5341">
        <w:rPr>
          <w:b w:val="0"/>
          <w:bCs w:val="0"/>
          <w:sz w:val="24"/>
          <w:u w:val="single"/>
        </w:rPr>
        <w:t>20</w:t>
      </w:r>
      <w:r w:rsidRPr="009D08AC">
        <w:rPr>
          <w:b w:val="0"/>
          <w:bCs w:val="0"/>
          <w:sz w:val="24"/>
          <w:u w:val="single"/>
        </w:rPr>
        <w:t xml:space="preserve"> Safe Harbor</w:t>
      </w:r>
    </w:p>
    <w:p w:rsidR="00C45610" w:rsidRPr="009D08AC" w:rsidP="002B491C" w14:paraId="4F982430" w14:textId="77777777">
      <w:pPr>
        <w:widowControl/>
        <w:autoSpaceDE/>
        <w:autoSpaceDN/>
        <w:adjustRightInd/>
        <w:ind w:left="720"/>
        <w:rPr>
          <w:b w:val="0"/>
          <w:bCs w:val="0"/>
          <w:sz w:val="24"/>
        </w:rPr>
      </w:pPr>
    </w:p>
    <w:p w:rsidR="00BF4D05" w:rsidRPr="009D08AC" w:rsidP="00C45610" w14:paraId="27A8CBB6" w14:textId="40417DCC">
      <w:pPr>
        <w:widowControl/>
        <w:autoSpaceDE/>
        <w:autoSpaceDN/>
        <w:adjustRightInd/>
        <w:ind w:left="720"/>
        <w:rPr>
          <w:b w:val="0"/>
          <w:bCs w:val="0"/>
          <w:sz w:val="24"/>
        </w:rPr>
      </w:pPr>
      <w:r w:rsidRPr="009D08AC">
        <w:rPr>
          <w:b w:val="0"/>
          <w:bCs w:val="0"/>
          <w:sz w:val="24"/>
        </w:rPr>
        <w:t xml:space="preserve">The </w:t>
      </w:r>
      <w:r w:rsidRPr="009D08AC" w:rsidR="00B45BE3">
        <w:rPr>
          <w:b w:val="0"/>
          <w:bCs w:val="0"/>
          <w:sz w:val="24"/>
        </w:rPr>
        <w:t xml:space="preserve">annual </w:t>
      </w:r>
      <w:r w:rsidRPr="009D08AC">
        <w:rPr>
          <w:b w:val="0"/>
          <w:bCs w:val="0"/>
          <w:sz w:val="24"/>
        </w:rPr>
        <w:t xml:space="preserve">total cost burden for the </w:t>
      </w:r>
      <w:r w:rsidRPr="009D08AC" w:rsidR="00135737">
        <w:rPr>
          <w:b w:val="0"/>
          <w:bCs w:val="0"/>
          <w:sz w:val="24"/>
        </w:rPr>
        <w:t>20</w:t>
      </w:r>
      <w:r w:rsidRPr="009D08AC" w:rsidR="00FD5341">
        <w:rPr>
          <w:b w:val="0"/>
          <w:bCs w:val="0"/>
          <w:sz w:val="24"/>
        </w:rPr>
        <w:t>20</w:t>
      </w:r>
      <w:r w:rsidRPr="009D08AC" w:rsidR="00135737">
        <w:rPr>
          <w:b w:val="0"/>
          <w:bCs w:val="0"/>
          <w:sz w:val="24"/>
        </w:rPr>
        <w:t xml:space="preserve"> </w:t>
      </w:r>
      <w:r w:rsidRPr="009D08AC" w:rsidR="00E34541">
        <w:rPr>
          <w:b w:val="0"/>
          <w:bCs w:val="0"/>
          <w:sz w:val="24"/>
        </w:rPr>
        <w:t>s</w:t>
      </w:r>
      <w:r w:rsidRPr="009D08AC" w:rsidR="00135737">
        <w:rPr>
          <w:b w:val="0"/>
          <w:bCs w:val="0"/>
          <w:sz w:val="24"/>
        </w:rPr>
        <w:t xml:space="preserve">afe </w:t>
      </w:r>
      <w:r w:rsidRPr="009D08AC" w:rsidR="00E34541">
        <w:rPr>
          <w:b w:val="0"/>
          <w:bCs w:val="0"/>
          <w:sz w:val="24"/>
        </w:rPr>
        <w:t>h</w:t>
      </w:r>
      <w:r w:rsidRPr="009D08AC" w:rsidR="00135737">
        <w:rPr>
          <w:b w:val="0"/>
          <w:bCs w:val="0"/>
          <w:sz w:val="24"/>
        </w:rPr>
        <w:t>arbor</w:t>
      </w:r>
      <w:r w:rsidRPr="009D08AC">
        <w:rPr>
          <w:b w:val="0"/>
          <w:bCs w:val="0"/>
          <w:sz w:val="24"/>
        </w:rPr>
        <w:t xml:space="preserve"> would be </w:t>
      </w:r>
      <w:r w:rsidRPr="009D08AC" w:rsidR="00943B0A">
        <w:rPr>
          <w:b w:val="0"/>
          <w:bCs w:val="0"/>
          <w:sz w:val="24"/>
        </w:rPr>
        <w:t>$2,751,199</w:t>
      </w:r>
      <w:r w:rsidRPr="009D08AC">
        <w:rPr>
          <w:b w:val="0"/>
          <w:bCs w:val="0"/>
          <w:sz w:val="24"/>
        </w:rPr>
        <w:t>.</w:t>
      </w:r>
    </w:p>
    <w:p w:rsidR="00C45610" w:rsidRPr="009D08AC" w:rsidP="008B4A30" w14:paraId="6F6DA222" w14:textId="77777777">
      <w:pPr>
        <w:widowControl/>
        <w:autoSpaceDE/>
        <w:autoSpaceDN/>
        <w:adjustRightInd/>
        <w:ind w:left="720"/>
        <w:rPr>
          <w:b w:val="0"/>
          <w:bCs w:val="0"/>
          <w:sz w:val="24"/>
        </w:rPr>
      </w:pPr>
    </w:p>
    <w:p w:rsidR="00BF4D05" w:rsidRPr="009D08AC" w:rsidP="002D73D8" w14:paraId="119BD059" w14:textId="699E180A">
      <w:pPr>
        <w:widowControl/>
        <w:autoSpaceDE/>
        <w:autoSpaceDN/>
        <w:adjustRightInd/>
        <w:ind w:left="720"/>
        <w:rPr>
          <w:sz w:val="24"/>
          <w:u w:val="single"/>
        </w:rPr>
      </w:pPr>
      <w:r w:rsidRPr="009D08AC">
        <w:rPr>
          <w:sz w:val="24"/>
          <w:u w:val="single"/>
        </w:rPr>
        <w:t>Total Cost</w:t>
      </w:r>
      <w:r w:rsidRPr="009D08AC" w:rsidR="00A64F8C">
        <w:rPr>
          <w:sz w:val="24"/>
          <w:u w:val="single"/>
        </w:rPr>
        <w:t xml:space="preserve"> Burden</w:t>
      </w:r>
    </w:p>
    <w:p w:rsidR="00215336" w:rsidRPr="009D08AC" w:rsidP="002B491C" w14:paraId="2194A7E5" w14:textId="0D339EA2">
      <w:pPr>
        <w:widowControl/>
        <w:autoSpaceDE/>
        <w:autoSpaceDN/>
        <w:adjustRightInd/>
        <w:ind w:left="720"/>
        <w:rPr>
          <w:b w:val="0"/>
          <w:bCs w:val="0"/>
          <w:sz w:val="24"/>
        </w:rPr>
      </w:pPr>
    </w:p>
    <w:p w:rsidR="00C45610" w:rsidRPr="009D08AC" w:rsidP="00B43518" w14:paraId="1D049F7F" w14:textId="0056FA26">
      <w:pPr>
        <w:widowControl/>
        <w:autoSpaceDE/>
        <w:autoSpaceDN/>
        <w:adjustRightInd/>
        <w:ind w:left="720"/>
        <w:rPr>
          <w:b w:val="0"/>
          <w:bCs w:val="0"/>
          <w:sz w:val="24"/>
          <w:szCs w:val="24"/>
        </w:rPr>
      </w:pPr>
      <w:r w:rsidRPr="009D08AC">
        <w:rPr>
          <w:b w:val="0"/>
          <w:bCs w:val="0"/>
          <w:sz w:val="24"/>
        </w:rPr>
        <w:t xml:space="preserve">The </w:t>
      </w:r>
      <w:r w:rsidRPr="009D08AC" w:rsidR="00B45BE3">
        <w:rPr>
          <w:b w:val="0"/>
          <w:bCs w:val="0"/>
          <w:sz w:val="24"/>
        </w:rPr>
        <w:t xml:space="preserve">annual </w:t>
      </w:r>
      <w:r w:rsidRPr="009D08AC">
        <w:rPr>
          <w:b w:val="0"/>
          <w:bCs w:val="0"/>
          <w:sz w:val="24"/>
        </w:rPr>
        <w:t xml:space="preserve">total cost burden for the ICR would be </w:t>
      </w:r>
      <w:r w:rsidRPr="009D08AC" w:rsidR="0053105C">
        <w:rPr>
          <w:b w:val="0"/>
          <w:bCs w:val="0"/>
          <w:sz w:val="24"/>
        </w:rPr>
        <w:t>$2,930,24</w:t>
      </w:r>
      <w:r w:rsidRPr="009D08AC" w:rsidR="0087486B">
        <w:rPr>
          <w:b w:val="0"/>
          <w:bCs w:val="0"/>
          <w:sz w:val="24"/>
        </w:rPr>
        <w:t>4</w:t>
      </w:r>
      <w:r w:rsidRPr="009D08AC" w:rsidR="002D2ACE">
        <w:rPr>
          <w:b w:val="0"/>
          <w:bCs w:val="0"/>
          <w:sz w:val="24"/>
        </w:rPr>
        <w:t>.</w:t>
      </w:r>
      <w:r w:rsidRPr="009D08AC" w:rsidR="00B45BE3">
        <w:rPr>
          <w:b w:val="0"/>
          <w:bCs w:val="0"/>
          <w:sz w:val="24"/>
        </w:rPr>
        <w:t xml:space="preserve"> </w:t>
      </w:r>
    </w:p>
    <w:p w:rsidR="0040475B" w:rsidRPr="009D08AC" w:rsidP="00D55011" w14:paraId="3C065311" w14:textId="77777777">
      <w:pPr>
        <w:widowControl/>
        <w:ind w:left="720"/>
        <w:rPr>
          <w:b w:val="0"/>
          <w:bCs w:val="0"/>
          <w:sz w:val="24"/>
          <w:szCs w:val="24"/>
        </w:rPr>
      </w:pPr>
    </w:p>
    <w:p w:rsidR="00D33C4C" w:rsidRPr="009D08AC" w:rsidP="00D55011" w14:paraId="59AD8020" w14:textId="2BDD1FA0">
      <w:pPr>
        <w:widowControl/>
        <w:tabs>
          <w:tab w:val="left" w:pos="-1440"/>
        </w:tabs>
        <w:ind w:left="720" w:hanging="720"/>
        <w:rPr>
          <w:sz w:val="24"/>
          <w:szCs w:val="24"/>
        </w:rPr>
      </w:pPr>
      <w:r w:rsidRPr="009D08AC">
        <w:rPr>
          <w:sz w:val="24"/>
          <w:szCs w:val="24"/>
        </w:rPr>
        <w:t>14.</w:t>
      </w:r>
      <w:r w:rsidRPr="009D08AC">
        <w:rPr>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9D08AC">
        <w:rPr>
          <w:sz w:val="24"/>
          <w:szCs w:val="24"/>
        </w:rPr>
        <w:t>expense</w:t>
      </w:r>
      <w:r w:rsidRPr="009D08AC">
        <w:rPr>
          <w:sz w:val="24"/>
          <w:szCs w:val="24"/>
        </w:rPr>
        <w:t xml:space="preserve"> that would not have been incurred without this collection of information. Agencies also may aggregate cost estimates from Items 12, 13, and 14 in a single table.</w:t>
      </w:r>
    </w:p>
    <w:p w:rsidR="00D33C4C" w:rsidRPr="009D08AC" w:rsidP="00D55011" w14:paraId="70193A5E" w14:textId="77777777">
      <w:pPr>
        <w:widowControl/>
        <w:ind w:left="720"/>
        <w:rPr>
          <w:b w:val="0"/>
          <w:bCs w:val="0"/>
          <w:sz w:val="24"/>
          <w:szCs w:val="24"/>
        </w:rPr>
      </w:pPr>
    </w:p>
    <w:p w:rsidR="00D33C4C" w:rsidRPr="009D08AC" w:rsidP="00D55011" w14:paraId="12E113D3" w14:textId="77777777">
      <w:pPr>
        <w:widowControl/>
        <w:ind w:left="720"/>
        <w:rPr>
          <w:b w:val="0"/>
          <w:bCs w:val="0"/>
          <w:sz w:val="24"/>
          <w:szCs w:val="24"/>
        </w:rPr>
      </w:pPr>
      <w:r w:rsidRPr="009D08AC">
        <w:rPr>
          <w:b w:val="0"/>
          <w:bCs w:val="0"/>
          <w:sz w:val="24"/>
          <w:szCs w:val="24"/>
        </w:rPr>
        <w:t>There is no cost to the Federal government associated with this information collection.</w:t>
      </w:r>
    </w:p>
    <w:p w:rsidR="00D33C4C" w:rsidRPr="009D08AC" w:rsidP="00D55011" w14:paraId="5FC239E0" w14:textId="77777777">
      <w:pPr>
        <w:widowControl/>
        <w:ind w:left="720"/>
        <w:rPr>
          <w:b w:val="0"/>
          <w:bCs w:val="0"/>
          <w:sz w:val="24"/>
          <w:szCs w:val="24"/>
        </w:rPr>
      </w:pPr>
    </w:p>
    <w:p w:rsidR="00D33C4C" w:rsidRPr="009D08AC" w:rsidP="008B4A30" w14:paraId="7CDFE7B0" w14:textId="02207FD7">
      <w:pPr>
        <w:widowControl/>
        <w:tabs>
          <w:tab w:val="left" w:pos="-1440"/>
        </w:tabs>
        <w:ind w:left="720" w:hanging="720"/>
        <w:rPr>
          <w:b w:val="0"/>
          <w:bCs w:val="0"/>
          <w:sz w:val="24"/>
          <w:szCs w:val="24"/>
        </w:rPr>
      </w:pPr>
      <w:r w:rsidRPr="009D08AC">
        <w:rPr>
          <w:sz w:val="24"/>
          <w:szCs w:val="24"/>
        </w:rPr>
        <w:t>15.</w:t>
      </w:r>
      <w:r w:rsidRPr="009D08AC">
        <w:rPr>
          <w:sz w:val="24"/>
          <w:szCs w:val="24"/>
        </w:rPr>
        <w:tab/>
        <w:t>Explain the reasons for any program changes or adjustments reporting in Items 13 or 14</w:t>
      </w:r>
      <w:r w:rsidRPr="009D08AC" w:rsidR="00D00876">
        <w:rPr>
          <w:sz w:val="24"/>
          <w:szCs w:val="24"/>
        </w:rPr>
        <w:t>.</w:t>
      </w:r>
    </w:p>
    <w:p w:rsidR="00381C42" w:rsidRPr="009D08AC" w:rsidP="00C02951" w14:paraId="34C84346" w14:textId="2A2ABDF1">
      <w:pPr>
        <w:widowControl/>
        <w:ind w:left="720"/>
        <w:rPr>
          <w:b w:val="0"/>
          <w:bCs w:val="0"/>
          <w:sz w:val="24"/>
          <w:szCs w:val="24"/>
        </w:rPr>
      </w:pPr>
    </w:p>
    <w:p w:rsidR="00C02951" w:rsidRPr="009D08AC" w:rsidP="004C17D0" w14:paraId="6FD37648" w14:textId="0C629BD7">
      <w:pPr>
        <w:widowControl/>
        <w:ind w:left="720"/>
        <w:rPr>
          <w:b w:val="0"/>
          <w:sz w:val="24"/>
          <w:szCs w:val="24"/>
        </w:rPr>
      </w:pPr>
      <w:r w:rsidRPr="009D08AC">
        <w:rPr>
          <w:b w:val="0"/>
          <w:sz w:val="24"/>
          <w:szCs w:val="24"/>
        </w:rPr>
        <w:t xml:space="preserve">The number of </w:t>
      </w:r>
      <w:r w:rsidRPr="009D08AC" w:rsidR="0067611F">
        <w:rPr>
          <w:b w:val="0"/>
          <w:sz w:val="24"/>
          <w:szCs w:val="24"/>
        </w:rPr>
        <w:t xml:space="preserve">plans and participants </w:t>
      </w:r>
      <w:r w:rsidRPr="009D08AC" w:rsidR="0067611F">
        <w:rPr>
          <w:b w:val="0"/>
          <w:sz w:val="24"/>
          <w:szCs w:val="24"/>
        </w:rPr>
        <w:t>have</w:t>
      </w:r>
      <w:r w:rsidRPr="009D08AC">
        <w:rPr>
          <w:b w:val="0"/>
          <w:sz w:val="24"/>
          <w:szCs w:val="24"/>
        </w:rPr>
        <w:t xml:space="preserve"> been updated</w:t>
      </w:r>
      <w:r w:rsidRPr="009D08AC" w:rsidR="0067611F">
        <w:rPr>
          <w:b w:val="0"/>
          <w:sz w:val="24"/>
          <w:szCs w:val="24"/>
        </w:rPr>
        <w:t xml:space="preserve">. </w:t>
      </w:r>
      <w:r w:rsidRPr="009D08AC">
        <w:rPr>
          <w:b w:val="0"/>
          <w:sz w:val="24"/>
          <w:szCs w:val="24"/>
        </w:rPr>
        <w:t xml:space="preserve">Wages, postage costs, the </w:t>
      </w:r>
      <w:r w:rsidRPr="009D08AC" w:rsidR="0067611F">
        <w:rPr>
          <w:b w:val="0"/>
          <w:sz w:val="24"/>
          <w:szCs w:val="24"/>
        </w:rPr>
        <w:t>percent</w:t>
      </w:r>
      <w:r w:rsidRPr="009D08AC">
        <w:rPr>
          <w:b w:val="0"/>
          <w:sz w:val="24"/>
          <w:szCs w:val="24"/>
        </w:rPr>
        <w:t xml:space="preserve"> of </w:t>
      </w:r>
      <w:r w:rsidRPr="009D08AC" w:rsidR="0067611F">
        <w:rPr>
          <w:b w:val="0"/>
          <w:sz w:val="24"/>
          <w:szCs w:val="24"/>
        </w:rPr>
        <w:t>Americans with an internet subscription</w:t>
      </w:r>
      <w:r w:rsidRPr="009D08AC">
        <w:rPr>
          <w:b w:val="0"/>
          <w:sz w:val="24"/>
          <w:szCs w:val="24"/>
        </w:rPr>
        <w:t>,</w:t>
      </w:r>
      <w:r w:rsidRPr="009D08AC" w:rsidR="0067611F">
        <w:rPr>
          <w:b w:val="0"/>
          <w:sz w:val="24"/>
          <w:szCs w:val="24"/>
        </w:rPr>
        <w:t xml:space="preserve"> the percent of plans without a website,</w:t>
      </w:r>
      <w:r w:rsidRPr="009D08AC">
        <w:rPr>
          <w:b w:val="0"/>
          <w:sz w:val="24"/>
          <w:szCs w:val="24"/>
        </w:rPr>
        <w:t xml:space="preserve"> and electronic disclosure rates were also updated.</w:t>
      </w:r>
      <w:r w:rsidRPr="009D08AC" w:rsidR="0067611F">
        <w:rPr>
          <w:b w:val="0"/>
          <w:sz w:val="24"/>
          <w:szCs w:val="24"/>
        </w:rPr>
        <w:t xml:space="preserve"> Additionally, </w:t>
      </w:r>
      <w:r w:rsidRPr="009D08AC" w:rsidR="002C769C">
        <w:rPr>
          <w:b w:val="0"/>
          <w:sz w:val="24"/>
          <w:szCs w:val="24"/>
        </w:rPr>
        <w:t>one-time costs</w:t>
      </w:r>
      <w:r w:rsidRPr="009D08AC" w:rsidR="0053105C">
        <w:rPr>
          <w:b w:val="0"/>
          <w:sz w:val="24"/>
          <w:szCs w:val="24"/>
        </w:rPr>
        <w:t xml:space="preserve"> from previous rules</w:t>
      </w:r>
      <w:r w:rsidRPr="009D08AC" w:rsidR="002C769C">
        <w:rPr>
          <w:b w:val="0"/>
          <w:sz w:val="24"/>
          <w:szCs w:val="24"/>
        </w:rPr>
        <w:t xml:space="preserve"> </w:t>
      </w:r>
      <w:r w:rsidRPr="009D08AC" w:rsidR="00844349">
        <w:rPr>
          <w:b w:val="0"/>
          <w:sz w:val="24"/>
          <w:szCs w:val="24"/>
        </w:rPr>
        <w:t>have been removed.</w:t>
      </w:r>
      <w:r w:rsidRPr="009D08AC" w:rsidR="0053105C">
        <w:rPr>
          <w:b w:val="0"/>
          <w:sz w:val="24"/>
          <w:szCs w:val="24"/>
        </w:rPr>
        <w:t xml:space="preserve"> Additionally, new requirements implemented by section 338 of the SECURE 2.0 Act have been added.</w:t>
      </w:r>
      <w:r w:rsidRPr="009D08AC" w:rsidR="00844349">
        <w:rPr>
          <w:b w:val="0"/>
          <w:sz w:val="24"/>
          <w:szCs w:val="24"/>
        </w:rPr>
        <w:t xml:space="preserve"> </w:t>
      </w:r>
      <w:r w:rsidRPr="009D08AC">
        <w:rPr>
          <w:b w:val="0"/>
          <w:sz w:val="24"/>
          <w:szCs w:val="24"/>
        </w:rPr>
        <w:t xml:space="preserve">As a result, the number of respondents increased by </w:t>
      </w:r>
      <w:r w:rsidRPr="009D08AC" w:rsidR="00A73B6E">
        <w:rPr>
          <w:b w:val="0"/>
          <w:sz w:val="24"/>
          <w:szCs w:val="24"/>
        </w:rPr>
        <w:t>76,</w:t>
      </w:r>
      <w:r w:rsidRPr="009D08AC" w:rsidR="004C17D0">
        <w:rPr>
          <w:b w:val="0"/>
          <w:sz w:val="24"/>
          <w:szCs w:val="24"/>
        </w:rPr>
        <w:t>294</w:t>
      </w:r>
      <w:r w:rsidRPr="009D08AC">
        <w:rPr>
          <w:b w:val="0"/>
          <w:sz w:val="24"/>
          <w:szCs w:val="24"/>
        </w:rPr>
        <w:t xml:space="preserve">, the number of responses </w:t>
      </w:r>
      <w:r w:rsidRPr="009D08AC" w:rsidR="004C17D0">
        <w:rPr>
          <w:b w:val="0"/>
          <w:sz w:val="24"/>
          <w:szCs w:val="24"/>
        </w:rPr>
        <w:t xml:space="preserve">increased </w:t>
      </w:r>
      <w:r w:rsidRPr="009D08AC">
        <w:rPr>
          <w:b w:val="0"/>
          <w:sz w:val="24"/>
          <w:szCs w:val="24"/>
        </w:rPr>
        <w:t xml:space="preserve">by </w:t>
      </w:r>
      <w:r w:rsidRPr="009D08AC" w:rsidR="004C17D0">
        <w:rPr>
          <w:b w:val="0"/>
          <w:sz w:val="24"/>
          <w:szCs w:val="24"/>
        </w:rPr>
        <w:t>47,862,7</w:t>
      </w:r>
      <w:r w:rsidRPr="009D08AC" w:rsidR="00AD7ECC">
        <w:rPr>
          <w:b w:val="0"/>
          <w:sz w:val="24"/>
          <w:szCs w:val="24"/>
        </w:rPr>
        <w:t>33</w:t>
      </w:r>
      <w:r w:rsidRPr="009D08AC">
        <w:rPr>
          <w:b w:val="0"/>
          <w:sz w:val="24"/>
          <w:szCs w:val="24"/>
        </w:rPr>
        <w:t xml:space="preserve">, and the </w:t>
      </w:r>
      <w:r w:rsidRPr="009D08AC" w:rsidR="004C17D0">
        <w:rPr>
          <w:b w:val="0"/>
          <w:sz w:val="24"/>
          <w:szCs w:val="24"/>
        </w:rPr>
        <w:t xml:space="preserve">hour </w:t>
      </w:r>
      <w:r w:rsidRPr="009D08AC">
        <w:rPr>
          <w:b w:val="0"/>
          <w:sz w:val="24"/>
          <w:szCs w:val="24"/>
        </w:rPr>
        <w:t xml:space="preserve">burden increased by </w:t>
      </w:r>
      <w:r w:rsidRPr="009D08AC" w:rsidR="004C17D0">
        <w:rPr>
          <w:b w:val="0"/>
          <w:sz w:val="24"/>
          <w:szCs w:val="24"/>
        </w:rPr>
        <w:t>288,26</w:t>
      </w:r>
      <w:r w:rsidRPr="009D08AC" w:rsidR="00AD7ECC">
        <w:rPr>
          <w:b w:val="0"/>
          <w:sz w:val="24"/>
          <w:szCs w:val="24"/>
        </w:rPr>
        <w:t>5</w:t>
      </w:r>
      <w:r w:rsidRPr="009D08AC">
        <w:rPr>
          <w:b w:val="0"/>
          <w:sz w:val="24"/>
          <w:szCs w:val="24"/>
        </w:rPr>
        <w:t xml:space="preserve">. The </w:t>
      </w:r>
      <w:r w:rsidRPr="009D08AC" w:rsidR="004C17D0">
        <w:rPr>
          <w:b w:val="0"/>
          <w:sz w:val="24"/>
          <w:szCs w:val="24"/>
        </w:rPr>
        <w:t xml:space="preserve">cost </w:t>
      </w:r>
      <w:r w:rsidRPr="009D08AC">
        <w:rPr>
          <w:b w:val="0"/>
          <w:sz w:val="24"/>
          <w:szCs w:val="24"/>
        </w:rPr>
        <w:t xml:space="preserve">burden </w:t>
      </w:r>
      <w:r w:rsidRPr="009D08AC" w:rsidR="009F516E">
        <w:rPr>
          <w:b w:val="0"/>
          <w:sz w:val="24"/>
          <w:szCs w:val="24"/>
        </w:rPr>
        <w:t>decreased by</w:t>
      </w:r>
      <w:r w:rsidRPr="009D08AC">
        <w:rPr>
          <w:b w:val="0"/>
          <w:sz w:val="24"/>
          <w:szCs w:val="24"/>
        </w:rPr>
        <w:t xml:space="preserve"> </w:t>
      </w:r>
      <w:r w:rsidRPr="009D08AC" w:rsidR="004C17D0">
        <w:rPr>
          <w:b w:val="0"/>
          <w:sz w:val="24"/>
          <w:szCs w:val="24"/>
        </w:rPr>
        <w:t>$171,137</w:t>
      </w:r>
      <w:r w:rsidRPr="009D08AC">
        <w:rPr>
          <w:b w:val="0"/>
          <w:sz w:val="24"/>
          <w:szCs w:val="24"/>
        </w:rPr>
        <w:t>.</w:t>
      </w:r>
    </w:p>
    <w:p w:rsidR="00D33C4C" w:rsidRPr="009D08AC" w:rsidP="00B43518" w14:paraId="63177EC0" w14:textId="77777777">
      <w:pPr>
        <w:widowControl/>
        <w:tabs>
          <w:tab w:val="left" w:pos="-1440"/>
        </w:tabs>
        <w:rPr>
          <w:b w:val="0"/>
          <w:bCs w:val="0"/>
          <w:sz w:val="24"/>
          <w:szCs w:val="24"/>
        </w:rPr>
      </w:pPr>
    </w:p>
    <w:p w:rsidR="00D33C4C" w:rsidRPr="009D08AC" w:rsidP="00D55011" w14:paraId="17667F84" w14:textId="4E7C4B75">
      <w:pPr>
        <w:widowControl/>
        <w:tabs>
          <w:tab w:val="left" w:pos="-1440"/>
        </w:tabs>
        <w:ind w:left="720" w:hanging="720"/>
        <w:rPr>
          <w:sz w:val="24"/>
          <w:szCs w:val="24"/>
        </w:rPr>
      </w:pPr>
      <w:r w:rsidRPr="009D08AC">
        <w:rPr>
          <w:sz w:val="24"/>
          <w:szCs w:val="24"/>
        </w:rPr>
        <w:t>16.</w:t>
      </w:r>
      <w:r w:rsidRPr="009D08AC">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33C4C" w:rsidRPr="009D08AC" w:rsidP="00D55011" w14:paraId="5236B6C8" w14:textId="77777777">
      <w:pPr>
        <w:widowControl/>
        <w:ind w:left="720"/>
        <w:rPr>
          <w:b w:val="0"/>
          <w:bCs w:val="0"/>
          <w:sz w:val="24"/>
          <w:szCs w:val="24"/>
        </w:rPr>
      </w:pPr>
    </w:p>
    <w:p w:rsidR="00D33C4C" w:rsidRPr="009D08AC" w:rsidP="00D55011" w14:paraId="180EE99B" w14:textId="77777777">
      <w:pPr>
        <w:widowControl/>
        <w:ind w:left="720"/>
        <w:rPr>
          <w:b w:val="0"/>
          <w:bCs w:val="0"/>
          <w:sz w:val="24"/>
          <w:szCs w:val="24"/>
        </w:rPr>
      </w:pPr>
      <w:r w:rsidRPr="009D08AC">
        <w:rPr>
          <w:b w:val="0"/>
          <w:bCs w:val="0"/>
          <w:sz w:val="24"/>
          <w:szCs w:val="24"/>
        </w:rPr>
        <w:t>There are no plans to publish the results of this collection of information.</w:t>
      </w:r>
    </w:p>
    <w:p w:rsidR="00D33C4C" w:rsidRPr="009D08AC" w:rsidP="00D55011" w14:paraId="0F2495B6" w14:textId="77777777">
      <w:pPr>
        <w:widowControl/>
        <w:ind w:left="720"/>
        <w:rPr>
          <w:b w:val="0"/>
          <w:bCs w:val="0"/>
          <w:sz w:val="24"/>
          <w:szCs w:val="24"/>
        </w:rPr>
      </w:pPr>
    </w:p>
    <w:p w:rsidR="00D33C4C" w:rsidRPr="009D08AC" w:rsidP="00D55011" w14:paraId="099015A7" w14:textId="77777777">
      <w:pPr>
        <w:widowControl/>
        <w:tabs>
          <w:tab w:val="left" w:pos="-1440"/>
        </w:tabs>
        <w:ind w:left="720" w:hanging="720"/>
        <w:rPr>
          <w:sz w:val="24"/>
          <w:szCs w:val="24"/>
        </w:rPr>
      </w:pPr>
      <w:r w:rsidRPr="009D08AC">
        <w:rPr>
          <w:sz w:val="24"/>
          <w:szCs w:val="24"/>
        </w:rPr>
        <w:t>17.</w:t>
      </w:r>
      <w:r w:rsidRPr="009D08AC">
        <w:rPr>
          <w:sz w:val="24"/>
          <w:szCs w:val="24"/>
        </w:rPr>
        <w:tab/>
        <w:t>If seeking approval to not display the expiration date for OMB approval of the information collection, explain the reasons that display would be inappropriate.</w:t>
      </w:r>
    </w:p>
    <w:p w:rsidR="00D33C4C" w:rsidRPr="009D08AC" w:rsidP="00D55011" w14:paraId="779B536C" w14:textId="77777777">
      <w:pPr>
        <w:widowControl/>
        <w:ind w:left="720"/>
        <w:rPr>
          <w:b w:val="0"/>
          <w:bCs w:val="0"/>
          <w:sz w:val="24"/>
          <w:szCs w:val="24"/>
        </w:rPr>
      </w:pPr>
    </w:p>
    <w:p w:rsidR="00D33C4C" w:rsidRPr="009D08AC" w:rsidP="00D55011" w14:paraId="1CDC5970" w14:textId="77777777">
      <w:pPr>
        <w:widowControl/>
        <w:ind w:left="720"/>
        <w:rPr>
          <w:b w:val="0"/>
          <w:bCs w:val="0"/>
          <w:sz w:val="24"/>
          <w:szCs w:val="24"/>
        </w:rPr>
      </w:pPr>
      <w:r w:rsidRPr="009D08AC">
        <w:rPr>
          <w:b w:val="0"/>
          <w:bCs w:val="0"/>
          <w:sz w:val="24"/>
          <w:szCs w:val="24"/>
        </w:rPr>
        <w:t>The collection of information will display a currently valid OMB control number.</w:t>
      </w:r>
    </w:p>
    <w:p w:rsidR="00D33C4C" w:rsidRPr="009D08AC" w:rsidP="00D55011" w14:paraId="4C5FD343" w14:textId="77777777">
      <w:pPr>
        <w:widowControl/>
        <w:ind w:left="720"/>
        <w:rPr>
          <w:b w:val="0"/>
          <w:bCs w:val="0"/>
          <w:sz w:val="24"/>
          <w:szCs w:val="24"/>
        </w:rPr>
      </w:pPr>
    </w:p>
    <w:p w:rsidR="00D33C4C" w:rsidRPr="009D08AC" w:rsidP="00D55011" w14:paraId="13388650" w14:textId="517729B0">
      <w:pPr>
        <w:widowControl/>
        <w:tabs>
          <w:tab w:val="left" w:pos="-1440"/>
        </w:tabs>
        <w:ind w:left="720" w:hanging="720"/>
        <w:rPr>
          <w:sz w:val="24"/>
          <w:szCs w:val="24"/>
        </w:rPr>
      </w:pPr>
      <w:r w:rsidRPr="009D08AC">
        <w:rPr>
          <w:sz w:val="24"/>
          <w:szCs w:val="24"/>
        </w:rPr>
        <w:t>18.</w:t>
      </w:r>
      <w:r w:rsidRPr="009D08AC">
        <w:rPr>
          <w:sz w:val="24"/>
          <w:szCs w:val="24"/>
        </w:rPr>
        <w:tab/>
        <w:t xml:space="preserve">Explain each exception to the </w:t>
      </w:r>
      <w:r w:rsidRPr="009D08AC" w:rsidR="009C55F3">
        <w:rPr>
          <w:sz w:val="24"/>
          <w:szCs w:val="24"/>
        </w:rPr>
        <w:t xml:space="preserve">topics of the </w:t>
      </w:r>
      <w:r w:rsidRPr="009D08AC">
        <w:rPr>
          <w:sz w:val="24"/>
          <w:szCs w:val="24"/>
        </w:rPr>
        <w:t xml:space="preserve">certification statement identified in </w:t>
      </w:r>
      <w:r w:rsidRPr="009D08AC" w:rsidR="007D4AB5">
        <w:rPr>
          <w:sz w:val="24"/>
          <w:szCs w:val="24"/>
        </w:rPr>
        <w:t>“Certification of P</w:t>
      </w:r>
      <w:r w:rsidRPr="009D08AC" w:rsidR="002B41D1">
        <w:rPr>
          <w:sz w:val="24"/>
          <w:szCs w:val="24"/>
        </w:rPr>
        <w:t xml:space="preserve">aperwork </w:t>
      </w:r>
      <w:r w:rsidRPr="009D08AC" w:rsidR="00527B16">
        <w:rPr>
          <w:sz w:val="24"/>
          <w:szCs w:val="24"/>
        </w:rPr>
        <w:t>Reeducation</w:t>
      </w:r>
      <w:r w:rsidRPr="009D08AC" w:rsidR="002B41D1">
        <w:rPr>
          <w:sz w:val="24"/>
          <w:szCs w:val="24"/>
        </w:rPr>
        <w:t xml:space="preserve"> Act Submissions</w:t>
      </w:r>
      <w:r w:rsidRPr="009D08AC" w:rsidR="00527B16">
        <w:rPr>
          <w:sz w:val="24"/>
          <w:szCs w:val="24"/>
        </w:rPr>
        <w:t>.</w:t>
      </w:r>
      <w:r w:rsidRPr="009D08AC" w:rsidR="00D7214B">
        <w:rPr>
          <w:sz w:val="24"/>
          <w:szCs w:val="24"/>
        </w:rPr>
        <w:t>”</w:t>
      </w:r>
    </w:p>
    <w:p w:rsidR="00D33C4C" w:rsidRPr="009D08AC" w:rsidP="00D55011" w14:paraId="7A855DC9" w14:textId="77777777">
      <w:pPr>
        <w:widowControl/>
        <w:ind w:left="720"/>
        <w:rPr>
          <w:b w:val="0"/>
          <w:bCs w:val="0"/>
          <w:sz w:val="24"/>
          <w:szCs w:val="24"/>
        </w:rPr>
      </w:pPr>
    </w:p>
    <w:p w:rsidR="00D33C4C" w:rsidRPr="009D08AC" w:rsidP="00D55011" w14:paraId="696BE719" w14:textId="207E1D31">
      <w:pPr>
        <w:widowControl/>
        <w:ind w:left="720"/>
        <w:rPr>
          <w:b w:val="0"/>
          <w:bCs w:val="0"/>
          <w:sz w:val="24"/>
          <w:szCs w:val="24"/>
        </w:rPr>
      </w:pPr>
      <w:r w:rsidRPr="009D08AC">
        <w:rPr>
          <w:b w:val="0"/>
          <w:bCs w:val="0"/>
          <w:sz w:val="24"/>
          <w:szCs w:val="24"/>
        </w:rPr>
        <w:t>There are no exceptions to the certification statement</w:t>
      </w:r>
      <w:r w:rsidRPr="009D08AC">
        <w:rPr>
          <w:b w:val="0"/>
          <w:bCs w:val="0"/>
          <w:sz w:val="24"/>
          <w:szCs w:val="24"/>
        </w:rPr>
        <w:t>.</w:t>
      </w:r>
    </w:p>
    <w:p w:rsidR="00D33C4C" w:rsidRPr="009D08AC" w:rsidP="00D55011" w14:paraId="6B8D8651" w14:textId="77777777">
      <w:pPr>
        <w:widowControl/>
        <w:ind w:left="720"/>
        <w:rPr>
          <w:b w:val="0"/>
          <w:bCs w:val="0"/>
          <w:sz w:val="24"/>
          <w:szCs w:val="24"/>
        </w:rPr>
      </w:pPr>
    </w:p>
    <w:p w:rsidR="00D33C4C" w:rsidRPr="009D08AC" w:rsidP="00D55011" w14:paraId="2F66C245" w14:textId="6E1CDE19">
      <w:pPr>
        <w:widowControl/>
        <w:tabs>
          <w:tab w:val="left" w:pos="-1440"/>
        </w:tabs>
        <w:ind w:left="720" w:hanging="720"/>
        <w:outlineLvl w:val="0"/>
        <w:rPr>
          <w:sz w:val="24"/>
          <w:szCs w:val="24"/>
        </w:rPr>
      </w:pPr>
      <w:r w:rsidRPr="009D08AC">
        <w:rPr>
          <w:sz w:val="24"/>
          <w:szCs w:val="24"/>
        </w:rPr>
        <w:t>B.</w:t>
      </w:r>
      <w:r w:rsidRPr="009D08AC">
        <w:rPr>
          <w:sz w:val="24"/>
          <w:szCs w:val="24"/>
        </w:rPr>
        <w:tab/>
        <w:t>COLLECTIONS OF INFORMATION EMPLOYING STATISTICAL METHODS</w:t>
      </w:r>
    </w:p>
    <w:p w:rsidR="008A15D6" w:rsidRPr="009D08AC" w:rsidP="00D55011" w14:paraId="25E7996F" w14:textId="77777777">
      <w:pPr>
        <w:widowControl/>
        <w:ind w:left="720"/>
        <w:rPr>
          <w:b w:val="0"/>
          <w:bCs w:val="0"/>
          <w:sz w:val="24"/>
          <w:szCs w:val="24"/>
        </w:rPr>
      </w:pPr>
    </w:p>
    <w:p w:rsidR="00D33C4C" w:rsidP="00D55011" w14:paraId="3414F571" w14:textId="7CF23CB0">
      <w:pPr>
        <w:widowControl/>
        <w:ind w:left="720"/>
        <w:rPr>
          <w:b w:val="0"/>
          <w:bCs w:val="0"/>
          <w:sz w:val="24"/>
          <w:szCs w:val="24"/>
        </w:rPr>
      </w:pPr>
      <w:r w:rsidRPr="009D08AC">
        <w:rPr>
          <w:b w:val="0"/>
          <w:bCs w:val="0"/>
          <w:sz w:val="24"/>
          <w:szCs w:val="24"/>
        </w:rPr>
        <w:t>The use of statistical methods is not relevant to this collection of information.</w:t>
      </w:r>
    </w:p>
    <w:p w:rsidR="004C7970" w:rsidRPr="004C7970" w:rsidP="004C7970" w14:paraId="09F83499" w14:textId="77777777">
      <w:pPr>
        <w:rPr>
          <w:sz w:val="24"/>
          <w:szCs w:val="24"/>
        </w:rPr>
      </w:pPr>
    </w:p>
    <w:p w:rsidR="004C7970" w:rsidRPr="004C7970" w:rsidP="004C7970" w14:paraId="79BCC70B" w14:textId="77777777">
      <w:pPr>
        <w:rPr>
          <w:sz w:val="24"/>
          <w:szCs w:val="24"/>
        </w:rPr>
      </w:pPr>
    </w:p>
    <w:p w:rsidR="004C7970" w:rsidRPr="004C7970" w:rsidP="004C7970" w14:paraId="08FD258D" w14:textId="77777777">
      <w:pPr>
        <w:rPr>
          <w:sz w:val="24"/>
          <w:szCs w:val="24"/>
        </w:rPr>
      </w:pPr>
    </w:p>
    <w:sectPr w:rsidSect="001F16EB">
      <w:headerReference w:type="default" r:id="rId9"/>
      <w:footerReference w:type="even" r:id="rId10"/>
      <w:footerReference w:type="default" r:id="rId11"/>
      <w:headerReference w:type="first" r:id="rId12"/>
      <w:endnotePr>
        <w:numFmt w:val="decimal"/>
      </w:endnotePr>
      <w:type w:val="continuous"/>
      <w:pgSz w:w="12240" w:h="15840"/>
      <w:pgMar w:top="1350" w:right="1440" w:bottom="1440" w:left="1440" w:header="135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D3D" w:rsidP="001F16EB" w14:paraId="2607419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96D3D" w14:paraId="7F6C39A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D3D" w:rsidRPr="004C7970" w:rsidP="004C7970" w14:paraId="7998F22C" w14:textId="7D0A67C8">
    <w:pPr>
      <w:pStyle w:val="Footer"/>
      <w:framePr w:wrap="around" w:vAnchor="text" w:hAnchor="page" w:x="6011" w:y="151"/>
      <w:rPr>
        <w:rStyle w:val="PageNumber"/>
        <w:sz w:val="24"/>
        <w:szCs w:val="24"/>
      </w:rPr>
    </w:pPr>
    <w:r w:rsidRPr="004C7970">
      <w:rPr>
        <w:rStyle w:val="PageNumber"/>
        <w:sz w:val="24"/>
        <w:szCs w:val="24"/>
      </w:rPr>
      <w:fldChar w:fldCharType="begin"/>
    </w:r>
    <w:r w:rsidRPr="004C7970">
      <w:rPr>
        <w:rStyle w:val="PageNumber"/>
        <w:sz w:val="24"/>
        <w:szCs w:val="24"/>
      </w:rPr>
      <w:instrText xml:space="preserve">PAGE  </w:instrText>
    </w:r>
    <w:r w:rsidRPr="004C7970">
      <w:rPr>
        <w:rStyle w:val="PageNumber"/>
        <w:sz w:val="24"/>
        <w:szCs w:val="24"/>
      </w:rPr>
      <w:fldChar w:fldCharType="separate"/>
    </w:r>
    <w:r w:rsidRPr="004C7970" w:rsidR="00E11211">
      <w:rPr>
        <w:rStyle w:val="PageNumber"/>
        <w:noProof/>
        <w:sz w:val="24"/>
        <w:szCs w:val="24"/>
      </w:rPr>
      <w:t>17</w:t>
    </w:r>
    <w:r w:rsidRPr="004C7970">
      <w:rPr>
        <w:rStyle w:val="PageNumber"/>
        <w:sz w:val="24"/>
        <w:szCs w:val="24"/>
      </w:rPr>
      <w:fldChar w:fldCharType="end"/>
    </w:r>
  </w:p>
  <w:p w:rsidR="00C96D3D" w14:paraId="7B8F8DD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3E24" w14:paraId="23CE08B4" w14:textId="77777777">
      <w:r>
        <w:separator/>
      </w:r>
    </w:p>
  </w:footnote>
  <w:footnote w:type="continuationSeparator" w:id="1">
    <w:p w:rsidR="00A63E24" w14:paraId="11FBDE93" w14:textId="77777777">
      <w:r>
        <w:continuationSeparator/>
      </w:r>
    </w:p>
  </w:footnote>
  <w:footnote w:type="continuationNotice" w:id="2">
    <w:p w:rsidR="00A63E24" w14:paraId="5420519D" w14:textId="77777777"/>
  </w:footnote>
  <w:footnote w:id="3">
    <w:p w:rsidR="003B3EC0" w:rsidRPr="003611AD" w14:paraId="21543915" w14:textId="3DBF228B">
      <w:pPr>
        <w:pStyle w:val="FootnoteText"/>
        <w:rPr>
          <w:b w:val="0"/>
          <w:bCs w:val="0"/>
        </w:rPr>
      </w:pPr>
    </w:p>
  </w:footnote>
  <w:footnote w:id="4">
    <w:p w:rsidR="00CD3B07" w:rsidRPr="008B4A30" w:rsidP="00CD3B07" w14:paraId="6888DE48" w14:textId="70228A31">
      <w:pPr>
        <w:pStyle w:val="FootnoteText"/>
        <w:rPr>
          <w:sz w:val="20"/>
        </w:rPr>
      </w:pPr>
      <w:r w:rsidRPr="008B4A30">
        <w:rPr>
          <w:rStyle w:val="FootnoteReference"/>
          <w:b w:val="0"/>
          <w:sz w:val="20"/>
          <w:vertAlign w:val="superscript"/>
        </w:rPr>
        <w:footnoteRef/>
      </w:r>
      <w:r w:rsidRPr="008B4A30">
        <w:rPr>
          <w:b w:val="0"/>
          <w:sz w:val="20"/>
        </w:rPr>
        <w:t xml:space="preserve"> </w:t>
      </w:r>
      <w:r w:rsidRPr="008B4A30" w:rsidR="0020613E">
        <w:rPr>
          <w:b w:val="0"/>
          <w:sz w:val="20"/>
        </w:rPr>
        <w:t>According to Private Pension Plan Bulletin 2020 there were approximately 1</w:t>
      </w:r>
      <w:r w:rsidR="0083468D">
        <w:rPr>
          <w:b w:val="0"/>
          <w:sz w:val="20"/>
        </w:rPr>
        <w:t>19,000</w:t>
      </w:r>
      <w:r w:rsidRPr="008B4A30" w:rsidR="0020613E">
        <w:rPr>
          <w:b w:val="0"/>
          <w:sz w:val="20"/>
        </w:rPr>
        <w:t xml:space="preserve"> defined benefit plans and non</w:t>
      </w:r>
      <w:r w:rsidRPr="00BC6CA9" w:rsidR="006B100F">
        <w:rPr>
          <w:b w:val="0"/>
          <w:sz w:val="20"/>
        </w:rPr>
        <w:t>-</w:t>
      </w:r>
      <w:r w:rsidRPr="008B4A30" w:rsidR="0020613E">
        <w:rPr>
          <w:b w:val="0"/>
          <w:sz w:val="20"/>
        </w:rPr>
        <w:t>participant-directed defined contribution plans. Applying an assumption of 6.9 percent, the Department estimates approximately 8</w:t>
      </w:r>
      <w:r w:rsidRPr="008B4A30" w:rsidR="008D340D">
        <w:rPr>
          <w:b w:val="0"/>
          <w:sz w:val="20"/>
        </w:rPr>
        <w:t>,</w:t>
      </w:r>
      <w:r w:rsidR="0083468D">
        <w:rPr>
          <w:b w:val="0"/>
          <w:sz w:val="20"/>
        </w:rPr>
        <w:t>247</w:t>
      </w:r>
      <w:r w:rsidRPr="008B4A30" w:rsidR="0020613E">
        <w:rPr>
          <w:b w:val="0"/>
          <w:sz w:val="20"/>
        </w:rPr>
        <w:t xml:space="preserve"> (1</w:t>
      </w:r>
      <w:r w:rsidR="0083468D">
        <w:rPr>
          <w:b w:val="0"/>
          <w:sz w:val="20"/>
        </w:rPr>
        <w:t>19,526</w:t>
      </w:r>
      <w:r w:rsidRPr="008B4A30" w:rsidR="0020613E">
        <w:rPr>
          <w:b w:val="0"/>
          <w:sz w:val="20"/>
        </w:rPr>
        <w:t xml:space="preserve"> </w:t>
      </w:r>
      <w:r w:rsidRPr="00BC6CA9" w:rsidR="006B024B">
        <w:rPr>
          <w:b w:val="0"/>
          <w:sz w:val="20"/>
        </w:rPr>
        <w:t>x</w:t>
      </w:r>
      <w:r w:rsidRPr="008B4A30" w:rsidR="0020613E">
        <w:rPr>
          <w:b w:val="0"/>
          <w:sz w:val="20"/>
        </w:rPr>
        <w:t xml:space="preserve"> 6.9) plans currently lack websites. This estimate may understate the total number of plans that lack websites because the PSCA study examined profit-sharing plans and 401(k) plans. As discussed, most 401(k) plans are expected to have their own websites. Therefore, the fraction of defined benefit plans and nonparticipant-directed DC plans that lack websites would be likely higher than 6.9 percent.  </w:t>
      </w:r>
    </w:p>
  </w:footnote>
  <w:footnote w:id="5">
    <w:p w:rsidR="00EE327A" w:rsidRPr="008B4A30" w14:paraId="1E0BE98C" w14:textId="01A7CD0A">
      <w:pPr>
        <w:pStyle w:val="FootnoteText"/>
        <w:rPr>
          <w:b w:val="0"/>
          <w:bCs w:val="0"/>
          <w:sz w:val="20"/>
        </w:rPr>
      </w:pPr>
      <w:r w:rsidRPr="008B4A30">
        <w:rPr>
          <w:rStyle w:val="FootnoteReference"/>
          <w:b w:val="0"/>
          <w:bCs w:val="0"/>
          <w:sz w:val="20"/>
          <w:vertAlign w:val="superscript"/>
        </w:rPr>
        <w:footnoteRef/>
      </w:r>
      <w:r w:rsidRPr="008B4A30">
        <w:rPr>
          <w:b w:val="0"/>
          <w:bCs w:val="0"/>
          <w:sz w:val="20"/>
          <w:vertAlign w:val="superscript"/>
        </w:rPr>
        <w:t xml:space="preserve"> </w:t>
      </w:r>
      <w:r w:rsidR="00740F34">
        <w:rPr>
          <w:b w:val="0"/>
          <w:bCs w:val="0"/>
          <w:sz w:val="20"/>
        </w:rPr>
        <w:t xml:space="preserve">3,580,890 participants in new plans x </w:t>
      </w:r>
      <w:r w:rsidR="00DF5356">
        <w:rPr>
          <w:b w:val="0"/>
          <w:bCs w:val="0"/>
          <w:sz w:val="20"/>
        </w:rPr>
        <w:t>$0.05 per notice = $</w:t>
      </w:r>
      <w:r w:rsidRPr="00DF5356" w:rsidR="00DF5356">
        <w:rPr>
          <w:b w:val="0"/>
          <w:bCs w:val="0"/>
          <w:sz w:val="20"/>
        </w:rPr>
        <w:t>179,04</w:t>
      </w:r>
      <w:r w:rsidR="00954847">
        <w:rPr>
          <w:b w:val="0"/>
          <w:bCs w:val="0"/>
          <w:sz w:val="20"/>
        </w:rPr>
        <w:t>5</w:t>
      </w:r>
    </w:p>
  </w:footnote>
  <w:footnote w:id="6">
    <w:p w:rsidR="00BF4D05" w:rsidRPr="008B4A30" w:rsidP="00BF4D05" w14:paraId="3BC0CDAB" w14:textId="77777777">
      <w:pPr>
        <w:pStyle w:val="FootnoteText"/>
        <w:rPr>
          <w:b w:val="0"/>
          <w:sz w:val="20"/>
        </w:rPr>
      </w:pPr>
      <w:r w:rsidRPr="008B4A30">
        <w:rPr>
          <w:rStyle w:val="FootnoteReference"/>
          <w:b w:val="0"/>
          <w:sz w:val="20"/>
          <w:vertAlign w:val="superscript"/>
        </w:rPr>
        <w:footnoteRef/>
      </w:r>
      <w:r w:rsidRPr="008B4A30">
        <w:rPr>
          <w:b w:val="0"/>
          <w:sz w:val="20"/>
          <w:vertAlign w:val="superscript"/>
        </w:rPr>
        <w:t xml:space="preserve"> </w:t>
      </w:r>
      <w:r w:rsidRPr="008B4A30">
        <w:rPr>
          <w:b w:val="0"/>
          <w:sz w:val="20"/>
        </w:rPr>
        <w:t xml:space="preserve">The Department understands that software is commercially available to monitor emails to produce a list of email addresses that have bounced back with the owners’ name, export the list into different formats, and, in certain circumstances, remove invalid email addresses from the list. Such software also generates and reports relevant statistics such as bounce rate, open rate and click-through rate. Some software has the capability to automatically re-attempt delivery depending on the reasons of failed delivery. </w:t>
      </w:r>
    </w:p>
  </w:footnote>
  <w:footnote w:id="7">
    <w:p w:rsidR="00BF4D05" w:rsidRPr="008B4A30" w:rsidP="00BF4D05" w14:paraId="6E9EDE34" w14:textId="31B7238E">
      <w:pPr>
        <w:pStyle w:val="FootnoteText"/>
        <w:rPr>
          <w:b w:val="0"/>
          <w:sz w:val="20"/>
        </w:rPr>
      </w:pPr>
      <w:r w:rsidRPr="008B4A30">
        <w:rPr>
          <w:rStyle w:val="FootnoteReference"/>
          <w:b w:val="0"/>
          <w:sz w:val="20"/>
          <w:vertAlign w:val="superscript"/>
        </w:rPr>
        <w:footnoteRef/>
      </w:r>
      <w:r w:rsidRPr="008B4A30">
        <w:rPr>
          <w:b w:val="0"/>
          <w:sz w:val="20"/>
          <w:vertAlign w:val="superscript"/>
        </w:rPr>
        <w:t xml:space="preserve"> </w:t>
      </w:r>
      <w:r w:rsidRPr="008B4A30" w:rsidR="007055B3">
        <w:rPr>
          <w:b w:val="0"/>
          <w:sz w:val="20"/>
        </w:rPr>
        <w:t xml:space="preserve">The Department gathered pricing information for five commercial software packages that ranged from $10 per month to $320 per month, depending on the volume and sophistication of features available. </w:t>
      </w:r>
      <w:r w:rsidRPr="008B4A30" w:rsidR="007055B3">
        <w:rPr>
          <w:b w:val="0"/>
          <w:sz w:val="20"/>
        </w:rPr>
        <w:t>Taking the average of basic level price of these five products, the Department assumes that it would cost $27.80 per month ($333.60 per year) to subscribe. Assuming 8,</w:t>
      </w:r>
      <w:r w:rsidR="00EA4BC5">
        <w:rPr>
          <w:b w:val="0"/>
          <w:sz w:val="20"/>
        </w:rPr>
        <w:t>247</w:t>
      </w:r>
      <w:r w:rsidRPr="008B4A30" w:rsidR="007055B3">
        <w:rPr>
          <w:b w:val="0"/>
          <w:sz w:val="20"/>
        </w:rPr>
        <w:t xml:space="preserve"> plans would purchase this type of product, the Department estimates that the aggregate costs will total $2.</w:t>
      </w:r>
      <w:r w:rsidR="00EA4BC5">
        <w:rPr>
          <w:b w:val="0"/>
          <w:sz w:val="20"/>
        </w:rPr>
        <w:t>8</w:t>
      </w:r>
      <w:r w:rsidRPr="008B4A30" w:rsidR="007055B3">
        <w:rPr>
          <w:b w:val="0"/>
          <w:sz w:val="20"/>
        </w:rPr>
        <w:t xml:space="preserve"> million (8</w:t>
      </w:r>
      <w:r w:rsidR="00EA4BC5">
        <w:rPr>
          <w:b w:val="0"/>
          <w:sz w:val="20"/>
        </w:rPr>
        <w:t>,247</w:t>
      </w:r>
      <w:r w:rsidRPr="008B4A30" w:rsidR="007055B3">
        <w:rPr>
          <w:b w:val="0"/>
          <w:sz w:val="20"/>
        </w:rPr>
        <w:t xml:space="preserve"> plans </w:t>
      </w:r>
      <w:r w:rsidRPr="008B0AA1" w:rsidR="006B024B">
        <w:rPr>
          <w:b w:val="0"/>
          <w:sz w:val="20"/>
        </w:rPr>
        <w:t>x</w:t>
      </w:r>
      <w:r w:rsidRPr="008B4A30" w:rsidR="007055B3">
        <w:rPr>
          <w:b w:val="0"/>
          <w:sz w:val="20"/>
        </w:rPr>
        <w:t xml:space="preserve"> $33</w:t>
      </w:r>
      <w:r w:rsidR="006D5443">
        <w:rPr>
          <w:b w:val="0"/>
          <w:sz w:val="20"/>
        </w:rPr>
        <w:t>3</w:t>
      </w:r>
      <w:r w:rsidRPr="008B4A30" w:rsidR="007055B3">
        <w:rPr>
          <w:b w:val="0"/>
          <w:sz w:val="20"/>
        </w:rPr>
        <w:t>.60</w:t>
      </w:r>
      <w:r w:rsidRPr="008B0AA1" w:rsidR="006F491F">
        <w:rPr>
          <w:b w:val="0"/>
          <w:sz w:val="20"/>
        </w:rPr>
        <w:t xml:space="preserve"> = </w:t>
      </w:r>
      <w:r w:rsidRPr="008B0AA1" w:rsidR="000460CE">
        <w:rPr>
          <w:b w:val="0"/>
          <w:sz w:val="20"/>
        </w:rPr>
        <w:t>$2,</w:t>
      </w:r>
      <w:r w:rsidR="006D5443">
        <w:rPr>
          <w:b w:val="0"/>
          <w:sz w:val="20"/>
        </w:rPr>
        <w:t>751,199</w:t>
      </w:r>
      <w:r w:rsidRPr="008B4A30" w:rsidR="007055B3">
        <w:rPr>
          <w:b w:val="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D3D" w:rsidP="008B4A30" w14:paraId="10CB1C4F" w14:textId="2132A8E2">
    <w:pPr>
      <w:rPr>
        <w:b w:val="0"/>
        <w:bCs w:val="0"/>
      </w:rPr>
    </w:pPr>
    <w:r w:rsidRPr="00414772">
      <w:rPr>
        <w:b w:val="0"/>
        <w:bCs w:val="0"/>
      </w:rPr>
      <w:t>Electronic Disclosure by Employee Benefit</w:t>
    </w:r>
  </w:p>
  <w:p w:rsidR="00C96D3D" w:rsidP="008B4A30" w14:paraId="5B09C3D0" w14:textId="77777777">
    <w:pPr>
      <w:rPr>
        <w:b w:val="0"/>
        <w:bCs w:val="0"/>
      </w:rPr>
    </w:pPr>
    <w:r>
      <w:rPr>
        <w:b w:val="0"/>
        <w:bCs w:val="0"/>
      </w:rPr>
      <w:t xml:space="preserve">OMB </w:t>
    </w:r>
    <w:r w:rsidR="00170276">
      <w:rPr>
        <w:b w:val="0"/>
        <w:bCs w:val="0"/>
      </w:rPr>
      <w:t xml:space="preserve">Control Number </w:t>
    </w:r>
    <w:r>
      <w:rPr>
        <w:b w:val="0"/>
        <w:bCs w:val="0"/>
      </w:rPr>
      <w:t>1210-0121</w:t>
    </w:r>
  </w:p>
  <w:p w:rsidR="009A428D" w:rsidRPr="009A428D" w:rsidP="008B4A30" w14:paraId="6F504221" w14:textId="63873541">
    <w:pPr>
      <w:pStyle w:val="Header"/>
      <w:rPr>
        <w:b w:val="0"/>
        <w:bCs w:val="0"/>
      </w:rPr>
    </w:pPr>
    <w:r>
      <w:rPr>
        <w:b w:val="0"/>
        <w:bCs w:val="0"/>
      </w:rPr>
      <w:t xml:space="preserve">OMB </w:t>
    </w:r>
    <w:r w:rsidRPr="008B4A30" w:rsidR="009F7D0C">
      <w:rPr>
        <w:b w:val="0"/>
        <w:bCs w:val="0"/>
      </w:rPr>
      <w:t xml:space="preserve">Expiration Date: </w:t>
    </w:r>
    <w:r w:rsidR="00EF0780">
      <w:rPr>
        <w:b w:val="0"/>
        <w:bCs w:val="0"/>
      </w:rPr>
      <w:t>09/30</w:t>
    </w:r>
    <w:r w:rsidR="0075349D">
      <w:rPr>
        <w:b w:val="0"/>
        <w:bCs w:val="0"/>
      </w:rPr>
      <w:t>/2026</w:t>
    </w:r>
  </w:p>
  <w:p w:rsidR="00D55011" w14:paraId="2E96174F"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FE9" w:rsidRPr="008B4A30" w:rsidP="008B4A30" w14:paraId="71A9B32F" w14:textId="54448A15">
    <w:r w:rsidRPr="00414772">
      <w:t>Electronic Disclosure by Employee Benefit</w:t>
    </w:r>
    <w:r w:rsidRPr="00414772">
      <w:t xml:space="preserve"> </w:t>
    </w:r>
  </w:p>
  <w:p w:rsidR="00C96D3D" w:rsidRPr="008B4A30" w:rsidP="008B4A30" w14:paraId="5C0A6FEE" w14:textId="77777777">
    <w:r w:rsidRPr="008B4A30">
      <w:t xml:space="preserve">OMB </w:t>
    </w:r>
    <w:r w:rsidRPr="008B4A30" w:rsidR="00170276">
      <w:t xml:space="preserve">Control Number </w:t>
    </w:r>
    <w:r w:rsidRPr="008B4A30">
      <w:t>1210-0121</w:t>
    </w:r>
  </w:p>
  <w:p w:rsidR="00D55011" w:rsidP="00CD4756" w14:paraId="79B0A86A" w14:textId="674F4A51">
    <w:pPr>
      <w:pStyle w:val="Header"/>
      <w:rPr>
        <w:b w:val="0"/>
        <w:bCs w:val="0"/>
      </w:rPr>
    </w:pPr>
    <w:r>
      <w:t xml:space="preserve">OMB </w:t>
    </w:r>
    <w:r w:rsidRPr="008B4A30" w:rsidR="00CD4756">
      <w:t xml:space="preserve">Expiration Date: </w:t>
    </w:r>
    <w:r w:rsidR="00E81451">
      <w:t>09/30/2026</w:t>
    </w:r>
  </w:p>
  <w:p w:rsidR="00D55011" w:rsidP="001F3659" w14:paraId="056B17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C5889F2A"/>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91B1252"/>
    <w:multiLevelType w:val="hybridMultilevel"/>
    <w:tmpl w:val="AC0607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577A35"/>
    <w:multiLevelType w:val="hybridMultilevel"/>
    <w:tmpl w:val="38FA41C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BFE1078"/>
    <w:multiLevelType w:val="hybridMultilevel"/>
    <w:tmpl w:val="EFD20AF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2DF4E66"/>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1546C73"/>
    <w:multiLevelType w:val="hybridMultilevel"/>
    <w:tmpl w:val="6A5CAA3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F44EFF"/>
    <w:multiLevelType w:val="multilevel"/>
    <w:tmpl w:val="7F42925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nsid w:val="51695E09"/>
    <w:multiLevelType w:val="hybridMultilevel"/>
    <w:tmpl w:val="7922A2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E912CF6"/>
    <w:multiLevelType w:val="hybridMultilevel"/>
    <w:tmpl w:val="3048A8EA"/>
    <w:lvl w:ilvl="0">
      <w:start w:val="4"/>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1AA025A"/>
    <w:multiLevelType w:val="hybridMultilevel"/>
    <w:tmpl w:val="D0B0AE6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853563512">
    <w:abstractNumId w:val="0"/>
    <w:lvlOverride w:ilvl="0">
      <w:startOverride w:val="1"/>
      <w:lvl w:ilvl="0">
        <w:start w:val="1"/>
        <w:numFmt w:val="decimal"/>
        <w:pStyle w:val="Quick1"/>
        <w:lvlText w:val="%1."/>
        <w:lvlJc w:val="left"/>
        <w:rPr>
          <w:i w:val="0"/>
        </w:rPr>
      </w:lvl>
    </w:lvlOverride>
  </w:num>
  <w:num w:numId="2" w16cid:durableId="1830830948">
    <w:abstractNumId w:val="0"/>
    <w:lvlOverride w:ilvl="0">
      <w:startOverride w:val="13"/>
      <w:lvl w:ilvl="0">
        <w:start w:val="13"/>
        <w:numFmt w:val="decimal"/>
        <w:pStyle w:val="Quick1"/>
        <w:lvlText w:val="%1."/>
        <w:lvlJc w:val="left"/>
      </w:lvl>
    </w:lvlOverride>
  </w:num>
  <w:num w:numId="3" w16cid:durableId="1426419644">
    <w:abstractNumId w:val="0"/>
    <w:lvlOverride w:ilvl="0">
      <w:startOverride w:val="3"/>
      <w:lvl w:ilvl="0">
        <w:start w:val="3"/>
        <w:numFmt w:val="decimal"/>
        <w:pStyle w:val="Quick1"/>
        <w:lvlText w:val="%1."/>
        <w:lvlJc w:val="left"/>
        <w:rPr>
          <w:i w:val="0"/>
        </w:rPr>
      </w:lvl>
    </w:lvlOverride>
  </w:num>
  <w:num w:numId="4" w16cid:durableId="789473680">
    <w:abstractNumId w:val="10"/>
  </w:num>
  <w:num w:numId="5" w16cid:durableId="1516722817">
    <w:abstractNumId w:val="5"/>
  </w:num>
  <w:num w:numId="6" w16cid:durableId="47846124">
    <w:abstractNumId w:val="11"/>
  </w:num>
  <w:num w:numId="7" w16cid:durableId="291375136">
    <w:abstractNumId w:val="1"/>
  </w:num>
  <w:num w:numId="8" w16cid:durableId="801652428">
    <w:abstractNumId w:val="4"/>
  </w:num>
  <w:num w:numId="9" w16cid:durableId="1916235670">
    <w:abstractNumId w:val="9"/>
  </w:num>
  <w:num w:numId="10" w16cid:durableId="1945308327">
    <w:abstractNumId w:val="9"/>
  </w:num>
  <w:num w:numId="11" w16cid:durableId="289165684">
    <w:abstractNumId w:val="7"/>
  </w:num>
  <w:num w:numId="12" w16cid:durableId="434137379">
    <w:abstractNumId w:val="2"/>
  </w:num>
  <w:num w:numId="13" w16cid:durableId="1090203270">
    <w:abstractNumId w:val="6"/>
  </w:num>
  <w:num w:numId="14" w16cid:durableId="8917136">
    <w:abstractNumId w:val="8"/>
  </w:num>
  <w:num w:numId="15" w16cid:durableId="249386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D36"/>
    <w:rsid w:val="00000A2D"/>
    <w:rsid w:val="00000B2B"/>
    <w:rsid w:val="00006E15"/>
    <w:rsid w:val="00012794"/>
    <w:rsid w:val="0001421E"/>
    <w:rsid w:val="000143C1"/>
    <w:rsid w:val="00015711"/>
    <w:rsid w:val="00020C43"/>
    <w:rsid w:val="00021EBF"/>
    <w:rsid w:val="0002313A"/>
    <w:rsid w:val="000239E0"/>
    <w:rsid w:val="00023DC0"/>
    <w:rsid w:val="000242A5"/>
    <w:rsid w:val="00026561"/>
    <w:rsid w:val="000267E1"/>
    <w:rsid w:val="00026D1A"/>
    <w:rsid w:val="00026E64"/>
    <w:rsid w:val="000279AB"/>
    <w:rsid w:val="000279D1"/>
    <w:rsid w:val="00027DBD"/>
    <w:rsid w:val="0003144D"/>
    <w:rsid w:val="00031514"/>
    <w:rsid w:val="000320B2"/>
    <w:rsid w:val="00032D0A"/>
    <w:rsid w:val="00033A6A"/>
    <w:rsid w:val="00033A89"/>
    <w:rsid w:val="00034FFF"/>
    <w:rsid w:val="00035331"/>
    <w:rsid w:val="00035A88"/>
    <w:rsid w:val="00036607"/>
    <w:rsid w:val="00036896"/>
    <w:rsid w:val="00037D38"/>
    <w:rsid w:val="000402D8"/>
    <w:rsid w:val="00041F82"/>
    <w:rsid w:val="000429C5"/>
    <w:rsid w:val="00042E79"/>
    <w:rsid w:val="00042F7E"/>
    <w:rsid w:val="00044636"/>
    <w:rsid w:val="000460CE"/>
    <w:rsid w:val="00046E13"/>
    <w:rsid w:val="00056042"/>
    <w:rsid w:val="0006239F"/>
    <w:rsid w:val="000665A4"/>
    <w:rsid w:val="00066F0D"/>
    <w:rsid w:val="000679DD"/>
    <w:rsid w:val="000700AF"/>
    <w:rsid w:val="00070B67"/>
    <w:rsid w:val="00070BDA"/>
    <w:rsid w:val="00071CFF"/>
    <w:rsid w:val="00077485"/>
    <w:rsid w:val="00077DDC"/>
    <w:rsid w:val="0008070C"/>
    <w:rsid w:val="000813A3"/>
    <w:rsid w:val="000864D9"/>
    <w:rsid w:val="0008653C"/>
    <w:rsid w:val="00091756"/>
    <w:rsid w:val="00091F81"/>
    <w:rsid w:val="00092F3C"/>
    <w:rsid w:val="000931CD"/>
    <w:rsid w:val="00093330"/>
    <w:rsid w:val="0009416E"/>
    <w:rsid w:val="00095169"/>
    <w:rsid w:val="00095BB6"/>
    <w:rsid w:val="000965E1"/>
    <w:rsid w:val="000A0525"/>
    <w:rsid w:val="000A1DC0"/>
    <w:rsid w:val="000A2849"/>
    <w:rsid w:val="000A29B3"/>
    <w:rsid w:val="000A2ABB"/>
    <w:rsid w:val="000A331A"/>
    <w:rsid w:val="000A56D9"/>
    <w:rsid w:val="000A5EDB"/>
    <w:rsid w:val="000A618A"/>
    <w:rsid w:val="000B2D1F"/>
    <w:rsid w:val="000B2D57"/>
    <w:rsid w:val="000B51DB"/>
    <w:rsid w:val="000B728C"/>
    <w:rsid w:val="000B76ED"/>
    <w:rsid w:val="000B7D22"/>
    <w:rsid w:val="000B7F57"/>
    <w:rsid w:val="000B7FAF"/>
    <w:rsid w:val="000C0580"/>
    <w:rsid w:val="000C108C"/>
    <w:rsid w:val="000C39B0"/>
    <w:rsid w:val="000C5786"/>
    <w:rsid w:val="000C5E63"/>
    <w:rsid w:val="000C67E8"/>
    <w:rsid w:val="000C713F"/>
    <w:rsid w:val="000C787B"/>
    <w:rsid w:val="000C7FCA"/>
    <w:rsid w:val="000D088E"/>
    <w:rsid w:val="000D0D2A"/>
    <w:rsid w:val="000D0F62"/>
    <w:rsid w:val="000D2434"/>
    <w:rsid w:val="000D375B"/>
    <w:rsid w:val="000D4FBE"/>
    <w:rsid w:val="000D5D45"/>
    <w:rsid w:val="000D632B"/>
    <w:rsid w:val="000D6607"/>
    <w:rsid w:val="000D6638"/>
    <w:rsid w:val="000D6F21"/>
    <w:rsid w:val="000D7C23"/>
    <w:rsid w:val="000E50F1"/>
    <w:rsid w:val="000E5503"/>
    <w:rsid w:val="000E5E6D"/>
    <w:rsid w:val="000E61EB"/>
    <w:rsid w:val="000E6A3C"/>
    <w:rsid w:val="000E6DEC"/>
    <w:rsid w:val="000E7528"/>
    <w:rsid w:val="000F118C"/>
    <w:rsid w:val="000F3738"/>
    <w:rsid w:val="000F3954"/>
    <w:rsid w:val="000F3E83"/>
    <w:rsid w:val="000F3FF7"/>
    <w:rsid w:val="000F533F"/>
    <w:rsid w:val="000F5836"/>
    <w:rsid w:val="000F5BE1"/>
    <w:rsid w:val="000F5FA9"/>
    <w:rsid w:val="000F6142"/>
    <w:rsid w:val="000F7BBB"/>
    <w:rsid w:val="0010081C"/>
    <w:rsid w:val="001025B6"/>
    <w:rsid w:val="00102DB4"/>
    <w:rsid w:val="001061BF"/>
    <w:rsid w:val="0010689A"/>
    <w:rsid w:val="0010759F"/>
    <w:rsid w:val="0011314A"/>
    <w:rsid w:val="00113FDD"/>
    <w:rsid w:val="001156A7"/>
    <w:rsid w:val="0011681D"/>
    <w:rsid w:val="00116B1B"/>
    <w:rsid w:val="00117095"/>
    <w:rsid w:val="00120269"/>
    <w:rsid w:val="00121684"/>
    <w:rsid w:val="001235EA"/>
    <w:rsid w:val="00123C32"/>
    <w:rsid w:val="00123FFF"/>
    <w:rsid w:val="00124974"/>
    <w:rsid w:val="00124E46"/>
    <w:rsid w:val="001308C3"/>
    <w:rsid w:val="001320F8"/>
    <w:rsid w:val="00134518"/>
    <w:rsid w:val="00135737"/>
    <w:rsid w:val="0013623C"/>
    <w:rsid w:val="00136C3E"/>
    <w:rsid w:val="00140485"/>
    <w:rsid w:val="00140CD0"/>
    <w:rsid w:val="00140F4E"/>
    <w:rsid w:val="001412A0"/>
    <w:rsid w:val="00141360"/>
    <w:rsid w:val="0014173B"/>
    <w:rsid w:val="00142934"/>
    <w:rsid w:val="00142F61"/>
    <w:rsid w:val="00144F07"/>
    <w:rsid w:val="00145113"/>
    <w:rsid w:val="00152FB1"/>
    <w:rsid w:val="001537C5"/>
    <w:rsid w:val="001538BC"/>
    <w:rsid w:val="0015518D"/>
    <w:rsid w:val="001649B5"/>
    <w:rsid w:val="001650E7"/>
    <w:rsid w:val="001661DF"/>
    <w:rsid w:val="001663C5"/>
    <w:rsid w:val="001667A6"/>
    <w:rsid w:val="00167B84"/>
    <w:rsid w:val="00170276"/>
    <w:rsid w:val="0017040C"/>
    <w:rsid w:val="001712C1"/>
    <w:rsid w:val="00172519"/>
    <w:rsid w:val="00172B0F"/>
    <w:rsid w:val="00174BAC"/>
    <w:rsid w:val="001766B6"/>
    <w:rsid w:val="00180918"/>
    <w:rsid w:val="001812F5"/>
    <w:rsid w:val="001824E3"/>
    <w:rsid w:val="00182A61"/>
    <w:rsid w:val="00182D9E"/>
    <w:rsid w:val="0018374E"/>
    <w:rsid w:val="00184195"/>
    <w:rsid w:val="001841A0"/>
    <w:rsid w:val="00184205"/>
    <w:rsid w:val="0018644F"/>
    <w:rsid w:val="00187484"/>
    <w:rsid w:val="0018755B"/>
    <w:rsid w:val="00187D52"/>
    <w:rsid w:val="0019046B"/>
    <w:rsid w:val="00190567"/>
    <w:rsid w:val="00191CC3"/>
    <w:rsid w:val="0019276F"/>
    <w:rsid w:val="00192A76"/>
    <w:rsid w:val="0019544B"/>
    <w:rsid w:val="001956C9"/>
    <w:rsid w:val="00195BE1"/>
    <w:rsid w:val="00196095"/>
    <w:rsid w:val="001A03F9"/>
    <w:rsid w:val="001A0AB4"/>
    <w:rsid w:val="001A222C"/>
    <w:rsid w:val="001A2FF4"/>
    <w:rsid w:val="001A5030"/>
    <w:rsid w:val="001A5206"/>
    <w:rsid w:val="001A68DA"/>
    <w:rsid w:val="001A7814"/>
    <w:rsid w:val="001A7FAA"/>
    <w:rsid w:val="001B057B"/>
    <w:rsid w:val="001B0860"/>
    <w:rsid w:val="001B1074"/>
    <w:rsid w:val="001B219C"/>
    <w:rsid w:val="001B49FB"/>
    <w:rsid w:val="001B5087"/>
    <w:rsid w:val="001B5095"/>
    <w:rsid w:val="001B554A"/>
    <w:rsid w:val="001C04DD"/>
    <w:rsid w:val="001C0B89"/>
    <w:rsid w:val="001C10A6"/>
    <w:rsid w:val="001C1A04"/>
    <w:rsid w:val="001C1AD8"/>
    <w:rsid w:val="001C24D7"/>
    <w:rsid w:val="001C25C8"/>
    <w:rsid w:val="001C3DFE"/>
    <w:rsid w:val="001C460B"/>
    <w:rsid w:val="001D04F9"/>
    <w:rsid w:val="001D16ED"/>
    <w:rsid w:val="001D21EB"/>
    <w:rsid w:val="001D31B3"/>
    <w:rsid w:val="001D39E1"/>
    <w:rsid w:val="001D4D0A"/>
    <w:rsid w:val="001D5DE6"/>
    <w:rsid w:val="001E093B"/>
    <w:rsid w:val="001E1DCC"/>
    <w:rsid w:val="001E23D6"/>
    <w:rsid w:val="001E275E"/>
    <w:rsid w:val="001E32E7"/>
    <w:rsid w:val="001E43DE"/>
    <w:rsid w:val="001E4B64"/>
    <w:rsid w:val="001E4D33"/>
    <w:rsid w:val="001E585E"/>
    <w:rsid w:val="001E651A"/>
    <w:rsid w:val="001E6AF4"/>
    <w:rsid w:val="001F066C"/>
    <w:rsid w:val="001F07A9"/>
    <w:rsid w:val="001F07CD"/>
    <w:rsid w:val="001F0B2C"/>
    <w:rsid w:val="001F12FB"/>
    <w:rsid w:val="001F16EB"/>
    <w:rsid w:val="001F3659"/>
    <w:rsid w:val="001F3D50"/>
    <w:rsid w:val="001F43C7"/>
    <w:rsid w:val="002000F9"/>
    <w:rsid w:val="002022ED"/>
    <w:rsid w:val="00202952"/>
    <w:rsid w:val="00202D0C"/>
    <w:rsid w:val="002045F2"/>
    <w:rsid w:val="00205708"/>
    <w:rsid w:val="0020613E"/>
    <w:rsid w:val="002065C0"/>
    <w:rsid w:val="00206964"/>
    <w:rsid w:val="00206DFE"/>
    <w:rsid w:val="0020748B"/>
    <w:rsid w:val="00207812"/>
    <w:rsid w:val="00210DCF"/>
    <w:rsid w:val="00211BBF"/>
    <w:rsid w:val="00215336"/>
    <w:rsid w:val="00216982"/>
    <w:rsid w:val="002170DC"/>
    <w:rsid w:val="00217583"/>
    <w:rsid w:val="00217F17"/>
    <w:rsid w:val="002214CE"/>
    <w:rsid w:val="00222809"/>
    <w:rsid w:val="00224835"/>
    <w:rsid w:val="00225756"/>
    <w:rsid w:val="00226495"/>
    <w:rsid w:val="0022657E"/>
    <w:rsid w:val="0022660A"/>
    <w:rsid w:val="002341BE"/>
    <w:rsid w:val="002351AE"/>
    <w:rsid w:val="002354C8"/>
    <w:rsid w:val="00237D93"/>
    <w:rsid w:val="0024005E"/>
    <w:rsid w:val="00240156"/>
    <w:rsid w:val="0024385C"/>
    <w:rsid w:val="002438CC"/>
    <w:rsid w:val="00243AF2"/>
    <w:rsid w:val="00245558"/>
    <w:rsid w:val="00245726"/>
    <w:rsid w:val="0024587A"/>
    <w:rsid w:val="00245881"/>
    <w:rsid w:val="002505CC"/>
    <w:rsid w:val="00251626"/>
    <w:rsid w:val="00251A5B"/>
    <w:rsid w:val="00254192"/>
    <w:rsid w:val="00257261"/>
    <w:rsid w:val="0026061C"/>
    <w:rsid w:val="00262B3F"/>
    <w:rsid w:val="00265797"/>
    <w:rsid w:val="00265E16"/>
    <w:rsid w:val="002662C0"/>
    <w:rsid w:val="00266B5B"/>
    <w:rsid w:val="002673ED"/>
    <w:rsid w:val="002700CF"/>
    <w:rsid w:val="002705B4"/>
    <w:rsid w:val="00270692"/>
    <w:rsid w:val="0027167A"/>
    <w:rsid w:val="002720EB"/>
    <w:rsid w:val="002725FE"/>
    <w:rsid w:val="0027272C"/>
    <w:rsid w:val="00273E2C"/>
    <w:rsid w:val="00275D9D"/>
    <w:rsid w:val="00275DC8"/>
    <w:rsid w:val="002761ED"/>
    <w:rsid w:val="00276876"/>
    <w:rsid w:val="00277B75"/>
    <w:rsid w:val="00282411"/>
    <w:rsid w:val="0028364B"/>
    <w:rsid w:val="00283F8D"/>
    <w:rsid w:val="00285D07"/>
    <w:rsid w:val="00291BCE"/>
    <w:rsid w:val="00295CE2"/>
    <w:rsid w:val="00296810"/>
    <w:rsid w:val="00297EBC"/>
    <w:rsid w:val="002A149B"/>
    <w:rsid w:val="002A2BC1"/>
    <w:rsid w:val="002A386D"/>
    <w:rsid w:val="002A3E53"/>
    <w:rsid w:val="002A3F92"/>
    <w:rsid w:val="002A4809"/>
    <w:rsid w:val="002A4DA5"/>
    <w:rsid w:val="002A7BDF"/>
    <w:rsid w:val="002B1123"/>
    <w:rsid w:val="002B1411"/>
    <w:rsid w:val="002B179D"/>
    <w:rsid w:val="002B2B78"/>
    <w:rsid w:val="002B3F7B"/>
    <w:rsid w:val="002B41D1"/>
    <w:rsid w:val="002B491C"/>
    <w:rsid w:val="002B59E4"/>
    <w:rsid w:val="002B76DD"/>
    <w:rsid w:val="002C0AEC"/>
    <w:rsid w:val="002C0C7C"/>
    <w:rsid w:val="002C2A5A"/>
    <w:rsid w:val="002C2E3C"/>
    <w:rsid w:val="002C3169"/>
    <w:rsid w:val="002C47DF"/>
    <w:rsid w:val="002C4B33"/>
    <w:rsid w:val="002C769C"/>
    <w:rsid w:val="002D0620"/>
    <w:rsid w:val="002D2ACE"/>
    <w:rsid w:val="002D38F9"/>
    <w:rsid w:val="002D6763"/>
    <w:rsid w:val="002D6867"/>
    <w:rsid w:val="002D6A9E"/>
    <w:rsid w:val="002D73D8"/>
    <w:rsid w:val="002D73FD"/>
    <w:rsid w:val="002E08A3"/>
    <w:rsid w:val="002E33E6"/>
    <w:rsid w:val="002E3FC2"/>
    <w:rsid w:val="002E57E6"/>
    <w:rsid w:val="002E5DAC"/>
    <w:rsid w:val="002E7B23"/>
    <w:rsid w:val="002E7BB1"/>
    <w:rsid w:val="002F1023"/>
    <w:rsid w:val="002F2769"/>
    <w:rsid w:val="002F4032"/>
    <w:rsid w:val="002F4EB3"/>
    <w:rsid w:val="002F66A1"/>
    <w:rsid w:val="002F6CDA"/>
    <w:rsid w:val="002F6E3A"/>
    <w:rsid w:val="00301931"/>
    <w:rsid w:val="00303249"/>
    <w:rsid w:val="00306B32"/>
    <w:rsid w:val="00310B18"/>
    <w:rsid w:val="00310D36"/>
    <w:rsid w:val="003114C6"/>
    <w:rsid w:val="00311C4F"/>
    <w:rsid w:val="00311D2E"/>
    <w:rsid w:val="00312779"/>
    <w:rsid w:val="003134D8"/>
    <w:rsid w:val="00313CE3"/>
    <w:rsid w:val="0031426A"/>
    <w:rsid w:val="00314AF7"/>
    <w:rsid w:val="003168DE"/>
    <w:rsid w:val="00316D4B"/>
    <w:rsid w:val="003170DB"/>
    <w:rsid w:val="003214FD"/>
    <w:rsid w:val="00321CB2"/>
    <w:rsid w:val="00324867"/>
    <w:rsid w:val="00324D69"/>
    <w:rsid w:val="003260CE"/>
    <w:rsid w:val="00332E4F"/>
    <w:rsid w:val="00333DA0"/>
    <w:rsid w:val="00340887"/>
    <w:rsid w:val="0034113F"/>
    <w:rsid w:val="00341190"/>
    <w:rsid w:val="003420A0"/>
    <w:rsid w:val="00343DF2"/>
    <w:rsid w:val="003442FD"/>
    <w:rsid w:val="00344356"/>
    <w:rsid w:val="00344C6F"/>
    <w:rsid w:val="00344DB8"/>
    <w:rsid w:val="00344E37"/>
    <w:rsid w:val="00345513"/>
    <w:rsid w:val="00350C2C"/>
    <w:rsid w:val="003554A1"/>
    <w:rsid w:val="00357880"/>
    <w:rsid w:val="00360635"/>
    <w:rsid w:val="00360F1E"/>
    <w:rsid w:val="003611AD"/>
    <w:rsid w:val="0036196E"/>
    <w:rsid w:val="0036465E"/>
    <w:rsid w:val="0036628C"/>
    <w:rsid w:val="00371865"/>
    <w:rsid w:val="00372699"/>
    <w:rsid w:val="00377D67"/>
    <w:rsid w:val="003801E2"/>
    <w:rsid w:val="00380F2B"/>
    <w:rsid w:val="00381C42"/>
    <w:rsid w:val="0038422B"/>
    <w:rsid w:val="0038424E"/>
    <w:rsid w:val="00385527"/>
    <w:rsid w:val="003866D7"/>
    <w:rsid w:val="00387164"/>
    <w:rsid w:val="00387548"/>
    <w:rsid w:val="00392F80"/>
    <w:rsid w:val="003950A5"/>
    <w:rsid w:val="003977E6"/>
    <w:rsid w:val="003A0E06"/>
    <w:rsid w:val="003A17BA"/>
    <w:rsid w:val="003A1980"/>
    <w:rsid w:val="003A1B83"/>
    <w:rsid w:val="003A317E"/>
    <w:rsid w:val="003A3BED"/>
    <w:rsid w:val="003A4197"/>
    <w:rsid w:val="003A5045"/>
    <w:rsid w:val="003A565F"/>
    <w:rsid w:val="003A6582"/>
    <w:rsid w:val="003B1C7A"/>
    <w:rsid w:val="003B2DFD"/>
    <w:rsid w:val="003B3EC0"/>
    <w:rsid w:val="003B3F10"/>
    <w:rsid w:val="003B4770"/>
    <w:rsid w:val="003B47A2"/>
    <w:rsid w:val="003B50F8"/>
    <w:rsid w:val="003B5C7F"/>
    <w:rsid w:val="003B685A"/>
    <w:rsid w:val="003B7EB8"/>
    <w:rsid w:val="003C61B4"/>
    <w:rsid w:val="003C6955"/>
    <w:rsid w:val="003C7848"/>
    <w:rsid w:val="003D0C7E"/>
    <w:rsid w:val="003D1512"/>
    <w:rsid w:val="003D3539"/>
    <w:rsid w:val="003D75D5"/>
    <w:rsid w:val="003E0F08"/>
    <w:rsid w:val="003E1441"/>
    <w:rsid w:val="003E408C"/>
    <w:rsid w:val="003E4538"/>
    <w:rsid w:val="003E4F0B"/>
    <w:rsid w:val="003E6745"/>
    <w:rsid w:val="003F0796"/>
    <w:rsid w:val="003F0FEB"/>
    <w:rsid w:val="003F2091"/>
    <w:rsid w:val="003F383C"/>
    <w:rsid w:val="003F45DD"/>
    <w:rsid w:val="003F6088"/>
    <w:rsid w:val="003F61F4"/>
    <w:rsid w:val="003F7B79"/>
    <w:rsid w:val="00400A0B"/>
    <w:rsid w:val="00401CAF"/>
    <w:rsid w:val="0040475B"/>
    <w:rsid w:val="0040589A"/>
    <w:rsid w:val="00406F1B"/>
    <w:rsid w:val="00407901"/>
    <w:rsid w:val="00411666"/>
    <w:rsid w:val="00411AB1"/>
    <w:rsid w:val="00412E06"/>
    <w:rsid w:val="00414772"/>
    <w:rsid w:val="0041552C"/>
    <w:rsid w:val="0041619F"/>
    <w:rsid w:val="004218B8"/>
    <w:rsid w:val="004237E2"/>
    <w:rsid w:val="00423FEE"/>
    <w:rsid w:val="0042407D"/>
    <w:rsid w:val="00424A6A"/>
    <w:rsid w:val="004314FA"/>
    <w:rsid w:val="00431A5A"/>
    <w:rsid w:val="00432BB8"/>
    <w:rsid w:val="004401BC"/>
    <w:rsid w:val="00442987"/>
    <w:rsid w:val="00444051"/>
    <w:rsid w:val="004454C0"/>
    <w:rsid w:val="0044677E"/>
    <w:rsid w:val="00447811"/>
    <w:rsid w:val="004501D1"/>
    <w:rsid w:val="00450BB1"/>
    <w:rsid w:val="00450C98"/>
    <w:rsid w:val="00453FBC"/>
    <w:rsid w:val="00463F05"/>
    <w:rsid w:val="00466A9A"/>
    <w:rsid w:val="00467152"/>
    <w:rsid w:val="0046739E"/>
    <w:rsid w:val="004717E6"/>
    <w:rsid w:val="00472724"/>
    <w:rsid w:val="00474054"/>
    <w:rsid w:val="00474485"/>
    <w:rsid w:val="004749AA"/>
    <w:rsid w:val="00474A2F"/>
    <w:rsid w:val="00474D0B"/>
    <w:rsid w:val="0047502F"/>
    <w:rsid w:val="0047503A"/>
    <w:rsid w:val="00475693"/>
    <w:rsid w:val="004768D6"/>
    <w:rsid w:val="004769C6"/>
    <w:rsid w:val="00477E3C"/>
    <w:rsid w:val="00480DF5"/>
    <w:rsid w:val="00482397"/>
    <w:rsid w:val="004824C6"/>
    <w:rsid w:val="004827B5"/>
    <w:rsid w:val="00483C15"/>
    <w:rsid w:val="004856A4"/>
    <w:rsid w:val="004875CA"/>
    <w:rsid w:val="00491905"/>
    <w:rsid w:val="00492438"/>
    <w:rsid w:val="00492F9E"/>
    <w:rsid w:val="00493861"/>
    <w:rsid w:val="004939EE"/>
    <w:rsid w:val="00494935"/>
    <w:rsid w:val="00495FFF"/>
    <w:rsid w:val="00496D46"/>
    <w:rsid w:val="00497734"/>
    <w:rsid w:val="004A2374"/>
    <w:rsid w:val="004A405A"/>
    <w:rsid w:val="004A42EB"/>
    <w:rsid w:val="004A6A9B"/>
    <w:rsid w:val="004A76C1"/>
    <w:rsid w:val="004B0C74"/>
    <w:rsid w:val="004B1099"/>
    <w:rsid w:val="004B10CB"/>
    <w:rsid w:val="004B2691"/>
    <w:rsid w:val="004B442D"/>
    <w:rsid w:val="004B4AFD"/>
    <w:rsid w:val="004B5A31"/>
    <w:rsid w:val="004B5B15"/>
    <w:rsid w:val="004B60AE"/>
    <w:rsid w:val="004B6B15"/>
    <w:rsid w:val="004B6F2B"/>
    <w:rsid w:val="004B75A2"/>
    <w:rsid w:val="004B770F"/>
    <w:rsid w:val="004C02FE"/>
    <w:rsid w:val="004C17D0"/>
    <w:rsid w:val="004C49E2"/>
    <w:rsid w:val="004C73E7"/>
    <w:rsid w:val="004C740B"/>
    <w:rsid w:val="004C7970"/>
    <w:rsid w:val="004C7DEC"/>
    <w:rsid w:val="004D049D"/>
    <w:rsid w:val="004D14C4"/>
    <w:rsid w:val="004D161C"/>
    <w:rsid w:val="004D299F"/>
    <w:rsid w:val="004D2D44"/>
    <w:rsid w:val="004D3181"/>
    <w:rsid w:val="004D3F2D"/>
    <w:rsid w:val="004D430D"/>
    <w:rsid w:val="004D46BC"/>
    <w:rsid w:val="004D57C2"/>
    <w:rsid w:val="004D756F"/>
    <w:rsid w:val="004D76A6"/>
    <w:rsid w:val="004D76C4"/>
    <w:rsid w:val="004E1393"/>
    <w:rsid w:val="004E1BBB"/>
    <w:rsid w:val="004E68AE"/>
    <w:rsid w:val="004E6CEE"/>
    <w:rsid w:val="004F0BB9"/>
    <w:rsid w:val="004F22CB"/>
    <w:rsid w:val="004F3547"/>
    <w:rsid w:val="004F604A"/>
    <w:rsid w:val="004F6796"/>
    <w:rsid w:val="004F6CEE"/>
    <w:rsid w:val="00500B3B"/>
    <w:rsid w:val="00502ECE"/>
    <w:rsid w:val="00504518"/>
    <w:rsid w:val="00505166"/>
    <w:rsid w:val="00507F69"/>
    <w:rsid w:val="00510979"/>
    <w:rsid w:val="00510B64"/>
    <w:rsid w:val="00511756"/>
    <w:rsid w:val="00512EBB"/>
    <w:rsid w:val="00514065"/>
    <w:rsid w:val="00517857"/>
    <w:rsid w:val="00523B88"/>
    <w:rsid w:val="0052450E"/>
    <w:rsid w:val="00527B16"/>
    <w:rsid w:val="0053105C"/>
    <w:rsid w:val="005332C0"/>
    <w:rsid w:val="00534B1E"/>
    <w:rsid w:val="00534D23"/>
    <w:rsid w:val="0053693F"/>
    <w:rsid w:val="00536FC6"/>
    <w:rsid w:val="0053704A"/>
    <w:rsid w:val="00537211"/>
    <w:rsid w:val="0054021F"/>
    <w:rsid w:val="00540B99"/>
    <w:rsid w:val="005454FF"/>
    <w:rsid w:val="005462E3"/>
    <w:rsid w:val="00546718"/>
    <w:rsid w:val="00547AF8"/>
    <w:rsid w:val="00547C31"/>
    <w:rsid w:val="00551279"/>
    <w:rsid w:val="00554456"/>
    <w:rsid w:val="005561FD"/>
    <w:rsid w:val="005570EF"/>
    <w:rsid w:val="0055784D"/>
    <w:rsid w:val="00557A6C"/>
    <w:rsid w:val="00557B00"/>
    <w:rsid w:val="00557F33"/>
    <w:rsid w:val="005615F7"/>
    <w:rsid w:val="005618C4"/>
    <w:rsid w:val="00564B87"/>
    <w:rsid w:val="005652A5"/>
    <w:rsid w:val="0056649D"/>
    <w:rsid w:val="005679C2"/>
    <w:rsid w:val="00570298"/>
    <w:rsid w:val="0057140E"/>
    <w:rsid w:val="00571509"/>
    <w:rsid w:val="00571C39"/>
    <w:rsid w:val="0058089D"/>
    <w:rsid w:val="00581531"/>
    <w:rsid w:val="00581864"/>
    <w:rsid w:val="0058334F"/>
    <w:rsid w:val="0058407F"/>
    <w:rsid w:val="0058463C"/>
    <w:rsid w:val="00584657"/>
    <w:rsid w:val="00584E39"/>
    <w:rsid w:val="0058540A"/>
    <w:rsid w:val="005865C8"/>
    <w:rsid w:val="005868A2"/>
    <w:rsid w:val="005870A3"/>
    <w:rsid w:val="0058775A"/>
    <w:rsid w:val="00590CB3"/>
    <w:rsid w:val="00592121"/>
    <w:rsid w:val="00592E2F"/>
    <w:rsid w:val="005932F5"/>
    <w:rsid w:val="0059720E"/>
    <w:rsid w:val="005A0CA8"/>
    <w:rsid w:val="005A127F"/>
    <w:rsid w:val="005A2AAA"/>
    <w:rsid w:val="005A360F"/>
    <w:rsid w:val="005A5265"/>
    <w:rsid w:val="005A60E2"/>
    <w:rsid w:val="005A6959"/>
    <w:rsid w:val="005A7785"/>
    <w:rsid w:val="005B2C42"/>
    <w:rsid w:val="005B3A9A"/>
    <w:rsid w:val="005B3C96"/>
    <w:rsid w:val="005B41EB"/>
    <w:rsid w:val="005B6A8B"/>
    <w:rsid w:val="005B6CD5"/>
    <w:rsid w:val="005C0E61"/>
    <w:rsid w:val="005C2120"/>
    <w:rsid w:val="005C2226"/>
    <w:rsid w:val="005C55FB"/>
    <w:rsid w:val="005C5C01"/>
    <w:rsid w:val="005C5FFF"/>
    <w:rsid w:val="005C6121"/>
    <w:rsid w:val="005C6CD3"/>
    <w:rsid w:val="005D0149"/>
    <w:rsid w:val="005D05AE"/>
    <w:rsid w:val="005D2F3C"/>
    <w:rsid w:val="005D419D"/>
    <w:rsid w:val="005D4ECD"/>
    <w:rsid w:val="005D59E6"/>
    <w:rsid w:val="005D626C"/>
    <w:rsid w:val="005D746F"/>
    <w:rsid w:val="005E025C"/>
    <w:rsid w:val="005E2512"/>
    <w:rsid w:val="005E303A"/>
    <w:rsid w:val="005E42F5"/>
    <w:rsid w:val="005E5CA4"/>
    <w:rsid w:val="005E614F"/>
    <w:rsid w:val="005E79FF"/>
    <w:rsid w:val="005F0E8A"/>
    <w:rsid w:val="005F1142"/>
    <w:rsid w:val="005F198B"/>
    <w:rsid w:val="005F1C2B"/>
    <w:rsid w:val="005F42AF"/>
    <w:rsid w:val="005F568B"/>
    <w:rsid w:val="00601701"/>
    <w:rsid w:val="00602634"/>
    <w:rsid w:val="006033D5"/>
    <w:rsid w:val="0060364E"/>
    <w:rsid w:val="00607839"/>
    <w:rsid w:val="00610CEF"/>
    <w:rsid w:val="0061108F"/>
    <w:rsid w:val="006127CD"/>
    <w:rsid w:val="00614631"/>
    <w:rsid w:val="00615AB0"/>
    <w:rsid w:val="006169D3"/>
    <w:rsid w:val="006242CD"/>
    <w:rsid w:val="00625CFD"/>
    <w:rsid w:val="006274D0"/>
    <w:rsid w:val="006333B1"/>
    <w:rsid w:val="00633818"/>
    <w:rsid w:val="00634E3E"/>
    <w:rsid w:val="00636A24"/>
    <w:rsid w:val="00636E25"/>
    <w:rsid w:val="00637D16"/>
    <w:rsid w:val="006415AB"/>
    <w:rsid w:val="00645472"/>
    <w:rsid w:val="00646EB3"/>
    <w:rsid w:val="0065093D"/>
    <w:rsid w:val="00651321"/>
    <w:rsid w:val="0065149F"/>
    <w:rsid w:val="00651A6D"/>
    <w:rsid w:val="00654A18"/>
    <w:rsid w:val="00654CDB"/>
    <w:rsid w:val="006619B3"/>
    <w:rsid w:val="00662FB7"/>
    <w:rsid w:val="00662FEA"/>
    <w:rsid w:val="006651C2"/>
    <w:rsid w:val="0066560A"/>
    <w:rsid w:val="0067118F"/>
    <w:rsid w:val="0067177E"/>
    <w:rsid w:val="006718C6"/>
    <w:rsid w:val="006718CC"/>
    <w:rsid w:val="00671A01"/>
    <w:rsid w:val="0067270F"/>
    <w:rsid w:val="00672E93"/>
    <w:rsid w:val="00673491"/>
    <w:rsid w:val="00674698"/>
    <w:rsid w:val="00674E00"/>
    <w:rsid w:val="00675146"/>
    <w:rsid w:val="0067611F"/>
    <w:rsid w:val="006804C6"/>
    <w:rsid w:val="00680DC0"/>
    <w:rsid w:val="00681AE8"/>
    <w:rsid w:val="00682B7E"/>
    <w:rsid w:val="00684743"/>
    <w:rsid w:val="0068579A"/>
    <w:rsid w:val="0068616F"/>
    <w:rsid w:val="0068641F"/>
    <w:rsid w:val="006874EE"/>
    <w:rsid w:val="00687FC0"/>
    <w:rsid w:val="0069059A"/>
    <w:rsid w:val="00690B0D"/>
    <w:rsid w:val="00691D13"/>
    <w:rsid w:val="00694735"/>
    <w:rsid w:val="0069591B"/>
    <w:rsid w:val="00695E8A"/>
    <w:rsid w:val="006967FC"/>
    <w:rsid w:val="00696A6B"/>
    <w:rsid w:val="00697456"/>
    <w:rsid w:val="006A1BDE"/>
    <w:rsid w:val="006A5EDB"/>
    <w:rsid w:val="006A6140"/>
    <w:rsid w:val="006A6CC6"/>
    <w:rsid w:val="006A7DDD"/>
    <w:rsid w:val="006B024B"/>
    <w:rsid w:val="006B100F"/>
    <w:rsid w:val="006B33D4"/>
    <w:rsid w:val="006B533B"/>
    <w:rsid w:val="006B580F"/>
    <w:rsid w:val="006B588D"/>
    <w:rsid w:val="006B670D"/>
    <w:rsid w:val="006C13CF"/>
    <w:rsid w:val="006C1B66"/>
    <w:rsid w:val="006C2419"/>
    <w:rsid w:val="006C3381"/>
    <w:rsid w:val="006C3AF6"/>
    <w:rsid w:val="006C5444"/>
    <w:rsid w:val="006C7227"/>
    <w:rsid w:val="006C7F08"/>
    <w:rsid w:val="006D2CD4"/>
    <w:rsid w:val="006D2D23"/>
    <w:rsid w:val="006D2DB7"/>
    <w:rsid w:val="006D40A2"/>
    <w:rsid w:val="006D5443"/>
    <w:rsid w:val="006D7043"/>
    <w:rsid w:val="006E0425"/>
    <w:rsid w:val="006E0B44"/>
    <w:rsid w:val="006E0B6A"/>
    <w:rsid w:val="006E11F0"/>
    <w:rsid w:val="006E1E59"/>
    <w:rsid w:val="006E224B"/>
    <w:rsid w:val="006E3EB7"/>
    <w:rsid w:val="006E4174"/>
    <w:rsid w:val="006E43EA"/>
    <w:rsid w:val="006E48A0"/>
    <w:rsid w:val="006E4F0F"/>
    <w:rsid w:val="006E5ECB"/>
    <w:rsid w:val="006E6CEF"/>
    <w:rsid w:val="006E76B7"/>
    <w:rsid w:val="006E7CE3"/>
    <w:rsid w:val="006F115B"/>
    <w:rsid w:val="006F183D"/>
    <w:rsid w:val="006F1B97"/>
    <w:rsid w:val="006F31FE"/>
    <w:rsid w:val="006F491F"/>
    <w:rsid w:val="006F5DB0"/>
    <w:rsid w:val="00703673"/>
    <w:rsid w:val="007044A2"/>
    <w:rsid w:val="007048C3"/>
    <w:rsid w:val="007055B3"/>
    <w:rsid w:val="00705D99"/>
    <w:rsid w:val="00712282"/>
    <w:rsid w:val="007124C0"/>
    <w:rsid w:val="007153CC"/>
    <w:rsid w:val="0071580F"/>
    <w:rsid w:val="007173D2"/>
    <w:rsid w:val="007174C6"/>
    <w:rsid w:val="00720304"/>
    <w:rsid w:val="00720D12"/>
    <w:rsid w:val="007216AC"/>
    <w:rsid w:val="00721A77"/>
    <w:rsid w:val="00721D3D"/>
    <w:rsid w:val="00724E79"/>
    <w:rsid w:val="00732103"/>
    <w:rsid w:val="007371ED"/>
    <w:rsid w:val="0073776C"/>
    <w:rsid w:val="00740F34"/>
    <w:rsid w:val="00741EF2"/>
    <w:rsid w:val="007450C1"/>
    <w:rsid w:val="0074550A"/>
    <w:rsid w:val="007461D4"/>
    <w:rsid w:val="00751087"/>
    <w:rsid w:val="00751DA0"/>
    <w:rsid w:val="0075287E"/>
    <w:rsid w:val="00752A5C"/>
    <w:rsid w:val="0075349D"/>
    <w:rsid w:val="007560D6"/>
    <w:rsid w:val="00756267"/>
    <w:rsid w:val="00757DAD"/>
    <w:rsid w:val="00760E3C"/>
    <w:rsid w:val="007645CC"/>
    <w:rsid w:val="00767F0B"/>
    <w:rsid w:val="00771254"/>
    <w:rsid w:val="007712B6"/>
    <w:rsid w:val="0077164F"/>
    <w:rsid w:val="00771C7E"/>
    <w:rsid w:val="007725D3"/>
    <w:rsid w:val="007747B7"/>
    <w:rsid w:val="00774828"/>
    <w:rsid w:val="007766ED"/>
    <w:rsid w:val="00776BD9"/>
    <w:rsid w:val="00776C3F"/>
    <w:rsid w:val="00780D7E"/>
    <w:rsid w:val="00781735"/>
    <w:rsid w:val="00782ACF"/>
    <w:rsid w:val="0078360C"/>
    <w:rsid w:val="007842AC"/>
    <w:rsid w:val="00785826"/>
    <w:rsid w:val="00790249"/>
    <w:rsid w:val="0079053D"/>
    <w:rsid w:val="007923EE"/>
    <w:rsid w:val="00793250"/>
    <w:rsid w:val="00794830"/>
    <w:rsid w:val="00797AD3"/>
    <w:rsid w:val="007A00EF"/>
    <w:rsid w:val="007A09B4"/>
    <w:rsid w:val="007A0D71"/>
    <w:rsid w:val="007A234A"/>
    <w:rsid w:val="007A251E"/>
    <w:rsid w:val="007A2F8A"/>
    <w:rsid w:val="007A4237"/>
    <w:rsid w:val="007A43D6"/>
    <w:rsid w:val="007A47CA"/>
    <w:rsid w:val="007A4829"/>
    <w:rsid w:val="007A7EB8"/>
    <w:rsid w:val="007B17C4"/>
    <w:rsid w:val="007B19F1"/>
    <w:rsid w:val="007B2AED"/>
    <w:rsid w:val="007B45BF"/>
    <w:rsid w:val="007B47B5"/>
    <w:rsid w:val="007B4E0B"/>
    <w:rsid w:val="007B539C"/>
    <w:rsid w:val="007B5718"/>
    <w:rsid w:val="007B58EC"/>
    <w:rsid w:val="007B60E1"/>
    <w:rsid w:val="007C0204"/>
    <w:rsid w:val="007C0E82"/>
    <w:rsid w:val="007C1178"/>
    <w:rsid w:val="007C2A32"/>
    <w:rsid w:val="007C3D36"/>
    <w:rsid w:val="007C4559"/>
    <w:rsid w:val="007C51B1"/>
    <w:rsid w:val="007C6B80"/>
    <w:rsid w:val="007C6CAA"/>
    <w:rsid w:val="007C6DBB"/>
    <w:rsid w:val="007C7A96"/>
    <w:rsid w:val="007D11D5"/>
    <w:rsid w:val="007D1B35"/>
    <w:rsid w:val="007D212B"/>
    <w:rsid w:val="007D257C"/>
    <w:rsid w:val="007D4AB5"/>
    <w:rsid w:val="007E12A9"/>
    <w:rsid w:val="007E14D4"/>
    <w:rsid w:val="007E20A7"/>
    <w:rsid w:val="007E4DE8"/>
    <w:rsid w:val="007E4F39"/>
    <w:rsid w:val="007E7D84"/>
    <w:rsid w:val="007F4265"/>
    <w:rsid w:val="007F50CF"/>
    <w:rsid w:val="007F7490"/>
    <w:rsid w:val="007F7869"/>
    <w:rsid w:val="007F7D95"/>
    <w:rsid w:val="00800772"/>
    <w:rsid w:val="0080325C"/>
    <w:rsid w:val="008036AC"/>
    <w:rsid w:val="00803CC2"/>
    <w:rsid w:val="0080409A"/>
    <w:rsid w:val="00804334"/>
    <w:rsid w:val="00804764"/>
    <w:rsid w:val="00806BF6"/>
    <w:rsid w:val="0080765F"/>
    <w:rsid w:val="0081074F"/>
    <w:rsid w:val="008116B4"/>
    <w:rsid w:val="00811F0B"/>
    <w:rsid w:val="00812EA6"/>
    <w:rsid w:val="00814115"/>
    <w:rsid w:val="00816849"/>
    <w:rsid w:val="00817774"/>
    <w:rsid w:val="00820780"/>
    <w:rsid w:val="00821B19"/>
    <w:rsid w:val="00823112"/>
    <w:rsid w:val="00823F00"/>
    <w:rsid w:val="00824738"/>
    <w:rsid w:val="00825C2E"/>
    <w:rsid w:val="00830801"/>
    <w:rsid w:val="008312C8"/>
    <w:rsid w:val="00832CAE"/>
    <w:rsid w:val="00832E49"/>
    <w:rsid w:val="00833EBC"/>
    <w:rsid w:val="0083403C"/>
    <w:rsid w:val="00834402"/>
    <w:rsid w:val="0083468D"/>
    <w:rsid w:val="00834A03"/>
    <w:rsid w:val="00834CBC"/>
    <w:rsid w:val="00834EAB"/>
    <w:rsid w:val="0083559F"/>
    <w:rsid w:val="0083697C"/>
    <w:rsid w:val="008413FD"/>
    <w:rsid w:val="008414DA"/>
    <w:rsid w:val="008432CE"/>
    <w:rsid w:val="00844178"/>
    <w:rsid w:val="00844349"/>
    <w:rsid w:val="00845FB7"/>
    <w:rsid w:val="008465D8"/>
    <w:rsid w:val="008468D3"/>
    <w:rsid w:val="0084767E"/>
    <w:rsid w:val="00847E4F"/>
    <w:rsid w:val="008502B7"/>
    <w:rsid w:val="008508BC"/>
    <w:rsid w:val="008516EB"/>
    <w:rsid w:val="00851B44"/>
    <w:rsid w:val="00852D10"/>
    <w:rsid w:val="00853D23"/>
    <w:rsid w:val="00857DCD"/>
    <w:rsid w:val="00860187"/>
    <w:rsid w:val="008625FA"/>
    <w:rsid w:val="00862BB9"/>
    <w:rsid w:val="008641C5"/>
    <w:rsid w:val="00872160"/>
    <w:rsid w:val="0087251D"/>
    <w:rsid w:val="00872DCE"/>
    <w:rsid w:val="00872F6B"/>
    <w:rsid w:val="0087486B"/>
    <w:rsid w:val="008749ED"/>
    <w:rsid w:val="008773AE"/>
    <w:rsid w:val="00880EC6"/>
    <w:rsid w:val="00881F2F"/>
    <w:rsid w:val="0088365F"/>
    <w:rsid w:val="008841C7"/>
    <w:rsid w:val="008869CB"/>
    <w:rsid w:val="00887271"/>
    <w:rsid w:val="008907FF"/>
    <w:rsid w:val="00890A8D"/>
    <w:rsid w:val="0089196B"/>
    <w:rsid w:val="008922D5"/>
    <w:rsid w:val="0089485D"/>
    <w:rsid w:val="00895497"/>
    <w:rsid w:val="008A063F"/>
    <w:rsid w:val="008A06FF"/>
    <w:rsid w:val="008A10BB"/>
    <w:rsid w:val="008A14ED"/>
    <w:rsid w:val="008A15D6"/>
    <w:rsid w:val="008A17B2"/>
    <w:rsid w:val="008A2F2C"/>
    <w:rsid w:val="008A33E4"/>
    <w:rsid w:val="008A403B"/>
    <w:rsid w:val="008A45CF"/>
    <w:rsid w:val="008A60BE"/>
    <w:rsid w:val="008A63B1"/>
    <w:rsid w:val="008B02AE"/>
    <w:rsid w:val="008B0810"/>
    <w:rsid w:val="008B0AA1"/>
    <w:rsid w:val="008B1F50"/>
    <w:rsid w:val="008B4A30"/>
    <w:rsid w:val="008B4C0F"/>
    <w:rsid w:val="008B5732"/>
    <w:rsid w:val="008B7141"/>
    <w:rsid w:val="008B7D87"/>
    <w:rsid w:val="008C10A7"/>
    <w:rsid w:val="008C58CB"/>
    <w:rsid w:val="008C792F"/>
    <w:rsid w:val="008D05EE"/>
    <w:rsid w:val="008D340D"/>
    <w:rsid w:val="008D3E06"/>
    <w:rsid w:val="008D4F92"/>
    <w:rsid w:val="008D603E"/>
    <w:rsid w:val="008D6C32"/>
    <w:rsid w:val="008D7E6B"/>
    <w:rsid w:val="008E1A2B"/>
    <w:rsid w:val="008E1BCC"/>
    <w:rsid w:val="008E2729"/>
    <w:rsid w:val="008E283B"/>
    <w:rsid w:val="008E621C"/>
    <w:rsid w:val="008E6728"/>
    <w:rsid w:val="008E6B73"/>
    <w:rsid w:val="008E6C70"/>
    <w:rsid w:val="008E6D06"/>
    <w:rsid w:val="008F0503"/>
    <w:rsid w:val="008F282D"/>
    <w:rsid w:val="008F2FBF"/>
    <w:rsid w:val="008F3BBC"/>
    <w:rsid w:val="008F4FE4"/>
    <w:rsid w:val="008F5A18"/>
    <w:rsid w:val="008F5DEC"/>
    <w:rsid w:val="008F7CE4"/>
    <w:rsid w:val="0090161E"/>
    <w:rsid w:val="00901E9F"/>
    <w:rsid w:val="009023A6"/>
    <w:rsid w:val="009031C9"/>
    <w:rsid w:val="009043A7"/>
    <w:rsid w:val="00907A64"/>
    <w:rsid w:val="00912580"/>
    <w:rsid w:val="00913CFE"/>
    <w:rsid w:val="009165EB"/>
    <w:rsid w:val="009174ED"/>
    <w:rsid w:val="009258F7"/>
    <w:rsid w:val="00925D7B"/>
    <w:rsid w:val="00925E45"/>
    <w:rsid w:val="00927467"/>
    <w:rsid w:val="00931993"/>
    <w:rsid w:val="00931A00"/>
    <w:rsid w:val="00932414"/>
    <w:rsid w:val="00932601"/>
    <w:rsid w:val="0093281E"/>
    <w:rsid w:val="009332D1"/>
    <w:rsid w:val="0093388F"/>
    <w:rsid w:val="0093390F"/>
    <w:rsid w:val="00933F3E"/>
    <w:rsid w:val="00934160"/>
    <w:rsid w:val="00935A50"/>
    <w:rsid w:val="009373F9"/>
    <w:rsid w:val="00940383"/>
    <w:rsid w:val="00941844"/>
    <w:rsid w:val="009419A1"/>
    <w:rsid w:val="00941E43"/>
    <w:rsid w:val="00942A2A"/>
    <w:rsid w:val="00943242"/>
    <w:rsid w:val="009432AE"/>
    <w:rsid w:val="00943B0A"/>
    <w:rsid w:val="00943F97"/>
    <w:rsid w:val="009446DE"/>
    <w:rsid w:val="00945EAF"/>
    <w:rsid w:val="009464FC"/>
    <w:rsid w:val="00946BC1"/>
    <w:rsid w:val="0095009A"/>
    <w:rsid w:val="00950D85"/>
    <w:rsid w:val="00951E44"/>
    <w:rsid w:val="0095286D"/>
    <w:rsid w:val="00954847"/>
    <w:rsid w:val="0095513F"/>
    <w:rsid w:val="009559E6"/>
    <w:rsid w:val="0095795D"/>
    <w:rsid w:val="0096240D"/>
    <w:rsid w:val="00963048"/>
    <w:rsid w:val="00963B83"/>
    <w:rsid w:val="00965184"/>
    <w:rsid w:val="00965978"/>
    <w:rsid w:val="00967311"/>
    <w:rsid w:val="009674F0"/>
    <w:rsid w:val="00970AA3"/>
    <w:rsid w:val="0097128D"/>
    <w:rsid w:val="00971C39"/>
    <w:rsid w:val="00972B1A"/>
    <w:rsid w:val="00974DA4"/>
    <w:rsid w:val="00975030"/>
    <w:rsid w:val="00976215"/>
    <w:rsid w:val="009768B7"/>
    <w:rsid w:val="00980313"/>
    <w:rsid w:val="00980D21"/>
    <w:rsid w:val="00983C6A"/>
    <w:rsid w:val="00984C45"/>
    <w:rsid w:val="009867B8"/>
    <w:rsid w:val="00986B45"/>
    <w:rsid w:val="00986F6E"/>
    <w:rsid w:val="00992C3C"/>
    <w:rsid w:val="009959FD"/>
    <w:rsid w:val="00995E2C"/>
    <w:rsid w:val="0099608F"/>
    <w:rsid w:val="00996E26"/>
    <w:rsid w:val="009A00B6"/>
    <w:rsid w:val="009A1CB3"/>
    <w:rsid w:val="009A428D"/>
    <w:rsid w:val="009A4E06"/>
    <w:rsid w:val="009A5196"/>
    <w:rsid w:val="009A61FB"/>
    <w:rsid w:val="009A6752"/>
    <w:rsid w:val="009A68F2"/>
    <w:rsid w:val="009A7E89"/>
    <w:rsid w:val="009B28EA"/>
    <w:rsid w:val="009B317B"/>
    <w:rsid w:val="009B495E"/>
    <w:rsid w:val="009B70F7"/>
    <w:rsid w:val="009B7B72"/>
    <w:rsid w:val="009C06EF"/>
    <w:rsid w:val="009C0D55"/>
    <w:rsid w:val="009C3114"/>
    <w:rsid w:val="009C34A6"/>
    <w:rsid w:val="009C3D67"/>
    <w:rsid w:val="009C55F3"/>
    <w:rsid w:val="009C5CF4"/>
    <w:rsid w:val="009C6EB2"/>
    <w:rsid w:val="009C709D"/>
    <w:rsid w:val="009C7619"/>
    <w:rsid w:val="009D084C"/>
    <w:rsid w:val="009D08AC"/>
    <w:rsid w:val="009D0CA6"/>
    <w:rsid w:val="009D20EE"/>
    <w:rsid w:val="009D3557"/>
    <w:rsid w:val="009D5988"/>
    <w:rsid w:val="009D5B33"/>
    <w:rsid w:val="009D6623"/>
    <w:rsid w:val="009D78DE"/>
    <w:rsid w:val="009E0937"/>
    <w:rsid w:val="009E1230"/>
    <w:rsid w:val="009E1971"/>
    <w:rsid w:val="009E22CB"/>
    <w:rsid w:val="009E299B"/>
    <w:rsid w:val="009E4837"/>
    <w:rsid w:val="009E58BA"/>
    <w:rsid w:val="009E597C"/>
    <w:rsid w:val="009E72DA"/>
    <w:rsid w:val="009F031F"/>
    <w:rsid w:val="009F0977"/>
    <w:rsid w:val="009F30AA"/>
    <w:rsid w:val="009F396E"/>
    <w:rsid w:val="009F47E7"/>
    <w:rsid w:val="009F516E"/>
    <w:rsid w:val="009F5892"/>
    <w:rsid w:val="009F61B4"/>
    <w:rsid w:val="009F635E"/>
    <w:rsid w:val="009F6DE2"/>
    <w:rsid w:val="009F7D0C"/>
    <w:rsid w:val="00A00E8B"/>
    <w:rsid w:val="00A00EAC"/>
    <w:rsid w:val="00A02275"/>
    <w:rsid w:val="00A02387"/>
    <w:rsid w:val="00A02B17"/>
    <w:rsid w:val="00A039E3"/>
    <w:rsid w:val="00A041EE"/>
    <w:rsid w:val="00A0555F"/>
    <w:rsid w:val="00A069DB"/>
    <w:rsid w:val="00A0732B"/>
    <w:rsid w:val="00A076DB"/>
    <w:rsid w:val="00A07767"/>
    <w:rsid w:val="00A10423"/>
    <w:rsid w:val="00A11773"/>
    <w:rsid w:val="00A11E5B"/>
    <w:rsid w:val="00A13688"/>
    <w:rsid w:val="00A13B7A"/>
    <w:rsid w:val="00A17296"/>
    <w:rsid w:val="00A17B64"/>
    <w:rsid w:val="00A211C9"/>
    <w:rsid w:val="00A21316"/>
    <w:rsid w:val="00A21CCB"/>
    <w:rsid w:val="00A22186"/>
    <w:rsid w:val="00A24281"/>
    <w:rsid w:val="00A24487"/>
    <w:rsid w:val="00A254E8"/>
    <w:rsid w:val="00A2612E"/>
    <w:rsid w:val="00A279AE"/>
    <w:rsid w:val="00A334A3"/>
    <w:rsid w:val="00A34002"/>
    <w:rsid w:val="00A344D1"/>
    <w:rsid w:val="00A3477E"/>
    <w:rsid w:val="00A36CB2"/>
    <w:rsid w:val="00A4044E"/>
    <w:rsid w:val="00A41CD0"/>
    <w:rsid w:val="00A4242E"/>
    <w:rsid w:val="00A42B28"/>
    <w:rsid w:val="00A4412A"/>
    <w:rsid w:val="00A45A84"/>
    <w:rsid w:val="00A46685"/>
    <w:rsid w:val="00A46BED"/>
    <w:rsid w:val="00A474E7"/>
    <w:rsid w:val="00A47ABE"/>
    <w:rsid w:val="00A51A7A"/>
    <w:rsid w:val="00A530BD"/>
    <w:rsid w:val="00A53F67"/>
    <w:rsid w:val="00A541D2"/>
    <w:rsid w:val="00A5487C"/>
    <w:rsid w:val="00A61D84"/>
    <w:rsid w:val="00A62914"/>
    <w:rsid w:val="00A62E99"/>
    <w:rsid w:val="00A63E24"/>
    <w:rsid w:val="00A64398"/>
    <w:rsid w:val="00A64BA8"/>
    <w:rsid w:val="00A64F8C"/>
    <w:rsid w:val="00A65D28"/>
    <w:rsid w:val="00A66A5C"/>
    <w:rsid w:val="00A66F1B"/>
    <w:rsid w:val="00A73B6E"/>
    <w:rsid w:val="00A74DBC"/>
    <w:rsid w:val="00A760DA"/>
    <w:rsid w:val="00A76520"/>
    <w:rsid w:val="00A76DA9"/>
    <w:rsid w:val="00A80150"/>
    <w:rsid w:val="00A825A9"/>
    <w:rsid w:val="00A8596A"/>
    <w:rsid w:val="00A90A39"/>
    <w:rsid w:val="00A90BE3"/>
    <w:rsid w:val="00A917CF"/>
    <w:rsid w:val="00A94215"/>
    <w:rsid w:val="00A9482C"/>
    <w:rsid w:val="00A95278"/>
    <w:rsid w:val="00A9664E"/>
    <w:rsid w:val="00A976A5"/>
    <w:rsid w:val="00A978E8"/>
    <w:rsid w:val="00A97E41"/>
    <w:rsid w:val="00AA034F"/>
    <w:rsid w:val="00AA03CC"/>
    <w:rsid w:val="00AA1DD4"/>
    <w:rsid w:val="00AA48E5"/>
    <w:rsid w:val="00AA5BC0"/>
    <w:rsid w:val="00AA77E2"/>
    <w:rsid w:val="00AB047B"/>
    <w:rsid w:val="00AB07C9"/>
    <w:rsid w:val="00AB2BE0"/>
    <w:rsid w:val="00AB344A"/>
    <w:rsid w:val="00AB3452"/>
    <w:rsid w:val="00AB493E"/>
    <w:rsid w:val="00AB65DF"/>
    <w:rsid w:val="00AC3B67"/>
    <w:rsid w:val="00AC5BDE"/>
    <w:rsid w:val="00AC6046"/>
    <w:rsid w:val="00AC7CDB"/>
    <w:rsid w:val="00AD57E3"/>
    <w:rsid w:val="00AD5975"/>
    <w:rsid w:val="00AD67AC"/>
    <w:rsid w:val="00AD7E7D"/>
    <w:rsid w:val="00AD7ECC"/>
    <w:rsid w:val="00AE09EE"/>
    <w:rsid w:val="00AE251E"/>
    <w:rsid w:val="00AE2F96"/>
    <w:rsid w:val="00AE4A02"/>
    <w:rsid w:val="00AE5B3A"/>
    <w:rsid w:val="00AE6220"/>
    <w:rsid w:val="00AE72E4"/>
    <w:rsid w:val="00AF0314"/>
    <w:rsid w:val="00AF046D"/>
    <w:rsid w:val="00AF1D76"/>
    <w:rsid w:val="00AF2EFB"/>
    <w:rsid w:val="00AF44A3"/>
    <w:rsid w:val="00AF4632"/>
    <w:rsid w:val="00AF78BA"/>
    <w:rsid w:val="00B00602"/>
    <w:rsid w:val="00B02739"/>
    <w:rsid w:val="00B0304D"/>
    <w:rsid w:val="00B0490E"/>
    <w:rsid w:val="00B04B31"/>
    <w:rsid w:val="00B05027"/>
    <w:rsid w:val="00B0507C"/>
    <w:rsid w:val="00B06196"/>
    <w:rsid w:val="00B0697E"/>
    <w:rsid w:val="00B11F5E"/>
    <w:rsid w:val="00B1244F"/>
    <w:rsid w:val="00B13A8C"/>
    <w:rsid w:val="00B13C85"/>
    <w:rsid w:val="00B13FA2"/>
    <w:rsid w:val="00B16B59"/>
    <w:rsid w:val="00B20088"/>
    <w:rsid w:val="00B20C8F"/>
    <w:rsid w:val="00B20CEE"/>
    <w:rsid w:val="00B22470"/>
    <w:rsid w:val="00B244F8"/>
    <w:rsid w:val="00B2550B"/>
    <w:rsid w:val="00B257CF"/>
    <w:rsid w:val="00B25C89"/>
    <w:rsid w:val="00B279C2"/>
    <w:rsid w:val="00B3179B"/>
    <w:rsid w:val="00B318BE"/>
    <w:rsid w:val="00B34C41"/>
    <w:rsid w:val="00B35253"/>
    <w:rsid w:val="00B35563"/>
    <w:rsid w:val="00B36A54"/>
    <w:rsid w:val="00B37D36"/>
    <w:rsid w:val="00B40108"/>
    <w:rsid w:val="00B409D3"/>
    <w:rsid w:val="00B42F8D"/>
    <w:rsid w:val="00B43338"/>
    <w:rsid w:val="00B43518"/>
    <w:rsid w:val="00B43D95"/>
    <w:rsid w:val="00B4497C"/>
    <w:rsid w:val="00B45BE3"/>
    <w:rsid w:val="00B466F4"/>
    <w:rsid w:val="00B473E4"/>
    <w:rsid w:val="00B5144F"/>
    <w:rsid w:val="00B52CD1"/>
    <w:rsid w:val="00B52FE6"/>
    <w:rsid w:val="00B54421"/>
    <w:rsid w:val="00B55AAB"/>
    <w:rsid w:val="00B55C53"/>
    <w:rsid w:val="00B567A9"/>
    <w:rsid w:val="00B56D43"/>
    <w:rsid w:val="00B57740"/>
    <w:rsid w:val="00B60763"/>
    <w:rsid w:val="00B619AD"/>
    <w:rsid w:val="00B63479"/>
    <w:rsid w:val="00B634BD"/>
    <w:rsid w:val="00B63722"/>
    <w:rsid w:val="00B64A16"/>
    <w:rsid w:val="00B64CE8"/>
    <w:rsid w:val="00B65B0A"/>
    <w:rsid w:val="00B6711B"/>
    <w:rsid w:val="00B7185B"/>
    <w:rsid w:val="00B72E4E"/>
    <w:rsid w:val="00B75392"/>
    <w:rsid w:val="00B82E96"/>
    <w:rsid w:val="00B82FA9"/>
    <w:rsid w:val="00B85334"/>
    <w:rsid w:val="00B85E34"/>
    <w:rsid w:val="00B86691"/>
    <w:rsid w:val="00B904DD"/>
    <w:rsid w:val="00B90CF4"/>
    <w:rsid w:val="00B924F9"/>
    <w:rsid w:val="00B93EA9"/>
    <w:rsid w:val="00B94CC7"/>
    <w:rsid w:val="00B9525E"/>
    <w:rsid w:val="00B95279"/>
    <w:rsid w:val="00B95424"/>
    <w:rsid w:val="00B97301"/>
    <w:rsid w:val="00BA0495"/>
    <w:rsid w:val="00BA04D3"/>
    <w:rsid w:val="00BA1F1A"/>
    <w:rsid w:val="00BA2202"/>
    <w:rsid w:val="00BA2B3A"/>
    <w:rsid w:val="00BA3837"/>
    <w:rsid w:val="00BA4D39"/>
    <w:rsid w:val="00BA5524"/>
    <w:rsid w:val="00BA58AA"/>
    <w:rsid w:val="00BA6413"/>
    <w:rsid w:val="00BA6664"/>
    <w:rsid w:val="00BA7F16"/>
    <w:rsid w:val="00BB087C"/>
    <w:rsid w:val="00BB15E2"/>
    <w:rsid w:val="00BB40FF"/>
    <w:rsid w:val="00BB4251"/>
    <w:rsid w:val="00BB458F"/>
    <w:rsid w:val="00BB4C34"/>
    <w:rsid w:val="00BB516F"/>
    <w:rsid w:val="00BB5A7A"/>
    <w:rsid w:val="00BB5D9E"/>
    <w:rsid w:val="00BB7A37"/>
    <w:rsid w:val="00BB7EAE"/>
    <w:rsid w:val="00BC1721"/>
    <w:rsid w:val="00BC2727"/>
    <w:rsid w:val="00BC296C"/>
    <w:rsid w:val="00BC4A97"/>
    <w:rsid w:val="00BC502C"/>
    <w:rsid w:val="00BC646E"/>
    <w:rsid w:val="00BC6847"/>
    <w:rsid w:val="00BC6CA9"/>
    <w:rsid w:val="00BD0131"/>
    <w:rsid w:val="00BD0B16"/>
    <w:rsid w:val="00BD1CCB"/>
    <w:rsid w:val="00BD248C"/>
    <w:rsid w:val="00BD3E9B"/>
    <w:rsid w:val="00BD6855"/>
    <w:rsid w:val="00BD6DD6"/>
    <w:rsid w:val="00BD7197"/>
    <w:rsid w:val="00BE1EA9"/>
    <w:rsid w:val="00BE2411"/>
    <w:rsid w:val="00BE2969"/>
    <w:rsid w:val="00BE2F7E"/>
    <w:rsid w:val="00BE58F6"/>
    <w:rsid w:val="00BE737B"/>
    <w:rsid w:val="00BE777A"/>
    <w:rsid w:val="00BE7B44"/>
    <w:rsid w:val="00BF0A87"/>
    <w:rsid w:val="00BF15DC"/>
    <w:rsid w:val="00BF433E"/>
    <w:rsid w:val="00BF4D05"/>
    <w:rsid w:val="00BF4E8F"/>
    <w:rsid w:val="00C00A00"/>
    <w:rsid w:val="00C00A18"/>
    <w:rsid w:val="00C01003"/>
    <w:rsid w:val="00C02951"/>
    <w:rsid w:val="00C03290"/>
    <w:rsid w:val="00C041BF"/>
    <w:rsid w:val="00C0428C"/>
    <w:rsid w:val="00C073B7"/>
    <w:rsid w:val="00C078E9"/>
    <w:rsid w:val="00C11BDB"/>
    <w:rsid w:val="00C11C19"/>
    <w:rsid w:val="00C13234"/>
    <w:rsid w:val="00C14171"/>
    <w:rsid w:val="00C143E4"/>
    <w:rsid w:val="00C16181"/>
    <w:rsid w:val="00C16417"/>
    <w:rsid w:val="00C16C6D"/>
    <w:rsid w:val="00C177A7"/>
    <w:rsid w:val="00C201E2"/>
    <w:rsid w:val="00C22029"/>
    <w:rsid w:val="00C223BD"/>
    <w:rsid w:val="00C231B4"/>
    <w:rsid w:val="00C23987"/>
    <w:rsid w:val="00C24F72"/>
    <w:rsid w:val="00C255E4"/>
    <w:rsid w:val="00C264B5"/>
    <w:rsid w:val="00C26D65"/>
    <w:rsid w:val="00C2738C"/>
    <w:rsid w:val="00C2741A"/>
    <w:rsid w:val="00C315AA"/>
    <w:rsid w:val="00C356C2"/>
    <w:rsid w:val="00C35B36"/>
    <w:rsid w:val="00C4014C"/>
    <w:rsid w:val="00C40C5C"/>
    <w:rsid w:val="00C4178C"/>
    <w:rsid w:val="00C42890"/>
    <w:rsid w:val="00C42B7A"/>
    <w:rsid w:val="00C43740"/>
    <w:rsid w:val="00C44B8E"/>
    <w:rsid w:val="00C45610"/>
    <w:rsid w:val="00C46A7B"/>
    <w:rsid w:val="00C502EB"/>
    <w:rsid w:val="00C5099D"/>
    <w:rsid w:val="00C5138B"/>
    <w:rsid w:val="00C51B2A"/>
    <w:rsid w:val="00C527B7"/>
    <w:rsid w:val="00C558C1"/>
    <w:rsid w:val="00C55ABC"/>
    <w:rsid w:val="00C570D3"/>
    <w:rsid w:val="00C6171B"/>
    <w:rsid w:val="00C61B42"/>
    <w:rsid w:val="00C61F51"/>
    <w:rsid w:val="00C633A6"/>
    <w:rsid w:val="00C66FF4"/>
    <w:rsid w:val="00C6759C"/>
    <w:rsid w:val="00C676C8"/>
    <w:rsid w:val="00C67C34"/>
    <w:rsid w:val="00C708B9"/>
    <w:rsid w:val="00C71648"/>
    <w:rsid w:val="00C7192B"/>
    <w:rsid w:val="00C738B6"/>
    <w:rsid w:val="00C73D0F"/>
    <w:rsid w:val="00C74149"/>
    <w:rsid w:val="00C7501F"/>
    <w:rsid w:val="00C75A17"/>
    <w:rsid w:val="00C76BEE"/>
    <w:rsid w:val="00C77E18"/>
    <w:rsid w:val="00C811A6"/>
    <w:rsid w:val="00C8130C"/>
    <w:rsid w:val="00C81F1F"/>
    <w:rsid w:val="00C82471"/>
    <w:rsid w:val="00C83D4D"/>
    <w:rsid w:val="00C86DCD"/>
    <w:rsid w:val="00C878B3"/>
    <w:rsid w:val="00C9119E"/>
    <w:rsid w:val="00C9591F"/>
    <w:rsid w:val="00C96D3D"/>
    <w:rsid w:val="00C97CDA"/>
    <w:rsid w:val="00CA2B07"/>
    <w:rsid w:val="00CA2E23"/>
    <w:rsid w:val="00CA36CE"/>
    <w:rsid w:val="00CA37DE"/>
    <w:rsid w:val="00CA6519"/>
    <w:rsid w:val="00CB2362"/>
    <w:rsid w:val="00CB259E"/>
    <w:rsid w:val="00CC09D6"/>
    <w:rsid w:val="00CC1B19"/>
    <w:rsid w:val="00CC48DF"/>
    <w:rsid w:val="00CC5024"/>
    <w:rsid w:val="00CC537F"/>
    <w:rsid w:val="00CC6AF9"/>
    <w:rsid w:val="00CC7F71"/>
    <w:rsid w:val="00CD0399"/>
    <w:rsid w:val="00CD0657"/>
    <w:rsid w:val="00CD2537"/>
    <w:rsid w:val="00CD3B07"/>
    <w:rsid w:val="00CD3D8F"/>
    <w:rsid w:val="00CD41E5"/>
    <w:rsid w:val="00CD4756"/>
    <w:rsid w:val="00CD69CE"/>
    <w:rsid w:val="00CD7A4B"/>
    <w:rsid w:val="00CD7C7A"/>
    <w:rsid w:val="00CE20EE"/>
    <w:rsid w:val="00CE3DAD"/>
    <w:rsid w:val="00CE5C42"/>
    <w:rsid w:val="00CE6603"/>
    <w:rsid w:val="00CE716B"/>
    <w:rsid w:val="00CE7501"/>
    <w:rsid w:val="00CE7C22"/>
    <w:rsid w:val="00CF1915"/>
    <w:rsid w:val="00CF1F93"/>
    <w:rsid w:val="00CF2659"/>
    <w:rsid w:val="00CF27F4"/>
    <w:rsid w:val="00CF2D2D"/>
    <w:rsid w:val="00CF3E31"/>
    <w:rsid w:val="00CF55D7"/>
    <w:rsid w:val="00CF7248"/>
    <w:rsid w:val="00D0062A"/>
    <w:rsid w:val="00D00876"/>
    <w:rsid w:val="00D00BE1"/>
    <w:rsid w:val="00D01A45"/>
    <w:rsid w:val="00D05B8C"/>
    <w:rsid w:val="00D05DDF"/>
    <w:rsid w:val="00D0657A"/>
    <w:rsid w:val="00D06E0B"/>
    <w:rsid w:val="00D12CF2"/>
    <w:rsid w:val="00D16FC7"/>
    <w:rsid w:val="00D17479"/>
    <w:rsid w:val="00D206C9"/>
    <w:rsid w:val="00D23B2E"/>
    <w:rsid w:val="00D23F76"/>
    <w:rsid w:val="00D24FB2"/>
    <w:rsid w:val="00D25115"/>
    <w:rsid w:val="00D268BA"/>
    <w:rsid w:val="00D27EAB"/>
    <w:rsid w:val="00D3141A"/>
    <w:rsid w:val="00D327DA"/>
    <w:rsid w:val="00D32BF5"/>
    <w:rsid w:val="00D33C4C"/>
    <w:rsid w:val="00D33E96"/>
    <w:rsid w:val="00D34737"/>
    <w:rsid w:val="00D34A8C"/>
    <w:rsid w:val="00D36D79"/>
    <w:rsid w:val="00D373CD"/>
    <w:rsid w:val="00D4038B"/>
    <w:rsid w:val="00D40655"/>
    <w:rsid w:val="00D43415"/>
    <w:rsid w:val="00D43BE0"/>
    <w:rsid w:val="00D43E8B"/>
    <w:rsid w:val="00D46DE2"/>
    <w:rsid w:val="00D474AC"/>
    <w:rsid w:val="00D50D6B"/>
    <w:rsid w:val="00D515C2"/>
    <w:rsid w:val="00D51C18"/>
    <w:rsid w:val="00D521C1"/>
    <w:rsid w:val="00D52F2F"/>
    <w:rsid w:val="00D5404B"/>
    <w:rsid w:val="00D5492E"/>
    <w:rsid w:val="00D55011"/>
    <w:rsid w:val="00D57BA0"/>
    <w:rsid w:val="00D57E52"/>
    <w:rsid w:val="00D6037F"/>
    <w:rsid w:val="00D605E5"/>
    <w:rsid w:val="00D61129"/>
    <w:rsid w:val="00D62C85"/>
    <w:rsid w:val="00D63299"/>
    <w:rsid w:val="00D633BD"/>
    <w:rsid w:val="00D63493"/>
    <w:rsid w:val="00D64B90"/>
    <w:rsid w:val="00D64CF6"/>
    <w:rsid w:val="00D702C8"/>
    <w:rsid w:val="00D7214B"/>
    <w:rsid w:val="00D73246"/>
    <w:rsid w:val="00D7324B"/>
    <w:rsid w:val="00D734E7"/>
    <w:rsid w:val="00D74153"/>
    <w:rsid w:val="00D77B97"/>
    <w:rsid w:val="00D77C29"/>
    <w:rsid w:val="00D77F7D"/>
    <w:rsid w:val="00D8310F"/>
    <w:rsid w:val="00D85001"/>
    <w:rsid w:val="00D85BB7"/>
    <w:rsid w:val="00D86015"/>
    <w:rsid w:val="00D8684C"/>
    <w:rsid w:val="00D87A73"/>
    <w:rsid w:val="00D87B45"/>
    <w:rsid w:val="00D87D40"/>
    <w:rsid w:val="00D91E59"/>
    <w:rsid w:val="00D926DC"/>
    <w:rsid w:val="00D94F90"/>
    <w:rsid w:val="00D96E3E"/>
    <w:rsid w:val="00DA239E"/>
    <w:rsid w:val="00DA3177"/>
    <w:rsid w:val="00DA42FE"/>
    <w:rsid w:val="00DA5459"/>
    <w:rsid w:val="00DA5AB8"/>
    <w:rsid w:val="00DA5B9E"/>
    <w:rsid w:val="00DA63BC"/>
    <w:rsid w:val="00DB0763"/>
    <w:rsid w:val="00DB0DC0"/>
    <w:rsid w:val="00DB10A9"/>
    <w:rsid w:val="00DB2903"/>
    <w:rsid w:val="00DB2FE0"/>
    <w:rsid w:val="00DB34FC"/>
    <w:rsid w:val="00DB4A6E"/>
    <w:rsid w:val="00DB7743"/>
    <w:rsid w:val="00DC052E"/>
    <w:rsid w:val="00DC170E"/>
    <w:rsid w:val="00DC1BF7"/>
    <w:rsid w:val="00DC20FB"/>
    <w:rsid w:val="00DC38BF"/>
    <w:rsid w:val="00DC6097"/>
    <w:rsid w:val="00DC63CF"/>
    <w:rsid w:val="00DC73B5"/>
    <w:rsid w:val="00DC7F0D"/>
    <w:rsid w:val="00DD2656"/>
    <w:rsid w:val="00DD2AAC"/>
    <w:rsid w:val="00DD38A6"/>
    <w:rsid w:val="00DD77B8"/>
    <w:rsid w:val="00DD7973"/>
    <w:rsid w:val="00DE2C18"/>
    <w:rsid w:val="00DE3193"/>
    <w:rsid w:val="00DF0884"/>
    <w:rsid w:val="00DF23D7"/>
    <w:rsid w:val="00DF23DD"/>
    <w:rsid w:val="00DF3126"/>
    <w:rsid w:val="00DF3886"/>
    <w:rsid w:val="00DF3B03"/>
    <w:rsid w:val="00DF4BFE"/>
    <w:rsid w:val="00DF5356"/>
    <w:rsid w:val="00DF58FA"/>
    <w:rsid w:val="00DF6103"/>
    <w:rsid w:val="00DF7F2C"/>
    <w:rsid w:val="00E02478"/>
    <w:rsid w:val="00E0525E"/>
    <w:rsid w:val="00E06453"/>
    <w:rsid w:val="00E06F8E"/>
    <w:rsid w:val="00E103B1"/>
    <w:rsid w:val="00E11211"/>
    <w:rsid w:val="00E1225F"/>
    <w:rsid w:val="00E124B9"/>
    <w:rsid w:val="00E1478E"/>
    <w:rsid w:val="00E15A64"/>
    <w:rsid w:val="00E15E91"/>
    <w:rsid w:val="00E164A2"/>
    <w:rsid w:val="00E16B07"/>
    <w:rsid w:val="00E16C67"/>
    <w:rsid w:val="00E172F9"/>
    <w:rsid w:val="00E203D1"/>
    <w:rsid w:val="00E21730"/>
    <w:rsid w:val="00E24664"/>
    <w:rsid w:val="00E25619"/>
    <w:rsid w:val="00E25902"/>
    <w:rsid w:val="00E25A06"/>
    <w:rsid w:val="00E30003"/>
    <w:rsid w:val="00E300E8"/>
    <w:rsid w:val="00E30158"/>
    <w:rsid w:val="00E34541"/>
    <w:rsid w:val="00E357E8"/>
    <w:rsid w:val="00E37A3F"/>
    <w:rsid w:val="00E4265C"/>
    <w:rsid w:val="00E43F6B"/>
    <w:rsid w:val="00E4440A"/>
    <w:rsid w:val="00E44674"/>
    <w:rsid w:val="00E44C54"/>
    <w:rsid w:val="00E44F4B"/>
    <w:rsid w:val="00E46644"/>
    <w:rsid w:val="00E47733"/>
    <w:rsid w:val="00E507C2"/>
    <w:rsid w:val="00E50AF1"/>
    <w:rsid w:val="00E50D28"/>
    <w:rsid w:val="00E51681"/>
    <w:rsid w:val="00E51FAE"/>
    <w:rsid w:val="00E52BF9"/>
    <w:rsid w:val="00E53DAE"/>
    <w:rsid w:val="00E54531"/>
    <w:rsid w:val="00E5468D"/>
    <w:rsid w:val="00E559A1"/>
    <w:rsid w:val="00E559A8"/>
    <w:rsid w:val="00E55B09"/>
    <w:rsid w:val="00E55C50"/>
    <w:rsid w:val="00E57309"/>
    <w:rsid w:val="00E5796E"/>
    <w:rsid w:val="00E61F1D"/>
    <w:rsid w:val="00E627B0"/>
    <w:rsid w:val="00E62D84"/>
    <w:rsid w:val="00E62E0A"/>
    <w:rsid w:val="00E64D0E"/>
    <w:rsid w:val="00E64F1A"/>
    <w:rsid w:val="00E729B1"/>
    <w:rsid w:val="00E729E5"/>
    <w:rsid w:val="00E74B01"/>
    <w:rsid w:val="00E764D7"/>
    <w:rsid w:val="00E804CD"/>
    <w:rsid w:val="00E81451"/>
    <w:rsid w:val="00E82F5F"/>
    <w:rsid w:val="00E8424C"/>
    <w:rsid w:val="00E846B5"/>
    <w:rsid w:val="00E84878"/>
    <w:rsid w:val="00E855A9"/>
    <w:rsid w:val="00E85BF9"/>
    <w:rsid w:val="00E85FFB"/>
    <w:rsid w:val="00E86B0D"/>
    <w:rsid w:val="00E902AF"/>
    <w:rsid w:val="00E90765"/>
    <w:rsid w:val="00E90C28"/>
    <w:rsid w:val="00E92198"/>
    <w:rsid w:val="00E93647"/>
    <w:rsid w:val="00E95BC4"/>
    <w:rsid w:val="00E96269"/>
    <w:rsid w:val="00E96388"/>
    <w:rsid w:val="00E96411"/>
    <w:rsid w:val="00E965D6"/>
    <w:rsid w:val="00EA0279"/>
    <w:rsid w:val="00EA39F0"/>
    <w:rsid w:val="00EA40D0"/>
    <w:rsid w:val="00EA4127"/>
    <w:rsid w:val="00EA4A80"/>
    <w:rsid w:val="00EA4BC5"/>
    <w:rsid w:val="00EA55DD"/>
    <w:rsid w:val="00EA66C1"/>
    <w:rsid w:val="00EA6A12"/>
    <w:rsid w:val="00EA7250"/>
    <w:rsid w:val="00EA7FB0"/>
    <w:rsid w:val="00EA7FD4"/>
    <w:rsid w:val="00EB059B"/>
    <w:rsid w:val="00EB075E"/>
    <w:rsid w:val="00EB1AD8"/>
    <w:rsid w:val="00EB3E6E"/>
    <w:rsid w:val="00EB42AD"/>
    <w:rsid w:val="00EB46D8"/>
    <w:rsid w:val="00EB47EF"/>
    <w:rsid w:val="00EC1347"/>
    <w:rsid w:val="00EC15E3"/>
    <w:rsid w:val="00EC2C7A"/>
    <w:rsid w:val="00EC394F"/>
    <w:rsid w:val="00EC45DF"/>
    <w:rsid w:val="00EC4C86"/>
    <w:rsid w:val="00EC6579"/>
    <w:rsid w:val="00EC7310"/>
    <w:rsid w:val="00ED2058"/>
    <w:rsid w:val="00ED55A2"/>
    <w:rsid w:val="00ED6D1A"/>
    <w:rsid w:val="00ED73C6"/>
    <w:rsid w:val="00ED76BA"/>
    <w:rsid w:val="00ED7F19"/>
    <w:rsid w:val="00EE327A"/>
    <w:rsid w:val="00EE3719"/>
    <w:rsid w:val="00EE3FA7"/>
    <w:rsid w:val="00EE5795"/>
    <w:rsid w:val="00EE6A41"/>
    <w:rsid w:val="00EF0780"/>
    <w:rsid w:val="00EF0A68"/>
    <w:rsid w:val="00EF2E71"/>
    <w:rsid w:val="00EF47A2"/>
    <w:rsid w:val="00EF6C5B"/>
    <w:rsid w:val="00EF7BDB"/>
    <w:rsid w:val="00EF7CD1"/>
    <w:rsid w:val="00F02E59"/>
    <w:rsid w:val="00F03E7F"/>
    <w:rsid w:val="00F04CD2"/>
    <w:rsid w:val="00F07ECF"/>
    <w:rsid w:val="00F11A70"/>
    <w:rsid w:val="00F12416"/>
    <w:rsid w:val="00F13030"/>
    <w:rsid w:val="00F153DD"/>
    <w:rsid w:val="00F1604B"/>
    <w:rsid w:val="00F20073"/>
    <w:rsid w:val="00F20367"/>
    <w:rsid w:val="00F2177B"/>
    <w:rsid w:val="00F24EA1"/>
    <w:rsid w:val="00F27B43"/>
    <w:rsid w:val="00F30766"/>
    <w:rsid w:val="00F326BC"/>
    <w:rsid w:val="00F33830"/>
    <w:rsid w:val="00F33A3D"/>
    <w:rsid w:val="00F34341"/>
    <w:rsid w:val="00F34EC9"/>
    <w:rsid w:val="00F365CF"/>
    <w:rsid w:val="00F37DCE"/>
    <w:rsid w:val="00F40542"/>
    <w:rsid w:val="00F43285"/>
    <w:rsid w:val="00F43667"/>
    <w:rsid w:val="00F44E66"/>
    <w:rsid w:val="00F45DF4"/>
    <w:rsid w:val="00F468FD"/>
    <w:rsid w:val="00F46B88"/>
    <w:rsid w:val="00F473E4"/>
    <w:rsid w:val="00F47E4B"/>
    <w:rsid w:val="00F50BC5"/>
    <w:rsid w:val="00F517FD"/>
    <w:rsid w:val="00F551B9"/>
    <w:rsid w:val="00F55539"/>
    <w:rsid w:val="00F56AEB"/>
    <w:rsid w:val="00F56FAC"/>
    <w:rsid w:val="00F57380"/>
    <w:rsid w:val="00F575C6"/>
    <w:rsid w:val="00F5762A"/>
    <w:rsid w:val="00F61696"/>
    <w:rsid w:val="00F62160"/>
    <w:rsid w:val="00F62828"/>
    <w:rsid w:val="00F63FBB"/>
    <w:rsid w:val="00F64C80"/>
    <w:rsid w:val="00F65964"/>
    <w:rsid w:val="00F65A6F"/>
    <w:rsid w:val="00F66D50"/>
    <w:rsid w:val="00F675C6"/>
    <w:rsid w:val="00F704C1"/>
    <w:rsid w:val="00F709B0"/>
    <w:rsid w:val="00F71FFE"/>
    <w:rsid w:val="00F7588B"/>
    <w:rsid w:val="00F77E0E"/>
    <w:rsid w:val="00F80253"/>
    <w:rsid w:val="00F839B7"/>
    <w:rsid w:val="00F83F63"/>
    <w:rsid w:val="00F8455B"/>
    <w:rsid w:val="00F84DDC"/>
    <w:rsid w:val="00F8524A"/>
    <w:rsid w:val="00F8542F"/>
    <w:rsid w:val="00F86543"/>
    <w:rsid w:val="00F86B51"/>
    <w:rsid w:val="00F9134C"/>
    <w:rsid w:val="00F9158F"/>
    <w:rsid w:val="00F919A7"/>
    <w:rsid w:val="00F91B2C"/>
    <w:rsid w:val="00F927C5"/>
    <w:rsid w:val="00F953B7"/>
    <w:rsid w:val="00F95EC2"/>
    <w:rsid w:val="00FA27E8"/>
    <w:rsid w:val="00FA2FE9"/>
    <w:rsid w:val="00FA381D"/>
    <w:rsid w:val="00FA3C61"/>
    <w:rsid w:val="00FA3F4F"/>
    <w:rsid w:val="00FA4227"/>
    <w:rsid w:val="00FA4B09"/>
    <w:rsid w:val="00FA6FE2"/>
    <w:rsid w:val="00FB24D1"/>
    <w:rsid w:val="00FB2DEE"/>
    <w:rsid w:val="00FB37F5"/>
    <w:rsid w:val="00FB522E"/>
    <w:rsid w:val="00FB5B17"/>
    <w:rsid w:val="00FB71E0"/>
    <w:rsid w:val="00FC23D3"/>
    <w:rsid w:val="00FC28AF"/>
    <w:rsid w:val="00FC42A4"/>
    <w:rsid w:val="00FC4D8F"/>
    <w:rsid w:val="00FC65C6"/>
    <w:rsid w:val="00FC65CB"/>
    <w:rsid w:val="00FC70BC"/>
    <w:rsid w:val="00FC7F34"/>
    <w:rsid w:val="00FD0AA6"/>
    <w:rsid w:val="00FD2BD7"/>
    <w:rsid w:val="00FD2D67"/>
    <w:rsid w:val="00FD3822"/>
    <w:rsid w:val="00FD5341"/>
    <w:rsid w:val="00FD6E89"/>
    <w:rsid w:val="00FD70DF"/>
    <w:rsid w:val="00FD78B4"/>
    <w:rsid w:val="00FD7B31"/>
    <w:rsid w:val="00FE0CF4"/>
    <w:rsid w:val="00FE67D6"/>
    <w:rsid w:val="00FE6D95"/>
    <w:rsid w:val="00FE700B"/>
    <w:rsid w:val="00FE734A"/>
    <w:rsid w:val="00FE7F32"/>
    <w:rsid w:val="00FE7F6B"/>
    <w:rsid w:val="00FF2DA4"/>
    <w:rsid w:val="00FF5362"/>
    <w:rsid w:val="00FF6F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D70437"/>
  <w15:docId w15:val="{E12880AC-DF90-4D9C-9AD7-685C6BAB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3">
    <w:name w:val="heading 3"/>
    <w:basedOn w:val="Normal"/>
    <w:next w:val="Normal"/>
    <w:link w:val="Heading3Char"/>
    <w:semiHidden/>
    <w:unhideWhenUsed/>
    <w:qFormat/>
    <w:rsid w:val="00C264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semiHidden/>
    <w:rPr>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B4A6E"/>
    <w:rPr>
      <w:rFonts w:ascii="Tahoma" w:hAnsi="Tahoma" w:cs="Tahoma"/>
      <w:sz w:val="16"/>
      <w:szCs w:val="16"/>
    </w:rPr>
  </w:style>
  <w:style w:type="character" w:customStyle="1" w:styleId="HeaderChar">
    <w:name w:val="Header Char"/>
    <w:link w:val="Header"/>
    <w:uiPriority w:val="99"/>
    <w:rsid w:val="00C96D3D"/>
    <w:rPr>
      <w:b/>
      <w:bCs/>
    </w:rPr>
  </w:style>
  <w:style w:type="paragraph" w:styleId="Revision">
    <w:name w:val="Revision"/>
    <w:hidden/>
    <w:uiPriority w:val="99"/>
    <w:semiHidden/>
    <w:rsid w:val="00E357E8"/>
    <w:rPr>
      <w:b/>
      <w:bCs/>
    </w:rPr>
  </w:style>
  <w:style w:type="paragraph" w:styleId="ListParagraph">
    <w:name w:val="List Paragraph"/>
    <w:basedOn w:val="Normal"/>
    <w:uiPriority w:val="34"/>
    <w:qFormat/>
    <w:rsid w:val="00113FDD"/>
    <w:pPr>
      <w:ind w:left="720"/>
      <w:contextualSpacing/>
    </w:pPr>
  </w:style>
  <w:style w:type="character" w:styleId="CommentReference">
    <w:name w:val="annotation reference"/>
    <w:basedOn w:val="DefaultParagraphFont"/>
    <w:semiHidden/>
    <w:unhideWhenUsed/>
    <w:rsid w:val="00D55011"/>
    <w:rPr>
      <w:sz w:val="16"/>
      <w:szCs w:val="16"/>
    </w:rPr>
  </w:style>
  <w:style w:type="paragraph" w:styleId="CommentText">
    <w:name w:val="annotation text"/>
    <w:basedOn w:val="Normal"/>
    <w:link w:val="CommentTextChar"/>
    <w:unhideWhenUsed/>
    <w:rsid w:val="00D55011"/>
  </w:style>
  <w:style w:type="character" w:customStyle="1" w:styleId="CommentTextChar">
    <w:name w:val="Comment Text Char"/>
    <w:basedOn w:val="DefaultParagraphFont"/>
    <w:link w:val="CommentText"/>
    <w:rsid w:val="00D55011"/>
    <w:rPr>
      <w:b/>
      <w:bCs/>
    </w:rPr>
  </w:style>
  <w:style w:type="paragraph" w:styleId="CommentSubject">
    <w:name w:val="annotation subject"/>
    <w:basedOn w:val="CommentText"/>
    <w:next w:val="CommentText"/>
    <w:link w:val="CommentSubjectChar"/>
    <w:semiHidden/>
    <w:unhideWhenUsed/>
    <w:rsid w:val="00D55011"/>
  </w:style>
  <w:style w:type="character" w:customStyle="1" w:styleId="CommentSubjectChar">
    <w:name w:val="Comment Subject Char"/>
    <w:basedOn w:val="CommentTextChar"/>
    <w:link w:val="CommentSubject"/>
    <w:semiHidden/>
    <w:rsid w:val="00D55011"/>
    <w:rPr>
      <w:b/>
      <w:bCs/>
    </w:rPr>
  </w:style>
  <w:style w:type="character" w:styleId="Hyperlink">
    <w:name w:val="Hyperlink"/>
    <w:basedOn w:val="DefaultParagraphFont"/>
    <w:uiPriority w:val="99"/>
    <w:unhideWhenUsed/>
    <w:rsid w:val="00675146"/>
    <w:rPr>
      <w:color w:val="0000FF" w:themeColor="hyperlink"/>
      <w:u w:val="single"/>
    </w:rPr>
  </w:style>
  <w:style w:type="table" w:styleId="TableGrid">
    <w:name w:val="Table Grid"/>
    <w:basedOn w:val="TableNormal"/>
    <w:rsid w:val="009F6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559A8"/>
    <w:rPr>
      <w:color w:val="2B579A"/>
      <w:shd w:val="clear" w:color="auto" w:fill="E1DFDD"/>
    </w:rPr>
  </w:style>
  <w:style w:type="character" w:customStyle="1" w:styleId="Heading3Char">
    <w:name w:val="Heading 3 Char"/>
    <w:basedOn w:val="DefaultParagraphFont"/>
    <w:link w:val="Heading3"/>
    <w:semiHidden/>
    <w:rsid w:val="00C264B5"/>
    <w:rPr>
      <w:rFonts w:asciiTheme="majorHAnsi" w:eastAsiaTheme="majorEastAsia" w:hAnsiTheme="majorHAnsi" w:cstheme="majorBidi"/>
      <w:b/>
      <w:b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ee3cffc-2f53-4e00-a92a-7337a39469a7" xsi:nil="true"/>
    <lcf76f155ced4ddcb4097134ff3c332f xmlns="3f770ad9-5eb5-4717-9e53-a4191c0fe3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C9953-52EF-4D98-A064-F0B112DEEB30}">
  <ds:schemaRefs>
    <ds:schemaRef ds:uri="http://schemas.openxmlformats.org/officeDocument/2006/bibliography"/>
  </ds:schemaRefs>
</ds:datastoreItem>
</file>

<file path=customXml/itemProps2.xml><?xml version="1.0" encoding="utf-8"?>
<ds:datastoreItem xmlns:ds="http://schemas.openxmlformats.org/officeDocument/2006/customXml" ds:itemID="{1FD89C40-51A3-44BF-AB16-5C78857372E4}">
  <ds:schemaRefs>
    <ds:schemaRef ds:uri="3f770ad9-5eb5-4717-9e53-a4191c0fe3a3"/>
    <ds:schemaRef ds:uri="702f922a-4822-456a-81ca-e751b937cee3"/>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bee3cffc-2f53-4e00-a92a-7337a39469a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C6F4089-DE80-42C1-91F4-C32AA7DAA9CD}">
  <ds:schemaRefs>
    <ds:schemaRef ds:uri="http://schemas.microsoft.com/sharepoint/v3/contenttype/forms"/>
  </ds:schemaRefs>
</ds:datastoreItem>
</file>

<file path=customXml/itemProps4.xml><?xml version="1.0" encoding="utf-8"?>
<ds:datastoreItem xmlns:ds="http://schemas.openxmlformats.org/officeDocument/2006/customXml" ds:itemID="{59A4C26D-92EB-4B2E-A235-4E4C7EB6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6885</Words>
  <Characters>38869</Characters>
  <Application>Microsoft Office Word</Application>
  <DocSecurity>0</DocSecurity>
  <Lines>1143</Lines>
  <Paragraphs>532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EBSA</cp:lastModifiedBy>
  <cp:revision>4</cp:revision>
  <cp:lastPrinted>2019-09-26T07:29:00Z</cp:lastPrinted>
  <dcterms:created xsi:type="dcterms:W3CDTF">2026-02-12T12:18:00Z</dcterms:created>
  <dcterms:modified xsi:type="dcterms:W3CDTF">2026-02-12T12:21:00Z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ies>
</file>