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004E" w:rsidRPr="008426B0" w:rsidP="00CE0AF1" w14:paraId="0CE6F1D7" w14:textId="420A6768">
      <w:pPr>
        <w:rPr>
          <w:rFonts w:ascii="Times New Roman" w:hAnsi="Times New Roman"/>
          <w:sz w:val="24"/>
          <w:szCs w:val="24"/>
        </w:rPr>
      </w:pPr>
      <w:bookmarkStart w:id="0" w:name="OLE_LINK12"/>
      <w:r w:rsidRPr="008426B0">
        <w:rPr>
          <w:rFonts w:ascii="Times New Roman" w:hAnsi="Times New Roman"/>
          <w:sz w:val="24"/>
          <w:szCs w:val="24"/>
        </w:rPr>
        <w:t>Supporting Statement</w:t>
      </w:r>
      <w:r w:rsidRPr="008426B0" w:rsidR="00E31C71">
        <w:rPr>
          <w:rFonts w:ascii="Times New Roman" w:hAnsi="Times New Roman"/>
          <w:sz w:val="24"/>
          <w:szCs w:val="24"/>
        </w:rPr>
        <w:t xml:space="preserve"> A</w:t>
      </w:r>
      <w:r w:rsidRPr="008426B0">
        <w:rPr>
          <w:rFonts w:ascii="Times New Roman" w:hAnsi="Times New Roman"/>
          <w:sz w:val="24"/>
          <w:szCs w:val="24"/>
        </w:rPr>
        <w:t xml:space="preserve"> for </w:t>
      </w:r>
      <w:r w:rsidRPr="008426B0" w:rsidR="00D94E41">
        <w:rPr>
          <w:rFonts w:ascii="Times New Roman" w:hAnsi="Times New Roman"/>
          <w:sz w:val="24"/>
          <w:szCs w:val="24"/>
        </w:rPr>
        <w:t xml:space="preserve">the </w:t>
      </w:r>
      <w:r w:rsidRPr="008426B0">
        <w:rPr>
          <w:rFonts w:ascii="Times New Roman" w:hAnsi="Times New Roman"/>
          <w:sz w:val="24"/>
          <w:szCs w:val="24"/>
        </w:rPr>
        <w:t>Paperwork Reduction Act Submissions</w:t>
      </w:r>
    </w:p>
    <w:p w:rsidR="00D5004E" w:rsidRPr="008426B0" w:rsidP="00CE0AF1" w14:paraId="12D886AC" w14:textId="0A54D1B5">
      <w:pPr>
        <w:rPr>
          <w:rFonts w:ascii="Times New Roman" w:hAnsi="Times New Roman"/>
          <w:sz w:val="24"/>
          <w:szCs w:val="24"/>
        </w:rPr>
      </w:pPr>
      <w:r w:rsidRPr="008426B0">
        <w:rPr>
          <w:rFonts w:ascii="Times New Roman" w:hAnsi="Times New Roman"/>
          <w:sz w:val="24"/>
          <w:szCs w:val="24"/>
        </w:rPr>
        <w:t xml:space="preserve">Extension of a </w:t>
      </w:r>
      <w:r w:rsidRPr="008426B0" w:rsidR="00EA19A5">
        <w:rPr>
          <w:rFonts w:ascii="Times New Roman" w:hAnsi="Times New Roman"/>
          <w:sz w:val="24"/>
          <w:szCs w:val="24"/>
        </w:rPr>
        <w:t>previous</w:t>
      </w:r>
      <w:r w:rsidRPr="008426B0">
        <w:rPr>
          <w:rFonts w:ascii="Times New Roman" w:hAnsi="Times New Roman"/>
          <w:sz w:val="24"/>
          <w:szCs w:val="24"/>
        </w:rPr>
        <w:t>ly approved collection</w:t>
      </w:r>
    </w:p>
    <w:p w:rsidR="00D5004E" w:rsidRPr="008426B0" w:rsidP="00CE0AF1" w14:paraId="17B3257E" w14:textId="7AE56EF2">
      <w:pPr>
        <w:rPr>
          <w:rFonts w:ascii="Times New Roman" w:hAnsi="Times New Roman"/>
          <w:sz w:val="24"/>
          <w:szCs w:val="24"/>
        </w:rPr>
      </w:pPr>
      <w:r w:rsidRPr="008426B0">
        <w:rPr>
          <w:rFonts w:ascii="Times New Roman" w:hAnsi="Times New Roman"/>
          <w:sz w:val="24"/>
          <w:szCs w:val="24"/>
        </w:rPr>
        <w:t xml:space="preserve">Return A-Monthly Return of Offenses Known to Police </w:t>
      </w:r>
      <w:r w:rsidRPr="008426B0" w:rsidR="00210204">
        <w:rPr>
          <w:rFonts w:ascii="Times New Roman" w:hAnsi="Times New Roman"/>
          <w:sz w:val="24"/>
          <w:szCs w:val="24"/>
        </w:rPr>
        <w:t>and</w:t>
      </w:r>
      <w:r w:rsidRPr="008426B0">
        <w:rPr>
          <w:rFonts w:ascii="Times New Roman" w:hAnsi="Times New Roman"/>
          <w:sz w:val="24"/>
          <w:szCs w:val="24"/>
        </w:rPr>
        <w:t xml:space="preserve"> Supplement to Return A-Monthly Return of Offenses Known to Police</w:t>
      </w:r>
    </w:p>
    <w:bookmarkEnd w:id="0"/>
    <w:p w:rsidR="00D5004E" w:rsidRPr="008426B0" w:rsidP="00CE0AF1" w14:paraId="4EB1FE4E" w14:textId="77777777">
      <w:pPr>
        <w:rPr>
          <w:rFonts w:ascii="Times New Roman" w:hAnsi="Times New Roman"/>
          <w:sz w:val="24"/>
          <w:szCs w:val="24"/>
        </w:rPr>
      </w:pPr>
    </w:p>
    <w:p w:rsidR="00D5004E" w:rsidRPr="008426B0" w:rsidP="00CE0AF1" w14:paraId="1D75E4A2" w14:textId="6FA7069E">
      <w:pPr>
        <w:rPr>
          <w:rFonts w:ascii="Times New Roman" w:hAnsi="Times New Roman"/>
          <w:sz w:val="24"/>
          <w:szCs w:val="24"/>
        </w:rPr>
      </w:pPr>
      <w:r w:rsidRPr="008426B0">
        <w:rPr>
          <w:rFonts w:ascii="Times New Roman" w:hAnsi="Times New Roman"/>
          <w:sz w:val="24"/>
          <w:szCs w:val="24"/>
        </w:rPr>
        <w:t>O</w:t>
      </w:r>
      <w:r w:rsidRPr="008426B0" w:rsidR="00EA19A5">
        <w:rPr>
          <w:rFonts w:ascii="Times New Roman" w:hAnsi="Times New Roman"/>
          <w:sz w:val="24"/>
          <w:szCs w:val="24"/>
        </w:rPr>
        <w:t xml:space="preserve">ffice of </w:t>
      </w:r>
      <w:r w:rsidRPr="008426B0">
        <w:rPr>
          <w:rFonts w:ascii="Times New Roman" w:hAnsi="Times New Roman"/>
          <w:sz w:val="24"/>
          <w:szCs w:val="24"/>
        </w:rPr>
        <w:t>M</w:t>
      </w:r>
      <w:r w:rsidRPr="008426B0" w:rsidR="00EA19A5">
        <w:rPr>
          <w:rFonts w:ascii="Times New Roman" w:hAnsi="Times New Roman"/>
          <w:sz w:val="24"/>
          <w:szCs w:val="24"/>
        </w:rPr>
        <w:t xml:space="preserve">anagement and </w:t>
      </w:r>
      <w:r w:rsidRPr="008426B0">
        <w:rPr>
          <w:rFonts w:ascii="Times New Roman" w:hAnsi="Times New Roman"/>
          <w:sz w:val="24"/>
          <w:szCs w:val="24"/>
        </w:rPr>
        <w:t>B</w:t>
      </w:r>
      <w:r w:rsidRPr="008426B0" w:rsidR="00EA19A5">
        <w:rPr>
          <w:rFonts w:ascii="Times New Roman" w:hAnsi="Times New Roman"/>
          <w:sz w:val="24"/>
          <w:szCs w:val="24"/>
        </w:rPr>
        <w:t>udget (OMB)</w:t>
      </w:r>
      <w:r w:rsidRPr="008426B0">
        <w:rPr>
          <w:rFonts w:ascii="Times New Roman" w:hAnsi="Times New Roman"/>
          <w:sz w:val="24"/>
          <w:szCs w:val="24"/>
        </w:rPr>
        <w:t xml:space="preserve"> Control # 1110-0001</w:t>
      </w:r>
    </w:p>
    <w:p w:rsidR="001D04AD" w:rsidRPr="008426B0" w:rsidP="00CE0AF1" w14:paraId="4ED0DCB7" w14:textId="77777777">
      <w:pPr>
        <w:rPr>
          <w:rFonts w:ascii="Times New Roman" w:hAnsi="Times New Roman"/>
          <w:sz w:val="24"/>
          <w:szCs w:val="24"/>
        </w:rPr>
      </w:pPr>
    </w:p>
    <w:p w:rsidR="00C177D2" w:rsidRPr="008426B0" w:rsidP="00CE0AF1" w14:paraId="3DB0255B" w14:textId="77777777">
      <w:pPr>
        <w:rPr>
          <w:rFonts w:ascii="Times New Roman" w:hAnsi="Times New Roman"/>
          <w:sz w:val="24"/>
          <w:szCs w:val="24"/>
        </w:rPr>
      </w:pPr>
      <w:r w:rsidRPr="008426B0">
        <w:rPr>
          <w:rFonts w:ascii="Times New Roman" w:hAnsi="Times New Roman"/>
          <w:sz w:val="24"/>
          <w:szCs w:val="24"/>
        </w:rPr>
        <w:t xml:space="preserve">A.  </w:t>
      </w:r>
      <w:r w:rsidRPr="008426B0">
        <w:rPr>
          <w:rFonts w:ascii="Times New Roman" w:hAnsi="Times New Roman"/>
          <w:sz w:val="24"/>
          <w:szCs w:val="24"/>
          <w:u w:val="single"/>
        </w:rPr>
        <w:t>Justification</w:t>
      </w:r>
    </w:p>
    <w:p w:rsidR="00C177D2" w:rsidRPr="008426B0" w:rsidP="00CE0AF1" w14:paraId="2995FBD6" w14:textId="77777777">
      <w:pPr>
        <w:rPr>
          <w:rFonts w:ascii="Times New Roman" w:hAnsi="Times New Roman"/>
          <w:sz w:val="24"/>
          <w:szCs w:val="24"/>
        </w:rPr>
      </w:pPr>
    </w:p>
    <w:p w:rsidR="00C177D2" w:rsidRPr="008426B0" w:rsidP="00CE0AF1" w14:paraId="79EB0A2B"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1.  </w:t>
      </w:r>
      <w:r w:rsidRPr="008426B0" w:rsidR="00F03AB0">
        <w:rPr>
          <w:rFonts w:ascii="Times New Roman" w:hAnsi="Times New Roman"/>
          <w:sz w:val="24"/>
          <w:szCs w:val="24"/>
        </w:rPr>
        <w:tab/>
      </w:r>
      <w:r w:rsidRPr="008426B0">
        <w:rPr>
          <w:rFonts w:ascii="Times New Roman" w:hAnsi="Times New Roman"/>
          <w:sz w:val="24"/>
          <w:szCs w:val="24"/>
          <w:u w:val="single"/>
        </w:rPr>
        <w:t>Necessity of Information Collection</w:t>
      </w:r>
      <w:r w:rsidRPr="008426B0">
        <w:rPr>
          <w:rFonts w:ascii="Times New Roman" w:hAnsi="Times New Roman"/>
          <w:sz w:val="24"/>
          <w:szCs w:val="24"/>
        </w:rPr>
        <w:t xml:space="preserve">  </w:t>
      </w:r>
    </w:p>
    <w:p w:rsidR="00033A7B" w:rsidRPr="008426B0" w:rsidP="00CE0AF1" w14:paraId="6EF90706"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8426B0" w:rsidP="00CE0AF1" w14:paraId="48F2141F" w14:textId="6D36EB98">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Under the provisions of the Uniform Federal Crime Reporting Act of 1988, Title 34, United States Code (U.S.C.), </w:t>
      </w:r>
      <w:r w:rsidRPr="008426B0" w:rsidR="00EF753A">
        <w:rPr>
          <w:rFonts w:ascii="Times New Roman" w:hAnsi="Times New Roman"/>
          <w:sz w:val="24"/>
          <w:szCs w:val="24"/>
        </w:rPr>
        <w:t>S</w:t>
      </w:r>
      <w:r w:rsidRPr="008426B0">
        <w:rPr>
          <w:rFonts w:ascii="Times New Roman" w:hAnsi="Times New Roman"/>
          <w:sz w:val="24"/>
          <w:szCs w:val="24"/>
        </w:rPr>
        <w:t>ection</w:t>
      </w:r>
      <w:r w:rsidRPr="008426B0" w:rsidR="004B1A25">
        <w:rPr>
          <w:rFonts w:ascii="Times New Roman" w:hAnsi="Times New Roman"/>
          <w:sz w:val="24"/>
          <w:szCs w:val="24"/>
        </w:rPr>
        <w:t xml:space="preserve"> (§)</w:t>
      </w:r>
      <w:r w:rsidRPr="008426B0">
        <w:rPr>
          <w:rFonts w:ascii="Times New Roman" w:hAnsi="Times New Roman"/>
          <w:sz w:val="24"/>
          <w:szCs w:val="24"/>
        </w:rPr>
        <w:t xml:space="preserve"> 41303 (2012) and the FBI’s authority to acquire, preserve, and exchange identification records, 28 U.S.C. § 534, the FBI was designated by the Attorney General to acquire, collect, classify, and preserve national data on criminal offenses as part of the Uniform Crime Reports.  For </w:t>
      </w:r>
      <w:r w:rsidRPr="008426B0" w:rsidR="007D1C71">
        <w:rPr>
          <w:rFonts w:ascii="Times New Roman" w:hAnsi="Times New Roman"/>
          <w:sz w:val="24"/>
          <w:szCs w:val="24"/>
        </w:rPr>
        <w:t>over</w:t>
      </w:r>
      <w:r w:rsidRPr="008426B0">
        <w:rPr>
          <w:rFonts w:ascii="Times New Roman" w:hAnsi="Times New Roman"/>
          <w:sz w:val="24"/>
          <w:szCs w:val="24"/>
        </w:rPr>
        <w:t xml:space="preserve"> 90 years, the FBI has collected data and information under this program from </w:t>
      </w:r>
      <w:r w:rsidRPr="008426B0" w:rsidR="002E4C3C">
        <w:rPr>
          <w:rFonts w:ascii="Times New Roman" w:hAnsi="Times New Roman"/>
          <w:sz w:val="24"/>
          <w:szCs w:val="24"/>
        </w:rPr>
        <w:t xml:space="preserve">federal, state, county, city, tribal, and territorial law </w:t>
      </w:r>
      <w:r w:rsidRPr="008426B0" w:rsidR="00382A7A">
        <w:rPr>
          <w:rFonts w:ascii="Times New Roman" w:hAnsi="Times New Roman"/>
          <w:sz w:val="24"/>
          <w:szCs w:val="24"/>
        </w:rPr>
        <w:t xml:space="preserve">enforcement </w:t>
      </w:r>
      <w:r w:rsidRPr="008426B0">
        <w:rPr>
          <w:rFonts w:ascii="Times New Roman" w:hAnsi="Times New Roman"/>
          <w:sz w:val="24"/>
          <w:szCs w:val="24"/>
        </w:rPr>
        <w:t>agencies.</w:t>
      </w:r>
    </w:p>
    <w:p w:rsidR="00C177D2" w:rsidRPr="008426B0" w:rsidP="00CE0AF1" w14:paraId="09FAD6E3"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4B205A" w:rsidRPr="008426B0" w:rsidP="00CE0AF1" w14:paraId="77126BF9" w14:textId="78A4981F">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The Return A (F</w:t>
      </w:r>
      <w:r w:rsidRPr="008426B0" w:rsidR="00C177D2">
        <w:rPr>
          <w:rFonts w:ascii="Times New Roman" w:hAnsi="Times New Roman"/>
          <w:sz w:val="24"/>
          <w:szCs w:val="24"/>
        </w:rPr>
        <w:t>orm</w:t>
      </w:r>
      <w:r w:rsidRPr="008426B0" w:rsidR="00FE4EC9">
        <w:rPr>
          <w:rFonts w:ascii="Times New Roman" w:hAnsi="Times New Roman"/>
          <w:sz w:val="24"/>
          <w:szCs w:val="24"/>
        </w:rPr>
        <w:t xml:space="preserve"> 1-720</w:t>
      </w:r>
      <w:r w:rsidRPr="008426B0">
        <w:rPr>
          <w:rFonts w:ascii="Times New Roman" w:hAnsi="Times New Roman"/>
          <w:sz w:val="24"/>
          <w:szCs w:val="24"/>
        </w:rPr>
        <w:t xml:space="preserve">) </w:t>
      </w:r>
      <w:r w:rsidRPr="008426B0" w:rsidR="00C177D2">
        <w:rPr>
          <w:rFonts w:ascii="Times New Roman" w:hAnsi="Times New Roman"/>
          <w:sz w:val="24"/>
          <w:szCs w:val="24"/>
        </w:rPr>
        <w:t xml:space="preserve">supplies the </w:t>
      </w:r>
      <w:r w:rsidRPr="008426B0" w:rsidR="007D0DCF">
        <w:rPr>
          <w:rFonts w:ascii="Times New Roman" w:hAnsi="Times New Roman"/>
          <w:sz w:val="24"/>
          <w:szCs w:val="24"/>
        </w:rPr>
        <w:t>FBI</w:t>
      </w:r>
      <w:r w:rsidRPr="008426B0" w:rsidR="004B1A25">
        <w:rPr>
          <w:rFonts w:ascii="Times New Roman" w:hAnsi="Times New Roman"/>
          <w:sz w:val="24"/>
          <w:szCs w:val="24"/>
        </w:rPr>
        <w:t>’s</w:t>
      </w:r>
      <w:r w:rsidRPr="008426B0" w:rsidR="001D5313">
        <w:rPr>
          <w:rFonts w:ascii="Times New Roman" w:hAnsi="Times New Roman"/>
          <w:sz w:val="24"/>
          <w:szCs w:val="24"/>
        </w:rPr>
        <w:t xml:space="preserve"> </w:t>
      </w:r>
      <w:r w:rsidRPr="008426B0" w:rsidR="00A92BBE">
        <w:rPr>
          <w:rFonts w:ascii="Times New Roman" w:hAnsi="Times New Roman"/>
          <w:sz w:val="24"/>
          <w:szCs w:val="24"/>
        </w:rPr>
        <w:t>Uniform Crime Reporting (</w:t>
      </w:r>
      <w:r w:rsidRPr="008426B0" w:rsidR="001D5313">
        <w:rPr>
          <w:rFonts w:ascii="Times New Roman" w:hAnsi="Times New Roman"/>
          <w:sz w:val="24"/>
          <w:szCs w:val="24"/>
        </w:rPr>
        <w:t>UCR</w:t>
      </w:r>
      <w:r w:rsidRPr="008426B0" w:rsidR="00A92BBE">
        <w:rPr>
          <w:rFonts w:ascii="Times New Roman" w:hAnsi="Times New Roman"/>
          <w:sz w:val="24"/>
          <w:szCs w:val="24"/>
        </w:rPr>
        <w:t>)</w:t>
      </w:r>
      <w:r w:rsidRPr="008426B0" w:rsidR="001D5313">
        <w:rPr>
          <w:rFonts w:ascii="Times New Roman" w:hAnsi="Times New Roman"/>
          <w:sz w:val="24"/>
          <w:szCs w:val="24"/>
        </w:rPr>
        <w:t xml:space="preserve"> Program with the number of Part I offenses (murder and nonnegligent manslaughter, rape, robbery, aggravated assault, burglary, larceny-theft, and motor vehicle theft) </w:t>
      </w:r>
      <w:r w:rsidRPr="008426B0">
        <w:rPr>
          <w:rFonts w:ascii="Times New Roman" w:hAnsi="Times New Roman"/>
          <w:sz w:val="24"/>
          <w:szCs w:val="24"/>
        </w:rPr>
        <w:t>reported</w:t>
      </w:r>
      <w:r w:rsidRPr="008426B0" w:rsidR="001D5313">
        <w:rPr>
          <w:rFonts w:ascii="Times New Roman" w:hAnsi="Times New Roman"/>
          <w:sz w:val="24"/>
          <w:szCs w:val="24"/>
        </w:rPr>
        <w:t xml:space="preserve"> monthly by law enforcement, the number of unfounded Part I offenses, the total number of offenses cleared by arrest or exceptional means</w:t>
      </w:r>
      <w:r w:rsidRPr="008426B0" w:rsidR="00F60FC8">
        <w:rPr>
          <w:rFonts w:ascii="Times New Roman" w:hAnsi="Times New Roman"/>
          <w:sz w:val="24"/>
          <w:szCs w:val="24"/>
        </w:rPr>
        <w:t>,</w:t>
      </w:r>
      <w:r w:rsidRPr="008426B0" w:rsidR="001D5313">
        <w:rPr>
          <w:rFonts w:ascii="Times New Roman" w:hAnsi="Times New Roman"/>
          <w:sz w:val="24"/>
          <w:szCs w:val="24"/>
        </w:rPr>
        <w:t xml:space="preserve"> and clearances fo</w:t>
      </w:r>
      <w:r w:rsidRPr="008426B0" w:rsidR="00DA1E6F">
        <w:rPr>
          <w:rFonts w:ascii="Times New Roman" w:hAnsi="Times New Roman"/>
          <w:sz w:val="24"/>
          <w:szCs w:val="24"/>
        </w:rPr>
        <w:t xml:space="preserve">r persons under the age of 18. </w:t>
      </w:r>
      <w:r w:rsidRPr="008426B0" w:rsidR="0084403D">
        <w:rPr>
          <w:rFonts w:ascii="Times New Roman" w:hAnsi="Times New Roman"/>
          <w:sz w:val="24"/>
          <w:szCs w:val="24"/>
        </w:rPr>
        <w:t xml:space="preserve"> </w:t>
      </w:r>
      <w:r w:rsidRPr="008426B0" w:rsidR="00810DA1">
        <w:rPr>
          <w:rFonts w:ascii="Times New Roman" w:hAnsi="Times New Roman"/>
          <w:sz w:val="24"/>
          <w:szCs w:val="24"/>
        </w:rPr>
        <w:t>Additionally</w:t>
      </w:r>
      <w:r w:rsidRPr="008426B0" w:rsidR="00162691">
        <w:rPr>
          <w:rFonts w:ascii="Times New Roman" w:hAnsi="Times New Roman"/>
          <w:sz w:val="24"/>
          <w:szCs w:val="24"/>
        </w:rPr>
        <w:t>,</w:t>
      </w:r>
      <w:r w:rsidRPr="008426B0" w:rsidR="001D5313">
        <w:rPr>
          <w:rFonts w:ascii="Times New Roman" w:hAnsi="Times New Roman"/>
          <w:sz w:val="24"/>
          <w:szCs w:val="24"/>
        </w:rPr>
        <w:t xml:space="preserve"> </w:t>
      </w:r>
      <w:r w:rsidRPr="008426B0" w:rsidR="003330CA">
        <w:rPr>
          <w:rFonts w:ascii="Times New Roman" w:hAnsi="Times New Roman"/>
          <w:sz w:val="24"/>
          <w:szCs w:val="24"/>
        </w:rPr>
        <w:t>the Supplement to Return A (F</w:t>
      </w:r>
      <w:r w:rsidRPr="008426B0" w:rsidR="001D5313">
        <w:rPr>
          <w:rFonts w:ascii="Times New Roman" w:hAnsi="Times New Roman"/>
          <w:sz w:val="24"/>
          <w:szCs w:val="24"/>
        </w:rPr>
        <w:t>orm</w:t>
      </w:r>
      <w:r w:rsidRPr="008426B0" w:rsidR="00DA1E6F">
        <w:rPr>
          <w:rFonts w:ascii="Times New Roman" w:hAnsi="Times New Roman"/>
          <w:sz w:val="24"/>
          <w:szCs w:val="24"/>
        </w:rPr>
        <w:t xml:space="preserve"> 1-706</w:t>
      </w:r>
      <w:r w:rsidRPr="008426B0" w:rsidR="0026322A">
        <w:rPr>
          <w:rFonts w:ascii="Times New Roman" w:hAnsi="Times New Roman"/>
          <w:sz w:val="24"/>
          <w:szCs w:val="24"/>
        </w:rPr>
        <w:t>)</w:t>
      </w:r>
      <w:r w:rsidRPr="008426B0" w:rsidR="00845DB0">
        <w:rPr>
          <w:rFonts w:ascii="Times New Roman" w:hAnsi="Times New Roman"/>
          <w:sz w:val="24"/>
          <w:szCs w:val="24"/>
        </w:rPr>
        <w:t xml:space="preserve">, which is a </w:t>
      </w:r>
      <w:r w:rsidRPr="008426B0" w:rsidR="00545FBB">
        <w:rPr>
          <w:rFonts w:ascii="Times New Roman" w:hAnsi="Times New Roman"/>
          <w:sz w:val="24"/>
          <w:szCs w:val="24"/>
        </w:rPr>
        <w:t xml:space="preserve">companion to the Return A, </w:t>
      </w:r>
      <w:r w:rsidRPr="008426B0" w:rsidR="001D5313">
        <w:rPr>
          <w:rFonts w:ascii="Times New Roman" w:hAnsi="Times New Roman"/>
          <w:sz w:val="24"/>
          <w:szCs w:val="24"/>
        </w:rPr>
        <w:t xml:space="preserve">supplies the </w:t>
      </w:r>
      <w:r w:rsidRPr="008426B0" w:rsidR="0026322A">
        <w:rPr>
          <w:rFonts w:ascii="Times New Roman" w:hAnsi="Times New Roman"/>
          <w:sz w:val="24"/>
          <w:szCs w:val="24"/>
        </w:rPr>
        <w:t xml:space="preserve">FBI’s </w:t>
      </w:r>
      <w:r w:rsidRPr="008426B0" w:rsidR="001D5313">
        <w:rPr>
          <w:rFonts w:ascii="Times New Roman" w:hAnsi="Times New Roman"/>
          <w:sz w:val="24"/>
          <w:szCs w:val="24"/>
        </w:rPr>
        <w:t>UCR Program with the monetary value of property stolen and recovered.</w:t>
      </w:r>
      <w:r w:rsidRPr="008426B0" w:rsidR="00545FBB">
        <w:rPr>
          <w:rFonts w:ascii="Times New Roman" w:hAnsi="Times New Roman"/>
          <w:sz w:val="24"/>
          <w:szCs w:val="24"/>
        </w:rPr>
        <w:t xml:space="preserve">  The information collected on both forms </w:t>
      </w:r>
      <w:r w:rsidRPr="008426B0" w:rsidR="000303E8">
        <w:rPr>
          <w:rFonts w:ascii="Times New Roman" w:hAnsi="Times New Roman"/>
          <w:sz w:val="24"/>
          <w:szCs w:val="24"/>
        </w:rPr>
        <w:t>is</w:t>
      </w:r>
      <w:r w:rsidRPr="008426B0" w:rsidR="001D5313">
        <w:rPr>
          <w:rFonts w:ascii="Times New Roman" w:hAnsi="Times New Roman"/>
          <w:sz w:val="24"/>
          <w:szCs w:val="24"/>
        </w:rPr>
        <w:t xml:space="preserve"> important for </w:t>
      </w:r>
      <w:r w:rsidRPr="008426B0" w:rsidR="00345C42">
        <w:rPr>
          <w:rFonts w:ascii="Times New Roman" w:hAnsi="Times New Roman"/>
          <w:sz w:val="24"/>
          <w:szCs w:val="24"/>
        </w:rPr>
        <w:t xml:space="preserve">the </w:t>
      </w:r>
      <w:r w:rsidRPr="008426B0" w:rsidR="001D5313">
        <w:rPr>
          <w:rFonts w:ascii="Times New Roman" w:hAnsi="Times New Roman"/>
          <w:sz w:val="24"/>
          <w:szCs w:val="24"/>
        </w:rPr>
        <w:t xml:space="preserve">analysis of </w:t>
      </w:r>
      <w:r w:rsidRPr="008426B0" w:rsidR="00E06A73">
        <w:rPr>
          <w:rFonts w:ascii="Times New Roman" w:hAnsi="Times New Roman"/>
          <w:sz w:val="24"/>
          <w:szCs w:val="24"/>
        </w:rPr>
        <w:t xml:space="preserve">the </w:t>
      </w:r>
      <w:r w:rsidRPr="008426B0" w:rsidR="001D5313">
        <w:rPr>
          <w:rFonts w:ascii="Times New Roman" w:hAnsi="Times New Roman"/>
          <w:sz w:val="24"/>
          <w:szCs w:val="24"/>
        </w:rPr>
        <w:t>Part I offenses</w:t>
      </w:r>
      <w:r w:rsidRPr="008426B0" w:rsidR="00F06AF0">
        <w:rPr>
          <w:rFonts w:ascii="Times New Roman" w:hAnsi="Times New Roman"/>
          <w:sz w:val="24"/>
          <w:szCs w:val="24"/>
        </w:rPr>
        <w:t xml:space="preserve"> noted above</w:t>
      </w:r>
      <w:r w:rsidRPr="008426B0" w:rsidR="001D5313">
        <w:rPr>
          <w:rFonts w:ascii="Times New Roman" w:hAnsi="Times New Roman"/>
          <w:sz w:val="24"/>
          <w:szCs w:val="24"/>
        </w:rPr>
        <w:t>.</w:t>
      </w:r>
    </w:p>
    <w:p w:rsidR="004B205A" w:rsidRPr="008426B0" w:rsidP="00CE0AF1" w14:paraId="18C5216D"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21573E" w:rsidRPr="008426B0" w:rsidP="00CE0AF1" w14:paraId="5DA010B6" w14:textId="2C9AE1C4">
      <w:pPr>
        <w:ind w:left="1080"/>
        <w:rPr>
          <w:rFonts w:ascii="Times New Roman" w:hAnsi="Times New Roman"/>
          <w:sz w:val="24"/>
          <w:szCs w:val="24"/>
        </w:rPr>
      </w:pPr>
      <w:bookmarkStart w:id="1" w:name="OLE_LINK6"/>
      <w:r w:rsidRPr="008426B0">
        <w:rPr>
          <w:rFonts w:ascii="Times New Roman" w:hAnsi="Times New Roman"/>
          <w:color w:val="000000" w:themeColor="text1"/>
          <w:sz w:val="24"/>
          <w:szCs w:val="24"/>
        </w:rPr>
        <w:t xml:space="preserve">The FBI’s UCR Program continues the transition to collect data solely under the National Incident-Based Reporting System (NIBRS).  Until the transition is complete, </w:t>
      </w:r>
      <w:r w:rsidRPr="008426B0" w:rsidR="00D849E1">
        <w:rPr>
          <w:rFonts w:ascii="Times New Roman" w:hAnsi="Times New Roman"/>
          <w:color w:val="000000" w:themeColor="text1"/>
          <w:sz w:val="24"/>
          <w:szCs w:val="24"/>
        </w:rPr>
        <w:t xml:space="preserve">new submissions and </w:t>
      </w:r>
      <w:r w:rsidRPr="008426B0">
        <w:rPr>
          <w:rFonts w:ascii="Times New Roman" w:hAnsi="Times New Roman"/>
          <w:color w:val="000000" w:themeColor="text1"/>
          <w:sz w:val="24"/>
          <w:szCs w:val="24"/>
        </w:rPr>
        <w:t>updates from those agencies reporting via the Summary Reporting System (SRS) are being accepted.</w:t>
      </w:r>
      <w:r w:rsidRPr="008426B0" w:rsidR="00D849E1">
        <w:rPr>
          <w:rFonts w:ascii="Times New Roman" w:hAnsi="Times New Roman"/>
          <w:color w:val="000000" w:themeColor="text1"/>
          <w:sz w:val="24"/>
          <w:szCs w:val="24"/>
        </w:rPr>
        <w:t xml:space="preserve">  </w:t>
      </w:r>
      <w:bookmarkEnd w:id="1"/>
      <w:r w:rsidRPr="008426B0" w:rsidR="004B205A">
        <w:rPr>
          <w:rFonts w:ascii="Times New Roman" w:hAnsi="Times New Roman"/>
          <w:sz w:val="24"/>
          <w:szCs w:val="24"/>
        </w:rPr>
        <w:t>This information collection is necess</w:t>
      </w:r>
      <w:r w:rsidRPr="008426B0" w:rsidR="0084403D">
        <w:rPr>
          <w:rFonts w:ascii="Times New Roman" w:hAnsi="Times New Roman"/>
          <w:sz w:val="24"/>
          <w:szCs w:val="24"/>
        </w:rPr>
        <w:t>ary</w:t>
      </w:r>
      <w:r w:rsidRPr="008426B0" w:rsidR="004B205A">
        <w:rPr>
          <w:rFonts w:ascii="Times New Roman" w:hAnsi="Times New Roman"/>
          <w:sz w:val="24"/>
          <w:szCs w:val="24"/>
        </w:rPr>
        <w:t xml:space="preserve"> for the FBI to </w:t>
      </w:r>
      <w:r w:rsidRPr="008426B0" w:rsidR="00C2499F">
        <w:rPr>
          <w:rFonts w:ascii="Times New Roman" w:hAnsi="Times New Roman"/>
          <w:sz w:val="24"/>
          <w:szCs w:val="24"/>
        </w:rPr>
        <w:t>maintain a database</w:t>
      </w:r>
      <w:r w:rsidRPr="008426B0" w:rsidR="000F7B2E">
        <w:rPr>
          <w:rFonts w:ascii="Times New Roman" w:hAnsi="Times New Roman"/>
          <w:sz w:val="24"/>
          <w:szCs w:val="24"/>
        </w:rPr>
        <w:t xml:space="preserve"> and serve as the national clearinghouse for the </w:t>
      </w:r>
      <w:r w:rsidRPr="008426B0" w:rsidR="00B77413">
        <w:rPr>
          <w:rFonts w:ascii="Times New Roman" w:hAnsi="Times New Roman"/>
          <w:sz w:val="24"/>
          <w:szCs w:val="24"/>
        </w:rPr>
        <w:t>collection and dissemination of crime data</w:t>
      </w:r>
      <w:r w:rsidRPr="008426B0" w:rsidR="00FE76AE">
        <w:rPr>
          <w:rFonts w:ascii="Times New Roman" w:hAnsi="Times New Roman"/>
          <w:sz w:val="24"/>
          <w:szCs w:val="24"/>
        </w:rPr>
        <w:t xml:space="preserve"> and to </w:t>
      </w:r>
      <w:r w:rsidRPr="008426B0" w:rsidR="00187E31">
        <w:rPr>
          <w:rFonts w:ascii="Times New Roman" w:hAnsi="Times New Roman"/>
          <w:sz w:val="24"/>
          <w:szCs w:val="24"/>
        </w:rPr>
        <w:t>p</w:t>
      </w:r>
      <w:r w:rsidRPr="008426B0" w:rsidR="005D40BE">
        <w:rPr>
          <w:rFonts w:ascii="Times New Roman" w:hAnsi="Times New Roman"/>
          <w:sz w:val="24"/>
          <w:szCs w:val="24"/>
        </w:rPr>
        <w:t>rovid</w:t>
      </w:r>
      <w:r w:rsidRPr="008426B0" w:rsidR="00FE76AE">
        <w:rPr>
          <w:rFonts w:ascii="Times New Roman" w:hAnsi="Times New Roman"/>
          <w:sz w:val="24"/>
          <w:szCs w:val="24"/>
        </w:rPr>
        <w:t>e</w:t>
      </w:r>
      <w:r w:rsidRPr="008426B0" w:rsidR="005D40BE">
        <w:rPr>
          <w:rFonts w:ascii="Times New Roman" w:hAnsi="Times New Roman"/>
          <w:sz w:val="24"/>
          <w:szCs w:val="24"/>
        </w:rPr>
        <w:t xml:space="preserve"> the most complete and accurate data possible</w:t>
      </w:r>
      <w:r w:rsidRPr="008426B0" w:rsidR="004A3F4A">
        <w:rPr>
          <w:rFonts w:ascii="Times New Roman" w:hAnsi="Times New Roman"/>
          <w:sz w:val="24"/>
          <w:szCs w:val="24"/>
        </w:rPr>
        <w:t>.</w:t>
      </w:r>
      <w:r w:rsidRPr="008426B0">
        <w:rPr>
          <w:rFonts w:ascii="Times New Roman" w:hAnsi="Times New Roman"/>
          <w:sz w:val="24"/>
          <w:szCs w:val="24"/>
        </w:rPr>
        <w:t xml:space="preserve">  </w:t>
      </w:r>
    </w:p>
    <w:p w:rsidR="00C177D2" w:rsidRPr="008426B0" w:rsidP="00CE0AF1" w14:paraId="60AE0635"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0F311545"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2.  </w:t>
      </w:r>
      <w:r w:rsidRPr="008426B0" w:rsidR="00F03AB0">
        <w:rPr>
          <w:rFonts w:ascii="Times New Roman" w:hAnsi="Times New Roman"/>
          <w:sz w:val="24"/>
          <w:szCs w:val="24"/>
        </w:rPr>
        <w:tab/>
      </w:r>
      <w:r w:rsidRPr="008426B0">
        <w:rPr>
          <w:rFonts w:ascii="Times New Roman" w:hAnsi="Times New Roman"/>
          <w:sz w:val="24"/>
          <w:szCs w:val="24"/>
          <w:u w:val="single"/>
        </w:rPr>
        <w:t>Needs and Uses</w:t>
      </w:r>
      <w:r w:rsidRPr="008426B0">
        <w:rPr>
          <w:rFonts w:ascii="Times New Roman" w:hAnsi="Times New Roman"/>
          <w:sz w:val="24"/>
          <w:szCs w:val="24"/>
        </w:rPr>
        <w:t xml:space="preserve"> </w:t>
      </w:r>
    </w:p>
    <w:p w:rsidR="00C177D2" w:rsidRPr="008426B0" w:rsidP="00CE0AF1" w14:paraId="6909AEC3"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r w:rsidRPr="008426B0">
        <w:rPr>
          <w:rFonts w:ascii="Times New Roman" w:hAnsi="Times New Roman"/>
          <w:sz w:val="24"/>
          <w:szCs w:val="24"/>
        </w:rPr>
        <w:t xml:space="preserve"> </w:t>
      </w:r>
    </w:p>
    <w:p w:rsidR="00C177D2" w:rsidRPr="008426B0" w:rsidP="00CE0AF1" w14:paraId="33825F9C" w14:textId="1493DEF3">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The Return A and Supplement to Return A </w:t>
      </w:r>
      <w:r w:rsidRPr="008426B0" w:rsidR="00A93D28">
        <w:rPr>
          <w:rFonts w:ascii="Times New Roman" w:hAnsi="Times New Roman"/>
          <w:sz w:val="24"/>
          <w:szCs w:val="24"/>
        </w:rPr>
        <w:t>Data Collection</w:t>
      </w:r>
      <w:r w:rsidRPr="008426B0" w:rsidR="0001621C">
        <w:rPr>
          <w:rFonts w:ascii="Times New Roman" w:hAnsi="Times New Roman"/>
          <w:sz w:val="24"/>
          <w:szCs w:val="24"/>
        </w:rPr>
        <w:t xml:space="preserve"> forms are </w:t>
      </w:r>
      <w:r w:rsidRPr="008426B0" w:rsidR="008848E7">
        <w:rPr>
          <w:rFonts w:ascii="Times New Roman" w:hAnsi="Times New Roman"/>
          <w:sz w:val="24"/>
          <w:szCs w:val="24"/>
        </w:rPr>
        <w:t>necessary</w:t>
      </w:r>
      <w:r w:rsidRPr="008426B0" w:rsidR="0084403D">
        <w:rPr>
          <w:rFonts w:ascii="Times New Roman" w:hAnsi="Times New Roman"/>
          <w:sz w:val="24"/>
          <w:szCs w:val="24"/>
        </w:rPr>
        <w:t xml:space="preserve"> to provide</w:t>
      </w:r>
      <w:r w:rsidRPr="008426B0" w:rsidR="00AF7C46">
        <w:rPr>
          <w:rFonts w:ascii="Times New Roman" w:hAnsi="Times New Roman"/>
          <w:sz w:val="24"/>
          <w:szCs w:val="24"/>
        </w:rPr>
        <w:t xml:space="preserve"> law </w:t>
      </w:r>
      <w:r w:rsidRPr="008426B0">
        <w:rPr>
          <w:rFonts w:ascii="Times New Roman" w:hAnsi="Times New Roman"/>
          <w:sz w:val="24"/>
          <w:szCs w:val="24"/>
        </w:rPr>
        <w:t xml:space="preserve">enforcement agencies </w:t>
      </w:r>
      <w:r w:rsidRPr="008426B0" w:rsidR="00CD61AE">
        <w:rPr>
          <w:rFonts w:ascii="Times New Roman" w:hAnsi="Times New Roman"/>
          <w:sz w:val="24"/>
          <w:szCs w:val="24"/>
        </w:rPr>
        <w:t xml:space="preserve">(LEAs) </w:t>
      </w:r>
      <w:r w:rsidRPr="008426B0" w:rsidR="0084403D">
        <w:rPr>
          <w:rFonts w:ascii="Times New Roman" w:hAnsi="Times New Roman"/>
          <w:sz w:val="24"/>
          <w:szCs w:val="24"/>
        </w:rPr>
        <w:t xml:space="preserve">a mechanism </w:t>
      </w:r>
      <w:r w:rsidRPr="008426B0" w:rsidR="00F3244C">
        <w:rPr>
          <w:rFonts w:ascii="Times New Roman" w:hAnsi="Times New Roman"/>
          <w:sz w:val="24"/>
          <w:szCs w:val="24"/>
        </w:rPr>
        <w:t>to</w:t>
      </w:r>
      <w:r w:rsidRPr="008426B0">
        <w:rPr>
          <w:rFonts w:ascii="Times New Roman" w:hAnsi="Times New Roman"/>
          <w:sz w:val="24"/>
          <w:szCs w:val="24"/>
        </w:rPr>
        <w:t xml:space="preserve"> report </w:t>
      </w:r>
      <w:r w:rsidRPr="008426B0" w:rsidR="006C255C">
        <w:rPr>
          <w:rFonts w:ascii="Times New Roman" w:hAnsi="Times New Roman"/>
          <w:sz w:val="24"/>
          <w:szCs w:val="24"/>
        </w:rPr>
        <w:t>Part I offense</w:t>
      </w:r>
      <w:r w:rsidRPr="008426B0" w:rsidR="00AF7C46">
        <w:rPr>
          <w:rFonts w:ascii="Times New Roman" w:hAnsi="Times New Roman"/>
          <w:sz w:val="24"/>
          <w:szCs w:val="24"/>
        </w:rPr>
        <w:t xml:space="preserve"> data</w:t>
      </w:r>
      <w:r w:rsidRPr="008426B0" w:rsidR="00F51EA0">
        <w:rPr>
          <w:rFonts w:ascii="Times New Roman" w:hAnsi="Times New Roman"/>
          <w:sz w:val="24"/>
          <w:szCs w:val="24"/>
        </w:rPr>
        <w:t xml:space="preserve"> and </w:t>
      </w:r>
      <w:r w:rsidRPr="008426B0" w:rsidR="002B65FE">
        <w:rPr>
          <w:rFonts w:ascii="Times New Roman" w:hAnsi="Times New Roman"/>
          <w:sz w:val="24"/>
          <w:szCs w:val="24"/>
        </w:rPr>
        <w:t xml:space="preserve">the </w:t>
      </w:r>
      <w:r w:rsidRPr="008426B0" w:rsidR="00F51EA0">
        <w:rPr>
          <w:rFonts w:ascii="Times New Roman" w:hAnsi="Times New Roman"/>
          <w:sz w:val="24"/>
          <w:szCs w:val="24"/>
        </w:rPr>
        <w:t>monetary value of property stolen and recovered</w:t>
      </w:r>
      <w:r w:rsidRPr="008426B0" w:rsidR="002B65FE">
        <w:rPr>
          <w:rFonts w:ascii="Times New Roman" w:hAnsi="Times New Roman"/>
          <w:sz w:val="24"/>
          <w:szCs w:val="24"/>
        </w:rPr>
        <w:t xml:space="preserve"> to the FBI’s UCR Program</w:t>
      </w:r>
      <w:r w:rsidRPr="008426B0">
        <w:rPr>
          <w:rFonts w:ascii="Times New Roman" w:hAnsi="Times New Roman"/>
          <w:sz w:val="24"/>
          <w:szCs w:val="24"/>
        </w:rPr>
        <w:t xml:space="preserve">.  </w:t>
      </w:r>
      <w:r w:rsidRPr="008426B0" w:rsidR="00A95685">
        <w:rPr>
          <w:rFonts w:ascii="Times New Roman" w:hAnsi="Times New Roman"/>
          <w:sz w:val="24"/>
          <w:szCs w:val="24"/>
        </w:rPr>
        <w:t>The</w:t>
      </w:r>
      <w:r w:rsidRPr="008426B0">
        <w:rPr>
          <w:rFonts w:ascii="Times New Roman" w:hAnsi="Times New Roman"/>
          <w:sz w:val="24"/>
          <w:szCs w:val="24"/>
        </w:rPr>
        <w:t xml:space="preserve"> </w:t>
      </w:r>
      <w:r w:rsidRPr="008426B0" w:rsidR="0084403D">
        <w:rPr>
          <w:rFonts w:ascii="Times New Roman" w:hAnsi="Times New Roman"/>
          <w:sz w:val="24"/>
          <w:szCs w:val="24"/>
        </w:rPr>
        <w:t>statistics</w:t>
      </w:r>
      <w:r w:rsidRPr="008426B0">
        <w:rPr>
          <w:rFonts w:ascii="Times New Roman" w:hAnsi="Times New Roman"/>
          <w:sz w:val="24"/>
          <w:szCs w:val="24"/>
        </w:rPr>
        <w:t xml:space="preserve"> are used for rese</w:t>
      </w:r>
      <w:r w:rsidRPr="008426B0" w:rsidR="00DA1E6F">
        <w:rPr>
          <w:rFonts w:ascii="Times New Roman" w:hAnsi="Times New Roman"/>
          <w:sz w:val="24"/>
          <w:szCs w:val="24"/>
        </w:rPr>
        <w:t>arch and statistical purposes</w:t>
      </w:r>
      <w:r w:rsidRPr="008426B0" w:rsidR="00424EB9">
        <w:rPr>
          <w:rFonts w:ascii="Times New Roman" w:hAnsi="Times New Roman"/>
          <w:sz w:val="24"/>
          <w:szCs w:val="24"/>
        </w:rPr>
        <w:t xml:space="preserve">, serving as a </w:t>
      </w:r>
      <w:r w:rsidRPr="008426B0" w:rsidR="00A95685">
        <w:rPr>
          <w:rFonts w:ascii="Times New Roman" w:hAnsi="Times New Roman"/>
          <w:sz w:val="24"/>
          <w:szCs w:val="24"/>
        </w:rPr>
        <w:t xml:space="preserve">valuable resource to </w:t>
      </w:r>
      <w:r w:rsidRPr="008426B0" w:rsidR="004007AC">
        <w:rPr>
          <w:rFonts w:ascii="Times New Roman" w:hAnsi="Times New Roman"/>
          <w:sz w:val="24"/>
          <w:szCs w:val="24"/>
        </w:rPr>
        <w:t>federal,</w:t>
      </w:r>
      <w:r w:rsidRPr="008426B0" w:rsidR="00A95685">
        <w:rPr>
          <w:rFonts w:ascii="Times New Roman" w:hAnsi="Times New Roman"/>
          <w:sz w:val="24"/>
          <w:szCs w:val="24"/>
        </w:rPr>
        <w:t xml:space="preserve"> state, </w:t>
      </w:r>
      <w:r w:rsidRPr="008426B0" w:rsidR="00AC3A5A">
        <w:rPr>
          <w:rFonts w:ascii="Times New Roman" w:hAnsi="Times New Roman"/>
          <w:sz w:val="24"/>
          <w:szCs w:val="24"/>
        </w:rPr>
        <w:t xml:space="preserve">county, city, tribal, and territorial </w:t>
      </w:r>
      <w:r w:rsidRPr="008426B0" w:rsidR="00CD61AE">
        <w:rPr>
          <w:rFonts w:ascii="Times New Roman" w:hAnsi="Times New Roman"/>
          <w:sz w:val="24"/>
          <w:szCs w:val="24"/>
        </w:rPr>
        <w:t>LEAs</w:t>
      </w:r>
      <w:r w:rsidRPr="008426B0" w:rsidR="00A95685">
        <w:rPr>
          <w:rFonts w:ascii="Times New Roman" w:hAnsi="Times New Roman"/>
          <w:sz w:val="24"/>
          <w:szCs w:val="24"/>
        </w:rPr>
        <w:t>, as well as</w:t>
      </w:r>
      <w:r w:rsidRPr="008426B0" w:rsidR="006F14F1">
        <w:rPr>
          <w:rFonts w:ascii="Times New Roman" w:hAnsi="Times New Roman"/>
          <w:sz w:val="24"/>
          <w:szCs w:val="24"/>
        </w:rPr>
        <w:t xml:space="preserve"> to</w:t>
      </w:r>
      <w:r w:rsidRPr="008426B0" w:rsidR="00A95685">
        <w:rPr>
          <w:rFonts w:ascii="Times New Roman" w:hAnsi="Times New Roman"/>
          <w:sz w:val="24"/>
          <w:szCs w:val="24"/>
        </w:rPr>
        <w:t xml:space="preserve"> </w:t>
      </w:r>
      <w:r w:rsidRPr="008426B0" w:rsidR="002E72E9">
        <w:rPr>
          <w:rFonts w:ascii="Times New Roman" w:hAnsi="Times New Roman"/>
          <w:sz w:val="24"/>
          <w:szCs w:val="24"/>
        </w:rPr>
        <w:t>academia</w:t>
      </w:r>
      <w:r w:rsidRPr="008426B0" w:rsidR="00A95685">
        <w:rPr>
          <w:rFonts w:ascii="Times New Roman" w:hAnsi="Times New Roman"/>
          <w:sz w:val="24"/>
          <w:szCs w:val="24"/>
        </w:rPr>
        <w:t xml:space="preserve">, other government agencies, </w:t>
      </w:r>
      <w:r w:rsidRPr="008426B0" w:rsidR="00162691">
        <w:rPr>
          <w:rFonts w:ascii="Times New Roman" w:hAnsi="Times New Roman"/>
          <w:sz w:val="24"/>
          <w:szCs w:val="24"/>
        </w:rPr>
        <w:t xml:space="preserve">the general </w:t>
      </w:r>
      <w:r w:rsidRPr="008426B0" w:rsidR="00DA1E6F">
        <w:rPr>
          <w:rFonts w:ascii="Times New Roman" w:hAnsi="Times New Roman"/>
          <w:sz w:val="24"/>
          <w:szCs w:val="24"/>
        </w:rPr>
        <w:t xml:space="preserve">public, and </w:t>
      </w:r>
      <w:r w:rsidRPr="008426B0" w:rsidR="008848E7">
        <w:rPr>
          <w:rFonts w:ascii="Times New Roman" w:hAnsi="Times New Roman"/>
          <w:sz w:val="24"/>
          <w:szCs w:val="24"/>
        </w:rPr>
        <w:t xml:space="preserve">the </w:t>
      </w:r>
      <w:r w:rsidRPr="008426B0" w:rsidR="00DA1E6F">
        <w:rPr>
          <w:rFonts w:ascii="Times New Roman" w:hAnsi="Times New Roman"/>
          <w:sz w:val="24"/>
          <w:szCs w:val="24"/>
        </w:rPr>
        <w:t>media.</w:t>
      </w:r>
      <w:r w:rsidRPr="008426B0" w:rsidR="00F77F5A">
        <w:rPr>
          <w:rFonts w:ascii="Times New Roman" w:hAnsi="Times New Roman"/>
          <w:sz w:val="24"/>
          <w:szCs w:val="24"/>
        </w:rPr>
        <w:t xml:space="preserve"> </w:t>
      </w:r>
      <w:r w:rsidRPr="008426B0" w:rsidR="00DA1E6F">
        <w:rPr>
          <w:rFonts w:ascii="Times New Roman" w:hAnsi="Times New Roman"/>
          <w:sz w:val="24"/>
          <w:szCs w:val="24"/>
        </w:rPr>
        <w:t xml:space="preserve"> </w:t>
      </w:r>
      <w:r w:rsidRPr="008426B0">
        <w:rPr>
          <w:rFonts w:ascii="Times New Roman" w:hAnsi="Times New Roman"/>
          <w:sz w:val="24"/>
          <w:szCs w:val="24"/>
        </w:rPr>
        <w:t>Examples of uses are:</w:t>
      </w:r>
    </w:p>
    <w:p w:rsidR="008426B0" w:rsidRPr="008426B0" w:rsidP="008426B0" w14:paraId="0A331A48" w14:textId="45E04AC0">
      <w:pPr>
        <w:ind w:left="1620" w:hanging="540"/>
        <w:rPr>
          <w:rFonts w:ascii="Times New Roman" w:hAnsi="Times New Roman"/>
          <w:sz w:val="24"/>
          <w:szCs w:val="24"/>
        </w:rPr>
      </w:pPr>
      <w:r w:rsidRPr="008426B0">
        <w:rPr>
          <w:rFonts w:ascii="Times New Roman" w:hAnsi="Times New Roman"/>
          <w:sz w:val="24"/>
          <w:szCs w:val="24"/>
        </w:rPr>
        <w:t xml:space="preserve">a.  </w:t>
      </w:r>
      <w:r w:rsidRPr="008426B0">
        <w:rPr>
          <w:rFonts w:ascii="Times New Roman" w:hAnsi="Times New Roman"/>
          <w:sz w:val="24"/>
          <w:szCs w:val="24"/>
        </w:rPr>
        <w:tab/>
        <w:t xml:space="preserve">The Department of Justice, Bureau of Justice Assistance, uses the FBI’s UCR Program data to </w:t>
      </w:r>
      <w:r>
        <w:rPr>
          <w:rFonts w:ascii="Times New Roman" w:hAnsi="Times New Roman"/>
          <w:sz w:val="24"/>
          <w:szCs w:val="24"/>
        </w:rPr>
        <w:t>award</w:t>
      </w:r>
      <w:r w:rsidRPr="008426B0">
        <w:rPr>
          <w:rFonts w:ascii="Times New Roman" w:hAnsi="Times New Roman"/>
          <w:sz w:val="24"/>
          <w:szCs w:val="24"/>
        </w:rPr>
        <w:t xml:space="preserve"> non-competitive grants (i.e., formula grants)</w:t>
      </w:r>
      <w:r>
        <w:rPr>
          <w:rFonts w:ascii="Times New Roman" w:hAnsi="Times New Roman"/>
          <w:sz w:val="24"/>
          <w:szCs w:val="24"/>
        </w:rPr>
        <w:t xml:space="preserve"> which are </w:t>
      </w:r>
      <w:r w:rsidRPr="008426B0">
        <w:rPr>
          <w:rFonts w:ascii="Times New Roman" w:hAnsi="Times New Roman"/>
          <w:sz w:val="24"/>
          <w:szCs w:val="24"/>
        </w:rPr>
        <w:t>based on a mathematical formula rather than a competitive application process.  These grant monies are provided for state, local, and tribal governments to address crime</w:t>
      </w:r>
      <w:r>
        <w:rPr>
          <w:rFonts w:ascii="Times New Roman" w:hAnsi="Times New Roman"/>
          <w:sz w:val="24"/>
          <w:szCs w:val="24"/>
        </w:rPr>
        <w:t>-</w:t>
      </w:r>
      <w:r w:rsidRPr="008426B0">
        <w:rPr>
          <w:rFonts w:ascii="Times New Roman" w:hAnsi="Times New Roman"/>
          <w:sz w:val="24"/>
          <w:szCs w:val="24"/>
        </w:rPr>
        <w:t>related issues (e.g., crime prevention, violent crime, and drug trafficking)</w:t>
      </w:r>
      <w:r>
        <w:rPr>
          <w:rFonts w:ascii="Times New Roman" w:hAnsi="Times New Roman"/>
          <w:sz w:val="24"/>
          <w:szCs w:val="24"/>
        </w:rPr>
        <w:t>.</w:t>
      </w:r>
    </w:p>
    <w:p w:rsidR="00F3244C" w:rsidRPr="008426B0" w:rsidP="008426B0" w14:paraId="17CD3081" w14:textId="0D31FFD0">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p>
    <w:p w:rsidR="00805F4A" w:rsidRPr="008426B0" w:rsidP="00CE0AF1" w14:paraId="35CA8826" w14:textId="7A9DFB0A">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8426B0">
        <w:rPr>
          <w:rFonts w:ascii="Times New Roman" w:hAnsi="Times New Roman"/>
          <w:sz w:val="24"/>
          <w:szCs w:val="24"/>
        </w:rPr>
        <w:t>b.</w:t>
      </w:r>
      <w:r w:rsidRPr="008426B0">
        <w:rPr>
          <w:rFonts w:ascii="Times New Roman" w:hAnsi="Times New Roman"/>
          <w:sz w:val="24"/>
          <w:szCs w:val="24"/>
        </w:rPr>
        <w:tab/>
        <w:t xml:space="preserve">The Office of Disease Prevention and Health Promotion uses </w:t>
      </w:r>
      <w:r w:rsidRPr="008426B0" w:rsidR="00DD6A3F">
        <w:rPr>
          <w:rFonts w:ascii="Times New Roman" w:hAnsi="Times New Roman"/>
          <w:sz w:val="24"/>
          <w:szCs w:val="24"/>
        </w:rPr>
        <w:t xml:space="preserve">data </w:t>
      </w:r>
      <w:r w:rsidRPr="008426B0" w:rsidR="00773C74">
        <w:rPr>
          <w:rFonts w:ascii="Times New Roman" w:hAnsi="Times New Roman"/>
          <w:sz w:val="24"/>
          <w:szCs w:val="24"/>
        </w:rPr>
        <w:t xml:space="preserve">collected by the FBI’s </w:t>
      </w:r>
      <w:r w:rsidRPr="008426B0">
        <w:rPr>
          <w:rFonts w:ascii="Times New Roman" w:hAnsi="Times New Roman"/>
          <w:sz w:val="24"/>
          <w:szCs w:val="24"/>
        </w:rPr>
        <w:t xml:space="preserve">UCR Program in their </w:t>
      </w:r>
      <w:r w:rsidRPr="008426B0">
        <w:rPr>
          <w:rFonts w:ascii="Times New Roman" w:hAnsi="Times New Roman"/>
          <w:i/>
          <w:sz w:val="24"/>
          <w:szCs w:val="24"/>
        </w:rPr>
        <w:t>Healthy People 20</w:t>
      </w:r>
      <w:r w:rsidRPr="008426B0" w:rsidR="007359B3">
        <w:rPr>
          <w:rFonts w:ascii="Times New Roman" w:hAnsi="Times New Roman"/>
          <w:i/>
          <w:sz w:val="24"/>
          <w:szCs w:val="24"/>
        </w:rPr>
        <w:t>3</w:t>
      </w:r>
      <w:r w:rsidRPr="008426B0">
        <w:rPr>
          <w:rFonts w:ascii="Times New Roman" w:hAnsi="Times New Roman"/>
          <w:i/>
          <w:sz w:val="24"/>
          <w:szCs w:val="24"/>
        </w:rPr>
        <w:t xml:space="preserve">0 </w:t>
      </w:r>
      <w:r w:rsidRPr="008426B0">
        <w:rPr>
          <w:rFonts w:ascii="Times New Roman" w:hAnsi="Times New Roman"/>
          <w:sz w:val="24"/>
          <w:szCs w:val="24"/>
        </w:rPr>
        <w:t xml:space="preserve">interactive data tool.  This tool focuses on the </w:t>
      </w:r>
      <w:r w:rsidRPr="008426B0">
        <w:rPr>
          <w:rFonts w:ascii="Times New Roman" w:hAnsi="Times New Roman"/>
          <w:i/>
          <w:sz w:val="24"/>
          <w:szCs w:val="24"/>
        </w:rPr>
        <w:t>Healthy People 20</w:t>
      </w:r>
      <w:r w:rsidRPr="008426B0" w:rsidR="00B63B1D">
        <w:rPr>
          <w:rFonts w:ascii="Times New Roman" w:hAnsi="Times New Roman"/>
          <w:i/>
          <w:sz w:val="24"/>
          <w:szCs w:val="24"/>
        </w:rPr>
        <w:t>3</w:t>
      </w:r>
      <w:r w:rsidRPr="008426B0">
        <w:rPr>
          <w:rFonts w:ascii="Times New Roman" w:hAnsi="Times New Roman"/>
          <w:i/>
          <w:sz w:val="24"/>
          <w:szCs w:val="24"/>
        </w:rPr>
        <w:t xml:space="preserve">0 </w:t>
      </w:r>
      <w:r w:rsidRPr="008426B0">
        <w:rPr>
          <w:rFonts w:ascii="Times New Roman" w:hAnsi="Times New Roman"/>
          <w:sz w:val="24"/>
          <w:szCs w:val="24"/>
        </w:rPr>
        <w:t>objectives and allows users to explore th</w:t>
      </w:r>
      <w:r w:rsidRPr="008426B0" w:rsidR="00A33F83">
        <w:rPr>
          <w:rFonts w:ascii="Times New Roman" w:hAnsi="Times New Roman"/>
          <w:sz w:val="24"/>
          <w:szCs w:val="24"/>
        </w:rPr>
        <w:t>e</w:t>
      </w:r>
      <w:r w:rsidRPr="008426B0">
        <w:rPr>
          <w:rFonts w:ascii="Times New Roman" w:hAnsi="Times New Roman"/>
          <w:sz w:val="24"/>
          <w:szCs w:val="24"/>
        </w:rPr>
        <w:t xml:space="preserve"> data and technical information.</w:t>
      </w:r>
    </w:p>
    <w:p w:rsidR="00805F4A" w:rsidRPr="008426B0" w:rsidP="00CE0AF1" w14:paraId="35D5F7FE" w14:textId="77777777">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p>
    <w:p w:rsidR="00F3244C" w:rsidRPr="008426B0" w:rsidP="00CE0AF1" w14:paraId="6C978B1C" w14:textId="31F05CCE">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8426B0">
        <w:rPr>
          <w:rFonts w:ascii="Times New Roman" w:hAnsi="Times New Roman"/>
          <w:sz w:val="24"/>
          <w:szCs w:val="24"/>
        </w:rPr>
        <w:t>c</w:t>
      </w:r>
      <w:r w:rsidRPr="008426B0" w:rsidR="00805F4A">
        <w:rPr>
          <w:rFonts w:ascii="Times New Roman" w:hAnsi="Times New Roman"/>
          <w:sz w:val="24"/>
          <w:szCs w:val="24"/>
        </w:rPr>
        <w:t>.</w:t>
      </w:r>
      <w:r w:rsidRPr="008426B0" w:rsidR="00805F4A">
        <w:rPr>
          <w:rFonts w:ascii="Times New Roman" w:hAnsi="Times New Roman"/>
          <w:sz w:val="24"/>
          <w:szCs w:val="24"/>
        </w:rPr>
        <w:tab/>
      </w:r>
      <w:r w:rsidRPr="008426B0" w:rsidR="00A95685">
        <w:rPr>
          <w:rFonts w:ascii="Times New Roman" w:hAnsi="Times New Roman"/>
          <w:sz w:val="24"/>
          <w:szCs w:val="24"/>
        </w:rPr>
        <w:t>Criminologists, sociologists, legislat</w:t>
      </w:r>
      <w:r w:rsidRPr="008426B0" w:rsidR="00CC7E52">
        <w:rPr>
          <w:rFonts w:ascii="Times New Roman" w:hAnsi="Times New Roman"/>
          <w:sz w:val="24"/>
          <w:szCs w:val="24"/>
        </w:rPr>
        <w:t>ors</w:t>
      </w:r>
      <w:r w:rsidRPr="008426B0" w:rsidR="00A95685">
        <w:rPr>
          <w:rFonts w:ascii="Times New Roman" w:hAnsi="Times New Roman"/>
          <w:sz w:val="24"/>
          <w:szCs w:val="24"/>
        </w:rPr>
        <w:t xml:space="preserve">, </w:t>
      </w:r>
      <w:r w:rsidRPr="008426B0" w:rsidR="00205879">
        <w:rPr>
          <w:rFonts w:ascii="Times New Roman" w:hAnsi="Times New Roman"/>
          <w:sz w:val="24"/>
          <w:szCs w:val="24"/>
        </w:rPr>
        <w:t xml:space="preserve">special interest groups, </w:t>
      </w:r>
      <w:r w:rsidRPr="008426B0" w:rsidR="00622A23">
        <w:rPr>
          <w:rFonts w:ascii="Times New Roman" w:hAnsi="Times New Roman"/>
          <w:sz w:val="24"/>
          <w:szCs w:val="24"/>
        </w:rPr>
        <w:t xml:space="preserve">students of criminal justice, </w:t>
      </w:r>
      <w:r w:rsidRPr="008426B0" w:rsidR="00A95685">
        <w:rPr>
          <w:rFonts w:ascii="Times New Roman" w:hAnsi="Times New Roman"/>
          <w:sz w:val="24"/>
          <w:szCs w:val="24"/>
        </w:rPr>
        <w:t xml:space="preserve">municipal planners, </w:t>
      </w:r>
      <w:r w:rsidRPr="008426B0" w:rsidR="00622A23">
        <w:rPr>
          <w:rFonts w:ascii="Times New Roman" w:hAnsi="Times New Roman"/>
          <w:sz w:val="24"/>
          <w:szCs w:val="24"/>
        </w:rPr>
        <w:t xml:space="preserve">and the </w:t>
      </w:r>
      <w:r w:rsidRPr="008426B0" w:rsidR="00A95685">
        <w:rPr>
          <w:rFonts w:ascii="Times New Roman" w:hAnsi="Times New Roman"/>
          <w:sz w:val="24"/>
          <w:szCs w:val="24"/>
        </w:rPr>
        <w:t>media</w:t>
      </w:r>
      <w:r w:rsidRPr="008426B0" w:rsidR="005E3D28">
        <w:rPr>
          <w:rFonts w:ascii="Times New Roman" w:hAnsi="Times New Roman"/>
          <w:sz w:val="24"/>
          <w:szCs w:val="24"/>
        </w:rPr>
        <w:t xml:space="preserve"> </w:t>
      </w:r>
      <w:r w:rsidRPr="008426B0" w:rsidR="008848E7">
        <w:rPr>
          <w:rFonts w:ascii="Times New Roman" w:hAnsi="Times New Roman"/>
          <w:sz w:val="24"/>
          <w:szCs w:val="24"/>
        </w:rPr>
        <w:t>use</w:t>
      </w:r>
      <w:r w:rsidRPr="008426B0" w:rsidR="00DB1718">
        <w:rPr>
          <w:rFonts w:ascii="Times New Roman" w:hAnsi="Times New Roman"/>
          <w:sz w:val="24"/>
          <w:szCs w:val="24"/>
        </w:rPr>
        <w:t xml:space="preserve"> the</w:t>
      </w:r>
      <w:r w:rsidRPr="008426B0" w:rsidR="008848E7">
        <w:rPr>
          <w:rFonts w:ascii="Times New Roman" w:hAnsi="Times New Roman"/>
          <w:sz w:val="24"/>
          <w:szCs w:val="24"/>
        </w:rPr>
        <w:t xml:space="preserve"> </w:t>
      </w:r>
      <w:r w:rsidRPr="008426B0" w:rsidR="00CB5120">
        <w:rPr>
          <w:rFonts w:ascii="Times New Roman" w:hAnsi="Times New Roman"/>
          <w:sz w:val="24"/>
          <w:szCs w:val="24"/>
        </w:rPr>
        <w:t xml:space="preserve">data collected by the </w:t>
      </w:r>
      <w:r w:rsidRPr="008426B0" w:rsidR="005E26F6">
        <w:rPr>
          <w:rFonts w:ascii="Times New Roman" w:hAnsi="Times New Roman"/>
          <w:sz w:val="24"/>
          <w:szCs w:val="24"/>
        </w:rPr>
        <w:t xml:space="preserve">FBI’s </w:t>
      </w:r>
      <w:r w:rsidRPr="008426B0" w:rsidR="008848E7">
        <w:rPr>
          <w:rFonts w:ascii="Times New Roman" w:hAnsi="Times New Roman"/>
          <w:sz w:val="24"/>
          <w:szCs w:val="24"/>
        </w:rPr>
        <w:t>UCR Program</w:t>
      </w:r>
      <w:r w:rsidRPr="008426B0" w:rsidR="00A95685">
        <w:rPr>
          <w:rFonts w:ascii="Times New Roman" w:hAnsi="Times New Roman"/>
          <w:sz w:val="24"/>
          <w:szCs w:val="24"/>
        </w:rPr>
        <w:t xml:space="preserve"> for vari</w:t>
      </w:r>
      <w:r w:rsidRPr="008426B0" w:rsidR="005E26F6">
        <w:rPr>
          <w:rFonts w:ascii="Times New Roman" w:hAnsi="Times New Roman"/>
          <w:sz w:val="24"/>
          <w:szCs w:val="24"/>
        </w:rPr>
        <w:t>ous</w:t>
      </w:r>
      <w:r w:rsidRPr="008426B0" w:rsidR="00A95685">
        <w:rPr>
          <w:rFonts w:ascii="Times New Roman" w:hAnsi="Times New Roman"/>
          <w:sz w:val="24"/>
          <w:szCs w:val="24"/>
        </w:rPr>
        <w:t xml:space="preserve"> research </w:t>
      </w:r>
      <w:r w:rsidRPr="008426B0" w:rsidR="005E3D28">
        <w:rPr>
          <w:rFonts w:ascii="Times New Roman" w:hAnsi="Times New Roman"/>
          <w:sz w:val="24"/>
          <w:szCs w:val="24"/>
        </w:rPr>
        <w:t>projects</w:t>
      </w:r>
      <w:r w:rsidRPr="008426B0" w:rsidR="009F0490">
        <w:rPr>
          <w:rFonts w:ascii="Times New Roman" w:hAnsi="Times New Roman"/>
          <w:sz w:val="24"/>
          <w:szCs w:val="24"/>
        </w:rPr>
        <w:t>,</w:t>
      </w:r>
      <w:r w:rsidRPr="008426B0" w:rsidR="00F005AE">
        <w:rPr>
          <w:rFonts w:ascii="Times New Roman" w:hAnsi="Times New Roman"/>
          <w:sz w:val="24"/>
          <w:szCs w:val="24"/>
        </w:rPr>
        <w:t xml:space="preserve"> </w:t>
      </w:r>
      <w:r w:rsidRPr="008426B0" w:rsidR="00A95685">
        <w:rPr>
          <w:rFonts w:ascii="Times New Roman" w:hAnsi="Times New Roman"/>
          <w:sz w:val="24"/>
          <w:szCs w:val="24"/>
        </w:rPr>
        <w:t>planning purposes</w:t>
      </w:r>
      <w:r w:rsidRPr="008426B0" w:rsidR="00F005AE">
        <w:rPr>
          <w:rFonts w:ascii="Times New Roman" w:hAnsi="Times New Roman"/>
          <w:sz w:val="24"/>
          <w:szCs w:val="24"/>
        </w:rPr>
        <w:t>, and news reports</w:t>
      </w:r>
      <w:r w:rsidRPr="008426B0" w:rsidR="00A95685">
        <w:rPr>
          <w:rFonts w:ascii="Times New Roman" w:hAnsi="Times New Roman"/>
          <w:sz w:val="24"/>
          <w:szCs w:val="24"/>
        </w:rPr>
        <w:t>.</w:t>
      </w:r>
    </w:p>
    <w:p w:rsidR="00F3244C" w:rsidRPr="008426B0" w:rsidP="00CE0AF1" w14:paraId="0CC0A816" w14:textId="77777777">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F3244C" w:rsidRPr="008426B0" w:rsidP="00CE0AF1" w14:paraId="55FD11A8" w14:textId="3FD366F6">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r w:rsidRPr="008426B0">
        <w:rPr>
          <w:rFonts w:ascii="Times New Roman" w:hAnsi="Times New Roman"/>
          <w:sz w:val="24"/>
          <w:szCs w:val="24"/>
        </w:rPr>
        <w:t>d</w:t>
      </w:r>
      <w:r w:rsidRPr="008426B0" w:rsidR="00805F4A">
        <w:rPr>
          <w:rFonts w:ascii="Times New Roman" w:hAnsi="Times New Roman"/>
          <w:sz w:val="24"/>
          <w:szCs w:val="24"/>
        </w:rPr>
        <w:t>.</w:t>
      </w:r>
      <w:r w:rsidRPr="008426B0" w:rsidR="00805F4A">
        <w:rPr>
          <w:rFonts w:ascii="Times New Roman" w:hAnsi="Times New Roman"/>
          <w:sz w:val="24"/>
          <w:szCs w:val="24"/>
        </w:rPr>
        <w:tab/>
      </w:r>
      <w:r w:rsidRPr="008426B0" w:rsidR="008848E7">
        <w:rPr>
          <w:rFonts w:ascii="Times New Roman" w:hAnsi="Times New Roman"/>
          <w:sz w:val="24"/>
          <w:szCs w:val="24"/>
        </w:rPr>
        <w:t xml:space="preserve">The </w:t>
      </w:r>
      <w:r w:rsidRPr="008426B0" w:rsidR="0016713D">
        <w:rPr>
          <w:rFonts w:ascii="Times New Roman" w:hAnsi="Times New Roman"/>
          <w:sz w:val="24"/>
          <w:szCs w:val="24"/>
        </w:rPr>
        <w:t xml:space="preserve">information collected </w:t>
      </w:r>
      <w:r w:rsidRPr="008426B0" w:rsidR="00842421">
        <w:rPr>
          <w:rFonts w:ascii="Times New Roman" w:hAnsi="Times New Roman"/>
          <w:sz w:val="24"/>
          <w:szCs w:val="24"/>
        </w:rPr>
        <w:t xml:space="preserve">under the </w:t>
      </w:r>
      <w:r w:rsidRPr="008426B0" w:rsidR="008848E7">
        <w:rPr>
          <w:rFonts w:ascii="Times New Roman" w:hAnsi="Times New Roman"/>
          <w:sz w:val="24"/>
          <w:szCs w:val="24"/>
        </w:rPr>
        <w:t xml:space="preserve">Return A and Supplement to Return A </w:t>
      </w:r>
      <w:r w:rsidRPr="008426B0" w:rsidR="00660113">
        <w:rPr>
          <w:rFonts w:ascii="Times New Roman" w:hAnsi="Times New Roman"/>
          <w:sz w:val="24"/>
          <w:szCs w:val="24"/>
        </w:rPr>
        <w:t>D</w:t>
      </w:r>
      <w:r w:rsidRPr="008426B0" w:rsidR="000913A5">
        <w:rPr>
          <w:rFonts w:ascii="Times New Roman" w:hAnsi="Times New Roman"/>
          <w:sz w:val="24"/>
          <w:szCs w:val="24"/>
        </w:rPr>
        <w:t xml:space="preserve">ata </w:t>
      </w:r>
      <w:r w:rsidRPr="008426B0" w:rsidR="00660113">
        <w:rPr>
          <w:rFonts w:ascii="Times New Roman" w:hAnsi="Times New Roman"/>
          <w:sz w:val="24"/>
          <w:szCs w:val="24"/>
        </w:rPr>
        <w:t>C</w:t>
      </w:r>
      <w:r w:rsidRPr="008426B0" w:rsidR="000913A5">
        <w:rPr>
          <w:rFonts w:ascii="Times New Roman" w:hAnsi="Times New Roman"/>
          <w:sz w:val="24"/>
          <w:szCs w:val="24"/>
        </w:rPr>
        <w:t>ollection permits studies among nei</w:t>
      </w:r>
      <w:r w:rsidRPr="008426B0" w:rsidR="008848E7">
        <w:rPr>
          <w:rFonts w:ascii="Times New Roman" w:hAnsi="Times New Roman"/>
          <w:sz w:val="24"/>
          <w:szCs w:val="24"/>
        </w:rPr>
        <w:t xml:space="preserve">ghboring jurisdictions </w:t>
      </w:r>
      <w:r w:rsidRPr="008426B0" w:rsidR="006D1607">
        <w:rPr>
          <w:rFonts w:ascii="Times New Roman" w:hAnsi="Times New Roman"/>
          <w:sz w:val="24"/>
          <w:szCs w:val="24"/>
        </w:rPr>
        <w:t>and</w:t>
      </w:r>
      <w:r w:rsidRPr="008426B0" w:rsidR="000913A5">
        <w:rPr>
          <w:rFonts w:ascii="Times New Roman" w:hAnsi="Times New Roman"/>
          <w:sz w:val="24"/>
          <w:szCs w:val="24"/>
        </w:rPr>
        <w:t xml:space="preserve"> those with similar populations and other common characteristics.</w:t>
      </w:r>
    </w:p>
    <w:p w:rsidR="00F3244C" w:rsidRPr="008426B0" w:rsidP="00CE0AF1" w14:paraId="689B46AD" w14:textId="77777777">
      <w:pPr>
        <w:tabs>
          <w:tab w:val="left" w:pos="-1159"/>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620" w:hanging="540"/>
        <w:rPr>
          <w:rFonts w:ascii="Times New Roman" w:hAnsi="Times New Roman"/>
          <w:sz w:val="24"/>
          <w:szCs w:val="24"/>
        </w:rPr>
      </w:pPr>
    </w:p>
    <w:p w:rsidR="00C177D2" w:rsidRPr="008426B0" w:rsidP="00CE0AF1" w14:paraId="125B19DA"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3.  </w:t>
      </w:r>
      <w:r w:rsidRPr="008426B0" w:rsidR="008848E7">
        <w:rPr>
          <w:rFonts w:ascii="Times New Roman" w:hAnsi="Times New Roman"/>
          <w:sz w:val="24"/>
          <w:szCs w:val="24"/>
        </w:rPr>
        <w:tab/>
      </w:r>
      <w:r w:rsidRPr="008426B0">
        <w:rPr>
          <w:rFonts w:ascii="Times New Roman" w:hAnsi="Times New Roman"/>
          <w:sz w:val="24"/>
          <w:szCs w:val="24"/>
          <w:u w:val="single"/>
        </w:rPr>
        <w:t>Use of Information Technology</w:t>
      </w:r>
    </w:p>
    <w:p w:rsidR="00C177D2" w:rsidRPr="008426B0" w:rsidP="00CE0AF1" w14:paraId="4BFB8A60"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1B42A8" w:rsidRPr="008426B0" w:rsidP="00CE0AF1" w14:paraId="2E7D4373" w14:textId="01343674">
      <w:pPr>
        <w:ind w:left="1080"/>
        <w:rPr>
          <w:rFonts w:ascii="Times New Roman" w:hAnsi="Times New Roman"/>
          <w:sz w:val="24"/>
          <w:szCs w:val="24"/>
        </w:rPr>
      </w:pPr>
      <w:r w:rsidRPr="008426B0">
        <w:rPr>
          <w:rFonts w:ascii="Times New Roman" w:hAnsi="Times New Roman"/>
          <w:sz w:val="24"/>
          <w:szCs w:val="24"/>
        </w:rPr>
        <w:t>Crime data collection for the FBI’s UCR Program begins at the local agency level when law enforcement officers submit administrative and operational data to their record</w:t>
      </w:r>
      <w:r w:rsidR="00EE426F">
        <w:rPr>
          <w:rFonts w:ascii="Times New Roman" w:hAnsi="Times New Roman"/>
          <w:sz w:val="24"/>
          <w:szCs w:val="24"/>
        </w:rPr>
        <w:t>s</w:t>
      </w:r>
      <w:r w:rsidRPr="008426B0">
        <w:rPr>
          <w:rFonts w:ascii="Times New Roman" w:hAnsi="Times New Roman"/>
          <w:sz w:val="24"/>
          <w:szCs w:val="24"/>
        </w:rPr>
        <w:t xml:space="preserve"> management personnel from hard</w:t>
      </w:r>
      <w:r w:rsidRPr="008426B0" w:rsidR="004F3E81">
        <w:rPr>
          <w:rFonts w:ascii="Times New Roman" w:hAnsi="Times New Roman"/>
          <w:sz w:val="24"/>
          <w:szCs w:val="24"/>
        </w:rPr>
        <w:t xml:space="preserve"> </w:t>
      </w:r>
      <w:r w:rsidRPr="008426B0">
        <w:rPr>
          <w:rFonts w:ascii="Times New Roman" w:hAnsi="Times New Roman"/>
          <w:sz w:val="24"/>
          <w:szCs w:val="24"/>
        </w:rPr>
        <w:t>copy or electronic incident reports.  The local agency record</w:t>
      </w:r>
      <w:r w:rsidR="007D1263">
        <w:rPr>
          <w:rFonts w:ascii="Times New Roman" w:hAnsi="Times New Roman"/>
          <w:sz w:val="24"/>
          <w:szCs w:val="24"/>
        </w:rPr>
        <w:t>s</w:t>
      </w:r>
      <w:r w:rsidRPr="008426B0">
        <w:rPr>
          <w:rFonts w:ascii="Times New Roman" w:hAnsi="Times New Roman"/>
          <w:sz w:val="24"/>
          <w:szCs w:val="24"/>
        </w:rPr>
        <w:t xml:space="preserve"> managers then compile the crime data and submit </w:t>
      </w:r>
      <w:r w:rsidR="005E62D5">
        <w:rPr>
          <w:rFonts w:ascii="Times New Roman" w:hAnsi="Times New Roman"/>
          <w:sz w:val="24"/>
          <w:szCs w:val="24"/>
        </w:rPr>
        <w:t>the information</w:t>
      </w:r>
      <w:r w:rsidRPr="008426B0">
        <w:rPr>
          <w:rFonts w:ascii="Times New Roman" w:hAnsi="Times New Roman"/>
          <w:sz w:val="24"/>
          <w:szCs w:val="24"/>
        </w:rPr>
        <w:t xml:space="preserve"> to their state UCR programs.  Many state UCR programs have a centralized repository and have established electronic communications with the LEAs throughout their state and the </w:t>
      </w:r>
      <w:r w:rsidRPr="008426B0" w:rsidR="003125D8">
        <w:rPr>
          <w:rFonts w:ascii="Times New Roman" w:hAnsi="Times New Roman"/>
          <w:sz w:val="24"/>
          <w:szCs w:val="24"/>
        </w:rPr>
        <w:t xml:space="preserve">FBI’s </w:t>
      </w:r>
      <w:r w:rsidRPr="008426B0">
        <w:rPr>
          <w:rFonts w:ascii="Times New Roman" w:hAnsi="Times New Roman"/>
          <w:sz w:val="24"/>
          <w:szCs w:val="24"/>
        </w:rPr>
        <w:t>UCR Program.  This allows for information technology interaction within the required electronic data submission formats.</w:t>
      </w:r>
    </w:p>
    <w:p w:rsidR="001B42A8" w:rsidRPr="008426B0" w:rsidP="00CE0AF1" w14:paraId="400582F2"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013792" w:rsidRPr="008426B0" w:rsidP="00CE0AF1" w14:paraId="1C9DB8A8" w14:textId="311227EA">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All participants </w:t>
      </w:r>
      <w:r w:rsidRPr="008426B0" w:rsidR="00B0644A">
        <w:rPr>
          <w:rFonts w:ascii="Times New Roman" w:hAnsi="Times New Roman"/>
          <w:sz w:val="24"/>
          <w:szCs w:val="24"/>
        </w:rPr>
        <w:t xml:space="preserve">in the FBI’s UCR Program </w:t>
      </w:r>
      <w:r w:rsidRPr="008426B0">
        <w:rPr>
          <w:rFonts w:ascii="Times New Roman" w:hAnsi="Times New Roman"/>
          <w:sz w:val="24"/>
          <w:szCs w:val="24"/>
        </w:rPr>
        <w:t>submit their crime data electronically and</w:t>
      </w:r>
      <w:r w:rsidRPr="008426B0" w:rsidR="00E0043B">
        <w:rPr>
          <w:rFonts w:ascii="Times New Roman" w:hAnsi="Times New Roman"/>
          <w:sz w:val="24"/>
          <w:szCs w:val="24"/>
        </w:rPr>
        <w:t xml:space="preserve"> a </w:t>
      </w:r>
      <w:r w:rsidRPr="008426B0" w:rsidR="00CB27D4">
        <w:rPr>
          <w:rFonts w:ascii="Times New Roman" w:hAnsi="Times New Roman"/>
          <w:sz w:val="24"/>
          <w:szCs w:val="24"/>
        </w:rPr>
        <w:t xml:space="preserve">dashboard </w:t>
      </w:r>
      <w:r w:rsidRPr="008426B0" w:rsidR="00E0043B">
        <w:rPr>
          <w:rFonts w:ascii="Times New Roman" w:hAnsi="Times New Roman"/>
          <w:sz w:val="24"/>
          <w:szCs w:val="24"/>
        </w:rPr>
        <w:t xml:space="preserve">is maintained </w:t>
      </w:r>
      <w:r w:rsidRPr="008426B0" w:rsidR="00CB27D4">
        <w:rPr>
          <w:rFonts w:ascii="Times New Roman" w:hAnsi="Times New Roman"/>
          <w:sz w:val="24"/>
          <w:szCs w:val="24"/>
        </w:rPr>
        <w:t xml:space="preserve">for </w:t>
      </w:r>
      <w:r w:rsidRPr="008426B0">
        <w:rPr>
          <w:rFonts w:ascii="Times New Roman" w:hAnsi="Times New Roman"/>
          <w:sz w:val="24"/>
          <w:szCs w:val="24"/>
        </w:rPr>
        <w:t xml:space="preserve">that purpose.  State programs use the dashboard to upload their </w:t>
      </w:r>
      <w:r w:rsidRPr="008426B0" w:rsidR="00314CE9">
        <w:rPr>
          <w:rFonts w:ascii="Times New Roman" w:hAnsi="Times New Roman"/>
          <w:sz w:val="24"/>
          <w:szCs w:val="24"/>
        </w:rPr>
        <w:t xml:space="preserve">own flat </w:t>
      </w:r>
      <w:r w:rsidRPr="008426B0">
        <w:rPr>
          <w:rFonts w:ascii="Times New Roman" w:hAnsi="Times New Roman"/>
          <w:sz w:val="24"/>
          <w:szCs w:val="24"/>
        </w:rPr>
        <w:t>files to the system.</w:t>
      </w:r>
      <w:r w:rsidRPr="008426B0" w:rsidR="00962B9E">
        <w:rPr>
          <w:rFonts w:ascii="Times New Roman" w:hAnsi="Times New Roman"/>
          <w:sz w:val="24"/>
          <w:szCs w:val="24"/>
        </w:rPr>
        <w:t xml:space="preserve">  LEAs continuing to use the Microsoft </w:t>
      </w:r>
      <w:r w:rsidRPr="008426B0" w:rsidR="006A5E4A">
        <w:rPr>
          <w:rFonts w:ascii="Times New Roman" w:hAnsi="Times New Roman"/>
          <w:sz w:val="24"/>
          <w:szCs w:val="24"/>
        </w:rPr>
        <w:t xml:space="preserve">Excel Summary Workbook provided by the FBI </w:t>
      </w:r>
      <w:r w:rsidRPr="008426B0" w:rsidR="00FD40C3">
        <w:rPr>
          <w:rFonts w:ascii="Times New Roman" w:hAnsi="Times New Roman"/>
          <w:sz w:val="24"/>
          <w:szCs w:val="24"/>
        </w:rPr>
        <w:t>must generate a flat file for uploading to the dashboard.</w:t>
      </w:r>
    </w:p>
    <w:p w:rsidR="00597C89" w:rsidRPr="008426B0" w:rsidP="00CE0AF1" w14:paraId="3B4882D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67D06A37"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4.  </w:t>
      </w:r>
      <w:r w:rsidRPr="008426B0" w:rsidR="00F9466C">
        <w:rPr>
          <w:rFonts w:ascii="Times New Roman" w:hAnsi="Times New Roman"/>
          <w:sz w:val="24"/>
          <w:szCs w:val="24"/>
        </w:rPr>
        <w:tab/>
      </w:r>
      <w:r w:rsidRPr="008426B0">
        <w:rPr>
          <w:rFonts w:ascii="Times New Roman" w:hAnsi="Times New Roman"/>
          <w:sz w:val="24"/>
          <w:szCs w:val="24"/>
          <w:u w:val="single"/>
        </w:rPr>
        <w:t>Efforts to Identify Duplication</w:t>
      </w:r>
    </w:p>
    <w:p w:rsidR="00630AA5" w:rsidRPr="008426B0" w:rsidP="00CE0AF1" w14:paraId="4187A057"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364F09" w:rsidRPr="008426B0" w:rsidP="00CE0AF1" w14:paraId="0B1EF3B7" w14:textId="61AB9DEB">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The FBI is the only </w:t>
      </w:r>
      <w:r w:rsidRPr="008426B0" w:rsidR="006751AF">
        <w:rPr>
          <w:rFonts w:ascii="Times New Roman" w:hAnsi="Times New Roman"/>
          <w:sz w:val="24"/>
          <w:szCs w:val="24"/>
        </w:rPr>
        <w:t xml:space="preserve">federal </w:t>
      </w:r>
      <w:r w:rsidRPr="008426B0">
        <w:rPr>
          <w:rFonts w:ascii="Times New Roman" w:hAnsi="Times New Roman"/>
          <w:sz w:val="24"/>
          <w:szCs w:val="24"/>
        </w:rPr>
        <w:t xml:space="preserve">agency collecting extensive data </w:t>
      </w:r>
      <w:r w:rsidRPr="008426B0" w:rsidR="00930658">
        <w:rPr>
          <w:rFonts w:ascii="Times New Roman" w:hAnsi="Times New Roman"/>
          <w:sz w:val="24"/>
          <w:szCs w:val="24"/>
        </w:rPr>
        <w:t>based on Part I criminal offenses, crime clearances, and the monetary values of property stolen and recovered in the United States.</w:t>
      </w:r>
    </w:p>
    <w:p w:rsidR="005117F3" w:rsidRPr="008426B0" w:rsidP="00CE0AF1" w14:paraId="3D78593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6761E8" w14:paraId="4E73483A" w14:textId="77777777">
      <w:pPr>
        <w:autoSpaceDE/>
        <w:autoSpaceDN/>
        <w:adjustRightInd/>
        <w:rPr>
          <w:rFonts w:ascii="Times New Roman" w:hAnsi="Times New Roman"/>
          <w:sz w:val="24"/>
          <w:szCs w:val="24"/>
        </w:rPr>
      </w:pPr>
      <w:r>
        <w:rPr>
          <w:rFonts w:ascii="Times New Roman" w:hAnsi="Times New Roman"/>
          <w:sz w:val="24"/>
          <w:szCs w:val="24"/>
        </w:rPr>
        <w:br w:type="page"/>
      </w:r>
    </w:p>
    <w:p w:rsidR="00C177D2" w:rsidRPr="008426B0" w:rsidP="00CE0AF1" w14:paraId="4D048E58" w14:textId="48A0734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5.  </w:t>
      </w:r>
      <w:r w:rsidRPr="008426B0" w:rsidR="00F9466C">
        <w:rPr>
          <w:rFonts w:ascii="Times New Roman" w:hAnsi="Times New Roman"/>
          <w:sz w:val="24"/>
          <w:szCs w:val="24"/>
        </w:rPr>
        <w:tab/>
      </w:r>
      <w:r w:rsidRPr="008426B0">
        <w:rPr>
          <w:rFonts w:ascii="Times New Roman" w:hAnsi="Times New Roman"/>
          <w:sz w:val="24"/>
          <w:szCs w:val="24"/>
          <w:u w:val="single"/>
        </w:rPr>
        <w:t xml:space="preserve">Minimizing Burden on Small </w:t>
      </w:r>
      <w:r w:rsidRPr="008426B0" w:rsidR="00BE119D">
        <w:rPr>
          <w:rFonts w:ascii="Times New Roman" w:hAnsi="Times New Roman"/>
          <w:sz w:val="24"/>
          <w:szCs w:val="24"/>
          <w:u w:val="single"/>
        </w:rPr>
        <w:t>Entities</w:t>
      </w:r>
      <w:r w:rsidRPr="008426B0">
        <w:rPr>
          <w:rFonts w:ascii="Times New Roman" w:hAnsi="Times New Roman"/>
          <w:sz w:val="24"/>
          <w:szCs w:val="24"/>
        </w:rPr>
        <w:t xml:space="preserve">  </w:t>
      </w:r>
    </w:p>
    <w:p w:rsidR="00C177D2" w:rsidRPr="008426B0" w:rsidP="00CE0AF1" w14:paraId="42D5923F"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804602" w:rsidRPr="008426B0" w:rsidP="00CE0AF1" w14:paraId="16585148" w14:textId="1B8A3E55">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This information </w:t>
      </w:r>
      <w:r w:rsidRPr="008426B0" w:rsidR="002B6213">
        <w:rPr>
          <w:rFonts w:ascii="Times New Roman" w:hAnsi="Times New Roman"/>
          <w:sz w:val="24"/>
          <w:szCs w:val="24"/>
        </w:rPr>
        <w:t xml:space="preserve">collection </w:t>
      </w:r>
      <w:r w:rsidRPr="008426B0">
        <w:rPr>
          <w:rFonts w:ascii="Times New Roman" w:hAnsi="Times New Roman"/>
          <w:sz w:val="24"/>
          <w:szCs w:val="24"/>
        </w:rPr>
        <w:t>will have no sign</w:t>
      </w:r>
      <w:r w:rsidRPr="008426B0" w:rsidR="002301BE">
        <w:rPr>
          <w:rFonts w:ascii="Times New Roman" w:hAnsi="Times New Roman"/>
          <w:sz w:val="24"/>
          <w:szCs w:val="24"/>
        </w:rPr>
        <w:t xml:space="preserve">ificant </w:t>
      </w:r>
      <w:r w:rsidRPr="008426B0" w:rsidR="002B6213">
        <w:rPr>
          <w:rFonts w:ascii="Times New Roman" w:hAnsi="Times New Roman"/>
          <w:sz w:val="24"/>
          <w:szCs w:val="24"/>
        </w:rPr>
        <w:t>burden</w:t>
      </w:r>
      <w:r w:rsidRPr="008426B0" w:rsidR="002301BE">
        <w:rPr>
          <w:rFonts w:ascii="Times New Roman" w:hAnsi="Times New Roman"/>
          <w:sz w:val="24"/>
          <w:szCs w:val="24"/>
        </w:rPr>
        <w:t xml:space="preserve"> on small </w:t>
      </w:r>
      <w:r w:rsidRPr="008426B0" w:rsidR="00F9466C">
        <w:rPr>
          <w:rFonts w:ascii="Times New Roman" w:hAnsi="Times New Roman"/>
          <w:sz w:val="24"/>
          <w:szCs w:val="24"/>
        </w:rPr>
        <w:t>LEAs</w:t>
      </w:r>
      <w:r w:rsidRPr="008426B0" w:rsidR="00DA1E6F">
        <w:rPr>
          <w:rFonts w:ascii="Times New Roman" w:hAnsi="Times New Roman"/>
          <w:sz w:val="24"/>
          <w:szCs w:val="24"/>
        </w:rPr>
        <w:t>.</w:t>
      </w:r>
      <w:r w:rsidRPr="008426B0" w:rsidR="00686895">
        <w:rPr>
          <w:rFonts w:ascii="Times New Roman" w:hAnsi="Times New Roman"/>
          <w:sz w:val="24"/>
          <w:szCs w:val="24"/>
        </w:rPr>
        <w:t xml:space="preserve">  Data are collected </w:t>
      </w:r>
      <w:r w:rsidRPr="008426B0" w:rsidR="000913A5">
        <w:rPr>
          <w:rFonts w:ascii="Times New Roman" w:hAnsi="Times New Roman"/>
          <w:sz w:val="24"/>
          <w:szCs w:val="24"/>
        </w:rPr>
        <w:t>monthly since police records are run</w:t>
      </w:r>
      <w:r w:rsidRPr="008426B0" w:rsidR="00605170">
        <w:rPr>
          <w:rFonts w:ascii="Times New Roman" w:hAnsi="Times New Roman"/>
          <w:sz w:val="24"/>
          <w:szCs w:val="24"/>
        </w:rPr>
        <w:t xml:space="preserve"> </w:t>
      </w:r>
      <w:r w:rsidRPr="008426B0" w:rsidR="0039031E">
        <w:rPr>
          <w:rFonts w:ascii="Times New Roman" w:hAnsi="Times New Roman"/>
          <w:sz w:val="24"/>
          <w:szCs w:val="24"/>
        </w:rPr>
        <w:t>by</w:t>
      </w:r>
      <w:r w:rsidRPr="008426B0" w:rsidR="000913A5">
        <w:rPr>
          <w:rFonts w:ascii="Times New Roman" w:hAnsi="Times New Roman"/>
          <w:sz w:val="24"/>
          <w:szCs w:val="24"/>
        </w:rPr>
        <w:t xml:space="preserve"> calendar month</w:t>
      </w:r>
      <w:r w:rsidRPr="008426B0" w:rsidR="0039031E">
        <w:rPr>
          <w:rFonts w:ascii="Times New Roman" w:hAnsi="Times New Roman"/>
          <w:sz w:val="24"/>
          <w:szCs w:val="24"/>
        </w:rPr>
        <w:t>.  H</w:t>
      </w:r>
      <w:r w:rsidRPr="008426B0" w:rsidR="000913A5">
        <w:rPr>
          <w:rFonts w:ascii="Times New Roman" w:hAnsi="Times New Roman"/>
          <w:sz w:val="24"/>
          <w:szCs w:val="24"/>
        </w:rPr>
        <w:t>owever, t</w:t>
      </w:r>
      <w:r w:rsidRPr="008426B0" w:rsidR="00BE119D">
        <w:rPr>
          <w:rFonts w:ascii="Times New Roman" w:hAnsi="Times New Roman"/>
          <w:sz w:val="24"/>
          <w:szCs w:val="24"/>
        </w:rPr>
        <w:t>he FBI</w:t>
      </w:r>
      <w:r w:rsidRPr="008426B0" w:rsidR="0039031E">
        <w:rPr>
          <w:rFonts w:ascii="Times New Roman" w:hAnsi="Times New Roman"/>
          <w:sz w:val="24"/>
          <w:szCs w:val="24"/>
        </w:rPr>
        <w:t>’s UCR Program</w:t>
      </w:r>
      <w:r w:rsidRPr="008426B0" w:rsidR="00BE119D">
        <w:rPr>
          <w:rFonts w:ascii="Times New Roman" w:hAnsi="Times New Roman"/>
          <w:sz w:val="24"/>
          <w:szCs w:val="24"/>
        </w:rPr>
        <w:t xml:space="preserve"> minimizes </w:t>
      </w:r>
      <w:r w:rsidRPr="008426B0" w:rsidR="0039031E">
        <w:rPr>
          <w:rFonts w:ascii="Times New Roman" w:hAnsi="Times New Roman"/>
          <w:sz w:val="24"/>
          <w:szCs w:val="24"/>
        </w:rPr>
        <w:t xml:space="preserve">the </w:t>
      </w:r>
      <w:r w:rsidRPr="008426B0" w:rsidR="00BE119D">
        <w:rPr>
          <w:rFonts w:ascii="Times New Roman" w:hAnsi="Times New Roman"/>
          <w:sz w:val="24"/>
          <w:szCs w:val="24"/>
        </w:rPr>
        <w:t xml:space="preserve">burden on small </w:t>
      </w:r>
      <w:r w:rsidRPr="008426B0" w:rsidR="00CD61AE">
        <w:rPr>
          <w:rFonts w:ascii="Times New Roman" w:hAnsi="Times New Roman"/>
          <w:sz w:val="24"/>
          <w:szCs w:val="24"/>
        </w:rPr>
        <w:t>LEAs</w:t>
      </w:r>
      <w:r w:rsidRPr="008426B0" w:rsidR="00BE119D">
        <w:rPr>
          <w:rFonts w:ascii="Times New Roman" w:hAnsi="Times New Roman"/>
          <w:sz w:val="24"/>
          <w:szCs w:val="24"/>
        </w:rPr>
        <w:t xml:space="preserve"> by allowing them to submit quarterly, </w:t>
      </w:r>
      <w:r w:rsidRPr="008426B0" w:rsidR="00F9466C">
        <w:rPr>
          <w:rFonts w:ascii="Times New Roman" w:hAnsi="Times New Roman"/>
          <w:sz w:val="24"/>
          <w:szCs w:val="24"/>
        </w:rPr>
        <w:t>semi-annually</w:t>
      </w:r>
      <w:r w:rsidRPr="008426B0" w:rsidR="00DA1E6F">
        <w:rPr>
          <w:rFonts w:ascii="Times New Roman" w:hAnsi="Times New Roman"/>
          <w:sz w:val="24"/>
          <w:szCs w:val="24"/>
        </w:rPr>
        <w:t xml:space="preserve">, or </w:t>
      </w:r>
      <w:r w:rsidRPr="008426B0" w:rsidR="00F9466C">
        <w:rPr>
          <w:rFonts w:ascii="Times New Roman" w:hAnsi="Times New Roman"/>
          <w:sz w:val="24"/>
          <w:szCs w:val="24"/>
        </w:rPr>
        <w:t>annually</w:t>
      </w:r>
      <w:r w:rsidRPr="008426B0" w:rsidR="00DA1E6F">
        <w:rPr>
          <w:rFonts w:ascii="Times New Roman" w:hAnsi="Times New Roman"/>
          <w:sz w:val="24"/>
          <w:szCs w:val="24"/>
        </w:rPr>
        <w:t xml:space="preserve">. </w:t>
      </w:r>
      <w:r w:rsidRPr="008426B0" w:rsidR="001E4967">
        <w:rPr>
          <w:rFonts w:ascii="Times New Roman" w:hAnsi="Times New Roman"/>
          <w:sz w:val="24"/>
          <w:szCs w:val="24"/>
        </w:rPr>
        <w:t xml:space="preserve"> </w:t>
      </w:r>
    </w:p>
    <w:p w:rsidR="001E4967" w:rsidRPr="008426B0" w:rsidP="00CE0AF1" w14:paraId="5532FB3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1FDB5DF2"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6.  </w:t>
      </w:r>
      <w:r w:rsidRPr="008426B0" w:rsidR="00F9466C">
        <w:rPr>
          <w:rFonts w:ascii="Times New Roman" w:hAnsi="Times New Roman"/>
          <w:sz w:val="24"/>
          <w:szCs w:val="24"/>
        </w:rPr>
        <w:tab/>
      </w:r>
      <w:r w:rsidRPr="008426B0">
        <w:rPr>
          <w:rFonts w:ascii="Times New Roman" w:hAnsi="Times New Roman"/>
          <w:sz w:val="24"/>
          <w:szCs w:val="24"/>
          <w:u w:val="single"/>
        </w:rPr>
        <w:t>Consequences of Not Conducting or Less Frequent Collection</w:t>
      </w:r>
      <w:r w:rsidRPr="008426B0">
        <w:rPr>
          <w:rFonts w:ascii="Times New Roman" w:hAnsi="Times New Roman"/>
          <w:sz w:val="24"/>
          <w:szCs w:val="24"/>
        </w:rPr>
        <w:t xml:space="preserve">  </w:t>
      </w:r>
    </w:p>
    <w:p w:rsidR="00C177D2" w:rsidRPr="008426B0" w:rsidP="00CE0AF1" w14:paraId="3DAFC9E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1BE19D94" w14:textId="6045E8DF">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bookmarkStart w:id="2" w:name="OLE_LINK5"/>
      <w:r w:rsidRPr="008426B0">
        <w:rPr>
          <w:rFonts w:ascii="Times New Roman" w:hAnsi="Times New Roman"/>
          <w:sz w:val="24"/>
          <w:szCs w:val="24"/>
        </w:rPr>
        <w:t>To serve as the national repository for report</w:t>
      </w:r>
      <w:r w:rsidRPr="008426B0" w:rsidR="00FB0D7F">
        <w:rPr>
          <w:rFonts w:ascii="Times New Roman" w:hAnsi="Times New Roman"/>
          <w:sz w:val="24"/>
          <w:szCs w:val="24"/>
        </w:rPr>
        <w:t xml:space="preserve">ed crime </w:t>
      </w:r>
      <w:r w:rsidRPr="008426B0">
        <w:rPr>
          <w:rFonts w:ascii="Times New Roman" w:hAnsi="Times New Roman"/>
          <w:sz w:val="24"/>
          <w:szCs w:val="24"/>
        </w:rPr>
        <w:t xml:space="preserve">and to produce a reliable dataset, the FBI collects monthly statistics reported by </w:t>
      </w:r>
      <w:r w:rsidRPr="008426B0" w:rsidR="005410E4">
        <w:rPr>
          <w:rFonts w:ascii="Times New Roman" w:hAnsi="Times New Roman"/>
          <w:sz w:val="24"/>
          <w:szCs w:val="24"/>
        </w:rPr>
        <w:t xml:space="preserve">LEAs </w:t>
      </w:r>
      <w:r w:rsidRPr="008426B0">
        <w:rPr>
          <w:rFonts w:ascii="Times New Roman" w:hAnsi="Times New Roman"/>
          <w:sz w:val="24"/>
          <w:szCs w:val="24"/>
        </w:rPr>
        <w:t>participating</w:t>
      </w:r>
      <w:r w:rsidRPr="008426B0" w:rsidR="002B2EC8">
        <w:rPr>
          <w:rFonts w:ascii="Times New Roman" w:hAnsi="Times New Roman"/>
          <w:sz w:val="24"/>
          <w:szCs w:val="24"/>
        </w:rPr>
        <w:t xml:space="preserve"> in the FBI’s </w:t>
      </w:r>
      <w:r w:rsidRPr="008426B0">
        <w:rPr>
          <w:rFonts w:ascii="Times New Roman" w:hAnsi="Times New Roman"/>
          <w:sz w:val="24"/>
          <w:szCs w:val="24"/>
        </w:rPr>
        <w:t>UCR Program</w:t>
      </w:r>
      <w:r w:rsidRPr="008426B0" w:rsidR="00DA1E6F">
        <w:rPr>
          <w:rFonts w:ascii="Times New Roman" w:hAnsi="Times New Roman"/>
          <w:sz w:val="24"/>
          <w:szCs w:val="24"/>
        </w:rPr>
        <w:t xml:space="preserve">.  </w:t>
      </w:r>
      <w:r w:rsidRPr="008426B0">
        <w:rPr>
          <w:rFonts w:ascii="Times New Roman" w:hAnsi="Times New Roman"/>
          <w:sz w:val="24"/>
          <w:szCs w:val="24"/>
        </w:rPr>
        <w:t xml:space="preserve">There is an ever-increasing need for </w:t>
      </w:r>
      <w:r w:rsidRPr="008426B0" w:rsidR="00E220E4">
        <w:rPr>
          <w:rFonts w:ascii="Times New Roman" w:hAnsi="Times New Roman"/>
          <w:sz w:val="24"/>
          <w:szCs w:val="24"/>
        </w:rPr>
        <w:t xml:space="preserve">the FBI to collect accurate data and to disseminate </w:t>
      </w:r>
      <w:r w:rsidRPr="008426B0" w:rsidR="000D1368">
        <w:rPr>
          <w:rFonts w:ascii="Times New Roman" w:hAnsi="Times New Roman"/>
          <w:sz w:val="24"/>
          <w:szCs w:val="24"/>
        </w:rPr>
        <w:t>the information</w:t>
      </w:r>
      <w:r w:rsidRPr="008426B0" w:rsidR="00E220E4">
        <w:rPr>
          <w:rFonts w:ascii="Times New Roman" w:hAnsi="Times New Roman"/>
          <w:sz w:val="24"/>
          <w:szCs w:val="24"/>
        </w:rPr>
        <w:t xml:space="preserve"> in a </w:t>
      </w:r>
      <w:r w:rsidRPr="008426B0">
        <w:rPr>
          <w:rFonts w:ascii="Times New Roman" w:hAnsi="Times New Roman"/>
          <w:sz w:val="24"/>
          <w:szCs w:val="24"/>
        </w:rPr>
        <w:t>timely</w:t>
      </w:r>
      <w:r w:rsidRPr="008426B0" w:rsidR="00E220E4">
        <w:rPr>
          <w:rFonts w:ascii="Times New Roman" w:hAnsi="Times New Roman"/>
          <w:sz w:val="24"/>
          <w:szCs w:val="24"/>
        </w:rPr>
        <w:t xml:space="preserve"> manner</w:t>
      </w:r>
      <w:r w:rsidRPr="008426B0">
        <w:rPr>
          <w:rFonts w:ascii="Times New Roman" w:hAnsi="Times New Roman"/>
          <w:sz w:val="24"/>
          <w:szCs w:val="24"/>
        </w:rPr>
        <w:t>.</w:t>
      </w:r>
      <w:r w:rsidRPr="008426B0" w:rsidR="007513C0">
        <w:rPr>
          <w:rFonts w:ascii="Times New Roman" w:hAnsi="Times New Roman"/>
          <w:sz w:val="24"/>
          <w:szCs w:val="24"/>
        </w:rPr>
        <w:t xml:space="preserve">  </w:t>
      </w:r>
      <w:r w:rsidRPr="008426B0" w:rsidR="006751AF">
        <w:rPr>
          <w:rFonts w:ascii="Times New Roman" w:hAnsi="Times New Roman"/>
          <w:sz w:val="24"/>
          <w:szCs w:val="24"/>
        </w:rPr>
        <w:t xml:space="preserve">Since </w:t>
      </w:r>
      <w:r w:rsidRPr="008426B0" w:rsidR="005A6479">
        <w:rPr>
          <w:rFonts w:ascii="Times New Roman" w:hAnsi="Times New Roman"/>
          <w:sz w:val="24"/>
          <w:szCs w:val="24"/>
        </w:rPr>
        <w:t xml:space="preserve">June 2020, data submitted to the </w:t>
      </w:r>
      <w:r w:rsidRPr="008426B0" w:rsidR="00D43A8C">
        <w:rPr>
          <w:rFonts w:ascii="Times New Roman" w:hAnsi="Times New Roman"/>
          <w:sz w:val="24"/>
          <w:szCs w:val="24"/>
        </w:rPr>
        <w:t xml:space="preserve">FBI’s </w:t>
      </w:r>
      <w:r w:rsidRPr="008426B0" w:rsidR="005A6479">
        <w:rPr>
          <w:rFonts w:ascii="Times New Roman" w:hAnsi="Times New Roman"/>
          <w:sz w:val="24"/>
          <w:szCs w:val="24"/>
        </w:rPr>
        <w:t xml:space="preserve">UCR Program </w:t>
      </w:r>
      <w:r w:rsidRPr="008426B0" w:rsidR="006751AF">
        <w:rPr>
          <w:rFonts w:ascii="Times New Roman" w:hAnsi="Times New Roman"/>
          <w:sz w:val="24"/>
          <w:szCs w:val="24"/>
        </w:rPr>
        <w:t>ha</w:t>
      </w:r>
      <w:r w:rsidRPr="008426B0" w:rsidR="002766AA">
        <w:rPr>
          <w:rFonts w:ascii="Times New Roman" w:hAnsi="Times New Roman"/>
          <w:sz w:val="24"/>
          <w:szCs w:val="24"/>
        </w:rPr>
        <w:t>ve</w:t>
      </w:r>
      <w:r w:rsidRPr="008426B0" w:rsidR="006751AF">
        <w:rPr>
          <w:rFonts w:ascii="Times New Roman" w:hAnsi="Times New Roman"/>
          <w:sz w:val="24"/>
          <w:szCs w:val="24"/>
        </w:rPr>
        <w:t xml:space="preserve"> </w:t>
      </w:r>
      <w:r w:rsidRPr="008426B0" w:rsidR="002B586F">
        <w:rPr>
          <w:rFonts w:ascii="Times New Roman" w:hAnsi="Times New Roman"/>
          <w:sz w:val="24"/>
          <w:szCs w:val="24"/>
        </w:rPr>
        <w:t>been available</w:t>
      </w:r>
      <w:r w:rsidRPr="008426B0" w:rsidR="005A6479">
        <w:rPr>
          <w:rFonts w:ascii="Times New Roman" w:hAnsi="Times New Roman"/>
          <w:sz w:val="24"/>
          <w:szCs w:val="24"/>
        </w:rPr>
        <w:t xml:space="preserve"> </w:t>
      </w:r>
      <w:r w:rsidRPr="008426B0" w:rsidR="007513C0">
        <w:rPr>
          <w:rFonts w:ascii="Times New Roman" w:hAnsi="Times New Roman"/>
          <w:sz w:val="24"/>
          <w:szCs w:val="24"/>
        </w:rPr>
        <w:t xml:space="preserve">on the </w:t>
      </w:r>
      <w:r w:rsidRPr="008426B0" w:rsidR="0005610D">
        <w:rPr>
          <w:rFonts w:ascii="Times New Roman" w:hAnsi="Times New Roman"/>
          <w:sz w:val="24"/>
          <w:szCs w:val="24"/>
        </w:rPr>
        <w:t>Crime Data Explorer</w:t>
      </w:r>
      <w:r w:rsidRPr="008426B0" w:rsidR="002C1273">
        <w:rPr>
          <w:rFonts w:ascii="Times New Roman" w:hAnsi="Times New Roman"/>
          <w:sz w:val="24"/>
          <w:szCs w:val="24"/>
        </w:rPr>
        <w:t xml:space="preserve">, are </w:t>
      </w:r>
      <w:r w:rsidRPr="008426B0" w:rsidR="00363239">
        <w:rPr>
          <w:rFonts w:ascii="Times New Roman" w:hAnsi="Times New Roman"/>
          <w:sz w:val="24"/>
          <w:szCs w:val="24"/>
        </w:rPr>
        <w:t>now re</w:t>
      </w:r>
      <w:r w:rsidRPr="008426B0" w:rsidR="00AA609E">
        <w:rPr>
          <w:rFonts w:ascii="Times New Roman" w:hAnsi="Times New Roman"/>
          <w:sz w:val="24"/>
          <w:szCs w:val="24"/>
        </w:rPr>
        <w:t>leased monthly</w:t>
      </w:r>
      <w:r w:rsidRPr="008426B0" w:rsidR="002C1273">
        <w:rPr>
          <w:rFonts w:ascii="Times New Roman" w:hAnsi="Times New Roman"/>
          <w:sz w:val="24"/>
          <w:szCs w:val="24"/>
        </w:rPr>
        <w:t>,</w:t>
      </w:r>
      <w:r w:rsidRPr="008426B0" w:rsidR="00AA609E">
        <w:rPr>
          <w:rFonts w:ascii="Times New Roman" w:hAnsi="Times New Roman"/>
          <w:sz w:val="24"/>
          <w:szCs w:val="24"/>
        </w:rPr>
        <w:t xml:space="preserve"> </w:t>
      </w:r>
      <w:r w:rsidRPr="008426B0" w:rsidR="0070608D">
        <w:rPr>
          <w:rFonts w:ascii="Times New Roman" w:hAnsi="Times New Roman"/>
          <w:sz w:val="24"/>
          <w:szCs w:val="24"/>
        </w:rPr>
        <w:t xml:space="preserve">and </w:t>
      </w:r>
      <w:r w:rsidRPr="008426B0" w:rsidR="005A6479">
        <w:rPr>
          <w:rFonts w:ascii="Times New Roman" w:hAnsi="Times New Roman"/>
          <w:sz w:val="24"/>
          <w:szCs w:val="24"/>
        </w:rPr>
        <w:t xml:space="preserve">include caveats stating </w:t>
      </w:r>
      <w:r w:rsidRPr="008426B0" w:rsidR="0070608D">
        <w:rPr>
          <w:rFonts w:ascii="Times New Roman" w:hAnsi="Times New Roman"/>
          <w:sz w:val="24"/>
          <w:szCs w:val="24"/>
        </w:rPr>
        <w:t xml:space="preserve">that the </w:t>
      </w:r>
      <w:r w:rsidRPr="008426B0" w:rsidR="009A255D">
        <w:rPr>
          <w:rFonts w:ascii="Times New Roman" w:hAnsi="Times New Roman"/>
          <w:sz w:val="24"/>
          <w:szCs w:val="24"/>
        </w:rPr>
        <w:t>information is</w:t>
      </w:r>
      <w:r w:rsidRPr="008426B0" w:rsidR="005A6479">
        <w:rPr>
          <w:rFonts w:ascii="Times New Roman" w:hAnsi="Times New Roman"/>
          <w:sz w:val="24"/>
          <w:szCs w:val="24"/>
        </w:rPr>
        <w:t xml:space="preserve"> subject to change. </w:t>
      </w:r>
    </w:p>
    <w:p w:rsidR="00BE119D" w:rsidRPr="008426B0" w:rsidP="00CE0AF1" w14:paraId="3966F781" w14:textId="77777777">
      <w:pPr>
        <w:tabs>
          <w:tab w:val="left" w:pos="-1159"/>
          <w:tab w:val="left" w:pos="-720"/>
          <w:tab w:val="left" w:pos="1260"/>
          <w:tab w:val="left" w:pos="1800"/>
          <w:tab w:val="left" w:pos="2340"/>
          <w:tab w:val="left" w:pos="3600"/>
        </w:tabs>
        <w:ind w:left="1080"/>
        <w:rPr>
          <w:rFonts w:ascii="Times New Roman" w:hAnsi="Times New Roman"/>
          <w:sz w:val="24"/>
          <w:szCs w:val="24"/>
        </w:rPr>
      </w:pPr>
    </w:p>
    <w:bookmarkEnd w:id="2"/>
    <w:p w:rsidR="00BE119D" w:rsidRPr="008426B0" w:rsidP="00CE0AF1" w14:paraId="3E31E74E" w14:textId="3A0B2246">
      <w:pPr>
        <w:tabs>
          <w:tab w:val="left" w:pos="-1159"/>
          <w:tab w:val="left" w:pos="-720"/>
          <w:tab w:val="left" w:pos="1260"/>
          <w:tab w:val="left" w:pos="1800"/>
          <w:tab w:val="left" w:pos="2340"/>
          <w:tab w:val="left" w:pos="3600"/>
        </w:tabs>
        <w:ind w:left="1080"/>
        <w:rPr>
          <w:rFonts w:ascii="Times New Roman" w:hAnsi="Times New Roman"/>
          <w:sz w:val="24"/>
          <w:szCs w:val="24"/>
        </w:rPr>
      </w:pPr>
      <w:r w:rsidRPr="008426B0">
        <w:rPr>
          <w:rFonts w:ascii="Times New Roman" w:hAnsi="Times New Roman"/>
          <w:sz w:val="24"/>
          <w:szCs w:val="24"/>
        </w:rPr>
        <w:t xml:space="preserve">LEAs use </w:t>
      </w:r>
      <w:r w:rsidRPr="008426B0" w:rsidR="003945A2">
        <w:rPr>
          <w:rFonts w:ascii="Times New Roman" w:hAnsi="Times New Roman"/>
          <w:sz w:val="24"/>
          <w:szCs w:val="24"/>
        </w:rPr>
        <w:t xml:space="preserve">the </w:t>
      </w:r>
      <w:r w:rsidRPr="008426B0" w:rsidR="003F0286">
        <w:rPr>
          <w:rFonts w:ascii="Times New Roman" w:hAnsi="Times New Roman"/>
          <w:sz w:val="24"/>
          <w:szCs w:val="24"/>
        </w:rPr>
        <w:t xml:space="preserve">data collected by the FBI’s </w:t>
      </w:r>
      <w:r w:rsidRPr="008426B0">
        <w:rPr>
          <w:rFonts w:ascii="Times New Roman" w:hAnsi="Times New Roman"/>
          <w:sz w:val="24"/>
          <w:szCs w:val="24"/>
        </w:rPr>
        <w:t xml:space="preserve">UCR </w:t>
      </w:r>
      <w:r w:rsidRPr="008426B0" w:rsidR="001E4967">
        <w:rPr>
          <w:rFonts w:ascii="Times New Roman" w:hAnsi="Times New Roman"/>
          <w:sz w:val="24"/>
          <w:szCs w:val="24"/>
        </w:rPr>
        <w:t xml:space="preserve">Program </w:t>
      </w:r>
      <w:r w:rsidRPr="008426B0">
        <w:rPr>
          <w:rFonts w:ascii="Times New Roman" w:hAnsi="Times New Roman"/>
          <w:sz w:val="24"/>
          <w:szCs w:val="24"/>
        </w:rPr>
        <w:t>to track crime</w:t>
      </w:r>
      <w:r w:rsidRPr="008426B0" w:rsidR="00031159">
        <w:rPr>
          <w:rFonts w:ascii="Times New Roman" w:hAnsi="Times New Roman"/>
          <w:sz w:val="24"/>
          <w:szCs w:val="24"/>
        </w:rPr>
        <w:t xml:space="preserve">, justify staffing levels, </w:t>
      </w:r>
      <w:r w:rsidRPr="008426B0" w:rsidR="007D2D07">
        <w:rPr>
          <w:rFonts w:ascii="Times New Roman" w:hAnsi="Times New Roman"/>
          <w:sz w:val="24"/>
          <w:szCs w:val="24"/>
        </w:rPr>
        <w:t xml:space="preserve">receive additional equipment, </w:t>
      </w:r>
      <w:r w:rsidRPr="008426B0" w:rsidR="00031159">
        <w:rPr>
          <w:rFonts w:ascii="Times New Roman" w:hAnsi="Times New Roman"/>
          <w:sz w:val="24"/>
          <w:szCs w:val="24"/>
        </w:rPr>
        <w:t xml:space="preserve">and </w:t>
      </w:r>
      <w:r w:rsidRPr="008426B0" w:rsidR="00AA331B">
        <w:rPr>
          <w:rFonts w:ascii="Times New Roman" w:hAnsi="Times New Roman"/>
          <w:sz w:val="24"/>
          <w:szCs w:val="24"/>
        </w:rPr>
        <w:t xml:space="preserve">determine appropriate </w:t>
      </w:r>
      <w:r w:rsidRPr="008426B0">
        <w:rPr>
          <w:rFonts w:ascii="Times New Roman" w:hAnsi="Times New Roman"/>
          <w:sz w:val="24"/>
          <w:szCs w:val="24"/>
        </w:rPr>
        <w:t>officer placement.</w:t>
      </w:r>
      <w:r w:rsidRPr="008426B0" w:rsidR="00FD7452">
        <w:rPr>
          <w:rFonts w:ascii="Times New Roman" w:hAnsi="Times New Roman"/>
          <w:sz w:val="24"/>
          <w:szCs w:val="24"/>
        </w:rPr>
        <w:t xml:space="preserve">  Additionally, the </w:t>
      </w:r>
      <w:r w:rsidRPr="008426B0" w:rsidR="00B45314">
        <w:rPr>
          <w:rFonts w:ascii="Times New Roman" w:hAnsi="Times New Roman"/>
          <w:sz w:val="24"/>
          <w:szCs w:val="24"/>
        </w:rPr>
        <w:t xml:space="preserve">information is used </w:t>
      </w:r>
      <w:r w:rsidRPr="008426B0">
        <w:rPr>
          <w:rFonts w:ascii="Times New Roman" w:hAnsi="Times New Roman"/>
          <w:sz w:val="24"/>
          <w:szCs w:val="24"/>
        </w:rPr>
        <w:t xml:space="preserve">for </w:t>
      </w:r>
      <w:r w:rsidRPr="008426B0" w:rsidR="00D95DB3">
        <w:rPr>
          <w:rFonts w:ascii="Times New Roman" w:hAnsi="Times New Roman"/>
          <w:sz w:val="24"/>
          <w:szCs w:val="24"/>
        </w:rPr>
        <w:t xml:space="preserve">the purposes of </w:t>
      </w:r>
      <w:r w:rsidRPr="008426B0">
        <w:rPr>
          <w:rFonts w:ascii="Times New Roman" w:hAnsi="Times New Roman"/>
          <w:sz w:val="24"/>
          <w:szCs w:val="24"/>
        </w:rPr>
        <w:t xml:space="preserve">administration, operation, management, and </w:t>
      </w:r>
      <w:r w:rsidRPr="008426B0" w:rsidR="003A543A">
        <w:rPr>
          <w:rFonts w:ascii="Times New Roman" w:hAnsi="Times New Roman"/>
          <w:sz w:val="24"/>
          <w:szCs w:val="24"/>
        </w:rPr>
        <w:t>evaluation</w:t>
      </w:r>
      <w:r w:rsidRPr="008426B0" w:rsidR="001E4967">
        <w:rPr>
          <w:rFonts w:ascii="Times New Roman" w:hAnsi="Times New Roman"/>
          <w:sz w:val="24"/>
          <w:szCs w:val="24"/>
        </w:rPr>
        <w:t xml:space="preserve"> of resources</w:t>
      </w:r>
      <w:r w:rsidRPr="008426B0">
        <w:rPr>
          <w:rFonts w:ascii="Times New Roman" w:hAnsi="Times New Roman"/>
          <w:sz w:val="24"/>
          <w:szCs w:val="24"/>
        </w:rPr>
        <w:t>.</w:t>
      </w:r>
      <w:r w:rsidRPr="008426B0" w:rsidR="00785CE3">
        <w:rPr>
          <w:rFonts w:ascii="Times New Roman" w:hAnsi="Times New Roman"/>
          <w:sz w:val="24"/>
          <w:szCs w:val="24"/>
        </w:rPr>
        <w:t xml:space="preserve">  </w:t>
      </w:r>
      <w:r w:rsidRPr="008426B0" w:rsidR="008B7AE4">
        <w:rPr>
          <w:rFonts w:ascii="Times New Roman" w:hAnsi="Times New Roman"/>
          <w:sz w:val="24"/>
          <w:szCs w:val="24"/>
        </w:rPr>
        <w:t xml:space="preserve">Less frequent data collection, or the lack thereof, would </w:t>
      </w:r>
      <w:r w:rsidRPr="008426B0" w:rsidR="00F71088">
        <w:rPr>
          <w:rFonts w:ascii="Times New Roman" w:hAnsi="Times New Roman"/>
          <w:sz w:val="24"/>
          <w:szCs w:val="24"/>
        </w:rPr>
        <w:t xml:space="preserve">significantly impede the ability of LEAs to </w:t>
      </w:r>
      <w:r w:rsidRPr="008426B0" w:rsidR="00CC0D9D">
        <w:rPr>
          <w:rFonts w:ascii="Times New Roman" w:hAnsi="Times New Roman"/>
          <w:sz w:val="24"/>
          <w:szCs w:val="24"/>
        </w:rPr>
        <w:t>combat crime.</w:t>
      </w:r>
      <w:r w:rsidRPr="008426B0" w:rsidR="00785CE3">
        <w:rPr>
          <w:rFonts w:ascii="Times New Roman" w:hAnsi="Times New Roman"/>
          <w:sz w:val="24"/>
          <w:szCs w:val="24"/>
        </w:rPr>
        <w:t xml:space="preserve"> </w:t>
      </w:r>
      <w:r w:rsidRPr="008426B0">
        <w:rPr>
          <w:rFonts w:ascii="Times New Roman" w:hAnsi="Times New Roman"/>
          <w:sz w:val="24"/>
          <w:szCs w:val="24"/>
        </w:rPr>
        <w:t xml:space="preserve">  </w:t>
      </w:r>
    </w:p>
    <w:p w:rsidR="00BE13F5" w:rsidRPr="008426B0" w:rsidP="00CE0AF1" w14:paraId="30DAFB7C"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1D0DB2B4"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7.  </w:t>
      </w:r>
      <w:r w:rsidRPr="008426B0" w:rsidR="00EF10FF">
        <w:rPr>
          <w:rFonts w:ascii="Times New Roman" w:hAnsi="Times New Roman"/>
          <w:sz w:val="24"/>
          <w:szCs w:val="24"/>
        </w:rPr>
        <w:tab/>
      </w:r>
      <w:r w:rsidRPr="008426B0">
        <w:rPr>
          <w:rFonts w:ascii="Times New Roman" w:hAnsi="Times New Roman"/>
          <w:sz w:val="24"/>
          <w:szCs w:val="24"/>
          <w:u w:val="single"/>
        </w:rPr>
        <w:t>Special Circumstances</w:t>
      </w:r>
      <w:r w:rsidRPr="008426B0">
        <w:rPr>
          <w:rFonts w:ascii="Times New Roman" w:hAnsi="Times New Roman"/>
          <w:sz w:val="24"/>
          <w:szCs w:val="24"/>
        </w:rPr>
        <w:t xml:space="preserve">  </w:t>
      </w:r>
    </w:p>
    <w:p w:rsidR="00C177D2" w:rsidRPr="008426B0" w:rsidP="00CE0AF1" w14:paraId="318D65A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F17B8C" w:rsidRPr="008426B0" w:rsidP="00CE0AF1" w14:paraId="23F50C1B" w14:textId="77777777">
      <w:pPr>
        <w:ind w:left="1080"/>
        <w:rPr>
          <w:rFonts w:ascii="Times New Roman" w:hAnsi="Times New Roman"/>
          <w:sz w:val="24"/>
          <w:szCs w:val="24"/>
        </w:rPr>
      </w:pPr>
      <w:r w:rsidRPr="008426B0">
        <w:rPr>
          <w:rFonts w:ascii="Times New Roman" w:hAnsi="Times New Roman"/>
          <w:sz w:val="24"/>
          <w:szCs w:val="24"/>
        </w:rPr>
        <w:t xml:space="preserve">LEAs participating in the FBI’s UCR Program should </w:t>
      </w:r>
      <w:r w:rsidRPr="008426B0" w:rsidR="00D82DDD">
        <w:rPr>
          <w:rFonts w:ascii="Times New Roman" w:hAnsi="Times New Roman"/>
          <w:sz w:val="24"/>
          <w:szCs w:val="24"/>
        </w:rPr>
        <w:t>submit crime reports</w:t>
      </w:r>
      <w:r w:rsidRPr="008426B0" w:rsidR="006A0C39">
        <w:rPr>
          <w:rFonts w:ascii="Times New Roman" w:hAnsi="Times New Roman"/>
          <w:sz w:val="24"/>
          <w:szCs w:val="24"/>
        </w:rPr>
        <w:t xml:space="preserve"> </w:t>
      </w:r>
      <w:r w:rsidRPr="008426B0">
        <w:rPr>
          <w:rFonts w:ascii="Times New Roman" w:hAnsi="Times New Roman"/>
          <w:sz w:val="24"/>
          <w:szCs w:val="24"/>
        </w:rPr>
        <w:t xml:space="preserve">by the seventh day of each month.  </w:t>
      </w:r>
      <w:r w:rsidRPr="008426B0" w:rsidR="00FF2580">
        <w:rPr>
          <w:rFonts w:ascii="Times New Roman" w:hAnsi="Times New Roman"/>
          <w:color w:val="000000" w:themeColor="text1"/>
          <w:sz w:val="24"/>
          <w:szCs w:val="24"/>
        </w:rPr>
        <w:t>The obligation to respond is mandatory for federal agencies and voluntary for non-federal agencies.</w:t>
      </w:r>
      <w:r w:rsidRPr="008426B0">
        <w:rPr>
          <w:rFonts w:ascii="Times New Roman" w:hAnsi="Times New Roman"/>
          <w:color w:val="000000" w:themeColor="text1"/>
          <w:sz w:val="24"/>
          <w:szCs w:val="24"/>
        </w:rPr>
        <w:t xml:space="preserve">  </w:t>
      </w:r>
      <w:r w:rsidRPr="008426B0">
        <w:rPr>
          <w:rFonts w:ascii="Times New Roman" w:hAnsi="Times New Roman"/>
          <w:sz w:val="24"/>
          <w:szCs w:val="24"/>
        </w:rPr>
        <w:t>Annual deadlines are designated to assess monthly submissions.</w:t>
      </w:r>
    </w:p>
    <w:p w:rsidR="00C177D2" w:rsidRPr="008426B0" w:rsidP="00CE0AF1" w14:paraId="18C123A4" w14:textId="723ACB2D">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448115E2"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8.  </w:t>
      </w:r>
      <w:r w:rsidRPr="008426B0" w:rsidR="00EF10FF">
        <w:rPr>
          <w:rFonts w:ascii="Times New Roman" w:hAnsi="Times New Roman"/>
          <w:sz w:val="24"/>
          <w:szCs w:val="24"/>
        </w:rPr>
        <w:tab/>
      </w:r>
      <w:r w:rsidRPr="008426B0">
        <w:rPr>
          <w:rFonts w:ascii="Times New Roman" w:hAnsi="Times New Roman"/>
          <w:sz w:val="24"/>
          <w:szCs w:val="24"/>
          <w:u w:val="single"/>
        </w:rPr>
        <w:t>Public Comments and Consultations</w:t>
      </w:r>
    </w:p>
    <w:p w:rsidR="00C177D2" w:rsidRPr="008426B0" w:rsidP="00CE0AF1" w14:paraId="273147A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BE119D" w:rsidRPr="008426B0" w:rsidP="00CE0AF1" w14:paraId="2895E519" w14:textId="329A0DC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The 60</w:t>
      </w:r>
      <w:r w:rsidRPr="008426B0" w:rsidR="00EF10FF">
        <w:rPr>
          <w:rFonts w:ascii="Times New Roman" w:hAnsi="Times New Roman"/>
          <w:sz w:val="24"/>
          <w:szCs w:val="24"/>
        </w:rPr>
        <w:t>-</w:t>
      </w:r>
      <w:r w:rsidR="003208BB">
        <w:rPr>
          <w:rFonts w:ascii="Times New Roman" w:hAnsi="Times New Roman"/>
          <w:sz w:val="24"/>
          <w:szCs w:val="24"/>
        </w:rPr>
        <w:t>day notice was published to the Office of Federal Register (OFR) on November 21, 2025, (90 FR 52702), and received no comments.  The 30-day notice was published to the OFR on January 23</w:t>
      </w:r>
      <w:r w:rsidR="003208BB">
        <w:rPr>
          <w:rFonts w:ascii="Times New Roman" w:hAnsi="Times New Roman"/>
          <w:sz w:val="24"/>
          <w:szCs w:val="24"/>
        </w:rPr>
        <w:t xml:space="preserve"> 2026</w:t>
      </w:r>
      <w:r w:rsidR="003208BB">
        <w:rPr>
          <w:rFonts w:ascii="Times New Roman" w:hAnsi="Times New Roman"/>
          <w:sz w:val="24"/>
          <w:szCs w:val="24"/>
        </w:rPr>
        <w:t xml:space="preserve">, (91 FR 2962), and received no public comments. </w:t>
      </w:r>
    </w:p>
    <w:p w:rsidR="00C177D2" w:rsidRPr="008426B0" w:rsidP="00CE0AF1" w14:paraId="1982C25B"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4866E178"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9.  </w:t>
      </w:r>
      <w:r w:rsidRPr="008426B0" w:rsidR="00EF10FF">
        <w:rPr>
          <w:rFonts w:ascii="Times New Roman" w:hAnsi="Times New Roman"/>
          <w:sz w:val="24"/>
          <w:szCs w:val="24"/>
        </w:rPr>
        <w:tab/>
      </w:r>
      <w:r w:rsidRPr="008426B0">
        <w:rPr>
          <w:rFonts w:ascii="Times New Roman" w:hAnsi="Times New Roman"/>
          <w:sz w:val="24"/>
          <w:szCs w:val="24"/>
          <w:u w:val="single"/>
        </w:rPr>
        <w:t>Provision of Payments or Gifts to Respondents</w:t>
      </w:r>
      <w:r w:rsidRPr="008426B0">
        <w:rPr>
          <w:rFonts w:ascii="Times New Roman" w:hAnsi="Times New Roman"/>
          <w:sz w:val="24"/>
          <w:szCs w:val="24"/>
        </w:rPr>
        <w:t xml:space="preserve">  </w:t>
      </w:r>
    </w:p>
    <w:p w:rsidR="00C177D2" w:rsidRPr="008426B0" w:rsidP="00CE0AF1" w14:paraId="2DE48C37"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33E3E8BB" w14:textId="3A101D68">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The </w:t>
      </w:r>
      <w:r w:rsidRPr="008426B0" w:rsidR="00887E7C">
        <w:rPr>
          <w:rFonts w:ascii="Times New Roman" w:hAnsi="Times New Roman"/>
          <w:sz w:val="24"/>
          <w:szCs w:val="24"/>
        </w:rPr>
        <w:t xml:space="preserve">FBI’s </w:t>
      </w:r>
      <w:r w:rsidRPr="008426B0">
        <w:rPr>
          <w:rFonts w:ascii="Times New Roman" w:hAnsi="Times New Roman"/>
          <w:sz w:val="24"/>
          <w:szCs w:val="24"/>
        </w:rPr>
        <w:t>UCR Program does not provide any payment or gift</w:t>
      </w:r>
      <w:r w:rsidRPr="008426B0" w:rsidR="00887E7C">
        <w:rPr>
          <w:rFonts w:ascii="Times New Roman" w:hAnsi="Times New Roman"/>
          <w:sz w:val="24"/>
          <w:szCs w:val="24"/>
        </w:rPr>
        <w:t>s</w:t>
      </w:r>
      <w:r w:rsidRPr="008426B0">
        <w:rPr>
          <w:rFonts w:ascii="Times New Roman" w:hAnsi="Times New Roman"/>
          <w:sz w:val="24"/>
          <w:szCs w:val="24"/>
        </w:rPr>
        <w:t xml:space="preserve"> to respondents.</w:t>
      </w:r>
    </w:p>
    <w:p w:rsidR="00805F4A" w:rsidRPr="008426B0" w:rsidP="00CE0AF1" w14:paraId="4964241A"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21C9CEF1"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10. </w:t>
      </w:r>
      <w:r w:rsidRPr="008426B0" w:rsidR="00EF10FF">
        <w:rPr>
          <w:rFonts w:ascii="Times New Roman" w:hAnsi="Times New Roman"/>
          <w:sz w:val="24"/>
          <w:szCs w:val="24"/>
        </w:rPr>
        <w:tab/>
      </w:r>
      <w:r w:rsidRPr="008426B0">
        <w:rPr>
          <w:rFonts w:ascii="Times New Roman" w:hAnsi="Times New Roman"/>
          <w:sz w:val="24"/>
          <w:szCs w:val="24"/>
          <w:u w:val="single"/>
        </w:rPr>
        <w:t>Assurance of Confidentiality</w:t>
      </w:r>
      <w:r w:rsidRPr="008426B0">
        <w:rPr>
          <w:rFonts w:ascii="Times New Roman" w:hAnsi="Times New Roman"/>
          <w:sz w:val="24"/>
          <w:szCs w:val="24"/>
        </w:rPr>
        <w:t xml:space="preserve">  </w:t>
      </w:r>
    </w:p>
    <w:p w:rsidR="00C177D2" w:rsidRPr="008426B0" w:rsidP="00CE0AF1" w14:paraId="5614B0B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72CB5887" w14:textId="0C5554D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The </w:t>
      </w:r>
      <w:r w:rsidRPr="008426B0" w:rsidR="00887E7C">
        <w:rPr>
          <w:rFonts w:ascii="Times New Roman" w:hAnsi="Times New Roman"/>
          <w:sz w:val="24"/>
          <w:szCs w:val="24"/>
        </w:rPr>
        <w:t xml:space="preserve">FBI’s </w:t>
      </w:r>
      <w:r w:rsidRPr="008426B0">
        <w:rPr>
          <w:rFonts w:ascii="Times New Roman" w:hAnsi="Times New Roman"/>
          <w:sz w:val="24"/>
          <w:szCs w:val="24"/>
        </w:rPr>
        <w:t>UCR Program does not assure confidentiality.  However, this information collection does not contain personal</w:t>
      </w:r>
      <w:r w:rsidRPr="008426B0" w:rsidR="00657C71">
        <w:rPr>
          <w:rFonts w:ascii="Times New Roman" w:hAnsi="Times New Roman"/>
          <w:sz w:val="24"/>
          <w:szCs w:val="24"/>
        </w:rPr>
        <w:t>ly</w:t>
      </w:r>
      <w:r w:rsidRPr="008426B0">
        <w:rPr>
          <w:rFonts w:ascii="Times New Roman" w:hAnsi="Times New Roman"/>
          <w:sz w:val="24"/>
          <w:szCs w:val="24"/>
        </w:rPr>
        <w:t xml:space="preserve"> identifi</w:t>
      </w:r>
      <w:r w:rsidRPr="008426B0" w:rsidR="00657C71">
        <w:rPr>
          <w:rFonts w:ascii="Times New Roman" w:hAnsi="Times New Roman"/>
          <w:sz w:val="24"/>
          <w:szCs w:val="24"/>
        </w:rPr>
        <w:t>able</w:t>
      </w:r>
      <w:r w:rsidRPr="008426B0">
        <w:rPr>
          <w:rFonts w:ascii="Times New Roman" w:hAnsi="Times New Roman"/>
          <w:sz w:val="24"/>
          <w:szCs w:val="24"/>
        </w:rPr>
        <w:t xml:space="preserve"> information that may reveal the identity of an individual.  </w:t>
      </w:r>
      <w:r w:rsidRPr="008426B0" w:rsidR="0067599C">
        <w:rPr>
          <w:rFonts w:ascii="Times New Roman" w:hAnsi="Times New Roman"/>
          <w:sz w:val="24"/>
          <w:szCs w:val="24"/>
        </w:rPr>
        <w:t>Additionally</w:t>
      </w:r>
      <w:r w:rsidRPr="008426B0" w:rsidR="006751AF">
        <w:rPr>
          <w:rFonts w:ascii="Times New Roman" w:hAnsi="Times New Roman"/>
          <w:sz w:val="24"/>
          <w:szCs w:val="24"/>
        </w:rPr>
        <w:t xml:space="preserve">, the data collected </w:t>
      </w:r>
      <w:r w:rsidRPr="008426B0" w:rsidR="0067599C">
        <w:rPr>
          <w:rFonts w:ascii="Times New Roman" w:hAnsi="Times New Roman"/>
          <w:sz w:val="24"/>
          <w:szCs w:val="24"/>
        </w:rPr>
        <w:t>are</w:t>
      </w:r>
      <w:r w:rsidRPr="008426B0" w:rsidR="006751AF">
        <w:rPr>
          <w:rFonts w:ascii="Times New Roman" w:hAnsi="Times New Roman"/>
          <w:sz w:val="24"/>
          <w:szCs w:val="24"/>
        </w:rPr>
        <w:t xml:space="preserve"> </w:t>
      </w:r>
      <w:r w:rsidRPr="008426B0" w:rsidR="0067599C">
        <w:rPr>
          <w:rFonts w:ascii="Times New Roman" w:hAnsi="Times New Roman"/>
          <w:sz w:val="24"/>
          <w:szCs w:val="24"/>
        </w:rPr>
        <w:t xml:space="preserve">submitted to the </w:t>
      </w:r>
      <w:r w:rsidRPr="008426B0" w:rsidR="006751AF">
        <w:rPr>
          <w:rFonts w:ascii="Times New Roman" w:hAnsi="Times New Roman"/>
          <w:sz w:val="24"/>
          <w:szCs w:val="24"/>
        </w:rPr>
        <w:t>FBI</w:t>
      </w:r>
      <w:r w:rsidRPr="008426B0" w:rsidR="004B57CC">
        <w:rPr>
          <w:rFonts w:ascii="Times New Roman" w:hAnsi="Times New Roman"/>
          <w:sz w:val="24"/>
          <w:szCs w:val="24"/>
        </w:rPr>
        <w:t xml:space="preserve"> by </w:t>
      </w:r>
      <w:r w:rsidRPr="008426B0" w:rsidR="004B57CC">
        <w:rPr>
          <w:rFonts w:ascii="Times New Roman" w:hAnsi="Times New Roman"/>
          <w:sz w:val="24"/>
          <w:szCs w:val="24"/>
        </w:rPr>
        <w:t>public agencies</w:t>
      </w:r>
      <w:r w:rsidRPr="008426B0" w:rsidR="006751AF">
        <w:rPr>
          <w:rFonts w:ascii="Times New Roman" w:hAnsi="Times New Roman"/>
          <w:sz w:val="24"/>
          <w:szCs w:val="24"/>
        </w:rPr>
        <w:t xml:space="preserve"> with the expectation that some or all of </w:t>
      </w:r>
      <w:r w:rsidR="00D52815">
        <w:rPr>
          <w:rFonts w:ascii="Times New Roman" w:hAnsi="Times New Roman"/>
          <w:sz w:val="24"/>
          <w:szCs w:val="24"/>
        </w:rPr>
        <w:t>the information</w:t>
      </w:r>
      <w:r w:rsidRPr="008426B0" w:rsidR="006751AF">
        <w:rPr>
          <w:rFonts w:ascii="Times New Roman" w:hAnsi="Times New Roman"/>
          <w:sz w:val="24"/>
          <w:szCs w:val="24"/>
        </w:rPr>
        <w:t xml:space="preserve"> will become publicly available.  </w:t>
      </w:r>
      <w:r w:rsidRPr="008426B0" w:rsidR="00DA1E6F">
        <w:rPr>
          <w:rFonts w:ascii="Times New Roman" w:hAnsi="Times New Roman"/>
          <w:sz w:val="24"/>
          <w:szCs w:val="24"/>
        </w:rPr>
        <w:t xml:space="preserve"> </w:t>
      </w:r>
    </w:p>
    <w:p w:rsidR="00C177D2" w:rsidRPr="008426B0" w:rsidP="00CE0AF1" w14:paraId="7E103843"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4F4B610B"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11.  </w:t>
      </w:r>
      <w:r w:rsidRPr="008426B0" w:rsidR="00EF10FF">
        <w:rPr>
          <w:rFonts w:ascii="Times New Roman" w:hAnsi="Times New Roman"/>
          <w:sz w:val="24"/>
          <w:szCs w:val="24"/>
        </w:rPr>
        <w:tab/>
      </w:r>
      <w:r w:rsidRPr="008426B0">
        <w:rPr>
          <w:rFonts w:ascii="Times New Roman" w:hAnsi="Times New Roman"/>
          <w:sz w:val="24"/>
          <w:szCs w:val="24"/>
          <w:u w:val="single"/>
        </w:rPr>
        <w:t>Justification for Sensitive Questions</w:t>
      </w:r>
      <w:r w:rsidRPr="008426B0">
        <w:rPr>
          <w:rFonts w:ascii="Times New Roman" w:hAnsi="Times New Roman"/>
          <w:sz w:val="24"/>
          <w:szCs w:val="24"/>
        </w:rPr>
        <w:t xml:space="preserve">  </w:t>
      </w:r>
    </w:p>
    <w:p w:rsidR="00C177D2" w:rsidRPr="008426B0" w:rsidP="00CE0AF1" w14:paraId="19D6C2D5"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6761E8" w:rsidP="009A57B4" w14:paraId="31833914"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This information collection does not co</w:t>
      </w:r>
      <w:r w:rsidRPr="008426B0" w:rsidR="0042238C">
        <w:rPr>
          <w:rFonts w:ascii="Times New Roman" w:hAnsi="Times New Roman"/>
          <w:sz w:val="24"/>
          <w:szCs w:val="24"/>
        </w:rPr>
        <w:t>ntain</w:t>
      </w:r>
      <w:r w:rsidRPr="008426B0">
        <w:rPr>
          <w:rFonts w:ascii="Times New Roman" w:hAnsi="Times New Roman"/>
          <w:sz w:val="24"/>
          <w:szCs w:val="24"/>
        </w:rPr>
        <w:t xml:space="preserve"> information of a sensitive </w:t>
      </w:r>
      <w:r w:rsidRPr="008426B0" w:rsidR="00366083">
        <w:rPr>
          <w:rFonts w:ascii="Times New Roman" w:hAnsi="Times New Roman"/>
          <w:sz w:val="24"/>
          <w:szCs w:val="24"/>
        </w:rPr>
        <w:t xml:space="preserve">(personally identifiable and law enforcement sensitive information) </w:t>
      </w:r>
      <w:r w:rsidRPr="008426B0">
        <w:rPr>
          <w:rFonts w:ascii="Times New Roman" w:hAnsi="Times New Roman"/>
          <w:sz w:val="24"/>
          <w:szCs w:val="24"/>
        </w:rPr>
        <w:t>nature.</w:t>
      </w:r>
    </w:p>
    <w:p w:rsidR="006761E8" w:rsidP="009A57B4" w14:paraId="4CF3B7D5"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8426B0" w:rsidP="006761E8" w14:paraId="4F212C00" w14:textId="77777777">
      <w:pPr>
        <w:tabs>
          <w:tab w:val="left" w:pos="-1159"/>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rPr>
          <w:rFonts w:ascii="Times New Roman" w:hAnsi="Times New Roman"/>
          <w:sz w:val="24"/>
          <w:szCs w:val="24"/>
        </w:rPr>
      </w:pPr>
      <w:r w:rsidRPr="008426B0">
        <w:rPr>
          <w:rFonts w:ascii="Times New Roman" w:hAnsi="Times New Roman"/>
          <w:sz w:val="24"/>
          <w:szCs w:val="24"/>
        </w:rPr>
        <w:t xml:space="preserve">12.  </w:t>
      </w:r>
      <w:r w:rsidRPr="008426B0" w:rsidR="00366083">
        <w:rPr>
          <w:rFonts w:ascii="Times New Roman" w:hAnsi="Times New Roman"/>
          <w:sz w:val="24"/>
          <w:szCs w:val="24"/>
        </w:rPr>
        <w:tab/>
      </w:r>
      <w:r w:rsidRPr="008426B0">
        <w:rPr>
          <w:rFonts w:ascii="Times New Roman" w:hAnsi="Times New Roman"/>
          <w:sz w:val="24"/>
          <w:szCs w:val="24"/>
          <w:u w:val="single"/>
        </w:rPr>
        <w:t>Estimate of Respondent’s Burden</w:t>
      </w:r>
      <w:r w:rsidRPr="008426B0">
        <w:rPr>
          <w:rFonts w:ascii="Times New Roman" w:hAnsi="Times New Roman"/>
          <w:sz w:val="24"/>
          <w:szCs w:val="24"/>
        </w:rPr>
        <w:t xml:space="preserve">  </w:t>
      </w:r>
    </w:p>
    <w:p w:rsidR="00A92B0A" w:rsidRPr="008426B0" w:rsidP="00CE0AF1" w14:paraId="46A1E0EE"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A2261E" w:rsidRPr="008426B0" w:rsidP="00CE0AF1" w14:paraId="4A5CD9E4" w14:textId="68978517">
      <w:pPr>
        <w:ind w:left="1080"/>
        <w:rPr>
          <w:rFonts w:ascii="Times New Roman" w:hAnsi="Times New Roman"/>
          <w:color w:val="000000" w:themeColor="text1"/>
          <w:sz w:val="24"/>
          <w:szCs w:val="24"/>
        </w:rPr>
      </w:pPr>
      <w:r w:rsidRPr="008426B0">
        <w:rPr>
          <w:rFonts w:ascii="Times New Roman" w:hAnsi="Times New Roman"/>
          <w:color w:val="000000" w:themeColor="text1"/>
          <w:sz w:val="24"/>
          <w:szCs w:val="24"/>
        </w:rPr>
        <w:t xml:space="preserve">In 2024, there were 19,328 law enforcement agencies actively enrolled in the FBI’s UCR Program (i.e., the universe of potential respondents).  Data submissions from approximately 2,381 law enforcement agencies reporting under SRS totaled 60,447 in 2024.  The estimated response time for the Return A is 10 minutes and that for the Supplement to Return A is 11 minutes.  To provide a singular calculation of the estimated burden, the approximate </w:t>
      </w:r>
      <w:r w:rsidRPr="008426B0" w:rsidR="000422AA">
        <w:rPr>
          <w:rFonts w:ascii="Times New Roman" w:hAnsi="Times New Roman"/>
          <w:color w:val="000000" w:themeColor="text1"/>
          <w:sz w:val="24"/>
          <w:szCs w:val="24"/>
        </w:rPr>
        <w:t xml:space="preserve">number of </w:t>
      </w:r>
      <w:r w:rsidRPr="008426B0">
        <w:rPr>
          <w:rFonts w:ascii="Times New Roman" w:hAnsi="Times New Roman"/>
          <w:color w:val="000000" w:themeColor="text1"/>
          <w:sz w:val="24"/>
          <w:szCs w:val="24"/>
        </w:rPr>
        <w:t>minutes per form used for the combined collection is 10.5</w:t>
      </w:r>
      <w:r w:rsidRPr="008426B0" w:rsidR="0058245E">
        <w:rPr>
          <w:rFonts w:ascii="Times New Roman" w:hAnsi="Times New Roman"/>
          <w:color w:val="000000" w:themeColor="text1"/>
          <w:sz w:val="24"/>
          <w:szCs w:val="24"/>
        </w:rPr>
        <w:t xml:space="preserve"> minutes</w:t>
      </w:r>
      <w:r w:rsidRPr="008426B0">
        <w:rPr>
          <w:rFonts w:ascii="Times New Roman" w:hAnsi="Times New Roman"/>
          <w:color w:val="000000" w:themeColor="text1"/>
          <w:sz w:val="24"/>
          <w:szCs w:val="24"/>
        </w:rPr>
        <w:t xml:space="preserve"> (i.e., the average of the times required to complete the forms). </w:t>
      </w:r>
    </w:p>
    <w:p w:rsidR="00A2261E" w:rsidRPr="008426B0" w:rsidP="00CE0AF1" w14:paraId="0CC57EAE" w14:textId="671FE6EA">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p>
    <w:p w:rsidR="00183E31" w:rsidRPr="008426B0" w:rsidP="00CE0AF1" w14:paraId="324BF7AC" w14:textId="6FA25FD6">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Below is the </w:t>
      </w:r>
      <w:r w:rsidRPr="008426B0" w:rsidR="008D63EC">
        <w:rPr>
          <w:rFonts w:ascii="Times New Roman" w:hAnsi="Times New Roman"/>
          <w:sz w:val="24"/>
          <w:szCs w:val="24"/>
        </w:rPr>
        <w:t>estimated cost of the respondent’s burden for this data collection</w:t>
      </w:r>
      <w:r w:rsidRPr="008426B0">
        <w:rPr>
          <w:rFonts w:ascii="Times New Roman" w:hAnsi="Times New Roman"/>
          <w:sz w:val="24"/>
          <w:szCs w:val="24"/>
        </w:rPr>
        <w:t>.</w:t>
      </w:r>
    </w:p>
    <w:tbl>
      <w:tblPr>
        <w:tblStyle w:val="TableGrid"/>
        <w:tblpPr w:leftFromText="180" w:rightFromText="180" w:vertAnchor="text" w:horzAnchor="margin" w:tblpXSpec="center" w:tblpY="383"/>
        <w:tblW w:w="0" w:type="auto"/>
        <w:jc w:val="center"/>
        <w:tblLook w:val="04A0"/>
      </w:tblPr>
      <w:tblGrid>
        <w:gridCol w:w="1558"/>
        <w:gridCol w:w="1558"/>
        <w:gridCol w:w="1558"/>
        <w:gridCol w:w="1558"/>
        <w:gridCol w:w="1559"/>
        <w:gridCol w:w="1559"/>
      </w:tblGrid>
      <w:tr w14:paraId="3DFBB2DA" w14:textId="77777777" w:rsidTr="00774212">
        <w:tblPrEx>
          <w:tblW w:w="0" w:type="auto"/>
          <w:jc w:val="center"/>
          <w:tblLook w:val="04A0"/>
        </w:tblPrEx>
        <w:trPr>
          <w:jc w:val="center"/>
        </w:trPr>
        <w:tc>
          <w:tcPr>
            <w:tcW w:w="1558" w:type="dxa"/>
            <w:shd w:val="clear" w:color="auto" w:fill="D0CECE" w:themeFill="background2" w:themeFillShade="E6"/>
            <w:vAlign w:val="bottom"/>
          </w:tcPr>
          <w:p w:rsidR="00183E31" w:rsidRPr="008426B0" w:rsidP="00CE0AF1" w14:paraId="276943CC" w14:textId="77777777">
            <w:pPr>
              <w:rPr>
                <w:rFonts w:ascii="Times New Roman" w:hAnsi="Times New Roman"/>
                <w:b/>
                <w:bCs/>
                <w:color w:val="000000" w:themeColor="text1"/>
                <w:sz w:val="24"/>
                <w:szCs w:val="24"/>
              </w:rPr>
            </w:pPr>
            <w:r w:rsidRPr="008426B0">
              <w:rPr>
                <w:rFonts w:ascii="Times New Roman" w:hAnsi="Times New Roman"/>
                <w:b/>
                <w:bCs/>
                <w:color w:val="000000" w:themeColor="text1"/>
                <w:sz w:val="24"/>
                <w:szCs w:val="24"/>
              </w:rPr>
              <w:t>Activity</w:t>
            </w:r>
          </w:p>
        </w:tc>
        <w:tc>
          <w:tcPr>
            <w:tcW w:w="1558" w:type="dxa"/>
            <w:shd w:val="clear" w:color="auto" w:fill="D0CECE" w:themeFill="background2" w:themeFillShade="E6"/>
            <w:vAlign w:val="bottom"/>
          </w:tcPr>
          <w:p w:rsidR="00183E31" w:rsidRPr="008426B0" w:rsidP="00CE0AF1" w14:paraId="0C5AB970" w14:textId="77777777">
            <w:pPr>
              <w:jc w:val="right"/>
              <w:rPr>
                <w:rFonts w:ascii="Times New Roman" w:hAnsi="Times New Roman"/>
                <w:b/>
                <w:bCs/>
                <w:color w:val="000000" w:themeColor="text1"/>
                <w:sz w:val="24"/>
                <w:szCs w:val="24"/>
              </w:rPr>
            </w:pPr>
            <w:r w:rsidRPr="008426B0">
              <w:rPr>
                <w:rFonts w:ascii="Times New Roman" w:hAnsi="Times New Roman"/>
                <w:b/>
                <w:bCs/>
                <w:color w:val="000000" w:themeColor="text1"/>
                <w:sz w:val="24"/>
                <w:szCs w:val="24"/>
              </w:rPr>
              <w:t>Number of Respondents</w:t>
            </w:r>
          </w:p>
        </w:tc>
        <w:tc>
          <w:tcPr>
            <w:tcW w:w="1558" w:type="dxa"/>
            <w:shd w:val="clear" w:color="auto" w:fill="D0CECE" w:themeFill="background2" w:themeFillShade="E6"/>
            <w:vAlign w:val="bottom"/>
          </w:tcPr>
          <w:p w:rsidR="00183E31" w:rsidRPr="008426B0" w:rsidP="00CE0AF1" w14:paraId="0F88A660" w14:textId="77777777">
            <w:pPr>
              <w:jc w:val="right"/>
              <w:rPr>
                <w:rFonts w:ascii="Times New Roman" w:hAnsi="Times New Roman"/>
                <w:b/>
                <w:bCs/>
                <w:color w:val="000000" w:themeColor="text1"/>
                <w:sz w:val="24"/>
                <w:szCs w:val="24"/>
              </w:rPr>
            </w:pPr>
            <w:r w:rsidRPr="008426B0">
              <w:rPr>
                <w:rFonts w:ascii="Times New Roman" w:hAnsi="Times New Roman"/>
                <w:b/>
                <w:bCs/>
                <w:color w:val="000000" w:themeColor="text1"/>
                <w:sz w:val="24"/>
                <w:szCs w:val="24"/>
              </w:rPr>
              <w:t>Frequency</w:t>
            </w:r>
          </w:p>
        </w:tc>
        <w:tc>
          <w:tcPr>
            <w:tcW w:w="1558" w:type="dxa"/>
            <w:shd w:val="clear" w:color="auto" w:fill="D0CECE" w:themeFill="background2" w:themeFillShade="E6"/>
            <w:vAlign w:val="bottom"/>
          </w:tcPr>
          <w:p w:rsidR="00183E31" w:rsidRPr="008426B0" w:rsidP="00CE0AF1" w14:paraId="08637C8E" w14:textId="77777777">
            <w:pPr>
              <w:jc w:val="right"/>
              <w:rPr>
                <w:rFonts w:ascii="Times New Roman" w:hAnsi="Times New Roman"/>
                <w:b/>
                <w:bCs/>
                <w:color w:val="000000" w:themeColor="text1"/>
                <w:sz w:val="24"/>
                <w:szCs w:val="24"/>
              </w:rPr>
            </w:pPr>
            <w:r w:rsidRPr="008426B0">
              <w:rPr>
                <w:rFonts w:ascii="Times New Roman" w:hAnsi="Times New Roman"/>
                <w:b/>
                <w:bCs/>
                <w:color w:val="000000" w:themeColor="text1"/>
                <w:sz w:val="24"/>
                <w:szCs w:val="24"/>
              </w:rPr>
              <w:t>Total Annual Responses</w:t>
            </w:r>
          </w:p>
        </w:tc>
        <w:tc>
          <w:tcPr>
            <w:tcW w:w="1559" w:type="dxa"/>
            <w:shd w:val="clear" w:color="auto" w:fill="D0CECE" w:themeFill="background2" w:themeFillShade="E6"/>
            <w:vAlign w:val="bottom"/>
          </w:tcPr>
          <w:p w:rsidR="00183E31" w:rsidRPr="008426B0" w:rsidP="00CE0AF1" w14:paraId="6BAE1898" w14:textId="77777777">
            <w:pPr>
              <w:jc w:val="right"/>
              <w:rPr>
                <w:rFonts w:ascii="Times New Roman" w:hAnsi="Times New Roman"/>
                <w:b/>
                <w:bCs/>
                <w:color w:val="000000" w:themeColor="text1"/>
                <w:sz w:val="24"/>
                <w:szCs w:val="24"/>
              </w:rPr>
            </w:pPr>
            <w:r w:rsidRPr="008426B0">
              <w:rPr>
                <w:rFonts w:ascii="Times New Roman" w:hAnsi="Times New Roman"/>
                <w:b/>
                <w:bCs/>
                <w:color w:val="000000" w:themeColor="text1"/>
                <w:sz w:val="24"/>
                <w:szCs w:val="24"/>
              </w:rPr>
              <w:t>Time per Response</w:t>
            </w:r>
          </w:p>
        </w:tc>
        <w:tc>
          <w:tcPr>
            <w:tcW w:w="1559" w:type="dxa"/>
            <w:shd w:val="clear" w:color="auto" w:fill="D0CECE" w:themeFill="background2" w:themeFillShade="E6"/>
            <w:vAlign w:val="bottom"/>
          </w:tcPr>
          <w:p w:rsidR="00183E31" w:rsidRPr="008426B0" w:rsidP="00CE0AF1" w14:paraId="10F2643A" w14:textId="77777777">
            <w:pPr>
              <w:jc w:val="right"/>
              <w:rPr>
                <w:rFonts w:ascii="Times New Roman" w:hAnsi="Times New Roman"/>
                <w:b/>
                <w:bCs/>
                <w:color w:val="000000" w:themeColor="text1"/>
                <w:sz w:val="24"/>
                <w:szCs w:val="24"/>
              </w:rPr>
            </w:pPr>
            <w:r w:rsidRPr="008426B0">
              <w:rPr>
                <w:rFonts w:ascii="Times New Roman" w:hAnsi="Times New Roman"/>
                <w:b/>
                <w:bCs/>
                <w:color w:val="000000" w:themeColor="text1"/>
                <w:sz w:val="24"/>
                <w:szCs w:val="24"/>
              </w:rPr>
              <w:t>Total Annual Burden (Hours)</w:t>
            </w:r>
          </w:p>
        </w:tc>
      </w:tr>
      <w:tr w14:paraId="0D831D1A" w14:textId="77777777" w:rsidTr="000E1063">
        <w:tblPrEx>
          <w:tblW w:w="0" w:type="auto"/>
          <w:jc w:val="center"/>
          <w:tblLook w:val="04A0"/>
        </w:tblPrEx>
        <w:trPr>
          <w:jc w:val="center"/>
        </w:trPr>
        <w:tc>
          <w:tcPr>
            <w:tcW w:w="1558" w:type="dxa"/>
          </w:tcPr>
          <w:p w:rsidR="00183E31" w:rsidRPr="008426B0" w:rsidP="00CE0AF1" w14:paraId="7C092E5B" w14:textId="77777777">
            <w:pPr>
              <w:rPr>
                <w:rFonts w:ascii="Times New Roman" w:hAnsi="Times New Roman"/>
                <w:color w:val="000000" w:themeColor="text1"/>
                <w:sz w:val="24"/>
                <w:szCs w:val="24"/>
              </w:rPr>
            </w:pPr>
            <w:r w:rsidRPr="008426B0">
              <w:rPr>
                <w:rFonts w:ascii="Times New Roman" w:hAnsi="Times New Roman"/>
                <w:color w:val="000000" w:themeColor="text1"/>
                <w:sz w:val="24"/>
                <w:szCs w:val="24"/>
              </w:rPr>
              <w:t>Return A and Supplement to Return A Forms</w:t>
            </w:r>
          </w:p>
        </w:tc>
        <w:tc>
          <w:tcPr>
            <w:tcW w:w="1558" w:type="dxa"/>
            <w:vAlign w:val="center"/>
          </w:tcPr>
          <w:p w:rsidR="00183E31" w:rsidRPr="008426B0" w:rsidP="00CE0AF1" w14:paraId="07445F1C"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2,381</w:t>
            </w:r>
          </w:p>
        </w:tc>
        <w:tc>
          <w:tcPr>
            <w:tcW w:w="1558" w:type="dxa"/>
            <w:vAlign w:val="center"/>
          </w:tcPr>
          <w:p w:rsidR="00183E31" w:rsidRPr="008426B0" w:rsidP="00CE0AF1" w14:paraId="650166FF"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Variable</w:t>
            </w:r>
          </w:p>
        </w:tc>
        <w:tc>
          <w:tcPr>
            <w:tcW w:w="1558" w:type="dxa"/>
            <w:vAlign w:val="center"/>
          </w:tcPr>
          <w:p w:rsidR="00183E31" w:rsidRPr="008426B0" w:rsidP="00CE0AF1" w14:paraId="01D93CD3"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60,447</w:t>
            </w:r>
          </w:p>
        </w:tc>
        <w:tc>
          <w:tcPr>
            <w:tcW w:w="1559" w:type="dxa"/>
            <w:vAlign w:val="center"/>
          </w:tcPr>
          <w:p w:rsidR="00183E31" w:rsidRPr="008426B0" w:rsidP="00CE0AF1" w14:paraId="05FF2B9E"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10.5 minutes</w:t>
            </w:r>
          </w:p>
        </w:tc>
        <w:tc>
          <w:tcPr>
            <w:tcW w:w="1559" w:type="dxa"/>
            <w:vAlign w:val="center"/>
          </w:tcPr>
          <w:p w:rsidR="00183E31" w:rsidRPr="008426B0" w:rsidP="00CE0AF1" w14:paraId="29391263"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10,578</w:t>
            </w:r>
          </w:p>
        </w:tc>
      </w:tr>
      <w:tr w14:paraId="7054FD6A" w14:textId="77777777" w:rsidTr="000E1063">
        <w:tblPrEx>
          <w:tblW w:w="0" w:type="auto"/>
          <w:jc w:val="center"/>
          <w:tblLook w:val="04A0"/>
        </w:tblPrEx>
        <w:trPr>
          <w:jc w:val="center"/>
        </w:trPr>
        <w:tc>
          <w:tcPr>
            <w:tcW w:w="1558" w:type="dxa"/>
          </w:tcPr>
          <w:p w:rsidR="00183E31" w:rsidRPr="008426B0" w:rsidP="00CE0AF1" w14:paraId="7A001B10" w14:textId="77777777">
            <w:pPr>
              <w:rPr>
                <w:rFonts w:ascii="Times New Roman" w:hAnsi="Times New Roman"/>
                <w:i/>
                <w:iCs/>
                <w:color w:val="000000" w:themeColor="text1"/>
                <w:sz w:val="24"/>
                <w:szCs w:val="24"/>
              </w:rPr>
            </w:pPr>
            <w:r w:rsidRPr="008426B0">
              <w:rPr>
                <w:rFonts w:ascii="Times New Roman" w:hAnsi="Times New Roman"/>
                <w:i/>
                <w:iCs/>
                <w:color w:val="000000" w:themeColor="text1"/>
                <w:sz w:val="24"/>
                <w:szCs w:val="24"/>
              </w:rPr>
              <w:t>Unduplicated Totals</w:t>
            </w:r>
          </w:p>
        </w:tc>
        <w:tc>
          <w:tcPr>
            <w:tcW w:w="1558" w:type="dxa"/>
            <w:vAlign w:val="center"/>
          </w:tcPr>
          <w:p w:rsidR="00183E31" w:rsidRPr="008426B0" w:rsidP="00CE0AF1" w14:paraId="711B283D"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2,381</w:t>
            </w:r>
          </w:p>
        </w:tc>
        <w:tc>
          <w:tcPr>
            <w:tcW w:w="1558" w:type="dxa"/>
            <w:vAlign w:val="center"/>
          </w:tcPr>
          <w:p w:rsidR="00183E31" w:rsidRPr="008426B0" w:rsidP="00CE0AF1" w14:paraId="39E3924A" w14:textId="77777777">
            <w:pPr>
              <w:jc w:val="right"/>
              <w:rPr>
                <w:rFonts w:ascii="Times New Roman" w:hAnsi="Times New Roman"/>
                <w:color w:val="000000" w:themeColor="text1"/>
                <w:sz w:val="24"/>
                <w:szCs w:val="24"/>
              </w:rPr>
            </w:pPr>
          </w:p>
        </w:tc>
        <w:tc>
          <w:tcPr>
            <w:tcW w:w="1558" w:type="dxa"/>
            <w:vAlign w:val="center"/>
          </w:tcPr>
          <w:p w:rsidR="00183E31" w:rsidRPr="008426B0" w:rsidP="00CE0AF1" w14:paraId="6A6FEA89"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60,447</w:t>
            </w:r>
          </w:p>
        </w:tc>
        <w:tc>
          <w:tcPr>
            <w:tcW w:w="1559" w:type="dxa"/>
            <w:vAlign w:val="center"/>
          </w:tcPr>
          <w:p w:rsidR="00183E31" w:rsidRPr="008426B0" w:rsidP="00CE0AF1" w14:paraId="628578D0" w14:textId="77777777">
            <w:pPr>
              <w:jc w:val="right"/>
              <w:rPr>
                <w:rFonts w:ascii="Times New Roman" w:hAnsi="Times New Roman"/>
                <w:color w:val="000000" w:themeColor="text1"/>
                <w:sz w:val="24"/>
                <w:szCs w:val="24"/>
              </w:rPr>
            </w:pPr>
          </w:p>
        </w:tc>
        <w:tc>
          <w:tcPr>
            <w:tcW w:w="1559" w:type="dxa"/>
            <w:vAlign w:val="center"/>
          </w:tcPr>
          <w:p w:rsidR="00183E31" w:rsidRPr="008426B0" w:rsidP="00CE0AF1" w14:paraId="3578A4BF" w14:textId="77777777">
            <w:pPr>
              <w:jc w:val="right"/>
              <w:rPr>
                <w:rFonts w:ascii="Times New Roman" w:hAnsi="Times New Roman"/>
                <w:color w:val="000000" w:themeColor="text1"/>
                <w:sz w:val="24"/>
                <w:szCs w:val="24"/>
              </w:rPr>
            </w:pPr>
            <w:r w:rsidRPr="008426B0">
              <w:rPr>
                <w:rFonts w:ascii="Times New Roman" w:hAnsi="Times New Roman"/>
                <w:color w:val="000000" w:themeColor="text1"/>
                <w:sz w:val="24"/>
                <w:szCs w:val="24"/>
              </w:rPr>
              <w:t>10,578</w:t>
            </w:r>
          </w:p>
        </w:tc>
      </w:tr>
    </w:tbl>
    <w:p w:rsidR="001C4B7E" w:rsidRPr="008426B0" w:rsidP="00CE0AF1" w14:paraId="27C201B5" w14:textId="5AC77E7A">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A2261E" w:rsidRPr="008426B0" w:rsidP="00CE0AF1" w14:paraId="7C6C4E66"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5C646E" w:rsidRPr="008426B0" w:rsidP="00CE0AF1" w14:paraId="09B5C700" w14:textId="77777777">
      <w:pPr>
        <w:ind w:left="1080"/>
        <w:rPr>
          <w:rFonts w:ascii="Times New Roman" w:hAnsi="Times New Roman"/>
          <w:color w:val="000000" w:themeColor="text1"/>
          <w:sz w:val="24"/>
          <w:szCs w:val="24"/>
        </w:rPr>
      </w:pPr>
    </w:p>
    <w:p w:rsidR="002162C2" w:rsidRPr="008426B0" w:rsidP="00CE0AF1" w14:paraId="12536CB9" w14:textId="2563F863">
      <w:pPr>
        <w:ind w:left="1080"/>
        <w:rPr>
          <w:rFonts w:ascii="Times New Roman" w:hAnsi="Times New Roman"/>
          <w:color w:val="000000" w:themeColor="text1"/>
          <w:sz w:val="24"/>
          <w:szCs w:val="24"/>
        </w:rPr>
      </w:pPr>
      <w:r w:rsidRPr="008426B0">
        <w:rPr>
          <w:rFonts w:ascii="Times New Roman" w:hAnsi="Times New Roman"/>
          <w:color w:val="000000" w:themeColor="text1"/>
          <w:sz w:val="24"/>
          <w:szCs w:val="24"/>
        </w:rPr>
        <w:t>There are approximately 10,578 annual burden hours associated with this collection.  As additional SRS agencies complete the transition to NIBRS, it is expected that the number of submissions and, subsequently, the annual burden hours associated with this data collection</w:t>
      </w:r>
      <w:r w:rsidRPr="008426B0" w:rsidR="00135275">
        <w:rPr>
          <w:rFonts w:ascii="Times New Roman" w:hAnsi="Times New Roman"/>
          <w:color w:val="000000" w:themeColor="text1"/>
          <w:sz w:val="24"/>
          <w:szCs w:val="24"/>
        </w:rPr>
        <w:t>,</w:t>
      </w:r>
      <w:r w:rsidRPr="008426B0">
        <w:rPr>
          <w:rFonts w:ascii="Times New Roman" w:hAnsi="Times New Roman"/>
          <w:color w:val="000000" w:themeColor="text1"/>
          <w:sz w:val="24"/>
          <w:szCs w:val="24"/>
        </w:rPr>
        <w:t xml:space="preserve"> will steadily decline.  The burden hour estimate presented here is based on the most recent submission values to achieve the highest possible burden estimate.</w:t>
      </w:r>
      <w:r w:rsidRPr="008426B0" w:rsidR="00A551EE">
        <w:rPr>
          <w:rFonts w:ascii="Times New Roman" w:hAnsi="Times New Roman"/>
          <w:sz w:val="24"/>
          <w:szCs w:val="24"/>
        </w:rPr>
        <w:tab/>
      </w:r>
    </w:p>
    <w:p w:rsidR="00B56613" w:rsidRPr="008426B0" w:rsidP="00CE0AF1" w14:paraId="257EBD5E"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C177D2" w:rsidRPr="008426B0" w:rsidP="00CE0AF1" w14:paraId="0A337DEC"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8426B0">
        <w:rPr>
          <w:rFonts w:ascii="Times New Roman" w:hAnsi="Times New Roman"/>
          <w:sz w:val="24"/>
          <w:szCs w:val="24"/>
        </w:rPr>
        <w:t xml:space="preserve">13.  </w:t>
      </w:r>
      <w:r w:rsidRPr="008426B0" w:rsidR="00366083">
        <w:rPr>
          <w:rFonts w:ascii="Times New Roman" w:hAnsi="Times New Roman"/>
          <w:sz w:val="24"/>
          <w:szCs w:val="24"/>
        </w:rPr>
        <w:tab/>
      </w:r>
      <w:r w:rsidRPr="008426B0" w:rsidR="00B56613">
        <w:rPr>
          <w:rFonts w:ascii="Times New Roman" w:hAnsi="Times New Roman"/>
          <w:sz w:val="24"/>
          <w:szCs w:val="24"/>
          <w:u w:val="single"/>
        </w:rPr>
        <w:t xml:space="preserve">Estimate of </w:t>
      </w:r>
      <w:r w:rsidRPr="008426B0">
        <w:rPr>
          <w:rFonts w:ascii="Times New Roman" w:hAnsi="Times New Roman"/>
          <w:sz w:val="24"/>
          <w:szCs w:val="24"/>
          <w:u w:val="single"/>
        </w:rPr>
        <w:t>Cost Burden</w:t>
      </w:r>
    </w:p>
    <w:p w:rsidR="00C177D2" w:rsidRPr="008426B0" w:rsidP="00CE0AF1" w14:paraId="74728A51"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AA6079" w:rsidRPr="008426B0" w:rsidP="00CE0AF1" w14:paraId="40A594A3"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Other than their time to respond, there are no direct costs to law enforcement to participate in the</w:t>
      </w:r>
      <w:r w:rsidRPr="008426B0" w:rsidR="00545400">
        <w:rPr>
          <w:rFonts w:ascii="Times New Roman" w:hAnsi="Times New Roman"/>
          <w:sz w:val="24"/>
          <w:szCs w:val="24"/>
        </w:rPr>
        <w:t xml:space="preserve"> </w:t>
      </w:r>
      <w:r w:rsidRPr="008426B0">
        <w:rPr>
          <w:rFonts w:ascii="Times New Roman" w:hAnsi="Times New Roman"/>
          <w:sz w:val="24"/>
          <w:szCs w:val="24"/>
        </w:rPr>
        <w:t>FBI’s UCR Program</w:t>
      </w:r>
      <w:r w:rsidRPr="008426B0" w:rsidR="00DA1E6F">
        <w:rPr>
          <w:rFonts w:ascii="Times New Roman" w:hAnsi="Times New Roman"/>
          <w:sz w:val="24"/>
          <w:szCs w:val="24"/>
        </w:rPr>
        <w:t>.</w:t>
      </w:r>
    </w:p>
    <w:p w:rsidR="00AA6079" w:rsidRPr="008426B0" w:rsidP="00CE0AF1" w14:paraId="6E2F1552"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AA6079" w:rsidRPr="008426B0" w:rsidP="00CE0AF1" w14:paraId="33BEFDC8"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All participants in the FBI’s UCR Program submit their crime data electronically and a dashboard is maintained for that purpose.  State programs use the dashboard to upload their own flat files to the system.  LEAs continuing to use the Microsoft Excel Summary Workbook provided by the FBI must generate a flat file for uploading to the dashboard.</w:t>
      </w:r>
    </w:p>
    <w:p w:rsidR="00FA6BE5" w:rsidRPr="008426B0" w:rsidP="00CE0AF1" w14:paraId="13BDB756"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1D6CF2" w:rsidRPr="008426B0" w:rsidP="00CE0AF1" w14:paraId="69313F7B" w14:textId="13616203">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bCs/>
          <w:sz w:val="24"/>
          <w:szCs w:val="24"/>
        </w:rPr>
        <w:t>For many reasons, c</w:t>
      </w:r>
      <w:r w:rsidRPr="008426B0" w:rsidR="00D0588D">
        <w:rPr>
          <w:rFonts w:ascii="Times New Roman" w:hAnsi="Times New Roman"/>
          <w:sz w:val="24"/>
          <w:szCs w:val="24"/>
        </w:rPr>
        <w:t xml:space="preserve">osts to agency </w:t>
      </w:r>
      <w:r w:rsidRPr="008426B0">
        <w:rPr>
          <w:rFonts w:ascii="Times New Roman" w:hAnsi="Times New Roman"/>
          <w:sz w:val="24"/>
          <w:szCs w:val="24"/>
        </w:rPr>
        <w:t>r</w:t>
      </w:r>
      <w:r w:rsidRPr="008426B0" w:rsidR="00D0588D">
        <w:rPr>
          <w:rFonts w:ascii="Times New Roman" w:hAnsi="Times New Roman"/>
          <w:sz w:val="24"/>
          <w:szCs w:val="24"/>
        </w:rPr>
        <w:t xml:space="preserve">ecords </w:t>
      </w:r>
      <w:r w:rsidRPr="008426B0">
        <w:rPr>
          <w:rFonts w:ascii="Times New Roman" w:hAnsi="Times New Roman"/>
          <w:sz w:val="24"/>
          <w:szCs w:val="24"/>
        </w:rPr>
        <w:t>m</w:t>
      </w:r>
      <w:r w:rsidRPr="008426B0" w:rsidR="00D0588D">
        <w:rPr>
          <w:rFonts w:ascii="Times New Roman" w:hAnsi="Times New Roman"/>
          <w:sz w:val="24"/>
          <w:szCs w:val="24"/>
        </w:rPr>
        <w:t xml:space="preserve">anagement </w:t>
      </w:r>
      <w:r w:rsidRPr="008426B0">
        <w:rPr>
          <w:rFonts w:ascii="Times New Roman" w:hAnsi="Times New Roman"/>
          <w:sz w:val="24"/>
          <w:szCs w:val="24"/>
        </w:rPr>
        <w:t>s</w:t>
      </w:r>
      <w:r w:rsidRPr="008426B0" w:rsidR="00D0588D">
        <w:rPr>
          <w:rFonts w:ascii="Times New Roman" w:hAnsi="Times New Roman"/>
          <w:sz w:val="24"/>
          <w:szCs w:val="24"/>
        </w:rPr>
        <w:t>ystem</w:t>
      </w:r>
      <w:r w:rsidRPr="008426B0">
        <w:rPr>
          <w:rFonts w:ascii="Times New Roman" w:hAnsi="Times New Roman"/>
          <w:sz w:val="24"/>
          <w:szCs w:val="24"/>
        </w:rPr>
        <w:t>s</w:t>
      </w:r>
      <w:r w:rsidRPr="008426B0" w:rsidR="000C0367">
        <w:rPr>
          <w:rFonts w:ascii="Times New Roman" w:hAnsi="Times New Roman"/>
          <w:sz w:val="24"/>
          <w:szCs w:val="24"/>
        </w:rPr>
        <w:t xml:space="preserve"> </w:t>
      </w:r>
      <w:r w:rsidRPr="008426B0" w:rsidR="00DA1E6F">
        <w:rPr>
          <w:rFonts w:ascii="Times New Roman" w:hAnsi="Times New Roman"/>
          <w:sz w:val="24"/>
          <w:szCs w:val="24"/>
        </w:rPr>
        <w:t xml:space="preserve">are very difficult to obtain. </w:t>
      </w:r>
      <w:r w:rsidRPr="008426B0" w:rsidR="00B56613">
        <w:rPr>
          <w:rFonts w:ascii="Times New Roman" w:hAnsi="Times New Roman"/>
          <w:sz w:val="24"/>
          <w:szCs w:val="24"/>
        </w:rPr>
        <w:t xml:space="preserve"> </w:t>
      </w:r>
      <w:r w:rsidRPr="008426B0" w:rsidR="00D0588D">
        <w:rPr>
          <w:rFonts w:ascii="Times New Roman" w:hAnsi="Times New Roman"/>
          <w:sz w:val="24"/>
          <w:szCs w:val="24"/>
        </w:rPr>
        <w:t xml:space="preserve">Vendors do not divulge costs </w:t>
      </w:r>
      <w:r w:rsidRPr="008426B0" w:rsidR="00243024">
        <w:rPr>
          <w:rFonts w:ascii="Times New Roman" w:hAnsi="Times New Roman"/>
          <w:sz w:val="24"/>
          <w:szCs w:val="24"/>
        </w:rPr>
        <w:t>because</w:t>
      </w:r>
      <w:r w:rsidRPr="008426B0" w:rsidR="00FA6BE5">
        <w:rPr>
          <w:rFonts w:ascii="Times New Roman" w:hAnsi="Times New Roman"/>
          <w:sz w:val="24"/>
          <w:szCs w:val="24"/>
        </w:rPr>
        <w:t xml:space="preserve"> </w:t>
      </w:r>
      <w:r w:rsidRPr="008426B0" w:rsidR="00D0588D">
        <w:rPr>
          <w:rFonts w:ascii="Times New Roman" w:hAnsi="Times New Roman"/>
          <w:sz w:val="24"/>
          <w:szCs w:val="24"/>
        </w:rPr>
        <w:t>vendors charge diff</w:t>
      </w:r>
      <w:r w:rsidRPr="008426B0" w:rsidR="00DA1E6F">
        <w:rPr>
          <w:rFonts w:ascii="Times New Roman" w:hAnsi="Times New Roman"/>
          <w:sz w:val="24"/>
          <w:szCs w:val="24"/>
        </w:rPr>
        <w:t xml:space="preserve">erently from agency to agency. </w:t>
      </w:r>
      <w:r w:rsidRPr="008426B0" w:rsidR="00B56613">
        <w:rPr>
          <w:rFonts w:ascii="Times New Roman" w:hAnsi="Times New Roman"/>
          <w:sz w:val="24"/>
          <w:szCs w:val="24"/>
        </w:rPr>
        <w:t xml:space="preserve"> </w:t>
      </w:r>
      <w:r w:rsidRPr="008426B0" w:rsidR="00D0588D">
        <w:rPr>
          <w:rFonts w:ascii="Times New Roman" w:hAnsi="Times New Roman"/>
          <w:sz w:val="24"/>
          <w:szCs w:val="24"/>
        </w:rPr>
        <w:t xml:space="preserve">Many </w:t>
      </w:r>
      <w:r w:rsidRPr="008426B0" w:rsidR="00B56613">
        <w:rPr>
          <w:rFonts w:ascii="Times New Roman" w:hAnsi="Times New Roman"/>
          <w:sz w:val="24"/>
          <w:szCs w:val="24"/>
        </w:rPr>
        <w:t>costs are built into the vendor</w:t>
      </w:r>
      <w:r w:rsidRPr="008426B0">
        <w:rPr>
          <w:rFonts w:ascii="Times New Roman" w:hAnsi="Times New Roman"/>
          <w:sz w:val="24"/>
          <w:szCs w:val="24"/>
        </w:rPr>
        <w:t xml:space="preserve">’s </w:t>
      </w:r>
      <w:r w:rsidRPr="008426B0" w:rsidR="004C7E0B">
        <w:rPr>
          <w:rFonts w:ascii="Times New Roman" w:hAnsi="Times New Roman"/>
          <w:sz w:val="24"/>
          <w:szCs w:val="24"/>
        </w:rPr>
        <w:t>s</w:t>
      </w:r>
      <w:r w:rsidRPr="008426B0">
        <w:rPr>
          <w:rFonts w:ascii="Times New Roman" w:hAnsi="Times New Roman"/>
          <w:sz w:val="24"/>
          <w:szCs w:val="24"/>
        </w:rPr>
        <w:t xml:space="preserve">ervice </w:t>
      </w:r>
      <w:r w:rsidRPr="008426B0" w:rsidR="004C7E0B">
        <w:rPr>
          <w:rFonts w:ascii="Times New Roman" w:hAnsi="Times New Roman"/>
          <w:sz w:val="24"/>
          <w:szCs w:val="24"/>
        </w:rPr>
        <w:t>l</w:t>
      </w:r>
      <w:r w:rsidRPr="008426B0">
        <w:rPr>
          <w:rFonts w:ascii="Times New Roman" w:hAnsi="Times New Roman"/>
          <w:sz w:val="24"/>
          <w:szCs w:val="24"/>
        </w:rPr>
        <w:t xml:space="preserve">evel </w:t>
      </w:r>
      <w:r w:rsidRPr="008426B0" w:rsidR="004C7E0B">
        <w:rPr>
          <w:rFonts w:ascii="Times New Roman" w:hAnsi="Times New Roman"/>
          <w:sz w:val="24"/>
          <w:szCs w:val="24"/>
        </w:rPr>
        <w:t>a</w:t>
      </w:r>
      <w:r w:rsidRPr="008426B0">
        <w:rPr>
          <w:rFonts w:ascii="Times New Roman" w:hAnsi="Times New Roman"/>
          <w:sz w:val="24"/>
          <w:szCs w:val="24"/>
        </w:rPr>
        <w:t>greement</w:t>
      </w:r>
      <w:r w:rsidRPr="008426B0" w:rsidR="00D0588D">
        <w:rPr>
          <w:rFonts w:ascii="Times New Roman" w:hAnsi="Times New Roman"/>
          <w:sz w:val="24"/>
          <w:szCs w:val="24"/>
        </w:rPr>
        <w:t xml:space="preserve"> contracts</w:t>
      </w:r>
      <w:r w:rsidRPr="008426B0">
        <w:rPr>
          <w:rFonts w:ascii="Times New Roman" w:hAnsi="Times New Roman"/>
          <w:sz w:val="24"/>
          <w:szCs w:val="24"/>
        </w:rPr>
        <w:t>.</w:t>
      </w:r>
      <w:r w:rsidRPr="008426B0" w:rsidR="00B56613">
        <w:rPr>
          <w:rFonts w:ascii="Times New Roman" w:hAnsi="Times New Roman"/>
          <w:sz w:val="24"/>
          <w:szCs w:val="24"/>
        </w:rPr>
        <w:t xml:space="preserve"> </w:t>
      </w:r>
      <w:r w:rsidRPr="008426B0">
        <w:rPr>
          <w:rFonts w:ascii="Times New Roman" w:hAnsi="Times New Roman"/>
          <w:sz w:val="24"/>
          <w:szCs w:val="24"/>
        </w:rPr>
        <w:t xml:space="preserve"> Depending on the vendor contracts, </w:t>
      </w:r>
      <w:r w:rsidRPr="008426B0" w:rsidR="00B56613">
        <w:rPr>
          <w:rFonts w:ascii="Times New Roman" w:hAnsi="Times New Roman"/>
          <w:sz w:val="24"/>
          <w:szCs w:val="24"/>
        </w:rPr>
        <w:t>changes mandated by law could be included within the original contract with no additional costs</w:t>
      </w:r>
      <w:r w:rsidRPr="008426B0" w:rsidR="00D0588D">
        <w:rPr>
          <w:rFonts w:ascii="Times New Roman" w:hAnsi="Times New Roman"/>
          <w:sz w:val="24"/>
          <w:szCs w:val="24"/>
        </w:rPr>
        <w:t xml:space="preserve">. </w:t>
      </w:r>
      <w:r w:rsidRPr="008426B0" w:rsidR="00E473B2">
        <w:rPr>
          <w:rFonts w:ascii="Times New Roman" w:hAnsi="Times New Roman"/>
          <w:sz w:val="24"/>
          <w:szCs w:val="24"/>
        </w:rPr>
        <w:t xml:space="preserve"> </w:t>
      </w:r>
      <w:r w:rsidR="00CA1F27">
        <w:rPr>
          <w:rFonts w:ascii="Times New Roman" w:hAnsi="Times New Roman"/>
          <w:sz w:val="24"/>
          <w:szCs w:val="24"/>
        </w:rPr>
        <w:t xml:space="preserve">System </w:t>
      </w:r>
      <w:r w:rsidR="00E511DF">
        <w:rPr>
          <w:rFonts w:ascii="Times New Roman" w:hAnsi="Times New Roman"/>
          <w:sz w:val="24"/>
          <w:szCs w:val="24"/>
        </w:rPr>
        <w:t>maintenance costs vary by agency</w:t>
      </w:r>
      <w:r w:rsidRPr="008426B0" w:rsidR="00D0588D">
        <w:rPr>
          <w:rFonts w:ascii="Times New Roman" w:hAnsi="Times New Roman"/>
          <w:sz w:val="24"/>
          <w:szCs w:val="24"/>
        </w:rPr>
        <w:t xml:space="preserve">. </w:t>
      </w:r>
    </w:p>
    <w:p w:rsidR="00832EBD" w:rsidRPr="008426B0" w:rsidP="00CE0AF1" w14:paraId="215D4DD8"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8426B0" w:rsidP="00CE0AF1" w14:paraId="13800A20"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 xml:space="preserve">14.  </w:t>
      </w:r>
      <w:r w:rsidRPr="008426B0" w:rsidR="00832EBD">
        <w:rPr>
          <w:rFonts w:ascii="Times New Roman" w:hAnsi="Times New Roman"/>
          <w:sz w:val="24"/>
          <w:szCs w:val="24"/>
        </w:rPr>
        <w:tab/>
      </w:r>
      <w:r w:rsidRPr="008426B0">
        <w:rPr>
          <w:rFonts w:ascii="Times New Roman" w:hAnsi="Times New Roman"/>
          <w:sz w:val="24"/>
          <w:szCs w:val="24"/>
          <w:u w:val="single"/>
        </w:rPr>
        <w:t>Cost to Federal Government</w:t>
      </w:r>
    </w:p>
    <w:p w:rsidR="00C177D2" w:rsidRPr="008426B0" w:rsidP="00CE0AF1" w14:paraId="32111902"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p w:rsidR="00364B57" w:rsidRPr="008426B0" w:rsidP="00CE0AF1" w14:paraId="54F94215" w14:textId="5F5A18DB">
      <w:pPr>
        <w:tabs>
          <w:tab w:val="left" w:pos="-1159"/>
          <w:tab w:val="left" w:pos="-720"/>
          <w:tab w:val="left" w:pos="0"/>
          <w:tab w:val="left" w:pos="1260"/>
          <w:tab w:val="left" w:pos="2160"/>
        </w:tabs>
        <w:ind w:left="1080" w:right="-90"/>
        <w:rPr>
          <w:rFonts w:ascii="Times New Roman" w:hAnsi="Times New Roman"/>
          <w:sz w:val="24"/>
          <w:szCs w:val="24"/>
        </w:rPr>
      </w:pPr>
      <w:r w:rsidRPr="008426B0">
        <w:rPr>
          <w:rFonts w:ascii="Times New Roman" w:hAnsi="Times New Roman"/>
          <w:sz w:val="24"/>
          <w:szCs w:val="24"/>
        </w:rPr>
        <w:t xml:space="preserve">According to the </w:t>
      </w:r>
      <w:r w:rsidRPr="008426B0" w:rsidR="00382B7C">
        <w:rPr>
          <w:rFonts w:ascii="Times New Roman" w:hAnsi="Times New Roman"/>
          <w:sz w:val="24"/>
          <w:szCs w:val="24"/>
        </w:rPr>
        <w:t xml:space="preserve">direct </w:t>
      </w:r>
      <w:r w:rsidRPr="008426B0">
        <w:rPr>
          <w:rFonts w:ascii="Times New Roman" w:hAnsi="Times New Roman"/>
          <w:sz w:val="24"/>
          <w:szCs w:val="24"/>
        </w:rPr>
        <w:t xml:space="preserve">cost </w:t>
      </w:r>
      <w:r w:rsidRPr="008426B0" w:rsidR="009B3378">
        <w:rPr>
          <w:rFonts w:ascii="Times New Roman" w:hAnsi="Times New Roman"/>
          <w:sz w:val="24"/>
          <w:szCs w:val="24"/>
        </w:rPr>
        <w:t>model</w:t>
      </w:r>
      <w:r w:rsidRPr="008426B0">
        <w:rPr>
          <w:rFonts w:ascii="Times New Roman" w:hAnsi="Times New Roman"/>
          <w:sz w:val="24"/>
          <w:szCs w:val="24"/>
        </w:rPr>
        <w:t xml:space="preserve"> provided by </w:t>
      </w:r>
      <w:r w:rsidRPr="008426B0" w:rsidR="004511F5">
        <w:rPr>
          <w:rFonts w:ascii="Times New Roman" w:hAnsi="Times New Roman"/>
          <w:sz w:val="24"/>
          <w:szCs w:val="24"/>
        </w:rPr>
        <w:t xml:space="preserve">the </w:t>
      </w:r>
      <w:r w:rsidRPr="008426B0">
        <w:rPr>
          <w:rFonts w:ascii="Times New Roman" w:hAnsi="Times New Roman"/>
          <w:sz w:val="24"/>
          <w:szCs w:val="24"/>
        </w:rPr>
        <w:t>FBI</w:t>
      </w:r>
      <w:r w:rsidRPr="008426B0" w:rsidR="00545400">
        <w:rPr>
          <w:rFonts w:ascii="Times New Roman" w:hAnsi="Times New Roman"/>
          <w:sz w:val="24"/>
          <w:szCs w:val="24"/>
        </w:rPr>
        <w:t>’s</w:t>
      </w:r>
      <w:r w:rsidRPr="008426B0">
        <w:rPr>
          <w:rFonts w:ascii="Times New Roman" w:hAnsi="Times New Roman"/>
          <w:sz w:val="24"/>
          <w:szCs w:val="24"/>
        </w:rPr>
        <w:t xml:space="preserve"> Criminal Justice Information Services</w:t>
      </w:r>
      <w:r w:rsidRPr="008426B0" w:rsidR="00804602">
        <w:rPr>
          <w:rFonts w:ascii="Times New Roman" w:hAnsi="Times New Roman"/>
          <w:sz w:val="24"/>
          <w:szCs w:val="24"/>
        </w:rPr>
        <w:t xml:space="preserve"> (CJIS)</w:t>
      </w:r>
      <w:r w:rsidRPr="008426B0" w:rsidR="00832EBD">
        <w:rPr>
          <w:rFonts w:ascii="Times New Roman" w:hAnsi="Times New Roman"/>
          <w:sz w:val="24"/>
          <w:szCs w:val="24"/>
        </w:rPr>
        <w:t xml:space="preserve"> Division</w:t>
      </w:r>
      <w:r w:rsidRPr="008426B0">
        <w:rPr>
          <w:rFonts w:ascii="Times New Roman" w:hAnsi="Times New Roman"/>
          <w:sz w:val="24"/>
          <w:szCs w:val="24"/>
        </w:rPr>
        <w:t>, Resource</w:t>
      </w:r>
      <w:r w:rsidRPr="008426B0" w:rsidR="00024144">
        <w:rPr>
          <w:rFonts w:ascii="Times New Roman" w:hAnsi="Times New Roman"/>
          <w:sz w:val="24"/>
          <w:szCs w:val="24"/>
        </w:rPr>
        <w:t>s</w:t>
      </w:r>
      <w:r w:rsidRPr="008426B0">
        <w:rPr>
          <w:rFonts w:ascii="Times New Roman" w:hAnsi="Times New Roman"/>
          <w:sz w:val="24"/>
          <w:szCs w:val="24"/>
        </w:rPr>
        <w:t xml:space="preserve"> Management Section</w:t>
      </w:r>
      <w:r w:rsidRPr="008426B0" w:rsidR="000C0367">
        <w:rPr>
          <w:rFonts w:ascii="Times New Roman" w:hAnsi="Times New Roman"/>
          <w:sz w:val="24"/>
          <w:szCs w:val="24"/>
        </w:rPr>
        <w:t xml:space="preserve"> (RMS)</w:t>
      </w:r>
      <w:r w:rsidRPr="008426B0">
        <w:rPr>
          <w:rFonts w:ascii="Times New Roman" w:hAnsi="Times New Roman"/>
          <w:sz w:val="24"/>
          <w:szCs w:val="24"/>
        </w:rPr>
        <w:t>, F</w:t>
      </w:r>
      <w:r w:rsidRPr="008426B0" w:rsidR="009B3378">
        <w:rPr>
          <w:rFonts w:ascii="Times New Roman" w:hAnsi="Times New Roman"/>
          <w:sz w:val="24"/>
          <w:szCs w:val="24"/>
        </w:rPr>
        <w:t>ee Programs</w:t>
      </w:r>
      <w:r w:rsidRPr="008426B0">
        <w:rPr>
          <w:rFonts w:ascii="Times New Roman" w:hAnsi="Times New Roman"/>
          <w:sz w:val="24"/>
          <w:szCs w:val="24"/>
        </w:rPr>
        <w:t xml:space="preserve"> Unit, the following are projections based on prior collection activity.  </w:t>
      </w:r>
      <w:r w:rsidRPr="008426B0" w:rsidR="00B17FD2">
        <w:rPr>
          <w:rFonts w:ascii="Times New Roman" w:hAnsi="Times New Roman"/>
          <w:sz w:val="24"/>
          <w:szCs w:val="24"/>
        </w:rPr>
        <w:t xml:space="preserve">Since </w:t>
      </w:r>
      <w:r w:rsidRPr="008426B0">
        <w:rPr>
          <w:rFonts w:ascii="Times New Roman" w:hAnsi="Times New Roman"/>
          <w:sz w:val="24"/>
          <w:szCs w:val="24"/>
        </w:rPr>
        <w:t xml:space="preserve">RMS cannot provide a breakdown </w:t>
      </w:r>
      <w:r w:rsidRPr="008426B0" w:rsidR="00A60571">
        <w:rPr>
          <w:rFonts w:ascii="Times New Roman" w:hAnsi="Times New Roman"/>
          <w:sz w:val="24"/>
          <w:szCs w:val="24"/>
        </w:rPr>
        <w:t xml:space="preserve">for each of the </w:t>
      </w:r>
      <w:r w:rsidRPr="008426B0" w:rsidR="00F56574">
        <w:rPr>
          <w:rFonts w:ascii="Times New Roman" w:hAnsi="Times New Roman"/>
          <w:sz w:val="24"/>
          <w:szCs w:val="24"/>
        </w:rPr>
        <w:t xml:space="preserve">data collections managed by the </w:t>
      </w:r>
      <w:r w:rsidRPr="008426B0" w:rsidR="00B17FD2">
        <w:rPr>
          <w:rFonts w:ascii="Times New Roman" w:hAnsi="Times New Roman"/>
          <w:sz w:val="24"/>
          <w:szCs w:val="24"/>
        </w:rPr>
        <w:t xml:space="preserve">FBI’s </w:t>
      </w:r>
      <w:r w:rsidRPr="008426B0">
        <w:rPr>
          <w:rFonts w:ascii="Times New Roman" w:hAnsi="Times New Roman"/>
          <w:sz w:val="24"/>
          <w:szCs w:val="24"/>
        </w:rPr>
        <w:t xml:space="preserve">UCR </w:t>
      </w:r>
      <w:r w:rsidRPr="008426B0" w:rsidR="00B17FD2">
        <w:rPr>
          <w:rFonts w:ascii="Times New Roman" w:hAnsi="Times New Roman"/>
          <w:sz w:val="24"/>
          <w:szCs w:val="24"/>
        </w:rPr>
        <w:t>Program</w:t>
      </w:r>
      <w:r w:rsidRPr="008426B0" w:rsidR="00A60571">
        <w:rPr>
          <w:rFonts w:ascii="Times New Roman" w:hAnsi="Times New Roman"/>
          <w:sz w:val="24"/>
          <w:szCs w:val="24"/>
        </w:rPr>
        <w:t xml:space="preserve">, </w:t>
      </w:r>
      <w:r w:rsidRPr="008426B0" w:rsidR="00170234">
        <w:rPr>
          <w:rFonts w:ascii="Times New Roman" w:hAnsi="Times New Roman"/>
          <w:sz w:val="24"/>
          <w:szCs w:val="24"/>
        </w:rPr>
        <w:t xml:space="preserve">a collective </w:t>
      </w:r>
      <w:r w:rsidRPr="008426B0">
        <w:rPr>
          <w:rFonts w:ascii="Times New Roman" w:hAnsi="Times New Roman"/>
          <w:sz w:val="24"/>
          <w:szCs w:val="24"/>
        </w:rPr>
        <w:t xml:space="preserve">cost of </w:t>
      </w:r>
      <w:r w:rsidRPr="008426B0" w:rsidR="00170234">
        <w:rPr>
          <w:rFonts w:ascii="Times New Roman" w:hAnsi="Times New Roman"/>
          <w:sz w:val="24"/>
          <w:szCs w:val="24"/>
        </w:rPr>
        <w:t xml:space="preserve">each of </w:t>
      </w:r>
      <w:r w:rsidRPr="008426B0">
        <w:rPr>
          <w:rFonts w:ascii="Times New Roman" w:hAnsi="Times New Roman"/>
          <w:sz w:val="24"/>
          <w:szCs w:val="24"/>
        </w:rPr>
        <w:t>the activities</w:t>
      </w:r>
      <w:r w:rsidRPr="008426B0" w:rsidR="00AF30C1">
        <w:rPr>
          <w:rFonts w:ascii="Times New Roman" w:hAnsi="Times New Roman"/>
          <w:sz w:val="24"/>
          <w:szCs w:val="24"/>
        </w:rPr>
        <w:t xml:space="preserve"> </w:t>
      </w:r>
      <w:r w:rsidRPr="008426B0" w:rsidR="00170234">
        <w:rPr>
          <w:rFonts w:ascii="Times New Roman" w:hAnsi="Times New Roman"/>
          <w:sz w:val="24"/>
          <w:szCs w:val="24"/>
        </w:rPr>
        <w:t>is</w:t>
      </w:r>
      <w:r w:rsidRPr="008426B0" w:rsidR="00AF30C1">
        <w:rPr>
          <w:rFonts w:ascii="Times New Roman" w:hAnsi="Times New Roman"/>
          <w:sz w:val="24"/>
          <w:szCs w:val="24"/>
        </w:rPr>
        <w:t xml:space="preserve"> provided</w:t>
      </w:r>
      <w:r w:rsidRPr="008426B0">
        <w:rPr>
          <w:rFonts w:ascii="Times New Roman" w:hAnsi="Times New Roman"/>
          <w:sz w:val="24"/>
          <w:szCs w:val="24"/>
        </w:rPr>
        <w:t>.</w:t>
      </w:r>
    </w:p>
    <w:p w:rsidR="006F2320" w:rsidRPr="008426B0" w:rsidP="00CE0AF1" w14:paraId="639BAF4A" w14:textId="6A803DAA">
      <w:pPr>
        <w:autoSpaceDE/>
        <w:autoSpaceDN/>
        <w:adjustRightInd/>
        <w:rPr>
          <w:rFonts w:ascii="Times New Roman" w:hAnsi="Times New Roman"/>
          <w:sz w:val="24"/>
          <w:szCs w:val="24"/>
        </w:rPr>
      </w:pPr>
    </w:p>
    <w:tbl>
      <w:tblPr>
        <w:tblW w:w="9526" w:type="dxa"/>
        <w:tblLook w:val="04A0"/>
      </w:tblPr>
      <w:tblGrid>
        <w:gridCol w:w="6480"/>
        <w:gridCol w:w="1780"/>
        <w:gridCol w:w="1266"/>
      </w:tblGrid>
      <w:tr w14:paraId="3B81CCFC" w14:textId="77777777" w:rsidTr="001D5C80">
        <w:tblPrEx>
          <w:tblW w:w="9526" w:type="dxa"/>
          <w:tblLook w:val="04A0"/>
        </w:tblPrEx>
        <w:trPr>
          <w:trHeight w:val="300"/>
        </w:trPr>
        <w:tc>
          <w:tcPr>
            <w:tcW w:w="9526" w:type="dxa"/>
            <w:gridSpan w:val="3"/>
            <w:tcBorders>
              <w:top w:val="single" w:sz="4" w:space="0" w:color="auto"/>
              <w:left w:val="nil"/>
              <w:bottom w:val="single" w:sz="4" w:space="0" w:color="auto"/>
              <w:right w:val="nil"/>
            </w:tcBorders>
            <w:noWrap/>
            <w:vAlign w:val="center"/>
          </w:tcPr>
          <w:p w:rsidR="006F2320" w:rsidRPr="008426B0" w:rsidP="00CE0AF1" w14:paraId="66A0A25E" w14:textId="7678E7E1">
            <w:pPr>
              <w:autoSpaceDE/>
              <w:autoSpaceDN/>
              <w:adjustRightInd/>
              <w:rPr>
                <w:rFonts w:ascii="Times New Roman" w:hAnsi="Times New Roman"/>
                <w:b/>
                <w:bCs/>
                <w:color w:val="000000" w:themeColor="text1"/>
              </w:rPr>
            </w:pPr>
            <w:r w:rsidRPr="008426B0">
              <w:rPr>
                <w:rFonts w:ascii="Times New Roman" w:hAnsi="Times New Roman"/>
                <w:b/>
                <w:bCs/>
                <w:color w:val="000000" w:themeColor="text1"/>
              </w:rPr>
              <w:t>Direct Data Collection and Processing Costs</w:t>
            </w:r>
          </w:p>
        </w:tc>
      </w:tr>
      <w:tr w14:paraId="0A109E61" w14:textId="77777777" w:rsidTr="001D5C80">
        <w:tblPrEx>
          <w:tblW w:w="9526" w:type="dxa"/>
          <w:tblLook w:val="04A0"/>
        </w:tblPrEx>
        <w:trPr>
          <w:trHeight w:val="300"/>
        </w:trPr>
        <w:tc>
          <w:tcPr>
            <w:tcW w:w="6480" w:type="dxa"/>
            <w:tcBorders>
              <w:top w:val="single" w:sz="4" w:space="0" w:color="auto"/>
              <w:left w:val="nil"/>
              <w:bottom w:val="single" w:sz="4" w:space="0" w:color="auto"/>
              <w:right w:val="nil"/>
            </w:tcBorders>
            <w:noWrap/>
            <w:vAlign w:val="bottom"/>
            <w:hideMark/>
          </w:tcPr>
          <w:p w:rsidR="006F2320" w:rsidRPr="008426B0" w:rsidP="00CE0AF1" w14:paraId="7DA1BB68" w14:textId="77777777">
            <w:pPr>
              <w:autoSpaceDE/>
              <w:autoSpaceDN/>
              <w:adjustRightInd/>
              <w:rPr>
                <w:rFonts w:ascii="Times New Roman" w:hAnsi="Times New Roman"/>
                <w:b/>
                <w:bCs/>
                <w:color w:val="000000" w:themeColor="text1"/>
              </w:rPr>
            </w:pPr>
            <w:r w:rsidRPr="008426B0">
              <w:rPr>
                <w:rFonts w:ascii="Times New Roman" w:hAnsi="Times New Roman"/>
                <w:b/>
                <w:bCs/>
                <w:color w:val="000000" w:themeColor="text1"/>
              </w:rPr>
              <w:t>Activity</w:t>
            </w:r>
          </w:p>
        </w:tc>
        <w:tc>
          <w:tcPr>
            <w:tcW w:w="1780" w:type="dxa"/>
            <w:tcBorders>
              <w:top w:val="single" w:sz="4" w:space="0" w:color="auto"/>
              <w:left w:val="nil"/>
              <w:bottom w:val="single" w:sz="4" w:space="0" w:color="auto"/>
              <w:right w:val="nil"/>
            </w:tcBorders>
            <w:noWrap/>
            <w:vAlign w:val="bottom"/>
            <w:hideMark/>
          </w:tcPr>
          <w:p w:rsidR="006F2320" w:rsidRPr="008426B0" w:rsidP="00CE0AF1" w14:paraId="409F7925" w14:textId="77777777">
            <w:pPr>
              <w:autoSpaceDE/>
              <w:autoSpaceDN/>
              <w:adjustRightInd/>
              <w:jc w:val="right"/>
              <w:rPr>
                <w:rFonts w:ascii="Times New Roman" w:hAnsi="Times New Roman"/>
                <w:b/>
                <w:bCs/>
                <w:color w:val="000000" w:themeColor="text1"/>
              </w:rPr>
            </w:pPr>
            <w:r w:rsidRPr="008426B0">
              <w:rPr>
                <w:rFonts w:ascii="Times New Roman" w:hAnsi="Times New Roman"/>
                <w:b/>
                <w:bCs/>
                <w:color w:val="000000" w:themeColor="text1"/>
              </w:rPr>
              <w:t>Fiscal Year (FY)</w:t>
            </w:r>
          </w:p>
          <w:p w:rsidR="006F2320" w:rsidRPr="008426B0" w:rsidP="00CE0AF1" w14:paraId="40F75DBA" w14:textId="77777777">
            <w:pPr>
              <w:autoSpaceDE/>
              <w:autoSpaceDN/>
              <w:adjustRightInd/>
              <w:jc w:val="right"/>
              <w:rPr>
                <w:rFonts w:ascii="Times New Roman" w:hAnsi="Times New Roman"/>
                <w:b/>
                <w:bCs/>
                <w:color w:val="000000" w:themeColor="text1"/>
              </w:rPr>
            </w:pPr>
            <w:r w:rsidRPr="008426B0">
              <w:rPr>
                <w:rFonts w:ascii="Times New Roman" w:hAnsi="Times New Roman"/>
                <w:b/>
                <w:bCs/>
                <w:color w:val="000000" w:themeColor="text1"/>
              </w:rPr>
              <w:t>2024 Cost</w:t>
            </w:r>
          </w:p>
        </w:tc>
        <w:tc>
          <w:tcPr>
            <w:tcW w:w="1266" w:type="dxa"/>
            <w:tcBorders>
              <w:top w:val="single" w:sz="4" w:space="0" w:color="auto"/>
              <w:left w:val="nil"/>
              <w:bottom w:val="single" w:sz="4" w:space="0" w:color="auto"/>
              <w:right w:val="nil"/>
            </w:tcBorders>
            <w:noWrap/>
            <w:vAlign w:val="bottom"/>
            <w:hideMark/>
          </w:tcPr>
          <w:p w:rsidR="006F2320" w:rsidRPr="008426B0" w:rsidP="00CE0AF1" w14:paraId="6CD387E0" w14:textId="77777777">
            <w:pPr>
              <w:autoSpaceDE/>
              <w:autoSpaceDN/>
              <w:adjustRightInd/>
              <w:jc w:val="right"/>
              <w:rPr>
                <w:rFonts w:ascii="Times New Roman" w:hAnsi="Times New Roman"/>
                <w:b/>
                <w:bCs/>
                <w:color w:val="000000" w:themeColor="text1"/>
              </w:rPr>
            </w:pPr>
            <w:r w:rsidRPr="008426B0">
              <w:rPr>
                <w:rFonts w:ascii="Times New Roman" w:hAnsi="Times New Roman"/>
                <w:b/>
                <w:bCs/>
                <w:color w:val="000000" w:themeColor="text1"/>
              </w:rPr>
              <w:t xml:space="preserve"> FY 2024 Full-Time Equivalent </w:t>
            </w:r>
          </w:p>
        </w:tc>
      </w:tr>
      <w:tr w14:paraId="65C43095" w14:textId="77777777" w:rsidTr="001D5C80">
        <w:tblPrEx>
          <w:tblW w:w="9526" w:type="dxa"/>
          <w:tblLook w:val="04A0"/>
        </w:tblPrEx>
        <w:trPr>
          <w:trHeight w:val="300"/>
        </w:trPr>
        <w:tc>
          <w:tcPr>
            <w:tcW w:w="6480" w:type="dxa"/>
            <w:tcBorders>
              <w:top w:val="single" w:sz="4" w:space="0" w:color="auto"/>
              <w:left w:val="nil"/>
              <w:bottom w:val="nil"/>
              <w:right w:val="nil"/>
            </w:tcBorders>
            <w:noWrap/>
            <w:vAlign w:val="center"/>
            <w:hideMark/>
          </w:tcPr>
          <w:p w:rsidR="006F2320" w:rsidRPr="008426B0" w:rsidP="00CE0AF1" w14:paraId="3A98A869" w14:textId="77777777">
            <w:pPr>
              <w:autoSpaceDE/>
              <w:autoSpaceDN/>
              <w:adjustRightInd/>
              <w:rPr>
                <w:rFonts w:ascii="Times New Roman" w:hAnsi="Times New Roman"/>
                <w:color w:val="000000"/>
              </w:rPr>
            </w:pPr>
            <w:r w:rsidRPr="008426B0">
              <w:rPr>
                <w:rFonts w:ascii="Times New Roman" w:hAnsi="Times New Roman"/>
                <w:color w:val="000000"/>
              </w:rPr>
              <w:t>CJIS Systems Agency/Officer (CSA/CSO) Development and Support</w:t>
            </w:r>
          </w:p>
        </w:tc>
        <w:tc>
          <w:tcPr>
            <w:tcW w:w="1780" w:type="dxa"/>
            <w:tcBorders>
              <w:top w:val="single" w:sz="4" w:space="0" w:color="auto"/>
              <w:left w:val="nil"/>
              <w:bottom w:val="nil"/>
              <w:right w:val="nil"/>
            </w:tcBorders>
            <w:noWrap/>
            <w:vAlign w:val="center"/>
            <w:hideMark/>
          </w:tcPr>
          <w:p w:rsidR="006F2320" w:rsidRPr="008426B0" w:rsidP="00CE0AF1" w14:paraId="0D818E54" w14:textId="77777777">
            <w:pPr>
              <w:autoSpaceDE/>
              <w:autoSpaceDN/>
              <w:adjustRightInd/>
              <w:jc w:val="right"/>
              <w:rPr>
                <w:rFonts w:ascii="Times New Roman" w:hAnsi="Times New Roman"/>
                <w:color w:val="000000"/>
              </w:rPr>
            </w:pPr>
            <w:r w:rsidRPr="008426B0">
              <w:rPr>
                <w:rFonts w:ascii="Times New Roman" w:hAnsi="Times New Roman"/>
                <w:color w:val="000000"/>
              </w:rPr>
              <w:t>$4,805.07</w:t>
            </w:r>
          </w:p>
        </w:tc>
        <w:tc>
          <w:tcPr>
            <w:tcW w:w="1266" w:type="dxa"/>
            <w:tcBorders>
              <w:top w:val="single" w:sz="4" w:space="0" w:color="auto"/>
              <w:left w:val="nil"/>
              <w:bottom w:val="nil"/>
              <w:right w:val="nil"/>
            </w:tcBorders>
            <w:noWrap/>
            <w:vAlign w:val="center"/>
            <w:hideMark/>
          </w:tcPr>
          <w:p w:rsidR="006F2320" w:rsidRPr="008426B0" w:rsidP="00CE0AF1" w14:paraId="3E3DD940"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0.03 </w:t>
            </w:r>
          </w:p>
        </w:tc>
      </w:tr>
      <w:tr w14:paraId="35D35593"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3288B725" w14:textId="77777777">
            <w:pPr>
              <w:autoSpaceDE/>
              <w:autoSpaceDN/>
              <w:adjustRightInd/>
              <w:rPr>
                <w:rFonts w:ascii="Times New Roman" w:hAnsi="Times New Roman"/>
                <w:color w:val="000000"/>
              </w:rPr>
            </w:pPr>
            <w:r w:rsidRPr="008426B0">
              <w:rPr>
                <w:rFonts w:ascii="Times New Roman" w:hAnsi="Times New Roman"/>
                <w:color w:val="000000"/>
              </w:rPr>
              <w:t>Collaborate with LE and Critical Incident Management Services</w:t>
            </w:r>
          </w:p>
        </w:tc>
        <w:tc>
          <w:tcPr>
            <w:tcW w:w="1780" w:type="dxa"/>
            <w:tcBorders>
              <w:top w:val="nil"/>
              <w:left w:val="nil"/>
              <w:bottom w:val="nil"/>
              <w:right w:val="nil"/>
            </w:tcBorders>
            <w:noWrap/>
            <w:vAlign w:val="center"/>
            <w:hideMark/>
          </w:tcPr>
          <w:p w:rsidR="006F2320" w:rsidRPr="008426B0" w:rsidP="00CE0AF1" w14:paraId="41E6D950" w14:textId="77777777">
            <w:pPr>
              <w:autoSpaceDE/>
              <w:autoSpaceDN/>
              <w:adjustRightInd/>
              <w:jc w:val="right"/>
              <w:rPr>
                <w:rFonts w:ascii="Times New Roman" w:hAnsi="Times New Roman"/>
                <w:color w:val="000000"/>
              </w:rPr>
            </w:pPr>
            <w:r w:rsidRPr="008426B0">
              <w:rPr>
                <w:rFonts w:ascii="Times New Roman" w:hAnsi="Times New Roman"/>
                <w:color w:val="000000"/>
              </w:rPr>
              <w:t>$8,479.06</w:t>
            </w:r>
          </w:p>
        </w:tc>
        <w:tc>
          <w:tcPr>
            <w:tcW w:w="1266" w:type="dxa"/>
            <w:tcBorders>
              <w:top w:val="nil"/>
              <w:left w:val="nil"/>
              <w:bottom w:val="nil"/>
              <w:right w:val="nil"/>
            </w:tcBorders>
            <w:noWrap/>
            <w:vAlign w:val="center"/>
            <w:hideMark/>
          </w:tcPr>
          <w:p w:rsidR="006F2320" w:rsidRPr="008426B0" w:rsidP="00CE0AF1" w14:paraId="502BA7DB"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0.06 </w:t>
            </w:r>
          </w:p>
        </w:tc>
      </w:tr>
      <w:tr w14:paraId="6077A0E9"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0786BA27" w14:textId="77777777">
            <w:pPr>
              <w:autoSpaceDE/>
              <w:autoSpaceDN/>
              <w:adjustRightInd/>
              <w:rPr>
                <w:rFonts w:ascii="Times New Roman" w:hAnsi="Times New Roman"/>
                <w:color w:val="000000"/>
              </w:rPr>
            </w:pPr>
            <w:r w:rsidRPr="008426B0">
              <w:rPr>
                <w:rFonts w:ascii="Times New Roman" w:hAnsi="Times New Roman"/>
                <w:color w:val="000000"/>
              </w:rPr>
              <w:t>Conduct Field Office, OPE, and LEGAT Engagement Activities</w:t>
            </w:r>
          </w:p>
        </w:tc>
        <w:tc>
          <w:tcPr>
            <w:tcW w:w="1780" w:type="dxa"/>
            <w:tcBorders>
              <w:top w:val="nil"/>
              <w:left w:val="nil"/>
              <w:bottom w:val="nil"/>
              <w:right w:val="nil"/>
            </w:tcBorders>
            <w:noWrap/>
            <w:vAlign w:val="center"/>
            <w:hideMark/>
          </w:tcPr>
          <w:p w:rsidR="006F2320" w:rsidRPr="008426B0" w:rsidP="00CE0AF1" w14:paraId="56A02429" w14:textId="77777777">
            <w:pPr>
              <w:autoSpaceDE/>
              <w:autoSpaceDN/>
              <w:adjustRightInd/>
              <w:jc w:val="right"/>
              <w:rPr>
                <w:rFonts w:ascii="Times New Roman" w:hAnsi="Times New Roman"/>
                <w:color w:val="000000"/>
              </w:rPr>
            </w:pPr>
            <w:r w:rsidRPr="008426B0">
              <w:rPr>
                <w:rFonts w:ascii="Times New Roman" w:hAnsi="Times New Roman"/>
                <w:color w:val="000000"/>
              </w:rPr>
              <w:t>$18,456.52</w:t>
            </w:r>
          </w:p>
        </w:tc>
        <w:tc>
          <w:tcPr>
            <w:tcW w:w="1266" w:type="dxa"/>
            <w:tcBorders>
              <w:top w:val="nil"/>
              <w:left w:val="nil"/>
              <w:bottom w:val="nil"/>
              <w:right w:val="nil"/>
            </w:tcBorders>
            <w:noWrap/>
            <w:vAlign w:val="center"/>
            <w:hideMark/>
          </w:tcPr>
          <w:p w:rsidR="006F2320" w:rsidRPr="008426B0" w:rsidP="00CE0AF1" w14:paraId="5898295C"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0.15 </w:t>
            </w:r>
          </w:p>
        </w:tc>
      </w:tr>
      <w:tr w14:paraId="70524ACB"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6864F976" w14:textId="77777777">
            <w:pPr>
              <w:autoSpaceDE/>
              <w:autoSpaceDN/>
              <w:adjustRightInd/>
              <w:rPr>
                <w:rFonts w:ascii="Times New Roman" w:hAnsi="Times New Roman"/>
                <w:color w:val="000000"/>
              </w:rPr>
            </w:pPr>
            <w:r w:rsidRPr="008426B0">
              <w:rPr>
                <w:rFonts w:ascii="Times New Roman" w:hAnsi="Times New Roman"/>
                <w:color w:val="000000"/>
              </w:rPr>
              <w:t>Conduct Liaison, Education, and Promotion</w:t>
            </w:r>
          </w:p>
        </w:tc>
        <w:tc>
          <w:tcPr>
            <w:tcW w:w="1780" w:type="dxa"/>
            <w:tcBorders>
              <w:top w:val="nil"/>
              <w:left w:val="nil"/>
              <w:bottom w:val="nil"/>
              <w:right w:val="nil"/>
            </w:tcBorders>
            <w:noWrap/>
            <w:vAlign w:val="center"/>
            <w:hideMark/>
          </w:tcPr>
          <w:p w:rsidR="006F2320" w:rsidRPr="008426B0" w:rsidP="00CE0AF1" w14:paraId="04C31683" w14:textId="77777777">
            <w:pPr>
              <w:autoSpaceDE/>
              <w:autoSpaceDN/>
              <w:adjustRightInd/>
              <w:jc w:val="right"/>
              <w:rPr>
                <w:rFonts w:ascii="Times New Roman" w:hAnsi="Times New Roman"/>
                <w:color w:val="000000"/>
              </w:rPr>
            </w:pPr>
            <w:r w:rsidRPr="008426B0">
              <w:rPr>
                <w:rFonts w:ascii="Times New Roman" w:hAnsi="Times New Roman"/>
                <w:color w:val="000000"/>
              </w:rPr>
              <w:t>$530,655.46</w:t>
            </w:r>
          </w:p>
        </w:tc>
        <w:tc>
          <w:tcPr>
            <w:tcW w:w="1266" w:type="dxa"/>
            <w:tcBorders>
              <w:top w:val="nil"/>
              <w:left w:val="nil"/>
              <w:bottom w:val="nil"/>
              <w:right w:val="nil"/>
            </w:tcBorders>
            <w:noWrap/>
            <w:vAlign w:val="center"/>
            <w:hideMark/>
          </w:tcPr>
          <w:p w:rsidR="006F2320" w:rsidRPr="008426B0" w:rsidP="00CE0AF1" w14:paraId="4B434F9E"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4.03 </w:t>
            </w:r>
          </w:p>
        </w:tc>
      </w:tr>
      <w:tr w14:paraId="2E24BBF0"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200C4B41" w14:textId="77777777">
            <w:pPr>
              <w:autoSpaceDE/>
              <w:autoSpaceDN/>
              <w:adjustRightInd/>
              <w:rPr>
                <w:rFonts w:ascii="Times New Roman" w:hAnsi="Times New Roman"/>
                <w:color w:val="000000"/>
              </w:rPr>
            </w:pPr>
            <w:r w:rsidRPr="008426B0">
              <w:rPr>
                <w:rFonts w:ascii="Times New Roman" w:hAnsi="Times New Roman"/>
                <w:color w:val="000000"/>
              </w:rPr>
              <w:t>Conduct Other Crime Data Services Activities</w:t>
            </w:r>
          </w:p>
        </w:tc>
        <w:tc>
          <w:tcPr>
            <w:tcW w:w="1780" w:type="dxa"/>
            <w:tcBorders>
              <w:top w:val="nil"/>
              <w:left w:val="nil"/>
              <w:bottom w:val="nil"/>
              <w:right w:val="nil"/>
            </w:tcBorders>
            <w:noWrap/>
            <w:vAlign w:val="center"/>
            <w:hideMark/>
          </w:tcPr>
          <w:p w:rsidR="006F2320" w:rsidRPr="008426B0" w:rsidP="00CE0AF1" w14:paraId="12AFB9AF" w14:textId="77777777">
            <w:pPr>
              <w:autoSpaceDE/>
              <w:autoSpaceDN/>
              <w:adjustRightInd/>
              <w:jc w:val="right"/>
              <w:rPr>
                <w:rFonts w:ascii="Times New Roman" w:hAnsi="Times New Roman"/>
                <w:color w:val="000000"/>
              </w:rPr>
            </w:pPr>
            <w:r w:rsidRPr="008426B0">
              <w:rPr>
                <w:rFonts w:ascii="Times New Roman" w:hAnsi="Times New Roman"/>
                <w:color w:val="000000"/>
              </w:rPr>
              <w:t>$392,300.68</w:t>
            </w:r>
          </w:p>
        </w:tc>
        <w:tc>
          <w:tcPr>
            <w:tcW w:w="1266" w:type="dxa"/>
            <w:tcBorders>
              <w:top w:val="nil"/>
              <w:left w:val="nil"/>
              <w:bottom w:val="nil"/>
              <w:right w:val="nil"/>
            </w:tcBorders>
            <w:noWrap/>
            <w:vAlign w:val="center"/>
            <w:hideMark/>
          </w:tcPr>
          <w:p w:rsidR="006F2320" w:rsidRPr="008426B0" w:rsidP="00CE0AF1" w14:paraId="7A732378"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2.81 </w:t>
            </w:r>
          </w:p>
        </w:tc>
      </w:tr>
      <w:tr w14:paraId="1BAD4E78"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524ABE14" w14:textId="77777777">
            <w:pPr>
              <w:autoSpaceDE/>
              <w:autoSpaceDN/>
              <w:adjustRightInd/>
              <w:rPr>
                <w:rFonts w:ascii="Times New Roman" w:hAnsi="Times New Roman"/>
                <w:color w:val="000000"/>
              </w:rPr>
            </w:pPr>
            <w:r w:rsidRPr="008426B0">
              <w:rPr>
                <w:rFonts w:ascii="Times New Roman" w:hAnsi="Times New Roman"/>
                <w:color w:val="000000"/>
              </w:rPr>
              <w:t>Conduct Other Partner Engagement Activities</w:t>
            </w:r>
          </w:p>
        </w:tc>
        <w:tc>
          <w:tcPr>
            <w:tcW w:w="1780" w:type="dxa"/>
            <w:tcBorders>
              <w:top w:val="nil"/>
              <w:left w:val="nil"/>
              <w:bottom w:val="nil"/>
              <w:right w:val="nil"/>
            </w:tcBorders>
            <w:noWrap/>
            <w:vAlign w:val="center"/>
            <w:hideMark/>
          </w:tcPr>
          <w:p w:rsidR="006F2320" w:rsidRPr="008426B0" w:rsidP="00CE0AF1" w14:paraId="186AE194" w14:textId="77777777">
            <w:pPr>
              <w:autoSpaceDE/>
              <w:autoSpaceDN/>
              <w:adjustRightInd/>
              <w:jc w:val="right"/>
              <w:rPr>
                <w:rFonts w:ascii="Times New Roman" w:hAnsi="Times New Roman"/>
                <w:color w:val="000000"/>
              </w:rPr>
            </w:pPr>
            <w:r w:rsidRPr="008426B0">
              <w:rPr>
                <w:rFonts w:ascii="Times New Roman" w:hAnsi="Times New Roman"/>
                <w:color w:val="000000"/>
              </w:rPr>
              <w:t>$41,822.65</w:t>
            </w:r>
          </w:p>
        </w:tc>
        <w:tc>
          <w:tcPr>
            <w:tcW w:w="1266" w:type="dxa"/>
            <w:tcBorders>
              <w:top w:val="nil"/>
              <w:left w:val="nil"/>
              <w:bottom w:val="nil"/>
              <w:right w:val="nil"/>
            </w:tcBorders>
            <w:noWrap/>
            <w:vAlign w:val="center"/>
            <w:hideMark/>
          </w:tcPr>
          <w:p w:rsidR="006F2320" w:rsidRPr="008426B0" w:rsidP="00CE0AF1" w14:paraId="575CBC36"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0.27 </w:t>
            </w:r>
          </w:p>
        </w:tc>
      </w:tr>
      <w:tr w14:paraId="2E3C86FB"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62A805D1" w14:textId="77777777">
            <w:pPr>
              <w:autoSpaceDE/>
              <w:autoSpaceDN/>
              <w:adjustRightInd/>
              <w:rPr>
                <w:rFonts w:ascii="Times New Roman" w:hAnsi="Times New Roman"/>
                <w:color w:val="000000"/>
              </w:rPr>
            </w:pPr>
            <w:r w:rsidRPr="008426B0">
              <w:rPr>
                <w:rFonts w:ascii="Times New Roman" w:hAnsi="Times New Roman"/>
                <w:color w:val="000000"/>
              </w:rPr>
              <w:t>Conduct Quality, Process, and System Management Activities</w:t>
            </w:r>
          </w:p>
        </w:tc>
        <w:tc>
          <w:tcPr>
            <w:tcW w:w="1780" w:type="dxa"/>
            <w:tcBorders>
              <w:top w:val="nil"/>
              <w:left w:val="nil"/>
              <w:bottom w:val="nil"/>
              <w:right w:val="nil"/>
            </w:tcBorders>
            <w:noWrap/>
            <w:vAlign w:val="center"/>
            <w:hideMark/>
          </w:tcPr>
          <w:p w:rsidR="006F2320" w:rsidRPr="008426B0" w:rsidP="00CE0AF1" w14:paraId="62F413EA" w14:textId="77777777">
            <w:pPr>
              <w:autoSpaceDE/>
              <w:autoSpaceDN/>
              <w:adjustRightInd/>
              <w:jc w:val="right"/>
              <w:rPr>
                <w:rFonts w:ascii="Times New Roman" w:hAnsi="Times New Roman"/>
                <w:color w:val="000000"/>
              </w:rPr>
            </w:pPr>
            <w:r w:rsidRPr="008426B0">
              <w:rPr>
                <w:rFonts w:ascii="Times New Roman" w:hAnsi="Times New Roman"/>
                <w:color w:val="000000"/>
              </w:rPr>
              <w:t>$10,191.78</w:t>
            </w:r>
          </w:p>
        </w:tc>
        <w:tc>
          <w:tcPr>
            <w:tcW w:w="1266" w:type="dxa"/>
            <w:tcBorders>
              <w:top w:val="nil"/>
              <w:left w:val="nil"/>
              <w:bottom w:val="nil"/>
              <w:right w:val="nil"/>
            </w:tcBorders>
            <w:noWrap/>
            <w:vAlign w:val="center"/>
            <w:hideMark/>
          </w:tcPr>
          <w:p w:rsidR="006F2320" w:rsidRPr="008426B0" w:rsidP="00CE0AF1" w14:paraId="48ACF4EA"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0.06 </w:t>
            </w:r>
          </w:p>
        </w:tc>
      </w:tr>
      <w:tr w14:paraId="24E5E731"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63131A15" w14:textId="7E6D5F1F">
            <w:pPr>
              <w:autoSpaceDE/>
              <w:autoSpaceDN/>
              <w:adjustRightInd/>
              <w:rPr>
                <w:rFonts w:ascii="Times New Roman" w:hAnsi="Times New Roman"/>
                <w:color w:val="000000"/>
              </w:rPr>
            </w:pPr>
            <w:r w:rsidRPr="008426B0">
              <w:rPr>
                <w:rFonts w:ascii="Times New Roman" w:hAnsi="Times New Roman"/>
                <w:color w:val="000000"/>
              </w:rPr>
              <w:t xml:space="preserve">Conduct </w:t>
            </w:r>
            <w:r w:rsidRPr="008426B0" w:rsidR="004A1730">
              <w:rPr>
                <w:rFonts w:ascii="Times New Roman" w:hAnsi="Times New Roman"/>
                <w:color w:val="000000"/>
              </w:rPr>
              <w:t>R</w:t>
            </w:r>
            <w:r w:rsidRPr="008426B0">
              <w:rPr>
                <w:rFonts w:ascii="Times New Roman" w:hAnsi="Times New Roman"/>
                <w:color w:val="000000"/>
              </w:rPr>
              <w:t xml:space="preserve">esearch and </w:t>
            </w:r>
            <w:r w:rsidRPr="008426B0" w:rsidR="004A1730">
              <w:rPr>
                <w:rFonts w:ascii="Times New Roman" w:hAnsi="Times New Roman"/>
                <w:color w:val="000000"/>
              </w:rPr>
              <w:t>R</w:t>
            </w:r>
            <w:r w:rsidRPr="008426B0">
              <w:rPr>
                <w:rFonts w:ascii="Times New Roman" w:hAnsi="Times New Roman"/>
                <w:color w:val="000000"/>
              </w:rPr>
              <w:t xml:space="preserve">elease </w:t>
            </w:r>
            <w:r w:rsidRPr="008426B0" w:rsidR="004A1730">
              <w:rPr>
                <w:rFonts w:ascii="Times New Roman" w:hAnsi="Times New Roman"/>
                <w:color w:val="000000"/>
              </w:rPr>
              <w:t>S</w:t>
            </w:r>
            <w:r w:rsidRPr="008426B0">
              <w:rPr>
                <w:rFonts w:ascii="Times New Roman" w:hAnsi="Times New Roman"/>
                <w:color w:val="000000"/>
              </w:rPr>
              <w:t xml:space="preserve">tudies on </w:t>
            </w:r>
            <w:r w:rsidRPr="008426B0" w:rsidR="004A1730">
              <w:rPr>
                <w:rFonts w:ascii="Times New Roman" w:hAnsi="Times New Roman"/>
                <w:color w:val="000000"/>
              </w:rPr>
              <w:t>C</w:t>
            </w:r>
            <w:r w:rsidRPr="008426B0">
              <w:rPr>
                <w:rFonts w:ascii="Times New Roman" w:hAnsi="Times New Roman"/>
                <w:color w:val="000000"/>
              </w:rPr>
              <w:t xml:space="preserve">ollected </w:t>
            </w:r>
            <w:r w:rsidRPr="008426B0" w:rsidR="004A1730">
              <w:rPr>
                <w:rFonts w:ascii="Times New Roman" w:hAnsi="Times New Roman"/>
                <w:color w:val="000000"/>
              </w:rPr>
              <w:t>D</w:t>
            </w:r>
            <w:r w:rsidRPr="008426B0">
              <w:rPr>
                <w:rFonts w:ascii="Times New Roman" w:hAnsi="Times New Roman"/>
                <w:color w:val="000000"/>
              </w:rPr>
              <w:t>ata</w:t>
            </w:r>
          </w:p>
        </w:tc>
        <w:tc>
          <w:tcPr>
            <w:tcW w:w="1780" w:type="dxa"/>
            <w:tcBorders>
              <w:top w:val="nil"/>
              <w:left w:val="nil"/>
              <w:bottom w:val="nil"/>
              <w:right w:val="nil"/>
            </w:tcBorders>
            <w:noWrap/>
            <w:vAlign w:val="center"/>
            <w:hideMark/>
          </w:tcPr>
          <w:p w:rsidR="006F2320" w:rsidRPr="008426B0" w:rsidP="00CE0AF1" w14:paraId="6EDC7BBB" w14:textId="77777777">
            <w:pPr>
              <w:autoSpaceDE/>
              <w:autoSpaceDN/>
              <w:adjustRightInd/>
              <w:jc w:val="right"/>
              <w:rPr>
                <w:rFonts w:ascii="Times New Roman" w:hAnsi="Times New Roman"/>
                <w:color w:val="000000"/>
              </w:rPr>
            </w:pPr>
            <w:r w:rsidRPr="008426B0">
              <w:rPr>
                <w:rFonts w:ascii="Times New Roman" w:hAnsi="Times New Roman"/>
                <w:color w:val="000000"/>
              </w:rPr>
              <w:t>$221,358.28</w:t>
            </w:r>
          </w:p>
        </w:tc>
        <w:tc>
          <w:tcPr>
            <w:tcW w:w="1266" w:type="dxa"/>
            <w:tcBorders>
              <w:top w:val="nil"/>
              <w:left w:val="nil"/>
              <w:bottom w:val="nil"/>
              <w:right w:val="nil"/>
            </w:tcBorders>
            <w:noWrap/>
            <w:vAlign w:val="center"/>
            <w:hideMark/>
          </w:tcPr>
          <w:p w:rsidR="006F2320" w:rsidRPr="008426B0" w:rsidP="00CE0AF1" w14:paraId="1B83A88D"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1.79 </w:t>
            </w:r>
          </w:p>
        </w:tc>
      </w:tr>
      <w:tr w14:paraId="139F497F"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22E2FE98" w14:textId="77777777">
            <w:pPr>
              <w:autoSpaceDE/>
              <w:autoSpaceDN/>
              <w:adjustRightInd/>
              <w:rPr>
                <w:rFonts w:ascii="Times New Roman" w:hAnsi="Times New Roman"/>
                <w:color w:val="000000"/>
              </w:rPr>
            </w:pPr>
            <w:r w:rsidRPr="008426B0">
              <w:rPr>
                <w:rFonts w:ascii="Times New Roman" w:hAnsi="Times New Roman"/>
                <w:color w:val="000000"/>
              </w:rPr>
              <w:t>Conduct State and Local Agency Engagement Activities</w:t>
            </w:r>
          </w:p>
        </w:tc>
        <w:tc>
          <w:tcPr>
            <w:tcW w:w="1780" w:type="dxa"/>
            <w:tcBorders>
              <w:top w:val="nil"/>
              <w:left w:val="nil"/>
              <w:bottom w:val="nil"/>
              <w:right w:val="nil"/>
            </w:tcBorders>
            <w:noWrap/>
            <w:vAlign w:val="center"/>
            <w:hideMark/>
          </w:tcPr>
          <w:p w:rsidR="006F2320" w:rsidRPr="008426B0" w:rsidP="00CE0AF1" w14:paraId="794DE51B" w14:textId="77777777">
            <w:pPr>
              <w:autoSpaceDE/>
              <w:autoSpaceDN/>
              <w:adjustRightInd/>
              <w:jc w:val="right"/>
              <w:rPr>
                <w:rFonts w:ascii="Times New Roman" w:hAnsi="Times New Roman"/>
                <w:color w:val="000000"/>
              </w:rPr>
            </w:pPr>
            <w:r w:rsidRPr="008426B0">
              <w:rPr>
                <w:rFonts w:ascii="Times New Roman" w:hAnsi="Times New Roman"/>
                <w:color w:val="000000"/>
              </w:rPr>
              <w:t>$71,379.09</w:t>
            </w:r>
          </w:p>
        </w:tc>
        <w:tc>
          <w:tcPr>
            <w:tcW w:w="1266" w:type="dxa"/>
            <w:tcBorders>
              <w:top w:val="nil"/>
              <w:left w:val="nil"/>
              <w:bottom w:val="nil"/>
              <w:right w:val="nil"/>
            </w:tcBorders>
            <w:noWrap/>
            <w:vAlign w:val="center"/>
            <w:hideMark/>
          </w:tcPr>
          <w:p w:rsidR="006F2320" w:rsidRPr="008426B0" w:rsidP="00CE0AF1" w14:paraId="3C5B3F7C"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0.56 </w:t>
            </w:r>
          </w:p>
        </w:tc>
      </w:tr>
      <w:tr w14:paraId="4EDA44B2"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60D3519F" w14:textId="77777777">
            <w:pPr>
              <w:autoSpaceDE/>
              <w:autoSpaceDN/>
              <w:adjustRightInd/>
              <w:rPr>
                <w:rFonts w:ascii="Times New Roman" w:hAnsi="Times New Roman"/>
                <w:color w:val="000000"/>
              </w:rPr>
            </w:pPr>
            <w:r w:rsidRPr="008426B0">
              <w:rPr>
                <w:rFonts w:ascii="Times New Roman" w:hAnsi="Times New Roman"/>
                <w:color w:val="000000"/>
              </w:rPr>
              <w:t>Conduct Tribal Engagement Activities</w:t>
            </w:r>
          </w:p>
        </w:tc>
        <w:tc>
          <w:tcPr>
            <w:tcW w:w="1780" w:type="dxa"/>
            <w:tcBorders>
              <w:top w:val="nil"/>
              <w:left w:val="nil"/>
              <w:bottom w:val="nil"/>
              <w:right w:val="nil"/>
            </w:tcBorders>
            <w:noWrap/>
            <w:vAlign w:val="center"/>
            <w:hideMark/>
          </w:tcPr>
          <w:p w:rsidR="006F2320" w:rsidRPr="008426B0" w:rsidP="00CE0AF1" w14:paraId="25EF1B5A" w14:textId="77777777">
            <w:pPr>
              <w:autoSpaceDE/>
              <w:autoSpaceDN/>
              <w:adjustRightInd/>
              <w:jc w:val="right"/>
              <w:rPr>
                <w:rFonts w:ascii="Times New Roman" w:hAnsi="Times New Roman"/>
                <w:color w:val="000000"/>
              </w:rPr>
            </w:pPr>
            <w:r w:rsidRPr="008426B0">
              <w:rPr>
                <w:rFonts w:ascii="Times New Roman" w:hAnsi="Times New Roman"/>
                <w:color w:val="000000"/>
              </w:rPr>
              <w:t>$9,865.78</w:t>
            </w:r>
          </w:p>
        </w:tc>
        <w:tc>
          <w:tcPr>
            <w:tcW w:w="1266" w:type="dxa"/>
            <w:tcBorders>
              <w:top w:val="nil"/>
              <w:left w:val="nil"/>
              <w:bottom w:val="nil"/>
              <w:right w:val="nil"/>
            </w:tcBorders>
            <w:noWrap/>
            <w:vAlign w:val="center"/>
            <w:hideMark/>
          </w:tcPr>
          <w:p w:rsidR="006F2320" w:rsidRPr="008426B0" w:rsidP="00CE0AF1" w14:paraId="60F91652"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0.09 </w:t>
            </w:r>
          </w:p>
        </w:tc>
      </w:tr>
      <w:tr w14:paraId="7E9B42D3"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268A32A3" w14:textId="77777777">
            <w:pPr>
              <w:autoSpaceDE/>
              <w:autoSpaceDN/>
              <w:adjustRightInd/>
              <w:rPr>
                <w:rFonts w:ascii="Times New Roman" w:hAnsi="Times New Roman"/>
                <w:color w:val="000000"/>
              </w:rPr>
            </w:pPr>
            <w:r w:rsidRPr="008426B0">
              <w:rPr>
                <w:rFonts w:ascii="Times New Roman" w:hAnsi="Times New Roman"/>
                <w:color w:val="000000"/>
              </w:rPr>
              <w:t>Develop and Maintain Partner Outreach Materials</w:t>
            </w:r>
          </w:p>
        </w:tc>
        <w:tc>
          <w:tcPr>
            <w:tcW w:w="1780" w:type="dxa"/>
            <w:tcBorders>
              <w:top w:val="nil"/>
              <w:left w:val="nil"/>
              <w:bottom w:val="nil"/>
              <w:right w:val="nil"/>
            </w:tcBorders>
            <w:noWrap/>
            <w:vAlign w:val="center"/>
            <w:hideMark/>
          </w:tcPr>
          <w:p w:rsidR="006F2320" w:rsidRPr="008426B0" w:rsidP="00CE0AF1" w14:paraId="1EC5661E" w14:textId="77777777">
            <w:pPr>
              <w:autoSpaceDE/>
              <w:autoSpaceDN/>
              <w:adjustRightInd/>
              <w:jc w:val="right"/>
              <w:rPr>
                <w:rFonts w:ascii="Times New Roman" w:hAnsi="Times New Roman"/>
                <w:color w:val="000000"/>
              </w:rPr>
            </w:pPr>
            <w:r w:rsidRPr="008426B0">
              <w:rPr>
                <w:rFonts w:ascii="Times New Roman" w:hAnsi="Times New Roman"/>
                <w:color w:val="000000"/>
              </w:rPr>
              <w:t>$8,365.12</w:t>
            </w:r>
          </w:p>
        </w:tc>
        <w:tc>
          <w:tcPr>
            <w:tcW w:w="1266" w:type="dxa"/>
            <w:tcBorders>
              <w:top w:val="nil"/>
              <w:left w:val="nil"/>
              <w:bottom w:val="nil"/>
              <w:right w:val="nil"/>
            </w:tcBorders>
            <w:noWrap/>
            <w:vAlign w:val="center"/>
            <w:hideMark/>
          </w:tcPr>
          <w:p w:rsidR="006F2320" w:rsidRPr="008426B0" w:rsidP="00CE0AF1" w14:paraId="15EB4AA4"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0.06 </w:t>
            </w:r>
          </w:p>
        </w:tc>
      </w:tr>
      <w:tr w14:paraId="27F3AFD8"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255FA346" w14:textId="77777777">
            <w:pPr>
              <w:autoSpaceDE/>
              <w:autoSpaceDN/>
              <w:adjustRightInd/>
              <w:rPr>
                <w:rFonts w:ascii="Times New Roman" w:hAnsi="Times New Roman"/>
                <w:color w:val="000000"/>
              </w:rPr>
            </w:pPr>
            <w:r w:rsidRPr="008426B0">
              <w:rPr>
                <w:rFonts w:ascii="Times New Roman" w:hAnsi="Times New Roman"/>
                <w:color w:val="000000"/>
              </w:rPr>
              <w:t>Develop and Manage Policy</w:t>
            </w:r>
          </w:p>
        </w:tc>
        <w:tc>
          <w:tcPr>
            <w:tcW w:w="1780" w:type="dxa"/>
            <w:tcBorders>
              <w:top w:val="nil"/>
              <w:left w:val="nil"/>
              <w:bottom w:val="nil"/>
              <w:right w:val="nil"/>
            </w:tcBorders>
            <w:noWrap/>
            <w:vAlign w:val="center"/>
            <w:hideMark/>
          </w:tcPr>
          <w:p w:rsidR="006F2320" w:rsidRPr="008426B0" w:rsidP="00CE0AF1" w14:paraId="61076967" w14:textId="77777777">
            <w:pPr>
              <w:autoSpaceDE/>
              <w:autoSpaceDN/>
              <w:adjustRightInd/>
              <w:jc w:val="right"/>
              <w:rPr>
                <w:rFonts w:ascii="Times New Roman" w:hAnsi="Times New Roman"/>
                <w:color w:val="000000"/>
              </w:rPr>
            </w:pPr>
            <w:r w:rsidRPr="008426B0">
              <w:rPr>
                <w:rFonts w:ascii="Times New Roman" w:hAnsi="Times New Roman"/>
                <w:color w:val="000000"/>
              </w:rPr>
              <w:t>$52,028.62</w:t>
            </w:r>
          </w:p>
        </w:tc>
        <w:tc>
          <w:tcPr>
            <w:tcW w:w="1266" w:type="dxa"/>
            <w:tcBorders>
              <w:top w:val="nil"/>
              <w:left w:val="nil"/>
              <w:bottom w:val="nil"/>
              <w:right w:val="nil"/>
            </w:tcBorders>
            <w:noWrap/>
            <w:vAlign w:val="center"/>
            <w:hideMark/>
          </w:tcPr>
          <w:p w:rsidR="006F2320" w:rsidRPr="008426B0" w:rsidP="00CE0AF1" w14:paraId="74637E5D"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0.36 </w:t>
            </w:r>
          </w:p>
        </w:tc>
      </w:tr>
      <w:tr w14:paraId="266C0132" w14:textId="77777777" w:rsidTr="001D5C80">
        <w:tblPrEx>
          <w:tblW w:w="9526" w:type="dxa"/>
          <w:tblLook w:val="04A0"/>
        </w:tblPrEx>
        <w:trPr>
          <w:trHeight w:val="300"/>
        </w:trPr>
        <w:tc>
          <w:tcPr>
            <w:tcW w:w="6480" w:type="dxa"/>
            <w:tcBorders>
              <w:top w:val="nil"/>
              <w:left w:val="nil"/>
              <w:right w:val="nil"/>
            </w:tcBorders>
            <w:noWrap/>
            <w:vAlign w:val="center"/>
            <w:hideMark/>
          </w:tcPr>
          <w:p w:rsidR="006F2320" w:rsidRPr="008426B0" w:rsidP="00CE0AF1" w14:paraId="4AADC743" w14:textId="77777777">
            <w:pPr>
              <w:autoSpaceDE/>
              <w:autoSpaceDN/>
              <w:adjustRightInd/>
              <w:rPr>
                <w:rFonts w:ascii="Times New Roman" w:hAnsi="Times New Roman"/>
                <w:color w:val="000000"/>
              </w:rPr>
            </w:pPr>
            <w:r w:rsidRPr="008426B0">
              <w:rPr>
                <w:rFonts w:ascii="Times New Roman" w:hAnsi="Times New Roman"/>
                <w:color w:val="000000"/>
              </w:rPr>
              <w:t>Direct Customer Engagement for Product/Service Use and Expansion</w:t>
            </w:r>
          </w:p>
        </w:tc>
        <w:tc>
          <w:tcPr>
            <w:tcW w:w="1780" w:type="dxa"/>
            <w:tcBorders>
              <w:top w:val="nil"/>
              <w:left w:val="nil"/>
              <w:right w:val="nil"/>
            </w:tcBorders>
            <w:noWrap/>
            <w:vAlign w:val="center"/>
            <w:hideMark/>
          </w:tcPr>
          <w:p w:rsidR="006F2320" w:rsidRPr="008426B0" w:rsidP="00CE0AF1" w14:paraId="07C22E5C" w14:textId="77777777">
            <w:pPr>
              <w:autoSpaceDE/>
              <w:autoSpaceDN/>
              <w:adjustRightInd/>
              <w:jc w:val="right"/>
              <w:rPr>
                <w:rFonts w:ascii="Times New Roman" w:hAnsi="Times New Roman"/>
                <w:color w:val="000000"/>
              </w:rPr>
            </w:pPr>
            <w:r w:rsidRPr="008426B0">
              <w:rPr>
                <w:rFonts w:ascii="Times New Roman" w:hAnsi="Times New Roman"/>
                <w:color w:val="000000"/>
              </w:rPr>
              <w:t>$156,869.82</w:t>
            </w:r>
          </w:p>
        </w:tc>
        <w:tc>
          <w:tcPr>
            <w:tcW w:w="1266" w:type="dxa"/>
            <w:tcBorders>
              <w:top w:val="nil"/>
              <w:left w:val="nil"/>
              <w:right w:val="nil"/>
            </w:tcBorders>
            <w:noWrap/>
            <w:vAlign w:val="center"/>
            <w:hideMark/>
          </w:tcPr>
          <w:p w:rsidR="006F2320" w:rsidRPr="008426B0" w:rsidP="00CE0AF1" w14:paraId="3F792ACE"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1.03 </w:t>
            </w:r>
          </w:p>
        </w:tc>
      </w:tr>
      <w:tr w14:paraId="1520C20B" w14:textId="77777777" w:rsidTr="001D5C80">
        <w:tblPrEx>
          <w:tblW w:w="9526" w:type="dxa"/>
          <w:tblLook w:val="04A0"/>
        </w:tblPrEx>
        <w:trPr>
          <w:trHeight w:val="300"/>
        </w:trPr>
        <w:tc>
          <w:tcPr>
            <w:tcW w:w="6480" w:type="dxa"/>
            <w:tcBorders>
              <w:top w:val="nil"/>
              <w:left w:val="nil"/>
              <w:right w:val="nil"/>
            </w:tcBorders>
            <w:noWrap/>
            <w:vAlign w:val="center"/>
            <w:hideMark/>
          </w:tcPr>
          <w:p w:rsidR="006F2320" w:rsidRPr="008426B0" w:rsidP="00CE0AF1" w14:paraId="1876A545" w14:textId="77777777">
            <w:pPr>
              <w:autoSpaceDE/>
              <w:autoSpaceDN/>
              <w:adjustRightInd/>
              <w:rPr>
                <w:rFonts w:ascii="Times New Roman" w:hAnsi="Times New Roman"/>
                <w:color w:val="000000"/>
              </w:rPr>
            </w:pPr>
            <w:r w:rsidRPr="008426B0">
              <w:rPr>
                <w:rFonts w:ascii="Times New Roman" w:hAnsi="Times New Roman"/>
                <w:color w:val="000000"/>
              </w:rPr>
              <w:t>Manage Strategic Communications</w:t>
            </w:r>
          </w:p>
        </w:tc>
        <w:tc>
          <w:tcPr>
            <w:tcW w:w="1780" w:type="dxa"/>
            <w:tcBorders>
              <w:top w:val="nil"/>
              <w:left w:val="nil"/>
              <w:right w:val="nil"/>
            </w:tcBorders>
            <w:noWrap/>
            <w:vAlign w:val="center"/>
            <w:hideMark/>
          </w:tcPr>
          <w:p w:rsidR="006F2320" w:rsidRPr="008426B0" w:rsidP="00CE0AF1" w14:paraId="1AAF1432" w14:textId="77777777">
            <w:pPr>
              <w:autoSpaceDE/>
              <w:autoSpaceDN/>
              <w:adjustRightInd/>
              <w:jc w:val="right"/>
              <w:rPr>
                <w:rFonts w:ascii="Times New Roman" w:hAnsi="Times New Roman"/>
                <w:color w:val="000000"/>
              </w:rPr>
            </w:pPr>
            <w:r w:rsidRPr="008426B0">
              <w:rPr>
                <w:rFonts w:ascii="Times New Roman" w:hAnsi="Times New Roman"/>
                <w:color w:val="000000"/>
              </w:rPr>
              <w:t>$9,212.45</w:t>
            </w:r>
          </w:p>
        </w:tc>
        <w:tc>
          <w:tcPr>
            <w:tcW w:w="1266" w:type="dxa"/>
            <w:tcBorders>
              <w:top w:val="nil"/>
              <w:left w:val="nil"/>
              <w:right w:val="nil"/>
            </w:tcBorders>
            <w:noWrap/>
            <w:vAlign w:val="center"/>
            <w:hideMark/>
          </w:tcPr>
          <w:p w:rsidR="006F2320" w:rsidRPr="008426B0" w:rsidP="00CE0AF1" w14:paraId="49A68A9F"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0.06 </w:t>
            </w:r>
          </w:p>
        </w:tc>
      </w:tr>
      <w:tr w14:paraId="142C7BA4" w14:textId="77777777" w:rsidTr="001D5C80">
        <w:tblPrEx>
          <w:tblW w:w="9526" w:type="dxa"/>
          <w:tblLook w:val="04A0"/>
        </w:tblPrEx>
        <w:trPr>
          <w:trHeight w:val="300"/>
        </w:trPr>
        <w:tc>
          <w:tcPr>
            <w:tcW w:w="6480" w:type="dxa"/>
            <w:tcBorders>
              <w:left w:val="nil"/>
              <w:bottom w:val="nil"/>
              <w:right w:val="nil"/>
            </w:tcBorders>
            <w:noWrap/>
            <w:vAlign w:val="center"/>
            <w:hideMark/>
          </w:tcPr>
          <w:p w:rsidR="006F2320" w:rsidRPr="008426B0" w:rsidP="00CE0AF1" w14:paraId="24C0D007" w14:textId="23C5212B">
            <w:pPr>
              <w:autoSpaceDE/>
              <w:autoSpaceDN/>
              <w:adjustRightInd/>
              <w:rPr>
                <w:rFonts w:ascii="Times New Roman" w:hAnsi="Times New Roman"/>
                <w:color w:val="000000"/>
              </w:rPr>
            </w:pPr>
            <w:r w:rsidRPr="008426B0">
              <w:rPr>
                <w:rFonts w:ascii="Times New Roman" w:hAnsi="Times New Roman"/>
                <w:color w:val="000000"/>
              </w:rPr>
              <w:t xml:space="preserve">Perform Administrative and Human Resource </w:t>
            </w:r>
            <w:r w:rsidRPr="008426B0" w:rsidR="005C148B">
              <w:rPr>
                <w:rFonts w:ascii="Times New Roman" w:hAnsi="Times New Roman"/>
                <w:color w:val="000000"/>
              </w:rPr>
              <w:t>T</w:t>
            </w:r>
            <w:r w:rsidRPr="008426B0">
              <w:rPr>
                <w:rFonts w:ascii="Times New Roman" w:hAnsi="Times New Roman"/>
                <w:color w:val="000000"/>
              </w:rPr>
              <w:t>asks</w:t>
            </w:r>
          </w:p>
        </w:tc>
        <w:tc>
          <w:tcPr>
            <w:tcW w:w="1780" w:type="dxa"/>
            <w:tcBorders>
              <w:left w:val="nil"/>
              <w:bottom w:val="nil"/>
              <w:right w:val="nil"/>
            </w:tcBorders>
            <w:noWrap/>
            <w:vAlign w:val="center"/>
            <w:hideMark/>
          </w:tcPr>
          <w:p w:rsidR="006F2320" w:rsidRPr="008426B0" w:rsidP="00CE0AF1" w14:paraId="13F96095" w14:textId="77777777">
            <w:pPr>
              <w:autoSpaceDE/>
              <w:autoSpaceDN/>
              <w:adjustRightInd/>
              <w:jc w:val="right"/>
              <w:rPr>
                <w:rFonts w:ascii="Times New Roman" w:hAnsi="Times New Roman"/>
                <w:color w:val="000000"/>
              </w:rPr>
            </w:pPr>
            <w:r w:rsidRPr="008426B0">
              <w:rPr>
                <w:rFonts w:ascii="Times New Roman" w:hAnsi="Times New Roman"/>
                <w:color w:val="000000"/>
              </w:rPr>
              <w:t>$260,597.57</w:t>
            </w:r>
          </w:p>
        </w:tc>
        <w:tc>
          <w:tcPr>
            <w:tcW w:w="1266" w:type="dxa"/>
            <w:tcBorders>
              <w:left w:val="nil"/>
              <w:bottom w:val="nil"/>
              <w:right w:val="nil"/>
            </w:tcBorders>
            <w:noWrap/>
            <w:vAlign w:val="center"/>
            <w:hideMark/>
          </w:tcPr>
          <w:p w:rsidR="006F2320" w:rsidRPr="008426B0" w:rsidP="00CE0AF1" w14:paraId="60FAE4E8"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1.90 </w:t>
            </w:r>
          </w:p>
        </w:tc>
      </w:tr>
      <w:tr w14:paraId="7FB2CAF1"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098FF083" w14:textId="19329297">
            <w:pPr>
              <w:autoSpaceDE/>
              <w:autoSpaceDN/>
              <w:adjustRightInd/>
              <w:rPr>
                <w:rFonts w:ascii="Times New Roman" w:hAnsi="Times New Roman"/>
                <w:color w:val="000000"/>
              </w:rPr>
            </w:pPr>
            <w:r w:rsidRPr="008426B0">
              <w:rPr>
                <w:rFonts w:ascii="Times New Roman" w:hAnsi="Times New Roman"/>
                <w:color w:val="000000"/>
              </w:rPr>
              <w:t xml:space="preserve">Perform </w:t>
            </w:r>
            <w:r w:rsidRPr="008426B0" w:rsidR="00A260B9">
              <w:rPr>
                <w:rFonts w:ascii="Times New Roman" w:hAnsi="Times New Roman"/>
                <w:color w:val="000000"/>
              </w:rPr>
              <w:t>Advisory Policy Board (</w:t>
            </w:r>
            <w:r w:rsidRPr="008426B0">
              <w:rPr>
                <w:rFonts w:ascii="Times New Roman" w:hAnsi="Times New Roman"/>
                <w:color w:val="000000"/>
              </w:rPr>
              <w:t>APB</w:t>
            </w:r>
            <w:r w:rsidRPr="008426B0" w:rsidR="00A260B9">
              <w:rPr>
                <w:rFonts w:ascii="Times New Roman" w:hAnsi="Times New Roman"/>
                <w:color w:val="000000"/>
              </w:rPr>
              <w:t>)</w:t>
            </w:r>
            <w:r w:rsidRPr="008426B0">
              <w:rPr>
                <w:rFonts w:ascii="Times New Roman" w:hAnsi="Times New Roman"/>
                <w:color w:val="000000"/>
              </w:rPr>
              <w:t xml:space="preserve"> </w:t>
            </w:r>
            <w:r w:rsidRPr="008426B0" w:rsidR="005C148B">
              <w:rPr>
                <w:rFonts w:ascii="Times New Roman" w:hAnsi="Times New Roman"/>
                <w:color w:val="000000"/>
              </w:rPr>
              <w:t>T</w:t>
            </w:r>
            <w:r w:rsidRPr="008426B0">
              <w:rPr>
                <w:rFonts w:ascii="Times New Roman" w:hAnsi="Times New Roman"/>
                <w:color w:val="000000"/>
              </w:rPr>
              <w:t>asks</w:t>
            </w:r>
          </w:p>
        </w:tc>
        <w:tc>
          <w:tcPr>
            <w:tcW w:w="1780" w:type="dxa"/>
            <w:tcBorders>
              <w:top w:val="nil"/>
              <w:left w:val="nil"/>
              <w:bottom w:val="nil"/>
              <w:right w:val="nil"/>
            </w:tcBorders>
            <w:noWrap/>
            <w:vAlign w:val="center"/>
            <w:hideMark/>
          </w:tcPr>
          <w:p w:rsidR="006F2320" w:rsidRPr="008426B0" w:rsidP="00CE0AF1" w14:paraId="720A9253" w14:textId="77777777">
            <w:pPr>
              <w:autoSpaceDE/>
              <w:autoSpaceDN/>
              <w:adjustRightInd/>
              <w:jc w:val="right"/>
              <w:rPr>
                <w:rFonts w:ascii="Times New Roman" w:hAnsi="Times New Roman"/>
                <w:color w:val="000000"/>
              </w:rPr>
            </w:pPr>
            <w:r w:rsidRPr="008426B0">
              <w:rPr>
                <w:rFonts w:ascii="Times New Roman" w:hAnsi="Times New Roman"/>
                <w:color w:val="000000"/>
              </w:rPr>
              <w:t>$60,450.64</w:t>
            </w:r>
          </w:p>
        </w:tc>
        <w:tc>
          <w:tcPr>
            <w:tcW w:w="1266" w:type="dxa"/>
            <w:tcBorders>
              <w:top w:val="nil"/>
              <w:left w:val="nil"/>
              <w:bottom w:val="nil"/>
              <w:right w:val="nil"/>
            </w:tcBorders>
            <w:noWrap/>
            <w:vAlign w:val="center"/>
            <w:hideMark/>
          </w:tcPr>
          <w:p w:rsidR="006F2320" w:rsidRPr="008426B0" w:rsidP="00CE0AF1" w14:paraId="1A9C77F6"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0.41 </w:t>
            </w:r>
          </w:p>
        </w:tc>
      </w:tr>
      <w:tr w14:paraId="05535D66"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092070B2" w14:textId="77777777">
            <w:pPr>
              <w:autoSpaceDE/>
              <w:autoSpaceDN/>
              <w:adjustRightInd/>
              <w:rPr>
                <w:rFonts w:ascii="Times New Roman" w:hAnsi="Times New Roman"/>
                <w:color w:val="000000"/>
              </w:rPr>
            </w:pPr>
            <w:r w:rsidRPr="008426B0">
              <w:rPr>
                <w:rFonts w:ascii="Times New Roman" w:hAnsi="Times New Roman"/>
                <w:color w:val="000000"/>
              </w:rPr>
              <w:t>Perform Budget, Strategic Planning, and Program Control</w:t>
            </w:r>
          </w:p>
        </w:tc>
        <w:tc>
          <w:tcPr>
            <w:tcW w:w="1780" w:type="dxa"/>
            <w:tcBorders>
              <w:top w:val="nil"/>
              <w:left w:val="nil"/>
              <w:bottom w:val="nil"/>
              <w:right w:val="nil"/>
            </w:tcBorders>
            <w:noWrap/>
            <w:vAlign w:val="center"/>
            <w:hideMark/>
          </w:tcPr>
          <w:p w:rsidR="006F2320" w:rsidRPr="008426B0" w:rsidP="00CE0AF1" w14:paraId="3C901AEE" w14:textId="77777777">
            <w:pPr>
              <w:autoSpaceDE/>
              <w:autoSpaceDN/>
              <w:adjustRightInd/>
              <w:jc w:val="right"/>
              <w:rPr>
                <w:rFonts w:ascii="Times New Roman" w:hAnsi="Times New Roman"/>
                <w:color w:val="000000"/>
              </w:rPr>
            </w:pPr>
            <w:r w:rsidRPr="008426B0">
              <w:rPr>
                <w:rFonts w:ascii="Times New Roman" w:hAnsi="Times New Roman"/>
                <w:color w:val="000000"/>
              </w:rPr>
              <w:t>$151,704.61</w:t>
            </w:r>
          </w:p>
        </w:tc>
        <w:tc>
          <w:tcPr>
            <w:tcW w:w="1266" w:type="dxa"/>
            <w:tcBorders>
              <w:top w:val="nil"/>
              <w:left w:val="nil"/>
              <w:bottom w:val="nil"/>
              <w:right w:val="nil"/>
            </w:tcBorders>
            <w:noWrap/>
            <w:vAlign w:val="center"/>
            <w:hideMark/>
          </w:tcPr>
          <w:p w:rsidR="006F2320" w:rsidRPr="008426B0" w:rsidP="00CE0AF1" w14:paraId="7F65F420"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0.91 </w:t>
            </w:r>
          </w:p>
        </w:tc>
      </w:tr>
      <w:tr w14:paraId="74AE4234"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6A32C993" w14:textId="77777777">
            <w:pPr>
              <w:autoSpaceDE/>
              <w:autoSpaceDN/>
              <w:adjustRightInd/>
              <w:rPr>
                <w:rFonts w:ascii="Times New Roman" w:hAnsi="Times New Roman"/>
                <w:color w:val="000000"/>
              </w:rPr>
            </w:pPr>
            <w:r w:rsidRPr="008426B0">
              <w:rPr>
                <w:rFonts w:ascii="Times New Roman" w:hAnsi="Times New Roman"/>
                <w:color w:val="000000"/>
              </w:rPr>
              <w:t>Perform Contracting Officer’s Representative Duties</w:t>
            </w:r>
          </w:p>
        </w:tc>
        <w:tc>
          <w:tcPr>
            <w:tcW w:w="1780" w:type="dxa"/>
            <w:tcBorders>
              <w:top w:val="nil"/>
              <w:left w:val="nil"/>
              <w:bottom w:val="nil"/>
              <w:right w:val="nil"/>
            </w:tcBorders>
            <w:noWrap/>
            <w:vAlign w:val="center"/>
            <w:hideMark/>
          </w:tcPr>
          <w:p w:rsidR="006F2320" w:rsidRPr="008426B0" w:rsidP="00CE0AF1" w14:paraId="396BFD18" w14:textId="77777777">
            <w:pPr>
              <w:autoSpaceDE/>
              <w:autoSpaceDN/>
              <w:adjustRightInd/>
              <w:jc w:val="right"/>
              <w:rPr>
                <w:rFonts w:ascii="Times New Roman" w:hAnsi="Times New Roman"/>
                <w:color w:val="000000"/>
              </w:rPr>
            </w:pPr>
            <w:r w:rsidRPr="008426B0">
              <w:rPr>
                <w:rFonts w:ascii="Times New Roman" w:hAnsi="Times New Roman"/>
                <w:color w:val="000000"/>
              </w:rPr>
              <w:t>$33,935.03</w:t>
            </w:r>
          </w:p>
        </w:tc>
        <w:tc>
          <w:tcPr>
            <w:tcW w:w="1266" w:type="dxa"/>
            <w:tcBorders>
              <w:top w:val="nil"/>
              <w:left w:val="nil"/>
              <w:bottom w:val="nil"/>
              <w:right w:val="nil"/>
            </w:tcBorders>
            <w:noWrap/>
            <w:vAlign w:val="center"/>
            <w:hideMark/>
          </w:tcPr>
          <w:p w:rsidR="006F2320" w:rsidRPr="008426B0" w:rsidP="00CE0AF1" w14:paraId="7ED962BF"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0.21 </w:t>
            </w:r>
          </w:p>
        </w:tc>
      </w:tr>
      <w:tr w14:paraId="113CDDB6"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5C2EB8CE" w14:textId="77777777">
            <w:pPr>
              <w:autoSpaceDE/>
              <w:autoSpaceDN/>
              <w:adjustRightInd/>
              <w:rPr>
                <w:rFonts w:ascii="Times New Roman" w:hAnsi="Times New Roman"/>
                <w:color w:val="000000"/>
              </w:rPr>
            </w:pPr>
            <w:r w:rsidRPr="008426B0">
              <w:rPr>
                <w:rFonts w:ascii="Times New Roman" w:hAnsi="Times New Roman"/>
                <w:color w:val="000000"/>
              </w:rPr>
              <w:t>Perform Quality Assurance</w:t>
            </w:r>
          </w:p>
        </w:tc>
        <w:tc>
          <w:tcPr>
            <w:tcW w:w="1780" w:type="dxa"/>
            <w:tcBorders>
              <w:top w:val="nil"/>
              <w:left w:val="nil"/>
              <w:bottom w:val="nil"/>
              <w:right w:val="nil"/>
            </w:tcBorders>
            <w:noWrap/>
            <w:vAlign w:val="center"/>
            <w:hideMark/>
          </w:tcPr>
          <w:p w:rsidR="006F2320" w:rsidRPr="008426B0" w:rsidP="00CE0AF1" w14:paraId="077490AE" w14:textId="77777777">
            <w:pPr>
              <w:autoSpaceDE/>
              <w:autoSpaceDN/>
              <w:adjustRightInd/>
              <w:jc w:val="right"/>
              <w:rPr>
                <w:rFonts w:ascii="Times New Roman" w:hAnsi="Times New Roman"/>
                <w:color w:val="000000"/>
              </w:rPr>
            </w:pPr>
            <w:r w:rsidRPr="008426B0">
              <w:rPr>
                <w:rFonts w:ascii="Times New Roman" w:hAnsi="Times New Roman"/>
                <w:color w:val="000000"/>
              </w:rPr>
              <w:t>$160,033.71</w:t>
            </w:r>
          </w:p>
        </w:tc>
        <w:tc>
          <w:tcPr>
            <w:tcW w:w="1266" w:type="dxa"/>
            <w:tcBorders>
              <w:top w:val="nil"/>
              <w:left w:val="nil"/>
              <w:bottom w:val="nil"/>
              <w:right w:val="nil"/>
            </w:tcBorders>
            <w:noWrap/>
            <w:vAlign w:val="center"/>
            <w:hideMark/>
          </w:tcPr>
          <w:p w:rsidR="006F2320" w:rsidRPr="008426B0" w:rsidP="00CE0AF1" w14:paraId="1DDF0E86"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1.24 </w:t>
            </w:r>
          </w:p>
        </w:tc>
      </w:tr>
      <w:tr w14:paraId="21A2B924"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F2320" w:rsidRPr="008426B0" w:rsidP="00CE0AF1" w14:paraId="671236FA" w14:textId="77777777">
            <w:pPr>
              <w:autoSpaceDE/>
              <w:autoSpaceDN/>
              <w:adjustRightInd/>
              <w:rPr>
                <w:rFonts w:ascii="Times New Roman" w:hAnsi="Times New Roman"/>
                <w:color w:val="000000"/>
              </w:rPr>
            </w:pPr>
            <w:r w:rsidRPr="008426B0">
              <w:rPr>
                <w:rFonts w:ascii="Times New Roman" w:hAnsi="Times New Roman"/>
                <w:color w:val="000000"/>
              </w:rPr>
              <w:t>Perform Quality Management</w:t>
            </w:r>
          </w:p>
        </w:tc>
        <w:tc>
          <w:tcPr>
            <w:tcW w:w="1780" w:type="dxa"/>
            <w:tcBorders>
              <w:top w:val="nil"/>
              <w:left w:val="nil"/>
              <w:bottom w:val="nil"/>
              <w:right w:val="nil"/>
            </w:tcBorders>
            <w:noWrap/>
            <w:vAlign w:val="center"/>
            <w:hideMark/>
          </w:tcPr>
          <w:p w:rsidR="006F2320" w:rsidRPr="008426B0" w:rsidP="00CE0AF1" w14:paraId="40D406F0" w14:textId="77777777">
            <w:pPr>
              <w:autoSpaceDE/>
              <w:autoSpaceDN/>
              <w:adjustRightInd/>
              <w:jc w:val="right"/>
              <w:rPr>
                <w:rFonts w:ascii="Times New Roman" w:hAnsi="Times New Roman"/>
                <w:color w:val="000000"/>
              </w:rPr>
            </w:pPr>
            <w:r w:rsidRPr="008426B0">
              <w:rPr>
                <w:rFonts w:ascii="Times New Roman" w:hAnsi="Times New Roman"/>
                <w:color w:val="000000"/>
              </w:rPr>
              <w:t>$16,624.04</w:t>
            </w:r>
          </w:p>
        </w:tc>
        <w:tc>
          <w:tcPr>
            <w:tcW w:w="1266" w:type="dxa"/>
            <w:tcBorders>
              <w:top w:val="nil"/>
              <w:left w:val="nil"/>
              <w:bottom w:val="nil"/>
              <w:right w:val="nil"/>
            </w:tcBorders>
            <w:noWrap/>
            <w:vAlign w:val="center"/>
            <w:hideMark/>
          </w:tcPr>
          <w:p w:rsidR="006F2320" w:rsidRPr="008426B0" w:rsidP="00CE0AF1" w14:paraId="211AF12B"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0.10 </w:t>
            </w:r>
          </w:p>
        </w:tc>
      </w:tr>
      <w:tr w14:paraId="2281B8AB" w14:textId="77777777" w:rsidTr="006761E8">
        <w:tblPrEx>
          <w:tblW w:w="9526" w:type="dxa"/>
          <w:tblLook w:val="04A0"/>
        </w:tblPrEx>
        <w:trPr>
          <w:trHeight w:val="300"/>
        </w:trPr>
        <w:tc>
          <w:tcPr>
            <w:tcW w:w="6480" w:type="dxa"/>
            <w:tcBorders>
              <w:top w:val="nil"/>
              <w:left w:val="nil"/>
              <w:right w:val="nil"/>
            </w:tcBorders>
            <w:noWrap/>
            <w:vAlign w:val="center"/>
            <w:hideMark/>
          </w:tcPr>
          <w:p w:rsidR="006F2320" w:rsidRPr="008426B0" w:rsidP="00CE0AF1" w14:paraId="7AA56E98" w14:textId="77777777">
            <w:pPr>
              <w:autoSpaceDE/>
              <w:autoSpaceDN/>
              <w:adjustRightInd/>
              <w:rPr>
                <w:rFonts w:ascii="Times New Roman" w:hAnsi="Times New Roman"/>
                <w:color w:val="000000"/>
              </w:rPr>
            </w:pPr>
            <w:r w:rsidRPr="008426B0">
              <w:rPr>
                <w:rFonts w:ascii="Times New Roman" w:hAnsi="Times New Roman"/>
                <w:color w:val="000000"/>
              </w:rPr>
              <w:t>Perform Scaled Agile Framework Duties</w:t>
            </w:r>
          </w:p>
        </w:tc>
        <w:tc>
          <w:tcPr>
            <w:tcW w:w="1780" w:type="dxa"/>
            <w:tcBorders>
              <w:top w:val="nil"/>
              <w:left w:val="nil"/>
              <w:right w:val="nil"/>
            </w:tcBorders>
            <w:noWrap/>
            <w:vAlign w:val="center"/>
            <w:hideMark/>
          </w:tcPr>
          <w:p w:rsidR="006F2320" w:rsidRPr="008426B0" w:rsidP="00CE0AF1" w14:paraId="3790B93A" w14:textId="77777777">
            <w:pPr>
              <w:autoSpaceDE/>
              <w:autoSpaceDN/>
              <w:adjustRightInd/>
              <w:jc w:val="right"/>
              <w:rPr>
                <w:rFonts w:ascii="Times New Roman" w:hAnsi="Times New Roman"/>
                <w:color w:val="000000"/>
              </w:rPr>
            </w:pPr>
            <w:r w:rsidRPr="008426B0">
              <w:rPr>
                <w:rFonts w:ascii="Times New Roman" w:hAnsi="Times New Roman"/>
                <w:color w:val="000000"/>
              </w:rPr>
              <w:t>$457,011.19</w:t>
            </w:r>
          </w:p>
        </w:tc>
        <w:tc>
          <w:tcPr>
            <w:tcW w:w="1266" w:type="dxa"/>
            <w:tcBorders>
              <w:top w:val="nil"/>
              <w:left w:val="nil"/>
              <w:right w:val="nil"/>
            </w:tcBorders>
            <w:noWrap/>
            <w:vAlign w:val="center"/>
            <w:hideMark/>
          </w:tcPr>
          <w:p w:rsidR="006F2320" w:rsidRPr="008426B0" w:rsidP="00CE0AF1" w14:paraId="461EB139"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3.81 </w:t>
            </w:r>
          </w:p>
        </w:tc>
      </w:tr>
      <w:tr w14:paraId="07D5820E" w14:textId="77777777" w:rsidTr="006761E8">
        <w:tblPrEx>
          <w:tblW w:w="9526" w:type="dxa"/>
          <w:tblLook w:val="04A0"/>
        </w:tblPrEx>
        <w:trPr>
          <w:trHeight w:val="300"/>
        </w:trPr>
        <w:tc>
          <w:tcPr>
            <w:tcW w:w="6480" w:type="dxa"/>
            <w:tcBorders>
              <w:top w:val="nil"/>
              <w:left w:val="nil"/>
              <w:bottom w:val="single" w:sz="4" w:space="0" w:color="auto"/>
              <w:right w:val="nil"/>
            </w:tcBorders>
            <w:noWrap/>
            <w:vAlign w:val="center"/>
            <w:hideMark/>
          </w:tcPr>
          <w:p w:rsidR="006F2320" w:rsidRPr="008426B0" w:rsidP="00CE0AF1" w14:paraId="65962D3E" w14:textId="77777777">
            <w:pPr>
              <w:autoSpaceDE/>
              <w:autoSpaceDN/>
              <w:adjustRightInd/>
              <w:rPr>
                <w:rFonts w:ascii="Times New Roman" w:hAnsi="Times New Roman"/>
                <w:color w:val="000000"/>
              </w:rPr>
            </w:pPr>
            <w:r w:rsidRPr="008426B0">
              <w:rPr>
                <w:rFonts w:ascii="Times New Roman" w:hAnsi="Times New Roman"/>
                <w:color w:val="000000"/>
              </w:rPr>
              <w:t>Perform Statistical Reporting</w:t>
            </w:r>
          </w:p>
        </w:tc>
        <w:tc>
          <w:tcPr>
            <w:tcW w:w="1780" w:type="dxa"/>
            <w:tcBorders>
              <w:top w:val="nil"/>
              <w:left w:val="nil"/>
              <w:bottom w:val="single" w:sz="4" w:space="0" w:color="auto"/>
              <w:right w:val="nil"/>
            </w:tcBorders>
            <w:noWrap/>
            <w:vAlign w:val="center"/>
            <w:hideMark/>
          </w:tcPr>
          <w:p w:rsidR="006F2320" w:rsidRPr="008426B0" w:rsidP="00CE0AF1" w14:paraId="4D529B69" w14:textId="77777777">
            <w:pPr>
              <w:autoSpaceDE/>
              <w:autoSpaceDN/>
              <w:adjustRightInd/>
              <w:jc w:val="right"/>
              <w:rPr>
                <w:rFonts w:ascii="Times New Roman" w:hAnsi="Times New Roman"/>
                <w:color w:val="000000"/>
              </w:rPr>
            </w:pPr>
            <w:r w:rsidRPr="008426B0">
              <w:rPr>
                <w:rFonts w:ascii="Times New Roman" w:hAnsi="Times New Roman"/>
                <w:color w:val="000000"/>
              </w:rPr>
              <w:t>$930.39</w:t>
            </w:r>
          </w:p>
        </w:tc>
        <w:tc>
          <w:tcPr>
            <w:tcW w:w="1266" w:type="dxa"/>
            <w:tcBorders>
              <w:top w:val="nil"/>
              <w:left w:val="nil"/>
              <w:bottom w:val="single" w:sz="4" w:space="0" w:color="auto"/>
              <w:right w:val="nil"/>
            </w:tcBorders>
            <w:noWrap/>
            <w:vAlign w:val="center"/>
            <w:hideMark/>
          </w:tcPr>
          <w:p w:rsidR="006F2320" w:rsidRPr="008426B0" w:rsidP="00CE0AF1" w14:paraId="7520D698"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0.01 </w:t>
            </w:r>
          </w:p>
        </w:tc>
      </w:tr>
    </w:tbl>
    <w:p w:rsidR="00D75138" w14:paraId="5BBBEF6B" w14:textId="5B0E71EA"/>
    <w:tbl>
      <w:tblPr>
        <w:tblW w:w="9526" w:type="dxa"/>
        <w:tblLook w:val="04A0"/>
      </w:tblPr>
      <w:tblGrid>
        <w:gridCol w:w="6480"/>
        <w:gridCol w:w="1780"/>
        <w:gridCol w:w="1266"/>
      </w:tblGrid>
      <w:tr w14:paraId="5F617EB0" w14:textId="77777777" w:rsidTr="006761E8">
        <w:tblPrEx>
          <w:tblW w:w="9526" w:type="dxa"/>
          <w:tblLook w:val="04A0"/>
        </w:tblPrEx>
        <w:trPr>
          <w:trHeight w:val="300"/>
        </w:trPr>
        <w:tc>
          <w:tcPr>
            <w:tcW w:w="9526" w:type="dxa"/>
            <w:gridSpan w:val="3"/>
            <w:tcBorders>
              <w:top w:val="single" w:sz="4" w:space="0" w:color="auto"/>
              <w:left w:val="nil"/>
              <w:bottom w:val="nil"/>
              <w:right w:val="nil"/>
            </w:tcBorders>
            <w:noWrap/>
            <w:vAlign w:val="center"/>
          </w:tcPr>
          <w:p w:rsidR="006761E8" w:rsidRPr="008426B0" w:rsidP="006761E8" w14:paraId="16EEB9FB" w14:textId="69938756">
            <w:pPr>
              <w:autoSpaceDE/>
              <w:autoSpaceDN/>
              <w:adjustRightInd/>
              <w:rPr>
                <w:rFonts w:ascii="Times New Roman" w:hAnsi="Times New Roman"/>
                <w:color w:val="000000"/>
              </w:rPr>
            </w:pPr>
            <w:r w:rsidRPr="008426B0">
              <w:rPr>
                <w:rFonts w:ascii="Times New Roman" w:hAnsi="Times New Roman"/>
                <w:b/>
                <w:bCs/>
                <w:color w:val="000000"/>
              </w:rPr>
              <w:t>Direct Data Collection and Processing Costs–continued</w:t>
            </w:r>
          </w:p>
        </w:tc>
      </w:tr>
      <w:tr w14:paraId="34EB2F5B" w14:textId="77777777" w:rsidTr="006761E8">
        <w:tblPrEx>
          <w:tblW w:w="9526" w:type="dxa"/>
          <w:tblLook w:val="04A0"/>
        </w:tblPrEx>
        <w:trPr>
          <w:trHeight w:val="300"/>
        </w:trPr>
        <w:tc>
          <w:tcPr>
            <w:tcW w:w="6480" w:type="dxa"/>
            <w:tcBorders>
              <w:top w:val="single" w:sz="4" w:space="0" w:color="auto"/>
              <w:left w:val="nil"/>
              <w:bottom w:val="single" w:sz="4" w:space="0" w:color="auto"/>
              <w:right w:val="nil"/>
            </w:tcBorders>
            <w:noWrap/>
            <w:vAlign w:val="bottom"/>
          </w:tcPr>
          <w:p w:rsidR="006761E8" w:rsidRPr="008426B0" w:rsidP="006761E8" w14:paraId="3A462218" w14:textId="53EB7E34">
            <w:pPr>
              <w:autoSpaceDE/>
              <w:autoSpaceDN/>
              <w:adjustRightInd/>
              <w:rPr>
                <w:rFonts w:ascii="Times New Roman" w:hAnsi="Times New Roman"/>
                <w:color w:val="000000"/>
              </w:rPr>
            </w:pPr>
            <w:r w:rsidRPr="008426B0">
              <w:rPr>
                <w:rFonts w:ascii="Times New Roman" w:hAnsi="Times New Roman"/>
                <w:b/>
                <w:bCs/>
                <w:color w:val="000000" w:themeColor="text1"/>
              </w:rPr>
              <w:t>Activity</w:t>
            </w:r>
          </w:p>
        </w:tc>
        <w:tc>
          <w:tcPr>
            <w:tcW w:w="1780" w:type="dxa"/>
            <w:tcBorders>
              <w:top w:val="single" w:sz="4" w:space="0" w:color="auto"/>
              <w:left w:val="nil"/>
              <w:bottom w:val="single" w:sz="4" w:space="0" w:color="auto"/>
              <w:right w:val="nil"/>
            </w:tcBorders>
            <w:noWrap/>
            <w:vAlign w:val="bottom"/>
          </w:tcPr>
          <w:p w:rsidR="006761E8" w:rsidRPr="008426B0" w:rsidP="006761E8" w14:paraId="0C556A82" w14:textId="77777777">
            <w:pPr>
              <w:autoSpaceDE/>
              <w:autoSpaceDN/>
              <w:adjustRightInd/>
              <w:jc w:val="right"/>
              <w:rPr>
                <w:rFonts w:ascii="Times New Roman" w:hAnsi="Times New Roman"/>
                <w:b/>
                <w:bCs/>
                <w:color w:val="000000" w:themeColor="text1"/>
              </w:rPr>
            </w:pPr>
            <w:r w:rsidRPr="008426B0">
              <w:rPr>
                <w:rFonts w:ascii="Times New Roman" w:hAnsi="Times New Roman"/>
                <w:b/>
                <w:bCs/>
                <w:color w:val="000000" w:themeColor="text1"/>
              </w:rPr>
              <w:t>Fiscal Year (FY)</w:t>
            </w:r>
          </w:p>
          <w:p w:rsidR="006761E8" w:rsidRPr="008426B0" w:rsidP="006761E8" w14:paraId="2F96CBBC" w14:textId="43E3B9FE">
            <w:pPr>
              <w:autoSpaceDE/>
              <w:autoSpaceDN/>
              <w:adjustRightInd/>
              <w:jc w:val="right"/>
              <w:rPr>
                <w:rFonts w:ascii="Times New Roman" w:hAnsi="Times New Roman"/>
                <w:color w:val="000000"/>
              </w:rPr>
            </w:pPr>
            <w:r w:rsidRPr="008426B0">
              <w:rPr>
                <w:rFonts w:ascii="Times New Roman" w:hAnsi="Times New Roman"/>
                <w:b/>
                <w:bCs/>
                <w:color w:val="000000" w:themeColor="text1"/>
              </w:rPr>
              <w:t>2024 Cost</w:t>
            </w:r>
          </w:p>
        </w:tc>
        <w:tc>
          <w:tcPr>
            <w:tcW w:w="1266" w:type="dxa"/>
            <w:tcBorders>
              <w:top w:val="single" w:sz="4" w:space="0" w:color="auto"/>
              <w:left w:val="nil"/>
              <w:bottom w:val="single" w:sz="4" w:space="0" w:color="auto"/>
              <w:right w:val="nil"/>
            </w:tcBorders>
            <w:noWrap/>
            <w:vAlign w:val="bottom"/>
          </w:tcPr>
          <w:p w:rsidR="006761E8" w:rsidRPr="008426B0" w:rsidP="006761E8" w14:paraId="4712BD0B" w14:textId="12632B07">
            <w:pPr>
              <w:autoSpaceDE/>
              <w:autoSpaceDN/>
              <w:adjustRightInd/>
              <w:jc w:val="right"/>
              <w:rPr>
                <w:rFonts w:ascii="Times New Roman" w:hAnsi="Times New Roman"/>
                <w:color w:val="000000"/>
              </w:rPr>
            </w:pPr>
            <w:r w:rsidRPr="008426B0">
              <w:rPr>
                <w:rFonts w:ascii="Times New Roman" w:hAnsi="Times New Roman"/>
                <w:b/>
                <w:bCs/>
                <w:color w:val="000000" w:themeColor="text1"/>
              </w:rPr>
              <w:t xml:space="preserve"> FY 2024 Full-Time Equivalent </w:t>
            </w:r>
          </w:p>
        </w:tc>
      </w:tr>
      <w:tr w14:paraId="4E2774AB" w14:textId="77777777" w:rsidTr="001D5C80">
        <w:tblPrEx>
          <w:tblW w:w="9526" w:type="dxa"/>
          <w:tblLook w:val="04A0"/>
        </w:tblPrEx>
        <w:trPr>
          <w:trHeight w:val="300"/>
        </w:trPr>
        <w:tc>
          <w:tcPr>
            <w:tcW w:w="6480" w:type="dxa"/>
            <w:tcBorders>
              <w:top w:val="nil"/>
              <w:left w:val="nil"/>
              <w:bottom w:val="nil"/>
              <w:right w:val="nil"/>
            </w:tcBorders>
            <w:noWrap/>
            <w:vAlign w:val="center"/>
            <w:hideMark/>
          </w:tcPr>
          <w:p w:rsidR="006761E8" w:rsidRPr="008426B0" w:rsidP="006761E8" w14:paraId="24EAF7E1" w14:textId="77777777">
            <w:pPr>
              <w:autoSpaceDE/>
              <w:autoSpaceDN/>
              <w:adjustRightInd/>
              <w:rPr>
                <w:rFonts w:ascii="Times New Roman" w:hAnsi="Times New Roman"/>
                <w:color w:val="000000"/>
              </w:rPr>
            </w:pPr>
            <w:r w:rsidRPr="008426B0">
              <w:rPr>
                <w:rFonts w:ascii="Times New Roman" w:hAnsi="Times New Roman"/>
                <w:color w:val="000000"/>
              </w:rPr>
              <w:t>Perform Strategy Management</w:t>
            </w:r>
          </w:p>
        </w:tc>
        <w:tc>
          <w:tcPr>
            <w:tcW w:w="1780" w:type="dxa"/>
            <w:tcBorders>
              <w:top w:val="nil"/>
              <w:left w:val="nil"/>
              <w:bottom w:val="nil"/>
              <w:right w:val="nil"/>
            </w:tcBorders>
            <w:noWrap/>
            <w:vAlign w:val="center"/>
            <w:hideMark/>
          </w:tcPr>
          <w:p w:rsidR="006761E8" w:rsidRPr="008426B0" w:rsidP="006761E8" w14:paraId="65342D55" w14:textId="77777777">
            <w:pPr>
              <w:autoSpaceDE/>
              <w:autoSpaceDN/>
              <w:adjustRightInd/>
              <w:jc w:val="right"/>
              <w:rPr>
                <w:rFonts w:ascii="Times New Roman" w:hAnsi="Times New Roman"/>
                <w:color w:val="000000"/>
              </w:rPr>
            </w:pPr>
            <w:r w:rsidRPr="008426B0">
              <w:rPr>
                <w:rFonts w:ascii="Times New Roman" w:hAnsi="Times New Roman"/>
                <w:color w:val="000000"/>
              </w:rPr>
              <w:t>$40,890.38</w:t>
            </w:r>
          </w:p>
        </w:tc>
        <w:tc>
          <w:tcPr>
            <w:tcW w:w="1266" w:type="dxa"/>
            <w:tcBorders>
              <w:top w:val="nil"/>
              <w:left w:val="nil"/>
              <w:bottom w:val="nil"/>
              <w:right w:val="nil"/>
            </w:tcBorders>
            <w:noWrap/>
            <w:vAlign w:val="center"/>
            <w:hideMark/>
          </w:tcPr>
          <w:p w:rsidR="006761E8" w:rsidRPr="008426B0" w:rsidP="006761E8" w14:paraId="1DBBF15E"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0.23 </w:t>
            </w:r>
          </w:p>
        </w:tc>
      </w:tr>
      <w:tr w14:paraId="483DC24A" w14:textId="77777777" w:rsidTr="001D5C80">
        <w:tblPrEx>
          <w:tblW w:w="9526" w:type="dxa"/>
          <w:tblLook w:val="04A0"/>
        </w:tblPrEx>
        <w:trPr>
          <w:trHeight w:val="300"/>
        </w:trPr>
        <w:tc>
          <w:tcPr>
            <w:tcW w:w="6480" w:type="dxa"/>
            <w:tcBorders>
              <w:top w:val="nil"/>
              <w:left w:val="nil"/>
              <w:right w:val="nil"/>
            </w:tcBorders>
            <w:noWrap/>
            <w:vAlign w:val="center"/>
            <w:hideMark/>
          </w:tcPr>
          <w:p w:rsidR="006761E8" w:rsidRPr="008426B0" w:rsidP="006761E8" w14:paraId="5AB3B5F0" w14:textId="77777777">
            <w:pPr>
              <w:autoSpaceDE/>
              <w:autoSpaceDN/>
              <w:adjustRightInd/>
              <w:rPr>
                <w:rFonts w:ascii="Times New Roman" w:hAnsi="Times New Roman"/>
                <w:color w:val="000000"/>
              </w:rPr>
            </w:pPr>
            <w:r w:rsidRPr="008426B0">
              <w:rPr>
                <w:rFonts w:ascii="Times New Roman" w:hAnsi="Times New Roman"/>
                <w:color w:val="000000"/>
              </w:rPr>
              <w:t>Perform Workload Management</w:t>
            </w:r>
          </w:p>
        </w:tc>
        <w:tc>
          <w:tcPr>
            <w:tcW w:w="1780" w:type="dxa"/>
            <w:tcBorders>
              <w:top w:val="nil"/>
              <w:left w:val="nil"/>
              <w:right w:val="nil"/>
            </w:tcBorders>
            <w:noWrap/>
            <w:vAlign w:val="center"/>
            <w:hideMark/>
          </w:tcPr>
          <w:p w:rsidR="006761E8" w:rsidRPr="008426B0" w:rsidP="006761E8" w14:paraId="3B578EA8" w14:textId="77777777">
            <w:pPr>
              <w:autoSpaceDE/>
              <w:autoSpaceDN/>
              <w:adjustRightInd/>
              <w:jc w:val="right"/>
              <w:rPr>
                <w:rFonts w:ascii="Times New Roman" w:hAnsi="Times New Roman"/>
                <w:color w:val="000000"/>
              </w:rPr>
            </w:pPr>
            <w:r w:rsidRPr="008426B0">
              <w:rPr>
                <w:rFonts w:ascii="Times New Roman" w:hAnsi="Times New Roman"/>
                <w:color w:val="000000"/>
              </w:rPr>
              <w:t>$16,487.43</w:t>
            </w:r>
          </w:p>
        </w:tc>
        <w:tc>
          <w:tcPr>
            <w:tcW w:w="1266" w:type="dxa"/>
            <w:tcBorders>
              <w:top w:val="nil"/>
              <w:left w:val="nil"/>
              <w:right w:val="nil"/>
            </w:tcBorders>
            <w:noWrap/>
            <w:vAlign w:val="center"/>
            <w:hideMark/>
          </w:tcPr>
          <w:p w:rsidR="006761E8" w:rsidRPr="008426B0" w:rsidP="006761E8" w14:paraId="29088E09"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0.09 </w:t>
            </w:r>
          </w:p>
        </w:tc>
      </w:tr>
      <w:tr w14:paraId="6D0333FA" w14:textId="77777777" w:rsidTr="006761E8">
        <w:tblPrEx>
          <w:tblW w:w="9526" w:type="dxa"/>
          <w:tblLook w:val="04A0"/>
        </w:tblPrEx>
        <w:trPr>
          <w:trHeight w:val="300"/>
        </w:trPr>
        <w:tc>
          <w:tcPr>
            <w:tcW w:w="6480" w:type="dxa"/>
            <w:tcBorders>
              <w:top w:val="nil"/>
              <w:left w:val="nil"/>
              <w:right w:val="nil"/>
            </w:tcBorders>
            <w:noWrap/>
            <w:vAlign w:val="center"/>
            <w:hideMark/>
          </w:tcPr>
          <w:p w:rsidR="006761E8" w:rsidRPr="008426B0" w:rsidP="006761E8" w14:paraId="0453749E" w14:textId="77777777">
            <w:pPr>
              <w:autoSpaceDE/>
              <w:autoSpaceDN/>
              <w:adjustRightInd/>
              <w:rPr>
                <w:rFonts w:ascii="Times New Roman" w:hAnsi="Times New Roman"/>
                <w:color w:val="000000"/>
              </w:rPr>
            </w:pPr>
            <w:r w:rsidRPr="008426B0">
              <w:rPr>
                <w:rFonts w:ascii="Times New Roman" w:hAnsi="Times New Roman"/>
                <w:color w:val="000000"/>
              </w:rPr>
              <w:t>Planning and Implementing New Data Collections</w:t>
            </w:r>
          </w:p>
        </w:tc>
        <w:tc>
          <w:tcPr>
            <w:tcW w:w="1780" w:type="dxa"/>
            <w:tcBorders>
              <w:top w:val="nil"/>
              <w:left w:val="nil"/>
              <w:right w:val="nil"/>
            </w:tcBorders>
            <w:noWrap/>
            <w:vAlign w:val="center"/>
            <w:hideMark/>
          </w:tcPr>
          <w:p w:rsidR="006761E8" w:rsidRPr="008426B0" w:rsidP="006761E8" w14:paraId="10AD7BD0" w14:textId="77777777">
            <w:pPr>
              <w:autoSpaceDE/>
              <w:autoSpaceDN/>
              <w:adjustRightInd/>
              <w:jc w:val="right"/>
              <w:rPr>
                <w:rFonts w:ascii="Times New Roman" w:hAnsi="Times New Roman"/>
                <w:color w:val="000000"/>
              </w:rPr>
            </w:pPr>
            <w:r w:rsidRPr="008426B0">
              <w:rPr>
                <w:rFonts w:ascii="Times New Roman" w:hAnsi="Times New Roman"/>
                <w:color w:val="000000"/>
              </w:rPr>
              <w:t>$87,978.26</w:t>
            </w:r>
          </w:p>
        </w:tc>
        <w:tc>
          <w:tcPr>
            <w:tcW w:w="1266" w:type="dxa"/>
            <w:tcBorders>
              <w:top w:val="nil"/>
              <w:left w:val="nil"/>
              <w:right w:val="nil"/>
            </w:tcBorders>
            <w:noWrap/>
            <w:vAlign w:val="center"/>
            <w:hideMark/>
          </w:tcPr>
          <w:p w:rsidR="006761E8" w:rsidRPr="008426B0" w:rsidP="006761E8" w14:paraId="6A7386B1" w14:textId="77777777">
            <w:pPr>
              <w:autoSpaceDE/>
              <w:autoSpaceDN/>
              <w:adjustRightInd/>
              <w:jc w:val="right"/>
              <w:rPr>
                <w:rFonts w:ascii="Times New Roman" w:hAnsi="Times New Roman"/>
                <w:color w:val="000000"/>
              </w:rPr>
            </w:pPr>
            <w:r w:rsidRPr="008426B0">
              <w:rPr>
                <w:rFonts w:ascii="Times New Roman" w:hAnsi="Times New Roman"/>
                <w:color w:val="000000"/>
              </w:rPr>
              <w:t xml:space="preserve">              0.70 </w:t>
            </w:r>
          </w:p>
        </w:tc>
      </w:tr>
      <w:tr w14:paraId="2048A28D" w14:textId="77777777" w:rsidTr="001D5C80">
        <w:tblPrEx>
          <w:tblW w:w="9526" w:type="dxa"/>
          <w:tblLook w:val="04A0"/>
        </w:tblPrEx>
        <w:trPr>
          <w:trHeight w:val="300"/>
        </w:trPr>
        <w:tc>
          <w:tcPr>
            <w:tcW w:w="6480" w:type="dxa"/>
            <w:tcBorders>
              <w:top w:val="nil"/>
              <w:left w:val="nil"/>
              <w:right w:val="nil"/>
            </w:tcBorders>
            <w:noWrap/>
            <w:vAlign w:val="center"/>
          </w:tcPr>
          <w:p w:rsidR="006761E8" w:rsidRPr="008426B0" w:rsidP="006761E8" w14:paraId="613B12DC" w14:textId="5DDD078B">
            <w:pPr>
              <w:autoSpaceDE/>
              <w:autoSpaceDN/>
              <w:adjustRightInd/>
              <w:rPr>
                <w:rFonts w:ascii="Times New Roman" w:hAnsi="Times New Roman"/>
                <w:color w:val="000000"/>
              </w:rPr>
            </w:pPr>
            <w:r w:rsidRPr="008426B0">
              <w:rPr>
                <w:rFonts w:ascii="Times New Roman" w:hAnsi="Times New Roman"/>
                <w:color w:val="000000"/>
              </w:rPr>
              <w:t>Process Media, Freedom of Information Act, and Congressional requests</w:t>
            </w:r>
          </w:p>
        </w:tc>
        <w:tc>
          <w:tcPr>
            <w:tcW w:w="1780" w:type="dxa"/>
            <w:tcBorders>
              <w:top w:val="nil"/>
              <w:left w:val="nil"/>
              <w:right w:val="nil"/>
            </w:tcBorders>
            <w:noWrap/>
            <w:vAlign w:val="center"/>
          </w:tcPr>
          <w:p w:rsidR="006761E8" w:rsidRPr="008426B0" w:rsidP="006761E8" w14:paraId="324F6A73" w14:textId="037737B1">
            <w:pPr>
              <w:autoSpaceDE/>
              <w:autoSpaceDN/>
              <w:adjustRightInd/>
              <w:jc w:val="right"/>
              <w:rPr>
                <w:rFonts w:ascii="Times New Roman" w:hAnsi="Times New Roman"/>
                <w:color w:val="000000"/>
              </w:rPr>
            </w:pPr>
            <w:r w:rsidRPr="008426B0">
              <w:rPr>
                <w:rFonts w:ascii="Times New Roman" w:hAnsi="Times New Roman"/>
                <w:color w:val="000000"/>
              </w:rPr>
              <w:t>$79,491.70</w:t>
            </w:r>
          </w:p>
        </w:tc>
        <w:tc>
          <w:tcPr>
            <w:tcW w:w="1266" w:type="dxa"/>
            <w:tcBorders>
              <w:top w:val="nil"/>
              <w:left w:val="nil"/>
              <w:right w:val="nil"/>
            </w:tcBorders>
            <w:noWrap/>
            <w:vAlign w:val="center"/>
          </w:tcPr>
          <w:p w:rsidR="006761E8" w:rsidRPr="008426B0" w:rsidP="006761E8" w14:paraId="2BB3802A" w14:textId="0FA02CC3">
            <w:pPr>
              <w:autoSpaceDE/>
              <w:autoSpaceDN/>
              <w:adjustRightInd/>
              <w:jc w:val="right"/>
              <w:rPr>
                <w:rFonts w:ascii="Times New Roman" w:hAnsi="Times New Roman"/>
                <w:color w:val="000000"/>
              </w:rPr>
            </w:pPr>
            <w:r w:rsidRPr="008426B0">
              <w:rPr>
                <w:rFonts w:ascii="Times New Roman" w:hAnsi="Times New Roman"/>
                <w:color w:val="000000"/>
              </w:rPr>
              <w:t xml:space="preserve">              0.53 </w:t>
            </w:r>
          </w:p>
        </w:tc>
      </w:tr>
      <w:tr w14:paraId="5C538C90" w14:textId="77777777" w:rsidTr="00CF5249">
        <w:tblPrEx>
          <w:tblW w:w="9526" w:type="dxa"/>
          <w:tblLook w:val="04A0"/>
        </w:tblPrEx>
        <w:trPr>
          <w:trHeight w:val="300"/>
        </w:trPr>
        <w:tc>
          <w:tcPr>
            <w:tcW w:w="6480" w:type="dxa"/>
            <w:tcBorders>
              <w:left w:val="nil"/>
              <w:right w:val="nil"/>
            </w:tcBorders>
            <w:noWrap/>
            <w:vAlign w:val="center"/>
          </w:tcPr>
          <w:p w:rsidR="006761E8" w:rsidRPr="008426B0" w:rsidP="006761E8" w14:paraId="1D90C627" w14:textId="0EE1F5CE">
            <w:pPr>
              <w:autoSpaceDE/>
              <w:autoSpaceDN/>
              <w:adjustRightInd/>
              <w:rPr>
                <w:rFonts w:ascii="Times New Roman" w:hAnsi="Times New Roman"/>
                <w:color w:val="000000"/>
              </w:rPr>
            </w:pPr>
            <w:r w:rsidRPr="008426B0">
              <w:rPr>
                <w:rFonts w:ascii="Times New Roman" w:hAnsi="Times New Roman"/>
                <w:color w:val="000000"/>
              </w:rPr>
              <w:t>Provide CJIS Multimedia Support</w:t>
            </w:r>
          </w:p>
        </w:tc>
        <w:tc>
          <w:tcPr>
            <w:tcW w:w="1780" w:type="dxa"/>
            <w:tcBorders>
              <w:left w:val="nil"/>
              <w:right w:val="nil"/>
            </w:tcBorders>
            <w:noWrap/>
            <w:vAlign w:val="center"/>
          </w:tcPr>
          <w:p w:rsidR="006761E8" w:rsidRPr="008426B0" w:rsidP="006761E8" w14:paraId="560E9238" w14:textId="0D9FA5D3">
            <w:pPr>
              <w:autoSpaceDE/>
              <w:autoSpaceDN/>
              <w:adjustRightInd/>
              <w:jc w:val="right"/>
              <w:rPr>
                <w:rFonts w:ascii="Times New Roman" w:hAnsi="Times New Roman"/>
                <w:color w:val="000000"/>
              </w:rPr>
            </w:pPr>
            <w:r w:rsidRPr="008426B0">
              <w:rPr>
                <w:rFonts w:ascii="Times New Roman" w:hAnsi="Times New Roman"/>
                <w:color w:val="000000"/>
              </w:rPr>
              <w:t>$3,159.67</w:t>
            </w:r>
          </w:p>
        </w:tc>
        <w:tc>
          <w:tcPr>
            <w:tcW w:w="1266" w:type="dxa"/>
            <w:tcBorders>
              <w:left w:val="nil"/>
              <w:right w:val="nil"/>
            </w:tcBorders>
            <w:noWrap/>
            <w:vAlign w:val="center"/>
          </w:tcPr>
          <w:p w:rsidR="006761E8" w:rsidRPr="008426B0" w:rsidP="006761E8" w14:paraId="080C5633" w14:textId="40A935CB">
            <w:pPr>
              <w:autoSpaceDE/>
              <w:autoSpaceDN/>
              <w:adjustRightInd/>
              <w:jc w:val="right"/>
              <w:rPr>
                <w:rFonts w:ascii="Times New Roman" w:hAnsi="Times New Roman"/>
                <w:color w:val="000000"/>
              </w:rPr>
            </w:pPr>
            <w:r w:rsidRPr="008426B0">
              <w:rPr>
                <w:rFonts w:ascii="Times New Roman" w:hAnsi="Times New Roman"/>
                <w:color w:val="000000"/>
              </w:rPr>
              <w:t xml:space="preserve">              0.03 </w:t>
            </w:r>
          </w:p>
        </w:tc>
      </w:tr>
      <w:tr w14:paraId="37622C06" w14:textId="77777777" w:rsidTr="006761E8">
        <w:tblPrEx>
          <w:tblW w:w="9526" w:type="dxa"/>
          <w:tblLook w:val="04A0"/>
        </w:tblPrEx>
        <w:trPr>
          <w:trHeight w:val="300"/>
        </w:trPr>
        <w:tc>
          <w:tcPr>
            <w:tcW w:w="6480" w:type="dxa"/>
            <w:tcBorders>
              <w:top w:val="nil"/>
              <w:left w:val="nil"/>
              <w:right w:val="nil"/>
            </w:tcBorders>
            <w:noWrap/>
            <w:vAlign w:val="center"/>
          </w:tcPr>
          <w:p w:rsidR="006761E8" w:rsidRPr="008426B0" w:rsidP="006761E8" w14:paraId="0C444655" w14:textId="368171AE">
            <w:pPr>
              <w:autoSpaceDE/>
              <w:autoSpaceDN/>
              <w:adjustRightInd/>
              <w:rPr>
                <w:rFonts w:ascii="Times New Roman" w:hAnsi="Times New Roman"/>
                <w:color w:val="000000"/>
              </w:rPr>
            </w:pPr>
            <w:r w:rsidRPr="008426B0">
              <w:rPr>
                <w:rFonts w:ascii="Times New Roman" w:hAnsi="Times New Roman"/>
                <w:color w:val="000000"/>
              </w:rPr>
              <w:t>Provide End User Support Services</w:t>
            </w:r>
          </w:p>
        </w:tc>
        <w:tc>
          <w:tcPr>
            <w:tcW w:w="1780" w:type="dxa"/>
            <w:tcBorders>
              <w:top w:val="nil"/>
              <w:left w:val="nil"/>
              <w:right w:val="nil"/>
            </w:tcBorders>
            <w:noWrap/>
            <w:vAlign w:val="center"/>
          </w:tcPr>
          <w:p w:rsidR="006761E8" w:rsidRPr="008426B0" w:rsidP="006761E8" w14:paraId="324AF270" w14:textId="1EF2FE40">
            <w:pPr>
              <w:autoSpaceDE/>
              <w:autoSpaceDN/>
              <w:adjustRightInd/>
              <w:jc w:val="right"/>
              <w:rPr>
                <w:rFonts w:ascii="Times New Roman" w:hAnsi="Times New Roman"/>
                <w:color w:val="000000"/>
              </w:rPr>
            </w:pPr>
            <w:r w:rsidRPr="008426B0">
              <w:rPr>
                <w:rFonts w:ascii="Times New Roman" w:hAnsi="Times New Roman"/>
                <w:color w:val="000000"/>
              </w:rPr>
              <w:t>$88,656.10</w:t>
            </w:r>
          </w:p>
        </w:tc>
        <w:tc>
          <w:tcPr>
            <w:tcW w:w="1266" w:type="dxa"/>
            <w:tcBorders>
              <w:top w:val="nil"/>
              <w:left w:val="nil"/>
              <w:right w:val="nil"/>
            </w:tcBorders>
            <w:noWrap/>
            <w:vAlign w:val="center"/>
          </w:tcPr>
          <w:p w:rsidR="006761E8" w:rsidRPr="008426B0" w:rsidP="006761E8" w14:paraId="00437813" w14:textId="6B108F26">
            <w:pPr>
              <w:autoSpaceDE/>
              <w:autoSpaceDN/>
              <w:adjustRightInd/>
              <w:jc w:val="right"/>
              <w:rPr>
                <w:rFonts w:ascii="Times New Roman" w:hAnsi="Times New Roman"/>
                <w:color w:val="000000"/>
              </w:rPr>
            </w:pPr>
            <w:r w:rsidRPr="008426B0">
              <w:rPr>
                <w:rFonts w:ascii="Times New Roman" w:hAnsi="Times New Roman"/>
                <w:color w:val="000000"/>
              </w:rPr>
              <w:t xml:space="preserve">              0.65 </w:t>
            </w:r>
          </w:p>
        </w:tc>
      </w:tr>
      <w:tr w14:paraId="41E6E588" w14:textId="77777777" w:rsidTr="006761E8">
        <w:tblPrEx>
          <w:tblW w:w="9526" w:type="dxa"/>
          <w:tblLook w:val="04A0"/>
        </w:tblPrEx>
        <w:trPr>
          <w:trHeight w:val="300"/>
        </w:trPr>
        <w:tc>
          <w:tcPr>
            <w:tcW w:w="6480" w:type="dxa"/>
            <w:tcBorders>
              <w:top w:val="nil"/>
              <w:left w:val="nil"/>
              <w:right w:val="nil"/>
            </w:tcBorders>
            <w:noWrap/>
            <w:vAlign w:val="center"/>
          </w:tcPr>
          <w:p w:rsidR="006761E8" w:rsidRPr="008426B0" w:rsidP="006761E8" w14:paraId="0B1E1A10" w14:textId="62575C70">
            <w:pPr>
              <w:autoSpaceDE/>
              <w:autoSpaceDN/>
              <w:adjustRightInd/>
              <w:rPr>
                <w:rFonts w:ascii="Times New Roman" w:hAnsi="Times New Roman"/>
                <w:color w:val="000000"/>
              </w:rPr>
            </w:pPr>
            <w:r w:rsidRPr="008426B0">
              <w:rPr>
                <w:rFonts w:ascii="Times New Roman" w:hAnsi="Times New Roman"/>
                <w:color w:val="000000"/>
              </w:rPr>
              <w:t>Provide Management and Administration</w:t>
            </w:r>
          </w:p>
        </w:tc>
        <w:tc>
          <w:tcPr>
            <w:tcW w:w="1780" w:type="dxa"/>
            <w:tcBorders>
              <w:top w:val="nil"/>
              <w:left w:val="nil"/>
              <w:right w:val="nil"/>
            </w:tcBorders>
            <w:noWrap/>
            <w:vAlign w:val="center"/>
          </w:tcPr>
          <w:p w:rsidR="006761E8" w:rsidRPr="008426B0" w:rsidP="006761E8" w14:paraId="1CDA994D" w14:textId="4C820F80">
            <w:pPr>
              <w:autoSpaceDE/>
              <w:autoSpaceDN/>
              <w:adjustRightInd/>
              <w:jc w:val="right"/>
              <w:rPr>
                <w:rFonts w:ascii="Times New Roman" w:hAnsi="Times New Roman"/>
                <w:color w:val="000000"/>
              </w:rPr>
            </w:pPr>
            <w:r w:rsidRPr="008426B0">
              <w:rPr>
                <w:rFonts w:ascii="Times New Roman" w:hAnsi="Times New Roman"/>
                <w:color w:val="000000"/>
              </w:rPr>
              <w:t>$532,640.20</w:t>
            </w:r>
          </w:p>
        </w:tc>
        <w:tc>
          <w:tcPr>
            <w:tcW w:w="1266" w:type="dxa"/>
            <w:tcBorders>
              <w:top w:val="nil"/>
              <w:left w:val="nil"/>
              <w:right w:val="nil"/>
            </w:tcBorders>
            <w:noWrap/>
            <w:vAlign w:val="center"/>
          </w:tcPr>
          <w:p w:rsidR="006761E8" w:rsidRPr="008426B0" w:rsidP="006761E8" w14:paraId="0937EF60" w14:textId="34998109">
            <w:pPr>
              <w:autoSpaceDE/>
              <w:autoSpaceDN/>
              <w:adjustRightInd/>
              <w:jc w:val="right"/>
              <w:rPr>
                <w:rFonts w:ascii="Times New Roman" w:hAnsi="Times New Roman"/>
                <w:color w:val="000000"/>
              </w:rPr>
            </w:pPr>
            <w:r w:rsidRPr="008426B0">
              <w:rPr>
                <w:rFonts w:ascii="Times New Roman" w:hAnsi="Times New Roman"/>
                <w:color w:val="000000"/>
              </w:rPr>
              <w:t xml:space="preserve">              3.36 </w:t>
            </w:r>
          </w:p>
        </w:tc>
      </w:tr>
      <w:tr w14:paraId="6C7F0DA3" w14:textId="77777777" w:rsidTr="001D5C80">
        <w:tblPrEx>
          <w:tblW w:w="9526" w:type="dxa"/>
          <w:tblLook w:val="04A0"/>
        </w:tblPrEx>
        <w:trPr>
          <w:trHeight w:val="300"/>
        </w:trPr>
        <w:tc>
          <w:tcPr>
            <w:tcW w:w="6480" w:type="dxa"/>
            <w:tcBorders>
              <w:top w:val="nil"/>
              <w:left w:val="nil"/>
              <w:right w:val="nil"/>
            </w:tcBorders>
            <w:noWrap/>
            <w:vAlign w:val="center"/>
          </w:tcPr>
          <w:p w:rsidR="006761E8" w:rsidRPr="008426B0" w:rsidP="006761E8" w14:paraId="57305E86" w14:textId="1828DC4D">
            <w:pPr>
              <w:autoSpaceDE/>
              <w:autoSpaceDN/>
              <w:adjustRightInd/>
              <w:rPr>
                <w:rFonts w:ascii="Times New Roman" w:hAnsi="Times New Roman"/>
                <w:color w:val="000000"/>
              </w:rPr>
            </w:pPr>
            <w:r w:rsidRPr="008426B0">
              <w:rPr>
                <w:rFonts w:ascii="Times New Roman" w:hAnsi="Times New Roman"/>
                <w:color w:val="000000"/>
              </w:rPr>
              <w:t>Process Media, Freedom of Information Act, and Congressional requests</w:t>
            </w:r>
          </w:p>
        </w:tc>
        <w:tc>
          <w:tcPr>
            <w:tcW w:w="1780" w:type="dxa"/>
            <w:tcBorders>
              <w:top w:val="nil"/>
              <w:left w:val="nil"/>
              <w:right w:val="nil"/>
            </w:tcBorders>
            <w:noWrap/>
            <w:vAlign w:val="center"/>
          </w:tcPr>
          <w:p w:rsidR="006761E8" w:rsidRPr="008426B0" w:rsidP="006761E8" w14:paraId="75A717D0" w14:textId="7298270C">
            <w:pPr>
              <w:autoSpaceDE/>
              <w:autoSpaceDN/>
              <w:adjustRightInd/>
              <w:jc w:val="right"/>
              <w:rPr>
                <w:rFonts w:ascii="Times New Roman" w:hAnsi="Times New Roman"/>
                <w:color w:val="000000"/>
              </w:rPr>
            </w:pPr>
            <w:r w:rsidRPr="008426B0">
              <w:rPr>
                <w:rFonts w:ascii="Times New Roman" w:hAnsi="Times New Roman"/>
                <w:color w:val="000000"/>
              </w:rPr>
              <w:t>$79,491.70</w:t>
            </w:r>
          </w:p>
        </w:tc>
        <w:tc>
          <w:tcPr>
            <w:tcW w:w="1266" w:type="dxa"/>
            <w:tcBorders>
              <w:top w:val="nil"/>
              <w:left w:val="nil"/>
              <w:right w:val="nil"/>
            </w:tcBorders>
            <w:noWrap/>
            <w:vAlign w:val="center"/>
          </w:tcPr>
          <w:p w:rsidR="006761E8" w:rsidRPr="008426B0" w:rsidP="006761E8" w14:paraId="26497E4D" w14:textId="521EF696">
            <w:pPr>
              <w:autoSpaceDE/>
              <w:autoSpaceDN/>
              <w:adjustRightInd/>
              <w:jc w:val="right"/>
              <w:rPr>
                <w:rFonts w:ascii="Times New Roman" w:hAnsi="Times New Roman"/>
                <w:color w:val="000000"/>
              </w:rPr>
            </w:pPr>
            <w:r w:rsidRPr="008426B0">
              <w:rPr>
                <w:rFonts w:ascii="Times New Roman" w:hAnsi="Times New Roman"/>
                <w:color w:val="000000"/>
              </w:rPr>
              <w:t xml:space="preserve">              0.53 </w:t>
            </w:r>
          </w:p>
        </w:tc>
      </w:tr>
      <w:tr w14:paraId="48254722" w14:textId="77777777" w:rsidTr="001D5C80">
        <w:tblPrEx>
          <w:tblW w:w="9526" w:type="dxa"/>
          <w:tblLook w:val="04A0"/>
        </w:tblPrEx>
        <w:trPr>
          <w:trHeight w:val="300"/>
        </w:trPr>
        <w:tc>
          <w:tcPr>
            <w:tcW w:w="6480" w:type="dxa"/>
            <w:tcBorders>
              <w:left w:val="nil"/>
              <w:bottom w:val="nil"/>
              <w:right w:val="nil"/>
            </w:tcBorders>
            <w:noWrap/>
            <w:vAlign w:val="center"/>
          </w:tcPr>
          <w:p w:rsidR="006761E8" w:rsidRPr="008426B0" w:rsidP="006761E8" w14:paraId="0E75B200" w14:textId="08E6C2D2">
            <w:pPr>
              <w:autoSpaceDE/>
              <w:autoSpaceDN/>
              <w:adjustRightInd/>
              <w:rPr>
                <w:rFonts w:ascii="Times New Roman" w:hAnsi="Times New Roman"/>
                <w:color w:val="000000"/>
              </w:rPr>
            </w:pPr>
            <w:r w:rsidRPr="008426B0">
              <w:rPr>
                <w:rFonts w:ascii="Times New Roman" w:hAnsi="Times New Roman"/>
                <w:color w:val="000000"/>
              </w:rPr>
              <w:t>Provide CJIS Multimedia Support</w:t>
            </w:r>
          </w:p>
        </w:tc>
        <w:tc>
          <w:tcPr>
            <w:tcW w:w="1780" w:type="dxa"/>
            <w:tcBorders>
              <w:left w:val="nil"/>
              <w:bottom w:val="nil"/>
              <w:right w:val="nil"/>
            </w:tcBorders>
            <w:noWrap/>
            <w:vAlign w:val="center"/>
          </w:tcPr>
          <w:p w:rsidR="006761E8" w:rsidRPr="008426B0" w:rsidP="006761E8" w14:paraId="543A6352" w14:textId="17CC9C1A">
            <w:pPr>
              <w:autoSpaceDE/>
              <w:autoSpaceDN/>
              <w:adjustRightInd/>
              <w:jc w:val="right"/>
              <w:rPr>
                <w:rFonts w:ascii="Times New Roman" w:hAnsi="Times New Roman"/>
                <w:color w:val="000000"/>
              </w:rPr>
            </w:pPr>
            <w:r w:rsidRPr="008426B0">
              <w:rPr>
                <w:rFonts w:ascii="Times New Roman" w:hAnsi="Times New Roman"/>
                <w:color w:val="000000"/>
              </w:rPr>
              <w:t>$3,159.67</w:t>
            </w:r>
          </w:p>
        </w:tc>
        <w:tc>
          <w:tcPr>
            <w:tcW w:w="1266" w:type="dxa"/>
            <w:tcBorders>
              <w:left w:val="nil"/>
              <w:bottom w:val="nil"/>
              <w:right w:val="nil"/>
            </w:tcBorders>
            <w:noWrap/>
            <w:vAlign w:val="center"/>
          </w:tcPr>
          <w:p w:rsidR="006761E8" w:rsidRPr="008426B0" w:rsidP="006761E8" w14:paraId="5F0118E7" w14:textId="1F8D528F">
            <w:pPr>
              <w:autoSpaceDE/>
              <w:autoSpaceDN/>
              <w:adjustRightInd/>
              <w:jc w:val="right"/>
              <w:rPr>
                <w:rFonts w:ascii="Times New Roman" w:hAnsi="Times New Roman"/>
                <w:color w:val="000000"/>
              </w:rPr>
            </w:pPr>
            <w:r w:rsidRPr="008426B0">
              <w:rPr>
                <w:rFonts w:ascii="Times New Roman" w:hAnsi="Times New Roman"/>
                <w:color w:val="000000"/>
              </w:rPr>
              <w:t xml:space="preserve">              0.03 </w:t>
            </w:r>
          </w:p>
        </w:tc>
      </w:tr>
      <w:tr w14:paraId="18BC64DA"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6AFCE150" w14:textId="0BA50BDF">
            <w:pPr>
              <w:autoSpaceDE/>
              <w:autoSpaceDN/>
              <w:adjustRightInd/>
              <w:rPr>
                <w:rFonts w:ascii="Times New Roman" w:hAnsi="Times New Roman"/>
                <w:color w:val="000000"/>
              </w:rPr>
            </w:pPr>
            <w:r w:rsidRPr="008426B0">
              <w:rPr>
                <w:rFonts w:ascii="Times New Roman" w:hAnsi="Times New Roman"/>
                <w:color w:val="000000"/>
              </w:rPr>
              <w:t>Provide End User Support Services</w:t>
            </w:r>
          </w:p>
        </w:tc>
        <w:tc>
          <w:tcPr>
            <w:tcW w:w="1780" w:type="dxa"/>
            <w:tcBorders>
              <w:top w:val="nil"/>
              <w:left w:val="nil"/>
              <w:bottom w:val="nil"/>
              <w:right w:val="nil"/>
            </w:tcBorders>
            <w:noWrap/>
            <w:vAlign w:val="center"/>
          </w:tcPr>
          <w:p w:rsidR="006761E8" w:rsidRPr="008426B0" w:rsidP="006761E8" w14:paraId="025CA956" w14:textId="55C52E45">
            <w:pPr>
              <w:autoSpaceDE/>
              <w:autoSpaceDN/>
              <w:adjustRightInd/>
              <w:jc w:val="right"/>
              <w:rPr>
                <w:rFonts w:ascii="Times New Roman" w:hAnsi="Times New Roman"/>
                <w:color w:val="000000"/>
              </w:rPr>
            </w:pPr>
            <w:r w:rsidRPr="008426B0">
              <w:rPr>
                <w:rFonts w:ascii="Times New Roman" w:hAnsi="Times New Roman"/>
                <w:color w:val="000000"/>
              </w:rPr>
              <w:t>$88,656.10</w:t>
            </w:r>
          </w:p>
        </w:tc>
        <w:tc>
          <w:tcPr>
            <w:tcW w:w="1266" w:type="dxa"/>
            <w:tcBorders>
              <w:top w:val="nil"/>
              <w:left w:val="nil"/>
              <w:bottom w:val="nil"/>
              <w:right w:val="nil"/>
            </w:tcBorders>
            <w:noWrap/>
            <w:vAlign w:val="center"/>
          </w:tcPr>
          <w:p w:rsidR="006761E8" w:rsidRPr="008426B0" w:rsidP="006761E8" w14:paraId="37D8F1AE" w14:textId="088CF91E">
            <w:pPr>
              <w:autoSpaceDE/>
              <w:autoSpaceDN/>
              <w:adjustRightInd/>
              <w:jc w:val="right"/>
              <w:rPr>
                <w:rFonts w:ascii="Times New Roman" w:hAnsi="Times New Roman"/>
                <w:color w:val="000000"/>
              </w:rPr>
            </w:pPr>
            <w:r w:rsidRPr="008426B0">
              <w:rPr>
                <w:rFonts w:ascii="Times New Roman" w:hAnsi="Times New Roman"/>
                <w:color w:val="000000"/>
              </w:rPr>
              <w:t xml:space="preserve">              0.65 </w:t>
            </w:r>
          </w:p>
        </w:tc>
      </w:tr>
      <w:tr w14:paraId="11FAD29F"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77666E39" w14:textId="233DA487">
            <w:pPr>
              <w:autoSpaceDE/>
              <w:autoSpaceDN/>
              <w:adjustRightInd/>
              <w:rPr>
                <w:rFonts w:ascii="Times New Roman" w:hAnsi="Times New Roman"/>
                <w:color w:val="000000"/>
              </w:rPr>
            </w:pPr>
            <w:r w:rsidRPr="008426B0">
              <w:rPr>
                <w:rFonts w:ascii="Times New Roman" w:hAnsi="Times New Roman"/>
                <w:color w:val="000000"/>
              </w:rPr>
              <w:t>Provide Management and Administration</w:t>
            </w:r>
          </w:p>
        </w:tc>
        <w:tc>
          <w:tcPr>
            <w:tcW w:w="1780" w:type="dxa"/>
            <w:tcBorders>
              <w:top w:val="nil"/>
              <w:left w:val="nil"/>
              <w:bottom w:val="nil"/>
              <w:right w:val="nil"/>
            </w:tcBorders>
            <w:noWrap/>
            <w:vAlign w:val="center"/>
          </w:tcPr>
          <w:p w:rsidR="006761E8" w:rsidRPr="008426B0" w:rsidP="006761E8" w14:paraId="2F9F749F" w14:textId="0EDDA477">
            <w:pPr>
              <w:autoSpaceDE/>
              <w:autoSpaceDN/>
              <w:adjustRightInd/>
              <w:jc w:val="right"/>
              <w:rPr>
                <w:rFonts w:ascii="Times New Roman" w:hAnsi="Times New Roman"/>
                <w:color w:val="000000"/>
              </w:rPr>
            </w:pPr>
            <w:r w:rsidRPr="008426B0">
              <w:rPr>
                <w:rFonts w:ascii="Times New Roman" w:hAnsi="Times New Roman"/>
                <w:color w:val="000000"/>
              </w:rPr>
              <w:t>$532,640.20</w:t>
            </w:r>
          </w:p>
        </w:tc>
        <w:tc>
          <w:tcPr>
            <w:tcW w:w="1266" w:type="dxa"/>
            <w:tcBorders>
              <w:top w:val="nil"/>
              <w:left w:val="nil"/>
              <w:bottom w:val="nil"/>
              <w:right w:val="nil"/>
            </w:tcBorders>
            <w:noWrap/>
            <w:vAlign w:val="center"/>
          </w:tcPr>
          <w:p w:rsidR="006761E8" w:rsidRPr="008426B0" w:rsidP="006761E8" w14:paraId="1349D19B" w14:textId="67FB1F67">
            <w:pPr>
              <w:autoSpaceDE/>
              <w:autoSpaceDN/>
              <w:adjustRightInd/>
              <w:jc w:val="right"/>
              <w:rPr>
                <w:rFonts w:ascii="Times New Roman" w:hAnsi="Times New Roman"/>
                <w:color w:val="000000"/>
              </w:rPr>
            </w:pPr>
            <w:r w:rsidRPr="008426B0">
              <w:rPr>
                <w:rFonts w:ascii="Times New Roman" w:hAnsi="Times New Roman"/>
                <w:color w:val="000000"/>
              </w:rPr>
              <w:t xml:space="preserve">              3.36 </w:t>
            </w:r>
          </w:p>
        </w:tc>
      </w:tr>
      <w:tr w14:paraId="7F4C1892"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5E6ED0C9" w14:textId="27F098C6">
            <w:pPr>
              <w:autoSpaceDE/>
              <w:autoSpaceDN/>
              <w:adjustRightInd/>
              <w:rPr>
                <w:rFonts w:ascii="Times New Roman" w:hAnsi="Times New Roman"/>
                <w:color w:val="000000"/>
              </w:rPr>
            </w:pPr>
            <w:r w:rsidRPr="008426B0">
              <w:rPr>
                <w:rFonts w:ascii="Times New Roman" w:hAnsi="Times New Roman"/>
                <w:color w:val="000000"/>
              </w:rPr>
              <w:t>Provide Support to Other FBI Units Sections (Temporary Duty, Surge)</w:t>
            </w:r>
          </w:p>
        </w:tc>
        <w:tc>
          <w:tcPr>
            <w:tcW w:w="1780" w:type="dxa"/>
            <w:tcBorders>
              <w:top w:val="nil"/>
              <w:left w:val="nil"/>
              <w:bottom w:val="nil"/>
              <w:right w:val="nil"/>
            </w:tcBorders>
            <w:noWrap/>
            <w:vAlign w:val="center"/>
          </w:tcPr>
          <w:p w:rsidR="006761E8" w:rsidRPr="008426B0" w:rsidP="006761E8" w14:paraId="5C4CA39B" w14:textId="54219C0D">
            <w:pPr>
              <w:autoSpaceDE/>
              <w:autoSpaceDN/>
              <w:adjustRightInd/>
              <w:jc w:val="right"/>
              <w:rPr>
                <w:rFonts w:ascii="Times New Roman" w:hAnsi="Times New Roman"/>
                <w:color w:val="000000"/>
              </w:rPr>
            </w:pPr>
            <w:r w:rsidRPr="008426B0">
              <w:rPr>
                <w:rFonts w:ascii="Times New Roman" w:hAnsi="Times New Roman"/>
                <w:color w:val="000000"/>
              </w:rPr>
              <w:t>$20,154.92</w:t>
            </w:r>
          </w:p>
        </w:tc>
        <w:tc>
          <w:tcPr>
            <w:tcW w:w="1266" w:type="dxa"/>
            <w:tcBorders>
              <w:top w:val="nil"/>
              <w:left w:val="nil"/>
              <w:bottom w:val="nil"/>
              <w:right w:val="nil"/>
            </w:tcBorders>
            <w:noWrap/>
            <w:vAlign w:val="center"/>
          </w:tcPr>
          <w:p w:rsidR="006761E8" w:rsidRPr="008426B0" w:rsidP="006761E8" w14:paraId="032D636E" w14:textId="286C7A70">
            <w:pPr>
              <w:autoSpaceDE/>
              <w:autoSpaceDN/>
              <w:adjustRightInd/>
              <w:jc w:val="right"/>
              <w:rPr>
                <w:rFonts w:ascii="Times New Roman" w:hAnsi="Times New Roman"/>
                <w:color w:val="000000"/>
              </w:rPr>
            </w:pPr>
            <w:r w:rsidRPr="008426B0">
              <w:rPr>
                <w:rFonts w:ascii="Times New Roman" w:hAnsi="Times New Roman"/>
                <w:color w:val="000000"/>
              </w:rPr>
              <w:t xml:space="preserve">              0.20 </w:t>
            </w:r>
          </w:p>
        </w:tc>
      </w:tr>
      <w:tr w14:paraId="2B2C194E"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2557A04A" w14:textId="64A1DAC0">
            <w:pPr>
              <w:autoSpaceDE/>
              <w:autoSpaceDN/>
              <w:adjustRightInd/>
              <w:rPr>
                <w:rFonts w:ascii="Times New Roman" w:hAnsi="Times New Roman"/>
                <w:color w:val="000000"/>
              </w:rPr>
            </w:pPr>
            <w:r w:rsidRPr="008426B0">
              <w:rPr>
                <w:rFonts w:ascii="Times New Roman" w:hAnsi="Times New Roman"/>
                <w:color w:val="000000"/>
              </w:rPr>
              <w:t>Respond to Data Calls, Media Requests, etc.</w:t>
            </w:r>
          </w:p>
        </w:tc>
        <w:tc>
          <w:tcPr>
            <w:tcW w:w="1780" w:type="dxa"/>
            <w:tcBorders>
              <w:top w:val="nil"/>
              <w:left w:val="nil"/>
              <w:bottom w:val="nil"/>
              <w:right w:val="nil"/>
            </w:tcBorders>
            <w:noWrap/>
            <w:vAlign w:val="center"/>
          </w:tcPr>
          <w:p w:rsidR="006761E8" w:rsidRPr="008426B0" w:rsidP="006761E8" w14:paraId="2DACFC0B" w14:textId="3051DD34">
            <w:pPr>
              <w:autoSpaceDE/>
              <w:autoSpaceDN/>
              <w:adjustRightInd/>
              <w:jc w:val="right"/>
              <w:rPr>
                <w:rFonts w:ascii="Times New Roman" w:hAnsi="Times New Roman"/>
                <w:color w:val="000000"/>
              </w:rPr>
            </w:pPr>
            <w:r w:rsidRPr="008426B0">
              <w:rPr>
                <w:rFonts w:ascii="Times New Roman" w:hAnsi="Times New Roman"/>
                <w:color w:val="000000"/>
              </w:rPr>
              <w:t>$260,146.69</w:t>
            </w:r>
          </w:p>
        </w:tc>
        <w:tc>
          <w:tcPr>
            <w:tcW w:w="1266" w:type="dxa"/>
            <w:tcBorders>
              <w:top w:val="nil"/>
              <w:left w:val="nil"/>
              <w:bottom w:val="nil"/>
              <w:right w:val="nil"/>
            </w:tcBorders>
            <w:noWrap/>
            <w:vAlign w:val="center"/>
          </w:tcPr>
          <w:p w:rsidR="006761E8" w:rsidRPr="008426B0" w:rsidP="006761E8" w14:paraId="604DFE92" w14:textId="4F9FEB7B">
            <w:pPr>
              <w:autoSpaceDE/>
              <w:autoSpaceDN/>
              <w:adjustRightInd/>
              <w:jc w:val="right"/>
              <w:rPr>
                <w:rFonts w:ascii="Times New Roman" w:hAnsi="Times New Roman"/>
                <w:color w:val="000000"/>
              </w:rPr>
            </w:pPr>
            <w:r w:rsidRPr="008426B0">
              <w:rPr>
                <w:rFonts w:ascii="Times New Roman" w:hAnsi="Times New Roman"/>
                <w:color w:val="000000"/>
              </w:rPr>
              <w:t xml:space="preserve">              1.91 </w:t>
            </w:r>
          </w:p>
        </w:tc>
      </w:tr>
      <w:tr w14:paraId="2CD4B668"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1A2DD536" w14:textId="4519B47C">
            <w:pPr>
              <w:autoSpaceDE/>
              <w:autoSpaceDN/>
              <w:adjustRightInd/>
              <w:rPr>
                <w:rFonts w:ascii="Times New Roman" w:hAnsi="Times New Roman"/>
                <w:color w:val="000000"/>
              </w:rPr>
            </w:pPr>
            <w:r w:rsidRPr="008426B0">
              <w:rPr>
                <w:rFonts w:ascii="Times New Roman" w:hAnsi="Times New Roman"/>
                <w:color w:val="000000"/>
              </w:rPr>
              <w:t>Respond to Internal and External Data Calls</w:t>
            </w:r>
          </w:p>
        </w:tc>
        <w:tc>
          <w:tcPr>
            <w:tcW w:w="1780" w:type="dxa"/>
            <w:tcBorders>
              <w:top w:val="nil"/>
              <w:left w:val="nil"/>
              <w:bottom w:val="nil"/>
              <w:right w:val="nil"/>
            </w:tcBorders>
            <w:noWrap/>
            <w:vAlign w:val="center"/>
          </w:tcPr>
          <w:p w:rsidR="006761E8" w:rsidRPr="008426B0" w:rsidP="006761E8" w14:paraId="6B592E6A" w14:textId="062DDAFB">
            <w:pPr>
              <w:autoSpaceDE/>
              <w:autoSpaceDN/>
              <w:adjustRightInd/>
              <w:jc w:val="right"/>
              <w:rPr>
                <w:rFonts w:ascii="Times New Roman" w:hAnsi="Times New Roman"/>
                <w:color w:val="000000"/>
              </w:rPr>
            </w:pPr>
            <w:r w:rsidRPr="008426B0">
              <w:rPr>
                <w:rFonts w:ascii="Times New Roman" w:hAnsi="Times New Roman"/>
                <w:color w:val="000000"/>
              </w:rPr>
              <w:t>$119,149.70</w:t>
            </w:r>
          </w:p>
        </w:tc>
        <w:tc>
          <w:tcPr>
            <w:tcW w:w="1266" w:type="dxa"/>
            <w:tcBorders>
              <w:top w:val="nil"/>
              <w:left w:val="nil"/>
              <w:bottom w:val="nil"/>
              <w:right w:val="nil"/>
            </w:tcBorders>
            <w:noWrap/>
            <w:vAlign w:val="center"/>
          </w:tcPr>
          <w:p w:rsidR="006761E8" w:rsidRPr="008426B0" w:rsidP="006761E8" w14:paraId="57568261" w14:textId="2836922C">
            <w:pPr>
              <w:autoSpaceDE/>
              <w:autoSpaceDN/>
              <w:adjustRightInd/>
              <w:jc w:val="right"/>
              <w:rPr>
                <w:rFonts w:ascii="Times New Roman" w:hAnsi="Times New Roman"/>
                <w:color w:val="000000"/>
              </w:rPr>
            </w:pPr>
            <w:r w:rsidRPr="008426B0">
              <w:rPr>
                <w:rFonts w:ascii="Times New Roman" w:hAnsi="Times New Roman"/>
                <w:color w:val="000000"/>
              </w:rPr>
              <w:t xml:space="preserve">              0.69 </w:t>
            </w:r>
          </w:p>
        </w:tc>
      </w:tr>
      <w:tr w14:paraId="4572A44D"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48FACC05" w14:textId="5092644C">
            <w:pPr>
              <w:autoSpaceDE/>
              <w:autoSpaceDN/>
              <w:adjustRightInd/>
              <w:rPr>
                <w:rFonts w:ascii="Times New Roman" w:hAnsi="Times New Roman"/>
                <w:color w:val="000000"/>
              </w:rPr>
            </w:pPr>
            <w:r w:rsidRPr="008426B0">
              <w:rPr>
                <w:rFonts w:ascii="Times New Roman" w:hAnsi="Times New Roman"/>
                <w:color w:val="000000"/>
              </w:rPr>
              <w:t>Support CJIS APB</w:t>
            </w:r>
          </w:p>
        </w:tc>
        <w:tc>
          <w:tcPr>
            <w:tcW w:w="1780" w:type="dxa"/>
            <w:tcBorders>
              <w:top w:val="nil"/>
              <w:left w:val="nil"/>
              <w:bottom w:val="nil"/>
              <w:right w:val="nil"/>
            </w:tcBorders>
            <w:noWrap/>
            <w:vAlign w:val="center"/>
          </w:tcPr>
          <w:p w:rsidR="006761E8" w:rsidRPr="008426B0" w:rsidP="006761E8" w14:paraId="5871BD86" w14:textId="1B1E87EF">
            <w:pPr>
              <w:autoSpaceDE/>
              <w:autoSpaceDN/>
              <w:adjustRightInd/>
              <w:jc w:val="right"/>
              <w:rPr>
                <w:rFonts w:ascii="Times New Roman" w:hAnsi="Times New Roman"/>
                <w:color w:val="000000"/>
              </w:rPr>
            </w:pPr>
            <w:r w:rsidRPr="008426B0">
              <w:rPr>
                <w:rFonts w:ascii="Times New Roman" w:hAnsi="Times New Roman"/>
                <w:color w:val="000000"/>
              </w:rPr>
              <w:t>$51,763.19</w:t>
            </w:r>
          </w:p>
        </w:tc>
        <w:tc>
          <w:tcPr>
            <w:tcW w:w="1266" w:type="dxa"/>
            <w:tcBorders>
              <w:top w:val="nil"/>
              <w:left w:val="nil"/>
              <w:bottom w:val="nil"/>
              <w:right w:val="nil"/>
            </w:tcBorders>
            <w:noWrap/>
            <w:vAlign w:val="center"/>
          </w:tcPr>
          <w:p w:rsidR="006761E8" w:rsidRPr="008426B0" w:rsidP="006761E8" w14:paraId="1E809220" w14:textId="7D51AADF">
            <w:pPr>
              <w:autoSpaceDE/>
              <w:autoSpaceDN/>
              <w:adjustRightInd/>
              <w:jc w:val="right"/>
              <w:rPr>
                <w:rFonts w:ascii="Times New Roman" w:hAnsi="Times New Roman"/>
                <w:color w:val="000000"/>
              </w:rPr>
            </w:pPr>
            <w:r w:rsidRPr="008426B0">
              <w:rPr>
                <w:rFonts w:ascii="Times New Roman" w:hAnsi="Times New Roman"/>
                <w:color w:val="000000"/>
              </w:rPr>
              <w:t xml:space="preserve">              0.36 </w:t>
            </w:r>
          </w:p>
        </w:tc>
      </w:tr>
      <w:tr w14:paraId="6E5115DE"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5A15ED2C" w14:textId="41151F0E">
            <w:pPr>
              <w:autoSpaceDE/>
              <w:autoSpaceDN/>
              <w:adjustRightInd/>
              <w:rPr>
                <w:rFonts w:ascii="Times New Roman" w:hAnsi="Times New Roman"/>
                <w:color w:val="000000"/>
              </w:rPr>
            </w:pPr>
            <w:r w:rsidRPr="008426B0">
              <w:rPr>
                <w:rFonts w:ascii="Times New Roman" w:hAnsi="Times New Roman"/>
                <w:color w:val="000000"/>
              </w:rPr>
              <w:t>Support CJIS Division Community Outreach Program</w:t>
            </w:r>
          </w:p>
        </w:tc>
        <w:tc>
          <w:tcPr>
            <w:tcW w:w="1780" w:type="dxa"/>
            <w:tcBorders>
              <w:top w:val="nil"/>
              <w:left w:val="nil"/>
              <w:bottom w:val="nil"/>
              <w:right w:val="nil"/>
            </w:tcBorders>
            <w:noWrap/>
            <w:vAlign w:val="center"/>
          </w:tcPr>
          <w:p w:rsidR="006761E8" w:rsidRPr="008426B0" w:rsidP="006761E8" w14:paraId="16388A9A" w14:textId="6255213E">
            <w:pPr>
              <w:autoSpaceDE/>
              <w:autoSpaceDN/>
              <w:adjustRightInd/>
              <w:jc w:val="right"/>
              <w:rPr>
                <w:rFonts w:ascii="Times New Roman" w:hAnsi="Times New Roman"/>
                <w:color w:val="000000"/>
              </w:rPr>
            </w:pPr>
            <w:r w:rsidRPr="008426B0">
              <w:rPr>
                <w:rFonts w:ascii="Times New Roman" w:hAnsi="Times New Roman"/>
                <w:color w:val="000000"/>
              </w:rPr>
              <w:t>$10,105.00</w:t>
            </w:r>
          </w:p>
        </w:tc>
        <w:tc>
          <w:tcPr>
            <w:tcW w:w="1266" w:type="dxa"/>
            <w:tcBorders>
              <w:top w:val="nil"/>
              <w:left w:val="nil"/>
              <w:bottom w:val="nil"/>
              <w:right w:val="nil"/>
            </w:tcBorders>
            <w:noWrap/>
            <w:vAlign w:val="center"/>
          </w:tcPr>
          <w:p w:rsidR="006761E8" w:rsidRPr="008426B0" w:rsidP="006761E8" w14:paraId="1229F2B7" w14:textId="76E93A76">
            <w:pPr>
              <w:autoSpaceDE/>
              <w:autoSpaceDN/>
              <w:adjustRightInd/>
              <w:jc w:val="right"/>
              <w:rPr>
                <w:rFonts w:ascii="Times New Roman" w:hAnsi="Times New Roman"/>
                <w:color w:val="000000"/>
              </w:rPr>
            </w:pPr>
            <w:r w:rsidRPr="008426B0">
              <w:rPr>
                <w:rFonts w:ascii="Times New Roman" w:hAnsi="Times New Roman"/>
                <w:color w:val="000000"/>
              </w:rPr>
              <w:t xml:space="preserve">              0.09 </w:t>
            </w:r>
          </w:p>
        </w:tc>
      </w:tr>
      <w:tr w14:paraId="08CB3048"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37C0D91D" w14:textId="6C74B321">
            <w:pPr>
              <w:autoSpaceDE/>
              <w:autoSpaceDN/>
              <w:adjustRightInd/>
              <w:rPr>
                <w:rFonts w:ascii="Times New Roman" w:hAnsi="Times New Roman"/>
                <w:color w:val="000000"/>
              </w:rPr>
            </w:pPr>
            <w:r w:rsidRPr="008426B0">
              <w:rPr>
                <w:rFonts w:ascii="Times New Roman" w:hAnsi="Times New Roman"/>
                <w:color w:val="000000"/>
              </w:rPr>
              <w:t>Support CJIS Systems Officer Training and Communications</w:t>
            </w:r>
          </w:p>
        </w:tc>
        <w:tc>
          <w:tcPr>
            <w:tcW w:w="1780" w:type="dxa"/>
            <w:tcBorders>
              <w:top w:val="nil"/>
              <w:left w:val="nil"/>
              <w:bottom w:val="nil"/>
              <w:right w:val="nil"/>
            </w:tcBorders>
            <w:noWrap/>
            <w:vAlign w:val="center"/>
          </w:tcPr>
          <w:p w:rsidR="006761E8" w:rsidRPr="008426B0" w:rsidP="006761E8" w14:paraId="7C5603ED" w14:textId="5408F957">
            <w:pPr>
              <w:autoSpaceDE/>
              <w:autoSpaceDN/>
              <w:adjustRightInd/>
              <w:jc w:val="right"/>
              <w:rPr>
                <w:rFonts w:ascii="Times New Roman" w:hAnsi="Times New Roman"/>
                <w:color w:val="000000"/>
              </w:rPr>
            </w:pPr>
            <w:r w:rsidRPr="008426B0">
              <w:rPr>
                <w:rFonts w:ascii="Times New Roman" w:hAnsi="Times New Roman"/>
                <w:color w:val="000000"/>
              </w:rPr>
              <w:t>$3,899.61</w:t>
            </w:r>
          </w:p>
        </w:tc>
        <w:tc>
          <w:tcPr>
            <w:tcW w:w="1266" w:type="dxa"/>
            <w:tcBorders>
              <w:top w:val="nil"/>
              <w:left w:val="nil"/>
              <w:bottom w:val="nil"/>
              <w:right w:val="nil"/>
            </w:tcBorders>
            <w:noWrap/>
            <w:vAlign w:val="center"/>
          </w:tcPr>
          <w:p w:rsidR="006761E8" w:rsidRPr="008426B0" w:rsidP="006761E8" w14:paraId="0AE18580" w14:textId="77525E49">
            <w:pPr>
              <w:autoSpaceDE/>
              <w:autoSpaceDN/>
              <w:adjustRightInd/>
              <w:jc w:val="right"/>
              <w:rPr>
                <w:rFonts w:ascii="Times New Roman" w:hAnsi="Times New Roman"/>
                <w:color w:val="000000"/>
              </w:rPr>
            </w:pPr>
            <w:r w:rsidRPr="008426B0">
              <w:rPr>
                <w:rFonts w:ascii="Times New Roman" w:hAnsi="Times New Roman"/>
                <w:color w:val="000000"/>
              </w:rPr>
              <w:t xml:space="preserve">              0.03 </w:t>
            </w:r>
          </w:p>
        </w:tc>
      </w:tr>
      <w:tr w14:paraId="6D601962"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7607F725" w14:textId="373C72E4">
            <w:pPr>
              <w:autoSpaceDE/>
              <w:autoSpaceDN/>
              <w:adjustRightInd/>
              <w:rPr>
                <w:rFonts w:ascii="Times New Roman" w:hAnsi="Times New Roman"/>
                <w:color w:val="000000"/>
              </w:rPr>
            </w:pPr>
            <w:r w:rsidRPr="008426B0">
              <w:rPr>
                <w:rFonts w:ascii="Times New Roman" w:hAnsi="Times New Roman"/>
                <w:color w:val="000000"/>
              </w:rPr>
              <w:t>Support Crime in the United States Data Release</w:t>
            </w:r>
          </w:p>
        </w:tc>
        <w:tc>
          <w:tcPr>
            <w:tcW w:w="1780" w:type="dxa"/>
            <w:tcBorders>
              <w:top w:val="nil"/>
              <w:left w:val="nil"/>
              <w:bottom w:val="nil"/>
              <w:right w:val="nil"/>
            </w:tcBorders>
            <w:noWrap/>
            <w:vAlign w:val="center"/>
          </w:tcPr>
          <w:p w:rsidR="006761E8" w:rsidRPr="008426B0" w:rsidP="006761E8" w14:paraId="2AA1411A" w14:textId="214A6BDB">
            <w:pPr>
              <w:autoSpaceDE/>
              <w:autoSpaceDN/>
              <w:adjustRightInd/>
              <w:jc w:val="right"/>
              <w:rPr>
                <w:rFonts w:ascii="Times New Roman" w:hAnsi="Times New Roman"/>
                <w:color w:val="000000"/>
              </w:rPr>
            </w:pPr>
            <w:r w:rsidRPr="008426B0">
              <w:rPr>
                <w:rFonts w:ascii="Times New Roman" w:hAnsi="Times New Roman"/>
                <w:color w:val="000000"/>
              </w:rPr>
              <w:t>$469,426.78</w:t>
            </w:r>
          </w:p>
        </w:tc>
        <w:tc>
          <w:tcPr>
            <w:tcW w:w="1266" w:type="dxa"/>
            <w:tcBorders>
              <w:top w:val="nil"/>
              <w:left w:val="nil"/>
              <w:bottom w:val="nil"/>
              <w:right w:val="nil"/>
            </w:tcBorders>
            <w:noWrap/>
            <w:vAlign w:val="center"/>
          </w:tcPr>
          <w:p w:rsidR="006761E8" w:rsidRPr="008426B0" w:rsidP="006761E8" w14:paraId="074B4343" w14:textId="3F1875A5">
            <w:pPr>
              <w:autoSpaceDE/>
              <w:autoSpaceDN/>
              <w:adjustRightInd/>
              <w:jc w:val="right"/>
              <w:rPr>
                <w:rFonts w:ascii="Times New Roman" w:hAnsi="Times New Roman"/>
                <w:color w:val="000000"/>
              </w:rPr>
            </w:pPr>
            <w:r w:rsidRPr="008426B0">
              <w:rPr>
                <w:rFonts w:ascii="Times New Roman" w:hAnsi="Times New Roman"/>
                <w:color w:val="000000"/>
              </w:rPr>
              <w:t xml:space="preserve">              3.58 </w:t>
            </w:r>
          </w:p>
        </w:tc>
      </w:tr>
      <w:tr w14:paraId="315F1FBA"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1ABABFB6" w14:textId="2866008D">
            <w:pPr>
              <w:autoSpaceDE/>
              <w:autoSpaceDN/>
              <w:adjustRightInd/>
              <w:rPr>
                <w:rFonts w:ascii="Times New Roman" w:hAnsi="Times New Roman"/>
                <w:color w:val="000000"/>
              </w:rPr>
            </w:pPr>
            <w:r w:rsidRPr="008426B0">
              <w:rPr>
                <w:rFonts w:ascii="Times New Roman" w:hAnsi="Times New Roman"/>
                <w:color w:val="000000"/>
              </w:rPr>
              <w:t>Support Law Enforcement Employee Counts Data Collection</w:t>
            </w:r>
          </w:p>
        </w:tc>
        <w:tc>
          <w:tcPr>
            <w:tcW w:w="1780" w:type="dxa"/>
            <w:tcBorders>
              <w:top w:val="nil"/>
              <w:left w:val="nil"/>
              <w:bottom w:val="nil"/>
              <w:right w:val="nil"/>
            </w:tcBorders>
            <w:noWrap/>
            <w:vAlign w:val="center"/>
          </w:tcPr>
          <w:p w:rsidR="006761E8" w:rsidRPr="008426B0" w:rsidP="006761E8" w14:paraId="09596D61" w14:textId="6C2FF13E">
            <w:pPr>
              <w:autoSpaceDE/>
              <w:autoSpaceDN/>
              <w:adjustRightInd/>
              <w:jc w:val="right"/>
              <w:rPr>
                <w:rFonts w:ascii="Times New Roman" w:hAnsi="Times New Roman"/>
                <w:color w:val="000000"/>
              </w:rPr>
            </w:pPr>
            <w:r w:rsidRPr="008426B0">
              <w:rPr>
                <w:rFonts w:ascii="Times New Roman" w:hAnsi="Times New Roman"/>
                <w:color w:val="000000"/>
              </w:rPr>
              <w:t>$147,784.63</w:t>
            </w:r>
          </w:p>
        </w:tc>
        <w:tc>
          <w:tcPr>
            <w:tcW w:w="1266" w:type="dxa"/>
            <w:tcBorders>
              <w:top w:val="nil"/>
              <w:left w:val="nil"/>
              <w:bottom w:val="nil"/>
              <w:right w:val="nil"/>
            </w:tcBorders>
            <w:noWrap/>
            <w:vAlign w:val="center"/>
          </w:tcPr>
          <w:p w:rsidR="006761E8" w:rsidRPr="008426B0" w:rsidP="006761E8" w14:paraId="46C5E7EC" w14:textId="0646D76E">
            <w:pPr>
              <w:autoSpaceDE/>
              <w:autoSpaceDN/>
              <w:adjustRightInd/>
              <w:jc w:val="right"/>
              <w:rPr>
                <w:rFonts w:ascii="Times New Roman" w:hAnsi="Times New Roman"/>
                <w:color w:val="000000"/>
              </w:rPr>
            </w:pPr>
            <w:r w:rsidRPr="008426B0">
              <w:rPr>
                <w:rFonts w:ascii="Times New Roman" w:hAnsi="Times New Roman"/>
                <w:color w:val="000000"/>
              </w:rPr>
              <w:t xml:space="preserve">              1.16 </w:t>
            </w:r>
          </w:p>
        </w:tc>
      </w:tr>
      <w:tr w14:paraId="1DE8B5B1"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2950F7FE" w14:textId="66C34CD5">
            <w:pPr>
              <w:autoSpaceDE/>
              <w:autoSpaceDN/>
              <w:adjustRightInd/>
              <w:rPr>
                <w:rFonts w:ascii="Times New Roman" w:hAnsi="Times New Roman"/>
                <w:color w:val="000000"/>
              </w:rPr>
            </w:pPr>
            <w:r w:rsidRPr="008426B0">
              <w:rPr>
                <w:rFonts w:ascii="Times New Roman" w:hAnsi="Times New Roman"/>
                <w:color w:val="000000"/>
              </w:rPr>
              <w:t>Support Law Enforcement Suicide Data Collection</w:t>
            </w:r>
          </w:p>
        </w:tc>
        <w:tc>
          <w:tcPr>
            <w:tcW w:w="1780" w:type="dxa"/>
            <w:tcBorders>
              <w:top w:val="nil"/>
              <w:left w:val="nil"/>
              <w:bottom w:val="nil"/>
              <w:right w:val="nil"/>
            </w:tcBorders>
            <w:noWrap/>
            <w:vAlign w:val="center"/>
          </w:tcPr>
          <w:p w:rsidR="006761E8" w:rsidRPr="008426B0" w:rsidP="006761E8" w14:paraId="22468173" w14:textId="6D677838">
            <w:pPr>
              <w:autoSpaceDE/>
              <w:autoSpaceDN/>
              <w:adjustRightInd/>
              <w:jc w:val="right"/>
              <w:rPr>
                <w:rFonts w:ascii="Times New Roman" w:hAnsi="Times New Roman"/>
                <w:color w:val="000000"/>
              </w:rPr>
            </w:pPr>
            <w:r w:rsidRPr="008426B0">
              <w:rPr>
                <w:rFonts w:ascii="Times New Roman" w:hAnsi="Times New Roman"/>
                <w:color w:val="000000"/>
              </w:rPr>
              <w:t>$102,405.30</w:t>
            </w:r>
          </w:p>
        </w:tc>
        <w:tc>
          <w:tcPr>
            <w:tcW w:w="1266" w:type="dxa"/>
            <w:tcBorders>
              <w:top w:val="nil"/>
              <w:left w:val="nil"/>
              <w:bottom w:val="nil"/>
              <w:right w:val="nil"/>
            </w:tcBorders>
            <w:noWrap/>
            <w:vAlign w:val="center"/>
          </w:tcPr>
          <w:p w:rsidR="006761E8" w:rsidRPr="008426B0" w:rsidP="006761E8" w14:paraId="05E0D8C5" w14:textId="357BEB50">
            <w:pPr>
              <w:autoSpaceDE/>
              <w:autoSpaceDN/>
              <w:adjustRightInd/>
              <w:jc w:val="right"/>
              <w:rPr>
                <w:rFonts w:ascii="Times New Roman" w:hAnsi="Times New Roman"/>
                <w:color w:val="000000"/>
              </w:rPr>
            </w:pPr>
            <w:r w:rsidRPr="008426B0">
              <w:rPr>
                <w:rFonts w:ascii="Times New Roman" w:hAnsi="Times New Roman"/>
                <w:color w:val="000000"/>
              </w:rPr>
              <w:t xml:space="preserve">              0.80 </w:t>
            </w:r>
          </w:p>
        </w:tc>
      </w:tr>
      <w:tr w14:paraId="745C6E8E"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038EFCA7" w14:textId="6DFF3659">
            <w:pPr>
              <w:autoSpaceDE/>
              <w:autoSpaceDN/>
              <w:adjustRightInd/>
              <w:rPr>
                <w:rFonts w:ascii="Times New Roman" w:hAnsi="Times New Roman"/>
                <w:color w:val="000000"/>
              </w:rPr>
            </w:pPr>
            <w:r w:rsidRPr="008426B0">
              <w:rPr>
                <w:rFonts w:ascii="Times New Roman" w:hAnsi="Times New Roman"/>
                <w:color w:val="000000"/>
              </w:rPr>
              <w:t>Support Law Enforcement Training</w:t>
            </w:r>
          </w:p>
        </w:tc>
        <w:tc>
          <w:tcPr>
            <w:tcW w:w="1780" w:type="dxa"/>
            <w:tcBorders>
              <w:top w:val="nil"/>
              <w:left w:val="nil"/>
              <w:bottom w:val="nil"/>
              <w:right w:val="nil"/>
            </w:tcBorders>
            <w:noWrap/>
            <w:vAlign w:val="center"/>
          </w:tcPr>
          <w:p w:rsidR="006761E8" w:rsidRPr="008426B0" w:rsidP="006761E8" w14:paraId="1F7F52BC" w14:textId="72D4EFD0">
            <w:pPr>
              <w:autoSpaceDE/>
              <w:autoSpaceDN/>
              <w:adjustRightInd/>
              <w:jc w:val="right"/>
              <w:rPr>
                <w:rFonts w:ascii="Times New Roman" w:hAnsi="Times New Roman"/>
                <w:color w:val="000000"/>
              </w:rPr>
            </w:pPr>
            <w:r w:rsidRPr="008426B0">
              <w:rPr>
                <w:rFonts w:ascii="Times New Roman" w:hAnsi="Times New Roman"/>
                <w:color w:val="000000"/>
              </w:rPr>
              <w:t>$10,572.66</w:t>
            </w:r>
          </w:p>
        </w:tc>
        <w:tc>
          <w:tcPr>
            <w:tcW w:w="1266" w:type="dxa"/>
            <w:tcBorders>
              <w:top w:val="nil"/>
              <w:left w:val="nil"/>
              <w:bottom w:val="nil"/>
              <w:right w:val="nil"/>
            </w:tcBorders>
            <w:noWrap/>
            <w:vAlign w:val="center"/>
          </w:tcPr>
          <w:p w:rsidR="006761E8" w:rsidRPr="008426B0" w:rsidP="006761E8" w14:paraId="7295B562" w14:textId="6E00E596">
            <w:pPr>
              <w:autoSpaceDE/>
              <w:autoSpaceDN/>
              <w:adjustRightInd/>
              <w:jc w:val="right"/>
              <w:rPr>
                <w:rFonts w:ascii="Times New Roman" w:hAnsi="Times New Roman"/>
                <w:color w:val="000000"/>
              </w:rPr>
            </w:pPr>
            <w:r w:rsidRPr="008426B0">
              <w:rPr>
                <w:rFonts w:ascii="Times New Roman" w:hAnsi="Times New Roman"/>
                <w:color w:val="000000"/>
              </w:rPr>
              <w:t xml:space="preserve">              0.12 </w:t>
            </w:r>
          </w:p>
        </w:tc>
      </w:tr>
      <w:tr w14:paraId="0847E3CC"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290DCFAF" w14:textId="74507B51">
            <w:pPr>
              <w:autoSpaceDE/>
              <w:autoSpaceDN/>
              <w:adjustRightInd/>
              <w:rPr>
                <w:rFonts w:ascii="Times New Roman" w:hAnsi="Times New Roman"/>
                <w:color w:val="000000"/>
              </w:rPr>
            </w:pPr>
            <w:r w:rsidRPr="008426B0">
              <w:rPr>
                <w:rFonts w:ascii="Times New Roman" w:hAnsi="Times New Roman"/>
                <w:color w:val="000000"/>
              </w:rPr>
              <w:t>Support LEOKA Collection and Data Release</w:t>
            </w:r>
          </w:p>
        </w:tc>
        <w:tc>
          <w:tcPr>
            <w:tcW w:w="1780" w:type="dxa"/>
            <w:tcBorders>
              <w:top w:val="nil"/>
              <w:left w:val="nil"/>
              <w:bottom w:val="nil"/>
              <w:right w:val="nil"/>
            </w:tcBorders>
            <w:noWrap/>
            <w:vAlign w:val="center"/>
          </w:tcPr>
          <w:p w:rsidR="006761E8" w:rsidRPr="008426B0" w:rsidP="006761E8" w14:paraId="11E534CF" w14:textId="1C872D73">
            <w:pPr>
              <w:autoSpaceDE/>
              <w:autoSpaceDN/>
              <w:adjustRightInd/>
              <w:jc w:val="right"/>
              <w:rPr>
                <w:rFonts w:ascii="Times New Roman" w:hAnsi="Times New Roman"/>
                <w:color w:val="000000"/>
              </w:rPr>
            </w:pPr>
            <w:r w:rsidRPr="008426B0">
              <w:rPr>
                <w:rFonts w:ascii="Times New Roman" w:hAnsi="Times New Roman"/>
                <w:color w:val="000000"/>
              </w:rPr>
              <w:t>$275,957.77</w:t>
            </w:r>
          </w:p>
        </w:tc>
        <w:tc>
          <w:tcPr>
            <w:tcW w:w="1266" w:type="dxa"/>
            <w:tcBorders>
              <w:top w:val="nil"/>
              <w:left w:val="nil"/>
              <w:bottom w:val="nil"/>
              <w:right w:val="nil"/>
            </w:tcBorders>
            <w:noWrap/>
            <w:vAlign w:val="center"/>
          </w:tcPr>
          <w:p w:rsidR="006761E8" w:rsidRPr="008426B0" w:rsidP="006761E8" w14:paraId="2127A093" w14:textId="08E75B10">
            <w:pPr>
              <w:autoSpaceDE/>
              <w:autoSpaceDN/>
              <w:adjustRightInd/>
              <w:jc w:val="right"/>
              <w:rPr>
                <w:rFonts w:ascii="Times New Roman" w:hAnsi="Times New Roman"/>
                <w:color w:val="000000"/>
              </w:rPr>
            </w:pPr>
            <w:r w:rsidRPr="008426B0">
              <w:rPr>
                <w:rFonts w:ascii="Times New Roman" w:hAnsi="Times New Roman"/>
                <w:color w:val="000000"/>
              </w:rPr>
              <w:t xml:space="preserve">              2.25 </w:t>
            </w:r>
          </w:p>
        </w:tc>
      </w:tr>
      <w:tr w14:paraId="0C1FD407"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18506566" w14:textId="2E9D36D3">
            <w:pPr>
              <w:autoSpaceDE/>
              <w:autoSpaceDN/>
              <w:adjustRightInd/>
              <w:rPr>
                <w:rFonts w:ascii="Times New Roman" w:hAnsi="Times New Roman"/>
                <w:color w:val="000000"/>
              </w:rPr>
            </w:pPr>
            <w:r w:rsidRPr="008426B0">
              <w:rPr>
                <w:rFonts w:ascii="Times New Roman" w:hAnsi="Times New Roman"/>
                <w:color w:val="000000"/>
              </w:rPr>
              <w:t>Support National Incident-Based Reporting System</w:t>
            </w:r>
          </w:p>
        </w:tc>
        <w:tc>
          <w:tcPr>
            <w:tcW w:w="1780" w:type="dxa"/>
            <w:tcBorders>
              <w:top w:val="nil"/>
              <w:left w:val="nil"/>
              <w:bottom w:val="nil"/>
              <w:right w:val="nil"/>
            </w:tcBorders>
            <w:noWrap/>
            <w:vAlign w:val="center"/>
          </w:tcPr>
          <w:p w:rsidR="006761E8" w:rsidRPr="008426B0" w:rsidP="006761E8" w14:paraId="5F4EBD0A" w14:textId="604D1777">
            <w:pPr>
              <w:autoSpaceDE/>
              <w:autoSpaceDN/>
              <w:adjustRightInd/>
              <w:jc w:val="right"/>
              <w:rPr>
                <w:rFonts w:ascii="Times New Roman" w:hAnsi="Times New Roman"/>
                <w:color w:val="000000"/>
              </w:rPr>
            </w:pPr>
            <w:r w:rsidRPr="008426B0">
              <w:rPr>
                <w:rFonts w:ascii="Times New Roman" w:hAnsi="Times New Roman"/>
                <w:color w:val="000000"/>
              </w:rPr>
              <w:t>$178,076.89</w:t>
            </w:r>
          </w:p>
        </w:tc>
        <w:tc>
          <w:tcPr>
            <w:tcW w:w="1266" w:type="dxa"/>
            <w:tcBorders>
              <w:top w:val="nil"/>
              <w:left w:val="nil"/>
              <w:bottom w:val="nil"/>
              <w:right w:val="nil"/>
            </w:tcBorders>
            <w:noWrap/>
            <w:vAlign w:val="center"/>
          </w:tcPr>
          <w:p w:rsidR="006761E8" w:rsidRPr="008426B0" w:rsidP="006761E8" w14:paraId="6AB7114E" w14:textId="088A0FC5">
            <w:pPr>
              <w:autoSpaceDE/>
              <w:autoSpaceDN/>
              <w:adjustRightInd/>
              <w:jc w:val="right"/>
              <w:rPr>
                <w:rFonts w:ascii="Times New Roman" w:hAnsi="Times New Roman"/>
                <w:color w:val="000000"/>
              </w:rPr>
            </w:pPr>
            <w:r w:rsidRPr="008426B0">
              <w:rPr>
                <w:rFonts w:ascii="Times New Roman" w:hAnsi="Times New Roman"/>
                <w:color w:val="000000"/>
              </w:rPr>
              <w:t xml:space="preserve">              1.38 </w:t>
            </w:r>
          </w:p>
        </w:tc>
      </w:tr>
      <w:tr w14:paraId="74EFDA7F"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3C15B93B" w14:textId="338B9C62">
            <w:pPr>
              <w:autoSpaceDE/>
              <w:autoSpaceDN/>
              <w:adjustRightInd/>
              <w:rPr>
                <w:rFonts w:ascii="Times New Roman" w:hAnsi="Times New Roman"/>
                <w:color w:val="000000"/>
              </w:rPr>
            </w:pPr>
            <w:r w:rsidRPr="008426B0">
              <w:rPr>
                <w:rFonts w:ascii="Times New Roman" w:hAnsi="Times New Roman"/>
                <w:color w:val="000000"/>
              </w:rPr>
              <w:t>Support National Use-of-Force Data Collection</w:t>
            </w:r>
          </w:p>
        </w:tc>
        <w:tc>
          <w:tcPr>
            <w:tcW w:w="1780" w:type="dxa"/>
            <w:tcBorders>
              <w:top w:val="nil"/>
              <w:left w:val="nil"/>
              <w:bottom w:val="nil"/>
              <w:right w:val="nil"/>
            </w:tcBorders>
            <w:noWrap/>
            <w:vAlign w:val="center"/>
          </w:tcPr>
          <w:p w:rsidR="006761E8" w:rsidRPr="008426B0" w:rsidP="006761E8" w14:paraId="286FD81D" w14:textId="0DFB2EB3">
            <w:pPr>
              <w:autoSpaceDE/>
              <w:autoSpaceDN/>
              <w:adjustRightInd/>
              <w:jc w:val="right"/>
              <w:rPr>
                <w:rFonts w:ascii="Times New Roman" w:hAnsi="Times New Roman"/>
                <w:color w:val="000000"/>
              </w:rPr>
            </w:pPr>
            <w:r w:rsidRPr="008426B0">
              <w:rPr>
                <w:rFonts w:ascii="Times New Roman" w:hAnsi="Times New Roman"/>
                <w:color w:val="000000"/>
              </w:rPr>
              <w:t>$206,931.23</w:t>
            </w:r>
          </w:p>
        </w:tc>
        <w:tc>
          <w:tcPr>
            <w:tcW w:w="1266" w:type="dxa"/>
            <w:tcBorders>
              <w:top w:val="nil"/>
              <w:left w:val="nil"/>
              <w:bottom w:val="nil"/>
              <w:right w:val="nil"/>
            </w:tcBorders>
            <w:noWrap/>
            <w:vAlign w:val="center"/>
          </w:tcPr>
          <w:p w:rsidR="006761E8" w:rsidRPr="008426B0" w:rsidP="006761E8" w14:paraId="65C2958B" w14:textId="783B4D5C">
            <w:pPr>
              <w:autoSpaceDE/>
              <w:autoSpaceDN/>
              <w:adjustRightInd/>
              <w:jc w:val="right"/>
              <w:rPr>
                <w:rFonts w:ascii="Times New Roman" w:hAnsi="Times New Roman"/>
                <w:color w:val="000000"/>
              </w:rPr>
            </w:pPr>
            <w:r w:rsidRPr="008426B0">
              <w:rPr>
                <w:rFonts w:ascii="Times New Roman" w:hAnsi="Times New Roman"/>
                <w:color w:val="000000"/>
              </w:rPr>
              <w:t xml:space="preserve">              1.72 </w:t>
            </w:r>
          </w:p>
        </w:tc>
      </w:tr>
      <w:tr w14:paraId="042BF1C9"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309E34A5" w14:textId="1613B571">
            <w:pPr>
              <w:autoSpaceDE/>
              <w:autoSpaceDN/>
              <w:adjustRightInd/>
              <w:rPr>
                <w:rFonts w:ascii="Times New Roman" w:hAnsi="Times New Roman"/>
                <w:color w:val="000000"/>
              </w:rPr>
            </w:pPr>
            <w:r w:rsidRPr="008426B0">
              <w:rPr>
                <w:rFonts w:ascii="Times New Roman" w:hAnsi="Times New Roman"/>
                <w:color w:val="000000"/>
              </w:rPr>
              <w:t>Support ORI Administration</w:t>
            </w:r>
          </w:p>
        </w:tc>
        <w:tc>
          <w:tcPr>
            <w:tcW w:w="1780" w:type="dxa"/>
            <w:tcBorders>
              <w:top w:val="nil"/>
              <w:left w:val="nil"/>
              <w:bottom w:val="nil"/>
              <w:right w:val="nil"/>
            </w:tcBorders>
            <w:noWrap/>
            <w:vAlign w:val="center"/>
          </w:tcPr>
          <w:p w:rsidR="006761E8" w:rsidRPr="008426B0" w:rsidP="006761E8" w14:paraId="4056772E" w14:textId="0D245CA3">
            <w:pPr>
              <w:autoSpaceDE/>
              <w:autoSpaceDN/>
              <w:adjustRightInd/>
              <w:jc w:val="right"/>
              <w:rPr>
                <w:rFonts w:ascii="Times New Roman" w:hAnsi="Times New Roman"/>
                <w:color w:val="000000"/>
              </w:rPr>
            </w:pPr>
            <w:r w:rsidRPr="008426B0">
              <w:rPr>
                <w:rFonts w:ascii="Times New Roman" w:hAnsi="Times New Roman"/>
                <w:color w:val="000000"/>
              </w:rPr>
              <w:t>$7,799.21</w:t>
            </w:r>
          </w:p>
        </w:tc>
        <w:tc>
          <w:tcPr>
            <w:tcW w:w="1266" w:type="dxa"/>
            <w:tcBorders>
              <w:top w:val="nil"/>
              <w:left w:val="nil"/>
              <w:bottom w:val="nil"/>
              <w:right w:val="nil"/>
            </w:tcBorders>
            <w:noWrap/>
            <w:vAlign w:val="center"/>
          </w:tcPr>
          <w:p w:rsidR="006761E8" w:rsidRPr="008426B0" w:rsidP="006761E8" w14:paraId="5027065D" w14:textId="47028F9D">
            <w:pPr>
              <w:autoSpaceDE/>
              <w:autoSpaceDN/>
              <w:adjustRightInd/>
              <w:jc w:val="right"/>
              <w:rPr>
                <w:rFonts w:ascii="Times New Roman" w:hAnsi="Times New Roman"/>
                <w:color w:val="000000"/>
              </w:rPr>
            </w:pPr>
            <w:r w:rsidRPr="008426B0">
              <w:rPr>
                <w:rFonts w:ascii="Times New Roman" w:hAnsi="Times New Roman"/>
                <w:color w:val="000000"/>
              </w:rPr>
              <w:t xml:space="preserve">              0.06 </w:t>
            </w:r>
          </w:p>
        </w:tc>
      </w:tr>
      <w:tr w14:paraId="77D9398A"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24E750E3" w14:textId="484C4EEE">
            <w:pPr>
              <w:autoSpaceDE/>
              <w:autoSpaceDN/>
              <w:adjustRightInd/>
              <w:rPr>
                <w:rFonts w:ascii="Times New Roman" w:hAnsi="Times New Roman"/>
                <w:color w:val="000000"/>
              </w:rPr>
            </w:pPr>
            <w:r w:rsidRPr="008426B0">
              <w:rPr>
                <w:rFonts w:ascii="Times New Roman" w:hAnsi="Times New Roman"/>
                <w:color w:val="000000"/>
              </w:rPr>
              <w:t>Support Reports, Releases, and Publications</w:t>
            </w:r>
          </w:p>
        </w:tc>
        <w:tc>
          <w:tcPr>
            <w:tcW w:w="1780" w:type="dxa"/>
            <w:tcBorders>
              <w:top w:val="nil"/>
              <w:left w:val="nil"/>
              <w:bottom w:val="nil"/>
              <w:right w:val="nil"/>
            </w:tcBorders>
            <w:noWrap/>
            <w:vAlign w:val="center"/>
          </w:tcPr>
          <w:p w:rsidR="006761E8" w:rsidRPr="008426B0" w:rsidP="006761E8" w14:paraId="5916D607" w14:textId="327CD295">
            <w:pPr>
              <w:autoSpaceDE/>
              <w:autoSpaceDN/>
              <w:adjustRightInd/>
              <w:jc w:val="right"/>
              <w:rPr>
                <w:rFonts w:ascii="Times New Roman" w:hAnsi="Times New Roman"/>
                <w:color w:val="000000"/>
              </w:rPr>
            </w:pPr>
            <w:r w:rsidRPr="008426B0">
              <w:rPr>
                <w:rFonts w:ascii="Times New Roman" w:hAnsi="Times New Roman"/>
                <w:color w:val="000000"/>
              </w:rPr>
              <w:t>$71,322.10</w:t>
            </w:r>
          </w:p>
        </w:tc>
        <w:tc>
          <w:tcPr>
            <w:tcW w:w="1266" w:type="dxa"/>
            <w:tcBorders>
              <w:top w:val="nil"/>
              <w:left w:val="nil"/>
              <w:bottom w:val="nil"/>
              <w:right w:val="nil"/>
            </w:tcBorders>
            <w:noWrap/>
            <w:vAlign w:val="center"/>
          </w:tcPr>
          <w:p w:rsidR="006761E8" w:rsidRPr="008426B0" w:rsidP="006761E8" w14:paraId="5C1DA1E8" w14:textId="79A77AF6">
            <w:pPr>
              <w:autoSpaceDE/>
              <w:autoSpaceDN/>
              <w:adjustRightInd/>
              <w:jc w:val="right"/>
              <w:rPr>
                <w:rFonts w:ascii="Times New Roman" w:hAnsi="Times New Roman"/>
                <w:color w:val="000000"/>
              </w:rPr>
            </w:pPr>
            <w:r w:rsidRPr="008426B0">
              <w:rPr>
                <w:rFonts w:ascii="Times New Roman" w:hAnsi="Times New Roman"/>
                <w:color w:val="000000"/>
              </w:rPr>
              <w:t xml:space="preserve">              0.61 </w:t>
            </w:r>
          </w:p>
        </w:tc>
      </w:tr>
      <w:tr w14:paraId="30F27BF8"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6381516D" w14:textId="29253198">
            <w:pPr>
              <w:autoSpaceDE/>
              <w:autoSpaceDN/>
              <w:adjustRightInd/>
              <w:rPr>
                <w:rFonts w:ascii="Times New Roman" w:hAnsi="Times New Roman"/>
                <w:color w:val="000000"/>
              </w:rPr>
            </w:pPr>
            <w:r w:rsidRPr="008426B0">
              <w:rPr>
                <w:rFonts w:ascii="Times New Roman" w:hAnsi="Times New Roman"/>
                <w:color w:val="000000"/>
              </w:rPr>
              <w:t>Support the FBI’s Crime Data Explorer</w:t>
            </w:r>
          </w:p>
        </w:tc>
        <w:tc>
          <w:tcPr>
            <w:tcW w:w="1780" w:type="dxa"/>
            <w:tcBorders>
              <w:top w:val="nil"/>
              <w:left w:val="nil"/>
              <w:bottom w:val="nil"/>
              <w:right w:val="nil"/>
            </w:tcBorders>
            <w:noWrap/>
            <w:vAlign w:val="center"/>
          </w:tcPr>
          <w:p w:rsidR="006761E8" w:rsidRPr="008426B0" w:rsidP="006761E8" w14:paraId="731DAAD2" w14:textId="12EC625F">
            <w:pPr>
              <w:autoSpaceDE/>
              <w:autoSpaceDN/>
              <w:adjustRightInd/>
              <w:jc w:val="right"/>
              <w:rPr>
                <w:rFonts w:ascii="Times New Roman" w:hAnsi="Times New Roman"/>
                <w:color w:val="000000"/>
              </w:rPr>
            </w:pPr>
            <w:r w:rsidRPr="008426B0">
              <w:rPr>
                <w:rFonts w:ascii="Times New Roman" w:hAnsi="Times New Roman"/>
                <w:color w:val="000000"/>
              </w:rPr>
              <w:t>$186,781.39</w:t>
            </w:r>
          </w:p>
        </w:tc>
        <w:tc>
          <w:tcPr>
            <w:tcW w:w="1266" w:type="dxa"/>
            <w:tcBorders>
              <w:top w:val="nil"/>
              <w:left w:val="nil"/>
              <w:bottom w:val="nil"/>
              <w:right w:val="nil"/>
            </w:tcBorders>
            <w:noWrap/>
            <w:vAlign w:val="center"/>
          </w:tcPr>
          <w:p w:rsidR="006761E8" w:rsidRPr="008426B0" w:rsidP="006761E8" w14:paraId="542F2D87" w14:textId="11869B4D">
            <w:pPr>
              <w:autoSpaceDE/>
              <w:autoSpaceDN/>
              <w:adjustRightInd/>
              <w:jc w:val="right"/>
              <w:rPr>
                <w:rFonts w:ascii="Times New Roman" w:hAnsi="Times New Roman"/>
                <w:color w:val="000000"/>
              </w:rPr>
            </w:pPr>
            <w:r w:rsidRPr="008426B0">
              <w:rPr>
                <w:rFonts w:ascii="Times New Roman" w:hAnsi="Times New Roman"/>
                <w:color w:val="000000"/>
              </w:rPr>
              <w:t xml:space="preserve">              1.50 </w:t>
            </w:r>
          </w:p>
        </w:tc>
      </w:tr>
      <w:tr w14:paraId="5BD41B93"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618AB075" w14:textId="69B94F0A">
            <w:pPr>
              <w:autoSpaceDE/>
              <w:autoSpaceDN/>
              <w:adjustRightInd/>
              <w:rPr>
                <w:rFonts w:ascii="Times New Roman" w:hAnsi="Times New Roman"/>
                <w:color w:val="000000"/>
              </w:rPr>
            </w:pPr>
            <w:r w:rsidRPr="008426B0">
              <w:rPr>
                <w:rFonts w:ascii="Times New Roman" w:hAnsi="Times New Roman"/>
                <w:color w:val="000000"/>
              </w:rPr>
              <w:t>Support the Hate Crime Data Collection and Data release</w:t>
            </w:r>
          </w:p>
        </w:tc>
        <w:tc>
          <w:tcPr>
            <w:tcW w:w="1780" w:type="dxa"/>
            <w:tcBorders>
              <w:top w:val="nil"/>
              <w:left w:val="nil"/>
              <w:bottom w:val="nil"/>
              <w:right w:val="nil"/>
            </w:tcBorders>
            <w:noWrap/>
            <w:vAlign w:val="center"/>
          </w:tcPr>
          <w:p w:rsidR="006761E8" w:rsidRPr="008426B0" w:rsidP="006761E8" w14:paraId="20A070C4" w14:textId="52A33A43">
            <w:pPr>
              <w:autoSpaceDE/>
              <w:autoSpaceDN/>
              <w:adjustRightInd/>
              <w:jc w:val="right"/>
              <w:rPr>
                <w:rFonts w:ascii="Times New Roman" w:hAnsi="Times New Roman"/>
                <w:color w:val="000000"/>
              </w:rPr>
            </w:pPr>
            <w:r w:rsidRPr="008426B0">
              <w:rPr>
                <w:rFonts w:ascii="Times New Roman" w:hAnsi="Times New Roman"/>
                <w:color w:val="000000"/>
              </w:rPr>
              <w:t>$152,748.80</w:t>
            </w:r>
          </w:p>
        </w:tc>
        <w:tc>
          <w:tcPr>
            <w:tcW w:w="1266" w:type="dxa"/>
            <w:tcBorders>
              <w:top w:val="nil"/>
              <w:left w:val="nil"/>
              <w:bottom w:val="nil"/>
              <w:right w:val="nil"/>
            </w:tcBorders>
            <w:noWrap/>
            <w:vAlign w:val="center"/>
          </w:tcPr>
          <w:p w:rsidR="006761E8" w:rsidRPr="008426B0" w:rsidP="006761E8" w14:paraId="4612D722" w14:textId="5AFEF461">
            <w:pPr>
              <w:autoSpaceDE/>
              <w:autoSpaceDN/>
              <w:adjustRightInd/>
              <w:jc w:val="right"/>
              <w:rPr>
                <w:rFonts w:ascii="Times New Roman" w:hAnsi="Times New Roman"/>
                <w:color w:val="000000"/>
              </w:rPr>
            </w:pPr>
            <w:r w:rsidRPr="008426B0">
              <w:rPr>
                <w:rFonts w:ascii="Times New Roman" w:hAnsi="Times New Roman"/>
                <w:color w:val="000000"/>
              </w:rPr>
              <w:t xml:space="preserve">              1.18 </w:t>
            </w:r>
          </w:p>
        </w:tc>
      </w:tr>
      <w:tr w14:paraId="3906317F"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7332C9A4" w14:textId="01F2177E">
            <w:pPr>
              <w:autoSpaceDE/>
              <w:autoSpaceDN/>
              <w:adjustRightInd/>
              <w:rPr>
                <w:rFonts w:ascii="Times New Roman" w:hAnsi="Times New Roman"/>
                <w:color w:val="000000"/>
              </w:rPr>
            </w:pPr>
            <w:r w:rsidRPr="008426B0">
              <w:rPr>
                <w:rFonts w:ascii="Times New Roman" w:hAnsi="Times New Roman"/>
                <w:color w:val="000000" w:themeColor="text1"/>
              </w:rPr>
              <w:t>Support the Law Enforcement Public Contact Data Collection</w:t>
            </w:r>
          </w:p>
        </w:tc>
        <w:tc>
          <w:tcPr>
            <w:tcW w:w="1780" w:type="dxa"/>
            <w:tcBorders>
              <w:top w:val="nil"/>
              <w:left w:val="nil"/>
              <w:bottom w:val="nil"/>
              <w:right w:val="nil"/>
            </w:tcBorders>
            <w:noWrap/>
            <w:vAlign w:val="center"/>
          </w:tcPr>
          <w:p w:rsidR="006761E8" w:rsidRPr="008426B0" w:rsidP="006761E8" w14:paraId="7E6E805A" w14:textId="3F7BDF9E">
            <w:pPr>
              <w:autoSpaceDE/>
              <w:autoSpaceDN/>
              <w:adjustRightInd/>
              <w:jc w:val="right"/>
              <w:rPr>
                <w:rFonts w:ascii="Times New Roman" w:hAnsi="Times New Roman"/>
                <w:color w:val="000000"/>
              </w:rPr>
            </w:pPr>
            <w:r w:rsidRPr="008426B0">
              <w:rPr>
                <w:rFonts w:ascii="Times New Roman" w:hAnsi="Times New Roman"/>
                <w:color w:val="000000" w:themeColor="text1"/>
              </w:rPr>
              <w:t>$40,623.54</w:t>
            </w:r>
          </w:p>
        </w:tc>
        <w:tc>
          <w:tcPr>
            <w:tcW w:w="1266" w:type="dxa"/>
            <w:tcBorders>
              <w:top w:val="nil"/>
              <w:left w:val="nil"/>
              <w:bottom w:val="nil"/>
              <w:right w:val="nil"/>
            </w:tcBorders>
            <w:noWrap/>
            <w:vAlign w:val="center"/>
          </w:tcPr>
          <w:p w:rsidR="006761E8" w:rsidRPr="008426B0" w:rsidP="006761E8" w14:paraId="703EEC90" w14:textId="0E3E75A3">
            <w:pPr>
              <w:autoSpaceDE/>
              <w:autoSpaceDN/>
              <w:adjustRightInd/>
              <w:jc w:val="right"/>
              <w:rPr>
                <w:rFonts w:ascii="Times New Roman" w:hAnsi="Times New Roman"/>
                <w:color w:val="000000"/>
              </w:rPr>
            </w:pPr>
            <w:r w:rsidRPr="008426B0">
              <w:rPr>
                <w:rFonts w:ascii="Times New Roman" w:hAnsi="Times New Roman"/>
                <w:color w:val="000000" w:themeColor="text1"/>
              </w:rPr>
              <w:t xml:space="preserve">              0.30 </w:t>
            </w:r>
          </w:p>
        </w:tc>
      </w:tr>
      <w:tr w14:paraId="36912BE7" w14:textId="77777777" w:rsidTr="009E7092">
        <w:tblPrEx>
          <w:tblW w:w="9526" w:type="dxa"/>
          <w:tblLook w:val="04A0"/>
        </w:tblPrEx>
        <w:trPr>
          <w:trHeight w:val="300"/>
        </w:trPr>
        <w:tc>
          <w:tcPr>
            <w:tcW w:w="6480" w:type="dxa"/>
            <w:tcBorders>
              <w:top w:val="nil"/>
              <w:left w:val="nil"/>
              <w:bottom w:val="nil"/>
              <w:right w:val="nil"/>
            </w:tcBorders>
            <w:noWrap/>
            <w:vAlign w:val="center"/>
          </w:tcPr>
          <w:p w:rsidR="006761E8" w:rsidRPr="008426B0" w:rsidP="006761E8" w14:paraId="3DA59F3E" w14:textId="0D33B267">
            <w:pPr>
              <w:autoSpaceDE/>
              <w:autoSpaceDN/>
              <w:adjustRightInd/>
              <w:rPr>
                <w:rFonts w:ascii="Times New Roman" w:hAnsi="Times New Roman"/>
                <w:color w:val="000000"/>
              </w:rPr>
            </w:pPr>
            <w:r w:rsidRPr="008426B0">
              <w:rPr>
                <w:rFonts w:ascii="Times New Roman" w:hAnsi="Times New Roman"/>
                <w:color w:val="000000" w:themeColor="text1"/>
              </w:rPr>
              <w:t>Support the Lawful Access Data Collection</w:t>
            </w:r>
          </w:p>
        </w:tc>
        <w:tc>
          <w:tcPr>
            <w:tcW w:w="1780" w:type="dxa"/>
            <w:tcBorders>
              <w:top w:val="nil"/>
              <w:left w:val="nil"/>
              <w:bottom w:val="nil"/>
              <w:right w:val="nil"/>
            </w:tcBorders>
            <w:noWrap/>
            <w:vAlign w:val="center"/>
          </w:tcPr>
          <w:p w:rsidR="006761E8" w:rsidRPr="008426B0" w:rsidP="006761E8" w14:paraId="15DAD9A7" w14:textId="134FD823">
            <w:pPr>
              <w:autoSpaceDE/>
              <w:autoSpaceDN/>
              <w:adjustRightInd/>
              <w:jc w:val="right"/>
              <w:rPr>
                <w:rFonts w:ascii="Times New Roman" w:hAnsi="Times New Roman"/>
                <w:color w:val="000000"/>
              </w:rPr>
            </w:pPr>
            <w:r w:rsidRPr="008426B0">
              <w:rPr>
                <w:rFonts w:ascii="Times New Roman" w:hAnsi="Times New Roman"/>
                <w:color w:val="000000" w:themeColor="text1"/>
              </w:rPr>
              <w:t>$49,628.26</w:t>
            </w:r>
          </w:p>
        </w:tc>
        <w:tc>
          <w:tcPr>
            <w:tcW w:w="1266" w:type="dxa"/>
            <w:tcBorders>
              <w:top w:val="nil"/>
              <w:left w:val="nil"/>
              <w:bottom w:val="nil"/>
              <w:right w:val="nil"/>
            </w:tcBorders>
            <w:noWrap/>
            <w:vAlign w:val="center"/>
          </w:tcPr>
          <w:p w:rsidR="006761E8" w:rsidRPr="008426B0" w:rsidP="006761E8" w14:paraId="07DCA421" w14:textId="79236B76">
            <w:pPr>
              <w:autoSpaceDE/>
              <w:autoSpaceDN/>
              <w:adjustRightInd/>
              <w:jc w:val="right"/>
              <w:rPr>
                <w:rFonts w:ascii="Times New Roman" w:hAnsi="Times New Roman"/>
                <w:color w:val="000000"/>
              </w:rPr>
            </w:pPr>
            <w:r w:rsidRPr="008426B0">
              <w:rPr>
                <w:rFonts w:ascii="Times New Roman" w:hAnsi="Times New Roman"/>
                <w:color w:val="000000" w:themeColor="text1"/>
              </w:rPr>
              <w:t xml:space="preserve">              0.33 </w:t>
            </w:r>
          </w:p>
        </w:tc>
      </w:tr>
      <w:tr w14:paraId="7DAAD40F" w14:textId="77777777" w:rsidTr="001D5C80">
        <w:tblPrEx>
          <w:tblW w:w="9526" w:type="dxa"/>
          <w:tblLook w:val="04A0"/>
        </w:tblPrEx>
        <w:trPr>
          <w:trHeight w:val="300"/>
        </w:trPr>
        <w:tc>
          <w:tcPr>
            <w:tcW w:w="6480" w:type="dxa"/>
            <w:tcBorders>
              <w:top w:val="nil"/>
              <w:left w:val="nil"/>
              <w:bottom w:val="single" w:sz="4" w:space="0" w:color="auto"/>
              <w:right w:val="nil"/>
            </w:tcBorders>
            <w:noWrap/>
            <w:vAlign w:val="center"/>
          </w:tcPr>
          <w:p w:rsidR="006761E8" w:rsidRPr="008426B0" w:rsidP="006761E8" w14:paraId="7A4E134F" w14:textId="5EDE8946">
            <w:pPr>
              <w:autoSpaceDE/>
              <w:autoSpaceDN/>
              <w:adjustRightInd/>
              <w:rPr>
                <w:rFonts w:ascii="Times New Roman" w:hAnsi="Times New Roman"/>
                <w:color w:val="000000"/>
              </w:rPr>
            </w:pPr>
            <w:r w:rsidRPr="008426B0">
              <w:rPr>
                <w:rFonts w:ascii="Times New Roman" w:hAnsi="Times New Roman"/>
                <w:color w:val="000000" w:themeColor="text1"/>
              </w:rPr>
              <w:t>Support the Quarterly Uniform Crime Report</w:t>
            </w:r>
          </w:p>
        </w:tc>
        <w:tc>
          <w:tcPr>
            <w:tcW w:w="1780" w:type="dxa"/>
            <w:tcBorders>
              <w:top w:val="nil"/>
              <w:left w:val="nil"/>
              <w:bottom w:val="single" w:sz="4" w:space="0" w:color="auto"/>
              <w:right w:val="nil"/>
            </w:tcBorders>
            <w:noWrap/>
            <w:vAlign w:val="center"/>
          </w:tcPr>
          <w:p w:rsidR="006761E8" w:rsidRPr="008426B0" w:rsidP="006761E8" w14:paraId="2047A81A" w14:textId="1A452291">
            <w:pPr>
              <w:autoSpaceDE/>
              <w:autoSpaceDN/>
              <w:adjustRightInd/>
              <w:jc w:val="right"/>
              <w:rPr>
                <w:rFonts w:ascii="Times New Roman" w:hAnsi="Times New Roman"/>
                <w:color w:val="000000"/>
              </w:rPr>
            </w:pPr>
            <w:r w:rsidRPr="008426B0">
              <w:rPr>
                <w:rFonts w:ascii="Times New Roman" w:hAnsi="Times New Roman"/>
                <w:color w:val="000000" w:themeColor="text1"/>
              </w:rPr>
              <w:t>$78,946.16</w:t>
            </w:r>
          </w:p>
        </w:tc>
        <w:tc>
          <w:tcPr>
            <w:tcW w:w="1266" w:type="dxa"/>
            <w:tcBorders>
              <w:top w:val="nil"/>
              <w:left w:val="nil"/>
              <w:bottom w:val="single" w:sz="4" w:space="0" w:color="auto"/>
              <w:right w:val="nil"/>
            </w:tcBorders>
            <w:noWrap/>
            <w:vAlign w:val="center"/>
          </w:tcPr>
          <w:p w:rsidR="006761E8" w:rsidRPr="008426B0" w:rsidP="006761E8" w14:paraId="78089E38" w14:textId="694BC9DF">
            <w:pPr>
              <w:autoSpaceDE/>
              <w:autoSpaceDN/>
              <w:adjustRightInd/>
              <w:jc w:val="right"/>
              <w:rPr>
                <w:rFonts w:ascii="Times New Roman" w:hAnsi="Times New Roman"/>
                <w:color w:val="000000"/>
              </w:rPr>
            </w:pPr>
            <w:r w:rsidRPr="008426B0">
              <w:rPr>
                <w:rFonts w:ascii="Times New Roman" w:hAnsi="Times New Roman"/>
                <w:color w:val="000000" w:themeColor="text1"/>
              </w:rPr>
              <w:t xml:space="preserve">              0.56 </w:t>
            </w:r>
          </w:p>
        </w:tc>
      </w:tr>
      <w:tr w14:paraId="666BE127" w14:textId="77777777" w:rsidTr="001D5C80">
        <w:tblPrEx>
          <w:tblW w:w="9526" w:type="dxa"/>
          <w:tblLook w:val="04A0"/>
        </w:tblPrEx>
        <w:trPr>
          <w:trHeight w:val="300"/>
        </w:trPr>
        <w:tc>
          <w:tcPr>
            <w:tcW w:w="6480" w:type="dxa"/>
            <w:tcBorders>
              <w:top w:val="single" w:sz="4" w:space="0" w:color="auto"/>
              <w:left w:val="nil"/>
              <w:bottom w:val="single" w:sz="4" w:space="0" w:color="auto"/>
              <w:right w:val="nil"/>
            </w:tcBorders>
            <w:noWrap/>
            <w:vAlign w:val="bottom"/>
          </w:tcPr>
          <w:p w:rsidR="006761E8" w:rsidRPr="008426B0" w:rsidP="006761E8" w14:paraId="1D963E42" w14:textId="53B1AA75">
            <w:pPr>
              <w:autoSpaceDE/>
              <w:autoSpaceDN/>
              <w:adjustRightInd/>
              <w:rPr>
                <w:rFonts w:ascii="Times New Roman" w:hAnsi="Times New Roman"/>
                <w:color w:val="000000"/>
              </w:rPr>
            </w:pPr>
            <w:r w:rsidRPr="008426B0">
              <w:rPr>
                <w:rFonts w:ascii="Times New Roman" w:hAnsi="Times New Roman"/>
                <w:b/>
                <w:bCs/>
                <w:color w:val="000000" w:themeColor="text1"/>
              </w:rPr>
              <w:t> Total</w:t>
            </w:r>
          </w:p>
        </w:tc>
        <w:tc>
          <w:tcPr>
            <w:tcW w:w="1780" w:type="dxa"/>
            <w:tcBorders>
              <w:top w:val="single" w:sz="4" w:space="0" w:color="auto"/>
              <w:left w:val="nil"/>
              <w:bottom w:val="single" w:sz="4" w:space="0" w:color="auto"/>
              <w:right w:val="nil"/>
            </w:tcBorders>
            <w:noWrap/>
            <w:vAlign w:val="center"/>
          </w:tcPr>
          <w:p w:rsidR="006761E8" w:rsidRPr="008426B0" w:rsidP="006761E8" w14:paraId="27DF38BA" w14:textId="4EBA7221">
            <w:pPr>
              <w:autoSpaceDE/>
              <w:autoSpaceDN/>
              <w:adjustRightInd/>
              <w:jc w:val="right"/>
              <w:rPr>
                <w:rFonts w:ascii="Times New Roman" w:hAnsi="Times New Roman"/>
                <w:color w:val="000000"/>
              </w:rPr>
            </w:pPr>
            <w:r w:rsidRPr="008426B0">
              <w:rPr>
                <w:rFonts w:ascii="Times New Roman" w:hAnsi="Times New Roman"/>
                <w:b/>
                <w:bCs/>
                <w:color w:val="000000" w:themeColor="text1"/>
              </w:rPr>
              <w:t>$6,674,552.80</w:t>
            </w:r>
          </w:p>
        </w:tc>
        <w:tc>
          <w:tcPr>
            <w:tcW w:w="1266" w:type="dxa"/>
            <w:tcBorders>
              <w:top w:val="single" w:sz="4" w:space="0" w:color="auto"/>
              <w:left w:val="nil"/>
              <w:bottom w:val="single" w:sz="4" w:space="0" w:color="auto"/>
              <w:right w:val="nil"/>
            </w:tcBorders>
            <w:noWrap/>
            <w:vAlign w:val="center"/>
          </w:tcPr>
          <w:p w:rsidR="006761E8" w:rsidRPr="008426B0" w:rsidP="006761E8" w14:paraId="39900DBD" w14:textId="0E808533">
            <w:pPr>
              <w:autoSpaceDE/>
              <w:autoSpaceDN/>
              <w:adjustRightInd/>
              <w:jc w:val="right"/>
              <w:rPr>
                <w:rFonts w:ascii="Times New Roman" w:hAnsi="Times New Roman"/>
                <w:color w:val="000000"/>
              </w:rPr>
            </w:pPr>
            <w:r w:rsidRPr="008426B0">
              <w:rPr>
                <w:rFonts w:ascii="Times New Roman" w:hAnsi="Times New Roman"/>
                <w:b/>
                <w:bCs/>
                <w:color w:val="000000" w:themeColor="text1"/>
              </w:rPr>
              <w:t xml:space="preserve">          48.94 </w:t>
            </w:r>
          </w:p>
        </w:tc>
      </w:tr>
    </w:tbl>
    <w:p w:rsidR="00566C14" w:rsidRPr="008426B0" w:rsidP="00CE0AF1" w14:paraId="175003D4" w14:textId="77777777">
      <w:pPr>
        <w:rPr>
          <w:rFonts w:ascii="Times New Roman" w:hAnsi="Times New Roman"/>
          <w:sz w:val="24"/>
          <w:szCs w:val="24"/>
        </w:rPr>
      </w:pPr>
    </w:p>
    <w:p w:rsidR="00C177D2" w:rsidRPr="008426B0" w:rsidP="00CE0AF1" w14:paraId="381FD39D" w14:textId="54350A5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rPr>
      </w:pPr>
      <w:r w:rsidRPr="008426B0">
        <w:rPr>
          <w:rFonts w:ascii="Times New Roman" w:hAnsi="Times New Roman"/>
          <w:sz w:val="24"/>
          <w:szCs w:val="24"/>
        </w:rPr>
        <w:t>15</w:t>
      </w:r>
      <w:r w:rsidRPr="008426B0">
        <w:rPr>
          <w:rFonts w:ascii="Times New Roman" w:hAnsi="Times New Roman"/>
          <w:sz w:val="24"/>
          <w:szCs w:val="24"/>
        </w:rPr>
        <w:t xml:space="preserve">.  </w:t>
      </w:r>
      <w:r w:rsidRPr="008426B0" w:rsidR="00832EBD">
        <w:rPr>
          <w:rFonts w:ascii="Times New Roman" w:hAnsi="Times New Roman"/>
          <w:sz w:val="24"/>
          <w:szCs w:val="24"/>
        </w:rPr>
        <w:tab/>
      </w:r>
      <w:r w:rsidRPr="008426B0">
        <w:rPr>
          <w:rFonts w:ascii="Times New Roman" w:hAnsi="Times New Roman"/>
          <w:sz w:val="24"/>
          <w:szCs w:val="24"/>
          <w:u w:val="single"/>
        </w:rPr>
        <w:t>Reason for Change in Burden</w:t>
      </w:r>
      <w:r w:rsidRPr="008426B0">
        <w:rPr>
          <w:rFonts w:ascii="Times New Roman" w:hAnsi="Times New Roman"/>
          <w:sz w:val="24"/>
          <w:szCs w:val="24"/>
        </w:rPr>
        <w:t xml:space="preserve"> </w:t>
      </w:r>
    </w:p>
    <w:p w:rsidR="003311DD" w:rsidRPr="008426B0" w:rsidP="00AC4677" w14:paraId="44F34730" w14:textId="4CD3E8C8">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color w:val="000000" w:themeColor="text1"/>
          <w:sz w:val="24"/>
          <w:szCs w:val="24"/>
        </w:rPr>
      </w:pPr>
      <w:r w:rsidRPr="008426B0">
        <w:rPr>
          <w:rFonts w:ascii="Times New Roman" w:hAnsi="Times New Roman"/>
          <w:color w:val="000000" w:themeColor="text1"/>
          <w:sz w:val="24"/>
          <w:szCs w:val="24"/>
        </w:rPr>
        <w:t xml:space="preserve">The FBI’s UCR Program continues the transition to collect data solely under NIBRS.  Until the transition is complete, updates and new submissions from those agencies reporting via SRS are being accepted.  </w:t>
      </w:r>
      <w:bookmarkStart w:id="3" w:name="OLE_LINK2"/>
      <w:r w:rsidRPr="008426B0">
        <w:rPr>
          <w:rFonts w:ascii="Times New Roman" w:hAnsi="Times New Roman"/>
          <w:color w:val="000000" w:themeColor="text1"/>
          <w:sz w:val="24"/>
          <w:szCs w:val="24"/>
        </w:rPr>
        <w:t xml:space="preserve">As additional SRS agencies complete the </w:t>
      </w:r>
      <w:r w:rsidRPr="008426B0">
        <w:rPr>
          <w:rFonts w:ascii="Times New Roman" w:hAnsi="Times New Roman"/>
          <w:color w:val="000000" w:themeColor="text1"/>
          <w:sz w:val="24"/>
          <w:szCs w:val="24"/>
        </w:rPr>
        <w:t>transition to NIBRS, it is expected that the number of submissions and, subsequently, the annual burden hours associated with this data collection</w:t>
      </w:r>
      <w:r w:rsidRPr="008426B0" w:rsidR="00DF3B00">
        <w:rPr>
          <w:rFonts w:ascii="Times New Roman" w:hAnsi="Times New Roman"/>
          <w:color w:val="000000" w:themeColor="text1"/>
          <w:sz w:val="24"/>
          <w:szCs w:val="24"/>
        </w:rPr>
        <w:t>,</w:t>
      </w:r>
      <w:r w:rsidRPr="008426B0">
        <w:rPr>
          <w:rFonts w:ascii="Times New Roman" w:hAnsi="Times New Roman"/>
          <w:color w:val="000000" w:themeColor="text1"/>
          <w:sz w:val="24"/>
          <w:szCs w:val="24"/>
        </w:rPr>
        <w:t xml:space="preserve"> will steadily decline.  </w:t>
      </w:r>
      <w:r w:rsidRPr="008426B0">
        <w:rPr>
          <w:rFonts w:ascii="Times New Roman" w:hAnsi="Times New Roman"/>
          <w:sz w:val="24"/>
          <w:szCs w:val="24"/>
        </w:rPr>
        <w:tab/>
      </w:r>
    </w:p>
    <w:p w:rsidR="002E7FEC" w:rsidRPr="008426B0" w:rsidP="00CE0AF1" w14:paraId="3CE02732" w14:textId="77777777">
      <w:pPr>
        <w:autoSpaceDE/>
        <w:autoSpaceDN/>
        <w:adjustRightInd/>
        <w:rPr>
          <w:rFonts w:ascii="Times New Roman" w:hAnsi="Times New Roman"/>
          <w:sz w:val="24"/>
          <w:szCs w:val="24"/>
        </w:rPr>
      </w:pPr>
    </w:p>
    <w:p w:rsidR="00C177D2" w:rsidRPr="008426B0" w:rsidP="00CE0AF1" w14:paraId="5BBA9790" w14:textId="0635BB96">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8426B0">
        <w:rPr>
          <w:rFonts w:ascii="Times New Roman" w:hAnsi="Times New Roman"/>
          <w:sz w:val="24"/>
          <w:szCs w:val="24"/>
        </w:rPr>
        <w:t xml:space="preserve">16.  </w:t>
      </w:r>
      <w:r w:rsidRPr="008426B0" w:rsidR="00BD19AF">
        <w:rPr>
          <w:rFonts w:ascii="Times New Roman" w:hAnsi="Times New Roman"/>
          <w:sz w:val="24"/>
          <w:szCs w:val="24"/>
        </w:rPr>
        <w:tab/>
      </w:r>
      <w:r w:rsidRPr="008426B0">
        <w:rPr>
          <w:rFonts w:ascii="Times New Roman" w:hAnsi="Times New Roman"/>
          <w:sz w:val="24"/>
          <w:szCs w:val="24"/>
          <w:u w:val="single"/>
        </w:rPr>
        <w:t>Anticipated Publication Plan and Schedule</w:t>
      </w:r>
    </w:p>
    <w:p w:rsidR="00BC0B08" w:rsidRPr="008426B0" w:rsidP="00CE0AF1" w14:paraId="20555D76"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bookmarkEnd w:id="3"/>
    <w:p w:rsidR="00E13C39" w:rsidP="00E13C39" w14:paraId="3B2D012B" w14:textId="6BEE28F6">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Since June 2020, data submitted to the FBI’s UCR Program have been available on the Crime Data Explorer, are now released monthly, and include caveats stating that the information is subject to change. </w:t>
      </w:r>
    </w:p>
    <w:p w:rsidR="00152687" w:rsidRPr="008426B0" w:rsidP="00E13C39" w14:paraId="62C7D263"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8426B0" w:rsidP="00CE0AF1" w14:paraId="31CC25C2" w14:textId="5AD4CFCF">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8426B0">
        <w:rPr>
          <w:rFonts w:ascii="Times New Roman" w:hAnsi="Times New Roman"/>
          <w:sz w:val="24"/>
          <w:szCs w:val="24"/>
        </w:rPr>
        <w:t xml:space="preserve">17.  </w:t>
      </w:r>
      <w:r w:rsidRPr="008426B0">
        <w:rPr>
          <w:rFonts w:ascii="Times New Roman" w:hAnsi="Times New Roman"/>
          <w:sz w:val="24"/>
          <w:szCs w:val="24"/>
          <w:u w:val="single"/>
        </w:rPr>
        <w:t>Display of Expiration Date</w:t>
      </w:r>
    </w:p>
    <w:p w:rsidR="00FF7781" w:rsidRPr="008426B0" w:rsidP="00CE0AF1" w14:paraId="7FD146E9"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8426B0" w:rsidP="00CE0AF1" w14:paraId="1A9A44C5" w14:textId="2B9D11B1">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 xml:space="preserve">All information collected under this clearance will display </w:t>
      </w:r>
      <w:r w:rsidRPr="008426B0" w:rsidR="009C25C3">
        <w:rPr>
          <w:rFonts w:ascii="Times New Roman" w:hAnsi="Times New Roman"/>
          <w:sz w:val="24"/>
          <w:szCs w:val="24"/>
        </w:rPr>
        <w:t>OMB</w:t>
      </w:r>
      <w:r w:rsidRPr="008426B0" w:rsidR="00597C89">
        <w:rPr>
          <w:rFonts w:ascii="Times New Roman" w:hAnsi="Times New Roman"/>
          <w:sz w:val="24"/>
          <w:szCs w:val="24"/>
        </w:rPr>
        <w:t>’s</w:t>
      </w:r>
      <w:r w:rsidRPr="008426B0" w:rsidR="00E220E4">
        <w:rPr>
          <w:rFonts w:ascii="Times New Roman" w:hAnsi="Times New Roman"/>
          <w:sz w:val="24"/>
          <w:szCs w:val="24"/>
        </w:rPr>
        <w:t xml:space="preserve"> Control</w:t>
      </w:r>
      <w:r w:rsidRPr="008426B0">
        <w:rPr>
          <w:rFonts w:ascii="Times New Roman" w:hAnsi="Times New Roman"/>
          <w:sz w:val="24"/>
          <w:szCs w:val="24"/>
        </w:rPr>
        <w:t xml:space="preserve"> Number and Expiration Date</w:t>
      </w:r>
      <w:r w:rsidRPr="008426B0" w:rsidR="0025137D">
        <w:rPr>
          <w:rFonts w:ascii="Times New Roman" w:hAnsi="Times New Roman"/>
          <w:sz w:val="24"/>
          <w:szCs w:val="24"/>
        </w:rPr>
        <w:t xml:space="preserve"> on the Microsoft Excel Summary Workbook</w:t>
      </w:r>
      <w:r w:rsidRPr="008426B0" w:rsidR="009C25C3">
        <w:rPr>
          <w:rFonts w:ascii="Times New Roman" w:hAnsi="Times New Roman"/>
          <w:sz w:val="24"/>
          <w:szCs w:val="24"/>
        </w:rPr>
        <w:t xml:space="preserve"> provide</w:t>
      </w:r>
      <w:r w:rsidRPr="008426B0" w:rsidR="008D5882">
        <w:rPr>
          <w:rFonts w:ascii="Times New Roman" w:hAnsi="Times New Roman"/>
          <w:sz w:val="24"/>
          <w:szCs w:val="24"/>
        </w:rPr>
        <w:t>d</w:t>
      </w:r>
      <w:r w:rsidRPr="008426B0" w:rsidR="009C25C3">
        <w:rPr>
          <w:rFonts w:ascii="Times New Roman" w:hAnsi="Times New Roman"/>
          <w:sz w:val="24"/>
          <w:szCs w:val="24"/>
        </w:rPr>
        <w:t xml:space="preserve"> by</w:t>
      </w:r>
      <w:r w:rsidRPr="008426B0" w:rsidR="00423E70">
        <w:rPr>
          <w:rFonts w:ascii="Times New Roman" w:hAnsi="Times New Roman"/>
          <w:sz w:val="24"/>
          <w:szCs w:val="24"/>
        </w:rPr>
        <w:t xml:space="preserve"> </w:t>
      </w:r>
      <w:r w:rsidRPr="008426B0" w:rsidR="009C25C3">
        <w:rPr>
          <w:rFonts w:ascii="Times New Roman" w:hAnsi="Times New Roman"/>
          <w:sz w:val="24"/>
          <w:szCs w:val="24"/>
        </w:rPr>
        <w:t xml:space="preserve">the </w:t>
      </w:r>
      <w:r w:rsidRPr="008426B0" w:rsidR="00423E70">
        <w:rPr>
          <w:rFonts w:ascii="Times New Roman" w:hAnsi="Times New Roman"/>
          <w:sz w:val="24"/>
          <w:szCs w:val="24"/>
        </w:rPr>
        <w:t>FBI</w:t>
      </w:r>
      <w:r w:rsidRPr="008426B0">
        <w:rPr>
          <w:rFonts w:ascii="Times New Roman" w:hAnsi="Times New Roman"/>
          <w:sz w:val="24"/>
          <w:szCs w:val="24"/>
        </w:rPr>
        <w:t>.</w:t>
      </w:r>
    </w:p>
    <w:p w:rsidR="00E60EEE" w:rsidRPr="008426B0" w:rsidP="00CE0AF1" w14:paraId="2B4CF13D"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177D2" w:rsidRPr="008426B0" w:rsidP="00CE0AF1" w14:paraId="41CF896D"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rFonts w:ascii="Times New Roman" w:hAnsi="Times New Roman"/>
          <w:sz w:val="24"/>
          <w:szCs w:val="24"/>
          <w:u w:val="single"/>
        </w:rPr>
      </w:pPr>
      <w:r w:rsidRPr="008426B0">
        <w:rPr>
          <w:rFonts w:ascii="Times New Roman" w:hAnsi="Times New Roman"/>
          <w:sz w:val="24"/>
          <w:szCs w:val="24"/>
        </w:rPr>
        <w:t xml:space="preserve">18.  </w:t>
      </w:r>
      <w:r w:rsidRPr="008426B0" w:rsidR="00597C89">
        <w:rPr>
          <w:rFonts w:ascii="Times New Roman" w:hAnsi="Times New Roman"/>
          <w:sz w:val="24"/>
          <w:szCs w:val="24"/>
        </w:rPr>
        <w:tab/>
      </w:r>
      <w:r w:rsidRPr="008426B0">
        <w:rPr>
          <w:rFonts w:ascii="Times New Roman" w:hAnsi="Times New Roman"/>
          <w:sz w:val="24"/>
          <w:szCs w:val="24"/>
          <w:u w:val="single"/>
        </w:rPr>
        <w:t>Exception to the Certification Statement</w:t>
      </w:r>
    </w:p>
    <w:p w:rsidR="00C177D2" w:rsidRPr="008426B0" w:rsidP="00CE0AF1" w14:paraId="51D7F363"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u w:val="single"/>
        </w:rPr>
      </w:pPr>
    </w:p>
    <w:p w:rsidR="00C177D2" w:rsidRPr="008426B0" w:rsidP="00CE0AF1" w14:paraId="64A1002B" w14:textId="77777777">
      <w:pPr>
        <w:tabs>
          <w:tab w:val="left" w:pos="-1159"/>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8426B0">
        <w:rPr>
          <w:rFonts w:ascii="Times New Roman" w:hAnsi="Times New Roman"/>
          <w:sz w:val="24"/>
          <w:szCs w:val="24"/>
        </w:rPr>
        <w:t>The FBI</w:t>
      </w:r>
      <w:r w:rsidRPr="008426B0" w:rsidR="00150082">
        <w:rPr>
          <w:rFonts w:ascii="Times New Roman" w:hAnsi="Times New Roman"/>
          <w:sz w:val="24"/>
          <w:szCs w:val="24"/>
        </w:rPr>
        <w:t xml:space="preserve">’s </w:t>
      </w:r>
      <w:r w:rsidRPr="008426B0">
        <w:rPr>
          <w:rFonts w:ascii="Times New Roman" w:hAnsi="Times New Roman"/>
          <w:sz w:val="24"/>
          <w:szCs w:val="24"/>
        </w:rPr>
        <w:t>CJIS Division does not request an exception to the certification of this information collection.</w:t>
      </w:r>
    </w:p>
    <w:p w:rsidR="00B94CCE" w:rsidRPr="008426B0" w:rsidP="00CE0AF1" w14:paraId="0F905E58" w14:textId="77777777">
      <w:pPr>
        <w:tabs>
          <w:tab w:val="left" w:pos="-1159"/>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szCs w:val="24"/>
        </w:rPr>
      </w:pPr>
    </w:p>
    <w:sectPr w:rsidSect="002F461A">
      <w:footerReference w:type="even" r:id="rId8"/>
      <w:footerReference w:type="default" r:id="rId9"/>
      <w:footerReference w:type="first" r:id="rId10"/>
      <w:type w:val="continuous"/>
      <w:pgSz w:w="12240" w:h="15840"/>
      <w:pgMar w:top="1440" w:right="1440" w:bottom="135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34DB" w:rsidP="00814202" w14:paraId="750EDDEE"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34DB" w14:paraId="5664E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9134621"/>
      <w:docPartObj>
        <w:docPartGallery w:val="Page Numbers (Bottom of Page)"/>
        <w:docPartUnique/>
      </w:docPartObj>
    </w:sdtPr>
    <w:sdtEndPr>
      <w:rPr>
        <w:rFonts w:ascii="Times New Roman" w:hAnsi="Times New Roman"/>
        <w:noProof/>
        <w:sz w:val="24"/>
        <w:szCs w:val="24"/>
      </w:rPr>
    </w:sdtEndPr>
    <w:sdtContent>
      <w:p w:rsidR="00834C5A" w:rsidRPr="009A57B4" w14:paraId="22077D2B" w14:textId="1057813B">
        <w:pPr>
          <w:pStyle w:val="Footer"/>
          <w:jc w:val="center"/>
          <w:rPr>
            <w:rFonts w:ascii="Times New Roman" w:hAnsi="Times New Roman"/>
            <w:sz w:val="24"/>
            <w:szCs w:val="24"/>
          </w:rPr>
        </w:pPr>
        <w:r w:rsidRPr="009A57B4">
          <w:rPr>
            <w:rFonts w:ascii="Times New Roman" w:hAnsi="Times New Roman"/>
            <w:sz w:val="24"/>
            <w:szCs w:val="24"/>
          </w:rPr>
          <w:fldChar w:fldCharType="begin"/>
        </w:r>
        <w:r w:rsidRPr="009A57B4">
          <w:rPr>
            <w:rFonts w:ascii="Times New Roman" w:hAnsi="Times New Roman"/>
            <w:sz w:val="24"/>
            <w:szCs w:val="24"/>
          </w:rPr>
          <w:instrText xml:space="preserve"> PAGE   \* MERGEFORMAT </w:instrText>
        </w:r>
        <w:r w:rsidRPr="009A57B4">
          <w:rPr>
            <w:rFonts w:ascii="Times New Roman" w:hAnsi="Times New Roman"/>
            <w:sz w:val="24"/>
            <w:szCs w:val="24"/>
          </w:rPr>
          <w:fldChar w:fldCharType="separate"/>
        </w:r>
        <w:r w:rsidRPr="009A57B4">
          <w:rPr>
            <w:rFonts w:ascii="Times New Roman" w:hAnsi="Times New Roman"/>
            <w:noProof/>
            <w:sz w:val="24"/>
            <w:szCs w:val="24"/>
          </w:rPr>
          <w:t>2</w:t>
        </w:r>
        <w:r w:rsidRPr="009A57B4">
          <w:rPr>
            <w:rFonts w:ascii="Times New Roman" w:hAnsi="Times New Roman"/>
            <w:noProof/>
            <w:sz w:val="24"/>
            <w:szCs w:val="24"/>
          </w:rPr>
          <w:fldChar w:fldCharType="end"/>
        </w:r>
      </w:p>
    </w:sdtContent>
  </w:sdt>
  <w:p w:rsidR="00834C5A" w14:paraId="3D2575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9217935"/>
      <w:docPartObj>
        <w:docPartGallery w:val="Page Numbers (Bottom of Page)"/>
        <w:docPartUnique/>
      </w:docPartObj>
    </w:sdtPr>
    <w:sdtEndPr>
      <w:rPr>
        <w:rFonts w:ascii="Times New Roman" w:hAnsi="Times New Roman"/>
        <w:noProof/>
        <w:sz w:val="24"/>
        <w:szCs w:val="24"/>
      </w:rPr>
    </w:sdtEndPr>
    <w:sdtContent>
      <w:p w:rsidR="004D25D8" w:rsidRPr="004D25D8" w14:paraId="3377758B" w14:textId="62535BAA">
        <w:pPr>
          <w:pStyle w:val="Footer"/>
          <w:jc w:val="center"/>
          <w:rPr>
            <w:rFonts w:ascii="Times New Roman" w:hAnsi="Times New Roman"/>
            <w:sz w:val="24"/>
            <w:szCs w:val="24"/>
          </w:rPr>
        </w:pPr>
        <w:r w:rsidRPr="004D25D8">
          <w:rPr>
            <w:rFonts w:ascii="Times New Roman" w:hAnsi="Times New Roman"/>
            <w:sz w:val="24"/>
            <w:szCs w:val="24"/>
          </w:rPr>
          <w:fldChar w:fldCharType="begin"/>
        </w:r>
        <w:r w:rsidRPr="004D25D8">
          <w:rPr>
            <w:rFonts w:ascii="Times New Roman" w:hAnsi="Times New Roman"/>
            <w:sz w:val="24"/>
            <w:szCs w:val="24"/>
          </w:rPr>
          <w:instrText xml:space="preserve"> PAGE   \* MERGEFORMAT </w:instrText>
        </w:r>
        <w:r w:rsidRPr="004D25D8">
          <w:rPr>
            <w:rFonts w:ascii="Times New Roman" w:hAnsi="Times New Roman"/>
            <w:sz w:val="24"/>
            <w:szCs w:val="24"/>
          </w:rPr>
          <w:fldChar w:fldCharType="separate"/>
        </w:r>
        <w:r w:rsidRPr="004D25D8">
          <w:rPr>
            <w:rFonts w:ascii="Times New Roman" w:hAnsi="Times New Roman"/>
            <w:noProof/>
            <w:sz w:val="24"/>
            <w:szCs w:val="24"/>
          </w:rPr>
          <w:t>2</w:t>
        </w:r>
        <w:r w:rsidRPr="004D25D8">
          <w:rPr>
            <w:rFonts w:ascii="Times New Roman" w:hAnsi="Times New Roman"/>
            <w:noProof/>
            <w:sz w:val="24"/>
            <w:szCs w:val="24"/>
          </w:rPr>
          <w:fldChar w:fldCharType="end"/>
        </w:r>
      </w:p>
    </w:sdtContent>
  </w:sdt>
  <w:p w:rsidR="004D25D8" w14:paraId="382296F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E113C"/>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1">
    <w:nsid w:val="0F6A0ACA"/>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2">
    <w:nsid w:val="11052BF4"/>
    <w:multiLevelType w:val="hybridMultilevel"/>
    <w:tmpl w:val="27F42128"/>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C864F58"/>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4">
    <w:nsid w:val="33573ED3"/>
    <w:multiLevelType w:val="multilevel"/>
    <w:tmpl w:val="A786429A"/>
    <w:lvl w:ilvl="0">
      <w:start w:val="1"/>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5">
    <w:nsid w:val="40485C81"/>
    <w:multiLevelType w:val="hybridMultilevel"/>
    <w:tmpl w:val="39E8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8E6CF3"/>
    <w:multiLevelType w:val="multilevel"/>
    <w:tmpl w:val="B9D83D06"/>
    <w:lvl w:ilvl="0">
      <w:start w:val="4"/>
      <w:numFmt w:val="lowerLetter"/>
      <w:lvlText w:val="%1."/>
      <w:legacy w:legacy="1" w:legacySpace="0" w:legacyIndent="1260"/>
      <w:lvlJc w:val="left"/>
      <w:pPr>
        <w:ind w:left="1260" w:hanging="1260"/>
      </w:pPr>
    </w:lvl>
    <w:lvl w:ilvl="1">
      <w:start w:val="2"/>
      <w:numFmt w:val="lowerLetter"/>
      <w:lvlText w:val="%2."/>
      <w:legacy w:legacy="1" w:legacySpace="0" w:legacyIndent="1260"/>
      <w:lvlJc w:val="left"/>
      <w:pPr>
        <w:ind w:left="2520" w:hanging="1260"/>
      </w:pPr>
    </w:lvl>
    <w:lvl w:ilvl="2">
      <w:start w:val="1"/>
      <w:numFmt w:val="lowerLetter"/>
      <w:lvlText w:val="%3."/>
      <w:legacy w:legacy="1" w:legacySpace="0" w:legacyIndent="1260"/>
      <w:lvlJc w:val="left"/>
      <w:pPr>
        <w:ind w:left="3780" w:hanging="1260"/>
      </w:pPr>
    </w:lvl>
    <w:lvl w:ilvl="3">
      <w:start w:val="1"/>
      <w:numFmt w:val="lowerLetter"/>
      <w:lvlText w:val="%4."/>
      <w:legacy w:legacy="1" w:legacySpace="0" w:legacyIndent="1260"/>
      <w:lvlJc w:val="left"/>
      <w:pPr>
        <w:ind w:left="5040" w:hanging="1260"/>
      </w:pPr>
    </w:lvl>
    <w:lvl w:ilvl="4">
      <w:start w:val="1"/>
      <w:numFmt w:val="lowerLetter"/>
      <w:lvlText w:val="%5."/>
      <w:legacy w:legacy="1" w:legacySpace="0" w:legacyIndent="1260"/>
      <w:lvlJc w:val="left"/>
      <w:pPr>
        <w:ind w:left="6300" w:hanging="1260"/>
      </w:pPr>
    </w:lvl>
    <w:lvl w:ilvl="5">
      <w:start w:val="1"/>
      <w:numFmt w:val="lowerLetter"/>
      <w:lvlText w:val="%6."/>
      <w:legacy w:legacy="1" w:legacySpace="0" w:legacyIndent="1260"/>
      <w:lvlJc w:val="left"/>
      <w:pPr>
        <w:ind w:left="7560" w:hanging="1260"/>
      </w:pPr>
    </w:lvl>
    <w:lvl w:ilvl="6">
      <w:start w:val="1"/>
      <w:numFmt w:val="lowerLetter"/>
      <w:lvlText w:val="%7."/>
      <w:legacy w:legacy="1" w:legacySpace="0" w:legacyIndent="1260"/>
      <w:lvlJc w:val="left"/>
      <w:pPr>
        <w:ind w:left="8820" w:hanging="1260"/>
      </w:pPr>
    </w:lvl>
    <w:lvl w:ilvl="7">
      <w:start w:val="1"/>
      <w:numFmt w:val="lowerLetter"/>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7">
    <w:nsid w:val="5B842EF7"/>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8">
    <w:nsid w:val="77247355"/>
    <w:multiLevelType w:val="multilevel"/>
    <w:tmpl w:val="E2069CAC"/>
    <w:lvl w:ilvl="0">
      <w:start w:val="1"/>
      <w:numFmt w:val="decimal"/>
      <w:lvlText w:val="%1."/>
      <w:legacy w:legacy="1" w:legacySpace="0" w:legacyIndent="1260"/>
      <w:lvlJc w:val="left"/>
      <w:pPr>
        <w:ind w:left="1260" w:hanging="1260"/>
      </w:pPr>
    </w:lvl>
    <w:lvl w:ilvl="1">
      <w:start w:val="1"/>
      <w:numFmt w:val="decimal"/>
      <w:lvlText w:val="%2."/>
      <w:legacy w:legacy="1" w:legacySpace="0" w:legacyIndent="1260"/>
      <w:lvlJc w:val="left"/>
      <w:pPr>
        <w:ind w:left="2520" w:hanging="1260"/>
      </w:pPr>
    </w:lvl>
    <w:lvl w:ilvl="2">
      <w:start w:val="1"/>
      <w:numFmt w:val="decimal"/>
      <w:lvlText w:val="%3."/>
      <w:legacy w:legacy="1" w:legacySpace="0" w:legacyIndent="1260"/>
      <w:lvlJc w:val="left"/>
      <w:pPr>
        <w:ind w:left="3780" w:hanging="1260"/>
      </w:pPr>
    </w:lvl>
    <w:lvl w:ilvl="3">
      <w:start w:val="1"/>
      <w:numFmt w:val="decimal"/>
      <w:lvlText w:val="%4."/>
      <w:legacy w:legacy="1" w:legacySpace="0" w:legacyIndent="1260"/>
      <w:lvlJc w:val="left"/>
      <w:pPr>
        <w:ind w:left="5040" w:hanging="1260"/>
      </w:pPr>
    </w:lvl>
    <w:lvl w:ilvl="4">
      <w:start w:val="1"/>
      <w:numFmt w:val="decimal"/>
      <w:lvlText w:val="%5."/>
      <w:legacy w:legacy="1" w:legacySpace="0" w:legacyIndent="1260"/>
      <w:lvlJc w:val="left"/>
      <w:pPr>
        <w:ind w:left="6300" w:hanging="1260"/>
      </w:pPr>
    </w:lvl>
    <w:lvl w:ilvl="5">
      <w:start w:val="1"/>
      <w:numFmt w:val="decimal"/>
      <w:lvlText w:val="%6."/>
      <w:legacy w:legacy="1" w:legacySpace="0" w:legacyIndent="1260"/>
      <w:lvlJc w:val="left"/>
      <w:pPr>
        <w:ind w:left="7560" w:hanging="1260"/>
      </w:pPr>
    </w:lvl>
    <w:lvl w:ilvl="6">
      <w:start w:val="1"/>
      <w:numFmt w:val="decimal"/>
      <w:lvlText w:val="%7."/>
      <w:legacy w:legacy="1" w:legacySpace="0" w:legacyIndent="1260"/>
      <w:lvlJc w:val="left"/>
      <w:pPr>
        <w:ind w:left="8820" w:hanging="1260"/>
      </w:pPr>
    </w:lvl>
    <w:lvl w:ilvl="7">
      <w:start w:val="1"/>
      <w:numFmt w:val="decimal"/>
      <w:lvlText w:val="%8."/>
      <w:legacy w:legacy="1" w:legacySpace="0" w:legacyIndent="1260"/>
      <w:lvlJc w:val="left"/>
      <w:pPr>
        <w:ind w:left="10080" w:hanging="1260"/>
      </w:pPr>
    </w:lvl>
    <w:lvl w:ilvl="8">
      <w:start w:val="1"/>
      <w:numFmt w:val="lowerRoman"/>
      <w:lvlText w:val="%9"/>
      <w:legacy w:legacy="1" w:legacySpace="0" w:legacyIndent="1260"/>
      <w:lvlJc w:val="left"/>
      <w:pPr>
        <w:ind w:left="11340" w:hanging="1260"/>
      </w:pPr>
    </w:lvl>
  </w:abstractNum>
  <w:abstractNum w:abstractNumId="9">
    <w:nsid w:val="7E567CAE"/>
    <w:multiLevelType w:val="hybridMultilevel"/>
    <w:tmpl w:val="0032CF6C"/>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num w:numId="1" w16cid:durableId="881474842">
    <w:abstractNumId w:val="7"/>
  </w:num>
  <w:num w:numId="2" w16cid:durableId="1843085467">
    <w:abstractNumId w:val="1"/>
  </w:num>
  <w:num w:numId="3" w16cid:durableId="1511917491">
    <w:abstractNumId w:val="8"/>
  </w:num>
  <w:num w:numId="4" w16cid:durableId="544951048">
    <w:abstractNumId w:val="4"/>
  </w:num>
  <w:num w:numId="5" w16cid:durableId="2056923301">
    <w:abstractNumId w:val="3"/>
  </w:num>
  <w:num w:numId="6" w16cid:durableId="597982138">
    <w:abstractNumId w:val="0"/>
  </w:num>
  <w:num w:numId="7" w16cid:durableId="598097464">
    <w:abstractNumId w:val="6"/>
  </w:num>
  <w:num w:numId="8" w16cid:durableId="346257343">
    <w:abstractNumId w:val="5"/>
  </w:num>
  <w:num w:numId="9" w16cid:durableId="237247487">
    <w:abstractNumId w:val="9"/>
  </w:num>
  <w:num w:numId="10" w16cid:durableId="997196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513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08FB"/>
    <w:rsid w:val="00001675"/>
    <w:rsid w:val="00003C99"/>
    <w:rsid w:val="00007054"/>
    <w:rsid w:val="00013792"/>
    <w:rsid w:val="00015E80"/>
    <w:rsid w:val="0001621C"/>
    <w:rsid w:val="00020EE1"/>
    <w:rsid w:val="000211AB"/>
    <w:rsid w:val="000227D0"/>
    <w:rsid w:val="00022F86"/>
    <w:rsid w:val="00024144"/>
    <w:rsid w:val="00026D82"/>
    <w:rsid w:val="000303E8"/>
    <w:rsid w:val="00031159"/>
    <w:rsid w:val="000314CF"/>
    <w:rsid w:val="00031532"/>
    <w:rsid w:val="0003203E"/>
    <w:rsid w:val="0003230B"/>
    <w:rsid w:val="000331E3"/>
    <w:rsid w:val="00033A7B"/>
    <w:rsid w:val="000364A1"/>
    <w:rsid w:val="000365AF"/>
    <w:rsid w:val="000368D3"/>
    <w:rsid w:val="000404AF"/>
    <w:rsid w:val="00041148"/>
    <w:rsid w:val="000422AA"/>
    <w:rsid w:val="000423CA"/>
    <w:rsid w:val="00044E4D"/>
    <w:rsid w:val="00052A4F"/>
    <w:rsid w:val="00055358"/>
    <w:rsid w:val="0005610D"/>
    <w:rsid w:val="000617E3"/>
    <w:rsid w:val="000626D2"/>
    <w:rsid w:val="00065845"/>
    <w:rsid w:val="00073545"/>
    <w:rsid w:val="00085273"/>
    <w:rsid w:val="00086458"/>
    <w:rsid w:val="000913A5"/>
    <w:rsid w:val="000A0D5F"/>
    <w:rsid w:val="000B41F5"/>
    <w:rsid w:val="000B4B72"/>
    <w:rsid w:val="000B4F58"/>
    <w:rsid w:val="000C0367"/>
    <w:rsid w:val="000C299A"/>
    <w:rsid w:val="000C4188"/>
    <w:rsid w:val="000C4FA0"/>
    <w:rsid w:val="000C665B"/>
    <w:rsid w:val="000D1368"/>
    <w:rsid w:val="000D1AAD"/>
    <w:rsid w:val="000D2F75"/>
    <w:rsid w:val="000D4DCC"/>
    <w:rsid w:val="000E1063"/>
    <w:rsid w:val="000E1632"/>
    <w:rsid w:val="000E562E"/>
    <w:rsid w:val="000F5D71"/>
    <w:rsid w:val="000F7B2E"/>
    <w:rsid w:val="001012A9"/>
    <w:rsid w:val="00103A79"/>
    <w:rsid w:val="00105586"/>
    <w:rsid w:val="001065E7"/>
    <w:rsid w:val="00110EDD"/>
    <w:rsid w:val="00113932"/>
    <w:rsid w:val="0012091C"/>
    <w:rsid w:val="00121183"/>
    <w:rsid w:val="001326F2"/>
    <w:rsid w:val="00135275"/>
    <w:rsid w:val="00136088"/>
    <w:rsid w:val="00150082"/>
    <w:rsid w:val="001505B6"/>
    <w:rsid w:val="00151B24"/>
    <w:rsid w:val="00152687"/>
    <w:rsid w:val="001527FD"/>
    <w:rsid w:val="00162691"/>
    <w:rsid w:val="00163879"/>
    <w:rsid w:val="00165B44"/>
    <w:rsid w:val="0016713D"/>
    <w:rsid w:val="00167BE6"/>
    <w:rsid w:val="00170234"/>
    <w:rsid w:val="00170CBD"/>
    <w:rsid w:val="00174442"/>
    <w:rsid w:val="00183E31"/>
    <w:rsid w:val="00187E31"/>
    <w:rsid w:val="0019112B"/>
    <w:rsid w:val="00194F9A"/>
    <w:rsid w:val="001A3868"/>
    <w:rsid w:val="001A4061"/>
    <w:rsid w:val="001A5731"/>
    <w:rsid w:val="001A5C66"/>
    <w:rsid w:val="001B0B18"/>
    <w:rsid w:val="001B2C40"/>
    <w:rsid w:val="001B42A8"/>
    <w:rsid w:val="001B5564"/>
    <w:rsid w:val="001B7E0A"/>
    <w:rsid w:val="001C4B7E"/>
    <w:rsid w:val="001C696A"/>
    <w:rsid w:val="001C777A"/>
    <w:rsid w:val="001D04AD"/>
    <w:rsid w:val="001D0A26"/>
    <w:rsid w:val="001D4DBE"/>
    <w:rsid w:val="001D5313"/>
    <w:rsid w:val="001D5C80"/>
    <w:rsid w:val="001D6505"/>
    <w:rsid w:val="001D6CF2"/>
    <w:rsid w:val="001E4967"/>
    <w:rsid w:val="001E6578"/>
    <w:rsid w:val="001E6812"/>
    <w:rsid w:val="001F11AC"/>
    <w:rsid w:val="001F16AD"/>
    <w:rsid w:val="001F600F"/>
    <w:rsid w:val="00200EC8"/>
    <w:rsid w:val="00202255"/>
    <w:rsid w:val="00203A31"/>
    <w:rsid w:val="00205879"/>
    <w:rsid w:val="00210154"/>
    <w:rsid w:val="00210204"/>
    <w:rsid w:val="0021305C"/>
    <w:rsid w:val="00213687"/>
    <w:rsid w:val="0021573E"/>
    <w:rsid w:val="002162C2"/>
    <w:rsid w:val="0021768B"/>
    <w:rsid w:val="00222DE6"/>
    <w:rsid w:val="002301BE"/>
    <w:rsid w:val="00231FA4"/>
    <w:rsid w:val="0023369E"/>
    <w:rsid w:val="00235E2E"/>
    <w:rsid w:val="00243024"/>
    <w:rsid w:val="0025137D"/>
    <w:rsid w:val="00255306"/>
    <w:rsid w:val="00255368"/>
    <w:rsid w:val="0026322A"/>
    <w:rsid w:val="00270193"/>
    <w:rsid w:val="002766AA"/>
    <w:rsid w:val="00285A0E"/>
    <w:rsid w:val="00295541"/>
    <w:rsid w:val="002A5BB3"/>
    <w:rsid w:val="002B02A2"/>
    <w:rsid w:val="002B1C79"/>
    <w:rsid w:val="002B24C2"/>
    <w:rsid w:val="002B2EC8"/>
    <w:rsid w:val="002B4C3F"/>
    <w:rsid w:val="002B586F"/>
    <w:rsid w:val="002B6213"/>
    <w:rsid w:val="002B65FE"/>
    <w:rsid w:val="002B7C3E"/>
    <w:rsid w:val="002C1273"/>
    <w:rsid w:val="002C2BAF"/>
    <w:rsid w:val="002C7867"/>
    <w:rsid w:val="002C78F2"/>
    <w:rsid w:val="002C7E1B"/>
    <w:rsid w:val="002D332F"/>
    <w:rsid w:val="002D5741"/>
    <w:rsid w:val="002E03F1"/>
    <w:rsid w:val="002E4C3C"/>
    <w:rsid w:val="002E72E9"/>
    <w:rsid w:val="002E7FEC"/>
    <w:rsid w:val="002F3B0A"/>
    <w:rsid w:val="002F461A"/>
    <w:rsid w:val="002F46B0"/>
    <w:rsid w:val="002F62B2"/>
    <w:rsid w:val="00303100"/>
    <w:rsid w:val="003033CD"/>
    <w:rsid w:val="00304F0D"/>
    <w:rsid w:val="0031016F"/>
    <w:rsid w:val="003118A5"/>
    <w:rsid w:val="003125D8"/>
    <w:rsid w:val="00314978"/>
    <w:rsid w:val="00314CE9"/>
    <w:rsid w:val="003208BB"/>
    <w:rsid w:val="0032332C"/>
    <w:rsid w:val="0032456C"/>
    <w:rsid w:val="003311DD"/>
    <w:rsid w:val="00331ED4"/>
    <w:rsid w:val="003330CA"/>
    <w:rsid w:val="00335127"/>
    <w:rsid w:val="00336E4B"/>
    <w:rsid w:val="00342C8D"/>
    <w:rsid w:val="00345C42"/>
    <w:rsid w:val="00351982"/>
    <w:rsid w:val="003558C7"/>
    <w:rsid w:val="0035651E"/>
    <w:rsid w:val="00357231"/>
    <w:rsid w:val="00360029"/>
    <w:rsid w:val="00360E49"/>
    <w:rsid w:val="00363239"/>
    <w:rsid w:val="00363372"/>
    <w:rsid w:val="00363936"/>
    <w:rsid w:val="00364B57"/>
    <w:rsid w:val="00364F09"/>
    <w:rsid w:val="00366083"/>
    <w:rsid w:val="00370855"/>
    <w:rsid w:val="0037261D"/>
    <w:rsid w:val="00374EFD"/>
    <w:rsid w:val="0037769D"/>
    <w:rsid w:val="00382A7A"/>
    <w:rsid w:val="00382B7C"/>
    <w:rsid w:val="00383DD6"/>
    <w:rsid w:val="0038723B"/>
    <w:rsid w:val="0039031E"/>
    <w:rsid w:val="00394302"/>
    <w:rsid w:val="003945A2"/>
    <w:rsid w:val="00396026"/>
    <w:rsid w:val="003A4C80"/>
    <w:rsid w:val="003A543A"/>
    <w:rsid w:val="003B3C82"/>
    <w:rsid w:val="003B599F"/>
    <w:rsid w:val="003B7065"/>
    <w:rsid w:val="003C2580"/>
    <w:rsid w:val="003C535D"/>
    <w:rsid w:val="003D0E8C"/>
    <w:rsid w:val="003D5CBA"/>
    <w:rsid w:val="003E3121"/>
    <w:rsid w:val="003F0286"/>
    <w:rsid w:val="003F3EF9"/>
    <w:rsid w:val="003F3FE1"/>
    <w:rsid w:val="003F6733"/>
    <w:rsid w:val="003F7AF8"/>
    <w:rsid w:val="004007AC"/>
    <w:rsid w:val="00421E08"/>
    <w:rsid w:val="0042238C"/>
    <w:rsid w:val="00422DB5"/>
    <w:rsid w:val="00423E70"/>
    <w:rsid w:val="00424EB9"/>
    <w:rsid w:val="004308B0"/>
    <w:rsid w:val="00435B86"/>
    <w:rsid w:val="00444D3F"/>
    <w:rsid w:val="004511F5"/>
    <w:rsid w:val="00454DC4"/>
    <w:rsid w:val="00456D02"/>
    <w:rsid w:val="00460A80"/>
    <w:rsid w:val="004634CA"/>
    <w:rsid w:val="004649EA"/>
    <w:rsid w:val="004651F9"/>
    <w:rsid w:val="00467425"/>
    <w:rsid w:val="00470AC9"/>
    <w:rsid w:val="004713E1"/>
    <w:rsid w:val="00480A67"/>
    <w:rsid w:val="00485094"/>
    <w:rsid w:val="004873EE"/>
    <w:rsid w:val="004A084B"/>
    <w:rsid w:val="004A1730"/>
    <w:rsid w:val="004A3F4A"/>
    <w:rsid w:val="004A4CB0"/>
    <w:rsid w:val="004B1A25"/>
    <w:rsid w:val="004B205A"/>
    <w:rsid w:val="004B57CC"/>
    <w:rsid w:val="004C38B0"/>
    <w:rsid w:val="004C6381"/>
    <w:rsid w:val="004C7E0B"/>
    <w:rsid w:val="004D0D8E"/>
    <w:rsid w:val="004D14CD"/>
    <w:rsid w:val="004D25D8"/>
    <w:rsid w:val="004D300E"/>
    <w:rsid w:val="004D3EC7"/>
    <w:rsid w:val="004E2211"/>
    <w:rsid w:val="004E45FF"/>
    <w:rsid w:val="004F30E2"/>
    <w:rsid w:val="004F3E81"/>
    <w:rsid w:val="004F40F5"/>
    <w:rsid w:val="004F5174"/>
    <w:rsid w:val="005117F3"/>
    <w:rsid w:val="00517B38"/>
    <w:rsid w:val="00520717"/>
    <w:rsid w:val="00524409"/>
    <w:rsid w:val="00524C3D"/>
    <w:rsid w:val="0053162A"/>
    <w:rsid w:val="00537C0A"/>
    <w:rsid w:val="005410E4"/>
    <w:rsid w:val="00545400"/>
    <w:rsid w:val="00545FBB"/>
    <w:rsid w:val="0055049D"/>
    <w:rsid w:val="005517BB"/>
    <w:rsid w:val="00552614"/>
    <w:rsid w:val="005533B0"/>
    <w:rsid w:val="00566C14"/>
    <w:rsid w:val="005722E6"/>
    <w:rsid w:val="005731B7"/>
    <w:rsid w:val="005738EF"/>
    <w:rsid w:val="00575150"/>
    <w:rsid w:val="0058245E"/>
    <w:rsid w:val="00587E6B"/>
    <w:rsid w:val="005969E4"/>
    <w:rsid w:val="00597C89"/>
    <w:rsid w:val="005A6479"/>
    <w:rsid w:val="005A6BB8"/>
    <w:rsid w:val="005B36A3"/>
    <w:rsid w:val="005C0E25"/>
    <w:rsid w:val="005C148B"/>
    <w:rsid w:val="005C3D37"/>
    <w:rsid w:val="005C5902"/>
    <w:rsid w:val="005C646E"/>
    <w:rsid w:val="005D39AD"/>
    <w:rsid w:val="005D40BE"/>
    <w:rsid w:val="005D4909"/>
    <w:rsid w:val="005E26F6"/>
    <w:rsid w:val="005E308C"/>
    <w:rsid w:val="005E324D"/>
    <w:rsid w:val="005E3D28"/>
    <w:rsid w:val="005E421B"/>
    <w:rsid w:val="005E62D5"/>
    <w:rsid w:val="005F38E5"/>
    <w:rsid w:val="00601DBB"/>
    <w:rsid w:val="00603625"/>
    <w:rsid w:val="00605170"/>
    <w:rsid w:val="006053B3"/>
    <w:rsid w:val="006121F0"/>
    <w:rsid w:val="006161FC"/>
    <w:rsid w:val="00616AD5"/>
    <w:rsid w:val="006177CB"/>
    <w:rsid w:val="00622A23"/>
    <w:rsid w:val="00630AA5"/>
    <w:rsid w:val="006316DC"/>
    <w:rsid w:val="0064600E"/>
    <w:rsid w:val="0065072E"/>
    <w:rsid w:val="00650EE8"/>
    <w:rsid w:val="00652D8C"/>
    <w:rsid w:val="006550D2"/>
    <w:rsid w:val="006579AC"/>
    <w:rsid w:val="00657C71"/>
    <w:rsid w:val="00660113"/>
    <w:rsid w:val="00665207"/>
    <w:rsid w:val="00666876"/>
    <w:rsid w:val="00673AAE"/>
    <w:rsid w:val="006745E1"/>
    <w:rsid w:val="006749A0"/>
    <w:rsid w:val="006751AF"/>
    <w:rsid w:val="0067599C"/>
    <w:rsid w:val="006761E8"/>
    <w:rsid w:val="00677981"/>
    <w:rsid w:val="00680029"/>
    <w:rsid w:val="00686895"/>
    <w:rsid w:val="00692409"/>
    <w:rsid w:val="00692535"/>
    <w:rsid w:val="00696E0A"/>
    <w:rsid w:val="006A0C39"/>
    <w:rsid w:val="006A3F5C"/>
    <w:rsid w:val="006A5E4A"/>
    <w:rsid w:val="006A75C8"/>
    <w:rsid w:val="006B2964"/>
    <w:rsid w:val="006B3331"/>
    <w:rsid w:val="006B428B"/>
    <w:rsid w:val="006B7B4B"/>
    <w:rsid w:val="006C255C"/>
    <w:rsid w:val="006C265D"/>
    <w:rsid w:val="006D1607"/>
    <w:rsid w:val="006D2AA9"/>
    <w:rsid w:val="006D33CF"/>
    <w:rsid w:val="006D5FA0"/>
    <w:rsid w:val="006E5501"/>
    <w:rsid w:val="006F14F1"/>
    <w:rsid w:val="006F1F05"/>
    <w:rsid w:val="006F2320"/>
    <w:rsid w:val="00701F79"/>
    <w:rsid w:val="007054E1"/>
    <w:rsid w:val="0070608D"/>
    <w:rsid w:val="00711A48"/>
    <w:rsid w:val="00717A92"/>
    <w:rsid w:val="00717CE2"/>
    <w:rsid w:val="00727721"/>
    <w:rsid w:val="00730589"/>
    <w:rsid w:val="007359B3"/>
    <w:rsid w:val="007467A6"/>
    <w:rsid w:val="007513C0"/>
    <w:rsid w:val="0075578D"/>
    <w:rsid w:val="00756A92"/>
    <w:rsid w:val="00763768"/>
    <w:rsid w:val="007650EF"/>
    <w:rsid w:val="00766046"/>
    <w:rsid w:val="00773C74"/>
    <w:rsid w:val="00774212"/>
    <w:rsid w:val="0077676D"/>
    <w:rsid w:val="00776F11"/>
    <w:rsid w:val="007771AB"/>
    <w:rsid w:val="00782541"/>
    <w:rsid w:val="00782777"/>
    <w:rsid w:val="00782CD2"/>
    <w:rsid w:val="00784FDA"/>
    <w:rsid w:val="00785CE3"/>
    <w:rsid w:val="00785E28"/>
    <w:rsid w:val="00795829"/>
    <w:rsid w:val="00796C5E"/>
    <w:rsid w:val="00797252"/>
    <w:rsid w:val="007A0CC5"/>
    <w:rsid w:val="007B0E6D"/>
    <w:rsid w:val="007B50B9"/>
    <w:rsid w:val="007B6B9C"/>
    <w:rsid w:val="007C2E76"/>
    <w:rsid w:val="007D0DCF"/>
    <w:rsid w:val="007D1263"/>
    <w:rsid w:val="007D158C"/>
    <w:rsid w:val="007D1C71"/>
    <w:rsid w:val="007D2D07"/>
    <w:rsid w:val="007D420F"/>
    <w:rsid w:val="007D51F8"/>
    <w:rsid w:val="007E2BEC"/>
    <w:rsid w:val="007E5750"/>
    <w:rsid w:val="007E7BE5"/>
    <w:rsid w:val="007F1F19"/>
    <w:rsid w:val="007F395F"/>
    <w:rsid w:val="007F5058"/>
    <w:rsid w:val="007F7566"/>
    <w:rsid w:val="00804602"/>
    <w:rsid w:val="00805F4A"/>
    <w:rsid w:val="00806589"/>
    <w:rsid w:val="008105ED"/>
    <w:rsid w:val="00810DA1"/>
    <w:rsid w:val="00813275"/>
    <w:rsid w:val="00814039"/>
    <w:rsid w:val="00814202"/>
    <w:rsid w:val="008202DB"/>
    <w:rsid w:val="00821B30"/>
    <w:rsid w:val="00821B91"/>
    <w:rsid w:val="0082240E"/>
    <w:rsid w:val="008233B2"/>
    <w:rsid w:val="00826B45"/>
    <w:rsid w:val="0082751A"/>
    <w:rsid w:val="00832B2C"/>
    <w:rsid w:val="00832EBD"/>
    <w:rsid w:val="00834C5A"/>
    <w:rsid w:val="00837311"/>
    <w:rsid w:val="00842421"/>
    <w:rsid w:val="008426B0"/>
    <w:rsid w:val="0084403D"/>
    <w:rsid w:val="008448D8"/>
    <w:rsid w:val="00845DB0"/>
    <w:rsid w:val="00850797"/>
    <w:rsid w:val="00854D40"/>
    <w:rsid w:val="00864344"/>
    <w:rsid w:val="00866206"/>
    <w:rsid w:val="00874034"/>
    <w:rsid w:val="00877F87"/>
    <w:rsid w:val="008815CB"/>
    <w:rsid w:val="008848E7"/>
    <w:rsid w:val="00885CFB"/>
    <w:rsid w:val="00887E7C"/>
    <w:rsid w:val="008A3084"/>
    <w:rsid w:val="008B4AC9"/>
    <w:rsid w:val="008B7AE4"/>
    <w:rsid w:val="008C052E"/>
    <w:rsid w:val="008C3F2B"/>
    <w:rsid w:val="008D12F4"/>
    <w:rsid w:val="008D1368"/>
    <w:rsid w:val="008D5882"/>
    <w:rsid w:val="008D63EC"/>
    <w:rsid w:val="008F0217"/>
    <w:rsid w:val="008F666A"/>
    <w:rsid w:val="00900666"/>
    <w:rsid w:val="009040C3"/>
    <w:rsid w:val="00914292"/>
    <w:rsid w:val="009152BB"/>
    <w:rsid w:val="00915AE6"/>
    <w:rsid w:val="00920672"/>
    <w:rsid w:val="00920DC6"/>
    <w:rsid w:val="00925DDD"/>
    <w:rsid w:val="00930658"/>
    <w:rsid w:val="0093590D"/>
    <w:rsid w:val="0093710D"/>
    <w:rsid w:val="00937A15"/>
    <w:rsid w:val="009422D7"/>
    <w:rsid w:val="00944052"/>
    <w:rsid w:val="0095287E"/>
    <w:rsid w:val="00957265"/>
    <w:rsid w:val="009620C5"/>
    <w:rsid w:val="00962B9E"/>
    <w:rsid w:val="00964679"/>
    <w:rsid w:val="00964ACC"/>
    <w:rsid w:val="009661CC"/>
    <w:rsid w:val="009731CE"/>
    <w:rsid w:val="00982C6F"/>
    <w:rsid w:val="00984BD8"/>
    <w:rsid w:val="00986A92"/>
    <w:rsid w:val="00986C64"/>
    <w:rsid w:val="00990708"/>
    <w:rsid w:val="00991E3C"/>
    <w:rsid w:val="00994D2A"/>
    <w:rsid w:val="009A255D"/>
    <w:rsid w:val="009A2CCC"/>
    <w:rsid w:val="009A57B4"/>
    <w:rsid w:val="009A6863"/>
    <w:rsid w:val="009B3378"/>
    <w:rsid w:val="009B68C3"/>
    <w:rsid w:val="009C25C3"/>
    <w:rsid w:val="009D3024"/>
    <w:rsid w:val="009E7092"/>
    <w:rsid w:val="009F0490"/>
    <w:rsid w:val="009F4D13"/>
    <w:rsid w:val="009F7ACA"/>
    <w:rsid w:val="00A1701F"/>
    <w:rsid w:val="00A204D3"/>
    <w:rsid w:val="00A2261E"/>
    <w:rsid w:val="00A25125"/>
    <w:rsid w:val="00A260B9"/>
    <w:rsid w:val="00A272C9"/>
    <w:rsid w:val="00A27B03"/>
    <w:rsid w:val="00A314E6"/>
    <w:rsid w:val="00A3310B"/>
    <w:rsid w:val="00A33F83"/>
    <w:rsid w:val="00A34445"/>
    <w:rsid w:val="00A42CEA"/>
    <w:rsid w:val="00A4460C"/>
    <w:rsid w:val="00A466A5"/>
    <w:rsid w:val="00A51DC3"/>
    <w:rsid w:val="00A551EE"/>
    <w:rsid w:val="00A57B99"/>
    <w:rsid w:val="00A60571"/>
    <w:rsid w:val="00A64555"/>
    <w:rsid w:val="00A74731"/>
    <w:rsid w:val="00A766CF"/>
    <w:rsid w:val="00A80022"/>
    <w:rsid w:val="00A82334"/>
    <w:rsid w:val="00A849B3"/>
    <w:rsid w:val="00A873F5"/>
    <w:rsid w:val="00A92B0A"/>
    <w:rsid w:val="00A92BBE"/>
    <w:rsid w:val="00A93D28"/>
    <w:rsid w:val="00A947A5"/>
    <w:rsid w:val="00A95685"/>
    <w:rsid w:val="00AA089B"/>
    <w:rsid w:val="00AA19F9"/>
    <w:rsid w:val="00AA331B"/>
    <w:rsid w:val="00AA3444"/>
    <w:rsid w:val="00AA6079"/>
    <w:rsid w:val="00AA609E"/>
    <w:rsid w:val="00AB299E"/>
    <w:rsid w:val="00AB58AE"/>
    <w:rsid w:val="00AC1E27"/>
    <w:rsid w:val="00AC3A5A"/>
    <w:rsid w:val="00AC4677"/>
    <w:rsid w:val="00AC4BB9"/>
    <w:rsid w:val="00AC4C7A"/>
    <w:rsid w:val="00AC5F81"/>
    <w:rsid w:val="00AC78B1"/>
    <w:rsid w:val="00AD0379"/>
    <w:rsid w:val="00AD13E2"/>
    <w:rsid w:val="00AD1401"/>
    <w:rsid w:val="00AE2C6A"/>
    <w:rsid w:val="00AE4E0D"/>
    <w:rsid w:val="00AF1037"/>
    <w:rsid w:val="00AF1FBB"/>
    <w:rsid w:val="00AF26C0"/>
    <w:rsid w:val="00AF30C1"/>
    <w:rsid w:val="00AF3621"/>
    <w:rsid w:val="00AF7C46"/>
    <w:rsid w:val="00B03EEC"/>
    <w:rsid w:val="00B0644A"/>
    <w:rsid w:val="00B17149"/>
    <w:rsid w:val="00B17FD2"/>
    <w:rsid w:val="00B2230D"/>
    <w:rsid w:val="00B268D2"/>
    <w:rsid w:val="00B26A89"/>
    <w:rsid w:val="00B42302"/>
    <w:rsid w:val="00B42F13"/>
    <w:rsid w:val="00B440C6"/>
    <w:rsid w:val="00B45314"/>
    <w:rsid w:val="00B45AC7"/>
    <w:rsid w:val="00B4748C"/>
    <w:rsid w:val="00B47821"/>
    <w:rsid w:val="00B505AC"/>
    <w:rsid w:val="00B5154B"/>
    <w:rsid w:val="00B51D31"/>
    <w:rsid w:val="00B56613"/>
    <w:rsid w:val="00B574F3"/>
    <w:rsid w:val="00B62727"/>
    <w:rsid w:val="00B636B9"/>
    <w:rsid w:val="00B63B1D"/>
    <w:rsid w:val="00B64383"/>
    <w:rsid w:val="00B67F2D"/>
    <w:rsid w:val="00B71D90"/>
    <w:rsid w:val="00B72A3B"/>
    <w:rsid w:val="00B76197"/>
    <w:rsid w:val="00B7649D"/>
    <w:rsid w:val="00B77413"/>
    <w:rsid w:val="00B834DB"/>
    <w:rsid w:val="00B8419A"/>
    <w:rsid w:val="00B845FD"/>
    <w:rsid w:val="00B8664B"/>
    <w:rsid w:val="00B877A3"/>
    <w:rsid w:val="00B941BE"/>
    <w:rsid w:val="00B94CCE"/>
    <w:rsid w:val="00B974CB"/>
    <w:rsid w:val="00BA1454"/>
    <w:rsid w:val="00BA2A64"/>
    <w:rsid w:val="00BA41C3"/>
    <w:rsid w:val="00BA6846"/>
    <w:rsid w:val="00BC0B08"/>
    <w:rsid w:val="00BC14CD"/>
    <w:rsid w:val="00BC3D35"/>
    <w:rsid w:val="00BC4E1B"/>
    <w:rsid w:val="00BD0079"/>
    <w:rsid w:val="00BD0CFB"/>
    <w:rsid w:val="00BD19AF"/>
    <w:rsid w:val="00BD2581"/>
    <w:rsid w:val="00BD6216"/>
    <w:rsid w:val="00BE119D"/>
    <w:rsid w:val="00BE13F5"/>
    <w:rsid w:val="00BF06C0"/>
    <w:rsid w:val="00BF5EB4"/>
    <w:rsid w:val="00C00B58"/>
    <w:rsid w:val="00C13550"/>
    <w:rsid w:val="00C13B72"/>
    <w:rsid w:val="00C177D2"/>
    <w:rsid w:val="00C17F62"/>
    <w:rsid w:val="00C236B7"/>
    <w:rsid w:val="00C2499F"/>
    <w:rsid w:val="00C25B69"/>
    <w:rsid w:val="00C32C4C"/>
    <w:rsid w:val="00C352D5"/>
    <w:rsid w:val="00C40F5F"/>
    <w:rsid w:val="00C425C9"/>
    <w:rsid w:val="00C43212"/>
    <w:rsid w:val="00C47E15"/>
    <w:rsid w:val="00C53266"/>
    <w:rsid w:val="00C63FEC"/>
    <w:rsid w:val="00C656F8"/>
    <w:rsid w:val="00C7297D"/>
    <w:rsid w:val="00C77867"/>
    <w:rsid w:val="00C82792"/>
    <w:rsid w:val="00C861E4"/>
    <w:rsid w:val="00C86994"/>
    <w:rsid w:val="00C90765"/>
    <w:rsid w:val="00C910D9"/>
    <w:rsid w:val="00C91755"/>
    <w:rsid w:val="00C92BEA"/>
    <w:rsid w:val="00C93CCC"/>
    <w:rsid w:val="00C94461"/>
    <w:rsid w:val="00C9505E"/>
    <w:rsid w:val="00CA1F27"/>
    <w:rsid w:val="00CA5636"/>
    <w:rsid w:val="00CA5684"/>
    <w:rsid w:val="00CA661E"/>
    <w:rsid w:val="00CB27D4"/>
    <w:rsid w:val="00CB5120"/>
    <w:rsid w:val="00CB59CF"/>
    <w:rsid w:val="00CB74FB"/>
    <w:rsid w:val="00CC090D"/>
    <w:rsid w:val="00CC0D9D"/>
    <w:rsid w:val="00CC7758"/>
    <w:rsid w:val="00CC7E52"/>
    <w:rsid w:val="00CD3359"/>
    <w:rsid w:val="00CD4031"/>
    <w:rsid w:val="00CD61AE"/>
    <w:rsid w:val="00CD7757"/>
    <w:rsid w:val="00CE0AF1"/>
    <w:rsid w:val="00CE10AB"/>
    <w:rsid w:val="00CE4278"/>
    <w:rsid w:val="00CE4CC2"/>
    <w:rsid w:val="00CF27B2"/>
    <w:rsid w:val="00CF5249"/>
    <w:rsid w:val="00D0588D"/>
    <w:rsid w:val="00D11281"/>
    <w:rsid w:val="00D14604"/>
    <w:rsid w:val="00D15E1E"/>
    <w:rsid w:val="00D163CE"/>
    <w:rsid w:val="00D16A89"/>
    <w:rsid w:val="00D23AEB"/>
    <w:rsid w:val="00D2753C"/>
    <w:rsid w:val="00D30E84"/>
    <w:rsid w:val="00D31285"/>
    <w:rsid w:val="00D352B7"/>
    <w:rsid w:val="00D357D2"/>
    <w:rsid w:val="00D43A8C"/>
    <w:rsid w:val="00D453B5"/>
    <w:rsid w:val="00D5004E"/>
    <w:rsid w:val="00D52815"/>
    <w:rsid w:val="00D5385B"/>
    <w:rsid w:val="00D54F42"/>
    <w:rsid w:val="00D62D8B"/>
    <w:rsid w:val="00D660FE"/>
    <w:rsid w:val="00D66115"/>
    <w:rsid w:val="00D667A5"/>
    <w:rsid w:val="00D668EB"/>
    <w:rsid w:val="00D75053"/>
    <w:rsid w:val="00D75138"/>
    <w:rsid w:val="00D77095"/>
    <w:rsid w:val="00D821A5"/>
    <w:rsid w:val="00D82998"/>
    <w:rsid w:val="00D82DDD"/>
    <w:rsid w:val="00D839B4"/>
    <w:rsid w:val="00D849E1"/>
    <w:rsid w:val="00D86C8B"/>
    <w:rsid w:val="00D94E41"/>
    <w:rsid w:val="00D95DB3"/>
    <w:rsid w:val="00DA1D5C"/>
    <w:rsid w:val="00DA1E6F"/>
    <w:rsid w:val="00DA620E"/>
    <w:rsid w:val="00DA6507"/>
    <w:rsid w:val="00DB1718"/>
    <w:rsid w:val="00DB603D"/>
    <w:rsid w:val="00DB733F"/>
    <w:rsid w:val="00DC33B2"/>
    <w:rsid w:val="00DC7D8B"/>
    <w:rsid w:val="00DD455E"/>
    <w:rsid w:val="00DD6687"/>
    <w:rsid w:val="00DD6A3F"/>
    <w:rsid w:val="00DD755D"/>
    <w:rsid w:val="00DE4752"/>
    <w:rsid w:val="00DE4FFD"/>
    <w:rsid w:val="00DE50EE"/>
    <w:rsid w:val="00DF1B8E"/>
    <w:rsid w:val="00DF2AFE"/>
    <w:rsid w:val="00DF3B00"/>
    <w:rsid w:val="00DF3FFD"/>
    <w:rsid w:val="00DF5BC5"/>
    <w:rsid w:val="00E0043B"/>
    <w:rsid w:val="00E06A73"/>
    <w:rsid w:val="00E1094B"/>
    <w:rsid w:val="00E13C39"/>
    <w:rsid w:val="00E21D68"/>
    <w:rsid w:val="00E220E4"/>
    <w:rsid w:val="00E228EE"/>
    <w:rsid w:val="00E26E3F"/>
    <w:rsid w:val="00E31C71"/>
    <w:rsid w:val="00E473B2"/>
    <w:rsid w:val="00E4782C"/>
    <w:rsid w:val="00E511D9"/>
    <w:rsid w:val="00E511DF"/>
    <w:rsid w:val="00E51F0F"/>
    <w:rsid w:val="00E60EEE"/>
    <w:rsid w:val="00E66E37"/>
    <w:rsid w:val="00E72992"/>
    <w:rsid w:val="00E72AB3"/>
    <w:rsid w:val="00E90DA1"/>
    <w:rsid w:val="00E914EF"/>
    <w:rsid w:val="00EA19A5"/>
    <w:rsid w:val="00EA2350"/>
    <w:rsid w:val="00EA4632"/>
    <w:rsid w:val="00EA4F5B"/>
    <w:rsid w:val="00EA59CB"/>
    <w:rsid w:val="00EA7CF5"/>
    <w:rsid w:val="00EB2C14"/>
    <w:rsid w:val="00EC0ADC"/>
    <w:rsid w:val="00EC293C"/>
    <w:rsid w:val="00ED5FE9"/>
    <w:rsid w:val="00ED70E7"/>
    <w:rsid w:val="00ED7EEE"/>
    <w:rsid w:val="00EE426F"/>
    <w:rsid w:val="00EE7E37"/>
    <w:rsid w:val="00EF10FF"/>
    <w:rsid w:val="00EF3F19"/>
    <w:rsid w:val="00EF4233"/>
    <w:rsid w:val="00EF753A"/>
    <w:rsid w:val="00F005AE"/>
    <w:rsid w:val="00F03AB0"/>
    <w:rsid w:val="00F05925"/>
    <w:rsid w:val="00F06AF0"/>
    <w:rsid w:val="00F11996"/>
    <w:rsid w:val="00F16486"/>
    <w:rsid w:val="00F165C9"/>
    <w:rsid w:val="00F17B8C"/>
    <w:rsid w:val="00F24A5A"/>
    <w:rsid w:val="00F3244C"/>
    <w:rsid w:val="00F32990"/>
    <w:rsid w:val="00F33BAF"/>
    <w:rsid w:val="00F51EA0"/>
    <w:rsid w:val="00F56574"/>
    <w:rsid w:val="00F60FC8"/>
    <w:rsid w:val="00F62746"/>
    <w:rsid w:val="00F62A90"/>
    <w:rsid w:val="00F663E1"/>
    <w:rsid w:val="00F676F8"/>
    <w:rsid w:val="00F71088"/>
    <w:rsid w:val="00F7300F"/>
    <w:rsid w:val="00F77168"/>
    <w:rsid w:val="00F77F5A"/>
    <w:rsid w:val="00F840B5"/>
    <w:rsid w:val="00F846F6"/>
    <w:rsid w:val="00F90AE8"/>
    <w:rsid w:val="00F927C6"/>
    <w:rsid w:val="00F932A7"/>
    <w:rsid w:val="00F9466C"/>
    <w:rsid w:val="00F9622B"/>
    <w:rsid w:val="00FA0D68"/>
    <w:rsid w:val="00FA6BE5"/>
    <w:rsid w:val="00FA6E7E"/>
    <w:rsid w:val="00FA7AF8"/>
    <w:rsid w:val="00FB0D7F"/>
    <w:rsid w:val="00FB25A7"/>
    <w:rsid w:val="00FB3B98"/>
    <w:rsid w:val="00FB4315"/>
    <w:rsid w:val="00FC1AC6"/>
    <w:rsid w:val="00FC2611"/>
    <w:rsid w:val="00FD21FA"/>
    <w:rsid w:val="00FD40C3"/>
    <w:rsid w:val="00FD7452"/>
    <w:rsid w:val="00FE2B36"/>
    <w:rsid w:val="00FE4EC9"/>
    <w:rsid w:val="00FE76AE"/>
    <w:rsid w:val="00FF0EB1"/>
    <w:rsid w:val="00FF2580"/>
    <w:rsid w:val="00FF38AA"/>
    <w:rsid w:val="00FF7781"/>
    <w:rsid w:val="00FF7AD9"/>
    <w:rsid w:val="00FF7F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32913D"/>
  <w15:chartTrackingRefBased/>
  <w15:docId w15:val="{F5C5FBB0-91C6-426A-B028-7467A99C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7D2"/>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rsid w:val="00C177D2"/>
    <w:pPr>
      <w:tabs>
        <w:tab w:val="left" w:pos="720"/>
      </w:tabs>
      <w:autoSpaceDE w:val="0"/>
      <w:autoSpaceDN w:val="0"/>
      <w:adjustRightInd w:val="0"/>
      <w:ind w:left="720" w:hanging="720"/>
    </w:pPr>
    <w:rPr>
      <w:rFonts w:ascii="Courier 10cpi" w:hAnsi="Courier 10cpi"/>
      <w:sz w:val="24"/>
      <w:szCs w:val="24"/>
    </w:rPr>
  </w:style>
  <w:style w:type="paragraph" w:customStyle="1" w:styleId="2AutoList2">
    <w:name w:val="2AutoList2"/>
    <w:uiPriority w:val="99"/>
    <w:rsid w:val="00C177D2"/>
    <w:pPr>
      <w:tabs>
        <w:tab w:val="left" w:pos="720"/>
        <w:tab w:val="left" w:pos="1440"/>
      </w:tabs>
      <w:autoSpaceDE w:val="0"/>
      <w:autoSpaceDN w:val="0"/>
      <w:adjustRightInd w:val="0"/>
      <w:ind w:left="1440" w:hanging="720"/>
    </w:pPr>
    <w:rPr>
      <w:rFonts w:ascii="Courier 10cpi" w:hAnsi="Courier 10cpi"/>
      <w:sz w:val="24"/>
      <w:szCs w:val="24"/>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link w:val="Footer"/>
    <w:uiPriority w:val="99"/>
    <w:rsid w:val="00C177D2"/>
    <w:rPr>
      <w:rFonts w:ascii="Courier 10cpi" w:hAnsi="Courier 10cpi"/>
      <w:sz w:val="20"/>
      <w:szCs w:val="20"/>
    </w:rPr>
  </w:style>
  <w:style w:type="character" w:styleId="PageNumber">
    <w:name w:val="page number"/>
    <w:basedOn w:val="DefaultParagraphFont"/>
    <w:uiPriority w:val="99"/>
    <w:semiHidden/>
    <w:unhideWhenUsed/>
    <w:rsid w:val="00C177D2"/>
  </w:style>
  <w:style w:type="character" w:styleId="Hyperlink">
    <w:name w:val="Hyperlink"/>
    <w:uiPriority w:val="99"/>
    <w:unhideWhenUsed/>
    <w:rsid w:val="00C40F5F"/>
    <w:rPr>
      <w:color w:val="0000FF"/>
      <w:u w:val="single"/>
    </w:rPr>
  </w:style>
  <w:style w:type="paragraph" w:styleId="ListParagraph">
    <w:name w:val="List Paragraph"/>
    <w:basedOn w:val="Normal"/>
    <w:uiPriority w:val="34"/>
    <w:qFormat/>
    <w:rsid w:val="00B94CCE"/>
    <w:pPr>
      <w:ind w:left="720"/>
    </w:pPr>
  </w:style>
  <w:style w:type="table" w:styleId="TableGrid">
    <w:name w:val="Table Grid"/>
    <w:basedOn w:val="TableNormal"/>
    <w:uiPriority w:val="39"/>
    <w:rsid w:val="00151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AA9"/>
    <w:rPr>
      <w:rFonts w:ascii="Segoe UI" w:hAnsi="Segoe UI" w:cs="Segoe UI"/>
      <w:sz w:val="18"/>
      <w:szCs w:val="18"/>
    </w:rPr>
  </w:style>
  <w:style w:type="character" w:customStyle="1" w:styleId="BalloonTextChar">
    <w:name w:val="Balloon Text Char"/>
    <w:link w:val="BalloonText"/>
    <w:uiPriority w:val="99"/>
    <w:semiHidden/>
    <w:rsid w:val="006D2AA9"/>
    <w:rPr>
      <w:rFonts w:ascii="Segoe UI" w:hAnsi="Segoe UI" w:cs="Segoe UI"/>
      <w:sz w:val="18"/>
      <w:szCs w:val="18"/>
    </w:rPr>
  </w:style>
  <w:style w:type="character" w:styleId="CommentReference">
    <w:name w:val="annotation reference"/>
    <w:uiPriority w:val="99"/>
    <w:semiHidden/>
    <w:unhideWhenUsed/>
    <w:rsid w:val="002E72E9"/>
    <w:rPr>
      <w:sz w:val="16"/>
      <w:szCs w:val="16"/>
    </w:rPr>
  </w:style>
  <w:style w:type="paragraph" w:styleId="CommentText">
    <w:name w:val="annotation text"/>
    <w:basedOn w:val="Normal"/>
    <w:link w:val="CommentTextChar"/>
    <w:uiPriority w:val="99"/>
    <w:unhideWhenUsed/>
    <w:rsid w:val="002E72E9"/>
  </w:style>
  <w:style w:type="character" w:customStyle="1" w:styleId="CommentTextChar">
    <w:name w:val="Comment Text Char"/>
    <w:link w:val="CommentText"/>
    <w:uiPriority w:val="99"/>
    <w:rsid w:val="002E72E9"/>
    <w:rPr>
      <w:rFonts w:ascii="Courier 10cpi" w:hAnsi="Courier 10cpi"/>
    </w:rPr>
  </w:style>
  <w:style w:type="paragraph" w:styleId="CommentSubject">
    <w:name w:val="annotation subject"/>
    <w:basedOn w:val="CommentText"/>
    <w:next w:val="CommentText"/>
    <w:link w:val="CommentSubjectChar"/>
    <w:uiPriority w:val="99"/>
    <w:semiHidden/>
    <w:unhideWhenUsed/>
    <w:rsid w:val="002E72E9"/>
    <w:rPr>
      <w:b/>
      <w:bCs/>
    </w:rPr>
  </w:style>
  <w:style w:type="character" w:customStyle="1" w:styleId="CommentSubjectChar">
    <w:name w:val="Comment Subject Char"/>
    <w:link w:val="CommentSubject"/>
    <w:uiPriority w:val="99"/>
    <w:semiHidden/>
    <w:rsid w:val="002E72E9"/>
    <w:rPr>
      <w:rFonts w:ascii="Courier 10cpi" w:hAnsi="Courier 10cpi"/>
      <w:b/>
      <w:bCs/>
    </w:rPr>
  </w:style>
  <w:style w:type="paragraph" w:styleId="Header">
    <w:name w:val="header"/>
    <w:basedOn w:val="Normal"/>
    <w:link w:val="HeaderChar"/>
    <w:uiPriority w:val="99"/>
    <w:unhideWhenUsed/>
    <w:rsid w:val="00DB603D"/>
    <w:pPr>
      <w:tabs>
        <w:tab w:val="center" w:pos="4680"/>
        <w:tab w:val="right" w:pos="9360"/>
      </w:tabs>
    </w:pPr>
  </w:style>
  <w:style w:type="character" w:customStyle="1" w:styleId="HeaderChar">
    <w:name w:val="Header Char"/>
    <w:link w:val="Header"/>
    <w:uiPriority w:val="99"/>
    <w:rsid w:val="00DB603D"/>
    <w:rPr>
      <w:rFonts w:ascii="Courier 10cpi" w:hAnsi="Courier 10cpi"/>
    </w:rPr>
  </w:style>
  <w:style w:type="paragraph" w:styleId="NoSpacing">
    <w:name w:val="No Spacing"/>
    <w:uiPriority w:val="1"/>
    <w:qFormat/>
    <w:rsid w:val="00B63B1D"/>
    <w:pPr>
      <w:autoSpaceDE w:val="0"/>
      <w:autoSpaceDN w:val="0"/>
      <w:adjustRightInd w:val="0"/>
    </w:pPr>
    <w:rPr>
      <w:rFonts w:ascii="Courier 10cpi" w:hAnsi="Courier 10cpi"/>
    </w:rPr>
  </w:style>
  <w:style w:type="character" w:styleId="UnresolvedMention">
    <w:name w:val="Unresolved Mention"/>
    <w:uiPriority w:val="99"/>
    <w:semiHidden/>
    <w:unhideWhenUsed/>
    <w:rsid w:val="00F90AE8"/>
    <w:rPr>
      <w:color w:val="605E5C"/>
      <w:shd w:val="clear" w:color="auto" w:fill="E1DFDD"/>
    </w:rPr>
  </w:style>
  <w:style w:type="paragraph" w:styleId="Revision">
    <w:name w:val="Revision"/>
    <w:hidden/>
    <w:uiPriority w:val="99"/>
    <w:semiHidden/>
    <w:rsid w:val="0058245E"/>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F4B5E-AF89-404E-B3F1-AC154CD36656}">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customXml/itemProps2.xml><?xml version="1.0" encoding="utf-8"?>
<ds:datastoreItem xmlns:ds="http://schemas.openxmlformats.org/officeDocument/2006/customXml" ds:itemID="{5F77505B-8B92-4238-8E19-D35877ACEA86}">
  <ds:schemaRefs>
    <ds:schemaRef ds:uri="http://schemas.microsoft.com/sharepoint/v3/contenttype/forms"/>
  </ds:schemaRefs>
</ds:datastoreItem>
</file>

<file path=customXml/itemProps3.xml><?xml version="1.0" encoding="utf-8"?>
<ds:datastoreItem xmlns:ds="http://schemas.openxmlformats.org/officeDocument/2006/customXml" ds:itemID="{FD0819D4-5696-4A91-8529-BE2A7922B956}">
  <ds:schemaRefs>
    <ds:schemaRef ds:uri="http://schemas.openxmlformats.org/officeDocument/2006/bibliography"/>
  </ds:schemaRefs>
</ds:datastoreItem>
</file>

<file path=customXml/itemProps4.xml><?xml version="1.0" encoding="utf-8"?>
<ds:datastoreItem xmlns:ds="http://schemas.openxmlformats.org/officeDocument/2006/customXml" ds:itemID="{D4286885-CBB4-4C5E-829A-4D1EA03F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ff6fa-ae06-4513-b015-ab5ffafd3e12"/>
    <ds:schemaRef ds:uri="cd1b58db-2189-47f6-bdbd-19a0c273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Arceo, Darwin (JMD)</cp:lastModifiedBy>
  <cp:revision>2</cp:revision>
  <cp:lastPrinted>2022-10-25T22:30:00Z</cp:lastPrinted>
  <dcterms:created xsi:type="dcterms:W3CDTF">2026-01-30T14:30:00Z</dcterms:created>
  <dcterms:modified xsi:type="dcterms:W3CDTF">2026-01-30T14:30:00Z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