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960" w:rsidRPr="00046897" w:rsidP="00B67960" w14:paraId="0A2B1409" w14:textId="181D3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046897">
        <w:rPr>
          <w:rFonts w:ascii="Arial" w:hAnsi="Arial" w:cs="Arial"/>
          <w:b/>
          <w:sz w:val="24"/>
          <w:szCs w:val="24"/>
          <w:lang w:val="en-CA"/>
        </w:rPr>
        <w:t xml:space="preserve">Supporting Statement A for </w:t>
      </w:r>
    </w:p>
    <w:p w:rsidR="009B359F" w:rsidRPr="00046897" w:rsidP="00B67960" w14:paraId="31AC4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46897">
        <w:rPr>
          <w:rFonts w:ascii="Arial" w:hAnsi="Arial" w:cs="Arial"/>
          <w:b/>
          <w:sz w:val="24"/>
          <w:szCs w:val="24"/>
          <w:lang w:val="en-CA"/>
        </w:rPr>
        <w:t>Paperwork Reduction Act Submission</w:t>
      </w:r>
    </w:p>
    <w:p w:rsidR="001D177F" w:rsidRPr="00046897" w14:paraId="39B6CB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1D177F" w:rsidRPr="00046897" w:rsidP="001D177F" w14:paraId="34B00A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46897">
        <w:rPr>
          <w:rFonts w:ascii="Arial" w:hAnsi="Arial" w:cs="Arial"/>
          <w:b/>
          <w:bCs/>
          <w:sz w:val="24"/>
          <w:szCs w:val="24"/>
        </w:rPr>
        <w:t xml:space="preserve">National Underground Railroad Network to Freedom </w:t>
      </w:r>
      <w:r w:rsidRPr="00046897" w:rsidR="008C2280">
        <w:rPr>
          <w:rFonts w:ascii="Arial" w:hAnsi="Arial" w:cs="Arial"/>
          <w:b/>
          <w:bCs/>
          <w:sz w:val="24"/>
          <w:szCs w:val="24"/>
        </w:rPr>
        <w:t>Progr</w:t>
      </w:r>
      <w:r w:rsidRPr="00046897" w:rsidR="00595CDE">
        <w:rPr>
          <w:rFonts w:ascii="Arial" w:hAnsi="Arial" w:cs="Arial"/>
          <w:b/>
          <w:bCs/>
          <w:sz w:val="24"/>
          <w:szCs w:val="24"/>
        </w:rPr>
        <w:t>a</w:t>
      </w:r>
      <w:r w:rsidRPr="00046897" w:rsidR="008C2280">
        <w:rPr>
          <w:rFonts w:ascii="Arial" w:hAnsi="Arial" w:cs="Arial"/>
          <w:b/>
          <w:bCs/>
          <w:sz w:val="24"/>
          <w:szCs w:val="24"/>
        </w:rPr>
        <w:t>m</w:t>
      </w:r>
    </w:p>
    <w:p w:rsidR="00295103" w:rsidRPr="00046897" w:rsidP="009B359F" w14:paraId="609B56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046897">
        <w:rPr>
          <w:rFonts w:ascii="Arial" w:hAnsi="Arial" w:cs="Arial"/>
          <w:b/>
          <w:bCs/>
          <w:sz w:val="24"/>
          <w:szCs w:val="24"/>
        </w:rPr>
        <w:t>OMB Control Number 10</w:t>
      </w:r>
      <w:r w:rsidRPr="00046897" w:rsidR="001D177F">
        <w:rPr>
          <w:rFonts w:ascii="Arial" w:hAnsi="Arial" w:cs="Arial"/>
          <w:b/>
          <w:bCs/>
          <w:sz w:val="24"/>
          <w:szCs w:val="24"/>
        </w:rPr>
        <w:t>24-0232</w:t>
      </w:r>
    </w:p>
    <w:p w:rsidR="009B359F" w:rsidRPr="00046897" w:rsidP="001B614E" w14:paraId="425A1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51600" w:rsidRPr="00046897" w14:paraId="5C08E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D51600" w14:paraId="153F8B81" w14:textId="33FF16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51600">
        <w:rPr>
          <w:rFonts w:ascii="Arial" w:hAnsi="Arial" w:cs="Arial"/>
          <w:b/>
          <w:sz w:val="22"/>
          <w:szCs w:val="22"/>
        </w:rPr>
        <w:t>Terms of Clearance:</w:t>
      </w:r>
      <w:r w:rsidRPr="00D51600">
        <w:rPr>
          <w:rFonts w:ascii="Arial" w:hAnsi="Arial" w:cs="Arial"/>
          <w:sz w:val="22"/>
          <w:szCs w:val="22"/>
        </w:rPr>
        <w:t xml:space="preserve"> </w:t>
      </w:r>
      <w:r w:rsidRPr="00D51600" w:rsidR="001D177F">
        <w:rPr>
          <w:rFonts w:ascii="Arial" w:hAnsi="Arial" w:cs="Arial"/>
          <w:sz w:val="22"/>
          <w:szCs w:val="22"/>
        </w:rPr>
        <w:t xml:space="preserve"> None.</w:t>
      </w:r>
    </w:p>
    <w:p w:rsidR="00295103" w:rsidRPr="00D51600" w14:paraId="41D78E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D51600" w14:paraId="05785A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51600">
        <w:rPr>
          <w:rFonts w:ascii="Arial" w:hAnsi="Arial" w:cs="Arial"/>
          <w:b/>
          <w:bCs/>
          <w:sz w:val="22"/>
          <w:szCs w:val="22"/>
        </w:rPr>
        <w:t>Justification</w:t>
      </w:r>
    </w:p>
    <w:p w:rsidR="00295103" w:rsidRPr="00D51600" w14:paraId="75301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D51600" w14:paraId="5140A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51600">
        <w:rPr>
          <w:rFonts w:ascii="Arial" w:hAnsi="Arial" w:cs="Arial"/>
          <w:b/>
          <w:sz w:val="22"/>
          <w:szCs w:val="22"/>
        </w:rPr>
        <w:t>1.</w:t>
      </w:r>
      <w:r w:rsidRPr="00D51600">
        <w:rPr>
          <w:rFonts w:ascii="Arial" w:hAnsi="Arial" w:cs="Arial"/>
          <w:b/>
          <w:sz w:val="22"/>
          <w:szCs w:val="22"/>
        </w:rPr>
        <w:tab/>
        <w:t>Explain the circumstances that make the collection of information necessary.  Identify any legal or administrative requirements that necessitate the collection</w:t>
      </w:r>
      <w:r w:rsidRPr="00D51600" w:rsidR="000F3AF1">
        <w:rPr>
          <w:rFonts w:ascii="Arial" w:hAnsi="Arial" w:cs="Arial"/>
          <w:b/>
          <w:sz w:val="22"/>
          <w:szCs w:val="22"/>
        </w:rPr>
        <w:t>.</w:t>
      </w:r>
    </w:p>
    <w:p w:rsidR="001D177F" w:rsidRPr="00D51600" w:rsidP="00BB7FEE" w14:paraId="38EB3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p>
    <w:p w:rsidR="008C2280" w:rsidRPr="00F27948" w:rsidP="00BB7FEE" w14:paraId="322A2FF1" w14:textId="72AC2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D51600">
        <w:rPr>
          <w:rFonts w:ascii="Arial" w:hAnsi="Arial" w:cs="Arial"/>
          <w:sz w:val="22"/>
          <w:szCs w:val="22"/>
        </w:rPr>
        <w:t>The National Underground Railroad Network to Freedom Act of 1998 (</w:t>
      </w:r>
      <w:bookmarkStart w:id="0" w:name="_Hlk113882521"/>
      <w:r w:rsidRPr="00D51600">
        <w:rPr>
          <w:rFonts w:ascii="Arial" w:hAnsi="Arial" w:cs="Arial"/>
          <w:sz w:val="22"/>
          <w:szCs w:val="22"/>
        </w:rPr>
        <w:t>54 U.S.C. § 308301, et seq</w:t>
      </w:r>
      <w:bookmarkEnd w:id="0"/>
      <w:r w:rsidRPr="00D51600">
        <w:rPr>
          <w:rFonts w:ascii="Arial" w:hAnsi="Arial" w:cs="Arial"/>
          <w:sz w:val="22"/>
          <w:szCs w:val="22"/>
        </w:rPr>
        <w:t xml:space="preserve">.) </w:t>
      </w:r>
      <w:r w:rsidRPr="00D51600" w:rsidR="001D177F">
        <w:rPr>
          <w:rFonts w:ascii="Arial" w:hAnsi="Arial" w:cs="Arial"/>
          <w:sz w:val="22"/>
          <w:szCs w:val="22"/>
        </w:rPr>
        <w:t>authorizes the Secretary of the Inter</w:t>
      </w:r>
      <w:r w:rsidRPr="00D51600">
        <w:rPr>
          <w:rFonts w:ascii="Arial" w:hAnsi="Arial" w:cs="Arial"/>
          <w:sz w:val="22"/>
          <w:szCs w:val="22"/>
        </w:rPr>
        <w:t xml:space="preserve">ior </w:t>
      </w:r>
      <w:r w:rsidRPr="00D51600" w:rsidR="00F62BEC">
        <w:rPr>
          <w:rFonts w:ascii="Arial" w:hAnsi="Arial" w:cs="Arial"/>
          <w:sz w:val="22"/>
          <w:szCs w:val="22"/>
        </w:rPr>
        <w:t xml:space="preserve">(Secretary) </w:t>
      </w:r>
      <w:r w:rsidRPr="00D51600">
        <w:rPr>
          <w:rFonts w:ascii="Arial" w:hAnsi="Arial" w:cs="Arial"/>
          <w:sz w:val="22"/>
          <w:szCs w:val="22"/>
        </w:rPr>
        <w:t xml:space="preserve">to establish the Network to </w:t>
      </w:r>
      <w:r w:rsidRPr="00D51600" w:rsidR="001D177F">
        <w:rPr>
          <w:rFonts w:ascii="Arial" w:hAnsi="Arial" w:cs="Arial"/>
          <w:sz w:val="22"/>
          <w:szCs w:val="22"/>
        </w:rPr>
        <w:t>Freedom (Network).  The Network</w:t>
      </w:r>
      <w:r w:rsidRPr="00F27948" w:rsidR="001D177F">
        <w:rPr>
          <w:rFonts w:ascii="Arial" w:hAnsi="Arial" w:cs="Arial"/>
          <w:sz w:val="22"/>
          <w:szCs w:val="22"/>
        </w:rPr>
        <w:t xml:space="preserve"> is a collection of sites, facilities, and programs, both governmental and nongovernmental, around the United States. </w:t>
      </w:r>
      <w:r w:rsidRPr="00F27948" w:rsidR="002B5C34">
        <w:rPr>
          <w:rFonts w:ascii="Arial" w:hAnsi="Arial" w:cs="Arial"/>
          <w:sz w:val="22"/>
          <w:szCs w:val="22"/>
        </w:rPr>
        <w:t xml:space="preserve"> </w:t>
      </w:r>
      <w:r w:rsidRPr="00F27948" w:rsidR="001D177F">
        <w:rPr>
          <w:rFonts w:ascii="Arial" w:hAnsi="Arial" w:cs="Arial"/>
          <w:sz w:val="22"/>
          <w:szCs w:val="22"/>
        </w:rPr>
        <w:t xml:space="preserve">All entities </w:t>
      </w:r>
      <w:r w:rsidRPr="00F27948" w:rsidR="002B6544">
        <w:rPr>
          <w:rFonts w:ascii="Arial" w:hAnsi="Arial" w:cs="Arial"/>
          <w:sz w:val="22"/>
          <w:szCs w:val="22"/>
        </w:rPr>
        <w:t>must</w:t>
      </w:r>
      <w:r w:rsidRPr="00F27948" w:rsidR="001D177F">
        <w:rPr>
          <w:rFonts w:ascii="Arial" w:hAnsi="Arial" w:cs="Arial"/>
          <w:sz w:val="22"/>
          <w:szCs w:val="22"/>
        </w:rPr>
        <w:t xml:space="preserve"> have a verifiable association with the historic Underground Railroad movement.  </w:t>
      </w:r>
      <w:r w:rsidRPr="00F27948">
        <w:rPr>
          <w:rFonts w:ascii="Arial" w:hAnsi="Arial" w:cs="Arial"/>
          <w:sz w:val="22"/>
          <w:szCs w:val="22"/>
        </w:rPr>
        <w:t>The National Park Service (we, NPS) administers the Network for the Secretary</w:t>
      </w:r>
      <w:r w:rsidRPr="00F27948" w:rsidR="0018288E">
        <w:rPr>
          <w:rFonts w:ascii="Arial" w:hAnsi="Arial" w:cs="Arial"/>
          <w:sz w:val="22"/>
          <w:szCs w:val="22"/>
        </w:rPr>
        <w:t xml:space="preserve">.  </w:t>
      </w:r>
      <w:r w:rsidRPr="00F27948">
        <w:rPr>
          <w:rFonts w:ascii="Arial" w:hAnsi="Arial" w:cs="Arial"/>
          <w:sz w:val="22"/>
          <w:szCs w:val="22"/>
        </w:rPr>
        <w:t xml:space="preserve">Through the Network, we coordinate preservation and education efforts nationwide and are working to integrate local historical sites, museums, and interpretive programs associated with the Underground Railroad into a mosaic of community, regional, and national stories.  </w:t>
      </w:r>
    </w:p>
    <w:p w:rsidR="008C2280" w:rsidRPr="00F27948" w:rsidP="00BB7FEE" w14:paraId="177DFDF4" w14:textId="77777777">
      <w:pPr>
        <w:pStyle w:val="BodyText2"/>
        <w:spacing w:line="276" w:lineRule="auto"/>
        <w:jc w:val="left"/>
        <w:rPr>
          <w:rFonts w:ascii="Arial" w:hAnsi="Arial" w:cs="Arial"/>
          <w:sz w:val="22"/>
          <w:szCs w:val="22"/>
        </w:rPr>
      </w:pPr>
    </w:p>
    <w:p w:rsidR="001D177F" w:rsidRPr="00453BE1" w:rsidP="00BB7FEE" w14:paraId="57844578" w14:textId="48FC14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53BE1">
        <w:rPr>
          <w:rFonts w:ascii="Arial" w:hAnsi="Arial" w:cs="Arial"/>
          <w:sz w:val="22"/>
          <w:szCs w:val="22"/>
        </w:rPr>
        <w:t>Federal agencies, State Historic Preservation Offices, other State agencies, local governments, organizations, and individuals who wish to become members of the Network</w:t>
      </w:r>
      <w:r w:rsidRPr="00453BE1" w:rsidR="00C5400B">
        <w:rPr>
          <w:rFonts w:ascii="Arial" w:hAnsi="Arial" w:cs="Arial"/>
          <w:sz w:val="22"/>
          <w:szCs w:val="22"/>
        </w:rPr>
        <w:t xml:space="preserve"> </w:t>
      </w:r>
      <w:r w:rsidRPr="00453BE1" w:rsidR="00F62BEC">
        <w:rPr>
          <w:rFonts w:ascii="Arial" w:hAnsi="Arial" w:cs="Arial"/>
          <w:sz w:val="22"/>
          <w:szCs w:val="22"/>
        </w:rPr>
        <w:t xml:space="preserve">must </w:t>
      </w:r>
      <w:r w:rsidRPr="00453BE1" w:rsidR="00C5400B">
        <w:rPr>
          <w:rFonts w:ascii="Arial" w:hAnsi="Arial" w:cs="Arial"/>
          <w:sz w:val="22"/>
          <w:szCs w:val="22"/>
        </w:rPr>
        <w:t xml:space="preserve">complete </w:t>
      </w:r>
      <w:r w:rsidRPr="00453BE1" w:rsidR="00D87F7B">
        <w:rPr>
          <w:rFonts w:ascii="Arial" w:hAnsi="Arial" w:cs="Arial"/>
          <w:sz w:val="22"/>
          <w:szCs w:val="22"/>
        </w:rPr>
        <w:t>Form</w:t>
      </w:r>
      <w:r w:rsidRPr="00453BE1" w:rsidR="00857E26">
        <w:rPr>
          <w:rFonts w:ascii="Arial" w:hAnsi="Arial" w:cs="Arial"/>
          <w:sz w:val="22"/>
          <w:szCs w:val="22"/>
        </w:rPr>
        <w:t xml:space="preserve"> 10-</w:t>
      </w:r>
      <w:r w:rsidRPr="00453BE1" w:rsidR="005E65E8">
        <w:rPr>
          <w:rFonts w:ascii="Arial" w:hAnsi="Arial" w:cs="Arial"/>
          <w:sz w:val="22"/>
          <w:szCs w:val="22"/>
        </w:rPr>
        <w:t>946</w:t>
      </w:r>
      <w:r w:rsidRPr="00453BE1" w:rsidR="00D87F7B">
        <w:rPr>
          <w:rFonts w:ascii="Arial" w:hAnsi="Arial" w:cs="Arial"/>
          <w:sz w:val="22"/>
          <w:szCs w:val="22"/>
        </w:rPr>
        <w:t>,</w:t>
      </w:r>
      <w:r w:rsidRPr="00453BE1" w:rsidR="005E65E8">
        <w:rPr>
          <w:rFonts w:ascii="Arial" w:hAnsi="Arial" w:cs="Arial"/>
          <w:sz w:val="22"/>
          <w:szCs w:val="22"/>
        </w:rPr>
        <w:t xml:space="preserve"> </w:t>
      </w:r>
      <w:r w:rsidRPr="00453BE1" w:rsidR="005E65E8">
        <w:rPr>
          <w:rFonts w:ascii="Arial" w:hAnsi="Arial" w:cs="Arial"/>
          <w:i/>
          <w:iCs/>
          <w:sz w:val="22"/>
          <w:szCs w:val="22"/>
        </w:rPr>
        <w:t>National Underground Railroad Network to Freedom Application</w:t>
      </w:r>
      <w:r w:rsidRPr="00453BE1" w:rsidR="00C5400B">
        <w:rPr>
          <w:rFonts w:ascii="Arial" w:hAnsi="Arial" w:cs="Arial"/>
          <w:sz w:val="22"/>
          <w:szCs w:val="22"/>
        </w:rPr>
        <w:t>.</w:t>
      </w:r>
      <w:r w:rsidRPr="00453BE1">
        <w:rPr>
          <w:rFonts w:ascii="Arial" w:hAnsi="Arial" w:cs="Arial"/>
          <w:sz w:val="22"/>
          <w:szCs w:val="22"/>
        </w:rPr>
        <w:t xml:space="preserve">  </w:t>
      </w:r>
      <w:r w:rsidRPr="00453BE1" w:rsidR="00C5400B">
        <w:rPr>
          <w:rFonts w:ascii="Arial" w:hAnsi="Arial" w:cs="Arial"/>
          <w:sz w:val="22"/>
          <w:szCs w:val="22"/>
        </w:rPr>
        <w:t>We review t</w:t>
      </w:r>
      <w:r w:rsidRPr="00453BE1">
        <w:rPr>
          <w:rFonts w:ascii="Arial" w:hAnsi="Arial" w:cs="Arial"/>
          <w:sz w:val="22"/>
          <w:szCs w:val="22"/>
        </w:rPr>
        <w:t xml:space="preserve">he completed form to verify the historical associations and management activities.  </w:t>
      </w:r>
    </w:p>
    <w:p w:rsidR="00E228FC" w:rsidRPr="00453BE1" w:rsidP="00BB7FEE" w14:paraId="0869DF8B" w14:textId="77777777">
      <w:pPr>
        <w:pStyle w:val="NoSpacing"/>
        <w:spacing w:line="276" w:lineRule="auto"/>
      </w:pPr>
    </w:p>
    <w:p w:rsidR="00E228FC" w:rsidRPr="00453BE1" w:rsidP="00BB7FEE" w14:paraId="60B18DE4" w14:textId="6BC90D81">
      <w:pPr>
        <w:pStyle w:val="BodyText"/>
        <w:spacing w:line="276" w:lineRule="auto"/>
        <w:rPr>
          <w:rFonts w:ascii="Arial" w:hAnsi="Arial" w:cs="Arial"/>
          <w:sz w:val="22"/>
          <w:szCs w:val="22"/>
        </w:rPr>
      </w:pPr>
      <w:r w:rsidRPr="00453BE1">
        <w:rPr>
          <w:rFonts w:ascii="Arial" w:hAnsi="Arial" w:cs="Arial"/>
          <w:sz w:val="22"/>
          <w:szCs w:val="22"/>
        </w:rPr>
        <w:t xml:space="preserve">One of the principal components of the Network to Freedom Program is to validate the efforts of local and regional organizations </w:t>
      </w:r>
      <w:r w:rsidR="009C56C8">
        <w:rPr>
          <w:rFonts w:ascii="Arial" w:hAnsi="Arial" w:cs="Arial"/>
          <w:sz w:val="22"/>
          <w:szCs w:val="22"/>
        </w:rPr>
        <w:t xml:space="preserve">to </w:t>
      </w:r>
      <w:r w:rsidRPr="00453BE1">
        <w:rPr>
          <w:rFonts w:ascii="Arial" w:hAnsi="Arial" w:cs="Arial"/>
          <w:sz w:val="22"/>
          <w:szCs w:val="22"/>
        </w:rPr>
        <w:t>mak</w:t>
      </w:r>
      <w:r w:rsidR="009C56C8">
        <w:rPr>
          <w:rFonts w:ascii="Arial" w:hAnsi="Arial" w:cs="Arial"/>
          <w:sz w:val="22"/>
          <w:szCs w:val="22"/>
        </w:rPr>
        <w:t>e</w:t>
      </w:r>
      <w:r w:rsidRPr="00453BE1">
        <w:rPr>
          <w:rFonts w:ascii="Arial" w:hAnsi="Arial" w:cs="Arial"/>
          <w:sz w:val="22"/>
          <w:szCs w:val="22"/>
        </w:rPr>
        <w:t xml:space="preserve"> it easier for them to share expertise and communicate with </w:t>
      </w:r>
      <w:r w:rsidRPr="00453BE1" w:rsidR="00C96D18">
        <w:rPr>
          <w:rFonts w:ascii="Arial" w:hAnsi="Arial" w:cs="Arial"/>
          <w:sz w:val="22"/>
          <w:szCs w:val="22"/>
        </w:rPr>
        <w:t xml:space="preserve">NPS </w:t>
      </w:r>
      <w:r w:rsidRPr="00453BE1">
        <w:rPr>
          <w:rFonts w:ascii="Arial" w:hAnsi="Arial" w:cs="Arial"/>
          <w:sz w:val="22"/>
          <w:szCs w:val="22"/>
        </w:rPr>
        <w:t xml:space="preserve">and </w:t>
      </w:r>
      <w:r w:rsidRPr="00453BE1" w:rsidR="00C96D18">
        <w:rPr>
          <w:rFonts w:ascii="Arial" w:hAnsi="Arial" w:cs="Arial"/>
          <w:sz w:val="22"/>
          <w:szCs w:val="22"/>
        </w:rPr>
        <w:t>other Network participants</w:t>
      </w:r>
      <w:r w:rsidRPr="00453BE1">
        <w:rPr>
          <w:rFonts w:ascii="Arial" w:hAnsi="Arial" w:cs="Arial"/>
          <w:sz w:val="22"/>
          <w:szCs w:val="22"/>
        </w:rPr>
        <w:t xml:space="preserve">. </w:t>
      </w:r>
      <w:r w:rsidR="009C56C8">
        <w:rPr>
          <w:rFonts w:ascii="Arial" w:hAnsi="Arial" w:cs="Arial"/>
          <w:sz w:val="22"/>
          <w:szCs w:val="22"/>
        </w:rPr>
        <w:t xml:space="preserve"> </w:t>
      </w:r>
      <w:r w:rsidRPr="00453BE1" w:rsidR="00C96D18">
        <w:rPr>
          <w:rFonts w:ascii="Arial" w:hAnsi="Arial" w:cs="Arial"/>
          <w:sz w:val="22"/>
          <w:szCs w:val="22"/>
        </w:rPr>
        <w:t>L</w:t>
      </w:r>
      <w:r w:rsidRPr="00453BE1">
        <w:rPr>
          <w:rFonts w:ascii="Arial" w:hAnsi="Arial" w:cs="Arial"/>
          <w:sz w:val="22"/>
          <w:szCs w:val="22"/>
        </w:rPr>
        <w:t xml:space="preserve">ocal entities </w:t>
      </w:r>
      <w:r w:rsidRPr="00453BE1" w:rsidR="00C96D18">
        <w:rPr>
          <w:rFonts w:ascii="Arial" w:hAnsi="Arial" w:cs="Arial"/>
          <w:sz w:val="22"/>
          <w:szCs w:val="22"/>
        </w:rPr>
        <w:t xml:space="preserve">participate and contribute to this effort by </w:t>
      </w:r>
      <w:r w:rsidRPr="00453BE1">
        <w:rPr>
          <w:rFonts w:ascii="Arial" w:hAnsi="Arial" w:cs="Arial"/>
          <w:sz w:val="22"/>
          <w:szCs w:val="22"/>
        </w:rPr>
        <w:t>becom</w:t>
      </w:r>
      <w:r w:rsidRPr="00453BE1" w:rsidR="00C96D18">
        <w:rPr>
          <w:rFonts w:ascii="Arial" w:hAnsi="Arial" w:cs="Arial"/>
          <w:sz w:val="22"/>
          <w:szCs w:val="22"/>
        </w:rPr>
        <w:t>ing</w:t>
      </w:r>
      <w:r w:rsidRPr="00453BE1">
        <w:rPr>
          <w:rFonts w:ascii="Arial" w:hAnsi="Arial" w:cs="Arial"/>
          <w:sz w:val="22"/>
          <w:szCs w:val="22"/>
        </w:rPr>
        <w:t xml:space="preserve"> Network Partners. </w:t>
      </w:r>
      <w:r w:rsidRPr="00453BE1" w:rsidR="00461676">
        <w:rPr>
          <w:rFonts w:ascii="Arial" w:hAnsi="Arial" w:cs="Arial"/>
          <w:sz w:val="22"/>
          <w:szCs w:val="22"/>
        </w:rPr>
        <w:t xml:space="preserve"> </w:t>
      </w:r>
      <w:r w:rsidRPr="00453BE1">
        <w:rPr>
          <w:rFonts w:ascii="Arial" w:hAnsi="Arial" w:cs="Arial"/>
          <w:sz w:val="22"/>
          <w:szCs w:val="22"/>
        </w:rPr>
        <w:t>Partners of the Network to Freedom Program work alongside</w:t>
      </w:r>
      <w:r w:rsidRPr="00453BE1" w:rsidR="00392305">
        <w:rPr>
          <w:rFonts w:ascii="Arial" w:hAnsi="Arial" w:cs="Arial"/>
          <w:sz w:val="22"/>
          <w:szCs w:val="22"/>
        </w:rPr>
        <w:t xml:space="preserve"> and often in cooperation with</w:t>
      </w:r>
      <w:r w:rsidRPr="00453BE1">
        <w:rPr>
          <w:rFonts w:ascii="Arial" w:hAnsi="Arial" w:cs="Arial"/>
          <w:sz w:val="22"/>
          <w:szCs w:val="22"/>
        </w:rPr>
        <w:t xml:space="preserve"> the </w:t>
      </w:r>
      <w:r w:rsidRPr="00453BE1" w:rsidR="00C96D18">
        <w:rPr>
          <w:rFonts w:ascii="Arial" w:hAnsi="Arial" w:cs="Arial"/>
          <w:sz w:val="22"/>
          <w:szCs w:val="22"/>
        </w:rPr>
        <w:t>NPS</w:t>
      </w:r>
      <w:r w:rsidRPr="00453BE1">
        <w:rPr>
          <w:rFonts w:ascii="Arial" w:hAnsi="Arial" w:cs="Arial"/>
          <w:sz w:val="22"/>
          <w:szCs w:val="22"/>
        </w:rPr>
        <w:t xml:space="preserve"> to fulfil</w:t>
      </w:r>
      <w:r w:rsidRPr="00453BE1" w:rsidR="00392305">
        <w:rPr>
          <w:rFonts w:ascii="Arial" w:hAnsi="Arial" w:cs="Arial"/>
          <w:sz w:val="22"/>
          <w:szCs w:val="22"/>
        </w:rPr>
        <w:t>l</w:t>
      </w:r>
      <w:r w:rsidRPr="00453BE1">
        <w:rPr>
          <w:rFonts w:ascii="Arial" w:hAnsi="Arial" w:cs="Arial"/>
          <w:sz w:val="22"/>
          <w:szCs w:val="22"/>
        </w:rPr>
        <w:t xml:space="preserve"> the program’s mission. They are closely involved in the entire process of preserving resources, </w:t>
      </w:r>
      <w:r w:rsidRPr="00453BE1" w:rsidR="00473F18">
        <w:rPr>
          <w:rFonts w:ascii="Arial" w:hAnsi="Arial" w:cs="Arial"/>
          <w:sz w:val="22"/>
          <w:szCs w:val="22"/>
        </w:rPr>
        <w:t>commemorating,</w:t>
      </w:r>
      <w:r w:rsidRPr="00453BE1">
        <w:rPr>
          <w:rFonts w:ascii="Arial" w:hAnsi="Arial" w:cs="Arial"/>
          <w:sz w:val="22"/>
          <w:szCs w:val="22"/>
        </w:rPr>
        <w:t xml:space="preserve"> and educating the public about the Underground Railroad. Many partners have worked cooperatively with </w:t>
      </w:r>
      <w:r w:rsidRPr="00453BE1" w:rsidR="00C96D18">
        <w:rPr>
          <w:rFonts w:ascii="Arial" w:hAnsi="Arial" w:cs="Arial"/>
          <w:sz w:val="22"/>
          <w:szCs w:val="22"/>
        </w:rPr>
        <w:t>the NPS</w:t>
      </w:r>
      <w:r w:rsidRPr="00453BE1">
        <w:rPr>
          <w:rFonts w:ascii="Arial" w:hAnsi="Arial" w:cs="Arial"/>
          <w:sz w:val="22"/>
          <w:szCs w:val="22"/>
        </w:rPr>
        <w:t xml:space="preserve"> </w:t>
      </w:r>
      <w:r w:rsidRPr="00453BE1" w:rsidR="005C283E">
        <w:rPr>
          <w:rFonts w:ascii="Arial" w:hAnsi="Arial" w:cs="Arial"/>
          <w:sz w:val="22"/>
          <w:szCs w:val="22"/>
        </w:rPr>
        <w:t>in either</w:t>
      </w:r>
      <w:r w:rsidRPr="00453BE1">
        <w:rPr>
          <w:rFonts w:ascii="Arial" w:hAnsi="Arial" w:cs="Arial"/>
          <w:sz w:val="22"/>
          <w:szCs w:val="22"/>
        </w:rPr>
        <w:t xml:space="preserve"> formal or informal roles to accomplish these activities. Most importantly, it is often through the dedicated efforts of Network Partners that </w:t>
      </w:r>
      <w:r w:rsidRPr="00453BE1" w:rsidR="002A0E63">
        <w:rPr>
          <w:rFonts w:ascii="Arial" w:hAnsi="Arial" w:cs="Arial"/>
          <w:sz w:val="22"/>
          <w:szCs w:val="22"/>
        </w:rPr>
        <w:t xml:space="preserve">new </w:t>
      </w:r>
      <w:r w:rsidRPr="00453BE1">
        <w:rPr>
          <w:rFonts w:ascii="Arial" w:hAnsi="Arial" w:cs="Arial"/>
          <w:sz w:val="22"/>
          <w:szCs w:val="22"/>
        </w:rPr>
        <w:t>elements are added to the Network to Freedom.</w:t>
      </w:r>
    </w:p>
    <w:p w:rsidR="00D51600" w:rsidP="00BB7FEE" w14:paraId="543A2A3E" w14:textId="4C07DC6F">
      <w:pPr>
        <w:spacing w:line="276" w:lineRule="auto"/>
        <w:rPr>
          <w:rFonts w:ascii="Arial" w:hAnsi="Arial" w:cs="Arial"/>
          <w:sz w:val="22"/>
          <w:szCs w:val="22"/>
        </w:rPr>
      </w:pPr>
      <w:r w:rsidRPr="00453BE1">
        <w:rPr>
          <w:rFonts w:ascii="Arial" w:hAnsi="Arial" w:cs="Arial"/>
          <w:sz w:val="22"/>
          <w:szCs w:val="22"/>
        </w:rPr>
        <w:t xml:space="preserve">The Network to Freedom and Network Partners are two closely interrelated parts of the Network to Freedom Program. </w:t>
      </w:r>
      <w:r w:rsidRPr="00453BE1" w:rsidR="00030529">
        <w:rPr>
          <w:rFonts w:ascii="Arial" w:hAnsi="Arial" w:cs="Arial"/>
          <w:sz w:val="22"/>
          <w:szCs w:val="22"/>
        </w:rPr>
        <w:t xml:space="preserve"> In some circumstances, </w:t>
      </w:r>
      <w:r w:rsidRPr="00453BE1">
        <w:rPr>
          <w:rFonts w:ascii="Arial" w:hAnsi="Arial" w:cs="Arial"/>
          <w:sz w:val="22"/>
          <w:szCs w:val="22"/>
        </w:rPr>
        <w:t xml:space="preserve">Network Partners </w:t>
      </w:r>
      <w:r w:rsidRPr="00453BE1" w:rsidR="002A0E63">
        <w:rPr>
          <w:rFonts w:ascii="Arial" w:hAnsi="Arial" w:cs="Arial"/>
          <w:sz w:val="22"/>
          <w:szCs w:val="22"/>
        </w:rPr>
        <w:t>can qualify as</w:t>
      </w:r>
      <w:r w:rsidRPr="00453BE1">
        <w:rPr>
          <w:rFonts w:ascii="Arial" w:hAnsi="Arial" w:cs="Arial"/>
          <w:sz w:val="22"/>
          <w:szCs w:val="22"/>
        </w:rPr>
        <w:t xml:space="preserve"> elements of the Network to Freedom if they have met the Network’s established criteria. More commonly, Network Partners are the entities that work to </w:t>
      </w:r>
      <w:r w:rsidRPr="00453BE1" w:rsidR="002A0E63">
        <w:rPr>
          <w:rFonts w:ascii="Arial" w:hAnsi="Arial" w:cs="Arial"/>
          <w:sz w:val="22"/>
          <w:szCs w:val="22"/>
        </w:rPr>
        <w:t xml:space="preserve">add new </w:t>
      </w:r>
      <w:r w:rsidRPr="00453BE1">
        <w:rPr>
          <w:rFonts w:ascii="Arial" w:hAnsi="Arial" w:cs="Arial"/>
          <w:sz w:val="22"/>
          <w:szCs w:val="22"/>
        </w:rPr>
        <w:t xml:space="preserve">elements </w:t>
      </w:r>
      <w:r w:rsidRPr="00453BE1" w:rsidR="002A0E63">
        <w:rPr>
          <w:rFonts w:ascii="Arial" w:hAnsi="Arial" w:cs="Arial"/>
          <w:sz w:val="22"/>
          <w:szCs w:val="22"/>
        </w:rPr>
        <w:t xml:space="preserve">to </w:t>
      </w:r>
      <w:r w:rsidRPr="00453BE1">
        <w:rPr>
          <w:rFonts w:ascii="Arial" w:hAnsi="Arial" w:cs="Arial"/>
          <w:sz w:val="22"/>
          <w:szCs w:val="22"/>
        </w:rPr>
        <w:t xml:space="preserve">the Network to Freedom. Network Partners are </w:t>
      </w:r>
      <w:r w:rsidRPr="00453BE1" w:rsidR="00CF493D">
        <w:rPr>
          <w:rFonts w:ascii="Arial" w:hAnsi="Arial" w:cs="Arial"/>
          <w:sz w:val="22"/>
          <w:szCs w:val="22"/>
        </w:rPr>
        <w:t>not</w:t>
      </w:r>
      <w:r w:rsidRPr="00453BE1">
        <w:rPr>
          <w:rFonts w:ascii="Arial" w:hAnsi="Arial" w:cs="Arial"/>
          <w:sz w:val="22"/>
          <w:szCs w:val="22"/>
        </w:rPr>
        <w:t xml:space="preserve"> authorized to use the Network to Freedom logo. That use is a characteristic of elements included in the Network to Freedom. </w:t>
      </w:r>
    </w:p>
    <w:p w:rsidR="00046897" w:rsidRPr="00453BE1" w:rsidP="00BB7FEE" w14:paraId="61E8D3A2" w14:textId="77777777">
      <w:pPr>
        <w:spacing w:line="276" w:lineRule="auto"/>
        <w:rPr>
          <w:rFonts w:ascii="Arial" w:hAnsi="Arial" w:cs="Arial"/>
          <w:sz w:val="22"/>
          <w:szCs w:val="22"/>
        </w:rPr>
      </w:pPr>
    </w:p>
    <w:p w:rsidR="00295103" w:rsidRPr="001F401A" w14:paraId="2612B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453BE1">
        <w:rPr>
          <w:rFonts w:ascii="Arial" w:hAnsi="Arial" w:cs="Arial"/>
          <w:b/>
          <w:sz w:val="22"/>
          <w:szCs w:val="22"/>
        </w:rPr>
        <w:t>2.</w:t>
      </w:r>
      <w:r w:rsidRPr="00453BE1">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453BE1" w:rsidR="00DE1FFE">
        <w:rPr>
          <w:rFonts w:ascii="Arial" w:hAnsi="Arial" w:cs="Arial"/>
          <w:b/>
          <w:sz w:val="22"/>
          <w:szCs w:val="22"/>
        </w:rPr>
        <w:t xml:space="preserve"> </w:t>
      </w:r>
      <w:r w:rsidRPr="00453BE1">
        <w:rPr>
          <w:rFonts w:ascii="Arial" w:hAnsi="Arial" w:cs="Arial"/>
          <w:b/>
          <w:sz w:val="22"/>
          <w:szCs w:val="22"/>
        </w:rPr>
        <w:t xml:space="preserve">Be specific.  If this collection is a form or a questionnaire, every </w:t>
      </w:r>
      <w:r w:rsidRPr="00453BE1" w:rsidR="00DE1FFE">
        <w:rPr>
          <w:rFonts w:ascii="Arial" w:hAnsi="Arial" w:cs="Arial"/>
          <w:b/>
          <w:sz w:val="22"/>
          <w:szCs w:val="22"/>
        </w:rPr>
        <w:t>question needs to be justified.</w:t>
      </w:r>
    </w:p>
    <w:p w:rsidR="00C5400B" w:rsidRPr="00655574" w14:paraId="3651C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13383" w:rsidRPr="00655574" w:rsidP="00BB7FEE" w14:paraId="5F46C2D5" w14:textId="152767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 xml:space="preserve">We </w:t>
      </w:r>
      <w:r w:rsidRPr="00655574" w:rsidR="00CF493D">
        <w:rPr>
          <w:rFonts w:ascii="Arial" w:hAnsi="Arial" w:cs="Arial"/>
          <w:sz w:val="22"/>
          <w:szCs w:val="22"/>
        </w:rPr>
        <w:t>will continue using</w:t>
      </w:r>
      <w:r w:rsidRPr="00655574">
        <w:rPr>
          <w:rFonts w:ascii="Arial" w:hAnsi="Arial" w:cs="Arial"/>
          <w:sz w:val="22"/>
          <w:szCs w:val="22"/>
        </w:rPr>
        <w:t xml:space="preserve"> </w:t>
      </w:r>
      <w:r w:rsidRPr="00655574" w:rsidR="005C283E">
        <w:rPr>
          <w:rFonts w:ascii="Arial" w:hAnsi="Arial" w:cs="Arial"/>
          <w:iCs/>
          <w:sz w:val="22"/>
          <w:szCs w:val="22"/>
        </w:rPr>
        <w:t>NPS Form 10-946</w:t>
      </w:r>
      <w:r w:rsidRPr="00655574" w:rsidR="005C283E">
        <w:rPr>
          <w:rFonts w:ascii="Arial" w:hAnsi="Arial" w:cs="Arial"/>
          <w:i/>
          <w:sz w:val="22"/>
          <w:szCs w:val="22"/>
        </w:rPr>
        <w:t>, National Underground Railroad Network to Freedom Application</w:t>
      </w:r>
      <w:r w:rsidRPr="00655574">
        <w:rPr>
          <w:rFonts w:ascii="Arial" w:hAnsi="Arial" w:cs="Arial"/>
          <w:sz w:val="22"/>
          <w:szCs w:val="22"/>
        </w:rPr>
        <w:t xml:space="preserve"> to verify a candidate’s historical association </w:t>
      </w:r>
      <w:r w:rsidRPr="00655574" w:rsidR="00081554">
        <w:rPr>
          <w:rFonts w:ascii="Arial" w:hAnsi="Arial" w:cs="Arial"/>
          <w:sz w:val="22"/>
          <w:szCs w:val="22"/>
        </w:rPr>
        <w:t>with</w:t>
      </w:r>
      <w:r w:rsidRPr="00655574">
        <w:rPr>
          <w:rFonts w:ascii="Arial" w:hAnsi="Arial" w:cs="Arial"/>
          <w:sz w:val="22"/>
          <w:szCs w:val="22"/>
        </w:rPr>
        <w:t xml:space="preserve"> the Underground Railroad and to evaluate the candidate’s activities (especially for interpretive programs and facilities). </w:t>
      </w:r>
      <w:r w:rsidRPr="00655574" w:rsidR="002B5C34">
        <w:rPr>
          <w:rFonts w:ascii="Arial" w:hAnsi="Arial" w:cs="Arial"/>
          <w:sz w:val="22"/>
          <w:szCs w:val="22"/>
        </w:rPr>
        <w:t xml:space="preserve"> </w:t>
      </w:r>
      <w:r w:rsidRPr="00655574">
        <w:rPr>
          <w:rFonts w:ascii="Arial" w:hAnsi="Arial" w:cs="Arial"/>
          <w:sz w:val="22"/>
          <w:szCs w:val="22"/>
        </w:rPr>
        <w:t xml:space="preserve">The decision to include </w:t>
      </w:r>
      <w:r w:rsidRPr="00655574" w:rsidR="00081554">
        <w:rPr>
          <w:rFonts w:ascii="Arial" w:hAnsi="Arial" w:cs="Arial"/>
          <w:sz w:val="22"/>
          <w:szCs w:val="22"/>
        </w:rPr>
        <w:t>s</w:t>
      </w:r>
      <w:r w:rsidRPr="00655574" w:rsidR="005C283E">
        <w:rPr>
          <w:rFonts w:ascii="Arial" w:hAnsi="Arial" w:cs="Arial"/>
          <w:sz w:val="22"/>
          <w:szCs w:val="22"/>
        </w:rPr>
        <w:t xml:space="preserve">ites or properties applying for inclusion in the Network </w:t>
      </w:r>
      <w:r w:rsidRPr="00655574">
        <w:rPr>
          <w:rFonts w:ascii="Arial" w:hAnsi="Arial" w:cs="Arial"/>
          <w:sz w:val="22"/>
          <w:szCs w:val="22"/>
        </w:rPr>
        <w:t xml:space="preserve">is based on </w:t>
      </w:r>
      <w:r w:rsidRPr="00655574" w:rsidR="003923EE">
        <w:rPr>
          <w:rFonts w:ascii="Arial" w:hAnsi="Arial" w:cs="Arial"/>
          <w:sz w:val="22"/>
          <w:szCs w:val="22"/>
        </w:rPr>
        <w:t xml:space="preserve">the following </w:t>
      </w:r>
      <w:r w:rsidRPr="00655574">
        <w:rPr>
          <w:rFonts w:ascii="Arial" w:hAnsi="Arial" w:cs="Arial"/>
          <w:sz w:val="22"/>
          <w:szCs w:val="22"/>
        </w:rPr>
        <w:t>key factor</w:t>
      </w:r>
      <w:r w:rsidRPr="00655574" w:rsidR="003923EE">
        <w:rPr>
          <w:rFonts w:ascii="Arial" w:hAnsi="Arial" w:cs="Arial"/>
          <w:sz w:val="22"/>
          <w:szCs w:val="22"/>
        </w:rPr>
        <w:t>s</w:t>
      </w:r>
      <w:r w:rsidRPr="00655574" w:rsidR="005C283E">
        <w:rPr>
          <w:rFonts w:ascii="Arial" w:hAnsi="Arial" w:cs="Arial"/>
          <w:sz w:val="22"/>
          <w:szCs w:val="22"/>
        </w:rPr>
        <w:t>:</w:t>
      </w:r>
      <w:r w:rsidRPr="00655574">
        <w:rPr>
          <w:rFonts w:ascii="Arial" w:hAnsi="Arial" w:cs="Arial"/>
          <w:sz w:val="22"/>
          <w:szCs w:val="22"/>
        </w:rPr>
        <w:t xml:space="preserve">  </w:t>
      </w:r>
    </w:p>
    <w:p w:rsidR="00655574" w:rsidRPr="00655574" w:rsidP="00BB7FEE" w14:paraId="75176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413383" w:rsidRPr="00655574" w:rsidP="000B3AB9" w14:paraId="38AD4523" w14:textId="25364EA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 xml:space="preserve">have </w:t>
      </w:r>
      <w:r w:rsidRPr="00655574" w:rsidR="00C5400B">
        <w:rPr>
          <w:rFonts w:ascii="Arial" w:hAnsi="Arial" w:cs="Arial"/>
          <w:sz w:val="22"/>
          <w:szCs w:val="22"/>
        </w:rPr>
        <w:t xml:space="preserve">a clear historical association to the Underground Railroad, either in program activities, collections, or site association.  </w:t>
      </w:r>
    </w:p>
    <w:p w:rsidR="00413383" w:rsidRPr="00655574" w:rsidP="000B3AB9" w14:paraId="6A422ECC" w14:textId="58ACDF28">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be</w:t>
      </w:r>
      <w:r w:rsidRPr="00655574" w:rsidR="00C5400B">
        <w:rPr>
          <w:rFonts w:ascii="Arial" w:hAnsi="Arial" w:cs="Arial"/>
          <w:sz w:val="22"/>
          <w:szCs w:val="22"/>
        </w:rPr>
        <w:t xml:space="preserve"> clear, convincing, and </w:t>
      </w:r>
      <w:r w:rsidRPr="00655574" w:rsidR="0000421F">
        <w:rPr>
          <w:rFonts w:ascii="Arial" w:hAnsi="Arial" w:cs="Arial"/>
          <w:sz w:val="22"/>
          <w:szCs w:val="22"/>
        </w:rPr>
        <w:t xml:space="preserve">have </w:t>
      </w:r>
      <w:r w:rsidRPr="00655574" w:rsidR="00C5400B">
        <w:rPr>
          <w:rFonts w:ascii="Arial" w:hAnsi="Arial" w:cs="Arial"/>
          <w:sz w:val="22"/>
          <w:szCs w:val="22"/>
        </w:rPr>
        <w:t xml:space="preserve">well-documented evidence of historical association.  </w:t>
      </w:r>
    </w:p>
    <w:p w:rsidR="00413383" w:rsidRPr="00655574" w:rsidP="000B3AB9" w14:paraId="080A3535" w14:textId="5363A35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 xml:space="preserve">submit photographs, preferably maps, to verify location and current appearance.  </w:t>
      </w:r>
    </w:p>
    <w:p w:rsidR="00C5400B" w:rsidRPr="00655574" w:rsidP="000B3AB9" w14:paraId="0AA7F7B7" w14:textId="62117934">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 xml:space="preserve">describe collection or activity </w:t>
      </w:r>
      <w:r w:rsidRPr="00655574" w:rsidR="00355ABA">
        <w:rPr>
          <w:rFonts w:ascii="Arial" w:hAnsi="Arial" w:cs="Arial"/>
          <w:sz w:val="22"/>
          <w:szCs w:val="22"/>
        </w:rPr>
        <w:t>associated</w:t>
      </w:r>
      <w:r w:rsidRPr="00655574">
        <w:rPr>
          <w:rFonts w:ascii="Arial" w:hAnsi="Arial" w:cs="Arial"/>
          <w:sz w:val="22"/>
          <w:szCs w:val="22"/>
        </w:rPr>
        <w:t xml:space="preserve"> to the Underground Railroad as well as explain management characteristics and protocol. </w:t>
      </w:r>
    </w:p>
    <w:p w:rsidR="00355ABA" w:rsidRPr="00655574" w:rsidP="00BB7FEE" w14:paraId="7599BD75" w14:textId="77777777">
      <w:pPr>
        <w:pStyle w:val="NoSpacing"/>
        <w:spacing w:line="276" w:lineRule="auto"/>
        <w:rPr>
          <w:rFonts w:ascii="Arial" w:hAnsi="Arial" w:cs="Arial"/>
          <w:sz w:val="22"/>
          <w:szCs w:val="22"/>
        </w:rPr>
      </w:pPr>
    </w:p>
    <w:p w:rsidR="00C5400B" w:rsidRPr="00655574" w:rsidP="00BB7FEE" w14:paraId="17CB4176" w14:textId="5322E3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After an element is included in the Network, the inform</w:t>
      </w:r>
      <w:r w:rsidRPr="00655574" w:rsidR="00160BDF">
        <w:rPr>
          <w:rFonts w:ascii="Arial" w:hAnsi="Arial" w:cs="Arial"/>
          <w:sz w:val="22"/>
          <w:szCs w:val="22"/>
        </w:rPr>
        <w:t xml:space="preserve">ation collected </w:t>
      </w:r>
      <w:r w:rsidRPr="00655574" w:rsidR="005C283E">
        <w:rPr>
          <w:rFonts w:ascii="Arial" w:hAnsi="Arial" w:cs="Arial"/>
          <w:sz w:val="22"/>
          <w:szCs w:val="22"/>
        </w:rPr>
        <w:t xml:space="preserve">in </w:t>
      </w:r>
      <w:r w:rsidRPr="00655574" w:rsidR="005C283E">
        <w:rPr>
          <w:rFonts w:ascii="Arial" w:hAnsi="Arial" w:cs="Arial"/>
          <w:i/>
          <w:sz w:val="22"/>
          <w:szCs w:val="22"/>
        </w:rPr>
        <w:t>NPS Form 10-946</w:t>
      </w:r>
      <w:r w:rsidRPr="00655574" w:rsidR="005C283E">
        <w:rPr>
          <w:rFonts w:ascii="Arial" w:hAnsi="Arial" w:cs="Arial"/>
          <w:sz w:val="22"/>
          <w:szCs w:val="22"/>
        </w:rPr>
        <w:t xml:space="preserve"> </w:t>
      </w:r>
      <w:r w:rsidRPr="00655574">
        <w:rPr>
          <w:rFonts w:ascii="Arial" w:hAnsi="Arial" w:cs="Arial"/>
          <w:sz w:val="22"/>
          <w:szCs w:val="22"/>
        </w:rPr>
        <w:t xml:space="preserve">becomes available to the public for research.  Key information is </w:t>
      </w:r>
      <w:r w:rsidRPr="00655574" w:rsidR="006771DC">
        <w:rPr>
          <w:rFonts w:ascii="Arial" w:hAnsi="Arial" w:cs="Arial"/>
          <w:sz w:val="22"/>
          <w:szCs w:val="22"/>
        </w:rPr>
        <w:t>publicly</w:t>
      </w:r>
      <w:r w:rsidRPr="00655574" w:rsidR="005C283E">
        <w:rPr>
          <w:rFonts w:ascii="Arial" w:hAnsi="Arial" w:cs="Arial"/>
          <w:sz w:val="22"/>
          <w:szCs w:val="22"/>
        </w:rPr>
        <w:t xml:space="preserve"> available on</w:t>
      </w:r>
      <w:r w:rsidRPr="00655574" w:rsidR="003B589A">
        <w:rPr>
          <w:rFonts w:ascii="Arial" w:hAnsi="Arial" w:cs="Arial"/>
          <w:sz w:val="22"/>
          <w:szCs w:val="22"/>
        </w:rPr>
        <w:t xml:space="preserve"> the Network </w:t>
      </w:r>
      <w:r w:rsidRPr="00655574" w:rsidR="00413383">
        <w:rPr>
          <w:rFonts w:ascii="Arial" w:hAnsi="Arial" w:cs="Arial"/>
          <w:sz w:val="22"/>
          <w:szCs w:val="22"/>
        </w:rPr>
        <w:t>w</w:t>
      </w:r>
      <w:r w:rsidRPr="00655574" w:rsidR="002B5C34">
        <w:rPr>
          <w:rFonts w:ascii="Arial" w:hAnsi="Arial" w:cs="Arial"/>
          <w:sz w:val="22"/>
          <w:szCs w:val="22"/>
        </w:rPr>
        <w:t>e</w:t>
      </w:r>
      <w:r w:rsidRPr="00655574" w:rsidR="003B589A">
        <w:rPr>
          <w:rFonts w:ascii="Arial" w:hAnsi="Arial" w:cs="Arial"/>
          <w:sz w:val="22"/>
          <w:szCs w:val="22"/>
        </w:rPr>
        <w:t>b</w:t>
      </w:r>
      <w:r w:rsidRPr="00655574">
        <w:rPr>
          <w:rFonts w:ascii="Arial" w:hAnsi="Arial" w:cs="Arial"/>
          <w:sz w:val="22"/>
          <w:szCs w:val="22"/>
        </w:rPr>
        <w:t xml:space="preserve">site (www.nps.gov/ugrr).  NPS and other interested parties </w:t>
      </w:r>
      <w:r w:rsidRPr="00655574" w:rsidR="005C283E">
        <w:rPr>
          <w:rFonts w:ascii="Arial" w:hAnsi="Arial" w:cs="Arial"/>
          <w:sz w:val="22"/>
          <w:szCs w:val="22"/>
        </w:rPr>
        <w:t xml:space="preserve">use the information </w:t>
      </w:r>
      <w:r w:rsidRPr="00655574">
        <w:rPr>
          <w:rFonts w:ascii="Arial" w:hAnsi="Arial" w:cs="Arial"/>
          <w:sz w:val="22"/>
          <w:szCs w:val="22"/>
        </w:rPr>
        <w:t>for research, education, heritage tourism, and preservation programs.  The information provide</w:t>
      </w:r>
      <w:r w:rsidRPr="00655574" w:rsidR="007C5EC0">
        <w:rPr>
          <w:rFonts w:ascii="Arial" w:hAnsi="Arial" w:cs="Arial"/>
          <w:sz w:val="22"/>
          <w:szCs w:val="22"/>
        </w:rPr>
        <w:t>s</w:t>
      </w:r>
      <w:r w:rsidRPr="00655574">
        <w:rPr>
          <w:rFonts w:ascii="Arial" w:hAnsi="Arial" w:cs="Arial"/>
          <w:sz w:val="22"/>
          <w:szCs w:val="22"/>
        </w:rPr>
        <w:t xml:space="preserve"> a </w:t>
      </w:r>
      <w:r w:rsidRPr="00655574" w:rsidR="00413383">
        <w:rPr>
          <w:rFonts w:ascii="Arial" w:hAnsi="Arial" w:cs="Arial"/>
          <w:sz w:val="22"/>
          <w:szCs w:val="22"/>
        </w:rPr>
        <w:t xml:space="preserve">better </w:t>
      </w:r>
      <w:r w:rsidRPr="00655574">
        <w:rPr>
          <w:rFonts w:ascii="Arial" w:hAnsi="Arial" w:cs="Arial"/>
          <w:sz w:val="22"/>
          <w:szCs w:val="22"/>
        </w:rPr>
        <w:t xml:space="preserve">understanding of our common </w:t>
      </w:r>
      <w:r w:rsidRPr="00655574" w:rsidR="005C283E">
        <w:rPr>
          <w:rFonts w:ascii="Arial" w:hAnsi="Arial" w:cs="Arial"/>
          <w:sz w:val="22"/>
          <w:szCs w:val="22"/>
        </w:rPr>
        <w:t>heritage that contributes to a</w:t>
      </w:r>
      <w:r w:rsidRPr="00655574">
        <w:rPr>
          <w:rFonts w:ascii="Arial" w:hAnsi="Arial" w:cs="Arial"/>
          <w:sz w:val="22"/>
          <w:szCs w:val="22"/>
        </w:rPr>
        <w:t xml:space="preserve"> more thorough analysis of the Underground Railroad movement than</w:t>
      </w:r>
      <w:r w:rsidRPr="00655574" w:rsidR="00413383">
        <w:rPr>
          <w:rFonts w:ascii="Arial" w:hAnsi="Arial" w:cs="Arial"/>
          <w:sz w:val="22"/>
          <w:szCs w:val="22"/>
        </w:rPr>
        <w:t xml:space="preserve"> previously</w:t>
      </w:r>
      <w:r w:rsidRPr="00655574">
        <w:rPr>
          <w:rFonts w:ascii="Arial" w:hAnsi="Arial" w:cs="Arial"/>
          <w:sz w:val="22"/>
          <w:szCs w:val="22"/>
        </w:rPr>
        <w:t xml:space="preserve"> available.  </w:t>
      </w:r>
      <w:r w:rsidRPr="00655574" w:rsidR="000D5650">
        <w:rPr>
          <w:rFonts w:ascii="Arial" w:hAnsi="Arial" w:cs="Arial"/>
          <w:sz w:val="22"/>
          <w:szCs w:val="22"/>
        </w:rPr>
        <w:t>Members use the information to provide written, social media, or audiovisual products for public information</w:t>
      </w:r>
      <w:r w:rsidRPr="00655574" w:rsidR="00413383">
        <w:rPr>
          <w:rFonts w:ascii="Arial" w:hAnsi="Arial" w:cs="Arial"/>
          <w:sz w:val="22"/>
          <w:szCs w:val="22"/>
        </w:rPr>
        <w:t xml:space="preserve">.  </w:t>
      </w:r>
      <w:r w:rsidRPr="00655574">
        <w:rPr>
          <w:rFonts w:ascii="Arial" w:hAnsi="Arial" w:cs="Arial"/>
          <w:sz w:val="22"/>
          <w:szCs w:val="22"/>
        </w:rPr>
        <w:t>Additionally, the information supports</w:t>
      </w:r>
      <w:r w:rsidRPr="00655574" w:rsidR="000D5650">
        <w:rPr>
          <w:rFonts w:ascii="Arial" w:hAnsi="Arial" w:cs="Arial"/>
          <w:sz w:val="22"/>
          <w:szCs w:val="22"/>
        </w:rPr>
        <w:t xml:space="preserve"> future</w:t>
      </w:r>
      <w:r w:rsidRPr="00655574">
        <w:rPr>
          <w:rFonts w:ascii="Arial" w:hAnsi="Arial" w:cs="Arial"/>
          <w:sz w:val="22"/>
          <w:szCs w:val="22"/>
        </w:rPr>
        <w:t xml:space="preserve"> efforts to identif</w:t>
      </w:r>
      <w:r w:rsidRPr="00655574" w:rsidR="000D5650">
        <w:rPr>
          <w:rFonts w:ascii="Arial" w:hAnsi="Arial" w:cs="Arial"/>
          <w:sz w:val="22"/>
          <w:szCs w:val="22"/>
        </w:rPr>
        <w:t>y</w:t>
      </w:r>
      <w:r w:rsidRPr="00655574">
        <w:rPr>
          <w:rFonts w:ascii="Arial" w:hAnsi="Arial" w:cs="Arial"/>
          <w:sz w:val="22"/>
          <w:szCs w:val="22"/>
        </w:rPr>
        <w:t>, evaluat</w:t>
      </w:r>
      <w:r w:rsidRPr="00655574" w:rsidR="000D5650">
        <w:rPr>
          <w:rFonts w:ascii="Arial" w:hAnsi="Arial" w:cs="Arial"/>
          <w:sz w:val="22"/>
          <w:szCs w:val="22"/>
        </w:rPr>
        <w:t xml:space="preserve">e </w:t>
      </w:r>
      <w:r w:rsidRPr="00655574">
        <w:rPr>
          <w:rFonts w:ascii="Arial" w:hAnsi="Arial" w:cs="Arial"/>
          <w:sz w:val="22"/>
          <w:szCs w:val="22"/>
        </w:rPr>
        <w:t>and protec</w:t>
      </w:r>
      <w:r w:rsidRPr="00655574" w:rsidR="000D5650">
        <w:rPr>
          <w:rFonts w:ascii="Arial" w:hAnsi="Arial" w:cs="Arial"/>
          <w:sz w:val="22"/>
          <w:szCs w:val="22"/>
        </w:rPr>
        <w:t>t</w:t>
      </w:r>
      <w:r w:rsidRPr="00655574">
        <w:rPr>
          <w:rFonts w:ascii="Arial" w:hAnsi="Arial" w:cs="Arial"/>
          <w:sz w:val="22"/>
          <w:szCs w:val="22"/>
        </w:rPr>
        <w:t xml:space="preserve"> historic resources that </w:t>
      </w:r>
      <w:r w:rsidRPr="00655574" w:rsidR="000D5650">
        <w:rPr>
          <w:rFonts w:ascii="Arial" w:hAnsi="Arial" w:cs="Arial"/>
          <w:sz w:val="22"/>
          <w:szCs w:val="22"/>
        </w:rPr>
        <w:t>are</w:t>
      </w:r>
      <w:r w:rsidRPr="00655574">
        <w:rPr>
          <w:rFonts w:ascii="Arial" w:hAnsi="Arial" w:cs="Arial"/>
          <w:sz w:val="22"/>
          <w:szCs w:val="22"/>
        </w:rPr>
        <w:t xml:space="preserve"> largely </w:t>
      </w:r>
      <w:r w:rsidRPr="00655574" w:rsidR="00355ABA">
        <w:rPr>
          <w:rFonts w:ascii="Arial" w:hAnsi="Arial" w:cs="Arial"/>
          <w:sz w:val="22"/>
          <w:szCs w:val="22"/>
        </w:rPr>
        <w:t>overlooked</w:t>
      </w:r>
      <w:r w:rsidRPr="00655574">
        <w:rPr>
          <w:rFonts w:ascii="Arial" w:hAnsi="Arial" w:cs="Arial"/>
          <w:sz w:val="22"/>
          <w:szCs w:val="22"/>
        </w:rPr>
        <w:t xml:space="preserve">. </w:t>
      </w:r>
    </w:p>
    <w:p w:rsidR="006D02EC" w:rsidRPr="00655574" w:rsidP="00BB7FEE" w14:paraId="7C6D3D6B" w14:textId="77777777">
      <w:pPr>
        <w:pStyle w:val="NoSpacing"/>
        <w:spacing w:line="276" w:lineRule="auto"/>
        <w:rPr>
          <w:rFonts w:ascii="Arial" w:hAnsi="Arial" w:cs="Arial"/>
          <w:sz w:val="22"/>
          <w:szCs w:val="22"/>
        </w:rPr>
      </w:pPr>
    </w:p>
    <w:p w:rsidR="000F6BC6" w:rsidRPr="00655574" w:rsidP="00BB7FEE" w14:paraId="0779B0C0" w14:textId="467F8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To apply to the Network</w:t>
      </w:r>
      <w:r w:rsidRPr="00655574" w:rsidR="003B589A">
        <w:rPr>
          <w:rFonts w:ascii="Arial" w:hAnsi="Arial" w:cs="Arial"/>
          <w:sz w:val="22"/>
          <w:szCs w:val="22"/>
        </w:rPr>
        <w:t>,</w:t>
      </w:r>
      <w:r w:rsidRPr="00655574">
        <w:rPr>
          <w:rFonts w:ascii="Arial" w:hAnsi="Arial" w:cs="Arial"/>
          <w:sz w:val="22"/>
          <w:szCs w:val="22"/>
        </w:rPr>
        <w:t xml:space="preserve"> </w:t>
      </w:r>
      <w:r w:rsidRPr="00655574" w:rsidR="000D5650">
        <w:rPr>
          <w:rFonts w:ascii="Arial" w:hAnsi="Arial" w:cs="Arial"/>
          <w:sz w:val="22"/>
          <w:szCs w:val="22"/>
        </w:rPr>
        <w:t>a</w:t>
      </w:r>
      <w:r w:rsidRPr="00655574">
        <w:rPr>
          <w:rFonts w:ascii="Arial" w:hAnsi="Arial" w:cs="Arial"/>
          <w:sz w:val="22"/>
          <w:szCs w:val="22"/>
        </w:rPr>
        <w:t xml:space="preserve">ll </w:t>
      </w:r>
      <w:r w:rsidRPr="00655574" w:rsidR="000D5650">
        <w:rPr>
          <w:rFonts w:ascii="Arial" w:hAnsi="Arial" w:cs="Arial"/>
          <w:sz w:val="22"/>
          <w:szCs w:val="22"/>
        </w:rPr>
        <w:t xml:space="preserve">candidates </w:t>
      </w:r>
      <w:r w:rsidRPr="00655574">
        <w:rPr>
          <w:rFonts w:ascii="Arial" w:hAnsi="Arial" w:cs="Arial"/>
          <w:sz w:val="22"/>
          <w:szCs w:val="22"/>
        </w:rPr>
        <w:t xml:space="preserve">must complete the </w:t>
      </w:r>
      <w:r w:rsidRPr="00655574" w:rsidR="000D5650">
        <w:rPr>
          <w:rFonts w:ascii="Arial" w:hAnsi="Arial" w:cs="Arial"/>
          <w:sz w:val="22"/>
          <w:szCs w:val="22"/>
        </w:rPr>
        <w:t>first section (</w:t>
      </w:r>
      <w:r w:rsidRPr="00655574">
        <w:rPr>
          <w:rFonts w:ascii="Arial" w:hAnsi="Arial" w:cs="Arial"/>
          <w:sz w:val="22"/>
          <w:szCs w:val="22"/>
        </w:rPr>
        <w:t>cover page</w:t>
      </w:r>
      <w:r w:rsidRPr="00655574" w:rsidR="00B67960">
        <w:rPr>
          <w:rFonts w:ascii="Arial" w:hAnsi="Arial" w:cs="Arial"/>
          <w:sz w:val="22"/>
          <w:szCs w:val="22"/>
        </w:rPr>
        <w:t>)</w:t>
      </w:r>
      <w:r w:rsidRPr="00655574">
        <w:rPr>
          <w:rFonts w:ascii="Arial" w:hAnsi="Arial" w:cs="Arial"/>
          <w:sz w:val="22"/>
          <w:szCs w:val="22"/>
        </w:rPr>
        <w:t xml:space="preserve"> of the application, which requests basic data to identify the candidate type, owner or manager, and respondent. </w:t>
      </w:r>
      <w:r w:rsidRPr="00655574" w:rsidR="0048631A">
        <w:rPr>
          <w:rFonts w:ascii="Arial" w:hAnsi="Arial" w:cs="Arial"/>
          <w:sz w:val="22"/>
          <w:szCs w:val="22"/>
        </w:rPr>
        <w:t xml:space="preserve"> </w:t>
      </w:r>
      <w:r w:rsidRPr="00655574">
        <w:rPr>
          <w:rFonts w:ascii="Arial" w:hAnsi="Arial" w:cs="Arial"/>
          <w:sz w:val="22"/>
          <w:szCs w:val="22"/>
        </w:rPr>
        <w:t>Respondents must then also complete one of the following three sections</w:t>
      </w:r>
      <w:r w:rsidRPr="00655574" w:rsidR="000D5650">
        <w:rPr>
          <w:rFonts w:ascii="Arial" w:hAnsi="Arial" w:cs="Arial"/>
          <w:sz w:val="22"/>
          <w:szCs w:val="22"/>
        </w:rPr>
        <w:t xml:space="preserve"> depending on the type of request</w:t>
      </w:r>
      <w:r w:rsidRPr="00655574">
        <w:rPr>
          <w:rFonts w:ascii="Arial" w:hAnsi="Arial" w:cs="Arial"/>
          <w:sz w:val="22"/>
          <w:szCs w:val="22"/>
        </w:rPr>
        <w:t>:</w:t>
      </w:r>
    </w:p>
    <w:p w:rsidR="00CF493D" w:rsidRPr="00655574" w:rsidP="00BB7FEE" w14:paraId="40DFC84C" w14:textId="77777777">
      <w:pPr>
        <w:pStyle w:val="NoSpacing"/>
        <w:spacing w:line="276" w:lineRule="auto"/>
        <w:rPr>
          <w:rFonts w:ascii="Arial" w:hAnsi="Arial" w:cs="Arial"/>
          <w:sz w:val="22"/>
          <w:szCs w:val="22"/>
        </w:rPr>
      </w:pPr>
    </w:p>
    <w:p w:rsidR="000F6BC6" w:rsidRPr="00655574" w:rsidP="000F6BC6" w14:paraId="627E6C72"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55574">
        <w:rPr>
          <w:rFonts w:ascii="Arial" w:hAnsi="Arial" w:cs="Arial"/>
          <w:sz w:val="22"/>
          <w:szCs w:val="22"/>
        </w:rPr>
        <w:t>Sites</w:t>
      </w:r>
      <w:r w:rsidRPr="00655574" w:rsidR="002D203A">
        <w:rPr>
          <w:rFonts w:ascii="Arial" w:hAnsi="Arial" w:cs="Arial"/>
          <w:sz w:val="22"/>
          <w:szCs w:val="22"/>
        </w:rPr>
        <w:t xml:space="preserve">, </w:t>
      </w:r>
      <w:r w:rsidRPr="00655574">
        <w:rPr>
          <w:rFonts w:ascii="Arial" w:hAnsi="Arial" w:cs="Arial"/>
          <w:sz w:val="22"/>
          <w:szCs w:val="22"/>
        </w:rPr>
        <w:t>if</w:t>
      </w:r>
      <w:r w:rsidRPr="00655574" w:rsidR="00C5400B">
        <w:rPr>
          <w:rFonts w:ascii="Arial" w:hAnsi="Arial" w:cs="Arial"/>
          <w:sz w:val="22"/>
          <w:szCs w:val="22"/>
        </w:rPr>
        <w:t xml:space="preserve"> applying for inclusion a</w:t>
      </w:r>
      <w:r w:rsidRPr="00655574" w:rsidR="00B67960">
        <w:rPr>
          <w:rFonts w:ascii="Arial" w:hAnsi="Arial" w:cs="Arial"/>
          <w:sz w:val="22"/>
          <w:szCs w:val="22"/>
        </w:rPr>
        <w:t xml:space="preserve">s </w:t>
      </w:r>
      <w:r w:rsidRPr="00655574">
        <w:rPr>
          <w:rFonts w:ascii="Arial" w:hAnsi="Arial" w:cs="Arial"/>
          <w:sz w:val="22"/>
          <w:szCs w:val="22"/>
        </w:rPr>
        <w:t>a site.</w:t>
      </w:r>
    </w:p>
    <w:p w:rsidR="000F6BC6" w:rsidRPr="00655574" w:rsidP="000F6BC6" w14:paraId="2713422F"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55574">
        <w:rPr>
          <w:rFonts w:ascii="Arial" w:hAnsi="Arial" w:cs="Arial"/>
          <w:sz w:val="22"/>
          <w:szCs w:val="22"/>
        </w:rPr>
        <w:t>Facilities</w:t>
      </w:r>
      <w:r w:rsidRPr="00655574" w:rsidR="002D203A">
        <w:rPr>
          <w:rFonts w:ascii="Arial" w:hAnsi="Arial" w:cs="Arial"/>
          <w:sz w:val="22"/>
          <w:szCs w:val="22"/>
        </w:rPr>
        <w:t>,</w:t>
      </w:r>
      <w:r w:rsidRPr="00655574">
        <w:rPr>
          <w:rFonts w:ascii="Arial" w:hAnsi="Arial" w:cs="Arial"/>
          <w:sz w:val="22"/>
          <w:szCs w:val="22"/>
        </w:rPr>
        <w:t xml:space="preserve"> if applying</w:t>
      </w:r>
      <w:r w:rsidRPr="00655574" w:rsidR="00C5400B">
        <w:rPr>
          <w:rFonts w:ascii="Arial" w:hAnsi="Arial" w:cs="Arial"/>
          <w:sz w:val="22"/>
          <w:szCs w:val="22"/>
        </w:rPr>
        <w:t xml:space="preserve"> a</w:t>
      </w:r>
      <w:r w:rsidRPr="00655574" w:rsidR="00B67960">
        <w:rPr>
          <w:rFonts w:ascii="Arial" w:hAnsi="Arial" w:cs="Arial"/>
          <w:sz w:val="22"/>
          <w:szCs w:val="22"/>
        </w:rPr>
        <w:t xml:space="preserve">s </w:t>
      </w:r>
      <w:r w:rsidRPr="00655574">
        <w:rPr>
          <w:rFonts w:ascii="Arial" w:hAnsi="Arial" w:cs="Arial"/>
          <w:sz w:val="22"/>
          <w:szCs w:val="22"/>
        </w:rPr>
        <w:t>a facility.</w:t>
      </w:r>
    </w:p>
    <w:p w:rsidR="000F6BC6" w:rsidRPr="00655574" w:rsidP="002B5C34" w14:paraId="28DEC6B7"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55574">
        <w:rPr>
          <w:rFonts w:ascii="Arial" w:hAnsi="Arial" w:cs="Arial"/>
          <w:sz w:val="22"/>
          <w:szCs w:val="22"/>
        </w:rPr>
        <w:t>Educational and Interpretive Programs</w:t>
      </w:r>
      <w:r w:rsidRPr="00655574" w:rsidR="002D203A">
        <w:rPr>
          <w:rFonts w:ascii="Arial" w:hAnsi="Arial" w:cs="Arial"/>
          <w:sz w:val="22"/>
          <w:szCs w:val="22"/>
        </w:rPr>
        <w:t xml:space="preserve">, </w:t>
      </w:r>
      <w:r w:rsidRPr="00655574">
        <w:rPr>
          <w:rFonts w:ascii="Arial" w:hAnsi="Arial" w:cs="Arial"/>
          <w:sz w:val="22"/>
          <w:szCs w:val="22"/>
        </w:rPr>
        <w:t>if applying as a program.</w:t>
      </w:r>
    </w:p>
    <w:p w:rsidR="000F6BC6" w:rsidRPr="00655574" w:rsidP="00BB7FEE" w14:paraId="057A12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63"/>
        <w:rPr>
          <w:rFonts w:ascii="Arial" w:hAnsi="Arial" w:cs="Arial"/>
          <w:sz w:val="22"/>
          <w:szCs w:val="22"/>
        </w:rPr>
      </w:pPr>
    </w:p>
    <w:p w:rsidR="000D5650" w:rsidRPr="00655574" w:rsidP="00BB7FEE" w14:paraId="7EC3BE97" w14:textId="743E2F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55574">
        <w:rPr>
          <w:rFonts w:ascii="Arial" w:hAnsi="Arial" w:cs="Arial"/>
          <w:sz w:val="22"/>
          <w:szCs w:val="22"/>
        </w:rPr>
        <w:t>M</w:t>
      </w:r>
      <w:r w:rsidRPr="00655574" w:rsidR="00C5400B">
        <w:rPr>
          <w:rFonts w:ascii="Arial" w:hAnsi="Arial" w:cs="Arial"/>
          <w:sz w:val="22"/>
          <w:szCs w:val="22"/>
        </w:rPr>
        <w:t xml:space="preserve">anagers </w:t>
      </w:r>
      <w:r w:rsidRPr="00655574">
        <w:rPr>
          <w:rFonts w:ascii="Arial" w:hAnsi="Arial" w:cs="Arial"/>
          <w:sz w:val="22"/>
          <w:szCs w:val="22"/>
        </w:rPr>
        <w:t xml:space="preserve">of programs and facilities in the Network </w:t>
      </w:r>
      <w:r w:rsidRPr="00655574" w:rsidR="00C5400B">
        <w:rPr>
          <w:rFonts w:ascii="Arial" w:hAnsi="Arial" w:cs="Arial"/>
          <w:sz w:val="22"/>
          <w:szCs w:val="22"/>
        </w:rPr>
        <w:t>may be required to certify that nothing has changed</w:t>
      </w:r>
      <w:r w:rsidRPr="00655574">
        <w:rPr>
          <w:rFonts w:ascii="Arial" w:hAnsi="Arial" w:cs="Arial"/>
          <w:sz w:val="22"/>
          <w:szCs w:val="22"/>
        </w:rPr>
        <w:t xml:space="preserve"> since joining</w:t>
      </w:r>
      <w:r w:rsidRPr="00655574" w:rsidR="00C5400B">
        <w:rPr>
          <w:rFonts w:ascii="Arial" w:hAnsi="Arial" w:cs="Arial"/>
          <w:sz w:val="22"/>
          <w:szCs w:val="22"/>
        </w:rPr>
        <w:t xml:space="preserve">.  If there have been substantial modifications to the program or facility, the manager </w:t>
      </w:r>
      <w:r w:rsidRPr="00655574">
        <w:rPr>
          <w:rFonts w:ascii="Arial" w:hAnsi="Arial" w:cs="Arial"/>
          <w:sz w:val="22"/>
          <w:szCs w:val="22"/>
        </w:rPr>
        <w:t xml:space="preserve">will be required to </w:t>
      </w:r>
      <w:r w:rsidRPr="00655574" w:rsidR="00C5400B">
        <w:rPr>
          <w:rFonts w:ascii="Arial" w:hAnsi="Arial" w:cs="Arial"/>
          <w:sz w:val="22"/>
          <w:szCs w:val="22"/>
        </w:rPr>
        <w:t xml:space="preserve">resubmit an application.  </w:t>
      </w:r>
    </w:p>
    <w:p w:rsidR="000D5650" w:rsidRPr="00655574" w:rsidP="00BB7FEE" w14:paraId="68BAB3DC" w14:textId="77777777">
      <w:pPr>
        <w:pStyle w:val="NoSpacing"/>
        <w:spacing w:line="276" w:lineRule="auto"/>
        <w:rPr>
          <w:rFonts w:ascii="Arial" w:hAnsi="Arial" w:cs="Arial"/>
          <w:sz w:val="22"/>
          <w:szCs w:val="22"/>
        </w:rPr>
      </w:pPr>
    </w:p>
    <w:p w:rsidR="00B56619" w:rsidRPr="00655574" w:rsidP="00BB7FEE" w14:paraId="3B187B35" w14:textId="2CDBAB98">
      <w:pPr>
        <w:spacing w:line="276" w:lineRule="auto"/>
        <w:rPr>
          <w:rFonts w:ascii="Arial" w:hAnsi="Arial" w:cs="Arial"/>
          <w:sz w:val="22"/>
          <w:szCs w:val="22"/>
        </w:rPr>
      </w:pPr>
      <w:r w:rsidRPr="00655574">
        <w:rPr>
          <w:rFonts w:ascii="Arial" w:hAnsi="Arial" w:cs="Arial"/>
          <w:sz w:val="22"/>
          <w:szCs w:val="22"/>
        </w:rPr>
        <w:t xml:space="preserve">The only </w:t>
      </w:r>
      <w:r w:rsidRPr="00655574" w:rsidR="00564B5F">
        <w:rPr>
          <w:rFonts w:ascii="Arial" w:hAnsi="Arial" w:cs="Arial"/>
          <w:sz w:val="22"/>
          <w:szCs w:val="22"/>
        </w:rPr>
        <w:t>requirement</w:t>
      </w:r>
      <w:r w:rsidRPr="00655574">
        <w:rPr>
          <w:rFonts w:ascii="Arial" w:hAnsi="Arial" w:cs="Arial"/>
          <w:sz w:val="22"/>
          <w:szCs w:val="22"/>
        </w:rPr>
        <w:t xml:space="preserve"> for becoming a </w:t>
      </w:r>
      <w:r w:rsidRPr="00655574" w:rsidR="000D5650">
        <w:rPr>
          <w:rFonts w:ascii="Arial" w:hAnsi="Arial" w:cs="Arial"/>
          <w:sz w:val="22"/>
          <w:szCs w:val="22"/>
        </w:rPr>
        <w:t xml:space="preserve">network </w:t>
      </w:r>
      <w:r w:rsidRPr="00655574">
        <w:rPr>
          <w:rFonts w:ascii="Arial" w:hAnsi="Arial" w:cs="Arial"/>
          <w:sz w:val="22"/>
          <w:szCs w:val="22"/>
        </w:rPr>
        <w:t xml:space="preserve">partner </w:t>
      </w:r>
      <w:r w:rsidRPr="00655574" w:rsidR="00364400">
        <w:rPr>
          <w:rFonts w:ascii="Arial" w:hAnsi="Arial" w:cs="Arial"/>
          <w:sz w:val="22"/>
          <w:szCs w:val="22"/>
        </w:rPr>
        <w:t>is the</w:t>
      </w:r>
      <w:r w:rsidRPr="00655574">
        <w:rPr>
          <w:rFonts w:ascii="Arial" w:hAnsi="Arial" w:cs="Arial"/>
          <w:sz w:val="22"/>
          <w:szCs w:val="22"/>
        </w:rPr>
        <w:t xml:space="preserve"> person/organization </w:t>
      </w:r>
      <w:r w:rsidRPr="00655574" w:rsidR="00364400">
        <w:rPr>
          <w:rFonts w:ascii="Arial" w:hAnsi="Arial" w:cs="Arial"/>
          <w:sz w:val="22"/>
          <w:szCs w:val="22"/>
        </w:rPr>
        <w:t xml:space="preserve">must </w:t>
      </w:r>
      <w:r w:rsidRPr="00655574" w:rsidR="00461676">
        <w:rPr>
          <w:rFonts w:ascii="Arial" w:hAnsi="Arial" w:cs="Arial"/>
          <w:sz w:val="22"/>
          <w:szCs w:val="22"/>
        </w:rPr>
        <w:t xml:space="preserve">have some association </w:t>
      </w:r>
      <w:r w:rsidRPr="00655574" w:rsidR="00564B5F">
        <w:rPr>
          <w:rFonts w:ascii="Arial" w:hAnsi="Arial" w:cs="Arial"/>
          <w:sz w:val="22"/>
          <w:szCs w:val="22"/>
        </w:rPr>
        <w:t>with</w:t>
      </w:r>
      <w:r w:rsidRPr="00655574" w:rsidR="00461676">
        <w:rPr>
          <w:rFonts w:ascii="Arial" w:hAnsi="Arial" w:cs="Arial"/>
          <w:sz w:val="22"/>
          <w:szCs w:val="22"/>
        </w:rPr>
        <w:t xml:space="preserve"> preserving, commemorating</w:t>
      </w:r>
      <w:r w:rsidRPr="00655574" w:rsidR="00564B5F">
        <w:rPr>
          <w:rFonts w:ascii="Arial" w:hAnsi="Arial" w:cs="Arial"/>
          <w:sz w:val="22"/>
          <w:szCs w:val="22"/>
        </w:rPr>
        <w:t>,</w:t>
      </w:r>
      <w:r w:rsidRPr="00655574" w:rsidR="00461676">
        <w:rPr>
          <w:rFonts w:ascii="Arial" w:hAnsi="Arial" w:cs="Arial"/>
          <w:sz w:val="22"/>
          <w:szCs w:val="22"/>
        </w:rPr>
        <w:t xml:space="preserve"> or educating the public about the Underground Railroad</w:t>
      </w:r>
      <w:r w:rsidRPr="00655574" w:rsidR="000D5650">
        <w:rPr>
          <w:rFonts w:ascii="Arial" w:hAnsi="Arial" w:cs="Arial"/>
          <w:sz w:val="22"/>
          <w:szCs w:val="22"/>
        </w:rPr>
        <w:t xml:space="preserve">. </w:t>
      </w:r>
      <w:r w:rsidRPr="00655574" w:rsidR="000B3AB9">
        <w:rPr>
          <w:rFonts w:ascii="Arial" w:hAnsi="Arial" w:cs="Arial"/>
          <w:sz w:val="22"/>
          <w:szCs w:val="22"/>
        </w:rPr>
        <w:t xml:space="preserve"> </w:t>
      </w:r>
      <w:r w:rsidRPr="00655574" w:rsidR="000D5650">
        <w:rPr>
          <w:rFonts w:ascii="Arial" w:hAnsi="Arial" w:cs="Arial"/>
          <w:sz w:val="22"/>
          <w:szCs w:val="22"/>
        </w:rPr>
        <w:t xml:space="preserve">Secondly, </w:t>
      </w:r>
      <w:r w:rsidRPr="00655574" w:rsidR="00461676">
        <w:rPr>
          <w:rFonts w:ascii="Arial" w:hAnsi="Arial" w:cs="Arial"/>
          <w:sz w:val="22"/>
          <w:szCs w:val="22"/>
        </w:rPr>
        <w:t xml:space="preserve">the </w:t>
      </w:r>
      <w:r w:rsidRPr="00655574">
        <w:rPr>
          <w:rFonts w:ascii="Arial" w:hAnsi="Arial" w:cs="Arial"/>
          <w:sz w:val="22"/>
          <w:szCs w:val="22"/>
        </w:rPr>
        <w:t xml:space="preserve">prospective </w:t>
      </w:r>
      <w:r w:rsidRPr="00655574" w:rsidR="00461676">
        <w:rPr>
          <w:rFonts w:ascii="Arial" w:hAnsi="Arial" w:cs="Arial"/>
          <w:sz w:val="22"/>
          <w:szCs w:val="22"/>
        </w:rPr>
        <w:t xml:space="preserve">partner’s actions </w:t>
      </w:r>
      <w:r w:rsidRPr="00655574" w:rsidR="00364400">
        <w:rPr>
          <w:rFonts w:ascii="Arial" w:hAnsi="Arial" w:cs="Arial"/>
          <w:sz w:val="22"/>
          <w:szCs w:val="22"/>
        </w:rPr>
        <w:t xml:space="preserve">must be </w:t>
      </w:r>
      <w:r w:rsidRPr="00655574" w:rsidR="00461676">
        <w:rPr>
          <w:rFonts w:ascii="Arial" w:hAnsi="Arial" w:cs="Arial"/>
          <w:sz w:val="22"/>
          <w:szCs w:val="22"/>
        </w:rPr>
        <w:t>consistent with t</w:t>
      </w:r>
      <w:r w:rsidRPr="00655574" w:rsidR="00B45B89">
        <w:rPr>
          <w:rFonts w:ascii="Arial" w:hAnsi="Arial" w:cs="Arial"/>
          <w:sz w:val="22"/>
          <w:szCs w:val="22"/>
        </w:rPr>
        <w:t xml:space="preserve">he spirit of the missions </w:t>
      </w:r>
      <w:r w:rsidRPr="00655574" w:rsidR="00461676">
        <w:rPr>
          <w:rFonts w:ascii="Arial" w:hAnsi="Arial" w:cs="Arial"/>
          <w:sz w:val="22"/>
          <w:szCs w:val="22"/>
        </w:rPr>
        <w:t xml:space="preserve">and practices of the Network and the </w:t>
      </w:r>
      <w:r w:rsidRPr="00655574" w:rsidR="00364400">
        <w:rPr>
          <w:rFonts w:ascii="Arial" w:hAnsi="Arial" w:cs="Arial"/>
          <w:sz w:val="22"/>
          <w:szCs w:val="22"/>
        </w:rPr>
        <w:t>NPS</w:t>
      </w:r>
      <w:r w:rsidRPr="00655574" w:rsidR="00461676">
        <w:rPr>
          <w:rFonts w:ascii="Arial" w:hAnsi="Arial" w:cs="Arial"/>
          <w:sz w:val="22"/>
          <w:szCs w:val="22"/>
        </w:rPr>
        <w:t xml:space="preserve">. </w:t>
      </w:r>
      <w:r w:rsidRPr="00655574">
        <w:rPr>
          <w:rFonts w:ascii="Arial" w:hAnsi="Arial" w:cs="Arial"/>
          <w:sz w:val="22"/>
          <w:szCs w:val="22"/>
        </w:rPr>
        <w:t xml:space="preserve">Prospective partners must </w:t>
      </w:r>
      <w:r w:rsidRPr="00655574">
        <w:rPr>
          <w:rFonts w:ascii="Arial" w:hAnsi="Arial" w:cs="Arial"/>
          <w:sz w:val="22"/>
          <w:szCs w:val="22"/>
        </w:rPr>
        <w:t>submit a letter with the following information:</w:t>
      </w:r>
    </w:p>
    <w:p w:rsidR="00B56619" w:rsidRPr="00655574" w:rsidP="00BB7FEE" w14:paraId="353B7E97" w14:textId="77777777">
      <w:pPr>
        <w:pStyle w:val="NoSpacing"/>
        <w:spacing w:line="276" w:lineRule="auto"/>
        <w:rPr>
          <w:rFonts w:ascii="Arial" w:hAnsi="Arial" w:cs="Arial"/>
          <w:sz w:val="22"/>
          <w:szCs w:val="22"/>
        </w:rPr>
      </w:pPr>
    </w:p>
    <w:p w:rsidR="00B56619" w:rsidRPr="00655574" w:rsidP="00B56619" w14:paraId="467434A2" w14:textId="14802900">
      <w:pPr>
        <w:numPr>
          <w:ilvl w:val="0"/>
          <w:numId w:val="6"/>
        </w:numPr>
        <w:rPr>
          <w:rFonts w:ascii="Arial" w:hAnsi="Arial" w:cs="Arial"/>
          <w:sz w:val="22"/>
          <w:szCs w:val="22"/>
        </w:rPr>
      </w:pPr>
      <w:r w:rsidRPr="00655574">
        <w:rPr>
          <w:rFonts w:ascii="Arial" w:hAnsi="Arial" w:cs="Arial"/>
          <w:sz w:val="22"/>
          <w:szCs w:val="22"/>
        </w:rPr>
        <w:t>N</w:t>
      </w:r>
      <w:r w:rsidRPr="00655574" w:rsidR="00461676">
        <w:rPr>
          <w:rFonts w:ascii="Arial" w:hAnsi="Arial" w:cs="Arial"/>
          <w:sz w:val="22"/>
          <w:szCs w:val="22"/>
        </w:rPr>
        <w:t>ame and address of the agency, company</w:t>
      </w:r>
      <w:r w:rsidRPr="00655574" w:rsidR="00564B5F">
        <w:rPr>
          <w:rFonts w:ascii="Arial" w:hAnsi="Arial" w:cs="Arial"/>
          <w:sz w:val="22"/>
          <w:szCs w:val="22"/>
        </w:rPr>
        <w:t>,</w:t>
      </w:r>
      <w:r w:rsidRPr="00655574" w:rsidR="00461676">
        <w:rPr>
          <w:rFonts w:ascii="Arial" w:hAnsi="Arial" w:cs="Arial"/>
          <w:sz w:val="22"/>
          <w:szCs w:val="22"/>
        </w:rPr>
        <w:t xml:space="preserve"> or organization</w:t>
      </w:r>
    </w:p>
    <w:p w:rsidR="00B56619" w:rsidRPr="00655574" w:rsidP="00B56619" w14:paraId="7313F328" w14:textId="36166728">
      <w:pPr>
        <w:numPr>
          <w:ilvl w:val="0"/>
          <w:numId w:val="6"/>
        </w:numPr>
        <w:rPr>
          <w:rFonts w:ascii="Arial" w:hAnsi="Arial" w:cs="Arial"/>
          <w:sz w:val="22"/>
          <w:szCs w:val="22"/>
        </w:rPr>
      </w:pPr>
      <w:r w:rsidRPr="00655574">
        <w:rPr>
          <w:rFonts w:ascii="Arial" w:hAnsi="Arial" w:cs="Arial"/>
          <w:sz w:val="22"/>
          <w:szCs w:val="22"/>
        </w:rPr>
        <w:t>N</w:t>
      </w:r>
      <w:r w:rsidRPr="00655574" w:rsidR="00461676">
        <w:rPr>
          <w:rFonts w:ascii="Arial" w:hAnsi="Arial" w:cs="Arial"/>
          <w:sz w:val="22"/>
          <w:szCs w:val="22"/>
        </w:rPr>
        <w:t>ame,</w:t>
      </w:r>
      <w:r w:rsidRPr="00655574">
        <w:rPr>
          <w:rFonts w:ascii="Arial" w:hAnsi="Arial" w:cs="Arial"/>
          <w:sz w:val="22"/>
          <w:szCs w:val="22"/>
        </w:rPr>
        <w:t xml:space="preserve"> address, phone, fax, and e</w:t>
      </w:r>
      <w:r w:rsidRPr="00655574" w:rsidR="00461676">
        <w:rPr>
          <w:rFonts w:ascii="Arial" w:hAnsi="Arial" w:cs="Arial"/>
          <w:sz w:val="22"/>
          <w:szCs w:val="22"/>
        </w:rPr>
        <w:t>mail information of principal contact</w:t>
      </w:r>
    </w:p>
    <w:p w:rsidR="00B56619" w:rsidRPr="00655574" w:rsidP="00B56619" w14:paraId="5F642A3C" w14:textId="5E5E665E">
      <w:pPr>
        <w:numPr>
          <w:ilvl w:val="0"/>
          <w:numId w:val="6"/>
        </w:numPr>
        <w:rPr>
          <w:rFonts w:ascii="Arial" w:hAnsi="Arial" w:cs="Arial"/>
          <w:sz w:val="22"/>
          <w:szCs w:val="22"/>
        </w:rPr>
      </w:pPr>
      <w:r w:rsidRPr="00655574">
        <w:rPr>
          <w:rFonts w:ascii="Arial" w:hAnsi="Arial" w:cs="Arial"/>
          <w:sz w:val="22"/>
          <w:szCs w:val="22"/>
        </w:rPr>
        <w:t>A</w:t>
      </w:r>
      <w:r w:rsidRPr="00655574" w:rsidR="00461676">
        <w:rPr>
          <w:rFonts w:ascii="Arial" w:hAnsi="Arial" w:cs="Arial"/>
          <w:sz w:val="22"/>
          <w:szCs w:val="22"/>
        </w:rPr>
        <w:t>bstract not to exceed 200 words describing the partner’s activity, or mission statement</w:t>
      </w:r>
      <w:r w:rsidRPr="00655574" w:rsidR="00564B5F">
        <w:rPr>
          <w:rFonts w:ascii="Arial" w:hAnsi="Arial" w:cs="Arial"/>
          <w:sz w:val="22"/>
          <w:szCs w:val="22"/>
        </w:rPr>
        <w:t xml:space="preserve"> </w:t>
      </w:r>
      <w:r w:rsidRPr="00655574" w:rsidR="00461676">
        <w:rPr>
          <w:rFonts w:ascii="Arial" w:hAnsi="Arial" w:cs="Arial"/>
          <w:sz w:val="22"/>
          <w:szCs w:val="22"/>
        </w:rPr>
        <w:t>and</w:t>
      </w:r>
    </w:p>
    <w:p w:rsidR="00461676" w:rsidRPr="00655574" w:rsidP="00B56619" w14:paraId="20B51E6F" w14:textId="07FFB7CB">
      <w:pPr>
        <w:numPr>
          <w:ilvl w:val="0"/>
          <w:numId w:val="6"/>
        </w:numPr>
        <w:rPr>
          <w:rFonts w:ascii="Arial" w:hAnsi="Arial" w:cs="Arial"/>
          <w:sz w:val="22"/>
          <w:szCs w:val="22"/>
        </w:rPr>
      </w:pPr>
      <w:r w:rsidRPr="00655574">
        <w:rPr>
          <w:rFonts w:ascii="Arial" w:hAnsi="Arial" w:cs="Arial"/>
          <w:sz w:val="22"/>
          <w:szCs w:val="22"/>
        </w:rPr>
        <w:t xml:space="preserve">Brief description of the entity’s association </w:t>
      </w:r>
      <w:r w:rsidRPr="00655574" w:rsidR="00564B5F">
        <w:rPr>
          <w:rFonts w:ascii="Arial" w:hAnsi="Arial" w:cs="Arial"/>
          <w:sz w:val="22"/>
          <w:szCs w:val="22"/>
        </w:rPr>
        <w:t>with</w:t>
      </w:r>
      <w:r w:rsidRPr="00655574">
        <w:rPr>
          <w:rFonts w:ascii="Arial" w:hAnsi="Arial" w:cs="Arial"/>
          <w:sz w:val="22"/>
          <w:szCs w:val="22"/>
        </w:rPr>
        <w:t xml:space="preserve"> the Underground Railroad</w:t>
      </w:r>
    </w:p>
    <w:p w:rsidR="00B56619" w:rsidRPr="001F401A" w:rsidP="00461676" w14:paraId="5F5D4B9C" w14:textId="77777777">
      <w:pPr>
        <w:rPr>
          <w:rFonts w:ascii="Arial" w:hAnsi="Arial" w:cs="Arial"/>
          <w:sz w:val="22"/>
          <w:szCs w:val="22"/>
        </w:rPr>
      </w:pPr>
    </w:p>
    <w:p w:rsidR="00295103" w:rsidRPr="00564B5F" w14:paraId="192A7D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F401A">
        <w:rPr>
          <w:rFonts w:ascii="Arial" w:hAnsi="Arial" w:cs="Arial"/>
          <w:b/>
          <w:sz w:val="22"/>
          <w:szCs w:val="22"/>
        </w:rPr>
        <w:t>3.</w:t>
      </w:r>
      <w:r w:rsidRPr="001F401A">
        <w:rPr>
          <w:rFonts w:ascii="Arial" w:hAnsi="Arial" w:cs="Arial"/>
          <w:b/>
          <w:sz w:val="22"/>
          <w:szCs w:val="22"/>
        </w:rPr>
        <w:tab/>
      </w:r>
      <w:r w:rsidRPr="00932C18">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66194" w:rsidRPr="00564B5F" w14:paraId="0E2B2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D203A" w:rsidP="00BB7FEE" w14:paraId="2794A964" w14:textId="660CE1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564B5F">
        <w:rPr>
          <w:rFonts w:ascii="Arial" w:hAnsi="Arial" w:cs="Arial"/>
          <w:sz w:val="22"/>
          <w:szCs w:val="22"/>
        </w:rPr>
        <w:t>In the last three years, applications have been submitted electronically as email attachments</w:t>
      </w:r>
      <w:r w:rsidRPr="00A63CD4" w:rsidR="00A63CD4">
        <w:rPr>
          <w:rFonts w:ascii="Arial" w:hAnsi="Arial" w:cs="Arial"/>
          <w:sz w:val="22"/>
          <w:szCs w:val="22"/>
        </w:rPr>
        <w:t xml:space="preserve"> </w:t>
      </w:r>
      <w:r w:rsidR="00A63CD4">
        <w:rPr>
          <w:rFonts w:ascii="Arial" w:hAnsi="Arial" w:cs="Arial"/>
          <w:sz w:val="22"/>
          <w:szCs w:val="22"/>
        </w:rPr>
        <w:t>and from July 2023 to July 2024, via a proprietary web portal system</w:t>
      </w:r>
      <w:r w:rsidRPr="00564B5F">
        <w:rPr>
          <w:rFonts w:ascii="Arial" w:hAnsi="Arial" w:cs="Arial"/>
          <w:sz w:val="22"/>
          <w:szCs w:val="22"/>
        </w:rPr>
        <w:t>.</w:t>
      </w:r>
      <w:r w:rsidRPr="00DE7385" w:rsidR="00466194">
        <w:rPr>
          <w:rFonts w:ascii="Arial" w:hAnsi="Arial" w:cs="Arial"/>
          <w:sz w:val="22"/>
          <w:szCs w:val="22"/>
        </w:rPr>
        <w:t xml:space="preserve"> </w:t>
      </w:r>
      <w:r w:rsidRPr="00DE7385" w:rsidR="00E86253">
        <w:rPr>
          <w:rFonts w:ascii="Arial" w:hAnsi="Arial" w:cs="Arial"/>
          <w:sz w:val="22"/>
          <w:szCs w:val="22"/>
        </w:rPr>
        <w:t xml:space="preserve"> To accommodate electronic submission, </w:t>
      </w:r>
      <w:r w:rsidRPr="00DE7385">
        <w:rPr>
          <w:rFonts w:ascii="Arial" w:hAnsi="Arial" w:cs="Arial"/>
          <w:sz w:val="22"/>
          <w:szCs w:val="22"/>
        </w:rPr>
        <w:t xml:space="preserve">a template for </w:t>
      </w:r>
      <w:r w:rsidRPr="00DE7385" w:rsidR="00E86253">
        <w:rPr>
          <w:rFonts w:ascii="Arial" w:hAnsi="Arial" w:cs="Arial"/>
          <w:sz w:val="22"/>
          <w:szCs w:val="22"/>
        </w:rPr>
        <w:t>t</w:t>
      </w:r>
      <w:r w:rsidRPr="00DE7385" w:rsidR="00DC7690">
        <w:rPr>
          <w:rFonts w:ascii="Arial" w:hAnsi="Arial" w:cs="Arial"/>
          <w:sz w:val="22"/>
          <w:szCs w:val="22"/>
        </w:rPr>
        <w:t xml:space="preserve">he form is available on the Network </w:t>
      </w:r>
      <w:r w:rsidRPr="00DE7385" w:rsidR="00E86253">
        <w:rPr>
          <w:rFonts w:ascii="Arial" w:hAnsi="Arial" w:cs="Arial"/>
          <w:sz w:val="22"/>
          <w:szCs w:val="22"/>
        </w:rPr>
        <w:t>w</w:t>
      </w:r>
      <w:r w:rsidRPr="00DE7385" w:rsidR="00DC7690">
        <w:rPr>
          <w:rFonts w:ascii="Arial" w:hAnsi="Arial" w:cs="Arial"/>
          <w:sz w:val="22"/>
          <w:szCs w:val="22"/>
        </w:rPr>
        <w:t xml:space="preserve">ebsite.  </w:t>
      </w:r>
      <w:r w:rsidRPr="00DE7385" w:rsidR="00E86253">
        <w:rPr>
          <w:rFonts w:ascii="Arial" w:hAnsi="Arial" w:cs="Arial"/>
          <w:sz w:val="22"/>
          <w:szCs w:val="22"/>
        </w:rPr>
        <w:t xml:space="preserve">The majority of submissions </w:t>
      </w:r>
      <w:r w:rsidRPr="00DE7385" w:rsidR="00466194">
        <w:rPr>
          <w:rFonts w:ascii="Arial" w:hAnsi="Arial" w:cs="Arial"/>
          <w:sz w:val="22"/>
          <w:szCs w:val="22"/>
        </w:rPr>
        <w:t xml:space="preserve">have scanned </w:t>
      </w:r>
      <w:r w:rsidRPr="00DE7385" w:rsidR="00E86253">
        <w:rPr>
          <w:rFonts w:ascii="Arial" w:hAnsi="Arial" w:cs="Arial"/>
          <w:sz w:val="22"/>
          <w:szCs w:val="22"/>
        </w:rPr>
        <w:t xml:space="preserve">electronic </w:t>
      </w:r>
      <w:r w:rsidRPr="00DE7385" w:rsidR="00466194">
        <w:rPr>
          <w:rFonts w:ascii="Arial" w:hAnsi="Arial" w:cs="Arial"/>
          <w:sz w:val="22"/>
          <w:szCs w:val="22"/>
        </w:rPr>
        <w:t>attachments</w:t>
      </w:r>
      <w:r w:rsidRPr="00DE7385" w:rsidR="00E86253">
        <w:rPr>
          <w:rFonts w:ascii="Arial" w:hAnsi="Arial" w:cs="Arial"/>
          <w:sz w:val="22"/>
          <w:szCs w:val="22"/>
        </w:rPr>
        <w:t xml:space="preserve"> detailing supplementary </w:t>
      </w:r>
      <w:r w:rsidRPr="00DE7385" w:rsidR="0009458E">
        <w:rPr>
          <w:rFonts w:ascii="Arial" w:hAnsi="Arial" w:cs="Arial"/>
          <w:sz w:val="22"/>
          <w:szCs w:val="22"/>
        </w:rPr>
        <w:t>material;</w:t>
      </w:r>
      <w:r w:rsidRPr="00DE7385" w:rsidR="00E86253">
        <w:rPr>
          <w:rFonts w:ascii="Arial" w:hAnsi="Arial" w:cs="Arial"/>
          <w:sz w:val="22"/>
          <w:szCs w:val="22"/>
        </w:rPr>
        <w:t xml:space="preserve"> however</w:t>
      </w:r>
      <w:r w:rsidRPr="00DE7385" w:rsidR="0009458E">
        <w:rPr>
          <w:rFonts w:ascii="Arial" w:hAnsi="Arial" w:cs="Arial"/>
          <w:sz w:val="22"/>
          <w:szCs w:val="22"/>
        </w:rPr>
        <w:t>,</w:t>
      </w:r>
      <w:r w:rsidRPr="00DE7385" w:rsidR="00E86253">
        <w:rPr>
          <w:rFonts w:ascii="Arial" w:hAnsi="Arial" w:cs="Arial"/>
          <w:sz w:val="22"/>
          <w:szCs w:val="22"/>
        </w:rPr>
        <w:t xml:space="preserve"> respondents </w:t>
      </w:r>
      <w:r w:rsidRPr="00DE7385" w:rsidR="00020582">
        <w:rPr>
          <w:rFonts w:ascii="Arial" w:hAnsi="Arial" w:cs="Arial"/>
          <w:sz w:val="22"/>
          <w:szCs w:val="22"/>
        </w:rPr>
        <w:t>may also</w:t>
      </w:r>
      <w:r w:rsidRPr="00DE7385" w:rsidR="00E86253">
        <w:rPr>
          <w:rFonts w:ascii="Arial" w:hAnsi="Arial" w:cs="Arial"/>
          <w:sz w:val="22"/>
          <w:szCs w:val="22"/>
        </w:rPr>
        <w:t xml:space="preserve"> submit physical attachments in a paper-based format</w:t>
      </w:r>
      <w:r w:rsidRPr="00DE7385" w:rsidR="00466194">
        <w:rPr>
          <w:rFonts w:ascii="Arial" w:hAnsi="Arial" w:cs="Arial"/>
          <w:sz w:val="22"/>
          <w:szCs w:val="22"/>
        </w:rPr>
        <w:t xml:space="preserve">. </w:t>
      </w:r>
      <w:r w:rsidRPr="00DE7385" w:rsidR="0009458E">
        <w:rPr>
          <w:rFonts w:ascii="Arial" w:hAnsi="Arial" w:cs="Arial"/>
          <w:sz w:val="22"/>
          <w:szCs w:val="22"/>
        </w:rPr>
        <w:t xml:space="preserve">To reduce </w:t>
      </w:r>
      <w:r w:rsidR="00DE7385">
        <w:rPr>
          <w:rFonts w:ascii="Arial" w:hAnsi="Arial" w:cs="Arial"/>
          <w:sz w:val="22"/>
          <w:szCs w:val="22"/>
        </w:rPr>
        <w:t xml:space="preserve">the </w:t>
      </w:r>
      <w:r w:rsidRPr="00DE7385" w:rsidR="0009458E">
        <w:rPr>
          <w:rFonts w:ascii="Arial" w:hAnsi="Arial" w:cs="Arial"/>
          <w:sz w:val="22"/>
          <w:szCs w:val="22"/>
        </w:rPr>
        <w:t xml:space="preserve">respondent burden, prospective partners are </w:t>
      </w:r>
      <w:r w:rsidRPr="00DE7385" w:rsidR="0083628D">
        <w:rPr>
          <w:rFonts w:ascii="Arial" w:hAnsi="Arial" w:cs="Arial"/>
          <w:sz w:val="22"/>
          <w:szCs w:val="22"/>
        </w:rPr>
        <w:t>encourage</w:t>
      </w:r>
      <w:r w:rsidRPr="00DE7385" w:rsidR="0009458E">
        <w:rPr>
          <w:rFonts w:ascii="Arial" w:hAnsi="Arial" w:cs="Arial"/>
          <w:sz w:val="22"/>
          <w:szCs w:val="22"/>
        </w:rPr>
        <w:t>d</w:t>
      </w:r>
      <w:r w:rsidRPr="00DE7385" w:rsidR="00F06827">
        <w:rPr>
          <w:rFonts w:ascii="Arial" w:hAnsi="Arial" w:cs="Arial"/>
          <w:sz w:val="22"/>
          <w:szCs w:val="22"/>
        </w:rPr>
        <w:t xml:space="preserve"> to submit information electronically</w:t>
      </w:r>
      <w:r w:rsidRPr="00DE7385" w:rsidR="00836FBB">
        <w:rPr>
          <w:rFonts w:ascii="Arial" w:hAnsi="Arial" w:cs="Arial"/>
          <w:sz w:val="22"/>
          <w:szCs w:val="22"/>
        </w:rPr>
        <w:t>.</w:t>
      </w:r>
      <w:r w:rsidR="00A000D4">
        <w:rPr>
          <w:rFonts w:ascii="Arial" w:hAnsi="Arial" w:cs="Arial"/>
          <w:sz w:val="22"/>
          <w:szCs w:val="22"/>
        </w:rPr>
        <w:t xml:space="preserve"> </w:t>
      </w:r>
    </w:p>
    <w:p w:rsidR="00FE62C6" w:rsidP="00BB7FEE" w14:paraId="3DF5C9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FE62C6" w:rsidRPr="006F6453" w:rsidP="00FE62C6" w14:paraId="3078F8FD" w14:textId="3B561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Pr>
          <w:rFonts w:ascii="Arial" w:hAnsi="Arial" w:cs="Arial"/>
          <w:sz w:val="22"/>
          <w:szCs w:val="22"/>
        </w:rPr>
        <w:t>After briefly utilizing a proprietary web portal from July 2023 to July 2024, the Network to Freedom discontinued its use. The custom</w:t>
      </w:r>
      <w:r w:rsidR="00F7141B">
        <w:rPr>
          <w:rFonts w:ascii="Arial" w:hAnsi="Arial" w:cs="Arial"/>
          <w:sz w:val="22"/>
          <w:szCs w:val="22"/>
        </w:rPr>
        <w:t>-</w:t>
      </w:r>
      <w:r>
        <w:rPr>
          <w:rFonts w:ascii="Arial" w:hAnsi="Arial" w:cs="Arial"/>
          <w:sz w:val="22"/>
          <w:szCs w:val="22"/>
        </w:rPr>
        <w:t>built platform lacked refinement and proved to be overly burdensome and difficult for public users and staff members to utilize</w:t>
      </w:r>
      <w:r w:rsidR="006D7BDA">
        <w:rPr>
          <w:rFonts w:ascii="Arial" w:hAnsi="Arial" w:cs="Arial"/>
          <w:sz w:val="22"/>
          <w:szCs w:val="22"/>
        </w:rPr>
        <w:t xml:space="preserve"> with any degree of confidence. </w:t>
      </w:r>
      <w:r w:rsidR="00DF7A1A">
        <w:rPr>
          <w:rFonts w:ascii="Arial" w:hAnsi="Arial" w:cs="Arial"/>
          <w:sz w:val="22"/>
          <w:szCs w:val="22"/>
        </w:rPr>
        <w:t>Most</w:t>
      </w:r>
      <w:r w:rsidR="004F128A">
        <w:rPr>
          <w:rFonts w:ascii="Arial" w:hAnsi="Arial" w:cs="Arial"/>
          <w:sz w:val="22"/>
          <w:szCs w:val="22"/>
        </w:rPr>
        <w:t xml:space="preserve"> preferred to submit the </w:t>
      </w:r>
      <w:r w:rsidR="00962128">
        <w:rPr>
          <w:rFonts w:ascii="Arial" w:hAnsi="Arial" w:cs="Arial"/>
          <w:sz w:val="22"/>
          <w:szCs w:val="22"/>
        </w:rPr>
        <w:t xml:space="preserve">templated </w:t>
      </w:r>
      <w:r w:rsidR="007B0C08">
        <w:rPr>
          <w:rFonts w:ascii="Arial" w:hAnsi="Arial" w:cs="Arial"/>
          <w:sz w:val="22"/>
          <w:szCs w:val="22"/>
        </w:rPr>
        <w:t>W</w:t>
      </w:r>
      <w:r w:rsidR="00962128">
        <w:rPr>
          <w:rFonts w:ascii="Arial" w:hAnsi="Arial" w:cs="Arial"/>
          <w:sz w:val="22"/>
          <w:szCs w:val="22"/>
        </w:rPr>
        <w:t xml:space="preserve">ord </w:t>
      </w:r>
      <w:r w:rsidR="007B0C08">
        <w:rPr>
          <w:rFonts w:ascii="Arial" w:hAnsi="Arial" w:cs="Arial"/>
          <w:sz w:val="22"/>
          <w:szCs w:val="22"/>
        </w:rPr>
        <w:t>version of the</w:t>
      </w:r>
      <w:r w:rsidR="00962128">
        <w:rPr>
          <w:rFonts w:ascii="Arial" w:hAnsi="Arial" w:cs="Arial"/>
          <w:sz w:val="22"/>
          <w:szCs w:val="22"/>
        </w:rPr>
        <w:t xml:space="preserve"> form instea</w:t>
      </w:r>
      <w:r w:rsidR="00DF7A1A">
        <w:rPr>
          <w:rFonts w:ascii="Arial" w:hAnsi="Arial" w:cs="Arial"/>
          <w:sz w:val="22"/>
          <w:szCs w:val="22"/>
        </w:rPr>
        <w:t>d</w:t>
      </w:r>
      <w:r w:rsidR="00DB4D5B">
        <w:rPr>
          <w:rFonts w:ascii="Arial" w:hAnsi="Arial" w:cs="Arial"/>
          <w:sz w:val="22"/>
          <w:szCs w:val="22"/>
        </w:rPr>
        <w:t>, which remained available as a submission option</w:t>
      </w:r>
      <w:r w:rsidR="00DF7A1A">
        <w:rPr>
          <w:rFonts w:ascii="Arial" w:hAnsi="Arial" w:cs="Arial"/>
          <w:sz w:val="22"/>
          <w:szCs w:val="22"/>
        </w:rPr>
        <w:t>.</w:t>
      </w:r>
    </w:p>
    <w:p w:rsidR="00FE62C6" w:rsidP="00C72D94" w14:paraId="29FCC0A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0736D3" w:rsidP="00C72D94" w14:paraId="7D36030C" w14:textId="42C8BCB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0736D3">
        <w:rPr>
          <w:rFonts w:ascii="Arial" w:hAnsi="Arial" w:cs="Arial"/>
          <w:b/>
          <w:sz w:val="22"/>
          <w:szCs w:val="22"/>
        </w:rPr>
        <w:t>4.</w:t>
      </w:r>
      <w:r w:rsidRPr="000736D3">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466194" w:rsidRPr="000736D3" w14:paraId="1C1FCF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66194" w:rsidRPr="000736D3" w:rsidP="00BB7FEE" w14:paraId="0B75DF00" w14:textId="346583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0736D3">
        <w:rPr>
          <w:rFonts w:ascii="Arial" w:hAnsi="Arial" w:cs="Arial"/>
          <w:sz w:val="22"/>
          <w:szCs w:val="22"/>
        </w:rPr>
        <w:t xml:space="preserve">There is no duplication. </w:t>
      </w:r>
      <w:r w:rsidRPr="000736D3" w:rsidR="0009458E">
        <w:rPr>
          <w:rFonts w:ascii="Arial" w:hAnsi="Arial" w:cs="Arial"/>
          <w:sz w:val="22"/>
          <w:szCs w:val="22"/>
        </w:rPr>
        <w:t>The information pertaining to prospective partners is unique and not collected by any other office.</w:t>
      </w:r>
      <w:r w:rsidRPr="000736D3">
        <w:rPr>
          <w:rFonts w:ascii="Arial" w:hAnsi="Arial" w:cs="Arial"/>
          <w:sz w:val="22"/>
          <w:szCs w:val="22"/>
        </w:rPr>
        <w:t xml:space="preserve"> </w:t>
      </w:r>
      <w:r w:rsidRPr="000736D3" w:rsidR="00F404B8">
        <w:rPr>
          <w:rFonts w:ascii="Arial" w:hAnsi="Arial" w:cs="Arial"/>
          <w:sz w:val="22"/>
          <w:szCs w:val="22"/>
        </w:rPr>
        <w:t>For s</w:t>
      </w:r>
      <w:r w:rsidRPr="000736D3">
        <w:rPr>
          <w:rFonts w:ascii="Arial" w:hAnsi="Arial" w:cs="Arial"/>
          <w:sz w:val="22"/>
          <w:szCs w:val="22"/>
        </w:rPr>
        <w:t xml:space="preserve">ites recognized through other evaluated inventories at the State or Federal levels, </w:t>
      </w:r>
      <w:r w:rsidRPr="000736D3" w:rsidR="00F404B8">
        <w:rPr>
          <w:rFonts w:ascii="Arial" w:hAnsi="Arial" w:cs="Arial"/>
          <w:sz w:val="22"/>
          <w:szCs w:val="22"/>
        </w:rPr>
        <w:t>we</w:t>
      </w:r>
      <w:r w:rsidRPr="000736D3" w:rsidR="0009458E">
        <w:rPr>
          <w:rFonts w:ascii="Arial" w:hAnsi="Arial" w:cs="Arial"/>
          <w:sz w:val="22"/>
          <w:szCs w:val="22"/>
        </w:rPr>
        <w:t xml:space="preserve"> </w:t>
      </w:r>
      <w:r w:rsidRPr="000736D3" w:rsidR="008625E3">
        <w:rPr>
          <w:rFonts w:ascii="Arial" w:hAnsi="Arial" w:cs="Arial"/>
          <w:sz w:val="22"/>
          <w:szCs w:val="22"/>
        </w:rPr>
        <w:t xml:space="preserve">encourage </w:t>
      </w:r>
      <w:r w:rsidRPr="000736D3" w:rsidR="00F404B8">
        <w:rPr>
          <w:rFonts w:ascii="Arial" w:hAnsi="Arial" w:cs="Arial"/>
          <w:sz w:val="22"/>
          <w:szCs w:val="22"/>
        </w:rPr>
        <w:t xml:space="preserve">those </w:t>
      </w:r>
      <w:r w:rsidRPr="000736D3">
        <w:rPr>
          <w:rFonts w:ascii="Arial" w:hAnsi="Arial" w:cs="Arial"/>
          <w:sz w:val="22"/>
          <w:szCs w:val="22"/>
        </w:rPr>
        <w:t xml:space="preserve">applicants to use existing information, especially for the statement of </w:t>
      </w:r>
      <w:r w:rsidR="00504F0A">
        <w:rPr>
          <w:rFonts w:ascii="Arial" w:hAnsi="Arial" w:cs="Arial"/>
          <w:sz w:val="22"/>
          <w:szCs w:val="22"/>
        </w:rPr>
        <w:t xml:space="preserve">the </w:t>
      </w:r>
      <w:r w:rsidRPr="000736D3">
        <w:rPr>
          <w:rFonts w:ascii="Arial" w:hAnsi="Arial" w:cs="Arial"/>
          <w:sz w:val="22"/>
          <w:szCs w:val="22"/>
        </w:rPr>
        <w:t>Underground Railroad association.</w:t>
      </w:r>
      <w:r w:rsidRPr="000736D3" w:rsidR="00F06827">
        <w:rPr>
          <w:rFonts w:ascii="Arial" w:hAnsi="Arial" w:cs="Arial"/>
          <w:sz w:val="22"/>
          <w:szCs w:val="22"/>
        </w:rPr>
        <w:t xml:space="preserve">  </w:t>
      </w:r>
    </w:p>
    <w:p w:rsidR="00295103" w:rsidRPr="000736D3" w14:paraId="43F8B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0736D3" w14:paraId="38DEC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0736D3">
        <w:rPr>
          <w:rFonts w:ascii="Arial" w:hAnsi="Arial" w:cs="Arial"/>
          <w:b/>
          <w:sz w:val="22"/>
          <w:szCs w:val="22"/>
        </w:rPr>
        <w:t>5.</w:t>
      </w:r>
      <w:r w:rsidRPr="000736D3">
        <w:rPr>
          <w:rFonts w:ascii="Arial" w:hAnsi="Arial" w:cs="Arial"/>
          <w:b/>
          <w:sz w:val="22"/>
          <w:szCs w:val="22"/>
        </w:rPr>
        <w:tab/>
        <w:t>If the collection of information impacts small bus</w:t>
      </w:r>
      <w:r w:rsidRPr="000736D3" w:rsidR="006E339F">
        <w:rPr>
          <w:rFonts w:ascii="Arial" w:hAnsi="Arial" w:cs="Arial"/>
          <w:b/>
          <w:sz w:val="22"/>
          <w:szCs w:val="22"/>
        </w:rPr>
        <w:t>inesses or other small entities</w:t>
      </w:r>
      <w:r w:rsidRPr="000736D3">
        <w:rPr>
          <w:rFonts w:ascii="Arial" w:hAnsi="Arial" w:cs="Arial"/>
          <w:b/>
          <w:sz w:val="22"/>
          <w:szCs w:val="22"/>
        </w:rPr>
        <w:t>, describe any methods used to minimize burden.</w:t>
      </w:r>
    </w:p>
    <w:p w:rsidR="00466194" w:rsidRPr="000736D3" w14:paraId="55AEC5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66194" w:rsidRPr="000736D3" w:rsidP="00BB7FEE" w14:paraId="2CD0A4ED" w14:textId="50268E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0736D3">
        <w:rPr>
          <w:rFonts w:ascii="Arial" w:hAnsi="Arial" w:cs="Arial"/>
          <w:sz w:val="22"/>
          <w:szCs w:val="22"/>
        </w:rPr>
        <w:t>The information we collect is the minimum needed to evaluate the candidate for inclusion in the Network</w:t>
      </w:r>
      <w:r w:rsidRPr="000736D3" w:rsidR="00F06827">
        <w:rPr>
          <w:rFonts w:ascii="Arial" w:hAnsi="Arial" w:cs="Arial"/>
          <w:sz w:val="22"/>
          <w:szCs w:val="22"/>
        </w:rPr>
        <w:t xml:space="preserve"> and as a partner</w:t>
      </w:r>
      <w:r w:rsidRPr="000736D3">
        <w:rPr>
          <w:rFonts w:ascii="Arial" w:hAnsi="Arial" w:cs="Arial"/>
          <w:sz w:val="22"/>
          <w:szCs w:val="22"/>
        </w:rPr>
        <w:t xml:space="preserve">. We also encourage the use of digitized forms and make these available to respondents to reduce paperwork and copying. To save time and effort, we encourage respondents to contact program staff who can provide technical assistance in the completion of the application forms.  </w:t>
      </w:r>
      <w:r w:rsidRPr="000736D3" w:rsidR="00F404B8">
        <w:rPr>
          <w:rFonts w:ascii="Arial" w:hAnsi="Arial" w:cs="Arial"/>
          <w:sz w:val="22"/>
          <w:szCs w:val="22"/>
        </w:rPr>
        <w:t xml:space="preserve">NPS program </w:t>
      </w:r>
      <w:r w:rsidRPr="000736D3">
        <w:rPr>
          <w:rFonts w:ascii="Arial" w:hAnsi="Arial" w:cs="Arial"/>
          <w:sz w:val="22"/>
          <w:szCs w:val="22"/>
        </w:rPr>
        <w:t xml:space="preserve">staff also offer workshops, </w:t>
      </w:r>
      <w:r w:rsidRPr="000736D3" w:rsidR="007F3F36">
        <w:rPr>
          <w:rFonts w:ascii="Arial" w:hAnsi="Arial" w:cs="Arial"/>
          <w:sz w:val="22"/>
          <w:szCs w:val="22"/>
        </w:rPr>
        <w:t xml:space="preserve">upon </w:t>
      </w:r>
      <w:r w:rsidRPr="000736D3">
        <w:rPr>
          <w:rFonts w:ascii="Arial" w:hAnsi="Arial" w:cs="Arial"/>
          <w:sz w:val="22"/>
          <w:szCs w:val="22"/>
        </w:rPr>
        <w:t>request, on how to document Underground Railroad associations and complete the application form.</w:t>
      </w:r>
    </w:p>
    <w:p w:rsidR="00295103" w:rsidRPr="000736D3" w14:paraId="3AACA171" w14:textId="0AABB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0736D3">
        <w:rPr>
          <w:rFonts w:ascii="Arial" w:hAnsi="Arial" w:cs="Arial"/>
          <w:b/>
          <w:sz w:val="22"/>
          <w:szCs w:val="22"/>
        </w:rPr>
        <w:t>6.</w:t>
      </w:r>
      <w:r w:rsidRPr="000736D3">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76A6F" w:rsidRPr="000736D3" w14:paraId="0BBA4D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176A6F" w:rsidRPr="000736D3" w:rsidP="00BB7FEE" w14:paraId="052EE0F6" w14:textId="357B23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0736D3">
        <w:rPr>
          <w:rFonts w:ascii="Arial" w:hAnsi="Arial" w:cs="Arial"/>
          <w:sz w:val="22"/>
          <w:szCs w:val="22"/>
        </w:rPr>
        <w:t xml:space="preserve">We would not be able to </w:t>
      </w:r>
      <w:r w:rsidRPr="000736D3" w:rsidR="008625E3">
        <w:rPr>
          <w:rFonts w:ascii="Arial" w:hAnsi="Arial" w:cs="Arial"/>
          <w:sz w:val="22"/>
          <w:szCs w:val="22"/>
        </w:rPr>
        <w:t>maintain the Network</w:t>
      </w:r>
      <w:r w:rsidRPr="000736D3">
        <w:rPr>
          <w:rFonts w:ascii="Arial" w:hAnsi="Arial" w:cs="Arial"/>
          <w:sz w:val="22"/>
          <w:szCs w:val="22"/>
        </w:rPr>
        <w:t>, as mandated by the program’s</w:t>
      </w:r>
      <w:r w:rsidRPr="000736D3" w:rsidR="008625E3">
        <w:rPr>
          <w:rFonts w:ascii="Arial" w:hAnsi="Arial" w:cs="Arial"/>
          <w:sz w:val="22"/>
          <w:szCs w:val="22"/>
        </w:rPr>
        <w:t xml:space="preserve"> establishing legislation if we</w:t>
      </w:r>
      <w:r w:rsidRPr="000736D3">
        <w:rPr>
          <w:rFonts w:ascii="Arial" w:hAnsi="Arial" w:cs="Arial"/>
          <w:sz w:val="22"/>
          <w:szCs w:val="22"/>
        </w:rPr>
        <w:t xml:space="preserve"> did not collect this information about Underground Railroad-related resources</w:t>
      </w:r>
      <w:r w:rsidRPr="000736D3" w:rsidR="008625E3">
        <w:rPr>
          <w:rFonts w:ascii="Arial" w:hAnsi="Arial" w:cs="Arial"/>
          <w:sz w:val="22"/>
          <w:szCs w:val="22"/>
        </w:rPr>
        <w:t>.</w:t>
      </w:r>
      <w:r w:rsidRPr="000736D3">
        <w:rPr>
          <w:rFonts w:ascii="Arial" w:hAnsi="Arial" w:cs="Arial"/>
          <w:sz w:val="22"/>
          <w:szCs w:val="22"/>
        </w:rPr>
        <w:t xml:space="preserve"> </w:t>
      </w:r>
      <w:r w:rsidRPr="000736D3" w:rsidR="008625E3">
        <w:rPr>
          <w:rFonts w:ascii="Arial" w:hAnsi="Arial" w:cs="Arial"/>
          <w:sz w:val="22"/>
          <w:szCs w:val="22"/>
        </w:rPr>
        <w:t xml:space="preserve">Respondents complete an application </w:t>
      </w:r>
      <w:r w:rsidRPr="000736D3" w:rsidR="00FE3944">
        <w:rPr>
          <w:rFonts w:ascii="Arial" w:hAnsi="Arial" w:cs="Arial"/>
          <w:sz w:val="22"/>
          <w:szCs w:val="22"/>
        </w:rPr>
        <w:t xml:space="preserve">only </w:t>
      </w:r>
      <w:r w:rsidRPr="000736D3" w:rsidR="008625E3">
        <w:rPr>
          <w:rFonts w:ascii="Arial" w:hAnsi="Arial" w:cs="Arial"/>
          <w:sz w:val="22"/>
          <w:szCs w:val="22"/>
        </w:rPr>
        <w:t>at the time they propose a site, facility, or program for inclusion in the Network</w:t>
      </w:r>
      <w:r w:rsidRPr="000736D3" w:rsidR="00882A18">
        <w:rPr>
          <w:rFonts w:ascii="Arial" w:hAnsi="Arial" w:cs="Arial"/>
          <w:sz w:val="22"/>
          <w:szCs w:val="22"/>
        </w:rPr>
        <w:t xml:space="preserve">. </w:t>
      </w:r>
      <w:r w:rsidRPr="000736D3">
        <w:rPr>
          <w:rFonts w:ascii="Arial" w:hAnsi="Arial" w:cs="Arial"/>
          <w:sz w:val="22"/>
          <w:szCs w:val="22"/>
        </w:rPr>
        <w:t xml:space="preserve"> Without this information, we would be unable to comply fully with the objectives of the program. These objectives are to </w:t>
      </w:r>
      <w:r w:rsidRPr="000736D3" w:rsidR="00F404B8">
        <w:rPr>
          <w:rFonts w:ascii="Arial" w:hAnsi="Arial" w:cs="Arial"/>
          <w:sz w:val="22"/>
          <w:szCs w:val="22"/>
        </w:rPr>
        <w:t xml:space="preserve">(1) </w:t>
      </w:r>
      <w:r w:rsidRPr="000736D3">
        <w:rPr>
          <w:rFonts w:ascii="Arial" w:hAnsi="Arial" w:cs="Arial"/>
          <w:sz w:val="22"/>
          <w:szCs w:val="22"/>
        </w:rPr>
        <w:t>provide the public with a better understanding of the significance of the Underground Railroad in American history,</w:t>
      </w:r>
      <w:r w:rsidRPr="000736D3" w:rsidR="00F404B8">
        <w:rPr>
          <w:rFonts w:ascii="Arial" w:hAnsi="Arial" w:cs="Arial"/>
          <w:sz w:val="22"/>
          <w:szCs w:val="22"/>
        </w:rPr>
        <w:t xml:space="preserve"> and (2) </w:t>
      </w:r>
      <w:r w:rsidRPr="000736D3">
        <w:rPr>
          <w:rFonts w:ascii="Arial" w:hAnsi="Arial" w:cs="Arial"/>
          <w:sz w:val="22"/>
          <w:szCs w:val="22"/>
        </w:rPr>
        <w:t>provide assistance to State and Federal agencies, tribal nations, municipalities, and organizations in the identification, preservation, and protection of Underground Railroad-related properties.</w:t>
      </w:r>
    </w:p>
    <w:p w:rsidR="00295103" w:rsidRPr="000736D3" w14:paraId="7278E0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0736D3" w14:paraId="22411CB9" w14:textId="25CEF1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0736D3">
        <w:rPr>
          <w:rFonts w:ascii="Arial" w:hAnsi="Arial" w:cs="Arial"/>
          <w:b/>
          <w:sz w:val="22"/>
          <w:szCs w:val="22"/>
        </w:rPr>
        <w:t>7.</w:t>
      </w:r>
      <w:r w:rsidRPr="000736D3">
        <w:rPr>
          <w:rFonts w:ascii="Arial" w:hAnsi="Arial" w:cs="Arial"/>
          <w:b/>
          <w:sz w:val="22"/>
          <w:szCs w:val="22"/>
        </w:rPr>
        <w:tab/>
        <w:t>Explain any special circumstances that would cause an information collection to be conducted in a manner:</w:t>
      </w:r>
    </w:p>
    <w:p w:rsidR="00295103" w:rsidRPr="000736D3" w14:paraId="36F7B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requiring respondents to report information to the agency more often than quarterly;</w:t>
      </w:r>
    </w:p>
    <w:p w:rsidR="00295103" w:rsidRPr="000736D3" w14:paraId="57DC5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requiring respondents to prepare a written response to a collection of information in fewer than 30 days after receipt of it;</w:t>
      </w:r>
    </w:p>
    <w:p w:rsidR="00295103" w:rsidRPr="000736D3" w14:paraId="3A645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requiring respondents to submit more than an original and two copies of any document;</w:t>
      </w:r>
    </w:p>
    <w:p w:rsidR="00295103" w:rsidRPr="000736D3" w14:paraId="36061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requiring respondents to retain records, other than health, medical, government contract, grant-in-aid, or tax records, for more than three years;</w:t>
      </w:r>
    </w:p>
    <w:p w:rsidR="00295103" w:rsidRPr="000736D3" w14:paraId="23410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in conne</w:t>
      </w:r>
      <w:r w:rsidRPr="000736D3" w:rsidR="00352210">
        <w:rPr>
          <w:rFonts w:ascii="Arial" w:hAnsi="Arial" w:cs="Arial"/>
          <w:b/>
          <w:sz w:val="22"/>
          <w:szCs w:val="22"/>
        </w:rPr>
        <w:t>ction with a statistical survey</w:t>
      </w:r>
      <w:r w:rsidRPr="000736D3">
        <w:rPr>
          <w:rFonts w:ascii="Arial" w:hAnsi="Arial" w:cs="Arial"/>
          <w:b/>
          <w:sz w:val="22"/>
          <w:szCs w:val="22"/>
        </w:rPr>
        <w:t xml:space="preserve"> that is not designed to produce valid and reliable results that can be generalized to the universe of study;</w:t>
      </w:r>
    </w:p>
    <w:p w:rsidR="00295103" w:rsidRPr="000736D3" w14:paraId="100C92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requiring the use of a statistical data classification that has not been reviewed and approved by OMB;</w:t>
      </w:r>
    </w:p>
    <w:p w:rsidR="00295103" w:rsidRPr="000736D3" w14:paraId="4D4ADB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736D3" w14:paraId="4BC45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0736D3">
        <w:rPr>
          <w:rFonts w:ascii="Arial" w:hAnsi="Arial" w:cs="Arial"/>
          <w:b/>
          <w:sz w:val="22"/>
          <w:szCs w:val="22"/>
        </w:rPr>
        <w:tab/>
        <w:t>*</w:t>
      </w:r>
      <w:r w:rsidRPr="000736D3">
        <w:rPr>
          <w:rFonts w:ascii="Arial" w:hAnsi="Arial" w:cs="Arial"/>
          <w:b/>
          <w:sz w:val="22"/>
          <w:szCs w:val="22"/>
        </w:rPr>
        <w:tab/>
        <w:t>requiring respondents to submit proprietary trade secrets, or other confidential information</w:t>
      </w:r>
      <w:r w:rsidRPr="000736D3" w:rsidR="00352210">
        <w:rPr>
          <w:rFonts w:ascii="Arial" w:hAnsi="Arial" w:cs="Arial"/>
          <w:b/>
          <w:sz w:val="22"/>
          <w:szCs w:val="22"/>
        </w:rPr>
        <w:t>,</w:t>
      </w:r>
      <w:r w:rsidRPr="000736D3">
        <w:rPr>
          <w:rFonts w:ascii="Arial" w:hAnsi="Arial" w:cs="Arial"/>
          <w:b/>
          <w:sz w:val="22"/>
          <w:szCs w:val="22"/>
        </w:rPr>
        <w:t xml:space="preserve"> unless the agency can demonstrate that it has instituted procedures to protect the information's confidentiality to the extent permitted by law.</w:t>
      </w:r>
    </w:p>
    <w:p w:rsidR="00176A6F" w:rsidRPr="000736D3" w14:paraId="46242A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295103" w:rsidRPr="000736D3" w:rsidP="00BB7FEE" w14:paraId="748D8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0736D3">
        <w:rPr>
          <w:rFonts w:ascii="Arial" w:hAnsi="Arial" w:cs="Arial"/>
          <w:sz w:val="22"/>
          <w:szCs w:val="22"/>
        </w:rPr>
        <w:t>There are no special circumstances that require us to collect this information in a manner inconsistent with OMB guidelines.</w:t>
      </w:r>
    </w:p>
    <w:p w:rsidR="00176A6F" w:rsidRPr="000736D3" w14:paraId="740B0F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0736D3" w14:paraId="676E3E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0736D3">
        <w:rPr>
          <w:rFonts w:ascii="Arial" w:hAnsi="Arial" w:cs="Arial"/>
          <w:b/>
          <w:sz w:val="22"/>
          <w:szCs w:val="22"/>
        </w:rPr>
        <w:t>8.</w:t>
      </w:r>
      <w:r w:rsidRPr="000736D3">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736D3" w:rsidR="00DE1FFE">
        <w:rPr>
          <w:rFonts w:ascii="Arial" w:hAnsi="Arial" w:cs="Arial"/>
          <w:b/>
          <w:sz w:val="22"/>
          <w:szCs w:val="22"/>
        </w:rPr>
        <w:t xml:space="preserve">ved in response to that notice </w:t>
      </w:r>
      <w:r w:rsidRPr="000736D3">
        <w:rPr>
          <w:rFonts w:ascii="Arial" w:hAnsi="Arial" w:cs="Arial"/>
          <w:b/>
          <w:sz w:val="22"/>
          <w:szCs w:val="22"/>
        </w:rPr>
        <w:t>and in response to the PRA statement associated with the collec</w:t>
      </w:r>
      <w:r w:rsidRPr="000736D3" w:rsidR="00DE1FFE">
        <w:rPr>
          <w:rFonts w:ascii="Arial" w:hAnsi="Arial" w:cs="Arial"/>
          <w:b/>
          <w:sz w:val="22"/>
          <w:szCs w:val="22"/>
        </w:rPr>
        <w:t xml:space="preserve">tion over the past three years, </w:t>
      </w:r>
      <w:r w:rsidRPr="000736D3">
        <w:rPr>
          <w:rFonts w:ascii="Arial" w:hAnsi="Arial" w:cs="Arial"/>
          <w:b/>
          <w:sz w:val="22"/>
          <w:szCs w:val="22"/>
        </w:rPr>
        <w:t>and describe actions taken by the agency in response to these comments.  Specifically address comments received on cost and hour burden.</w:t>
      </w:r>
    </w:p>
    <w:p w:rsidR="00295103" w:rsidRPr="000736D3" w14:paraId="0B5BD5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0736D3" w14:paraId="5D299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0736D3">
        <w:rPr>
          <w:rFonts w:ascii="Arial" w:hAnsi="Arial" w:cs="Arial"/>
          <w:b/>
          <w:sz w:val="22"/>
          <w:szCs w:val="22"/>
        </w:rPr>
        <w:t xml:space="preserve">Describe efforts to consult with persons outside the agency to obtain their views on the availability of data, frequency of collection, the clarity of instructions and </w:t>
      </w:r>
      <w:r w:rsidRPr="000736D3">
        <w:rPr>
          <w:rFonts w:ascii="Arial" w:hAnsi="Arial" w:cs="Arial"/>
          <w:b/>
          <w:sz w:val="22"/>
          <w:szCs w:val="22"/>
        </w:rPr>
        <w:t>recordkeeping, disclosure, or reporting format (if any), and on the data elements to be recorded, disclosed, or reported</w:t>
      </w:r>
      <w:r w:rsidRPr="000736D3" w:rsidR="00352210">
        <w:rPr>
          <w:rFonts w:ascii="Arial" w:hAnsi="Arial" w:cs="Arial"/>
          <w:b/>
          <w:sz w:val="22"/>
          <w:szCs w:val="22"/>
        </w:rPr>
        <w:t>.</w:t>
      </w:r>
    </w:p>
    <w:p w:rsidR="00295103" w:rsidRPr="000736D3" w14:paraId="1F946D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0736D3" w14:paraId="1C3C3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0736D3">
        <w:rPr>
          <w:rFonts w:ascii="Arial" w:hAnsi="Arial" w:cs="Arial"/>
          <w:b/>
          <w:sz w:val="22"/>
          <w:szCs w:val="22"/>
        </w:rPr>
        <w:t xml:space="preserve">Consultation with representatives of those from whom information is to be obtained or those who must compile records should occur at least once every </w:t>
      </w:r>
      <w:r w:rsidRPr="000736D3" w:rsidR="00352210">
        <w:rPr>
          <w:rFonts w:ascii="Arial" w:hAnsi="Arial" w:cs="Arial"/>
          <w:b/>
          <w:sz w:val="22"/>
          <w:szCs w:val="22"/>
        </w:rPr>
        <w:t>three</w:t>
      </w:r>
      <w:r w:rsidRPr="000736D3">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980E48" w:rsidRPr="000736D3" w14:paraId="4CCD45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rsidR="005A3676" w:rsidRPr="00242BE0" w:rsidP="00BB7FEE" w14:paraId="79F28478" w14:textId="27C4EAE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8749A9">
        <w:rPr>
          <w:rFonts w:ascii="Arial" w:hAnsi="Arial" w:cs="Arial"/>
          <w:sz w:val="22"/>
          <w:szCs w:val="22"/>
        </w:rPr>
        <w:t xml:space="preserve">On </w:t>
      </w:r>
      <w:r w:rsidRPr="008749A9" w:rsidR="00BB62D5">
        <w:rPr>
          <w:rFonts w:ascii="Arial" w:hAnsi="Arial" w:cs="Arial"/>
          <w:sz w:val="22"/>
          <w:szCs w:val="22"/>
        </w:rPr>
        <w:t>Octobe</w:t>
      </w:r>
      <w:r w:rsidRPr="008749A9" w:rsidR="00C74920">
        <w:rPr>
          <w:rFonts w:ascii="Arial" w:hAnsi="Arial" w:cs="Arial"/>
          <w:sz w:val="22"/>
          <w:szCs w:val="22"/>
        </w:rPr>
        <w:t>r 2, 2025</w:t>
      </w:r>
      <w:r w:rsidRPr="008749A9">
        <w:rPr>
          <w:rFonts w:ascii="Arial" w:hAnsi="Arial" w:cs="Arial"/>
          <w:sz w:val="22"/>
          <w:szCs w:val="22"/>
        </w:rPr>
        <w:t>, we published in the Federal Register (</w:t>
      </w:r>
      <w:r w:rsidRPr="008749A9" w:rsidR="00C74920">
        <w:rPr>
          <w:rFonts w:ascii="Arial" w:hAnsi="Arial" w:cs="Arial"/>
          <w:sz w:val="22"/>
          <w:szCs w:val="22"/>
        </w:rPr>
        <w:t>90</w:t>
      </w:r>
      <w:r w:rsidRPr="008749A9" w:rsidR="00FC180A">
        <w:rPr>
          <w:rFonts w:ascii="Arial" w:hAnsi="Arial" w:cs="Arial"/>
          <w:sz w:val="22"/>
          <w:szCs w:val="22"/>
        </w:rPr>
        <w:t xml:space="preserve"> </w:t>
      </w:r>
      <w:r w:rsidRPr="008749A9">
        <w:rPr>
          <w:rFonts w:ascii="Arial" w:hAnsi="Arial" w:cs="Arial"/>
          <w:sz w:val="22"/>
          <w:szCs w:val="22"/>
        </w:rPr>
        <w:t xml:space="preserve">FR </w:t>
      </w:r>
      <w:r w:rsidRPr="008749A9" w:rsidR="00C74920">
        <w:rPr>
          <w:rFonts w:ascii="Arial" w:hAnsi="Arial" w:cs="Arial"/>
          <w:sz w:val="22"/>
          <w:szCs w:val="22"/>
        </w:rPr>
        <w:t>47816</w:t>
      </w:r>
      <w:r w:rsidRPr="008749A9">
        <w:rPr>
          <w:rFonts w:ascii="Arial" w:hAnsi="Arial" w:cs="Arial"/>
          <w:sz w:val="22"/>
          <w:szCs w:val="22"/>
        </w:rPr>
        <w:t>)</w:t>
      </w:r>
      <w:r w:rsidRPr="000736D3">
        <w:rPr>
          <w:rFonts w:ascii="Arial" w:hAnsi="Arial" w:cs="Arial"/>
          <w:sz w:val="22"/>
          <w:szCs w:val="22"/>
        </w:rPr>
        <w:t xml:space="preserve"> a </w:t>
      </w:r>
      <w:r w:rsidRPr="000736D3" w:rsidR="00213CC2">
        <w:rPr>
          <w:rFonts w:ascii="Arial" w:hAnsi="Arial" w:cs="Arial"/>
          <w:sz w:val="22"/>
          <w:szCs w:val="22"/>
        </w:rPr>
        <w:t>N</w:t>
      </w:r>
      <w:r w:rsidRPr="000736D3">
        <w:rPr>
          <w:rFonts w:ascii="Arial" w:hAnsi="Arial" w:cs="Arial"/>
          <w:sz w:val="22"/>
          <w:szCs w:val="22"/>
        </w:rPr>
        <w:t xml:space="preserve">otice of our intent to request that OMB renew approval for this information collection.  In that </w:t>
      </w:r>
      <w:r w:rsidRPr="000736D3" w:rsidR="00213CC2">
        <w:rPr>
          <w:rFonts w:ascii="Arial" w:hAnsi="Arial" w:cs="Arial"/>
          <w:sz w:val="22"/>
          <w:szCs w:val="22"/>
        </w:rPr>
        <w:t>N</w:t>
      </w:r>
      <w:r w:rsidRPr="000736D3">
        <w:rPr>
          <w:rFonts w:ascii="Arial" w:hAnsi="Arial" w:cs="Arial"/>
          <w:sz w:val="22"/>
          <w:szCs w:val="22"/>
        </w:rPr>
        <w:t xml:space="preserve">otice, we solicited comments for 60 days, </w:t>
      </w:r>
      <w:r w:rsidRPr="008749A9">
        <w:rPr>
          <w:rFonts w:ascii="Arial" w:hAnsi="Arial" w:cs="Arial"/>
          <w:sz w:val="22"/>
          <w:szCs w:val="22"/>
        </w:rPr>
        <w:t xml:space="preserve">ending on </w:t>
      </w:r>
      <w:r w:rsidR="008749A9">
        <w:rPr>
          <w:rFonts w:ascii="Arial" w:hAnsi="Arial" w:cs="Arial"/>
          <w:sz w:val="22"/>
          <w:szCs w:val="22"/>
        </w:rPr>
        <w:t>December 1,2025</w:t>
      </w:r>
      <w:r w:rsidRPr="000736D3">
        <w:rPr>
          <w:rFonts w:ascii="Arial" w:hAnsi="Arial" w:cs="Arial"/>
          <w:sz w:val="22"/>
          <w:szCs w:val="22"/>
        </w:rPr>
        <w:t xml:space="preserve">.  We did not receive any comments in response to that </w:t>
      </w:r>
      <w:r w:rsidRPr="000736D3" w:rsidR="00213CC2">
        <w:rPr>
          <w:rFonts w:ascii="Arial" w:hAnsi="Arial" w:cs="Arial"/>
          <w:sz w:val="22"/>
          <w:szCs w:val="22"/>
        </w:rPr>
        <w:t>N</w:t>
      </w:r>
      <w:r w:rsidRPr="000736D3">
        <w:rPr>
          <w:rFonts w:ascii="Arial" w:hAnsi="Arial" w:cs="Arial"/>
          <w:sz w:val="22"/>
          <w:szCs w:val="22"/>
        </w:rPr>
        <w:t>otice.</w:t>
      </w:r>
    </w:p>
    <w:p w:rsidR="00BB7FEE" w:rsidP="00BB7FEE" w14:paraId="0F5E03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B02DD7" w:rsidP="00BB7FEE" w14:paraId="1E620AB1" w14:textId="369278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Calibri" w:hAnsi="Arial" w:cs="Arial"/>
          <w:sz w:val="22"/>
          <w:szCs w:val="22"/>
        </w:rPr>
      </w:pPr>
      <w:r w:rsidRPr="00242BE0">
        <w:rPr>
          <w:rFonts w:ascii="Arial" w:hAnsi="Arial" w:cs="Arial"/>
          <w:sz w:val="22"/>
          <w:szCs w:val="22"/>
        </w:rPr>
        <w:t xml:space="preserve">In addition to the Federal Register </w:t>
      </w:r>
      <w:r w:rsidRPr="00242BE0" w:rsidR="00291FB6">
        <w:rPr>
          <w:rFonts w:ascii="Arial" w:hAnsi="Arial" w:cs="Arial"/>
          <w:sz w:val="22"/>
          <w:szCs w:val="22"/>
        </w:rPr>
        <w:t>N</w:t>
      </w:r>
      <w:r w:rsidRPr="00242BE0">
        <w:rPr>
          <w:rFonts w:ascii="Arial" w:hAnsi="Arial" w:cs="Arial"/>
          <w:sz w:val="22"/>
          <w:szCs w:val="22"/>
        </w:rPr>
        <w:t xml:space="preserve">otice, we </w:t>
      </w:r>
      <w:r w:rsidRPr="00242BE0" w:rsidR="00A25591">
        <w:rPr>
          <w:rFonts w:ascii="Arial" w:hAnsi="Arial" w:cs="Arial"/>
          <w:sz w:val="22"/>
          <w:szCs w:val="22"/>
        </w:rPr>
        <w:t xml:space="preserve">contacted </w:t>
      </w:r>
      <w:r w:rsidRPr="00242BE0" w:rsidR="005006E4">
        <w:rPr>
          <w:rFonts w:ascii="Arial" w:hAnsi="Arial" w:cs="Arial"/>
          <w:sz w:val="22"/>
          <w:szCs w:val="22"/>
        </w:rPr>
        <w:t xml:space="preserve">nine </w:t>
      </w:r>
      <w:r w:rsidRPr="00242BE0" w:rsidR="00A25591">
        <w:rPr>
          <w:rFonts w:ascii="Arial" w:hAnsi="Arial" w:cs="Arial"/>
          <w:sz w:val="22"/>
          <w:szCs w:val="22"/>
        </w:rPr>
        <w:t xml:space="preserve">recent applicants for </w:t>
      </w:r>
      <w:r w:rsidRPr="00242BE0">
        <w:rPr>
          <w:rFonts w:ascii="Arial" w:hAnsi="Arial" w:cs="Arial"/>
          <w:sz w:val="22"/>
          <w:szCs w:val="22"/>
        </w:rPr>
        <w:t>comments</w:t>
      </w:r>
      <w:r w:rsidRPr="00242BE0" w:rsidR="008B706C">
        <w:rPr>
          <w:rFonts w:ascii="Arial" w:hAnsi="Arial" w:cs="Arial"/>
          <w:sz w:val="22"/>
          <w:szCs w:val="22"/>
        </w:rPr>
        <w:t xml:space="preserve">.  We received </w:t>
      </w:r>
      <w:r w:rsidRPr="00242BE0" w:rsidR="00711EDE">
        <w:rPr>
          <w:rFonts w:ascii="Arial" w:hAnsi="Arial" w:cs="Arial"/>
          <w:sz w:val="22"/>
          <w:szCs w:val="22"/>
        </w:rPr>
        <w:t>substantive</w:t>
      </w:r>
      <w:r w:rsidRPr="00242BE0" w:rsidR="00882A18">
        <w:rPr>
          <w:rFonts w:ascii="Arial" w:hAnsi="Arial" w:cs="Arial"/>
          <w:sz w:val="22"/>
          <w:szCs w:val="22"/>
        </w:rPr>
        <w:t xml:space="preserve"> </w:t>
      </w:r>
      <w:r w:rsidR="00A70BEF">
        <w:rPr>
          <w:rFonts w:ascii="Arial" w:hAnsi="Arial" w:cs="Arial"/>
          <w:sz w:val="22"/>
          <w:szCs w:val="22"/>
        </w:rPr>
        <w:t>feedback</w:t>
      </w:r>
      <w:r w:rsidRPr="00242BE0" w:rsidR="00A70BEF">
        <w:rPr>
          <w:rFonts w:ascii="Arial" w:hAnsi="Arial" w:cs="Arial"/>
          <w:sz w:val="22"/>
          <w:szCs w:val="22"/>
        </w:rPr>
        <w:t xml:space="preserve"> </w:t>
      </w:r>
      <w:r w:rsidRPr="00242BE0" w:rsidR="008B706C">
        <w:rPr>
          <w:rFonts w:ascii="Arial" w:hAnsi="Arial" w:cs="Arial"/>
          <w:sz w:val="22"/>
          <w:szCs w:val="22"/>
        </w:rPr>
        <w:t xml:space="preserve">from </w:t>
      </w:r>
      <w:r w:rsidR="008C06F8">
        <w:rPr>
          <w:rFonts w:ascii="Arial" w:hAnsi="Arial" w:cs="Arial"/>
          <w:sz w:val="22"/>
          <w:szCs w:val="22"/>
        </w:rPr>
        <w:t>four</w:t>
      </w:r>
      <w:r w:rsidRPr="00242BE0" w:rsidR="008C06F8">
        <w:rPr>
          <w:rFonts w:ascii="Arial" w:hAnsi="Arial" w:cs="Arial"/>
          <w:sz w:val="22"/>
          <w:szCs w:val="22"/>
        </w:rPr>
        <w:t xml:space="preserve"> </w:t>
      </w:r>
      <w:r w:rsidRPr="00242BE0" w:rsidR="008B706C">
        <w:rPr>
          <w:rFonts w:ascii="Arial" w:hAnsi="Arial" w:cs="Arial"/>
          <w:sz w:val="22"/>
          <w:szCs w:val="22"/>
        </w:rPr>
        <w:t>individual</w:t>
      </w:r>
      <w:r w:rsidRPr="00242BE0" w:rsidR="005006E4">
        <w:rPr>
          <w:rFonts w:ascii="Arial" w:hAnsi="Arial" w:cs="Arial"/>
          <w:sz w:val="22"/>
          <w:szCs w:val="22"/>
        </w:rPr>
        <w:t>s</w:t>
      </w:r>
      <w:r w:rsidR="00067DC0">
        <w:rPr>
          <w:rFonts w:ascii="Arial" w:hAnsi="Arial" w:cs="Arial"/>
          <w:sz w:val="22"/>
          <w:szCs w:val="22"/>
        </w:rPr>
        <w:t xml:space="preserve">.  </w:t>
      </w:r>
      <w:r w:rsidRPr="00242BE0">
        <w:rPr>
          <w:rFonts w:ascii="Arial" w:eastAsia="Calibri" w:hAnsi="Arial" w:cs="Arial"/>
          <w:sz w:val="22"/>
          <w:szCs w:val="22"/>
        </w:rPr>
        <w:t xml:space="preserve">The </w:t>
      </w:r>
      <w:r w:rsidR="002D4FEF">
        <w:rPr>
          <w:rFonts w:ascii="Arial" w:eastAsia="Calibri" w:hAnsi="Arial" w:cs="Arial"/>
          <w:sz w:val="22"/>
          <w:szCs w:val="22"/>
        </w:rPr>
        <w:t>following</w:t>
      </w:r>
      <w:r w:rsidRPr="00242BE0">
        <w:rPr>
          <w:rFonts w:ascii="Arial" w:eastAsia="Calibri" w:hAnsi="Arial" w:cs="Arial"/>
          <w:sz w:val="22"/>
          <w:szCs w:val="22"/>
        </w:rPr>
        <w:t xml:space="preserve"> table includes the titles and organizations of the individuals </w:t>
      </w:r>
      <w:r w:rsidR="00C51063">
        <w:rPr>
          <w:rFonts w:ascii="Arial" w:eastAsia="Calibri" w:hAnsi="Arial" w:cs="Arial"/>
          <w:sz w:val="22"/>
          <w:szCs w:val="22"/>
        </w:rPr>
        <w:t>provid</w:t>
      </w:r>
      <w:r w:rsidR="00067DC0">
        <w:rPr>
          <w:rFonts w:ascii="Arial" w:eastAsia="Calibri" w:hAnsi="Arial" w:cs="Arial"/>
          <w:sz w:val="22"/>
          <w:szCs w:val="22"/>
        </w:rPr>
        <w:t>ing</w:t>
      </w:r>
      <w:r w:rsidRPr="00242BE0">
        <w:rPr>
          <w:rFonts w:ascii="Arial" w:eastAsia="Calibri" w:hAnsi="Arial" w:cs="Arial"/>
          <w:sz w:val="22"/>
          <w:szCs w:val="22"/>
        </w:rPr>
        <w:t xml:space="preserve"> feedback to our request. </w:t>
      </w:r>
    </w:p>
    <w:p w:rsidR="00B02DD7" w:rsidRPr="007B0C08" w:rsidP="00B02DD7" w14:paraId="3240F31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Calibri" w:hAnsi="Arial" w:cs="Arial"/>
          <w:sz w:val="22"/>
          <w:szCs w:val="22"/>
        </w:rPr>
      </w:pPr>
    </w:p>
    <w:tbl>
      <w:tblPr>
        <w:tblStyle w:val="TableGrid"/>
        <w:tblW w:w="9522" w:type="dxa"/>
        <w:tblInd w:w="108" w:type="dxa"/>
        <w:tblLook w:val="04A0"/>
      </w:tblPr>
      <w:tblGrid>
        <w:gridCol w:w="4662"/>
        <w:gridCol w:w="4860"/>
      </w:tblGrid>
      <w:tr w14:paraId="77DF6D8C" w14:textId="77777777" w:rsidTr="00C51063">
        <w:tblPrEx>
          <w:tblW w:w="9522" w:type="dxa"/>
          <w:tblInd w:w="108" w:type="dxa"/>
          <w:tblLook w:val="04A0"/>
        </w:tblPrEx>
        <w:trPr>
          <w:trHeight w:val="395"/>
        </w:trPr>
        <w:tc>
          <w:tcPr>
            <w:tcW w:w="4662" w:type="dxa"/>
            <w:tcBorders>
              <w:top w:val="single" w:sz="4" w:space="0" w:color="auto"/>
              <w:left w:val="nil"/>
              <w:bottom w:val="single" w:sz="4" w:space="0" w:color="auto"/>
              <w:right w:val="nil"/>
            </w:tcBorders>
            <w:shd w:val="clear" w:color="auto" w:fill="D6E3BC" w:themeFill="accent3" w:themeFillTint="66"/>
            <w:vAlign w:val="center"/>
          </w:tcPr>
          <w:p w:rsidR="00B02DD7" w:rsidRPr="007B0C08" w:rsidP="00336A1D" w14:paraId="00BA2AC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sz w:val="22"/>
              </w:rPr>
            </w:pPr>
            <w:bookmarkStart w:id="1" w:name="_Hlk204584602"/>
            <w:r w:rsidRPr="007B0C08">
              <w:rPr>
                <w:rFonts w:ascii="Arial" w:hAnsi="Arial" w:cs="Arial"/>
                <w:b/>
                <w:sz w:val="22"/>
              </w:rPr>
              <w:t>Position</w:t>
            </w:r>
          </w:p>
        </w:tc>
        <w:tc>
          <w:tcPr>
            <w:tcW w:w="4860" w:type="dxa"/>
            <w:tcBorders>
              <w:top w:val="single" w:sz="4" w:space="0" w:color="auto"/>
              <w:left w:val="nil"/>
              <w:bottom w:val="single" w:sz="4" w:space="0" w:color="auto"/>
              <w:right w:val="nil"/>
            </w:tcBorders>
            <w:shd w:val="clear" w:color="auto" w:fill="D6E3BC" w:themeFill="accent3" w:themeFillTint="66"/>
            <w:vAlign w:val="center"/>
          </w:tcPr>
          <w:p w:rsidR="00B02DD7" w:rsidRPr="007B0C08" w:rsidP="00336A1D" w14:paraId="0106AB1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sz w:val="22"/>
              </w:rPr>
            </w:pPr>
            <w:r w:rsidRPr="007B0C08">
              <w:rPr>
                <w:rFonts w:ascii="Arial" w:hAnsi="Arial" w:cs="Arial"/>
                <w:b/>
                <w:sz w:val="22"/>
              </w:rPr>
              <w:t>Affiliation</w:t>
            </w:r>
          </w:p>
        </w:tc>
      </w:tr>
      <w:tr w14:paraId="04E05362" w14:textId="77777777" w:rsidTr="00C51063">
        <w:tblPrEx>
          <w:tblW w:w="9522" w:type="dxa"/>
          <w:tblInd w:w="108" w:type="dxa"/>
          <w:tblLook w:val="04A0"/>
        </w:tblPrEx>
        <w:trPr>
          <w:trHeight w:val="143"/>
        </w:trPr>
        <w:tc>
          <w:tcPr>
            <w:tcW w:w="4662" w:type="dxa"/>
            <w:tcBorders>
              <w:top w:val="single" w:sz="4" w:space="0" w:color="auto"/>
              <w:left w:val="nil"/>
              <w:bottom w:val="single" w:sz="4" w:space="0" w:color="auto"/>
              <w:right w:val="nil"/>
            </w:tcBorders>
            <w:vAlign w:val="center"/>
          </w:tcPr>
          <w:p w:rsidR="00242BE0" w:rsidRPr="007B0C08" w:rsidP="00242BE0" w14:paraId="460CC392" w14:textId="60DE8926">
            <w:pPr>
              <w:pStyle w:val="ListParagraph"/>
              <w:numPr>
                <w:ilvl w:val="0"/>
                <w:numId w:val="1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7B0C08">
              <w:rPr>
                <w:rFonts w:ascii="Arial" w:hAnsi="Arial" w:cs="Arial"/>
                <w:sz w:val="22"/>
                <w:szCs w:val="22"/>
              </w:rPr>
              <w:t>Historian</w:t>
            </w:r>
          </w:p>
        </w:tc>
        <w:tc>
          <w:tcPr>
            <w:tcW w:w="4860" w:type="dxa"/>
            <w:tcBorders>
              <w:top w:val="single" w:sz="4" w:space="0" w:color="auto"/>
              <w:left w:val="nil"/>
              <w:bottom w:val="single" w:sz="4" w:space="0" w:color="auto"/>
              <w:right w:val="nil"/>
            </w:tcBorders>
            <w:vAlign w:val="center"/>
          </w:tcPr>
          <w:p w:rsidR="00242BE0" w:rsidRPr="007B0C08" w:rsidP="00242BE0" w14:paraId="72B78117" w14:textId="22BADA7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rPr>
            </w:pPr>
            <w:r w:rsidRPr="007B0C08">
              <w:rPr>
                <w:rFonts w:ascii="Arial" w:hAnsi="Arial" w:cs="Arial"/>
                <w:sz w:val="22"/>
              </w:rPr>
              <w:t>Independent</w:t>
            </w:r>
          </w:p>
        </w:tc>
      </w:tr>
      <w:tr w14:paraId="2A9521C2" w14:textId="77777777" w:rsidTr="00C51063">
        <w:tblPrEx>
          <w:tblW w:w="9522" w:type="dxa"/>
          <w:tblInd w:w="108" w:type="dxa"/>
          <w:tblLook w:val="04A0"/>
        </w:tblPrEx>
        <w:trPr>
          <w:trHeight w:val="206"/>
        </w:trPr>
        <w:tc>
          <w:tcPr>
            <w:tcW w:w="4662" w:type="dxa"/>
            <w:tcBorders>
              <w:top w:val="single" w:sz="4" w:space="0" w:color="auto"/>
              <w:left w:val="nil"/>
              <w:bottom w:val="single" w:sz="4" w:space="0" w:color="auto"/>
              <w:right w:val="nil"/>
            </w:tcBorders>
            <w:vAlign w:val="center"/>
          </w:tcPr>
          <w:p w:rsidR="00242BE0" w:rsidRPr="007B0C08" w:rsidP="00242BE0" w14:paraId="71830B37" w14:textId="755BE63D">
            <w:pPr>
              <w:pStyle w:val="ListParagraph"/>
              <w:numPr>
                <w:ilvl w:val="0"/>
                <w:numId w:val="1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7B0C08">
              <w:rPr>
                <w:rFonts w:ascii="Arial" w:hAnsi="Arial" w:cs="Arial"/>
                <w:sz w:val="22"/>
                <w:szCs w:val="22"/>
              </w:rPr>
              <w:t xml:space="preserve">Museum </w:t>
            </w:r>
            <w:r w:rsidRPr="007B0C08" w:rsidR="005B23CD">
              <w:rPr>
                <w:rFonts w:ascii="Arial" w:hAnsi="Arial" w:cs="Arial"/>
                <w:sz w:val="22"/>
                <w:szCs w:val="22"/>
              </w:rPr>
              <w:t>Historian</w:t>
            </w:r>
            <w:r w:rsidRPr="007B0C08" w:rsidR="007631E6">
              <w:rPr>
                <w:rFonts w:ascii="Arial" w:hAnsi="Arial" w:cs="Arial"/>
                <w:sz w:val="22"/>
                <w:szCs w:val="22"/>
              </w:rPr>
              <w:t xml:space="preserve"> (retired)</w:t>
            </w:r>
          </w:p>
        </w:tc>
        <w:tc>
          <w:tcPr>
            <w:tcW w:w="4860" w:type="dxa"/>
            <w:tcBorders>
              <w:top w:val="single" w:sz="4" w:space="0" w:color="auto"/>
              <w:left w:val="nil"/>
              <w:bottom w:val="single" w:sz="4" w:space="0" w:color="auto"/>
              <w:right w:val="nil"/>
            </w:tcBorders>
            <w:vAlign w:val="center"/>
          </w:tcPr>
          <w:p w:rsidR="00242BE0" w:rsidRPr="007B0C08" w:rsidP="00242BE0" w14:paraId="4B522CFF" w14:textId="619C984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rPr>
            </w:pPr>
            <w:r w:rsidRPr="007B0C08">
              <w:rPr>
                <w:rFonts w:ascii="Arial" w:hAnsi="Arial" w:cs="Arial"/>
                <w:sz w:val="22"/>
              </w:rPr>
              <w:t>Museum of History &amp; Industry</w:t>
            </w:r>
          </w:p>
        </w:tc>
      </w:tr>
      <w:tr w14:paraId="4FBEA0C2" w14:textId="77777777" w:rsidTr="00C51063">
        <w:tblPrEx>
          <w:tblW w:w="9522" w:type="dxa"/>
          <w:tblInd w:w="108" w:type="dxa"/>
          <w:tblLook w:val="04A0"/>
        </w:tblPrEx>
        <w:trPr>
          <w:trHeight w:val="170"/>
        </w:trPr>
        <w:tc>
          <w:tcPr>
            <w:tcW w:w="4662" w:type="dxa"/>
            <w:tcBorders>
              <w:top w:val="single" w:sz="4" w:space="0" w:color="auto"/>
              <w:left w:val="nil"/>
              <w:bottom w:val="single" w:sz="4" w:space="0" w:color="auto"/>
              <w:right w:val="nil"/>
            </w:tcBorders>
            <w:vAlign w:val="center"/>
          </w:tcPr>
          <w:p w:rsidR="00242BE0" w:rsidRPr="007B0C08" w:rsidP="00242BE0" w14:paraId="7BEA67A7" w14:textId="4F8B1889">
            <w:pPr>
              <w:pStyle w:val="ListParagraph"/>
              <w:numPr>
                <w:ilvl w:val="0"/>
                <w:numId w:val="1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7B0C08">
              <w:rPr>
                <w:rFonts w:ascii="Arial" w:hAnsi="Arial" w:cs="Arial"/>
                <w:sz w:val="22"/>
                <w:szCs w:val="22"/>
              </w:rPr>
              <w:t>Historian</w:t>
            </w:r>
          </w:p>
        </w:tc>
        <w:tc>
          <w:tcPr>
            <w:tcW w:w="4860" w:type="dxa"/>
            <w:tcBorders>
              <w:top w:val="single" w:sz="4" w:space="0" w:color="auto"/>
              <w:left w:val="nil"/>
              <w:bottom w:val="single" w:sz="4" w:space="0" w:color="auto"/>
              <w:right w:val="nil"/>
            </w:tcBorders>
            <w:vAlign w:val="center"/>
          </w:tcPr>
          <w:p w:rsidR="00242BE0" w:rsidRPr="007B0C08" w:rsidP="00242BE0" w14:paraId="6A97770A" w14:textId="26392ED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rPr>
            </w:pPr>
            <w:r w:rsidRPr="007B0C08">
              <w:rPr>
                <w:rFonts w:ascii="Arial" w:hAnsi="Arial" w:cs="Arial"/>
                <w:sz w:val="22"/>
              </w:rPr>
              <w:t>Michigan Freedom Trail</w:t>
            </w:r>
            <w:r w:rsidRPr="007B0C08" w:rsidR="00241932">
              <w:rPr>
                <w:rFonts w:ascii="Arial" w:hAnsi="Arial" w:cs="Arial"/>
                <w:sz w:val="22"/>
              </w:rPr>
              <w:t xml:space="preserve"> Commission</w:t>
            </w:r>
          </w:p>
        </w:tc>
      </w:tr>
      <w:tr w14:paraId="3DEB79DD" w14:textId="77777777" w:rsidTr="00C51063">
        <w:tblPrEx>
          <w:tblW w:w="9522" w:type="dxa"/>
          <w:tblInd w:w="108" w:type="dxa"/>
          <w:tblLook w:val="04A0"/>
        </w:tblPrEx>
        <w:trPr>
          <w:trHeight w:val="170"/>
        </w:trPr>
        <w:tc>
          <w:tcPr>
            <w:tcW w:w="4662" w:type="dxa"/>
            <w:tcBorders>
              <w:top w:val="single" w:sz="4" w:space="0" w:color="auto"/>
              <w:left w:val="nil"/>
              <w:bottom w:val="single" w:sz="4" w:space="0" w:color="auto"/>
              <w:right w:val="nil"/>
            </w:tcBorders>
            <w:vAlign w:val="center"/>
          </w:tcPr>
          <w:p w:rsidR="000146EE" w:rsidRPr="007B0C08" w:rsidP="00242BE0" w14:paraId="498101FE" w14:textId="60C178C9">
            <w:pPr>
              <w:pStyle w:val="ListParagraph"/>
              <w:numPr>
                <w:ilvl w:val="0"/>
                <w:numId w:val="1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7B0C08">
              <w:rPr>
                <w:rFonts w:ascii="Arial" w:hAnsi="Arial" w:cs="Arial"/>
                <w:sz w:val="22"/>
                <w:szCs w:val="22"/>
              </w:rPr>
              <w:t>Genealogist</w:t>
            </w:r>
          </w:p>
        </w:tc>
        <w:tc>
          <w:tcPr>
            <w:tcW w:w="4860" w:type="dxa"/>
            <w:tcBorders>
              <w:top w:val="single" w:sz="4" w:space="0" w:color="auto"/>
              <w:left w:val="nil"/>
              <w:bottom w:val="single" w:sz="4" w:space="0" w:color="auto"/>
              <w:right w:val="nil"/>
            </w:tcBorders>
            <w:vAlign w:val="center"/>
          </w:tcPr>
          <w:p w:rsidR="000146EE" w:rsidRPr="007B0C08" w:rsidP="00242BE0" w14:paraId="7536446A" w14:textId="55A170D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rPr>
            </w:pPr>
            <w:r w:rsidRPr="007B0C08">
              <w:rPr>
                <w:rFonts w:ascii="Arial" w:hAnsi="Arial" w:cs="Arial"/>
                <w:sz w:val="22"/>
              </w:rPr>
              <w:t>Independent</w:t>
            </w:r>
          </w:p>
        </w:tc>
      </w:tr>
      <w:bookmarkEnd w:id="1"/>
    </w:tbl>
    <w:p w:rsidR="00B02DD7" w:rsidRPr="003A5015" w:rsidP="00B02DD7" w14:paraId="35D63A8E" w14:textId="77777777">
      <w:pPr>
        <w:widowControl/>
        <w:autoSpaceDE/>
        <w:autoSpaceDN/>
        <w:adjustRightInd/>
        <w:rPr>
          <w:rFonts w:ascii="Arial" w:eastAsia="Calibri" w:hAnsi="Arial" w:cs="Arial"/>
          <w:b/>
          <w:sz w:val="22"/>
          <w:szCs w:val="22"/>
        </w:rPr>
      </w:pPr>
    </w:p>
    <w:p w:rsidR="00855E22" w:rsidRPr="00855E22" w:rsidP="00855E22" w14:paraId="2BAA8D1B" w14:textId="77777777">
      <w:pPr>
        <w:rPr>
          <w:rFonts w:ascii="Arial" w:hAnsi="Arial" w:cs="Arial"/>
          <w:color w:val="000000"/>
          <w:sz w:val="22"/>
          <w:szCs w:val="22"/>
        </w:rPr>
      </w:pPr>
      <w:r w:rsidRPr="00855E22">
        <w:rPr>
          <w:rFonts w:ascii="Arial" w:hAnsi="Arial" w:cs="Arial"/>
          <w:color w:val="000000"/>
          <w:sz w:val="22"/>
          <w:szCs w:val="22"/>
        </w:rPr>
        <w:t>Time estimates average 40 hours. Commentators emphasized the application's importance and necessity, noting that applicants must demonstrate relevance, appropriateness, and a verifiable connection to the Underground Railroad. Collecting information promotes scholarship, public interest, educational goals, and professional standards while preserving resources.</w:t>
      </w:r>
    </w:p>
    <w:p w:rsidR="00855E22" w:rsidP="00855E22" w14:paraId="5827FDEF" w14:textId="77777777">
      <w:pPr>
        <w:rPr>
          <w:rFonts w:ascii="Arial" w:hAnsi="Arial" w:cs="Arial"/>
          <w:color w:val="000000"/>
          <w:sz w:val="22"/>
          <w:szCs w:val="22"/>
        </w:rPr>
      </w:pPr>
    </w:p>
    <w:p w:rsidR="00855E22" w:rsidRPr="00855E22" w:rsidP="00855E22" w14:paraId="37F9A875" w14:textId="1DD6E550">
      <w:pPr>
        <w:rPr>
          <w:rFonts w:ascii="Arial" w:hAnsi="Arial" w:cs="Arial"/>
          <w:color w:val="000000"/>
          <w:sz w:val="22"/>
          <w:szCs w:val="22"/>
        </w:rPr>
      </w:pPr>
      <w:r w:rsidRPr="00855E22">
        <w:rPr>
          <w:rFonts w:ascii="Arial" w:hAnsi="Arial" w:cs="Arial"/>
          <w:color w:val="000000"/>
          <w:sz w:val="22"/>
          <w:szCs w:val="22"/>
        </w:rPr>
        <w:t>The time required shows applicants' seriousness in gathering necessary documentation, understanding the Underground Railroad, and demonstrating professionalism. Successful applications uncover new, verified history. One commentator mentioned that complex applications require more time and provide a chance to reassess their work. Another found the application process improved his understanding of the Network to Freedom.</w:t>
      </w:r>
    </w:p>
    <w:p w:rsidR="00855E22" w:rsidP="00855E22" w14:paraId="38DC48CA" w14:textId="77777777">
      <w:pPr>
        <w:rPr>
          <w:rFonts w:ascii="Arial" w:hAnsi="Arial" w:cs="Arial"/>
          <w:color w:val="000000"/>
          <w:sz w:val="22"/>
          <w:szCs w:val="22"/>
        </w:rPr>
      </w:pPr>
    </w:p>
    <w:p w:rsidR="00855E22" w:rsidRPr="00855E22" w:rsidP="00855E22" w14:paraId="07DF1989" w14:textId="3F91195D">
      <w:pPr>
        <w:rPr>
          <w:rFonts w:ascii="Arial" w:hAnsi="Arial" w:cs="Arial"/>
          <w:color w:val="000000"/>
          <w:sz w:val="22"/>
          <w:szCs w:val="22"/>
        </w:rPr>
      </w:pPr>
      <w:r w:rsidRPr="00855E22">
        <w:rPr>
          <w:rFonts w:ascii="Arial" w:hAnsi="Arial" w:cs="Arial"/>
          <w:color w:val="000000"/>
          <w:sz w:val="22"/>
          <w:szCs w:val="22"/>
        </w:rPr>
        <w:t>To reduce future burdens, we will highlight available help from our website, application workshops, successful nomination samples, and staff consultations. Two commentators praised regional manager’s assistance. Our forthcoming improved website will feature successful applications and track regional interest and activity.</w:t>
      </w:r>
    </w:p>
    <w:p w:rsidR="00855E22" w:rsidP="00855E22" w14:paraId="5B00CF36" w14:textId="77777777">
      <w:pPr>
        <w:rPr>
          <w:rFonts w:ascii="Arial" w:hAnsi="Arial" w:cs="Arial"/>
          <w:color w:val="000000"/>
          <w:sz w:val="22"/>
          <w:szCs w:val="22"/>
        </w:rPr>
      </w:pPr>
    </w:p>
    <w:p w:rsidR="00130BBF" w:rsidRPr="00855E22" w:rsidP="00855E22" w14:paraId="1D667C38" w14:textId="75E13024">
      <w:pPr>
        <w:rPr>
          <w:rFonts w:ascii="Arial" w:hAnsi="Arial" w:cs="Arial"/>
          <w:color w:val="000000"/>
          <w:sz w:val="22"/>
          <w:szCs w:val="22"/>
        </w:rPr>
      </w:pPr>
      <w:r w:rsidRPr="00855E22">
        <w:rPr>
          <w:rFonts w:ascii="Arial" w:hAnsi="Arial" w:cs="Arial"/>
          <w:color w:val="000000"/>
          <w:sz w:val="22"/>
          <w:szCs w:val="22"/>
        </w:rPr>
        <w:t>One commentator noted the detailed and effective instructions. In the new instructions, we will separate sections for each type of entity applying, reduce redundancies, and shorten answer lengths. We will clarify documentation requirements and connect new applicants with past successful applicants, with permission.</w:t>
      </w:r>
    </w:p>
    <w:p w:rsidR="00855E22" w:rsidRPr="00855E22" w:rsidP="00855E22" w14:paraId="6D8AA993" w14:textId="77777777">
      <w:pPr>
        <w:rPr>
          <w:rFonts w:ascii="Calibri" w:eastAsia="Calibri" w:hAnsi="Calibri" w:cs="Calibri"/>
          <w:color w:val="000000"/>
          <w:sz w:val="24"/>
        </w:rPr>
      </w:pPr>
    </w:p>
    <w:p w:rsidR="00477223" w14:paraId="6C8748CB" w14:textId="77777777">
      <w:pPr>
        <w:widowControl/>
        <w:autoSpaceDE/>
        <w:autoSpaceDN/>
        <w:adjustRightInd/>
        <w:rPr>
          <w:rFonts w:ascii="Arial" w:hAnsi="Arial" w:cs="Arial"/>
          <w:b/>
          <w:sz w:val="22"/>
          <w:szCs w:val="22"/>
        </w:rPr>
      </w:pPr>
      <w:r>
        <w:rPr>
          <w:rFonts w:ascii="Arial" w:hAnsi="Arial" w:cs="Arial"/>
          <w:b/>
          <w:sz w:val="22"/>
          <w:szCs w:val="22"/>
        </w:rPr>
        <w:br w:type="page"/>
      </w:r>
    </w:p>
    <w:p w:rsidR="00C72D94" w:rsidRPr="00412C90" w:rsidP="00C72D94" w14:paraId="65090E8F" w14:textId="77CC1D27">
      <w:pPr>
        <w:tabs>
          <w:tab w:val="left" w:pos="360"/>
        </w:tabs>
        <w:ind w:left="360" w:hanging="360"/>
        <w:rPr>
          <w:rFonts w:ascii="Arial" w:hAnsi="Arial" w:cs="Arial"/>
          <w:b/>
          <w:sz w:val="22"/>
          <w:szCs w:val="22"/>
        </w:rPr>
      </w:pPr>
      <w:r w:rsidRPr="00412C90">
        <w:rPr>
          <w:rFonts w:ascii="Arial" w:hAnsi="Arial" w:cs="Arial"/>
          <w:b/>
          <w:sz w:val="22"/>
          <w:szCs w:val="22"/>
        </w:rPr>
        <w:t>9.</w:t>
      </w:r>
      <w:r w:rsidRPr="00412C90">
        <w:rPr>
          <w:rFonts w:ascii="Arial" w:hAnsi="Arial" w:cs="Arial"/>
          <w:b/>
          <w:sz w:val="22"/>
          <w:szCs w:val="22"/>
        </w:rPr>
        <w:tab/>
        <w:t>Explain any decision to provide any payment or gift to respondents, other than remuneration of contractors or grantees</w:t>
      </w:r>
    </w:p>
    <w:p w:rsidR="00C72D94" w:rsidRPr="00412C90" w:rsidP="00C72D94" w14:paraId="27806B94" w14:textId="6925A876">
      <w:pPr>
        <w:rPr>
          <w:rFonts w:ascii="Arial" w:hAnsi="Arial" w:cs="Arial"/>
          <w:b/>
          <w:sz w:val="22"/>
          <w:szCs w:val="22"/>
        </w:rPr>
      </w:pPr>
    </w:p>
    <w:p w:rsidR="002D203A" w:rsidRPr="00412C90" w:rsidP="00C72D94" w14:paraId="04ABC843" w14:textId="3497786E">
      <w:pPr>
        <w:rPr>
          <w:rFonts w:ascii="Arial" w:hAnsi="Arial" w:cs="Arial"/>
          <w:sz w:val="22"/>
          <w:szCs w:val="22"/>
        </w:rPr>
      </w:pPr>
      <w:r w:rsidRPr="00412C90">
        <w:rPr>
          <w:rFonts w:ascii="Arial" w:hAnsi="Arial" w:cs="Arial"/>
          <w:sz w:val="22"/>
          <w:szCs w:val="22"/>
        </w:rPr>
        <w:t>We do not provide payment or gifts to respondents.</w:t>
      </w:r>
    </w:p>
    <w:p w:rsidR="002D203A" w:rsidRPr="00412C90" w:rsidP="00C72D94" w14:paraId="4D2E6E5B" w14:textId="77777777">
      <w:pPr>
        <w:rPr>
          <w:rFonts w:ascii="Arial" w:hAnsi="Arial" w:cs="Arial"/>
          <w:sz w:val="22"/>
          <w:szCs w:val="22"/>
        </w:rPr>
      </w:pPr>
    </w:p>
    <w:p w:rsidR="004A6DFA" w:rsidRPr="00412C90" w:rsidP="00C72D94" w14:paraId="094C85DC" w14:textId="77777777">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sz w:val="22"/>
          <w:szCs w:val="22"/>
        </w:rPr>
      </w:pPr>
      <w:r w:rsidRPr="00412C90">
        <w:rPr>
          <w:rFonts w:ascii="Arial" w:hAnsi="Arial" w:cs="Arial"/>
          <w:b/>
          <w:sz w:val="22"/>
          <w:szCs w:val="22"/>
        </w:rPr>
        <w:t xml:space="preserve">10.  </w:t>
      </w:r>
      <w:r w:rsidRPr="00412C90" w:rsidR="00295103">
        <w:rPr>
          <w:rFonts w:ascii="Arial" w:hAnsi="Arial" w:cs="Arial"/>
          <w:b/>
          <w:sz w:val="22"/>
          <w:szCs w:val="22"/>
        </w:rPr>
        <w:t>Describe any assurance of confidentiality provided to respondents and the basis for the assurance in statute, regulation, or agency policy.</w:t>
      </w:r>
    </w:p>
    <w:p w:rsidR="00E15877" w:rsidRPr="00412C90" w14:paraId="57B7F2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459A5" w:rsidRPr="00412C90" w:rsidP="00BB7FEE" w14:paraId="46DF37CC" w14:textId="6D79CF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12C90">
        <w:rPr>
          <w:rFonts w:ascii="Arial" w:hAnsi="Arial" w:cs="Arial"/>
          <w:sz w:val="22"/>
          <w:szCs w:val="22"/>
        </w:rPr>
        <w:t>Section 304 of the National Historic Preservation Act, as amended, establishes th</w:t>
      </w:r>
      <w:r>
        <w:rPr>
          <w:rFonts w:ascii="Arial" w:hAnsi="Arial" w:cs="Arial"/>
          <w:sz w:val="22"/>
          <w:szCs w:val="22"/>
        </w:rPr>
        <w:t>e</w:t>
      </w:r>
      <w:r w:rsidRPr="00412C90">
        <w:rPr>
          <w:rFonts w:ascii="Arial" w:hAnsi="Arial" w:cs="Arial"/>
          <w:sz w:val="22"/>
          <w:szCs w:val="22"/>
        </w:rPr>
        <w:t xml:space="preserve"> authority </w:t>
      </w:r>
      <w:r>
        <w:rPr>
          <w:rFonts w:ascii="Arial" w:hAnsi="Arial" w:cs="Arial"/>
          <w:sz w:val="22"/>
          <w:szCs w:val="22"/>
        </w:rPr>
        <w:t xml:space="preserve">to </w:t>
      </w:r>
      <w:r w:rsidRPr="00412C90" w:rsidR="005A3676">
        <w:rPr>
          <w:rFonts w:ascii="Arial" w:hAnsi="Arial" w:cs="Arial"/>
          <w:sz w:val="22"/>
          <w:szCs w:val="22"/>
        </w:rPr>
        <w:t>maintain</w:t>
      </w:r>
      <w:r w:rsidRPr="00412C90">
        <w:rPr>
          <w:rFonts w:ascii="Arial" w:hAnsi="Arial" w:cs="Arial"/>
          <w:sz w:val="22"/>
          <w:szCs w:val="22"/>
        </w:rPr>
        <w:t xml:space="preserve"> the confidentiality of certain specific locations to protect </w:t>
      </w:r>
      <w:r w:rsidRPr="00412C90" w:rsidR="00443E10">
        <w:rPr>
          <w:rFonts w:ascii="Arial" w:hAnsi="Arial" w:cs="Arial"/>
          <w:sz w:val="22"/>
          <w:szCs w:val="22"/>
        </w:rPr>
        <w:t>certain</w:t>
      </w:r>
      <w:r w:rsidRPr="00412C90">
        <w:rPr>
          <w:rFonts w:ascii="Arial" w:hAnsi="Arial" w:cs="Arial"/>
          <w:sz w:val="22"/>
          <w:szCs w:val="22"/>
        </w:rPr>
        <w:t xml:space="preserve"> properties. This is particularly the case with many archeological sites and rural properties that are subject to vandalism.  </w:t>
      </w:r>
    </w:p>
    <w:p w:rsidR="002459A5" w:rsidRPr="00412C90" w:rsidP="00BB7FEE" w14:paraId="7C6C6D64" w14:textId="77777777">
      <w:pPr>
        <w:pStyle w:val="NoSpacing"/>
        <w:spacing w:line="276" w:lineRule="auto"/>
      </w:pPr>
    </w:p>
    <w:p w:rsidR="00E15877" w:rsidRPr="00412C90" w:rsidP="00BB7FEE" w14:paraId="66AD7ED3" w14:textId="4D81D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412C90">
        <w:rPr>
          <w:rFonts w:ascii="Arial" w:hAnsi="Arial" w:cs="Arial"/>
          <w:sz w:val="22"/>
          <w:szCs w:val="22"/>
        </w:rPr>
        <w:t>In accordance with the Privacy Act of 1974 and 43 CFR subpart D2.46 (j), personal addresses, phone numbers, and email addresses of owners and applicants are not released without consent</w:t>
      </w:r>
      <w:r w:rsidRPr="00412C90" w:rsidR="007569EC">
        <w:rPr>
          <w:rFonts w:ascii="Arial" w:hAnsi="Arial" w:cs="Arial"/>
          <w:sz w:val="22"/>
          <w:szCs w:val="22"/>
        </w:rPr>
        <w:t>.</w:t>
      </w:r>
      <w:r w:rsidRPr="00412C90">
        <w:rPr>
          <w:rFonts w:ascii="Arial" w:hAnsi="Arial" w:cs="Arial"/>
          <w:sz w:val="22"/>
          <w:szCs w:val="22"/>
        </w:rPr>
        <w:t xml:space="preserve">  Therefore, </w:t>
      </w:r>
      <w:r w:rsidR="002B619A">
        <w:rPr>
          <w:rFonts w:ascii="Arial" w:hAnsi="Arial" w:cs="Arial"/>
          <w:sz w:val="22"/>
          <w:szCs w:val="22"/>
        </w:rPr>
        <w:t>the</w:t>
      </w:r>
      <w:r w:rsidRPr="00412C90">
        <w:rPr>
          <w:rFonts w:ascii="Arial" w:hAnsi="Arial" w:cs="Arial"/>
          <w:sz w:val="22"/>
          <w:szCs w:val="22"/>
        </w:rPr>
        <w:t xml:space="preserve"> NPS will </w:t>
      </w:r>
      <w:r w:rsidR="002B619A">
        <w:rPr>
          <w:rFonts w:ascii="Arial" w:hAnsi="Arial" w:cs="Arial"/>
          <w:sz w:val="22"/>
          <w:szCs w:val="22"/>
        </w:rPr>
        <w:t xml:space="preserve">only </w:t>
      </w:r>
      <w:r w:rsidRPr="00412C90">
        <w:rPr>
          <w:rFonts w:ascii="Arial" w:hAnsi="Arial" w:cs="Arial"/>
          <w:sz w:val="22"/>
          <w:szCs w:val="22"/>
        </w:rPr>
        <w:t xml:space="preserve">share information </w:t>
      </w:r>
      <w:r w:rsidR="004E4039">
        <w:rPr>
          <w:rFonts w:ascii="Arial" w:hAnsi="Arial" w:cs="Arial"/>
          <w:sz w:val="22"/>
          <w:szCs w:val="22"/>
        </w:rPr>
        <w:t xml:space="preserve">needed </w:t>
      </w:r>
      <w:r w:rsidRPr="00412C90">
        <w:rPr>
          <w:rFonts w:ascii="Arial" w:hAnsi="Arial" w:cs="Arial"/>
          <w:sz w:val="22"/>
          <w:szCs w:val="22"/>
        </w:rPr>
        <w:t xml:space="preserve">to </w:t>
      </w:r>
      <w:r w:rsidR="005F3A5D">
        <w:rPr>
          <w:rFonts w:ascii="Arial" w:hAnsi="Arial" w:cs="Arial"/>
          <w:sz w:val="22"/>
          <w:szCs w:val="22"/>
        </w:rPr>
        <w:t>c</w:t>
      </w:r>
      <w:r w:rsidRPr="00412C90">
        <w:rPr>
          <w:rFonts w:ascii="Arial" w:hAnsi="Arial" w:cs="Arial"/>
          <w:sz w:val="22"/>
          <w:szCs w:val="22"/>
        </w:rPr>
        <w:t xml:space="preserve">onnect individuals </w:t>
      </w:r>
      <w:r w:rsidR="00C26E0B">
        <w:rPr>
          <w:rFonts w:ascii="Arial" w:hAnsi="Arial" w:cs="Arial"/>
          <w:sz w:val="22"/>
          <w:szCs w:val="22"/>
        </w:rPr>
        <w:t>with</w:t>
      </w:r>
      <w:r w:rsidRPr="00412C90">
        <w:rPr>
          <w:rFonts w:ascii="Arial" w:hAnsi="Arial" w:cs="Arial"/>
          <w:sz w:val="22"/>
          <w:szCs w:val="22"/>
        </w:rPr>
        <w:t xml:space="preserve"> technical expertise or resources to assist with projects </w:t>
      </w:r>
      <w:r w:rsidR="00713F52">
        <w:rPr>
          <w:rFonts w:ascii="Arial" w:hAnsi="Arial" w:cs="Arial"/>
          <w:sz w:val="22"/>
          <w:szCs w:val="22"/>
        </w:rPr>
        <w:t>as an</w:t>
      </w:r>
      <w:r w:rsidRPr="00412C90">
        <w:rPr>
          <w:rFonts w:ascii="Arial" w:hAnsi="Arial" w:cs="Arial"/>
          <w:sz w:val="22"/>
          <w:szCs w:val="22"/>
        </w:rPr>
        <w:t xml:space="preserve"> effective means of advancing Underground Railroad commemoration and preservation.</w:t>
      </w:r>
    </w:p>
    <w:p w:rsidR="00BB7FEE" w:rsidP="00BB7FEE" w14:paraId="4A7609BC" w14:textId="77777777">
      <w:pPr>
        <w:pStyle w:val="NoSpacing"/>
        <w:spacing w:line="276" w:lineRule="auto"/>
      </w:pPr>
    </w:p>
    <w:p w:rsidR="00580091" w:rsidRPr="006C2A45" w:rsidP="006C2A45" w14:paraId="380CB29A" w14:textId="0AE33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6C2A45">
        <w:rPr>
          <w:rFonts w:ascii="Arial" w:hAnsi="Arial" w:cs="Arial"/>
          <w:sz w:val="22"/>
          <w:szCs w:val="22"/>
        </w:rPr>
        <w:t xml:space="preserve">The NPS Privacy Act Officer determined that a System of Records Notice (SORN) is not required for this collection, as the agency’s purpose in requesting the </w:t>
      </w:r>
      <w:r w:rsidRPr="006C2A45" w:rsidR="000519AD">
        <w:rPr>
          <w:rFonts w:ascii="Arial" w:hAnsi="Arial" w:cs="Arial"/>
          <w:sz w:val="22"/>
          <w:szCs w:val="22"/>
        </w:rPr>
        <w:t>name</w:t>
      </w:r>
      <w:r w:rsidRPr="006C2A45">
        <w:rPr>
          <w:rFonts w:ascii="Arial" w:hAnsi="Arial" w:cs="Arial"/>
          <w:sz w:val="22"/>
          <w:szCs w:val="22"/>
        </w:rPr>
        <w:t xml:space="preserve"> of a technical contact was essentially administrative, rather than </w:t>
      </w:r>
      <w:r w:rsidRPr="006C2A45" w:rsidR="000519AD">
        <w:rPr>
          <w:rFonts w:ascii="Arial" w:hAnsi="Arial" w:cs="Arial"/>
          <w:sz w:val="22"/>
          <w:szCs w:val="22"/>
        </w:rPr>
        <w:t>investigatory</w:t>
      </w:r>
      <w:r w:rsidRPr="006C2A45">
        <w:rPr>
          <w:rFonts w:ascii="Arial" w:hAnsi="Arial" w:cs="Arial"/>
          <w:sz w:val="22"/>
          <w:szCs w:val="22"/>
        </w:rPr>
        <w:t xml:space="preserve">, and </w:t>
      </w:r>
      <w:r w:rsidRPr="006C2A45" w:rsidR="000519AD">
        <w:rPr>
          <w:rFonts w:ascii="Arial" w:hAnsi="Arial" w:cs="Arial"/>
          <w:sz w:val="22"/>
          <w:szCs w:val="22"/>
        </w:rPr>
        <w:t xml:space="preserve">there </w:t>
      </w:r>
      <w:r w:rsidRPr="006C2A45" w:rsidR="005D606B">
        <w:rPr>
          <w:rFonts w:ascii="Arial" w:hAnsi="Arial" w:cs="Arial"/>
          <w:sz w:val="22"/>
          <w:szCs w:val="22"/>
        </w:rPr>
        <w:t xml:space="preserve">is no </w:t>
      </w:r>
      <w:r w:rsidRPr="006C2A45" w:rsidR="000519AD">
        <w:rPr>
          <w:rFonts w:ascii="Arial" w:hAnsi="Arial" w:cs="Arial"/>
          <w:sz w:val="22"/>
          <w:szCs w:val="22"/>
        </w:rPr>
        <w:t xml:space="preserve">evidence that the program </w:t>
      </w:r>
      <w:r w:rsidRPr="006C2A45" w:rsidR="005D606B">
        <w:rPr>
          <w:rFonts w:ascii="Arial" w:hAnsi="Arial" w:cs="Arial"/>
          <w:sz w:val="22"/>
          <w:szCs w:val="22"/>
        </w:rPr>
        <w:t xml:space="preserve">uses </w:t>
      </w:r>
      <w:r w:rsidRPr="006C2A45" w:rsidR="001E31FC">
        <w:rPr>
          <w:rFonts w:ascii="Arial" w:hAnsi="Arial" w:cs="Arial"/>
          <w:sz w:val="22"/>
          <w:szCs w:val="22"/>
        </w:rPr>
        <w:t xml:space="preserve">the </w:t>
      </w:r>
      <w:r w:rsidRPr="006C2A45" w:rsidR="000519AD">
        <w:rPr>
          <w:rFonts w:ascii="Arial" w:hAnsi="Arial" w:cs="Arial"/>
          <w:sz w:val="22"/>
          <w:szCs w:val="22"/>
        </w:rPr>
        <w:t>names of contact persons to obtain information about those persons.</w:t>
      </w:r>
    </w:p>
    <w:p w:rsidR="004A6DFA" w:rsidRPr="002C79AF" w14:paraId="0BC4BD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2C79AF" w14:paraId="15B49237" w14:textId="2529F2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C79AF">
        <w:rPr>
          <w:rFonts w:ascii="Arial" w:hAnsi="Arial" w:cs="Arial"/>
          <w:b/>
          <w:sz w:val="22"/>
          <w:szCs w:val="22"/>
        </w:rPr>
        <w:t>11.</w:t>
      </w:r>
      <w:r w:rsidRPr="002C79AF">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w:t>
      </w:r>
      <w:r w:rsidR="00C41EA7">
        <w:rPr>
          <w:rFonts w:ascii="Arial" w:hAnsi="Arial" w:cs="Arial"/>
          <w:b/>
          <w:sz w:val="22"/>
          <w:szCs w:val="22"/>
        </w:rPr>
        <w:t xml:space="preserve"> </w:t>
      </w:r>
      <w:r w:rsidRPr="002C79AF">
        <w:rPr>
          <w:rFonts w:ascii="Arial" w:hAnsi="Arial" w:cs="Arial"/>
          <w:b/>
          <w:sz w:val="22"/>
          <w:szCs w:val="22"/>
        </w:rPr>
        <w:t>explanation to be given to persons from whom the information is requested, and any steps to be taken to obtain their consent.</w:t>
      </w:r>
    </w:p>
    <w:p w:rsidR="00E15877" w:rsidRPr="002C79AF" w14:paraId="4B5A14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1598C" w:rsidRPr="002C79AF" w14:paraId="4EBEAE60" w14:textId="1BEF8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C79AF">
        <w:rPr>
          <w:rFonts w:ascii="Arial" w:hAnsi="Arial" w:cs="Arial"/>
          <w:sz w:val="22"/>
          <w:szCs w:val="22"/>
        </w:rPr>
        <w:t>We do not ask questions of a sensitive nature.</w:t>
      </w:r>
    </w:p>
    <w:p w:rsidR="00E1598C" w:rsidRPr="002C79AF" w14:paraId="36EE8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2C79AF" w14:paraId="12984F65" w14:textId="58C920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C79AF">
        <w:rPr>
          <w:rFonts w:ascii="Arial" w:hAnsi="Arial" w:cs="Arial"/>
          <w:b/>
          <w:sz w:val="22"/>
          <w:szCs w:val="22"/>
        </w:rPr>
        <w:t>12.</w:t>
      </w:r>
      <w:r w:rsidRPr="002C79AF">
        <w:rPr>
          <w:rFonts w:ascii="Arial" w:hAnsi="Arial" w:cs="Arial"/>
          <w:b/>
          <w:sz w:val="22"/>
          <w:szCs w:val="22"/>
        </w:rPr>
        <w:tab/>
        <w:t>Provide estimates of the hour burden of the collection of information.  The statement should:</w:t>
      </w:r>
    </w:p>
    <w:p w:rsidR="00295103" w:rsidRPr="002C79AF" w14:paraId="782A9D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C79AF">
        <w:rPr>
          <w:rFonts w:ascii="Arial" w:hAnsi="Arial" w:cs="Arial"/>
          <w:b/>
          <w:sz w:val="22"/>
          <w:szCs w:val="22"/>
        </w:rPr>
        <w:tab/>
        <w:t>*</w:t>
      </w:r>
      <w:r w:rsidRPr="002C79AF">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79AF" w14:paraId="15DF65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C79AF">
        <w:rPr>
          <w:rFonts w:ascii="Arial" w:hAnsi="Arial" w:cs="Arial"/>
          <w:b/>
          <w:sz w:val="22"/>
          <w:szCs w:val="22"/>
        </w:rPr>
        <w:tab/>
        <w:t>*</w:t>
      </w:r>
      <w:r w:rsidRPr="002C79AF">
        <w:rPr>
          <w:rFonts w:ascii="Arial" w:hAnsi="Arial" w:cs="Arial"/>
          <w:b/>
          <w:sz w:val="22"/>
          <w:szCs w:val="22"/>
        </w:rPr>
        <w:tab/>
        <w:t>If this request for approval covers more than one form, provide separate hour burden estimates for each form and aggregate the hour burdens.</w:t>
      </w:r>
    </w:p>
    <w:p w:rsidR="00295103" w:rsidRPr="002C79AF" w14:paraId="364AD9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C79AF">
        <w:rPr>
          <w:rFonts w:ascii="Arial" w:hAnsi="Arial" w:cs="Arial"/>
          <w:b/>
          <w:sz w:val="22"/>
          <w:szCs w:val="22"/>
        </w:rPr>
        <w:tab/>
        <w:t>*</w:t>
      </w:r>
      <w:r w:rsidRPr="002C79AF">
        <w:rPr>
          <w:rFonts w:ascii="Arial" w:hAnsi="Arial" w:cs="Arial"/>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2C79AF">
        <w:rPr>
          <w:rFonts w:ascii="Arial" w:hAnsi="Arial" w:cs="Arial"/>
          <w:b/>
          <w:sz w:val="22"/>
          <w:szCs w:val="22"/>
        </w:rPr>
        <w:t>activities should not be included here</w:t>
      </w:r>
      <w:r w:rsidRPr="002C79AF" w:rsidR="00DE7630">
        <w:rPr>
          <w:rFonts w:ascii="Arial" w:hAnsi="Arial" w:cs="Arial"/>
          <w:b/>
          <w:sz w:val="22"/>
          <w:szCs w:val="22"/>
        </w:rPr>
        <w:t>.</w:t>
      </w:r>
    </w:p>
    <w:p w:rsidR="00D35DA2" w:rsidRPr="002C79AF" w:rsidP="00124F15" w14:paraId="70863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p>
    <w:p w:rsidR="00213CC2" w:rsidRPr="00034B42" w:rsidP="00124F15" w14:paraId="680CE279" w14:textId="16A7EA00">
      <w:pPr>
        <w:spacing w:line="276" w:lineRule="auto"/>
        <w:rPr>
          <w:rFonts w:ascii="Arial" w:hAnsi="Arial" w:cs="Arial"/>
          <w:sz w:val="22"/>
          <w:szCs w:val="22"/>
        </w:rPr>
      </w:pPr>
      <w:r w:rsidRPr="00034B42">
        <w:rPr>
          <w:rFonts w:ascii="Arial" w:hAnsi="Arial" w:cs="Arial"/>
          <w:sz w:val="22"/>
          <w:szCs w:val="22"/>
        </w:rPr>
        <w:t xml:space="preserve">We estimate </w:t>
      </w:r>
      <w:r w:rsidRPr="00034B42" w:rsidR="00CF493D">
        <w:rPr>
          <w:rFonts w:ascii="Arial" w:hAnsi="Arial" w:cs="Arial"/>
          <w:sz w:val="22"/>
          <w:szCs w:val="22"/>
        </w:rPr>
        <w:t xml:space="preserve">that </w:t>
      </w:r>
      <w:r w:rsidRPr="00034B42">
        <w:rPr>
          <w:rFonts w:ascii="Arial" w:hAnsi="Arial" w:cs="Arial"/>
          <w:sz w:val="22"/>
          <w:szCs w:val="22"/>
        </w:rPr>
        <w:t xml:space="preserve">we will receive </w:t>
      </w:r>
      <w:r w:rsidR="00BC6DA2">
        <w:rPr>
          <w:rFonts w:ascii="Arial" w:hAnsi="Arial" w:cs="Arial"/>
          <w:sz w:val="22"/>
          <w:szCs w:val="22"/>
        </w:rPr>
        <w:t>66</w:t>
      </w:r>
      <w:r w:rsidRPr="00034B42" w:rsidR="00BC6DA2">
        <w:rPr>
          <w:rFonts w:ascii="Arial" w:hAnsi="Arial" w:cs="Arial"/>
          <w:sz w:val="22"/>
          <w:szCs w:val="22"/>
        </w:rPr>
        <w:t xml:space="preserve"> </w:t>
      </w:r>
      <w:r w:rsidRPr="00034B42">
        <w:rPr>
          <w:rFonts w:ascii="Arial" w:hAnsi="Arial" w:cs="Arial"/>
          <w:sz w:val="22"/>
          <w:szCs w:val="22"/>
        </w:rPr>
        <w:t xml:space="preserve">annual responses totaling </w:t>
      </w:r>
      <w:r w:rsidR="00A454C6">
        <w:rPr>
          <w:rFonts w:ascii="Arial" w:hAnsi="Arial" w:cs="Arial"/>
          <w:sz w:val="22"/>
          <w:szCs w:val="22"/>
        </w:rPr>
        <w:t>2,561</w:t>
      </w:r>
      <w:r w:rsidRPr="00034B42" w:rsidR="00362FCE">
        <w:rPr>
          <w:rFonts w:ascii="Arial" w:hAnsi="Arial" w:cs="Arial"/>
          <w:sz w:val="22"/>
          <w:szCs w:val="22"/>
        </w:rPr>
        <w:t xml:space="preserve"> </w:t>
      </w:r>
      <w:r w:rsidRPr="00034B42">
        <w:rPr>
          <w:rFonts w:ascii="Arial" w:hAnsi="Arial" w:cs="Arial"/>
          <w:sz w:val="22"/>
          <w:szCs w:val="22"/>
        </w:rPr>
        <w:t xml:space="preserve">annual burden hours.  The burden hours for each respondent vary depending on the type of application, materials previously collected, and how much was known about the history before beginning the application. </w:t>
      </w:r>
      <w:r w:rsidR="00397A3C">
        <w:rPr>
          <w:rFonts w:ascii="Arial" w:hAnsi="Arial" w:cs="Arial"/>
          <w:sz w:val="22"/>
          <w:szCs w:val="22"/>
        </w:rPr>
        <w:t>B</w:t>
      </w:r>
      <w:r w:rsidRPr="00034B42" w:rsidR="008B706C">
        <w:rPr>
          <w:rFonts w:ascii="Arial" w:hAnsi="Arial" w:cs="Arial"/>
          <w:sz w:val="22"/>
          <w:szCs w:val="22"/>
        </w:rPr>
        <w:t>ased on feedback received as part of our outreach to recent applicants</w:t>
      </w:r>
      <w:r w:rsidR="00397A3C">
        <w:rPr>
          <w:rFonts w:ascii="Arial" w:hAnsi="Arial" w:cs="Arial"/>
          <w:sz w:val="22"/>
          <w:szCs w:val="22"/>
        </w:rPr>
        <w:t>, w</w:t>
      </w:r>
      <w:r w:rsidRPr="00034B42">
        <w:rPr>
          <w:rFonts w:ascii="Arial" w:hAnsi="Arial" w:cs="Arial"/>
          <w:sz w:val="22"/>
          <w:szCs w:val="22"/>
        </w:rPr>
        <w:t xml:space="preserve">e believe </w:t>
      </w:r>
      <w:r w:rsidRPr="00034B42" w:rsidR="007F3F36">
        <w:rPr>
          <w:rFonts w:ascii="Arial" w:hAnsi="Arial" w:cs="Arial"/>
          <w:sz w:val="22"/>
          <w:szCs w:val="22"/>
        </w:rPr>
        <w:t xml:space="preserve">the </w:t>
      </w:r>
      <w:r w:rsidRPr="00034B42">
        <w:rPr>
          <w:rFonts w:ascii="Arial" w:hAnsi="Arial" w:cs="Arial"/>
          <w:sz w:val="22"/>
          <w:szCs w:val="22"/>
        </w:rPr>
        <w:t>estimate</w:t>
      </w:r>
      <w:r w:rsidRPr="00034B42" w:rsidR="007F3F36">
        <w:rPr>
          <w:rFonts w:ascii="Arial" w:hAnsi="Arial" w:cs="Arial"/>
          <w:sz w:val="22"/>
          <w:szCs w:val="22"/>
        </w:rPr>
        <w:t>d</w:t>
      </w:r>
      <w:r w:rsidRPr="00034B42">
        <w:rPr>
          <w:rFonts w:ascii="Arial" w:hAnsi="Arial" w:cs="Arial"/>
          <w:sz w:val="22"/>
          <w:szCs w:val="22"/>
        </w:rPr>
        <w:t xml:space="preserve"> </w:t>
      </w:r>
      <w:r w:rsidRPr="00034B42" w:rsidR="00875FE3">
        <w:rPr>
          <w:rFonts w:ascii="Arial" w:hAnsi="Arial" w:cs="Arial"/>
          <w:sz w:val="22"/>
          <w:szCs w:val="22"/>
        </w:rPr>
        <w:t>40</w:t>
      </w:r>
      <w:r w:rsidRPr="00034B42">
        <w:rPr>
          <w:rFonts w:ascii="Arial" w:hAnsi="Arial" w:cs="Arial"/>
          <w:sz w:val="22"/>
          <w:szCs w:val="22"/>
        </w:rPr>
        <w:t xml:space="preserve"> hours </w:t>
      </w:r>
      <w:r w:rsidRPr="00034B42" w:rsidR="008B706C">
        <w:rPr>
          <w:rFonts w:ascii="Arial" w:hAnsi="Arial" w:cs="Arial"/>
          <w:sz w:val="22"/>
          <w:szCs w:val="22"/>
        </w:rPr>
        <w:t>accurately reflect</w:t>
      </w:r>
      <w:r w:rsidR="00F446E0">
        <w:rPr>
          <w:rFonts w:ascii="Arial" w:hAnsi="Arial" w:cs="Arial"/>
          <w:sz w:val="22"/>
          <w:szCs w:val="22"/>
        </w:rPr>
        <w:t>s</w:t>
      </w:r>
      <w:r w:rsidRPr="00034B42" w:rsidR="008B706C">
        <w:rPr>
          <w:rFonts w:ascii="Arial" w:hAnsi="Arial" w:cs="Arial"/>
          <w:sz w:val="22"/>
          <w:szCs w:val="22"/>
        </w:rPr>
        <w:t xml:space="preserve"> the time required to</w:t>
      </w:r>
      <w:r w:rsidRPr="00034B42">
        <w:rPr>
          <w:rFonts w:ascii="Arial" w:hAnsi="Arial" w:cs="Arial"/>
          <w:sz w:val="22"/>
          <w:szCs w:val="22"/>
        </w:rPr>
        <w:t xml:space="preserve"> complete an application, including time for reviewing instructions, gathering and maintaining data, and completing the form.</w:t>
      </w:r>
      <w:r w:rsidRPr="00034B42" w:rsidR="008B706C">
        <w:rPr>
          <w:rFonts w:ascii="Arial" w:hAnsi="Arial" w:cs="Arial"/>
          <w:sz w:val="22"/>
          <w:szCs w:val="22"/>
        </w:rPr>
        <w:t xml:space="preserve">  </w:t>
      </w:r>
    </w:p>
    <w:p w:rsidR="008B706C" w:rsidRPr="00034B42" w:rsidP="00124F15" w14:paraId="51593138" w14:textId="77777777">
      <w:pPr>
        <w:spacing w:line="276" w:lineRule="auto"/>
        <w:rPr>
          <w:rFonts w:ascii="Arial" w:hAnsi="Arial" w:cs="Arial"/>
          <w:sz w:val="22"/>
          <w:szCs w:val="22"/>
        </w:rPr>
      </w:pPr>
    </w:p>
    <w:p w:rsidR="00BE3214" w:rsidRPr="00BE3214" w:rsidP="00BE3214" w14:paraId="36CB60D6" w14:textId="3B741011">
      <w:pPr>
        <w:widowControl/>
        <w:autoSpaceDE/>
        <w:autoSpaceDN/>
        <w:adjustRightInd/>
        <w:spacing w:line="276" w:lineRule="auto"/>
        <w:rPr>
          <w:rFonts w:ascii="Arial" w:hAnsi="Arial" w:cs="Arial"/>
          <w:sz w:val="22"/>
          <w:szCs w:val="22"/>
        </w:rPr>
      </w:pPr>
      <w:r w:rsidRPr="00034B42">
        <w:rPr>
          <w:rFonts w:ascii="Arial" w:hAnsi="Arial" w:cs="Arial"/>
          <w:sz w:val="22"/>
          <w:szCs w:val="22"/>
        </w:rPr>
        <w:t>We estimate the dollar value of the burden hours is $</w:t>
      </w:r>
      <w:r w:rsidRPr="000F3886" w:rsidR="000F3886">
        <w:rPr>
          <w:rFonts w:ascii="Arial" w:hAnsi="Arial" w:cs="Arial"/>
          <w:b/>
          <w:sz w:val="22"/>
          <w:szCs w:val="22"/>
        </w:rPr>
        <w:t>127,963</w:t>
      </w:r>
      <w:r w:rsidRPr="000F3886" w:rsidR="000F3886">
        <w:rPr>
          <w:rFonts w:ascii="Arial" w:hAnsi="Arial" w:cs="Arial"/>
          <w:sz w:val="22"/>
          <w:szCs w:val="22"/>
        </w:rPr>
        <w:t xml:space="preserve"> </w:t>
      </w:r>
      <w:r w:rsidRPr="00034B42">
        <w:rPr>
          <w:rFonts w:ascii="Arial" w:hAnsi="Arial" w:cs="Arial"/>
          <w:sz w:val="22"/>
          <w:szCs w:val="22"/>
        </w:rPr>
        <w:t xml:space="preserve">(rounded).  </w:t>
      </w:r>
      <w:r w:rsidRPr="00BE3214">
        <w:rPr>
          <w:rFonts w:ascii="Arial" w:hAnsi="Arial" w:cs="Arial"/>
          <w:sz w:val="22"/>
          <w:szCs w:val="22"/>
        </w:rPr>
        <w:t xml:space="preserve">We used the Bureau of Labor Statistics </w:t>
      </w:r>
      <w:r w:rsidR="00BB2EFF">
        <w:rPr>
          <w:rFonts w:ascii="Arial" w:hAnsi="Arial" w:cs="Arial"/>
          <w:sz w:val="22"/>
          <w:szCs w:val="22"/>
        </w:rPr>
        <w:t>N</w:t>
      </w:r>
      <w:r w:rsidRPr="00BE3214">
        <w:rPr>
          <w:rFonts w:ascii="Arial" w:hAnsi="Arial" w:cs="Arial"/>
          <w:sz w:val="22"/>
          <w:szCs w:val="22"/>
        </w:rPr>
        <w:t xml:space="preserve">ews </w:t>
      </w:r>
      <w:r w:rsidR="00BB2EFF">
        <w:rPr>
          <w:rFonts w:ascii="Arial" w:hAnsi="Arial" w:cs="Arial"/>
          <w:sz w:val="22"/>
          <w:szCs w:val="22"/>
        </w:rPr>
        <w:t>R</w:t>
      </w:r>
      <w:r w:rsidRPr="00BE3214">
        <w:rPr>
          <w:rFonts w:ascii="Arial" w:hAnsi="Arial" w:cs="Arial"/>
          <w:sz w:val="22"/>
          <w:szCs w:val="22"/>
        </w:rPr>
        <w:t>elease</w:t>
      </w:r>
      <w:r>
        <w:rPr>
          <w:rStyle w:val="FootnoteReference"/>
          <w:rFonts w:ascii="Arial" w:hAnsi="Arial" w:cs="Arial"/>
          <w:sz w:val="22"/>
          <w:szCs w:val="22"/>
        </w:rPr>
        <w:footnoteReference w:id="2"/>
      </w:r>
      <w:r w:rsidRPr="00BE3214">
        <w:rPr>
          <w:rFonts w:ascii="Arial" w:hAnsi="Arial" w:cs="Arial"/>
          <w:sz w:val="22"/>
          <w:szCs w:val="22"/>
        </w:rPr>
        <w:t xml:space="preserve"> - USDL-25-</w:t>
      </w:r>
      <w:r w:rsidR="00EE5046">
        <w:rPr>
          <w:rFonts w:ascii="Arial" w:hAnsi="Arial" w:cs="Arial"/>
          <w:sz w:val="22"/>
          <w:szCs w:val="22"/>
        </w:rPr>
        <w:t>1</w:t>
      </w:r>
      <w:r w:rsidR="008C1D2D">
        <w:rPr>
          <w:rFonts w:ascii="Arial" w:hAnsi="Arial" w:cs="Arial"/>
          <w:sz w:val="22"/>
          <w:szCs w:val="22"/>
        </w:rPr>
        <w:t>538</w:t>
      </w:r>
      <w:r w:rsidR="00B8431F">
        <w:rPr>
          <w:rFonts w:ascii="Arial" w:hAnsi="Arial" w:cs="Arial"/>
          <w:sz w:val="22"/>
          <w:szCs w:val="22"/>
        </w:rPr>
        <w:t xml:space="preserve"> </w:t>
      </w:r>
      <w:r w:rsidR="008C1D2D">
        <w:rPr>
          <w:rFonts w:ascii="Arial" w:hAnsi="Arial" w:cs="Arial"/>
          <w:sz w:val="22"/>
          <w:szCs w:val="22"/>
        </w:rPr>
        <w:t>September 12</w:t>
      </w:r>
      <w:r w:rsidR="001705E7">
        <w:rPr>
          <w:rFonts w:ascii="Arial" w:hAnsi="Arial" w:cs="Arial"/>
          <w:sz w:val="22"/>
          <w:szCs w:val="22"/>
        </w:rPr>
        <w:t xml:space="preserve">, </w:t>
      </w:r>
      <w:r w:rsidRPr="00BE3214">
        <w:rPr>
          <w:rFonts w:ascii="Arial" w:hAnsi="Arial" w:cs="Arial"/>
          <w:sz w:val="22"/>
          <w:szCs w:val="22"/>
        </w:rPr>
        <w:t>2025, Employer Costs for Employee Compensation—</w:t>
      </w:r>
      <w:r w:rsidR="008C1D2D">
        <w:rPr>
          <w:rFonts w:ascii="Arial" w:hAnsi="Arial" w:cs="Arial"/>
          <w:sz w:val="22"/>
          <w:szCs w:val="22"/>
        </w:rPr>
        <w:t xml:space="preserve">June </w:t>
      </w:r>
      <w:r w:rsidRPr="00BE3214">
        <w:rPr>
          <w:rFonts w:ascii="Arial" w:hAnsi="Arial" w:cs="Arial"/>
          <w:sz w:val="22"/>
          <w:szCs w:val="22"/>
        </w:rPr>
        <w:t xml:space="preserve">2025 to calculate the hourly rates. The particular values including benefits are: </w:t>
      </w:r>
    </w:p>
    <w:p w:rsidR="00BE3214" w:rsidRPr="00BE3214" w:rsidP="00BE3214" w14:paraId="334EC417" w14:textId="77777777">
      <w:pPr>
        <w:widowControl/>
        <w:autoSpaceDE/>
        <w:autoSpaceDN/>
        <w:adjustRightInd/>
        <w:spacing w:line="276" w:lineRule="auto"/>
        <w:rPr>
          <w:rFonts w:ascii="Arial" w:hAnsi="Arial" w:cs="Arial"/>
          <w:sz w:val="22"/>
          <w:szCs w:val="22"/>
        </w:rPr>
      </w:pPr>
    </w:p>
    <w:p w:rsidR="00BE3214" w:rsidRPr="00BE3214" w:rsidP="00BE3214" w14:paraId="6FC571BB" w14:textId="6040C719">
      <w:pPr>
        <w:widowControl/>
        <w:autoSpaceDE/>
        <w:autoSpaceDN/>
        <w:adjustRightInd/>
        <w:spacing w:line="276" w:lineRule="auto"/>
        <w:rPr>
          <w:rFonts w:ascii="Arial" w:hAnsi="Arial" w:cs="Arial"/>
          <w:sz w:val="22"/>
          <w:szCs w:val="22"/>
        </w:rPr>
      </w:pPr>
      <w:r w:rsidRPr="00BE3214">
        <w:rPr>
          <w:rFonts w:ascii="Arial" w:hAnsi="Arial" w:cs="Arial"/>
          <w:sz w:val="22"/>
          <w:szCs w:val="22"/>
        </w:rPr>
        <w:t>•</w:t>
      </w:r>
      <w:r w:rsidRPr="00BE3214">
        <w:rPr>
          <w:rFonts w:ascii="Arial" w:hAnsi="Arial" w:cs="Arial"/>
          <w:sz w:val="22"/>
          <w:szCs w:val="22"/>
        </w:rPr>
        <w:tab/>
        <w:t>Individuals - $</w:t>
      </w:r>
      <w:r w:rsidR="008C1D2D">
        <w:rPr>
          <w:rFonts w:ascii="Arial" w:hAnsi="Arial" w:cs="Arial"/>
          <w:sz w:val="22"/>
          <w:szCs w:val="22"/>
        </w:rPr>
        <w:t>48.05</w:t>
      </w:r>
      <w:r w:rsidRPr="00BE3214">
        <w:rPr>
          <w:rFonts w:ascii="Arial" w:hAnsi="Arial" w:cs="Arial"/>
          <w:sz w:val="22"/>
          <w:szCs w:val="22"/>
        </w:rPr>
        <w:t xml:space="preserve"> </w:t>
      </w:r>
    </w:p>
    <w:p w:rsidR="00BE3214" w:rsidRPr="00BE3214" w:rsidP="00BE3214" w14:paraId="04A908CD" w14:textId="5F19FE1E">
      <w:pPr>
        <w:widowControl/>
        <w:autoSpaceDE/>
        <w:autoSpaceDN/>
        <w:adjustRightInd/>
        <w:spacing w:line="276" w:lineRule="auto"/>
        <w:rPr>
          <w:rFonts w:ascii="Arial" w:hAnsi="Arial" w:cs="Arial"/>
          <w:sz w:val="22"/>
          <w:szCs w:val="22"/>
        </w:rPr>
      </w:pPr>
      <w:r w:rsidRPr="00BE3214">
        <w:rPr>
          <w:rFonts w:ascii="Arial" w:hAnsi="Arial" w:cs="Arial"/>
          <w:sz w:val="22"/>
          <w:szCs w:val="22"/>
        </w:rPr>
        <w:t>•</w:t>
      </w:r>
      <w:r w:rsidRPr="00BE3214">
        <w:rPr>
          <w:rFonts w:ascii="Arial" w:hAnsi="Arial" w:cs="Arial"/>
          <w:sz w:val="22"/>
          <w:szCs w:val="22"/>
        </w:rPr>
        <w:tab/>
        <w:t>Private Businesses - $45.</w:t>
      </w:r>
      <w:r w:rsidR="00C004C9">
        <w:rPr>
          <w:rFonts w:ascii="Arial" w:hAnsi="Arial" w:cs="Arial"/>
          <w:sz w:val="22"/>
          <w:szCs w:val="22"/>
        </w:rPr>
        <w:t>65</w:t>
      </w:r>
      <w:r w:rsidRPr="00BE3214">
        <w:rPr>
          <w:rFonts w:ascii="Arial" w:hAnsi="Arial" w:cs="Arial"/>
          <w:sz w:val="22"/>
          <w:szCs w:val="22"/>
        </w:rPr>
        <w:t xml:space="preserve"> </w:t>
      </w:r>
    </w:p>
    <w:p w:rsidR="0017709E" w:rsidP="00BE3214" w14:paraId="203FBA7E" w14:textId="1DCACA6D">
      <w:pPr>
        <w:widowControl/>
        <w:autoSpaceDE/>
        <w:autoSpaceDN/>
        <w:adjustRightInd/>
        <w:spacing w:line="276" w:lineRule="auto"/>
        <w:rPr>
          <w:rFonts w:ascii="Arial" w:hAnsi="Arial" w:cs="Arial"/>
          <w:sz w:val="22"/>
          <w:szCs w:val="22"/>
        </w:rPr>
      </w:pPr>
      <w:r w:rsidRPr="00BE3214">
        <w:rPr>
          <w:rFonts w:ascii="Arial" w:hAnsi="Arial" w:cs="Arial"/>
          <w:sz w:val="22"/>
          <w:szCs w:val="22"/>
        </w:rPr>
        <w:t>•</w:t>
      </w:r>
      <w:r w:rsidRPr="00BE3214">
        <w:rPr>
          <w:rFonts w:ascii="Arial" w:hAnsi="Arial" w:cs="Arial"/>
          <w:sz w:val="22"/>
          <w:szCs w:val="22"/>
        </w:rPr>
        <w:tab/>
        <w:t>States and Local Agencies - $</w:t>
      </w:r>
      <w:r w:rsidR="009D5B69">
        <w:rPr>
          <w:rFonts w:ascii="Arial" w:hAnsi="Arial" w:cs="Arial"/>
          <w:sz w:val="22"/>
          <w:szCs w:val="22"/>
        </w:rPr>
        <w:t>6</w:t>
      </w:r>
      <w:r w:rsidR="00C004C9">
        <w:rPr>
          <w:rFonts w:ascii="Arial" w:hAnsi="Arial" w:cs="Arial"/>
          <w:sz w:val="22"/>
          <w:szCs w:val="22"/>
        </w:rPr>
        <w:t>3.94</w:t>
      </w:r>
    </w:p>
    <w:p w:rsidR="00A17655" w:rsidRPr="00034B42" w:rsidP="00D41927" w14:paraId="65C21572" w14:textId="47E22467">
      <w:pPr>
        <w:spacing w:line="360" w:lineRule="auto"/>
        <w:rPr>
          <w:rFonts w:ascii="Arial" w:hAnsi="Arial" w:cs="Arial"/>
          <w:spacing w:val="-3"/>
          <w:sz w:val="22"/>
          <w:szCs w:val="22"/>
        </w:rPr>
      </w:pPr>
    </w:p>
    <w:p w:rsidR="003760E5" w:rsidRPr="00034B42" w:rsidP="003760E5" w14:paraId="59E2A1B3" w14:textId="1C53DCF4">
      <w:pPr>
        <w:rPr>
          <w:rFonts w:ascii="Arial" w:hAnsi="Arial" w:cs="Arial"/>
          <w:b/>
          <w:sz w:val="22"/>
          <w:szCs w:val="22"/>
        </w:rPr>
      </w:pPr>
      <w:r w:rsidRPr="00034B42">
        <w:rPr>
          <w:rFonts w:ascii="Arial" w:hAnsi="Arial" w:cs="Arial"/>
          <w:b/>
          <w:sz w:val="22"/>
          <w:szCs w:val="22"/>
        </w:rPr>
        <w:t>Table 12.1</w:t>
      </w:r>
      <w:r w:rsidRPr="00034B42" w:rsidR="00CF493D">
        <w:rPr>
          <w:rFonts w:ascii="Arial" w:hAnsi="Arial" w:cs="Arial"/>
          <w:b/>
          <w:sz w:val="22"/>
          <w:szCs w:val="22"/>
        </w:rPr>
        <w:t>.</w:t>
      </w:r>
      <w:r w:rsidRPr="00034B42" w:rsidR="004B6D21">
        <w:rPr>
          <w:rFonts w:ascii="Arial" w:hAnsi="Arial" w:cs="Arial"/>
          <w:b/>
          <w:sz w:val="22"/>
          <w:szCs w:val="22"/>
        </w:rPr>
        <w:t xml:space="preserve"> </w:t>
      </w:r>
      <w:r w:rsidRPr="00034B42" w:rsidR="004B6D21">
        <w:rPr>
          <w:rFonts w:ascii="Arial" w:hAnsi="Arial" w:cs="Arial"/>
          <w:b/>
          <w:sz w:val="22"/>
          <w:szCs w:val="22"/>
          <w:lang w:val="x-none"/>
        </w:rPr>
        <w:t xml:space="preserve">Total Estimated </w:t>
      </w:r>
      <w:r w:rsidRPr="00034B42" w:rsidR="004B6D21">
        <w:rPr>
          <w:rFonts w:ascii="Arial" w:hAnsi="Arial" w:cs="Arial"/>
          <w:b/>
          <w:sz w:val="22"/>
          <w:szCs w:val="22"/>
        </w:rPr>
        <w:t xml:space="preserve">Annualized </w:t>
      </w:r>
      <w:r w:rsidRPr="00034B42" w:rsidR="004B6D21">
        <w:rPr>
          <w:rFonts w:ascii="Arial" w:hAnsi="Arial" w:cs="Arial"/>
          <w:b/>
          <w:sz w:val="22"/>
          <w:szCs w:val="22"/>
          <w:lang w:val="x-none"/>
        </w:rPr>
        <w:t>Burden</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260"/>
        <w:gridCol w:w="1440"/>
        <w:gridCol w:w="900"/>
        <w:gridCol w:w="990"/>
        <w:gridCol w:w="1237"/>
      </w:tblGrid>
      <w:tr w14:paraId="78EE421D" w14:textId="77777777" w:rsidTr="00BE3214">
        <w:tblPrEx>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44"/>
        </w:trPr>
        <w:tc>
          <w:tcPr>
            <w:tcW w:w="2785" w:type="dxa"/>
            <w:shd w:val="clear" w:color="auto" w:fill="D6E3BC" w:themeFill="accent3" w:themeFillTint="66"/>
            <w:vAlign w:val="bottom"/>
          </w:tcPr>
          <w:p w:rsidR="00CE2FE8" w:rsidRPr="00FC274E" w:rsidP="00875FE3" w14:paraId="666224FE" w14:textId="77777777">
            <w:pPr>
              <w:jc w:val="center"/>
              <w:rPr>
                <w:rFonts w:ascii="Arial" w:eastAsia="Calibri" w:hAnsi="Arial" w:cs="Arial"/>
                <w:b/>
                <w:sz w:val="18"/>
                <w:szCs w:val="18"/>
              </w:rPr>
            </w:pPr>
            <w:r w:rsidRPr="00FC274E">
              <w:rPr>
                <w:rFonts w:ascii="Arial" w:eastAsia="Calibri" w:hAnsi="Arial" w:cs="Arial"/>
                <w:sz w:val="18"/>
                <w:szCs w:val="18"/>
              </w:rPr>
              <w:br w:type="page"/>
            </w:r>
            <w:r w:rsidRPr="00FC274E">
              <w:rPr>
                <w:rFonts w:ascii="Arial" w:eastAsia="Calibri" w:hAnsi="Arial" w:cs="Arial"/>
                <w:b/>
                <w:sz w:val="18"/>
                <w:szCs w:val="18"/>
              </w:rPr>
              <w:t>Activity</w:t>
            </w:r>
          </w:p>
        </w:tc>
        <w:tc>
          <w:tcPr>
            <w:tcW w:w="1260" w:type="dxa"/>
            <w:shd w:val="clear" w:color="auto" w:fill="D6E3BC" w:themeFill="accent3" w:themeFillTint="66"/>
            <w:vAlign w:val="bottom"/>
          </w:tcPr>
          <w:p w:rsidR="00CE2FE8" w:rsidRPr="00FC274E" w:rsidP="00875FE3" w14:paraId="44916F49" w14:textId="77777777">
            <w:pPr>
              <w:jc w:val="center"/>
              <w:rPr>
                <w:rFonts w:ascii="Arial" w:eastAsia="Calibri" w:hAnsi="Arial" w:cs="Arial"/>
                <w:b/>
                <w:sz w:val="18"/>
                <w:szCs w:val="18"/>
              </w:rPr>
            </w:pPr>
            <w:r w:rsidRPr="00FC274E">
              <w:rPr>
                <w:rFonts w:ascii="Arial" w:eastAsia="Calibri" w:hAnsi="Arial" w:cs="Arial"/>
                <w:b/>
                <w:sz w:val="18"/>
                <w:szCs w:val="18"/>
              </w:rPr>
              <w:t>Number of Annual Responses</w:t>
            </w:r>
          </w:p>
        </w:tc>
        <w:tc>
          <w:tcPr>
            <w:tcW w:w="1440" w:type="dxa"/>
            <w:shd w:val="clear" w:color="auto" w:fill="D6E3BC" w:themeFill="accent3" w:themeFillTint="66"/>
            <w:vAlign w:val="bottom"/>
          </w:tcPr>
          <w:p w:rsidR="00CE2FE8" w:rsidRPr="00FC274E" w:rsidP="00875FE3" w14:paraId="1A671FC2" w14:textId="77777777">
            <w:pPr>
              <w:jc w:val="center"/>
              <w:rPr>
                <w:rFonts w:ascii="Arial" w:eastAsia="Calibri" w:hAnsi="Arial" w:cs="Arial"/>
                <w:b/>
                <w:sz w:val="18"/>
                <w:szCs w:val="18"/>
              </w:rPr>
            </w:pPr>
            <w:r w:rsidRPr="00FC274E">
              <w:rPr>
                <w:rFonts w:ascii="Arial" w:eastAsia="Calibri" w:hAnsi="Arial" w:cs="Arial"/>
                <w:b/>
                <w:sz w:val="18"/>
                <w:szCs w:val="18"/>
              </w:rPr>
              <w:t>Completion Time per Response (Hours)</w:t>
            </w:r>
          </w:p>
        </w:tc>
        <w:tc>
          <w:tcPr>
            <w:tcW w:w="900" w:type="dxa"/>
            <w:shd w:val="clear" w:color="auto" w:fill="D6E3BC" w:themeFill="accent3" w:themeFillTint="66"/>
            <w:vAlign w:val="bottom"/>
          </w:tcPr>
          <w:p w:rsidR="00CE2FE8" w:rsidRPr="00FC274E" w:rsidP="00875FE3" w14:paraId="013A1FF6" w14:textId="77777777">
            <w:pPr>
              <w:jc w:val="center"/>
              <w:rPr>
                <w:rFonts w:ascii="Arial" w:eastAsia="Calibri" w:hAnsi="Arial" w:cs="Arial"/>
                <w:b/>
                <w:sz w:val="18"/>
                <w:szCs w:val="18"/>
              </w:rPr>
            </w:pPr>
            <w:r w:rsidRPr="00FC274E">
              <w:rPr>
                <w:rFonts w:ascii="Arial" w:eastAsia="Calibri" w:hAnsi="Arial" w:cs="Arial"/>
                <w:b/>
                <w:sz w:val="18"/>
                <w:szCs w:val="18"/>
              </w:rPr>
              <w:t>Total Annual Hours</w:t>
            </w:r>
          </w:p>
        </w:tc>
        <w:tc>
          <w:tcPr>
            <w:tcW w:w="990" w:type="dxa"/>
            <w:shd w:val="clear" w:color="auto" w:fill="D6E3BC" w:themeFill="accent3" w:themeFillTint="66"/>
            <w:vAlign w:val="bottom"/>
          </w:tcPr>
          <w:p w:rsidR="00CE2FE8" w:rsidRPr="00FC274E" w:rsidP="00875FE3" w14:paraId="2DE8C29C" w14:textId="77777777">
            <w:pPr>
              <w:jc w:val="center"/>
              <w:rPr>
                <w:rFonts w:ascii="Arial" w:eastAsia="Calibri" w:hAnsi="Arial" w:cs="Arial"/>
                <w:b/>
                <w:sz w:val="18"/>
                <w:szCs w:val="18"/>
              </w:rPr>
            </w:pPr>
            <w:r w:rsidRPr="00FC274E">
              <w:rPr>
                <w:rFonts w:ascii="Arial" w:eastAsia="Calibri" w:hAnsi="Arial" w:cs="Arial"/>
                <w:b/>
                <w:sz w:val="18"/>
                <w:szCs w:val="18"/>
              </w:rPr>
              <w:t>Hourly Rate with Benefits</w:t>
            </w:r>
          </w:p>
        </w:tc>
        <w:tc>
          <w:tcPr>
            <w:tcW w:w="1237" w:type="dxa"/>
            <w:shd w:val="clear" w:color="auto" w:fill="D6E3BC" w:themeFill="accent3" w:themeFillTint="66"/>
            <w:vAlign w:val="bottom"/>
          </w:tcPr>
          <w:p w:rsidR="00CE2FE8" w:rsidRPr="00FC274E" w:rsidP="00875FE3" w14:paraId="557EB4E3" w14:textId="3EF44531">
            <w:pPr>
              <w:jc w:val="center"/>
              <w:rPr>
                <w:rFonts w:ascii="Arial" w:eastAsia="Calibri" w:hAnsi="Arial" w:cs="Arial"/>
                <w:b/>
                <w:sz w:val="18"/>
                <w:szCs w:val="18"/>
              </w:rPr>
            </w:pPr>
            <w:r w:rsidRPr="00FC274E">
              <w:rPr>
                <w:rFonts w:ascii="Arial" w:eastAsia="Calibri" w:hAnsi="Arial" w:cs="Arial"/>
                <w:b/>
                <w:sz w:val="18"/>
                <w:szCs w:val="18"/>
              </w:rPr>
              <w:t>$ Value of Annual Burden Hours*</w:t>
            </w:r>
          </w:p>
        </w:tc>
      </w:tr>
      <w:tr w14:paraId="09953F06" w14:textId="77777777" w:rsidTr="00BE3214">
        <w:tblPrEx>
          <w:tblW w:w="8612" w:type="dxa"/>
          <w:tblLayout w:type="fixed"/>
          <w:tblLook w:val="01E0"/>
        </w:tblPrEx>
        <w:trPr>
          <w:trHeight w:val="1061"/>
        </w:trPr>
        <w:tc>
          <w:tcPr>
            <w:tcW w:w="2785" w:type="dxa"/>
          </w:tcPr>
          <w:p w:rsidR="00CE2FE8" w:rsidRPr="00BE3214" w:rsidP="00875FE3" w14:paraId="676B4C5E" w14:textId="77777777">
            <w:pPr>
              <w:rPr>
                <w:rFonts w:ascii="Arial" w:eastAsia="Calibri" w:hAnsi="Arial" w:cs="Arial"/>
                <w:b/>
              </w:rPr>
            </w:pPr>
            <w:r w:rsidRPr="00BE3214">
              <w:rPr>
                <w:rFonts w:ascii="Arial" w:eastAsia="Calibri" w:hAnsi="Arial" w:cs="Arial"/>
                <w:b/>
              </w:rPr>
              <w:t>Applications</w:t>
            </w:r>
          </w:p>
          <w:p w:rsidR="00CE2FE8" w:rsidRPr="00BE3214" w:rsidP="00875FE3" w14:paraId="1A5D997A" w14:textId="20FB8F1E">
            <w:pPr>
              <w:rPr>
                <w:rFonts w:ascii="Arial" w:eastAsia="Calibri" w:hAnsi="Arial" w:cs="Arial"/>
              </w:rPr>
            </w:pPr>
            <w:r w:rsidRPr="00BE3214">
              <w:rPr>
                <w:rFonts w:ascii="Arial" w:eastAsia="Calibri" w:hAnsi="Arial" w:cs="Arial"/>
                <w:bCs/>
              </w:rPr>
              <w:t xml:space="preserve">   </w:t>
            </w:r>
            <w:r w:rsidRPr="00BE3214">
              <w:rPr>
                <w:rFonts w:ascii="Arial" w:eastAsia="Calibri" w:hAnsi="Arial" w:cs="Arial"/>
              </w:rPr>
              <w:t>Individuals</w:t>
            </w:r>
          </w:p>
          <w:p w:rsidR="00CE2FE8" w:rsidRPr="00BE3214" w:rsidP="00875FE3" w14:paraId="13D5A34E" w14:textId="45A33380">
            <w:pPr>
              <w:rPr>
                <w:rFonts w:ascii="Arial" w:eastAsia="Calibri" w:hAnsi="Arial" w:cs="Arial"/>
              </w:rPr>
            </w:pPr>
            <w:r w:rsidRPr="00BE3214">
              <w:rPr>
                <w:rFonts w:ascii="Arial" w:eastAsia="Calibri" w:hAnsi="Arial" w:cs="Arial"/>
              </w:rPr>
              <w:t xml:space="preserve">   Private Sector</w:t>
            </w:r>
          </w:p>
          <w:p w:rsidR="00CE2FE8" w:rsidRPr="00BE3214" w:rsidP="00875FE3" w14:paraId="05E6B3D7" w14:textId="353176B1">
            <w:pPr>
              <w:rPr>
                <w:rFonts w:ascii="Arial" w:eastAsia="Calibri" w:hAnsi="Arial" w:cs="Arial"/>
                <w:b/>
              </w:rPr>
            </w:pPr>
            <w:r w:rsidRPr="00BE3214">
              <w:rPr>
                <w:rFonts w:ascii="Arial" w:eastAsia="Calibri" w:hAnsi="Arial" w:cs="Arial"/>
              </w:rPr>
              <w:t xml:space="preserve">   </w:t>
            </w:r>
            <w:r w:rsidRPr="00BE3214" w:rsidR="00BE3214">
              <w:rPr>
                <w:rFonts w:ascii="Arial" w:eastAsia="Calibri" w:hAnsi="Arial" w:cs="Arial"/>
              </w:rPr>
              <w:t>States and Local Agencies</w:t>
            </w:r>
          </w:p>
        </w:tc>
        <w:tc>
          <w:tcPr>
            <w:tcW w:w="1260" w:type="dxa"/>
          </w:tcPr>
          <w:p w:rsidR="00CE2FE8" w:rsidRPr="00BE3214" w:rsidP="00875FE3" w14:paraId="21BE3FA1" w14:textId="77777777">
            <w:pPr>
              <w:jc w:val="center"/>
              <w:rPr>
                <w:rFonts w:ascii="Arial" w:eastAsia="Calibri" w:hAnsi="Arial" w:cs="Arial"/>
              </w:rPr>
            </w:pPr>
          </w:p>
          <w:p w:rsidR="00CE2FE8" w:rsidRPr="00BE3214" w:rsidP="00875FE3" w14:paraId="1A9BBC36" w14:textId="7845EC01">
            <w:pPr>
              <w:jc w:val="center"/>
              <w:rPr>
                <w:rFonts w:ascii="Arial" w:eastAsia="Calibri" w:hAnsi="Arial" w:cs="Arial"/>
              </w:rPr>
            </w:pPr>
            <w:r w:rsidRPr="00BE3214">
              <w:rPr>
                <w:rFonts w:ascii="Arial" w:eastAsia="Calibri" w:hAnsi="Arial" w:cs="Arial"/>
              </w:rPr>
              <w:t>39</w:t>
            </w:r>
          </w:p>
          <w:p w:rsidR="00CE2FE8" w:rsidRPr="00BE3214" w:rsidP="00875FE3" w14:paraId="63902A59" w14:textId="008EF4E9">
            <w:pPr>
              <w:jc w:val="center"/>
              <w:rPr>
                <w:rFonts w:ascii="Arial" w:eastAsia="Calibri" w:hAnsi="Arial" w:cs="Arial"/>
              </w:rPr>
            </w:pPr>
            <w:r w:rsidRPr="00BE3214">
              <w:rPr>
                <w:rFonts w:ascii="Arial" w:eastAsia="Calibri" w:hAnsi="Arial" w:cs="Arial"/>
              </w:rPr>
              <w:t>15</w:t>
            </w:r>
          </w:p>
          <w:p w:rsidR="00CE2FE8" w:rsidRPr="00BE3214" w:rsidP="00875FE3" w14:paraId="2CB58428" w14:textId="07563B61">
            <w:pPr>
              <w:jc w:val="center"/>
              <w:rPr>
                <w:rFonts w:ascii="Arial" w:eastAsia="Calibri" w:hAnsi="Arial" w:cs="Arial"/>
              </w:rPr>
            </w:pPr>
            <w:r w:rsidRPr="00BE3214">
              <w:rPr>
                <w:rFonts w:ascii="Arial" w:eastAsia="Calibri" w:hAnsi="Arial" w:cs="Arial"/>
              </w:rPr>
              <w:t>10</w:t>
            </w:r>
          </w:p>
        </w:tc>
        <w:tc>
          <w:tcPr>
            <w:tcW w:w="1440" w:type="dxa"/>
          </w:tcPr>
          <w:p w:rsidR="00CE2FE8" w:rsidRPr="00BE3214" w:rsidP="00875FE3" w14:paraId="4A9BB49E" w14:textId="77777777">
            <w:pPr>
              <w:jc w:val="center"/>
              <w:rPr>
                <w:rFonts w:ascii="Arial" w:eastAsia="Calibri" w:hAnsi="Arial" w:cs="Arial"/>
              </w:rPr>
            </w:pPr>
          </w:p>
          <w:p w:rsidR="00CE2FE8" w:rsidRPr="00BE3214" w:rsidP="00875FE3" w14:paraId="526CF32E" w14:textId="77777777">
            <w:pPr>
              <w:jc w:val="center"/>
              <w:rPr>
                <w:rFonts w:ascii="Arial" w:eastAsia="Calibri" w:hAnsi="Arial" w:cs="Arial"/>
              </w:rPr>
            </w:pPr>
            <w:r w:rsidRPr="00BE3214">
              <w:rPr>
                <w:rFonts w:ascii="Arial" w:eastAsia="Calibri" w:hAnsi="Arial" w:cs="Arial"/>
              </w:rPr>
              <w:t>40</w:t>
            </w:r>
          </w:p>
          <w:p w:rsidR="00CE2FE8" w:rsidRPr="00BE3214" w:rsidP="00875FE3" w14:paraId="38BA0720" w14:textId="77777777">
            <w:pPr>
              <w:jc w:val="center"/>
              <w:rPr>
                <w:rFonts w:ascii="Arial" w:eastAsia="Calibri" w:hAnsi="Arial" w:cs="Arial"/>
              </w:rPr>
            </w:pPr>
            <w:r w:rsidRPr="00BE3214">
              <w:rPr>
                <w:rFonts w:ascii="Arial" w:eastAsia="Calibri" w:hAnsi="Arial" w:cs="Arial"/>
              </w:rPr>
              <w:t>40</w:t>
            </w:r>
          </w:p>
          <w:p w:rsidR="00CE2FE8" w:rsidRPr="00BE3214" w:rsidP="00875FE3" w14:paraId="53B0212E" w14:textId="77777777">
            <w:pPr>
              <w:jc w:val="center"/>
              <w:rPr>
                <w:rFonts w:ascii="Arial" w:eastAsia="Calibri" w:hAnsi="Arial" w:cs="Arial"/>
              </w:rPr>
            </w:pPr>
            <w:r w:rsidRPr="00BE3214">
              <w:rPr>
                <w:rFonts w:ascii="Arial" w:eastAsia="Calibri" w:hAnsi="Arial" w:cs="Arial"/>
              </w:rPr>
              <w:t>40</w:t>
            </w:r>
          </w:p>
        </w:tc>
        <w:tc>
          <w:tcPr>
            <w:tcW w:w="900" w:type="dxa"/>
          </w:tcPr>
          <w:p w:rsidR="00CE2FE8" w:rsidRPr="00BE3214" w:rsidP="00875FE3" w14:paraId="26F5B149" w14:textId="77777777">
            <w:pPr>
              <w:jc w:val="center"/>
              <w:rPr>
                <w:rFonts w:ascii="Arial" w:eastAsia="Calibri" w:hAnsi="Arial" w:cs="Arial"/>
              </w:rPr>
            </w:pPr>
          </w:p>
          <w:p w:rsidR="00CE2FE8" w:rsidRPr="00BE3214" w:rsidP="00875FE3" w14:paraId="3A9F139D" w14:textId="5893B777">
            <w:pPr>
              <w:jc w:val="center"/>
              <w:rPr>
                <w:rFonts w:ascii="Arial" w:eastAsia="Calibri" w:hAnsi="Arial" w:cs="Arial"/>
              </w:rPr>
            </w:pPr>
            <w:r w:rsidRPr="00BE3214">
              <w:rPr>
                <w:rFonts w:ascii="Arial" w:eastAsia="Calibri" w:hAnsi="Arial" w:cs="Arial"/>
              </w:rPr>
              <w:t>1</w:t>
            </w:r>
            <w:r w:rsidR="00D93B03">
              <w:rPr>
                <w:rFonts w:ascii="Arial" w:eastAsia="Calibri" w:hAnsi="Arial" w:cs="Arial"/>
              </w:rPr>
              <w:t>,</w:t>
            </w:r>
            <w:r w:rsidRPr="00BE3214">
              <w:rPr>
                <w:rFonts w:ascii="Arial" w:eastAsia="Calibri" w:hAnsi="Arial" w:cs="Arial"/>
              </w:rPr>
              <w:t>56</w:t>
            </w:r>
            <w:r w:rsidRPr="00BE3214" w:rsidR="003B2AB8">
              <w:rPr>
                <w:rFonts w:ascii="Arial" w:eastAsia="Calibri" w:hAnsi="Arial" w:cs="Arial"/>
              </w:rPr>
              <w:t>0</w:t>
            </w:r>
          </w:p>
          <w:p w:rsidR="00CE2FE8" w:rsidRPr="00BE3214" w:rsidP="00875FE3" w14:paraId="03C03C90" w14:textId="7602851A">
            <w:pPr>
              <w:jc w:val="center"/>
              <w:rPr>
                <w:rFonts w:ascii="Arial" w:eastAsia="Calibri" w:hAnsi="Arial" w:cs="Arial"/>
              </w:rPr>
            </w:pPr>
            <w:r w:rsidRPr="00BE3214">
              <w:rPr>
                <w:rFonts w:ascii="Arial" w:eastAsia="Calibri" w:hAnsi="Arial" w:cs="Arial"/>
              </w:rPr>
              <w:t>600</w:t>
            </w:r>
          </w:p>
          <w:p w:rsidR="00CE2FE8" w:rsidRPr="00BE3214" w:rsidP="00875FE3" w14:paraId="00E02194" w14:textId="2F672797">
            <w:pPr>
              <w:jc w:val="center"/>
              <w:rPr>
                <w:rFonts w:ascii="Arial" w:eastAsia="Calibri" w:hAnsi="Arial" w:cs="Arial"/>
              </w:rPr>
            </w:pPr>
            <w:r w:rsidRPr="00BE3214">
              <w:rPr>
                <w:rFonts w:ascii="Arial" w:eastAsia="Calibri" w:hAnsi="Arial" w:cs="Arial"/>
              </w:rPr>
              <w:t>400</w:t>
            </w:r>
          </w:p>
        </w:tc>
        <w:tc>
          <w:tcPr>
            <w:tcW w:w="990" w:type="dxa"/>
          </w:tcPr>
          <w:p w:rsidR="00CE2FE8" w:rsidRPr="00BE3214" w:rsidP="00875FE3" w14:paraId="3174E643" w14:textId="77777777">
            <w:pPr>
              <w:jc w:val="right"/>
              <w:rPr>
                <w:rFonts w:ascii="Arial" w:eastAsia="Calibri" w:hAnsi="Arial" w:cs="Arial"/>
              </w:rPr>
            </w:pPr>
          </w:p>
          <w:p w:rsidR="00CE2FE8" w:rsidRPr="00BE3214" w:rsidP="00875FE3" w14:paraId="6CB2545B" w14:textId="0C625F68">
            <w:pPr>
              <w:jc w:val="right"/>
              <w:rPr>
                <w:rFonts w:ascii="Arial" w:eastAsia="Calibri" w:hAnsi="Arial" w:cs="Arial"/>
              </w:rPr>
            </w:pPr>
            <w:r w:rsidRPr="00BE3214">
              <w:rPr>
                <w:rFonts w:ascii="Arial" w:eastAsia="Calibri" w:hAnsi="Arial" w:cs="Arial"/>
              </w:rPr>
              <w:t>$</w:t>
            </w:r>
            <w:r w:rsidR="00C004C9">
              <w:rPr>
                <w:rFonts w:ascii="Arial" w:eastAsia="Calibri" w:hAnsi="Arial" w:cs="Arial"/>
              </w:rPr>
              <w:t>48.05</w:t>
            </w:r>
          </w:p>
          <w:p w:rsidR="00CE2FE8" w:rsidRPr="00BE3214" w:rsidP="00875FE3" w14:paraId="105B1F5C" w14:textId="2B4DCBF2">
            <w:pPr>
              <w:jc w:val="right"/>
              <w:rPr>
                <w:rFonts w:ascii="Arial" w:eastAsia="Calibri" w:hAnsi="Arial" w:cs="Arial"/>
              </w:rPr>
            </w:pPr>
            <w:r w:rsidRPr="00BE3214">
              <w:rPr>
                <w:rFonts w:ascii="Arial" w:eastAsia="Calibri" w:hAnsi="Arial" w:cs="Arial"/>
              </w:rPr>
              <w:t xml:space="preserve">  $</w:t>
            </w:r>
            <w:r w:rsidRPr="002E585E" w:rsidR="002E585E">
              <w:rPr>
                <w:rFonts w:ascii="Arial" w:eastAsia="Calibri" w:hAnsi="Arial" w:cs="Arial"/>
              </w:rPr>
              <w:t>45.</w:t>
            </w:r>
            <w:r w:rsidR="00C004C9">
              <w:rPr>
                <w:rFonts w:ascii="Arial" w:eastAsia="Calibri" w:hAnsi="Arial" w:cs="Arial"/>
              </w:rPr>
              <w:t>65</w:t>
            </w:r>
          </w:p>
          <w:p w:rsidR="00CE2FE8" w:rsidRPr="00BE3214" w:rsidP="00455B23" w14:paraId="12CEC4B2" w14:textId="70FB02F6">
            <w:pPr>
              <w:jc w:val="right"/>
              <w:rPr>
                <w:rFonts w:ascii="Arial" w:eastAsia="Calibri" w:hAnsi="Arial" w:cs="Arial"/>
              </w:rPr>
            </w:pPr>
            <w:r w:rsidRPr="00BE3214">
              <w:rPr>
                <w:rFonts w:ascii="Arial" w:eastAsia="Calibri" w:hAnsi="Arial" w:cs="Arial"/>
              </w:rPr>
              <w:t xml:space="preserve"> $</w:t>
            </w:r>
            <w:r w:rsidR="009D5B69">
              <w:rPr>
                <w:rFonts w:ascii="Arial" w:eastAsia="Calibri" w:hAnsi="Arial" w:cs="Arial"/>
              </w:rPr>
              <w:t>63.94</w:t>
            </w:r>
          </w:p>
        </w:tc>
        <w:tc>
          <w:tcPr>
            <w:tcW w:w="1237" w:type="dxa"/>
          </w:tcPr>
          <w:p w:rsidR="00CE2FE8" w:rsidRPr="00BE3214" w:rsidP="00875FE3" w14:paraId="215CA3F4" w14:textId="77777777">
            <w:pPr>
              <w:jc w:val="right"/>
              <w:rPr>
                <w:rFonts w:ascii="Arial" w:eastAsia="Calibri" w:hAnsi="Arial" w:cs="Arial"/>
              </w:rPr>
            </w:pPr>
          </w:p>
          <w:p w:rsidR="00CE2FE8" w:rsidRPr="00BE3214" w:rsidP="00875FE3" w14:paraId="7A0A7F76" w14:textId="34493420">
            <w:pPr>
              <w:jc w:val="right"/>
              <w:rPr>
                <w:rFonts w:ascii="Arial" w:eastAsia="Calibri" w:hAnsi="Arial" w:cs="Arial"/>
              </w:rPr>
            </w:pPr>
            <w:r w:rsidRPr="00BE3214">
              <w:rPr>
                <w:rFonts w:ascii="Arial" w:eastAsia="Calibri" w:hAnsi="Arial" w:cs="Arial"/>
              </w:rPr>
              <w:t>$</w:t>
            </w:r>
            <w:r w:rsidRPr="00F11874" w:rsidR="00F11874">
              <w:rPr>
                <w:rFonts w:ascii="Arial" w:eastAsia="Calibri" w:hAnsi="Arial" w:cs="Arial"/>
              </w:rPr>
              <w:t>74,</w:t>
            </w:r>
            <w:r w:rsidR="0075786B">
              <w:rPr>
                <w:rFonts w:ascii="Arial" w:eastAsia="Calibri" w:hAnsi="Arial" w:cs="Arial"/>
              </w:rPr>
              <w:t>958</w:t>
            </w:r>
          </w:p>
          <w:p w:rsidR="00CE2FE8" w:rsidRPr="00BE3214" w:rsidP="00F455E0" w14:paraId="2BF8393A" w14:textId="459C9433">
            <w:pPr>
              <w:jc w:val="right"/>
              <w:rPr>
                <w:rFonts w:ascii="Arial" w:eastAsia="Calibri" w:hAnsi="Arial" w:cs="Arial"/>
              </w:rPr>
            </w:pPr>
            <w:r w:rsidRPr="00BE3214">
              <w:rPr>
                <w:rFonts w:ascii="Arial" w:eastAsia="Calibri" w:hAnsi="Arial" w:cs="Arial"/>
              </w:rPr>
              <w:t>$</w:t>
            </w:r>
            <w:r w:rsidRPr="001A06FF" w:rsidR="001A06FF">
              <w:rPr>
                <w:rFonts w:ascii="Arial" w:eastAsia="Calibri" w:hAnsi="Arial" w:cs="Arial"/>
              </w:rPr>
              <w:t>27,</w:t>
            </w:r>
            <w:r w:rsidR="00B16FD3">
              <w:rPr>
                <w:rFonts w:ascii="Arial" w:eastAsia="Calibri" w:hAnsi="Arial" w:cs="Arial"/>
              </w:rPr>
              <w:t>390</w:t>
            </w:r>
          </w:p>
          <w:p w:rsidR="00CE2FE8" w:rsidRPr="00BE3214" w:rsidP="00F455E0" w14:paraId="524A5B16" w14:textId="104D2DB3">
            <w:pPr>
              <w:jc w:val="right"/>
              <w:rPr>
                <w:rFonts w:ascii="Arial" w:eastAsia="Calibri" w:hAnsi="Arial" w:cs="Arial"/>
              </w:rPr>
            </w:pPr>
            <w:r w:rsidRPr="00BE3214">
              <w:rPr>
                <w:rFonts w:ascii="Arial" w:eastAsia="Calibri" w:hAnsi="Arial" w:cs="Arial"/>
              </w:rPr>
              <w:t>$</w:t>
            </w:r>
            <w:r w:rsidR="00B16FD3">
              <w:rPr>
                <w:rFonts w:ascii="Arial" w:eastAsia="Calibri" w:hAnsi="Arial" w:cs="Arial"/>
              </w:rPr>
              <w:t>25</w:t>
            </w:r>
            <w:r w:rsidR="00574FA5">
              <w:rPr>
                <w:rFonts w:ascii="Arial" w:eastAsia="Calibri" w:hAnsi="Arial" w:cs="Arial"/>
              </w:rPr>
              <w:t>,576</w:t>
            </w:r>
          </w:p>
        </w:tc>
      </w:tr>
      <w:tr w14:paraId="50689EAB" w14:textId="77777777" w:rsidTr="00BE3214">
        <w:tblPrEx>
          <w:tblW w:w="8612" w:type="dxa"/>
          <w:tblLayout w:type="fixed"/>
          <w:tblLook w:val="01E0"/>
        </w:tblPrEx>
        <w:trPr>
          <w:trHeight w:val="350"/>
        </w:trPr>
        <w:tc>
          <w:tcPr>
            <w:tcW w:w="2785" w:type="dxa"/>
            <w:vAlign w:val="center"/>
          </w:tcPr>
          <w:p w:rsidR="00CE2FE8" w:rsidRPr="00BE3214" w:rsidP="00814D53" w14:paraId="3D9F8F77" w14:textId="77777777">
            <w:pPr>
              <w:rPr>
                <w:rFonts w:ascii="Arial" w:eastAsia="Calibri" w:hAnsi="Arial" w:cs="Arial"/>
                <w:b/>
              </w:rPr>
            </w:pPr>
            <w:r w:rsidRPr="00BE3214">
              <w:rPr>
                <w:rFonts w:ascii="Arial" w:eastAsia="Calibri" w:hAnsi="Arial" w:cs="Arial"/>
                <w:b/>
              </w:rPr>
              <w:t>Partner Request*</w:t>
            </w:r>
          </w:p>
        </w:tc>
        <w:tc>
          <w:tcPr>
            <w:tcW w:w="1260" w:type="dxa"/>
            <w:vAlign w:val="center"/>
          </w:tcPr>
          <w:p w:rsidR="00CE2FE8" w:rsidRPr="00BE3214" w:rsidP="00814D53" w14:paraId="5F774756" w14:textId="601BCD07">
            <w:pPr>
              <w:jc w:val="center"/>
              <w:rPr>
                <w:rFonts w:ascii="Arial" w:eastAsia="Calibri" w:hAnsi="Arial" w:cs="Arial"/>
              </w:rPr>
            </w:pPr>
            <w:r w:rsidRPr="00BE3214">
              <w:rPr>
                <w:rFonts w:ascii="Arial" w:eastAsia="Calibri" w:hAnsi="Arial" w:cs="Arial"/>
              </w:rPr>
              <w:t>2</w:t>
            </w:r>
          </w:p>
        </w:tc>
        <w:tc>
          <w:tcPr>
            <w:tcW w:w="1440" w:type="dxa"/>
            <w:vAlign w:val="center"/>
          </w:tcPr>
          <w:p w:rsidR="00CE2FE8" w:rsidRPr="00BE3214" w:rsidP="00814D53" w14:paraId="7DF88DC6" w14:textId="49E68227">
            <w:pPr>
              <w:jc w:val="center"/>
              <w:rPr>
                <w:rFonts w:ascii="Arial" w:eastAsia="Calibri" w:hAnsi="Arial" w:cs="Arial"/>
              </w:rPr>
            </w:pPr>
            <w:r w:rsidRPr="00BE3214">
              <w:rPr>
                <w:rFonts w:ascii="Arial" w:eastAsia="Calibri" w:hAnsi="Arial" w:cs="Arial"/>
              </w:rPr>
              <w:t>.5</w:t>
            </w:r>
          </w:p>
        </w:tc>
        <w:tc>
          <w:tcPr>
            <w:tcW w:w="900" w:type="dxa"/>
            <w:vAlign w:val="center"/>
          </w:tcPr>
          <w:p w:rsidR="00CE2FE8" w:rsidRPr="00BE3214" w:rsidP="00814D53" w14:paraId="4363D579" w14:textId="64A1E49B">
            <w:pPr>
              <w:jc w:val="center"/>
              <w:rPr>
                <w:rFonts w:ascii="Arial" w:eastAsia="Calibri" w:hAnsi="Arial" w:cs="Arial"/>
              </w:rPr>
            </w:pPr>
            <w:r w:rsidRPr="00BE3214">
              <w:rPr>
                <w:rFonts w:ascii="Arial" w:eastAsia="Calibri" w:hAnsi="Arial" w:cs="Arial"/>
              </w:rPr>
              <w:t>1</w:t>
            </w:r>
          </w:p>
        </w:tc>
        <w:tc>
          <w:tcPr>
            <w:tcW w:w="990" w:type="dxa"/>
            <w:vAlign w:val="center"/>
          </w:tcPr>
          <w:p w:rsidR="00CE2FE8" w:rsidRPr="00BE3214" w:rsidP="00423DE8" w14:paraId="68015633" w14:textId="31CC0BBD">
            <w:pPr>
              <w:jc w:val="right"/>
              <w:rPr>
                <w:rFonts w:ascii="Arial" w:eastAsia="Calibri" w:hAnsi="Arial" w:cs="Arial"/>
              </w:rPr>
            </w:pPr>
            <w:r w:rsidRPr="00BE3214">
              <w:rPr>
                <w:rFonts w:ascii="Arial" w:eastAsia="Calibri" w:hAnsi="Arial" w:cs="Arial"/>
              </w:rPr>
              <w:t>$38.</w:t>
            </w:r>
            <w:r w:rsidRPr="00BE3214" w:rsidR="00BB15D7">
              <w:rPr>
                <w:rFonts w:ascii="Arial" w:eastAsia="Calibri" w:hAnsi="Arial" w:cs="Arial"/>
              </w:rPr>
              <w:t>9</w:t>
            </w:r>
            <w:r w:rsidRPr="00BE3214">
              <w:rPr>
                <w:rFonts w:ascii="Arial" w:eastAsia="Calibri" w:hAnsi="Arial" w:cs="Arial"/>
              </w:rPr>
              <w:t>1</w:t>
            </w:r>
          </w:p>
        </w:tc>
        <w:tc>
          <w:tcPr>
            <w:tcW w:w="1237" w:type="dxa"/>
            <w:vAlign w:val="center"/>
          </w:tcPr>
          <w:p w:rsidR="00CE2FE8" w:rsidRPr="00BE3214" w:rsidP="00423DE8" w14:paraId="1654DB2A" w14:textId="194884B3">
            <w:pPr>
              <w:jc w:val="right"/>
              <w:rPr>
                <w:rFonts w:ascii="Arial" w:eastAsia="Calibri" w:hAnsi="Arial" w:cs="Arial"/>
              </w:rPr>
            </w:pPr>
            <w:r w:rsidRPr="00BE3214">
              <w:rPr>
                <w:rFonts w:ascii="Arial" w:eastAsia="Calibri" w:hAnsi="Arial" w:cs="Arial"/>
              </w:rPr>
              <w:t>$39</w:t>
            </w:r>
          </w:p>
        </w:tc>
      </w:tr>
      <w:tr w14:paraId="510314B5" w14:textId="77777777" w:rsidTr="00BE3214">
        <w:tblPrEx>
          <w:tblW w:w="8612" w:type="dxa"/>
          <w:tblLayout w:type="fixed"/>
          <w:tblLook w:val="01E0"/>
        </w:tblPrEx>
        <w:trPr>
          <w:trHeight w:val="332"/>
        </w:trPr>
        <w:tc>
          <w:tcPr>
            <w:tcW w:w="2785" w:type="dxa"/>
            <w:vAlign w:val="center"/>
          </w:tcPr>
          <w:p w:rsidR="00CE2FE8" w:rsidRPr="00BE3214" w:rsidP="00814D53" w14:paraId="589BD9BD" w14:textId="77777777">
            <w:pPr>
              <w:rPr>
                <w:rFonts w:ascii="Arial" w:eastAsia="Calibri" w:hAnsi="Arial" w:cs="Arial"/>
                <w:b/>
              </w:rPr>
            </w:pPr>
            <w:r w:rsidRPr="00BE3214">
              <w:rPr>
                <w:rFonts w:ascii="Arial" w:eastAsia="Calibri" w:hAnsi="Arial" w:cs="Arial"/>
                <w:b/>
              </w:rPr>
              <w:t>Totals</w:t>
            </w:r>
          </w:p>
        </w:tc>
        <w:tc>
          <w:tcPr>
            <w:tcW w:w="1260" w:type="dxa"/>
            <w:vAlign w:val="center"/>
          </w:tcPr>
          <w:p w:rsidR="00CE2FE8" w:rsidRPr="00BE3214" w:rsidP="00814D53" w14:paraId="2245AE19" w14:textId="4A02FE2F">
            <w:pPr>
              <w:jc w:val="center"/>
              <w:rPr>
                <w:rFonts w:ascii="Arial" w:eastAsia="Calibri" w:hAnsi="Arial" w:cs="Arial"/>
                <w:b/>
              </w:rPr>
            </w:pPr>
            <w:r w:rsidRPr="00BE3214">
              <w:rPr>
                <w:rFonts w:ascii="Arial" w:eastAsia="Calibri" w:hAnsi="Arial" w:cs="Arial"/>
                <w:b/>
              </w:rPr>
              <w:t>66</w:t>
            </w:r>
          </w:p>
        </w:tc>
        <w:tc>
          <w:tcPr>
            <w:tcW w:w="1440" w:type="dxa"/>
            <w:shd w:val="thinDiagCross" w:color="auto" w:fill="auto"/>
            <w:vAlign w:val="center"/>
          </w:tcPr>
          <w:p w:rsidR="00CE2FE8" w:rsidRPr="00BE3214" w:rsidP="00814D53" w14:paraId="6634CAB9" w14:textId="410D1B3A">
            <w:pPr>
              <w:jc w:val="center"/>
              <w:rPr>
                <w:rFonts w:ascii="Arial" w:eastAsia="Calibri" w:hAnsi="Arial" w:cs="Arial"/>
                <w:b/>
              </w:rPr>
            </w:pPr>
          </w:p>
        </w:tc>
        <w:tc>
          <w:tcPr>
            <w:tcW w:w="900" w:type="dxa"/>
            <w:vAlign w:val="center"/>
          </w:tcPr>
          <w:p w:rsidR="00CE2FE8" w:rsidRPr="00BE3214" w:rsidP="00814D53" w14:paraId="12520CA7" w14:textId="1D5B7492">
            <w:pPr>
              <w:jc w:val="center"/>
              <w:rPr>
                <w:rFonts w:ascii="Arial" w:eastAsia="Calibri" w:hAnsi="Arial" w:cs="Arial"/>
                <w:b/>
              </w:rPr>
            </w:pPr>
            <w:r w:rsidRPr="00BE3214">
              <w:rPr>
                <w:rFonts w:ascii="Arial" w:eastAsia="Calibri" w:hAnsi="Arial" w:cs="Arial"/>
                <w:b/>
              </w:rPr>
              <w:t>2561</w:t>
            </w:r>
          </w:p>
        </w:tc>
        <w:tc>
          <w:tcPr>
            <w:tcW w:w="990" w:type="dxa"/>
            <w:shd w:val="thinDiagCross" w:color="auto" w:fill="auto"/>
            <w:vAlign w:val="center"/>
          </w:tcPr>
          <w:p w:rsidR="00CE2FE8" w:rsidRPr="00BE3214" w:rsidP="00814D53" w14:paraId="70BC164A" w14:textId="77777777">
            <w:pPr>
              <w:jc w:val="center"/>
              <w:rPr>
                <w:rFonts w:ascii="Arial" w:eastAsia="Calibri" w:hAnsi="Arial" w:cs="Arial"/>
                <w:b/>
              </w:rPr>
            </w:pPr>
          </w:p>
        </w:tc>
        <w:tc>
          <w:tcPr>
            <w:tcW w:w="1237" w:type="dxa"/>
            <w:vAlign w:val="center"/>
          </w:tcPr>
          <w:p w:rsidR="00CE2FE8" w:rsidRPr="00BE3214" w:rsidP="00423DE8" w14:paraId="7AB01ADA" w14:textId="590FAE47">
            <w:pPr>
              <w:jc w:val="right"/>
              <w:rPr>
                <w:rFonts w:ascii="Arial" w:eastAsia="Calibri" w:hAnsi="Arial" w:cs="Arial"/>
                <w:b/>
              </w:rPr>
            </w:pPr>
            <w:r>
              <w:rPr>
                <w:rFonts w:ascii="Arial" w:eastAsia="Calibri" w:hAnsi="Arial" w:cs="Arial"/>
                <w:b/>
              </w:rPr>
              <w:t>127,963</w:t>
            </w:r>
          </w:p>
        </w:tc>
      </w:tr>
    </w:tbl>
    <w:p w:rsidR="00D35DA2" w:rsidRPr="00FC274E" w:rsidP="00D35966" w14:paraId="332FD484" w14:textId="3AF33E7B">
      <w:pPr>
        <w:rPr>
          <w:rFonts w:ascii="Arial" w:eastAsia="Calibri" w:hAnsi="Arial" w:cs="Arial"/>
          <w:sz w:val="22"/>
          <w:szCs w:val="22"/>
        </w:rPr>
      </w:pPr>
      <w:r w:rsidRPr="00FC274E">
        <w:rPr>
          <w:rFonts w:ascii="Arial" w:eastAsia="Calibri" w:hAnsi="Arial" w:cs="Arial"/>
          <w:sz w:val="22"/>
          <w:szCs w:val="22"/>
        </w:rPr>
        <w:t>* Rounded</w:t>
      </w:r>
    </w:p>
    <w:p w:rsidR="00200330" w14:paraId="2D8BA0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FC274E" w14:paraId="4CF8911D" w14:textId="6B1F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C274E">
        <w:rPr>
          <w:rFonts w:ascii="Arial" w:hAnsi="Arial" w:cs="Arial"/>
          <w:b/>
          <w:sz w:val="22"/>
          <w:szCs w:val="22"/>
        </w:rPr>
        <w:t>13.</w:t>
      </w:r>
      <w:r w:rsidRPr="00FC274E">
        <w:rPr>
          <w:rFonts w:ascii="Arial" w:hAnsi="Arial" w:cs="Arial"/>
          <w:b/>
          <w:sz w:val="22"/>
          <w:szCs w:val="22"/>
        </w:rPr>
        <w:tab/>
        <w:t xml:space="preserve">Provide an estimate of the total annual </w:t>
      </w:r>
      <w:r w:rsidRPr="00FC274E" w:rsidR="00DE1FFE">
        <w:rPr>
          <w:rFonts w:ascii="Arial" w:hAnsi="Arial" w:cs="Arial"/>
          <w:b/>
          <w:sz w:val="22"/>
          <w:szCs w:val="22"/>
        </w:rPr>
        <w:t>non-hour</w:t>
      </w:r>
      <w:r w:rsidRPr="00FC274E">
        <w:rPr>
          <w:rFonts w:ascii="Arial" w:hAnsi="Arial" w:cs="Arial"/>
          <w:b/>
          <w:sz w:val="22"/>
          <w:szCs w:val="22"/>
        </w:rPr>
        <w:t xml:space="preserve"> cost burden to respondents or recordkeepers resulting from the collection of information.  (Do not include the cost of any hour burden </w:t>
      </w:r>
      <w:r w:rsidRPr="00FC274E" w:rsidR="004A6DFA">
        <w:rPr>
          <w:rFonts w:ascii="Arial" w:hAnsi="Arial" w:cs="Arial"/>
          <w:b/>
          <w:sz w:val="22"/>
          <w:szCs w:val="22"/>
        </w:rPr>
        <w:t xml:space="preserve">already reflected </w:t>
      </w:r>
      <w:r w:rsidRPr="00FC274E" w:rsidR="00F73931">
        <w:rPr>
          <w:rFonts w:ascii="Arial" w:hAnsi="Arial" w:cs="Arial"/>
          <w:b/>
          <w:sz w:val="22"/>
          <w:szCs w:val="22"/>
        </w:rPr>
        <w:t>in item 12</w:t>
      </w:r>
      <w:r w:rsidRPr="00FC274E" w:rsidR="004A6DFA">
        <w:rPr>
          <w:rFonts w:ascii="Arial" w:hAnsi="Arial" w:cs="Arial"/>
          <w:b/>
          <w:sz w:val="22"/>
          <w:szCs w:val="22"/>
        </w:rPr>
        <w:t>.)</w:t>
      </w:r>
    </w:p>
    <w:p w:rsidR="00295103" w:rsidRPr="00FC274E" w14:paraId="76E3D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FC274E">
        <w:rPr>
          <w:rFonts w:ascii="Arial" w:hAnsi="Arial" w:cs="Arial"/>
          <w:b/>
          <w:sz w:val="22"/>
          <w:szCs w:val="22"/>
        </w:rPr>
        <w:t>*</w:t>
      </w:r>
      <w:r w:rsidRPr="00FC274E">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FC274E" w:rsidR="000257C8">
        <w:rPr>
          <w:rFonts w:ascii="Arial" w:hAnsi="Arial" w:cs="Arial"/>
          <w:b/>
          <w:sz w:val="22"/>
          <w:szCs w:val="22"/>
        </w:rPr>
        <w:t>(</w:t>
      </w:r>
      <w:r w:rsidRPr="00FC274E">
        <w:rPr>
          <w:rFonts w:ascii="Arial" w:hAnsi="Arial" w:cs="Arial"/>
          <w:b/>
          <w:sz w:val="22"/>
          <w:szCs w:val="22"/>
        </w:rPr>
        <w:t>including filing fees paid</w:t>
      </w:r>
      <w:r w:rsidRPr="00FC274E" w:rsidR="000257C8">
        <w:rPr>
          <w:rFonts w:ascii="Arial" w:hAnsi="Arial" w:cs="Arial"/>
          <w:b/>
          <w:sz w:val="22"/>
          <w:szCs w:val="22"/>
        </w:rPr>
        <w:t xml:space="preserve"> for form processing)</w:t>
      </w:r>
      <w:r w:rsidRPr="00FC274E">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FC274E">
        <w:rPr>
          <w:rFonts w:ascii="Arial" w:hAnsi="Arial" w:cs="Arial"/>
          <w:b/>
          <w:sz w:val="22"/>
          <w:szCs w:val="22"/>
        </w:rPr>
        <w:t>sampling, drilling and testing equipment; and record storage facilities.</w:t>
      </w:r>
    </w:p>
    <w:p w:rsidR="00295103" w:rsidRPr="00FC274E" w14:paraId="1D006E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FC274E">
        <w:rPr>
          <w:rFonts w:ascii="Arial" w:hAnsi="Arial" w:cs="Arial"/>
          <w:b/>
          <w:sz w:val="22"/>
          <w:szCs w:val="22"/>
        </w:rPr>
        <w:t>*</w:t>
      </w:r>
      <w:r w:rsidRPr="00FC274E">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0BDF" w:rsidRPr="00FC274E" w14:paraId="349998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C274E">
        <w:rPr>
          <w:rFonts w:ascii="Arial" w:hAnsi="Arial" w:cs="Arial"/>
          <w:b/>
          <w:sz w:val="22"/>
          <w:szCs w:val="22"/>
        </w:rPr>
        <w:tab/>
        <w:t>*</w:t>
      </w:r>
      <w:r w:rsidRPr="00FC274E">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w:t>
      </w:r>
    </w:p>
    <w:p w:rsidR="00295103" w:rsidRPr="00FC274E" w14:paraId="038304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C274E">
        <w:rPr>
          <w:rFonts w:ascii="Arial" w:hAnsi="Arial" w:cs="Arial"/>
          <w:b/>
          <w:sz w:val="22"/>
          <w:szCs w:val="22"/>
        </w:rPr>
        <w:tab/>
      </w:r>
      <w:r w:rsidRPr="00FC274E">
        <w:rPr>
          <w:rFonts w:ascii="Arial" w:hAnsi="Arial" w:cs="Arial"/>
          <w:b/>
          <w:sz w:val="22"/>
          <w:szCs w:val="22"/>
        </w:rPr>
        <w:tab/>
        <w:t>reasons other than to provide information or keep records for the government, or (4) as part of customary and usual business or private practices.</w:t>
      </w:r>
    </w:p>
    <w:p w:rsidR="002459A5" w:rsidRPr="00FC274E" w14:paraId="544EC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2459A5" w:rsidRPr="00FC274E" w:rsidP="00912B0B" w14:paraId="6E344EA4" w14:textId="48A513C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274E">
        <w:rPr>
          <w:rFonts w:ascii="Arial" w:hAnsi="Arial" w:cs="Arial"/>
          <w:sz w:val="22"/>
          <w:szCs w:val="22"/>
        </w:rPr>
        <w:t>There are no non</w:t>
      </w:r>
      <w:r w:rsidRPr="00FC274E" w:rsidR="00142AC3">
        <w:rPr>
          <w:rFonts w:ascii="Arial" w:hAnsi="Arial" w:cs="Arial"/>
          <w:sz w:val="22"/>
          <w:szCs w:val="22"/>
        </w:rPr>
        <w:t>-</w:t>
      </w:r>
      <w:r w:rsidRPr="00FC274E">
        <w:rPr>
          <w:rFonts w:ascii="Arial" w:hAnsi="Arial" w:cs="Arial"/>
          <w:sz w:val="22"/>
          <w:szCs w:val="22"/>
        </w:rPr>
        <w:t>hour burden costs.</w:t>
      </w:r>
    </w:p>
    <w:p w:rsidR="00295103" w:rsidRPr="00FC274E" w14:paraId="67B9D4A6" w14:textId="7BA50A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60758B" w:rsidRPr="00FC274E" w14:paraId="5F1FD3DF" w14:textId="78FA4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C274E">
        <w:rPr>
          <w:rFonts w:ascii="Arial" w:hAnsi="Arial" w:cs="Arial"/>
          <w:b/>
          <w:sz w:val="22"/>
          <w:szCs w:val="22"/>
        </w:rPr>
        <w:t>14.</w:t>
      </w:r>
      <w:r w:rsidRPr="00FC274E">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FC274E" w14:paraId="630FF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A012E3" w:rsidP="00E84D2D" w14:paraId="01BA826E" w14:textId="0FB8241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FC274E">
        <w:rPr>
          <w:rFonts w:ascii="Arial" w:hAnsi="Arial" w:cs="Arial"/>
          <w:sz w:val="22"/>
          <w:szCs w:val="22"/>
        </w:rPr>
        <w:t>We estimate t</w:t>
      </w:r>
      <w:r w:rsidRPr="00FC274E" w:rsidR="00213CC2">
        <w:rPr>
          <w:rFonts w:ascii="Arial" w:hAnsi="Arial" w:cs="Arial"/>
          <w:sz w:val="22"/>
          <w:szCs w:val="22"/>
        </w:rPr>
        <w:t xml:space="preserve">he annual cost to the Federal Government to administer this information collection </w:t>
      </w:r>
      <w:r w:rsidRPr="00FC274E">
        <w:rPr>
          <w:rFonts w:ascii="Arial" w:hAnsi="Arial" w:cs="Arial"/>
          <w:sz w:val="22"/>
          <w:szCs w:val="22"/>
        </w:rPr>
        <w:t>will be</w:t>
      </w:r>
      <w:r w:rsidRPr="00FC274E" w:rsidR="00CF493D">
        <w:rPr>
          <w:rFonts w:ascii="Arial" w:hAnsi="Arial" w:cs="Arial"/>
          <w:sz w:val="22"/>
          <w:szCs w:val="22"/>
        </w:rPr>
        <w:t xml:space="preserve"> </w:t>
      </w:r>
      <w:r w:rsidRPr="00DA2360" w:rsidR="00DA2360">
        <w:rPr>
          <w:rFonts w:ascii="Arial" w:hAnsi="Arial" w:cs="Arial"/>
          <w:b/>
          <w:bCs/>
          <w:sz w:val="22"/>
          <w:szCs w:val="22"/>
        </w:rPr>
        <w:fldChar w:fldCharType="begin"/>
      </w:r>
      <w:r w:rsidRPr="00DA2360" w:rsidR="00DA2360">
        <w:rPr>
          <w:rFonts w:ascii="Arial" w:hAnsi="Arial" w:cs="Arial"/>
          <w:b/>
          <w:bCs/>
          <w:sz w:val="22"/>
          <w:szCs w:val="22"/>
        </w:rPr>
        <w:instrText xml:space="preserve"> =SUM(ABOVE) </w:instrText>
      </w:r>
      <w:r w:rsidRPr="00DA2360" w:rsidR="00DA2360">
        <w:rPr>
          <w:rFonts w:ascii="Arial" w:hAnsi="Arial" w:cs="Arial"/>
          <w:b/>
          <w:bCs/>
          <w:sz w:val="22"/>
          <w:szCs w:val="22"/>
        </w:rPr>
        <w:fldChar w:fldCharType="separate"/>
      </w:r>
      <w:r w:rsidRPr="00DA2360" w:rsidR="00DA2360">
        <w:rPr>
          <w:rFonts w:ascii="Arial" w:hAnsi="Arial" w:cs="Arial"/>
          <w:b/>
          <w:bCs/>
          <w:sz w:val="22"/>
          <w:szCs w:val="22"/>
        </w:rPr>
        <w:t>$303,582</w:t>
      </w:r>
      <w:r w:rsidRPr="00DA2360" w:rsidR="00DA2360">
        <w:rPr>
          <w:rFonts w:ascii="Arial" w:hAnsi="Arial" w:cs="Arial"/>
          <w:b/>
          <w:bCs/>
          <w:sz w:val="22"/>
          <w:szCs w:val="22"/>
        </w:rPr>
        <w:fldChar w:fldCharType="end"/>
      </w:r>
      <w:r w:rsidRPr="00DA2360" w:rsidR="00DA2360">
        <w:rPr>
          <w:rFonts w:ascii="Arial" w:hAnsi="Arial" w:cs="Arial"/>
          <w:sz w:val="22"/>
          <w:szCs w:val="22"/>
        </w:rPr>
        <w:t xml:space="preserve"> </w:t>
      </w:r>
      <w:r w:rsidRPr="00DA2360">
        <w:rPr>
          <w:rFonts w:ascii="Arial" w:hAnsi="Arial" w:cs="Arial"/>
          <w:sz w:val="22"/>
          <w:szCs w:val="22"/>
        </w:rPr>
        <w:t>(rounded)</w:t>
      </w:r>
      <w:r w:rsidRPr="00DA2360" w:rsidR="00213CC2">
        <w:rPr>
          <w:rFonts w:ascii="Arial" w:hAnsi="Arial" w:cs="Arial"/>
          <w:sz w:val="22"/>
          <w:szCs w:val="22"/>
        </w:rPr>
        <w:t>.</w:t>
      </w:r>
      <w:r w:rsidRPr="00FC274E" w:rsidR="00213CC2">
        <w:rPr>
          <w:rFonts w:ascii="Arial" w:hAnsi="Arial" w:cs="Arial"/>
          <w:sz w:val="22"/>
          <w:szCs w:val="22"/>
        </w:rPr>
        <w:t xml:space="preserve">  </w:t>
      </w:r>
      <w:r w:rsidRPr="00E41EE8" w:rsidR="00213CC2">
        <w:rPr>
          <w:rFonts w:ascii="Arial" w:hAnsi="Arial" w:cs="Arial"/>
          <w:sz w:val="22"/>
          <w:szCs w:val="22"/>
        </w:rPr>
        <w:t xml:space="preserve">This amount represents Network to Freedom staff </w:t>
      </w:r>
      <w:r w:rsidRPr="00E41EE8">
        <w:rPr>
          <w:rFonts w:ascii="Arial" w:hAnsi="Arial" w:cs="Arial"/>
          <w:sz w:val="22"/>
          <w:szCs w:val="22"/>
        </w:rPr>
        <w:t xml:space="preserve">support </w:t>
      </w:r>
      <w:r w:rsidRPr="00E41EE8" w:rsidR="00213CC2">
        <w:rPr>
          <w:rFonts w:ascii="Arial" w:hAnsi="Arial" w:cs="Arial"/>
          <w:sz w:val="22"/>
          <w:szCs w:val="22"/>
        </w:rPr>
        <w:t>and includes time to: (1) consult with partners, (2) process and evaluate applications, and (3) review partner requests.  It also includes such activities as designing the application and web page, updating member listings, publication of notices on the Website, and meetings to evaluate application forms.</w:t>
      </w:r>
      <w:r w:rsidRPr="00200330" w:rsidR="003760E5">
        <w:rPr>
          <w:rFonts w:ascii="Arial" w:hAnsi="Arial" w:cs="Arial"/>
          <w:sz w:val="22"/>
          <w:szCs w:val="22"/>
        </w:rPr>
        <w:t xml:space="preserve"> </w:t>
      </w:r>
      <w:r w:rsidRPr="00200330">
        <w:rPr>
          <w:rFonts w:ascii="Arial" w:hAnsi="Arial" w:cs="Arial"/>
          <w:sz w:val="22"/>
          <w:szCs w:val="22"/>
        </w:rPr>
        <w:t xml:space="preserve"> We used the Office of Personnel Management Salary </w:t>
      </w:r>
      <w:r w:rsidRPr="00D409AA">
        <w:rPr>
          <w:rFonts w:ascii="Arial" w:hAnsi="Arial" w:cs="Arial"/>
          <w:sz w:val="22"/>
          <w:szCs w:val="22"/>
        </w:rPr>
        <w:t>Table 20</w:t>
      </w:r>
      <w:r w:rsidRPr="00D409AA" w:rsidR="00716FED">
        <w:rPr>
          <w:rFonts w:ascii="Arial" w:hAnsi="Arial" w:cs="Arial"/>
          <w:sz w:val="22"/>
          <w:szCs w:val="22"/>
        </w:rPr>
        <w:t>2</w:t>
      </w:r>
      <w:r w:rsidRPr="00D409AA" w:rsidR="00D409AA">
        <w:rPr>
          <w:rFonts w:ascii="Arial" w:hAnsi="Arial" w:cs="Arial"/>
          <w:sz w:val="22"/>
          <w:szCs w:val="22"/>
        </w:rPr>
        <w:t>5</w:t>
      </w:r>
      <w:r w:rsidRPr="00D409AA">
        <w:rPr>
          <w:rFonts w:ascii="Arial" w:hAnsi="Arial" w:cs="Arial"/>
          <w:sz w:val="22"/>
          <w:szCs w:val="22"/>
        </w:rPr>
        <w:t>-DCB</w:t>
      </w:r>
      <w:r>
        <w:rPr>
          <w:rStyle w:val="FootnoteReference"/>
        </w:rPr>
        <w:footnoteReference w:id="3"/>
      </w:r>
      <w:r w:rsidRPr="00200330">
        <w:rPr>
          <w:rFonts w:ascii="Arial" w:hAnsi="Arial" w:cs="Arial"/>
          <w:sz w:val="22"/>
          <w:szCs w:val="22"/>
        </w:rPr>
        <w:t xml:space="preserve"> to determine hourly wage rates. </w:t>
      </w:r>
    </w:p>
    <w:p w:rsidR="00A012E3" w:rsidP="00E84D2D" w14:paraId="596AD04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2D14FF" w:rsidRPr="00200330" w:rsidP="00E84D2D" w14:paraId="2D7C7878" w14:textId="13DD87D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0330">
        <w:rPr>
          <w:rFonts w:ascii="Arial" w:hAnsi="Arial" w:cs="Arial"/>
          <w:sz w:val="22"/>
          <w:szCs w:val="22"/>
        </w:rPr>
        <w:t>To calculate benefits, multiplied the hourly rate by 1.</w:t>
      </w:r>
      <w:r w:rsidRPr="00200330" w:rsidR="002059AA">
        <w:rPr>
          <w:rFonts w:ascii="Arial" w:hAnsi="Arial" w:cs="Arial"/>
          <w:sz w:val="22"/>
          <w:szCs w:val="22"/>
        </w:rPr>
        <w:t>6</w:t>
      </w:r>
      <w:r w:rsidRPr="00200330">
        <w:rPr>
          <w:rFonts w:ascii="Arial" w:hAnsi="Arial" w:cs="Arial"/>
          <w:sz w:val="22"/>
          <w:szCs w:val="22"/>
        </w:rPr>
        <w:t xml:space="preserve">, in accordance with </w:t>
      </w:r>
      <w:r w:rsidR="00366CCD">
        <w:rPr>
          <w:rFonts w:ascii="Arial" w:hAnsi="Arial" w:cs="Arial"/>
          <w:sz w:val="22"/>
          <w:szCs w:val="22"/>
        </w:rPr>
        <w:t>the previo</w:t>
      </w:r>
      <w:r w:rsidR="00AC54A4">
        <w:rPr>
          <w:rFonts w:ascii="Arial" w:hAnsi="Arial" w:cs="Arial"/>
          <w:sz w:val="22"/>
          <w:szCs w:val="22"/>
        </w:rPr>
        <w:t xml:space="preserve">usly mentioned </w:t>
      </w:r>
      <w:r w:rsidRPr="00200330">
        <w:rPr>
          <w:rFonts w:ascii="Arial" w:hAnsi="Arial" w:cs="Arial"/>
          <w:sz w:val="22"/>
          <w:szCs w:val="22"/>
        </w:rPr>
        <w:t xml:space="preserve">BLS </w:t>
      </w:r>
      <w:r w:rsidRPr="00A012E3" w:rsidR="00A012E3">
        <w:rPr>
          <w:rFonts w:ascii="Arial" w:hAnsi="Arial" w:cs="Arial"/>
          <w:sz w:val="22"/>
          <w:szCs w:val="22"/>
        </w:rPr>
        <w:t xml:space="preserve">News Release </w:t>
      </w:r>
      <w:r w:rsidRPr="00D46BC6" w:rsidR="0060353C">
        <w:rPr>
          <w:rFonts w:ascii="Arial" w:hAnsi="Arial" w:cs="Arial"/>
          <w:sz w:val="22"/>
          <w:szCs w:val="22"/>
        </w:rPr>
        <w:t>USDL-2</w:t>
      </w:r>
      <w:r w:rsidRPr="00D46BC6" w:rsidR="00AC54A4">
        <w:rPr>
          <w:rFonts w:ascii="Arial" w:hAnsi="Arial" w:cs="Arial"/>
          <w:sz w:val="22"/>
          <w:szCs w:val="22"/>
        </w:rPr>
        <w:t>5</w:t>
      </w:r>
      <w:r w:rsidRPr="00D46BC6" w:rsidR="0060353C">
        <w:rPr>
          <w:rFonts w:ascii="Arial" w:hAnsi="Arial" w:cs="Arial"/>
          <w:sz w:val="22"/>
          <w:szCs w:val="22"/>
        </w:rPr>
        <w:t>-</w:t>
      </w:r>
      <w:r w:rsidRPr="00D46BC6" w:rsidR="00D46BC6">
        <w:rPr>
          <w:rFonts w:ascii="Arial" w:hAnsi="Arial" w:cs="Arial"/>
          <w:sz w:val="22"/>
          <w:szCs w:val="22"/>
        </w:rPr>
        <w:t>1358</w:t>
      </w:r>
      <w:r w:rsidRPr="00A012E3" w:rsidR="00A012E3">
        <w:rPr>
          <w:rFonts w:ascii="Arial" w:hAnsi="Arial" w:cs="Arial"/>
          <w:sz w:val="22"/>
          <w:szCs w:val="22"/>
        </w:rPr>
        <w:t xml:space="preserve">, </w:t>
      </w:r>
      <w:r w:rsidR="00025CA6">
        <w:rPr>
          <w:rFonts w:ascii="Arial" w:hAnsi="Arial" w:cs="Arial"/>
          <w:sz w:val="22"/>
          <w:szCs w:val="22"/>
        </w:rPr>
        <w:t>September 12,</w:t>
      </w:r>
      <w:r w:rsidR="00AC54A4">
        <w:rPr>
          <w:rFonts w:ascii="Arial" w:hAnsi="Arial" w:cs="Arial"/>
          <w:sz w:val="22"/>
          <w:szCs w:val="22"/>
        </w:rPr>
        <w:t xml:space="preserve"> </w:t>
      </w:r>
      <w:r w:rsidR="000F2F1E">
        <w:rPr>
          <w:rFonts w:ascii="Arial" w:hAnsi="Arial" w:cs="Arial"/>
          <w:sz w:val="22"/>
          <w:szCs w:val="22"/>
        </w:rPr>
        <w:t>2025</w:t>
      </w:r>
      <w:r w:rsidRPr="00A012E3" w:rsidR="00A012E3">
        <w:rPr>
          <w:rFonts w:ascii="Arial" w:hAnsi="Arial" w:cs="Arial"/>
          <w:sz w:val="22"/>
          <w:szCs w:val="22"/>
        </w:rPr>
        <w:t>, Employer Costs for Employee Compensation—</w:t>
      </w:r>
      <w:r w:rsidR="00DA2360">
        <w:rPr>
          <w:rFonts w:ascii="Arial" w:hAnsi="Arial" w:cs="Arial"/>
          <w:sz w:val="22"/>
          <w:szCs w:val="22"/>
        </w:rPr>
        <w:t>June</w:t>
      </w:r>
      <w:r w:rsidR="000F2F1E">
        <w:rPr>
          <w:rFonts w:ascii="Arial" w:hAnsi="Arial" w:cs="Arial"/>
          <w:sz w:val="22"/>
          <w:szCs w:val="22"/>
        </w:rPr>
        <w:t xml:space="preserve"> 2025</w:t>
      </w:r>
      <w:r w:rsidR="00382213">
        <w:rPr>
          <w:rFonts w:ascii="Arial" w:hAnsi="Arial" w:cs="Arial"/>
          <w:sz w:val="22"/>
          <w:szCs w:val="22"/>
        </w:rPr>
        <w:t>.</w:t>
      </w:r>
      <w:r w:rsidRPr="00A012E3" w:rsidR="00A012E3">
        <w:rPr>
          <w:rFonts w:ascii="Arial" w:hAnsi="Arial" w:cs="Arial"/>
          <w:sz w:val="22"/>
          <w:szCs w:val="22"/>
        </w:rPr>
        <w:t xml:space="preserve"> </w:t>
      </w:r>
    </w:p>
    <w:p w:rsidR="00CF493D" w:rsidRPr="00200330" w:rsidP="00E84D2D" w14:paraId="442645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rsidR="001719EF" w:rsidRPr="00200330" w:rsidP="0083004F" w14:paraId="1DED12AB" w14:textId="10159E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r w:rsidRPr="00200330">
        <w:rPr>
          <w:rFonts w:ascii="Arial" w:hAnsi="Arial" w:cs="Arial"/>
          <w:b/>
          <w:sz w:val="22"/>
          <w:szCs w:val="22"/>
        </w:rPr>
        <w:t>Table 14.1 Federal Salaries</w:t>
      </w:r>
    </w:p>
    <w:tbl>
      <w:tblPr>
        <w:tblW w:w="94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3"/>
        <w:gridCol w:w="900"/>
        <w:gridCol w:w="990"/>
        <w:gridCol w:w="1890"/>
        <w:gridCol w:w="1417"/>
        <w:gridCol w:w="1193"/>
      </w:tblGrid>
      <w:tr w14:paraId="436DFDD5" w14:textId="77777777" w:rsidTr="00DA2360">
        <w:tblPrEx>
          <w:tblW w:w="94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6"/>
        </w:trPr>
        <w:tc>
          <w:tcPr>
            <w:tcW w:w="3083" w:type="dxa"/>
            <w:shd w:val="clear" w:color="auto" w:fill="D6E3BC"/>
            <w:vAlign w:val="center"/>
            <w:hideMark/>
          </w:tcPr>
          <w:p w:rsidR="000C7241" w:rsidRPr="00C07E14" w:rsidP="00B418A8" w14:paraId="2AF1FD71" w14:textId="37C6F658">
            <w:pPr>
              <w:widowControl/>
              <w:tabs>
                <w:tab w:val="left" w:pos="9450"/>
              </w:tabs>
              <w:autoSpaceDE/>
              <w:autoSpaceDN/>
              <w:adjustRightInd/>
              <w:jc w:val="center"/>
              <w:rPr>
                <w:rFonts w:ascii="Arial" w:eastAsia="Cambria" w:hAnsi="Arial" w:cs="Arial"/>
                <w:b/>
                <w:bCs/>
                <w:sz w:val="18"/>
                <w:szCs w:val="18"/>
              </w:rPr>
            </w:pPr>
            <w:r w:rsidRPr="00C07E14">
              <w:rPr>
                <w:rFonts w:ascii="Arial" w:eastAsia="Cambria" w:hAnsi="Arial" w:cs="Arial"/>
                <w:b/>
                <w:bCs/>
                <w:sz w:val="18"/>
                <w:szCs w:val="18"/>
              </w:rPr>
              <w:t>Personnel</w:t>
            </w:r>
          </w:p>
        </w:tc>
        <w:tc>
          <w:tcPr>
            <w:tcW w:w="900" w:type="dxa"/>
            <w:shd w:val="clear" w:color="auto" w:fill="D6E3BC"/>
            <w:vAlign w:val="center"/>
            <w:hideMark/>
          </w:tcPr>
          <w:p w:rsidR="000C7241" w:rsidRPr="00C07E14" w:rsidP="00B418A8" w14:paraId="2094B14B" w14:textId="77777777">
            <w:pPr>
              <w:widowControl/>
              <w:tabs>
                <w:tab w:val="left" w:pos="9450"/>
              </w:tabs>
              <w:autoSpaceDE/>
              <w:autoSpaceDN/>
              <w:adjustRightInd/>
              <w:jc w:val="center"/>
              <w:rPr>
                <w:rFonts w:ascii="Arial" w:eastAsia="Cambria" w:hAnsi="Arial" w:cs="Arial"/>
                <w:b/>
                <w:bCs/>
                <w:sz w:val="18"/>
                <w:szCs w:val="18"/>
              </w:rPr>
            </w:pPr>
            <w:r w:rsidRPr="00C07E14">
              <w:rPr>
                <w:rFonts w:ascii="Arial" w:eastAsia="Cambria" w:hAnsi="Arial" w:cs="Arial"/>
                <w:b/>
                <w:bCs/>
                <w:sz w:val="18"/>
                <w:szCs w:val="18"/>
              </w:rPr>
              <w:t>GS Level</w:t>
            </w:r>
          </w:p>
        </w:tc>
        <w:tc>
          <w:tcPr>
            <w:tcW w:w="990" w:type="dxa"/>
            <w:shd w:val="clear" w:color="auto" w:fill="D6E3BC"/>
            <w:vAlign w:val="center"/>
            <w:hideMark/>
          </w:tcPr>
          <w:p w:rsidR="000C7241" w:rsidRPr="00C07E14" w:rsidP="00B418A8" w14:paraId="03624A8A" w14:textId="6C7F65BC">
            <w:pPr>
              <w:widowControl/>
              <w:tabs>
                <w:tab w:val="left" w:pos="9450"/>
              </w:tabs>
              <w:autoSpaceDE/>
              <w:autoSpaceDN/>
              <w:adjustRightInd/>
              <w:jc w:val="center"/>
              <w:rPr>
                <w:rFonts w:ascii="Arial" w:eastAsia="Cambria" w:hAnsi="Arial" w:cs="Arial"/>
                <w:b/>
                <w:bCs/>
                <w:sz w:val="18"/>
                <w:szCs w:val="18"/>
              </w:rPr>
            </w:pPr>
            <w:r w:rsidRPr="00C07E14">
              <w:rPr>
                <w:rFonts w:ascii="Arial" w:eastAsia="Cambria" w:hAnsi="Arial" w:cs="Arial"/>
                <w:b/>
                <w:bCs/>
                <w:sz w:val="18"/>
                <w:szCs w:val="18"/>
              </w:rPr>
              <w:t>Hourly Rate</w:t>
            </w:r>
          </w:p>
        </w:tc>
        <w:tc>
          <w:tcPr>
            <w:tcW w:w="1890" w:type="dxa"/>
            <w:shd w:val="clear" w:color="auto" w:fill="D6E3BC"/>
            <w:vAlign w:val="center"/>
            <w:hideMark/>
          </w:tcPr>
          <w:p w:rsidR="000C7241" w:rsidP="00B418A8" w14:paraId="0DC738E2" w14:textId="2EDDE1C9">
            <w:pPr>
              <w:widowControl/>
              <w:tabs>
                <w:tab w:val="left" w:pos="9450"/>
              </w:tabs>
              <w:autoSpaceDE/>
              <w:autoSpaceDN/>
              <w:adjustRightInd/>
              <w:jc w:val="center"/>
              <w:rPr>
                <w:rFonts w:ascii="Arial" w:eastAsia="Cambria" w:hAnsi="Arial" w:cs="Arial"/>
                <w:b/>
                <w:bCs/>
                <w:sz w:val="18"/>
                <w:szCs w:val="18"/>
              </w:rPr>
            </w:pPr>
            <w:r w:rsidRPr="00C07E14">
              <w:rPr>
                <w:rFonts w:ascii="Arial" w:eastAsia="Cambria" w:hAnsi="Arial" w:cs="Arial"/>
                <w:b/>
                <w:bCs/>
                <w:sz w:val="18"/>
                <w:szCs w:val="18"/>
              </w:rPr>
              <w:t>Hourly Rate incl. benefits</w:t>
            </w:r>
          </w:p>
          <w:p w:rsidR="000C7241" w:rsidRPr="00C07E14" w:rsidP="00B418A8" w14:paraId="6CD23DC3" w14:textId="26044B3D">
            <w:pPr>
              <w:widowControl/>
              <w:tabs>
                <w:tab w:val="left" w:pos="9450"/>
              </w:tabs>
              <w:autoSpaceDE/>
              <w:autoSpaceDN/>
              <w:adjustRightInd/>
              <w:jc w:val="center"/>
              <w:rPr>
                <w:rFonts w:ascii="Arial" w:eastAsia="Cambria" w:hAnsi="Arial" w:cs="Arial"/>
                <w:b/>
                <w:bCs/>
                <w:sz w:val="18"/>
                <w:szCs w:val="18"/>
              </w:rPr>
            </w:pPr>
            <w:r w:rsidRPr="00B418A8">
              <w:rPr>
                <w:rFonts w:ascii="Arial" w:eastAsia="Cambria" w:hAnsi="Arial" w:cs="Arial"/>
                <w:bCs/>
                <w:i/>
                <w:sz w:val="16"/>
                <w:szCs w:val="16"/>
              </w:rPr>
              <w:t>(1.6 x hourly pay rate)</w:t>
            </w:r>
          </w:p>
        </w:tc>
        <w:tc>
          <w:tcPr>
            <w:tcW w:w="1417" w:type="dxa"/>
            <w:shd w:val="clear" w:color="auto" w:fill="D6E3BC"/>
            <w:vAlign w:val="center"/>
            <w:hideMark/>
          </w:tcPr>
          <w:p w:rsidR="000C7241" w:rsidRPr="00C07E14" w:rsidP="00B418A8" w14:paraId="5898536E" w14:textId="77777777">
            <w:pPr>
              <w:widowControl/>
              <w:tabs>
                <w:tab w:val="left" w:pos="9450"/>
              </w:tabs>
              <w:autoSpaceDE/>
              <w:autoSpaceDN/>
              <w:adjustRightInd/>
              <w:jc w:val="center"/>
              <w:rPr>
                <w:rFonts w:ascii="Arial" w:eastAsia="Cambria" w:hAnsi="Arial" w:cs="Arial"/>
                <w:b/>
                <w:bCs/>
                <w:sz w:val="18"/>
                <w:szCs w:val="18"/>
              </w:rPr>
            </w:pPr>
            <w:r w:rsidRPr="00C07E14">
              <w:rPr>
                <w:rFonts w:ascii="Arial" w:eastAsia="Cambria" w:hAnsi="Arial" w:cs="Arial"/>
                <w:b/>
                <w:bCs/>
                <w:sz w:val="18"/>
                <w:szCs w:val="18"/>
              </w:rPr>
              <w:t>Total estimated staff time (hours)</w:t>
            </w:r>
          </w:p>
        </w:tc>
        <w:tc>
          <w:tcPr>
            <w:tcW w:w="1193" w:type="dxa"/>
            <w:shd w:val="clear" w:color="auto" w:fill="D6E3BC"/>
            <w:vAlign w:val="center"/>
            <w:hideMark/>
          </w:tcPr>
          <w:p w:rsidR="000C7241" w:rsidRPr="00C07E14" w:rsidP="00B418A8" w14:paraId="66C58AE2" w14:textId="77777777">
            <w:pPr>
              <w:widowControl/>
              <w:tabs>
                <w:tab w:val="left" w:pos="9450"/>
              </w:tabs>
              <w:autoSpaceDE/>
              <w:autoSpaceDN/>
              <w:adjustRightInd/>
              <w:jc w:val="center"/>
              <w:rPr>
                <w:rFonts w:ascii="Arial" w:eastAsia="Cambria" w:hAnsi="Arial" w:cs="Arial"/>
                <w:b/>
                <w:bCs/>
                <w:sz w:val="18"/>
                <w:szCs w:val="18"/>
              </w:rPr>
            </w:pPr>
            <w:r w:rsidRPr="00C07E14">
              <w:rPr>
                <w:rFonts w:ascii="Arial" w:eastAsia="Cambria" w:hAnsi="Arial" w:cs="Arial"/>
                <w:b/>
                <w:bCs/>
                <w:sz w:val="18"/>
                <w:szCs w:val="18"/>
              </w:rPr>
              <w:t>Annual Cost*</w:t>
            </w:r>
          </w:p>
        </w:tc>
      </w:tr>
      <w:tr w14:paraId="4C08FB57" w14:textId="77777777" w:rsidTr="00DA2360">
        <w:tblPrEx>
          <w:tblW w:w="9473" w:type="dxa"/>
          <w:tblInd w:w="-95" w:type="dxa"/>
          <w:tblLayout w:type="fixed"/>
          <w:tblLook w:val="04A0"/>
        </w:tblPrEx>
        <w:trPr>
          <w:trHeight w:val="332"/>
        </w:trPr>
        <w:tc>
          <w:tcPr>
            <w:tcW w:w="3083" w:type="dxa"/>
            <w:vAlign w:val="center"/>
          </w:tcPr>
          <w:p w:rsidR="000C7241" w:rsidRPr="00C07E14" w:rsidP="00A429C3" w14:paraId="6DAFA646" w14:textId="51BF0E8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C07E14">
              <w:rPr>
                <w:rFonts w:ascii="Arial" w:hAnsi="Arial" w:cs="Arial"/>
              </w:rPr>
              <w:t>Regional Program Manager</w:t>
            </w:r>
            <w:r w:rsidR="00D93B03">
              <w:rPr>
                <w:rFonts w:ascii="Arial" w:hAnsi="Arial" w:cs="Arial"/>
              </w:rPr>
              <w:t xml:space="preserve"> (x4)</w:t>
            </w:r>
          </w:p>
        </w:tc>
        <w:tc>
          <w:tcPr>
            <w:tcW w:w="900" w:type="dxa"/>
            <w:vAlign w:val="center"/>
            <w:hideMark/>
          </w:tcPr>
          <w:p w:rsidR="000C7241" w:rsidRPr="00C07E14" w:rsidP="002D14FF" w14:paraId="068AB9BA" w14:textId="245B062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sidRPr="00C07E14">
              <w:rPr>
                <w:rFonts w:ascii="Arial" w:hAnsi="Arial" w:cs="Arial"/>
              </w:rPr>
              <w:t>12/5</w:t>
            </w:r>
          </w:p>
        </w:tc>
        <w:tc>
          <w:tcPr>
            <w:tcW w:w="990" w:type="dxa"/>
            <w:vAlign w:val="center"/>
          </w:tcPr>
          <w:p w:rsidR="000C7241" w:rsidRPr="00C07E14" w:rsidP="00A429C3" w14:paraId="1303D66F" w14:textId="71760585">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sidRPr="00C07E14">
              <w:rPr>
                <w:rFonts w:ascii="Arial" w:hAnsi="Arial" w:cs="Arial"/>
              </w:rPr>
              <w:t>$</w:t>
            </w:r>
            <w:r w:rsidR="00EB73E8">
              <w:rPr>
                <w:rFonts w:ascii="Arial" w:hAnsi="Arial" w:cs="Arial"/>
              </w:rPr>
              <w:t>55.</w:t>
            </w:r>
            <w:r w:rsidR="002D03E0">
              <w:rPr>
                <w:rFonts w:ascii="Arial" w:hAnsi="Arial" w:cs="Arial"/>
              </w:rPr>
              <w:t>62</w:t>
            </w:r>
          </w:p>
        </w:tc>
        <w:tc>
          <w:tcPr>
            <w:tcW w:w="1890" w:type="dxa"/>
            <w:noWrap/>
            <w:vAlign w:val="center"/>
          </w:tcPr>
          <w:p w:rsidR="000C7241" w:rsidRPr="00C07E14" w:rsidP="002059AA" w14:paraId="15462D34" w14:textId="7121837A">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sidRPr="00C07E14">
              <w:rPr>
                <w:rFonts w:ascii="Arial" w:hAnsi="Arial" w:cs="Arial"/>
              </w:rPr>
              <w:t>$</w:t>
            </w:r>
            <w:r w:rsidR="00EB73E8">
              <w:rPr>
                <w:rFonts w:ascii="Arial" w:hAnsi="Arial" w:cs="Arial"/>
              </w:rPr>
              <w:t>88.</w:t>
            </w:r>
            <w:r w:rsidR="00AF67D7">
              <w:rPr>
                <w:rFonts w:ascii="Arial" w:hAnsi="Arial" w:cs="Arial"/>
              </w:rPr>
              <w:t>99</w:t>
            </w:r>
          </w:p>
        </w:tc>
        <w:tc>
          <w:tcPr>
            <w:tcW w:w="1417" w:type="dxa"/>
            <w:vAlign w:val="center"/>
          </w:tcPr>
          <w:p w:rsidR="000C7241" w:rsidRPr="00C07E14" w:rsidP="00A429C3" w14:paraId="4040E54E" w14:textId="00C124DB">
            <w:pPr>
              <w:widowControl/>
              <w:tabs>
                <w:tab w:val="left" w:pos="9450"/>
              </w:tabs>
              <w:autoSpaceDE/>
              <w:autoSpaceDN/>
              <w:adjustRightInd/>
              <w:jc w:val="center"/>
              <w:rPr>
                <w:rFonts w:ascii="Arial" w:eastAsia="Cambria" w:hAnsi="Arial" w:cs="Arial"/>
              </w:rPr>
            </w:pPr>
            <w:r>
              <w:rPr>
                <w:rFonts w:ascii="Arial" w:eastAsia="Cambria" w:hAnsi="Arial" w:cs="Arial"/>
              </w:rPr>
              <w:t>680</w:t>
            </w:r>
          </w:p>
        </w:tc>
        <w:tc>
          <w:tcPr>
            <w:tcW w:w="1193" w:type="dxa"/>
            <w:vAlign w:val="center"/>
          </w:tcPr>
          <w:p w:rsidR="000C7241" w:rsidRPr="00C07E14" w:rsidP="006F4B4B" w14:paraId="14A9AAC5" w14:textId="3465A842">
            <w:pPr>
              <w:widowControl/>
              <w:tabs>
                <w:tab w:val="left" w:pos="9450"/>
              </w:tabs>
              <w:autoSpaceDE/>
              <w:autoSpaceDN/>
              <w:adjustRightInd/>
              <w:jc w:val="center"/>
              <w:rPr>
                <w:rFonts w:ascii="Arial" w:eastAsia="Cambria" w:hAnsi="Arial" w:cs="Arial"/>
              </w:rPr>
            </w:pPr>
            <w:r w:rsidRPr="00C07E14">
              <w:rPr>
                <w:rFonts w:ascii="Arial" w:eastAsia="Cambria" w:hAnsi="Arial" w:cs="Arial"/>
              </w:rPr>
              <w:t>$</w:t>
            </w:r>
            <w:r w:rsidRPr="00BC4EB0" w:rsidR="00BC4EB0">
              <w:rPr>
                <w:rFonts w:ascii="Arial" w:eastAsia="Cambria" w:hAnsi="Arial" w:cs="Arial"/>
              </w:rPr>
              <w:t>2</w:t>
            </w:r>
            <w:r w:rsidR="00DA2360">
              <w:rPr>
                <w:rFonts w:ascii="Arial" w:eastAsia="Cambria" w:hAnsi="Arial" w:cs="Arial"/>
              </w:rPr>
              <w:t>42,053</w:t>
            </w:r>
          </w:p>
        </w:tc>
      </w:tr>
      <w:tr w14:paraId="675D499F" w14:textId="77777777" w:rsidTr="00DA2360">
        <w:tblPrEx>
          <w:tblW w:w="9473" w:type="dxa"/>
          <w:tblInd w:w="-95" w:type="dxa"/>
          <w:tblLayout w:type="fixed"/>
          <w:tblLook w:val="04A0"/>
        </w:tblPrEx>
        <w:trPr>
          <w:trHeight w:val="332"/>
        </w:trPr>
        <w:tc>
          <w:tcPr>
            <w:tcW w:w="3083" w:type="dxa"/>
            <w:vAlign w:val="center"/>
          </w:tcPr>
          <w:p w:rsidR="00D72843" w:rsidRPr="00C07E14" w:rsidP="002D5652" w14:paraId="749B73E8" w14:textId="1F8B345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Pr>
                <w:rFonts w:ascii="Arial" w:hAnsi="Arial" w:cs="Arial"/>
              </w:rPr>
              <w:t>Admin Support Assistant</w:t>
            </w:r>
          </w:p>
        </w:tc>
        <w:tc>
          <w:tcPr>
            <w:tcW w:w="900" w:type="dxa"/>
            <w:vAlign w:val="center"/>
          </w:tcPr>
          <w:p w:rsidR="00D72843" w:rsidRPr="00C07E14" w:rsidP="002D5652" w14:paraId="0ABA90BB" w14:textId="42701CC5">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Pr>
                <w:rFonts w:ascii="Arial" w:hAnsi="Arial" w:cs="Arial"/>
              </w:rPr>
              <w:t>7/5</w:t>
            </w:r>
          </w:p>
        </w:tc>
        <w:tc>
          <w:tcPr>
            <w:tcW w:w="990" w:type="dxa"/>
            <w:vAlign w:val="center"/>
          </w:tcPr>
          <w:p w:rsidR="00D72843" w:rsidRPr="00C07E14" w:rsidP="002D5652" w14:paraId="324F1CBE" w14:textId="4DABB6B8">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Pr>
                <w:rFonts w:ascii="Arial" w:hAnsi="Arial" w:cs="Arial"/>
              </w:rPr>
              <w:t>$31.</w:t>
            </w:r>
            <w:r w:rsidR="0051374B">
              <w:rPr>
                <w:rFonts w:ascii="Arial" w:hAnsi="Arial" w:cs="Arial"/>
              </w:rPr>
              <w:t>35</w:t>
            </w:r>
          </w:p>
        </w:tc>
        <w:tc>
          <w:tcPr>
            <w:tcW w:w="1890" w:type="dxa"/>
            <w:noWrap/>
            <w:vAlign w:val="center"/>
          </w:tcPr>
          <w:p w:rsidR="00D72843" w:rsidRPr="00C07E14" w:rsidP="002D5652" w14:paraId="200E7174" w14:textId="4D381C40">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Pr>
                <w:rFonts w:ascii="Arial" w:hAnsi="Arial" w:cs="Arial"/>
              </w:rPr>
              <w:t>$</w:t>
            </w:r>
            <w:r w:rsidR="0067594D">
              <w:rPr>
                <w:rFonts w:ascii="Arial" w:hAnsi="Arial" w:cs="Arial"/>
              </w:rPr>
              <w:t>50.16</w:t>
            </w:r>
          </w:p>
        </w:tc>
        <w:tc>
          <w:tcPr>
            <w:tcW w:w="1417" w:type="dxa"/>
            <w:vAlign w:val="center"/>
          </w:tcPr>
          <w:p w:rsidR="00D72843" w:rsidRPr="00C07E14" w:rsidP="002D5652" w14:paraId="65232D1B" w14:textId="7C2657A6">
            <w:pPr>
              <w:widowControl/>
              <w:tabs>
                <w:tab w:val="left" w:pos="9450"/>
              </w:tabs>
              <w:autoSpaceDE/>
              <w:autoSpaceDN/>
              <w:adjustRightInd/>
              <w:jc w:val="center"/>
              <w:rPr>
                <w:rFonts w:ascii="Arial" w:eastAsia="Cambria" w:hAnsi="Arial" w:cs="Arial"/>
              </w:rPr>
            </w:pPr>
            <w:r>
              <w:rPr>
                <w:rFonts w:ascii="Arial" w:eastAsia="Cambria" w:hAnsi="Arial" w:cs="Arial"/>
              </w:rPr>
              <w:t>1</w:t>
            </w:r>
            <w:r w:rsidR="00C06CFC">
              <w:rPr>
                <w:rFonts w:ascii="Arial" w:eastAsia="Cambria" w:hAnsi="Arial" w:cs="Arial"/>
              </w:rPr>
              <w:t>,</w:t>
            </w:r>
            <w:r>
              <w:rPr>
                <w:rFonts w:ascii="Arial" w:eastAsia="Cambria" w:hAnsi="Arial" w:cs="Arial"/>
              </w:rPr>
              <w:t>040</w:t>
            </w:r>
          </w:p>
        </w:tc>
        <w:tc>
          <w:tcPr>
            <w:tcW w:w="1193" w:type="dxa"/>
            <w:vAlign w:val="center"/>
          </w:tcPr>
          <w:p w:rsidR="00D72843" w:rsidRPr="00C07E14" w:rsidP="002D5652" w14:paraId="118646F8" w14:textId="0F8653DB">
            <w:pPr>
              <w:widowControl/>
              <w:tabs>
                <w:tab w:val="left" w:pos="9450"/>
              </w:tabs>
              <w:autoSpaceDE/>
              <w:autoSpaceDN/>
              <w:adjustRightInd/>
              <w:jc w:val="center"/>
              <w:rPr>
                <w:rFonts w:ascii="Arial" w:eastAsia="Cambria" w:hAnsi="Arial" w:cs="Arial"/>
              </w:rPr>
            </w:pPr>
            <w:r>
              <w:rPr>
                <w:rFonts w:ascii="Arial" w:eastAsia="Cambria" w:hAnsi="Arial" w:cs="Arial"/>
              </w:rPr>
              <w:t>$</w:t>
            </w:r>
            <w:r w:rsidR="00A87D02">
              <w:rPr>
                <w:rFonts w:ascii="Arial" w:eastAsia="Cambria" w:hAnsi="Arial" w:cs="Arial"/>
              </w:rPr>
              <w:t>54,166</w:t>
            </w:r>
          </w:p>
        </w:tc>
      </w:tr>
      <w:tr w14:paraId="5CE09FE0" w14:textId="77777777" w:rsidTr="00DA2360">
        <w:tblPrEx>
          <w:tblW w:w="9473" w:type="dxa"/>
          <w:tblInd w:w="-95" w:type="dxa"/>
          <w:tblLayout w:type="fixed"/>
          <w:tblLook w:val="04A0"/>
        </w:tblPrEx>
        <w:trPr>
          <w:trHeight w:val="350"/>
        </w:trPr>
        <w:tc>
          <w:tcPr>
            <w:tcW w:w="3083" w:type="dxa"/>
            <w:vAlign w:val="center"/>
          </w:tcPr>
          <w:p w:rsidR="002D5652" w:rsidRPr="00C07E14" w:rsidP="002D5652" w14:paraId="11F0FCCD" w14:textId="44EE526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C07E14">
              <w:rPr>
                <w:rFonts w:ascii="Arial" w:hAnsi="Arial" w:cs="Arial"/>
              </w:rPr>
              <w:t>Visual Information Specialist</w:t>
            </w:r>
          </w:p>
        </w:tc>
        <w:tc>
          <w:tcPr>
            <w:tcW w:w="900" w:type="dxa"/>
            <w:vAlign w:val="center"/>
          </w:tcPr>
          <w:p w:rsidR="002D5652" w:rsidRPr="00C07E14" w:rsidP="002D5652" w14:paraId="651F067C" w14:textId="0CAF858E">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Pr>
                <w:rFonts w:ascii="Arial" w:hAnsi="Arial" w:cs="Arial"/>
              </w:rPr>
              <w:t>9</w:t>
            </w:r>
            <w:r w:rsidRPr="00C07E14">
              <w:rPr>
                <w:rFonts w:ascii="Arial" w:hAnsi="Arial" w:cs="Arial"/>
              </w:rPr>
              <w:t>/5</w:t>
            </w:r>
          </w:p>
        </w:tc>
        <w:tc>
          <w:tcPr>
            <w:tcW w:w="990" w:type="dxa"/>
            <w:vAlign w:val="center"/>
          </w:tcPr>
          <w:p w:rsidR="002D5652" w:rsidRPr="00C07E14" w:rsidP="002D5652" w14:paraId="68961C90" w14:textId="6389A580">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Pr>
                <w:rFonts w:ascii="Arial" w:hAnsi="Arial" w:cs="Arial"/>
              </w:rPr>
              <w:t>$</w:t>
            </w:r>
            <w:r w:rsidR="0051374B">
              <w:rPr>
                <w:rFonts w:ascii="Arial" w:hAnsi="Arial" w:cs="Arial"/>
              </w:rPr>
              <w:t>38.35</w:t>
            </w:r>
          </w:p>
        </w:tc>
        <w:tc>
          <w:tcPr>
            <w:tcW w:w="1890" w:type="dxa"/>
            <w:noWrap/>
            <w:vAlign w:val="center"/>
          </w:tcPr>
          <w:p w:rsidR="002D5652" w:rsidRPr="00C07E14" w:rsidP="002D5652" w14:paraId="61D2C11D" w14:textId="546419B3">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rPr>
            </w:pPr>
            <w:r>
              <w:rPr>
                <w:rFonts w:ascii="Arial" w:hAnsi="Arial" w:cs="Arial"/>
              </w:rPr>
              <w:t>$</w:t>
            </w:r>
            <w:r w:rsidRPr="00EF487D" w:rsidR="00EF487D">
              <w:rPr>
                <w:rFonts w:ascii="Arial" w:hAnsi="Arial" w:cs="Arial"/>
              </w:rPr>
              <w:t>6</w:t>
            </w:r>
            <w:r w:rsidR="0067594D">
              <w:rPr>
                <w:rFonts w:ascii="Arial" w:hAnsi="Arial" w:cs="Arial"/>
              </w:rPr>
              <w:t>1.36</w:t>
            </w:r>
          </w:p>
        </w:tc>
        <w:tc>
          <w:tcPr>
            <w:tcW w:w="1417" w:type="dxa"/>
            <w:vAlign w:val="center"/>
          </w:tcPr>
          <w:p w:rsidR="002D5652" w:rsidRPr="00C07E14" w:rsidP="002D5652" w14:paraId="6D475897" w14:textId="3A327718">
            <w:pPr>
              <w:widowControl/>
              <w:tabs>
                <w:tab w:val="left" w:pos="9450"/>
              </w:tabs>
              <w:autoSpaceDE/>
              <w:autoSpaceDN/>
              <w:adjustRightInd/>
              <w:jc w:val="center"/>
              <w:rPr>
                <w:rFonts w:ascii="Arial" w:eastAsia="Cambria" w:hAnsi="Arial" w:cs="Arial"/>
              </w:rPr>
            </w:pPr>
            <w:r w:rsidRPr="00C07E14">
              <w:rPr>
                <w:rFonts w:ascii="Arial" w:eastAsia="Cambria" w:hAnsi="Arial" w:cs="Arial"/>
              </w:rPr>
              <w:t>120</w:t>
            </w:r>
          </w:p>
        </w:tc>
        <w:tc>
          <w:tcPr>
            <w:tcW w:w="1193" w:type="dxa"/>
            <w:vAlign w:val="center"/>
          </w:tcPr>
          <w:p w:rsidR="002D5652" w:rsidRPr="00C07E14" w:rsidP="002D5652" w14:paraId="651E77A3" w14:textId="4C6F1F7B">
            <w:pPr>
              <w:widowControl/>
              <w:tabs>
                <w:tab w:val="left" w:pos="9450"/>
              </w:tabs>
              <w:autoSpaceDE/>
              <w:autoSpaceDN/>
              <w:adjustRightInd/>
              <w:jc w:val="center"/>
              <w:rPr>
                <w:rFonts w:ascii="Arial" w:eastAsia="Cambria" w:hAnsi="Arial" w:cs="Arial"/>
              </w:rPr>
            </w:pPr>
            <w:r>
              <w:rPr>
                <w:rFonts w:ascii="Arial" w:eastAsia="Cambria" w:hAnsi="Arial" w:cs="Arial"/>
              </w:rPr>
              <w:t>$</w:t>
            </w:r>
            <w:r w:rsidRPr="00A95A50" w:rsidR="00A95A50">
              <w:rPr>
                <w:rFonts w:ascii="Arial" w:eastAsia="Cambria" w:hAnsi="Arial" w:cs="Arial"/>
              </w:rPr>
              <w:t>7,</w:t>
            </w:r>
            <w:r w:rsidR="00F92B61">
              <w:rPr>
                <w:rFonts w:ascii="Arial" w:eastAsia="Cambria" w:hAnsi="Arial" w:cs="Arial"/>
              </w:rPr>
              <w:t>363</w:t>
            </w:r>
          </w:p>
        </w:tc>
      </w:tr>
      <w:tr w14:paraId="50E3DE00" w14:textId="77777777" w:rsidTr="00477223">
        <w:tblPrEx>
          <w:tblW w:w="9473" w:type="dxa"/>
          <w:tblInd w:w="-95" w:type="dxa"/>
          <w:tblLayout w:type="fixed"/>
          <w:tblLook w:val="04A0"/>
        </w:tblPrEx>
        <w:trPr>
          <w:trHeight w:val="323"/>
        </w:trPr>
        <w:tc>
          <w:tcPr>
            <w:tcW w:w="8280" w:type="dxa"/>
            <w:gridSpan w:val="5"/>
            <w:tcBorders>
              <w:bottom w:val="single" w:sz="4" w:space="0" w:color="auto"/>
            </w:tcBorders>
            <w:vAlign w:val="center"/>
          </w:tcPr>
          <w:p w:rsidR="00A95A50" w:rsidRPr="00C07E14" w:rsidP="00A95A50" w14:paraId="681B7DD0" w14:textId="4AE2D9DE">
            <w:pPr>
              <w:widowControl/>
              <w:tabs>
                <w:tab w:val="left" w:pos="9450"/>
              </w:tabs>
              <w:autoSpaceDE/>
              <w:autoSpaceDN/>
              <w:adjustRightInd/>
              <w:jc w:val="right"/>
              <w:rPr>
                <w:rFonts w:ascii="Arial" w:eastAsia="Cambria" w:hAnsi="Arial" w:cs="Arial"/>
              </w:rPr>
            </w:pPr>
            <w:r w:rsidRPr="005E4FB2">
              <w:rPr>
                <w:rFonts w:ascii="Arial" w:eastAsia="Cambria" w:hAnsi="Arial" w:cs="Arial"/>
                <w:b/>
                <w:bCs/>
              </w:rPr>
              <w:t>TOTAL</w:t>
            </w:r>
            <w:r w:rsidRPr="00C07E14">
              <w:rPr>
                <w:rFonts w:ascii="Arial" w:eastAsia="Cambria" w:hAnsi="Arial" w:cs="Arial"/>
              </w:rPr>
              <w:t xml:space="preserve"> </w:t>
            </w:r>
          </w:p>
        </w:tc>
        <w:tc>
          <w:tcPr>
            <w:tcW w:w="1193" w:type="dxa"/>
            <w:vAlign w:val="center"/>
          </w:tcPr>
          <w:p w:rsidR="00A95A50" w:rsidRPr="00C07E14" w:rsidP="002D5652" w14:paraId="01B67CF1" w14:textId="2E77BDB9">
            <w:pPr>
              <w:widowControl/>
              <w:tabs>
                <w:tab w:val="left" w:pos="9450"/>
              </w:tabs>
              <w:autoSpaceDE/>
              <w:autoSpaceDN/>
              <w:adjustRightInd/>
              <w:jc w:val="center"/>
              <w:rPr>
                <w:rFonts w:ascii="Arial" w:eastAsia="Cambria" w:hAnsi="Arial" w:cs="Arial"/>
              </w:rPr>
            </w:pPr>
            <w:r>
              <w:rPr>
                <w:rFonts w:ascii="Arial" w:eastAsia="Cambria" w:hAnsi="Arial" w:cs="Arial"/>
              </w:rPr>
              <w:fldChar w:fldCharType="begin"/>
            </w:r>
            <w:r>
              <w:rPr>
                <w:rFonts w:ascii="Arial" w:eastAsia="Cambria" w:hAnsi="Arial" w:cs="Arial"/>
              </w:rPr>
              <w:instrText xml:space="preserve"> =SUM(ABOVE) </w:instrText>
            </w:r>
            <w:r>
              <w:rPr>
                <w:rFonts w:ascii="Arial" w:eastAsia="Cambria" w:hAnsi="Arial" w:cs="Arial"/>
              </w:rPr>
              <w:fldChar w:fldCharType="separate"/>
            </w:r>
            <w:r>
              <w:rPr>
                <w:rFonts w:ascii="Arial" w:eastAsia="Cambria" w:hAnsi="Arial" w:cs="Arial"/>
                <w:noProof/>
              </w:rPr>
              <w:t>$303,582</w:t>
            </w:r>
            <w:r>
              <w:rPr>
                <w:rFonts w:ascii="Arial" w:eastAsia="Cambria" w:hAnsi="Arial" w:cs="Arial"/>
              </w:rPr>
              <w:fldChar w:fldCharType="end"/>
            </w:r>
          </w:p>
        </w:tc>
      </w:tr>
    </w:tbl>
    <w:p w:rsidR="00295103" w:rsidRPr="00C07E14" w:rsidP="00CF493D" w14:paraId="60136710" w14:textId="5573C50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r w:rsidRPr="00C07E14">
        <w:rPr>
          <w:rFonts w:ascii="Arial" w:hAnsi="Arial" w:cs="Arial"/>
          <w:b/>
          <w:sz w:val="22"/>
          <w:szCs w:val="22"/>
        </w:rPr>
        <w:t>15.</w:t>
      </w:r>
      <w:r w:rsidRPr="00C07E14">
        <w:rPr>
          <w:rFonts w:ascii="Arial" w:hAnsi="Arial" w:cs="Arial"/>
          <w:b/>
          <w:sz w:val="22"/>
          <w:szCs w:val="22"/>
        </w:rPr>
        <w:tab/>
        <w:t xml:space="preserve">Explain the reasons for any program changes or adjustments </w:t>
      </w:r>
      <w:r w:rsidRPr="00C07E14" w:rsidR="00F73931">
        <w:rPr>
          <w:rFonts w:ascii="Arial" w:hAnsi="Arial" w:cs="Arial"/>
          <w:b/>
          <w:sz w:val="22"/>
          <w:szCs w:val="22"/>
        </w:rPr>
        <w:t>in hour or cost burden</w:t>
      </w:r>
      <w:r w:rsidRPr="00C07E14" w:rsidR="0060758B">
        <w:rPr>
          <w:rFonts w:ascii="Arial" w:hAnsi="Arial" w:cs="Arial"/>
          <w:b/>
          <w:sz w:val="22"/>
          <w:szCs w:val="22"/>
        </w:rPr>
        <w:t>.</w:t>
      </w:r>
    </w:p>
    <w:p w:rsidR="00CF0046" w:rsidP="00E84D2D" w14:paraId="4FB22A6F" w14:textId="2262C84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Pr>
          <w:rFonts w:ascii="Arial" w:hAnsi="Arial" w:cs="Arial"/>
          <w:sz w:val="22"/>
          <w:szCs w:val="22"/>
        </w:rPr>
        <w:t xml:space="preserve">The net </w:t>
      </w:r>
      <w:r w:rsidR="00453F41">
        <w:rPr>
          <w:rFonts w:ascii="Arial" w:hAnsi="Arial" w:cs="Arial"/>
          <w:sz w:val="22"/>
          <w:szCs w:val="22"/>
        </w:rPr>
        <w:t>increase</w:t>
      </w:r>
      <w:r>
        <w:rPr>
          <w:rFonts w:ascii="Arial" w:hAnsi="Arial" w:cs="Arial"/>
          <w:sz w:val="22"/>
          <w:szCs w:val="22"/>
        </w:rPr>
        <w:t xml:space="preserve"> of </w:t>
      </w:r>
      <w:r w:rsidR="00BF44D7">
        <w:rPr>
          <w:rFonts w:ascii="Arial" w:hAnsi="Arial" w:cs="Arial"/>
          <w:sz w:val="22"/>
          <w:szCs w:val="22"/>
        </w:rPr>
        <w:t xml:space="preserve">24 </w:t>
      </w:r>
      <w:r w:rsidR="00CE2FE8">
        <w:rPr>
          <w:rFonts w:ascii="Arial" w:hAnsi="Arial" w:cs="Arial"/>
          <w:sz w:val="22"/>
          <w:szCs w:val="22"/>
        </w:rPr>
        <w:t xml:space="preserve">responses and </w:t>
      </w:r>
      <w:r w:rsidR="00BF44D7">
        <w:rPr>
          <w:rFonts w:ascii="Arial" w:hAnsi="Arial" w:cs="Arial"/>
          <w:sz w:val="22"/>
          <w:szCs w:val="22"/>
        </w:rPr>
        <w:t>9</w:t>
      </w:r>
      <w:r w:rsidR="00A02016">
        <w:rPr>
          <w:rFonts w:ascii="Arial" w:hAnsi="Arial" w:cs="Arial"/>
          <w:sz w:val="22"/>
          <w:szCs w:val="22"/>
        </w:rPr>
        <w:t>6</w:t>
      </w:r>
      <w:r w:rsidR="00BF44D7">
        <w:rPr>
          <w:rFonts w:ascii="Arial" w:hAnsi="Arial" w:cs="Arial"/>
          <w:sz w:val="22"/>
          <w:szCs w:val="22"/>
        </w:rPr>
        <w:t xml:space="preserve">0 </w:t>
      </w:r>
      <w:r>
        <w:rPr>
          <w:rFonts w:ascii="Arial" w:hAnsi="Arial" w:cs="Arial"/>
          <w:sz w:val="22"/>
          <w:szCs w:val="22"/>
        </w:rPr>
        <w:t xml:space="preserve">hours </w:t>
      </w:r>
      <w:r w:rsidR="00C759C9">
        <w:rPr>
          <w:rFonts w:ascii="Arial" w:hAnsi="Arial" w:cs="Arial"/>
          <w:sz w:val="22"/>
          <w:szCs w:val="22"/>
        </w:rPr>
        <w:t>is based on</w:t>
      </w:r>
      <w:r w:rsidR="00042DAF">
        <w:rPr>
          <w:rFonts w:ascii="Arial" w:hAnsi="Arial" w:cs="Arial"/>
          <w:sz w:val="22"/>
          <w:szCs w:val="22"/>
        </w:rPr>
        <w:t xml:space="preserve"> </w:t>
      </w:r>
      <w:r w:rsidR="00453F41">
        <w:rPr>
          <w:rFonts w:ascii="Arial" w:hAnsi="Arial" w:cs="Arial"/>
          <w:sz w:val="22"/>
          <w:szCs w:val="22"/>
        </w:rPr>
        <w:t xml:space="preserve">two factors.  </w:t>
      </w:r>
      <w:r w:rsidR="00CE2FE8">
        <w:rPr>
          <w:rFonts w:ascii="Arial" w:hAnsi="Arial" w:cs="Arial"/>
          <w:sz w:val="22"/>
          <w:szCs w:val="22"/>
        </w:rPr>
        <w:t>Since the last renewal, t</w:t>
      </w:r>
      <w:r w:rsidR="00453F41">
        <w:rPr>
          <w:rFonts w:ascii="Arial" w:hAnsi="Arial" w:cs="Arial"/>
          <w:sz w:val="22"/>
          <w:szCs w:val="22"/>
        </w:rPr>
        <w:t xml:space="preserve">he Network to Freedom </w:t>
      </w:r>
      <w:r w:rsidR="00C759C9">
        <w:rPr>
          <w:rFonts w:ascii="Arial" w:hAnsi="Arial" w:cs="Arial"/>
          <w:sz w:val="22"/>
          <w:szCs w:val="22"/>
        </w:rPr>
        <w:t xml:space="preserve">has experienced a </w:t>
      </w:r>
      <w:r w:rsidR="00673239">
        <w:rPr>
          <w:rFonts w:ascii="Arial" w:hAnsi="Arial" w:cs="Arial"/>
          <w:sz w:val="22"/>
          <w:szCs w:val="22"/>
        </w:rPr>
        <w:t>57</w:t>
      </w:r>
      <w:r w:rsidR="00CE0E12">
        <w:rPr>
          <w:rFonts w:ascii="Arial" w:hAnsi="Arial" w:cs="Arial"/>
          <w:sz w:val="22"/>
          <w:szCs w:val="22"/>
        </w:rPr>
        <w:t>.</w:t>
      </w:r>
      <w:r w:rsidR="00673239">
        <w:rPr>
          <w:rFonts w:ascii="Arial" w:hAnsi="Arial" w:cs="Arial"/>
          <w:sz w:val="22"/>
          <w:szCs w:val="22"/>
        </w:rPr>
        <w:t>15</w:t>
      </w:r>
      <w:r w:rsidR="0021605F">
        <w:rPr>
          <w:rFonts w:ascii="Arial" w:hAnsi="Arial" w:cs="Arial"/>
          <w:sz w:val="22"/>
          <w:szCs w:val="22"/>
        </w:rPr>
        <w:t>%</w:t>
      </w:r>
      <w:r w:rsidR="00C759C9">
        <w:rPr>
          <w:rFonts w:ascii="Arial" w:hAnsi="Arial" w:cs="Arial"/>
          <w:sz w:val="22"/>
          <w:szCs w:val="22"/>
        </w:rPr>
        <w:t xml:space="preserve"> increase in responses due to</w:t>
      </w:r>
      <w:r w:rsidR="00A02016">
        <w:rPr>
          <w:rFonts w:ascii="Arial" w:hAnsi="Arial" w:cs="Arial"/>
          <w:sz w:val="22"/>
          <w:szCs w:val="22"/>
        </w:rPr>
        <w:t xml:space="preserve"> two key factors.</w:t>
      </w:r>
      <w:r w:rsidR="00C759C9">
        <w:rPr>
          <w:rFonts w:ascii="Arial" w:hAnsi="Arial" w:cs="Arial"/>
          <w:sz w:val="22"/>
          <w:szCs w:val="22"/>
        </w:rPr>
        <w:t xml:space="preserve"> </w:t>
      </w:r>
      <w:r w:rsidR="00656612">
        <w:rPr>
          <w:rFonts w:ascii="Arial" w:hAnsi="Arial" w:cs="Arial"/>
          <w:sz w:val="22"/>
          <w:szCs w:val="22"/>
        </w:rPr>
        <w:t>I</w:t>
      </w:r>
      <w:r w:rsidRPr="00C07E14" w:rsidR="006D3AEA">
        <w:rPr>
          <w:rFonts w:ascii="Arial" w:hAnsi="Arial" w:cs="Arial"/>
          <w:sz w:val="22"/>
          <w:szCs w:val="22"/>
        </w:rPr>
        <w:t xml:space="preserve">ncreased staffing </w:t>
      </w:r>
      <w:r w:rsidR="00656612">
        <w:rPr>
          <w:rFonts w:ascii="Arial" w:hAnsi="Arial" w:cs="Arial"/>
          <w:sz w:val="22"/>
          <w:szCs w:val="22"/>
        </w:rPr>
        <w:t>has</w:t>
      </w:r>
      <w:r w:rsidR="00E22229">
        <w:rPr>
          <w:rFonts w:ascii="Arial" w:hAnsi="Arial" w:cs="Arial"/>
          <w:sz w:val="22"/>
          <w:szCs w:val="22"/>
        </w:rPr>
        <w:t xml:space="preserve"> </w:t>
      </w:r>
      <w:r w:rsidRPr="00C07E14" w:rsidR="00CE2FE8">
        <w:rPr>
          <w:rFonts w:ascii="Arial" w:hAnsi="Arial" w:cs="Arial"/>
          <w:sz w:val="22"/>
          <w:szCs w:val="22"/>
        </w:rPr>
        <w:t>allow</w:t>
      </w:r>
      <w:r w:rsidR="00CE2FE8">
        <w:rPr>
          <w:rFonts w:ascii="Arial" w:hAnsi="Arial" w:cs="Arial"/>
          <w:sz w:val="22"/>
          <w:szCs w:val="22"/>
        </w:rPr>
        <w:t>ed the program to</w:t>
      </w:r>
      <w:r w:rsidRPr="00C07E14" w:rsidR="00CE2FE8">
        <w:rPr>
          <w:rFonts w:ascii="Arial" w:hAnsi="Arial" w:cs="Arial"/>
          <w:sz w:val="22"/>
          <w:szCs w:val="22"/>
        </w:rPr>
        <w:t xml:space="preserve"> </w:t>
      </w:r>
      <w:r w:rsidRPr="00C07E14" w:rsidR="006D3AEA">
        <w:rPr>
          <w:rFonts w:ascii="Arial" w:hAnsi="Arial" w:cs="Arial"/>
          <w:sz w:val="22"/>
          <w:szCs w:val="22"/>
        </w:rPr>
        <w:t xml:space="preserve">expand outreach and </w:t>
      </w:r>
      <w:r w:rsidR="00CE2FE8">
        <w:rPr>
          <w:rFonts w:ascii="Arial" w:hAnsi="Arial" w:cs="Arial"/>
          <w:sz w:val="22"/>
          <w:szCs w:val="22"/>
        </w:rPr>
        <w:t xml:space="preserve">provide </w:t>
      </w:r>
      <w:r w:rsidRPr="00C07E14" w:rsidR="006D3AEA">
        <w:rPr>
          <w:rFonts w:ascii="Arial" w:hAnsi="Arial" w:cs="Arial"/>
          <w:sz w:val="22"/>
          <w:szCs w:val="22"/>
        </w:rPr>
        <w:t xml:space="preserve">technical support for </w:t>
      </w:r>
      <w:r w:rsidR="00E073B4">
        <w:rPr>
          <w:rFonts w:ascii="Arial" w:hAnsi="Arial" w:cs="Arial"/>
          <w:sz w:val="22"/>
          <w:szCs w:val="22"/>
        </w:rPr>
        <w:t xml:space="preserve">additional </w:t>
      </w:r>
      <w:r w:rsidRPr="00C07E14" w:rsidR="006D3AEA">
        <w:rPr>
          <w:rFonts w:ascii="Arial" w:hAnsi="Arial" w:cs="Arial"/>
          <w:sz w:val="22"/>
          <w:szCs w:val="22"/>
        </w:rPr>
        <w:t>applicants to research and nominate their Underground Railroad sites.</w:t>
      </w:r>
      <w:r w:rsidR="006D3AEA">
        <w:rPr>
          <w:rFonts w:ascii="Arial" w:hAnsi="Arial" w:cs="Arial"/>
          <w:sz w:val="22"/>
          <w:szCs w:val="22"/>
        </w:rPr>
        <w:t xml:space="preserve"> </w:t>
      </w:r>
      <w:r w:rsidR="00656612">
        <w:rPr>
          <w:rFonts w:ascii="Arial" w:hAnsi="Arial" w:cs="Arial"/>
          <w:sz w:val="22"/>
          <w:szCs w:val="22"/>
        </w:rPr>
        <w:t xml:space="preserve">Additionally, increased funding for the Network to Freedom Grant program has made NTF designation more desirable </w:t>
      </w:r>
      <w:r w:rsidR="00F43BC2">
        <w:rPr>
          <w:rFonts w:ascii="Arial" w:hAnsi="Arial" w:cs="Arial"/>
          <w:sz w:val="22"/>
          <w:szCs w:val="22"/>
        </w:rPr>
        <w:t xml:space="preserve">to potential </w:t>
      </w:r>
      <w:r w:rsidR="00CE0E12">
        <w:rPr>
          <w:rFonts w:ascii="Arial" w:hAnsi="Arial" w:cs="Arial"/>
          <w:sz w:val="22"/>
          <w:szCs w:val="22"/>
        </w:rPr>
        <w:t>applicants.</w:t>
      </w:r>
      <w:r w:rsidRPr="00C07E14" w:rsidR="00CE0E12">
        <w:rPr>
          <w:rFonts w:ascii="Arial" w:hAnsi="Arial" w:cs="Arial"/>
          <w:sz w:val="22"/>
          <w:szCs w:val="22"/>
        </w:rPr>
        <w:t xml:space="preserve"> The</w:t>
      </w:r>
      <w:r w:rsidRPr="00C07E14" w:rsidR="00E04A24">
        <w:rPr>
          <w:rFonts w:ascii="Arial" w:hAnsi="Arial" w:cs="Arial"/>
          <w:sz w:val="22"/>
          <w:szCs w:val="22"/>
        </w:rPr>
        <w:t xml:space="preserve"> burden hour per response remains the same.</w:t>
      </w:r>
      <w:r w:rsidRPr="00C07E14" w:rsidR="007D02CA">
        <w:rPr>
          <w:rFonts w:ascii="Arial" w:hAnsi="Arial" w:cs="Arial"/>
          <w:sz w:val="22"/>
          <w:szCs w:val="22"/>
        </w:rPr>
        <w:t xml:space="preserve">  </w:t>
      </w:r>
      <w:r w:rsidRPr="00C07E14" w:rsidR="00947416">
        <w:rPr>
          <w:rFonts w:ascii="Arial" w:hAnsi="Arial" w:cs="Arial"/>
          <w:sz w:val="22"/>
          <w:szCs w:val="22"/>
        </w:rPr>
        <w:t>Staffing levels</w:t>
      </w:r>
      <w:r w:rsidR="00F43BC2">
        <w:rPr>
          <w:rFonts w:ascii="Arial" w:hAnsi="Arial" w:cs="Arial"/>
          <w:sz w:val="22"/>
          <w:szCs w:val="22"/>
        </w:rPr>
        <w:t xml:space="preserve"> and grant funding</w:t>
      </w:r>
      <w:r w:rsidRPr="00C07E14" w:rsidR="00947416">
        <w:rPr>
          <w:rFonts w:ascii="Arial" w:hAnsi="Arial" w:cs="Arial"/>
          <w:sz w:val="22"/>
          <w:szCs w:val="22"/>
        </w:rPr>
        <w:t xml:space="preserve"> </w:t>
      </w:r>
      <w:r w:rsidR="0023267B">
        <w:rPr>
          <w:rFonts w:ascii="Arial" w:hAnsi="Arial" w:cs="Arial"/>
          <w:sz w:val="22"/>
          <w:szCs w:val="22"/>
        </w:rPr>
        <w:t>have</w:t>
      </w:r>
      <w:r w:rsidRPr="00C07E14" w:rsidR="0023267B">
        <w:rPr>
          <w:rFonts w:ascii="Arial" w:hAnsi="Arial" w:cs="Arial"/>
          <w:sz w:val="22"/>
          <w:szCs w:val="22"/>
        </w:rPr>
        <w:t xml:space="preserve"> </w:t>
      </w:r>
      <w:r w:rsidRPr="00C07E14" w:rsidR="00947416">
        <w:rPr>
          <w:rFonts w:ascii="Arial" w:hAnsi="Arial" w:cs="Arial"/>
          <w:sz w:val="22"/>
          <w:szCs w:val="22"/>
        </w:rPr>
        <w:t>ris</w:t>
      </w:r>
      <w:r w:rsidR="0023267B">
        <w:rPr>
          <w:rFonts w:ascii="Arial" w:hAnsi="Arial" w:cs="Arial"/>
          <w:sz w:val="22"/>
          <w:szCs w:val="22"/>
        </w:rPr>
        <w:t>en</w:t>
      </w:r>
      <w:r w:rsidR="00377EED">
        <w:rPr>
          <w:rFonts w:ascii="Arial" w:hAnsi="Arial" w:cs="Arial"/>
          <w:sz w:val="22"/>
          <w:szCs w:val="22"/>
        </w:rPr>
        <w:t xml:space="preserve"> in the last three years</w:t>
      </w:r>
      <w:r w:rsidR="0021605F">
        <w:rPr>
          <w:rFonts w:ascii="Arial" w:hAnsi="Arial" w:cs="Arial"/>
          <w:sz w:val="22"/>
          <w:szCs w:val="22"/>
        </w:rPr>
        <w:t xml:space="preserve"> due to increased program funding from Congress</w:t>
      </w:r>
      <w:r w:rsidRPr="00C07E14" w:rsidR="00947416">
        <w:rPr>
          <w:rFonts w:ascii="Arial" w:hAnsi="Arial" w:cs="Arial"/>
          <w:sz w:val="22"/>
          <w:szCs w:val="22"/>
        </w:rPr>
        <w:t xml:space="preserve">.  </w:t>
      </w:r>
      <w:r w:rsidR="00377EED">
        <w:rPr>
          <w:rFonts w:ascii="Arial" w:hAnsi="Arial" w:cs="Arial"/>
          <w:sz w:val="22"/>
          <w:szCs w:val="22"/>
        </w:rPr>
        <w:t xml:space="preserve">The National Program Manager position has been vacant for two years and a Regional Manager position has been vacant for a year. </w:t>
      </w:r>
      <w:r w:rsidRPr="00C07E14" w:rsidR="00947416">
        <w:rPr>
          <w:rFonts w:ascii="Arial" w:hAnsi="Arial" w:cs="Arial"/>
          <w:sz w:val="22"/>
          <w:szCs w:val="22"/>
        </w:rPr>
        <w:t xml:space="preserve"> </w:t>
      </w:r>
    </w:p>
    <w:p w:rsidR="00E84D2D" w:rsidP="00B418A8" w14:paraId="214905CE" w14:textId="471E8FF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p>
    <w:p w:rsidR="00B418A8" w:rsidP="00B418A8" w14:paraId="7CDC155B" w14:textId="22A14E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r w:rsidRPr="00200330">
        <w:rPr>
          <w:rFonts w:ascii="Arial" w:hAnsi="Arial" w:cs="Arial"/>
          <w:b/>
          <w:sz w:val="22"/>
          <w:szCs w:val="22"/>
        </w:rPr>
        <w:t xml:space="preserve">Table </w:t>
      </w:r>
      <w:r w:rsidRPr="00200330" w:rsidR="000D3241">
        <w:rPr>
          <w:rFonts w:ascii="Arial" w:hAnsi="Arial" w:cs="Arial"/>
          <w:b/>
          <w:sz w:val="22"/>
          <w:szCs w:val="22"/>
        </w:rPr>
        <w:t>1</w:t>
      </w:r>
      <w:r w:rsidR="000D3241">
        <w:rPr>
          <w:rFonts w:ascii="Arial" w:hAnsi="Arial" w:cs="Arial"/>
          <w:b/>
          <w:sz w:val="22"/>
          <w:szCs w:val="22"/>
        </w:rPr>
        <w:t>5</w:t>
      </w:r>
      <w:r w:rsidRPr="00200330">
        <w:rPr>
          <w:rFonts w:ascii="Arial" w:hAnsi="Arial" w:cs="Arial"/>
          <w:b/>
          <w:sz w:val="22"/>
          <w:szCs w:val="22"/>
        </w:rPr>
        <w:t xml:space="preserve">.1 </w:t>
      </w:r>
      <w:r w:rsidR="000D3241">
        <w:rPr>
          <w:rFonts w:ascii="Arial" w:hAnsi="Arial" w:cs="Arial"/>
          <w:b/>
          <w:sz w:val="22"/>
          <w:szCs w:val="22"/>
        </w:rPr>
        <w:t>P</w:t>
      </w:r>
      <w:r w:rsidRPr="000D3241" w:rsidR="000D3241">
        <w:rPr>
          <w:rFonts w:ascii="Arial" w:hAnsi="Arial" w:cs="Arial"/>
          <w:b/>
          <w:sz w:val="22"/>
          <w:szCs w:val="22"/>
        </w:rPr>
        <w:t xml:space="preserve">rogram </w:t>
      </w:r>
      <w:r w:rsidR="000D3241">
        <w:rPr>
          <w:rFonts w:ascii="Arial" w:hAnsi="Arial" w:cs="Arial"/>
          <w:b/>
          <w:sz w:val="22"/>
          <w:szCs w:val="22"/>
        </w:rPr>
        <w:t>C</w:t>
      </w:r>
      <w:r w:rsidRPr="000D3241" w:rsidR="000D3241">
        <w:rPr>
          <w:rFonts w:ascii="Arial" w:hAnsi="Arial" w:cs="Arial"/>
          <w:b/>
          <w:sz w:val="22"/>
          <w:szCs w:val="22"/>
        </w:rPr>
        <w:t xml:space="preserve">hanges </w:t>
      </w:r>
    </w:p>
    <w:tbl>
      <w:tblPr>
        <w:tblStyle w:val="TableGrid"/>
        <w:tblW w:w="10188" w:type="dxa"/>
        <w:tblLook w:val="04A0"/>
      </w:tblPr>
      <w:tblGrid>
        <w:gridCol w:w="2718"/>
        <w:gridCol w:w="1260"/>
        <w:gridCol w:w="1119"/>
        <w:gridCol w:w="1345"/>
        <w:gridCol w:w="1157"/>
        <w:gridCol w:w="1345"/>
        <w:gridCol w:w="1244"/>
      </w:tblGrid>
      <w:tr w14:paraId="4AAB0F1F" w14:textId="77777777" w:rsidTr="00FB2F51">
        <w:tblPrEx>
          <w:tblW w:w="10188" w:type="dxa"/>
          <w:tblLook w:val="04A0"/>
        </w:tblPrEx>
        <w:tc>
          <w:tcPr>
            <w:tcW w:w="2718" w:type="dxa"/>
            <w:tcBorders>
              <w:top w:val="nil"/>
              <w:left w:val="nil"/>
            </w:tcBorders>
            <w:vAlign w:val="center"/>
          </w:tcPr>
          <w:p w:rsidR="009E6B14" w:rsidRPr="0087540B" w:rsidP="0087540B" w14:paraId="508C37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rPr>
            </w:pPr>
          </w:p>
        </w:tc>
        <w:tc>
          <w:tcPr>
            <w:tcW w:w="2379" w:type="dxa"/>
            <w:gridSpan w:val="2"/>
            <w:shd w:val="clear" w:color="auto" w:fill="D6E3BC" w:themeFill="accent3" w:themeFillTint="66"/>
            <w:vAlign w:val="center"/>
          </w:tcPr>
          <w:p w:rsidR="009E6B14" w:rsidRPr="00FB2F51" w:rsidP="00FB2F51" w14:paraId="02CE9266" w14:textId="5D8C8158">
            <w:pPr>
              <w:pStyle w:val="NoSpacing"/>
              <w:jc w:val="center"/>
              <w:rPr>
                <w:rFonts w:ascii="Arial" w:hAnsi="Arial" w:cs="Arial"/>
                <w:b/>
                <w:bCs/>
                <w:sz w:val="22"/>
                <w:szCs w:val="20"/>
              </w:rPr>
            </w:pPr>
            <w:r w:rsidRPr="00FB2F51">
              <w:rPr>
                <w:rFonts w:ascii="Arial" w:hAnsi="Arial" w:cs="Arial"/>
                <w:b/>
                <w:bCs/>
                <w:sz w:val="22"/>
                <w:szCs w:val="20"/>
              </w:rPr>
              <w:t>Current Request</w:t>
            </w:r>
          </w:p>
        </w:tc>
        <w:tc>
          <w:tcPr>
            <w:tcW w:w="2502" w:type="dxa"/>
            <w:gridSpan w:val="2"/>
            <w:shd w:val="clear" w:color="auto" w:fill="D6E3BC" w:themeFill="accent3" w:themeFillTint="66"/>
            <w:vAlign w:val="center"/>
          </w:tcPr>
          <w:p w:rsidR="009E6B14" w:rsidRPr="00FB2F51" w:rsidP="00FB2F51" w14:paraId="3E5E1036" w14:textId="7568D102">
            <w:pPr>
              <w:pStyle w:val="NoSpacing"/>
              <w:jc w:val="center"/>
              <w:rPr>
                <w:rFonts w:ascii="Arial" w:hAnsi="Arial" w:cs="Arial"/>
                <w:b/>
                <w:bCs/>
                <w:sz w:val="22"/>
                <w:szCs w:val="20"/>
              </w:rPr>
            </w:pPr>
            <w:r w:rsidRPr="00FB2F51">
              <w:rPr>
                <w:rFonts w:ascii="Arial" w:hAnsi="Arial" w:cs="Arial"/>
                <w:b/>
                <w:bCs/>
                <w:sz w:val="22"/>
                <w:szCs w:val="20"/>
              </w:rPr>
              <w:t>Previously Approved</w:t>
            </w:r>
          </w:p>
        </w:tc>
        <w:tc>
          <w:tcPr>
            <w:tcW w:w="2589" w:type="dxa"/>
            <w:gridSpan w:val="2"/>
            <w:shd w:val="clear" w:color="auto" w:fill="D6E3BC" w:themeFill="accent3" w:themeFillTint="66"/>
            <w:vAlign w:val="center"/>
          </w:tcPr>
          <w:p w:rsidR="009E6B14" w:rsidRPr="00FB2F51" w:rsidP="00FB2F51" w14:paraId="59BBE4E5" w14:textId="4C1E8655">
            <w:pPr>
              <w:pStyle w:val="NoSpacing"/>
              <w:jc w:val="center"/>
              <w:rPr>
                <w:rFonts w:ascii="Arial" w:hAnsi="Arial" w:cs="Arial"/>
                <w:b/>
                <w:bCs/>
                <w:sz w:val="22"/>
                <w:szCs w:val="20"/>
              </w:rPr>
            </w:pPr>
            <w:r w:rsidRPr="00FB2F51">
              <w:rPr>
                <w:rFonts w:ascii="Arial" w:hAnsi="Arial" w:cs="Arial"/>
                <w:b/>
                <w:bCs/>
                <w:sz w:val="22"/>
                <w:szCs w:val="20"/>
              </w:rPr>
              <w:t xml:space="preserve">Net </w:t>
            </w:r>
            <w:r w:rsidR="00FB2F51">
              <w:rPr>
                <w:rFonts w:ascii="Arial" w:hAnsi="Arial" w:cs="Arial"/>
                <w:b/>
                <w:bCs/>
                <w:sz w:val="22"/>
                <w:szCs w:val="20"/>
              </w:rPr>
              <w:t>C</w:t>
            </w:r>
            <w:r w:rsidRPr="00FB2F51">
              <w:rPr>
                <w:rFonts w:ascii="Arial" w:hAnsi="Arial" w:cs="Arial"/>
                <w:b/>
                <w:bCs/>
                <w:sz w:val="22"/>
                <w:szCs w:val="20"/>
              </w:rPr>
              <w:t>hange</w:t>
            </w:r>
          </w:p>
        </w:tc>
      </w:tr>
      <w:tr w14:paraId="37EF4E72" w14:textId="77777777" w:rsidTr="0087540B">
        <w:tblPrEx>
          <w:tblW w:w="10188" w:type="dxa"/>
          <w:tblLook w:val="04A0"/>
        </w:tblPrEx>
        <w:tc>
          <w:tcPr>
            <w:tcW w:w="2718" w:type="dxa"/>
            <w:vAlign w:val="center"/>
          </w:tcPr>
          <w:p w:rsidR="009E6B14" w:rsidRPr="0087540B" w:rsidP="0087540B" w14:paraId="592BE9FD" w14:textId="09065916">
            <w:pPr>
              <w:rPr>
                <w:rFonts w:ascii="Arial" w:hAnsi="Arial" w:cs="Arial"/>
                <w:b/>
                <w:sz w:val="20"/>
                <w:szCs w:val="20"/>
              </w:rPr>
            </w:pPr>
            <w:r w:rsidRPr="0087540B">
              <w:rPr>
                <w:rFonts w:ascii="Arial" w:hAnsi="Arial" w:cs="Arial"/>
                <w:b/>
                <w:sz w:val="20"/>
                <w:szCs w:val="20"/>
              </w:rPr>
              <w:t>Applications</w:t>
            </w:r>
          </w:p>
        </w:tc>
        <w:tc>
          <w:tcPr>
            <w:tcW w:w="1260" w:type="dxa"/>
            <w:vAlign w:val="center"/>
          </w:tcPr>
          <w:p w:rsidR="009E6B14" w:rsidRPr="0087540B" w:rsidP="0087540B" w14:paraId="04BC7B1C" w14:textId="72F54078">
            <w:pPr>
              <w:pStyle w:val="NoSpacing"/>
              <w:jc w:val="center"/>
              <w:rPr>
                <w:rFonts w:ascii="Arial" w:hAnsi="Arial" w:cs="Arial"/>
                <w:sz w:val="20"/>
                <w:szCs w:val="20"/>
              </w:rPr>
            </w:pPr>
            <w:r w:rsidRPr="0087540B">
              <w:rPr>
                <w:rFonts w:ascii="Arial" w:hAnsi="Arial" w:cs="Arial"/>
                <w:sz w:val="20"/>
                <w:szCs w:val="20"/>
              </w:rPr>
              <w:t>Responses</w:t>
            </w:r>
          </w:p>
        </w:tc>
        <w:tc>
          <w:tcPr>
            <w:tcW w:w="1119" w:type="dxa"/>
            <w:shd w:val="clear" w:color="auto" w:fill="D6E3BC" w:themeFill="accent3" w:themeFillTint="66"/>
            <w:vAlign w:val="center"/>
          </w:tcPr>
          <w:p w:rsidR="009E6B14" w:rsidRPr="0087540B" w:rsidP="0087540B" w14:paraId="4DCB9FBD" w14:textId="14CCDC23">
            <w:pPr>
              <w:pStyle w:val="NoSpacing"/>
              <w:jc w:val="center"/>
              <w:rPr>
                <w:rFonts w:ascii="Arial" w:hAnsi="Arial" w:cs="Arial"/>
                <w:sz w:val="20"/>
                <w:szCs w:val="20"/>
              </w:rPr>
            </w:pPr>
            <w:r w:rsidRPr="0087540B">
              <w:rPr>
                <w:rFonts w:ascii="Arial" w:hAnsi="Arial" w:cs="Arial"/>
                <w:sz w:val="20"/>
                <w:szCs w:val="20"/>
              </w:rPr>
              <w:t>Burden hours</w:t>
            </w:r>
          </w:p>
        </w:tc>
        <w:tc>
          <w:tcPr>
            <w:tcW w:w="1345" w:type="dxa"/>
            <w:vAlign w:val="center"/>
          </w:tcPr>
          <w:p w:rsidR="009E6B14" w:rsidRPr="0087540B" w:rsidP="0087540B" w14:paraId="17BBE2D7" w14:textId="121A3C17">
            <w:pPr>
              <w:pStyle w:val="NoSpacing"/>
              <w:jc w:val="center"/>
              <w:rPr>
                <w:rFonts w:ascii="Arial" w:hAnsi="Arial" w:cs="Arial"/>
                <w:b/>
                <w:sz w:val="20"/>
                <w:szCs w:val="20"/>
              </w:rPr>
            </w:pPr>
            <w:r w:rsidRPr="0087540B">
              <w:rPr>
                <w:rFonts w:ascii="Arial" w:hAnsi="Arial" w:cs="Arial"/>
                <w:sz w:val="20"/>
                <w:szCs w:val="20"/>
              </w:rPr>
              <w:t>Responses</w:t>
            </w:r>
          </w:p>
        </w:tc>
        <w:tc>
          <w:tcPr>
            <w:tcW w:w="1157" w:type="dxa"/>
            <w:shd w:val="clear" w:color="auto" w:fill="D6E3BC" w:themeFill="accent3" w:themeFillTint="66"/>
            <w:vAlign w:val="center"/>
          </w:tcPr>
          <w:p w:rsidR="009E6B14" w:rsidRPr="0087540B" w:rsidP="0087540B" w14:paraId="1DFA0908" w14:textId="6DE07FC0">
            <w:pPr>
              <w:pStyle w:val="NoSpacing"/>
              <w:jc w:val="center"/>
              <w:rPr>
                <w:rFonts w:ascii="Arial" w:hAnsi="Arial" w:cs="Arial"/>
                <w:b/>
                <w:sz w:val="20"/>
                <w:szCs w:val="20"/>
              </w:rPr>
            </w:pPr>
            <w:r w:rsidRPr="0087540B">
              <w:rPr>
                <w:rFonts w:ascii="Arial" w:hAnsi="Arial" w:cs="Arial"/>
                <w:sz w:val="20"/>
                <w:szCs w:val="20"/>
              </w:rPr>
              <w:t>Burden hours</w:t>
            </w:r>
          </w:p>
        </w:tc>
        <w:tc>
          <w:tcPr>
            <w:tcW w:w="1345" w:type="dxa"/>
            <w:vAlign w:val="center"/>
          </w:tcPr>
          <w:p w:rsidR="009E6B14" w:rsidRPr="0087540B" w:rsidP="0087540B" w14:paraId="1C3930DB" w14:textId="62F144DA">
            <w:pPr>
              <w:pStyle w:val="NoSpacing"/>
              <w:jc w:val="center"/>
              <w:rPr>
                <w:rFonts w:ascii="Arial" w:hAnsi="Arial" w:cs="Arial"/>
                <w:b/>
                <w:sz w:val="20"/>
                <w:szCs w:val="20"/>
              </w:rPr>
            </w:pPr>
            <w:r w:rsidRPr="0087540B">
              <w:rPr>
                <w:rFonts w:ascii="Arial" w:hAnsi="Arial" w:cs="Arial"/>
                <w:sz w:val="20"/>
                <w:szCs w:val="20"/>
              </w:rPr>
              <w:t>Responses</w:t>
            </w:r>
          </w:p>
        </w:tc>
        <w:tc>
          <w:tcPr>
            <w:tcW w:w="1244" w:type="dxa"/>
            <w:shd w:val="clear" w:color="auto" w:fill="D6E3BC" w:themeFill="accent3" w:themeFillTint="66"/>
            <w:vAlign w:val="center"/>
          </w:tcPr>
          <w:p w:rsidR="009E6B14" w:rsidRPr="0087540B" w:rsidP="0087540B" w14:paraId="6904CE46" w14:textId="6BC8E241">
            <w:pPr>
              <w:pStyle w:val="NoSpacing"/>
              <w:jc w:val="center"/>
              <w:rPr>
                <w:rFonts w:ascii="Arial" w:hAnsi="Arial" w:cs="Arial"/>
                <w:b/>
                <w:sz w:val="20"/>
                <w:szCs w:val="20"/>
              </w:rPr>
            </w:pPr>
            <w:r w:rsidRPr="0087540B">
              <w:rPr>
                <w:rFonts w:ascii="Arial" w:hAnsi="Arial" w:cs="Arial"/>
                <w:sz w:val="20"/>
                <w:szCs w:val="20"/>
              </w:rPr>
              <w:t>Burden hours</w:t>
            </w:r>
          </w:p>
        </w:tc>
      </w:tr>
      <w:tr w14:paraId="47DADB0B" w14:textId="77777777" w:rsidTr="0087540B">
        <w:tblPrEx>
          <w:tblW w:w="10188" w:type="dxa"/>
          <w:tblLook w:val="04A0"/>
        </w:tblPrEx>
        <w:tc>
          <w:tcPr>
            <w:tcW w:w="2718" w:type="dxa"/>
            <w:vAlign w:val="center"/>
          </w:tcPr>
          <w:p w:rsidR="009E6B14" w:rsidRPr="0087540B" w:rsidP="0087540B" w14:paraId="4EB11582" w14:textId="2F1ED85C">
            <w:pPr>
              <w:ind w:left="360"/>
              <w:rPr>
                <w:rFonts w:ascii="Arial" w:hAnsi="Arial" w:cs="Arial"/>
                <w:sz w:val="20"/>
                <w:szCs w:val="20"/>
              </w:rPr>
            </w:pPr>
            <w:r w:rsidRPr="0087540B">
              <w:rPr>
                <w:rFonts w:ascii="Arial" w:hAnsi="Arial" w:cs="Arial"/>
                <w:sz w:val="20"/>
                <w:szCs w:val="20"/>
              </w:rPr>
              <w:t>Individuals</w:t>
            </w:r>
          </w:p>
        </w:tc>
        <w:tc>
          <w:tcPr>
            <w:tcW w:w="1260" w:type="dxa"/>
            <w:vAlign w:val="center"/>
          </w:tcPr>
          <w:p w:rsidR="009E6B14" w:rsidRPr="00E073B4" w:rsidP="0087540B" w14:paraId="7A9302A6" w14:textId="70B312A0">
            <w:pPr>
              <w:jc w:val="center"/>
              <w:rPr>
                <w:rFonts w:ascii="Arial" w:hAnsi="Arial" w:cs="Arial"/>
                <w:sz w:val="20"/>
                <w:szCs w:val="20"/>
              </w:rPr>
            </w:pPr>
            <w:r>
              <w:rPr>
                <w:rFonts w:ascii="Arial" w:hAnsi="Arial" w:cs="Arial"/>
                <w:sz w:val="20"/>
                <w:szCs w:val="20"/>
              </w:rPr>
              <w:t>39</w:t>
            </w:r>
          </w:p>
        </w:tc>
        <w:tc>
          <w:tcPr>
            <w:tcW w:w="1119" w:type="dxa"/>
            <w:shd w:val="clear" w:color="auto" w:fill="D6E3BC" w:themeFill="accent3" w:themeFillTint="66"/>
            <w:vAlign w:val="center"/>
          </w:tcPr>
          <w:p w:rsidR="009E6B14" w:rsidRPr="00E073B4" w:rsidP="0087540B" w14:paraId="74D9A61E" w14:textId="473B7BA1">
            <w:pPr>
              <w:jc w:val="center"/>
              <w:rPr>
                <w:rFonts w:ascii="Arial" w:hAnsi="Arial" w:cs="Arial"/>
                <w:sz w:val="20"/>
                <w:szCs w:val="20"/>
              </w:rPr>
            </w:pPr>
            <w:r>
              <w:rPr>
                <w:rFonts w:ascii="Arial" w:hAnsi="Arial" w:cs="Arial"/>
                <w:sz w:val="20"/>
                <w:szCs w:val="20"/>
              </w:rPr>
              <w:t>1560</w:t>
            </w:r>
          </w:p>
        </w:tc>
        <w:tc>
          <w:tcPr>
            <w:tcW w:w="1345" w:type="dxa"/>
            <w:vAlign w:val="center"/>
          </w:tcPr>
          <w:p w:rsidR="009E6B14" w:rsidRPr="00E073B4" w:rsidP="0087540B" w14:paraId="5CC6CB00" w14:textId="738AD3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15</w:t>
            </w:r>
          </w:p>
        </w:tc>
        <w:tc>
          <w:tcPr>
            <w:tcW w:w="1157" w:type="dxa"/>
            <w:shd w:val="clear" w:color="auto" w:fill="D6E3BC" w:themeFill="accent3" w:themeFillTint="66"/>
            <w:vAlign w:val="center"/>
          </w:tcPr>
          <w:p w:rsidR="009E6B14" w:rsidRPr="00E073B4" w:rsidP="0087540B" w14:paraId="5166B3D0" w14:textId="79B7422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600</w:t>
            </w:r>
          </w:p>
        </w:tc>
        <w:tc>
          <w:tcPr>
            <w:tcW w:w="1345" w:type="dxa"/>
            <w:vAlign w:val="center"/>
          </w:tcPr>
          <w:p w:rsidR="009E6B14" w:rsidRPr="00E073B4" w:rsidP="0087540B" w14:paraId="6C0D1338" w14:textId="143FAE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Pr>
                <w:rFonts w:ascii="Arial" w:hAnsi="Arial" w:cs="Arial"/>
                <w:b/>
                <w:sz w:val="20"/>
                <w:szCs w:val="20"/>
              </w:rPr>
              <w:t>+</w:t>
            </w:r>
            <w:r w:rsidR="000C333A">
              <w:rPr>
                <w:rFonts w:ascii="Arial" w:hAnsi="Arial" w:cs="Arial"/>
                <w:b/>
                <w:sz w:val="20"/>
                <w:szCs w:val="20"/>
              </w:rPr>
              <w:t>24</w:t>
            </w:r>
          </w:p>
        </w:tc>
        <w:tc>
          <w:tcPr>
            <w:tcW w:w="1244" w:type="dxa"/>
            <w:shd w:val="clear" w:color="auto" w:fill="D6E3BC" w:themeFill="accent3" w:themeFillTint="66"/>
            <w:vAlign w:val="center"/>
          </w:tcPr>
          <w:p w:rsidR="009E6B14" w:rsidRPr="00E073B4" w:rsidP="0087540B" w14:paraId="0C5FC688" w14:textId="074E13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Pr>
                <w:rFonts w:ascii="Arial" w:hAnsi="Arial" w:cs="Arial"/>
                <w:b/>
                <w:sz w:val="20"/>
                <w:szCs w:val="20"/>
              </w:rPr>
              <w:t>+960</w:t>
            </w:r>
          </w:p>
        </w:tc>
      </w:tr>
      <w:tr w14:paraId="32AB433F" w14:textId="77777777" w:rsidTr="0087540B">
        <w:tblPrEx>
          <w:tblW w:w="10188" w:type="dxa"/>
          <w:tblLook w:val="04A0"/>
        </w:tblPrEx>
        <w:tc>
          <w:tcPr>
            <w:tcW w:w="2718" w:type="dxa"/>
            <w:vAlign w:val="center"/>
          </w:tcPr>
          <w:p w:rsidR="007A7BE0" w:rsidRPr="0087540B" w:rsidP="0087540B" w14:paraId="65E6CCD2" w14:textId="480BA7E6">
            <w:pPr>
              <w:tabs>
                <w:tab w:val="left" w:pos="695"/>
              </w:tabs>
              <w:ind w:left="360"/>
              <w:rPr>
                <w:rFonts w:ascii="Arial" w:hAnsi="Arial" w:cs="Arial"/>
                <w:b/>
                <w:sz w:val="20"/>
                <w:szCs w:val="20"/>
              </w:rPr>
            </w:pPr>
            <w:r w:rsidRPr="0087540B">
              <w:rPr>
                <w:rFonts w:ascii="Arial" w:hAnsi="Arial" w:cs="Arial"/>
                <w:sz w:val="20"/>
                <w:szCs w:val="20"/>
              </w:rPr>
              <w:t>Private Sector</w:t>
            </w:r>
          </w:p>
        </w:tc>
        <w:tc>
          <w:tcPr>
            <w:tcW w:w="1260" w:type="dxa"/>
            <w:vAlign w:val="center"/>
          </w:tcPr>
          <w:p w:rsidR="007A7BE0" w:rsidRPr="00E073B4" w:rsidP="0087540B" w14:paraId="624C91F1" w14:textId="681C7D03">
            <w:pPr>
              <w:jc w:val="center"/>
              <w:rPr>
                <w:rFonts w:ascii="Arial" w:hAnsi="Arial" w:cs="Arial"/>
                <w:sz w:val="20"/>
                <w:szCs w:val="20"/>
              </w:rPr>
            </w:pPr>
            <w:r w:rsidRPr="00E073B4">
              <w:rPr>
                <w:rFonts w:ascii="Arial" w:hAnsi="Arial" w:cs="Arial"/>
                <w:sz w:val="20"/>
                <w:szCs w:val="20"/>
              </w:rPr>
              <w:t>15</w:t>
            </w:r>
          </w:p>
        </w:tc>
        <w:tc>
          <w:tcPr>
            <w:tcW w:w="1119" w:type="dxa"/>
            <w:shd w:val="clear" w:color="auto" w:fill="D6E3BC" w:themeFill="accent3" w:themeFillTint="66"/>
            <w:vAlign w:val="center"/>
          </w:tcPr>
          <w:p w:rsidR="007A7BE0" w:rsidRPr="00E073B4" w:rsidP="0087540B" w14:paraId="2E87BBD8" w14:textId="01ED0175">
            <w:pPr>
              <w:jc w:val="center"/>
              <w:rPr>
                <w:rFonts w:ascii="Arial" w:hAnsi="Arial" w:cs="Arial"/>
                <w:sz w:val="20"/>
                <w:szCs w:val="20"/>
              </w:rPr>
            </w:pPr>
            <w:r w:rsidRPr="00E073B4">
              <w:rPr>
                <w:rFonts w:ascii="Arial" w:hAnsi="Arial" w:cs="Arial"/>
                <w:sz w:val="20"/>
                <w:szCs w:val="20"/>
              </w:rPr>
              <w:t>600</w:t>
            </w:r>
          </w:p>
        </w:tc>
        <w:tc>
          <w:tcPr>
            <w:tcW w:w="1345" w:type="dxa"/>
            <w:vAlign w:val="center"/>
          </w:tcPr>
          <w:p w:rsidR="007A7BE0" w:rsidRPr="00E073B4" w:rsidP="0087540B" w14:paraId="283E1986" w14:textId="5881C7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Pr>
                <w:rFonts w:ascii="Arial" w:hAnsi="Arial" w:cs="Arial"/>
                <w:b/>
                <w:sz w:val="20"/>
                <w:szCs w:val="20"/>
              </w:rPr>
              <w:t>15</w:t>
            </w:r>
          </w:p>
        </w:tc>
        <w:tc>
          <w:tcPr>
            <w:tcW w:w="1157" w:type="dxa"/>
            <w:shd w:val="clear" w:color="auto" w:fill="D6E3BC" w:themeFill="accent3" w:themeFillTint="66"/>
            <w:vAlign w:val="center"/>
          </w:tcPr>
          <w:p w:rsidR="007A7BE0" w:rsidRPr="00E073B4" w:rsidP="0087540B" w14:paraId="7165EB2A" w14:textId="543944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200</w:t>
            </w:r>
          </w:p>
        </w:tc>
        <w:tc>
          <w:tcPr>
            <w:tcW w:w="1345" w:type="dxa"/>
            <w:vAlign w:val="center"/>
          </w:tcPr>
          <w:p w:rsidR="007A7BE0" w:rsidRPr="00E073B4" w:rsidP="0087540B" w14:paraId="6DFBA104" w14:textId="429B97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Pr>
                <w:rFonts w:ascii="Arial" w:hAnsi="Arial" w:cs="Arial"/>
                <w:b/>
                <w:sz w:val="20"/>
                <w:szCs w:val="20"/>
              </w:rPr>
              <w:t>+0</w:t>
            </w:r>
          </w:p>
        </w:tc>
        <w:tc>
          <w:tcPr>
            <w:tcW w:w="1244" w:type="dxa"/>
            <w:shd w:val="clear" w:color="auto" w:fill="D6E3BC" w:themeFill="accent3" w:themeFillTint="66"/>
            <w:vAlign w:val="center"/>
          </w:tcPr>
          <w:p w:rsidR="007A7BE0" w:rsidRPr="00E073B4" w:rsidP="0087540B" w14:paraId="695D12E8" w14:textId="754F2B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w:t>
            </w:r>
            <w:r w:rsidRPr="00E073B4" w:rsidR="00F455E0">
              <w:rPr>
                <w:rFonts w:ascii="Arial" w:hAnsi="Arial" w:cs="Arial"/>
                <w:b/>
                <w:sz w:val="20"/>
                <w:szCs w:val="20"/>
              </w:rPr>
              <w:t>+4</w:t>
            </w:r>
            <w:r w:rsidRPr="00E073B4">
              <w:rPr>
                <w:rFonts w:ascii="Arial" w:hAnsi="Arial" w:cs="Arial"/>
                <w:b/>
                <w:sz w:val="20"/>
                <w:szCs w:val="20"/>
              </w:rPr>
              <w:t>00</w:t>
            </w:r>
          </w:p>
        </w:tc>
      </w:tr>
      <w:tr w14:paraId="4DD49790" w14:textId="77777777" w:rsidTr="0087540B">
        <w:tblPrEx>
          <w:tblW w:w="10188" w:type="dxa"/>
          <w:tblLook w:val="04A0"/>
        </w:tblPrEx>
        <w:tc>
          <w:tcPr>
            <w:tcW w:w="2718" w:type="dxa"/>
            <w:vAlign w:val="center"/>
          </w:tcPr>
          <w:p w:rsidR="009E6B14" w:rsidRPr="0087540B" w:rsidP="0087540B" w14:paraId="10DAAF08" w14:textId="3D97D61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sz w:val="20"/>
                <w:szCs w:val="20"/>
              </w:rPr>
            </w:pPr>
            <w:r w:rsidRPr="0087540B">
              <w:rPr>
                <w:rFonts w:ascii="Arial" w:hAnsi="Arial" w:cs="Arial"/>
                <w:sz w:val="20"/>
                <w:szCs w:val="20"/>
              </w:rPr>
              <w:t>Government</w:t>
            </w:r>
          </w:p>
        </w:tc>
        <w:tc>
          <w:tcPr>
            <w:tcW w:w="1260" w:type="dxa"/>
            <w:vAlign w:val="center"/>
          </w:tcPr>
          <w:p w:rsidR="009E6B14" w:rsidRPr="00E073B4" w:rsidP="0087540B" w14:paraId="30798DD7" w14:textId="6C0A3463">
            <w:pPr>
              <w:jc w:val="center"/>
              <w:rPr>
                <w:rFonts w:ascii="Arial" w:hAnsi="Arial" w:cs="Arial"/>
                <w:sz w:val="20"/>
                <w:szCs w:val="20"/>
              </w:rPr>
            </w:pPr>
            <w:r w:rsidRPr="00E073B4">
              <w:rPr>
                <w:rFonts w:ascii="Arial" w:hAnsi="Arial" w:cs="Arial"/>
                <w:sz w:val="20"/>
                <w:szCs w:val="20"/>
              </w:rPr>
              <w:t>10</w:t>
            </w:r>
          </w:p>
        </w:tc>
        <w:tc>
          <w:tcPr>
            <w:tcW w:w="1119" w:type="dxa"/>
            <w:shd w:val="clear" w:color="auto" w:fill="D6E3BC" w:themeFill="accent3" w:themeFillTint="66"/>
            <w:vAlign w:val="center"/>
          </w:tcPr>
          <w:p w:rsidR="009E6B14" w:rsidRPr="00E073B4" w:rsidP="0087540B" w14:paraId="424332F8" w14:textId="1697120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sz w:val="20"/>
                <w:szCs w:val="20"/>
              </w:rPr>
              <w:t>400</w:t>
            </w:r>
          </w:p>
        </w:tc>
        <w:tc>
          <w:tcPr>
            <w:tcW w:w="1345" w:type="dxa"/>
            <w:vAlign w:val="center"/>
          </w:tcPr>
          <w:p w:rsidR="009E6B14" w:rsidRPr="00E073B4" w:rsidP="0087540B" w14:paraId="270720F9" w14:textId="37759EC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Pr>
                <w:rFonts w:ascii="Arial" w:hAnsi="Arial" w:cs="Arial"/>
                <w:b/>
                <w:sz w:val="20"/>
                <w:szCs w:val="20"/>
              </w:rPr>
              <w:t>10</w:t>
            </w:r>
          </w:p>
        </w:tc>
        <w:tc>
          <w:tcPr>
            <w:tcW w:w="1157" w:type="dxa"/>
            <w:shd w:val="clear" w:color="auto" w:fill="D6E3BC" w:themeFill="accent3" w:themeFillTint="66"/>
            <w:vAlign w:val="center"/>
          </w:tcPr>
          <w:p w:rsidR="009E6B14" w:rsidRPr="00E073B4" w:rsidP="0087540B" w14:paraId="5788B1DE" w14:textId="45F5C93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200</w:t>
            </w:r>
          </w:p>
        </w:tc>
        <w:tc>
          <w:tcPr>
            <w:tcW w:w="1345" w:type="dxa"/>
            <w:vAlign w:val="center"/>
          </w:tcPr>
          <w:p w:rsidR="009E6B14" w:rsidRPr="00E073B4" w:rsidP="0087540B" w14:paraId="321C8171" w14:textId="50D809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w:t>
            </w:r>
            <w:r w:rsidR="007551C6">
              <w:rPr>
                <w:rFonts w:ascii="Arial" w:hAnsi="Arial" w:cs="Arial"/>
                <w:b/>
                <w:sz w:val="20"/>
                <w:szCs w:val="20"/>
              </w:rPr>
              <w:t>0</w:t>
            </w:r>
          </w:p>
        </w:tc>
        <w:tc>
          <w:tcPr>
            <w:tcW w:w="1244" w:type="dxa"/>
            <w:shd w:val="clear" w:color="auto" w:fill="D6E3BC" w:themeFill="accent3" w:themeFillTint="66"/>
            <w:vAlign w:val="center"/>
          </w:tcPr>
          <w:p w:rsidR="009E6B14" w:rsidRPr="00E073B4" w:rsidP="0087540B" w14:paraId="4F623806" w14:textId="194587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w:t>
            </w:r>
            <w:r w:rsidRPr="00E073B4" w:rsidR="00083590">
              <w:rPr>
                <w:rFonts w:ascii="Arial" w:hAnsi="Arial" w:cs="Arial"/>
                <w:b/>
                <w:sz w:val="20"/>
                <w:szCs w:val="20"/>
              </w:rPr>
              <w:t>20</w:t>
            </w:r>
            <w:r w:rsidRPr="00E073B4" w:rsidR="00371D69">
              <w:rPr>
                <w:rFonts w:ascii="Arial" w:hAnsi="Arial" w:cs="Arial"/>
                <w:b/>
                <w:sz w:val="20"/>
                <w:szCs w:val="20"/>
              </w:rPr>
              <w:t>0</w:t>
            </w:r>
          </w:p>
        </w:tc>
      </w:tr>
      <w:tr w14:paraId="6146948A" w14:textId="77777777" w:rsidTr="0087540B">
        <w:tblPrEx>
          <w:tblW w:w="10188" w:type="dxa"/>
          <w:tblLook w:val="04A0"/>
        </w:tblPrEx>
        <w:tc>
          <w:tcPr>
            <w:tcW w:w="2718" w:type="dxa"/>
            <w:vAlign w:val="center"/>
          </w:tcPr>
          <w:p w:rsidR="007A7BE0" w:rsidRPr="0087540B" w:rsidP="0087540B" w14:paraId="13027E5C" w14:textId="2EE864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szCs w:val="20"/>
              </w:rPr>
            </w:pPr>
            <w:r w:rsidRPr="0087540B">
              <w:rPr>
                <w:rFonts w:ascii="Arial" w:hAnsi="Arial" w:cs="Arial"/>
                <w:b/>
                <w:sz w:val="20"/>
                <w:szCs w:val="20"/>
              </w:rPr>
              <w:t>Partner Request</w:t>
            </w:r>
          </w:p>
        </w:tc>
        <w:tc>
          <w:tcPr>
            <w:tcW w:w="1260" w:type="dxa"/>
            <w:vAlign w:val="center"/>
          </w:tcPr>
          <w:p w:rsidR="007A7BE0" w:rsidRPr="00E073B4" w:rsidP="0087540B" w14:paraId="61B65447" w14:textId="4BFEE00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sz w:val="20"/>
                <w:szCs w:val="20"/>
              </w:rPr>
              <w:t>2</w:t>
            </w:r>
          </w:p>
        </w:tc>
        <w:tc>
          <w:tcPr>
            <w:tcW w:w="1119" w:type="dxa"/>
            <w:shd w:val="clear" w:color="auto" w:fill="D6E3BC" w:themeFill="accent3" w:themeFillTint="66"/>
            <w:vAlign w:val="center"/>
          </w:tcPr>
          <w:p w:rsidR="007A7BE0" w:rsidRPr="00E073B4" w:rsidP="0087540B" w14:paraId="2ACC2539" w14:textId="6ACE8AF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1</w:t>
            </w:r>
          </w:p>
        </w:tc>
        <w:tc>
          <w:tcPr>
            <w:tcW w:w="1345" w:type="dxa"/>
            <w:vAlign w:val="center"/>
          </w:tcPr>
          <w:p w:rsidR="007A7BE0" w:rsidRPr="00E073B4" w:rsidP="0087540B" w14:paraId="74BCD817" w14:textId="1FC390B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2</w:t>
            </w:r>
          </w:p>
        </w:tc>
        <w:tc>
          <w:tcPr>
            <w:tcW w:w="1157" w:type="dxa"/>
            <w:shd w:val="clear" w:color="auto" w:fill="D6E3BC" w:themeFill="accent3" w:themeFillTint="66"/>
            <w:vAlign w:val="center"/>
          </w:tcPr>
          <w:p w:rsidR="007A7BE0" w:rsidRPr="00E073B4" w:rsidP="0087540B" w14:paraId="0BBAE923" w14:textId="4CC33A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1</w:t>
            </w:r>
          </w:p>
        </w:tc>
        <w:tc>
          <w:tcPr>
            <w:tcW w:w="1345" w:type="dxa"/>
            <w:vAlign w:val="center"/>
          </w:tcPr>
          <w:p w:rsidR="007A7BE0" w:rsidRPr="00E073B4" w:rsidP="0087540B" w14:paraId="1C8EA415" w14:textId="3B08121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0</w:t>
            </w:r>
          </w:p>
        </w:tc>
        <w:tc>
          <w:tcPr>
            <w:tcW w:w="1244" w:type="dxa"/>
            <w:shd w:val="clear" w:color="auto" w:fill="D6E3BC" w:themeFill="accent3" w:themeFillTint="66"/>
            <w:vAlign w:val="center"/>
          </w:tcPr>
          <w:p w:rsidR="007A7BE0" w:rsidRPr="00E073B4" w:rsidP="0087540B" w14:paraId="27396E3B" w14:textId="2FF81A0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E073B4">
              <w:rPr>
                <w:rFonts w:ascii="Arial" w:hAnsi="Arial" w:cs="Arial"/>
                <w:b/>
                <w:sz w:val="20"/>
                <w:szCs w:val="20"/>
              </w:rPr>
              <w:t>0</w:t>
            </w:r>
          </w:p>
        </w:tc>
      </w:tr>
      <w:tr w14:paraId="05CA16D5" w14:textId="77777777" w:rsidTr="0087540B">
        <w:tblPrEx>
          <w:tblW w:w="10188" w:type="dxa"/>
          <w:tblLook w:val="04A0"/>
        </w:tblPrEx>
        <w:tc>
          <w:tcPr>
            <w:tcW w:w="2718" w:type="dxa"/>
            <w:vAlign w:val="center"/>
          </w:tcPr>
          <w:p w:rsidR="007A7BE0" w:rsidRPr="0087540B" w:rsidP="0087540B" w14:paraId="14B9EC11" w14:textId="3870A19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0"/>
                <w:szCs w:val="20"/>
              </w:rPr>
            </w:pPr>
            <w:r w:rsidRPr="0087540B">
              <w:rPr>
                <w:rFonts w:ascii="Arial" w:eastAsia="Arial" w:hAnsi="Arial" w:cs="Arial"/>
                <w:sz w:val="20"/>
                <w:szCs w:val="20"/>
              </w:rPr>
              <w:t>Totals</w:t>
            </w:r>
          </w:p>
        </w:tc>
        <w:tc>
          <w:tcPr>
            <w:tcW w:w="1260" w:type="dxa"/>
            <w:vAlign w:val="center"/>
          </w:tcPr>
          <w:p w:rsidR="007A7BE0" w:rsidRPr="00CE0E12" w:rsidP="0087540B" w14:paraId="3BA2011F" w14:textId="606E3C9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CE0E12">
              <w:rPr>
                <w:rFonts w:ascii="Arial" w:hAnsi="Arial" w:cs="Arial"/>
                <w:b/>
                <w:sz w:val="20"/>
                <w:szCs w:val="20"/>
              </w:rPr>
              <w:t>66</w:t>
            </w:r>
          </w:p>
        </w:tc>
        <w:tc>
          <w:tcPr>
            <w:tcW w:w="1119" w:type="dxa"/>
            <w:shd w:val="clear" w:color="auto" w:fill="D6E3BC" w:themeFill="accent3" w:themeFillTint="66"/>
            <w:vAlign w:val="center"/>
          </w:tcPr>
          <w:p w:rsidR="007A7BE0" w:rsidRPr="00CE0E12" w:rsidP="0087540B" w14:paraId="5111DDE6" w14:textId="2D7518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CE0E12">
              <w:rPr>
                <w:rFonts w:ascii="Arial" w:hAnsi="Arial" w:cs="Arial"/>
                <w:b/>
                <w:sz w:val="20"/>
                <w:szCs w:val="20"/>
              </w:rPr>
              <w:t>2561</w:t>
            </w:r>
          </w:p>
        </w:tc>
        <w:tc>
          <w:tcPr>
            <w:tcW w:w="1345" w:type="dxa"/>
            <w:vAlign w:val="center"/>
          </w:tcPr>
          <w:p w:rsidR="007A7BE0" w:rsidRPr="00CE0E12" w:rsidP="0087540B" w14:paraId="357AA004" w14:textId="37839D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CE0E12">
              <w:rPr>
                <w:rFonts w:ascii="Arial" w:hAnsi="Arial" w:cs="Arial"/>
                <w:b/>
                <w:sz w:val="20"/>
                <w:szCs w:val="20"/>
              </w:rPr>
              <w:t>42</w:t>
            </w:r>
            <w:r w:rsidRPr="00CE0E12" w:rsidR="00906593">
              <w:rPr>
                <w:rFonts w:ascii="Arial" w:hAnsi="Arial" w:cs="Arial"/>
                <w:b/>
              </w:rPr>
              <w:fldChar w:fldCharType="begin"/>
            </w:r>
            <w:r w:rsidRPr="00CE0E12" w:rsidR="00906593">
              <w:rPr>
                <w:rFonts w:ascii="Arial" w:hAnsi="Arial" w:cs="Arial"/>
                <w:b/>
                <w:sz w:val="20"/>
                <w:szCs w:val="20"/>
              </w:rPr>
              <w:instrText xml:space="preserve">  </w:instrText>
            </w:r>
            <w:r w:rsidRPr="00CE0E12" w:rsidR="00906593">
              <w:rPr>
                <w:rFonts w:ascii="Arial" w:hAnsi="Arial" w:cs="Arial"/>
                <w:b/>
              </w:rPr>
              <w:fldChar w:fldCharType="end"/>
            </w:r>
          </w:p>
        </w:tc>
        <w:tc>
          <w:tcPr>
            <w:tcW w:w="1157" w:type="dxa"/>
            <w:shd w:val="clear" w:color="auto" w:fill="D6E3BC" w:themeFill="accent3" w:themeFillTint="66"/>
            <w:vAlign w:val="center"/>
          </w:tcPr>
          <w:p w:rsidR="007A7BE0" w:rsidRPr="00CE0E12" w:rsidP="0087540B" w14:paraId="3C597CAA" w14:textId="3C4D3A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CE0E12">
              <w:rPr>
                <w:rFonts w:ascii="Arial" w:hAnsi="Arial" w:cs="Arial"/>
                <w:b/>
              </w:rPr>
              <w:fldChar w:fldCharType="begin"/>
            </w:r>
            <w:r w:rsidRPr="00CE0E12">
              <w:rPr>
                <w:rFonts w:ascii="Arial" w:hAnsi="Arial" w:cs="Arial"/>
                <w:b/>
                <w:sz w:val="20"/>
                <w:szCs w:val="20"/>
              </w:rPr>
              <w:instrText xml:space="preserve"> =SUM(ABOVE) </w:instrText>
            </w:r>
            <w:r w:rsidRPr="00CE0E12">
              <w:rPr>
                <w:rFonts w:ascii="Arial" w:hAnsi="Arial" w:cs="Arial"/>
                <w:b/>
              </w:rPr>
              <w:fldChar w:fldCharType="separate"/>
            </w:r>
            <w:r w:rsidRPr="00CE0E12">
              <w:rPr>
                <w:rFonts w:ascii="Arial" w:hAnsi="Arial" w:cs="Arial"/>
                <w:b/>
                <w:noProof/>
                <w:sz w:val="20"/>
                <w:szCs w:val="20"/>
              </w:rPr>
              <w:t>1</w:t>
            </w:r>
            <w:r w:rsidRPr="00CE0E12" w:rsidR="005F6414">
              <w:rPr>
                <w:rFonts w:ascii="Arial" w:hAnsi="Arial" w:cs="Arial"/>
                <w:b/>
                <w:noProof/>
                <w:sz w:val="20"/>
                <w:szCs w:val="20"/>
              </w:rPr>
              <w:t>6</w:t>
            </w:r>
            <w:r w:rsidRPr="00CE0E12">
              <w:rPr>
                <w:rFonts w:ascii="Arial" w:hAnsi="Arial" w:cs="Arial"/>
                <w:b/>
                <w:noProof/>
                <w:sz w:val="20"/>
                <w:szCs w:val="20"/>
              </w:rPr>
              <w:t>01</w:t>
            </w:r>
            <w:r w:rsidRPr="00CE0E12">
              <w:rPr>
                <w:rFonts w:ascii="Arial" w:hAnsi="Arial" w:cs="Arial"/>
                <w:b/>
              </w:rPr>
              <w:fldChar w:fldCharType="end"/>
            </w:r>
          </w:p>
        </w:tc>
        <w:tc>
          <w:tcPr>
            <w:tcW w:w="1345" w:type="dxa"/>
            <w:vAlign w:val="center"/>
          </w:tcPr>
          <w:p w:rsidR="007A7BE0" w:rsidRPr="00CE0E12" w:rsidP="0087540B" w14:paraId="50105CF9" w14:textId="3F05FF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CE0E12">
              <w:rPr>
                <w:rFonts w:ascii="Arial" w:hAnsi="Arial" w:cs="Arial"/>
                <w:b/>
                <w:sz w:val="20"/>
                <w:szCs w:val="20"/>
              </w:rPr>
              <w:t>+24</w:t>
            </w:r>
          </w:p>
        </w:tc>
        <w:tc>
          <w:tcPr>
            <w:tcW w:w="1244" w:type="dxa"/>
            <w:shd w:val="clear" w:color="auto" w:fill="D6E3BC" w:themeFill="accent3" w:themeFillTint="66"/>
            <w:vAlign w:val="center"/>
          </w:tcPr>
          <w:p w:rsidR="007A7BE0" w:rsidRPr="00CE0E12" w:rsidP="0087540B" w14:paraId="1ECBA6C8" w14:textId="77FBD1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szCs w:val="20"/>
              </w:rPr>
            </w:pPr>
            <w:r w:rsidRPr="00CE0E12">
              <w:rPr>
                <w:rFonts w:ascii="Arial" w:hAnsi="Arial" w:cs="Arial"/>
                <w:b/>
                <w:sz w:val="20"/>
                <w:szCs w:val="20"/>
              </w:rPr>
              <w:t>+</w:t>
            </w:r>
            <w:r w:rsidRPr="00CE0E12" w:rsidR="007551C6">
              <w:rPr>
                <w:rFonts w:ascii="Arial" w:hAnsi="Arial" w:cs="Arial"/>
                <w:b/>
                <w:sz w:val="20"/>
                <w:szCs w:val="20"/>
              </w:rPr>
              <w:t>9</w:t>
            </w:r>
            <w:r w:rsidRPr="00CE0E12">
              <w:rPr>
                <w:rFonts w:ascii="Arial" w:hAnsi="Arial" w:cs="Arial"/>
                <w:b/>
                <w:sz w:val="20"/>
                <w:szCs w:val="20"/>
              </w:rPr>
              <w:t>60</w:t>
            </w:r>
          </w:p>
        </w:tc>
      </w:tr>
    </w:tbl>
    <w:p w:rsidR="00C07C2A" w:rsidP="00B418A8" w14:paraId="2BE7BC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p>
    <w:p w:rsidR="00295103" w:rsidRPr="00A33CF5" w14:paraId="2DA54C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33CF5">
        <w:rPr>
          <w:rFonts w:ascii="Arial" w:hAnsi="Arial" w:cs="Arial"/>
          <w:b/>
          <w:sz w:val="22"/>
          <w:szCs w:val="22"/>
        </w:rPr>
        <w:t>16.</w:t>
      </w:r>
      <w:r w:rsidRPr="00A33CF5">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643E" w:rsidRPr="00A33CF5" w:rsidP="00E84D2D" w14:paraId="3971C6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p>
    <w:p w:rsidR="00E9643E" w:rsidRPr="00A33CF5" w:rsidP="00E84D2D" w14:paraId="5CDB81C4" w14:textId="047E8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A33CF5">
        <w:rPr>
          <w:rFonts w:ascii="Arial" w:hAnsi="Arial" w:cs="Arial"/>
          <w:sz w:val="22"/>
          <w:szCs w:val="22"/>
        </w:rPr>
        <w:t>A</w:t>
      </w:r>
      <w:r w:rsidRPr="00A33CF5" w:rsidR="00912B0B">
        <w:rPr>
          <w:rFonts w:ascii="Arial" w:hAnsi="Arial" w:cs="Arial"/>
          <w:sz w:val="22"/>
          <w:szCs w:val="22"/>
        </w:rPr>
        <w:t xml:space="preserve">pplications under review are listed on our </w:t>
      </w:r>
      <w:r w:rsidRPr="00A33CF5" w:rsidR="00D73463">
        <w:rPr>
          <w:rFonts w:ascii="Arial" w:hAnsi="Arial" w:cs="Arial"/>
          <w:sz w:val="22"/>
          <w:szCs w:val="22"/>
        </w:rPr>
        <w:t>w</w:t>
      </w:r>
      <w:r w:rsidRPr="00A33CF5" w:rsidR="00912B0B">
        <w:rPr>
          <w:rFonts w:ascii="Arial" w:hAnsi="Arial" w:cs="Arial"/>
          <w:sz w:val="22"/>
          <w:szCs w:val="22"/>
        </w:rPr>
        <w:t xml:space="preserve">ebsite </w:t>
      </w:r>
      <w:r w:rsidRPr="00A33CF5" w:rsidR="00827F06">
        <w:rPr>
          <w:rFonts w:ascii="Arial" w:hAnsi="Arial" w:cs="Arial"/>
          <w:sz w:val="22"/>
          <w:szCs w:val="22"/>
        </w:rPr>
        <w:t xml:space="preserve">(www.nps.gov/ugrr) </w:t>
      </w:r>
      <w:r w:rsidRPr="00A33CF5" w:rsidR="00912B0B">
        <w:rPr>
          <w:rFonts w:ascii="Arial" w:hAnsi="Arial" w:cs="Arial"/>
          <w:sz w:val="22"/>
          <w:szCs w:val="22"/>
        </w:rPr>
        <w:t xml:space="preserve">with an invitation for public comment. </w:t>
      </w:r>
      <w:r w:rsidRPr="00A33CF5" w:rsidR="00DB29A4">
        <w:rPr>
          <w:rFonts w:ascii="Arial" w:hAnsi="Arial" w:cs="Arial"/>
          <w:sz w:val="22"/>
          <w:szCs w:val="22"/>
        </w:rPr>
        <w:t xml:space="preserve"> </w:t>
      </w:r>
      <w:r w:rsidRPr="00A33CF5" w:rsidR="00912B0B">
        <w:rPr>
          <w:rFonts w:ascii="Arial" w:hAnsi="Arial" w:cs="Arial"/>
          <w:sz w:val="22"/>
          <w:szCs w:val="22"/>
        </w:rPr>
        <w:t xml:space="preserve">Information about approved candidates, including summary abstracts, </w:t>
      </w:r>
      <w:r w:rsidR="004829BF">
        <w:rPr>
          <w:rFonts w:ascii="Arial" w:hAnsi="Arial" w:cs="Arial"/>
          <w:sz w:val="22"/>
          <w:szCs w:val="22"/>
        </w:rPr>
        <w:t>is</w:t>
      </w:r>
      <w:r w:rsidRPr="00A33CF5" w:rsidR="004829BF">
        <w:rPr>
          <w:rFonts w:ascii="Arial" w:hAnsi="Arial" w:cs="Arial"/>
          <w:sz w:val="22"/>
          <w:szCs w:val="22"/>
        </w:rPr>
        <w:t xml:space="preserve"> </w:t>
      </w:r>
      <w:r w:rsidRPr="00A33CF5" w:rsidR="00912B0B">
        <w:rPr>
          <w:rFonts w:ascii="Arial" w:hAnsi="Arial" w:cs="Arial"/>
          <w:sz w:val="22"/>
          <w:szCs w:val="22"/>
        </w:rPr>
        <w:t xml:space="preserve">presented on the </w:t>
      </w:r>
      <w:r w:rsidRPr="00A33CF5" w:rsidR="00933AB5">
        <w:rPr>
          <w:rFonts w:ascii="Arial" w:hAnsi="Arial" w:cs="Arial"/>
          <w:sz w:val="22"/>
          <w:szCs w:val="22"/>
        </w:rPr>
        <w:t>w</w:t>
      </w:r>
      <w:r w:rsidRPr="00A33CF5" w:rsidR="00912B0B">
        <w:rPr>
          <w:rFonts w:ascii="Arial" w:hAnsi="Arial" w:cs="Arial"/>
          <w:sz w:val="22"/>
          <w:szCs w:val="22"/>
        </w:rPr>
        <w:t>eb</w:t>
      </w:r>
      <w:r w:rsidRPr="00A33CF5" w:rsidR="00775B07">
        <w:rPr>
          <w:rFonts w:ascii="Arial" w:hAnsi="Arial" w:cs="Arial"/>
          <w:sz w:val="22"/>
          <w:szCs w:val="22"/>
        </w:rPr>
        <w:t>site</w:t>
      </w:r>
      <w:r w:rsidRPr="00A33CF5" w:rsidR="00912B0B">
        <w:rPr>
          <w:rFonts w:ascii="Arial" w:hAnsi="Arial" w:cs="Arial"/>
          <w:sz w:val="22"/>
          <w:szCs w:val="22"/>
        </w:rPr>
        <w:t xml:space="preserve"> and available as an electronic file</w:t>
      </w:r>
      <w:r w:rsidRPr="00A33CF5" w:rsidR="00775B07">
        <w:rPr>
          <w:rFonts w:ascii="Arial" w:hAnsi="Arial" w:cs="Arial"/>
          <w:sz w:val="22"/>
          <w:szCs w:val="22"/>
        </w:rPr>
        <w:t>.</w:t>
      </w:r>
      <w:r w:rsidRPr="00A33CF5" w:rsidR="00912B0B">
        <w:rPr>
          <w:rFonts w:ascii="Arial" w:hAnsi="Arial" w:cs="Arial"/>
          <w:sz w:val="22"/>
          <w:szCs w:val="22"/>
        </w:rPr>
        <w:t xml:space="preserve"> </w:t>
      </w:r>
      <w:r w:rsidRPr="00A33CF5" w:rsidR="00DB29A4">
        <w:rPr>
          <w:rFonts w:ascii="Arial" w:hAnsi="Arial" w:cs="Arial"/>
          <w:sz w:val="22"/>
          <w:szCs w:val="22"/>
        </w:rPr>
        <w:t xml:space="preserve"> </w:t>
      </w:r>
      <w:r w:rsidRPr="00A33CF5" w:rsidR="00912B0B">
        <w:rPr>
          <w:rFonts w:ascii="Arial" w:hAnsi="Arial" w:cs="Arial"/>
          <w:sz w:val="22"/>
          <w:szCs w:val="22"/>
        </w:rPr>
        <w:t>Once approved, applications become part of the public record and are distributed upon request.</w:t>
      </w:r>
    </w:p>
    <w:p w:rsidR="00CF0046" w:rsidRPr="00A33CF5" w:rsidP="00E84D2D" w14:paraId="6C0E14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p>
    <w:p w:rsidR="00295103" w:rsidRPr="00A33CF5" w:rsidP="00C72D94" w14:paraId="7345579B" w14:textId="77777777">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sz w:val="22"/>
          <w:szCs w:val="22"/>
        </w:rPr>
      </w:pPr>
      <w:r w:rsidRPr="00A33CF5">
        <w:rPr>
          <w:rFonts w:ascii="Arial" w:hAnsi="Arial" w:cs="Arial"/>
          <w:b/>
          <w:sz w:val="22"/>
          <w:szCs w:val="22"/>
        </w:rPr>
        <w:t>17.  If seeking approval to not display the expiration date for OMB approval of the information collection, explain the reasons that display would be inappropriate.</w:t>
      </w:r>
    </w:p>
    <w:p w:rsidR="002459A5" w:rsidRPr="00A33CF5" w14:paraId="463EC6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459A5" w:rsidRPr="00A33CF5" w:rsidP="00E84D2D" w14:paraId="71476E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A33CF5">
        <w:rPr>
          <w:rFonts w:ascii="Arial" w:hAnsi="Arial" w:cs="Arial"/>
          <w:sz w:val="22"/>
          <w:szCs w:val="22"/>
        </w:rPr>
        <w:t>We will display the OMB control number and expiration date on the form</w:t>
      </w:r>
      <w:r w:rsidRPr="00A33CF5" w:rsidR="00160BDF">
        <w:rPr>
          <w:rFonts w:ascii="Arial" w:hAnsi="Arial" w:cs="Arial"/>
          <w:sz w:val="22"/>
          <w:szCs w:val="22"/>
        </w:rPr>
        <w:t xml:space="preserve"> and other appropriate</w:t>
      </w:r>
      <w:r w:rsidRPr="00A33CF5" w:rsidR="007569EC">
        <w:rPr>
          <w:rFonts w:ascii="Arial" w:hAnsi="Arial" w:cs="Arial"/>
          <w:sz w:val="22"/>
          <w:szCs w:val="22"/>
        </w:rPr>
        <w:t xml:space="preserve"> material.</w:t>
      </w:r>
    </w:p>
    <w:p w:rsidR="00295103" w:rsidRPr="00A33CF5" w14:paraId="5C6F65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A33CF5" w14:paraId="38A53F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33CF5">
        <w:rPr>
          <w:rFonts w:ascii="Arial" w:hAnsi="Arial" w:cs="Arial"/>
          <w:b/>
          <w:sz w:val="22"/>
          <w:szCs w:val="22"/>
        </w:rPr>
        <w:t>18.</w:t>
      </w:r>
      <w:r w:rsidRPr="00A33CF5">
        <w:rPr>
          <w:rFonts w:ascii="Arial" w:hAnsi="Arial" w:cs="Arial"/>
          <w:b/>
          <w:sz w:val="22"/>
          <w:szCs w:val="22"/>
        </w:rPr>
        <w:tab/>
        <w:t xml:space="preserve">Explain each exception to the </w:t>
      </w:r>
      <w:r w:rsidRPr="00A33CF5" w:rsidR="005D39A7">
        <w:rPr>
          <w:rFonts w:ascii="Arial" w:hAnsi="Arial" w:cs="Arial"/>
          <w:b/>
          <w:sz w:val="22"/>
          <w:szCs w:val="22"/>
        </w:rPr>
        <w:t xml:space="preserve">topics of the </w:t>
      </w:r>
      <w:r w:rsidRPr="00A33CF5">
        <w:rPr>
          <w:rFonts w:ascii="Arial" w:hAnsi="Arial" w:cs="Arial"/>
          <w:b/>
          <w:sz w:val="22"/>
          <w:szCs w:val="22"/>
        </w:rPr>
        <w:t>certification statement identified in "Certification for Paperwork Reduction Act Submissions</w:t>
      </w:r>
      <w:r w:rsidRPr="00A33CF5" w:rsidR="005D39A7">
        <w:rPr>
          <w:rFonts w:ascii="Arial" w:hAnsi="Arial" w:cs="Arial"/>
          <w:b/>
          <w:sz w:val="22"/>
          <w:szCs w:val="22"/>
        </w:rPr>
        <w:t>.</w:t>
      </w:r>
      <w:r w:rsidRPr="00A33CF5">
        <w:rPr>
          <w:rFonts w:ascii="Arial" w:hAnsi="Arial" w:cs="Arial"/>
          <w:b/>
          <w:sz w:val="22"/>
          <w:szCs w:val="22"/>
        </w:rPr>
        <w:t>"</w:t>
      </w:r>
    </w:p>
    <w:p w:rsidR="002B5C34" w:rsidRPr="00A33CF5" w14:paraId="368EC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A33CF5" w:rsidP="00CF493D" w14:paraId="20F515D8" w14:textId="7459C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A33CF5">
        <w:rPr>
          <w:rFonts w:ascii="Arial" w:hAnsi="Arial" w:cs="Arial"/>
          <w:sz w:val="22"/>
          <w:szCs w:val="22"/>
        </w:rPr>
        <w:t>There are no exceptions to the certification statement.</w:t>
      </w:r>
    </w:p>
    <w:sectPr w:rsidSect="004C406A">
      <w:footerReference w:type="default" r:id="rId9"/>
      <w:footerReference w:type="first" r:id="rId10"/>
      <w:type w:val="continuous"/>
      <w:pgSz w:w="12240" w:h="15840" w:code="1"/>
      <w:pgMar w:top="1440" w:right="1440" w:bottom="1440" w:left="1440" w:header="1440" w:footer="945" w:gutter="0"/>
      <w:pgNumType w:fmt="numberInDash"/>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2049336"/>
      <w:docPartObj>
        <w:docPartGallery w:val="Page Numbers (Bottom of Page)"/>
        <w:docPartUnique/>
      </w:docPartObj>
    </w:sdtPr>
    <w:sdtEndPr>
      <w:rPr>
        <w:rFonts w:ascii="Arial" w:hAnsi="Arial" w:cs="Arial"/>
        <w:noProof/>
        <w:sz w:val="22"/>
        <w:szCs w:val="22"/>
      </w:rPr>
    </w:sdtEndPr>
    <w:sdtContent>
      <w:p w:rsidR="004C406A" w:rsidRPr="004C406A" w:rsidP="004C406A" w14:paraId="14A4C25A" w14:textId="24320775">
        <w:pPr>
          <w:pStyle w:val="Footer"/>
          <w:jc w:val="center"/>
          <w:rPr>
            <w:rFonts w:ascii="Arial" w:hAnsi="Arial" w:cs="Arial"/>
            <w:sz w:val="22"/>
            <w:szCs w:val="22"/>
          </w:rPr>
        </w:pPr>
        <w:r w:rsidRPr="004C406A">
          <w:rPr>
            <w:rFonts w:ascii="Arial" w:hAnsi="Arial" w:cs="Arial"/>
            <w:sz w:val="22"/>
            <w:szCs w:val="22"/>
          </w:rPr>
          <w:fldChar w:fldCharType="begin"/>
        </w:r>
        <w:r w:rsidRPr="004C406A">
          <w:rPr>
            <w:rFonts w:ascii="Arial" w:hAnsi="Arial" w:cs="Arial"/>
            <w:sz w:val="22"/>
            <w:szCs w:val="22"/>
          </w:rPr>
          <w:instrText xml:space="preserve"> PAGE   \* MERGEFORMAT </w:instrText>
        </w:r>
        <w:r w:rsidRPr="004C406A">
          <w:rPr>
            <w:rFonts w:ascii="Arial" w:hAnsi="Arial" w:cs="Arial"/>
            <w:sz w:val="22"/>
            <w:szCs w:val="22"/>
          </w:rPr>
          <w:fldChar w:fldCharType="separate"/>
        </w:r>
        <w:r w:rsidR="00560B62">
          <w:rPr>
            <w:rFonts w:ascii="Arial" w:hAnsi="Arial" w:cs="Arial"/>
            <w:noProof/>
            <w:sz w:val="22"/>
            <w:szCs w:val="22"/>
          </w:rPr>
          <w:t>- 1 -</w:t>
        </w:r>
        <w:r w:rsidRPr="004C406A">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169853"/>
      <w:docPartObj>
        <w:docPartGallery w:val="Page Numbers (Bottom of Page)"/>
        <w:docPartUnique/>
      </w:docPartObj>
    </w:sdtPr>
    <w:sdtEndPr>
      <w:rPr>
        <w:rFonts w:ascii="Arial" w:hAnsi="Arial" w:cs="Arial"/>
        <w:noProof/>
        <w:sz w:val="22"/>
        <w:szCs w:val="22"/>
      </w:rPr>
    </w:sdtEndPr>
    <w:sdtContent>
      <w:p w:rsidR="004C406A" w14:paraId="6D026F04" w14:textId="77777777">
        <w:pPr>
          <w:pStyle w:val="Footer"/>
          <w:jc w:val="center"/>
        </w:pPr>
      </w:p>
      <w:p w:rsidR="004C406A" w:rsidRPr="004C406A" w:rsidP="004C406A" w14:paraId="1169E444" w14:textId="09DC7F36">
        <w:pPr>
          <w:pStyle w:val="Footer"/>
          <w:jc w:val="center"/>
          <w:rPr>
            <w:rFonts w:ascii="Arial" w:hAnsi="Arial" w:cs="Arial"/>
            <w:sz w:val="22"/>
            <w:szCs w:val="22"/>
          </w:rPr>
        </w:pPr>
        <w:r w:rsidRPr="004C406A">
          <w:rPr>
            <w:rFonts w:ascii="Arial" w:hAnsi="Arial" w:cs="Arial"/>
            <w:sz w:val="22"/>
            <w:szCs w:val="22"/>
          </w:rPr>
          <w:fldChar w:fldCharType="begin"/>
        </w:r>
        <w:r w:rsidRPr="004C406A">
          <w:rPr>
            <w:rFonts w:ascii="Arial" w:hAnsi="Arial" w:cs="Arial"/>
            <w:sz w:val="22"/>
            <w:szCs w:val="22"/>
          </w:rPr>
          <w:instrText xml:space="preserve"> PAGE   \* MERGEFORMAT </w:instrText>
        </w:r>
        <w:r w:rsidRPr="004C406A">
          <w:rPr>
            <w:rFonts w:ascii="Arial" w:hAnsi="Arial" w:cs="Arial"/>
            <w:sz w:val="22"/>
            <w:szCs w:val="22"/>
          </w:rPr>
          <w:fldChar w:fldCharType="separate"/>
        </w:r>
        <w:r>
          <w:rPr>
            <w:rFonts w:ascii="Arial" w:hAnsi="Arial" w:cs="Arial"/>
            <w:noProof/>
            <w:sz w:val="22"/>
            <w:szCs w:val="22"/>
          </w:rPr>
          <w:t>- 1 -</w:t>
        </w:r>
        <w:r w:rsidRPr="004C406A">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F3E" w14:paraId="4036E175" w14:textId="77777777">
      <w:r>
        <w:separator/>
      </w:r>
    </w:p>
  </w:footnote>
  <w:footnote w:type="continuationSeparator" w:id="1">
    <w:p w:rsidR="00147F3E" w14:paraId="45A9C73A" w14:textId="77777777">
      <w:r>
        <w:continuationSeparator/>
      </w:r>
    </w:p>
  </w:footnote>
  <w:footnote w:id="2">
    <w:p w:rsidR="00BB2EFF" w:rsidP="00BB2EFF" w14:paraId="3E166109" w14:textId="77777777">
      <w:pPr>
        <w:pStyle w:val="FootnoteText"/>
      </w:pPr>
      <w:r>
        <w:rPr>
          <w:rStyle w:val="FootnoteReference"/>
        </w:rPr>
        <w:footnoteRef/>
      </w:r>
      <w:r>
        <w:t xml:space="preserve"> </w:t>
      </w:r>
      <w:r w:rsidRPr="002F7D3B">
        <w:t>https://www.bls.gov/news.release/pdf/ecec.pdf</w:t>
      </w:r>
    </w:p>
  </w:footnote>
  <w:footnote w:id="3">
    <w:p w:rsidR="00F104E1" w14:paraId="03989E86" w14:textId="5D065517">
      <w:pPr>
        <w:pStyle w:val="FootnoteText"/>
      </w:pPr>
      <w:r>
        <w:rPr>
          <w:rStyle w:val="FootnoteReference"/>
        </w:rPr>
        <w:footnoteRef/>
      </w:r>
      <w:r>
        <w:t xml:space="preserve"> </w:t>
      </w:r>
      <w:hyperlink r:id="rId1" w:history="1">
        <w:r w:rsidRPr="00D409AA" w:rsidR="00D409AA">
          <w:rPr>
            <w:rStyle w:val="Hyperlink"/>
          </w:rPr>
          <w:t>DCB.pdf</w:t>
        </w:r>
      </w:hyperlink>
      <w:r w:rsidRPr="00F104E1">
        <w:t>https://www.opm.gov/policy-data-oversight/pay-leave/salaries-wages/salary-tables/pdf/2025/DCB_h.pdf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D0D56"/>
    <w:multiLevelType w:val="hybridMultilevel"/>
    <w:tmpl w:val="9E304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158C9"/>
    <w:multiLevelType w:val="hybridMultilevel"/>
    <w:tmpl w:val="CD6C5E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4919D2"/>
    <w:multiLevelType w:val="singleLevel"/>
    <w:tmpl w:val="0E5C2764"/>
    <w:lvl w:ilvl="0">
      <w:start w:val="1"/>
      <w:numFmt w:val="bullet"/>
      <w:lvlText w:val=""/>
      <w:lvlJc w:val="left"/>
      <w:pPr>
        <w:tabs>
          <w:tab w:val="num" w:pos="360"/>
        </w:tabs>
        <w:ind w:left="360" w:hanging="360"/>
      </w:pPr>
      <w:rPr>
        <w:rFonts w:ascii="Symbol" w:hAnsi="Symbol" w:hint="default"/>
        <w:sz w:val="28"/>
      </w:rPr>
    </w:lvl>
  </w:abstractNum>
  <w:abstractNum w:abstractNumId="3">
    <w:nsid w:val="2B9C2B6A"/>
    <w:multiLevelType w:val="hybridMultilevel"/>
    <w:tmpl w:val="924CD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614DDE"/>
    <w:multiLevelType w:val="singleLevel"/>
    <w:tmpl w:val="1E70313E"/>
    <w:lvl w:ilvl="0">
      <w:start w:val="3"/>
      <w:numFmt w:val="bullet"/>
      <w:lvlText w:val=""/>
      <w:lvlJc w:val="left"/>
      <w:pPr>
        <w:tabs>
          <w:tab w:val="num" w:pos="720"/>
        </w:tabs>
        <w:ind w:left="720" w:hanging="720"/>
      </w:pPr>
      <w:rPr>
        <w:rFonts w:ascii="Symbol" w:hAnsi="Symbol" w:hint="default"/>
      </w:rPr>
    </w:lvl>
  </w:abstractNum>
  <w:abstractNum w:abstractNumId="5">
    <w:nsid w:val="2FB854E8"/>
    <w:multiLevelType w:val="hybridMultilevel"/>
    <w:tmpl w:val="074648EA"/>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3D544F"/>
    <w:multiLevelType w:val="hybridMultilevel"/>
    <w:tmpl w:val="2E8E7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B73A3E"/>
    <w:multiLevelType w:val="hybridMultilevel"/>
    <w:tmpl w:val="33188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CA10B0D"/>
    <w:multiLevelType w:val="multilevel"/>
    <w:tmpl w:val="4C4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3F4300"/>
    <w:multiLevelType w:val="hybridMultilevel"/>
    <w:tmpl w:val="29668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E04F5F"/>
    <w:multiLevelType w:val="hybridMultilevel"/>
    <w:tmpl w:val="888E527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ED79BF"/>
    <w:multiLevelType w:val="hybridMultilevel"/>
    <w:tmpl w:val="8C6444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CB5744E"/>
    <w:multiLevelType w:val="hybridMultilevel"/>
    <w:tmpl w:val="5C2A1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8094193">
    <w:abstractNumId w:val="5"/>
  </w:num>
  <w:num w:numId="2" w16cid:durableId="351491622">
    <w:abstractNumId w:val="6"/>
  </w:num>
  <w:num w:numId="3" w16cid:durableId="1525512559">
    <w:abstractNumId w:val="2"/>
  </w:num>
  <w:num w:numId="4" w16cid:durableId="288897369">
    <w:abstractNumId w:val="4"/>
  </w:num>
  <w:num w:numId="5" w16cid:durableId="307634299">
    <w:abstractNumId w:val="3"/>
  </w:num>
  <w:num w:numId="6" w16cid:durableId="1434548876">
    <w:abstractNumId w:val="8"/>
  </w:num>
  <w:num w:numId="7" w16cid:durableId="502358000">
    <w:abstractNumId w:val="11"/>
  </w:num>
  <w:num w:numId="8" w16cid:durableId="1384988661">
    <w:abstractNumId w:val="1"/>
  </w:num>
  <w:num w:numId="9" w16cid:durableId="172457541">
    <w:abstractNumId w:val="10"/>
  </w:num>
  <w:num w:numId="10" w16cid:durableId="2039430824">
    <w:abstractNumId w:val="7"/>
  </w:num>
  <w:num w:numId="11" w16cid:durableId="1938325358">
    <w:abstractNumId w:val="13"/>
  </w:num>
  <w:num w:numId="12" w16cid:durableId="1141538691">
    <w:abstractNumId w:val="14"/>
  </w:num>
  <w:num w:numId="13" w16cid:durableId="678973212">
    <w:abstractNumId w:val="12"/>
  </w:num>
  <w:num w:numId="14" w16cid:durableId="2065328509">
    <w:abstractNumId w:val="0"/>
  </w:num>
  <w:num w:numId="15" w16cid:durableId="607199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E85"/>
    <w:rsid w:val="000041F5"/>
    <w:rsid w:val="0000421F"/>
    <w:rsid w:val="000141D3"/>
    <w:rsid w:val="000146EE"/>
    <w:rsid w:val="00014C31"/>
    <w:rsid w:val="00015CE9"/>
    <w:rsid w:val="00020582"/>
    <w:rsid w:val="00023B5C"/>
    <w:rsid w:val="00024057"/>
    <w:rsid w:val="000257C8"/>
    <w:rsid w:val="00025CA6"/>
    <w:rsid w:val="00026233"/>
    <w:rsid w:val="00030529"/>
    <w:rsid w:val="00031C82"/>
    <w:rsid w:val="00034B42"/>
    <w:rsid w:val="00041061"/>
    <w:rsid w:val="00041B35"/>
    <w:rsid w:val="00042DAF"/>
    <w:rsid w:val="00043834"/>
    <w:rsid w:val="00046897"/>
    <w:rsid w:val="000519AD"/>
    <w:rsid w:val="00052DB2"/>
    <w:rsid w:val="0005716D"/>
    <w:rsid w:val="00067DC0"/>
    <w:rsid w:val="00072F68"/>
    <w:rsid w:val="000734E1"/>
    <w:rsid w:val="000736D3"/>
    <w:rsid w:val="00075F71"/>
    <w:rsid w:val="00081554"/>
    <w:rsid w:val="00083590"/>
    <w:rsid w:val="00094579"/>
    <w:rsid w:val="0009458E"/>
    <w:rsid w:val="000A05E0"/>
    <w:rsid w:val="000A1235"/>
    <w:rsid w:val="000A4C2E"/>
    <w:rsid w:val="000A7807"/>
    <w:rsid w:val="000B3AB9"/>
    <w:rsid w:val="000B61DE"/>
    <w:rsid w:val="000C333A"/>
    <w:rsid w:val="000C69BA"/>
    <w:rsid w:val="000C7241"/>
    <w:rsid w:val="000D3241"/>
    <w:rsid w:val="000D5650"/>
    <w:rsid w:val="000D5AA9"/>
    <w:rsid w:val="000E2227"/>
    <w:rsid w:val="000F0018"/>
    <w:rsid w:val="000F1C17"/>
    <w:rsid w:val="000F2F1E"/>
    <w:rsid w:val="000F3886"/>
    <w:rsid w:val="000F3AF1"/>
    <w:rsid w:val="000F5D0B"/>
    <w:rsid w:val="000F6BC6"/>
    <w:rsid w:val="00106495"/>
    <w:rsid w:val="00114FB1"/>
    <w:rsid w:val="00124F15"/>
    <w:rsid w:val="00127B99"/>
    <w:rsid w:val="00130BBF"/>
    <w:rsid w:val="0013140C"/>
    <w:rsid w:val="00131DC5"/>
    <w:rsid w:val="0013378F"/>
    <w:rsid w:val="0014209B"/>
    <w:rsid w:val="00142AC3"/>
    <w:rsid w:val="00146386"/>
    <w:rsid w:val="00147F3E"/>
    <w:rsid w:val="00151AA6"/>
    <w:rsid w:val="00154A38"/>
    <w:rsid w:val="00160BDF"/>
    <w:rsid w:val="00160E06"/>
    <w:rsid w:val="0016282A"/>
    <w:rsid w:val="00162B02"/>
    <w:rsid w:val="0016374A"/>
    <w:rsid w:val="001705E7"/>
    <w:rsid w:val="001719EF"/>
    <w:rsid w:val="00176182"/>
    <w:rsid w:val="00176A6F"/>
    <w:rsid w:val="0017709E"/>
    <w:rsid w:val="0018288E"/>
    <w:rsid w:val="00196671"/>
    <w:rsid w:val="001A06FF"/>
    <w:rsid w:val="001B4A2F"/>
    <w:rsid w:val="001B614E"/>
    <w:rsid w:val="001B6321"/>
    <w:rsid w:val="001C17A4"/>
    <w:rsid w:val="001C62AC"/>
    <w:rsid w:val="001D177F"/>
    <w:rsid w:val="001D3646"/>
    <w:rsid w:val="001D51AD"/>
    <w:rsid w:val="001D5F05"/>
    <w:rsid w:val="001D743B"/>
    <w:rsid w:val="001D7AFE"/>
    <w:rsid w:val="001E31FC"/>
    <w:rsid w:val="001E323C"/>
    <w:rsid w:val="001E3A10"/>
    <w:rsid w:val="001E4775"/>
    <w:rsid w:val="001E6A80"/>
    <w:rsid w:val="001E775C"/>
    <w:rsid w:val="001F401A"/>
    <w:rsid w:val="00200330"/>
    <w:rsid w:val="00204801"/>
    <w:rsid w:val="002059AA"/>
    <w:rsid w:val="00213CC2"/>
    <w:rsid w:val="0021605F"/>
    <w:rsid w:val="00222FF0"/>
    <w:rsid w:val="002250BF"/>
    <w:rsid w:val="00226525"/>
    <w:rsid w:val="0022700D"/>
    <w:rsid w:val="0023267B"/>
    <w:rsid w:val="00235D8A"/>
    <w:rsid w:val="0023789B"/>
    <w:rsid w:val="00241427"/>
    <w:rsid w:val="00241932"/>
    <w:rsid w:val="00241FC5"/>
    <w:rsid w:val="00242B46"/>
    <w:rsid w:val="00242BE0"/>
    <w:rsid w:val="002434FA"/>
    <w:rsid w:val="002451FC"/>
    <w:rsid w:val="002459A5"/>
    <w:rsid w:val="00255B38"/>
    <w:rsid w:val="00256A47"/>
    <w:rsid w:val="0026455F"/>
    <w:rsid w:val="00265EF4"/>
    <w:rsid w:val="0027564F"/>
    <w:rsid w:val="002830A7"/>
    <w:rsid w:val="00287A08"/>
    <w:rsid w:val="00291287"/>
    <w:rsid w:val="00291FB6"/>
    <w:rsid w:val="00293E44"/>
    <w:rsid w:val="00294E98"/>
    <w:rsid w:val="00295103"/>
    <w:rsid w:val="00297A49"/>
    <w:rsid w:val="002A0E63"/>
    <w:rsid w:val="002A289E"/>
    <w:rsid w:val="002A3BF4"/>
    <w:rsid w:val="002A3FC4"/>
    <w:rsid w:val="002B2395"/>
    <w:rsid w:val="002B4C06"/>
    <w:rsid w:val="002B5C34"/>
    <w:rsid w:val="002B619A"/>
    <w:rsid w:val="002B6544"/>
    <w:rsid w:val="002C45E7"/>
    <w:rsid w:val="002C79AF"/>
    <w:rsid w:val="002D03E0"/>
    <w:rsid w:val="002D14FF"/>
    <w:rsid w:val="002D203A"/>
    <w:rsid w:val="002D4FEF"/>
    <w:rsid w:val="002D5652"/>
    <w:rsid w:val="002E585E"/>
    <w:rsid w:val="002E6086"/>
    <w:rsid w:val="002F1225"/>
    <w:rsid w:val="002F18A6"/>
    <w:rsid w:val="002F7C08"/>
    <w:rsid w:val="002F7D3B"/>
    <w:rsid w:val="00302015"/>
    <w:rsid w:val="003119FA"/>
    <w:rsid w:val="003133E0"/>
    <w:rsid w:val="00315F70"/>
    <w:rsid w:val="00317303"/>
    <w:rsid w:val="00317E6A"/>
    <w:rsid w:val="00321DF5"/>
    <w:rsid w:val="00325B70"/>
    <w:rsid w:val="00333DFE"/>
    <w:rsid w:val="00334A59"/>
    <w:rsid w:val="00336A1D"/>
    <w:rsid w:val="00352210"/>
    <w:rsid w:val="00355ABA"/>
    <w:rsid w:val="00362FCE"/>
    <w:rsid w:val="00364400"/>
    <w:rsid w:val="00364CF5"/>
    <w:rsid w:val="00366CCD"/>
    <w:rsid w:val="00371D69"/>
    <w:rsid w:val="00375D7A"/>
    <w:rsid w:val="003760E5"/>
    <w:rsid w:val="00377EED"/>
    <w:rsid w:val="00382213"/>
    <w:rsid w:val="00386565"/>
    <w:rsid w:val="0039225A"/>
    <w:rsid w:val="00392305"/>
    <w:rsid w:val="003923EE"/>
    <w:rsid w:val="00393D5A"/>
    <w:rsid w:val="00397A3C"/>
    <w:rsid w:val="003A0C5D"/>
    <w:rsid w:val="003A3BDD"/>
    <w:rsid w:val="003A5015"/>
    <w:rsid w:val="003A53AB"/>
    <w:rsid w:val="003B1AF0"/>
    <w:rsid w:val="003B243B"/>
    <w:rsid w:val="003B2AB8"/>
    <w:rsid w:val="003B3465"/>
    <w:rsid w:val="003B589A"/>
    <w:rsid w:val="003C3163"/>
    <w:rsid w:val="003C3292"/>
    <w:rsid w:val="003C400F"/>
    <w:rsid w:val="003C40E4"/>
    <w:rsid w:val="003C46B1"/>
    <w:rsid w:val="003C63C9"/>
    <w:rsid w:val="003E0254"/>
    <w:rsid w:val="003E3A69"/>
    <w:rsid w:val="003F288B"/>
    <w:rsid w:val="003F5329"/>
    <w:rsid w:val="003F6A83"/>
    <w:rsid w:val="00400216"/>
    <w:rsid w:val="004037D2"/>
    <w:rsid w:val="0040459D"/>
    <w:rsid w:val="004056E6"/>
    <w:rsid w:val="00406D45"/>
    <w:rsid w:val="004077E0"/>
    <w:rsid w:val="00407A5F"/>
    <w:rsid w:val="0041218B"/>
    <w:rsid w:val="00412C90"/>
    <w:rsid w:val="00413383"/>
    <w:rsid w:val="00413A05"/>
    <w:rsid w:val="00420719"/>
    <w:rsid w:val="004211AE"/>
    <w:rsid w:val="00423DE8"/>
    <w:rsid w:val="0044050A"/>
    <w:rsid w:val="00441AE1"/>
    <w:rsid w:val="004438AB"/>
    <w:rsid w:val="00443E10"/>
    <w:rsid w:val="004507F3"/>
    <w:rsid w:val="004532D0"/>
    <w:rsid w:val="00453BE1"/>
    <w:rsid w:val="00453E06"/>
    <w:rsid w:val="00453F41"/>
    <w:rsid w:val="004554B2"/>
    <w:rsid w:val="00455B23"/>
    <w:rsid w:val="00461676"/>
    <w:rsid w:val="00462D51"/>
    <w:rsid w:val="004632C7"/>
    <w:rsid w:val="00466194"/>
    <w:rsid w:val="0046668A"/>
    <w:rsid w:val="004671B4"/>
    <w:rsid w:val="00473F18"/>
    <w:rsid w:val="0047548E"/>
    <w:rsid w:val="00477223"/>
    <w:rsid w:val="00480D9F"/>
    <w:rsid w:val="004829BF"/>
    <w:rsid w:val="0048631A"/>
    <w:rsid w:val="00491347"/>
    <w:rsid w:val="004925F2"/>
    <w:rsid w:val="004A6DFA"/>
    <w:rsid w:val="004B0ED3"/>
    <w:rsid w:val="004B11C7"/>
    <w:rsid w:val="004B566F"/>
    <w:rsid w:val="004B6D21"/>
    <w:rsid w:val="004C3772"/>
    <w:rsid w:val="004C406A"/>
    <w:rsid w:val="004C7D27"/>
    <w:rsid w:val="004D3381"/>
    <w:rsid w:val="004D5AC7"/>
    <w:rsid w:val="004D6CDA"/>
    <w:rsid w:val="004E306B"/>
    <w:rsid w:val="004E4039"/>
    <w:rsid w:val="004F128A"/>
    <w:rsid w:val="005006E4"/>
    <w:rsid w:val="00501770"/>
    <w:rsid w:val="00504F0A"/>
    <w:rsid w:val="00511E45"/>
    <w:rsid w:val="0051374B"/>
    <w:rsid w:val="005140F0"/>
    <w:rsid w:val="0051651A"/>
    <w:rsid w:val="00523FAF"/>
    <w:rsid w:val="00525467"/>
    <w:rsid w:val="00527A38"/>
    <w:rsid w:val="00531871"/>
    <w:rsid w:val="00532BDE"/>
    <w:rsid w:val="00536FB9"/>
    <w:rsid w:val="005443EA"/>
    <w:rsid w:val="00545EEB"/>
    <w:rsid w:val="00550820"/>
    <w:rsid w:val="005579FA"/>
    <w:rsid w:val="00560B62"/>
    <w:rsid w:val="00563B6D"/>
    <w:rsid w:val="00564B5F"/>
    <w:rsid w:val="005729EA"/>
    <w:rsid w:val="00574FA5"/>
    <w:rsid w:val="00576444"/>
    <w:rsid w:val="00577D57"/>
    <w:rsid w:val="00580091"/>
    <w:rsid w:val="005813FF"/>
    <w:rsid w:val="0059240D"/>
    <w:rsid w:val="00595CDE"/>
    <w:rsid w:val="00596A32"/>
    <w:rsid w:val="005A2514"/>
    <w:rsid w:val="005A3676"/>
    <w:rsid w:val="005A635A"/>
    <w:rsid w:val="005B0119"/>
    <w:rsid w:val="005B23CD"/>
    <w:rsid w:val="005B516F"/>
    <w:rsid w:val="005B710B"/>
    <w:rsid w:val="005C283E"/>
    <w:rsid w:val="005D1064"/>
    <w:rsid w:val="005D2725"/>
    <w:rsid w:val="005D39A7"/>
    <w:rsid w:val="005D5997"/>
    <w:rsid w:val="005D606B"/>
    <w:rsid w:val="005D7E8B"/>
    <w:rsid w:val="005E0031"/>
    <w:rsid w:val="005E4FB2"/>
    <w:rsid w:val="005E65E8"/>
    <w:rsid w:val="005F2230"/>
    <w:rsid w:val="005F3A5D"/>
    <w:rsid w:val="005F58F2"/>
    <w:rsid w:val="005F6414"/>
    <w:rsid w:val="005F73BA"/>
    <w:rsid w:val="00600C08"/>
    <w:rsid w:val="0060353C"/>
    <w:rsid w:val="00604F52"/>
    <w:rsid w:val="006065CC"/>
    <w:rsid w:val="0060758B"/>
    <w:rsid w:val="0061559C"/>
    <w:rsid w:val="0061661E"/>
    <w:rsid w:val="00626243"/>
    <w:rsid w:val="0063179B"/>
    <w:rsid w:val="00633936"/>
    <w:rsid w:val="006375C8"/>
    <w:rsid w:val="00651A98"/>
    <w:rsid w:val="00652344"/>
    <w:rsid w:val="006530C1"/>
    <w:rsid w:val="0065397C"/>
    <w:rsid w:val="00654311"/>
    <w:rsid w:val="00655574"/>
    <w:rsid w:val="00656612"/>
    <w:rsid w:val="0065765C"/>
    <w:rsid w:val="0066064C"/>
    <w:rsid w:val="00667FB7"/>
    <w:rsid w:val="00673239"/>
    <w:rsid w:val="00674F9F"/>
    <w:rsid w:val="0067594D"/>
    <w:rsid w:val="006771DC"/>
    <w:rsid w:val="006773E4"/>
    <w:rsid w:val="00677885"/>
    <w:rsid w:val="006827FB"/>
    <w:rsid w:val="006832C0"/>
    <w:rsid w:val="006974E1"/>
    <w:rsid w:val="00697EE0"/>
    <w:rsid w:val="006A19FA"/>
    <w:rsid w:val="006A3E85"/>
    <w:rsid w:val="006A7FB8"/>
    <w:rsid w:val="006B70D6"/>
    <w:rsid w:val="006C2A45"/>
    <w:rsid w:val="006C4739"/>
    <w:rsid w:val="006C4DED"/>
    <w:rsid w:val="006C769E"/>
    <w:rsid w:val="006D02EC"/>
    <w:rsid w:val="006D2D5D"/>
    <w:rsid w:val="006D3AEA"/>
    <w:rsid w:val="006D51D5"/>
    <w:rsid w:val="006D7BDA"/>
    <w:rsid w:val="006E301B"/>
    <w:rsid w:val="006E339F"/>
    <w:rsid w:val="006E5CB5"/>
    <w:rsid w:val="006F4B4B"/>
    <w:rsid w:val="006F6453"/>
    <w:rsid w:val="006F7260"/>
    <w:rsid w:val="0070080F"/>
    <w:rsid w:val="00701C0C"/>
    <w:rsid w:val="00704390"/>
    <w:rsid w:val="00711EDE"/>
    <w:rsid w:val="0071309F"/>
    <w:rsid w:val="00713F52"/>
    <w:rsid w:val="007156B2"/>
    <w:rsid w:val="007164D1"/>
    <w:rsid w:val="00716FED"/>
    <w:rsid w:val="007237B3"/>
    <w:rsid w:val="00723927"/>
    <w:rsid w:val="00725AF8"/>
    <w:rsid w:val="00730DC5"/>
    <w:rsid w:val="00730FAE"/>
    <w:rsid w:val="00731E5F"/>
    <w:rsid w:val="00735A27"/>
    <w:rsid w:val="00742313"/>
    <w:rsid w:val="00744E88"/>
    <w:rsid w:val="007537CF"/>
    <w:rsid w:val="007551C6"/>
    <w:rsid w:val="007569EC"/>
    <w:rsid w:val="0075786B"/>
    <w:rsid w:val="007631E6"/>
    <w:rsid w:val="007647A2"/>
    <w:rsid w:val="00764F8A"/>
    <w:rsid w:val="0077021F"/>
    <w:rsid w:val="00771800"/>
    <w:rsid w:val="00775B07"/>
    <w:rsid w:val="0078055F"/>
    <w:rsid w:val="007851E9"/>
    <w:rsid w:val="00790569"/>
    <w:rsid w:val="007955BF"/>
    <w:rsid w:val="007A218F"/>
    <w:rsid w:val="007A4134"/>
    <w:rsid w:val="007A72BD"/>
    <w:rsid w:val="007A7BE0"/>
    <w:rsid w:val="007B0C08"/>
    <w:rsid w:val="007B261B"/>
    <w:rsid w:val="007C2332"/>
    <w:rsid w:val="007C4699"/>
    <w:rsid w:val="007C4AD6"/>
    <w:rsid w:val="007C5EC0"/>
    <w:rsid w:val="007D02CA"/>
    <w:rsid w:val="007E04D2"/>
    <w:rsid w:val="007E21B5"/>
    <w:rsid w:val="007E4F4C"/>
    <w:rsid w:val="007F2A7F"/>
    <w:rsid w:val="007F3113"/>
    <w:rsid w:val="007F3F36"/>
    <w:rsid w:val="007F4536"/>
    <w:rsid w:val="007F4681"/>
    <w:rsid w:val="007F630E"/>
    <w:rsid w:val="007F78C9"/>
    <w:rsid w:val="0080188F"/>
    <w:rsid w:val="00801954"/>
    <w:rsid w:val="00805220"/>
    <w:rsid w:val="0080568D"/>
    <w:rsid w:val="0080633A"/>
    <w:rsid w:val="008063F0"/>
    <w:rsid w:val="00807241"/>
    <w:rsid w:val="00807E1B"/>
    <w:rsid w:val="008111EB"/>
    <w:rsid w:val="00811FF5"/>
    <w:rsid w:val="00812561"/>
    <w:rsid w:val="0081259F"/>
    <w:rsid w:val="00813705"/>
    <w:rsid w:val="00814D53"/>
    <w:rsid w:val="00822BDA"/>
    <w:rsid w:val="00827848"/>
    <w:rsid w:val="00827F06"/>
    <w:rsid w:val="0083004F"/>
    <w:rsid w:val="008328C4"/>
    <w:rsid w:val="00833AF2"/>
    <w:rsid w:val="0083628D"/>
    <w:rsid w:val="00836FBB"/>
    <w:rsid w:val="008440A0"/>
    <w:rsid w:val="00850375"/>
    <w:rsid w:val="008539A5"/>
    <w:rsid w:val="00854F8F"/>
    <w:rsid w:val="00855E22"/>
    <w:rsid w:val="00857E26"/>
    <w:rsid w:val="008625E3"/>
    <w:rsid w:val="00871E84"/>
    <w:rsid w:val="008749A9"/>
    <w:rsid w:val="0087540B"/>
    <w:rsid w:val="00875FE3"/>
    <w:rsid w:val="00877D7F"/>
    <w:rsid w:val="00882A18"/>
    <w:rsid w:val="008832FE"/>
    <w:rsid w:val="00885555"/>
    <w:rsid w:val="00893944"/>
    <w:rsid w:val="00895E96"/>
    <w:rsid w:val="008B706C"/>
    <w:rsid w:val="008C06F8"/>
    <w:rsid w:val="008C1655"/>
    <w:rsid w:val="008C1D2D"/>
    <w:rsid w:val="008C2280"/>
    <w:rsid w:val="008C3948"/>
    <w:rsid w:val="008C4050"/>
    <w:rsid w:val="008D4882"/>
    <w:rsid w:val="008E01BC"/>
    <w:rsid w:val="008E1977"/>
    <w:rsid w:val="008E3C23"/>
    <w:rsid w:val="008E4348"/>
    <w:rsid w:val="008E549B"/>
    <w:rsid w:val="008F2D54"/>
    <w:rsid w:val="008F2E2E"/>
    <w:rsid w:val="009030E8"/>
    <w:rsid w:val="00905D75"/>
    <w:rsid w:val="00905DCB"/>
    <w:rsid w:val="00906280"/>
    <w:rsid w:val="00906593"/>
    <w:rsid w:val="00907979"/>
    <w:rsid w:val="00911A33"/>
    <w:rsid w:val="00912195"/>
    <w:rsid w:val="00912B0B"/>
    <w:rsid w:val="0091557A"/>
    <w:rsid w:val="00916E74"/>
    <w:rsid w:val="00916FA2"/>
    <w:rsid w:val="0092095A"/>
    <w:rsid w:val="00920CDB"/>
    <w:rsid w:val="00921D54"/>
    <w:rsid w:val="00931FC7"/>
    <w:rsid w:val="00932C18"/>
    <w:rsid w:val="00933AB5"/>
    <w:rsid w:val="00942F04"/>
    <w:rsid w:val="0094434C"/>
    <w:rsid w:val="00944A3E"/>
    <w:rsid w:val="00944C21"/>
    <w:rsid w:val="00947416"/>
    <w:rsid w:val="00953327"/>
    <w:rsid w:val="00953A96"/>
    <w:rsid w:val="00960518"/>
    <w:rsid w:val="00961841"/>
    <w:rsid w:val="00961960"/>
    <w:rsid w:val="00962128"/>
    <w:rsid w:val="00970611"/>
    <w:rsid w:val="009738A5"/>
    <w:rsid w:val="00974E57"/>
    <w:rsid w:val="00980E48"/>
    <w:rsid w:val="00982D18"/>
    <w:rsid w:val="00987940"/>
    <w:rsid w:val="00993B8F"/>
    <w:rsid w:val="00996CAC"/>
    <w:rsid w:val="009A40F3"/>
    <w:rsid w:val="009A421D"/>
    <w:rsid w:val="009A6305"/>
    <w:rsid w:val="009B017E"/>
    <w:rsid w:val="009B359F"/>
    <w:rsid w:val="009B49EC"/>
    <w:rsid w:val="009C01D3"/>
    <w:rsid w:val="009C05EC"/>
    <w:rsid w:val="009C56C8"/>
    <w:rsid w:val="009C5E44"/>
    <w:rsid w:val="009C60C1"/>
    <w:rsid w:val="009C6638"/>
    <w:rsid w:val="009C6DE0"/>
    <w:rsid w:val="009D23FF"/>
    <w:rsid w:val="009D5B69"/>
    <w:rsid w:val="009E1A1D"/>
    <w:rsid w:val="009E26D3"/>
    <w:rsid w:val="009E3EAD"/>
    <w:rsid w:val="009E5112"/>
    <w:rsid w:val="009E6B14"/>
    <w:rsid w:val="009F209C"/>
    <w:rsid w:val="009F29EC"/>
    <w:rsid w:val="009F4394"/>
    <w:rsid w:val="00A000D4"/>
    <w:rsid w:val="00A00439"/>
    <w:rsid w:val="00A012E3"/>
    <w:rsid w:val="00A02016"/>
    <w:rsid w:val="00A02EF9"/>
    <w:rsid w:val="00A055B9"/>
    <w:rsid w:val="00A10A1C"/>
    <w:rsid w:val="00A11186"/>
    <w:rsid w:val="00A17655"/>
    <w:rsid w:val="00A23C68"/>
    <w:rsid w:val="00A24A31"/>
    <w:rsid w:val="00A25591"/>
    <w:rsid w:val="00A279F9"/>
    <w:rsid w:val="00A33CF5"/>
    <w:rsid w:val="00A33E82"/>
    <w:rsid w:val="00A3427C"/>
    <w:rsid w:val="00A407A9"/>
    <w:rsid w:val="00A429C3"/>
    <w:rsid w:val="00A454C6"/>
    <w:rsid w:val="00A47CA2"/>
    <w:rsid w:val="00A5008F"/>
    <w:rsid w:val="00A52E7E"/>
    <w:rsid w:val="00A63CD4"/>
    <w:rsid w:val="00A65114"/>
    <w:rsid w:val="00A70BEF"/>
    <w:rsid w:val="00A71E4B"/>
    <w:rsid w:val="00A71F00"/>
    <w:rsid w:val="00A8068A"/>
    <w:rsid w:val="00A84115"/>
    <w:rsid w:val="00A87AFA"/>
    <w:rsid w:val="00A87D02"/>
    <w:rsid w:val="00A93D30"/>
    <w:rsid w:val="00A95A50"/>
    <w:rsid w:val="00AA76E8"/>
    <w:rsid w:val="00AB33BE"/>
    <w:rsid w:val="00AB37CF"/>
    <w:rsid w:val="00AB3D28"/>
    <w:rsid w:val="00AB6195"/>
    <w:rsid w:val="00AC41A1"/>
    <w:rsid w:val="00AC54A4"/>
    <w:rsid w:val="00AE09A8"/>
    <w:rsid w:val="00AE17DA"/>
    <w:rsid w:val="00AE1964"/>
    <w:rsid w:val="00AE2CC1"/>
    <w:rsid w:val="00AE398E"/>
    <w:rsid w:val="00AE515F"/>
    <w:rsid w:val="00AE7346"/>
    <w:rsid w:val="00AF15A9"/>
    <w:rsid w:val="00AF3CDB"/>
    <w:rsid w:val="00AF4C71"/>
    <w:rsid w:val="00AF5C5C"/>
    <w:rsid w:val="00AF67D7"/>
    <w:rsid w:val="00B02DD7"/>
    <w:rsid w:val="00B0312E"/>
    <w:rsid w:val="00B03F71"/>
    <w:rsid w:val="00B11146"/>
    <w:rsid w:val="00B1299F"/>
    <w:rsid w:val="00B16FD3"/>
    <w:rsid w:val="00B176F6"/>
    <w:rsid w:val="00B30890"/>
    <w:rsid w:val="00B34578"/>
    <w:rsid w:val="00B346CC"/>
    <w:rsid w:val="00B34E8C"/>
    <w:rsid w:val="00B36E42"/>
    <w:rsid w:val="00B418A8"/>
    <w:rsid w:val="00B41D6D"/>
    <w:rsid w:val="00B44539"/>
    <w:rsid w:val="00B44EA0"/>
    <w:rsid w:val="00B45B89"/>
    <w:rsid w:val="00B46939"/>
    <w:rsid w:val="00B51EEF"/>
    <w:rsid w:val="00B52B18"/>
    <w:rsid w:val="00B538D1"/>
    <w:rsid w:val="00B54869"/>
    <w:rsid w:val="00B55BB7"/>
    <w:rsid w:val="00B56619"/>
    <w:rsid w:val="00B63C68"/>
    <w:rsid w:val="00B64BFF"/>
    <w:rsid w:val="00B67960"/>
    <w:rsid w:val="00B7572B"/>
    <w:rsid w:val="00B76210"/>
    <w:rsid w:val="00B7668A"/>
    <w:rsid w:val="00B817D6"/>
    <w:rsid w:val="00B84244"/>
    <w:rsid w:val="00B8431F"/>
    <w:rsid w:val="00B861AA"/>
    <w:rsid w:val="00B86AE0"/>
    <w:rsid w:val="00B94778"/>
    <w:rsid w:val="00BA29B8"/>
    <w:rsid w:val="00BB0D60"/>
    <w:rsid w:val="00BB15D7"/>
    <w:rsid w:val="00BB2EFF"/>
    <w:rsid w:val="00BB5EC4"/>
    <w:rsid w:val="00BB618E"/>
    <w:rsid w:val="00BB62D5"/>
    <w:rsid w:val="00BB7FEE"/>
    <w:rsid w:val="00BC07F9"/>
    <w:rsid w:val="00BC1735"/>
    <w:rsid w:val="00BC34B5"/>
    <w:rsid w:val="00BC4A0D"/>
    <w:rsid w:val="00BC4EB0"/>
    <w:rsid w:val="00BC6149"/>
    <w:rsid w:val="00BC6DA2"/>
    <w:rsid w:val="00BE3214"/>
    <w:rsid w:val="00BE467E"/>
    <w:rsid w:val="00BF3E88"/>
    <w:rsid w:val="00BF44D7"/>
    <w:rsid w:val="00BF7D83"/>
    <w:rsid w:val="00C004C9"/>
    <w:rsid w:val="00C01D78"/>
    <w:rsid w:val="00C06CFC"/>
    <w:rsid w:val="00C07C2A"/>
    <w:rsid w:val="00C07E14"/>
    <w:rsid w:val="00C115FA"/>
    <w:rsid w:val="00C222E3"/>
    <w:rsid w:val="00C22686"/>
    <w:rsid w:val="00C22CB4"/>
    <w:rsid w:val="00C26E0B"/>
    <w:rsid w:val="00C316DF"/>
    <w:rsid w:val="00C3397F"/>
    <w:rsid w:val="00C41EA7"/>
    <w:rsid w:val="00C42E8A"/>
    <w:rsid w:val="00C51063"/>
    <w:rsid w:val="00C5400B"/>
    <w:rsid w:val="00C540E3"/>
    <w:rsid w:val="00C543C2"/>
    <w:rsid w:val="00C55C6F"/>
    <w:rsid w:val="00C60D03"/>
    <w:rsid w:val="00C61BA8"/>
    <w:rsid w:val="00C647F7"/>
    <w:rsid w:val="00C66A2C"/>
    <w:rsid w:val="00C7125B"/>
    <w:rsid w:val="00C72D94"/>
    <w:rsid w:val="00C74920"/>
    <w:rsid w:val="00C74C2D"/>
    <w:rsid w:val="00C759C9"/>
    <w:rsid w:val="00C77529"/>
    <w:rsid w:val="00C77C1C"/>
    <w:rsid w:val="00C830CC"/>
    <w:rsid w:val="00C859B4"/>
    <w:rsid w:val="00C9152C"/>
    <w:rsid w:val="00C96653"/>
    <w:rsid w:val="00C96D18"/>
    <w:rsid w:val="00CA4866"/>
    <w:rsid w:val="00CA4CFF"/>
    <w:rsid w:val="00CC2DB3"/>
    <w:rsid w:val="00CC3D7D"/>
    <w:rsid w:val="00CC7452"/>
    <w:rsid w:val="00CD0A26"/>
    <w:rsid w:val="00CE0B29"/>
    <w:rsid w:val="00CE0E12"/>
    <w:rsid w:val="00CE2FE8"/>
    <w:rsid w:val="00CE4197"/>
    <w:rsid w:val="00CF0046"/>
    <w:rsid w:val="00CF08D5"/>
    <w:rsid w:val="00CF0DD9"/>
    <w:rsid w:val="00CF486C"/>
    <w:rsid w:val="00CF493D"/>
    <w:rsid w:val="00D02CA1"/>
    <w:rsid w:val="00D02EB1"/>
    <w:rsid w:val="00D10B77"/>
    <w:rsid w:val="00D17100"/>
    <w:rsid w:val="00D171F9"/>
    <w:rsid w:val="00D21C62"/>
    <w:rsid w:val="00D22484"/>
    <w:rsid w:val="00D24B1A"/>
    <w:rsid w:val="00D31721"/>
    <w:rsid w:val="00D34FAD"/>
    <w:rsid w:val="00D35966"/>
    <w:rsid w:val="00D35DA2"/>
    <w:rsid w:val="00D409AA"/>
    <w:rsid w:val="00D41927"/>
    <w:rsid w:val="00D42126"/>
    <w:rsid w:val="00D46B34"/>
    <w:rsid w:val="00D46BC6"/>
    <w:rsid w:val="00D51600"/>
    <w:rsid w:val="00D51A64"/>
    <w:rsid w:val="00D51BEB"/>
    <w:rsid w:val="00D51C3E"/>
    <w:rsid w:val="00D533F0"/>
    <w:rsid w:val="00D54AA4"/>
    <w:rsid w:val="00D7106A"/>
    <w:rsid w:val="00D72724"/>
    <w:rsid w:val="00D72843"/>
    <w:rsid w:val="00D72CBE"/>
    <w:rsid w:val="00D73463"/>
    <w:rsid w:val="00D8238D"/>
    <w:rsid w:val="00D83D2A"/>
    <w:rsid w:val="00D87086"/>
    <w:rsid w:val="00D87F7B"/>
    <w:rsid w:val="00D92841"/>
    <w:rsid w:val="00D936D2"/>
    <w:rsid w:val="00D936FB"/>
    <w:rsid w:val="00D93B03"/>
    <w:rsid w:val="00D95A8C"/>
    <w:rsid w:val="00DA2360"/>
    <w:rsid w:val="00DA3A44"/>
    <w:rsid w:val="00DA3DF4"/>
    <w:rsid w:val="00DA6599"/>
    <w:rsid w:val="00DB29A4"/>
    <w:rsid w:val="00DB366D"/>
    <w:rsid w:val="00DB4D5B"/>
    <w:rsid w:val="00DC1E58"/>
    <w:rsid w:val="00DC6F2A"/>
    <w:rsid w:val="00DC7690"/>
    <w:rsid w:val="00DD71A6"/>
    <w:rsid w:val="00DE1FFE"/>
    <w:rsid w:val="00DE347F"/>
    <w:rsid w:val="00DE7385"/>
    <w:rsid w:val="00DE7630"/>
    <w:rsid w:val="00DF1285"/>
    <w:rsid w:val="00DF16A3"/>
    <w:rsid w:val="00DF73DE"/>
    <w:rsid w:val="00DF7A1A"/>
    <w:rsid w:val="00E01EFB"/>
    <w:rsid w:val="00E027DA"/>
    <w:rsid w:val="00E04A24"/>
    <w:rsid w:val="00E073B4"/>
    <w:rsid w:val="00E07D87"/>
    <w:rsid w:val="00E136D9"/>
    <w:rsid w:val="00E15801"/>
    <w:rsid w:val="00E15877"/>
    <w:rsid w:val="00E1598C"/>
    <w:rsid w:val="00E16BC9"/>
    <w:rsid w:val="00E17F3B"/>
    <w:rsid w:val="00E21026"/>
    <w:rsid w:val="00E22229"/>
    <w:rsid w:val="00E228FC"/>
    <w:rsid w:val="00E242A3"/>
    <w:rsid w:val="00E274E5"/>
    <w:rsid w:val="00E30185"/>
    <w:rsid w:val="00E4182F"/>
    <w:rsid w:val="00E41EE8"/>
    <w:rsid w:val="00E424F6"/>
    <w:rsid w:val="00E425C1"/>
    <w:rsid w:val="00E45AFE"/>
    <w:rsid w:val="00E46404"/>
    <w:rsid w:val="00E46A93"/>
    <w:rsid w:val="00E502AA"/>
    <w:rsid w:val="00E54F4B"/>
    <w:rsid w:val="00E56465"/>
    <w:rsid w:val="00E6013B"/>
    <w:rsid w:val="00E6220C"/>
    <w:rsid w:val="00E653B7"/>
    <w:rsid w:val="00E701C4"/>
    <w:rsid w:val="00E72644"/>
    <w:rsid w:val="00E76117"/>
    <w:rsid w:val="00E80C50"/>
    <w:rsid w:val="00E80DBF"/>
    <w:rsid w:val="00E810C3"/>
    <w:rsid w:val="00E84D2D"/>
    <w:rsid w:val="00E86253"/>
    <w:rsid w:val="00E9033B"/>
    <w:rsid w:val="00E9498A"/>
    <w:rsid w:val="00E9643E"/>
    <w:rsid w:val="00EA31B7"/>
    <w:rsid w:val="00EA3FCE"/>
    <w:rsid w:val="00EA7300"/>
    <w:rsid w:val="00EB73E8"/>
    <w:rsid w:val="00EC0F98"/>
    <w:rsid w:val="00EC2F99"/>
    <w:rsid w:val="00EC54B3"/>
    <w:rsid w:val="00EC776C"/>
    <w:rsid w:val="00ED3C19"/>
    <w:rsid w:val="00ED3D33"/>
    <w:rsid w:val="00EE20B7"/>
    <w:rsid w:val="00EE3A59"/>
    <w:rsid w:val="00EE5046"/>
    <w:rsid w:val="00EE7EC8"/>
    <w:rsid w:val="00EF1F6E"/>
    <w:rsid w:val="00EF487D"/>
    <w:rsid w:val="00EF5A65"/>
    <w:rsid w:val="00F03A5B"/>
    <w:rsid w:val="00F0475E"/>
    <w:rsid w:val="00F06827"/>
    <w:rsid w:val="00F104E1"/>
    <w:rsid w:val="00F11874"/>
    <w:rsid w:val="00F12DA7"/>
    <w:rsid w:val="00F13238"/>
    <w:rsid w:val="00F176AC"/>
    <w:rsid w:val="00F20AA5"/>
    <w:rsid w:val="00F27948"/>
    <w:rsid w:val="00F404B8"/>
    <w:rsid w:val="00F4247E"/>
    <w:rsid w:val="00F43BC2"/>
    <w:rsid w:val="00F44262"/>
    <w:rsid w:val="00F446E0"/>
    <w:rsid w:val="00F455E0"/>
    <w:rsid w:val="00F560AF"/>
    <w:rsid w:val="00F57710"/>
    <w:rsid w:val="00F62BEC"/>
    <w:rsid w:val="00F63CC3"/>
    <w:rsid w:val="00F71359"/>
    <w:rsid w:val="00F7141B"/>
    <w:rsid w:val="00F73931"/>
    <w:rsid w:val="00F73D27"/>
    <w:rsid w:val="00F92B61"/>
    <w:rsid w:val="00FA2ECF"/>
    <w:rsid w:val="00FA6799"/>
    <w:rsid w:val="00FB2F51"/>
    <w:rsid w:val="00FC180A"/>
    <w:rsid w:val="00FC274E"/>
    <w:rsid w:val="00FC4792"/>
    <w:rsid w:val="00FD009F"/>
    <w:rsid w:val="00FD2A7E"/>
    <w:rsid w:val="00FD66CC"/>
    <w:rsid w:val="00FE2742"/>
    <w:rsid w:val="00FE3830"/>
    <w:rsid w:val="00FE3944"/>
    <w:rsid w:val="00FE5FED"/>
    <w:rsid w:val="00FE62C6"/>
    <w:rsid w:val="00FE6EB9"/>
    <w:rsid w:val="00FF528C"/>
    <w:rsid w:val="00FF7F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20DD643"/>
  <w15:docId w15:val="{C9437DB4-6325-45BC-A02B-8288656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67960"/>
    <w:pPr>
      <w:tabs>
        <w:tab w:val="center" w:pos="4680"/>
        <w:tab w:val="right" w:pos="9360"/>
      </w:tabs>
    </w:pPr>
  </w:style>
  <w:style w:type="character" w:customStyle="1" w:styleId="HeaderChar">
    <w:name w:val="Header Char"/>
    <w:link w:val="Header"/>
    <w:uiPriority w:val="99"/>
    <w:rsid w:val="00B67960"/>
    <w:rPr>
      <w:rFonts w:ascii="Times New Roman" w:hAnsi="Times New Roman"/>
    </w:rPr>
  </w:style>
  <w:style w:type="paragraph" w:styleId="Footer">
    <w:name w:val="footer"/>
    <w:basedOn w:val="Normal"/>
    <w:link w:val="FooterChar"/>
    <w:uiPriority w:val="99"/>
    <w:unhideWhenUsed/>
    <w:rsid w:val="00B67960"/>
    <w:pPr>
      <w:tabs>
        <w:tab w:val="center" w:pos="4680"/>
        <w:tab w:val="right" w:pos="9360"/>
      </w:tabs>
    </w:pPr>
  </w:style>
  <w:style w:type="character" w:customStyle="1" w:styleId="FooterChar">
    <w:name w:val="Footer Char"/>
    <w:link w:val="Footer"/>
    <w:uiPriority w:val="99"/>
    <w:rsid w:val="00B67960"/>
    <w:rPr>
      <w:rFonts w:ascii="Times New Roman" w:hAnsi="Times New Roman"/>
    </w:rPr>
  </w:style>
  <w:style w:type="table" w:styleId="TableGrid">
    <w:name w:val="Table Grid"/>
    <w:basedOn w:val="TableNormal"/>
    <w:uiPriority w:val="59"/>
    <w:rsid w:val="005A3676"/>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3676"/>
    <w:rPr>
      <w:color w:val="0000FF"/>
      <w:u w:val="single"/>
    </w:rPr>
  </w:style>
  <w:style w:type="paragraph" w:styleId="ListParagraph">
    <w:name w:val="List Paragraph"/>
    <w:basedOn w:val="Normal"/>
    <w:uiPriority w:val="34"/>
    <w:qFormat/>
    <w:rsid w:val="00D35DA2"/>
    <w:pPr>
      <w:widowControl/>
      <w:autoSpaceDE/>
      <w:autoSpaceDN/>
      <w:adjustRightInd/>
      <w:ind w:left="720"/>
      <w:contextualSpacing/>
    </w:pPr>
    <w:rPr>
      <w:sz w:val="24"/>
      <w:szCs w:val="24"/>
    </w:rPr>
  </w:style>
  <w:style w:type="character" w:styleId="CommentReference">
    <w:name w:val="annotation reference"/>
    <w:uiPriority w:val="99"/>
    <w:semiHidden/>
    <w:unhideWhenUsed/>
    <w:rsid w:val="0048631A"/>
    <w:rPr>
      <w:sz w:val="16"/>
      <w:szCs w:val="16"/>
    </w:rPr>
  </w:style>
  <w:style w:type="paragraph" w:styleId="CommentText">
    <w:name w:val="annotation text"/>
    <w:basedOn w:val="Normal"/>
    <w:link w:val="CommentTextChar"/>
    <w:uiPriority w:val="99"/>
    <w:unhideWhenUsed/>
    <w:rsid w:val="0048631A"/>
  </w:style>
  <w:style w:type="character" w:customStyle="1" w:styleId="CommentTextChar">
    <w:name w:val="Comment Text Char"/>
    <w:link w:val="CommentText"/>
    <w:uiPriority w:val="99"/>
    <w:rsid w:val="0048631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631A"/>
    <w:rPr>
      <w:b/>
      <w:bCs/>
    </w:rPr>
  </w:style>
  <w:style w:type="character" w:customStyle="1" w:styleId="CommentSubjectChar">
    <w:name w:val="Comment Subject Char"/>
    <w:link w:val="CommentSubject"/>
    <w:uiPriority w:val="99"/>
    <w:semiHidden/>
    <w:rsid w:val="0048631A"/>
    <w:rPr>
      <w:rFonts w:ascii="Times New Roman" w:hAnsi="Times New Roman"/>
      <w:b/>
      <w:bCs/>
    </w:rPr>
  </w:style>
  <w:style w:type="paragraph" w:styleId="BodyText2">
    <w:name w:val="Body Text 2"/>
    <w:basedOn w:val="Normal"/>
    <w:link w:val="BodyText2Char"/>
    <w:rsid w:val="008C2280"/>
    <w:pPr>
      <w:widowControl/>
      <w:autoSpaceDE/>
      <w:autoSpaceDN/>
      <w:adjustRightInd/>
      <w:jc w:val="both"/>
    </w:pPr>
    <w:rPr>
      <w:snapToGrid w:val="0"/>
      <w:sz w:val="28"/>
    </w:rPr>
  </w:style>
  <w:style w:type="character" w:customStyle="1" w:styleId="BodyText2Char">
    <w:name w:val="Body Text 2 Char"/>
    <w:link w:val="BodyText2"/>
    <w:rsid w:val="008C2280"/>
    <w:rPr>
      <w:rFonts w:ascii="Times New Roman" w:hAnsi="Times New Roman"/>
      <w:snapToGrid w:val="0"/>
      <w:sz w:val="28"/>
    </w:rPr>
  </w:style>
  <w:style w:type="paragraph" w:styleId="BodyText3">
    <w:name w:val="Body Text 3"/>
    <w:basedOn w:val="Normal"/>
    <w:link w:val="BodyText3Char"/>
    <w:rsid w:val="008C2280"/>
    <w:pPr>
      <w:widowControl/>
      <w:autoSpaceDE/>
      <w:autoSpaceDN/>
      <w:adjustRightInd/>
    </w:pPr>
    <w:rPr>
      <w:snapToGrid w:val="0"/>
      <w:sz w:val="28"/>
    </w:rPr>
  </w:style>
  <w:style w:type="character" w:customStyle="1" w:styleId="BodyText3Char">
    <w:name w:val="Body Text 3 Char"/>
    <w:link w:val="BodyText3"/>
    <w:rsid w:val="008C2280"/>
    <w:rPr>
      <w:rFonts w:ascii="Times New Roman" w:hAnsi="Times New Roman"/>
      <w:snapToGrid w:val="0"/>
      <w:sz w:val="28"/>
    </w:rPr>
  </w:style>
  <w:style w:type="paragraph" w:styleId="BodyText">
    <w:name w:val="Body Text"/>
    <w:basedOn w:val="Normal"/>
    <w:link w:val="BodyTextChar"/>
    <w:uiPriority w:val="99"/>
    <w:semiHidden/>
    <w:unhideWhenUsed/>
    <w:rsid w:val="00E228FC"/>
    <w:pPr>
      <w:spacing w:after="120"/>
    </w:pPr>
  </w:style>
  <w:style w:type="character" w:customStyle="1" w:styleId="BodyTextChar">
    <w:name w:val="Body Text Char"/>
    <w:link w:val="BodyText"/>
    <w:uiPriority w:val="99"/>
    <w:semiHidden/>
    <w:rsid w:val="00E228FC"/>
    <w:rPr>
      <w:rFonts w:ascii="Times New Roman" w:hAnsi="Times New Roman"/>
    </w:rPr>
  </w:style>
  <w:style w:type="table" w:customStyle="1" w:styleId="TableGrid1">
    <w:name w:val="Table Grid1"/>
    <w:basedOn w:val="TableNormal"/>
    <w:next w:val="TableGrid"/>
    <w:rsid w:val="001719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
    <w:rsid w:val="00E80C50"/>
    <w:pPr>
      <w:widowControl/>
      <w:autoSpaceDE/>
      <w:autoSpaceDN/>
      <w:adjustRightInd/>
      <w:spacing w:before="100" w:beforeAutospacing="1" w:after="100" w:afterAutospacing="1"/>
    </w:pPr>
    <w:rPr>
      <w:sz w:val="24"/>
      <w:szCs w:val="24"/>
    </w:rPr>
  </w:style>
  <w:style w:type="paragraph" w:styleId="NoSpacing">
    <w:name w:val="No Spacing"/>
    <w:uiPriority w:val="1"/>
    <w:qFormat/>
    <w:rsid w:val="00B02DD7"/>
    <w:pPr>
      <w:widowControl w:val="0"/>
      <w:autoSpaceDE w:val="0"/>
      <w:autoSpaceDN w:val="0"/>
      <w:adjustRightInd w:val="0"/>
    </w:pPr>
    <w:rPr>
      <w:rFonts w:ascii="Times New Roman" w:hAnsi="Times New Roman"/>
    </w:rPr>
  </w:style>
  <w:style w:type="character" w:styleId="UnresolvedMention">
    <w:name w:val="Unresolved Mention"/>
    <w:basedOn w:val="DefaultParagraphFont"/>
    <w:uiPriority w:val="99"/>
    <w:semiHidden/>
    <w:unhideWhenUsed/>
    <w:rsid w:val="00020582"/>
    <w:rPr>
      <w:color w:val="605E5C"/>
      <w:shd w:val="clear" w:color="auto" w:fill="E1DFDD"/>
    </w:rPr>
  </w:style>
  <w:style w:type="paragraph" w:customStyle="1" w:styleId="Default">
    <w:name w:val="Default"/>
    <w:rsid w:val="008E3C23"/>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0734E1"/>
    <w:rPr>
      <w:rFonts w:ascii="Times New Roman" w:hAnsi="Times New Roman"/>
    </w:rPr>
  </w:style>
  <w:style w:type="character" w:styleId="FollowedHyperlink">
    <w:name w:val="FollowedHyperlink"/>
    <w:basedOn w:val="DefaultParagraphFont"/>
    <w:uiPriority w:val="99"/>
    <w:semiHidden/>
    <w:unhideWhenUsed/>
    <w:rsid w:val="008E01BC"/>
    <w:rPr>
      <w:color w:val="800080" w:themeColor="followedHyperlink"/>
      <w:u w:val="single"/>
    </w:rPr>
  </w:style>
  <w:style w:type="paragraph" w:styleId="FootnoteText">
    <w:name w:val="footnote text"/>
    <w:basedOn w:val="Normal"/>
    <w:link w:val="FootnoteTextChar"/>
    <w:uiPriority w:val="99"/>
    <w:semiHidden/>
    <w:unhideWhenUsed/>
    <w:rsid w:val="00F104E1"/>
  </w:style>
  <w:style w:type="character" w:customStyle="1" w:styleId="FootnoteTextChar">
    <w:name w:val="Footnote Text Char"/>
    <w:basedOn w:val="DefaultParagraphFont"/>
    <w:link w:val="FootnoteText"/>
    <w:uiPriority w:val="99"/>
    <w:semiHidden/>
    <w:rsid w:val="00F104E1"/>
    <w:rPr>
      <w:rFonts w:ascii="Times New Roman" w:hAnsi="Times New Roman"/>
    </w:rPr>
  </w:style>
  <w:style w:type="character" w:styleId="FootnoteReference">
    <w:name w:val="footnote reference"/>
    <w:basedOn w:val="DefaultParagraphFont"/>
    <w:uiPriority w:val="99"/>
    <w:semiHidden/>
    <w:unhideWhenUsed/>
    <w:rsid w:val="00F10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6/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519D5-F949-4DFC-B416-9A9CC728CBA5}">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CABAE1A4-A42A-47FC-BDA3-ADBA97E14F14}">
  <ds:schemaRefs>
    <ds:schemaRef ds:uri="http://schemas.openxmlformats.org/officeDocument/2006/bibliography"/>
  </ds:schemaRefs>
</ds:datastoreItem>
</file>

<file path=customXml/itemProps3.xml><?xml version="1.0" encoding="utf-8"?>
<ds:datastoreItem xmlns:ds="http://schemas.openxmlformats.org/officeDocument/2006/customXml" ds:itemID="{A8935012-CEF5-4A1F-99B1-563F72A51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A2E4F-F330-4FC9-BD5E-DDFA29F97E5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3795</Words>
  <Characters>21405</Characters>
  <Application>Microsoft Office Word</Application>
  <DocSecurity>0</DocSecurity>
  <Lines>497</Lines>
  <Paragraphs>196</Paragraphs>
  <ScaleCrop>false</ScaleCrop>
  <HeadingPairs>
    <vt:vector size="2" baseType="variant">
      <vt:variant>
        <vt:lpstr>Title</vt:lpstr>
      </vt:variant>
      <vt:variant>
        <vt:i4>1</vt:i4>
      </vt:variant>
    </vt:vector>
  </HeadingPairs>
  <TitlesOfParts>
    <vt:vector size="1" baseType="lpstr">
      <vt:lpstr>ICCO</vt:lpstr>
    </vt:vector>
  </TitlesOfParts>
  <Company>National Park Service</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ICCO</dc:title>
  <dc:creator>Phadrea Ponds</dc:creator>
  <cp:lastModifiedBy>Ponds, Phadrea D - DOI OCIO</cp:lastModifiedBy>
  <cp:revision>12</cp:revision>
  <cp:lastPrinted>2013-04-06T02:06:00Z</cp:lastPrinted>
  <dcterms:created xsi:type="dcterms:W3CDTF">2026-01-20T13:00:00Z</dcterms:created>
  <dcterms:modified xsi:type="dcterms:W3CDTF">2026-01-20T16:33:00Z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