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160621" w14:paraId="670B57C7" w14:textId="1578DF45">
      <w:pPr>
        <w:pStyle w:val="ReportCover-Title"/>
        <w:jc w:val="center"/>
        <w:rPr>
          <w:rFonts w:ascii="Arial" w:hAnsi="Arial" w:cs="Arial"/>
          <w:color w:val="auto"/>
        </w:rPr>
      </w:pPr>
      <w:r w:rsidRPr="004F7B95">
        <w:rPr>
          <w:rFonts w:ascii="Times New Roman" w:hAnsi="Times New Roman"/>
          <w:sz w:val="24"/>
          <w:szCs w:val="24"/>
        </w:rPr>
        <w:tab/>
      </w:r>
      <w:r w:rsidRPr="00D517EE" w:rsidR="00D517EE">
        <w:rPr>
          <w:rFonts w:ascii="Arial" w:eastAsia="Arial Unicode MS" w:hAnsi="Arial" w:cs="Arial"/>
          <w:bCs/>
          <w:noProof/>
          <w:color w:val="auto"/>
        </w:rPr>
        <w:t>Head Start Program Information Report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AF1E23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D517EE">
        <w:rPr>
          <w:rFonts w:ascii="Arial" w:hAnsi="Arial" w:cs="Arial"/>
          <w:color w:val="auto"/>
          <w:sz w:val="32"/>
          <w:szCs w:val="32"/>
        </w:rPr>
        <w:t>0427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0DF9407F">
      <w:pPr>
        <w:pStyle w:val="ReportCover-Date"/>
        <w:jc w:val="center"/>
        <w:rPr>
          <w:rFonts w:ascii="Arial" w:hAnsi="Arial" w:cs="Arial"/>
          <w:color w:val="auto"/>
        </w:rPr>
      </w:pPr>
      <w:r>
        <w:rPr>
          <w:rFonts w:ascii="Arial" w:hAnsi="Arial" w:cs="Arial"/>
          <w:color w:val="auto"/>
        </w:rPr>
        <w:t>January 2026</w:t>
      </w:r>
    </w:p>
    <w:p w:rsidR="00160621" w:rsidP="7B0E0B3A" w14:paraId="753A1E04" w14:textId="685CF056">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 xml:space="preserve">Revision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0001EE" w:rsidP="00160621" w14:paraId="472E10D8" w14:textId="77777777">
      <w:pPr>
        <w:jc w:val="center"/>
        <w:rPr>
          <w:rFonts w:ascii="Arial" w:hAnsi="Arial" w:cs="Arial"/>
        </w:rPr>
      </w:pPr>
      <w:r w:rsidRPr="000001EE">
        <w:rPr>
          <w:rFonts w:ascii="Arial" w:hAnsi="Arial" w:cs="Arial"/>
        </w:rPr>
        <w:t xml:space="preserve">Office of Head Start  </w:t>
      </w:r>
    </w:p>
    <w:p w:rsidR="00160621" w:rsidRPr="00160621" w:rsidP="00160621" w14:paraId="6B7D9C75" w14:textId="416E7FEA">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0001EE" w:rsidP="000001EE" w14:paraId="674B4E54"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Section 650 of the Head Start Act (42 U.S.C. 9846) requires that the Secretary of the Department of Health and Human Services (HHS) prepare and submit a report to the Congress at least once during every 2-year period.  </w:t>
      </w:r>
      <w:r>
        <w:rPr>
          <w:rStyle w:val="eop"/>
        </w:rPr>
        <w:t> </w:t>
      </w:r>
    </w:p>
    <w:p w:rsidR="000001EE" w:rsidP="000001EE" w14:paraId="4F08E3CD"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0001EE" w:rsidP="000001EE" w14:paraId="23180FE8"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Section 641A of the Head Start Act of 2007 (42 U.S.C. 9836A) requires that the Office of Head Start (OHS) collect enrollment information from grant recipients on a monthly basis to determine whether grant recipients maintain their funded enrollment.  </w:t>
      </w:r>
      <w:r>
        <w:rPr>
          <w:rStyle w:val="eop"/>
        </w:rPr>
        <w:t> </w:t>
      </w:r>
    </w:p>
    <w:p w:rsidR="000001EE" w:rsidP="000001EE" w14:paraId="6D27085A"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0001EE" w:rsidP="000001EE" w14:paraId="0D785311"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Section 644 of the Head Start Act (42 U.S.C. 9839) requires each Head Start agency to make available to the public a report published at least once in each fiscal year.  </w:t>
      </w:r>
      <w:r>
        <w:rPr>
          <w:rStyle w:val="eop"/>
        </w:rPr>
        <w:t> </w:t>
      </w:r>
    </w:p>
    <w:p w:rsidR="000001EE" w:rsidP="000001EE" w14:paraId="5C177C14"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0001EE" w:rsidP="000001EE" w14:paraId="0C00015B" w14:textId="360890F7">
      <w:pPr>
        <w:pStyle w:val="paragraph"/>
        <w:spacing w:before="0" w:beforeAutospacing="0" w:after="0" w:afterAutospacing="0"/>
        <w:ind w:left="360"/>
        <w:textAlignment w:val="baseline"/>
        <w:rPr>
          <w:rStyle w:val="normaltextrun"/>
        </w:rPr>
      </w:pPr>
      <w:r>
        <w:rPr>
          <w:rStyle w:val="normaltextrun"/>
        </w:rPr>
        <w:t>OHS is requesting a</w:t>
      </w:r>
      <w:r w:rsidR="0089070D">
        <w:rPr>
          <w:rStyle w:val="normaltextrun"/>
        </w:rPr>
        <w:t xml:space="preserve"> revision </w:t>
      </w:r>
      <w:r>
        <w:rPr>
          <w:rStyle w:val="normaltextrun"/>
        </w:rPr>
        <w:t>of the Head Start Program Information Report information collection.  The following instruments are included in this information collection: (1) the Program Information Report Form (PIR), (2) monthly enrollment, and (3) center locations and contacts. </w:t>
      </w:r>
    </w:p>
    <w:p w:rsidR="00750BDF" w:rsidP="000001EE" w14:paraId="211479CF" w14:textId="77777777">
      <w:pPr>
        <w:pStyle w:val="paragraph"/>
        <w:spacing w:before="0" w:beforeAutospacing="0" w:after="0" w:afterAutospacing="0"/>
        <w:ind w:left="360"/>
        <w:textAlignment w:val="baseline"/>
        <w:rPr>
          <w:rStyle w:val="normaltextrun"/>
        </w:rPr>
      </w:pPr>
    </w:p>
    <w:p w:rsidR="00DD2AF6" w:rsidP="00807B80" w14:paraId="62C4517C" w14:textId="3C9C6C8B">
      <w:pPr>
        <w:pStyle w:val="paragraph"/>
        <w:spacing w:before="0" w:beforeAutospacing="0" w:after="0" w:afterAutospacing="0"/>
        <w:ind w:left="360"/>
        <w:textAlignment w:val="baseline"/>
        <w:rPr>
          <w:rStyle w:val="normaltextrun"/>
        </w:rPr>
      </w:pPr>
      <w:r>
        <w:rPr>
          <w:rStyle w:val="normaltextrun"/>
        </w:rPr>
        <w:t>This</w:t>
      </w:r>
      <w:r>
        <w:rPr>
          <w:rStyle w:val="normaltextrun"/>
        </w:rPr>
        <w:t xml:space="preserve"> revision request includes the following updates:</w:t>
      </w:r>
    </w:p>
    <w:p w:rsidR="00807B80" w:rsidP="00807B80" w14:paraId="1CD375A0" w14:textId="42922D17">
      <w:pPr>
        <w:pStyle w:val="paragraph"/>
        <w:numPr>
          <w:ilvl w:val="0"/>
          <w:numId w:val="26"/>
        </w:numPr>
        <w:spacing w:before="0" w:beforeAutospacing="0" w:after="0" w:afterAutospacing="0"/>
        <w:textAlignment w:val="baseline"/>
      </w:pPr>
      <w:r w:rsidRPr="00320016">
        <w:t>New questions on the PIR to collect information on primary reasons children with an IEP or IFSP did not receive services, as well as the number of children who had a 504 Plan. </w:t>
      </w:r>
    </w:p>
    <w:p w:rsidR="00320016" w:rsidP="00807B80" w14:paraId="7341B8AD" w14:textId="734EFAC4">
      <w:pPr>
        <w:pStyle w:val="paragraph"/>
        <w:numPr>
          <w:ilvl w:val="0"/>
          <w:numId w:val="26"/>
        </w:numPr>
        <w:spacing w:before="0" w:beforeAutospacing="0" w:after="0" w:afterAutospacing="0"/>
        <w:textAlignment w:val="baseline"/>
      </w:pPr>
      <w:r w:rsidRPr="00320016">
        <w:t>Minor changes to both the PIR and monthly enrollment reporting instruments for clarification purposes.   </w:t>
      </w:r>
    </w:p>
    <w:p w:rsidR="0006559E" w:rsidP="0006559E" w14:paraId="058038EE" w14:textId="77777777">
      <w:pPr>
        <w:pStyle w:val="paragraph"/>
        <w:spacing w:before="0" w:beforeAutospacing="0" w:after="0" w:afterAutospacing="0"/>
        <w:textAlignment w:val="baseline"/>
      </w:pPr>
    </w:p>
    <w:p w:rsidR="0006559E" w:rsidP="0006559E" w14:paraId="6EB99128" w14:textId="3756F769">
      <w:pPr>
        <w:pStyle w:val="paragraph"/>
        <w:spacing w:before="0" w:beforeAutospacing="0" w:after="0" w:afterAutospacing="0"/>
        <w:ind w:left="360"/>
        <w:textAlignment w:val="baseline"/>
        <w:rPr>
          <w:rStyle w:val="normaltextrun"/>
        </w:rPr>
      </w:pPr>
      <w:r>
        <w:t>These</w:t>
      </w:r>
      <w:r w:rsidRPr="0006559E">
        <w:t xml:space="preserve"> changes were</w:t>
      </w:r>
      <w:r>
        <w:t xml:space="preserve"> made to improve</w:t>
      </w:r>
      <w:r w:rsidR="00E91412">
        <w:t xml:space="preserve"> the instruments for</w:t>
      </w:r>
      <w:r w:rsidRPr="0006559E">
        <w:t xml:space="preserve"> clarification purposes. </w:t>
      </w:r>
    </w:p>
    <w:p w:rsidR="00316D20" w:rsidP="00750BDF" w14:paraId="7B6D1CB9" w14:textId="16CA5702">
      <w:pPr>
        <w:pStyle w:val="paragraph"/>
        <w:spacing w:before="0" w:beforeAutospacing="0" w:after="0" w:afterAutospacing="0"/>
        <w:textAlignment w:val="baseline"/>
        <w:rPr>
          <w:rFonts w:ascii="Segoe UI" w:hAnsi="Segoe UI" w:cs="Segoe UI"/>
          <w:sz w:val="18"/>
          <w:szCs w:val="18"/>
        </w:rPr>
      </w:pPr>
    </w:p>
    <w:p w:rsidR="00790D2C" w:rsidRPr="004F7B95" w:rsidP="0068508B" w14:paraId="6A4D4BDD" w14:textId="77777777">
      <w:pPr>
        <w:widowControl/>
        <w:tabs>
          <w:tab w:val="num" w:pos="360"/>
        </w:tabs>
        <w:rPr>
          <w:rFonts w:ascii="Times New Roman" w:hAnsi="Times New Roman"/>
          <w:snapToGrid/>
          <w:sz w:val="24"/>
          <w:szCs w:val="24"/>
        </w:rPr>
      </w:pPr>
    </w:p>
    <w:p w:rsidR="002C3C4F" w:rsidRPr="00075889" w:rsidP="235231AB" w14:paraId="3264479C" w14:textId="77777777">
      <w:pPr>
        <w:widowControl/>
        <w:numPr>
          <w:ilvl w:val="0"/>
          <w:numId w:val="3"/>
        </w:numPr>
        <w:tabs>
          <w:tab w:val="num" w:pos="360"/>
        </w:tabs>
        <w:spacing w:after="120"/>
        <w:ind w:left="360"/>
        <w:rPr>
          <w:rFonts w:ascii="Times New Roman" w:hAnsi="Times New Roman"/>
          <w:b/>
          <w:bCs/>
          <w:snapToGrid/>
          <w:sz w:val="24"/>
          <w:szCs w:val="24"/>
        </w:rPr>
      </w:pPr>
      <w:r w:rsidRPr="235231AB">
        <w:rPr>
          <w:rFonts w:ascii="Times New Roman" w:hAnsi="Times New Roman"/>
          <w:b/>
          <w:bCs/>
          <w:snapToGrid/>
          <w:sz w:val="24"/>
          <w:szCs w:val="24"/>
        </w:rPr>
        <w:t>P</w:t>
      </w:r>
      <w:r w:rsidRPr="235231AB">
        <w:rPr>
          <w:rFonts w:ascii="Times New Roman" w:hAnsi="Times New Roman"/>
          <w:b/>
          <w:bCs/>
          <w:snapToGrid/>
          <w:sz w:val="24"/>
          <w:szCs w:val="24"/>
        </w:rPr>
        <w:t xml:space="preserve">urpose and Use of the Information Collection </w:t>
      </w:r>
    </w:p>
    <w:p w:rsidR="00886468" w:rsidRPr="00861A96" w:rsidP="00886468" w14:paraId="050AE163" w14:textId="77777777">
      <w:pPr>
        <w:widowControl/>
        <w:tabs>
          <w:tab w:val="num" w:pos="360"/>
        </w:tabs>
        <w:spacing w:after="60"/>
        <w:ind w:left="360"/>
        <w:rPr>
          <w:rFonts w:ascii="Times New Roman" w:hAnsi="Times New Roman"/>
          <w:snapToGrid/>
          <w:sz w:val="24"/>
          <w:szCs w:val="24"/>
        </w:rPr>
      </w:pPr>
      <w:r w:rsidRPr="00861A96">
        <w:rPr>
          <w:rFonts w:ascii="Times New Roman" w:hAnsi="Times New Roman"/>
          <w:snapToGrid/>
          <w:sz w:val="24"/>
          <w:szCs w:val="24"/>
        </w:rPr>
        <w:t>The PIR data is used for the following principal purposes: </w:t>
      </w:r>
    </w:p>
    <w:p w:rsidR="00886468" w:rsidP="00886468" w14:paraId="0D754A6A" w14:textId="77777777">
      <w:pPr>
        <w:widowControl/>
        <w:numPr>
          <w:ilvl w:val="0"/>
          <w:numId w:val="21"/>
        </w:numPr>
        <w:tabs>
          <w:tab w:val="num" w:pos="360"/>
        </w:tabs>
        <w:rPr>
          <w:rFonts w:ascii="Times New Roman" w:hAnsi="Times New Roman"/>
          <w:snapToGrid/>
          <w:sz w:val="24"/>
          <w:szCs w:val="24"/>
        </w:rPr>
      </w:pPr>
      <w:r w:rsidRPr="00861A96">
        <w:rPr>
          <w:rFonts w:ascii="Times New Roman" w:hAnsi="Times New Roman"/>
          <w:snapToGrid/>
          <w:sz w:val="24"/>
          <w:szCs w:val="24"/>
        </w:rPr>
        <w:t xml:space="preserve">The information is used for program management at the local, Regional and National levels to analyze trends in the program, including program enrollment, program design, staffing patterns, staff credentials, family demographics and service needs, and access to health and social services and services for children with disabilities.   </w:t>
      </w:r>
    </w:p>
    <w:p w:rsidR="00886468" w:rsidRPr="00861A96" w:rsidP="00886468" w14:paraId="67B487DE" w14:textId="77777777">
      <w:pPr>
        <w:widowControl/>
        <w:numPr>
          <w:ilvl w:val="1"/>
          <w:numId w:val="21"/>
        </w:numPr>
        <w:rPr>
          <w:rFonts w:ascii="Times New Roman" w:hAnsi="Times New Roman"/>
          <w:snapToGrid/>
          <w:sz w:val="24"/>
          <w:szCs w:val="24"/>
        </w:rPr>
      </w:pPr>
      <w:r w:rsidRPr="00861A96">
        <w:rPr>
          <w:rFonts w:ascii="Times New Roman" w:hAnsi="Times New Roman"/>
          <w:snapToGrid/>
          <w:sz w:val="24"/>
          <w:szCs w:val="24"/>
        </w:rPr>
        <w:t xml:space="preserve">The PIR data is used at the national and </w:t>
      </w:r>
      <w:r w:rsidRPr="00861A96">
        <w:rPr>
          <w:rFonts w:ascii="Times New Roman" w:hAnsi="Times New Roman"/>
          <w:snapToGrid/>
          <w:sz w:val="24"/>
          <w:szCs w:val="24"/>
        </w:rPr>
        <w:t>Regional</w:t>
      </w:r>
      <w:r w:rsidRPr="00861A96">
        <w:rPr>
          <w:rFonts w:ascii="Times New Roman" w:hAnsi="Times New Roman"/>
          <w:snapToGrid/>
          <w:sz w:val="24"/>
          <w:szCs w:val="24"/>
        </w:rPr>
        <w:t xml:space="preserve"> levels to inform policy, program development, and planning.  As one component of an ongoing monitoring system, the PIR is also used to track implementation of requirements and to promote compliance with applicable laws and regulations governing the Head Start and Early Head Start programs. </w:t>
      </w:r>
    </w:p>
    <w:p w:rsidR="00886468" w:rsidRPr="00861A96" w:rsidP="00886468" w14:paraId="13CD34CE" w14:textId="77777777">
      <w:pPr>
        <w:widowControl/>
        <w:numPr>
          <w:ilvl w:val="0"/>
          <w:numId w:val="22"/>
        </w:numPr>
        <w:tabs>
          <w:tab w:val="num" w:pos="360"/>
        </w:tabs>
        <w:rPr>
          <w:rFonts w:ascii="Times New Roman" w:hAnsi="Times New Roman"/>
          <w:snapToGrid/>
          <w:sz w:val="24"/>
          <w:szCs w:val="24"/>
        </w:rPr>
      </w:pPr>
      <w:r w:rsidRPr="00861A96">
        <w:rPr>
          <w:rFonts w:ascii="Times New Roman" w:hAnsi="Times New Roman"/>
          <w:snapToGrid/>
          <w:sz w:val="24"/>
          <w:szCs w:val="24"/>
        </w:rPr>
        <w:t>The PIR is a major source of information used to respond to Congressional and public inquiries about Head Start. It is a primary source of information used to compile the Biennial Report to Congress on the Status of Children in Head Start Programs mandated by Section 650 of the Head Start Act. </w:t>
      </w:r>
    </w:p>
    <w:p w:rsidR="00886468" w:rsidRPr="00861A96" w:rsidP="00886468" w14:paraId="426F7E8E" w14:textId="77777777">
      <w:pPr>
        <w:widowControl/>
        <w:numPr>
          <w:ilvl w:val="0"/>
          <w:numId w:val="23"/>
        </w:numPr>
        <w:tabs>
          <w:tab w:val="num" w:pos="360"/>
        </w:tabs>
        <w:rPr>
          <w:rFonts w:ascii="Times New Roman" w:hAnsi="Times New Roman"/>
          <w:snapToGrid/>
          <w:sz w:val="24"/>
          <w:szCs w:val="24"/>
        </w:rPr>
      </w:pPr>
      <w:r w:rsidRPr="00861A96">
        <w:rPr>
          <w:rFonts w:ascii="Times New Roman" w:hAnsi="Times New Roman"/>
          <w:snapToGrid/>
          <w:sz w:val="24"/>
          <w:szCs w:val="24"/>
        </w:rPr>
        <w:t>The PIR data is used often by Head Start research efforts managed through the Office of Planning, Research and Evaluation, to define Head Start populations and to provide baseline information for planning and design. </w:t>
      </w:r>
    </w:p>
    <w:p w:rsidR="00886468" w:rsidRPr="00861A96" w:rsidP="00886468" w14:paraId="4A56DE82"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w:t>
      </w:r>
    </w:p>
    <w:p w:rsidR="00886468" w:rsidRPr="00861A96" w:rsidP="00886468" w14:paraId="01A301AA"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xml:space="preserve">Monthly enrollment is primarily used to determine whether grant recipients maintain their funded enrollment (which could initiate an </w:t>
      </w:r>
      <w:r w:rsidRPr="00861A96">
        <w:rPr>
          <w:rFonts w:ascii="Times New Roman" w:hAnsi="Times New Roman"/>
          <w:snapToGrid/>
          <w:sz w:val="24"/>
          <w:szCs w:val="24"/>
        </w:rPr>
        <w:t>underenrollment</w:t>
      </w:r>
      <w:r w:rsidRPr="00861A96">
        <w:rPr>
          <w:rFonts w:ascii="Times New Roman" w:hAnsi="Times New Roman"/>
          <w:snapToGrid/>
          <w:sz w:val="24"/>
          <w:szCs w:val="24"/>
        </w:rPr>
        <w:t xml:space="preserve"> process) and to measure the efficiency of Head Start which is included in the Annual ACF Budget Request and </w:t>
      </w:r>
      <w:r>
        <w:rPr>
          <w:rFonts w:ascii="Times New Roman" w:hAnsi="Times New Roman"/>
          <w:snapToGrid/>
          <w:sz w:val="24"/>
          <w:szCs w:val="24"/>
        </w:rPr>
        <w:t>is</w:t>
      </w:r>
      <w:r w:rsidRPr="00861A96">
        <w:rPr>
          <w:rFonts w:ascii="Times New Roman" w:hAnsi="Times New Roman"/>
          <w:snapToGrid/>
          <w:sz w:val="24"/>
          <w:szCs w:val="24"/>
        </w:rPr>
        <w:t xml:space="preserve"> a part of the HHS strategic plan. </w:t>
      </w:r>
    </w:p>
    <w:p w:rsidR="00886468" w:rsidRPr="00861A96" w:rsidP="00886468" w14:paraId="65838177"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w:t>
      </w:r>
    </w:p>
    <w:p w:rsidR="00886468" w:rsidRPr="00861A96" w:rsidP="00886468" w14:paraId="010AA09B"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xml:space="preserve">Pertinent location information is provided to the public primarily through Google maps at </w:t>
      </w:r>
      <w:hyperlink r:id="rId10" w:history="1">
        <w:r w:rsidRPr="00045D39">
          <w:rPr>
            <w:rStyle w:val="Hyperlink"/>
            <w:rFonts w:ascii="Times New Roman" w:hAnsi="Times New Roman"/>
            <w:snapToGrid/>
            <w:sz w:val="24"/>
            <w:szCs w:val="24"/>
          </w:rPr>
          <w:t>https://headstart.gov/</w:t>
        </w:r>
      </w:hyperlink>
      <w:r w:rsidRPr="00861A96">
        <w:rPr>
          <w:rFonts w:ascii="Times New Roman" w:hAnsi="Times New Roman"/>
          <w:snapToGrid/>
          <w:sz w:val="24"/>
          <w:szCs w:val="24"/>
        </w:rPr>
        <w:t xml:space="preserve">.  This data is also used to plan Head Start monitoring reviews.  In addition, OHS is </w:t>
      </w:r>
      <w:r w:rsidRPr="00861A96">
        <w:rPr>
          <w:rFonts w:ascii="Times New Roman" w:hAnsi="Times New Roman"/>
          <w:snapToGrid/>
          <w:sz w:val="24"/>
          <w:szCs w:val="24"/>
        </w:rPr>
        <w:t>requiring</w:t>
      </w:r>
      <w:r w:rsidRPr="00861A96">
        <w:rPr>
          <w:rFonts w:ascii="Times New Roman" w:hAnsi="Times New Roman"/>
          <w:snapToGrid/>
          <w:sz w:val="24"/>
          <w:szCs w:val="24"/>
        </w:rPr>
        <w:t xml:space="preserve"> that it be informed when certain adverse conditions are present, such as when grant recipients incur a suspension of service due to a child care licensing violation, when they are added to the CACFP National Disqualified List, etc., in order to provide effective oversight and minimize community service disruptions. </w:t>
      </w:r>
    </w:p>
    <w:p w:rsidR="00886468" w:rsidRPr="00861A96" w:rsidP="00886468" w14:paraId="0FC0083E"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w:t>
      </w:r>
    </w:p>
    <w:p w:rsidR="00886468" w:rsidRPr="00861A96" w:rsidP="00886468" w14:paraId="5508F343"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Contact information is collected from key personnel to send correspondence, electronic signatures, and general grant administrative purposes.  </w:t>
      </w:r>
    </w:p>
    <w:p w:rsidR="00886468" w:rsidRPr="00861A96" w:rsidP="00886468" w14:paraId="53693448"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w:t>
      </w:r>
    </w:p>
    <w:p w:rsidR="00886468" w:rsidRPr="00861A96" w:rsidP="00886468" w14:paraId="060795B6" w14:textId="77777777">
      <w:pPr>
        <w:widowControl/>
        <w:tabs>
          <w:tab w:val="num" w:pos="360"/>
        </w:tabs>
        <w:ind w:left="360"/>
        <w:rPr>
          <w:rFonts w:ascii="Times New Roman" w:hAnsi="Times New Roman"/>
          <w:snapToGrid/>
          <w:sz w:val="24"/>
          <w:szCs w:val="24"/>
        </w:rPr>
      </w:pPr>
      <w:r w:rsidRPr="00861A96">
        <w:rPr>
          <w:rFonts w:ascii="Times New Roman" w:hAnsi="Times New Roman"/>
          <w:snapToGrid/>
          <w:sz w:val="24"/>
          <w:szCs w:val="24"/>
        </w:rPr>
        <w:t xml:space="preserve">This information collection is also used for planning and </w:t>
      </w:r>
      <w:r w:rsidRPr="00861A96">
        <w:rPr>
          <w:rFonts w:ascii="Times New Roman" w:hAnsi="Times New Roman"/>
          <w:snapToGrid/>
          <w:sz w:val="24"/>
          <w:szCs w:val="24"/>
        </w:rPr>
        <w:t>scheduling of</w:t>
      </w:r>
      <w:r w:rsidRPr="00861A96">
        <w:rPr>
          <w:rFonts w:ascii="Times New Roman" w:hAnsi="Times New Roman"/>
          <w:snapToGrid/>
          <w:sz w:val="24"/>
          <w:szCs w:val="24"/>
        </w:rPr>
        <w:t xml:space="preserve"> onsite monitoring reviews. </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8D667B" w:rsidP="008D667B" w14:paraId="03E6FA09" w14:textId="77777777">
      <w:pPr>
        <w:widowControl/>
        <w:tabs>
          <w:tab w:val="num" w:pos="360"/>
        </w:tabs>
        <w:ind w:left="360"/>
        <w:rPr>
          <w:rFonts w:ascii="Times New Roman" w:hAnsi="Times New Roman"/>
          <w:snapToGrid/>
          <w:sz w:val="24"/>
          <w:szCs w:val="24"/>
        </w:rPr>
      </w:pPr>
      <w:r w:rsidRPr="00490186">
        <w:rPr>
          <w:rFonts w:ascii="Times New Roman" w:hAnsi="Times New Roman"/>
          <w:snapToGrid/>
          <w:sz w:val="24"/>
          <w:szCs w:val="24"/>
        </w:rPr>
        <w:t>Information is submitted through the Head Start Enterprise System (HSES).  There are no paper transactions.  The automated filing provides accurate, edited data.  The data on locations, contacts, and program types are prepopulated when possible. </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01CB0194" w14:textId="481181E5">
      <w:pPr>
        <w:widowControl/>
        <w:tabs>
          <w:tab w:val="num" w:pos="360"/>
        </w:tabs>
        <w:ind w:left="360"/>
        <w:rPr>
          <w:rFonts w:ascii="Times New Roman" w:hAnsi="Times New Roman"/>
          <w:snapToGrid/>
          <w:sz w:val="24"/>
          <w:szCs w:val="24"/>
        </w:rPr>
      </w:pPr>
      <w:r w:rsidRPr="0045093E">
        <w:rPr>
          <w:rFonts w:ascii="Times New Roman" w:hAnsi="Times New Roman"/>
          <w:snapToGrid/>
          <w:sz w:val="24"/>
          <w:szCs w:val="24"/>
        </w:rPr>
        <w:t>No similar information is available.  All three instruments capture data that is only made available through those reports. </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277C911C" w14:textId="7E6AF56D">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60543" w:rsidRPr="004F7B95" w:rsidP="003221E0" w14:paraId="7A03161C" w14:textId="77777777">
      <w:pPr>
        <w:widowControl/>
        <w:tabs>
          <w:tab w:val="num" w:pos="360"/>
        </w:tabs>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w:t>
      </w:r>
      <w:r w:rsidRPr="00075889">
        <w:rPr>
          <w:rFonts w:ascii="Times New Roman" w:hAnsi="Times New Roman"/>
          <w:b/>
          <w:snapToGrid/>
          <w:sz w:val="24"/>
          <w:szCs w:val="24"/>
        </w:rPr>
        <w:t>the Information</w:t>
      </w:r>
      <w:r w:rsidRPr="00075889">
        <w:rPr>
          <w:rFonts w:ascii="Times New Roman" w:hAnsi="Times New Roman"/>
          <w:b/>
          <w:snapToGrid/>
          <w:sz w:val="24"/>
          <w:szCs w:val="24"/>
        </w:rPr>
        <w:t xml:space="preserve"> Less Frequently </w:t>
      </w:r>
    </w:p>
    <w:p w:rsidR="00AB5FD3" w:rsidRPr="00271C34" w:rsidP="00AB5FD3" w14:paraId="2CB5B223"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Figures on actual program services would not be available on an annual basis without this information collection</w:t>
      </w:r>
      <w:r>
        <w:rPr>
          <w:rFonts w:ascii="Times New Roman" w:hAnsi="Times New Roman"/>
          <w:snapToGrid/>
          <w:sz w:val="24"/>
          <w:szCs w:val="24"/>
        </w:rPr>
        <w:t>. For example, the PIR collects information</w:t>
      </w:r>
      <w:r w:rsidRPr="00271C34">
        <w:rPr>
          <w:rFonts w:ascii="Times New Roman" w:hAnsi="Times New Roman"/>
          <w:snapToGrid/>
          <w:sz w:val="24"/>
          <w:szCs w:val="24"/>
        </w:rPr>
        <w:t xml:space="preserve"> </w:t>
      </w:r>
      <w:r>
        <w:rPr>
          <w:rFonts w:ascii="Times New Roman" w:hAnsi="Times New Roman"/>
          <w:snapToGrid/>
          <w:sz w:val="24"/>
          <w:szCs w:val="24"/>
        </w:rPr>
        <w:t>like</w:t>
      </w:r>
      <w:r w:rsidRPr="00271C34">
        <w:rPr>
          <w:rFonts w:ascii="Times New Roman" w:hAnsi="Times New Roman"/>
          <w:snapToGrid/>
          <w:sz w:val="24"/>
          <w:szCs w:val="24"/>
        </w:rPr>
        <w:t xml:space="preserve"> the </w:t>
      </w:r>
      <w:r w:rsidRPr="00271C34">
        <w:rPr>
          <w:rFonts w:ascii="Times New Roman" w:hAnsi="Times New Roman"/>
          <w:snapToGrid/>
          <w:sz w:val="24"/>
          <w:szCs w:val="24"/>
        </w:rPr>
        <w:t>percent</w:t>
      </w:r>
      <w:r w:rsidRPr="00271C34">
        <w:rPr>
          <w:rFonts w:ascii="Times New Roman" w:hAnsi="Times New Roman"/>
          <w:snapToGrid/>
          <w:sz w:val="24"/>
          <w:szCs w:val="24"/>
        </w:rPr>
        <w:t xml:space="preserve"> of children that received their necessary immunizations and the percent of classroom teachers with an associates or higher degree in Early Childhood Education or related field.  </w:t>
      </w:r>
    </w:p>
    <w:p w:rsidR="00AB5FD3" w:rsidRPr="00271C34" w:rsidP="00AB5FD3" w14:paraId="517FA2C9"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 </w:t>
      </w:r>
    </w:p>
    <w:p w:rsidR="00AB5FD3" w:rsidRPr="00271C34" w:rsidP="00AB5FD3" w14:paraId="2894CA18"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Interest in early childhood programs including enrollment and the status of children and families served is ongoing; there is a need for current program information. In addition, the PIR is essential for reporting on performance measures and the implementation of Congressional mandates. </w:t>
      </w:r>
    </w:p>
    <w:p w:rsidR="00AB5FD3" w:rsidRPr="00271C34" w:rsidP="00AB5FD3" w14:paraId="6F19C2B9"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 </w:t>
      </w:r>
    </w:p>
    <w:p w:rsidR="00AB5FD3" w:rsidRPr="00271C34" w:rsidP="00AB5FD3" w14:paraId="4A502266"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OHS has considered collecting information less frequently than an annual basis, but programs and system developers have indicated it may increase the burden of the collection since having a steady annual collection supports reliable reporting and record-keeping. Additionally, it was indicated that programs need to collect it on an annual basis for their own purposes and having access to data reported by other programs is helpful. </w:t>
      </w:r>
    </w:p>
    <w:p w:rsidR="00AB5FD3" w:rsidRPr="00271C34" w:rsidP="00AB5FD3" w14:paraId="7F44922B" w14:textId="77777777">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 </w:t>
      </w:r>
    </w:p>
    <w:p w:rsidR="00D60543" w:rsidP="00AB5FD3" w14:paraId="0DA9C819" w14:textId="04A88A23">
      <w:pPr>
        <w:widowControl/>
        <w:tabs>
          <w:tab w:val="num" w:pos="360"/>
        </w:tabs>
        <w:ind w:left="360"/>
        <w:rPr>
          <w:rFonts w:ascii="Times New Roman" w:hAnsi="Times New Roman"/>
          <w:snapToGrid/>
          <w:sz w:val="24"/>
          <w:szCs w:val="24"/>
        </w:rPr>
      </w:pPr>
      <w:r w:rsidRPr="00271C34">
        <w:rPr>
          <w:rFonts w:ascii="Times New Roman" w:hAnsi="Times New Roman"/>
          <w:snapToGrid/>
          <w:sz w:val="24"/>
          <w:szCs w:val="24"/>
        </w:rPr>
        <w:t xml:space="preserve">Without PIR data, research studies would have to develop additional information collections to compensate for the missing data. Also, monitoring would need to develop a new method and propose </w:t>
      </w:r>
      <w:r w:rsidRPr="00271C34">
        <w:rPr>
          <w:rFonts w:ascii="Times New Roman" w:hAnsi="Times New Roman"/>
          <w:snapToGrid/>
          <w:sz w:val="24"/>
          <w:szCs w:val="24"/>
        </w:rPr>
        <w:t>a new</w:t>
      </w:r>
      <w:r w:rsidRPr="00271C34">
        <w:rPr>
          <w:rFonts w:ascii="Times New Roman" w:hAnsi="Times New Roman"/>
          <w:snapToGrid/>
          <w:sz w:val="24"/>
          <w:szCs w:val="24"/>
        </w:rPr>
        <w:t xml:space="preserve"> data collection for planning and scheduling on-site reviews.</w:t>
      </w:r>
    </w:p>
    <w:p w:rsidR="00DE529D" w:rsidRPr="004F7B95" w:rsidP="00022586" w14:paraId="2744D4F5" w14:textId="77777777">
      <w:pPr>
        <w:widowControl/>
        <w:tabs>
          <w:tab w:val="num" w:pos="360"/>
        </w:tabs>
        <w:ind w:left="360"/>
        <w:rPr>
          <w:rFonts w:ascii="Times New Roman" w:hAnsi="Times New Roman"/>
          <w:snapToGrid/>
          <w:sz w:val="24"/>
          <w:szCs w:val="24"/>
        </w:rPr>
      </w:pPr>
    </w:p>
    <w:p w:rsidR="009C2DE1" w:rsidRPr="00CB0FFE" w:rsidP="00CB0FFE" w14:paraId="2936D2FA" w14:textId="01515664">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46224D5D" w14:textId="134F39EC">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2908B3B1" w14:paraId="016A1F70" w14:textId="31277DE8">
      <w:pPr>
        <w:tabs>
          <w:tab w:val="num" w:pos="360"/>
        </w:tabs>
        <w:ind w:left="360"/>
        <w:rPr>
          <w:rFonts w:ascii="Times New Roman" w:hAnsi="Times New Roman"/>
          <w:sz w:val="24"/>
          <w:szCs w:val="24"/>
          <w:highlight w:val="green"/>
        </w:rPr>
      </w:pPr>
      <w:r w:rsidRPr="2908B3B1">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3200D7">
        <w:rPr>
          <w:rFonts w:ascii="Times New Roman" w:hAnsi="Times New Roman"/>
          <w:sz w:val="24"/>
          <w:szCs w:val="24"/>
        </w:rPr>
        <w:t>September 17, 2025</w:t>
      </w:r>
      <w:r w:rsidRPr="2908B3B1" w:rsidR="4944AE1E">
        <w:rPr>
          <w:rFonts w:ascii="Times New Roman" w:hAnsi="Times New Roman"/>
          <w:sz w:val="24"/>
          <w:szCs w:val="24"/>
        </w:rPr>
        <w:t xml:space="preserve"> (</w:t>
      </w:r>
      <w:r w:rsidRPr="002B7021">
        <w:rPr>
          <w:rFonts w:ascii="Times New Roman" w:hAnsi="Times New Roman"/>
          <w:sz w:val="24"/>
          <w:szCs w:val="24"/>
        </w:rPr>
        <w:t xml:space="preserve">Volume </w:t>
      </w:r>
      <w:r w:rsidR="002B7021">
        <w:rPr>
          <w:rFonts w:ascii="Times New Roman" w:hAnsi="Times New Roman"/>
          <w:sz w:val="24"/>
          <w:szCs w:val="24"/>
        </w:rPr>
        <w:t xml:space="preserve">90, </w:t>
      </w:r>
      <w:r w:rsidRPr="2908B3B1" w:rsidR="2B0F2214">
        <w:rPr>
          <w:rFonts w:ascii="Times New Roman" w:hAnsi="Times New Roman"/>
          <w:sz w:val="24"/>
          <w:szCs w:val="24"/>
        </w:rPr>
        <w:t>FR</w:t>
      </w:r>
      <w:r w:rsidRPr="2908B3B1">
        <w:rPr>
          <w:rFonts w:ascii="Times New Roman" w:hAnsi="Times New Roman"/>
          <w:sz w:val="24"/>
          <w:szCs w:val="24"/>
        </w:rPr>
        <w:t xml:space="preserve"> page </w:t>
      </w:r>
      <w:r w:rsidR="002B7021">
        <w:rPr>
          <w:rFonts w:ascii="Times New Roman" w:hAnsi="Times New Roman"/>
          <w:sz w:val="24"/>
          <w:szCs w:val="24"/>
        </w:rPr>
        <w:t>44825</w:t>
      </w:r>
      <w:r w:rsidRPr="2908B3B1" w:rsidR="3C79C695">
        <w:rPr>
          <w:rFonts w:ascii="Times New Roman" w:hAnsi="Times New Roman"/>
          <w:sz w:val="24"/>
          <w:szCs w:val="24"/>
        </w:rPr>
        <w:t>)</w:t>
      </w:r>
      <w:r w:rsidRPr="2908B3B1">
        <w:rPr>
          <w:rFonts w:ascii="Times New Roman" w:hAnsi="Times New Roman"/>
          <w:sz w:val="24"/>
          <w:szCs w:val="24"/>
        </w:rPr>
        <w:t xml:space="preserve"> and provided a sixty-day period for public comment.</w:t>
      </w:r>
      <w:r w:rsidR="00216279">
        <w:rPr>
          <w:rFonts w:ascii="Times New Roman" w:hAnsi="Times New Roman"/>
          <w:sz w:val="24"/>
          <w:szCs w:val="24"/>
        </w:rPr>
        <w:t xml:space="preserve"> </w:t>
      </w:r>
      <w:r w:rsidRPr="2908B3B1">
        <w:rPr>
          <w:rFonts w:ascii="Times New Roman" w:hAnsi="Times New Roman"/>
          <w:sz w:val="24"/>
          <w:szCs w:val="24"/>
        </w:rPr>
        <w:t xml:space="preserve">During the notice and comment </w:t>
      </w:r>
      <w:r w:rsidRPr="00453E2C">
        <w:rPr>
          <w:rFonts w:ascii="Times New Roman" w:hAnsi="Times New Roman"/>
          <w:sz w:val="24"/>
          <w:szCs w:val="24"/>
        </w:rPr>
        <w:t xml:space="preserve">period, </w:t>
      </w:r>
      <w:r w:rsidRPr="00453E2C" w:rsidR="00C35C00">
        <w:rPr>
          <w:rFonts w:ascii="Times New Roman" w:hAnsi="Times New Roman"/>
          <w:sz w:val="24"/>
          <w:szCs w:val="24"/>
        </w:rPr>
        <w:t>36</w:t>
      </w:r>
      <w:r w:rsidRPr="00453E2C">
        <w:rPr>
          <w:rFonts w:ascii="Times New Roman" w:hAnsi="Times New Roman"/>
          <w:sz w:val="24"/>
          <w:szCs w:val="24"/>
        </w:rPr>
        <w:t xml:space="preserve"> comments </w:t>
      </w:r>
      <w:r w:rsidRPr="00453E2C" w:rsidR="00C35C00">
        <w:rPr>
          <w:rFonts w:ascii="Times New Roman" w:hAnsi="Times New Roman"/>
          <w:sz w:val="24"/>
          <w:szCs w:val="24"/>
        </w:rPr>
        <w:t>(34 substantive</w:t>
      </w:r>
      <w:r w:rsidR="00C35C00">
        <w:rPr>
          <w:rFonts w:ascii="Times New Roman" w:hAnsi="Times New Roman"/>
          <w:sz w:val="24"/>
          <w:szCs w:val="24"/>
        </w:rPr>
        <w:t xml:space="preserve"> and 2 </w:t>
      </w:r>
      <w:r w:rsidR="00C35C00">
        <w:rPr>
          <w:rFonts w:ascii="Times New Roman" w:hAnsi="Times New Roman"/>
          <w:sz w:val="24"/>
          <w:szCs w:val="24"/>
        </w:rPr>
        <w:t>nonsubstantive</w:t>
      </w:r>
      <w:r w:rsidR="00C35C00">
        <w:rPr>
          <w:rFonts w:ascii="Times New Roman" w:hAnsi="Times New Roman"/>
          <w:sz w:val="24"/>
          <w:szCs w:val="24"/>
        </w:rPr>
        <w:t>)</w:t>
      </w:r>
      <w:r w:rsidR="00453E2C">
        <w:rPr>
          <w:rFonts w:ascii="Times New Roman" w:hAnsi="Times New Roman"/>
          <w:sz w:val="24"/>
          <w:szCs w:val="24"/>
        </w:rPr>
        <w:t xml:space="preserve"> were received</w:t>
      </w:r>
      <w:r w:rsidR="00C35C00">
        <w:rPr>
          <w:rFonts w:ascii="Times New Roman" w:hAnsi="Times New Roman"/>
          <w:sz w:val="24"/>
          <w:szCs w:val="24"/>
        </w:rPr>
        <w:t>.</w:t>
      </w:r>
      <w:r w:rsidRPr="2908B3B1">
        <w:rPr>
          <w:rFonts w:ascii="Times New Roman" w:hAnsi="Times New Roman"/>
          <w:sz w:val="24"/>
          <w:szCs w:val="24"/>
        </w:rPr>
        <w:t xml:space="preserve"> </w:t>
      </w:r>
      <w:r w:rsidR="00216279">
        <w:rPr>
          <w:rFonts w:ascii="Times New Roman" w:hAnsi="Times New Roman"/>
          <w:sz w:val="24"/>
          <w:szCs w:val="24"/>
        </w:rPr>
        <w:t>Comments</w:t>
      </w:r>
      <w:r w:rsidR="00F23630">
        <w:rPr>
          <w:rFonts w:ascii="Times New Roman" w:hAnsi="Times New Roman"/>
          <w:sz w:val="24"/>
          <w:szCs w:val="24"/>
        </w:rPr>
        <w:t xml:space="preserve"> responded to both proposed changes for the 2026-27 PIR as well as </w:t>
      </w:r>
      <w:r w:rsidR="001D74F1">
        <w:rPr>
          <w:rFonts w:ascii="Times New Roman" w:hAnsi="Times New Roman"/>
          <w:sz w:val="24"/>
          <w:szCs w:val="24"/>
        </w:rPr>
        <w:t>proposed changes for future information collections.</w:t>
      </w:r>
    </w:p>
    <w:p w:rsidR="009C2DE1" w:rsidRPr="00A74C42" w:rsidP="2908B3B1" w14:paraId="5F44B472" w14:textId="77777777">
      <w:pPr>
        <w:widowControl/>
        <w:tabs>
          <w:tab w:val="num" w:pos="360"/>
        </w:tabs>
        <w:ind w:left="360"/>
        <w:rPr>
          <w:rFonts w:ascii="Times New Roman" w:hAnsi="Times New Roman"/>
          <w:snapToGrid/>
          <w:sz w:val="24"/>
          <w:szCs w:val="24"/>
        </w:rPr>
      </w:pPr>
    </w:p>
    <w:p w:rsidR="009C2DE1" w:rsidRPr="004F7B95" w:rsidP="00022586" w14:paraId="69CB726C" w14:textId="7D264E9E">
      <w:pPr>
        <w:widowControl/>
        <w:tabs>
          <w:tab w:val="num" w:pos="360"/>
        </w:tabs>
        <w:ind w:left="360"/>
        <w:rPr>
          <w:rFonts w:ascii="Times New Roman" w:hAnsi="Times New Roman"/>
          <w:snapToGrid/>
          <w:sz w:val="24"/>
          <w:szCs w:val="24"/>
        </w:rPr>
      </w:pPr>
      <w:r w:rsidRPr="00A74C42">
        <w:rPr>
          <w:rFonts w:ascii="Times New Roman" w:hAnsi="Times New Roman"/>
          <w:snapToGrid/>
          <w:sz w:val="24"/>
          <w:szCs w:val="24"/>
        </w:rPr>
        <w:t>In response t</w:t>
      </w:r>
      <w:r w:rsidRPr="00A74C42" w:rsidR="000B54C0">
        <w:rPr>
          <w:rFonts w:ascii="Times New Roman" w:hAnsi="Times New Roman"/>
          <w:snapToGrid/>
          <w:sz w:val="24"/>
          <w:szCs w:val="24"/>
        </w:rPr>
        <w:t>o the comments received</w:t>
      </w:r>
      <w:r w:rsidRPr="00A74C42" w:rsidR="001D74F1">
        <w:rPr>
          <w:rFonts w:ascii="Times New Roman" w:hAnsi="Times New Roman"/>
          <w:snapToGrid/>
          <w:sz w:val="24"/>
          <w:szCs w:val="24"/>
        </w:rPr>
        <w:t xml:space="preserve"> regarding the 2026-27 PIR</w:t>
      </w:r>
      <w:r w:rsidRPr="00A74C42" w:rsidR="000B54C0">
        <w:rPr>
          <w:rFonts w:ascii="Times New Roman" w:hAnsi="Times New Roman"/>
          <w:snapToGrid/>
          <w:sz w:val="24"/>
          <w:szCs w:val="24"/>
        </w:rPr>
        <w:t>, OHS has removed the proposed question about the waiting list</w:t>
      </w:r>
      <w:r w:rsidRPr="00A74C42" w:rsidR="005B4340">
        <w:rPr>
          <w:rFonts w:ascii="Times New Roman" w:hAnsi="Times New Roman"/>
          <w:snapToGrid/>
          <w:sz w:val="24"/>
          <w:szCs w:val="24"/>
        </w:rPr>
        <w:t xml:space="preserve"> due to concerns </w:t>
      </w:r>
      <w:r w:rsidRPr="00A74C42" w:rsidR="00F42E82">
        <w:rPr>
          <w:rFonts w:ascii="Times New Roman" w:hAnsi="Times New Roman"/>
          <w:snapToGrid/>
          <w:sz w:val="24"/>
          <w:szCs w:val="24"/>
        </w:rPr>
        <w:t xml:space="preserve">about the quality of that data collection. </w:t>
      </w:r>
      <w:r w:rsidRPr="00A74C42" w:rsidR="00107DA4">
        <w:rPr>
          <w:rFonts w:ascii="Times New Roman" w:hAnsi="Times New Roman"/>
          <w:snapToGrid/>
          <w:sz w:val="24"/>
          <w:szCs w:val="24"/>
        </w:rPr>
        <w:t>F</w:t>
      </w:r>
      <w:r w:rsidRPr="00A74C42" w:rsidR="00F42E82">
        <w:rPr>
          <w:rFonts w:ascii="Times New Roman" w:hAnsi="Times New Roman"/>
          <w:snapToGrid/>
          <w:sz w:val="24"/>
          <w:szCs w:val="24"/>
        </w:rPr>
        <w:t xml:space="preserve">eedback from commenters noted that </w:t>
      </w:r>
      <w:r w:rsidRPr="00A74C42" w:rsidR="007261AB">
        <w:rPr>
          <w:rFonts w:ascii="Times New Roman" w:hAnsi="Times New Roman"/>
          <w:snapToGrid/>
          <w:sz w:val="24"/>
          <w:szCs w:val="24"/>
        </w:rPr>
        <w:t>reporting th</w:t>
      </w:r>
      <w:r w:rsidRPr="00A74C42" w:rsidR="00107DA4">
        <w:rPr>
          <w:rFonts w:ascii="Times New Roman" w:hAnsi="Times New Roman"/>
          <w:snapToGrid/>
          <w:sz w:val="24"/>
          <w:szCs w:val="24"/>
        </w:rPr>
        <w:t>is</w:t>
      </w:r>
      <w:r w:rsidRPr="00A74C42" w:rsidR="007261AB">
        <w:rPr>
          <w:rFonts w:ascii="Times New Roman" w:hAnsi="Times New Roman"/>
          <w:snapToGrid/>
          <w:sz w:val="24"/>
          <w:szCs w:val="24"/>
        </w:rPr>
        <w:t xml:space="preserve"> single value lacks context about the program capacity and constraints, that over-income families on the wait list cannot be enrolled, and that site-specific wait lists may not reflect the program-wide availability. Additionally, </w:t>
      </w:r>
      <w:r w:rsidRPr="00A74C42" w:rsidR="00656140">
        <w:rPr>
          <w:rFonts w:ascii="Times New Roman" w:hAnsi="Times New Roman"/>
          <w:snapToGrid/>
          <w:sz w:val="24"/>
          <w:szCs w:val="24"/>
        </w:rPr>
        <w:t>for</w:t>
      </w:r>
      <w:r w:rsidRPr="00A74C42" w:rsidR="00C01668">
        <w:rPr>
          <w:rFonts w:ascii="Times New Roman" w:hAnsi="Times New Roman"/>
          <w:snapToGrid/>
          <w:sz w:val="24"/>
          <w:szCs w:val="24"/>
        </w:rPr>
        <w:t xml:space="preserve"> the question about</w:t>
      </w:r>
      <w:r w:rsidRPr="00A74C42" w:rsidR="00FF589B">
        <w:rPr>
          <w:rFonts w:ascii="Times New Roman" w:hAnsi="Times New Roman"/>
          <w:snapToGrid/>
          <w:sz w:val="24"/>
          <w:szCs w:val="24"/>
        </w:rPr>
        <w:t xml:space="preserve"> the primary reason that children referred for an evaluation to determine IDEA eligibility did not receive it</w:t>
      </w:r>
      <w:r w:rsidRPr="00A74C42" w:rsidR="00656140">
        <w:rPr>
          <w:rFonts w:ascii="Times New Roman" w:hAnsi="Times New Roman"/>
          <w:snapToGrid/>
          <w:sz w:val="24"/>
          <w:szCs w:val="24"/>
        </w:rPr>
        <w:t>, commenters proposed</w:t>
      </w:r>
      <w:r w:rsidRPr="00A74C42" w:rsidR="00AD1774">
        <w:rPr>
          <w:rFonts w:ascii="Times New Roman" w:hAnsi="Times New Roman"/>
          <w:snapToGrid/>
          <w:sz w:val="24"/>
          <w:szCs w:val="24"/>
        </w:rPr>
        <w:t xml:space="preserve"> adding an additional category</w:t>
      </w:r>
      <w:r w:rsidRPr="00A74C42" w:rsidR="002F4C48">
        <w:rPr>
          <w:rFonts w:ascii="Times New Roman" w:hAnsi="Times New Roman"/>
          <w:snapToGrid/>
          <w:sz w:val="24"/>
          <w:szCs w:val="24"/>
        </w:rPr>
        <w:t>, “parent(s) did not respond to follow-up</w:t>
      </w:r>
      <w:r w:rsidRPr="00A74C42" w:rsidR="00107DA4">
        <w:rPr>
          <w:rFonts w:ascii="Times New Roman" w:hAnsi="Times New Roman"/>
          <w:snapToGrid/>
          <w:sz w:val="24"/>
          <w:szCs w:val="24"/>
        </w:rPr>
        <w:t>.</w:t>
      </w:r>
      <w:r w:rsidRPr="00A74C42" w:rsidR="002F4C48">
        <w:rPr>
          <w:rFonts w:ascii="Times New Roman" w:hAnsi="Times New Roman"/>
          <w:snapToGrid/>
          <w:sz w:val="24"/>
          <w:szCs w:val="24"/>
        </w:rPr>
        <w:t xml:space="preserve">” </w:t>
      </w:r>
      <w:r w:rsidRPr="00A74C42" w:rsidR="00107DA4">
        <w:rPr>
          <w:rFonts w:ascii="Times New Roman" w:hAnsi="Times New Roman"/>
          <w:snapToGrid/>
          <w:sz w:val="24"/>
          <w:szCs w:val="24"/>
        </w:rPr>
        <w:t xml:space="preserve">This additional category will </w:t>
      </w:r>
      <w:r w:rsidRPr="00A74C42" w:rsidR="002F4C48">
        <w:rPr>
          <w:rFonts w:ascii="Times New Roman" w:hAnsi="Times New Roman"/>
          <w:snapToGrid/>
          <w:sz w:val="24"/>
          <w:szCs w:val="24"/>
        </w:rPr>
        <w:t xml:space="preserve">distinguish between explicit parent refusal (a pre-existing option) and the family not responding to </w:t>
      </w:r>
      <w:r w:rsidRPr="00A74C42" w:rsidR="002E2099">
        <w:rPr>
          <w:rFonts w:ascii="Times New Roman" w:hAnsi="Times New Roman"/>
          <w:snapToGrid/>
          <w:sz w:val="24"/>
          <w:szCs w:val="24"/>
        </w:rPr>
        <w:t>follow-up or completing necessary paperwork for this process.</w:t>
      </w:r>
    </w:p>
    <w:p w:rsidR="00CB1A12" w:rsidP="00022586" w14:paraId="3CF18BF3" w14:textId="77777777">
      <w:pPr>
        <w:widowControl/>
        <w:tabs>
          <w:tab w:val="num" w:pos="360"/>
        </w:tabs>
        <w:ind w:left="360"/>
        <w:rPr>
          <w:rFonts w:ascii="Times New Roman" w:hAnsi="Times New Roman"/>
          <w:snapToGrid/>
          <w:sz w:val="24"/>
          <w:szCs w:val="24"/>
        </w:rPr>
      </w:pPr>
    </w:p>
    <w:p w:rsidR="007869CA" w:rsidP="00022586" w14:paraId="504AC451" w14:textId="52E37B81">
      <w:pPr>
        <w:widowControl/>
        <w:tabs>
          <w:tab w:val="num" w:pos="360"/>
        </w:tabs>
        <w:ind w:left="360"/>
        <w:rPr>
          <w:rFonts w:ascii="Times New Roman" w:hAnsi="Times New Roman"/>
          <w:snapToGrid/>
          <w:sz w:val="24"/>
          <w:szCs w:val="24"/>
        </w:rPr>
      </w:pPr>
      <w:r>
        <w:rPr>
          <w:rFonts w:ascii="Times New Roman" w:hAnsi="Times New Roman"/>
          <w:snapToGrid/>
          <w:sz w:val="24"/>
          <w:szCs w:val="24"/>
        </w:rPr>
        <w:t>OHS is carefully reviewing and considering the comments received on proposed future changes to the PIR.</w:t>
      </w:r>
      <w:r w:rsidR="00A52427">
        <w:rPr>
          <w:rFonts w:ascii="Times New Roman" w:hAnsi="Times New Roman"/>
          <w:snapToGrid/>
          <w:sz w:val="24"/>
          <w:szCs w:val="24"/>
        </w:rPr>
        <w:t xml:space="preserve"> In particular, OHS is considering the implications of proposed future changes on </w:t>
      </w:r>
      <w:r w:rsidR="005A0945">
        <w:rPr>
          <w:rFonts w:ascii="Times New Roman" w:hAnsi="Times New Roman"/>
          <w:snapToGrid/>
          <w:sz w:val="24"/>
          <w:szCs w:val="24"/>
        </w:rPr>
        <w:t>burden, data management systems,</w:t>
      </w:r>
      <w:r w:rsidR="00A74C42">
        <w:rPr>
          <w:rFonts w:ascii="Times New Roman" w:hAnsi="Times New Roman"/>
          <w:snapToGrid/>
          <w:sz w:val="24"/>
          <w:szCs w:val="24"/>
        </w:rPr>
        <w:t xml:space="preserve"> and</w:t>
      </w:r>
      <w:r w:rsidR="005A0945">
        <w:rPr>
          <w:rFonts w:ascii="Times New Roman" w:hAnsi="Times New Roman"/>
          <w:snapToGrid/>
          <w:sz w:val="24"/>
          <w:szCs w:val="24"/>
        </w:rPr>
        <w:t xml:space="preserve"> implementation timelines</w:t>
      </w:r>
      <w:r w:rsidR="00975C04">
        <w:rPr>
          <w:rFonts w:ascii="Times New Roman" w:hAnsi="Times New Roman"/>
          <w:snapToGrid/>
          <w:sz w:val="24"/>
          <w:szCs w:val="24"/>
        </w:rPr>
        <w:t>.</w:t>
      </w:r>
    </w:p>
    <w:p w:rsidR="00022586" w:rsidRPr="004F7B95" w:rsidP="00107DA4" w14:paraId="2EDB417E" w14:textId="77777777">
      <w:pPr>
        <w:widowControl/>
        <w:tabs>
          <w:tab w:val="num" w:pos="360"/>
        </w:tabs>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58AEE861" w14:textId="61E89D5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51278C" w14:paraId="4874FACA" w14:textId="77777777">
      <w:pPr>
        <w:widowControl/>
        <w:numPr>
          <w:ilvl w:val="0"/>
          <w:numId w:val="3"/>
        </w:numPr>
        <w:tabs>
          <w:tab w:val="num" w:pos="360"/>
        </w:tabs>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D647B0" w:rsidP="00D647B0" w14:paraId="51EEDA1A"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51278C"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647B0" w:rsidP="00D647B0" w14:paraId="6836583D"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E50898" w:rsidRPr="00C36B87" w:rsidP="00E50898" w14:paraId="185AF93A" w14:textId="77777777">
      <w:pPr>
        <w:widowControl/>
        <w:spacing w:after="60"/>
        <w:ind w:left="360"/>
        <w:rPr>
          <w:rFonts w:ascii="Times New Roman" w:hAnsi="Times New Roman"/>
          <w:sz w:val="24"/>
          <w:szCs w:val="24"/>
        </w:rPr>
      </w:pPr>
      <w:r w:rsidRPr="00C36B87">
        <w:rPr>
          <w:rFonts w:ascii="Times New Roman" w:hAnsi="Times New Roman"/>
          <w:sz w:val="24"/>
          <w:szCs w:val="24"/>
        </w:rPr>
        <w:t xml:space="preserve">The respondents for this information collection are grant recipients. The number of responses is based on the number of responses provided by each grant recipient for each information collection instrument, while also </w:t>
      </w:r>
      <w:r w:rsidRPr="00C36B87">
        <w:rPr>
          <w:rFonts w:ascii="Times New Roman" w:hAnsi="Times New Roman"/>
          <w:sz w:val="24"/>
          <w:szCs w:val="24"/>
        </w:rPr>
        <w:t>taking into account</w:t>
      </w:r>
      <w:r w:rsidRPr="00C36B87">
        <w:rPr>
          <w:rFonts w:ascii="Times New Roman" w:hAnsi="Times New Roman"/>
          <w:sz w:val="24"/>
          <w:szCs w:val="24"/>
        </w:rPr>
        <w:t xml:space="preserve"> that some grant recipients hold multiple grants.  </w:t>
      </w:r>
    </w:p>
    <w:p w:rsidR="00CB1A12" w:rsidRPr="004F7B95" w:rsidP="5A42027D" w14:paraId="491EE3AF" w14:textId="416B8AEF">
      <w:pPr>
        <w:widowControl/>
        <w:ind w:left="360"/>
      </w:pPr>
      <w:r w:rsidRPr="5A42027D">
        <w:rPr>
          <w:rFonts w:ascii="Times New Roman" w:hAnsi="Times New Roman"/>
          <w:i/>
          <w:iCs/>
          <w:sz w:val="24"/>
          <w:szCs w:val="24"/>
        </w:rPr>
        <w:t xml:space="preserve"> </w:t>
      </w:r>
    </w:p>
    <w:p w:rsidR="00CB1A12"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 xml:space="preserve">Estimated Cost </w:t>
      </w:r>
      <w:r w:rsidRPr="5A42027D">
        <w:rPr>
          <w:rFonts w:ascii="Times New Roman" w:hAnsi="Times New Roman"/>
          <w:i/>
          <w:iCs/>
          <w:sz w:val="24"/>
          <w:szCs w:val="24"/>
        </w:rPr>
        <w:t>to</w:t>
      </w:r>
      <w:r w:rsidRPr="5A42027D">
        <w:rPr>
          <w:rFonts w:ascii="Times New Roman" w:hAnsi="Times New Roman"/>
          <w:i/>
          <w:iCs/>
          <w:sz w:val="24"/>
          <w:szCs w:val="24"/>
        </w:rPr>
        <w:t xml:space="preserve"> Respondents</w:t>
      </w:r>
    </w:p>
    <w:p w:rsidR="004700D0" w:rsidRPr="00C01C44" w:rsidP="004700D0" w14:paraId="2229AA4E" w14:textId="77777777">
      <w:pPr>
        <w:widowControl/>
        <w:spacing w:after="60"/>
        <w:ind w:left="360"/>
        <w:rPr>
          <w:rFonts w:ascii="Times New Roman" w:hAnsi="Times New Roman"/>
          <w:sz w:val="24"/>
          <w:szCs w:val="24"/>
        </w:rPr>
      </w:pPr>
      <w:r w:rsidRPr="00C01C44">
        <w:rPr>
          <w:rFonts w:ascii="Times New Roman" w:hAnsi="Times New Roman"/>
          <w:sz w:val="24"/>
          <w:szCs w:val="24"/>
        </w:rPr>
        <w:t>The cost to respondents was calculated using the Bureau of Labor Statistics (BLS) job code for Education and Childcare Administrators in Preschool [11-9031] and wage data from May 202</w:t>
      </w:r>
      <w:r>
        <w:rPr>
          <w:rFonts w:ascii="Times New Roman" w:hAnsi="Times New Roman"/>
          <w:sz w:val="24"/>
          <w:szCs w:val="24"/>
        </w:rPr>
        <w:t>4</w:t>
      </w:r>
      <w:r w:rsidRPr="00C01C44">
        <w:rPr>
          <w:rFonts w:ascii="Times New Roman" w:hAnsi="Times New Roman"/>
          <w:sz w:val="24"/>
          <w:szCs w:val="24"/>
        </w:rPr>
        <w:t>, which is $</w:t>
      </w:r>
      <w:r>
        <w:rPr>
          <w:rFonts w:ascii="Times New Roman" w:hAnsi="Times New Roman"/>
          <w:sz w:val="24"/>
          <w:szCs w:val="24"/>
        </w:rPr>
        <w:t>30.12</w:t>
      </w:r>
      <w:r w:rsidRPr="00C01C44">
        <w:rPr>
          <w:rFonts w:ascii="Times New Roman" w:hAnsi="Times New Roman"/>
          <w:sz w:val="24"/>
          <w:szCs w:val="24"/>
        </w:rPr>
        <w:t xml:space="preserve"> per hour. To account for fringe benefits and overhead the rate was multiplied by </w:t>
      </w:r>
      <w:r w:rsidRPr="00C01C44">
        <w:rPr>
          <w:rFonts w:ascii="Times New Roman" w:hAnsi="Times New Roman"/>
          <w:sz w:val="24"/>
          <w:szCs w:val="24"/>
        </w:rPr>
        <w:t>two</w:t>
      </w:r>
      <w:r w:rsidRPr="00C01C44">
        <w:rPr>
          <w:rFonts w:ascii="Times New Roman" w:hAnsi="Times New Roman"/>
          <w:sz w:val="24"/>
          <w:szCs w:val="24"/>
        </w:rPr>
        <w:t xml:space="preserve"> which </w:t>
      </w:r>
      <w:r w:rsidRPr="00C01C44">
        <w:rPr>
          <w:rFonts w:ascii="Times New Roman" w:hAnsi="Times New Roman"/>
          <w:sz w:val="24"/>
          <w:szCs w:val="24"/>
        </w:rPr>
        <w:t>is</w:t>
      </w:r>
      <w:r w:rsidRPr="00C01C44">
        <w:rPr>
          <w:rFonts w:ascii="Times New Roman" w:hAnsi="Times New Roman"/>
          <w:sz w:val="24"/>
          <w:szCs w:val="24"/>
        </w:rPr>
        <w:t xml:space="preserve"> $</w:t>
      </w:r>
      <w:r>
        <w:rPr>
          <w:rFonts w:ascii="Times New Roman" w:hAnsi="Times New Roman"/>
          <w:sz w:val="24"/>
          <w:szCs w:val="24"/>
        </w:rPr>
        <w:t>60.24</w:t>
      </w:r>
      <w:r w:rsidRPr="00C01C44">
        <w:rPr>
          <w:rFonts w:ascii="Times New Roman" w:hAnsi="Times New Roman"/>
          <w:sz w:val="24"/>
          <w:szCs w:val="24"/>
        </w:rPr>
        <w:t>.  The estimate of annualized cost to respondents for hour burden is $</w:t>
      </w:r>
      <w:r>
        <w:rPr>
          <w:rFonts w:ascii="Times New Roman" w:hAnsi="Times New Roman"/>
          <w:sz w:val="24"/>
          <w:szCs w:val="24"/>
        </w:rPr>
        <w:t>60.24</w:t>
      </w:r>
      <w:r w:rsidRPr="00C01C44">
        <w:rPr>
          <w:rFonts w:ascii="Times New Roman" w:hAnsi="Times New Roman"/>
          <w:sz w:val="24"/>
          <w:szCs w:val="24"/>
        </w:rPr>
        <w:t xml:space="preserve"> times 11,760 hours or $</w:t>
      </w:r>
      <w:r>
        <w:rPr>
          <w:rFonts w:ascii="Times New Roman" w:hAnsi="Times New Roman"/>
          <w:sz w:val="24"/>
          <w:szCs w:val="24"/>
        </w:rPr>
        <w:t>708,422</w:t>
      </w:r>
      <w:r w:rsidRPr="00C01C44">
        <w:rPr>
          <w:rFonts w:ascii="Times New Roman" w:hAnsi="Times New Roman"/>
          <w:sz w:val="24"/>
          <w:szCs w:val="24"/>
        </w:rPr>
        <w:t>.</w:t>
      </w:r>
      <w:r>
        <w:rPr>
          <w:rFonts w:ascii="Times New Roman" w:hAnsi="Times New Roman"/>
          <w:sz w:val="24"/>
          <w:szCs w:val="24"/>
        </w:rPr>
        <w:t>40.</w:t>
      </w:r>
      <w:r w:rsidRPr="00C01C44">
        <w:rPr>
          <w:rFonts w:ascii="Times New Roman" w:hAnsi="Times New Roman"/>
          <w:sz w:val="24"/>
          <w:szCs w:val="24"/>
        </w:rPr>
        <w:t> </w:t>
      </w:r>
    </w:p>
    <w:p w:rsidR="004700D0" w:rsidRPr="00C01C44" w:rsidP="004700D0" w14:paraId="33772A02" w14:textId="77777777">
      <w:pPr>
        <w:widowControl/>
        <w:spacing w:after="60"/>
        <w:ind w:left="360"/>
        <w:rPr>
          <w:rFonts w:ascii="Times New Roman" w:hAnsi="Times New Roman"/>
          <w:sz w:val="24"/>
          <w:szCs w:val="24"/>
        </w:rPr>
      </w:pPr>
      <w:hyperlink r:id="rId11" w:tgtFrame="_blank" w:history="1">
        <w:r w:rsidRPr="00C01C44">
          <w:rPr>
            <w:rStyle w:val="Hyperlink"/>
            <w:rFonts w:ascii="Times New Roman" w:hAnsi="Times New Roman"/>
            <w:sz w:val="24"/>
            <w:szCs w:val="24"/>
          </w:rPr>
          <w:t>https://www.bls.gov/oes/current/oes_stru.htm</w:t>
        </w:r>
      </w:hyperlink>
      <w:r w:rsidRPr="00C01C44">
        <w:rPr>
          <w:rFonts w:ascii="Times New Roman" w:hAnsi="Times New Roman"/>
          <w:sz w:val="24"/>
          <w:szCs w:val="24"/>
        </w:rPr>
        <w:t> </w:t>
      </w:r>
    </w:p>
    <w:p w:rsidR="00CB1A12" w:rsidRPr="004F7B95" w:rsidP="5A42027D" w14:paraId="055034F3" w14:textId="018BADAD">
      <w:pPr>
        <w:widowControl/>
        <w:ind w:left="360"/>
        <w:rPr>
          <w:rFonts w:ascii="Times New Roman" w:hAnsi="Times New Roman"/>
          <w:snapToGrid/>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6"/>
        <w:gridCol w:w="1240"/>
        <w:gridCol w:w="1571"/>
        <w:gridCol w:w="1440"/>
        <w:gridCol w:w="899"/>
        <w:gridCol w:w="1518"/>
        <w:gridCol w:w="1266"/>
      </w:tblGrid>
      <w:tr w14:paraId="230FE56D" w14:textId="77777777" w:rsidTr="00D5243A">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757" w:type="pct"/>
            <w:shd w:val="clear" w:color="auto" w:fill="BFBFBF" w:themeFill="background1" w:themeFillShade="BF"/>
            <w:vAlign w:val="center"/>
          </w:tcPr>
          <w:p w:rsidR="00D41A13"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663" w:type="pct"/>
            <w:shd w:val="clear" w:color="auto" w:fill="BFBFBF" w:themeFill="background1" w:themeFillShade="BF"/>
            <w:vAlign w:val="center"/>
          </w:tcPr>
          <w:p w:rsidR="00D41A13"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840" w:type="pct"/>
            <w:shd w:val="clear" w:color="auto" w:fill="BFBFBF" w:themeFill="background1" w:themeFillShade="BF"/>
            <w:vAlign w:val="center"/>
          </w:tcPr>
          <w:p w:rsidR="00D41A13" w:rsidRPr="00405C10" w:rsidP="004F7B95" w14:paraId="5053A5D0" w14:textId="21672FC2">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770" w:type="pct"/>
            <w:shd w:val="clear" w:color="auto" w:fill="BFBFBF" w:themeFill="background1" w:themeFillShade="BF"/>
            <w:vAlign w:val="center"/>
          </w:tcPr>
          <w:p w:rsidR="00D41A13" w:rsidRPr="00405C10" w:rsidP="004F7B95" w14:paraId="340D08AF"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481" w:type="pct"/>
            <w:shd w:val="clear" w:color="auto" w:fill="BFBFBF" w:themeFill="background1" w:themeFillShade="BF"/>
            <w:vAlign w:val="center"/>
          </w:tcPr>
          <w:p w:rsidR="00D41A13"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812" w:type="pct"/>
            <w:shd w:val="clear" w:color="auto" w:fill="BFBFBF" w:themeFill="background1" w:themeFillShade="BF"/>
            <w:vAlign w:val="center"/>
          </w:tcPr>
          <w:p w:rsidR="00D41A13"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677" w:type="pct"/>
            <w:shd w:val="clear" w:color="auto" w:fill="BFBFBF" w:themeFill="background1" w:themeFillShade="BF"/>
            <w:vAlign w:val="center"/>
          </w:tcPr>
          <w:p w:rsidR="00D41A13"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D5243A">
        <w:tblPrEx>
          <w:tblW w:w="5000" w:type="pct"/>
          <w:jc w:val="center"/>
          <w:tblLook w:val="00A0"/>
        </w:tblPrEx>
        <w:trPr>
          <w:trHeight w:val="432"/>
          <w:jc w:val="center"/>
        </w:trPr>
        <w:tc>
          <w:tcPr>
            <w:tcW w:w="757" w:type="pct"/>
            <w:vAlign w:val="center"/>
          </w:tcPr>
          <w:p w:rsidR="00207C50" w:rsidRPr="00405C10" w:rsidP="00207C50" w14:paraId="33E13E32" w14:textId="28473FE3">
            <w:pPr>
              <w:tabs>
                <w:tab w:val="center" w:pos="4320"/>
                <w:tab w:val="right" w:pos="8640"/>
              </w:tabs>
              <w:rPr>
                <w:rFonts w:ascii="Times New Roman" w:hAnsi="Times New Roman"/>
                <w:szCs w:val="24"/>
              </w:rPr>
            </w:pPr>
            <w:r w:rsidRPr="002E1B78">
              <w:rPr>
                <w:rFonts w:ascii="Times New Roman" w:hAnsi="Times New Roman"/>
                <w:snapToGrid/>
              </w:rPr>
              <w:t>Head Start PIR </w:t>
            </w:r>
          </w:p>
        </w:tc>
        <w:tc>
          <w:tcPr>
            <w:tcW w:w="663" w:type="pct"/>
            <w:vAlign w:val="center"/>
          </w:tcPr>
          <w:p w:rsidR="00207C50" w:rsidRPr="00405C10" w:rsidP="00207C50" w14:paraId="631BD576" w14:textId="506A9D90">
            <w:pPr>
              <w:tabs>
                <w:tab w:val="center" w:pos="4320"/>
                <w:tab w:val="right" w:pos="8640"/>
              </w:tabs>
              <w:jc w:val="center"/>
              <w:rPr>
                <w:rFonts w:ascii="Times New Roman" w:hAnsi="Times New Roman"/>
                <w:szCs w:val="24"/>
                <w:highlight w:val="yellow"/>
              </w:rPr>
            </w:pPr>
            <w:r w:rsidRPr="002E1B78">
              <w:rPr>
                <w:rFonts w:ascii="Times New Roman" w:hAnsi="Times New Roman"/>
                <w:snapToGrid/>
              </w:rPr>
              <w:t>1,600 </w:t>
            </w:r>
          </w:p>
        </w:tc>
        <w:tc>
          <w:tcPr>
            <w:tcW w:w="840" w:type="pct"/>
            <w:vAlign w:val="center"/>
          </w:tcPr>
          <w:p w:rsidR="00207C50" w:rsidRPr="00405C10" w:rsidP="00207C50" w14:paraId="3DD8ECC7" w14:textId="252B7CB3">
            <w:pPr>
              <w:tabs>
                <w:tab w:val="center" w:pos="4320"/>
                <w:tab w:val="right" w:pos="8640"/>
              </w:tabs>
              <w:jc w:val="center"/>
              <w:rPr>
                <w:rFonts w:ascii="Times New Roman" w:hAnsi="Times New Roman"/>
                <w:szCs w:val="24"/>
              </w:rPr>
            </w:pPr>
            <w:r w:rsidRPr="002E1B78">
              <w:rPr>
                <w:rFonts w:ascii="Times New Roman" w:hAnsi="Times New Roman"/>
                <w:snapToGrid/>
              </w:rPr>
              <w:t>2.25 </w:t>
            </w:r>
          </w:p>
        </w:tc>
        <w:tc>
          <w:tcPr>
            <w:tcW w:w="770" w:type="pct"/>
            <w:vAlign w:val="center"/>
          </w:tcPr>
          <w:p w:rsidR="00207C50" w:rsidRPr="00405C10" w:rsidP="00207C50" w14:paraId="46007120" w14:textId="105B9B46">
            <w:pPr>
              <w:tabs>
                <w:tab w:val="center" w:pos="4320"/>
                <w:tab w:val="right" w:pos="8640"/>
              </w:tabs>
              <w:jc w:val="center"/>
              <w:rPr>
                <w:rFonts w:ascii="Times New Roman" w:hAnsi="Times New Roman"/>
                <w:szCs w:val="24"/>
              </w:rPr>
            </w:pPr>
            <w:r w:rsidRPr="002E1B78">
              <w:rPr>
                <w:rFonts w:ascii="Times New Roman" w:hAnsi="Times New Roman"/>
                <w:snapToGrid/>
              </w:rPr>
              <w:t>1 </w:t>
            </w:r>
          </w:p>
        </w:tc>
        <w:tc>
          <w:tcPr>
            <w:tcW w:w="481" w:type="pct"/>
            <w:vAlign w:val="center"/>
          </w:tcPr>
          <w:p w:rsidR="00207C50" w:rsidRPr="00405C10" w:rsidP="00207C50" w14:paraId="25670C73" w14:textId="25608168">
            <w:pPr>
              <w:tabs>
                <w:tab w:val="center" w:pos="4320"/>
                <w:tab w:val="right" w:pos="8640"/>
              </w:tabs>
              <w:jc w:val="center"/>
              <w:rPr>
                <w:rFonts w:ascii="Times New Roman" w:hAnsi="Times New Roman"/>
                <w:szCs w:val="24"/>
              </w:rPr>
            </w:pPr>
            <w:r w:rsidRPr="002E1B78">
              <w:rPr>
                <w:rFonts w:ascii="Times New Roman" w:hAnsi="Times New Roman"/>
                <w:snapToGrid/>
              </w:rPr>
              <w:t>3,600 </w:t>
            </w:r>
          </w:p>
        </w:tc>
        <w:tc>
          <w:tcPr>
            <w:tcW w:w="812" w:type="pct"/>
            <w:vAlign w:val="center"/>
          </w:tcPr>
          <w:p w:rsidR="00207C50" w:rsidRPr="00405C10" w:rsidP="00207C50" w14:paraId="7D556C98" w14:textId="0251365F">
            <w:pPr>
              <w:tabs>
                <w:tab w:val="center" w:pos="4320"/>
                <w:tab w:val="right" w:pos="8640"/>
              </w:tabs>
              <w:jc w:val="center"/>
              <w:rPr>
                <w:rFonts w:ascii="Times New Roman" w:hAnsi="Times New Roman"/>
                <w:szCs w:val="24"/>
              </w:rPr>
            </w:pPr>
            <w:r w:rsidRPr="002E1B78">
              <w:rPr>
                <w:rFonts w:ascii="Times New Roman" w:hAnsi="Times New Roman"/>
                <w:snapToGrid/>
              </w:rPr>
              <w:t>$</w:t>
            </w:r>
            <w:r>
              <w:rPr>
                <w:rFonts w:ascii="Times New Roman" w:hAnsi="Times New Roman"/>
                <w:snapToGrid/>
              </w:rPr>
              <w:t>60.24</w:t>
            </w:r>
            <w:r w:rsidRPr="002E1B78">
              <w:rPr>
                <w:rFonts w:ascii="Times New Roman" w:hAnsi="Times New Roman"/>
                <w:snapToGrid/>
              </w:rPr>
              <w:t> </w:t>
            </w:r>
          </w:p>
        </w:tc>
        <w:tc>
          <w:tcPr>
            <w:tcW w:w="677" w:type="pct"/>
            <w:vAlign w:val="center"/>
          </w:tcPr>
          <w:p w:rsidR="00207C50" w:rsidRPr="00405C10" w:rsidP="00207C50" w14:paraId="5133F4BC" w14:textId="009F87D9">
            <w:pPr>
              <w:tabs>
                <w:tab w:val="center" w:pos="4320"/>
                <w:tab w:val="right" w:pos="8640"/>
              </w:tabs>
              <w:jc w:val="center"/>
              <w:rPr>
                <w:rFonts w:ascii="Times New Roman" w:hAnsi="Times New Roman"/>
                <w:szCs w:val="24"/>
              </w:rPr>
            </w:pPr>
            <w:r w:rsidRPr="002E1B78">
              <w:rPr>
                <w:rFonts w:ascii="Times New Roman" w:hAnsi="Times New Roman"/>
                <w:snapToGrid/>
              </w:rPr>
              <w:t>$</w:t>
            </w:r>
            <w:r>
              <w:rPr>
                <w:rFonts w:ascii="Times New Roman" w:hAnsi="Times New Roman"/>
                <w:snapToGrid/>
              </w:rPr>
              <w:t>216,864.00</w:t>
            </w:r>
            <w:r w:rsidRPr="002E1B78">
              <w:rPr>
                <w:rFonts w:ascii="Times New Roman" w:hAnsi="Times New Roman"/>
                <w:snapToGrid/>
              </w:rPr>
              <w:t> </w:t>
            </w:r>
          </w:p>
        </w:tc>
      </w:tr>
      <w:tr w14:paraId="66E3DD67" w14:textId="77777777" w:rsidTr="00D5243A">
        <w:tblPrEx>
          <w:tblW w:w="5000" w:type="pct"/>
          <w:jc w:val="center"/>
          <w:tblLook w:val="00A0"/>
        </w:tblPrEx>
        <w:trPr>
          <w:trHeight w:val="432"/>
          <w:jc w:val="center"/>
        </w:trPr>
        <w:tc>
          <w:tcPr>
            <w:tcW w:w="757" w:type="pct"/>
            <w:vAlign w:val="center"/>
          </w:tcPr>
          <w:p w:rsidR="00207C50" w:rsidRPr="00405C10" w:rsidP="00207C50" w14:paraId="39DFC5F9" w14:textId="032B3F31">
            <w:pPr>
              <w:tabs>
                <w:tab w:val="center" w:pos="4320"/>
                <w:tab w:val="right" w:pos="8640"/>
              </w:tabs>
              <w:rPr>
                <w:rFonts w:ascii="Times New Roman" w:hAnsi="Times New Roman"/>
                <w:szCs w:val="24"/>
              </w:rPr>
            </w:pPr>
            <w:r w:rsidRPr="002E1B78">
              <w:rPr>
                <w:rFonts w:ascii="Times New Roman" w:hAnsi="Times New Roman"/>
                <w:snapToGrid/>
              </w:rPr>
              <w:t>Monthly Enrollment </w:t>
            </w:r>
          </w:p>
        </w:tc>
        <w:tc>
          <w:tcPr>
            <w:tcW w:w="663" w:type="pct"/>
            <w:vAlign w:val="center"/>
          </w:tcPr>
          <w:p w:rsidR="00207C50" w:rsidRPr="00405C10" w:rsidP="00207C50" w14:paraId="58BAAEDB" w14:textId="2D23FD7C">
            <w:pPr>
              <w:tabs>
                <w:tab w:val="center" w:pos="4320"/>
                <w:tab w:val="right" w:pos="8640"/>
              </w:tabs>
              <w:jc w:val="center"/>
              <w:rPr>
                <w:rFonts w:ascii="Times New Roman" w:hAnsi="Times New Roman"/>
                <w:szCs w:val="24"/>
                <w:highlight w:val="yellow"/>
              </w:rPr>
            </w:pPr>
            <w:r w:rsidRPr="002E1B78">
              <w:rPr>
                <w:rFonts w:ascii="Times New Roman" w:hAnsi="Times New Roman"/>
                <w:snapToGrid/>
              </w:rPr>
              <w:t>1,600 </w:t>
            </w:r>
          </w:p>
        </w:tc>
        <w:tc>
          <w:tcPr>
            <w:tcW w:w="840" w:type="pct"/>
            <w:vAlign w:val="center"/>
          </w:tcPr>
          <w:p w:rsidR="00207C50" w:rsidRPr="00405C10" w:rsidP="00207C50" w14:paraId="0CD2F9C1" w14:textId="58C037B9">
            <w:pPr>
              <w:tabs>
                <w:tab w:val="center" w:pos="4320"/>
                <w:tab w:val="right" w:pos="8640"/>
              </w:tabs>
              <w:jc w:val="center"/>
              <w:rPr>
                <w:rFonts w:ascii="Times New Roman" w:hAnsi="Times New Roman"/>
                <w:szCs w:val="24"/>
              </w:rPr>
            </w:pPr>
            <w:r w:rsidRPr="002E1B78">
              <w:rPr>
                <w:rFonts w:ascii="Times New Roman" w:hAnsi="Times New Roman"/>
                <w:snapToGrid/>
              </w:rPr>
              <w:t>27 </w:t>
            </w:r>
          </w:p>
        </w:tc>
        <w:tc>
          <w:tcPr>
            <w:tcW w:w="770" w:type="pct"/>
            <w:vAlign w:val="center"/>
          </w:tcPr>
          <w:p w:rsidR="00207C50" w:rsidRPr="00405C10" w:rsidP="00207C50" w14:paraId="14C40DB3" w14:textId="6126A7A2">
            <w:pPr>
              <w:tabs>
                <w:tab w:val="center" w:pos="4320"/>
                <w:tab w:val="right" w:pos="8640"/>
              </w:tabs>
              <w:jc w:val="center"/>
              <w:rPr>
                <w:rFonts w:ascii="Times New Roman" w:hAnsi="Times New Roman"/>
                <w:szCs w:val="24"/>
              </w:rPr>
            </w:pPr>
            <w:r w:rsidRPr="002E1B78">
              <w:rPr>
                <w:rFonts w:ascii="Times New Roman" w:hAnsi="Times New Roman"/>
                <w:snapToGrid/>
              </w:rPr>
              <w:t>0.05 </w:t>
            </w:r>
          </w:p>
        </w:tc>
        <w:tc>
          <w:tcPr>
            <w:tcW w:w="481" w:type="pct"/>
            <w:vAlign w:val="center"/>
          </w:tcPr>
          <w:p w:rsidR="00207C50" w:rsidRPr="00405C10" w:rsidP="00207C50" w14:paraId="1557247F" w14:textId="22F9D7E8">
            <w:pPr>
              <w:tabs>
                <w:tab w:val="center" w:pos="4320"/>
                <w:tab w:val="right" w:pos="8640"/>
              </w:tabs>
              <w:jc w:val="center"/>
              <w:rPr>
                <w:rFonts w:ascii="Times New Roman" w:hAnsi="Times New Roman"/>
                <w:szCs w:val="24"/>
              </w:rPr>
            </w:pPr>
            <w:r w:rsidRPr="002E1B78">
              <w:rPr>
                <w:rFonts w:ascii="Times New Roman" w:hAnsi="Times New Roman"/>
                <w:snapToGrid/>
              </w:rPr>
              <w:t>2,160 </w:t>
            </w:r>
          </w:p>
        </w:tc>
        <w:tc>
          <w:tcPr>
            <w:tcW w:w="812" w:type="pct"/>
            <w:vAlign w:val="center"/>
          </w:tcPr>
          <w:p w:rsidR="00207C50" w:rsidRPr="00405C10" w:rsidP="00207C50" w14:paraId="4B1FC7E5" w14:textId="65DCA1E4">
            <w:pPr>
              <w:tabs>
                <w:tab w:val="center" w:pos="4320"/>
                <w:tab w:val="right" w:pos="8640"/>
              </w:tabs>
              <w:jc w:val="center"/>
              <w:rPr>
                <w:rFonts w:ascii="Times New Roman" w:hAnsi="Times New Roman"/>
                <w:szCs w:val="24"/>
              </w:rPr>
            </w:pPr>
            <w:r w:rsidRPr="002E1B78">
              <w:rPr>
                <w:rFonts w:ascii="Times New Roman" w:hAnsi="Times New Roman"/>
                <w:snapToGrid/>
              </w:rPr>
              <w:t>$</w:t>
            </w:r>
            <w:r>
              <w:rPr>
                <w:rFonts w:ascii="Times New Roman" w:hAnsi="Times New Roman"/>
                <w:snapToGrid/>
              </w:rPr>
              <w:t>60.24</w:t>
            </w:r>
            <w:r w:rsidRPr="002E1B78">
              <w:rPr>
                <w:rFonts w:ascii="Times New Roman" w:hAnsi="Times New Roman"/>
                <w:snapToGrid/>
              </w:rPr>
              <w:t> </w:t>
            </w:r>
          </w:p>
        </w:tc>
        <w:tc>
          <w:tcPr>
            <w:tcW w:w="677" w:type="pct"/>
            <w:vAlign w:val="center"/>
          </w:tcPr>
          <w:p w:rsidR="00207C50" w:rsidRPr="00405C10" w:rsidP="00207C50" w14:paraId="1D447908" w14:textId="5C3B9406">
            <w:pPr>
              <w:tabs>
                <w:tab w:val="center" w:pos="4320"/>
                <w:tab w:val="right" w:pos="8640"/>
              </w:tabs>
              <w:jc w:val="center"/>
              <w:rPr>
                <w:rFonts w:ascii="Times New Roman" w:hAnsi="Times New Roman"/>
                <w:szCs w:val="24"/>
              </w:rPr>
            </w:pPr>
            <w:r w:rsidRPr="002E1B78">
              <w:rPr>
                <w:rFonts w:ascii="Times New Roman" w:hAnsi="Times New Roman"/>
                <w:snapToGrid/>
              </w:rPr>
              <w:t>$1</w:t>
            </w:r>
            <w:r>
              <w:rPr>
                <w:rFonts w:ascii="Times New Roman" w:hAnsi="Times New Roman"/>
                <w:snapToGrid/>
              </w:rPr>
              <w:t>30</w:t>
            </w:r>
            <w:r w:rsidRPr="002E1B78">
              <w:rPr>
                <w:rFonts w:ascii="Times New Roman" w:hAnsi="Times New Roman"/>
                <w:snapToGrid/>
              </w:rPr>
              <w:t>,</w:t>
            </w:r>
            <w:r>
              <w:rPr>
                <w:rFonts w:ascii="Times New Roman" w:hAnsi="Times New Roman"/>
                <w:snapToGrid/>
              </w:rPr>
              <w:t>118.40</w:t>
            </w:r>
            <w:r w:rsidRPr="002E1B78">
              <w:rPr>
                <w:rFonts w:ascii="Times New Roman" w:hAnsi="Times New Roman"/>
                <w:snapToGrid/>
              </w:rPr>
              <w:t> </w:t>
            </w:r>
          </w:p>
        </w:tc>
      </w:tr>
      <w:tr w14:paraId="4687345D" w14:textId="77777777" w:rsidTr="00D5243A">
        <w:tblPrEx>
          <w:tblW w:w="5000" w:type="pct"/>
          <w:jc w:val="center"/>
          <w:tblLook w:val="00A0"/>
        </w:tblPrEx>
        <w:trPr>
          <w:trHeight w:val="432"/>
          <w:jc w:val="center"/>
        </w:trPr>
        <w:tc>
          <w:tcPr>
            <w:tcW w:w="757" w:type="pct"/>
            <w:vAlign w:val="center"/>
          </w:tcPr>
          <w:p w:rsidR="00207C50" w:rsidRPr="00405C10" w:rsidP="00207C50" w14:paraId="4EB1ACC8" w14:textId="74AA8F1B">
            <w:pPr>
              <w:tabs>
                <w:tab w:val="center" w:pos="4320"/>
                <w:tab w:val="right" w:pos="8640"/>
              </w:tabs>
              <w:rPr>
                <w:rFonts w:ascii="Times New Roman" w:hAnsi="Times New Roman"/>
                <w:szCs w:val="24"/>
              </w:rPr>
            </w:pPr>
            <w:r w:rsidRPr="002E1B78">
              <w:rPr>
                <w:rFonts w:ascii="Times New Roman" w:hAnsi="Times New Roman"/>
                <w:snapToGrid/>
              </w:rPr>
              <w:t>Center Locations and Contacts </w:t>
            </w:r>
          </w:p>
        </w:tc>
        <w:tc>
          <w:tcPr>
            <w:tcW w:w="663" w:type="pct"/>
            <w:vAlign w:val="center"/>
          </w:tcPr>
          <w:p w:rsidR="00207C50" w:rsidRPr="00405C10" w:rsidP="00207C50" w14:paraId="113E51DF" w14:textId="4E40F259">
            <w:pPr>
              <w:tabs>
                <w:tab w:val="center" w:pos="4320"/>
                <w:tab w:val="right" w:pos="8640"/>
              </w:tabs>
              <w:jc w:val="center"/>
              <w:rPr>
                <w:rFonts w:ascii="Times New Roman" w:hAnsi="Times New Roman"/>
                <w:szCs w:val="24"/>
                <w:highlight w:val="yellow"/>
              </w:rPr>
            </w:pPr>
            <w:r w:rsidRPr="002E1B78">
              <w:rPr>
                <w:rFonts w:ascii="Times New Roman" w:hAnsi="Times New Roman"/>
                <w:snapToGrid/>
              </w:rPr>
              <w:t>1,600 </w:t>
            </w:r>
          </w:p>
        </w:tc>
        <w:tc>
          <w:tcPr>
            <w:tcW w:w="840" w:type="pct"/>
            <w:vAlign w:val="center"/>
          </w:tcPr>
          <w:p w:rsidR="00207C50" w:rsidRPr="00405C10" w:rsidP="00207C50" w14:paraId="1ED789FE" w14:textId="2C9E1DC5">
            <w:pPr>
              <w:tabs>
                <w:tab w:val="center" w:pos="4320"/>
                <w:tab w:val="right" w:pos="8640"/>
              </w:tabs>
              <w:jc w:val="center"/>
              <w:rPr>
                <w:rFonts w:ascii="Times New Roman" w:hAnsi="Times New Roman"/>
                <w:szCs w:val="24"/>
              </w:rPr>
            </w:pPr>
            <w:r w:rsidRPr="002E1B78">
              <w:rPr>
                <w:rFonts w:ascii="Times New Roman" w:hAnsi="Times New Roman"/>
                <w:snapToGrid/>
              </w:rPr>
              <w:t>15 </w:t>
            </w:r>
          </w:p>
        </w:tc>
        <w:tc>
          <w:tcPr>
            <w:tcW w:w="770" w:type="pct"/>
            <w:vAlign w:val="center"/>
          </w:tcPr>
          <w:p w:rsidR="00207C50" w:rsidRPr="00405C10" w:rsidP="00207C50" w14:paraId="4DD58EAB" w14:textId="48E8D573">
            <w:pPr>
              <w:tabs>
                <w:tab w:val="center" w:pos="4320"/>
                <w:tab w:val="right" w:pos="8640"/>
              </w:tabs>
              <w:jc w:val="center"/>
              <w:rPr>
                <w:rFonts w:ascii="Times New Roman" w:hAnsi="Times New Roman"/>
                <w:szCs w:val="24"/>
              </w:rPr>
            </w:pPr>
            <w:r w:rsidRPr="002E1B78">
              <w:rPr>
                <w:rFonts w:ascii="Times New Roman" w:hAnsi="Times New Roman"/>
                <w:snapToGrid/>
              </w:rPr>
              <w:t>0.25 </w:t>
            </w:r>
          </w:p>
        </w:tc>
        <w:tc>
          <w:tcPr>
            <w:tcW w:w="481" w:type="pct"/>
            <w:vAlign w:val="center"/>
          </w:tcPr>
          <w:p w:rsidR="00207C50" w:rsidRPr="00405C10" w:rsidP="00207C50" w14:paraId="676D58FC" w14:textId="2751702D">
            <w:pPr>
              <w:tabs>
                <w:tab w:val="center" w:pos="4320"/>
                <w:tab w:val="right" w:pos="8640"/>
              </w:tabs>
              <w:jc w:val="center"/>
              <w:rPr>
                <w:rFonts w:ascii="Times New Roman" w:hAnsi="Times New Roman"/>
                <w:szCs w:val="24"/>
              </w:rPr>
            </w:pPr>
            <w:r w:rsidRPr="002E1B78">
              <w:rPr>
                <w:rFonts w:ascii="Times New Roman" w:hAnsi="Times New Roman"/>
                <w:snapToGrid/>
              </w:rPr>
              <w:t>6,000 </w:t>
            </w:r>
          </w:p>
        </w:tc>
        <w:tc>
          <w:tcPr>
            <w:tcW w:w="812" w:type="pct"/>
            <w:vAlign w:val="center"/>
          </w:tcPr>
          <w:p w:rsidR="00207C50" w:rsidRPr="00405C10" w:rsidP="00207C50" w14:paraId="68FBA75E" w14:textId="7A492830">
            <w:pPr>
              <w:tabs>
                <w:tab w:val="center" w:pos="4320"/>
                <w:tab w:val="right" w:pos="8640"/>
              </w:tabs>
              <w:jc w:val="center"/>
              <w:rPr>
                <w:rFonts w:ascii="Times New Roman" w:hAnsi="Times New Roman"/>
                <w:szCs w:val="24"/>
              </w:rPr>
            </w:pPr>
            <w:r w:rsidRPr="002E1B78">
              <w:rPr>
                <w:rFonts w:ascii="Times New Roman" w:hAnsi="Times New Roman"/>
                <w:snapToGrid/>
              </w:rPr>
              <w:t>$</w:t>
            </w:r>
            <w:r>
              <w:rPr>
                <w:rFonts w:ascii="Times New Roman" w:hAnsi="Times New Roman"/>
                <w:snapToGrid/>
              </w:rPr>
              <w:t>60.24</w:t>
            </w:r>
            <w:r w:rsidRPr="002E1B78">
              <w:rPr>
                <w:rFonts w:ascii="Times New Roman" w:hAnsi="Times New Roman"/>
                <w:snapToGrid/>
              </w:rPr>
              <w:t> </w:t>
            </w:r>
          </w:p>
        </w:tc>
        <w:tc>
          <w:tcPr>
            <w:tcW w:w="677" w:type="pct"/>
            <w:vAlign w:val="center"/>
          </w:tcPr>
          <w:p w:rsidR="00207C50" w:rsidRPr="00405C10" w:rsidP="00207C50" w14:paraId="1950A99A" w14:textId="6397C254">
            <w:pPr>
              <w:tabs>
                <w:tab w:val="center" w:pos="4320"/>
                <w:tab w:val="right" w:pos="8640"/>
              </w:tabs>
              <w:jc w:val="center"/>
              <w:rPr>
                <w:rFonts w:ascii="Times New Roman" w:hAnsi="Times New Roman"/>
                <w:szCs w:val="24"/>
              </w:rPr>
            </w:pPr>
            <w:r w:rsidRPr="002E1B78">
              <w:rPr>
                <w:rFonts w:ascii="Times New Roman" w:hAnsi="Times New Roman"/>
                <w:snapToGrid/>
              </w:rPr>
              <w:t>$36</w:t>
            </w:r>
            <w:r>
              <w:rPr>
                <w:rFonts w:ascii="Times New Roman" w:hAnsi="Times New Roman"/>
                <w:snapToGrid/>
              </w:rPr>
              <w:t>1</w:t>
            </w:r>
            <w:r w:rsidRPr="002E1B78">
              <w:rPr>
                <w:rFonts w:ascii="Times New Roman" w:hAnsi="Times New Roman"/>
                <w:snapToGrid/>
              </w:rPr>
              <w:t>,</w:t>
            </w:r>
            <w:r>
              <w:rPr>
                <w:rFonts w:ascii="Times New Roman" w:hAnsi="Times New Roman"/>
                <w:snapToGrid/>
              </w:rPr>
              <w:t>44</w:t>
            </w:r>
            <w:r w:rsidRPr="002E1B78">
              <w:rPr>
                <w:rFonts w:ascii="Times New Roman" w:hAnsi="Times New Roman"/>
                <w:snapToGrid/>
              </w:rPr>
              <w:t>0</w:t>
            </w:r>
            <w:r>
              <w:rPr>
                <w:rFonts w:ascii="Times New Roman" w:hAnsi="Times New Roman"/>
                <w:snapToGrid/>
              </w:rPr>
              <w:t>.00</w:t>
            </w:r>
            <w:r w:rsidRPr="002E1B78">
              <w:rPr>
                <w:rFonts w:ascii="Times New Roman" w:hAnsi="Times New Roman"/>
                <w:snapToGrid/>
              </w:rPr>
              <w:t> </w:t>
            </w:r>
          </w:p>
        </w:tc>
      </w:tr>
      <w:tr w14:paraId="68F71184" w14:textId="77777777" w:rsidTr="00D5243A">
        <w:tblPrEx>
          <w:tblW w:w="5000" w:type="pct"/>
          <w:jc w:val="center"/>
          <w:tblLook w:val="00A0"/>
        </w:tblPrEx>
        <w:trPr>
          <w:jc w:val="center"/>
        </w:trPr>
        <w:tc>
          <w:tcPr>
            <w:tcW w:w="3030" w:type="pct"/>
            <w:gridSpan w:val="4"/>
            <w:vAlign w:val="center"/>
          </w:tcPr>
          <w:p w:rsidR="0046717D" w:rsidRPr="00405C10" w:rsidP="0046717D" w14:paraId="41A1F51D" w14:textId="5DDAAA9B">
            <w:pPr>
              <w:tabs>
                <w:tab w:val="center" w:pos="4320"/>
                <w:tab w:val="right" w:pos="8640"/>
              </w:tabs>
              <w:jc w:val="right"/>
              <w:rPr>
                <w:rFonts w:ascii="Times New Roman" w:hAnsi="Times New Roman"/>
                <w:b/>
                <w:bCs/>
              </w:rPr>
            </w:pPr>
            <w:r w:rsidRPr="002E1B78">
              <w:rPr>
                <w:rFonts w:ascii="Times New Roman" w:hAnsi="Times New Roman"/>
                <w:b/>
                <w:bCs/>
                <w:snapToGrid/>
              </w:rPr>
              <w:t>Estimated Annual Burden Total:  </w:t>
            </w:r>
            <w:r w:rsidRPr="002E1B78">
              <w:rPr>
                <w:rFonts w:ascii="Times New Roman" w:hAnsi="Times New Roman"/>
                <w:snapToGrid/>
              </w:rPr>
              <w:t> </w:t>
            </w:r>
          </w:p>
        </w:tc>
        <w:tc>
          <w:tcPr>
            <w:tcW w:w="481" w:type="pct"/>
            <w:vAlign w:val="center"/>
          </w:tcPr>
          <w:p w:rsidR="0046717D" w:rsidRPr="00405C10" w:rsidP="0046717D" w14:paraId="29C85233" w14:textId="28CFD387">
            <w:pPr>
              <w:tabs>
                <w:tab w:val="center" w:pos="4320"/>
                <w:tab w:val="right" w:pos="8640"/>
              </w:tabs>
              <w:jc w:val="center"/>
              <w:rPr>
                <w:rFonts w:ascii="Times New Roman" w:hAnsi="Times New Roman"/>
                <w:b/>
                <w:szCs w:val="24"/>
              </w:rPr>
            </w:pPr>
            <w:r w:rsidRPr="002E1B78">
              <w:rPr>
                <w:rFonts w:ascii="Times New Roman" w:hAnsi="Times New Roman"/>
                <w:snapToGrid/>
              </w:rPr>
              <w:t>11,760 </w:t>
            </w:r>
          </w:p>
        </w:tc>
        <w:tc>
          <w:tcPr>
            <w:tcW w:w="812" w:type="pct"/>
          </w:tcPr>
          <w:p w:rsidR="0046717D" w:rsidRPr="00405C10" w:rsidP="0046717D" w14:paraId="05063CD5" w14:textId="42D74489">
            <w:pPr>
              <w:tabs>
                <w:tab w:val="center" w:pos="4320"/>
                <w:tab w:val="right" w:pos="8640"/>
              </w:tabs>
              <w:jc w:val="center"/>
              <w:rPr>
                <w:rFonts w:ascii="Times New Roman" w:hAnsi="Times New Roman"/>
                <w:b/>
                <w:bCs/>
              </w:rPr>
            </w:pPr>
            <w:r w:rsidRPr="002E1B78">
              <w:rPr>
                <w:rFonts w:ascii="Times New Roman" w:hAnsi="Times New Roman"/>
                <w:b/>
                <w:bCs/>
                <w:snapToGrid/>
              </w:rPr>
              <w:t>Estimated Annual Cost Total: </w:t>
            </w:r>
            <w:r w:rsidRPr="002E1B78">
              <w:rPr>
                <w:rFonts w:ascii="Times New Roman" w:hAnsi="Times New Roman"/>
                <w:snapToGrid/>
              </w:rPr>
              <w:t> </w:t>
            </w:r>
          </w:p>
        </w:tc>
        <w:tc>
          <w:tcPr>
            <w:tcW w:w="677" w:type="pct"/>
            <w:vAlign w:val="center"/>
          </w:tcPr>
          <w:p w:rsidR="0046717D" w:rsidRPr="00405C10" w:rsidP="0046717D" w14:paraId="5B5863BC" w14:textId="576D233F">
            <w:pPr>
              <w:tabs>
                <w:tab w:val="center" w:pos="4320"/>
                <w:tab w:val="right" w:pos="8640"/>
              </w:tabs>
              <w:jc w:val="center"/>
              <w:rPr>
                <w:rFonts w:ascii="Times New Roman" w:hAnsi="Times New Roman"/>
                <w:b/>
                <w:szCs w:val="24"/>
              </w:rPr>
            </w:pPr>
            <w:r w:rsidRPr="002E1B78">
              <w:rPr>
                <w:rFonts w:ascii="Times New Roman" w:hAnsi="Times New Roman"/>
                <w:snapToGrid/>
              </w:rPr>
              <w:t>$</w:t>
            </w:r>
            <w:r>
              <w:rPr>
                <w:rFonts w:ascii="Times New Roman" w:hAnsi="Times New Roman"/>
                <w:snapToGrid/>
              </w:rPr>
              <w:t>708,422.40</w:t>
            </w:r>
            <w:r w:rsidRPr="002E1B78">
              <w:rPr>
                <w:rFonts w:ascii="Times New Roman" w:hAnsi="Times New Roman"/>
                <w:snapToGrid/>
              </w:rPr>
              <w:t> </w:t>
            </w:r>
          </w:p>
        </w:tc>
      </w:tr>
    </w:tbl>
    <w:p w:rsidR="00CB1A12" w:rsidP="00DE529D" w14:paraId="6967D635" w14:textId="77777777">
      <w:pPr>
        <w:widowControl/>
        <w:ind w:left="360"/>
        <w:rPr>
          <w:rFonts w:ascii="Times New Roman" w:hAnsi="Times New Roman"/>
          <w:snapToGrid/>
          <w:sz w:val="24"/>
          <w:szCs w:val="24"/>
        </w:rPr>
      </w:pPr>
    </w:p>
    <w:p w:rsidR="00D5243A" w:rsidP="00DE529D" w14:paraId="6D5624EF"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F464BB" w:rsidP="00F464BB" w14:paraId="301DEC7C" w14:textId="77777777">
      <w:pPr>
        <w:widowControl/>
        <w:ind w:left="360"/>
        <w:rPr>
          <w:rFonts w:ascii="Times New Roman" w:hAnsi="Times New Roman"/>
          <w:snapToGrid/>
          <w:sz w:val="24"/>
          <w:szCs w:val="24"/>
        </w:rPr>
      </w:pPr>
      <w:r w:rsidRPr="00C8393D">
        <w:rPr>
          <w:rFonts w:ascii="Times New Roman" w:hAnsi="Times New Roman"/>
          <w:snapToGrid/>
          <w:sz w:val="24"/>
          <w:szCs w:val="24"/>
        </w:rPr>
        <w:t>There is no other cost burden on respondents.  Respondents are not required to establish any special or new recording keeping systems.  Data for the PIR is drawn from established records which would otherwise be compiled in conforming to the requirements of the Head Start Program Performance Standards (HSPPS) such as enrollment and family records, staffing and employee turnover, and program characteristics.  Response does not require the use of outside resources.  The record-keeping burden associated with the HSPPS are already covered under OMB # 0970-0148. </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935D5" w:rsidRPr="004F7B95" w:rsidP="00DE529D" w14:paraId="61EB7859" w14:textId="0E009503">
      <w:pPr>
        <w:widowControl/>
        <w:ind w:left="360"/>
        <w:rPr>
          <w:rFonts w:ascii="Times New Roman" w:hAnsi="Times New Roman"/>
          <w:snapToGrid/>
          <w:sz w:val="24"/>
          <w:szCs w:val="24"/>
        </w:rPr>
      </w:pPr>
      <w:r w:rsidRPr="002A703F">
        <w:rPr>
          <w:rFonts w:ascii="Times New Roman" w:hAnsi="Times New Roman"/>
          <w:snapToGrid/>
          <w:sz w:val="24"/>
          <w:szCs w:val="24"/>
        </w:rPr>
        <w:t>The estimated annual cost to the Federal government is $1,7</w:t>
      </w:r>
      <w:r w:rsidRPr="7855AB58">
        <w:rPr>
          <w:rFonts w:ascii="Times New Roman" w:hAnsi="Times New Roman"/>
          <w:sz w:val="24"/>
          <w:szCs w:val="24"/>
        </w:rPr>
        <w:t>71,131.</w:t>
      </w:r>
      <w:r w:rsidRPr="002A703F">
        <w:rPr>
          <w:rFonts w:ascii="Times New Roman" w:hAnsi="Times New Roman"/>
          <w:snapToGrid/>
          <w:sz w:val="24"/>
          <w:szCs w:val="24"/>
        </w:rPr>
        <w:t>  Federal staff costs are estimated to be 30% of the time of a Program Specialist (GS-14) to oversee the activities of the data contract and to be the lead for reports and responding to inquiries. Additionally, contract costs for maintaining and updating the PIR data and reporting system are included. </w:t>
      </w: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14:paraId="1CCB7D8F" w14:textId="57A26754">
      <w:pPr>
        <w:widowControl/>
        <w:ind w:left="360"/>
        <w:rPr>
          <w:rFonts w:ascii="Times New Roman" w:hAnsi="Times New Roman"/>
          <w:snapToGrid/>
          <w:sz w:val="24"/>
          <w:szCs w:val="24"/>
        </w:rPr>
      </w:pPr>
      <w:r>
        <w:rPr>
          <w:rFonts w:ascii="Times New Roman" w:hAnsi="Times New Roman"/>
          <w:snapToGrid/>
          <w:sz w:val="24"/>
          <w:szCs w:val="24"/>
        </w:rPr>
        <w:t>No burden adjustments have been made.</w:t>
      </w:r>
    </w:p>
    <w:p w:rsidR="00E91412" w:rsidP="004F7B95" w14:paraId="2397C23F" w14:textId="77777777">
      <w:pPr>
        <w:widowControl/>
        <w:ind w:left="360"/>
        <w:rPr>
          <w:rFonts w:ascii="Times New Roman" w:hAnsi="Times New Roman"/>
          <w:snapToGrid/>
          <w:sz w:val="24"/>
          <w:szCs w:val="24"/>
        </w:rPr>
      </w:pPr>
    </w:p>
    <w:p w:rsidR="00E91412" w:rsidP="00E91412" w14:paraId="6EEACE6A" w14:textId="77777777">
      <w:pPr>
        <w:pStyle w:val="paragraph"/>
        <w:spacing w:before="0" w:beforeAutospacing="0" w:after="0" w:afterAutospacing="0"/>
        <w:ind w:left="360"/>
        <w:textAlignment w:val="baseline"/>
        <w:rPr>
          <w:rStyle w:val="normaltextrun"/>
        </w:rPr>
      </w:pPr>
      <w:r w:rsidRPr="0006559E">
        <w:t>The most significant changes were the addition of the new question</w:t>
      </w:r>
      <w:r>
        <w:t>s</w:t>
      </w:r>
      <w:r w:rsidRPr="0006559E">
        <w:t xml:space="preserve"> </w:t>
      </w:r>
      <w:r>
        <w:t>in</w:t>
      </w:r>
      <w:r w:rsidRPr="0006559E">
        <w:t xml:space="preserve"> Part C </w:t>
      </w:r>
      <w:r>
        <w:t>related to additional educational and related services for children.</w:t>
      </w:r>
      <w:r w:rsidRPr="0006559E">
        <w:t> However, the additions did not </w:t>
      </w:r>
      <w:r w:rsidRPr="0006559E">
        <w:t>add</w:t>
      </w:r>
      <w:r w:rsidRPr="0006559E">
        <w:t xml:space="preserve"> any significant reporting burden</w:t>
      </w:r>
      <w:r>
        <w:t>; t</w:t>
      </w:r>
      <w:r w:rsidRPr="0006559E">
        <w:t>herefore, the reporting burden for responding to these instruments are not changed.</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14:paraId="34078ADA" w14:textId="436A6DEB">
      <w:pPr>
        <w:widowControl/>
        <w:ind w:left="360"/>
        <w:rPr>
          <w:rFonts w:ascii="Times New Roman" w:hAnsi="Times New Roman"/>
          <w:snapToGrid/>
          <w:sz w:val="24"/>
          <w:szCs w:val="24"/>
        </w:rPr>
      </w:pPr>
      <w:r w:rsidRPr="00630AB4">
        <w:rPr>
          <w:rFonts w:ascii="Times New Roman" w:hAnsi="Times New Roman"/>
          <w:snapToGrid/>
          <w:sz w:val="24"/>
          <w:szCs w:val="24"/>
        </w:rPr>
        <w:t xml:space="preserve">Annual National and Regional Fact Sheets on Head Start and Early Head Start are produced and published online.  A biennial report to Congress and various Regional, State, and site level pre-programmed reports draw information from the PIR data. State and site level reports are important for program monitoring and measuring performance.  PIR data reports and extracts are available to all Head Start programs and to the public.  Reports using PIR data and how to access PIR data located on HSES is available on the OHS website for the public at </w:t>
      </w:r>
      <w:hyperlink r:id="rId12" w:tgtFrame="_blank" w:history="1">
        <w:r w:rsidRPr="00630AB4">
          <w:rPr>
            <w:rStyle w:val="Hyperlink"/>
            <w:rFonts w:ascii="Times New Roman" w:hAnsi="Times New Roman"/>
            <w:snapToGrid/>
            <w:sz w:val="24"/>
            <w:szCs w:val="24"/>
          </w:rPr>
          <w:t>https://eclkc.ohs.acf.hhs.gov/data-ongoing-monitoring/article/program-information-report-pir</w:t>
        </w:r>
      </w:hyperlink>
      <w:r w:rsidRPr="00630AB4">
        <w:rPr>
          <w:rFonts w:ascii="Times New Roman" w:hAnsi="Times New Roman"/>
          <w:snapToGrid/>
          <w:sz w:val="24"/>
          <w:szCs w:val="24"/>
        </w:rPr>
        <w:t>. PIR data in HSES are made available soon after the reporting deadlines and are automatically updated as PIR corrections are submitted.  No complex analytical techniques are contemplated.</w:t>
      </w:r>
    </w:p>
    <w:p w:rsidR="00D60543" w:rsidP="00DE529D" w14:paraId="20669B59" w14:textId="77777777">
      <w:pPr>
        <w:widowControl/>
        <w:ind w:left="360"/>
        <w:rPr>
          <w:rFonts w:ascii="Times New Roman" w:hAnsi="Times New Roman"/>
          <w:snapToGrid/>
          <w:sz w:val="24"/>
          <w:szCs w:val="24"/>
        </w:rPr>
      </w:pPr>
    </w:p>
    <w:p w:rsidR="007274F8" w:rsidP="007274F8" w14:paraId="27DD6C72"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7274F8" w:rsidRPr="007274F8" w:rsidP="007274F8" w14:paraId="363332D1" w14:textId="77777777">
      <w:pPr>
        <w:widowControl/>
        <w:ind w:left="360"/>
        <w:rPr>
          <w:rFonts w:ascii="Times New Roman" w:hAnsi="Times New Roman"/>
          <w:snapToGrid/>
          <w:sz w:val="24"/>
          <w:szCs w:val="24"/>
        </w:rPr>
      </w:pPr>
      <w:r w:rsidRPr="007274F8">
        <w:rPr>
          <w:rFonts w:ascii="Times New Roman" w:hAnsi="Times New Roman"/>
          <w:snapToGrid/>
          <w:sz w:val="24"/>
          <w:szCs w:val="24"/>
        </w:rPr>
        <w:t xml:space="preserve">Not applicable. </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RPr="006C0788" w:rsidP="006C0788" w14:paraId="67CA458C" w14:textId="509AC372">
      <w:pPr>
        <w:widowControl/>
        <w:ind w:left="360"/>
        <w:rPr>
          <w:rFonts w:ascii="Times New Roman" w:hAnsi="Times New Roman"/>
          <w:snapToGrid/>
          <w:sz w:val="24"/>
          <w:szCs w:val="24"/>
        </w:rPr>
      </w:pPr>
      <w:r w:rsidRPr="007274F8">
        <w:rPr>
          <w:rFonts w:ascii="Times New Roman" w:hAnsi="Times New Roman"/>
          <w:snapToGrid/>
          <w:sz w:val="24"/>
          <w:szCs w:val="24"/>
        </w:rPr>
        <w:t xml:space="preserve">Not applicable. </w:t>
      </w: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6A84" w14:paraId="5946925E" w14:textId="77777777">
      <w:pPr>
        <w:spacing w:line="20" w:lineRule="exact"/>
        <w:rPr>
          <w:sz w:val="24"/>
        </w:rPr>
      </w:pPr>
    </w:p>
  </w:endnote>
  <w:endnote w:type="continuationSeparator" w:id="1">
    <w:p w:rsidR="003A6A84" w14:paraId="12AB3BF7" w14:textId="77777777">
      <w:r>
        <w:rPr>
          <w:sz w:val="24"/>
        </w:rPr>
        <w:t xml:space="preserve"> </w:t>
      </w:r>
    </w:p>
  </w:endnote>
  <w:endnote w:type="continuationNotice" w:id="2">
    <w:p w:rsidR="003A6A84" w14:paraId="77D833B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6A84" w14:paraId="207A2F9D" w14:textId="77777777">
      <w:r>
        <w:rPr>
          <w:sz w:val="24"/>
        </w:rPr>
        <w:separator/>
      </w:r>
    </w:p>
  </w:footnote>
  <w:footnote w:type="continuationSeparator" w:id="1">
    <w:p w:rsidR="003A6A84" w14:paraId="20CEC68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CF1AF3"/>
    <w:multiLevelType w:val="hybridMultilevel"/>
    <w:tmpl w:val="34748D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8D97713"/>
    <w:multiLevelType w:val="multilevel"/>
    <w:tmpl w:val="B876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B0313A"/>
    <w:multiLevelType w:val="multilevel"/>
    <w:tmpl w:val="85D0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F74EEE"/>
    <w:multiLevelType w:val="hybridMultilevel"/>
    <w:tmpl w:val="5D38B0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DC0062"/>
    <w:multiLevelType w:val="multilevel"/>
    <w:tmpl w:val="96A22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1D2A3A14"/>
    <w:lvl w:ilvl="0">
      <w:start w:val="1"/>
      <w:numFmt w:val="decimal"/>
      <w:lvlText w:val="%1."/>
      <w:lvlJc w:val="left"/>
      <w:pPr>
        <w:tabs>
          <w:tab w:val="num" w:pos="1530"/>
        </w:tabs>
        <w:ind w:left="153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F511DD"/>
    <w:multiLevelType w:val="hybridMultilevel"/>
    <w:tmpl w:val="0EC4C8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43747834">
    <w:abstractNumId w:val="16"/>
  </w:num>
  <w:num w:numId="2" w16cid:durableId="840513670">
    <w:abstractNumId w:val="17"/>
  </w:num>
  <w:num w:numId="3" w16cid:durableId="1113744629">
    <w:abstractNumId w:val="19"/>
  </w:num>
  <w:num w:numId="4" w16cid:durableId="1221939905">
    <w:abstractNumId w:val="9"/>
  </w:num>
  <w:num w:numId="5" w16cid:durableId="1056899612">
    <w:abstractNumId w:val="12"/>
  </w:num>
  <w:num w:numId="6" w16cid:durableId="2045790969">
    <w:abstractNumId w:val="15"/>
  </w:num>
  <w:num w:numId="7" w16cid:durableId="370109433">
    <w:abstractNumId w:val="2"/>
  </w:num>
  <w:num w:numId="8" w16cid:durableId="907305191">
    <w:abstractNumId w:val="14"/>
  </w:num>
  <w:num w:numId="9" w16cid:durableId="1224755756">
    <w:abstractNumId w:val="20"/>
  </w:num>
  <w:num w:numId="10" w16cid:durableId="422074777">
    <w:abstractNumId w:val="13"/>
  </w:num>
  <w:num w:numId="11" w16cid:durableId="373042745">
    <w:abstractNumId w:val="11"/>
  </w:num>
  <w:num w:numId="12" w16cid:durableId="506290212">
    <w:abstractNumId w:val="0"/>
  </w:num>
  <w:num w:numId="13" w16cid:durableId="833380617">
    <w:abstractNumId w:val="22"/>
  </w:num>
  <w:num w:numId="14" w16cid:durableId="2005819795">
    <w:abstractNumId w:val="1"/>
  </w:num>
  <w:num w:numId="15" w16cid:durableId="1655182824">
    <w:abstractNumId w:val="6"/>
  </w:num>
  <w:num w:numId="16" w16cid:durableId="1816099750">
    <w:abstractNumId w:val="18"/>
  </w:num>
  <w:num w:numId="17" w16cid:durableId="1768623089">
    <w:abstractNumId w:val="23"/>
  </w:num>
  <w:num w:numId="18" w16cid:durableId="1542673973">
    <w:abstractNumId w:val="7"/>
  </w:num>
  <w:num w:numId="19" w16cid:durableId="429543516">
    <w:abstractNumId w:val="24"/>
  </w:num>
  <w:num w:numId="20" w16cid:durableId="2110616659">
    <w:abstractNumId w:val="21"/>
  </w:num>
  <w:num w:numId="21" w16cid:durableId="519661712">
    <w:abstractNumId w:val="10"/>
  </w:num>
  <w:num w:numId="22" w16cid:durableId="1348796612">
    <w:abstractNumId w:val="4"/>
  </w:num>
  <w:num w:numId="23" w16cid:durableId="134027034">
    <w:abstractNumId w:val="5"/>
  </w:num>
  <w:num w:numId="24" w16cid:durableId="229929360">
    <w:abstractNumId w:val="8"/>
  </w:num>
  <w:num w:numId="25" w16cid:durableId="1553270841">
    <w:abstractNumId w:val="3"/>
  </w:num>
  <w:num w:numId="26" w16cid:durableId="2142576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1EE"/>
    <w:rsid w:val="00022586"/>
    <w:rsid w:val="00045D39"/>
    <w:rsid w:val="00056C4B"/>
    <w:rsid w:val="00060346"/>
    <w:rsid w:val="0006559E"/>
    <w:rsid w:val="00075889"/>
    <w:rsid w:val="0009007E"/>
    <w:rsid w:val="000B54C0"/>
    <w:rsid w:val="000F069F"/>
    <w:rsid w:val="00102200"/>
    <w:rsid w:val="00107DA4"/>
    <w:rsid w:val="00123A6B"/>
    <w:rsid w:val="001337B5"/>
    <w:rsid w:val="0014145B"/>
    <w:rsid w:val="00160621"/>
    <w:rsid w:val="00186385"/>
    <w:rsid w:val="0018771F"/>
    <w:rsid w:val="001A5F0A"/>
    <w:rsid w:val="001C483C"/>
    <w:rsid w:val="001C7FFE"/>
    <w:rsid w:val="001D1651"/>
    <w:rsid w:val="001D74F1"/>
    <w:rsid w:val="00207C50"/>
    <w:rsid w:val="00216279"/>
    <w:rsid w:val="00222C7F"/>
    <w:rsid w:val="00226C42"/>
    <w:rsid w:val="00234235"/>
    <w:rsid w:val="002464EB"/>
    <w:rsid w:val="002509BD"/>
    <w:rsid w:val="00271C34"/>
    <w:rsid w:val="00290A1C"/>
    <w:rsid w:val="0029589B"/>
    <w:rsid w:val="00296738"/>
    <w:rsid w:val="002A703F"/>
    <w:rsid w:val="002B7021"/>
    <w:rsid w:val="002C3C4F"/>
    <w:rsid w:val="002C4F75"/>
    <w:rsid w:val="002E10D1"/>
    <w:rsid w:val="002E1B78"/>
    <w:rsid w:val="002E2099"/>
    <w:rsid w:val="002F4C48"/>
    <w:rsid w:val="002F6622"/>
    <w:rsid w:val="00316D20"/>
    <w:rsid w:val="00320016"/>
    <w:rsid w:val="003200D7"/>
    <w:rsid w:val="003221E0"/>
    <w:rsid w:val="00324899"/>
    <w:rsid w:val="003405A4"/>
    <w:rsid w:val="00354319"/>
    <w:rsid w:val="0038209B"/>
    <w:rsid w:val="003A6A84"/>
    <w:rsid w:val="003B7A50"/>
    <w:rsid w:val="003C1D6E"/>
    <w:rsid w:val="003E6EA3"/>
    <w:rsid w:val="00402D24"/>
    <w:rsid w:val="00405C10"/>
    <w:rsid w:val="004110F5"/>
    <w:rsid w:val="00422E1D"/>
    <w:rsid w:val="0045093E"/>
    <w:rsid w:val="00453E2C"/>
    <w:rsid w:val="004602FE"/>
    <w:rsid w:val="0046717D"/>
    <w:rsid w:val="00467954"/>
    <w:rsid w:val="004700D0"/>
    <w:rsid w:val="004753BB"/>
    <w:rsid w:val="00476C1F"/>
    <w:rsid w:val="00480072"/>
    <w:rsid w:val="00485DCE"/>
    <w:rsid w:val="00490186"/>
    <w:rsid w:val="00490457"/>
    <w:rsid w:val="0049119A"/>
    <w:rsid w:val="004943E0"/>
    <w:rsid w:val="004F45CE"/>
    <w:rsid w:val="004F7B95"/>
    <w:rsid w:val="0051278C"/>
    <w:rsid w:val="00522C18"/>
    <w:rsid w:val="00541E51"/>
    <w:rsid w:val="005520C3"/>
    <w:rsid w:val="00556056"/>
    <w:rsid w:val="005824BD"/>
    <w:rsid w:val="00597E7F"/>
    <w:rsid w:val="005A0945"/>
    <w:rsid w:val="005A6D3E"/>
    <w:rsid w:val="005B00FC"/>
    <w:rsid w:val="005B0CCF"/>
    <w:rsid w:val="005B22D4"/>
    <w:rsid w:val="005B4340"/>
    <w:rsid w:val="005C60F1"/>
    <w:rsid w:val="005D1B7E"/>
    <w:rsid w:val="005D274E"/>
    <w:rsid w:val="005D61DB"/>
    <w:rsid w:val="005E0B35"/>
    <w:rsid w:val="005F0ED4"/>
    <w:rsid w:val="00603498"/>
    <w:rsid w:val="006070FC"/>
    <w:rsid w:val="00617341"/>
    <w:rsid w:val="00630AB4"/>
    <w:rsid w:val="00634E1D"/>
    <w:rsid w:val="00640565"/>
    <w:rsid w:val="00642F20"/>
    <w:rsid w:val="00651F0F"/>
    <w:rsid w:val="00656140"/>
    <w:rsid w:val="0067042A"/>
    <w:rsid w:val="00681E38"/>
    <w:rsid w:val="0068508B"/>
    <w:rsid w:val="006B1006"/>
    <w:rsid w:val="006B2726"/>
    <w:rsid w:val="006C0788"/>
    <w:rsid w:val="006D1643"/>
    <w:rsid w:val="006E6629"/>
    <w:rsid w:val="006F589F"/>
    <w:rsid w:val="006F68BE"/>
    <w:rsid w:val="00707AFB"/>
    <w:rsid w:val="007261AB"/>
    <w:rsid w:val="007274F8"/>
    <w:rsid w:val="00750BDF"/>
    <w:rsid w:val="00762C40"/>
    <w:rsid w:val="00786793"/>
    <w:rsid w:val="007869CA"/>
    <w:rsid w:val="00790D2C"/>
    <w:rsid w:val="007935D5"/>
    <w:rsid w:val="007A0FBE"/>
    <w:rsid w:val="007B73F1"/>
    <w:rsid w:val="007E48CC"/>
    <w:rsid w:val="0080325F"/>
    <w:rsid w:val="00807B80"/>
    <w:rsid w:val="00817E2B"/>
    <w:rsid w:val="00841BDF"/>
    <w:rsid w:val="008445BF"/>
    <w:rsid w:val="0084609A"/>
    <w:rsid w:val="00846E18"/>
    <w:rsid w:val="00861A96"/>
    <w:rsid w:val="00865E37"/>
    <w:rsid w:val="00885F7A"/>
    <w:rsid w:val="00886468"/>
    <w:rsid w:val="008900A8"/>
    <w:rsid w:val="0089070D"/>
    <w:rsid w:val="008955AC"/>
    <w:rsid w:val="008D667B"/>
    <w:rsid w:val="008F7221"/>
    <w:rsid w:val="009113FF"/>
    <w:rsid w:val="009316ED"/>
    <w:rsid w:val="00936A53"/>
    <w:rsid w:val="009451B1"/>
    <w:rsid w:val="00945B72"/>
    <w:rsid w:val="00954980"/>
    <w:rsid w:val="00957799"/>
    <w:rsid w:val="00962045"/>
    <w:rsid w:val="00966622"/>
    <w:rsid w:val="00975C04"/>
    <w:rsid w:val="009C2DE1"/>
    <w:rsid w:val="009C5213"/>
    <w:rsid w:val="009D7218"/>
    <w:rsid w:val="009D789F"/>
    <w:rsid w:val="009E6157"/>
    <w:rsid w:val="009F5543"/>
    <w:rsid w:val="009F58E1"/>
    <w:rsid w:val="00A04EF3"/>
    <w:rsid w:val="00A05B31"/>
    <w:rsid w:val="00A160B5"/>
    <w:rsid w:val="00A52427"/>
    <w:rsid w:val="00A61AC0"/>
    <w:rsid w:val="00A74C42"/>
    <w:rsid w:val="00A77AC0"/>
    <w:rsid w:val="00A918E4"/>
    <w:rsid w:val="00AA7B9B"/>
    <w:rsid w:val="00AB5FD3"/>
    <w:rsid w:val="00AD1774"/>
    <w:rsid w:val="00AD5ED7"/>
    <w:rsid w:val="00AF399C"/>
    <w:rsid w:val="00AF4347"/>
    <w:rsid w:val="00AF5FE7"/>
    <w:rsid w:val="00AF7DEA"/>
    <w:rsid w:val="00B14349"/>
    <w:rsid w:val="00B27347"/>
    <w:rsid w:val="00B84243"/>
    <w:rsid w:val="00BA020B"/>
    <w:rsid w:val="00BD378C"/>
    <w:rsid w:val="00C01668"/>
    <w:rsid w:val="00C01C44"/>
    <w:rsid w:val="00C02282"/>
    <w:rsid w:val="00C13BA6"/>
    <w:rsid w:val="00C22D3C"/>
    <w:rsid w:val="00C35C00"/>
    <w:rsid w:val="00C36B87"/>
    <w:rsid w:val="00C63D7C"/>
    <w:rsid w:val="00C8393D"/>
    <w:rsid w:val="00C97206"/>
    <w:rsid w:val="00CB0FFE"/>
    <w:rsid w:val="00CB1A12"/>
    <w:rsid w:val="00CE29B9"/>
    <w:rsid w:val="00CE53AB"/>
    <w:rsid w:val="00CE6182"/>
    <w:rsid w:val="00D02EF1"/>
    <w:rsid w:val="00D176EB"/>
    <w:rsid w:val="00D203FE"/>
    <w:rsid w:val="00D344B2"/>
    <w:rsid w:val="00D41A13"/>
    <w:rsid w:val="00D517EE"/>
    <w:rsid w:val="00D5243A"/>
    <w:rsid w:val="00D60543"/>
    <w:rsid w:val="00D647B0"/>
    <w:rsid w:val="00D67D80"/>
    <w:rsid w:val="00D7443D"/>
    <w:rsid w:val="00D806D3"/>
    <w:rsid w:val="00D9648C"/>
    <w:rsid w:val="00D9720E"/>
    <w:rsid w:val="00DB2443"/>
    <w:rsid w:val="00DB31C8"/>
    <w:rsid w:val="00DC1C23"/>
    <w:rsid w:val="00DD2AF6"/>
    <w:rsid w:val="00DE529D"/>
    <w:rsid w:val="00E01B4E"/>
    <w:rsid w:val="00E368FB"/>
    <w:rsid w:val="00E4383A"/>
    <w:rsid w:val="00E44CEA"/>
    <w:rsid w:val="00E45DCD"/>
    <w:rsid w:val="00E50898"/>
    <w:rsid w:val="00E91412"/>
    <w:rsid w:val="00EB14E7"/>
    <w:rsid w:val="00EC26A5"/>
    <w:rsid w:val="00EC698B"/>
    <w:rsid w:val="00ED782E"/>
    <w:rsid w:val="00F02021"/>
    <w:rsid w:val="00F05813"/>
    <w:rsid w:val="00F10B17"/>
    <w:rsid w:val="00F210CA"/>
    <w:rsid w:val="00F23630"/>
    <w:rsid w:val="00F301CA"/>
    <w:rsid w:val="00F42A1E"/>
    <w:rsid w:val="00F42E82"/>
    <w:rsid w:val="00F44166"/>
    <w:rsid w:val="00F464BB"/>
    <w:rsid w:val="00F76545"/>
    <w:rsid w:val="00F83116"/>
    <w:rsid w:val="00FA5092"/>
    <w:rsid w:val="00FB4221"/>
    <w:rsid w:val="00FB7547"/>
    <w:rsid w:val="00FE0FDC"/>
    <w:rsid w:val="00FF589B"/>
    <w:rsid w:val="00FF7CE7"/>
    <w:rsid w:val="049BC524"/>
    <w:rsid w:val="0EF57BEA"/>
    <w:rsid w:val="0F1C5FC2"/>
    <w:rsid w:val="20F9498C"/>
    <w:rsid w:val="235231AB"/>
    <w:rsid w:val="23DFF974"/>
    <w:rsid w:val="28CE150C"/>
    <w:rsid w:val="2908B3B1"/>
    <w:rsid w:val="2A6FE676"/>
    <w:rsid w:val="2B0F2214"/>
    <w:rsid w:val="3C16D1C5"/>
    <w:rsid w:val="3C79C695"/>
    <w:rsid w:val="43DCFA87"/>
    <w:rsid w:val="4944AE1E"/>
    <w:rsid w:val="4C28E974"/>
    <w:rsid w:val="5A42027D"/>
    <w:rsid w:val="65D56E8D"/>
    <w:rsid w:val="662E7714"/>
    <w:rsid w:val="689E69F9"/>
    <w:rsid w:val="6A068E70"/>
    <w:rsid w:val="77C5AD30"/>
    <w:rsid w:val="7855AB58"/>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paragraph">
    <w:name w:val="paragraph"/>
    <w:basedOn w:val="Normal"/>
    <w:rsid w:val="000001EE"/>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0001EE"/>
  </w:style>
  <w:style w:type="character" w:customStyle="1" w:styleId="eop">
    <w:name w:val="eop"/>
    <w:basedOn w:val="DefaultParagraphFont"/>
    <w:rsid w:val="00000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eadstart.gov/" TargetMode="External" /><Relationship Id="rId11" Type="http://schemas.openxmlformats.org/officeDocument/2006/relationships/hyperlink" Target="https://www.bls.gov/oes/current/oes_stru.htm" TargetMode="External" /><Relationship Id="rId12" Type="http://schemas.openxmlformats.org/officeDocument/2006/relationships/hyperlink" Target="https://eclkc.ohs.acf.hhs.gov/data-ongoing-monitoring/article/program-information-report-pir"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d52080b8c14968865f88e1edb84882ac">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d815e3bfef4d29523891808106a50cc8"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356f8c92-a7f3-4f06-9c99-ec3bb32373d1"/>
  </ds:schemaRefs>
</ds:datastoreItem>
</file>

<file path=customXml/itemProps4.xml><?xml version="1.0" encoding="utf-8"?>
<ds:datastoreItem xmlns:ds="http://schemas.openxmlformats.org/officeDocument/2006/customXml" ds:itemID="{7B3CC8EE-69D7-4E0B-A217-A84EA7D1B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1800</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2026-01-27T15:42:00Z</dcterms:created>
  <dcterms:modified xsi:type="dcterms:W3CDTF">2026-01-27T15:52:00Z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ies>
</file>