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3F59" w:rsidRPr="00EE016F" w:rsidP="00931577" w14:paraId="1963FA7F" w14:textId="0560AD4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jc w:val="center"/>
        <w:rPr>
          <w:rFonts w:ascii="Times New Roman" w:hAnsi="Times New Roman" w:cs="Times New Roman"/>
          <w:b w:val="0"/>
          <w:color w:val="0000FF"/>
        </w:rPr>
      </w:pPr>
      <w:r w:rsidRPr="00EE016F">
        <w:rPr>
          <w:rFonts w:ascii="Times New Roman" w:hAnsi="Times New Roman" w:cs="Times New Roman"/>
        </w:rPr>
        <w:t xml:space="preserve">Supporting Statement </w:t>
      </w:r>
      <w:r w:rsidR="00843068">
        <w:rPr>
          <w:rFonts w:ascii="Times New Roman" w:hAnsi="Times New Roman" w:cs="Times New Roman"/>
        </w:rPr>
        <w:t xml:space="preserve">A </w:t>
      </w:r>
      <w:r w:rsidRPr="00EE016F">
        <w:rPr>
          <w:rFonts w:ascii="Times New Roman" w:hAnsi="Times New Roman" w:cs="Times New Roman"/>
        </w:rPr>
        <w:t xml:space="preserve">for </w:t>
      </w:r>
      <w:r w:rsidRPr="00EE016F" w:rsidR="00866A6E">
        <w:rPr>
          <w:rFonts w:ascii="Times New Roman" w:hAnsi="Times New Roman" w:cs="Times New Roman"/>
        </w:rPr>
        <w:t xml:space="preserve">Ticket to Work </w:t>
      </w:r>
      <w:r w:rsidRPr="00EE016F" w:rsidR="00BA0E86">
        <w:rPr>
          <w:rFonts w:ascii="Times New Roman" w:hAnsi="Times New Roman" w:cs="Times New Roman"/>
        </w:rPr>
        <w:t>Program Evaluation</w:t>
      </w:r>
    </w:p>
    <w:p w:rsidR="00733F59" w:rsidRPr="00EE016F" w:rsidP="00931577" w14:paraId="2B8D96E8" w14:textId="119186A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jc w:val="center"/>
        <w:rPr>
          <w:rFonts w:ascii="Times New Roman" w:hAnsi="Times New Roman" w:cs="Times New Roman"/>
        </w:rPr>
      </w:pPr>
      <w:r w:rsidRPr="00EE016F">
        <w:rPr>
          <w:rFonts w:ascii="Times New Roman" w:hAnsi="Times New Roman" w:cs="Times New Roman"/>
        </w:rPr>
        <w:t>OMB No. 0960-</w:t>
      </w:r>
      <w:r w:rsidRPr="00EE016F" w:rsidR="00002BEC">
        <w:rPr>
          <w:rFonts w:ascii="Times New Roman" w:hAnsi="Times New Roman" w:cs="Times New Roman"/>
        </w:rPr>
        <w:t>N</w:t>
      </w:r>
      <w:r w:rsidR="0074359A">
        <w:rPr>
          <w:rFonts w:ascii="Times New Roman" w:hAnsi="Times New Roman" w:cs="Times New Roman"/>
        </w:rPr>
        <w:t>EW</w:t>
      </w:r>
    </w:p>
    <w:p w:rsidR="00EE016F" w:rsidRPr="00EE016F" w:rsidP="00931577" w14:paraId="4A7EB50A" w14:textId="2B7435DF">
      <w:pPr>
        <w:pStyle w:val="H2"/>
        <w:spacing w:line="276" w:lineRule="auto"/>
        <w:ind w:left="360" w:hanging="360"/>
        <w:rPr>
          <w:rFonts w:ascii="Times New Roman" w:hAnsi="Times New Roman"/>
        </w:rPr>
      </w:pPr>
      <w:bookmarkStart w:id="0" w:name="_Toc476059351"/>
      <w:bookmarkStart w:id="1" w:name="_Toc130382257"/>
      <w:bookmarkStart w:id="2" w:name="_Toc183510758"/>
      <w:r w:rsidRPr="00EE016F">
        <w:rPr>
          <w:rFonts w:ascii="Times New Roman" w:hAnsi="Times New Roman"/>
        </w:rPr>
        <w:t xml:space="preserve">A. </w:t>
      </w:r>
      <w:r w:rsidRPr="00EE016F">
        <w:rPr>
          <w:rFonts w:ascii="Times New Roman" w:hAnsi="Times New Roman"/>
        </w:rPr>
        <w:tab/>
      </w:r>
      <w:r w:rsidRPr="00EE016F">
        <w:rPr>
          <w:rFonts w:ascii="Times New Roman" w:hAnsi="Times New Roman"/>
          <w:u w:val="single"/>
        </w:rPr>
        <w:t>Justification</w:t>
      </w:r>
    </w:p>
    <w:p w:rsidR="00733F59" w:rsidRPr="00EE016F" w:rsidP="00931577" w14:paraId="34CB476E" w14:textId="0209FF39">
      <w:pPr>
        <w:pStyle w:val="H2"/>
        <w:spacing w:line="276" w:lineRule="auto"/>
        <w:ind w:left="900" w:hanging="450"/>
        <w:rPr>
          <w:rFonts w:ascii="Times New Roman" w:hAnsi="Times New Roman" w:cs="Times New Roman"/>
          <w:szCs w:val="24"/>
        </w:rPr>
      </w:pPr>
      <w:r w:rsidRPr="00EE016F">
        <w:rPr>
          <w:rFonts w:ascii="Times New Roman" w:hAnsi="Times New Roman" w:cs="Times New Roman"/>
          <w:szCs w:val="24"/>
        </w:rPr>
        <w:t>1.</w:t>
      </w:r>
      <w:r w:rsidRPr="00EE016F">
        <w:rPr>
          <w:rFonts w:ascii="Times New Roman" w:hAnsi="Times New Roman" w:cs="Times New Roman"/>
          <w:szCs w:val="24"/>
        </w:rPr>
        <w:tab/>
        <w:t>Introduction</w:t>
      </w:r>
      <w:bookmarkEnd w:id="0"/>
      <w:bookmarkEnd w:id="1"/>
      <w:bookmarkEnd w:id="2"/>
      <w:r w:rsidRPr="009C48FF" w:rsidR="009C48FF">
        <w:rPr>
          <w:rFonts w:ascii="Times New Roman" w:hAnsi="Times New Roman" w:cs="Times New Roman"/>
          <w:szCs w:val="24"/>
        </w:rPr>
        <w:t>/Authoring Laws and Regulations</w:t>
      </w:r>
    </w:p>
    <w:p w:rsidR="00017EA6" w:rsidP="001B7986" w14:paraId="645CA220" w14:textId="017902E3">
      <w:pPr>
        <w:pStyle w:val="ParagraphContinued"/>
        <w:spacing w:line="276" w:lineRule="auto"/>
        <w:ind w:left="907"/>
        <w:rPr>
          <w:rFonts w:ascii="Times New Roman" w:hAnsi="Times New Roman" w:cs="Times New Roman"/>
          <w:sz w:val="24"/>
          <w:szCs w:val="24"/>
        </w:rPr>
      </w:pPr>
      <w:r w:rsidRPr="00EE016F">
        <w:rPr>
          <w:rFonts w:ascii="Times New Roman" w:hAnsi="Times New Roman" w:cs="Times New Roman"/>
          <w:sz w:val="24"/>
          <w:szCs w:val="24"/>
        </w:rPr>
        <w:t xml:space="preserve">The Social Security Administration (SSA) requests clearance to collect </w:t>
      </w:r>
      <w:r w:rsidRPr="00EE016F" w:rsidR="00E9587E">
        <w:rPr>
          <w:rFonts w:ascii="Times New Roman" w:hAnsi="Times New Roman" w:cs="Times New Roman"/>
          <w:sz w:val="24"/>
          <w:szCs w:val="24"/>
        </w:rPr>
        <w:t xml:space="preserve">the </w:t>
      </w:r>
      <w:r w:rsidRPr="00EE016F">
        <w:rPr>
          <w:rFonts w:ascii="Times New Roman" w:hAnsi="Times New Roman" w:cs="Times New Roman"/>
          <w:sz w:val="24"/>
          <w:szCs w:val="24"/>
        </w:rPr>
        <w:t xml:space="preserve">data necessary to </w:t>
      </w:r>
      <w:r w:rsidRPr="00EE016F" w:rsidR="00E9587E">
        <w:rPr>
          <w:rFonts w:ascii="Times New Roman" w:hAnsi="Times New Roman" w:cs="Times New Roman"/>
          <w:sz w:val="24"/>
          <w:szCs w:val="24"/>
        </w:rPr>
        <w:t>conduct</w:t>
      </w:r>
      <w:r w:rsidRPr="00EE016F">
        <w:rPr>
          <w:rFonts w:ascii="Times New Roman" w:hAnsi="Times New Roman" w:cs="Times New Roman"/>
          <w:sz w:val="24"/>
          <w:szCs w:val="24"/>
        </w:rPr>
        <w:t xml:space="preserve"> the Ticket</w:t>
      </w:r>
      <w:r w:rsidRPr="00EE016F" w:rsidR="00814E2D">
        <w:rPr>
          <w:rFonts w:ascii="Times New Roman" w:hAnsi="Times New Roman" w:cs="Times New Roman"/>
          <w:sz w:val="24"/>
          <w:szCs w:val="24"/>
        </w:rPr>
        <w:t xml:space="preserve"> </w:t>
      </w:r>
      <w:r w:rsidRPr="00EE016F">
        <w:rPr>
          <w:rFonts w:ascii="Times New Roman" w:hAnsi="Times New Roman" w:cs="Times New Roman"/>
          <w:sz w:val="24"/>
          <w:szCs w:val="24"/>
        </w:rPr>
        <w:t>to</w:t>
      </w:r>
      <w:r w:rsidRPr="00EE016F" w:rsidR="00814E2D">
        <w:rPr>
          <w:rFonts w:ascii="Times New Roman" w:hAnsi="Times New Roman" w:cs="Times New Roman"/>
          <w:sz w:val="24"/>
          <w:szCs w:val="24"/>
        </w:rPr>
        <w:t xml:space="preserve"> </w:t>
      </w:r>
      <w:r w:rsidRPr="00EE016F">
        <w:rPr>
          <w:rFonts w:ascii="Times New Roman" w:hAnsi="Times New Roman" w:cs="Times New Roman"/>
          <w:sz w:val="24"/>
          <w:szCs w:val="24"/>
        </w:rPr>
        <w:t xml:space="preserve">Work </w:t>
      </w:r>
      <w:r w:rsidRPr="00EE016F" w:rsidR="00BD4A80">
        <w:rPr>
          <w:rFonts w:ascii="Times New Roman" w:hAnsi="Times New Roman" w:cs="Times New Roman"/>
          <w:sz w:val="24"/>
          <w:szCs w:val="24"/>
        </w:rPr>
        <w:t>(TTW</w:t>
      </w:r>
      <w:r w:rsidRPr="00EE016F" w:rsidR="00D61D4B">
        <w:rPr>
          <w:rFonts w:ascii="Times New Roman" w:hAnsi="Times New Roman" w:cs="Times New Roman"/>
          <w:sz w:val="24"/>
          <w:szCs w:val="24"/>
        </w:rPr>
        <w:t xml:space="preserve">) </w:t>
      </w:r>
      <w:r w:rsidRPr="00EE016F" w:rsidR="00E9587E">
        <w:rPr>
          <w:rFonts w:ascii="Times New Roman" w:hAnsi="Times New Roman" w:cs="Times New Roman"/>
          <w:sz w:val="24"/>
          <w:szCs w:val="24"/>
        </w:rPr>
        <w:t>P</w:t>
      </w:r>
      <w:r w:rsidRPr="00EE016F">
        <w:rPr>
          <w:rFonts w:ascii="Times New Roman" w:hAnsi="Times New Roman" w:cs="Times New Roman"/>
          <w:sz w:val="24"/>
          <w:szCs w:val="24"/>
        </w:rPr>
        <w:t>rogram</w:t>
      </w:r>
      <w:r w:rsidRPr="00EE016F" w:rsidR="00E9587E">
        <w:rPr>
          <w:rFonts w:ascii="Times New Roman" w:hAnsi="Times New Roman" w:cs="Times New Roman"/>
          <w:sz w:val="24"/>
          <w:szCs w:val="24"/>
        </w:rPr>
        <w:t xml:space="preserve"> Evaluation</w:t>
      </w:r>
      <w:r w:rsidRPr="00EE016F">
        <w:rPr>
          <w:rFonts w:ascii="Times New Roman" w:hAnsi="Times New Roman" w:cs="Times New Roman"/>
          <w:sz w:val="24"/>
          <w:szCs w:val="24"/>
        </w:rPr>
        <w:t>.</w:t>
      </w:r>
      <w:r w:rsidR="005D10D7">
        <w:rPr>
          <w:rFonts w:ascii="Times New Roman" w:hAnsi="Times New Roman" w:cs="Times New Roman"/>
          <w:sz w:val="24"/>
          <w:szCs w:val="24"/>
        </w:rPr>
        <w:t xml:space="preserve"> </w:t>
      </w:r>
      <w:r w:rsidR="00834477">
        <w:rPr>
          <w:rFonts w:ascii="Times New Roman" w:hAnsi="Times New Roman" w:cs="Times New Roman"/>
          <w:sz w:val="24"/>
          <w:szCs w:val="24"/>
        </w:rPr>
        <w:t xml:space="preserve"> </w:t>
      </w:r>
      <w:r w:rsidRPr="00EE016F" w:rsidR="005D10D7">
        <w:rPr>
          <w:rFonts w:ascii="Times New Roman" w:hAnsi="Times New Roman" w:cs="Times New Roman"/>
          <w:sz w:val="24"/>
          <w:szCs w:val="24"/>
        </w:rPr>
        <w:t>The Ticket to Work and Work Incentives Improvement Act of 1999</w:t>
      </w:r>
      <w:r w:rsidR="005D10D7">
        <w:rPr>
          <w:rFonts w:ascii="Times New Roman" w:hAnsi="Times New Roman" w:cs="Times New Roman"/>
          <w:sz w:val="24"/>
          <w:szCs w:val="24"/>
        </w:rPr>
        <w:t xml:space="preserve"> </w:t>
      </w:r>
      <w:r w:rsidRPr="00834477" w:rsidR="005D10D7">
        <w:rPr>
          <w:rFonts w:ascii="Times New Roman" w:hAnsi="Times New Roman" w:cs="Times New Roman"/>
          <w:i/>
          <w:iCs/>
          <w:sz w:val="24"/>
          <w:szCs w:val="24"/>
        </w:rPr>
        <w:t>(</w:t>
      </w:r>
      <w:r w:rsidRPr="00834477">
        <w:rPr>
          <w:rFonts w:ascii="Times New Roman" w:hAnsi="Times New Roman" w:cs="Times New Roman"/>
          <w:i/>
          <w:iCs/>
          <w:sz w:val="24"/>
          <w:szCs w:val="24"/>
        </w:rPr>
        <w:t>P</w:t>
      </w:r>
      <w:r w:rsidR="00AF42B3">
        <w:rPr>
          <w:rFonts w:ascii="Times New Roman" w:hAnsi="Times New Roman" w:cs="Times New Roman"/>
          <w:i/>
          <w:iCs/>
          <w:sz w:val="24"/>
          <w:szCs w:val="24"/>
        </w:rPr>
        <w:t>ub</w:t>
      </w:r>
      <w:r w:rsidRPr="00834477">
        <w:rPr>
          <w:rFonts w:ascii="Times New Roman" w:hAnsi="Times New Roman" w:cs="Times New Roman"/>
          <w:i/>
          <w:iCs/>
          <w:sz w:val="24"/>
          <w:szCs w:val="24"/>
        </w:rPr>
        <w:t>.L</w:t>
      </w:r>
      <w:r w:rsidRPr="00834477">
        <w:rPr>
          <w:rFonts w:ascii="Times New Roman" w:hAnsi="Times New Roman" w:cs="Times New Roman"/>
          <w:i/>
          <w:iCs/>
          <w:sz w:val="24"/>
          <w:szCs w:val="24"/>
        </w:rPr>
        <w:t>. 106-170</w:t>
      </w:r>
      <w:r w:rsidRPr="00834477" w:rsidR="00CC7B13">
        <w:rPr>
          <w:rFonts w:ascii="Times New Roman" w:hAnsi="Times New Roman" w:cs="Times New Roman"/>
          <w:i/>
          <w:iCs/>
          <w:sz w:val="24"/>
          <w:szCs w:val="24"/>
        </w:rPr>
        <w:t>, Ticket Act</w:t>
      </w:r>
      <w:r w:rsidRPr="00834477" w:rsidR="006B2C8A">
        <w:rPr>
          <w:rFonts w:ascii="Times New Roman" w:hAnsi="Times New Roman" w:cs="Times New Roman"/>
          <w:i/>
          <w:iCs/>
          <w:sz w:val="24"/>
          <w:szCs w:val="24"/>
        </w:rPr>
        <w:t>)</w:t>
      </w:r>
      <w:r w:rsidR="00E60233">
        <w:rPr>
          <w:rFonts w:ascii="Times New Roman" w:hAnsi="Times New Roman" w:cs="Times New Roman"/>
          <w:sz w:val="24"/>
          <w:szCs w:val="24"/>
        </w:rPr>
        <w:t xml:space="preserve">, section </w:t>
      </w:r>
      <w:r w:rsidRPr="00834477" w:rsidR="00E60233">
        <w:rPr>
          <w:rFonts w:ascii="Times New Roman" w:hAnsi="Times New Roman" w:cs="Times New Roman"/>
          <w:i/>
          <w:iCs/>
          <w:sz w:val="24"/>
          <w:szCs w:val="24"/>
        </w:rPr>
        <w:t>2(b)(4)</w:t>
      </w:r>
      <w:r w:rsidR="00E60233">
        <w:rPr>
          <w:rFonts w:ascii="Times New Roman" w:hAnsi="Times New Roman" w:cs="Times New Roman"/>
          <w:sz w:val="24"/>
          <w:szCs w:val="24"/>
        </w:rPr>
        <w:t>,</w:t>
      </w:r>
      <w:r w:rsidR="006B2C8A">
        <w:rPr>
          <w:rFonts w:ascii="Times New Roman" w:hAnsi="Times New Roman" w:cs="Times New Roman"/>
          <w:sz w:val="24"/>
          <w:szCs w:val="24"/>
        </w:rPr>
        <w:t xml:space="preserve"> established a return-to-work program to “allow individuals with disabilities to seek the services necessary to obtain and retain employment and reduce their dependency on cash benefit programs</w:t>
      </w:r>
      <w:r w:rsidR="00E60233">
        <w:rPr>
          <w:rFonts w:ascii="Times New Roman" w:hAnsi="Times New Roman" w:cs="Times New Roman"/>
          <w:sz w:val="24"/>
          <w:szCs w:val="24"/>
        </w:rPr>
        <w:t>.</w:t>
      </w:r>
      <w:r w:rsidR="006B2C8A">
        <w:rPr>
          <w:rFonts w:ascii="Times New Roman" w:hAnsi="Times New Roman" w:cs="Times New Roman"/>
          <w:sz w:val="24"/>
          <w:szCs w:val="24"/>
        </w:rPr>
        <w:t xml:space="preserve">” </w:t>
      </w:r>
      <w:r w:rsidR="00E60233">
        <w:rPr>
          <w:rFonts w:ascii="Times New Roman" w:hAnsi="Times New Roman" w:cs="Times New Roman"/>
          <w:sz w:val="24"/>
          <w:szCs w:val="24"/>
        </w:rPr>
        <w:t xml:space="preserve"> </w:t>
      </w:r>
      <w:r w:rsidR="006B2C8A">
        <w:rPr>
          <w:rFonts w:ascii="Times New Roman" w:hAnsi="Times New Roman" w:cs="Times New Roman"/>
          <w:sz w:val="24"/>
          <w:szCs w:val="24"/>
        </w:rPr>
        <w:t xml:space="preserve">Furthermore, the </w:t>
      </w:r>
      <w:r w:rsidRPr="00B24AE5" w:rsidR="006B2C8A">
        <w:rPr>
          <w:rFonts w:ascii="Times New Roman" w:hAnsi="Times New Roman" w:cs="Times New Roman"/>
          <w:i/>
          <w:iCs/>
          <w:sz w:val="24"/>
          <w:szCs w:val="24"/>
        </w:rPr>
        <w:t>Ticket Act</w:t>
      </w:r>
      <w:r w:rsidR="006B2C8A">
        <w:rPr>
          <w:rFonts w:ascii="Times New Roman" w:hAnsi="Times New Roman" w:cs="Times New Roman"/>
          <w:sz w:val="24"/>
          <w:szCs w:val="24"/>
        </w:rPr>
        <w:t xml:space="preserve"> </w:t>
      </w:r>
      <w:r w:rsidR="00E60233">
        <w:rPr>
          <w:rFonts w:ascii="Times New Roman" w:hAnsi="Times New Roman" w:cs="Times New Roman"/>
          <w:sz w:val="24"/>
          <w:szCs w:val="24"/>
        </w:rPr>
        <w:t xml:space="preserve">in section </w:t>
      </w:r>
      <w:r w:rsidRPr="00834477" w:rsidR="00E60233">
        <w:rPr>
          <w:rFonts w:ascii="Times New Roman" w:hAnsi="Times New Roman" w:cs="Times New Roman"/>
          <w:i/>
          <w:iCs/>
          <w:sz w:val="24"/>
          <w:szCs w:val="24"/>
        </w:rPr>
        <w:t>101(d)(4)(A)</w:t>
      </w:r>
      <w:r w:rsidR="00E60233">
        <w:rPr>
          <w:rFonts w:ascii="Times New Roman" w:hAnsi="Times New Roman" w:cs="Times New Roman"/>
          <w:sz w:val="24"/>
          <w:szCs w:val="24"/>
        </w:rPr>
        <w:t xml:space="preserve"> </w:t>
      </w:r>
      <w:r w:rsidR="006B2C8A">
        <w:rPr>
          <w:rFonts w:ascii="Times New Roman" w:hAnsi="Times New Roman" w:cs="Times New Roman"/>
          <w:sz w:val="24"/>
          <w:szCs w:val="24"/>
        </w:rPr>
        <w:t>requires</w:t>
      </w:r>
      <w:r w:rsidR="00984DAA">
        <w:rPr>
          <w:rFonts w:ascii="Times New Roman" w:hAnsi="Times New Roman" w:cs="Times New Roman"/>
          <w:sz w:val="24"/>
          <w:szCs w:val="24"/>
        </w:rPr>
        <w:t xml:space="preserve"> SSA </w:t>
      </w:r>
      <w:r w:rsidR="006B2C8A">
        <w:rPr>
          <w:rFonts w:ascii="Times New Roman" w:hAnsi="Times New Roman" w:cs="Times New Roman"/>
          <w:sz w:val="24"/>
          <w:szCs w:val="24"/>
        </w:rPr>
        <w:t xml:space="preserve">to provide for </w:t>
      </w:r>
      <w:r>
        <w:rPr>
          <w:rFonts w:ascii="Times New Roman" w:hAnsi="Times New Roman" w:cs="Times New Roman"/>
          <w:sz w:val="24"/>
          <w:szCs w:val="24"/>
        </w:rPr>
        <w:t>ongoing</w:t>
      </w:r>
      <w:r w:rsidR="006B2C8A">
        <w:rPr>
          <w:rFonts w:ascii="Times New Roman" w:hAnsi="Times New Roman" w:cs="Times New Roman"/>
          <w:sz w:val="24"/>
          <w:szCs w:val="24"/>
        </w:rPr>
        <w:t>,</w:t>
      </w:r>
      <w:r>
        <w:rPr>
          <w:rFonts w:ascii="Times New Roman" w:hAnsi="Times New Roman" w:cs="Times New Roman"/>
          <w:sz w:val="24"/>
          <w:szCs w:val="24"/>
        </w:rPr>
        <w:t xml:space="preserve"> independent evaluation</w:t>
      </w:r>
      <w:r w:rsidR="006B2C8A">
        <w:rPr>
          <w:rFonts w:ascii="Times New Roman" w:hAnsi="Times New Roman" w:cs="Times New Roman"/>
          <w:sz w:val="24"/>
          <w:szCs w:val="24"/>
        </w:rPr>
        <w:t xml:space="preserve"> to assess </w:t>
      </w:r>
      <w:r w:rsidR="00CC7B13">
        <w:rPr>
          <w:rFonts w:ascii="Times New Roman" w:hAnsi="Times New Roman" w:cs="Times New Roman"/>
          <w:sz w:val="24"/>
          <w:szCs w:val="24"/>
        </w:rPr>
        <w:t>(1)</w:t>
      </w:r>
      <w:r w:rsidR="00E60233">
        <w:rPr>
          <w:rFonts w:ascii="Times New Roman" w:hAnsi="Times New Roman" w:cs="Times New Roman"/>
          <w:sz w:val="24"/>
          <w:szCs w:val="24"/>
        </w:rPr>
        <w:t> </w:t>
      </w:r>
      <w:bookmarkStart w:id="3" w:name="_Hlk206150788"/>
      <w:r w:rsidR="006B2C8A">
        <w:rPr>
          <w:rFonts w:ascii="Times New Roman" w:hAnsi="Times New Roman" w:cs="Times New Roman"/>
          <w:sz w:val="24"/>
          <w:szCs w:val="24"/>
        </w:rPr>
        <w:t>the effects</w:t>
      </w:r>
      <w:r>
        <w:rPr>
          <w:rFonts w:ascii="Times New Roman" w:hAnsi="Times New Roman" w:cs="Times New Roman"/>
          <w:sz w:val="24"/>
          <w:szCs w:val="24"/>
        </w:rPr>
        <w:t xml:space="preserve"> of the program</w:t>
      </w:r>
      <w:r w:rsidR="006B2C8A">
        <w:rPr>
          <w:rFonts w:ascii="Times New Roman" w:hAnsi="Times New Roman" w:cs="Times New Roman"/>
          <w:sz w:val="24"/>
          <w:szCs w:val="24"/>
        </w:rPr>
        <w:t xml:space="preserve"> on work outcomes and self-sufficiency</w:t>
      </w:r>
      <w:r w:rsidR="00CC7B13">
        <w:rPr>
          <w:rFonts w:ascii="Times New Roman" w:hAnsi="Times New Roman" w:cs="Times New Roman"/>
          <w:sz w:val="24"/>
          <w:szCs w:val="24"/>
        </w:rPr>
        <w:t>, and (2) their cost effectiveness</w:t>
      </w:r>
      <w:bookmarkEnd w:id="3"/>
      <w:r>
        <w:rPr>
          <w:rFonts w:ascii="Times New Roman" w:hAnsi="Times New Roman" w:cs="Times New Roman"/>
          <w:sz w:val="24"/>
          <w:szCs w:val="24"/>
        </w:rPr>
        <w:t xml:space="preserve">. </w:t>
      </w:r>
      <w:r w:rsidR="00E60233">
        <w:rPr>
          <w:rFonts w:ascii="Times New Roman" w:hAnsi="Times New Roman" w:cs="Times New Roman"/>
          <w:sz w:val="24"/>
          <w:szCs w:val="24"/>
        </w:rPr>
        <w:t xml:space="preserve"> </w:t>
      </w:r>
      <w:r>
        <w:rPr>
          <w:rFonts w:ascii="Times New Roman" w:hAnsi="Times New Roman" w:cs="Times New Roman"/>
          <w:sz w:val="24"/>
          <w:szCs w:val="24"/>
        </w:rPr>
        <w:t xml:space="preserve">In compliance with </w:t>
      </w:r>
      <w:r w:rsidRPr="00834477">
        <w:rPr>
          <w:rFonts w:ascii="Times New Roman" w:hAnsi="Times New Roman" w:cs="Times New Roman"/>
          <w:i/>
          <w:iCs/>
          <w:sz w:val="24"/>
          <w:szCs w:val="24"/>
        </w:rPr>
        <w:t>P.L. 106-170</w:t>
      </w:r>
      <w:r>
        <w:rPr>
          <w:rFonts w:ascii="Times New Roman" w:hAnsi="Times New Roman" w:cs="Times New Roman"/>
          <w:sz w:val="24"/>
          <w:szCs w:val="24"/>
        </w:rPr>
        <w:t xml:space="preserve">, </w:t>
      </w:r>
      <w:r w:rsidRPr="00EE016F">
        <w:rPr>
          <w:rFonts w:ascii="Times New Roman" w:hAnsi="Times New Roman" w:cs="Times New Roman"/>
          <w:sz w:val="24"/>
          <w:szCs w:val="24"/>
        </w:rPr>
        <w:t xml:space="preserve">SSA is undertaking </w:t>
      </w:r>
      <w:r>
        <w:rPr>
          <w:rFonts w:ascii="Times New Roman" w:hAnsi="Times New Roman" w:cs="Times New Roman"/>
          <w:sz w:val="24"/>
          <w:szCs w:val="24"/>
        </w:rPr>
        <w:t>this</w:t>
      </w:r>
      <w:r w:rsidRPr="00EE016F">
        <w:rPr>
          <w:rFonts w:ascii="Times New Roman" w:hAnsi="Times New Roman" w:cs="Times New Roman"/>
          <w:sz w:val="24"/>
          <w:szCs w:val="24"/>
        </w:rPr>
        <w:t xml:space="preserve"> evaluation to assess the effectiveness</w:t>
      </w:r>
      <w:r>
        <w:rPr>
          <w:rFonts w:ascii="Times New Roman" w:hAnsi="Times New Roman" w:cs="Times New Roman"/>
          <w:sz w:val="24"/>
          <w:szCs w:val="24"/>
        </w:rPr>
        <w:t xml:space="preserve"> </w:t>
      </w:r>
      <w:r w:rsidRPr="00EE016F">
        <w:rPr>
          <w:rFonts w:ascii="Times New Roman" w:hAnsi="Times New Roman" w:cs="Times New Roman"/>
          <w:sz w:val="24"/>
          <w:szCs w:val="24"/>
        </w:rPr>
        <w:t xml:space="preserve">of </w:t>
      </w:r>
      <w:r w:rsidR="00CC7B13">
        <w:rPr>
          <w:rFonts w:ascii="Times New Roman" w:hAnsi="Times New Roman" w:cs="Times New Roman"/>
          <w:sz w:val="24"/>
          <w:szCs w:val="24"/>
        </w:rPr>
        <w:t xml:space="preserve">the </w:t>
      </w:r>
      <w:r w:rsidR="00844CD1">
        <w:rPr>
          <w:rFonts w:ascii="Times New Roman" w:hAnsi="Times New Roman" w:cs="Times New Roman"/>
          <w:sz w:val="24"/>
          <w:szCs w:val="24"/>
        </w:rPr>
        <w:t>programs authorized</w:t>
      </w:r>
      <w:r w:rsidRPr="00EE016F">
        <w:rPr>
          <w:rFonts w:ascii="Times New Roman" w:hAnsi="Times New Roman" w:cs="Times New Roman"/>
          <w:sz w:val="24"/>
          <w:szCs w:val="24"/>
        </w:rPr>
        <w:t xml:space="preserve"> </w:t>
      </w:r>
      <w:r w:rsidR="00C07948">
        <w:rPr>
          <w:rFonts w:ascii="Times New Roman" w:hAnsi="Times New Roman" w:cs="Times New Roman"/>
          <w:sz w:val="24"/>
          <w:szCs w:val="24"/>
        </w:rPr>
        <w:t xml:space="preserve">by the </w:t>
      </w:r>
      <w:r w:rsidRPr="00EE016F">
        <w:rPr>
          <w:rFonts w:ascii="Times New Roman" w:hAnsi="Times New Roman" w:cs="Times New Roman"/>
          <w:sz w:val="24"/>
          <w:szCs w:val="24"/>
        </w:rPr>
        <w:t>Ticket Act</w:t>
      </w:r>
      <w:r w:rsidR="00EE3FE3">
        <w:rPr>
          <w:rFonts w:ascii="Times New Roman" w:hAnsi="Times New Roman" w:cs="Times New Roman"/>
          <w:sz w:val="24"/>
          <w:szCs w:val="24"/>
        </w:rPr>
        <w:t>, both in terms of program outcomes and cost (efficiency)</w:t>
      </w:r>
      <w:r w:rsidRPr="00EE016F">
        <w:rPr>
          <w:rFonts w:ascii="Times New Roman" w:hAnsi="Times New Roman" w:cs="Times New Roman"/>
          <w:sz w:val="24"/>
          <w:szCs w:val="24"/>
        </w:rPr>
        <w:t xml:space="preserve">. </w:t>
      </w:r>
      <w:r w:rsidR="00E60233">
        <w:rPr>
          <w:rFonts w:ascii="Times New Roman" w:hAnsi="Times New Roman" w:cs="Times New Roman"/>
          <w:sz w:val="24"/>
          <w:szCs w:val="24"/>
        </w:rPr>
        <w:t xml:space="preserve"> </w:t>
      </w:r>
      <w:r w:rsidRPr="00EE016F">
        <w:rPr>
          <w:rFonts w:ascii="Times New Roman" w:hAnsi="Times New Roman" w:cs="Times New Roman"/>
          <w:sz w:val="24"/>
          <w:szCs w:val="24"/>
        </w:rPr>
        <w:t xml:space="preserve">On </w:t>
      </w:r>
      <w:r>
        <w:rPr>
          <w:rFonts w:ascii="Times New Roman" w:hAnsi="Times New Roman" w:cs="Times New Roman"/>
          <w:sz w:val="24"/>
          <w:szCs w:val="24"/>
        </w:rPr>
        <w:t>September 29</w:t>
      </w:r>
      <w:r w:rsidRPr="00EE016F">
        <w:rPr>
          <w:rFonts w:ascii="Times New Roman" w:hAnsi="Times New Roman" w:cs="Times New Roman"/>
          <w:sz w:val="24"/>
          <w:szCs w:val="24"/>
        </w:rPr>
        <w:t xml:space="preserve">, 2023, SSA awarded a contract to Mathematica, a research organization, to conduct the </w:t>
      </w:r>
      <w:r>
        <w:rPr>
          <w:rFonts w:ascii="Times New Roman" w:hAnsi="Times New Roman" w:cs="Times New Roman"/>
          <w:sz w:val="24"/>
          <w:szCs w:val="24"/>
        </w:rPr>
        <w:t xml:space="preserve">independent </w:t>
      </w:r>
      <w:r w:rsidR="00310048">
        <w:rPr>
          <w:rFonts w:ascii="Times New Roman" w:hAnsi="Times New Roman" w:cs="Times New Roman"/>
          <w:sz w:val="24"/>
          <w:szCs w:val="24"/>
        </w:rPr>
        <w:t>e</w:t>
      </w:r>
      <w:r>
        <w:rPr>
          <w:rFonts w:ascii="Times New Roman" w:hAnsi="Times New Roman" w:cs="Times New Roman"/>
          <w:sz w:val="24"/>
          <w:szCs w:val="24"/>
        </w:rPr>
        <w:t>valuation</w:t>
      </w:r>
      <w:r w:rsidRPr="00EE016F">
        <w:rPr>
          <w:rFonts w:ascii="Times New Roman" w:hAnsi="Times New Roman" w:cs="Times New Roman"/>
          <w:sz w:val="24"/>
          <w:szCs w:val="24"/>
        </w:rPr>
        <w:t>.</w:t>
      </w:r>
    </w:p>
    <w:p w:rsidR="00D35247" w:rsidRPr="00770949" w:rsidP="001B7986" w14:paraId="300183A5" w14:textId="071261F5">
      <w:pPr>
        <w:pStyle w:val="ParagraphContinued"/>
        <w:spacing w:line="276" w:lineRule="auto"/>
        <w:ind w:left="907"/>
        <w:rPr>
          <w:rFonts w:ascii="Times New Roman" w:hAnsi="Times New Roman" w:cs="Times New Roman"/>
          <w:b/>
          <w:bCs/>
          <w:sz w:val="24"/>
          <w:szCs w:val="24"/>
        </w:rPr>
      </w:pPr>
      <w:r w:rsidRPr="00770949">
        <w:rPr>
          <w:rFonts w:ascii="Times New Roman" w:hAnsi="Times New Roman" w:cs="Times New Roman"/>
          <w:b/>
          <w:bCs/>
          <w:sz w:val="24"/>
          <w:szCs w:val="24"/>
        </w:rPr>
        <w:t>Background of Tick</w:t>
      </w:r>
      <w:r w:rsidRPr="00770949">
        <w:rPr>
          <w:rFonts w:ascii="Times New Roman" w:hAnsi="Times New Roman" w:cs="Times New Roman"/>
          <w:b/>
          <w:bCs/>
          <w:sz w:val="24"/>
          <w:szCs w:val="24"/>
        </w:rPr>
        <w:t xml:space="preserve">et </w:t>
      </w:r>
      <w:r w:rsidR="00686A24">
        <w:rPr>
          <w:rFonts w:ascii="Times New Roman" w:hAnsi="Times New Roman" w:cs="Times New Roman"/>
          <w:b/>
          <w:bCs/>
          <w:sz w:val="24"/>
          <w:szCs w:val="24"/>
        </w:rPr>
        <w:t>A</w:t>
      </w:r>
      <w:r w:rsidR="00225B1D">
        <w:rPr>
          <w:rFonts w:ascii="Times New Roman" w:hAnsi="Times New Roman" w:cs="Times New Roman"/>
          <w:b/>
          <w:bCs/>
          <w:sz w:val="24"/>
          <w:szCs w:val="24"/>
        </w:rPr>
        <w:t>ct</w:t>
      </w:r>
      <w:r w:rsidRPr="00770949">
        <w:rPr>
          <w:rFonts w:ascii="Times New Roman" w:hAnsi="Times New Roman" w:cs="Times New Roman"/>
          <w:b/>
          <w:bCs/>
          <w:sz w:val="24"/>
          <w:szCs w:val="24"/>
        </w:rPr>
        <w:t xml:space="preserve"> Programs</w:t>
      </w:r>
    </w:p>
    <w:p w:rsidR="00686A24" w:rsidRPr="0017118D" w:rsidP="00931577" w14:paraId="07209C1C" w14:textId="6C75A5F4">
      <w:pPr>
        <w:pStyle w:val="ParagraphContinued"/>
        <w:spacing w:line="276" w:lineRule="auto"/>
        <w:ind w:left="907"/>
        <w:rPr>
          <w:rFonts w:ascii="Times New Roman" w:hAnsi="Times New Roman" w:cs="Times New Roman"/>
          <w:sz w:val="24"/>
          <w:szCs w:val="24"/>
        </w:rPr>
      </w:pPr>
      <w:bookmarkStart w:id="4" w:name="_Hlk206150865"/>
      <w:r>
        <w:rPr>
          <w:rFonts w:ascii="Times New Roman" w:hAnsi="Times New Roman" w:cs="Times New Roman"/>
          <w:sz w:val="24"/>
          <w:szCs w:val="24"/>
        </w:rPr>
        <w:t xml:space="preserve">The </w:t>
      </w:r>
      <w:r w:rsidRPr="00EE016F" w:rsidR="00206AA6">
        <w:rPr>
          <w:rFonts w:ascii="Times New Roman" w:hAnsi="Times New Roman" w:cs="Times New Roman"/>
          <w:sz w:val="24"/>
          <w:szCs w:val="24"/>
        </w:rPr>
        <w:t>Ticket Act</w:t>
      </w:r>
      <w:r>
        <w:rPr>
          <w:rFonts w:ascii="Times New Roman" w:hAnsi="Times New Roman" w:cs="Times New Roman"/>
          <w:sz w:val="24"/>
          <w:szCs w:val="24"/>
        </w:rPr>
        <w:t xml:space="preserve"> </w:t>
      </w:r>
      <w:r w:rsidRPr="00EE016F" w:rsidR="00206AA6">
        <w:rPr>
          <w:rFonts w:ascii="Times New Roman" w:hAnsi="Times New Roman" w:cs="Times New Roman"/>
          <w:sz w:val="24"/>
          <w:szCs w:val="24"/>
        </w:rPr>
        <w:t xml:space="preserve">established supports designed to increase the availability of and access to employment services for adults with disabilities receiving Social Security Disability Insurance (SSDI) </w:t>
      </w:r>
      <w:r w:rsidR="00C07948">
        <w:rPr>
          <w:rFonts w:ascii="Times New Roman" w:hAnsi="Times New Roman" w:cs="Times New Roman"/>
          <w:sz w:val="24"/>
          <w:szCs w:val="24"/>
        </w:rPr>
        <w:t>and/</w:t>
      </w:r>
      <w:r w:rsidRPr="00EE016F" w:rsidR="00206AA6">
        <w:rPr>
          <w:rFonts w:ascii="Times New Roman" w:hAnsi="Times New Roman" w:cs="Times New Roman"/>
          <w:sz w:val="24"/>
          <w:szCs w:val="24"/>
        </w:rPr>
        <w:t>or Supplemental Security Income (SSI)</w:t>
      </w:r>
      <w:r w:rsidR="009F4B98">
        <w:rPr>
          <w:rFonts w:ascii="Times New Roman" w:hAnsi="Times New Roman" w:cs="Times New Roman"/>
          <w:sz w:val="24"/>
          <w:szCs w:val="24"/>
        </w:rPr>
        <w:t>, hereafter referred to as Ticketholders</w:t>
      </w:r>
      <w:r w:rsidRPr="00EE016F" w:rsidR="00206AA6">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EE016F" w:rsidR="00206AA6">
        <w:rPr>
          <w:rFonts w:ascii="Times New Roman" w:hAnsi="Times New Roman" w:cs="Times New Roman"/>
          <w:sz w:val="24"/>
          <w:szCs w:val="24"/>
        </w:rPr>
        <w:t xml:space="preserve"> </w:t>
      </w:r>
      <w:r w:rsidRPr="0017118D">
        <w:rPr>
          <w:rFonts w:ascii="Times New Roman" w:hAnsi="Times New Roman" w:cs="Times New Roman"/>
          <w:sz w:val="24"/>
          <w:szCs w:val="24"/>
        </w:rPr>
        <w:t xml:space="preserve">Among the supports created by the Ticket Act </w:t>
      </w:r>
      <w:r w:rsidR="00C07948">
        <w:rPr>
          <w:rFonts w:ascii="Times New Roman" w:hAnsi="Times New Roman" w:cs="Times New Roman"/>
          <w:sz w:val="24"/>
          <w:szCs w:val="24"/>
        </w:rPr>
        <w:t>we</w:t>
      </w:r>
      <w:r w:rsidRPr="0017118D">
        <w:rPr>
          <w:rFonts w:ascii="Times New Roman" w:hAnsi="Times New Roman" w:cs="Times New Roman"/>
          <w:sz w:val="24"/>
          <w:szCs w:val="24"/>
        </w:rPr>
        <w:t>re three programs:</w:t>
      </w:r>
    </w:p>
    <w:p w:rsidR="00686A24" w:rsidRPr="0017118D" w:rsidP="00931577" w14:paraId="0911A296" w14:textId="280B1922">
      <w:pPr>
        <w:pStyle w:val="ListBullet"/>
        <w:tabs>
          <w:tab w:val="clear" w:pos="360"/>
        </w:tabs>
        <w:spacing w:line="276" w:lineRule="auto"/>
        <w:ind w:left="1260"/>
        <w:rPr>
          <w:sz w:val="24"/>
          <w:szCs w:val="24"/>
        </w:rPr>
      </w:pPr>
      <w:r w:rsidRPr="0017118D">
        <w:rPr>
          <w:b/>
          <w:sz w:val="24"/>
          <w:szCs w:val="24"/>
        </w:rPr>
        <w:t>TTW.</w:t>
      </w:r>
      <w:r w:rsidRPr="0017118D">
        <w:rPr>
          <w:sz w:val="24"/>
          <w:szCs w:val="24"/>
        </w:rPr>
        <w:t xml:space="preserve"> </w:t>
      </w:r>
      <w:r w:rsidR="00834477">
        <w:rPr>
          <w:sz w:val="24"/>
          <w:szCs w:val="24"/>
        </w:rPr>
        <w:t xml:space="preserve"> </w:t>
      </w:r>
      <w:r w:rsidR="0016247D">
        <w:rPr>
          <w:sz w:val="24"/>
          <w:szCs w:val="24"/>
        </w:rPr>
        <w:t xml:space="preserve">The </w:t>
      </w:r>
      <w:r w:rsidR="007C2EE6">
        <w:rPr>
          <w:sz w:val="24"/>
          <w:szCs w:val="24"/>
        </w:rPr>
        <w:t>Ticket Act</w:t>
      </w:r>
      <w:r w:rsidR="0016247D">
        <w:rPr>
          <w:sz w:val="24"/>
          <w:szCs w:val="24"/>
        </w:rPr>
        <w:t xml:space="preserve"> </w:t>
      </w:r>
      <w:r w:rsidR="00EE3FE3">
        <w:rPr>
          <w:sz w:val="24"/>
          <w:szCs w:val="24"/>
        </w:rPr>
        <w:t>established</w:t>
      </w:r>
      <w:r w:rsidR="0016247D">
        <w:rPr>
          <w:sz w:val="24"/>
          <w:szCs w:val="24"/>
        </w:rPr>
        <w:t xml:space="preserve"> an alternative system for</w:t>
      </w:r>
      <w:r w:rsidRPr="0017118D">
        <w:rPr>
          <w:sz w:val="24"/>
          <w:szCs w:val="24"/>
        </w:rPr>
        <w:t xml:space="preserve"> providing employment services to </w:t>
      </w:r>
      <w:r w:rsidR="00EE3FE3">
        <w:rPr>
          <w:sz w:val="24"/>
          <w:szCs w:val="24"/>
        </w:rPr>
        <w:t xml:space="preserve">disabled </w:t>
      </w:r>
      <w:r w:rsidRPr="0017118D">
        <w:rPr>
          <w:sz w:val="24"/>
          <w:szCs w:val="24"/>
        </w:rPr>
        <w:t xml:space="preserve">SSI </w:t>
      </w:r>
      <w:r w:rsidR="00EE3FE3">
        <w:rPr>
          <w:sz w:val="24"/>
          <w:szCs w:val="24"/>
        </w:rPr>
        <w:t xml:space="preserve">recipients </w:t>
      </w:r>
      <w:r w:rsidRPr="0017118D">
        <w:rPr>
          <w:sz w:val="24"/>
          <w:szCs w:val="24"/>
        </w:rPr>
        <w:t xml:space="preserve">and SSDI beneficiaries. </w:t>
      </w:r>
      <w:r w:rsidR="00834477">
        <w:rPr>
          <w:sz w:val="24"/>
          <w:szCs w:val="24"/>
        </w:rPr>
        <w:t xml:space="preserve"> </w:t>
      </w:r>
      <w:r w:rsidRPr="0017118D">
        <w:rPr>
          <w:sz w:val="24"/>
          <w:szCs w:val="24"/>
        </w:rPr>
        <w:t>Under TTW, Ticketholders can obtain vocational rehabilitation, employment</w:t>
      </w:r>
      <w:r w:rsidR="0016247D">
        <w:rPr>
          <w:sz w:val="24"/>
          <w:szCs w:val="24"/>
        </w:rPr>
        <w:t xml:space="preserve"> services</w:t>
      </w:r>
      <w:r w:rsidRPr="0017118D">
        <w:rPr>
          <w:sz w:val="24"/>
          <w:szCs w:val="24"/>
        </w:rPr>
        <w:t xml:space="preserve">, or other support services from </w:t>
      </w:r>
      <w:r w:rsidR="00D5102D">
        <w:rPr>
          <w:sz w:val="24"/>
          <w:szCs w:val="24"/>
        </w:rPr>
        <w:t xml:space="preserve">SSA-approved </w:t>
      </w:r>
      <w:r w:rsidR="0016247D">
        <w:rPr>
          <w:sz w:val="24"/>
          <w:szCs w:val="24"/>
        </w:rPr>
        <w:t>Employment Networks (</w:t>
      </w:r>
      <w:r w:rsidRPr="0017118D">
        <w:rPr>
          <w:sz w:val="24"/>
          <w:szCs w:val="24"/>
        </w:rPr>
        <w:t>ENs</w:t>
      </w:r>
      <w:r w:rsidR="0016247D">
        <w:rPr>
          <w:sz w:val="24"/>
          <w:szCs w:val="24"/>
        </w:rPr>
        <w:t>)</w:t>
      </w:r>
      <w:r w:rsidRPr="0017118D">
        <w:rPr>
          <w:sz w:val="24"/>
          <w:szCs w:val="24"/>
        </w:rPr>
        <w:t>.</w:t>
      </w:r>
      <w:r w:rsidR="00834477">
        <w:rPr>
          <w:sz w:val="24"/>
          <w:szCs w:val="24"/>
        </w:rPr>
        <w:t xml:space="preserve"> </w:t>
      </w:r>
      <w:r w:rsidRPr="0017118D">
        <w:rPr>
          <w:sz w:val="24"/>
          <w:szCs w:val="24"/>
        </w:rPr>
        <w:t xml:space="preserve"> </w:t>
      </w:r>
      <w:r w:rsidRPr="0017118D" w:rsidR="00D5102D">
        <w:rPr>
          <w:sz w:val="24"/>
          <w:szCs w:val="24"/>
        </w:rPr>
        <w:t xml:space="preserve">SSA </w:t>
      </w:r>
      <w:r w:rsidR="006E2369">
        <w:rPr>
          <w:sz w:val="24"/>
          <w:szCs w:val="24"/>
        </w:rPr>
        <w:t>pays</w:t>
      </w:r>
      <w:r w:rsidRPr="0017118D" w:rsidR="00D5102D">
        <w:rPr>
          <w:sz w:val="24"/>
          <w:szCs w:val="24"/>
        </w:rPr>
        <w:t xml:space="preserve"> ENs if the Ticketholders they serve work and earn above specified amounts. </w:t>
      </w:r>
      <w:r w:rsidR="00834477">
        <w:rPr>
          <w:sz w:val="24"/>
          <w:szCs w:val="24"/>
        </w:rPr>
        <w:t xml:space="preserve"> </w:t>
      </w:r>
      <w:r w:rsidRPr="00F904DE" w:rsidR="00F052F8">
        <w:rPr>
          <w:sz w:val="24"/>
          <w:szCs w:val="24"/>
        </w:rPr>
        <w:t>Ticketholders</w:t>
      </w:r>
      <w:r w:rsidRPr="00F904DE">
        <w:rPr>
          <w:sz w:val="24"/>
          <w:szCs w:val="24"/>
        </w:rPr>
        <w:t xml:space="preserve"> can</w:t>
      </w:r>
      <w:r w:rsidRPr="0017118D">
        <w:rPr>
          <w:sz w:val="24"/>
          <w:szCs w:val="24"/>
        </w:rPr>
        <w:t xml:space="preserve"> </w:t>
      </w:r>
      <w:r w:rsidR="0016247D">
        <w:rPr>
          <w:sz w:val="24"/>
          <w:szCs w:val="24"/>
        </w:rPr>
        <w:t>alternatively</w:t>
      </w:r>
      <w:r w:rsidRPr="0017118D" w:rsidR="0016247D">
        <w:rPr>
          <w:sz w:val="24"/>
          <w:szCs w:val="24"/>
        </w:rPr>
        <w:t xml:space="preserve"> </w:t>
      </w:r>
      <w:r w:rsidRPr="0017118D">
        <w:rPr>
          <w:sz w:val="24"/>
          <w:szCs w:val="24"/>
        </w:rPr>
        <w:t>receive</w:t>
      </w:r>
      <w:r w:rsidR="0016247D">
        <w:rPr>
          <w:sz w:val="24"/>
          <w:szCs w:val="24"/>
        </w:rPr>
        <w:t xml:space="preserve"> the</w:t>
      </w:r>
      <w:r w:rsidR="00016C41">
        <w:rPr>
          <w:sz w:val="24"/>
          <w:szCs w:val="24"/>
        </w:rPr>
        <w:t>se</w:t>
      </w:r>
      <w:r w:rsidRPr="0017118D">
        <w:rPr>
          <w:sz w:val="24"/>
          <w:szCs w:val="24"/>
        </w:rPr>
        <w:t xml:space="preserve"> services </w:t>
      </w:r>
      <w:r w:rsidR="0016247D">
        <w:rPr>
          <w:sz w:val="24"/>
          <w:szCs w:val="24"/>
        </w:rPr>
        <w:t xml:space="preserve">from state </w:t>
      </w:r>
      <w:r w:rsidR="00834477">
        <w:rPr>
          <w:sz w:val="24"/>
          <w:szCs w:val="24"/>
        </w:rPr>
        <w:t>vocational rehabilitation (</w:t>
      </w:r>
      <w:r w:rsidR="0016247D">
        <w:rPr>
          <w:sz w:val="24"/>
          <w:szCs w:val="24"/>
        </w:rPr>
        <w:t>VR</w:t>
      </w:r>
      <w:r w:rsidR="00834477">
        <w:rPr>
          <w:sz w:val="24"/>
          <w:szCs w:val="24"/>
        </w:rPr>
        <w:t>)</w:t>
      </w:r>
      <w:r w:rsidR="0016247D">
        <w:rPr>
          <w:sz w:val="24"/>
          <w:szCs w:val="24"/>
        </w:rPr>
        <w:t xml:space="preserve"> agencies </w:t>
      </w:r>
      <w:r w:rsidRPr="0017118D">
        <w:rPr>
          <w:sz w:val="24"/>
          <w:szCs w:val="24"/>
        </w:rPr>
        <w:t xml:space="preserve">as </w:t>
      </w:r>
      <w:r w:rsidR="0016247D">
        <w:rPr>
          <w:sz w:val="24"/>
          <w:szCs w:val="24"/>
        </w:rPr>
        <w:t>was available prior</w:t>
      </w:r>
      <w:r w:rsidRPr="0017118D">
        <w:rPr>
          <w:sz w:val="24"/>
          <w:szCs w:val="24"/>
        </w:rPr>
        <w:t xml:space="preserve"> the Ticket Act</w:t>
      </w:r>
      <w:r w:rsidR="0016247D">
        <w:rPr>
          <w:sz w:val="24"/>
          <w:szCs w:val="24"/>
        </w:rPr>
        <w:t xml:space="preserve">, under which SSA reimburses the VR </w:t>
      </w:r>
      <w:r w:rsidR="00834477">
        <w:rPr>
          <w:sz w:val="24"/>
          <w:szCs w:val="24"/>
        </w:rPr>
        <w:t xml:space="preserve">agencies </w:t>
      </w:r>
      <w:r w:rsidR="0016247D">
        <w:rPr>
          <w:sz w:val="24"/>
          <w:szCs w:val="24"/>
        </w:rPr>
        <w:t>for successful employment outcomes</w:t>
      </w:r>
      <w:r w:rsidRPr="0017118D">
        <w:rPr>
          <w:sz w:val="24"/>
          <w:szCs w:val="24"/>
        </w:rPr>
        <w:t>.</w:t>
      </w:r>
      <w:r w:rsidRPr="0017118D">
        <w:rPr>
          <w:sz w:val="24"/>
          <w:szCs w:val="24"/>
          <w:vertAlign w:val="superscript"/>
        </w:rPr>
        <w:t xml:space="preserve"> </w:t>
      </w:r>
      <w:r w:rsidR="00834477">
        <w:rPr>
          <w:sz w:val="24"/>
          <w:szCs w:val="24"/>
          <w:vertAlign w:val="superscript"/>
        </w:rPr>
        <w:t xml:space="preserve"> </w:t>
      </w:r>
      <w:r w:rsidR="00D5102D">
        <w:rPr>
          <w:sz w:val="24"/>
          <w:szCs w:val="24"/>
        </w:rPr>
        <w:t xml:space="preserve">State </w:t>
      </w:r>
      <w:r w:rsidRPr="0017118D">
        <w:rPr>
          <w:sz w:val="24"/>
          <w:szCs w:val="24"/>
        </w:rPr>
        <w:t>VR agencies have the option, on a case</w:t>
      </w:r>
      <w:r>
        <w:rPr>
          <w:sz w:val="24"/>
          <w:szCs w:val="24"/>
        </w:rPr>
        <w:noBreakHyphen/>
      </w:r>
      <w:r w:rsidRPr="0017118D">
        <w:rPr>
          <w:sz w:val="24"/>
          <w:szCs w:val="24"/>
        </w:rPr>
        <w:t>by</w:t>
      </w:r>
      <w:r>
        <w:rPr>
          <w:sz w:val="24"/>
          <w:szCs w:val="24"/>
        </w:rPr>
        <w:noBreakHyphen/>
      </w:r>
      <w:r w:rsidRPr="0017118D">
        <w:rPr>
          <w:sz w:val="24"/>
          <w:szCs w:val="24"/>
        </w:rPr>
        <w:t>case basis, of serving Ticketholders under the traditional cost</w:t>
      </w:r>
      <w:r>
        <w:rPr>
          <w:sz w:val="24"/>
          <w:szCs w:val="24"/>
        </w:rPr>
        <w:noBreakHyphen/>
      </w:r>
      <w:r w:rsidRPr="0017118D">
        <w:rPr>
          <w:sz w:val="24"/>
          <w:szCs w:val="24"/>
        </w:rPr>
        <w:t xml:space="preserve">reimbursement system or as an EN; they can also partner with ENs to provide services and share TTW payments. </w:t>
      </w:r>
      <w:bookmarkStart w:id="5" w:name="_Hlk204606322"/>
      <w:r w:rsidR="00834477">
        <w:rPr>
          <w:sz w:val="24"/>
          <w:szCs w:val="24"/>
        </w:rPr>
        <w:t xml:space="preserve"> </w:t>
      </w:r>
      <w:r w:rsidR="003F3DE4">
        <w:rPr>
          <w:sz w:val="24"/>
          <w:szCs w:val="24"/>
        </w:rPr>
        <w:t xml:space="preserve">As of </w:t>
      </w:r>
      <w:r w:rsidR="00115369">
        <w:rPr>
          <w:sz w:val="24"/>
          <w:szCs w:val="24"/>
        </w:rPr>
        <w:t>May 2025</w:t>
      </w:r>
      <w:r w:rsidR="003F3DE4">
        <w:rPr>
          <w:sz w:val="24"/>
          <w:szCs w:val="24"/>
        </w:rPr>
        <w:t xml:space="preserve">, </w:t>
      </w:r>
      <w:r w:rsidRPr="0017118D">
        <w:rPr>
          <w:sz w:val="24"/>
          <w:szCs w:val="24"/>
        </w:rPr>
        <w:t>SSA compensates 44</w:t>
      </w:r>
      <w:r w:rsidR="00115369">
        <w:rPr>
          <w:sz w:val="24"/>
          <w:szCs w:val="24"/>
        </w:rPr>
        <w:t>0</w:t>
      </w:r>
      <w:r w:rsidRPr="0017118D">
        <w:rPr>
          <w:sz w:val="24"/>
          <w:szCs w:val="24"/>
        </w:rPr>
        <w:t xml:space="preserve"> EN and VR agencies for providing services to Ticketholders.</w:t>
      </w:r>
    </w:p>
    <w:bookmarkEnd w:id="5"/>
    <w:p w:rsidR="00686A24" w:rsidRPr="0017118D" w:rsidP="00931577" w14:paraId="049701C1" w14:textId="11FBC07D">
      <w:pPr>
        <w:pStyle w:val="ListBullet"/>
        <w:tabs>
          <w:tab w:val="clear" w:pos="360"/>
        </w:tabs>
        <w:spacing w:line="276" w:lineRule="auto"/>
        <w:ind w:left="1260"/>
        <w:rPr>
          <w:sz w:val="24"/>
          <w:szCs w:val="24"/>
        </w:rPr>
      </w:pPr>
      <w:r>
        <w:rPr>
          <w:b/>
          <w:sz w:val="24"/>
          <w:szCs w:val="24"/>
        </w:rPr>
        <w:t>Work Incentives Planning and Assistance (</w:t>
      </w:r>
      <w:r w:rsidRPr="0017118D">
        <w:rPr>
          <w:b/>
          <w:sz w:val="24"/>
          <w:szCs w:val="24"/>
        </w:rPr>
        <w:t>WIPA</w:t>
      </w:r>
      <w:r>
        <w:rPr>
          <w:b/>
          <w:sz w:val="24"/>
          <w:szCs w:val="24"/>
        </w:rPr>
        <w:t>)</w:t>
      </w:r>
      <w:r w:rsidRPr="0017118D">
        <w:rPr>
          <w:b/>
          <w:sz w:val="24"/>
          <w:szCs w:val="24"/>
        </w:rPr>
        <w:t>.</w:t>
      </w:r>
      <w:r w:rsidRPr="0017118D">
        <w:rPr>
          <w:sz w:val="24"/>
          <w:szCs w:val="24"/>
        </w:rPr>
        <w:t xml:space="preserve"> </w:t>
      </w:r>
      <w:r w:rsidR="00834477">
        <w:rPr>
          <w:sz w:val="24"/>
          <w:szCs w:val="24"/>
        </w:rPr>
        <w:t xml:space="preserve"> </w:t>
      </w:r>
      <w:r w:rsidRPr="0017118D">
        <w:rPr>
          <w:sz w:val="24"/>
          <w:szCs w:val="24"/>
        </w:rPr>
        <w:t xml:space="preserve">SSA awards cooperative agreements to community-based organizations to provide expertise and counseling that helps </w:t>
      </w:r>
      <w:r w:rsidR="00EE3FE3">
        <w:rPr>
          <w:sz w:val="24"/>
          <w:szCs w:val="24"/>
        </w:rPr>
        <w:t xml:space="preserve">disabled </w:t>
      </w:r>
      <w:r w:rsidRPr="0017118D">
        <w:rPr>
          <w:sz w:val="24"/>
          <w:szCs w:val="24"/>
        </w:rPr>
        <w:t xml:space="preserve">SSI </w:t>
      </w:r>
      <w:r w:rsidR="00EE3FE3">
        <w:rPr>
          <w:sz w:val="24"/>
          <w:szCs w:val="24"/>
        </w:rPr>
        <w:t xml:space="preserve">recipients </w:t>
      </w:r>
      <w:r w:rsidRPr="0017118D">
        <w:rPr>
          <w:sz w:val="24"/>
          <w:szCs w:val="24"/>
        </w:rPr>
        <w:t xml:space="preserve">and SSDI beneficiaries understand how their earnings affect their disability benefits, with a goal of helping beneficiaries successfully transition to work. </w:t>
      </w:r>
      <w:r w:rsidR="00834477">
        <w:rPr>
          <w:sz w:val="24"/>
          <w:szCs w:val="24"/>
        </w:rPr>
        <w:t xml:space="preserve"> </w:t>
      </w:r>
      <w:r w:rsidR="00626D32">
        <w:rPr>
          <w:sz w:val="24"/>
          <w:szCs w:val="24"/>
        </w:rPr>
        <w:t>In 2025</w:t>
      </w:r>
      <w:r w:rsidRPr="0017118D">
        <w:rPr>
          <w:sz w:val="24"/>
          <w:szCs w:val="24"/>
        </w:rPr>
        <w:t xml:space="preserve">, 74 organizations operating in all states, the District of Columbia, and five U.S. territories receive funding to provide WIPA services, conduct outreach to beneficiaries, and coordinate with other programs that serve SSI and SSDI beneficiaries. </w:t>
      </w:r>
    </w:p>
    <w:p w:rsidR="00F731E4" w:rsidRPr="00834477" w:rsidP="00834477" w14:paraId="3A605EA6" w14:textId="6032BCB1">
      <w:pPr>
        <w:pStyle w:val="ListBullet"/>
        <w:tabs>
          <w:tab w:val="clear" w:pos="360"/>
        </w:tabs>
        <w:spacing w:line="276" w:lineRule="auto"/>
        <w:ind w:left="1260"/>
        <w:rPr>
          <w:sz w:val="24"/>
          <w:szCs w:val="24"/>
        </w:rPr>
      </w:pPr>
      <w:r>
        <w:rPr>
          <w:b/>
          <w:sz w:val="24"/>
          <w:szCs w:val="24"/>
        </w:rPr>
        <w:t>Protection and Advocacy for Beneficiaries of Social Security (</w:t>
      </w:r>
      <w:r w:rsidRPr="0017118D" w:rsidR="00686A24">
        <w:rPr>
          <w:b/>
          <w:sz w:val="24"/>
          <w:szCs w:val="24"/>
        </w:rPr>
        <w:t>PABSS</w:t>
      </w:r>
      <w:r>
        <w:rPr>
          <w:b/>
          <w:sz w:val="24"/>
          <w:szCs w:val="24"/>
        </w:rPr>
        <w:t>)</w:t>
      </w:r>
      <w:r w:rsidRPr="0017118D" w:rsidR="00686A24">
        <w:rPr>
          <w:b/>
          <w:sz w:val="24"/>
          <w:szCs w:val="24"/>
        </w:rPr>
        <w:t>.</w:t>
      </w:r>
      <w:r w:rsidRPr="0017118D" w:rsidR="00686A24">
        <w:rPr>
          <w:sz w:val="24"/>
          <w:szCs w:val="24"/>
        </w:rPr>
        <w:t xml:space="preserve"> SSA awards grants to 57 P</w:t>
      </w:r>
      <w:r w:rsidR="00686A24">
        <w:rPr>
          <w:sz w:val="24"/>
          <w:szCs w:val="24"/>
        </w:rPr>
        <w:t xml:space="preserve">rotection </w:t>
      </w:r>
      <w:r w:rsidRPr="0017118D" w:rsidR="00686A24">
        <w:rPr>
          <w:sz w:val="24"/>
          <w:szCs w:val="24"/>
        </w:rPr>
        <w:t>&amp;</w:t>
      </w:r>
      <w:r w:rsidR="00686A24">
        <w:rPr>
          <w:sz w:val="24"/>
          <w:szCs w:val="24"/>
        </w:rPr>
        <w:t xml:space="preserve"> </w:t>
      </w:r>
      <w:r w:rsidRPr="0017118D" w:rsidR="00686A24">
        <w:rPr>
          <w:sz w:val="24"/>
          <w:szCs w:val="24"/>
        </w:rPr>
        <w:t>A</w:t>
      </w:r>
      <w:r w:rsidR="00686A24">
        <w:rPr>
          <w:sz w:val="24"/>
          <w:szCs w:val="24"/>
        </w:rPr>
        <w:t>dvocacy</w:t>
      </w:r>
      <w:r w:rsidRPr="0017118D" w:rsidR="00686A24">
        <w:rPr>
          <w:sz w:val="24"/>
          <w:szCs w:val="24"/>
        </w:rPr>
        <w:t xml:space="preserve"> </w:t>
      </w:r>
      <w:r w:rsidR="00686A24">
        <w:rPr>
          <w:sz w:val="24"/>
          <w:szCs w:val="24"/>
        </w:rPr>
        <w:t xml:space="preserve">(P&amp;A) </w:t>
      </w:r>
      <w:r w:rsidRPr="0017118D" w:rsidR="00686A24">
        <w:rPr>
          <w:sz w:val="24"/>
          <w:szCs w:val="24"/>
        </w:rPr>
        <w:t xml:space="preserve">agencies in states, territories, and tribal communities to provide legal-based advocacy services for SSI and SSDI beneficiaries who want to work. </w:t>
      </w:r>
      <w:r w:rsidR="00834477">
        <w:rPr>
          <w:sz w:val="24"/>
          <w:szCs w:val="24"/>
        </w:rPr>
        <w:t xml:space="preserve"> </w:t>
      </w:r>
      <w:r w:rsidRPr="0017118D" w:rsidR="00686A24">
        <w:rPr>
          <w:sz w:val="24"/>
          <w:szCs w:val="24"/>
        </w:rPr>
        <w:t>P</w:t>
      </w:r>
      <w:r w:rsidR="004A4A96">
        <w:rPr>
          <w:sz w:val="24"/>
          <w:szCs w:val="24"/>
        </w:rPr>
        <w:t>ABSS grantees</w:t>
      </w:r>
      <w:r w:rsidRPr="0017118D" w:rsidR="00686A24">
        <w:rPr>
          <w:sz w:val="24"/>
          <w:szCs w:val="24"/>
        </w:rPr>
        <w:t xml:space="preserve"> offer services to help remove barriers to employment, including helping beneficiaries secure TTW and other employment-related services; </w:t>
      </w:r>
      <w:r w:rsidR="00E316D4">
        <w:rPr>
          <w:sz w:val="24"/>
          <w:szCs w:val="24"/>
        </w:rPr>
        <w:t xml:space="preserve">helping beneficiaries </w:t>
      </w:r>
      <w:r w:rsidRPr="0017118D" w:rsidR="00686A24">
        <w:rPr>
          <w:sz w:val="24"/>
          <w:szCs w:val="24"/>
        </w:rPr>
        <w:t xml:space="preserve">understand issues with their disability benefits; and </w:t>
      </w:r>
      <w:r w:rsidR="00E316D4">
        <w:rPr>
          <w:sz w:val="24"/>
          <w:szCs w:val="24"/>
        </w:rPr>
        <w:t xml:space="preserve">helping to </w:t>
      </w:r>
      <w:r w:rsidRPr="0017118D" w:rsidR="00686A24">
        <w:rPr>
          <w:sz w:val="24"/>
          <w:szCs w:val="24"/>
        </w:rPr>
        <w:t>protect</w:t>
      </w:r>
      <w:r w:rsidR="00E316D4">
        <w:rPr>
          <w:sz w:val="24"/>
          <w:szCs w:val="24"/>
        </w:rPr>
        <w:t xml:space="preserve"> beneficiaries’</w:t>
      </w:r>
      <w:r w:rsidRPr="0017118D" w:rsidR="00686A24">
        <w:rPr>
          <w:sz w:val="24"/>
          <w:szCs w:val="24"/>
        </w:rPr>
        <w:t xml:space="preserve"> legal rights to employment, transportation, and housing. </w:t>
      </w:r>
    </w:p>
    <w:p w:rsidR="00D5102D" w:rsidRPr="005F71AC" w:rsidP="001B7986" w14:paraId="3471E499" w14:textId="0337C4EE">
      <w:pPr>
        <w:pStyle w:val="ParagraphContinued"/>
        <w:spacing w:line="276" w:lineRule="auto"/>
        <w:ind w:left="907"/>
        <w:rPr>
          <w:rFonts w:ascii="Times New Roman" w:hAnsi="Times New Roman" w:cs="Times New Roman"/>
          <w:b/>
          <w:bCs/>
          <w:sz w:val="24"/>
          <w:szCs w:val="24"/>
        </w:rPr>
      </w:pPr>
      <w:r w:rsidRPr="005F71AC">
        <w:rPr>
          <w:rFonts w:ascii="Times New Roman" w:hAnsi="Times New Roman" w:cs="Times New Roman"/>
          <w:b/>
          <w:bCs/>
          <w:sz w:val="24"/>
          <w:szCs w:val="24"/>
        </w:rPr>
        <w:t>Purpose of the Evaluation</w:t>
      </w:r>
      <w:r>
        <w:rPr>
          <w:rFonts w:ascii="Times New Roman" w:hAnsi="Times New Roman" w:cs="Times New Roman"/>
          <w:b/>
          <w:bCs/>
          <w:sz w:val="24"/>
          <w:szCs w:val="24"/>
        </w:rPr>
        <w:t xml:space="preserve"> </w:t>
      </w:r>
    </w:p>
    <w:p w:rsidR="00206AA6" w:rsidP="001B7986" w14:paraId="3B6A9BC7" w14:textId="657C86D9">
      <w:pPr>
        <w:pStyle w:val="ParagraphContinued"/>
        <w:spacing w:line="276" w:lineRule="auto"/>
        <w:ind w:left="907"/>
        <w:rPr>
          <w:rFonts w:ascii="Times New Roman" w:hAnsi="Times New Roman" w:cs="Times New Roman"/>
          <w:sz w:val="24"/>
          <w:szCs w:val="24"/>
        </w:rPr>
      </w:pPr>
      <w:r w:rsidRPr="00EE016F">
        <w:rPr>
          <w:rFonts w:ascii="Times New Roman" w:hAnsi="Times New Roman" w:cs="Times New Roman"/>
          <w:sz w:val="24"/>
          <w:szCs w:val="24"/>
        </w:rPr>
        <w:t>T</w:t>
      </w:r>
      <w:r w:rsidR="00D5102D">
        <w:rPr>
          <w:rFonts w:ascii="Times New Roman" w:hAnsi="Times New Roman" w:cs="Times New Roman"/>
          <w:sz w:val="24"/>
          <w:szCs w:val="24"/>
        </w:rPr>
        <w:t xml:space="preserve">o comply with </w:t>
      </w:r>
      <w:r w:rsidRPr="00834477" w:rsidR="00D5102D">
        <w:rPr>
          <w:rFonts w:ascii="Times New Roman" w:hAnsi="Times New Roman" w:cs="Times New Roman"/>
          <w:i/>
          <w:iCs/>
          <w:sz w:val="24"/>
          <w:szCs w:val="24"/>
        </w:rPr>
        <w:t>P.L. 106-170</w:t>
      </w:r>
      <w:r w:rsidR="00D5102D">
        <w:rPr>
          <w:rFonts w:ascii="Times New Roman" w:hAnsi="Times New Roman" w:cs="Times New Roman"/>
          <w:sz w:val="24"/>
          <w:szCs w:val="24"/>
        </w:rPr>
        <w:t>, t</w:t>
      </w:r>
      <w:r w:rsidRPr="00EE016F" w:rsidR="00ED2693">
        <w:rPr>
          <w:rFonts w:ascii="Times New Roman" w:hAnsi="Times New Roman" w:cs="Times New Roman"/>
          <w:sz w:val="24"/>
          <w:szCs w:val="24"/>
        </w:rPr>
        <w:t>he</w:t>
      </w:r>
      <w:r w:rsidR="00624899">
        <w:rPr>
          <w:rFonts w:ascii="Times New Roman" w:hAnsi="Times New Roman" w:cs="Times New Roman"/>
          <w:sz w:val="24"/>
          <w:szCs w:val="24"/>
        </w:rPr>
        <w:t xml:space="preserve"> </w:t>
      </w:r>
      <w:bookmarkStart w:id="6" w:name="_Hlk179807644"/>
      <w:r w:rsidR="00A21832">
        <w:rPr>
          <w:rFonts w:ascii="Times New Roman" w:hAnsi="Times New Roman" w:cs="Times New Roman"/>
          <w:sz w:val="24"/>
          <w:szCs w:val="24"/>
        </w:rPr>
        <w:t>e</w:t>
      </w:r>
      <w:r w:rsidR="00BA5724">
        <w:rPr>
          <w:rFonts w:ascii="Times New Roman" w:hAnsi="Times New Roman" w:cs="Times New Roman"/>
          <w:sz w:val="24"/>
          <w:szCs w:val="24"/>
        </w:rPr>
        <w:t xml:space="preserve">valuation will document </w:t>
      </w:r>
      <w:r w:rsidR="00852A73">
        <w:rPr>
          <w:rFonts w:ascii="Times New Roman" w:hAnsi="Times New Roman" w:cs="Times New Roman"/>
          <w:sz w:val="24"/>
          <w:szCs w:val="24"/>
        </w:rPr>
        <w:t>the extent to which</w:t>
      </w:r>
      <w:r w:rsidRPr="00EE016F" w:rsidR="004613D5">
        <w:rPr>
          <w:rFonts w:ascii="Times New Roman" w:hAnsi="Times New Roman" w:cs="Times New Roman"/>
          <w:sz w:val="24"/>
          <w:szCs w:val="24"/>
        </w:rPr>
        <w:t xml:space="preserve"> </w:t>
      </w:r>
      <w:r w:rsidRPr="00EE016F" w:rsidR="00ED2693">
        <w:rPr>
          <w:rFonts w:ascii="Times New Roman" w:hAnsi="Times New Roman" w:cs="Times New Roman"/>
          <w:sz w:val="24"/>
          <w:szCs w:val="24"/>
        </w:rPr>
        <w:t xml:space="preserve">Ticket Act programs </w:t>
      </w:r>
      <w:r w:rsidR="00852A73">
        <w:rPr>
          <w:rFonts w:ascii="Times New Roman" w:hAnsi="Times New Roman" w:cs="Times New Roman"/>
          <w:sz w:val="24"/>
          <w:szCs w:val="24"/>
        </w:rPr>
        <w:t>are</w:t>
      </w:r>
      <w:r w:rsidRPr="00EE016F" w:rsidR="00852A73">
        <w:rPr>
          <w:rFonts w:ascii="Times New Roman" w:hAnsi="Times New Roman" w:cs="Times New Roman"/>
          <w:sz w:val="24"/>
          <w:szCs w:val="24"/>
        </w:rPr>
        <w:t xml:space="preserve"> </w:t>
      </w:r>
      <w:r w:rsidRPr="00EE016F" w:rsidR="00ED2693">
        <w:rPr>
          <w:rFonts w:ascii="Times New Roman" w:hAnsi="Times New Roman" w:cs="Times New Roman"/>
          <w:sz w:val="24"/>
          <w:szCs w:val="24"/>
        </w:rPr>
        <w:t>effective</w:t>
      </w:r>
      <w:r w:rsidR="00852A73">
        <w:rPr>
          <w:rFonts w:ascii="Times New Roman" w:hAnsi="Times New Roman" w:cs="Times New Roman"/>
          <w:sz w:val="24"/>
          <w:szCs w:val="24"/>
        </w:rPr>
        <w:t>, meaning that they achieve the</w:t>
      </w:r>
      <w:r w:rsidR="00F731E4">
        <w:rPr>
          <w:rFonts w:ascii="Times New Roman" w:hAnsi="Times New Roman" w:cs="Times New Roman"/>
          <w:sz w:val="24"/>
          <w:szCs w:val="24"/>
        </w:rPr>
        <w:t>ir</w:t>
      </w:r>
      <w:r w:rsidR="00852A73">
        <w:rPr>
          <w:rFonts w:ascii="Times New Roman" w:hAnsi="Times New Roman" w:cs="Times New Roman"/>
          <w:sz w:val="24"/>
          <w:szCs w:val="24"/>
        </w:rPr>
        <w:t xml:space="preserve"> legislative intent</w:t>
      </w:r>
      <w:r w:rsidR="00626D32">
        <w:rPr>
          <w:rFonts w:ascii="Times New Roman" w:hAnsi="Times New Roman" w:cs="Times New Roman"/>
          <w:sz w:val="24"/>
          <w:szCs w:val="24"/>
        </w:rPr>
        <w:t xml:space="preserve">: </w:t>
      </w:r>
      <w:r w:rsidR="00834477">
        <w:rPr>
          <w:rFonts w:ascii="Times New Roman" w:hAnsi="Times New Roman" w:cs="Times New Roman"/>
          <w:sz w:val="24"/>
          <w:szCs w:val="24"/>
        </w:rPr>
        <w:t xml:space="preserve"> </w:t>
      </w:r>
      <w:r w:rsidR="00626D32">
        <w:rPr>
          <w:rFonts w:ascii="Times New Roman" w:hAnsi="Times New Roman" w:cs="Times New Roman"/>
          <w:sz w:val="24"/>
          <w:szCs w:val="24"/>
        </w:rPr>
        <w:t>to allow individuals with disabilities to seek the services necessary to obtain and retain employment and reduce their dependency on cash benefit programs.</w:t>
      </w:r>
      <w:r w:rsidR="00852A73">
        <w:rPr>
          <w:rFonts w:ascii="Times New Roman" w:hAnsi="Times New Roman" w:cs="Times New Roman"/>
          <w:sz w:val="24"/>
          <w:szCs w:val="24"/>
        </w:rPr>
        <w:t xml:space="preserve"> </w:t>
      </w:r>
      <w:bookmarkEnd w:id="6"/>
      <w:r w:rsidR="00834477">
        <w:rPr>
          <w:rFonts w:ascii="Times New Roman" w:hAnsi="Times New Roman" w:cs="Times New Roman"/>
          <w:sz w:val="24"/>
          <w:szCs w:val="24"/>
        </w:rPr>
        <w:t xml:space="preserve"> </w:t>
      </w:r>
      <w:r w:rsidR="00626D32">
        <w:rPr>
          <w:rFonts w:ascii="Times New Roman" w:hAnsi="Times New Roman" w:cs="Times New Roman"/>
          <w:sz w:val="24"/>
          <w:szCs w:val="24"/>
        </w:rPr>
        <w:t xml:space="preserve">For Ticket Act programs to achieve those aims, (1) providers must be available to meet Ticketholder demand for services; (2) Ticketholders must be aware of Ticket Act programs and be able to access services; and (3) Ticket Act services must be salient to support Ticketholders in overcoming the challenges they face in returning to work and sustaining earnings. </w:t>
      </w:r>
      <w:r w:rsidR="00834477">
        <w:rPr>
          <w:rFonts w:ascii="Times New Roman" w:hAnsi="Times New Roman" w:cs="Times New Roman"/>
          <w:sz w:val="24"/>
          <w:szCs w:val="24"/>
        </w:rPr>
        <w:t xml:space="preserve"> </w:t>
      </w:r>
      <w:r w:rsidR="006C1844">
        <w:rPr>
          <w:rFonts w:ascii="Times New Roman" w:hAnsi="Times New Roman" w:cs="Times New Roman"/>
          <w:sz w:val="24"/>
          <w:szCs w:val="24"/>
        </w:rPr>
        <w:t>The evaluation</w:t>
      </w:r>
      <w:r w:rsidR="00CB155B">
        <w:rPr>
          <w:rFonts w:ascii="Times New Roman" w:hAnsi="Times New Roman" w:cs="Times New Roman"/>
          <w:sz w:val="24"/>
          <w:szCs w:val="24"/>
        </w:rPr>
        <w:t xml:space="preserve"> f</w:t>
      </w:r>
      <w:r w:rsidR="00983D40">
        <w:rPr>
          <w:rFonts w:ascii="Times New Roman" w:hAnsi="Times New Roman" w:cs="Times New Roman"/>
          <w:sz w:val="24"/>
          <w:szCs w:val="24"/>
        </w:rPr>
        <w:t>indings</w:t>
      </w:r>
      <w:r w:rsidR="00CB155B">
        <w:rPr>
          <w:rFonts w:ascii="Times New Roman" w:hAnsi="Times New Roman" w:cs="Times New Roman"/>
          <w:sz w:val="24"/>
          <w:szCs w:val="24"/>
        </w:rPr>
        <w:t xml:space="preserve"> on</w:t>
      </w:r>
      <w:r w:rsidR="00786387">
        <w:rPr>
          <w:rFonts w:ascii="Times New Roman" w:hAnsi="Times New Roman" w:cs="Times New Roman"/>
          <w:sz w:val="24"/>
          <w:szCs w:val="24"/>
        </w:rPr>
        <w:t xml:space="preserve"> these components</w:t>
      </w:r>
      <w:r w:rsidR="006C1844">
        <w:rPr>
          <w:rFonts w:ascii="Times New Roman" w:hAnsi="Times New Roman" w:cs="Times New Roman"/>
          <w:sz w:val="24"/>
          <w:szCs w:val="24"/>
        </w:rPr>
        <w:t xml:space="preserve"> will support </w:t>
      </w:r>
      <w:r w:rsidR="00243533">
        <w:rPr>
          <w:rFonts w:ascii="Times New Roman" w:hAnsi="Times New Roman" w:cs="Times New Roman"/>
          <w:sz w:val="24"/>
          <w:szCs w:val="24"/>
        </w:rPr>
        <w:t>SSA’s understanding of</w:t>
      </w:r>
      <w:r w:rsidR="00834477">
        <w:rPr>
          <w:rFonts w:ascii="Times New Roman" w:hAnsi="Times New Roman" w:cs="Times New Roman"/>
          <w:sz w:val="24"/>
          <w:szCs w:val="24"/>
        </w:rPr>
        <w:t xml:space="preserve">:  </w:t>
      </w:r>
      <w:r w:rsidR="006E2369">
        <w:rPr>
          <w:rFonts w:ascii="Times New Roman" w:hAnsi="Times New Roman" w:cs="Times New Roman"/>
          <w:sz w:val="24"/>
          <w:szCs w:val="24"/>
        </w:rPr>
        <w:t xml:space="preserve">(1) whether the programs achieve their legislative intent; (2) the factors contributing to this achievement or lack thereof, and (3) opportunities for improvement of the programs’ efficiency and effectiveness. </w:t>
      </w:r>
      <w:r w:rsidR="00834477">
        <w:rPr>
          <w:rFonts w:ascii="Times New Roman" w:hAnsi="Times New Roman" w:cs="Times New Roman"/>
          <w:sz w:val="24"/>
          <w:szCs w:val="24"/>
        </w:rPr>
        <w:t xml:space="preserve"> </w:t>
      </w:r>
      <w:r w:rsidR="000C2A79">
        <w:rPr>
          <w:rFonts w:ascii="Times New Roman" w:hAnsi="Times New Roman" w:cs="Times New Roman"/>
          <w:sz w:val="24"/>
          <w:szCs w:val="24"/>
        </w:rPr>
        <w:t>T</w:t>
      </w:r>
      <w:r w:rsidR="00624899">
        <w:rPr>
          <w:rFonts w:ascii="Times New Roman" w:hAnsi="Times New Roman" w:cs="Times New Roman"/>
          <w:sz w:val="24"/>
          <w:szCs w:val="24"/>
        </w:rPr>
        <w:t xml:space="preserve">he evaluation will </w:t>
      </w:r>
      <w:r w:rsidR="00A162B1">
        <w:rPr>
          <w:rFonts w:ascii="Times New Roman" w:hAnsi="Times New Roman" w:cs="Times New Roman"/>
          <w:sz w:val="24"/>
          <w:szCs w:val="24"/>
        </w:rPr>
        <w:t xml:space="preserve">also </w:t>
      </w:r>
      <w:r w:rsidR="00624899">
        <w:rPr>
          <w:rFonts w:ascii="Times New Roman" w:hAnsi="Times New Roman" w:cs="Times New Roman"/>
          <w:sz w:val="24"/>
          <w:szCs w:val="24"/>
        </w:rPr>
        <w:t xml:space="preserve">document </w:t>
      </w:r>
      <w:r w:rsidR="00A162B1">
        <w:rPr>
          <w:rFonts w:ascii="Times New Roman" w:hAnsi="Times New Roman" w:cs="Times New Roman"/>
          <w:sz w:val="24"/>
          <w:szCs w:val="24"/>
        </w:rPr>
        <w:t xml:space="preserve">the </w:t>
      </w:r>
      <w:r w:rsidR="00624899">
        <w:rPr>
          <w:rFonts w:ascii="Times New Roman" w:hAnsi="Times New Roman" w:cs="Times New Roman"/>
          <w:sz w:val="24"/>
          <w:szCs w:val="24"/>
        </w:rPr>
        <w:t>cost effectiveness</w:t>
      </w:r>
      <w:r w:rsidR="00A162B1">
        <w:rPr>
          <w:rFonts w:ascii="Times New Roman" w:hAnsi="Times New Roman" w:cs="Times New Roman"/>
          <w:sz w:val="24"/>
          <w:szCs w:val="24"/>
        </w:rPr>
        <w:t xml:space="preserve"> of Ticket Act programs as currently structured</w:t>
      </w:r>
      <w:r w:rsidR="00624899">
        <w:rPr>
          <w:rFonts w:ascii="Times New Roman" w:hAnsi="Times New Roman" w:cs="Times New Roman"/>
          <w:sz w:val="24"/>
          <w:szCs w:val="24"/>
        </w:rPr>
        <w:t>, identifying opportunities to deliver the same outcomes at lower costs or improve outcomes with additional investments.</w:t>
      </w:r>
    </w:p>
    <w:bookmarkEnd w:id="4"/>
    <w:p w:rsidR="00A162B1" w:rsidP="001B7986" w14:paraId="669FD64B" w14:textId="4F966527">
      <w:pPr>
        <w:pStyle w:val="Paragraph"/>
        <w:spacing w:line="276" w:lineRule="auto"/>
        <w:ind w:left="907"/>
        <w:rPr>
          <w:rFonts w:ascii="Times New Roman" w:hAnsi="Times New Roman" w:cs="Times New Roman"/>
          <w:sz w:val="24"/>
          <w:szCs w:val="24"/>
        </w:rPr>
      </w:pPr>
      <w:r>
        <w:rPr>
          <w:rFonts w:ascii="Times New Roman" w:hAnsi="Times New Roman" w:cs="Times New Roman"/>
          <w:sz w:val="24"/>
          <w:szCs w:val="24"/>
        </w:rPr>
        <w:t xml:space="preserve">SSA’s last </w:t>
      </w:r>
      <w:r w:rsidR="00626D32">
        <w:rPr>
          <w:rFonts w:ascii="Times New Roman" w:hAnsi="Times New Roman" w:cs="Times New Roman"/>
          <w:sz w:val="24"/>
          <w:szCs w:val="24"/>
        </w:rPr>
        <w:t xml:space="preserve">independent, </w:t>
      </w:r>
      <w:r>
        <w:rPr>
          <w:rFonts w:ascii="Times New Roman" w:hAnsi="Times New Roman" w:cs="Times New Roman"/>
          <w:sz w:val="24"/>
          <w:szCs w:val="24"/>
        </w:rPr>
        <w:t xml:space="preserve">comprehensive evaluation of the Ticket Act programs was in 2013. </w:t>
      </w:r>
      <w:r w:rsidR="00834477">
        <w:rPr>
          <w:rFonts w:ascii="Times New Roman" w:hAnsi="Times New Roman" w:cs="Times New Roman"/>
          <w:sz w:val="24"/>
          <w:szCs w:val="24"/>
        </w:rPr>
        <w:t xml:space="preserve"> </w:t>
      </w:r>
      <w:r>
        <w:rPr>
          <w:rFonts w:ascii="Times New Roman" w:hAnsi="Times New Roman" w:cs="Times New Roman"/>
          <w:sz w:val="24"/>
          <w:szCs w:val="24"/>
        </w:rPr>
        <w:t>Given substantial changes to the programs and their approach to service provision since that time, previous evaluation findings are limit</w:t>
      </w:r>
      <w:r w:rsidR="005E0D0E">
        <w:rPr>
          <w:rFonts w:ascii="Times New Roman" w:hAnsi="Times New Roman" w:cs="Times New Roman"/>
          <w:sz w:val="24"/>
          <w:szCs w:val="24"/>
        </w:rPr>
        <w:t>ed</w:t>
      </w:r>
      <w:r>
        <w:rPr>
          <w:rFonts w:ascii="Times New Roman" w:hAnsi="Times New Roman" w:cs="Times New Roman"/>
          <w:sz w:val="24"/>
          <w:szCs w:val="24"/>
        </w:rPr>
        <w:t xml:space="preserve"> their </w:t>
      </w:r>
      <w:r w:rsidR="005E0D0E">
        <w:rPr>
          <w:rFonts w:ascii="Times New Roman" w:hAnsi="Times New Roman" w:cs="Times New Roman"/>
          <w:sz w:val="24"/>
          <w:szCs w:val="24"/>
        </w:rPr>
        <w:t>applicability</w:t>
      </w:r>
      <w:r>
        <w:rPr>
          <w:rFonts w:ascii="Times New Roman" w:hAnsi="Times New Roman" w:cs="Times New Roman"/>
          <w:sz w:val="24"/>
          <w:szCs w:val="24"/>
        </w:rPr>
        <w:t xml:space="preserve"> to </w:t>
      </w:r>
      <w:r w:rsidR="005E0D0E">
        <w:rPr>
          <w:rFonts w:ascii="Times New Roman" w:hAnsi="Times New Roman" w:cs="Times New Roman"/>
          <w:sz w:val="24"/>
          <w:szCs w:val="24"/>
        </w:rPr>
        <w:t>current</w:t>
      </w:r>
      <w:r w:rsidR="002E18E2">
        <w:rPr>
          <w:rFonts w:ascii="Times New Roman" w:hAnsi="Times New Roman" w:cs="Times New Roman"/>
          <w:sz w:val="24"/>
          <w:szCs w:val="24"/>
        </w:rPr>
        <w:t xml:space="preserve"> </w:t>
      </w:r>
      <w:r>
        <w:rPr>
          <w:rFonts w:ascii="Times New Roman" w:hAnsi="Times New Roman" w:cs="Times New Roman"/>
          <w:sz w:val="24"/>
          <w:szCs w:val="24"/>
        </w:rPr>
        <w:t xml:space="preserve">decision-making </w:t>
      </w:r>
      <w:r w:rsidR="005E0D0E">
        <w:rPr>
          <w:rFonts w:ascii="Times New Roman" w:hAnsi="Times New Roman" w:cs="Times New Roman"/>
          <w:sz w:val="24"/>
          <w:szCs w:val="24"/>
        </w:rPr>
        <w:t>needs</w:t>
      </w:r>
      <w:r>
        <w:rPr>
          <w:rFonts w:ascii="Times New Roman" w:hAnsi="Times New Roman" w:cs="Times New Roman"/>
          <w:sz w:val="24"/>
          <w:szCs w:val="24"/>
        </w:rPr>
        <w:t xml:space="preserve">. </w:t>
      </w:r>
      <w:r w:rsidR="00834477">
        <w:rPr>
          <w:rFonts w:ascii="Times New Roman" w:hAnsi="Times New Roman" w:cs="Times New Roman"/>
          <w:sz w:val="24"/>
          <w:szCs w:val="24"/>
        </w:rPr>
        <w:t xml:space="preserve"> </w:t>
      </w:r>
      <w:r>
        <w:rPr>
          <w:rFonts w:ascii="Times New Roman" w:hAnsi="Times New Roman" w:cs="Times New Roman"/>
          <w:sz w:val="24"/>
          <w:szCs w:val="24"/>
        </w:rPr>
        <w:t>For example</w:t>
      </w:r>
      <w:r>
        <w:rPr>
          <w:rFonts w:ascii="Times New Roman" w:hAnsi="Times New Roman" w:cs="Times New Roman"/>
          <w:sz w:val="24"/>
          <w:szCs w:val="24"/>
        </w:rPr>
        <w:t xml:space="preserve">: </w:t>
      </w:r>
    </w:p>
    <w:p w:rsidR="00741519" w:rsidRPr="00592740" w:rsidP="00A162B1" w14:paraId="6B62B3CA" w14:textId="1AF7F239">
      <w:pPr>
        <w:pStyle w:val="Paragraph"/>
        <w:numPr>
          <w:ilvl w:val="0"/>
          <w:numId w:val="33"/>
        </w:numPr>
        <w:spacing w:line="276" w:lineRule="auto"/>
        <w:rPr>
          <w:rFonts w:ascii="Times New Roman" w:hAnsi="Times New Roman" w:cs="Times New Roman"/>
          <w:sz w:val="24"/>
          <w:szCs w:val="24"/>
        </w:rPr>
      </w:pPr>
      <w:r>
        <w:rPr>
          <w:rFonts w:ascii="Times New Roman" w:hAnsi="Times New Roman" w:cs="Times New Roman"/>
          <w:sz w:val="24"/>
          <w:szCs w:val="24"/>
        </w:rPr>
        <w:t>R</w:t>
      </w:r>
      <w:r w:rsidR="00533A63">
        <w:rPr>
          <w:rFonts w:ascii="Times New Roman" w:hAnsi="Times New Roman" w:cs="Times New Roman"/>
          <w:sz w:val="24"/>
          <w:szCs w:val="24"/>
        </w:rPr>
        <w:t xml:space="preserve">emote service delivery is now far more prevalent than it was a decade ago, which may make services more broadly available to Ticketholders, but could </w:t>
      </w:r>
      <w:r w:rsidR="00533A63">
        <w:rPr>
          <w:rFonts w:ascii="Times New Roman" w:hAnsi="Times New Roman" w:cs="Times New Roman"/>
          <w:sz w:val="24"/>
          <w:szCs w:val="24"/>
        </w:rPr>
        <w:t xml:space="preserve">also reduce the </w:t>
      </w:r>
      <w:r w:rsidRPr="00592740" w:rsidR="00533A63">
        <w:rPr>
          <w:rFonts w:ascii="Times New Roman" w:hAnsi="Times New Roman" w:cs="Times New Roman"/>
          <w:sz w:val="24"/>
          <w:szCs w:val="24"/>
        </w:rPr>
        <w:t>effectiveness of services delivered.</w:t>
      </w:r>
      <w:r w:rsidRPr="00592740" w:rsidR="00836321">
        <w:rPr>
          <w:rFonts w:ascii="Times New Roman" w:hAnsi="Times New Roman" w:cs="Times New Roman"/>
          <w:sz w:val="24"/>
          <w:szCs w:val="24"/>
        </w:rPr>
        <w:t xml:space="preserve"> </w:t>
      </w:r>
      <w:r w:rsidR="00834477">
        <w:rPr>
          <w:rFonts w:ascii="Times New Roman" w:hAnsi="Times New Roman" w:cs="Times New Roman"/>
          <w:sz w:val="24"/>
          <w:szCs w:val="24"/>
        </w:rPr>
        <w:t xml:space="preserve"> </w:t>
      </w:r>
      <w:r w:rsidR="006A247F">
        <w:rPr>
          <w:rFonts w:ascii="Times New Roman" w:hAnsi="Times New Roman" w:cs="Times New Roman"/>
          <w:sz w:val="24"/>
          <w:szCs w:val="24"/>
        </w:rPr>
        <w:t>The</w:t>
      </w:r>
      <w:r w:rsidRPr="00592740" w:rsidR="00274517">
        <w:rPr>
          <w:rFonts w:ascii="Times New Roman" w:hAnsi="Times New Roman" w:cs="Times New Roman"/>
          <w:sz w:val="24"/>
          <w:szCs w:val="24"/>
        </w:rPr>
        <w:t xml:space="preserve"> </w:t>
      </w:r>
      <w:r w:rsidR="005E0D0E">
        <w:rPr>
          <w:rFonts w:ascii="Times New Roman" w:hAnsi="Times New Roman" w:cs="Times New Roman"/>
          <w:sz w:val="24"/>
          <w:szCs w:val="24"/>
        </w:rPr>
        <w:t xml:space="preserve">proposed </w:t>
      </w:r>
      <w:r w:rsidRPr="00592740" w:rsidR="00274517">
        <w:rPr>
          <w:rFonts w:ascii="Times New Roman" w:hAnsi="Times New Roman" w:cs="Times New Roman"/>
          <w:sz w:val="24"/>
          <w:szCs w:val="24"/>
        </w:rPr>
        <w:t>survey of Ticket Act service providers</w:t>
      </w:r>
      <w:r w:rsidR="006A247F">
        <w:rPr>
          <w:rFonts w:ascii="Times New Roman" w:hAnsi="Times New Roman" w:cs="Times New Roman"/>
          <w:sz w:val="24"/>
          <w:szCs w:val="24"/>
        </w:rPr>
        <w:t xml:space="preserve"> </w:t>
      </w:r>
      <w:r w:rsidRPr="00592740" w:rsidR="00274517">
        <w:rPr>
          <w:rFonts w:ascii="Times New Roman" w:hAnsi="Times New Roman" w:cs="Times New Roman"/>
          <w:sz w:val="24"/>
          <w:szCs w:val="24"/>
        </w:rPr>
        <w:t xml:space="preserve">will </w:t>
      </w:r>
      <w:r w:rsidR="006A247F">
        <w:rPr>
          <w:rFonts w:ascii="Times New Roman" w:hAnsi="Times New Roman" w:cs="Times New Roman"/>
          <w:sz w:val="24"/>
          <w:szCs w:val="24"/>
        </w:rPr>
        <w:t>inform SSA</w:t>
      </w:r>
      <w:r w:rsidRPr="00592740" w:rsidR="00274517">
        <w:rPr>
          <w:rFonts w:ascii="Times New Roman" w:hAnsi="Times New Roman" w:cs="Times New Roman"/>
          <w:sz w:val="24"/>
          <w:szCs w:val="24"/>
        </w:rPr>
        <w:t xml:space="preserve"> on </w:t>
      </w:r>
      <w:r w:rsidRPr="00592740" w:rsidR="001C22E7">
        <w:rPr>
          <w:rFonts w:ascii="Times New Roman" w:hAnsi="Times New Roman" w:cs="Times New Roman"/>
          <w:sz w:val="24"/>
          <w:szCs w:val="24"/>
        </w:rPr>
        <w:t xml:space="preserve">the share of services offered in-person and remotely, </w:t>
      </w:r>
      <w:r w:rsidR="006A247F">
        <w:rPr>
          <w:rFonts w:ascii="Times New Roman" w:hAnsi="Times New Roman" w:cs="Times New Roman"/>
          <w:sz w:val="24"/>
          <w:szCs w:val="24"/>
        </w:rPr>
        <w:t xml:space="preserve">and </w:t>
      </w:r>
      <w:r w:rsidRPr="00592740" w:rsidR="00274517">
        <w:rPr>
          <w:rFonts w:ascii="Times New Roman" w:hAnsi="Times New Roman" w:cs="Times New Roman"/>
          <w:sz w:val="24"/>
          <w:szCs w:val="24"/>
        </w:rPr>
        <w:t>providers’ perceived effectiveness of in-person and remote services</w:t>
      </w:r>
      <w:r w:rsidR="006A247F">
        <w:rPr>
          <w:rFonts w:ascii="Times New Roman" w:hAnsi="Times New Roman" w:cs="Times New Roman"/>
          <w:sz w:val="24"/>
          <w:szCs w:val="24"/>
        </w:rPr>
        <w:t>.</w:t>
      </w:r>
      <w:r w:rsidRPr="00592740" w:rsidR="00914842">
        <w:rPr>
          <w:rFonts w:ascii="Times New Roman" w:hAnsi="Times New Roman" w:cs="Times New Roman"/>
          <w:sz w:val="24"/>
          <w:szCs w:val="24"/>
        </w:rPr>
        <w:t xml:space="preserve"> </w:t>
      </w:r>
      <w:r w:rsidR="00834477">
        <w:rPr>
          <w:rFonts w:ascii="Times New Roman" w:hAnsi="Times New Roman" w:cs="Times New Roman"/>
          <w:sz w:val="24"/>
          <w:szCs w:val="24"/>
        </w:rPr>
        <w:t xml:space="preserve"> </w:t>
      </w:r>
      <w:r w:rsidR="006A247F">
        <w:rPr>
          <w:rFonts w:ascii="Times New Roman" w:hAnsi="Times New Roman" w:cs="Times New Roman"/>
          <w:sz w:val="24"/>
          <w:szCs w:val="24"/>
        </w:rPr>
        <w:t>T</w:t>
      </w:r>
      <w:r w:rsidRPr="00592740" w:rsidR="00914842">
        <w:rPr>
          <w:rFonts w:ascii="Times New Roman" w:hAnsi="Times New Roman" w:cs="Times New Roman"/>
          <w:sz w:val="24"/>
          <w:szCs w:val="24"/>
        </w:rPr>
        <w:t xml:space="preserve">he qualitative interviews with Ticketholders will </w:t>
      </w:r>
      <w:r w:rsidR="006A247F">
        <w:rPr>
          <w:rFonts w:ascii="Times New Roman" w:hAnsi="Times New Roman" w:cs="Times New Roman"/>
          <w:sz w:val="24"/>
          <w:szCs w:val="24"/>
        </w:rPr>
        <w:t>inform SSA of</w:t>
      </w:r>
      <w:r w:rsidRPr="00592740" w:rsidR="009A0694">
        <w:rPr>
          <w:rFonts w:ascii="Times New Roman" w:hAnsi="Times New Roman" w:cs="Times New Roman"/>
          <w:sz w:val="24"/>
          <w:szCs w:val="24"/>
        </w:rPr>
        <w:t xml:space="preserve"> </w:t>
      </w:r>
      <w:r w:rsidR="006A247F">
        <w:rPr>
          <w:rFonts w:ascii="Times New Roman" w:hAnsi="Times New Roman" w:cs="Times New Roman"/>
          <w:sz w:val="24"/>
          <w:szCs w:val="24"/>
        </w:rPr>
        <w:t>Ticketholders’</w:t>
      </w:r>
      <w:r w:rsidRPr="00592740" w:rsidR="009A0694">
        <w:rPr>
          <w:rFonts w:ascii="Times New Roman" w:hAnsi="Times New Roman" w:cs="Times New Roman"/>
          <w:sz w:val="24"/>
          <w:szCs w:val="24"/>
        </w:rPr>
        <w:t xml:space="preserve"> </w:t>
      </w:r>
      <w:r w:rsidR="006A247F">
        <w:rPr>
          <w:rFonts w:ascii="Times New Roman" w:hAnsi="Times New Roman" w:cs="Times New Roman"/>
          <w:sz w:val="24"/>
          <w:szCs w:val="24"/>
        </w:rPr>
        <w:t>experiences</w:t>
      </w:r>
      <w:r w:rsidRPr="00A5585C" w:rsidR="001C22E7">
        <w:rPr>
          <w:rFonts w:ascii="Times New Roman" w:hAnsi="Times New Roman" w:cs="Times New Roman"/>
          <w:sz w:val="24"/>
          <w:szCs w:val="24"/>
        </w:rPr>
        <w:t xml:space="preserve"> </w:t>
      </w:r>
      <w:r w:rsidR="006A247F">
        <w:rPr>
          <w:rFonts w:ascii="Times New Roman" w:hAnsi="Times New Roman" w:cs="Times New Roman"/>
          <w:sz w:val="24"/>
          <w:szCs w:val="24"/>
        </w:rPr>
        <w:t>connecting to</w:t>
      </w:r>
      <w:r w:rsidRPr="00A5585C" w:rsidR="001C22E7">
        <w:rPr>
          <w:rFonts w:ascii="Times New Roman" w:hAnsi="Times New Roman" w:cs="Times New Roman"/>
          <w:sz w:val="24"/>
          <w:szCs w:val="24"/>
        </w:rPr>
        <w:t xml:space="preserve"> providers </w:t>
      </w:r>
      <w:r w:rsidR="006A247F">
        <w:rPr>
          <w:rFonts w:ascii="Times New Roman" w:hAnsi="Times New Roman" w:cs="Times New Roman"/>
          <w:sz w:val="24"/>
          <w:szCs w:val="24"/>
        </w:rPr>
        <w:t>who can</w:t>
      </w:r>
      <w:r w:rsidRPr="00A5585C" w:rsidR="001C22E7">
        <w:rPr>
          <w:rFonts w:ascii="Times New Roman" w:hAnsi="Times New Roman" w:cs="Times New Roman"/>
          <w:sz w:val="24"/>
          <w:szCs w:val="24"/>
        </w:rPr>
        <w:t xml:space="preserve"> meet their needs and their </w:t>
      </w:r>
      <w:r w:rsidR="006A247F">
        <w:rPr>
          <w:rFonts w:ascii="Times New Roman" w:hAnsi="Times New Roman" w:cs="Times New Roman"/>
          <w:sz w:val="24"/>
          <w:szCs w:val="24"/>
        </w:rPr>
        <w:t>perceptions of the</w:t>
      </w:r>
      <w:r w:rsidRPr="00592740" w:rsidR="009A0694">
        <w:rPr>
          <w:rFonts w:ascii="Times New Roman" w:hAnsi="Times New Roman" w:cs="Times New Roman"/>
          <w:sz w:val="24"/>
          <w:szCs w:val="24"/>
        </w:rPr>
        <w:t xml:space="preserve"> usefulness of remote services</w:t>
      </w:r>
      <w:r w:rsidRPr="00592740" w:rsidR="00274517">
        <w:rPr>
          <w:rFonts w:ascii="Times New Roman" w:hAnsi="Times New Roman" w:cs="Times New Roman"/>
          <w:sz w:val="24"/>
          <w:szCs w:val="24"/>
        </w:rPr>
        <w:t>.</w:t>
      </w:r>
      <w:r w:rsidRPr="00592740" w:rsidR="00D4360C">
        <w:rPr>
          <w:rFonts w:ascii="Times New Roman" w:hAnsi="Times New Roman" w:cs="Times New Roman"/>
          <w:sz w:val="24"/>
          <w:szCs w:val="24"/>
        </w:rPr>
        <w:t xml:space="preserve"> </w:t>
      </w:r>
    </w:p>
    <w:p w:rsidR="00741519" w:rsidRPr="001313D8" w:rsidP="00A162B1" w14:paraId="46B29CCB" w14:textId="65C2F1CA">
      <w:pPr>
        <w:pStyle w:val="Paragraph"/>
        <w:numPr>
          <w:ilvl w:val="0"/>
          <w:numId w:val="33"/>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number of ENs and their composition has changed since 2013 in ways that </w:t>
      </w:r>
      <w:r w:rsidRPr="001313D8">
        <w:rPr>
          <w:rFonts w:ascii="Times New Roman" w:hAnsi="Times New Roman" w:cs="Times New Roman"/>
          <w:sz w:val="24"/>
          <w:szCs w:val="24"/>
        </w:rPr>
        <w:t xml:space="preserve">may mean today’s service providers are more or less effective than they were a decade ago. </w:t>
      </w:r>
      <w:r w:rsidR="00834477">
        <w:rPr>
          <w:rFonts w:ascii="Times New Roman" w:hAnsi="Times New Roman" w:cs="Times New Roman"/>
          <w:sz w:val="24"/>
          <w:szCs w:val="24"/>
        </w:rPr>
        <w:t xml:space="preserve"> </w:t>
      </w:r>
      <w:r w:rsidR="005E0D0E">
        <w:rPr>
          <w:rFonts w:ascii="Times New Roman" w:hAnsi="Times New Roman" w:cs="Times New Roman"/>
          <w:sz w:val="24"/>
          <w:szCs w:val="24"/>
        </w:rPr>
        <w:t xml:space="preserve">The </w:t>
      </w:r>
      <w:r w:rsidR="00C003C6">
        <w:rPr>
          <w:rFonts w:ascii="Times New Roman" w:hAnsi="Times New Roman" w:cs="Times New Roman"/>
          <w:sz w:val="24"/>
          <w:szCs w:val="24"/>
        </w:rPr>
        <w:t>proposed</w:t>
      </w:r>
      <w:r w:rsidRPr="001313D8" w:rsidR="0045683E">
        <w:rPr>
          <w:rFonts w:ascii="Times New Roman" w:hAnsi="Times New Roman" w:cs="Times New Roman"/>
          <w:sz w:val="24"/>
          <w:szCs w:val="24"/>
        </w:rPr>
        <w:t xml:space="preserve"> provider survey and qualitative interviews with Ticketholders will collect information on </w:t>
      </w:r>
      <w:r w:rsidRPr="00A5585C" w:rsidR="00F24D52">
        <w:rPr>
          <w:rFonts w:ascii="Times New Roman" w:hAnsi="Times New Roman" w:cs="Times New Roman"/>
          <w:sz w:val="24"/>
          <w:szCs w:val="24"/>
        </w:rPr>
        <w:t xml:space="preserve">perceptions of </w:t>
      </w:r>
      <w:r w:rsidRPr="001313D8" w:rsidR="0045683E">
        <w:rPr>
          <w:rFonts w:ascii="Times New Roman" w:hAnsi="Times New Roman" w:cs="Times New Roman"/>
          <w:sz w:val="24"/>
          <w:szCs w:val="24"/>
        </w:rPr>
        <w:t xml:space="preserve">the </w:t>
      </w:r>
      <w:r w:rsidRPr="001313D8" w:rsidR="007536B7">
        <w:rPr>
          <w:rFonts w:ascii="Times New Roman" w:hAnsi="Times New Roman" w:cs="Times New Roman"/>
          <w:sz w:val="24"/>
          <w:szCs w:val="24"/>
        </w:rPr>
        <w:t xml:space="preserve">relative </w:t>
      </w:r>
      <w:r w:rsidRPr="001313D8" w:rsidR="0045683E">
        <w:rPr>
          <w:rFonts w:ascii="Times New Roman" w:hAnsi="Times New Roman" w:cs="Times New Roman"/>
          <w:sz w:val="24"/>
          <w:szCs w:val="24"/>
        </w:rPr>
        <w:t xml:space="preserve">effectiveness of </w:t>
      </w:r>
      <w:r w:rsidRPr="001313D8" w:rsidR="007536B7">
        <w:rPr>
          <w:rFonts w:ascii="Times New Roman" w:hAnsi="Times New Roman" w:cs="Times New Roman"/>
          <w:sz w:val="24"/>
          <w:szCs w:val="24"/>
        </w:rPr>
        <w:t xml:space="preserve">specific </w:t>
      </w:r>
      <w:r w:rsidRPr="001313D8" w:rsidR="0045683E">
        <w:rPr>
          <w:rFonts w:ascii="Times New Roman" w:hAnsi="Times New Roman" w:cs="Times New Roman"/>
          <w:sz w:val="24"/>
          <w:szCs w:val="24"/>
        </w:rPr>
        <w:t xml:space="preserve">services. </w:t>
      </w:r>
      <w:r w:rsidR="00834477">
        <w:rPr>
          <w:rFonts w:ascii="Times New Roman" w:hAnsi="Times New Roman" w:cs="Times New Roman"/>
          <w:sz w:val="24"/>
          <w:szCs w:val="24"/>
        </w:rPr>
        <w:t xml:space="preserve"> </w:t>
      </w:r>
      <w:r w:rsidRPr="001313D8" w:rsidR="0045683E">
        <w:rPr>
          <w:rFonts w:ascii="Times New Roman" w:hAnsi="Times New Roman" w:cs="Times New Roman"/>
          <w:sz w:val="24"/>
          <w:szCs w:val="24"/>
        </w:rPr>
        <w:t>That</w:t>
      </w:r>
      <w:r w:rsidRPr="001313D8" w:rsidR="007536B7">
        <w:rPr>
          <w:rFonts w:ascii="Times New Roman" w:hAnsi="Times New Roman" w:cs="Times New Roman"/>
          <w:sz w:val="24"/>
          <w:szCs w:val="24"/>
        </w:rPr>
        <w:t xml:space="preserve"> information, in combination wit</w:t>
      </w:r>
      <w:r w:rsidRPr="001313D8" w:rsidR="008612BB">
        <w:rPr>
          <w:rFonts w:ascii="Times New Roman" w:hAnsi="Times New Roman" w:cs="Times New Roman"/>
          <w:sz w:val="24"/>
          <w:szCs w:val="24"/>
        </w:rPr>
        <w:t xml:space="preserve">h </w:t>
      </w:r>
      <w:r w:rsidRPr="00A5585C" w:rsidR="00F24D52">
        <w:rPr>
          <w:rFonts w:ascii="Times New Roman" w:hAnsi="Times New Roman" w:cs="Times New Roman"/>
          <w:sz w:val="24"/>
          <w:szCs w:val="24"/>
        </w:rPr>
        <w:t>information on the characteristics of providers from SSA programmatic data</w:t>
      </w:r>
      <w:r w:rsidR="001B15A8">
        <w:rPr>
          <w:rFonts w:ascii="Times New Roman" w:hAnsi="Times New Roman" w:cs="Times New Roman"/>
          <w:sz w:val="24"/>
          <w:szCs w:val="24"/>
        </w:rPr>
        <w:t xml:space="preserve">, TTW outcomes in administrative data, </w:t>
      </w:r>
      <w:r w:rsidRPr="00A5585C" w:rsidR="00F24D52">
        <w:rPr>
          <w:rFonts w:ascii="Times New Roman" w:hAnsi="Times New Roman" w:cs="Times New Roman"/>
          <w:sz w:val="24"/>
          <w:szCs w:val="24"/>
        </w:rPr>
        <w:t xml:space="preserve">and </w:t>
      </w:r>
      <w:r w:rsidRPr="001313D8" w:rsidR="008612BB">
        <w:rPr>
          <w:rFonts w:ascii="Times New Roman" w:hAnsi="Times New Roman" w:cs="Times New Roman"/>
          <w:sz w:val="24"/>
          <w:szCs w:val="24"/>
        </w:rPr>
        <w:t>questions in the provider survey about the specific</w:t>
      </w:r>
      <w:r w:rsidRPr="001313D8" w:rsidR="00CC0196">
        <w:rPr>
          <w:rFonts w:ascii="Times New Roman" w:hAnsi="Times New Roman" w:cs="Times New Roman"/>
          <w:sz w:val="24"/>
          <w:szCs w:val="24"/>
        </w:rPr>
        <w:t xml:space="preserve"> services provide</w:t>
      </w:r>
      <w:r w:rsidR="001B15A8">
        <w:rPr>
          <w:rFonts w:ascii="Times New Roman" w:hAnsi="Times New Roman" w:cs="Times New Roman"/>
          <w:sz w:val="24"/>
          <w:szCs w:val="24"/>
        </w:rPr>
        <w:t>d</w:t>
      </w:r>
      <w:r w:rsidRPr="001313D8" w:rsidR="008612BB">
        <w:rPr>
          <w:rFonts w:ascii="Times New Roman" w:hAnsi="Times New Roman" w:cs="Times New Roman"/>
          <w:sz w:val="24"/>
          <w:szCs w:val="24"/>
        </w:rPr>
        <w:t xml:space="preserve">, will </w:t>
      </w:r>
      <w:r w:rsidRPr="001313D8" w:rsidR="00760906">
        <w:rPr>
          <w:rFonts w:ascii="Times New Roman" w:hAnsi="Times New Roman" w:cs="Times New Roman"/>
          <w:sz w:val="24"/>
          <w:szCs w:val="24"/>
        </w:rPr>
        <w:t xml:space="preserve">help identify the </w:t>
      </w:r>
      <w:r w:rsidR="001B15A8">
        <w:rPr>
          <w:rFonts w:ascii="Times New Roman" w:hAnsi="Times New Roman" w:cs="Times New Roman"/>
          <w:sz w:val="24"/>
          <w:szCs w:val="24"/>
        </w:rPr>
        <w:t>characteristics and practices of</w:t>
      </w:r>
      <w:r w:rsidR="00C85D1C">
        <w:rPr>
          <w:rFonts w:ascii="Times New Roman" w:hAnsi="Times New Roman" w:cs="Times New Roman"/>
          <w:sz w:val="24"/>
          <w:szCs w:val="24"/>
        </w:rPr>
        <w:t xml:space="preserve"> </w:t>
      </w:r>
      <w:r w:rsidRPr="001313D8" w:rsidR="00760906">
        <w:rPr>
          <w:rFonts w:ascii="Times New Roman" w:hAnsi="Times New Roman" w:cs="Times New Roman"/>
          <w:sz w:val="24"/>
          <w:szCs w:val="24"/>
        </w:rPr>
        <w:t xml:space="preserve">providers </w:t>
      </w:r>
      <w:r w:rsidR="001B15A8">
        <w:rPr>
          <w:rFonts w:ascii="Times New Roman" w:hAnsi="Times New Roman" w:cs="Times New Roman"/>
          <w:sz w:val="24"/>
          <w:szCs w:val="24"/>
        </w:rPr>
        <w:t>that are</w:t>
      </w:r>
      <w:r w:rsidRPr="001313D8" w:rsidR="00760906">
        <w:rPr>
          <w:rFonts w:ascii="Times New Roman" w:hAnsi="Times New Roman" w:cs="Times New Roman"/>
          <w:sz w:val="24"/>
          <w:szCs w:val="24"/>
        </w:rPr>
        <w:t xml:space="preserve"> delivering </w:t>
      </w:r>
      <w:r w:rsidRPr="001313D8" w:rsidR="0093712C">
        <w:rPr>
          <w:rFonts w:ascii="Times New Roman" w:hAnsi="Times New Roman" w:cs="Times New Roman"/>
          <w:sz w:val="24"/>
          <w:szCs w:val="24"/>
        </w:rPr>
        <w:t xml:space="preserve">effective services. </w:t>
      </w:r>
      <w:r w:rsidRPr="001313D8" w:rsidR="007D6D1D">
        <w:rPr>
          <w:rFonts w:ascii="Times New Roman" w:hAnsi="Times New Roman" w:cs="Times New Roman"/>
          <w:sz w:val="24"/>
          <w:szCs w:val="24"/>
        </w:rPr>
        <w:t xml:space="preserve"> </w:t>
      </w:r>
    </w:p>
    <w:p w:rsidR="00741519" w:rsidP="00A162B1" w14:paraId="4990D880" w14:textId="7069F067">
      <w:pPr>
        <w:pStyle w:val="Paragraph"/>
        <w:numPr>
          <w:ilvl w:val="0"/>
          <w:numId w:val="33"/>
        </w:numPr>
        <w:spacing w:line="276" w:lineRule="auto"/>
        <w:rPr>
          <w:rFonts w:ascii="Times New Roman" w:hAnsi="Times New Roman" w:cs="Times New Roman"/>
          <w:sz w:val="24"/>
          <w:szCs w:val="24"/>
        </w:rPr>
      </w:pPr>
      <w:r>
        <w:rPr>
          <w:rFonts w:ascii="Times New Roman" w:hAnsi="Times New Roman" w:cs="Times New Roman"/>
          <w:sz w:val="24"/>
          <w:szCs w:val="24"/>
        </w:rPr>
        <w:t>In the past decade, SSA also implemented changes that affect the programs’ operations</w:t>
      </w:r>
      <w:r w:rsidR="00042A59">
        <w:rPr>
          <w:rFonts w:ascii="Times New Roman" w:hAnsi="Times New Roman" w:cs="Times New Roman"/>
          <w:sz w:val="24"/>
          <w:szCs w:val="24"/>
        </w:rPr>
        <w:t xml:space="preserve">. </w:t>
      </w:r>
      <w:bookmarkStart w:id="7" w:name="_Hlk204607562"/>
      <w:r w:rsidR="00DB013D">
        <w:rPr>
          <w:rFonts w:ascii="Times New Roman" w:hAnsi="Times New Roman" w:cs="Times New Roman"/>
          <w:sz w:val="24"/>
          <w:szCs w:val="24"/>
        </w:rPr>
        <w:t xml:space="preserve"> </w:t>
      </w:r>
      <w:r w:rsidR="00042A59">
        <w:rPr>
          <w:rFonts w:ascii="Times New Roman" w:hAnsi="Times New Roman" w:cs="Times New Roman"/>
          <w:sz w:val="24"/>
          <w:szCs w:val="24"/>
        </w:rPr>
        <w:t>For example,</w:t>
      </w:r>
      <w:r>
        <w:rPr>
          <w:rFonts w:ascii="Times New Roman" w:hAnsi="Times New Roman" w:cs="Times New Roman"/>
          <w:sz w:val="24"/>
          <w:szCs w:val="24"/>
        </w:rPr>
        <w:t xml:space="preserve"> </w:t>
      </w:r>
      <w:bookmarkEnd w:id="7"/>
      <w:r>
        <w:rPr>
          <w:rFonts w:ascii="Times New Roman" w:hAnsi="Times New Roman" w:cs="Times New Roman"/>
          <w:sz w:val="24"/>
          <w:szCs w:val="24"/>
        </w:rPr>
        <w:t xml:space="preserve">the process by which </w:t>
      </w:r>
      <w:r>
        <w:rPr>
          <w:rFonts w:ascii="Times New Roman" w:hAnsi="Times New Roman" w:cs="Times New Roman"/>
          <w:sz w:val="24"/>
          <w:szCs w:val="24"/>
        </w:rPr>
        <w:t>ENs</w:t>
      </w:r>
      <w:r>
        <w:rPr>
          <w:rFonts w:ascii="Times New Roman" w:hAnsi="Times New Roman" w:cs="Times New Roman"/>
          <w:sz w:val="24"/>
          <w:szCs w:val="24"/>
        </w:rPr>
        <w:t xml:space="preserve"> </w:t>
      </w:r>
      <w:r w:rsidR="00C24D1B">
        <w:rPr>
          <w:rFonts w:ascii="Times New Roman" w:hAnsi="Times New Roman" w:cs="Times New Roman"/>
          <w:sz w:val="24"/>
          <w:szCs w:val="24"/>
        </w:rPr>
        <w:t>report earnings has changed with the introduction of e-Pay, which allows SSA to pay ENs following an automated review process instead of requiring ENs to submit Ticketholders’ paystubs for payment.</w:t>
      </w:r>
      <w:r w:rsidR="00E63492">
        <w:rPr>
          <w:rFonts w:ascii="Times New Roman" w:hAnsi="Times New Roman" w:cs="Times New Roman"/>
          <w:sz w:val="24"/>
          <w:szCs w:val="24"/>
        </w:rPr>
        <w:t xml:space="preserve"> </w:t>
      </w:r>
      <w:r w:rsidR="00C24D1B">
        <w:rPr>
          <w:rFonts w:ascii="Times New Roman" w:hAnsi="Times New Roman" w:cs="Times New Roman"/>
          <w:sz w:val="24"/>
          <w:szCs w:val="24"/>
        </w:rPr>
        <w:t xml:space="preserve"> In addition, the introduction of my</w:t>
      </w:r>
      <w:r w:rsidR="00F327ED">
        <w:rPr>
          <w:rFonts w:ascii="Times New Roman" w:hAnsi="Times New Roman" w:cs="Times New Roman"/>
          <w:sz w:val="24"/>
          <w:szCs w:val="24"/>
        </w:rPr>
        <w:t xml:space="preserve"> </w:t>
      </w:r>
      <w:r w:rsidR="00C24D1B">
        <w:rPr>
          <w:rFonts w:ascii="Times New Roman" w:hAnsi="Times New Roman" w:cs="Times New Roman"/>
          <w:sz w:val="24"/>
          <w:szCs w:val="24"/>
        </w:rPr>
        <w:t>Social</w:t>
      </w:r>
      <w:r w:rsidR="00F327ED">
        <w:rPr>
          <w:rFonts w:ascii="Times New Roman" w:hAnsi="Times New Roman" w:cs="Times New Roman"/>
          <w:sz w:val="24"/>
          <w:szCs w:val="24"/>
        </w:rPr>
        <w:t xml:space="preserve"> </w:t>
      </w:r>
      <w:r w:rsidR="00C24D1B">
        <w:rPr>
          <w:rFonts w:ascii="Times New Roman" w:hAnsi="Times New Roman" w:cs="Times New Roman"/>
          <w:sz w:val="24"/>
          <w:szCs w:val="24"/>
        </w:rPr>
        <w:t>Security accounts now allows Ticketholders to report earnings to SSA electronically</w:t>
      </w:r>
      <w:r w:rsidR="00042A59">
        <w:rPr>
          <w:rFonts w:ascii="Times New Roman" w:hAnsi="Times New Roman" w:cs="Times New Roman"/>
          <w:sz w:val="24"/>
          <w:szCs w:val="24"/>
        </w:rPr>
        <w:t>.</w:t>
      </w:r>
      <w:r>
        <w:rPr>
          <w:rFonts w:ascii="Times New Roman" w:hAnsi="Times New Roman" w:cs="Times New Roman"/>
          <w:sz w:val="24"/>
          <w:szCs w:val="24"/>
        </w:rPr>
        <w:t xml:space="preserve"> </w:t>
      </w:r>
      <w:r w:rsidR="00DB013D">
        <w:rPr>
          <w:rFonts w:ascii="Times New Roman" w:hAnsi="Times New Roman" w:cs="Times New Roman"/>
          <w:sz w:val="24"/>
          <w:szCs w:val="24"/>
        </w:rPr>
        <w:t xml:space="preserve"> </w:t>
      </w:r>
      <w:r>
        <w:rPr>
          <w:rFonts w:ascii="Times New Roman" w:hAnsi="Times New Roman" w:cs="Times New Roman"/>
          <w:sz w:val="24"/>
          <w:szCs w:val="24"/>
        </w:rPr>
        <w:t xml:space="preserve">SSA </w:t>
      </w:r>
      <w:r w:rsidR="005E0D0E">
        <w:rPr>
          <w:rFonts w:ascii="Times New Roman" w:hAnsi="Times New Roman" w:cs="Times New Roman"/>
          <w:sz w:val="24"/>
          <w:szCs w:val="24"/>
        </w:rPr>
        <w:t xml:space="preserve">also </w:t>
      </w:r>
      <w:r>
        <w:rPr>
          <w:rFonts w:ascii="Times New Roman" w:hAnsi="Times New Roman" w:cs="Times New Roman"/>
          <w:sz w:val="24"/>
          <w:szCs w:val="24"/>
        </w:rPr>
        <w:t xml:space="preserve">revised the types of organizations that can operate under Ticket to Work (adding administrative ENs as an approved provider model while discontinuing consumer-directed ENs). </w:t>
      </w:r>
      <w:r w:rsidR="00DB013D">
        <w:rPr>
          <w:rFonts w:ascii="Times New Roman" w:hAnsi="Times New Roman" w:cs="Times New Roman"/>
          <w:sz w:val="24"/>
          <w:szCs w:val="24"/>
        </w:rPr>
        <w:t xml:space="preserve"> </w:t>
      </w:r>
      <w:r>
        <w:rPr>
          <w:rFonts w:ascii="Times New Roman" w:hAnsi="Times New Roman" w:cs="Times New Roman"/>
          <w:sz w:val="24"/>
          <w:szCs w:val="24"/>
        </w:rPr>
        <w:t>The WIPA program, with Congressionally mandated funding that has not increased</w:t>
      </w:r>
      <w:r w:rsidR="009A115F">
        <w:rPr>
          <w:rFonts w:ascii="Times New Roman" w:hAnsi="Times New Roman" w:cs="Times New Roman"/>
          <w:sz w:val="24"/>
          <w:szCs w:val="24"/>
        </w:rPr>
        <w:t xml:space="preserve"> since the program’s inception, has experienced demand beyond what providers can offer with set funding. </w:t>
      </w:r>
      <w:r w:rsidR="00DB013D">
        <w:rPr>
          <w:rFonts w:ascii="Times New Roman" w:hAnsi="Times New Roman" w:cs="Times New Roman"/>
          <w:sz w:val="24"/>
          <w:szCs w:val="24"/>
        </w:rPr>
        <w:t xml:space="preserve"> </w:t>
      </w:r>
      <w:r w:rsidR="009A115F">
        <w:rPr>
          <w:rFonts w:ascii="Times New Roman" w:hAnsi="Times New Roman" w:cs="Times New Roman"/>
          <w:sz w:val="24"/>
          <w:szCs w:val="24"/>
        </w:rPr>
        <w:t xml:space="preserve">SSA has changed the structure of WIPA </w:t>
      </w:r>
      <w:r w:rsidRPr="00A5585C" w:rsidR="009A115F">
        <w:rPr>
          <w:rFonts w:ascii="Times New Roman" w:hAnsi="Times New Roman" w:cs="Times New Roman"/>
          <w:sz w:val="24"/>
          <w:szCs w:val="24"/>
        </w:rPr>
        <w:t>project catchment areas and has also</w:t>
      </w:r>
      <w:r w:rsidRPr="00A5585C">
        <w:rPr>
          <w:rFonts w:ascii="Times New Roman" w:hAnsi="Times New Roman" w:cs="Times New Roman"/>
          <w:sz w:val="24"/>
          <w:szCs w:val="24"/>
        </w:rPr>
        <w:t xml:space="preserve"> made service prioritization decisions to focus the availability of services to beneficiaries who are working or about to work. </w:t>
      </w:r>
      <w:r w:rsidR="00DB013D">
        <w:rPr>
          <w:rFonts w:ascii="Times New Roman" w:hAnsi="Times New Roman" w:cs="Times New Roman"/>
          <w:sz w:val="24"/>
          <w:szCs w:val="24"/>
        </w:rPr>
        <w:t xml:space="preserve"> </w:t>
      </w:r>
      <w:r w:rsidR="005E0D0E">
        <w:rPr>
          <w:rFonts w:ascii="Times New Roman" w:hAnsi="Times New Roman" w:cs="Times New Roman"/>
          <w:sz w:val="24"/>
          <w:szCs w:val="24"/>
        </w:rPr>
        <w:t>T</w:t>
      </w:r>
      <w:r w:rsidRPr="00A5585C" w:rsidR="00B75F4B">
        <w:rPr>
          <w:rFonts w:ascii="Times New Roman" w:hAnsi="Times New Roman" w:cs="Times New Roman"/>
          <w:sz w:val="24"/>
          <w:szCs w:val="24"/>
        </w:rPr>
        <w:t xml:space="preserve">he </w:t>
      </w:r>
      <w:r w:rsidR="005E0D0E">
        <w:rPr>
          <w:rFonts w:ascii="Times New Roman" w:hAnsi="Times New Roman" w:cs="Times New Roman"/>
          <w:sz w:val="24"/>
          <w:szCs w:val="24"/>
        </w:rPr>
        <w:t xml:space="preserve">proposed </w:t>
      </w:r>
      <w:r w:rsidRPr="00A5585C" w:rsidR="00B75F4B">
        <w:rPr>
          <w:rFonts w:ascii="Times New Roman" w:hAnsi="Times New Roman" w:cs="Times New Roman"/>
          <w:sz w:val="24"/>
          <w:szCs w:val="24"/>
        </w:rPr>
        <w:t xml:space="preserve">survey of Ticket Act service providers will </w:t>
      </w:r>
      <w:r w:rsidR="006A247F">
        <w:rPr>
          <w:rFonts w:ascii="Times New Roman" w:hAnsi="Times New Roman" w:cs="Times New Roman"/>
          <w:sz w:val="24"/>
          <w:szCs w:val="24"/>
        </w:rPr>
        <w:t>inform SSA of</w:t>
      </w:r>
      <w:r w:rsidRPr="00A5585C" w:rsidR="00B75F4B">
        <w:rPr>
          <w:rFonts w:ascii="Times New Roman" w:hAnsi="Times New Roman" w:cs="Times New Roman"/>
          <w:sz w:val="24"/>
          <w:szCs w:val="24"/>
        </w:rPr>
        <w:t xml:space="preserve"> the </w:t>
      </w:r>
      <w:r w:rsidRPr="00A5585C" w:rsidR="005E02B4">
        <w:rPr>
          <w:rFonts w:ascii="Times New Roman" w:hAnsi="Times New Roman" w:cs="Times New Roman"/>
          <w:sz w:val="24"/>
          <w:szCs w:val="24"/>
        </w:rPr>
        <w:t>challenges</w:t>
      </w:r>
      <w:r w:rsidRPr="00A5585C" w:rsidR="005373B2">
        <w:rPr>
          <w:rFonts w:ascii="Times New Roman" w:hAnsi="Times New Roman" w:cs="Times New Roman"/>
          <w:sz w:val="24"/>
          <w:szCs w:val="24"/>
        </w:rPr>
        <w:t xml:space="preserve"> </w:t>
      </w:r>
      <w:r w:rsidRPr="00A5585C" w:rsidR="00736AC7">
        <w:rPr>
          <w:rFonts w:ascii="Times New Roman" w:hAnsi="Times New Roman" w:cs="Times New Roman"/>
          <w:sz w:val="24"/>
          <w:szCs w:val="24"/>
        </w:rPr>
        <w:t xml:space="preserve">that providers experience </w:t>
      </w:r>
      <w:r w:rsidRPr="00A5585C" w:rsidR="005373B2">
        <w:rPr>
          <w:rFonts w:ascii="Times New Roman" w:hAnsi="Times New Roman" w:cs="Times New Roman"/>
          <w:sz w:val="24"/>
          <w:szCs w:val="24"/>
        </w:rPr>
        <w:t>to delivering services effectively</w:t>
      </w:r>
      <w:r w:rsidRPr="00A5585C" w:rsidR="005E02B4">
        <w:rPr>
          <w:rFonts w:ascii="Times New Roman" w:hAnsi="Times New Roman" w:cs="Times New Roman"/>
          <w:sz w:val="24"/>
          <w:szCs w:val="24"/>
        </w:rPr>
        <w:t xml:space="preserve"> </w:t>
      </w:r>
      <w:r w:rsidRPr="00A5585C" w:rsidR="005373B2">
        <w:rPr>
          <w:rFonts w:ascii="Times New Roman" w:hAnsi="Times New Roman" w:cs="Times New Roman"/>
          <w:sz w:val="24"/>
          <w:szCs w:val="24"/>
        </w:rPr>
        <w:t>in the current environment</w:t>
      </w:r>
      <w:r w:rsidRPr="00A5585C" w:rsidR="002C0AE5">
        <w:rPr>
          <w:rFonts w:ascii="Times New Roman" w:hAnsi="Times New Roman" w:cs="Times New Roman"/>
          <w:sz w:val="24"/>
          <w:szCs w:val="24"/>
        </w:rPr>
        <w:t xml:space="preserve">. </w:t>
      </w:r>
      <w:r w:rsidR="00DB013D">
        <w:rPr>
          <w:rFonts w:ascii="Times New Roman" w:hAnsi="Times New Roman" w:cs="Times New Roman"/>
          <w:sz w:val="24"/>
          <w:szCs w:val="24"/>
        </w:rPr>
        <w:t xml:space="preserve"> </w:t>
      </w:r>
      <w:r w:rsidR="005E0D0E">
        <w:rPr>
          <w:rFonts w:ascii="Times New Roman" w:hAnsi="Times New Roman" w:cs="Times New Roman"/>
          <w:sz w:val="24"/>
          <w:szCs w:val="24"/>
        </w:rPr>
        <w:t>We use this information to</w:t>
      </w:r>
      <w:r w:rsidRPr="00A5585C" w:rsidR="002C0AE5">
        <w:rPr>
          <w:rFonts w:ascii="Times New Roman" w:hAnsi="Times New Roman" w:cs="Times New Roman"/>
          <w:sz w:val="24"/>
          <w:szCs w:val="24"/>
        </w:rPr>
        <w:t xml:space="preserve"> support relevant</w:t>
      </w:r>
      <w:r w:rsidRPr="005836E0" w:rsidR="00E12ED2">
        <w:rPr>
          <w:rFonts w:ascii="Times New Roman" w:hAnsi="Times New Roman" w:cs="Times New Roman"/>
          <w:sz w:val="24"/>
          <w:szCs w:val="24"/>
        </w:rPr>
        <w:t xml:space="preserve"> and solutions</w:t>
      </w:r>
      <w:r w:rsidR="00DB013D">
        <w:rPr>
          <w:rFonts w:ascii="Times New Roman" w:hAnsi="Times New Roman" w:cs="Times New Roman"/>
          <w:sz w:val="24"/>
          <w:szCs w:val="24"/>
        </w:rPr>
        <w:noBreakHyphen/>
      </w:r>
      <w:r w:rsidRPr="005836E0" w:rsidR="00E12ED2">
        <w:rPr>
          <w:rFonts w:ascii="Times New Roman" w:hAnsi="Times New Roman" w:cs="Times New Roman"/>
          <w:sz w:val="24"/>
          <w:szCs w:val="24"/>
        </w:rPr>
        <w:t>oriented program</w:t>
      </w:r>
      <w:r w:rsidRPr="00A5585C" w:rsidR="002C0AE5">
        <w:rPr>
          <w:rFonts w:ascii="Times New Roman" w:hAnsi="Times New Roman" w:cs="Times New Roman"/>
          <w:sz w:val="24"/>
          <w:szCs w:val="24"/>
        </w:rPr>
        <w:t xml:space="preserve"> improvements.</w:t>
      </w:r>
      <w:r w:rsidR="002C0AE5">
        <w:rPr>
          <w:rFonts w:ascii="Times New Roman" w:hAnsi="Times New Roman" w:cs="Times New Roman"/>
          <w:sz w:val="24"/>
          <w:szCs w:val="24"/>
        </w:rPr>
        <w:t xml:space="preserve"> </w:t>
      </w:r>
    </w:p>
    <w:p w:rsidR="00E63492" w:rsidRPr="00E63492" w:rsidP="00E63492" w14:paraId="32DDF023" w14:textId="1A0758ED">
      <w:pPr>
        <w:pStyle w:val="Paragraph"/>
        <w:numPr>
          <w:ilvl w:val="0"/>
          <w:numId w:val="33"/>
        </w:numPr>
        <w:spacing w:line="276" w:lineRule="auto"/>
        <w:rPr>
          <w:rFonts w:ascii="Times New Roman" w:hAnsi="Times New Roman" w:cs="Times New Roman"/>
          <w:sz w:val="24"/>
          <w:szCs w:val="24"/>
        </w:rPr>
      </w:pPr>
      <w:r>
        <w:rPr>
          <w:rFonts w:ascii="Times New Roman" w:hAnsi="Times New Roman" w:cs="Times New Roman"/>
          <w:sz w:val="24"/>
          <w:szCs w:val="24"/>
        </w:rPr>
        <w:t xml:space="preserve">In the past five years, </w:t>
      </w:r>
      <w:r w:rsidR="00533A63">
        <w:rPr>
          <w:rFonts w:ascii="Times New Roman" w:hAnsi="Times New Roman" w:cs="Times New Roman"/>
          <w:sz w:val="24"/>
          <w:szCs w:val="24"/>
        </w:rPr>
        <w:t xml:space="preserve">SSA invested in a marketing program to support </w:t>
      </w:r>
      <w:r>
        <w:rPr>
          <w:rFonts w:ascii="Times New Roman" w:hAnsi="Times New Roman" w:cs="Times New Roman"/>
          <w:sz w:val="24"/>
          <w:szCs w:val="24"/>
        </w:rPr>
        <w:t>EN</w:t>
      </w:r>
      <w:r w:rsidR="00533A63">
        <w:rPr>
          <w:rFonts w:ascii="Times New Roman" w:hAnsi="Times New Roman" w:cs="Times New Roman"/>
          <w:sz w:val="24"/>
          <w:szCs w:val="24"/>
        </w:rPr>
        <w:t xml:space="preserve"> outreach to Ticketholders based on </w:t>
      </w:r>
      <w:r w:rsidR="00042A59">
        <w:rPr>
          <w:rFonts w:ascii="Times New Roman" w:hAnsi="Times New Roman" w:cs="Times New Roman"/>
          <w:sz w:val="24"/>
          <w:szCs w:val="24"/>
        </w:rPr>
        <w:t>who providers expect will</w:t>
      </w:r>
      <w:r w:rsidR="00533A63">
        <w:rPr>
          <w:rFonts w:ascii="Times New Roman" w:hAnsi="Times New Roman" w:cs="Times New Roman"/>
          <w:sz w:val="24"/>
          <w:szCs w:val="24"/>
        </w:rPr>
        <w:t xml:space="preserve"> most likely benefit from </w:t>
      </w:r>
      <w:r w:rsidRPr="009E5043" w:rsidR="00533A63">
        <w:rPr>
          <w:rFonts w:ascii="Times New Roman" w:hAnsi="Times New Roman" w:cs="Times New Roman"/>
          <w:sz w:val="24"/>
          <w:szCs w:val="24"/>
        </w:rPr>
        <w:t>services.</w:t>
      </w:r>
      <w:r w:rsidRPr="009E5043">
        <w:rPr>
          <w:rFonts w:ascii="Times New Roman" w:hAnsi="Times New Roman" w:cs="Times New Roman"/>
          <w:sz w:val="24"/>
          <w:szCs w:val="24"/>
        </w:rPr>
        <w:t xml:space="preserve"> </w:t>
      </w:r>
      <w:r w:rsidR="00BC1A14">
        <w:rPr>
          <w:rFonts w:ascii="Times New Roman" w:hAnsi="Times New Roman" w:cs="Times New Roman"/>
          <w:sz w:val="24"/>
          <w:szCs w:val="24"/>
        </w:rPr>
        <w:t xml:space="preserve"> </w:t>
      </w:r>
      <w:r w:rsidRPr="009E5043">
        <w:rPr>
          <w:rFonts w:ascii="Times New Roman" w:hAnsi="Times New Roman" w:cs="Times New Roman"/>
          <w:sz w:val="24"/>
          <w:szCs w:val="24"/>
        </w:rPr>
        <w:t xml:space="preserve">This program did not exist in 2013 and therefore </w:t>
      </w:r>
      <w:r w:rsidR="006A247F">
        <w:rPr>
          <w:rFonts w:ascii="Times New Roman" w:hAnsi="Times New Roman" w:cs="Times New Roman"/>
          <w:sz w:val="24"/>
          <w:szCs w:val="24"/>
        </w:rPr>
        <w:t>was</w:t>
      </w:r>
      <w:r w:rsidRPr="009E5043">
        <w:rPr>
          <w:rFonts w:ascii="Times New Roman" w:hAnsi="Times New Roman" w:cs="Times New Roman"/>
          <w:sz w:val="24"/>
          <w:szCs w:val="24"/>
        </w:rPr>
        <w:t xml:space="preserve"> not </w:t>
      </w:r>
      <w:r w:rsidR="006A247F">
        <w:rPr>
          <w:rFonts w:ascii="Times New Roman" w:hAnsi="Times New Roman" w:cs="Times New Roman"/>
          <w:sz w:val="24"/>
          <w:szCs w:val="24"/>
        </w:rPr>
        <w:t>included in the prior evaluation</w:t>
      </w:r>
      <w:r w:rsidR="005E0D0E">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9E5043" w:rsidR="002C0AE5">
        <w:rPr>
          <w:rFonts w:ascii="Times New Roman" w:hAnsi="Times New Roman" w:cs="Times New Roman"/>
          <w:sz w:val="24"/>
          <w:szCs w:val="24"/>
        </w:rPr>
        <w:t xml:space="preserve"> </w:t>
      </w:r>
      <w:r w:rsidR="00BC1A14">
        <w:rPr>
          <w:rFonts w:ascii="Times New Roman" w:hAnsi="Times New Roman" w:cs="Times New Roman"/>
          <w:sz w:val="24"/>
          <w:szCs w:val="24"/>
        </w:rPr>
        <w:t xml:space="preserve"> </w:t>
      </w:r>
      <w:r w:rsidR="005E0D0E">
        <w:rPr>
          <w:rFonts w:ascii="Times New Roman" w:hAnsi="Times New Roman" w:cs="Times New Roman"/>
          <w:sz w:val="24"/>
          <w:szCs w:val="24"/>
        </w:rPr>
        <w:t>The current evaluation includes a</w:t>
      </w:r>
      <w:r w:rsidRPr="005836E0" w:rsidR="00102511">
        <w:rPr>
          <w:rFonts w:ascii="Times New Roman" w:hAnsi="Times New Roman" w:cs="Times New Roman"/>
          <w:sz w:val="24"/>
          <w:szCs w:val="24"/>
        </w:rPr>
        <w:t xml:space="preserve"> quantitative analysis of outcomes of Ticketholders who assigned their Ticket after marketing program outreach</w:t>
      </w:r>
      <w:r w:rsidRPr="005836E0" w:rsidR="00794852">
        <w:rPr>
          <w:rFonts w:ascii="Times New Roman" w:hAnsi="Times New Roman" w:cs="Times New Roman"/>
          <w:sz w:val="24"/>
          <w:szCs w:val="24"/>
        </w:rPr>
        <w:t xml:space="preserve"> using </w:t>
      </w:r>
      <w:r w:rsidRPr="005836E0" w:rsidR="009E5043">
        <w:rPr>
          <w:rFonts w:ascii="Times New Roman" w:hAnsi="Times New Roman" w:cs="Times New Roman"/>
          <w:sz w:val="24"/>
          <w:szCs w:val="24"/>
        </w:rPr>
        <w:t>linked programmatic and administrative records</w:t>
      </w:r>
      <w:r w:rsidRPr="005836E0" w:rsidR="00102511">
        <w:rPr>
          <w:rFonts w:ascii="Times New Roman" w:hAnsi="Times New Roman" w:cs="Times New Roman"/>
          <w:sz w:val="24"/>
          <w:szCs w:val="24"/>
        </w:rPr>
        <w:t>.</w:t>
      </w:r>
      <w:r w:rsidR="00BC1A14">
        <w:rPr>
          <w:rFonts w:ascii="Times New Roman" w:hAnsi="Times New Roman" w:cs="Times New Roman"/>
          <w:sz w:val="24"/>
          <w:szCs w:val="24"/>
        </w:rPr>
        <w:t xml:space="preserve"> </w:t>
      </w:r>
      <w:r w:rsidRPr="005836E0" w:rsidR="00102511">
        <w:rPr>
          <w:rFonts w:ascii="Times New Roman" w:hAnsi="Times New Roman" w:cs="Times New Roman"/>
          <w:sz w:val="24"/>
          <w:szCs w:val="24"/>
        </w:rPr>
        <w:t xml:space="preserve"> T</w:t>
      </w:r>
      <w:r w:rsidRPr="009E5043" w:rsidR="00640955">
        <w:rPr>
          <w:rFonts w:ascii="Times New Roman" w:hAnsi="Times New Roman" w:cs="Times New Roman"/>
          <w:sz w:val="24"/>
          <w:szCs w:val="24"/>
        </w:rPr>
        <w:t xml:space="preserve">he survey of ENs </w:t>
      </w:r>
      <w:r w:rsidR="005E0D0E">
        <w:rPr>
          <w:rFonts w:ascii="Times New Roman" w:hAnsi="Times New Roman" w:cs="Times New Roman"/>
          <w:sz w:val="24"/>
          <w:szCs w:val="24"/>
        </w:rPr>
        <w:t xml:space="preserve">will </w:t>
      </w:r>
      <w:r w:rsidR="00881E1D">
        <w:rPr>
          <w:rFonts w:ascii="Times New Roman" w:hAnsi="Times New Roman" w:cs="Times New Roman"/>
          <w:sz w:val="24"/>
          <w:szCs w:val="24"/>
        </w:rPr>
        <w:t>inform SSA</w:t>
      </w:r>
      <w:r w:rsidRPr="009E5043" w:rsidR="00640955">
        <w:rPr>
          <w:rFonts w:ascii="Times New Roman" w:hAnsi="Times New Roman" w:cs="Times New Roman"/>
          <w:sz w:val="24"/>
          <w:szCs w:val="24"/>
        </w:rPr>
        <w:t xml:space="preserve"> about </w:t>
      </w:r>
      <w:r w:rsidRPr="009E5043" w:rsidR="004524E5">
        <w:rPr>
          <w:rFonts w:ascii="Times New Roman" w:hAnsi="Times New Roman" w:cs="Times New Roman"/>
          <w:sz w:val="24"/>
          <w:szCs w:val="24"/>
        </w:rPr>
        <w:t>ENs’</w:t>
      </w:r>
      <w:r w:rsidRPr="009E5043" w:rsidR="00D32976">
        <w:rPr>
          <w:rFonts w:ascii="Times New Roman" w:hAnsi="Times New Roman" w:cs="Times New Roman"/>
          <w:sz w:val="24"/>
          <w:szCs w:val="24"/>
        </w:rPr>
        <w:t xml:space="preserve"> </w:t>
      </w:r>
      <w:r w:rsidRPr="009E5043" w:rsidR="004524E5">
        <w:rPr>
          <w:rFonts w:ascii="Times New Roman" w:hAnsi="Times New Roman" w:cs="Times New Roman"/>
          <w:sz w:val="24"/>
          <w:szCs w:val="24"/>
        </w:rPr>
        <w:t>reasons for</w:t>
      </w:r>
      <w:r w:rsidRPr="009E5043" w:rsidR="00D32976">
        <w:rPr>
          <w:rFonts w:ascii="Times New Roman" w:hAnsi="Times New Roman" w:cs="Times New Roman"/>
          <w:sz w:val="24"/>
          <w:szCs w:val="24"/>
        </w:rPr>
        <w:t xml:space="preserve"> participat</w:t>
      </w:r>
      <w:r w:rsidRPr="009E5043" w:rsidR="004524E5">
        <w:rPr>
          <w:rFonts w:ascii="Times New Roman" w:hAnsi="Times New Roman" w:cs="Times New Roman"/>
          <w:sz w:val="24"/>
          <w:szCs w:val="24"/>
        </w:rPr>
        <w:t>ing</w:t>
      </w:r>
      <w:r w:rsidRPr="009E5043" w:rsidR="005D1DA6">
        <w:rPr>
          <w:rFonts w:ascii="Times New Roman" w:hAnsi="Times New Roman" w:cs="Times New Roman"/>
          <w:sz w:val="24"/>
          <w:szCs w:val="24"/>
        </w:rPr>
        <w:t xml:space="preserve"> or not participating</w:t>
      </w:r>
      <w:r w:rsidRPr="009E5043" w:rsidR="00D32976">
        <w:rPr>
          <w:rFonts w:ascii="Times New Roman" w:hAnsi="Times New Roman" w:cs="Times New Roman"/>
          <w:sz w:val="24"/>
          <w:szCs w:val="24"/>
        </w:rPr>
        <w:t xml:space="preserve"> in the marketing program </w:t>
      </w:r>
      <w:r w:rsidRPr="005836E0" w:rsidR="00194363">
        <w:rPr>
          <w:rFonts w:ascii="Times New Roman" w:hAnsi="Times New Roman" w:cs="Times New Roman"/>
          <w:sz w:val="24"/>
          <w:szCs w:val="24"/>
        </w:rPr>
        <w:t>to</w:t>
      </w:r>
      <w:r w:rsidRPr="009E5043" w:rsidR="00837D0A">
        <w:rPr>
          <w:rFonts w:ascii="Times New Roman" w:hAnsi="Times New Roman" w:cs="Times New Roman"/>
          <w:sz w:val="24"/>
          <w:szCs w:val="24"/>
        </w:rPr>
        <w:t xml:space="preserve"> support </w:t>
      </w:r>
      <w:r w:rsidRPr="005836E0" w:rsidR="00194363">
        <w:rPr>
          <w:rFonts w:ascii="Times New Roman" w:hAnsi="Times New Roman" w:cs="Times New Roman"/>
          <w:sz w:val="24"/>
          <w:szCs w:val="24"/>
        </w:rPr>
        <w:t>understanding</w:t>
      </w:r>
      <w:r w:rsidR="00881E1D">
        <w:rPr>
          <w:rFonts w:ascii="Times New Roman" w:hAnsi="Times New Roman" w:cs="Times New Roman"/>
          <w:sz w:val="24"/>
          <w:szCs w:val="24"/>
        </w:rPr>
        <w:t xml:space="preserve"> of</w:t>
      </w:r>
      <w:r w:rsidRPr="005836E0" w:rsidR="00194363">
        <w:rPr>
          <w:rFonts w:ascii="Times New Roman" w:hAnsi="Times New Roman" w:cs="Times New Roman"/>
          <w:sz w:val="24"/>
          <w:szCs w:val="24"/>
        </w:rPr>
        <w:t xml:space="preserve"> </w:t>
      </w:r>
      <w:r w:rsidR="005E0D0E">
        <w:rPr>
          <w:rFonts w:ascii="Times New Roman" w:hAnsi="Times New Roman" w:cs="Times New Roman"/>
          <w:sz w:val="24"/>
          <w:szCs w:val="24"/>
        </w:rPr>
        <w:t>whether</w:t>
      </w:r>
      <w:r w:rsidR="00881E1D">
        <w:rPr>
          <w:rFonts w:ascii="Times New Roman" w:hAnsi="Times New Roman" w:cs="Times New Roman"/>
          <w:sz w:val="24"/>
          <w:szCs w:val="24"/>
        </w:rPr>
        <w:t xml:space="preserve"> and how </w:t>
      </w:r>
      <w:r w:rsidRPr="005836E0" w:rsidR="00194363">
        <w:rPr>
          <w:rFonts w:ascii="Times New Roman" w:hAnsi="Times New Roman" w:cs="Times New Roman"/>
          <w:sz w:val="24"/>
          <w:szCs w:val="24"/>
        </w:rPr>
        <w:t>the marketing program is tied to program effectiveness</w:t>
      </w:r>
      <w:r w:rsidR="00881E1D">
        <w:rPr>
          <w:rFonts w:ascii="Times New Roman" w:hAnsi="Times New Roman" w:cs="Times New Roman"/>
          <w:sz w:val="24"/>
          <w:szCs w:val="24"/>
        </w:rPr>
        <w:t>.</w:t>
      </w:r>
      <w:r w:rsidRPr="009E5043" w:rsidR="002E2D17">
        <w:rPr>
          <w:rFonts w:ascii="Times New Roman" w:hAnsi="Times New Roman" w:cs="Times New Roman"/>
          <w:sz w:val="24"/>
          <w:szCs w:val="24"/>
        </w:rPr>
        <w:t xml:space="preserve">  </w:t>
      </w:r>
      <w:r w:rsidRPr="009E5043" w:rsidR="00B04CDE">
        <w:rPr>
          <w:rFonts w:ascii="Times New Roman" w:hAnsi="Times New Roman" w:cs="Times New Roman"/>
          <w:sz w:val="24"/>
          <w:szCs w:val="24"/>
        </w:rPr>
        <w:t xml:space="preserve"> </w:t>
      </w:r>
    </w:p>
    <w:p w:rsidR="00E0299B" w:rsidRPr="005F71AC" w:rsidP="001B7986" w14:paraId="03F26CAB" w14:textId="48450381">
      <w:pPr>
        <w:pStyle w:val="Paragraph"/>
        <w:spacing w:line="276" w:lineRule="auto"/>
        <w:ind w:firstLine="900"/>
        <w:rPr>
          <w:rFonts w:ascii="Times New Roman" w:hAnsi="Times New Roman" w:cs="Times New Roman"/>
          <w:b/>
          <w:bCs/>
          <w:sz w:val="24"/>
          <w:szCs w:val="24"/>
        </w:rPr>
      </w:pPr>
      <w:r w:rsidRPr="009E5043">
        <w:rPr>
          <w:rFonts w:ascii="Times New Roman" w:hAnsi="Times New Roman" w:cs="Times New Roman"/>
          <w:b/>
          <w:bCs/>
          <w:sz w:val="24"/>
          <w:szCs w:val="24"/>
        </w:rPr>
        <w:t>Rationale for</w:t>
      </w:r>
      <w:r w:rsidRPr="009E5043" w:rsidR="00533A63">
        <w:rPr>
          <w:rFonts w:ascii="Times New Roman" w:hAnsi="Times New Roman" w:cs="Times New Roman"/>
          <w:b/>
          <w:bCs/>
          <w:sz w:val="24"/>
          <w:szCs w:val="24"/>
        </w:rPr>
        <w:t xml:space="preserve"> the Proposed Data Collection to Support Evaluation</w:t>
      </w:r>
      <w:r w:rsidRPr="009E5043" w:rsidR="000C0D09">
        <w:rPr>
          <w:rFonts w:ascii="Times New Roman" w:hAnsi="Times New Roman" w:cs="Times New Roman"/>
          <w:b/>
          <w:bCs/>
          <w:sz w:val="24"/>
          <w:szCs w:val="24"/>
        </w:rPr>
        <w:t xml:space="preserve"> Object</w:t>
      </w:r>
      <w:r w:rsidRPr="009E5043" w:rsidR="000E10B0">
        <w:rPr>
          <w:rFonts w:ascii="Times New Roman" w:hAnsi="Times New Roman" w:cs="Times New Roman"/>
          <w:b/>
          <w:bCs/>
          <w:sz w:val="24"/>
          <w:szCs w:val="24"/>
        </w:rPr>
        <w:t>ives</w:t>
      </w:r>
      <w:r w:rsidRPr="005F71AC" w:rsidR="00533A63">
        <w:rPr>
          <w:rFonts w:ascii="Times New Roman" w:hAnsi="Times New Roman" w:cs="Times New Roman"/>
          <w:b/>
          <w:bCs/>
          <w:sz w:val="24"/>
          <w:szCs w:val="24"/>
        </w:rPr>
        <w:t xml:space="preserve"> </w:t>
      </w:r>
    </w:p>
    <w:p w:rsidR="00A21832" w:rsidP="000715A9" w14:paraId="4625F949" w14:textId="34A3E924">
      <w:pPr>
        <w:pStyle w:val="ParagraphContinued"/>
        <w:spacing w:line="276" w:lineRule="auto"/>
        <w:ind w:left="900"/>
        <w:rPr>
          <w:rFonts w:ascii="Times New Roman" w:hAnsi="Times New Roman" w:cs="Times New Roman"/>
          <w:sz w:val="24"/>
          <w:szCs w:val="24"/>
        </w:rPr>
      </w:pPr>
      <w:r w:rsidRPr="0017118D">
        <w:rPr>
          <w:rFonts w:ascii="Times New Roman" w:hAnsi="Times New Roman" w:cs="Times New Roman"/>
          <w:sz w:val="24"/>
          <w:szCs w:val="24"/>
        </w:rPr>
        <w:t xml:space="preserve">The </w:t>
      </w:r>
      <w:r>
        <w:rPr>
          <w:rFonts w:ascii="Times New Roman" w:hAnsi="Times New Roman" w:cs="Times New Roman"/>
          <w:sz w:val="24"/>
          <w:szCs w:val="24"/>
        </w:rPr>
        <w:t xml:space="preserve">evaluation is necessary to </w:t>
      </w:r>
      <w:r w:rsidR="006E2369">
        <w:rPr>
          <w:rFonts w:ascii="Times New Roman" w:hAnsi="Times New Roman" w:cs="Times New Roman"/>
          <w:sz w:val="24"/>
          <w:szCs w:val="24"/>
        </w:rPr>
        <w:t xml:space="preserve">comply with </w:t>
      </w:r>
      <w:r w:rsidRPr="00BC1A14" w:rsidR="006E2369">
        <w:rPr>
          <w:rFonts w:ascii="Times New Roman" w:hAnsi="Times New Roman" w:cs="Times New Roman"/>
          <w:i/>
          <w:iCs/>
          <w:sz w:val="24"/>
          <w:szCs w:val="24"/>
        </w:rPr>
        <w:t>P.L. 106-170</w:t>
      </w:r>
      <w:r w:rsidR="006E2369">
        <w:rPr>
          <w:rFonts w:ascii="Times New Roman" w:hAnsi="Times New Roman" w:cs="Times New Roman"/>
          <w:sz w:val="24"/>
          <w:szCs w:val="24"/>
        </w:rPr>
        <w:t xml:space="preserve"> and to </w:t>
      </w:r>
      <w:r>
        <w:rPr>
          <w:rFonts w:ascii="Times New Roman" w:hAnsi="Times New Roman" w:cs="Times New Roman"/>
          <w:sz w:val="24"/>
          <w:szCs w:val="24"/>
        </w:rPr>
        <w:t>provide updated information regarding whether Ticket Act programs</w:t>
      </w:r>
      <w:r w:rsidRPr="0017118D">
        <w:rPr>
          <w:rFonts w:ascii="Times New Roman" w:hAnsi="Times New Roman" w:cs="Times New Roman"/>
          <w:sz w:val="24"/>
          <w:szCs w:val="24"/>
        </w:rPr>
        <w:t xml:space="preserve"> </w:t>
      </w:r>
      <w:r>
        <w:rPr>
          <w:rFonts w:ascii="Times New Roman" w:hAnsi="Times New Roman" w:cs="Times New Roman"/>
          <w:sz w:val="24"/>
          <w:szCs w:val="24"/>
        </w:rPr>
        <w:t>today achieve their legislative</w:t>
      </w:r>
      <w:r w:rsidRPr="0017118D">
        <w:rPr>
          <w:rFonts w:ascii="Times New Roman" w:hAnsi="Times New Roman" w:cs="Times New Roman"/>
          <w:sz w:val="24"/>
          <w:szCs w:val="24"/>
        </w:rPr>
        <w:t xml:space="preserve"> </w:t>
      </w:r>
      <w:r w:rsidR="00B359D6">
        <w:rPr>
          <w:rFonts w:ascii="Times New Roman" w:hAnsi="Times New Roman" w:cs="Times New Roman"/>
          <w:sz w:val="24"/>
          <w:szCs w:val="24"/>
        </w:rPr>
        <w:t>intent</w:t>
      </w:r>
      <w:r w:rsidR="006E2369">
        <w:rPr>
          <w:rFonts w:ascii="Times New Roman" w:hAnsi="Times New Roman" w:cs="Times New Roman"/>
          <w:sz w:val="24"/>
          <w:szCs w:val="24"/>
        </w:rPr>
        <w:t xml:space="preserve"> to allow individuals with disabilities to seek the services necessary to obtain and retain employment and reduce their dependency on cash benefit programs.</w:t>
      </w:r>
      <w:r w:rsidRPr="006E2369" w:rsidR="006E2369">
        <w:rPr>
          <w:rFonts w:ascii="Times New Roman" w:hAnsi="Times New Roman" w:cs="Times New Roman"/>
          <w:sz w:val="24"/>
          <w:szCs w:val="24"/>
        </w:rPr>
        <w:t xml:space="preserve"> </w:t>
      </w:r>
      <w:r w:rsidR="00BC1A14">
        <w:rPr>
          <w:rFonts w:ascii="Times New Roman" w:hAnsi="Times New Roman" w:cs="Times New Roman"/>
          <w:sz w:val="24"/>
          <w:szCs w:val="24"/>
        </w:rPr>
        <w:t xml:space="preserve"> </w:t>
      </w:r>
      <w:r w:rsidR="00881E1D">
        <w:rPr>
          <w:rFonts w:ascii="Times New Roman" w:hAnsi="Times New Roman" w:cs="Times New Roman"/>
          <w:sz w:val="24"/>
          <w:szCs w:val="24"/>
        </w:rPr>
        <w:t>To the extent that the Ticket Act programs are achieving their legislative intent, the evaluation will inform SSA of the factors contributing to this achievement, or, conversely, the factors that hinder this achievement.</w:t>
      </w:r>
      <w:r w:rsidR="00BC1A14">
        <w:rPr>
          <w:rFonts w:ascii="Times New Roman" w:hAnsi="Times New Roman" w:cs="Times New Roman"/>
          <w:sz w:val="24"/>
          <w:szCs w:val="24"/>
        </w:rPr>
        <w:t xml:space="preserve"> </w:t>
      </w:r>
      <w:r w:rsidR="00881E1D">
        <w:rPr>
          <w:rFonts w:ascii="Times New Roman" w:hAnsi="Times New Roman" w:cs="Times New Roman"/>
          <w:sz w:val="24"/>
          <w:szCs w:val="24"/>
        </w:rPr>
        <w:t xml:space="preserve"> In addition to the data collection proposed in this package, t</w:t>
      </w:r>
      <w:r w:rsidR="00194363">
        <w:rPr>
          <w:rFonts w:ascii="Times New Roman" w:hAnsi="Times New Roman" w:cs="Times New Roman"/>
          <w:sz w:val="24"/>
          <w:szCs w:val="24"/>
        </w:rPr>
        <w:t>he evaluation will rely on a range of i</w:t>
      </w:r>
      <w:r w:rsidR="006E2369">
        <w:rPr>
          <w:rFonts w:ascii="Times New Roman" w:hAnsi="Times New Roman" w:cs="Times New Roman"/>
          <w:sz w:val="24"/>
          <w:szCs w:val="24"/>
        </w:rPr>
        <w:t xml:space="preserve">nformation that SSA </w:t>
      </w:r>
      <w:r w:rsidR="00F33A68">
        <w:rPr>
          <w:rFonts w:ascii="Times New Roman" w:hAnsi="Times New Roman" w:cs="Times New Roman"/>
          <w:sz w:val="24"/>
          <w:szCs w:val="24"/>
        </w:rPr>
        <w:t xml:space="preserve">has on hand, including </w:t>
      </w:r>
      <w:r w:rsidR="001A12B1">
        <w:rPr>
          <w:rFonts w:ascii="Times New Roman" w:hAnsi="Times New Roman" w:cs="Times New Roman"/>
          <w:sz w:val="24"/>
          <w:szCs w:val="24"/>
        </w:rPr>
        <w:t xml:space="preserve">information that SSA routinely </w:t>
      </w:r>
      <w:r w:rsidR="005E0D0E">
        <w:rPr>
          <w:rFonts w:ascii="Times New Roman" w:hAnsi="Times New Roman" w:cs="Times New Roman"/>
          <w:sz w:val="24"/>
          <w:szCs w:val="24"/>
        </w:rPr>
        <w:t xml:space="preserve">collects </w:t>
      </w:r>
      <w:r w:rsidR="001A12B1">
        <w:rPr>
          <w:rFonts w:ascii="Times New Roman" w:hAnsi="Times New Roman" w:cs="Times New Roman"/>
          <w:sz w:val="24"/>
          <w:szCs w:val="24"/>
        </w:rPr>
        <w:t>from</w:t>
      </w:r>
      <w:r w:rsidR="006E2369">
        <w:rPr>
          <w:rFonts w:ascii="Times New Roman" w:hAnsi="Times New Roman" w:cs="Times New Roman"/>
          <w:sz w:val="24"/>
          <w:szCs w:val="24"/>
        </w:rPr>
        <w:t xml:space="preserve"> Ticket Act program</w:t>
      </w:r>
      <w:r w:rsidR="001A12B1">
        <w:rPr>
          <w:rFonts w:ascii="Times New Roman" w:hAnsi="Times New Roman" w:cs="Times New Roman"/>
          <w:sz w:val="24"/>
          <w:szCs w:val="24"/>
        </w:rPr>
        <w:t xml:space="preserve"> provider</w:t>
      </w:r>
      <w:r w:rsidR="006E2369">
        <w:rPr>
          <w:rFonts w:ascii="Times New Roman" w:hAnsi="Times New Roman" w:cs="Times New Roman"/>
          <w:sz w:val="24"/>
          <w:szCs w:val="24"/>
        </w:rPr>
        <w:t>s</w:t>
      </w:r>
      <w:r w:rsidR="00044D22">
        <w:rPr>
          <w:rFonts w:ascii="Times New Roman" w:hAnsi="Times New Roman" w:cs="Times New Roman"/>
          <w:sz w:val="24"/>
          <w:szCs w:val="24"/>
        </w:rPr>
        <w:t>,</w:t>
      </w:r>
      <w:r w:rsidR="006E2369">
        <w:rPr>
          <w:rFonts w:ascii="Times New Roman" w:hAnsi="Times New Roman" w:cs="Times New Roman"/>
          <w:sz w:val="24"/>
          <w:szCs w:val="24"/>
        </w:rPr>
        <w:t xml:space="preserve"> </w:t>
      </w:r>
      <w:r w:rsidR="001A12B1">
        <w:rPr>
          <w:rFonts w:ascii="Times New Roman" w:hAnsi="Times New Roman" w:cs="Times New Roman"/>
          <w:sz w:val="24"/>
          <w:szCs w:val="24"/>
        </w:rPr>
        <w:t>beneficiary-level administrative records on program participation, earnings, and benefits</w:t>
      </w:r>
      <w:r w:rsidR="00044D22">
        <w:rPr>
          <w:rFonts w:ascii="Times New Roman" w:hAnsi="Times New Roman" w:cs="Times New Roman"/>
          <w:sz w:val="24"/>
          <w:szCs w:val="24"/>
        </w:rPr>
        <w:t>, and surveys</w:t>
      </w:r>
      <w:r w:rsidR="00BC1A14">
        <w:rPr>
          <w:rFonts w:ascii="Times New Roman" w:hAnsi="Times New Roman" w:cs="Times New Roman"/>
          <w:sz w:val="24"/>
          <w:szCs w:val="24"/>
        </w:rPr>
        <w:t xml:space="preserve"> SSA</w:t>
      </w:r>
      <w:r w:rsidR="00044D22">
        <w:rPr>
          <w:rFonts w:ascii="Times New Roman" w:hAnsi="Times New Roman" w:cs="Times New Roman"/>
          <w:sz w:val="24"/>
          <w:szCs w:val="24"/>
        </w:rPr>
        <w:t xml:space="preserve"> previously conducted</w:t>
      </w:r>
      <w:r w:rsidR="006E2369">
        <w:rPr>
          <w:rFonts w:ascii="Times New Roman" w:hAnsi="Times New Roman" w:cs="Times New Roman"/>
          <w:sz w:val="24"/>
          <w:szCs w:val="24"/>
        </w:rPr>
        <w:t xml:space="preserve">. </w:t>
      </w:r>
    </w:p>
    <w:p w:rsidR="00047EF2" w:rsidP="00044D22" w14:paraId="766E27C1" w14:textId="601BEC1A">
      <w:pPr>
        <w:pStyle w:val="ParagraphContinued"/>
        <w:spacing w:line="276" w:lineRule="auto"/>
        <w:ind w:left="900"/>
        <w:rPr>
          <w:rFonts w:ascii="Times New Roman" w:hAnsi="Times New Roman" w:cs="Times New Roman"/>
          <w:sz w:val="24"/>
          <w:szCs w:val="24"/>
        </w:rPr>
      </w:pPr>
      <w:r>
        <w:rPr>
          <w:rFonts w:ascii="Times New Roman" w:hAnsi="Times New Roman" w:cs="Times New Roman"/>
          <w:sz w:val="24"/>
          <w:szCs w:val="24"/>
        </w:rPr>
        <w:t xml:space="preserve">Much of SSA’s existing data were collected to inform operational program monitoring and provides useful information to understand the </w:t>
      </w:r>
      <w:r w:rsidRPr="005E0D0E">
        <w:rPr>
          <w:rFonts w:ascii="Times New Roman" w:hAnsi="Times New Roman" w:cs="Times New Roman"/>
          <w:sz w:val="24"/>
          <w:szCs w:val="24"/>
        </w:rPr>
        <w:t>outcomes</w:t>
      </w:r>
      <w:r>
        <w:rPr>
          <w:rFonts w:ascii="Times New Roman" w:hAnsi="Times New Roman" w:cs="Times New Roman"/>
          <w:sz w:val="24"/>
          <w:szCs w:val="24"/>
        </w:rPr>
        <w:t xml:space="preserve"> of the program (who participates, whether they achieve sustained employment) but cannot explain the </w:t>
      </w:r>
      <w:r w:rsidRPr="005E0D0E">
        <w:rPr>
          <w:rFonts w:ascii="Times New Roman" w:hAnsi="Times New Roman" w:cs="Times New Roman"/>
          <w:sz w:val="24"/>
          <w:szCs w:val="24"/>
        </w:rPr>
        <w:t>factors</w:t>
      </w:r>
      <w:r>
        <w:rPr>
          <w:rFonts w:ascii="Times New Roman" w:hAnsi="Times New Roman" w:cs="Times New Roman"/>
          <w:sz w:val="24"/>
          <w:szCs w:val="24"/>
        </w:rPr>
        <w:t xml:space="preserve"> that contribute to these outcomes. </w:t>
      </w:r>
      <w:r w:rsidR="00BC1A14">
        <w:rPr>
          <w:rFonts w:ascii="Times New Roman" w:hAnsi="Times New Roman" w:cs="Times New Roman"/>
          <w:sz w:val="24"/>
          <w:szCs w:val="24"/>
        </w:rPr>
        <w:t xml:space="preserve"> </w:t>
      </w:r>
      <w:r>
        <w:rPr>
          <w:rFonts w:ascii="Times New Roman" w:hAnsi="Times New Roman" w:cs="Times New Roman"/>
          <w:sz w:val="24"/>
          <w:szCs w:val="24"/>
        </w:rPr>
        <w:t>As such, these data are not sufficiently robust to satisfy the requirements of th</w:t>
      </w:r>
      <w:r w:rsidR="00BC1A14">
        <w:rPr>
          <w:rFonts w:ascii="Times New Roman" w:hAnsi="Times New Roman" w:cs="Times New Roman"/>
          <w:sz w:val="24"/>
          <w:szCs w:val="24"/>
        </w:rPr>
        <w:t>is</w:t>
      </w:r>
      <w:r>
        <w:rPr>
          <w:rFonts w:ascii="Times New Roman" w:hAnsi="Times New Roman" w:cs="Times New Roman"/>
          <w:sz w:val="24"/>
          <w:szCs w:val="24"/>
        </w:rPr>
        <w:t xml:space="preserve"> evaluation.</w:t>
      </w:r>
      <w:r w:rsidR="00BC1A14">
        <w:rPr>
          <w:rFonts w:ascii="Times New Roman" w:hAnsi="Times New Roman" w:cs="Times New Roman"/>
          <w:sz w:val="24"/>
          <w:szCs w:val="24"/>
        </w:rPr>
        <w:t xml:space="preserve"> </w:t>
      </w:r>
      <w:r>
        <w:rPr>
          <w:rFonts w:ascii="Times New Roman" w:hAnsi="Times New Roman" w:cs="Times New Roman"/>
          <w:sz w:val="24"/>
          <w:szCs w:val="24"/>
        </w:rPr>
        <w:t xml:space="preserve"> For example, an existing Beneficiary Satisfaction Survey </w:t>
      </w:r>
      <w:r w:rsidR="00BC1A14">
        <w:rPr>
          <w:rFonts w:ascii="Times New Roman" w:hAnsi="Times New Roman" w:cs="Times New Roman"/>
          <w:sz w:val="24"/>
          <w:szCs w:val="24"/>
        </w:rPr>
        <w:t xml:space="preserve">which SSA </w:t>
      </w:r>
      <w:r>
        <w:rPr>
          <w:rFonts w:ascii="Times New Roman" w:hAnsi="Times New Roman" w:cs="Times New Roman"/>
          <w:sz w:val="24"/>
          <w:szCs w:val="24"/>
        </w:rPr>
        <w:t xml:space="preserve">fielded asked TTW users to report on the most useful services they received, but did not ask them to list all services their EN provided to them. </w:t>
      </w:r>
      <w:r w:rsidR="00BC1A14">
        <w:rPr>
          <w:rFonts w:ascii="Times New Roman" w:hAnsi="Times New Roman" w:cs="Times New Roman"/>
          <w:sz w:val="24"/>
          <w:szCs w:val="24"/>
        </w:rPr>
        <w:t xml:space="preserve"> </w:t>
      </w:r>
      <w:r>
        <w:rPr>
          <w:rFonts w:ascii="Times New Roman" w:hAnsi="Times New Roman" w:cs="Times New Roman"/>
          <w:sz w:val="24"/>
          <w:szCs w:val="24"/>
        </w:rPr>
        <w:t xml:space="preserve">Separately, SSA annually presents a list of services to ENs and asks whether they offer each service to </w:t>
      </w:r>
      <w:r w:rsidRPr="009A4E61">
        <w:rPr>
          <w:rFonts w:ascii="Times New Roman" w:hAnsi="Times New Roman" w:cs="Times New Roman"/>
          <w:sz w:val="24"/>
          <w:szCs w:val="24"/>
        </w:rPr>
        <w:t>any</w:t>
      </w:r>
      <w:r>
        <w:rPr>
          <w:rFonts w:ascii="Times New Roman" w:hAnsi="Times New Roman" w:cs="Times New Roman"/>
          <w:i/>
          <w:iCs/>
          <w:sz w:val="24"/>
          <w:szCs w:val="24"/>
        </w:rPr>
        <w:t xml:space="preserve"> </w:t>
      </w:r>
      <w:r>
        <w:rPr>
          <w:rFonts w:ascii="Times New Roman" w:hAnsi="Times New Roman" w:cs="Times New Roman"/>
          <w:sz w:val="24"/>
          <w:szCs w:val="24"/>
        </w:rPr>
        <w:t xml:space="preserve">Ticketholder. </w:t>
      </w:r>
      <w:r w:rsidR="00BC1A14">
        <w:rPr>
          <w:rFonts w:ascii="Times New Roman" w:hAnsi="Times New Roman" w:cs="Times New Roman"/>
          <w:sz w:val="24"/>
          <w:szCs w:val="24"/>
        </w:rPr>
        <w:t xml:space="preserve"> </w:t>
      </w:r>
      <w:r>
        <w:rPr>
          <w:rFonts w:ascii="Times New Roman" w:hAnsi="Times New Roman" w:cs="Times New Roman"/>
          <w:sz w:val="24"/>
          <w:szCs w:val="24"/>
        </w:rPr>
        <w:t xml:space="preserve">The proposed data collection will ask ENs to document the full list of services they offer </w:t>
      </w:r>
      <w:r w:rsidRPr="009A4E61">
        <w:rPr>
          <w:rFonts w:ascii="Times New Roman" w:hAnsi="Times New Roman" w:cs="Times New Roman"/>
          <w:sz w:val="24"/>
          <w:szCs w:val="24"/>
        </w:rPr>
        <w:t>and</w:t>
      </w:r>
      <w:r w:rsidRPr="009D38F1">
        <w:rPr>
          <w:rFonts w:ascii="Times New Roman" w:hAnsi="Times New Roman" w:cs="Times New Roman"/>
          <w:i/>
          <w:iCs/>
          <w:sz w:val="24"/>
          <w:szCs w:val="24"/>
        </w:rPr>
        <w:t xml:space="preserve"> </w:t>
      </w:r>
      <w:r>
        <w:rPr>
          <w:rFonts w:ascii="Times New Roman" w:hAnsi="Times New Roman" w:cs="Times New Roman"/>
          <w:sz w:val="24"/>
          <w:szCs w:val="24"/>
        </w:rPr>
        <w:t>the share of Ticketholders they serve who receive them, so that the evaluation can document the share of Ticketholders offer</w:t>
      </w:r>
      <w:r w:rsidRPr="0024502D">
        <w:rPr>
          <w:rFonts w:ascii="Times New Roman" w:hAnsi="Times New Roman" w:cs="Times New Roman"/>
          <w:sz w:val="24"/>
          <w:szCs w:val="24"/>
        </w:rPr>
        <w:t>ed</w:t>
      </w:r>
      <w:r>
        <w:rPr>
          <w:rFonts w:ascii="Times New Roman" w:hAnsi="Times New Roman" w:cs="Times New Roman"/>
          <w:sz w:val="24"/>
          <w:szCs w:val="24"/>
        </w:rPr>
        <w:t xml:space="preserve"> the services perceived to be most useful to beneficiaries</w:t>
      </w:r>
      <w:r w:rsidR="000B70CE">
        <w:rPr>
          <w:rFonts w:ascii="Times New Roman" w:hAnsi="Times New Roman" w:cs="Times New Roman"/>
          <w:sz w:val="24"/>
          <w:szCs w:val="24"/>
        </w:rPr>
        <w:t xml:space="preserve"> </w:t>
      </w:r>
    </w:p>
    <w:p w:rsidR="00533A63" w:rsidP="00047EF2" w14:paraId="467DE72B" w14:textId="2A3D8374">
      <w:pPr>
        <w:pStyle w:val="ParagraphContinued"/>
        <w:spacing w:line="276" w:lineRule="auto"/>
        <w:ind w:left="900"/>
        <w:rPr>
          <w:rFonts w:ascii="Times New Roman" w:hAnsi="Times New Roman" w:cs="Times New Roman"/>
          <w:sz w:val="24"/>
          <w:szCs w:val="24"/>
        </w:rPr>
      </w:pPr>
      <w:r>
        <w:rPr>
          <w:rFonts w:ascii="Times New Roman" w:hAnsi="Times New Roman" w:cs="Times New Roman"/>
          <w:sz w:val="24"/>
          <w:szCs w:val="24"/>
        </w:rPr>
        <w:t>T</w:t>
      </w:r>
      <w:r w:rsidR="00047EF2">
        <w:rPr>
          <w:rFonts w:ascii="Times New Roman" w:hAnsi="Times New Roman" w:cs="Times New Roman"/>
          <w:sz w:val="24"/>
          <w:szCs w:val="24"/>
        </w:rPr>
        <w:t>he results of the proposed new data collection activities</w:t>
      </w:r>
      <w:r w:rsidR="005E0D0E">
        <w:rPr>
          <w:rFonts w:ascii="Times New Roman" w:hAnsi="Times New Roman" w:cs="Times New Roman"/>
          <w:sz w:val="24"/>
          <w:szCs w:val="24"/>
        </w:rPr>
        <w:t>,</w:t>
      </w:r>
      <w:r>
        <w:rPr>
          <w:rFonts w:ascii="Times New Roman" w:hAnsi="Times New Roman" w:cs="Times New Roman"/>
          <w:sz w:val="24"/>
          <w:szCs w:val="24"/>
        </w:rPr>
        <w:t xml:space="preserve"> </w:t>
      </w:r>
      <w:r w:rsidR="00D87467">
        <w:rPr>
          <w:rFonts w:ascii="Times New Roman" w:hAnsi="Times New Roman" w:cs="Times New Roman"/>
          <w:sz w:val="24"/>
          <w:szCs w:val="24"/>
        </w:rPr>
        <w:t>in conjunction with the analysis of existing SSA data</w:t>
      </w:r>
      <w:r w:rsidR="005E0D0E">
        <w:rPr>
          <w:rFonts w:ascii="Times New Roman" w:hAnsi="Times New Roman" w:cs="Times New Roman"/>
          <w:sz w:val="24"/>
          <w:szCs w:val="24"/>
        </w:rPr>
        <w:t>,</w:t>
      </w:r>
      <w:r w:rsidR="00D87467">
        <w:rPr>
          <w:rFonts w:ascii="Times New Roman" w:hAnsi="Times New Roman" w:cs="Times New Roman"/>
          <w:sz w:val="24"/>
          <w:szCs w:val="24"/>
        </w:rPr>
        <w:t xml:space="preserve"> </w:t>
      </w:r>
      <w:r w:rsidR="00047EF2">
        <w:rPr>
          <w:rFonts w:ascii="Times New Roman" w:hAnsi="Times New Roman" w:cs="Times New Roman"/>
          <w:sz w:val="24"/>
          <w:szCs w:val="24"/>
        </w:rPr>
        <w:t xml:space="preserve">will identify </w:t>
      </w:r>
      <w:r w:rsidR="00D87467">
        <w:rPr>
          <w:rFonts w:ascii="Times New Roman" w:hAnsi="Times New Roman" w:cs="Times New Roman"/>
          <w:sz w:val="24"/>
          <w:szCs w:val="24"/>
        </w:rPr>
        <w:t>underlying factors of program effectiveness or ineffectiveness.</w:t>
      </w:r>
      <w:r w:rsidR="00BC1A14">
        <w:rPr>
          <w:rFonts w:ascii="Times New Roman" w:hAnsi="Times New Roman" w:cs="Times New Roman"/>
          <w:sz w:val="24"/>
          <w:szCs w:val="24"/>
        </w:rPr>
        <w:t xml:space="preserve"> </w:t>
      </w:r>
      <w:r w:rsidR="00D87467">
        <w:rPr>
          <w:rFonts w:ascii="Times New Roman" w:hAnsi="Times New Roman" w:cs="Times New Roman"/>
          <w:sz w:val="24"/>
          <w:szCs w:val="24"/>
        </w:rPr>
        <w:t xml:space="preserve"> This analysis will </w:t>
      </w:r>
      <w:r w:rsidR="005E0D0E">
        <w:rPr>
          <w:rFonts w:ascii="Times New Roman" w:hAnsi="Times New Roman" w:cs="Times New Roman"/>
          <w:sz w:val="24"/>
          <w:szCs w:val="24"/>
        </w:rPr>
        <w:t>provide the evidence base for</w:t>
      </w:r>
      <w:r w:rsidR="00D87467">
        <w:rPr>
          <w:rFonts w:ascii="Times New Roman" w:hAnsi="Times New Roman" w:cs="Times New Roman"/>
          <w:sz w:val="24"/>
          <w:szCs w:val="24"/>
        </w:rPr>
        <w:t xml:space="preserve"> potential programmatic </w:t>
      </w:r>
      <w:r w:rsidR="00044D22">
        <w:rPr>
          <w:rFonts w:ascii="Times New Roman" w:hAnsi="Times New Roman" w:cs="Times New Roman"/>
          <w:sz w:val="24"/>
          <w:szCs w:val="24"/>
        </w:rPr>
        <w:t xml:space="preserve">changes </w:t>
      </w:r>
      <w:r w:rsidR="00D87467">
        <w:rPr>
          <w:rFonts w:ascii="Times New Roman" w:hAnsi="Times New Roman" w:cs="Times New Roman"/>
          <w:sz w:val="24"/>
          <w:szCs w:val="24"/>
        </w:rPr>
        <w:t xml:space="preserve">or </w:t>
      </w:r>
      <w:r w:rsidR="00087296">
        <w:rPr>
          <w:rFonts w:ascii="Times New Roman" w:hAnsi="Times New Roman" w:cs="Times New Roman"/>
          <w:sz w:val="24"/>
          <w:szCs w:val="24"/>
        </w:rPr>
        <w:t>other</w:t>
      </w:r>
      <w:r w:rsidR="00044D22">
        <w:rPr>
          <w:rFonts w:ascii="Times New Roman" w:hAnsi="Times New Roman" w:cs="Times New Roman"/>
          <w:sz w:val="24"/>
          <w:szCs w:val="24"/>
        </w:rPr>
        <w:t xml:space="preserve"> proposals</w:t>
      </w:r>
      <w:r w:rsidR="00D87467">
        <w:rPr>
          <w:rFonts w:ascii="Times New Roman" w:hAnsi="Times New Roman" w:cs="Times New Roman"/>
          <w:sz w:val="24"/>
          <w:szCs w:val="24"/>
        </w:rPr>
        <w:t xml:space="preserve"> to</w:t>
      </w:r>
      <w:r w:rsidR="00047EF2">
        <w:rPr>
          <w:rFonts w:ascii="Times New Roman" w:hAnsi="Times New Roman" w:cs="Times New Roman"/>
          <w:sz w:val="24"/>
          <w:szCs w:val="24"/>
        </w:rPr>
        <w:t xml:space="preserve"> </w:t>
      </w:r>
      <w:r w:rsidR="00044D22">
        <w:rPr>
          <w:rFonts w:ascii="Times New Roman" w:hAnsi="Times New Roman" w:cs="Times New Roman"/>
          <w:sz w:val="24"/>
          <w:szCs w:val="24"/>
        </w:rPr>
        <w:t>maximize</w:t>
      </w:r>
      <w:r w:rsidR="00047EF2">
        <w:rPr>
          <w:rFonts w:ascii="Times New Roman" w:hAnsi="Times New Roman" w:cs="Times New Roman"/>
          <w:sz w:val="24"/>
          <w:szCs w:val="24"/>
        </w:rPr>
        <w:t xml:space="preserve"> program effectiveness.</w:t>
      </w:r>
    </w:p>
    <w:p w:rsidR="0067452C" w:rsidP="00C63A73" w14:paraId="530E6B33" w14:textId="08926E9E">
      <w:pPr>
        <w:pStyle w:val="H2"/>
        <w:spacing w:line="276" w:lineRule="auto"/>
        <w:ind w:left="900" w:hanging="450"/>
        <w:rPr>
          <w:rFonts w:ascii="Times New Roman" w:hAnsi="Times New Roman" w:cs="Times New Roman"/>
          <w:szCs w:val="24"/>
        </w:rPr>
      </w:pPr>
      <w:r w:rsidRPr="00C63A73">
        <w:rPr>
          <w:rFonts w:ascii="Times New Roman" w:hAnsi="Times New Roman" w:cs="Times New Roman"/>
          <w:szCs w:val="24"/>
        </w:rPr>
        <w:t xml:space="preserve">2. </w:t>
      </w:r>
      <w:r w:rsidRPr="00C63A73">
        <w:rPr>
          <w:rFonts w:ascii="Times New Roman" w:hAnsi="Times New Roman" w:cs="Times New Roman"/>
          <w:szCs w:val="24"/>
        </w:rPr>
        <w:tab/>
        <w:t>Description of Collection</w:t>
      </w:r>
    </w:p>
    <w:p w:rsidR="00F71ED4" w:rsidP="001B7986" w14:paraId="01DDDF5B" w14:textId="40915446">
      <w:pPr>
        <w:pStyle w:val="ParagraphContinued"/>
        <w:spacing w:line="276" w:lineRule="auto"/>
        <w:ind w:left="907"/>
        <w:rPr>
          <w:rFonts w:ascii="Times New Roman" w:hAnsi="Times New Roman" w:cs="Times New Roman"/>
          <w:sz w:val="24"/>
          <w:szCs w:val="24"/>
        </w:rPr>
      </w:pPr>
      <w:r w:rsidRPr="003477B1">
        <w:rPr>
          <w:rFonts w:ascii="Times New Roman" w:hAnsi="Times New Roman" w:cs="Times New Roman"/>
          <w:sz w:val="24"/>
          <w:szCs w:val="24"/>
        </w:rPr>
        <w:t>Th</w:t>
      </w:r>
      <w:r>
        <w:rPr>
          <w:rFonts w:ascii="Times New Roman" w:hAnsi="Times New Roman" w:cs="Times New Roman"/>
          <w:sz w:val="24"/>
          <w:szCs w:val="24"/>
        </w:rPr>
        <w:t xml:space="preserve">is information collection request </w:t>
      </w:r>
      <w:r w:rsidRPr="003477B1">
        <w:rPr>
          <w:rFonts w:ascii="Times New Roman" w:hAnsi="Times New Roman" w:cs="Times New Roman"/>
          <w:sz w:val="24"/>
          <w:szCs w:val="24"/>
        </w:rPr>
        <w:t>include</w:t>
      </w:r>
      <w:r>
        <w:rPr>
          <w:rFonts w:ascii="Times New Roman" w:hAnsi="Times New Roman" w:cs="Times New Roman"/>
          <w:sz w:val="24"/>
          <w:szCs w:val="24"/>
        </w:rPr>
        <w:t>s</w:t>
      </w:r>
      <w:r w:rsidRPr="003477B1">
        <w:rPr>
          <w:rFonts w:ascii="Times New Roman" w:hAnsi="Times New Roman" w:cs="Times New Roman"/>
          <w:sz w:val="24"/>
          <w:szCs w:val="24"/>
        </w:rPr>
        <w:t xml:space="preserve"> surveys of</w:t>
      </w:r>
      <w:r>
        <w:rPr>
          <w:rFonts w:ascii="Times New Roman" w:hAnsi="Times New Roman" w:cs="Times New Roman"/>
          <w:sz w:val="24"/>
          <w:szCs w:val="24"/>
        </w:rPr>
        <w:t xml:space="preserve"> three types of</w:t>
      </w:r>
      <w:r w:rsidRPr="003477B1">
        <w:rPr>
          <w:rFonts w:ascii="Times New Roman" w:hAnsi="Times New Roman" w:cs="Times New Roman"/>
          <w:sz w:val="24"/>
          <w:szCs w:val="24"/>
        </w:rPr>
        <w:t xml:space="preserve"> Ticket Act providers and qualitative interviews of Ticketholders</w:t>
      </w:r>
      <w:r w:rsidRPr="0017118D">
        <w:rPr>
          <w:rFonts w:ascii="Times New Roman" w:hAnsi="Times New Roman" w:cs="Times New Roman"/>
          <w:sz w:val="24"/>
          <w:szCs w:val="24"/>
        </w:rPr>
        <w:t xml:space="preserve">. </w:t>
      </w:r>
      <w:r w:rsidR="00BC1A14">
        <w:rPr>
          <w:rFonts w:ascii="Times New Roman" w:hAnsi="Times New Roman" w:cs="Times New Roman"/>
          <w:sz w:val="24"/>
          <w:szCs w:val="24"/>
        </w:rPr>
        <w:t xml:space="preserve"> </w:t>
      </w:r>
      <w:r w:rsidRPr="00EE016F" w:rsidR="00BA13E5">
        <w:rPr>
          <w:rFonts w:ascii="Times New Roman" w:hAnsi="Times New Roman" w:cs="Times New Roman"/>
          <w:sz w:val="24"/>
          <w:szCs w:val="24"/>
        </w:rPr>
        <w:t xml:space="preserve">SSA </w:t>
      </w:r>
      <w:r w:rsidRPr="00EE016F" w:rsidR="00F20A49">
        <w:rPr>
          <w:rFonts w:ascii="Times New Roman" w:hAnsi="Times New Roman" w:cs="Times New Roman"/>
          <w:sz w:val="24"/>
          <w:szCs w:val="24"/>
        </w:rPr>
        <w:t xml:space="preserve">will </w:t>
      </w:r>
      <w:r w:rsidRPr="00EE016F" w:rsidR="00BA13E5">
        <w:rPr>
          <w:rFonts w:ascii="Times New Roman" w:hAnsi="Times New Roman" w:cs="Times New Roman"/>
          <w:sz w:val="24"/>
          <w:szCs w:val="24"/>
        </w:rPr>
        <w:t xml:space="preserve">oversee all data collection activities. </w:t>
      </w:r>
      <w:r w:rsidR="00BC1A14">
        <w:rPr>
          <w:rFonts w:ascii="Times New Roman" w:hAnsi="Times New Roman" w:cs="Times New Roman"/>
          <w:sz w:val="24"/>
          <w:szCs w:val="24"/>
        </w:rPr>
        <w:t xml:space="preserve"> </w:t>
      </w:r>
      <w:r w:rsidRPr="00EE016F" w:rsidR="00BA13E5">
        <w:rPr>
          <w:rFonts w:ascii="Times New Roman" w:hAnsi="Times New Roman" w:cs="Times New Roman"/>
          <w:sz w:val="24"/>
          <w:szCs w:val="24"/>
        </w:rPr>
        <w:t xml:space="preserve">SSA and </w:t>
      </w:r>
      <w:r w:rsidRPr="00EE016F" w:rsidR="00CA1717">
        <w:rPr>
          <w:rFonts w:ascii="Times New Roman" w:hAnsi="Times New Roman" w:cs="Times New Roman"/>
          <w:sz w:val="24"/>
          <w:szCs w:val="24"/>
        </w:rPr>
        <w:t>its</w:t>
      </w:r>
      <w:r w:rsidRPr="00EE016F" w:rsidR="00BA13E5">
        <w:rPr>
          <w:rFonts w:ascii="Times New Roman" w:hAnsi="Times New Roman" w:cs="Times New Roman"/>
          <w:sz w:val="24"/>
          <w:szCs w:val="24"/>
        </w:rPr>
        <w:t xml:space="preserve"> contractor, Mathematica, will be the primary users of the data for evaluation. </w:t>
      </w:r>
    </w:p>
    <w:p w:rsidR="00C62F99" w:rsidRPr="0017118D" w:rsidP="00F31A4E" w14:paraId="1EE28D82" w14:textId="113C0785">
      <w:pPr>
        <w:pStyle w:val="ParagraphContinued"/>
        <w:spacing w:line="276" w:lineRule="auto"/>
        <w:ind w:left="900"/>
        <w:rPr>
          <w:rFonts w:ascii="Times New Roman" w:hAnsi="Times New Roman" w:cs="Times New Roman"/>
          <w:sz w:val="24"/>
          <w:szCs w:val="24"/>
        </w:rPr>
      </w:pPr>
      <w:r>
        <w:rPr>
          <w:rFonts w:ascii="Times New Roman" w:hAnsi="Times New Roman" w:cs="Times New Roman"/>
          <w:sz w:val="24"/>
          <w:szCs w:val="24"/>
        </w:rPr>
        <w:t>Specifically</w:t>
      </w:r>
      <w:r w:rsidRPr="0017118D">
        <w:rPr>
          <w:rFonts w:ascii="Times New Roman" w:hAnsi="Times New Roman" w:cs="Times New Roman"/>
          <w:sz w:val="24"/>
          <w:szCs w:val="24"/>
        </w:rPr>
        <w:t xml:space="preserve">, SSA </w:t>
      </w:r>
      <w:r w:rsidR="00BA2DE6">
        <w:rPr>
          <w:rFonts w:ascii="Times New Roman" w:hAnsi="Times New Roman" w:cs="Times New Roman"/>
          <w:sz w:val="24"/>
          <w:szCs w:val="24"/>
        </w:rPr>
        <w:t xml:space="preserve">is </w:t>
      </w:r>
      <w:r w:rsidRPr="0017118D">
        <w:rPr>
          <w:rFonts w:ascii="Times New Roman" w:hAnsi="Times New Roman" w:cs="Times New Roman"/>
          <w:sz w:val="24"/>
          <w:szCs w:val="24"/>
        </w:rPr>
        <w:t>request</w:t>
      </w:r>
      <w:r w:rsidR="00BA2DE6">
        <w:rPr>
          <w:rFonts w:ascii="Times New Roman" w:hAnsi="Times New Roman" w:cs="Times New Roman"/>
          <w:sz w:val="24"/>
          <w:szCs w:val="24"/>
        </w:rPr>
        <w:t>ing</w:t>
      </w:r>
      <w:r w:rsidRPr="0017118D">
        <w:rPr>
          <w:rFonts w:ascii="Times New Roman" w:hAnsi="Times New Roman" w:cs="Times New Roman"/>
          <w:sz w:val="24"/>
          <w:szCs w:val="24"/>
        </w:rPr>
        <w:t xml:space="preserve"> clearance for the following data collection efforts to support the </w:t>
      </w:r>
      <w:r w:rsidR="0087649E">
        <w:rPr>
          <w:rFonts w:ascii="Times New Roman" w:hAnsi="Times New Roman" w:cs="Times New Roman"/>
          <w:sz w:val="24"/>
          <w:szCs w:val="24"/>
        </w:rPr>
        <w:t>e</w:t>
      </w:r>
      <w:r w:rsidRPr="0017118D" w:rsidR="00CB0128">
        <w:rPr>
          <w:rFonts w:ascii="Times New Roman" w:hAnsi="Times New Roman" w:cs="Times New Roman"/>
          <w:sz w:val="24"/>
          <w:szCs w:val="24"/>
        </w:rPr>
        <w:t>valuation</w:t>
      </w:r>
      <w:r w:rsidR="00BC1A14">
        <w:rPr>
          <w:rFonts w:ascii="Times New Roman" w:hAnsi="Times New Roman" w:cs="Times New Roman"/>
          <w:sz w:val="24"/>
          <w:szCs w:val="24"/>
        </w:rPr>
        <w:t>:</w:t>
      </w:r>
      <w:r w:rsidRPr="0017118D">
        <w:rPr>
          <w:rFonts w:ascii="Times New Roman" w:hAnsi="Times New Roman" w:cs="Times New Roman"/>
          <w:sz w:val="24"/>
          <w:szCs w:val="24"/>
        </w:rPr>
        <w:t xml:space="preserve"> </w:t>
      </w:r>
    </w:p>
    <w:p w:rsidR="00BC1A14" w:rsidRPr="00BC1A14" w:rsidP="00BC1A14" w14:paraId="3888748E" w14:textId="26EB4B99">
      <w:pPr>
        <w:pStyle w:val="ParagraphContinued"/>
        <w:numPr>
          <w:ilvl w:val="0"/>
          <w:numId w:val="34"/>
        </w:numPr>
        <w:spacing w:before="0" w:line="276" w:lineRule="auto"/>
        <w:rPr>
          <w:sz w:val="24"/>
          <w:szCs w:val="24"/>
        </w:rPr>
      </w:pPr>
      <w:bookmarkStart w:id="8" w:name="_Hlk206152184"/>
      <w:r w:rsidRPr="00F31A4E">
        <w:rPr>
          <w:rFonts w:ascii="Times New Roman" w:hAnsi="Times New Roman"/>
          <w:b/>
          <w:sz w:val="24"/>
        </w:rPr>
        <w:t>Surveys of the Ticket Act service providers (“provider surveys”).</w:t>
      </w:r>
      <w:bookmarkEnd w:id="8"/>
      <w:r w:rsidRPr="00F31A4E">
        <w:rPr>
          <w:rFonts w:ascii="Times New Roman" w:hAnsi="Times New Roman"/>
          <w:b/>
          <w:sz w:val="24"/>
        </w:rPr>
        <w:t xml:space="preserve"> </w:t>
      </w:r>
      <w:r w:rsidR="0065617E">
        <w:rPr>
          <w:rFonts w:ascii="Times New Roman" w:hAnsi="Times New Roman"/>
          <w:b/>
          <w:sz w:val="24"/>
        </w:rPr>
        <w:t xml:space="preserve"> </w:t>
      </w:r>
      <w:bookmarkStart w:id="9" w:name="_Hlk206152204"/>
      <w:r w:rsidRPr="00F31A4E">
        <w:rPr>
          <w:rFonts w:ascii="Times New Roman" w:hAnsi="Times New Roman"/>
          <w:sz w:val="24"/>
        </w:rPr>
        <w:t>Mathematica will field three concurrent surveys, each focusing on a specific type of Ticket Act service provide</w:t>
      </w:r>
      <w:r w:rsidRPr="00F31A4E" w:rsidR="00AD6111">
        <w:rPr>
          <w:rFonts w:ascii="Times New Roman" w:hAnsi="Times New Roman"/>
          <w:sz w:val="24"/>
        </w:rPr>
        <w:t>r.</w:t>
      </w:r>
      <w:r w:rsidRPr="00F31A4E" w:rsidR="00B43DCC">
        <w:rPr>
          <w:rFonts w:ascii="Times New Roman" w:hAnsi="Times New Roman"/>
          <w:sz w:val="24"/>
        </w:rPr>
        <w:t xml:space="preserve"> </w:t>
      </w:r>
      <w:r w:rsidR="00772198">
        <w:rPr>
          <w:rFonts w:ascii="Times New Roman" w:hAnsi="Times New Roman"/>
          <w:sz w:val="24"/>
        </w:rPr>
        <w:t xml:space="preserve"> </w:t>
      </w:r>
      <w:r w:rsidRPr="007160CC" w:rsidR="006F2333">
        <w:rPr>
          <w:rFonts w:ascii="Times New Roman" w:hAnsi="Times New Roman" w:cs="Times New Roman"/>
          <w:sz w:val="24"/>
          <w:szCs w:val="24"/>
        </w:rPr>
        <w:t>The surveys will ask about</w:t>
      </w:r>
      <w:r w:rsidR="00115467">
        <w:rPr>
          <w:rFonts w:ascii="Times New Roman" w:hAnsi="Times New Roman" w:cs="Times New Roman"/>
          <w:sz w:val="24"/>
          <w:szCs w:val="24"/>
        </w:rPr>
        <w:t xml:space="preserve"> provider decisions to participate in the program</w:t>
      </w:r>
      <w:r w:rsidR="00251694">
        <w:rPr>
          <w:rFonts w:ascii="Times New Roman" w:hAnsi="Times New Roman" w:cs="Times New Roman"/>
          <w:sz w:val="24"/>
          <w:szCs w:val="24"/>
        </w:rPr>
        <w:t>, provider decisions about service provision, and about challenges that ENs and VR agencies face in effectively serving beneficiaries.</w:t>
      </w:r>
      <w:bookmarkEnd w:id="9"/>
      <w:r w:rsidR="00772198">
        <w:rPr>
          <w:rFonts w:ascii="Times New Roman" w:hAnsi="Times New Roman" w:cs="Times New Roman"/>
          <w:sz w:val="24"/>
          <w:szCs w:val="24"/>
        </w:rPr>
        <w:t xml:space="preserve">  </w:t>
      </w:r>
      <w:r w:rsidR="00E879C3">
        <w:rPr>
          <w:rFonts w:ascii="Times New Roman" w:hAnsi="Times New Roman" w:cs="Times New Roman"/>
          <w:sz w:val="24"/>
          <w:szCs w:val="24"/>
        </w:rPr>
        <w:t xml:space="preserve">SSA does not routinely collect </w:t>
      </w:r>
      <w:r w:rsidR="006F78BB">
        <w:rPr>
          <w:rFonts w:ascii="Times New Roman" w:hAnsi="Times New Roman" w:cs="Times New Roman"/>
          <w:sz w:val="24"/>
          <w:szCs w:val="24"/>
        </w:rPr>
        <w:t xml:space="preserve">comprehensive and systematic </w:t>
      </w:r>
      <w:r w:rsidR="00E879C3">
        <w:rPr>
          <w:rFonts w:ascii="Times New Roman" w:hAnsi="Times New Roman" w:cs="Times New Roman"/>
          <w:sz w:val="24"/>
          <w:szCs w:val="24"/>
        </w:rPr>
        <w:t xml:space="preserve">information on EN service provision, nor does it collect detailed information from providers on their rationale for decisions or responses to SSA requirements; having this information may be key to </w:t>
      </w:r>
      <w:r w:rsidR="007B11CD">
        <w:rPr>
          <w:rFonts w:ascii="Times New Roman" w:hAnsi="Times New Roman" w:cs="Times New Roman"/>
          <w:sz w:val="24"/>
          <w:szCs w:val="24"/>
        </w:rPr>
        <w:t xml:space="preserve">program effectiveness. </w:t>
      </w:r>
      <w:r w:rsidR="00E63492">
        <w:rPr>
          <w:rFonts w:ascii="Times New Roman" w:hAnsi="Times New Roman" w:cs="Times New Roman"/>
          <w:sz w:val="24"/>
          <w:szCs w:val="24"/>
        </w:rPr>
        <w:t xml:space="preserve"> </w:t>
      </w:r>
      <w:r w:rsidR="007160CC">
        <w:rPr>
          <w:rFonts w:ascii="Times New Roman" w:hAnsi="Times New Roman" w:cs="Times New Roman"/>
          <w:sz w:val="24"/>
          <w:szCs w:val="24"/>
        </w:rPr>
        <w:t>Attachments A1a-A1g, A2a-A2g, and A3a-A3g include t</w:t>
      </w:r>
      <w:r w:rsidRPr="00EE016F" w:rsidR="007160CC">
        <w:rPr>
          <w:rFonts w:ascii="Times New Roman" w:hAnsi="Times New Roman" w:cs="Times New Roman"/>
          <w:sz w:val="24"/>
          <w:szCs w:val="24"/>
        </w:rPr>
        <w:t xml:space="preserve">he provider survey outreach materials, consent statements, and instruments. </w:t>
      </w:r>
    </w:p>
    <w:p w:rsidR="00772198" w:rsidP="00772198" w14:paraId="3B6AA4EF" w14:textId="77777777">
      <w:pPr>
        <w:pStyle w:val="ParagraphContinued"/>
        <w:numPr>
          <w:ilvl w:val="1"/>
          <w:numId w:val="34"/>
        </w:numPr>
        <w:spacing w:before="0" w:line="276" w:lineRule="auto"/>
        <w:rPr>
          <w:rFonts w:ascii="Times New Roman" w:hAnsi="Times New Roman" w:cs="Times New Roman"/>
          <w:sz w:val="24"/>
          <w:szCs w:val="24"/>
        </w:rPr>
      </w:pPr>
      <w:r w:rsidRPr="00BC1A14">
        <w:rPr>
          <w:rFonts w:ascii="Times New Roman" w:hAnsi="Times New Roman" w:cs="Times New Roman"/>
          <w:b/>
          <w:sz w:val="24"/>
          <w:szCs w:val="24"/>
        </w:rPr>
        <w:t>Purpose.</w:t>
      </w:r>
      <w:r w:rsidRPr="00BC1A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A14">
        <w:rPr>
          <w:rFonts w:ascii="Times New Roman" w:hAnsi="Times New Roman" w:cs="Times New Roman"/>
          <w:sz w:val="24"/>
          <w:szCs w:val="24"/>
        </w:rPr>
        <w:t>The purpose of th</w:t>
      </w:r>
      <w:r>
        <w:rPr>
          <w:rFonts w:ascii="Times New Roman" w:hAnsi="Times New Roman" w:cs="Times New Roman"/>
          <w:sz w:val="24"/>
          <w:szCs w:val="24"/>
        </w:rPr>
        <w:t>e</w:t>
      </w:r>
      <w:r w:rsidRPr="00BC1A14">
        <w:rPr>
          <w:rFonts w:ascii="Times New Roman" w:hAnsi="Times New Roman" w:cs="Times New Roman"/>
          <w:sz w:val="24"/>
          <w:szCs w:val="24"/>
        </w:rPr>
        <w:t xml:space="preserve"> surveys is to collect quantifiable information that is not available in SSA’s administrative records and to gather it directly from service providers delivering Ticket Act services. </w:t>
      </w:r>
      <w:r>
        <w:rPr>
          <w:rFonts w:ascii="Times New Roman" w:hAnsi="Times New Roman" w:cs="Times New Roman"/>
          <w:sz w:val="24"/>
          <w:szCs w:val="24"/>
        </w:rPr>
        <w:t xml:space="preserve"> </w:t>
      </w:r>
      <w:r w:rsidRPr="00BC1A14">
        <w:rPr>
          <w:rFonts w:ascii="Times New Roman" w:hAnsi="Times New Roman" w:cs="Times New Roman"/>
          <w:sz w:val="24"/>
          <w:szCs w:val="24"/>
        </w:rPr>
        <w:t xml:space="preserve">Through the surveys, three types of Ticket Act service providers will share information about their organizations and approaches to service delivery, the challenges of operating as a service provider, and considerations for program improvement. </w:t>
      </w:r>
      <w:r>
        <w:rPr>
          <w:rFonts w:ascii="Times New Roman" w:hAnsi="Times New Roman" w:cs="Times New Roman"/>
          <w:sz w:val="24"/>
          <w:szCs w:val="24"/>
        </w:rPr>
        <w:t xml:space="preserve"> </w:t>
      </w:r>
      <w:r w:rsidRPr="00BC1A14">
        <w:rPr>
          <w:rFonts w:ascii="Times New Roman" w:hAnsi="Times New Roman" w:cs="Times New Roman"/>
          <w:sz w:val="24"/>
          <w:szCs w:val="24"/>
        </w:rPr>
        <w:t xml:space="preserve">Mathematica will </w:t>
      </w:r>
      <w:r w:rsidRPr="00BC1A14" w:rsidR="00660C5C">
        <w:rPr>
          <w:rFonts w:ascii="Times New Roman" w:hAnsi="Times New Roman" w:cs="Times New Roman"/>
          <w:sz w:val="24"/>
          <w:szCs w:val="24"/>
        </w:rPr>
        <w:t xml:space="preserve">synthesize findings based on provider surveys, </w:t>
      </w:r>
      <w:r w:rsidRPr="00BC1A14">
        <w:rPr>
          <w:rFonts w:ascii="Times New Roman" w:hAnsi="Times New Roman" w:cs="Times New Roman"/>
          <w:sz w:val="24"/>
          <w:szCs w:val="24"/>
        </w:rPr>
        <w:t>qualitative interviews</w:t>
      </w:r>
      <w:r w:rsidRPr="00BC1A14" w:rsidR="00660C5C">
        <w:rPr>
          <w:rFonts w:ascii="Times New Roman" w:hAnsi="Times New Roman" w:cs="Times New Roman"/>
          <w:sz w:val="24"/>
          <w:szCs w:val="24"/>
        </w:rPr>
        <w:t>,</w:t>
      </w:r>
      <w:r w:rsidRPr="00BC1A14">
        <w:rPr>
          <w:rFonts w:ascii="Times New Roman" w:hAnsi="Times New Roman" w:cs="Times New Roman"/>
          <w:sz w:val="24"/>
          <w:szCs w:val="24"/>
        </w:rPr>
        <w:t xml:space="preserve"> and analyses of </w:t>
      </w:r>
      <w:r w:rsidRPr="00BC1A14" w:rsidR="00660C5C">
        <w:rPr>
          <w:rFonts w:ascii="Times New Roman" w:hAnsi="Times New Roman" w:cs="Times New Roman"/>
          <w:sz w:val="24"/>
          <w:szCs w:val="24"/>
        </w:rPr>
        <w:t>existing SSA data on Ticket Act providers and participants</w:t>
      </w:r>
      <w:r w:rsidRPr="00BC1A14">
        <w:rPr>
          <w:rFonts w:ascii="Times New Roman" w:hAnsi="Times New Roman" w:cs="Times New Roman"/>
          <w:sz w:val="24"/>
          <w:szCs w:val="24"/>
        </w:rPr>
        <w:t xml:space="preserve"> </w:t>
      </w:r>
      <w:r w:rsidRPr="00BC1A14" w:rsidR="00660C5C">
        <w:rPr>
          <w:rFonts w:ascii="Times New Roman" w:hAnsi="Times New Roman" w:cs="Times New Roman"/>
          <w:sz w:val="24"/>
          <w:szCs w:val="24"/>
        </w:rPr>
        <w:t>in its</w:t>
      </w:r>
      <w:r w:rsidRPr="00BC1A14">
        <w:rPr>
          <w:rFonts w:ascii="Times New Roman" w:hAnsi="Times New Roman" w:cs="Times New Roman"/>
          <w:sz w:val="24"/>
          <w:szCs w:val="24"/>
        </w:rPr>
        <w:t xml:space="preserve"> </w:t>
      </w:r>
      <w:r w:rsidRPr="00BC1A14" w:rsidR="00660C5C">
        <w:rPr>
          <w:rFonts w:ascii="Times New Roman" w:hAnsi="Times New Roman" w:cs="Times New Roman"/>
          <w:sz w:val="24"/>
          <w:szCs w:val="24"/>
        </w:rPr>
        <w:t xml:space="preserve">evaluation </w:t>
      </w:r>
      <w:r w:rsidRPr="00BC1A14">
        <w:rPr>
          <w:rFonts w:ascii="Times New Roman" w:hAnsi="Times New Roman" w:cs="Times New Roman"/>
          <w:sz w:val="24"/>
          <w:szCs w:val="24"/>
        </w:rPr>
        <w:t>reports.</w:t>
      </w:r>
    </w:p>
    <w:p w:rsidR="00772198" w:rsidP="00772198" w14:paraId="18DEEB31" w14:textId="3954EEDD">
      <w:pPr>
        <w:pStyle w:val="ParagraphContinued"/>
        <w:numPr>
          <w:ilvl w:val="1"/>
          <w:numId w:val="34"/>
        </w:numPr>
        <w:spacing w:before="0" w:line="276" w:lineRule="auto"/>
        <w:rPr>
          <w:rFonts w:ascii="Times New Roman" w:hAnsi="Times New Roman" w:cs="Times New Roman"/>
          <w:sz w:val="24"/>
          <w:szCs w:val="24"/>
        </w:rPr>
      </w:pPr>
      <w:r w:rsidRPr="00772198">
        <w:rPr>
          <w:rFonts w:ascii="Times New Roman" w:hAnsi="Times New Roman" w:cs="Times New Roman"/>
          <w:b/>
          <w:sz w:val="24"/>
          <w:szCs w:val="24"/>
        </w:rPr>
        <w:t>Populations and mode.</w:t>
      </w:r>
      <w:r w:rsidRPr="00772198">
        <w:rPr>
          <w:rFonts w:ascii="Times New Roman" w:hAnsi="Times New Roman" w:cs="Times New Roman"/>
          <w:b/>
          <w:sz w:val="24"/>
          <w:szCs w:val="24"/>
        </w:rPr>
        <w:t xml:space="preserve"> </w:t>
      </w:r>
      <w:r w:rsidRPr="00772198">
        <w:rPr>
          <w:rFonts w:ascii="Times New Roman" w:hAnsi="Times New Roman" w:cs="Times New Roman"/>
          <w:sz w:val="24"/>
          <w:szCs w:val="24"/>
        </w:rPr>
        <w:t xml:space="preserve"> </w:t>
      </w:r>
      <w:r w:rsidRPr="00772198" w:rsidR="00904791">
        <w:rPr>
          <w:rFonts w:ascii="Times New Roman" w:eastAsia="Calibri" w:hAnsi="Times New Roman" w:cs="Times New Roman"/>
          <w:sz w:val="24"/>
          <w:szCs w:val="24"/>
        </w:rPr>
        <w:t>Mathematica will field three concurrent surveys, each focusing on a specific type of Ticket Act service provider.</w:t>
      </w:r>
      <w:r w:rsidR="00E63492">
        <w:rPr>
          <w:rFonts w:ascii="Times New Roman" w:eastAsia="Calibri" w:hAnsi="Times New Roman" w:cs="Times New Roman"/>
          <w:sz w:val="24"/>
          <w:szCs w:val="24"/>
        </w:rPr>
        <w:t xml:space="preserve">  </w:t>
      </w:r>
      <w:r w:rsidRPr="00772198" w:rsidR="00904791">
        <w:rPr>
          <w:rFonts w:ascii="Times New Roman" w:eastAsia="Calibri" w:hAnsi="Times New Roman" w:cs="Times New Roman"/>
          <w:sz w:val="24"/>
          <w:szCs w:val="24"/>
        </w:rPr>
        <w:t xml:space="preserve">Mathematica will field </w:t>
      </w:r>
      <w:r w:rsidR="00407B84">
        <w:rPr>
          <w:rFonts w:ascii="Times New Roman" w:eastAsia="Calibri" w:hAnsi="Times New Roman" w:cs="Times New Roman"/>
          <w:sz w:val="24"/>
          <w:szCs w:val="24"/>
        </w:rPr>
        <w:t>the EN-VR survey to the 441 ENs and VR agencies, the WIPA survey to the 74 WIPA projects, and the PABSS survey to the 57 P&amp;A Agencies</w:t>
      </w:r>
      <w:r w:rsidR="004A4A96">
        <w:rPr>
          <w:rFonts w:ascii="Times New Roman" w:eastAsia="Calibri" w:hAnsi="Times New Roman" w:cs="Times New Roman"/>
          <w:sz w:val="24"/>
          <w:szCs w:val="24"/>
        </w:rPr>
        <w:t xml:space="preserve"> with PABSS grants</w:t>
      </w:r>
      <w:r w:rsidR="00407B84">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5"/>
      </w:r>
      <w:r w:rsidRPr="007721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2198">
        <w:rPr>
          <w:rFonts w:ascii="Times New Roman" w:hAnsi="Times New Roman" w:cs="Times New Roman"/>
          <w:sz w:val="24"/>
          <w:szCs w:val="24"/>
        </w:rPr>
        <w:t xml:space="preserve">These organizations have existing agreements with SSA to deliver services. </w:t>
      </w:r>
      <w:r>
        <w:rPr>
          <w:rFonts w:ascii="Times New Roman" w:hAnsi="Times New Roman" w:cs="Times New Roman"/>
          <w:sz w:val="24"/>
          <w:szCs w:val="24"/>
        </w:rPr>
        <w:t xml:space="preserve"> </w:t>
      </w:r>
      <w:bookmarkStart w:id="10" w:name="_Hlk206152237"/>
      <w:r w:rsidRPr="00772198">
        <w:rPr>
          <w:rFonts w:ascii="Times New Roman" w:hAnsi="Times New Roman" w:cs="Times New Roman"/>
          <w:sz w:val="24"/>
          <w:szCs w:val="24"/>
        </w:rPr>
        <w:t xml:space="preserve">Mathematica will invite one </w:t>
      </w:r>
      <w:r w:rsidR="00BF4A47">
        <w:rPr>
          <w:rFonts w:ascii="Times New Roman" w:hAnsi="Times New Roman" w:cs="Times New Roman"/>
          <w:sz w:val="24"/>
          <w:szCs w:val="24"/>
        </w:rPr>
        <w:t>staff member</w:t>
      </w:r>
      <w:r w:rsidRPr="00772198" w:rsidR="00BF4A47">
        <w:rPr>
          <w:rFonts w:ascii="Times New Roman" w:hAnsi="Times New Roman" w:cs="Times New Roman"/>
          <w:sz w:val="24"/>
          <w:szCs w:val="24"/>
        </w:rPr>
        <w:t xml:space="preserve"> </w:t>
      </w:r>
      <w:r w:rsidRPr="00772198">
        <w:rPr>
          <w:rFonts w:ascii="Times New Roman" w:hAnsi="Times New Roman" w:cs="Times New Roman"/>
          <w:sz w:val="24"/>
          <w:szCs w:val="24"/>
        </w:rPr>
        <w:t>from each of the</w:t>
      </w:r>
      <w:r w:rsidR="00996B20">
        <w:rPr>
          <w:rFonts w:ascii="Times New Roman" w:hAnsi="Times New Roman" w:cs="Times New Roman"/>
          <w:sz w:val="24"/>
          <w:szCs w:val="24"/>
        </w:rPr>
        <w:t>se</w:t>
      </w:r>
      <w:r w:rsidRPr="00772198">
        <w:rPr>
          <w:rFonts w:ascii="Times New Roman" w:hAnsi="Times New Roman" w:cs="Times New Roman"/>
          <w:sz w:val="24"/>
          <w:szCs w:val="24"/>
        </w:rPr>
        <w:t xml:space="preserve"> </w:t>
      </w:r>
      <w:r w:rsidR="00996B20">
        <w:rPr>
          <w:rFonts w:ascii="Times New Roman" w:hAnsi="Times New Roman" w:cs="Times New Roman"/>
          <w:sz w:val="24"/>
          <w:szCs w:val="24"/>
        </w:rPr>
        <w:t xml:space="preserve">ENs, VRs, WIPA projects, and P&amp;A agencies (totaling </w:t>
      </w:r>
      <w:r w:rsidRPr="00772198">
        <w:rPr>
          <w:rFonts w:ascii="Times New Roman" w:hAnsi="Times New Roman" w:cs="Times New Roman"/>
          <w:sz w:val="24"/>
          <w:szCs w:val="24"/>
        </w:rPr>
        <w:t>572 organizations</w:t>
      </w:r>
      <w:r w:rsidR="00996B20">
        <w:rPr>
          <w:rFonts w:ascii="Times New Roman" w:hAnsi="Times New Roman" w:cs="Times New Roman"/>
          <w:sz w:val="24"/>
          <w:szCs w:val="24"/>
        </w:rPr>
        <w:t>)</w:t>
      </w:r>
      <w:r w:rsidRPr="00772198">
        <w:rPr>
          <w:rFonts w:ascii="Times New Roman" w:hAnsi="Times New Roman" w:cs="Times New Roman"/>
          <w:sz w:val="24"/>
          <w:szCs w:val="24"/>
        </w:rPr>
        <w:t xml:space="preserve"> to respond</w:t>
      </w:r>
      <w:r w:rsidRPr="00772198">
        <w:rPr>
          <w:rFonts w:ascii="Times New Roman" w:eastAsia="Calibri" w:hAnsi="Times New Roman" w:cs="Times New Roman"/>
          <w:sz w:val="24"/>
          <w:szCs w:val="24"/>
        </w:rPr>
        <w:t xml:space="preserve"> as a representative on behalf of the </w:t>
      </w:r>
      <w:r w:rsidRPr="00772198">
        <w:rPr>
          <w:rFonts w:ascii="Times New Roman" w:eastAsia="Calibri" w:hAnsi="Times New Roman" w:cs="Times New Roman"/>
          <w:sz w:val="24"/>
          <w:szCs w:val="24"/>
        </w:rPr>
        <w:t>organization.</w:t>
      </w:r>
      <w:r>
        <w:rPr>
          <w:rFonts w:ascii="Times New Roman" w:eastAsia="Calibri" w:hAnsi="Times New Roman" w:cs="Times New Roman"/>
          <w:sz w:val="24"/>
          <w:szCs w:val="24"/>
        </w:rPr>
        <w:t xml:space="preserve">  </w:t>
      </w:r>
      <w:r w:rsidRPr="00772198">
        <w:rPr>
          <w:rFonts w:ascii="Times New Roman" w:hAnsi="Times New Roman" w:cs="Times New Roman"/>
          <w:sz w:val="24"/>
          <w:szCs w:val="24"/>
        </w:rPr>
        <w:t xml:space="preserve">Each organization’s representative will </w:t>
      </w:r>
      <w:r w:rsidRPr="00772198">
        <w:rPr>
          <w:rFonts w:ascii="Times New Roman" w:eastAsia="Calibri" w:hAnsi="Times New Roman" w:cs="Times New Roman"/>
          <w:sz w:val="24"/>
          <w:szCs w:val="24"/>
        </w:rPr>
        <w:t>complete an interview via a self</w:t>
      </w:r>
      <w:r>
        <w:rPr>
          <w:rFonts w:ascii="Times New Roman" w:eastAsia="Calibri" w:hAnsi="Times New Roman" w:cs="Times New Roman"/>
          <w:sz w:val="24"/>
          <w:szCs w:val="24"/>
        </w:rPr>
        <w:noBreakHyphen/>
      </w:r>
      <w:r w:rsidRPr="00772198">
        <w:rPr>
          <w:rFonts w:ascii="Times New Roman" w:eastAsia="Calibri" w:hAnsi="Times New Roman" w:cs="Times New Roman"/>
          <w:sz w:val="24"/>
          <w:szCs w:val="24"/>
        </w:rPr>
        <w:t>administered online survey</w:t>
      </w:r>
      <w:bookmarkEnd w:id="10"/>
      <w:r w:rsidRPr="00772198">
        <w:rPr>
          <w:rFonts w:ascii="Times New Roman" w:hAnsi="Times New Roman" w:cs="Times New Roman"/>
          <w:sz w:val="24"/>
          <w:szCs w:val="24"/>
        </w:rPr>
        <w:t xml:space="preserve">. </w:t>
      </w:r>
    </w:p>
    <w:p w:rsidR="00772198" w:rsidP="00772198" w14:paraId="7EF9B3A1" w14:textId="77777777">
      <w:pPr>
        <w:pStyle w:val="ParagraphContinued"/>
        <w:numPr>
          <w:ilvl w:val="1"/>
          <w:numId w:val="34"/>
        </w:numPr>
        <w:spacing w:before="0" w:line="276" w:lineRule="auto"/>
        <w:rPr>
          <w:rFonts w:ascii="Times New Roman" w:hAnsi="Times New Roman" w:cs="Times New Roman"/>
          <w:sz w:val="24"/>
          <w:szCs w:val="24"/>
        </w:rPr>
      </w:pPr>
      <w:r w:rsidRPr="00772198">
        <w:rPr>
          <w:rFonts w:ascii="Times New Roman" w:hAnsi="Times New Roman" w:cs="Times New Roman"/>
          <w:b/>
          <w:sz w:val="24"/>
          <w:szCs w:val="24"/>
        </w:rPr>
        <w:t>Frequency and timing of the information collection.</w:t>
      </w:r>
      <w:r w:rsidRPr="007721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2198">
        <w:rPr>
          <w:rFonts w:ascii="Times New Roman" w:hAnsi="Times New Roman" w:cs="Times New Roman"/>
          <w:sz w:val="24"/>
          <w:szCs w:val="24"/>
        </w:rPr>
        <w:t xml:space="preserve">Mathematica will administer each survey once over an eight-week period beginning within three months of receiving </w:t>
      </w:r>
      <w:r w:rsidRPr="00772198" w:rsidR="00E5793E">
        <w:rPr>
          <w:rFonts w:ascii="Times New Roman" w:hAnsi="Times New Roman" w:cs="Times New Roman"/>
          <w:sz w:val="24"/>
          <w:szCs w:val="24"/>
        </w:rPr>
        <w:t>Paperwork Reduction Act (</w:t>
      </w:r>
      <w:r w:rsidRPr="00772198">
        <w:rPr>
          <w:rFonts w:ascii="Times New Roman" w:hAnsi="Times New Roman" w:cs="Times New Roman"/>
          <w:sz w:val="24"/>
          <w:szCs w:val="24"/>
        </w:rPr>
        <w:t>PRA</w:t>
      </w:r>
      <w:r w:rsidRPr="00772198" w:rsidR="00E5793E">
        <w:rPr>
          <w:rFonts w:ascii="Times New Roman" w:hAnsi="Times New Roman" w:cs="Times New Roman"/>
          <w:sz w:val="24"/>
          <w:szCs w:val="24"/>
        </w:rPr>
        <w:t>)</w:t>
      </w:r>
      <w:r w:rsidRPr="00772198">
        <w:rPr>
          <w:rFonts w:ascii="Times New Roman" w:hAnsi="Times New Roman" w:cs="Times New Roman"/>
          <w:sz w:val="24"/>
          <w:szCs w:val="24"/>
        </w:rPr>
        <w:t xml:space="preserve"> </w:t>
      </w:r>
      <w:r>
        <w:rPr>
          <w:rFonts w:ascii="Times New Roman" w:hAnsi="Times New Roman" w:cs="Times New Roman"/>
          <w:sz w:val="24"/>
          <w:szCs w:val="24"/>
        </w:rPr>
        <w:t>approval</w:t>
      </w:r>
      <w:r w:rsidRPr="00772198">
        <w:rPr>
          <w:rFonts w:ascii="Times New Roman" w:hAnsi="Times New Roman" w:cs="Times New Roman"/>
          <w:sz w:val="24"/>
          <w:szCs w:val="24"/>
        </w:rPr>
        <w:t>.</w:t>
      </w:r>
    </w:p>
    <w:p w:rsidR="00714864" w:rsidP="00714864" w14:paraId="23A13F95" w14:textId="77777777">
      <w:pPr>
        <w:pStyle w:val="ParagraphContinued"/>
        <w:numPr>
          <w:ilvl w:val="1"/>
          <w:numId w:val="34"/>
        </w:numPr>
        <w:spacing w:before="0" w:line="276" w:lineRule="auto"/>
        <w:rPr>
          <w:rFonts w:ascii="Times New Roman" w:hAnsi="Times New Roman" w:cs="Times New Roman"/>
          <w:sz w:val="24"/>
          <w:szCs w:val="24"/>
        </w:rPr>
      </w:pPr>
      <w:r w:rsidRPr="00772198">
        <w:rPr>
          <w:rFonts w:ascii="Times New Roman" w:hAnsi="Times New Roman" w:cs="Times New Roman"/>
          <w:b/>
          <w:sz w:val="24"/>
          <w:szCs w:val="24"/>
        </w:rPr>
        <w:t>Voluntary participation.</w:t>
      </w:r>
      <w:r w:rsidRPr="00772198">
        <w:rPr>
          <w:rFonts w:ascii="Times New Roman" w:hAnsi="Times New Roman" w:cs="Times New Roman"/>
          <w:sz w:val="24"/>
          <w:szCs w:val="24"/>
        </w:rPr>
        <w:t xml:space="preserve"> </w:t>
      </w:r>
      <w:r w:rsidR="00772198">
        <w:rPr>
          <w:rFonts w:ascii="Times New Roman" w:hAnsi="Times New Roman" w:cs="Times New Roman"/>
          <w:sz w:val="24"/>
          <w:szCs w:val="24"/>
        </w:rPr>
        <w:t xml:space="preserve"> </w:t>
      </w:r>
      <w:r w:rsidRPr="00772198">
        <w:rPr>
          <w:rFonts w:ascii="Times New Roman" w:hAnsi="Times New Roman" w:cs="Times New Roman"/>
          <w:sz w:val="24"/>
          <w:szCs w:val="24"/>
        </w:rPr>
        <w:t xml:space="preserve">All three surveys are voluntary. </w:t>
      </w:r>
      <w:r w:rsidR="00772198">
        <w:rPr>
          <w:rFonts w:ascii="Times New Roman" w:hAnsi="Times New Roman" w:cs="Times New Roman"/>
          <w:sz w:val="24"/>
          <w:szCs w:val="24"/>
        </w:rPr>
        <w:t xml:space="preserve"> </w:t>
      </w:r>
      <w:r w:rsidRPr="00772198">
        <w:rPr>
          <w:rFonts w:ascii="Times New Roman" w:hAnsi="Times New Roman" w:cs="Times New Roman"/>
          <w:sz w:val="24"/>
          <w:szCs w:val="24"/>
        </w:rPr>
        <w:t xml:space="preserve">A service provider’s decision to take part in the survey (or not) will not have any impact on its relationship with SSA or the funding it receives. </w:t>
      </w:r>
      <w:r>
        <w:rPr>
          <w:rFonts w:ascii="Times New Roman" w:hAnsi="Times New Roman" w:cs="Times New Roman"/>
          <w:sz w:val="24"/>
          <w:szCs w:val="24"/>
        </w:rPr>
        <w:t xml:space="preserve"> </w:t>
      </w:r>
      <w:r w:rsidRPr="00772198">
        <w:rPr>
          <w:rFonts w:ascii="Times New Roman" w:hAnsi="Times New Roman" w:cs="Times New Roman"/>
          <w:snapToGrid w:val="0"/>
          <w:sz w:val="24"/>
          <w:szCs w:val="24"/>
        </w:rPr>
        <w:t xml:space="preserve">SSA will use the </w:t>
      </w:r>
      <w:r w:rsidRPr="00772198">
        <w:rPr>
          <w:rFonts w:ascii="Times New Roman" w:hAnsi="Times New Roman" w:cs="Times New Roman"/>
          <w:sz w:val="24"/>
          <w:szCs w:val="24"/>
        </w:rPr>
        <w:t>survey</w:t>
      </w:r>
      <w:r w:rsidRPr="00772198">
        <w:rPr>
          <w:rFonts w:ascii="Times New Roman" w:hAnsi="Times New Roman" w:cs="Times New Roman"/>
          <w:snapToGrid w:val="0"/>
          <w:sz w:val="24"/>
          <w:szCs w:val="24"/>
        </w:rPr>
        <w:t xml:space="preserve"> results for research only, not for monitoring or auditing particular providers</w:t>
      </w:r>
      <w:r w:rsidRPr="007721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2198">
        <w:rPr>
          <w:rFonts w:ascii="Times New Roman" w:hAnsi="Times New Roman" w:cs="Times New Roman"/>
          <w:sz w:val="24"/>
          <w:szCs w:val="24"/>
        </w:rPr>
        <w:t xml:space="preserve">The outreach materials include this information in a consent statement. </w:t>
      </w:r>
      <w:r>
        <w:rPr>
          <w:rFonts w:ascii="Times New Roman" w:hAnsi="Times New Roman" w:cs="Times New Roman"/>
          <w:sz w:val="24"/>
          <w:szCs w:val="24"/>
        </w:rPr>
        <w:t xml:space="preserve"> </w:t>
      </w:r>
      <w:r w:rsidRPr="00772198">
        <w:rPr>
          <w:rFonts w:ascii="Times New Roman" w:hAnsi="Times New Roman" w:cs="Times New Roman"/>
          <w:sz w:val="24"/>
          <w:szCs w:val="24"/>
        </w:rPr>
        <w:t xml:space="preserve">The survey starts with a question to ask providers whether they consent to take the survey. </w:t>
      </w:r>
      <w:r>
        <w:rPr>
          <w:rFonts w:ascii="Times New Roman" w:hAnsi="Times New Roman" w:cs="Times New Roman"/>
          <w:sz w:val="24"/>
          <w:szCs w:val="24"/>
        </w:rPr>
        <w:t xml:space="preserve"> </w:t>
      </w:r>
      <w:r w:rsidRPr="00772198">
        <w:rPr>
          <w:rFonts w:ascii="Times New Roman" w:hAnsi="Times New Roman" w:cs="Times New Roman"/>
          <w:sz w:val="24"/>
          <w:szCs w:val="24"/>
        </w:rPr>
        <w:t xml:space="preserve">Providers who do not consent will terminate the survey and Mathematica will conduct no further follow-up. </w:t>
      </w:r>
      <w:r>
        <w:rPr>
          <w:rFonts w:ascii="Times New Roman" w:hAnsi="Times New Roman" w:cs="Times New Roman"/>
          <w:sz w:val="24"/>
          <w:szCs w:val="24"/>
        </w:rPr>
        <w:t xml:space="preserve"> </w:t>
      </w:r>
      <w:r w:rsidRPr="00772198">
        <w:rPr>
          <w:rFonts w:ascii="Times New Roman" w:hAnsi="Times New Roman" w:cs="Times New Roman"/>
          <w:sz w:val="24"/>
          <w:szCs w:val="24"/>
        </w:rPr>
        <w:t>If fewer than 80 percent of providers participate, we will conduct a non</w:t>
      </w:r>
      <w:r w:rsidRPr="00772198">
        <w:rPr>
          <w:rFonts w:ascii="Times New Roman" w:hAnsi="Times New Roman" w:cs="Times New Roman"/>
          <w:sz w:val="24"/>
          <w:szCs w:val="24"/>
        </w:rPr>
        <w:noBreakHyphen/>
        <w:t>response bias analysis to understand the extent to which responses are representative of all service providers.</w:t>
      </w:r>
    </w:p>
    <w:p w:rsidR="00714864" w:rsidRPr="00714864" w:rsidP="00714864" w14:paraId="79AD480F" w14:textId="77777777">
      <w:pPr>
        <w:pStyle w:val="ParagraphContinued"/>
        <w:numPr>
          <w:ilvl w:val="1"/>
          <w:numId w:val="34"/>
        </w:numPr>
        <w:spacing w:before="0" w:line="276" w:lineRule="auto"/>
        <w:rPr>
          <w:rFonts w:ascii="Times New Roman" w:hAnsi="Times New Roman" w:cs="Times New Roman"/>
          <w:sz w:val="24"/>
          <w:szCs w:val="24"/>
        </w:rPr>
      </w:pPr>
      <w:r w:rsidRPr="00714864">
        <w:rPr>
          <w:rFonts w:ascii="Times New Roman" w:eastAsia="Calibri" w:hAnsi="Times New Roman" w:cs="Times New Roman"/>
          <w:b/>
          <w:sz w:val="24"/>
          <w:szCs w:val="24"/>
        </w:rPr>
        <w:t>Notifications and access.</w:t>
      </w:r>
      <w:r>
        <w:rPr>
          <w:rFonts w:ascii="Times New Roman" w:eastAsia="Calibri" w:hAnsi="Times New Roman" w:cs="Times New Roman"/>
          <w:b/>
          <w:sz w:val="24"/>
          <w:szCs w:val="24"/>
        </w:rPr>
        <w:t xml:space="preserve"> </w:t>
      </w:r>
      <w:r w:rsidRPr="00714864">
        <w:rPr>
          <w:rFonts w:ascii="Times New Roman" w:eastAsia="Calibri" w:hAnsi="Times New Roman" w:cs="Times New Roman"/>
          <w:sz w:val="24"/>
          <w:szCs w:val="24"/>
        </w:rPr>
        <w:t xml:space="preserve"> </w:t>
      </w:r>
      <w:r w:rsidRPr="00714864">
        <w:rPr>
          <w:rFonts w:ascii="Times New Roman" w:hAnsi="Times New Roman" w:cs="Times New Roman"/>
          <w:sz w:val="24"/>
          <w:szCs w:val="24"/>
        </w:rPr>
        <w:t xml:space="preserve">The outreach materials notify service providers about the Ticket </w:t>
      </w:r>
      <w:r w:rsidRPr="00714864" w:rsidR="00A21832">
        <w:rPr>
          <w:rFonts w:ascii="Times New Roman" w:hAnsi="Times New Roman" w:cs="Times New Roman"/>
          <w:sz w:val="24"/>
          <w:szCs w:val="24"/>
        </w:rPr>
        <w:t>to Work P</w:t>
      </w:r>
      <w:r w:rsidRPr="00714864">
        <w:rPr>
          <w:rFonts w:ascii="Times New Roman" w:hAnsi="Times New Roman" w:cs="Times New Roman"/>
          <w:sz w:val="24"/>
          <w:szCs w:val="24"/>
        </w:rPr>
        <w:t>rogram</w:t>
      </w:r>
      <w:r w:rsidRPr="00714864" w:rsidR="00A21832">
        <w:rPr>
          <w:rFonts w:ascii="Times New Roman" w:hAnsi="Times New Roman" w:cs="Times New Roman"/>
          <w:sz w:val="24"/>
          <w:szCs w:val="24"/>
        </w:rPr>
        <w:t xml:space="preserve"> Evaluation</w:t>
      </w:r>
      <w:r w:rsidRPr="007148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864">
        <w:rPr>
          <w:rFonts w:ascii="Times New Roman" w:hAnsi="Times New Roman" w:cs="Times New Roman"/>
          <w:sz w:val="24"/>
          <w:szCs w:val="24"/>
        </w:rPr>
        <w:t xml:space="preserve">Some providers may already be aware of the evaluation as part of previous outreach inviting them to participate in listening sessions that occurred in 2024. </w:t>
      </w:r>
      <w:r>
        <w:rPr>
          <w:rFonts w:ascii="Times New Roman" w:hAnsi="Times New Roman" w:cs="Times New Roman"/>
          <w:sz w:val="24"/>
          <w:szCs w:val="24"/>
        </w:rPr>
        <w:t xml:space="preserve"> </w:t>
      </w:r>
      <w:r w:rsidRPr="00714864">
        <w:rPr>
          <w:rFonts w:ascii="Times New Roman" w:eastAsia="Calibri" w:hAnsi="Times New Roman" w:cs="Times New Roman"/>
          <w:sz w:val="24"/>
          <w:szCs w:val="24"/>
        </w:rPr>
        <w:t>Mathematica will identify the point of contact for each provider fro</w:t>
      </w:r>
      <w:r w:rsidRPr="00714864">
        <w:rPr>
          <w:rFonts w:ascii="Times New Roman" w:eastAsia="Times New Roman" w:hAnsi="Times New Roman" w:cs="Times New Roman"/>
          <w:sz w:val="24"/>
          <w:szCs w:val="24"/>
        </w:rPr>
        <w:t>m</w:t>
      </w:r>
      <w:r w:rsidRPr="00714864">
        <w:rPr>
          <w:rFonts w:ascii="Times New Roman" w:eastAsia="Calibri" w:hAnsi="Times New Roman" w:cs="Times New Roman"/>
          <w:sz w:val="24"/>
          <w:szCs w:val="24"/>
        </w:rPr>
        <w:t xml:space="preserve"> SSA’s administrative records. </w:t>
      </w:r>
      <w:r>
        <w:rPr>
          <w:rFonts w:ascii="Times New Roman" w:eastAsia="Calibri" w:hAnsi="Times New Roman" w:cs="Times New Roman"/>
          <w:sz w:val="24"/>
          <w:szCs w:val="24"/>
        </w:rPr>
        <w:t xml:space="preserve"> </w:t>
      </w:r>
      <w:r w:rsidRPr="00714864">
        <w:rPr>
          <w:rFonts w:ascii="Times New Roman" w:eastAsia="Calibri" w:hAnsi="Times New Roman" w:cs="Times New Roman"/>
          <w:sz w:val="24"/>
          <w:szCs w:val="24"/>
        </w:rPr>
        <w:t>SSA and Mathematica will send an initial letter and follow-up emails to the points of contact inviting them to take part in the survey.</w:t>
      </w:r>
      <w:r>
        <w:rPr>
          <w:rFonts w:ascii="Times New Roman" w:eastAsia="Calibri" w:hAnsi="Times New Roman" w:cs="Times New Roman"/>
          <w:sz w:val="24"/>
          <w:szCs w:val="24"/>
        </w:rPr>
        <w:t xml:space="preserve">  </w:t>
      </w:r>
      <w:r w:rsidRPr="00714864">
        <w:rPr>
          <w:rFonts w:ascii="Times New Roman" w:eastAsia="Calibri" w:hAnsi="Times New Roman" w:cs="Times New Roman"/>
          <w:sz w:val="24"/>
          <w:szCs w:val="24"/>
        </w:rPr>
        <w:t xml:space="preserve">Mathematica will place a telephone reminder call to </w:t>
      </w:r>
      <w:r w:rsidRPr="00714864">
        <w:rPr>
          <w:rFonts w:ascii="Times New Roman" w:hAnsi="Times New Roman" w:cs="Times New Roman"/>
          <w:sz w:val="24"/>
          <w:szCs w:val="24"/>
        </w:rPr>
        <w:t>nonresponding</w:t>
      </w:r>
      <w:r w:rsidRPr="00714864">
        <w:rPr>
          <w:rFonts w:ascii="Times New Roman" w:eastAsia="Calibri" w:hAnsi="Times New Roman" w:cs="Times New Roman"/>
          <w:sz w:val="24"/>
          <w:szCs w:val="24"/>
        </w:rPr>
        <w:t xml:space="preserve"> providers to ensure the point of contact is correct and to address any questions.</w:t>
      </w:r>
      <w:r>
        <w:rPr>
          <w:rFonts w:ascii="Times New Roman" w:eastAsia="Calibri" w:hAnsi="Times New Roman" w:cs="Times New Roman"/>
          <w:sz w:val="24"/>
          <w:szCs w:val="24"/>
        </w:rPr>
        <w:t xml:space="preserve"> </w:t>
      </w:r>
      <w:r w:rsidRPr="00714864">
        <w:rPr>
          <w:rFonts w:ascii="Times New Roman" w:eastAsia="Calibri" w:hAnsi="Times New Roman" w:cs="Times New Roman"/>
          <w:sz w:val="24"/>
          <w:szCs w:val="24"/>
        </w:rPr>
        <w:t xml:space="preserve"> Providers will access the survey through a personalized web link provided in the initial letter and follow-up emails. </w:t>
      </w:r>
    </w:p>
    <w:p w:rsidR="00714864" w:rsidP="00714864" w14:paraId="49E177B9" w14:textId="77777777">
      <w:pPr>
        <w:pStyle w:val="ParagraphContinued"/>
        <w:numPr>
          <w:ilvl w:val="1"/>
          <w:numId w:val="34"/>
        </w:numPr>
        <w:spacing w:before="0" w:line="276" w:lineRule="auto"/>
        <w:rPr>
          <w:rFonts w:ascii="Times New Roman" w:hAnsi="Times New Roman" w:cs="Times New Roman"/>
          <w:sz w:val="24"/>
          <w:szCs w:val="24"/>
        </w:rPr>
      </w:pPr>
      <w:r w:rsidRPr="00714864">
        <w:rPr>
          <w:rFonts w:ascii="Times New Roman" w:hAnsi="Times New Roman" w:cs="Times New Roman"/>
          <w:b/>
          <w:sz w:val="24"/>
          <w:szCs w:val="24"/>
        </w:rPr>
        <w:t>Psychological costs.</w:t>
      </w:r>
      <w:r w:rsidRPr="007148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864">
        <w:rPr>
          <w:rFonts w:ascii="Times New Roman" w:hAnsi="Times New Roman" w:cs="Times New Roman"/>
          <w:sz w:val="24"/>
          <w:szCs w:val="24"/>
        </w:rPr>
        <w:t xml:space="preserve">We do not foresee any psychological costs to participation in any of the three provider surveys. </w:t>
      </w:r>
      <w:r>
        <w:rPr>
          <w:rFonts w:ascii="Times New Roman" w:hAnsi="Times New Roman" w:cs="Times New Roman"/>
          <w:sz w:val="24"/>
          <w:szCs w:val="24"/>
        </w:rPr>
        <w:t xml:space="preserve"> </w:t>
      </w:r>
      <w:r w:rsidRPr="00714864">
        <w:rPr>
          <w:rFonts w:ascii="Times New Roman" w:hAnsi="Times New Roman" w:cs="Times New Roman"/>
          <w:sz w:val="24"/>
          <w:szCs w:val="24"/>
        </w:rPr>
        <w:t>Although there will be questions about challenges the provider faces in service delivery, these questions are no more sensitive than the typical topics respondents discuss in their day-to-day roles.</w:t>
      </w:r>
      <w:r>
        <w:rPr>
          <w:rFonts w:ascii="Times New Roman" w:hAnsi="Times New Roman" w:cs="Times New Roman"/>
          <w:sz w:val="24"/>
          <w:szCs w:val="24"/>
        </w:rPr>
        <w:t xml:space="preserve"> </w:t>
      </w:r>
      <w:r w:rsidRPr="00714864">
        <w:rPr>
          <w:rFonts w:ascii="Times New Roman" w:hAnsi="Times New Roman" w:cs="Times New Roman"/>
          <w:sz w:val="24"/>
          <w:szCs w:val="24"/>
        </w:rPr>
        <w:t xml:space="preserve"> Further, respondents can skip any question they do not feel comfortable answering and consult with others if they prefer not to answer a question independently. </w:t>
      </w:r>
    </w:p>
    <w:p w:rsidR="00714864" w:rsidP="00714864" w14:paraId="5F82611C" w14:textId="77777777">
      <w:pPr>
        <w:pStyle w:val="ParagraphContinued"/>
        <w:numPr>
          <w:ilvl w:val="0"/>
          <w:numId w:val="34"/>
        </w:numPr>
        <w:spacing w:before="0" w:line="276" w:lineRule="auto"/>
        <w:rPr>
          <w:rFonts w:ascii="Times New Roman" w:hAnsi="Times New Roman" w:cs="Times New Roman"/>
          <w:sz w:val="24"/>
          <w:szCs w:val="24"/>
        </w:rPr>
      </w:pPr>
      <w:bookmarkStart w:id="11" w:name="_Hlk206152259"/>
      <w:r w:rsidRPr="00714864">
        <w:rPr>
          <w:rFonts w:ascii="Times New Roman" w:hAnsi="Times New Roman" w:cs="Times New Roman"/>
          <w:b/>
          <w:sz w:val="24"/>
          <w:szCs w:val="24"/>
        </w:rPr>
        <w:t>Qualitative interviews with Ticketholders (“qualitative data collection”)</w:t>
      </w:r>
      <w:bookmarkEnd w:id="11"/>
      <w:r w:rsidRPr="00714864">
        <w:rPr>
          <w:rFonts w:ascii="Times New Roman" w:hAnsi="Times New Roman" w:cs="Times New Roman"/>
          <w:b/>
          <w:sz w:val="24"/>
          <w:szCs w:val="24"/>
        </w:rPr>
        <w:t>.</w:t>
      </w:r>
      <w:r>
        <w:rPr>
          <w:rFonts w:ascii="Times New Roman" w:hAnsi="Times New Roman" w:cs="Times New Roman"/>
          <w:sz w:val="24"/>
          <w:szCs w:val="24"/>
        </w:rPr>
        <w:t xml:space="preserve">  </w:t>
      </w:r>
      <w:r w:rsidRPr="00714864" w:rsidR="006F2333">
        <w:rPr>
          <w:rFonts w:ascii="Times New Roman" w:hAnsi="Times New Roman" w:cs="Times New Roman"/>
          <w:sz w:val="24"/>
          <w:szCs w:val="24"/>
        </w:rPr>
        <w:t>I</w:t>
      </w:r>
      <w:r w:rsidRPr="00714864">
        <w:rPr>
          <w:rFonts w:ascii="Times New Roman" w:hAnsi="Times New Roman" w:cs="Times New Roman"/>
          <w:sz w:val="24"/>
          <w:szCs w:val="24"/>
        </w:rPr>
        <w:t xml:space="preserve">nterviews </w:t>
      </w:r>
      <w:r w:rsidRPr="00714864" w:rsidR="00A04DA7">
        <w:rPr>
          <w:rFonts w:ascii="Times New Roman" w:hAnsi="Times New Roman" w:cs="Times New Roman"/>
          <w:sz w:val="24"/>
          <w:szCs w:val="24"/>
        </w:rPr>
        <w:t xml:space="preserve">with Ticketholders </w:t>
      </w:r>
      <w:r w:rsidRPr="00714864">
        <w:rPr>
          <w:rFonts w:ascii="Times New Roman" w:hAnsi="Times New Roman" w:cs="Times New Roman"/>
          <w:sz w:val="24"/>
          <w:szCs w:val="24"/>
        </w:rPr>
        <w:t xml:space="preserve">will </w:t>
      </w:r>
      <w:bookmarkStart w:id="12" w:name="_Hlk206152301"/>
      <w:r w:rsidRPr="00714864">
        <w:rPr>
          <w:rFonts w:ascii="Times New Roman" w:hAnsi="Times New Roman" w:cs="Times New Roman"/>
          <w:sz w:val="24"/>
          <w:szCs w:val="24"/>
        </w:rPr>
        <w:t>provide a platform for open-ended, guided discussions in which interviewees can share their experiences with the Ticket Act programs</w:t>
      </w:r>
      <w:r w:rsidRPr="00714864" w:rsidR="00067E5D">
        <w:rPr>
          <w:rFonts w:ascii="Times New Roman" w:hAnsi="Times New Roman" w:cs="Times New Roman"/>
          <w:sz w:val="24"/>
          <w:szCs w:val="24"/>
        </w:rPr>
        <w:t>, including their ability to find a provider at all</w:t>
      </w:r>
      <w:r>
        <w:rPr>
          <w:rFonts w:ascii="Times New Roman" w:hAnsi="Times New Roman" w:cs="Times New Roman"/>
          <w:sz w:val="24"/>
          <w:szCs w:val="24"/>
        </w:rPr>
        <w:t xml:space="preserve">; </w:t>
      </w:r>
      <w:r w:rsidRPr="00714864" w:rsidR="00067E5D">
        <w:rPr>
          <w:rFonts w:ascii="Times New Roman" w:hAnsi="Times New Roman" w:cs="Times New Roman"/>
          <w:sz w:val="24"/>
          <w:szCs w:val="24"/>
        </w:rPr>
        <w:t xml:space="preserve">find a provider who could </w:t>
      </w:r>
      <w:r w:rsidRPr="00714864" w:rsidR="00067E5D">
        <w:rPr>
          <w:rFonts w:ascii="Times New Roman" w:hAnsi="Times New Roman" w:cs="Times New Roman"/>
          <w:sz w:val="24"/>
          <w:szCs w:val="24"/>
        </w:rPr>
        <w:t>meet their employment service needs</w:t>
      </w:r>
      <w:r>
        <w:rPr>
          <w:rFonts w:ascii="Times New Roman" w:hAnsi="Times New Roman" w:cs="Times New Roman"/>
          <w:sz w:val="24"/>
          <w:szCs w:val="24"/>
        </w:rPr>
        <w:t>;</w:t>
      </w:r>
      <w:r w:rsidRPr="00714864" w:rsidR="00067E5D">
        <w:rPr>
          <w:rFonts w:ascii="Times New Roman" w:hAnsi="Times New Roman" w:cs="Times New Roman"/>
          <w:sz w:val="24"/>
          <w:szCs w:val="24"/>
        </w:rPr>
        <w:t xml:space="preserve"> and experiences with services affecting their employment outcomes</w:t>
      </w:r>
      <w:bookmarkEnd w:id="12"/>
      <w:r w:rsidRPr="007148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864" w:rsidR="006A37D4">
        <w:rPr>
          <w:rFonts w:ascii="Times New Roman" w:hAnsi="Times New Roman" w:cs="Times New Roman"/>
          <w:sz w:val="24"/>
          <w:szCs w:val="24"/>
        </w:rPr>
        <w:t xml:space="preserve">The findings from the qualitative interviews with Ticketholders will </w:t>
      </w:r>
      <w:r w:rsidRPr="00714864" w:rsidR="007F383C">
        <w:rPr>
          <w:rFonts w:ascii="Times New Roman" w:hAnsi="Times New Roman" w:cs="Times New Roman"/>
          <w:sz w:val="24"/>
          <w:szCs w:val="24"/>
        </w:rPr>
        <w:t>identify barriers to service access</w:t>
      </w:r>
      <w:r w:rsidRPr="00714864" w:rsidR="00852FCE">
        <w:rPr>
          <w:rFonts w:ascii="Times New Roman" w:hAnsi="Times New Roman" w:cs="Times New Roman"/>
          <w:sz w:val="24"/>
          <w:szCs w:val="24"/>
        </w:rPr>
        <w:t xml:space="preserve"> and highlight any changes to service delivery that could potentially improve the</w:t>
      </w:r>
      <w:r w:rsidRPr="00714864" w:rsidR="006A37D4">
        <w:rPr>
          <w:rFonts w:ascii="Times New Roman" w:hAnsi="Times New Roman" w:cs="Times New Roman"/>
          <w:sz w:val="24"/>
          <w:szCs w:val="24"/>
        </w:rPr>
        <w:t xml:space="preserve"> effectiveness of Ticket Act program services.</w:t>
      </w:r>
      <w:r>
        <w:rPr>
          <w:rFonts w:ascii="Times New Roman" w:hAnsi="Times New Roman" w:cs="Times New Roman"/>
          <w:sz w:val="24"/>
          <w:szCs w:val="24"/>
        </w:rPr>
        <w:t xml:space="preserve"> </w:t>
      </w:r>
      <w:r w:rsidRPr="00714864" w:rsidR="006A37D4">
        <w:rPr>
          <w:rFonts w:ascii="Times New Roman" w:hAnsi="Times New Roman" w:cs="Times New Roman"/>
          <w:sz w:val="24"/>
          <w:szCs w:val="24"/>
        </w:rPr>
        <w:t xml:space="preserve"> </w:t>
      </w:r>
      <w:r w:rsidRPr="00714864" w:rsidR="00994943">
        <w:rPr>
          <w:rFonts w:ascii="Times New Roman" w:hAnsi="Times New Roman" w:cs="Times New Roman"/>
          <w:sz w:val="24"/>
          <w:szCs w:val="24"/>
        </w:rPr>
        <w:t>Attachments B1a, B1b, and B2 contain t</w:t>
      </w:r>
      <w:r w:rsidRPr="00714864">
        <w:rPr>
          <w:rFonts w:ascii="Times New Roman" w:hAnsi="Times New Roman" w:cs="Times New Roman"/>
          <w:sz w:val="24"/>
          <w:szCs w:val="24"/>
        </w:rPr>
        <w:t>he outreach materials, screening questions, and interview topics.</w:t>
      </w:r>
    </w:p>
    <w:p w:rsidR="00714864" w:rsidP="00714864" w14:paraId="3101F3B0" w14:textId="77777777">
      <w:pPr>
        <w:pStyle w:val="ParagraphContinued"/>
        <w:numPr>
          <w:ilvl w:val="1"/>
          <w:numId w:val="34"/>
        </w:numPr>
        <w:spacing w:before="0" w:line="276" w:lineRule="auto"/>
        <w:rPr>
          <w:rFonts w:ascii="Times New Roman" w:hAnsi="Times New Roman" w:cs="Times New Roman"/>
          <w:sz w:val="24"/>
          <w:szCs w:val="24"/>
        </w:rPr>
      </w:pPr>
      <w:r w:rsidRPr="00714864">
        <w:rPr>
          <w:rFonts w:ascii="Times New Roman" w:hAnsi="Times New Roman" w:cs="Times New Roman"/>
          <w:b/>
          <w:sz w:val="24"/>
          <w:szCs w:val="24"/>
        </w:rPr>
        <w:t>Purpose.</w:t>
      </w:r>
      <w:r w:rsidRPr="007148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864">
        <w:rPr>
          <w:rFonts w:ascii="Times New Roman" w:hAnsi="Times New Roman" w:cs="Times New Roman"/>
          <w:sz w:val="24"/>
          <w:szCs w:val="24"/>
        </w:rPr>
        <w:t xml:space="preserve">The purpose </w:t>
      </w:r>
      <w:r w:rsidRPr="00714864" w:rsidR="000C3576">
        <w:rPr>
          <w:rFonts w:ascii="Times New Roman" w:hAnsi="Times New Roman" w:cs="Times New Roman"/>
          <w:sz w:val="24"/>
          <w:szCs w:val="24"/>
        </w:rPr>
        <w:t>of the qualitative interviews</w:t>
      </w:r>
      <w:r w:rsidRPr="00714864">
        <w:rPr>
          <w:rFonts w:ascii="Times New Roman" w:hAnsi="Times New Roman" w:cs="Times New Roman"/>
          <w:sz w:val="24"/>
          <w:szCs w:val="24"/>
        </w:rPr>
        <w:t xml:space="preserve"> is to collect </w:t>
      </w:r>
      <w:r w:rsidRPr="00714864" w:rsidR="003D7F4C">
        <w:rPr>
          <w:rFonts w:ascii="Times New Roman" w:hAnsi="Times New Roman" w:cs="Times New Roman"/>
          <w:sz w:val="24"/>
          <w:szCs w:val="24"/>
        </w:rPr>
        <w:t xml:space="preserve">qualitative </w:t>
      </w:r>
      <w:r w:rsidRPr="00714864">
        <w:rPr>
          <w:rFonts w:ascii="Times New Roman" w:hAnsi="Times New Roman" w:cs="Times New Roman"/>
          <w:sz w:val="24"/>
          <w:szCs w:val="24"/>
        </w:rPr>
        <w:t xml:space="preserve">information </w:t>
      </w:r>
      <w:r w:rsidRPr="00714864" w:rsidR="00405005">
        <w:rPr>
          <w:rFonts w:ascii="Times New Roman" w:hAnsi="Times New Roman" w:cs="Times New Roman"/>
          <w:sz w:val="24"/>
          <w:szCs w:val="24"/>
        </w:rPr>
        <w:t xml:space="preserve">that is not available in SSA’s administrative records </w:t>
      </w:r>
      <w:r w:rsidRPr="00714864">
        <w:rPr>
          <w:rFonts w:ascii="Times New Roman" w:hAnsi="Times New Roman" w:cs="Times New Roman"/>
          <w:sz w:val="24"/>
          <w:szCs w:val="24"/>
        </w:rPr>
        <w:t>from</w:t>
      </w:r>
      <w:r w:rsidRPr="00714864" w:rsidR="00822369">
        <w:rPr>
          <w:rFonts w:ascii="Times New Roman" w:hAnsi="Times New Roman" w:cs="Times New Roman"/>
          <w:sz w:val="24"/>
          <w:szCs w:val="24"/>
        </w:rPr>
        <w:t xml:space="preserve"> </w:t>
      </w:r>
      <w:r w:rsidRPr="00714864" w:rsidR="006879D8">
        <w:rPr>
          <w:rFonts w:ascii="Times New Roman" w:hAnsi="Times New Roman" w:cs="Times New Roman"/>
          <w:sz w:val="24"/>
          <w:szCs w:val="24"/>
        </w:rPr>
        <w:t>Ticketholders</w:t>
      </w:r>
      <w:r w:rsidRPr="00714864" w:rsidR="00BE68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864">
        <w:rPr>
          <w:rFonts w:ascii="Times New Roman" w:hAnsi="Times New Roman" w:cs="Times New Roman"/>
          <w:sz w:val="24"/>
          <w:szCs w:val="24"/>
        </w:rPr>
        <w:t>Through the</w:t>
      </w:r>
      <w:r w:rsidRPr="00714864" w:rsidR="00E0112D">
        <w:rPr>
          <w:rFonts w:ascii="Times New Roman" w:hAnsi="Times New Roman" w:cs="Times New Roman"/>
          <w:sz w:val="24"/>
          <w:szCs w:val="24"/>
        </w:rPr>
        <w:t xml:space="preserve"> </w:t>
      </w:r>
      <w:r w:rsidRPr="00714864" w:rsidR="00F709D1">
        <w:rPr>
          <w:rFonts w:ascii="Times New Roman" w:hAnsi="Times New Roman" w:cs="Times New Roman"/>
          <w:sz w:val="24"/>
          <w:szCs w:val="24"/>
        </w:rPr>
        <w:t>qualitative</w:t>
      </w:r>
      <w:r w:rsidRPr="00714864" w:rsidR="00E0112D">
        <w:rPr>
          <w:rFonts w:ascii="Times New Roman" w:hAnsi="Times New Roman" w:cs="Times New Roman"/>
          <w:sz w:val="24"/>
          <w:szCs w:val="24"/>
        </w:rPr>
        <w:t xml:space="preserve"> interviews, </w:t>
      </w:r>
      <w:r w:rsidRPr="00714864" w:rsidR="007D20EA">
        <w:rPr>
          <w:rFonts w:ascii="Times New Roman" w:hAnsi="Times New Roman" w:cs="Times New Roman"/>
          <w:sz w:val="24"/>
          <w:szCs w:val="24"/>
        </w:rPr>
        <w:t xml:space="preserve">Mathematica </w:t>
      </w:r>
      <w:r w:rsidRPr="00714864">
        <w:rPr>
          <w:rFonts w:ascii="Times New Roman" w:hAnsi="Times New Roman" w:cs="Times New Roman"/>
          <w:sz w:val="24"/>
          <w:szCs w:val="24"/>
        </w:rPr>
        <w:t xml:space="preserve">will provide SSA with information </w:t>
      </w:r>
      <w:r w:rsidRPr="00714864" w:rsidR="009D0C30">
        <w:rPr>
          <w:rFonts w:ascii="Times New Roman" w:hAnsi="Times New Roman" w:cs="Times New Roman"/>
          <w:sz w:val="24"/>
          <w:szCs w:val="24"/>
        </w:rPr>
        <w:t xml:space="preserve">that </w:t>
      </w:r>
      <w:r w:rsidRPr="00714864" w:rsidR="000C3576">
        <w:rPr>
          <w:rFonts w:ascii="Times New Roman" w:hAnsi="Times New Roman" w:cs="Times New Roman"/>
          <w:sz w:val="24"/>
          <w:szCs w:val="24"/>
        </w:rPr>
        <w:t>serve</w:t>
      </w:r>
      <w:r w:rsidRPr="00714864" w:rsidR="006879D8">
        <w:rPr>
          <w:rFonts w:ascii="Times New Roman" w:hAnsi="Times New Roman" w:cs="Times New Roman"/>
          <w:sz w:val="24"/>
          <w:szCs w:val="24"/>
        </w:rPr>
        <w:t>s</w:t>
      </w:r>
      <w:r w:rsidRPr="00714864" w:rsidR="009D0C30">
        <w:rPr>
          <w:rFonts w:ascii="Times New Roman" w:hAnsi="Times New Roman" w:cs="Times New Roman"/>
          <w:sz w:val="24"/>
          <w:szCs w:val="24"/>
        </w:rPr>
        <w:t xml:space="preserve"> to answer the research questions in the evaluation.</w:t>
      </w:r>
      <w:r w:rsidRPr="00714864" w:rsidR="005B6F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864" w:rsidR="005B6F1D">
        <w:rPr>
          <w:rFonts w:ascii="Times New Roman" w:hAnsi="Times New Roman" w:cs="Times New Roman"/>
          <w:sz w:val="24"/>
          <w:szCs w:val="24"/>
        </w:rPr>
        <w:t xml:space="preserve">Specifically, </w:t>
      </w:r>
      <w:bookmarkStart w:id="13" w:name="_Hlk206152342"/>
      <w:r w:rsidRPr="00714864" w:rsidR="00A95FAF">
        <w:rPr>
          <w:rFonts w:ascii="Times New Roman" w:hAnsi="Times New Roman" w:cs="Times New Roman"/>
          <w:sz w:val="24"/>
          <w:szCs w:val="24"/>
        </w:rPr>
        <w:t>the interview findings</w:t>
      </w:r>
      <w:r w:rsidRPr="00714864" w:rsidR="005B6F1D">
        <w:rPr>
          <w:rFonts w:ascii="Times New Roman" w:hAnsi="Times New Roman" w:cs="Times New Roman"/>
          <w:sz w:val="24"/>
          <w:szCs w:val="24"/>
        </w:rPr>
        <w:t xml:space="preserve"> will </w:t>
      </w:r>
      <w:r w:rsidRPr="00714864" w:rsidR="000C3576">
        <w:rPr>
          <w:rFonts w:ascii="Times New Roman" w:hAnsi="Times New Roman" w:cs="Times New Roman"/>
          <w:sz w:val="24"/>
          <w:szCs w:val="24"/>
        </w:rPr>
        <w:t>help</w:t>
      </w:r>
      <w:r w:rsidRPr="00714864" w:rsidR="00D54366">
        <w:rPr>
          <w:rFonts w:ascii="Times New Roman" w:hAnsi="Times New Roman" w:cs="Times New Roman"/>
          <w:sz w:val="24"/>
          <w:szCs w:val="24"/>
        </w:rPr>
        <w:t xml:space="preserve"> assess </w:t>
      </w:r>
      <w:r w:rsidRPr="00714864" w:rsidR="005B6F1D">
        <w:rPr>
          <w:rFonts w:ascii="Times New Roman" w:hAnsi="Times New Roman" w:cs="Times New Roman"/>
          <w:sz w:val="24"/>
          <w:szCs w:val="24"/>
        </w:rPr>
        <w:t>the extent to which Ticket Act programs are working effectively</w:t>
      </w:r>
      <w:r w:rsidRPr="00714864" w:rsidR="00D00593">
        <w:rPr>
          <w:rFonts w:ascii="Times New Roman" w:hAnsi="Times New Roman" w:cs="Times New Roman"/>
          <w:sz w:val="24"/>
          <w:szCs w:val="24"/>
        </w:rPr>
        <w:t xml:space="preserve"> and</w:t>
      </w:r>
      <w:r w:rsidRPr="00714864" w:rsidR="005B6F1D">
        <w:rPr>
          <w:rFonts w:ascii="Times New Roman" w:hAnsi="Times New Roman" w:cs="Times New Roman"/>
          <w:sz w:val="24"/>
          <w:szCs w:val="24"/>
        </w:rPr>
        <w:t xml:space="preserve"> efficiently and what opportunities may be available to improve the achievement of program outcomes. </w:t>
      </w:r>
      <w:bookmarkEnd w:id="13"/>
      <w:r>
        <w:rPr>
          <w:rFonts w:ascii="Times New Roman" w:hAnsi="Times New Roman" w:cs="Times New Roman"/>
          <w:sz w:val="24"/>
          <w:szCs w:val="24"/>
        </w:rPr>
        <w:t xml:space="preserve"> </w:t>
      </w:r>
      <w:r w:rsidRPr="00714864" w:rsidR="00A95FAF">
        <w:rPr>
          <w:rFonts w:ascii="Times New Roman" w:hAnsi="Times New Roman" w:cs="Times New Roman"/>
          <w:sz w:val="24"/>
          <w:szCs w:val="24"/>
        </w:rPr>
        <w:t>Mathematica</w:t>
      </w:r>
      <w:r w:rsidRPr="00714864" w:rsidR="00D54366">
        <w:rPr>
          <w:rFonts w:ascii="Times New Roman" w:hAnsi="Times New Roman" w:cs="Times New Roman"/>
          <w:sz w:val="24"/>
          <w:szCs w:val="24"/>
        </w:rPr>
        <w:t xml:space="preserve"> will </w:t>
      </w:r>
      <w:r w:rsidRPr="00714864" w:rsidR="00A95FAF">
        <w:rPr>
          <w:rFonts w:ascii="Times New Roman" w:hAnsi="Times New Roman" w:cs="Times New Roman"/>
          <w:sz w:val="24"/>
          <w:szCs w:val="24"/>
        </w:rPr>
        <w:t>use the interview findings</w:t>
      </w:r>
      <w:r w:rsidRPr="00714864" w:rsidR="00D54366">
        <w:rPr>
          <w:rFonts w:ascii="Times New Roman" w:hAnsi="Times New Roman" w:cs="Times New Roman"/>
          <w:sz w:val="24"/>
          <w:szCs w:val="24"/>
        </w:rPr>
        <w:t xml:space="preserve"> in combination with </w:t>
      </w:r>
      <w:r w:rsidRPr="00714864" w:rsidR="00C177A5">
        <w:rPr>
          <w:rFonts w:ascii="Times New Roman" w:hAnsi="Times New Roman" w:cs="Times New Roman"/>
          <w:sz w:val="24"/>
          <w:szCs w:val="24"/>
        </w:rPr>
        <w:t>the</w:t>
      </w:r>
      <w:r w:rsidRPr="00714864" w:rsidR="00D54366">
        <w:rPr>
          <w:rFonts w:ascii="Times New Roman" w:hAnsi="Times New Roman" w:cs="Times New Roman"/>
          <w:sz w:val="24"/>
          <w:szCs w:val="24"/>
        </w:rPr>
        <w:t xml:space="preserve"> survey data</w:t>
      </w:r>
      <w:r w:rsidRPr="00714864" w:rsidR="00715DC9">
        <w:rPr>
          <w:rFonts w:ascii="Times New Roman" w:hAnsi="Times New Roman" w:cs="Times New Roman"/>
          <w:sz w:val="24"/>
          <w:szCs w:val="24"/>
        </w:rPr>
        <w:t xml:space="preserve"> and </w:t>
      </w:r>
      <w:r w:rsidRPr="00714864" w:rsidR="004B6C13">
        <w:rPr>
          <w:rFonts w:ascii="Times New Roman" w:hAnsi="Times New Roman" w:cs="Times New Roman"/>
          <w:sz w:val="24"/>
          <w:szCs w:val="24"/>
        </w:rPr>
        <w:t xml:space="preserve">SSA’s </w:t>
      </w:r>
      <w:r w:rsidRPr="00714864" w:rsidR="00660C5C">
        <w:rPr>
          <w:rFonts w:ascii="Times New Roman" w:hAnsi="Times New Roman" w:cs="Times New Roman"/>
          <w:sz w:val="24"/>
          <w:szCs w:val="24"/>
        </w:rPr>
        <w:t>existing data</w:t>
      </w:r>
      <w:r w:rsidRPr="00714864" w:rsidR="00715DC9">
        <w:rPr>
          <w:rFonts w:ascii="Times New Roman" w:hAnsi="Times New Roman" w:cs="Times New Roman"/>
          <w:sz w:val="24"/>
          <w:szCs w:val="24"/>
        </w:rPr>
        <w:t xml:space="preserve"> to c</w:t>
      </w:r>
      <w:r w:rsidRPr="00714864" w:rsidR="00D54366">
        <w:rPr>
          <w:rFonts w:ascii="Times New Roman" w:hAnsi="Times New Roman" w:cs="Times New Roman"/>
          <w:sz w:val="24"/>
          <w:szCs w:val="24"/>
        </w:rPr>
        <w:t>reat</w:t>
      </w:r>
      <w:r w:rsidRPr="00714864" w:rsidR="00715DC9">
        <w:rPr>
          <w:rFonts w:ascii="Times New Roman" w:hAnsi="Times New Roman" w:cs="Times New Roman"/>
          <w:sz w:val="24"/>
          <w:szCs w:val="24"/>
        </w:rPr>
        <w:t>e</w:t>
      </w:r>
      <w:r w:rsidRPr="00714864" w:rsidR="00D54366">
        <w:rPr>
          <w:rFonts w:ascii="Times New Roman" w:hAnsi="Times New Roman" w:cs="Times New Roman"/>
          <w:sz w:val="24"/>
          <w:szCs w:val="24"/>
        </w:rPr>
        <w:t xml:space="preserve"> </w:t>
      </w:r>
      <w:r w:rsidRPr="00714864" w:rsidR="00F52086">
        <w:rPr>
          <w:rFonts w:ascii="Times New Roman" w:hAnsi="Times New Roman" w:cs="Times New Roman"/>
          <w:sz w:val="24"/>
          <w:szCs w:val="24"/>
        </w:rPr>
        <w:t xml:space="preserve">the evaluation </w:t>
      </w:r>
      <w:r w:rsidRPr="00714864" w:rsidR="00D54366">
        <w:rPr>
          <w:rFonts w:ascii="Times New Roman" w:hAnsi="Times New Roman" w:cs="Times New Roman"/>
          <w:sz w:val="24"/>
          <w:szCs w:val="24"/>
        </w:rPr>
        <w:t>reports</w:t>
      </w:r>
      <w:r w:rsidRPr="00714864" w:rsidR="00F52086">
        <w:rPr>
          <w:rFonts w:ascii="Times New Roman" w:hAnsi="Times New Roman" w:cs="Times New Roman"/>
          <w:sz w:val="24"/>
          <w:szCs w:val="24"/>
        </w:rPr>
        <w:t>.</w:t>
      </w:r>
      <w:r w:rsidRPr="00714864" w:rsidR="00D54366">
        <w:rPr>
          <w:rFonts w:ascii="Times New Roman" w:hAnsi="Times New Roman" w:cs="Times New Roman"/>
          <w:sz w:val="24"/>
          <w:szCs w:val="24"/>
        </w:rPr>
        <w:t xml:space="preserve"> </w:t>
      </w:r>
    </w:p>
    <w:p w:rsidR="00535A27" w:rsidRPr="00535A27" w:rsidP="00535A27" w14:paraId="1D0AF0C5" w14:textId="77777777">
      <w:pPr>
        <w:pStyle w:val="ParagraphContinued"/>
        <w:numPr>
          <w:ilvl w:val="1"/>
          <w:numId w:val="34"/>
        </w:numPr>
        <w:spacing w:before="0" w:line="276" w:lineRule="auto"/>
        <w:rPr>
          <w:rFonts w:ascii="Times New Roman" w:hAnsi="Times New Roman" w:cs="Times New Roman"/>
          <w:sz w:val="24"/>
          <w:szCs w:val="24"/>
        </w:rPr>
      </w:pPr>
      <w:r w:rsidRPr="00714864">
        <w:rPr>
          <w:rFonts w:ascii="Times New Roman" w:hAnsi="Times New Roman" w:cs="Times New Roman"/>
          <w:b/>
          <w:sz w:val="24"/>
          <w:szCs w:val="24"/>
        </w:rPr>
        <w:t>Population</w:t>
      </w:r>
      <w:r w:rsidRPr="00714864" w:rsidR="00AC06DF">
        <w:rPr>
          <w:rFonts w:ascii="Times New Roman" w:hAnsi="Times New Roman" w:cs="Times New Roman"/>
          <w:b/>
          <w:sz w:val="24"/>
          <w:szCs w:val="24"/>
        </w:rPr>
        <w:t>s</w:t>
      </w:r>
      <w:r w:rsidRPr="00714864">
        <w:rPr>
          <w:rFonts w:ascii="Times New Roman" w:hAnsi="Times New Roman" w:cs="Times New Roman"/>
          <w:b/>
          <w:sz w:val="24"/>
          <w:szCs w:val="24"/>
        </w:rPr>
        <w:t xml:space="preserve"> and mode.</w:t>
      </w:r>
      <w:r w:rsidRPr="00714864">
        <w:rPr>
          <w:rFonts w:ascii="Times New Roman" w:hAnsi="Times New Roman" w:cs="Times New Roman"/>
          <w:sz w:val="24"/>
          <w:szCs w:val="24"/>
        </w:rPr>
        <w:t xml:space="preserve"> </w:t>
      </w:r>
      <w:r w:rsidR="00714864">
        <w:rPr>
          <w:rFonts w:ascii="Times New Roman" w:hAnsi="Times New Roman" w:cs="Times New Roman"/>
          <w:sz w:val="24"/>
          <w:szCs w:val="24"/>
        </w:rPr>
        <w:t xml:space="preserve"> </w:t>
      </w:r>
      <w:r w:rsidRPr="00714864">
        <w:rPr>
          <w:rFonts w:ascii="Times New Roman" w:hAnsi="Times New Roman" w:cs="Times New Roman"/>
          <w:sz w:val="24"/>
          <w:szCs w:val="24"/>
        </w:rPr>
        <w:t>The</w:t>
      </w:r>
      <w:r w:rsidRPr="00714864" w:rsidR="00FE7374">
        <w:rPr>
          <w:rFonts w:ascii="Times New Roman" w:hAnsi="Times New Roman" w:cs="Times New Roman"/>
          <w:sz w:val="24"/>
          <w:szCs w:val="24"/>
        </w:rPr>
        <w:t xml:space="preserve">se </w:t>
      </w:r>
      <w:r w:rsidRPr="00714864" w:rsidR="008706A8">
        <w:rPr>
          <w:rFonts w:ascii="Times New Roman" w:hAnsi="Times New Roman" w:cs="Times New Roman"/>
          <w:sz w:val="24"/>
          <w:szCs w:val="24"/>
        </w:rPr>
        <w:t>qualitative</w:t>
      </w:r>
      <w:r w:rsidRPr="00714864" w:rsidR="00455679">
        <w:rPr>
          <w:rFonts w:ascii="Times New Roman" w:hAnsi="Times New Roman" w:cs="Times New Roman"/>
          <w:sz w:val="24"/>
          <w:szCs w:val="24"/>
        </w:rPr>
        <w:t xml:space="preserve"> </w:t>
      </w:r>
      <w:r w:rsidRPr="00714864" w:rsidR="00FE7374">
        <w:rPr>
          <w:rFonts w:ascii="Times New Roman" w:hAnsi="Times New Roman" w:cs="Times New Roman"/>
          <w:sz w:val="24"/>
          <w:szCs w:val="24"/>
        </w:rPr>
        <w:t xml:space="preserve">interviews include </w:t>
      </w:r>
      <w:r w:rsidRPr="00714864" w:rsidR="006879D8">
        <w:rPr>
          <w:rFonts w:ascii="Times New Roman" w:hAnsi="Times New Roman" w:cs="Times New Roman"/>
          <w:sz w:val="24"/>
          <w:szCs w:val="24"/>
        </w:rPr>
        <w:t>Ticketholder</w:t>
      </w:r>
      <w:r w:rsidRPr="00714864" w:rsidR="00FE7374">
        <w:rPr>
          <w:rFonts w:ascii="Times New Roman" w:hAnsi="Times New Roman" w:cs="Times New Roman"/>
          <w:sz w:val="24"/>
          <w:szCs w:val="24"/>
        </w:rPr>
        <w:t>s</w:t>
      </w:r>
      <w:r w:rsidRPr="00714864" w:rsidR="00C20848">
        <w:rPr>
          <w:rFonts w:ascii="Times New Roman" w:hAnsi="Times New Roman" w:cs="Times New Roman"/>
          <w:sz w:val="24"/>
          <w:szCs w:val="24"/>
        </w:rPr>
        <w:t>.</w:t>
      </w:r>
      <w:r>
        <w:rPr>
          <w:rFonts w:ascii="Times New Roman" w:hAnsi="Times New Roman" w:cs="Times New Roman"/>
          <w:sz w:val="24"/>
          <w:szCs w:val="24"/>
        </w:rPr>
        <w:t xml:space="preserve">  </w:t>
      </w:r>
      <w:bookmarkStart w:id="14" w:name="_Hlk206152390"/>
      <w:r w:rsidRPr="00714864" w:rsidR="00E95400">
        <w:rPr>
          <w:rFonts w:ascii="Times New Roman" w:hAnsi="Times New Roman" w:cs="Times New Roman"/>
          <w:sz w:val="24"/>
          <w:szCs w:val="24"/>
        </w:rPr>
        <w:t xml:space="preserve">Mathematica will use existing SSA records to select a random sample of </w:t>
      </w:r>
      <w:r w:rsidRPr="00714864" w:rsidR="00D8003A">
        <w:rPr>
          <w:rFonts w:ascii="Times New Roman" w:hAnsi="Times New Roman" w:cs="Times New Roman"/>
          <w:sz w:val="24"/>
          <w:szCs w:val="24"/>
        </w:rPr>
        <w:t>Ticketholders</w:t>
      </w:r>
      <w:r w:rsidRPr="00714864" w:rsidR="00E95400">
        <w:rPr>
          <w:rFonts w:ascii="Times New Roman" w:hAnsi="Times New Roman" w:cs="Times New Roman"/>
          <w:sz w:val="24"/>
          <w:szCs w:val="24"/>
        </w:rPr>
        <w:t xml:space="preserve"> and invite them to participate in interviews</w:t>
      </w:r>
      <w:bookmarkEnd w:id="14"/>
      <w:r w:rsidRPr="00714864" w:rsidR="00E95400">
        <w:rPr>
          <w:rFonts w:ascii="Times New Roman" w:hAnsi="Times New Roman" w:cs="Times New Roman"/>
          <w:sz w:val="24"/>
          <w:szCs w:val="24"/>
        </w:rPr>
        <w:t>.</w:t>
      </w:r>
      <w:r w:rsidR="00A37341">
        <w:rPr>
          <w:rFonts w:ascii="Times New Roman" w:hAnsi="Times New Roman" w:cs="Times New Roman"/>
          <w:sz w:val="24"/>
          <w:szCs w:val="24"/>
        </w:rPr>
        <w:t xml:space="preserve"> </w:t>
      </w:r>
      <w:r w:rsidRPr="00714864" w:rsidR="00E95400">
        <w:rPr>
          <w:rFonts w:ascii="Times New Roman" w:hAnsi="Times New Roman" w:cs="Times New Roman"/>
          <w:sz w:val="24"/>
          <w:szCs w:val="24"/>
        </w:rPr>
        <w:t xml:space="preserve"> </w:t>
      </w:r>
      <w:r w:rsidRPr="00714864" w:rsidR="00F57CB7">
        <w:rPr>
          <w:rFonts w:ascii="Times New Roman" w:hAnsi="Times New Roman" w:cs="Times New Roman"/>
          <w:sz w:val="24"/>
          <w:szCs w:val="24"/>
        </w:rPr>
        <w:t xml:space="preserve">Mathematica will use an interview guide to structure the discussions. </w:t>
      </w:r>
      <w:r w:rsidR="00A37341">
        <w:rPr>
          <w:rFonts w:ascii="Times New Roman" w:hAnsi="Times New Roman" w:cs="Times New Roman"/>
          <w:sz w:val="24"/>
          <w:szCs w:val="24"/>
        </w:rPr>
        <w:t xml:space="preserve"> </w:t>
      </w:r>
      <w:r w:rsidRPr="00714864" w:rsidR="008F31F1">
        <w:rPr>
          <w:rFonts w:ascii="Times New Roman" w:eastAsia="Calibri" w:hAnsi="Times New Roman" w:cs="Times New Roman"/>
          <w:sz w:val="24"/>
          <w:szCs w:val="24"/>
        </w:rPr>
        <w:t xml:space="preserve">The </w:t>
      </w:r>
      <w:r w:rsidRPr="00714864" w:rsidR="006879D8">
        <w:rPr>
          <w:rFonts w:ascii="Times New Roman" w:eastAsia="Calibri" w:hAnsi="Times New Roman" w:cs="Times New Roman"/>
          <w:sz w:val="24"/>
          <w:szCs w:val="24"/>
        </w:rPr>
        <w:t>Ticketholders interviewed</w:t>
      </w:r>
      <w:r w:rsidRPr="00714864" w:rsidR="00E34EBE">
        <w:rPr>
          <w:rFonts w:ascii="Times New Roman" w:eastAsia="Calibri" w:hAnsi="Times New Roman" w:cs="Times New Roman"/>
          <w:sz w:val="24"/>
          <w:szCs w:val="24"/>
        </w:rPr>
        <w:t xml:space="preserve"> will include </w:t>
      </w:r>
      <w:r w:rsidRPr="00714864" w:rsidR="008F31F1">
        <w:rPr>
          <w:rFonts w:ascii="Times New Roman" w:eastAsia="Calibri" w:hAnsi="Times New Roman" w:cs="Times New Roman"/>
          <w:sz w:val="24"/>
          <w:szCs w:val="24"/>
        </w:rPr>
        <w:t>TTW participants</w:t>
      </w:r>
      <w:r>
        <w:rPr>
          <w:rStyle w:val="FootnoteReference"/>
          <w:rFonts w:ascii="Times New Roman" w:hAnsi="Times New Roman" w:cs="Times New Roman"/>
          <w:sz w:val="24"/>
          <w:szCs w:val="24"/>
        </w:rPr>
        <w:footnoteReference w:id="6"/>
      </w:r>
      <w:r w:rsidRPr="00714864" w:rsidR="008F31F1">
        <w:rPr>
          <w:rFonts w:ascii="Times New Roman" w:eastAsia="Calibri" w:hAnsi="Times New Roman" w:cs="Times New Roman"/>
          <w:sz w:val="24"/>
          <w:szCs w:val="24"/>
        </w:rPr>
        <w:t xml:space="preserve"> and non-participants</w:t>
      </w:r>
      <w:r w:rsidRPr="00714864" w:rsidR="00986D92">
        <w:rPr>
          <w:rFonts w:ascii="Times New Roman" w:eastAsia="Calibri" w:hAnsi="Times New Roman" w:cs="Times New Roman"/>
          <w:sz w:val="24"/>
          <w:szCs w:val="24"/>
        </w:rPr>
        <w:t xml:space="preserve"> (</w:t>
      </w:r>
      <w:r w:rsidRPr="00714864" w:rsidR="009153A2">
        <w:rPr>
          <w:rFonts w:ascii="Times New Roman" w:eastAsia="Calibri" w:hAnsi="Times New Roman" w:cs="Times New Roman"/>
          <w:sz w:val="24"/>
          <w:szCs w:val="24"/>
        </w:rPr>
        <w:t>Ticketholders who are working but did not participate in the TTW program)</w:t>
      </w:r>
      <w:r w:rsidR="005D2FC5">
        <w:rPr>
          <w:rFonts w:ascii="Times New Roman" w:eastAsia="Calibri" w:hAnsi="Times New Roman" w:cs="Times New Roman"/>
          <w:sz w:val="24"/>
          <w:szCs w:val="24"/>
        </w:rPr>
        <w:t>,</w:t>
      </w:r>
      <w:r w:rsidRPr="00714864" w:rsidR="008F31F1">
        <w:rPr>
          <w:rFonts w:ascii="Times New Roman" w:eastAsia="Calibri" w:hAnsi="Times New Roman" w:cs="Times New Roman"/>
          <w:sz w:val="24"/>
          <w:szCs w:val="24"/>
        </w:rPr>
        <w:t xml:space="preserve"> and WIPA </w:t>
      </w:r>
      <w:r w:rsidRPr="00714864" w:rsidR="006A37D4">
        <w:rPr>
          <w:rFonts w:ascii="Times New Roman" w:eastAsia="Calibri" w:hAnsi="Times New Roman" w:cs="Times New Roman"/>
          <w:sz w:val="24"/>
          <w:szCs w:val="24"/>
        </w:rPr>
        <w:t>participants</w:t>
      </w:r>
      <w:r>
        <w:rPr>
          <w:rStyle w:val="FootnoteReference"/>
          <w:rFonts w:ascii="Times New Roman" w:hAnsi="Times New Roman" w:cs="Times New Roman"/>
          <w:sz w:val="24"/>
          <w:szCs w:val="24"/>
        </w:rPr>
        <w:footnoteReference w:id="7"/>
      </w:r>
      <w:r w:rsidRPr="00714864" w:rsidR="00E34EBE">
        <w:rPr>
          <w:rFonts w:ascii="Times New Roman" w:eastAsia="Calibri" w:hAnsi="Times New Roman" w:cs="Times New Roman"/>
          <w:sz w:val="24"/>
          <w:szCs w:val="24"/>
        </w:rPr>
        <w:t xml:space="preserve"> and non-</w:t>
      </w:r>
      <w:r w:rsidRPr="00714864" w:rsidR="006A37D4">
        <w:rPr>
          <w:rFonts w:ascii="Times New Roman" w:eastAsia="Calibri" w:hAnsi="Times New Roman" w:cs="Times New Roman"/>
          <w:sz w:val="24"/>
          <w:szCs w:val="24"/>
        </w:rPr>
        <w:t>participants</w:t>
      </w:r>
      <w:r w:rsidRPr="00714864" w:rsidR="002D4FFA">
        <w:rPr>
          <w:rFonts w:ascii="Times New Roman" w:eastAsia="Calibri" w:hAnsi="Times New Roman" w:cs="Times New Roman"/>
          <w:sz w:val="24"/>
          <w:szCs w:val="24"/>
        </w:rPr>
        <w:t xml:space="preserve"> </w:t>
      </w:r>
      <w:r w:rsidRPr="00714864" w:rsidR="00B7687A">
        <w:rPr>
          <w:rFonts w:ascii="Times New Roman" w:eastAsia="Calibri" w:hAnsi="Times New Roman" w:cs="Times New Roman"/>
          <w:sz w:val="24"/>
          <w:szCs w:val="24"/>
        </w:rPr>
        <w:t>(Ticketholders who did not use WIPA services)</w:t>
      </w:r>
      <w:r w:rsidRPr="00714864" w:rsidR="008F31F1">
        <w:rPr>
          <w:rFonts w:ascii="Times New Roman" w:eastAsia="Calibri" w:hAnsi="Times New Roman" w:cs="Times New Roman"/>
          <w:sz w:val="24"/>
          <w:szCs w:val="24"/>
        </w:rPr>
        <w:t xml:space="preserve">. </w:t>
      </w:r>
      <w:r w:rsidR="005D2FC5">
        <w:rPr>
          <w:rFonts w:ascii="Times New Roman" w:eastAsia="Calibri" w:hAnsi="Times New Roman" w:cs="Times New Roman"/>
          <w:sz w:val="24"/>
          <w:szCs w:val="24"/>
        </w:rPr>
        <w:t xml:space="preserve"> </w:t>
      </w:r>
      <w:r w:rsidRPr="00714864" w:rsidR="00E902EC">
        <w:rPr>
          <w:rFonts w:ascii="Times New Roman" w:eastAsia="Calibri" w:hAnsi="Times New Roman" w:cs="Times New Roman"/>
          <w:sz w:val="24"/>
          <w:szCs w:val="24"/>
        </w:rPr>
        <w:t xml:space="preserve">We </w:t>
      </w:r>
      <w:r w:rsidRPr="00714864" w:rsidR="00A54E26">
        <w:rPr>
          <w:rFonts w:ascii="Times New Roman" w:eastAsia="Calibri" w:hAnsi="Times New Roman" w:cs="Times New Roman"/>
          <w:sz w:val="24"/>
          <w:szCs w:val="24"/>
        </w:rPr>
        <w:t xml:space="preserve">will not </w:t>
      </w:r>
      <w:r w:rsidRPr="00714864" w:rsidR="00E902EC">
        <w:rPr>
          <w:rFonts w:ascii="Times New Roman" w:eastAsia="Calibri" w:hAnsi="Times New Roman" w:cs="Times New Roman"/>
          <w:sz w:val="24"/>
          <w:szCs w:val="24"/>
        </w:rPr>
        <w:t xml:space="preserve">specifically target </w:t>
      </w:r>
      <w:r w:rsidRPr="00714864" w:rsidR="00A54E26">
        <w:rPr>
          <w:rFonts w:ascii="Times New Roman" w:eastAsia="Calibri" w:hAnsi="Times New Roman" w:cs="Times New Roman"/>
          <w:sz w:val="24"/>
          <w:szCs w:val="24"/>
        </w:rPr>
        <w:t xml:space="preserve">PABSS </w:t>
      </w:r>
      <w:r w:rsidRPr="00714864" w:rsidR="008D6AE7">
        <w:rPr>
          <w:rFonts w:ascii="Times New Roman" w:eastAsia="Calibri" w:hAnsi="Times New Roman" w:cs="Times New Roman"/>
          <w:sz w:val="24"/>
          <w:szCs w:val="24"/>
        </w:rPr>
        <w:t xml:space="preserve">service </w:t>
      </w:r>
      <w:r w:rsidRPr="00714864" w:rsidR="00E34EBE">
        <w:rPr>
          <w:rFonts w:ascii="Times New Roman" w:eastAsia="Calibri" w:hAnsi="Times New Roman" w:cs="Times New Roman"/>
          <w:sz w:val="24"/>
          <w:szCs w:val="24"/>
        </w:rPr>
        <w:t xml:space="preserve">users </w:t>
      </w:r>
      <w:r w:rsidRPr="00714864" w:rsidR="00E902EC">
        <w:rPr>
          <w:rFonts w:ascii="Times New Roman" w:hAnsi="Times New Roman" w:cs="Times New Roman"/>
          <w:sz w:val="24"/>
          <w:szCs w:val="24"/>
        </w:rPr>
        <w:t>or</w:t>
      </w:r>
      <w:r w:rsidRPr="00714864" w:rsidR="00E902EC">
        <w:rPr>
          <w:rFonts w:ascii="Times New Roman" w:eastAsia="Calibri" w:hAnsi="Times New Roman" w:cs="Times New Roman"/>
          <w:sz w:val="24"/>
          <w:szCs w:val="24"/>
        </w:rPr>
        <w:t xml:space="preserve"> </w:t>
      </w:r>
      <w:r w:rsidRPr="00714864" w:rsidR="00E34EBE">
        <w:rPr>
          <w:rFonts w:ascii="Times New Roman" w:eastAsia="Calibri" w:hAnsi="Times New Roman" w:cs="Times New Roman"/>
          <w:sz w:val="24"/>
          <w:szCs w:val="24"/>
        </w:rPr>
        <w:t xml:space="preserve">non-users </w:t>
      </w:r>
      <w:r w:rsidRPr="00714864" w:rsidR="008D6AE7">
        <w:rPr>
          <w:rFonts w:ascii="Times New Roman" w:eastAsia="Calibri" w:hAnsi="Times New Roman" w:cs="Times New Roman"/>
          <w:sz w:val="24"/>
          <w:szCs w:val="24"/>
        </w:rPr>
        <w:t>because</w:t>
      </w:r>
      <w:r w:rsidRPr="00714864" w:rsidR="00E34EBE">
        <w:rPr>
          <w:rFonts w:ascii="Times New Roman" w:eastAsia="Calibri" w:hAnsi="Times New Roman" w:cs="Times New Roman"/>
          <w:sz w:val="24"/>
          <w:szCs w:val="24"/>
        </w:rPr>
        <w:t xml:space="preserve"> SSA does not maintain </w:t>
      </w:r>
      <w:r w:rsidRPr="00714864" w:rsidR="008D6AE7">
        <w:rPr>
          <w:rFonts w:ascii="Times New Roman" w:eastAsia="Calibri" w:hAnsi="Times New Roman" w:cs="Times New Roman"/>
          <w:sz w:val="24"/>
          <w:szCs w:val="24"/>
        </w:rPr>
        <w:t xml:space="preserve">the </w:t>
      </w:r>
      <w:r w:rsidRPr="00714864" w:rsidR="00E34EBE">
        <w:rPr>
          <w:rFonts w:ascii="Times New Roman" w:eastAsia="Calibri" w:hAnsi="Times New Roman" w:cs="Times New Roman"/>
          <w:sz w:val="24"/>
          <w:szCs w:val="24"/>
        </w:rPr>
        <w:t xml:space="preserve">data </w:t>
      </w:r>
      <w:r w:rsidRPr="00714864" w:rsidR="008D6AE7">
        <w:rPr>
          <w:rFonts w:ascii="Times New Roman" w:eastAsia="Calibri" w:hAnsi="Times New Roman" w:cs="Times New Roman"/>
          <w:sz w:val="24"/>
          <w:szCs w:val="24"/>
        </w:rPr>
        <w:t xml:space="preserve">needed to identify </w:t>
      </w:r>
      <w:r w:rsidRPr="00714864" w:rsidR="00E34EBE">
        <w:rPr>
          <w:rFonts w:ascii="Times New Roman" w:eastAsia="Calibri" w:hAnsi="Times New Roman" w:cs="Times New Roman"/>
          <w:sz w:val="24"/>
          <w:szCs w:val="24"/>
        </w:rPr>
        <w:t xml:space="preserve">PABSS service users. </w:t>
      </w:r>
      <w:r w:rsidR="005D2FC5">
        <w:rPr>
          <w:rFonts w:ascii="Times New Roman" w:eastAsia="Calibri" w:hAnsi="Times New Roman" w:cs="Times New Roman"/>
          <w:sz w:val="24"/>
          <w:szCs w:val="24"/>
        </w:rPr>
        <w:t xml:space="preserve"> </w:t>
      </w:r>
      <w:r w:rsidRPr="00714864" w:rsidR="0058477B">
        <w:rPr>
          <w:rFonts w:ascii="Times New Roman" w:hAnsi="Times New Roman" w:cs="Times New Roman"/>
          <w:sz w:val="24"/>
          <w:szCs w:val="24"/>
        </w:rPr>
        <w:t>Mathematica</w:t>
      </w:r>
      <w:r w:rsidRPr="00714864" w:rsidR="00894BE2">
        <w:rPr>
          <w:rFonts w:ascii="Times New Roman" w:hAnsi="Times New Roman" w:cs="Times New Roman"/>
          <w:sz w:val="24"/>
          <w:szCs w:val="24"/>
        </w:rPr>
        <w:t xml:space="preserve"> will administer a brief screening questionnaire to all potential</w:t>
      </w:r>
      <w:r w:rsidRPr="00714864" w:rsidR="00B731DC">
        <w:rPr>
          <w:rFonts w:ascii="Times New Roman" w:hAnsi="Times New Roman" w:cs="Times New Roman"/>
          <w:sz w:val="24"/>
          <w:szCs w:val="24"/>
        </w:rPr>
        <w:t xml:space="preserve"> </w:t>
      </w:r>
      <w:r w:rsidRPr="00714864" w:rsidR="0027634D">
        <w:rPr>
          <w:rFonts w:ascii="Times New Roman" w:hAnsi="Times New Roman" w:cs="Times New Roman"/>
          <w:sz w:val="24"/>
          <w:szCs w:val="24"/>
        </w:rPr>
        <w:t xml:space="preserve">Ticketholder </w:t>
      </w:r>
      <w:r w:rsidRPr="00714864" w:rsidR="00894BE2">
        <w:rPr>
          <w:rFonts w:ascii="Times New Roman" w:hAnsi="Times New Roman" w:cs="Times New Roman"/>
          <w:sz w:val="24"/>
          <w:szCs w:val="24"/>
        </w:rPr>
        <w:t xml:space="preserve">interviewees to </w:t>
      </w:r>
      <w:r w:rsidRPr="00714864" w:rsidR="00516AC4">
        <w:rPr>
          <w:rFonts w:ascii="Times New Roman" w:hAnsi="Times New Roman" w:cs="Times New Roman"/>
          <w:sz w:val="24"/>
          <w:szCs w:val="24"/>
        </w:rPr>
        <w:t xml:space="preserve">confirm </w:t>
      </w:r>
      <w:r w:rsidRPr="00714864" w:rsidR="00F56D29">
        <w:rPr>
          <w:rFonts w:ascii="Times New Roman" w:hAnsi="Times New Roman" w:cs="Times New Roman"/>
          <w:sz w:val="24"/>
          <w:szCs w:val="24"/>
        </w:rPr>
        <w:t>eligibility</w:t>
      </w:r>
      <w:r w:rsidRPr="00714864" w:rsidR="00516AC4">
        <w:rPr>
          <w:rFonts w:ascii="Times New Roman" w:hAnsi="Times New Roman" w:cs="Times New Roman"/>
          <w:sz w:val="24"/>
          <w:szCs w:val="24"/>
        </w:rPr>
        <w:t xml:space="preserve"> </w:t>
      </w:r>
      <w:r w:rsidRPr="00714864" w:rsidR="004E7718">
        <w:rPr>
          <w:rFonts w:ascii="Times New Roman" w:hAnsi="Times New Roman" w:cs="Times New Roman"/>
          <w:sz w:val="24"/>
          <w:szCs w:val="24"/>
        </w:rPr>
        <w:t>and to schedule interview</w:t>
      </w:r>
      <w:r w:rsidRPr="00714864" w:rsidR="00D41FF0">
        <w:rPr>
          <w:rFonts w:ascii="Times New Roman" w:hAnsi="Times New Roman" w:cs="Times New Roman"/>
          <w:sz w:val="24"/>
          <w:szCs w:val="24"/>
        </w:rPr>
        <w:t xml:space="preserve">s. </w:t>
      </w:r>
      <w:r>
        <w:rPr>
          <w:rFonts w:ascii="Times New Roman" w:hAnsi="Times New Roman" w:cs="Times New Roman"/>
          <w:sz w:val="24"/>
          <w:szCs w:val="24"/>
        </w:rPr>
        <w:t xml:space="preserve"> </w:t>
      </w:r>
      <w:r w:rsidRPr="00714864" w:rsidR="00026680">
        <w:rPr>
          <w:rFonts w:ascii="Times New Roman" w:hAnsi="Times New Roman" w:cs="Times New Roman"/>
          <w:sz w:val="24"/>
          <w:szCs w:val="24"/>
        </w:rPr>
        <w:t xml:space="preserve">Mathematica </w:t>
      </w:r>
      <w:r w:rsidRPr="00714864" w:rsidR="00E30CD5">
        <w:rPr>
          <w:rFonts w:ascii="Times New Roman" w:hAnsi="Times New Roman" w:cs="Times New Roman"/>
          <w:sz w:val="24"/>
          <w:szCs w:val="24"/>
        </w:rPr>
        <w:t xml:space="preserve">interviewers will follow an interview protocol while administering </w:t>
      </w:r>
      <w:r w:rsidRPr="00714864" w:rsidR="00D3191A">
        <w:rPr>
          <w:rFonts w:ascii="Times New Roman" w:hAnsi="Times New Roman" w:cs="Times New Roman"/>
          <w:sz w:val="24"/>
          <w:szCs w:val="24"/>
        </w:rPr>
        <w:t xml:space="preserve">the </w:t>
      </w:r>
      <w:r w:rsidRPr="00714864" w:rsidR="001065F1">
        <w:rPr>
          <w:rFonts w:ascii="Times New Roman" w:hAnsi="Times New Roman" w:cs="Times New Roman"/>
          <w:sz w:val="24"/>
          <w:szCs w:val="24"/>
        </w:rPr>
        <w:t>interview</w:t>
      </w:r>
      <w:r w:rsidRPr="00714864" w:rsidR="00F40239">
        <w:rPr>
          <w:rFonts w:ascii="Times New Roman" w:hAnsi="Times New Roman" w:cs="Times New Roman"/>
          <w:sz w:val="24"/>
          <w:szCs w:val="24"/>
        </w:rPr>
        <w:t xml:space="preserve">s with the </w:t>
      </w:r>
      <w:r w:rsidRPr="00714864" w:rsidR="006879D8">
        <w:rPr>
          <w:rFonts w:ascii="Times New Roman" w:hAnsi="Times New Roman" w:cs="Times New Roman"/>
          <w:sz w:val="24"/>
          <w:szCs w:val="24"/>
        </w:rPr>
        <w:t>Ticketholders</w:t>
      </w:r>
      <w:r w:rsidRPr="00714864" w:rsidR="001065F1">
        <w:rPr>
          <w:rFonts w:ascii="Times New Roman" w:hAnsi="Times New Roman" w:cs="Times New Roman"/>
          <w:sz w:val="24"/>
          <w:szCs w:val="24"/>
        </w:rPr>
        <w:t xml:space="preserve">, conducting </w:t>
      </w:r>
      <w:r w:rsidRPr="00714864" w:rsidR="00385C1E">
        <w:rPr>
          <w:rFonts w:ascii="Times New Roman" w:hAnsi="Times New Roman" w:cs="Times New Roman"/>
          <w:sz w:val="24"/>
          <w:szCs w:val="24"/>
        </w:rPr>
        <w:t>them</w:t>
      </w:r>
      <w:r w:rsidRPr="00714864" w:rsidR="001065F1">
        <w:rPr>
          <w:rFonts w:ascii="Times New Roman" w:hAnsi="Times New Roman" w:cs="Times New Roman"/>
          <w:sz w:val="24"/>
          <w:szCs w:val="24"/>
        </w:rPr>
        <w:t xml:space="preserve"> remotely over </w:t>
      </w:r>
      <w:r w:rsidRPr="00714864" w:rsidR="00385C1E">
        <w:rPr>
          <w:rFonts w:ascii="Times New Roman" w:hAnsi="Times New Roman" w:cs="Times New Roman"/>
          <w:sz w:val="24"/>
          <w:szCs w:val="24"/>
        </w:rPr>
        <w:t xml:space="preserve">the phone or </w:t>
      </w:r>
      <w:r w:rsidRPr="00714864" w:rsidR="00A17ED4">
        <w:rPr>
          <w:rFonts w:ascii="Times New Roman" w:hAnsi="Times New Roman" w:cs="Times New Roman"/>
          <w:sz w:val="24"/>
          <w:szCs w:val="24"/>
        </w:rPr>
        <w:t xml:space="preserve">via </w:t>
      </w:r>
      <w:r w:rsidRPr="00714864" w:rsidR="00F323E2">
        <w:rPr>
          <w:rFonts w:ascii="Times New Roman" w:hAnsi="Times New Roman" w:cs="Times New Roman"/>
          <w:sz w:val="24"/>
          <w:szCs w:val="24"/>
        </w:rPr>
        <w:t xml:space="preserve">Microsoft </w:t>
      </w:r>
      <w:r w:rsidRPr="00535A27" w:rsidR="00F323E2">
        <w:rPr>
          <w:rFonts w:ascii="Times New Roman" w:hAnsi="Times New Roman" w:cs="Times New Roman"/>
          <w:sz w:val="24"/>
          <w:szCs w:val="24"/>
        </w:rPr>
        <w:t xml:space="preserve">Teams, </w:t>
      </w:r>
      <w:r w:rsidRPr="00535A27" w:rsidR="001065F1">
        <w:rPr>
          <w:rFonts w:ascii="Times New Roman" w:hAnsi="Times New Roman" w:cs="Times New Roman"/>
          <w:sz w:val="24"/>
          <w:szCs w:val="24"/>
        </w:rPr>
        <w:t xml:space="preserve">a </w:t>
      </w:r>
      <w:r w:rsidRPr="00535A27" w:rsidR="004E7718">
        <w:rPr>
          <w:rFonts w:ascii="Times New Roman" w:hAnsi="Times New Roman" w:cs="Times New Roman"/>
          <w:sz w:val="24"/>
          <w:szCs w:val="24"/>
        </w:rPr>
        <w:t>video-based meeting platform.</w:t>
      </w:r>
      <w:r w:rsidRPr="00535A27" w:rsidR="00680A1B">
        <w:rPr>
          <w:rFonts w:ascii="Times New Roman" w:hAnsi="Times New Roman" w:cs="Times New Roman"/>
          <w:sz w:val="24"/>
          <w:szCs w:val="24"/>
        </w:rPr>
        <w:t xml:space="preserve"> </w:t>
      </w:r>
    </w:p>
    <w:p w:rsidR="00535A27" w:rsidP="00535A27" w14:paraId="4078C32D" w14:textId="77777777">
      <w:pPr>
        <w:pStyle w:val="ParagraphContinued"/>
        <w:numPr>
          <w:ilvl w:val="1"/>
          <w:numId w:val="34"/>
        </w:numPr>
        <w:spacing w:before="0" w:line="276" w:lineRule="auto"/>
        <w:rPr>
          <w:rFonts w:ascii="Times New Roman" w:hAnsi="Times New Roman" w:cs="Times New Roman"/>
          <w:sz w:val="24"/>
          <w:szCs w:val="24"/>
        </w:rPr>
      </w:pPr>
      <w:r w:rsidRPr="00535A27">
        <w:rPr>
          <w:rFonts w:ascii="Times New Roman" w:hAnsi="Times New Roman" w:cs="Times New Roman"/>
          <w:b/>
          <w:sz w:val="24"/>
          <w:szCs w:val="24"/>
        </w:rPr>
        <w:t xml:space="preserve">Frequency </w:t>
      </w:r>
      <w:r w:rsidRPr="00535A27" w:rsidR="00DB2C0C">
        <w:rPr>
          <w:rFonts w:ascii="Times New Roman" w:hAnsi="Times New Roman" w:cs="Times New Roman"/>
          <w:b/>
          <w:sz w:val="24"/>
          <w:szCs w:val="24"/>
        </w:rPr>
        <w:t xml:space="preserve">and timing </w:t>
      </w:r>
      <w:r w:rsidRPr="00535A27">
        <w:rPr>
          <w:rFonts w:ascii="Times New Roman" w:hAnsi="Times New Roman" w:cs="Times New Roman"/>
          <w:b/>
          <w:sz w:val="24"/>
          <w:szCs w:val="24"/>
        </w:rPr>
        <w:t>of the information collection.</w:t>
      </w:r>
      <w:r w:rsidRPr="00535A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5A27" w:rsidR="00447B71">
        <w:rPr>
          <w:rFonts w:ascii="Times New Roman" w:hAnsi="Times New Roman" w:cs="Times New Roman"/>
          <w:sz w:val="24"/>
          <w:szCs w:val="24"/>
        </w:rPr>
        <w:t>Mathematica will administer the interviews once over a four-month period</w:t>
      </w:r>
      <w:r w:rsidRPr="00535A27" w:rsidR="001869E6">
        <w:rPr>
          <w:rFonts w:ascii="Times New Roman" w:hAnsi="Times New Roman" w:cs="Times New Roman"/>
          <w:sz w:val="24"/>
          <w:szCs w:val="24"/>
        </w:rPr>
        <w:t xml:space="preserve"> beginning </w:t>
      </w:r>
      <w:r w:rsidRPr="00535A27" w:rsidR="00C131E2">
        <w:rPr>
          <w:rFonts w:ascii="Times New Roman" w:hAnsi="Times New Roman" w:cs="Times New Roman"/>
          <w:sz w:val="24"/>
          <w:szCs w:val="24"/>
        </w:rPr>
        <w:t xml:space="preserve">within two months of receiving </w:t>
      </w:r>
      <w:r w:rsidRPr="00535A27" w:rsidR="001869E6">
        <w:rPr>
          <w:rFonts w:ascii="Times New Roman" w:hAnsi="Times New Roman" w:cs="Times New Roman"/>
          <w:sz w:val="24"/>
          <w:szCs w:val="24"/>
        </w:rPr>
        <w:t xml:space="preserve">PRA </w:t>
      </w:r>
      <w:r w:rsidRPr="00535A27" w:rsidR="00C131E2">
        <w:rPr>
          <w:rFonts w:ascii="Times New Roman" w:hAnsi="Times New Roman" w:cs="Times New Roman"/>
          <w:sz w:val="24"/>
          <w:szCs w:val="24"/>
        </w:rPr>
        <w:t>clearance.</w:t>
      </w:r>
    </w:p>
    <w:p w:rsidR="00535A27" w:rsidP="00535A27" w14:paraId="6EAAE15D" w14:textId="77777777">
      <w:pPr>
        <w:pStyle w:val="ParagraphContinued"/>
        <w:numPr>
          <w:ilvl w:val="1"/>
          <w:numId w:val="34"/>
        </w:numPr>
        <w:spacing w:before="0" w:line="276" w:lineRule="auto"/>
        <w:rPr>
          <w:rFonts w:ascii="Times New Roman" w:hAnsi="Times New Roman" w:cs="Times New Roman"/>
          <w:sz w:val="24"/>
          <w:szCs w:val="24"/>
        </w:rPr>
      </w:pPr>
      <w:r w:rsidRPr="00535A27">
        <w:rPr>
          <w:rFonts w:ascii="Times New Roman" w:hAnsi="Times New Roman" w:cs="Times New Roman"/>
          <w:b/>
          <w:sz w:val="24"/>
          <w:szCs w:val="24"/>
        </w:rPr>
        <w:t>Voluntary participation.</w:t>
      </w:r>
      <w:r w:rsidRPr="00535A27">
        <w:rPr>
          <w:rFonts w:ascii="Times New Roman" w:hAnsi="Times New Roman" w:cs="Times New Roman"/>
          <w:sz w:val="24"/>
          <w:szCs w:val="24"/>
        </w:rPr>
        <w:t xml:space="preserve"> </w:t>
      </w:r>
      <w:r w:rsidRPr="00535A27">
        <w:rPr>
          <w:rFonts w:ascii="Times New Roman" w:hAnsi="Times New Roman" w:cs="Times New Roman"/>
          <w:sz w:val="24"/>
          <w:szCs w:val="24"/>
        </w:rPr>
        <w:t xml:space="preserve"> </w:t>
      </w:r>
      <w:r w:rsidRPr="00535A27">
        <w:rPr>
          <w:rFonts w:ascii="Times New Roman" w:hAnsi="Times New Roman" w:cs="Times New Roman"/>
          <w:sz w:val="24"/>
          <w:szCs w:val="24"/>
        </w:rPr>
        <w:t xml:space="preserve">The </w:t>
      </w:r>
      <w:r w:rsidRPr="00535A27" w:rsidR="00455679">
        <w:rPr>
          <w:rFonts w:ascii="Times New Roman" w:hAnsi="Times New Roman" w:cs="Times New Roman"/>
          <w:sz w:val="24"/>
          <w:szCs w:val="24"/>
        </w:rPr>
        <w:t xml:space="preserve">qualitative interviews are </w:t>
      </w:r>
      <w:r w:rsidRPr="00535A27">
        <w:rPr>
          <w:rFonts w:ascii="Times New Roman" w:hAnsi="Times New Roman" w:cs="Times New Roman"/>
          <w:sz w:val="24"/>
          <w:szCs w:val="24"/>
        </w:rPr>
        <w:t xml:space="preserve">voluntary. </w:t>
      </w:r>
      <w:r w:rsidRPr="00535A27">
        <w:rPr>
          <w:rFonts w:ascii="Times New Roman" w:hAnsi="Times New Roman" w:cs="Times New Roman"/>
          <w:sz w:val="24"/>
          <w:szCs w:val="24"/>
        </w:rPr>
        <w:t xml:space="preserve"> </w:t>
      </w:r>
      <w:r w:rsidRPr="00535A27">
        <w:rPr>
          <w:rFonts w:ascii="Times New Roman" w:hAnsi="Times New Roman" w:cs="Times New Roman"/>
          <w:sz w:val="24"/>
          <w:szCs w:val="24"/>
        </w:rPr>
        <w:t>A</w:t>
      </w:r>
      <w:r w:rsidRPr="00535A27" w:rsidR="00455679">
        <w:rPr>
          <w:rFonts w:ascii="Times New Roman" w:hAnsi="Times New Roman" w:cs="Times New Roman"/>
          <w:sz w:val="24"/>
          <w:szCs w:val="24"/>
        </w:rPr>
        <w:t xml:space="preserve"> </w:t>
      </w:r>
      <w:r w:rsidRPr="00535A27" w:rsidR="00D74245">
        <w:rPr>
          <w:rFonts w:ascii="Times New Roman" w:hAnsi="Times New Roman" w:cs="Times New Roman"/>
          <w:sz w:val="24"/>
          <w:szCs w:val="24"/>
        </w:rPr>
        <w:t>Ticketholder’s</w:t>
      </w:r>
      <w:r w:rsidRPr="00535A27" w:rsidR="007B2446">
        <w:rPr>
          <w:rFonts w:ascii="Times New Roman" w:hAnsi="Times New Roman" w:cs="Times New Roman"/>
          <w:sz w:val="24"/>
          <w:szCs w:val="24"/>
        </w:rPr>
        <w:t xml:space="preserve"> decision to take part in the interview (or not) </w:t>
      </w:r>
      <w:r w:rsidRPr="00535A27" w:rsidR="007B2446">
        <w:rPr>
          <w:rFonts w:ascii="Times New Roman" w:hAnsi="Times New Roman" w:cs="Times New Roman"/>
          <w:sz w:val="24"/>
          <w:szCs w:val="24"/>
        </w:rPr>
        <w:t xml:space="preserve">will have no impact on any </w:t>
      </w:r>
      <w:r w:rsidRPr="00535A27" w:rsidR="00581C84">
        <w:rPr>
          <w:rFonts w:ascii="Times New Roman" w:hAnsi="Times New Roman" w:cs="Times New Roman"/>
          <w:sz w:val="24"/>
          <w:szCs w:val="24"/>
        </w:rPr>
        <w:t xml:space="preserve">SSDI </w:t>
      </w:r>
      <w:r w:rsidRPr="00535A27" w:rsidR="007B2446">
        <w:rPr>
          <w:rFonts w:ascii="Times New Roman" w:hAnsi="Times New Roman" w:cs="Times New Roman"/>
          <w:sz w:val="24"/>
          <w:szCs w:val="24"/>
        </w:rPr>
        <w:t>benefits</w:t>
      </w:r>
      <w:r w:rsidRPr="00535A27" w:rsidR="009A0D97">
        <w:rPr>
          <w:rFonts w:ascii="Times New Roman" w:hAnsi="Times New Roman" w:cs="Times New Roman"/>
          <w:sz w:val="24"/>
          <w:szCs w:val="24"/>
        </w:rPr>
        <w:t xml:space="preserve"> or </w:t>
      </w:r>
      <w:r w:rsidRPr="00535A27" w:rsidR="00454D95">
        <w:rPr>
          <w:rFonts w:ascii="Times New Roman" w:hAnsi="Times New Roman" w:cs="Times New Roman"/>
          <w:sz w:val="24"/>
          <w:szCs w:val="24"/>
        </w:rPr>
        <w:t xml:space="preserve">SSI </w:t>
      </w:r>
      <w:r w:rsidRPr="00535A27" w:rsidR="009A0D97">
        <w:rPr>
          <w:rFonts w:ascii="Times New Roman" w:hAnsi="Times New Roman" w:cs="Times New Roman"/>
          <w:sz w:val="24"/>
          <w:szCs w:val="24"/>
        </w:rPr>
        <w:t>payments</w:t>
      </w:r>
      <w:r w:rsidRPr="00535A27" w:rsidR="007B2446">
        <w:rPr>
          <w:rFonts w:ascii="Times New Roman" w:hAnsi="Times New Roman" w:cs="Times New Roman"/>
          <w:sz w:val="24"/>
          <w:szCs w:val="24"/>
        </w:rPr>
        <w:t xml:space="preserve"> they receive now or in the future.</w:t>
      </w:r>
      <w:r w:rsidRPr="00535A27" w:rsidR="00092D9D">
        <w:rPr>
          <w:rFonts w:ascii="Times New Roman" w:hAnsi="Times New Roman" w:cs="Times New Roman"/>
          <w:sz w:val="24"/>
          <w:szCs w:val="24"/>
        </w:rPr>
        <w:t xml:space="preserve"> </w:t>
      </w:r>
      <w:r w:rsidRPr="00535A27">
        <w:rPr>
          <w:rFonts w:ascii="Times New Roman" w:hAnsi="Times New Roman" w:cs="Times New Roman"/>
          <w:sz w:val="24"/>
          <w:szCs w:val="24"/>
        </w:rPr>
        <w:t xml:space="preserve"> </w:t>
      </w:r>
      <w:r w:rsidRPr="00535A27" w:rsidR="00006C6B">
        <w:rPr>
          <w:rFonts w:ascii="Times New Roman" w:hAnsi="Times New Roman" w:cs="Times New Roman"/>
          <w:sz w:val="24"/>
          <w:szCs w:val="24"/>
        </w:rPr>
        <w:t xml:space="preserve">The outreach materials include this information in a consent statement. </w:t>
      </w:r>
      <w:r w:rsidRPr="00535A27">
        <w:rPr>
          <w:rFonts w:ascii="Times New Roman" w:hAnsi="Times New Roman" w:cs="Times New Roman"/>
          <w:sz w:val="24"/>
          <w:szCs w:val="24"/>
        </w:rPr>
        <w:t xml:space="preserve"> </w:t>
      </w:r>
      <w:r w:rsidRPr="00535A27" w:rsidR="00006C6B">
        <w:rPr>
          <w:rFonts w:ascii="Times New Roman" w:hAnsi="Times New Roman" w:cs="Times New Roman"/>
          <w:sz w:val="24"/>
          <w:szCs w:val="24"/>
        </w:rPr>
        <w:t xml:space="preserve">At the start of each </w:t>
      </w:r>
      <w:r w:rsidRPr="00535A27">
        <w:rPr>
          <w:rFonts w:ascii="Times New Roman" w:hAnsi="Times New Roman" w:cs="Times New Roman"/>
          <w:sz w:val="24"/>
          <w:szCs w:val="24"/>
        </w:rPr>
        <w:t>interview,</w:t>
      </w:r>
      <w:r w:rsidRPr="00535A27" w:rsidR="00006C6B">
        <w:rPr>
          <w:rFonts w:ascii="Times New Roman" w:hAnsi="Times New Roman" w:cs="Times New Roman"/>
          <w:sz w:val="24"/>
          <w:szCs w:val="24"/>
        </w:rPr>
        <w:t xml:space="preserve"> we will confirm </w:t>
      </w:r>
      <w:r w:rsidRPr="00535A27" w:rsidR="00736ED2">
        <w:rPr>
          <w:rFonts w:ascii="Times New Roman" w:hAnsi="Times New Roman" w:cs="Times New Roman"/>
          <w:sz w:val="24"/>
          <w:szCs w:val="24"/>
        </w:rPr>
        <w:t xml:space="preserve">the </w:t>
      </w:r>
      <w:r w:rsidRPr="00535A27" w:rsidR="00006C6B">
        <w:rPr>
          <w:rFonts w:ascii="Times New Roman" w:hAnsi="Times New Roman" w:cs="Times New Roman"/>
          <w:sz w:val="24"/>
          <w:szCs w:val="24"/>
        </w:rPr>
        <w:t xml:space="preserve">Ticketholder’s consent. </w:t>
      </w:r>
      <w:r w:rsidRPr="00535A27">
        <w:rPr>
          <w:rFonts w:ascii="Times New Roman" w:hAnsi="Times New Roman" w:cs="Times New Roman"/>
          <w:sz w:val="24"/>
          <w:szCs w:val="24"/>
        </w:rPr>
        <w:t xml:space="preserve"> </w:t>
      </w:r>
      <w:r w:rsidRPr="00535A27" w:rsidR="00006C6B">
        <w:rPr>
          <w:rFonts w:ascii="Times New Roman" w:hAnsi="Times New Roman" w:cs="Times New Roman"/>
          <w:sz w:val="24"/>
          <w:szCs w:val="24"/>
        </w:rPr>
        <w:t>If the</w:t>
      </w:r>
      <w:r w:rsidRPr="00535A27" w:rsidR="00006C6B">
        <w:rPr>
          <w:rFonts w:ascii="Times New Roman" w:hAnsi="Times New Roman" w:cs="Times New Roman"/>
          <w:sz w:val="24"/>
          <w:szCs w:val="24"/>
        </w:rPr>
        <w:t xml:space="preserve"> </w:t>
      </w:r>
      <w:r w:rsidRPr="00535A27" w:rsidR="00006C6B">
        <w:rPr>
          <w:rFonts w:ascii="Times New Roman" w:hAnsi="Times New Roman" w:cs="Times New Roman"/>
          <w:sz w:val="24"/>
          <w:szCs w:val="24"/>
        </w:rPr>
        <w:t xml:space="preserve">Ticketholder does not consent to participate then we will end the interview with no further follow-up and recruit a different participant with similar characteristics or experiences. </w:t>
      </w:r>
      <w:r w:rsidRPr="00535A27">
        <w:rPr>
          <w:rFonts w:ascii="Times New Roman" w:hAnsi="Times New Roman" w:cs="Times New Roman"/>
          <w:sz w:val="24"/>
          <w:szCs w:val="24"/>
        </w:rPr>
        <w:t xml:space="preserve"> </w:t>
      </w:r>
      <w:r w:rsidRPr="00535A27" w:rsidR="00CB3F0D">
        <w:rPr>
          <w:rFonts w:ascii="Times New Roman" w:hAnsi="Times New Roman" w:cs="Times New Roman"/>
          <w:sz w:val="24"/>
          <w:szCs w:val="24"/>
        </w:rPr>
        <w:t xml:space="preserve">We will </w:t>
      </w:r>
      <w:r w:rsidRPr="00535A27" w:rsidR="00BB3B51">
        <w:rPr>
          <w:rFonts w:ascii="Times New Roman" w:hAnsi="Times New Roman" w:cs="Times New Roman"/>
          <w:sz w:val="24"/>
          <w:szCs w:val="24"/>
        </w:rPr>
        <w:t xml:space="preserve">conduct outreach and recruitment until we have conducted </w:t>
      </w:r>
      <w:r w:rsidRPr="00535A27" w:rsidR="006F3702">
        <w:rPr>
          <w:rFonts w:ascii="Times New Roman" w:hAnsi="Times New Roman" w:cs="Times New Roman"/>
          <w:sz w:val="24"/>
          <w:szCs w:val="24"/>
        </w:rPr>
        <w:t>100</w:t>
      </w:r>
      <w:r w:rsidRPr="00535A27" w:rsidR="00BB3B51">
        <w:rPr>
          <w:rFonts w:ascii="Times New Roman" w:hAnsi="Times New Roman" w:cs="Times New Roman"/>
          <w:sz w:val="24"/>
          <w:szCs w:val="24"/>
        </w:rPr>
        <w:t xml:space="preserve"> interviews.</w:t>
      </w:r>
      <w:r w:rsidRPr="00535A27">
        <w:rPr>
          <w:rFonts w:ascii="Times New Roman" w:hAnsi="Times New Roman" w:cs="Times New Roman"/>
          <w:sz w:val="24"/>
          <w:szCs w:val="24"/>
        </w:rPr>
        <w:t xml:space="preserve"> </w:t>
      </w:r>
      <w:r w:rsidRPr="00535A27" w:rsidR="00BB3B51">
        <w:rPr>
          <w:rFonts w:ascii="Times New Roman" w:hAnsi="Times New Roman" w:cs="Times New Roman"/>
          <w:sz w:val="24"/>
          <w:szCs w:val="24"/>
        </w:rPr>
        <w:t xml:space="preserve"> </w:t>
      </w:r>
      <w:r>
        <w:rPr>
          <w:rFonts w:ascii="Times New Roman" w:hAnsi="Times New Roman" w:cs="Times New Roman"/>
          <w:sz w:val="24"/>
          <w:szCs w:val="24"/>
        </w:rPr>
        <w:t>We do not intend the q</w:t>
      </w:r>
      <w:r w:rsidRPr="00535A27" w:rsidR="00092D9D">
        <w:rPr>
          <w:rFonts w:ascii="Times New Roman" w:hAnsi="Times New Roman" w:cs="Times New Roman"/>
          <w:sz w:val="24"/>
          <w:szCs w:val="24"/>
        </w:rPr>
        <w:t>ualitative interviews</w:t>
      </w:r>
      <w:r w:rsidRPr="00535A27" w:rsidR="00092D9D">
        <w:rPr>
          <w:sz w:val="24"/>
          <w:szCs w:val="24"/>
        </w:rPr>
        <w:t xml:space="preserve"> </w:t>
      </w:r>
      <w:r w:rsidRPr="00535A27" w:rsidR="00092D9D">
        <w:rPr>
          <w:rFonts w:ascii="Times New Roman" w:hAnsi="Times New Roman" w:cs="Times New Roman"/>
          <w:sz w:val="24"/>
          <w:szCs w:val="24"/>
        </w:rPr>
        <w:t>to be representative</w:t>
      </w:r>
      <w:r w:rsidRPr="00535A27" w:rsidR="00462B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5A27" w:rsidR="00462BF1">
        <w:rPr>
          <w:rFonts w:ascii="Times New Roman" w:hAnsi="Times New Roman" w:cs="Times New Roman"/>
          <w:sz w:val="24"/>
          <w:szCs w:val="24"/>
        </w:rPr>
        <w:t xml:space="preserve">In </w:t>
      </w:r>
      <w:r w:rsidRPr="00535A27" w:rsidR="00A21832">
        <w:rPr>
          <w:rFonts w:ascii="Times New Roman" w:hAnsi="Times New Roman" w:cs="Times New Roman"/>
          <w:sz w:val="24"/>
          <w:szCs w:val="24"/>
        </w:rPr>
        <w:t xml:space="preserve">evaluation </w:t>
      </w:r>
      <w:r w:rsidRPr="00535A27" w:rsidR="00462BF1">
        <w:rPr>
          <w:rFonts w:ascii="Times New Roman" w:hAnsi="Times New Roman" w:cs="Times New Roman"/>
          <w:sz w:val="24"/>
          <w:szCs w:val="24"/>
        </w:rPr>
        <w:t xml:space="preserve">reports, we will note the range of participants to provide context for </w:t>
      </w:r>
      <w:r w:rsidRPr="00535A27" w:rsidR="00F63303">
        <w:rPr>
          <w:rFonts w:ascii="Times New Roman" w:hAnsi="Times New Roman" w:cs="Times New Roman"/>
          <w:sz w:val="24"/>
          <w:szCs w:val="24"/>
        </w:rPr>
        <w:t>our findings.</w:t>
      </w:r>
    </w:p>
    <w:p w:rsidR="00535A27" w:rsidRPr="00535A27" w:rsidP="00535A27" w14:paraId="2563E7BF" w14:textId="77777777">
      <w:pPr>
        <w:pStyle w:val="ParagraphContinued"/>
        <w:numPr>
          <w:ilvl w:val="1"/>
          <w:numId w:val="34"/>
        </w:numPr>
        <w:spacing w:before="0" w:line="276" w:lineRule="auto"/>
        <w:rPr>
          <w:rFonts w:ascii="Times New Roman" w:hAnsi="Times New Roman" w:cs="Times New Roman"/>
          <w:sz w:val="24"/>
          <w:szCs w:val="24"/>
        </w:rPr>
      </w:pPr>
      <w:r w:rsidRPr="00535A27">
        <w:rPr>
          <w:rFonts w:ascii="Times New Roman" w:eastAsia="Calibri" w:hAnsi="Times New Roman" w:cs="Times New Roman"/>
          <w:b/>
          <w:sz w:val="24"/>
          <w:szCs w:val="24"/>
        </w:rPr>
        <w:t>Notifications and access.</w:t>
      </w:r>
      <w:r w:rsidRPr="00535A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35A27" w:rsidR="003275EB">
        <w:rPr>
          <w:rFonts w:ascii="Times New Roman" w:hAnsi="Times New Roman" w:cs="Times New Roman"/>
          <w:sz w:val="24"/>
          <w:szCs w:val="24"/>
        </w:rPr>
        <w:t xml:space="preserve">The outreach materials notify Ticketholders about the evaluation of the Ticket Act programs. </w:t>
      </w:r>
      <w:r>
        <w:rPr>
          <w:rFonts w:ascii="Times New Roman" w:hAnsi="Times New Roman" w:cs="Times New Roman"/>
          <w:sz w:val="24"/>
          <w:szCs w:val="24"/>
        </w:rPr>
        <w:t xml:space="preserve"> </w:t>
      </w:r>
      <w:r w:rsidRPr="00535A27" w:rsidR="003275EB">
        <w:rPr>
          <w:rFonts w:ascii="Times New Roman" w:hAnsi="Times New Roman" w:cs="Times New Roman"/>
          <w:sz w:val="24"/>
          <w:szCs w:val="24"/>
        </w:rPr>
        <w:t xml:space="preserve">Some Ticketholders may already be aware of the evaluation as part of previous outreach inviting them to participate in listening sessions that occurred in 2024. </w:t>
      </w:r>
      <w:r>
        <w:rPr>
          <w:rFonts w:ascii="Times New Roman" w:hAnsi="Times New Roman" w:cs="Times New Roman"/>
          <w:sz w:val="24"/>
          <w:szCs w:val="24"/>
        </w:rPr>
        <w:t xml:space="preserve"> </w:t>
      </w:r>
      <w:r w:rsidRPr="00535A27" w:rsidR="008B3032">
        <w:rPr>
          <w:rFonts w:ascii="Times New Roman" w:eastAsia="Calibri" w:hAnsi="Times New Roman" w:cs="Times New Roman"/>
          <w:sz w:val="24"/>
          <w:szCs w:val="24"/>
        </w:rPr>
        <w:t xml:space="preserve">For the </w:t>
      </w:r>
      <w:r w:rsidRPr="00535A27" w:rsidR="006879D8">
        <w:rPr>
          <w:rFonts w:ascii="Times New Roman" w:eastAsia="Calibri" w:hAnsi="Times New Roman" w:cs="Times New Roman"/>
          <w:sz w:val="24"/>
          <w:szCs w:val="24"/>
        </w:rPr>
        <w:t xml:space="preserve">Ticketholder </w:t>
      </w:r>
      <w:r w:rsidRPr="00535A27" w:rsidR="006148B5">
        <w:rPr>
          <w:rFonts w:ascii="Times New Roman" w:eastAsia="Calibri" w:hAnsi="Times New Roman" w:cs="Times New Roman"/>
          <w:sz w:val="24"/>
          <w:szCs w:val="24"/>
        </w:rPr>
        <w:t>interviews</w:t>
      </w:r>
      <w:r w:rsidRPr="00535A27" w:rsidR="00EB1BD1">
        <w:rPr>
          <w:rFonts w:ascii="Times New Roman" w:eastAsia="Calibri" w:hAnsi="Times New Roman" w:cs="Times New Roman"/>
          <w:sz w:val="24"/>
          <w:szCs w:val="24"/>
        </w:rPr>
        <w:t xml:space="preserve">, </w:t>
      </w:r>
      <w:r w:rsidRPr="00535A27" w:rsidR="008B3032">
        <w:rPr>
          <w:rFonts w:ascii="Times New Roman" w:eastAsia="Calibri" w:hAnsi="Times New Roman" w:cs="Times New Roman"/>
          <w:sz w:val="24"/>
          <w:szCs w:val="24"/>
        </w:rPr>
        <w:t xml:space="preserve">Mathematica will </w:t>
      </w:r>
      <w:r w:rsidRPr="00535A27" w:rsidR="006148B5">
        <w:rPr>
          <w:rFonts w:ascii="Times New Roman" w:eastAsia="Calibri" w:hAnsi="Times New Roman" w:cs="Times New Roman"/>
          <w:sz w:val="24"/>
          <w:szCs w:val="24"/>
        </w:rPr>
        <w:t xml:space="preserve">identify </w:t>
      </w:r>
      <w:r w:rsidRPr="00535A27" w:rsidR="001242EE">
        <w:rPr>
          <w:rFonts w:ascii="Times New Roman" w:eastAsia="Calibri" w:hAnsi="Times New Roman" w:cs="Times New Roman"/>
          <w:sz w:val="24"/>
          <w:szCs w:val="24"/>
        </w:rPr>
        <w:t xml:space="preserve">the </w:t>
      </w:r>
      <w:r w:rsidRPr="00535A27" w:rsidR="006879D8">
        <w:rPr>
          <w:rFonts w:ascii="Times New Roman" w:eastAsia="Calibri" w:hAnsi="Times New Roman" w:cs="Times New Roman"/>
          <w:sz w:val="24"/>
          <w:szCs w:val="24"/>
        </w:rPr>
        <w:t xml:space="preserve">Ticketholders </w:t>
      </w:r>
      <w:r w:rsidRPr="00535A27" w:rsidR="001242EE">
        <w:rPr>
          <w:rFonts w:ascii="Times New Roman" w:eastAsia="Calibri" w:hAnsi="Times New Roman" w:cs="Times New Roman"/>
          <w:sz w:val="24"/>
          <w:szCs w:val="24"/>
        </w:rPr>
        <w:t xml:space="preserve">in SSA’s </w:t>
      </w:r>
      <w:r w:rsidRPr="00535A27" w:rsidR="001242EE">
        <w:rPr>
          <w:rFonts w:ascii="Times New Roman" w:hAnsi="Times New Roman" w:cs="Times New Roman"/>
          <w:sz w:val="24"/>
          <w:szCs w:val="24"/>
        </w:rPr>
        <w:t>administrative</w:t>
      </w:r>
      <w:r w:rsidRPr="00535A27" w:rsidR="001242EE">
        <w:rPr>
          <w:rFonts w:ascii="Times New Roman" w:eastAsia="Calibri" w:hAnsi="Times New Roman" w:cs="Times New Roman"/>
          <w:sz w:val="24"/>
          <w:szCs w:val="24"/>
        </w:rPr>
        <w:t xml:space="preserve"> records</w:t>
      </w:r>
      <w:r>
        <w:rPr>
          <w:rStyle w:val="FootnoteReference"/>
          <w:rFonts w:ascii="Times New Roman" w:eastAsia="Calibri" w:hAnsi="Times New Roman" w:cs="Times New Roman"/>
          <w:sz w:val="24"/>
          <w:szCs w:val="24"/>
        </w:rPr>
        <w:footnoteReference w:id="8"/>
      </w:r>
      <w:r w:rsidRPr="00535A27" w:rsidR="001242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35A27" w:rsidR="003C4B56">
        <w:rPr>
          <w:rFonts w:ascii="Times New Roman" w:eastAsia="Calibri" w:hAnsi="Times New Roman" w:cs="Times New Roman"/>
          <w:sz w:val="24"/>
          <w:szCs w:val="24"/>
        </w:rPr>
        <w:t>SSA and</w:t>
      </w:r>
      <w:r w:rsidRPr="00535A27" w:rsidR="00EB1BD1">
        <w:rPr>
          <w:rFonts w:ascii="Times New Roman" w:eastAsia="Calibri" w:hAnsi="Times New Roman" w:cs="Times New Roman"/>
          <w:sz w:val="24"/>
          <w:szCs w:val="24"/>
        </w:rPr>
        <w:t xml:space="preserve"> </w:t>
      </w:r>
      <w:r w:rsidRPr="00535A27" w:rsidR="008B3032">
        <w:rPr>
          <w:rFonts w:ascii="Times New Roman" w:eastAsia="Calibri" w:hAnsi="Times New Roman" w:cs="Times New Roman"/>
          <w:sz w:val="24"/>
          <w:szCs w:val="24"/>
        </w:rPr>
        <w:t xml:space="preserve">Mathematica will mail an invitation letter </w:t>
      </w:r>
      <w:r w:rsidRPr="00535A27" w:rsidR="001242EE">
        <w:rPr>
          <w:rFonts w:ascii="Times New Roman" w:eastAsia="Calibri" w:hAnsi="Times New Roman" w:cs="Times New Roman"/>
          <w:sz w:val="24"/>
          <w:szCs w:val="24"/>
        </w:rPr>
        <w:t xml:space="preserve">and make follow-up phone calls </w:t>
      </w:r>
      <w:r w:rsidRPr="00535A27" w:rsidR="008B3032">
        <w:rPr>
          <w:rFonts w:ascii="Times New Roman" w:eastAsia="Calibri" w:hAnsi="Times New Roman" w:cs="Times New Roman"/>
          <w:sz w:val="24"/>
          <w:szCs w:val="24"/>
        </w:rPr>
        <w:t xml:space="preserve">to </w:t>
      </w:r>
      <w:r w:rsidRPr="00535A27" w:rsidR="001242EE">
        <w:rPr>
          <w:rFonts w:ascii="Times New Roman" w:eastAsia="Calibri" w:hAnsi="Times New Roman" w:cs="Times New Roman"/>
          <w:sz w:val="24"/>
          <w:szCs w:val="24"/>
        </w:rPr>
        <w:t xml:space="preserve">the </w:t>
      </w:r>
      <w:r w:rsidRPr="00535A27" w:rsidR="006879D8">
        <w:rPr>
          <w:rFonts w:ascii="Times New Roman" w:eastAsia="Calibri" w:hAnsi="Times New Roman" w:cs="Times New Roman"/>
          <w:sz w:val="24"/>
          <w:szCs w:val="24"/>
        </w:rPr>
        <w:t>Ticketholders</w:t>
      </w:r>
      <w:r w:rsidRPr="00535A27" w:rsidR="00677C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35A27" w:rsidR="00677CAB">
        <w:rPr>
          <w:rFonts w:ascii="Times New Roman" w:eastAsia="Calibri" w:hAnsi="Times New Roman" w:cs="Times New Roman"/>
          <w:sz w:val="24"/>
          <w:szCs w:val="24"/>
        </w:rPr>
        <w:t xml:space="preserve">The </w:t>
      </w:r>
      <w:r w:rsidRPr="00535A27" w:rsidR="00677CAB">
        <w:rPr>
          <w:rFonts w:ascii="Times New Roman" w:hAnsi="Times New Roman" w:cs="Times New Roman"/>
          <w:sz w:val="24"/>
          <w:szCs w:val="24"/>
        </w:rPr>
        <w:t>outreach</w:t>
      </w:r>
      <w:r w:rsidRPr="00535A27" w:rsidR="008B3032">
        <w:rPr>
          <w:rFonts w:ascii="Times New Roman" w:eastAsia="Calibri" w:hAnsi="Times New Roman" w:cs="Times New Roman"/>
          <w:sz w:val="24"/>
          <w:szCs w:val="24"/>
        </w:rPr>
        <w:t xml:space="preserve"> to</w:t>
      </w:r>
      <w:r w:rsidRPr="00535A27" w:rsidR="00677CAB">
        <w:rPr>
          <w:rFonts w:ascii="Times New Roman" w:eastAsia="Calibri" w:hAnsi="Times New Roman" w:cs="Times New Roman"/>
          <w:sz w:val="24"/>
          <w:szCs w:val="24"/>
        </w:rPr>
        <w:t xml:space="preserve"> </w:t>
      </w:r>
      <w:r w:rsidRPr="00535A27" w:rsidR="006879D8">
        <w:rPr>
          <w:rFonts w:ascii="Times New Roman" w:eastAsia="Calibri" w:hAnsi="Times New Roman" w:cs="Times New Roman"/>
          <w:sz w:val="24"/>
          <w:szCs w:val="24"/>
        </w:rPr>
        <w:t xml:space="preserve">Ticketholders </w:t>
      </w:r>
      <w:r w:rsidRPr="00535A27" w:rsidR="00677CAB">
        <w:rPr>
          <w:rFonts w:ascii="Times New Roman" w:eastAsia="Calibri" w:hAnsi="Times New Roman" w:cs="Times New Roman"/>
          <w:sz w:val="24"/>
          <w:szCs w:val="24"/>
        </w:rPr>
        <w:t>will include</w:t>
      </w:r>
      <w:r w:rsidRPr="00535A27" w:rsidR="008B3032">
        <w:rPr>
          <w:rFonts w:ascii="Times New Roman" w:eastAsia="Calibri" w:hAnsi="Times New Roman" w:cs="Times New Roman"/>
          <w:sz w:val="24"/>
          <w:szCs w:val="24"/>
        </w:rPr>
        <w:t xml:space="preserve"> a toll-free number </w:t>
      </w:r>
      <w:r w:rsidRPr="00535A27" w:rsidR="00677CAB">
        <w:rPr>
          <w:rFonts w:ascii="Times New Roman" w:eastAsia="Calibri" w:hAnsi="Times New Roman" w:cs="Times New Roman"/>
          <w:sz w:val="24"/>
          <w:szCs w:val="24"/>
        </w:rPr>
        <w:t xml:space="preserve">they can call </w:t>
      </w:r>
      <w:r w:rsidRPr="00535A27" w:rsidR="008B3032">
        <w:rPr>
          <w:rFonts w:ascii="Times New Roman" w:eastAsia="Calibri" w:hAnsi="Times New Roman" w:cs="Times New Roman"/>
          <w:sz w:val="24"/>
          <w:szCs w:val="24"/>
        </w:rPr>
        <w:t xml:space="preserve">to </w:t>
      </w:r>
      <w:r w:rsidRPr="00535A27" w:rsidR="00677CAB">
        <w:rPr>
          <w:rFonts w:ascii="Times New Roman" w:eastAsia="Calibri" w:hAnsi="Times New Roman" w:cs="Times New Roman"/>
          <w:sz w:val="24"/>
          <w:szCs w:val="24"/>
        </w:rPr>
        <w:t>schedule an</w:t>
      </w:r>
      <w:r w:rsidRPr="00535A27" w:rsidR="00AF3160">
        <w:rPr>
          <w:rFonts w:ascii="Times New Roman" w:eastAsia="Calibri" w:hAnsi="Times New Roman" w:cs="Times New Roman"/>
          <w:sz w:val="24"/>
          <w:szCs w:val="24"/>
        </w:rPr>
        <w:t xml:space="preserve"> interview</w:t>
      </w:r>
      <w:r w:rsidRPr="00535A27" w:rsidR="001242EE">
        <w:rPr>
          <w:rFonts w:ascii="Times New Roman" w:eastAsia="Calibri" w:hAnsi="Times New Roman" w:cs="Times New Roman"/>
          <w:sz w:val="24"/>
          <w:szCs w:val="24"/>
        </w:rPr>
        <w:t>.</w:t>
      </w:r>
      <w:r w:rsidRPr="00535A27" w:rsidR="00B731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35A27" w:rsidR="001242EE">
        <w:rPr>
          <w:rFonts w:ascii="Times New Roman" w:eastAsia="Calibri" w:hAnsi="Times New Roman" w:cs="Times New Roman"/>
          <w:sz w:val="24"/>
          <w:szCs w:val="24"/>
        </w:rPr>
        <w:t>When</w:t>
      </w:r>
      <w:r w:rsidRPr="00535A27" w:rsidR="00677CAB">
        <w:rPr>
          <w:rFonts w:ascii="Times New Roman" w:eastAsia="Calibri" w:hAnsi="Times New Roman" w:cs="Times New Roman"/>
          <w:sz w:val="24"/>
          <w:szCs w:val="24"/>
        </w:rPr>
        <w:t xml:space="preserve"> </w:t>
      </w:r>
      <w:r w:rsidRPr="00535A27" w:rsidR="006879D8">
        <w:rPr>
          <w:rFonts w:ascii="Times New Roman" w:eastAsia="Calibri" w:hAnsi="Times New Roman" w:cs="Times New Roman"/>
          <w:sz w:val="24"/>
          <w:szCs w:val="24"/>
        </w:rPr>
        <w:t xml:space="preserve">Ticketholders </w:t>
      </w:r>
      <w:r w:rsidRPr="00535A27" w:rsidR="001242EE">
        <w:rPr>
          <w:rFonts w:ascii="Times New Roman" w:eastAsia="Calibri" w:hAnsi="Times New Roman" w:cs="Times New Roman"/>
          <w:sz w:val="24"/>
          <w:szCs w:val="24"/>
        </w:rPr>
        <w:t xml:space="preserve">call the toll-free number, Mathematica </w:t>
      </w:r>
      <w:r w:rsidRPr="00535A27" w:rsidR="00677CAB">
        <w:rPr>
          <w:rFonts w:ascii="Times New Roman" w:eastAsia="Calibri" w:hAnsi="Times New Roman" w:cs="Times New Roman"/>
          <w:sz w:val="24"/>
          <w:szCs w:val="24"/>
        </w:rPr>
        <w:t>will</w:t>
      </w:r>
      <w:r w:rsidRPr="00535A27" w:rsidR="001511EB">
        <w:rPr>
          <w:rFonts w:ascii="Times New Roman" w:eastAsia="Calibri" w:hAnsi="Times New Roman" w:cs="Times New Roman"/>
          <w:sz w:val="24"/>
          <w:szCs w:val="24"/>
        </w:rPr>
        <w:t xml:space="preserve"> administer a brief screening questionnaire to confirm eligibility and schedule the interview. </w:t>
      </w:r>
    </w:p>
    <w:p w:rsidR="0065617E" w:rsidP="0065617E" w14:paraId="5577EE61" w14:textId="214E25E0">
      <w:pPr>
        <w:pStyle w:val="ParagraphContinued"/>
        <w:numPr>
          <w:ilvl w:val="1"/>
          <w:numId w:val="34"/>
        </w:numPr>
        <w:spacing w:before="0" w:line="276" w:lineRule="auto"/>
        <w:rPr>
          <w:rFonts w:ascii="Times New Roman" w:hAnsi="Times New Roman" w:cs="Times New Roman"/>
          <w:sz w:val="24"/>
          <w:szCs w:val="24"/>
        </w:rPr>
      </w:pPr>
      <w:r w:rsidRPr="00535A27">
        <w:rPr>
          <w:rFonts w:ascii="Times New Roman" w:hAnsi="Times New Roman" w:cs="Times New Roman"/>
          <w:b/>
          <w:sz w:val="24"/>
          <w:szCs w:val="24"/>
        </w:rPr>
        <w:t>Psychological costs.</w:t>
      </w:r>
      <w:r w:rsidRPr="00535A27" w:rsidR="009872A1">
        <w:rPr>
          <w:rFonts w:ascii="Times New Roman" w:hAnsi="Times New Roman" w:cs="Times New Roman"/>
          <w:sz w:val="24"/>
          <w:szCs w:val="24"/>
        </w:rPr>
        <w:t xml:space="preserve"> </w:t>
      </w:r>
      <w:r w:rsidR="00535A27">
        <w:rPr>
          <w:rFonts w:ascii="Times New Roman" w:hAnsi="Times New Roman" w:cs="Times New Roman"/>
          <w:sz w:val="24"/>
          <w:szCs w:val="24"/>
        </w:rPr>
        <w:t xml:space="preserve"> </w:t>
      </w:r>
      <w:r w:rsidRPr="00535A27" w:rsidR="00B44873">
        <w:rPr>
          <w:rFonts w:ascii="Times New Roman" w:hAnsi="Times New Roman" w:cs="Times New Roman"/>
          <w:sz w:val="24"/>
          <w:szCs w:val="24"/>
        </w:rPr>
        <w:t xml:space="preserve">We foresee few, if any, psychological costs associated with the </w:t>
      </w:r>
      <w:r w:rsidRPr="00535A27" w:rsidR="006879D8">
        <w:rPr>
          <w:rFonts w:ascii="Times New Roman" w:hAnsi="Times New Roman" w:cs="Times New Roman"/>
          <w:sz w:val="24"/>
          <w:szCs w:val="24"/>
        </w:rPr>
        <w:t xml:space="preserve">Ticketholder </w:t>
      </w:r>
      <w:r w:rsidRPr="00535A27" w:rsidR="00B44873">
        <w:rPr>
          <w:rFonts w:ascii="Times New Roman" w:hAnsi="Times New Roman" w:cs="Times New Roman"/>
          <w:sz w:val="24"/>
          <w:szCs w:val="24"/>
        </w:rPr>
        <w:t>interviews</w:t>
      </w:r>
      <w:r w:rsidRPr="00535A27" w:rsidR="00F644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5A27" w:rsidR="00A63A69">
        <w:rPr>
          <w:rFonts w:ascii="Times New Roman" w:hAnsi="Times New Roman" w:cs="Times New Roman"/>
          <w:sz w:val="24"/>
          <w:szCs w:val="24"/>
        </w:rPr>
        <w:t>S</w:t>
      </w:r>
      <w:r w:rsidRPr="00535A27" w:rsidR="00F644A6">
        <w:rPr>
          <w:rFonts w:ascii="Times New Roman" w:hAnsi="Times New Roman" w:cs="Times New Roman"/>
          <w:sz w:val="24"/>
          <w:szCs w:val="24"/>
        </w:rPr>
        <w:t xml:space="preserve">ome </w:t>
      </w:r>
      <w:r w:rsidRPr="00535A27" w:rsidR="006879D8">
        <w:rPr>
          <w:rFonts w:ascii="Times New Roman" w:hAnsi="Times New Roman" w:cs="Times New Roman"/>
          <w:sz w:val="24"/>
          <w:szCs w:val="24"/>
        </w:rPr>
        <w:t xml:space="preserve">Ticketholders </w:t>
      </w:r>
      <w:r w:rsidRPr="00535A27" w:rsidR="007472AF">
        <w:rPr>
          <w:rFonts w:ascii="Times New Roman" w:hAnsi="Times New Roman" w:cs="Times New Roman"/>
          <w:sz w:val="24"/>
          <w:szCs w:val="24"/>
        </w:rPr>
        <w:t>might</w:t>
      </w:r>
      <w:r w:rsidRPr="00535A27" w:rsidR="00F644A6">
        <w:rPr>
          <w:rFonts w:ascii="Times New Roman" w:hAnsi="Times New Roman" w:cs="Times New Roman"/>
          <w:sz w:val="24"/>
          <w:szCs w:val="24"/>
        </w:rPr>
        <w:t xml:space="preserve"> find it distressing to discuss their experiences seeking or receiving services, particularly if the process was difficult or had negative outcomes. </w:t>
      </w:r>
      <w:r>
        <w:rPr>
          <w:rFonts w:ascii="Times New Roman" w:hAnsi="Times New Roman" w:cs="Times New Roman"/>
          <w:sz w:val="24"/>
          <w:szCs w:val="24"/>
        </w:rPr>
        <w:t xml:space="preserve"> </w:t>
      </w:r>
      <w:r w:rsidRPr="00535A27" w:rsidR="004C1702">
        <w:rPr>
          <w:rFonts w:ascii="Times New Roman" w:hAnsi="Times New Roman" w:cs="Times New Roman"/>
          <w:sz w:val="24"/>
          <w:szCs w:val="24"/>
        </w:rPr>
        <w:t>The consent form clearly identifies the risks and benefits to participation</w:t>
      </w:r>
      <w:r w:rsidRPr="00535A27" w:rsidR="007472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5A27" w:rsidR="007472AF">
        <w:rPr>
          <w:rFonts w:ascii="Times New Roman" w:hAnsi="Times New Roman" w:cs="Times New Roman"/>
          <w:sz w:val="24"/>
          <w:szCs w:val="24"/>
        </w:rPr>
        <w:t xml:space="preserve">If </w:t>
      </w:r>
      <w:r w:rsidRPr="00535A27" w:rsidR="006879D8">
        <w:rPr>
          <w:rFonts w:ascii="Times New Roman" w:hAnsi="Times New Roman" w:cs="Times New Roman"/>
          <w:sz w:val="24"/>
          <w:szCs w:val="24"/>
        </w:rPr>
        <w:t xml:space="preserve">Ticketholders </w:t>
      </w:r>
      <w:r w:rsidRPr="00535A27" w:rsidR="007472AF">
        <w:rPr>
          <w:rFonts w:ascii="Times New Roman" w:hAnsi="Times New Roman" w:cs="Times New Roman"/>
          <w:sz w:val="24"/>
          <w:szCs w:val="24"/>
        </w:rPr>
        <w:t>become distressed,</w:t>
      </w:r>
      <w:r w:rsidRPr="00535A27" w:rsidR="004C1702">
        <w:rPr>
          <w:rFonts w:ascii="Times New Roman" w:hAnsi="Times New Roman" w:cs="Times New Roman"/>
          <w:sz w:val="24"/>
          <w:szCs w:val="24"/>
        </w:rPr>
        <w:t xml:space="preserve"> the professionally trained interviewers will pause the interview or remind </w:t>
      </w:r>
      <w:r w:rsidRPr="00535A27" w:rsidR="008B1FFB">
        <w:rPr>
          <w:rFonts w:ascii="Times New Roman" w:hAnsi="Times New Roman" w:cs="Times New Roman"/>
          <w:sz w:val="24"/>
          <w:szCs w:val="24"/>
        </w:rPr>
        <w:t>the</w:t>
      </w:r>
      <w:r w:rsidRPr="00535A27" w:rsidR="00BC32B9">
        <w:rPr>
          <w:rFonts w:ascii="Times New Roman" w:hAnsi="Times New Roman" w:cs="Times New Roman"/>
          <w:sz w:val="24"/>
          <w:szCs w:val="24"/>
        </w:rPr>
        <w:t>m</w:t>
      </w:r>
      <w:r w:rsidRPr="00535A27" w:rsidR="008F3251">
        <w:rPr>
          <w:rFonts w:ascii="Times New Roman" w:hAnsi="Times New Roman" w:cs="Times New Roman"/>
          <w:sz w:val="24"/>
          <w:szCs w:val="24"/>
        </w:rPr>
        <w:t xml:space="preserve"> that they can stop at any time</w:t>
      </w:r>
      <w:r w:rsidRPr="00535A27" w:rsidR="008B1FFB">
        <w:rPr>
          <w:rFonts w:ascii="Times New Roman" w:hAnsi="Times New Roman" w:cs="Times New Roman"/>
          <w:sz w:val="24"/>
          <w:szCs w:val="24"/>
        </w:rPr>
        <w:t xml:space="preserve"> and</w:t>
      </w:r>
      <w:r w:rsidRPr="00535A27" w:rsidR="00BB4489">
        <w:rPr>
          <w:rFonts w:ascii="Times New Roman" w:hAnsi="Times New Roman" w:cs="Times New Roman"/>
          <w:sz w:val="24"/>
          <w:szCs w:val="24"/>
        </w:rPr>
        <w:t xml:space="preserve"> </w:t>
      </w:r>
      <w:r w:rsidRPr="00535A27" w:rsidR="008F3251">
        <w:rPr>
          <w:rFonts w:ascii="Times New Roman" w:hAnsi="Times New Roman" w:cs="Times New Roman"/>
          <w:sz w:val="24"/>
          <w:szCs w:val="24"/>
        </w:rPr>
        <w:t xml:space="preserve">skip any </w:t>
      </w:r>
      <w:r w:rsidRPr="00535A27" w:rsidR="007D17B1">
        <w:rPr>
          <w:rFonts w:ascii="Times New Roman" w:hAnsi="Times New Roman" w:cs="Times New Roman"/>
          <w:sz w:val="24"/>
          <w:szCs w:val="24"/>
        </w:rPr>
        <w:t xml:space="preserve">question </w:t>
      </w:r>
      <w:r w:rsidRPr="00535A27" w:rsidR="008F3251">
        <w:rPr>
          <w:rFonts w:ascii="Times New Roman" w:hAnsi="Times New Roman" w:cs="Times New Roman"/>
          <w:sz w:val="24"/>
          <w:szCs w:val="24"/>
        </w:rPr>
        <w:t>they do not wish to answer</w:t>
      </w:r>
      <w:r w:rsidRPr="00535A27" w:rsidR="007D17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5A27" w:rsidR="00ED09FD">
        <w:rPr>
          <w:rFonts w:ascii="Times New Roman" w:hAnsi="Times New Roman" w:cs="Times New Roman"/>
          <w:sz w:val="24"/>
          <w:szCs w:val="24"/>
        </w:rPr>
        <w:t xml:space="preserve">We have taken these psychological costs into account when calculating </w:t>
      </w:r>
      <w:r w:rsidRPr="00535A27" w:rsidR="008B1FFB">
        <w:rPr>
          <w:rFonts w:ascii="Times New Roman" w:hAnsi="Times New Roman" w:cs="Times New Roman"/>
          <w:sz w:val="24"/>
          <w:szCs w:val="24"/>
        </w:rPr>
        <w:t>the</w:t>
      </w:r>
      <w:r w:rsidRPr="00535A27" w:rsidR="00ED09FD">
        <w:rPr>
          <w:rFonts w:ascii="Times New Roman" w:hAnsi="Times New Roman" w:cs="Times New Roman"/>
          <w:sz w:val="24"/>
          <w:szCs w:val="24"/>
        </w:rPr>
        <w:t xml:space="preserve"> burden estimate in Section A.12. </w:t>
      </w:r>
    </w:p>
    <w:p w:rsidR="000345C3" w:rsidRPr="00DD467C" w:rsidP="008808F6" w14:paraId="7E99280F" w14:textId="05E4C9A4">
      <w:pPr>
        <w:pStyle w:val="H2"/>
        <w:spacing w:line="276" w:lineRule="auto"/>
        <w:ind w:left="900" w:hanging="450"/>
        <w:rPr>
          <w:rFonts w:ascii="Times New Roman" w:hAnsi="Times New Roman" w:cs="Times New Roman"/>
          <w:szCs w:val="24"/>
        </w:rPr>
      </w:pPr>
      <w:bookmarkStart w:id="15" w:name="_Toc476059353"/>
      <w:bookmarkStart w:id="16" w:name="_Toc130382259"/>
      <w:bookmarkStart w:id="17" w:name="_Toc134438377"/>
      <w:bookmarkStart w:id="18" w:name="_Toc183510760"/>
      <w:r w:rsidRPr="00DD467C">
        <w:rPr>
          <w:rFonts w:ascii="Times New Roman" w:hAnsi="Times New Roman" w:cs="Times New Roman"/>
          <w:szCs w:val="24"/>
        </w:rPr>
        <w:t>3.</w:t>
      </w:r>
      <w:r w:rsidRPr="00DD467C">
        <w:rPr>
          <w:rFonts w:ascii="Times New Roman" w:hAnsi="Times New Roman" w:cs="Times New Roman"/>
          <w:szCs w:val="24"/>
        </w:rPr>
        <w:tab/>
        <w:t>Use of information technology to collect the information</w:t>
      </w:r>
      <w:bookmarkEnd w:id="15"/>
      <w:bookmarkEnd w:id="16"/>
      <w:bookmarkEnd w:id="17"/>
      <w:bookmarkEnd w:id="18"/>
    </w:p>
    <w:p w:rsidR="00E20E1F" w:rsidRPr="00EE016F" w:rsidP="008808F6" w14:paraId="7B5FF527" w14:textId="6316BF2B">
      <w:pPr>
        <w:pStyle w:val="ParagraphContinued"/>
        <w:spacing w:before="0" w:line="276" w:lineRule="auto"/>
        <w:ind w:left="900"/>
        <w:rPr>
          <w:rFonts w:ascii="Times New Roman" w:hAnsi="Times New Roman" w:cs="Times New Roman"/>
          <w:sz w:val="24"/>
          <w:szCs w:val="24"/>
        </w:rPr>
      </w:pPr>
      <w:r w:rsidRPr="00DD467C">
        <w:rPr>
          <w:rFonts w:ascii="Times New Roman" w:hAnsi="Times New Roman" w:cs="Times New Roman"/>
          <w:snapToGrid w:val="0"/>
          <w:sz w:val="24"/>
          <w:szCs w:val="24"/>
        </w:rPr>
        <w:t xml:space="preserve">Mathematica uses numerous technologies to conduct and manage data collection efforts. </w:t>
      </w:r>
      <w:r w:rsidR="008C1077">
        <w:rPr>
          <w:rFonts w:ascii="Times New Roman" w:hAnsi="Times New Roman" w:cs="Times New Roman"/>
          <w:snapToGrid w:val="0"/>
          <w:sz w:val="24"/>
          <w:szCs w:val="24"/>
        </w:rPr>
        <w:t xml:space="preserve"> </w:t>
      </w:r>
      <w:r w:rsidRPr="00EE016F" w:rsidR="00BD7F9A">
        <w:rPr>
          <w:rFonts w:ascii="Times New Roman" w:hAnsi="Times New Roman" w:cs="Times New Roman"/>
          <w:snapToGrid w:val="0"/>
          <w:sz w:val="24"/>
          <w:szCs w:val="24"/>
        </w:rPr>
        <w:t>For</w:t>
      </w:r>
      <w:r w:rsidRPr="00EE016F" w:rsidR="00A2792E">
        <w:rPr>
          <w:rFonts w:ascii="Times New Roman" w:hAnsi="Times New Roman" w:cs="Times New Roman"/>
          <w:snapToGrid w:val="0"/>
          <w:sz w:val="24"/>
          <w:szCs w:val="24"/>
        </w:rPr>
        <w:t xml:space="preserve"> both </w:t>
      </w:r>
      <w:r w:rsidRPr="00EE016F" w:rsidR="00BD7F9A">
        <w:rPr>
          <w:rFonts w:ascii="Times New Roman" w:hAnsi="Times New Roman" w:cs="Times New Roman"/>
          <w:snapToGrid w:val="0"/>
          <w:sz w:val="24"/>
          <w:szCs w:val="24"/>
        </w:rPr>
        <w:t xml:space="preserve">the </w:t>
      </w:r>
      <w:r w:rsidRPr="00EE016F" w:rsidR="00FD5BD5">
        <w:rPr>
          <w:rFonts w:ascii="Times New Roman" w:hAnsi="Times New Roman" w:cs="Times New Roman"/>
          <w:snapToGrid w:val="0"/>
          <w:sz w:val="24"/>
          <w:szCs w:val="24"/>
        </w:rPr>
        <w:t>provider surveys and the qualitative interviews</w:t>
      </w:r>
      <w:r w:rsidRPr="00EE016F" w:rsidR="00A2792E">
        <w:rPr>
          <w:rFonts w:ascii="Times New Roman" w:hAnsi="Times New Roman" w:cs="Times New Roman"/>
          <w:snapToGrid w:val="0"/>
          <w:sz w:val="24"/>
          <w:szCs w:val="24"/>
        </w:rPr>
        <w:t xml:space="preserve">, </w:t>
      </w:r>
      <w:r w:rsidRPr="001D6EA9" w:rsidR="00A2792E">
        <w:rPr>
          <w:rFonts w:ascii="Times New Roman" w:hAnsi="Times New Roman" w:cs="Times New Roman"/>
          <w:sz w:val="24"/>
          <w:szCs w:val="24"/>
        </w:rPr>
        <w:t xml:space="preserve">the </w:t>
      </w:r>
      <w:r w:rsidRPr="001D6EA9">
        <w:rPr>
          <w:rFonts w:ascii="Times New Roman" w:hAnsi="Times New Roman" w:cs="Times New Roman"/>
          <w:sz w:val="24"/>
          <w:szCs w:val="24"/>
        </w:rPr>
        <w:t>evaluation will offer</w:t>
      </w:r>
      <w:r w:rsidRPr="001D6EA9" w:rsidR="00A2792E">
        <w:rPr>
          <w:rFonts w:ascii="Times New Roman" w:hAnsi="Times New Roman" w:cs="Times New Roman"/>
          <w:sz w:val="24"/>
          <w:szCs w:val="24"/>
        </w:rPr>
        <w:t xml:space="preserve"> </w:t>
      </w:r>
      <w:r w:rsidRPr="00EE016F">
        <w:rPr>
          <w:rFonts w:ascii="Times New Roman" w:hAnsi="Times New Roman" w:cs="Times New Roman"/>
          <w:sz w:val="24"/>
          <w:szCs w:val="24"/>
        </w:rPr>
        <w:t>a toll-free telephone number and email address hosted by Mathematica.</w:t>
      </w:r>
      <w:r w:rsidR="002562F5">
        <w:rPr>
          <w:rFonts w:ascii="Times New Roman" w:hAnsi="Times New Roman" w:cs="Times New Roman"/>
          <w:sz w:val="24"/>
          <w:szCs w:val="24"/>
        </w:rPr>
        <w:t xml:space="preserve">  In </w:t>
      </w:r>
      <w:r w:rsidR="002562F5">
        <w:rPr>
          <w:rFonts w:ascii="Times New Roman" w:hAnsi="Times New Roman" w:cs="Times New Roman"/>
          <w:sz w:val="24"/>
          <w:szCs w:val="24"/>
        </w:rPr>
        <w:t xml:space="preserve">addition, Mathematica will </w:t>
      </w:r>
      <w:r w:rsidRPr="00DD467C" w:rsidR="00AD491F">
        <w:rPr>
          <w:rFonts w:ascii="Times New Roman" w:hAnsi="Times New Roman" w:cs="Times New Roman"/>
          <w:snapToGrid w:val="0"/>
          <w:sz w:val="24"/>
          <w:szCs w:val="24"/>
        </w:rPr>
        <w:t xml:space="preserve">use </w:t>
      </w:r>
      <w:r w:rsidR="00AD491F">
        <w:rPr>
          <w:rFonts w:ascii="Times New Roman" w:hAnsi="Times New Roman" w:cs="Times New Roman"/>
          <w:snapToGrid w:val="0"/>
          <w:sz w:val="24"/>
          <w:szCs w:val="24"/>
        </w:rPr>
        <w:t xml:space="preserve">the following </w:t>
      </w:r>
      <w:r w:rsidRPr="00DD467C" w:rsidR="00AD491F">
        <w:rPr>
          <w:rFonts w:ascii="Times New Roman" w:hAnsi="Times New Roman" w:cs="Times New Roman"/>
          <w:snapToGrid w:val="0"/>
          <w:sz w:val="24"/>
          <w:szCs w:val="24"/>
        </w:rPr>
        <w:t>information technology</w:t>
      </w:r>
      <w:r w:rsidR="00AD491F">
        <w:rPr>
          <w:rFonts w:ascii="Times New Roman" w:hAnsi="Times New Roman" w:cs="Times New Roman"/>
          <w:sz w:val="24"/>
          <w:szCs w:val="24"/>
        </w:rPr>
        <w:t xml:space="preserve"> </w:t>
      </w:r>
      <w:r w:rsidR="002562F5">
        <w:rPr>
          <w:rFonts w:ascii="Times New Roman" w:hAnsi="Times New Roman" w:cs="Times New Roman"/>
          <w:sz w:val="24"/>
          <w:szCs w:val="24"/>
        </w:rPr>
        <w:t xml:space="preserve">for each type of </w:t>
      </w:r>
      <w:r w:rsidR="00AD491F">
        <w:rPr>
          <w:rFonts w:ascii="Times New Roman" w:hAnsi="Times New Roman" w:cs="Times New Roman"/>
          <w:sz w:val="24"/>
          <w:szCs w:val="24"/>
        </w:rPr>
        <w:t>data collection</w:t>
      </w:r>
      <w:r w:rsidR="002562F5">
        <w:rPr>
          <w:rFonts w:ascii="Times New Roman" w:hAnsi="Times New Roman" w:cs="Times New Roman"/>
          <w:sz w:val="24"/>
          <w:szCs w:val="24"/>
        </w:rPr>
        <w:t>:</w:t>
      </w:r>
    </w:p>
    <w:p w:rsidR="003F57A0" w:rsidRPr="000D0C95" w:rsidP="008808F6" w14:paraId="1A38A3BA" w14:textId="16360B85">
      <w:pPr>
        <w:pStyle w:val="H3"/>
        <w:spacing w:line="276" w:lineRule="auto"/>
      </w:pPr>
      <w:r w:rsidRPr="000D0C95">
        <w:t>Provider survey</w:t>
      </w:r>
      <w:r w:rsidRPr="000D0C95" w:rsidR="00A2028F">
        <w:t>s</w:t>
      </w:r>
    </w:p>
    <w:p w:rsidR="005370E0" w:rsidRPr="00EE016F" w:rsidP="008808F6" w14:paraId="2722AB1C" w14:textId="0EE49D6F">
      <w:pPr>
        <w:pStyle w:val="ListBullet"/>
        <w:tabs>
          <w:tab w:val="clear" w:pos="360"/>
        </w:tabs>
        <w:spacing w:line="276" w:lineRule="auto"/>
        <w:ind w:left="1260"/>
        <w:rPr>
          <w:sz w:val="24"/>
          <w:szCs w:val="24"/>
        </w:rPr>
      </w:pPr>
      <w:r>
        <w:rPr>
          <w:b/>
          <w:sz w:val="24"/>
          <w:szCs w:val="24"/>
        </w:rPr>
        <w:t>Online</w:t>
      </w:r>
      <w:r w:rsidRPr="00EE016F" w:rsidR="00C8267D">
        <w:rPr>
          <w:b/>
          <w:sz w:val="24"/>
          <w:szCs w:val="24"/>
        </w:rPr>
        <w:t xml:space="preserve"> questionnaire </w:t>
      </w:r>
      <w:r w:rsidRPr="00EE016F" w:rsidR="00454517">
        <w:rPr>
          <w:b/>
          <w:sz w:val="24"/>
          <w:szCs w:val="24"/>
        </w:rPr>
        <w:t xml:space="preserve">for the </w:t>
      </w:r>
      <w:r w:rsidRPr="00EE016F" w:rsidR="00C8267D">
        <w:rPr>
          <w:b/>
          <w:sz w:val="24"/>
          <w:szCs w:val="24"/>
        </w:rPr>
        <w:t>survey</w:t>
      </w:r>
      <w:r w:rsidRPr="00EE016F" w:rsidR="00A2028F">
        <w:rPr>
          <w:b/>
          <w:sz w:val="24"/>
          <w:szCs w:val="24"/>
        </w:rPr>
        <w:t>s</w:t>
      </w:r>
      <w:r w:rsidRPr="00EE016F" w:rsidR="00C8267D">
        <w:rPr>
          <w:b/>
          <w:sz w:val="24"/>
          <w:szCs w:val="24"/>
        </w:rPr>
        <w:t>.</w:t>
      </w:r>
      <w:r w:rsidR="0066181F">
        <w:rPr>
          <w:b/>
          <w:sz w:val="24"/>
          <w:szCs w:val="24"/>
        </w:rPr>
        <w:t xml:space="preserve"> </w:t>
      </w:r>
      <w:r w:rsidRPr="00EE016F" w:rsidR="00C8267D">
        <w:rPr>
          <w:b/>
          <w:sz w:val="24"/>
          <w:szCs w:val="24"/>
        </w:rPr>
        <w:t xml:space="preserve"> </w:t>
      </w:r>
      <w:r w:rsidRPr="00EE016F" w:rsidR="0088089F">
        <w:rPr>
          <w:sz w:val="24"/>
          <w:szCs w:val="24"/>
        </w:rPr>
        <w:t xml:space="preserve">Fielding </w:t>
      </w:r>
      <w:r w:rsidRPr="00EE016F" w:rsidR="00C8267D">
        <w:rPr>
          <w:sz w:val="24"/>
          <w:szCs w:val="24"/>
        </w:rPr>
        <w:t>the survey</w:t>
      </w:r>
      <w:r w:rsidRPr="00EE016F" w:rsidR="00A2028F">
        <w:rPr>
          <w:sz w:val="24"/>
          <w:szCs w:val="24"/>
        </w:rPr>
        <w:t>s</w:t>
      </w:r>
      <w:r w:rsidRPr="00EE016F" w:rsidR="00C8267D">
        <w:rPr>
          <w:sz w:val="24"/>
          <w:szCs w:val="24"/>
        </w:rPr>
        <w:t xml:space="preserve"> </w:t>
      </w:r>
      <w:r>
        <w:rPr>
          <w:sz w:val="24"/>
          <w:szCs w:val="24"/>
        </w:rPr>
        <w:t>online</w:t>
      </w:r>
      <w:r w:rsidRPr="00EE016F" w:rsidR="0088089F">
        <w:rPr>
          <w:sz w:val="24"/>
          <w:szCs w:val="24"/>
        </w:rPr>
        <w:t xml:space="preserve"> </w:t>
      </w:r>
      <w:r w:rsidRPr="00EE016F" w:rsidR="00A72B8F">
        <w:rPr>
          <w:sz w:val="24"/>
          <w:szCs w:val="24"/>
        </w:rPr>
        <w:t>provides</w:t>
      </w:r>
      <w:r w:rsidRPr="00EE016F" w:rsidR="00C8267D">
        <w:rPr>
          <w:sz w:val="24"/>
          <w:szCs w:val="24"/>
        </w:rPr>
        <w:t xml:space="preserve"> a low</w:t>
      </w:r>
      <w:r w:rsidR="0066181F">
        <w:rPr>
          <w:sz w:val="24"/>
          <w:szCs w:val="24"/>
        </w:rPr>
        <w:noBreakHyphen/>
      </w:r>
      <w:r w:rsidRPr="00EE016F" w:rsidR="00C8267D">
        <w:rPr>
          <w:sz w:val="24"/>
          <w:szCs w:val="24"/>
        </w:rPr>
        <w:t>burden way for respondents to self-report whenever it is most convenient</w:t>
      </w:r>
      <w:r w:rsidRPr="00EE016F" w:rsidR="005B0AA4">
        <w:rPr>
          <w:sz w:val="24"/>
          <w:szCs w:val="24"/>
        </w:rPr>
        <w:t xml:space="preserve"> for them</w:t>
      </w:r>
      <w:r w:rsidRPr="00EE016F" w:rsidR="00D232C1">
        <w:rPr>
          <w:sz w:val="24"/>
          <w:szCs w:val="24"/>
        </w:rPr>
        <w:t xml:space="preserve">. </w:t>
      </w:r>
      <w:r w:rsidR="0066181F">
        <w:rPr>
          <w:sz w:val="24"/>
          <w:szCs w:val="24"/>
        </w:rPr>
        <w:t xml:space="preserve"> </w:t>
      </w:r>
      <w:r w:rsidRPr="00EE016F" w:rsidR="00C8267D">
        <w:rPr>
          <w:sz w:val="24"/>
          <w:szCs w:val="24"/>
        </w:rPr>
        <w:t xml:space="preserve">Mathematica will deploy the </w:t>
      </w:r>
      <w:r>
        <w:rPr>
          <w:sz w:val="24"/>
          <w:szCs w:val="24"/>
        </w:rPr>
        <w:t>online</w:t>
      </w:r>
      <w:r w:rsidRPr="00EE016F" w:rsidR="00C8267D">
        <w:rPr>
          <w:sz w:val="24"/>
          <w:szCs w:val="24"/>
        </w:rPr>
        <w:t xml:space="preserve"> survey using Confirmit</w:t>
      </w:r>
      <w:r w:rsidRPr="00EE016F" w:rsidR="00C8267D">
        <w:rPr>
          <w:sz w:val="24"/>
          <w:szCs w:val="24"/>
          <w:vertAlign w:val="superscript"/>
        </w:rPr>
        <w:t>®</w:t>
      </w:r>
      <w:r w:rsidRPr="00EE016F" w:rsidR="00C8267D">
        <w:rPr>
          <w:sz w:val="24"/>
          <w:szCs w:val="24"/>
        </w:rPr>
        <w:t xml:space="preserve"> software</w:t>
      </w:r>
      <w:r w:rsidRPr="00EE016F" w:rsidR="009B430F">
        <w:rPr>
          <w:sz w:val="24"/>
          <w:szCs w:val="24"/>
        </w:rPr>
        <w:t>,</w:t>
      </w:r>
      <w:r>
        <w:rPr>
          <w:sz w:val="24"/>
          <w:szCs w:val="24"/>
          <w:vertAlign w:val="superscript"/>
        </w:rPr>
        <w:footnoteReference w:id="9"/>
      </w:r>
      <w:r w:rsidRPr="00EE016F" w:rsidR="00C8267D">
        <w:rPr>
          <w:sz w:val="24"/>
          <w:szCs w:val="24"/>
        </w:rPr>
        <w:t xml:space="preserve"> </w:t>
      </w:r>
      <w:r w:rsidRPr="00EE016F" w:rsidR="009B430F">
        <w:rPr>
          <w:sz w:val="24"/>
          <w:szCs w:val="24"/>
        </w:rPr>
        <w:t>which</w:t>
      </w:r>
      <w:r w:rsidRPr="00EE016F" w:rsidR="00C8267D">
        <w:rPr>
          <w:sz w:val="24"/>
          <w:szCs w:val="24"/>
        </w:rPr>
        <w:t xml:space="preserve"> allows respondents to complete the interviews using a tablet, computer, or mobile device connect</w:t>
      </w:r>
      <w:r w:rsidRPr="00EE016F" w:rsidR="00FD5BD5">
        <w:rPr>
          <w:sz w:val="24"/>
          <w:szCs w:val="24"/>
        </w:rPr>
        <w:t>ed</w:t>
      </w:r>
      <w:r w:rsidRPr="00EE016F" w:rsidR="00C8267D">
        <w:rPr>
          <w:sz w:val="24"/>
          <w:szCs w:val="24"/>
        </w:rPr>
        <w:t xml:space="preserve"> to the </w:t>
      </w:r>
      <w:r>
        <w:rPr>
          <w:sz w:val="24"/>
          <w:szCs w:val="24"/>
        </w:rPr>
        <w:t>online</w:t>
      </w:r>
      <w:r w:rsidRPr="00EE016F" w:rsidR="00C8267D">
        <w:rPr>
          <w:sz w:val="24"/>
          <w:szCs w:val="24"/>
        </w:rPr>
        <w:t xml:space="preserve"> instrument</w:t>
      </w:r>
      <w:r w:rsidRPr="00EE016F" w:rsidR="00BE0F71">
        <w:rPr>
          <w:sz w:val="24"/>
          <w:szCs w:val="24"/>
        </w:rPr>
        <w:t>.</w:t>
      </w:r>
      <w:r w:rsidRPr="00EE016F" w:rsidR="00C8267D">
        <w:rPr>
          <w:sz w:val="24"/>
          <w:szCs w:val="24"/>
        </w:rPr>
        <w:t xml:space="preserve"> </w:t>
      </w:r>
      <w:r w:rsidR="0066181F">
        <w:rPr>
          <w:sz w:val="24"/>
          <w:szCs w:val="24"/>
        </w:rPr>
        <w:t xml:space="preserve"> </w:t>
      </w:r>
      <w:r w:rsidRPr="00EE016F" w:rsidR="00FA5ABA">
        <w:rPr>
          <w:sz w:val="24"/>
          <w:szCs w:val="24"/>
        </w:rPr>
        <w:t>It</w:t>
      </w:r>
      <w:r w:rsidRPr="00EE016F" w:rsidR="00C8267D">
        <w:rPr>
          <w:sz w:val="24"/>
          <w:szCs w:val="24"/>
        </w:rPr>
        <w:t xml:space="preserve"> offers all the advantages of computer-based administration, including range and logic checks, preprogrammed skips based on item responses or preloaded variables, dynamic text fills</w:t>
      </w:r>
      <w:r w:rsidRPr="00EE016F" w:rsidR="00434339">
        <w:rPr>
          <w:sz w:val="24"/>
          <w:szCs w:val="24"/>
        </w:rPr>
        <w:t>, and dynamic computation of summed response</w:t>
      </w:r>
      <w:r w:rsidRPr="00EE016F" w:rsidR="005B3BBD">
        <w:rPr>
          <w:sz w:val="24"/>
          <w:szCs w:val="24"/>
        </w:rPr>
        <w:t xml:space="preserve">s. </w:t>
      </w:r>
      <w:r w:rsidR="0066181F">
        <w:rPr>
          <w:sz w:val="24"/>
          <w:szCs w:val="24"/>
        </w:rPr>
        <w:t xml:space="preserve"> </w:t>
      </w:r>
      <w:r w:rsidRPr="00EE016F" w:rsidR="007D60ED">
        <w:rPr>
          <w:sz w:val="24"/>
          <w:szCs w:val="24"/>
        </w:rPr>
        <w:t xml:space="preserve">It </w:t>
      </w:r>
      <w:r w:rsidRPr="00EE016F" w:rsidR="00FA5ABA">
        <w:rPr>
          <w:sz w:val="24"/>
          <w:szCs w:val="24"/>
        </w:rPr>
        <w:t>also</w:t>
      </w:r>
      <w:r w:rsidRPr="00EE016F" w:rsidR="003E1A0E">
        <w:rPr>
          <w:sz w:val="24"/>
          <w:szCs w:val="24"/>
        </w:rPr>
        <w:t xml:space="preserve"> allow</w:t>
      </w:r>
      <w:r w:rsidRPr="00EE016F" w:rsidR="00FA5ABA">
        <w:rPr>
          <w:sz w:val="24"/>
          <w:szCs w:val="24"/>
        </w:rPr>
        <w:t>s</w:t>
      </w:r>
      <w:r w:rsidRPr="00EE016F" w:rsidR="003E1A0E">
        <w:rPr>
          <w:sz w:val="24"/>
          <w:szCs w:val="24"/>
        </w:rPr>
        <w:t xml:space="preserve"> for breakoffs </w:t>
      </w:r>
      <w:r w:rsidRPr="00EE016F" w:rsidR="004E5AC0">
        <w:rPr>
          <w:sz w:val="24"/>
          <w:szCs w:val="24"/>
        </w:rPr>
        <w:t>that</w:t>
      </w:r>
      <w:r w:rsidRPr="00EE016F" w:rsidR="003E1A0E">
        <w:rPr>
          <w:sz w:val="24"/>
          <w:szCs w:val="24"/>
        </w:rPr>
        <w:t xml:space="preserve"> </w:t>
      </w:r>
      <w:r w:rsidRPr="00EE016F" w:rsidR="002039B9">
        <w:rPr>
          <w:sz w:val="24"/>
          <w:szCs w:val="24"/>
        </w:rPr>
        <w:t>enabl</w:t>
      </w:r>
      <w:r w:rsidRPr="00EE016F" w:rsidR="004E5AC0">
        <w:rPr>
          <w:sz w:val="24"/>
          <w:szCs w:val="24"/>
        </w:rPr>
        <w:t>e</w:t>
      </w:r>
      <w:r w:rsidRPr="00EE016F" w:rsidR="003E1A0E">
        <w:rPr>
          <w:sz w:val="24"/>
          <w:szCs w:val="24"/>
        </w:rPr>
        <w:t xml:space="preserve"> respondents to pause </w:t>
      </w:r>
      <w:r w:rsidRPr="00EE016F" w:rsidR="002039B9">
        <w:rPr>
          <w:sz w:val="24"/>
          <w:szCs w:val="24"/>
        </w:rPr>
        <w:t xml:space="preserve">the survey </w:t>
      </w:r>
      <w:r w:rsidRPr="00EE016F" w:rsidR="003E1A0E">
        <w:rPr>
          <w:sz w:val="24"/>
          <w:szCs w:val="24"/>
        </w:rPr>
        <w:t xml:space="preserve">and resume </w:t>
      </w:r>
      <w:r w:rsidRPr="00EE016F" w:rsidR="000C78AD">
        <w:rPr>
          <w:sz w:val="24"/>
          <w:szCs w:val="24"/>
        </w:rPr>
        <w:t>later</w:t>
      </w:r>
      <w:r w:rsidRPr="00EE016F" w:rsidR="003E1A0E">
        <w:rPr>
          <w:sz w:val="24"/>
          <w:szCs w:val="24"/>
        </w:rPr>
        <w:t xml:space="preserve"> without having to re-populate </w:t>
      </w:r>
      <w:r w:rsidRPr="00EE016F" w:rsidR="00351170">
        <w:rPr>
          <w:sz w:val="24"/>
          <w:szCs w:val="24"/>
        </w:rPr>
        <w:t xml:space="preserve">answers </w:t>
      </w:r>
      <w:r w:rsidRPr="00EE016F" w:rsidR="003E1A0E">
        <w:rPr>
          <w:sz w:val="24"/>
          <w:szCs w:val="24"/>
        </w:rPr>
        <w:t>already provided.</w:t>
      </w:r>
      <w:r w:rsidR="0066181F">
        <w:rPr>
          <w:sz w:val="24"/>
          <w:szCs w:val="24"/>
        </w:rPr>
        <w:t xml:space="preserve"> </w:t>
      </w:r>
      <w:r w:rsidRPr="00EE016F" w:rsidR="003E1A0E">
        <w:rPr>
          <w:sz w:val="24"/>
          <w:szCs w:val="24"/>
        </w:rPr>
        <w:t xml:space="preserve"> </w:t>
      </w:r>
      <w:r w:rsidRPr="00EE016F" w:rsidR="00536FDF">
        <w:rPr>
          <w:sz w:val="24"/>
          <w:szCs w:val="24"/>
        </w:rPr>
        <w:t xml:space="preserve">Mathematica </w:t>
      </w:r>
      <w:r w:rsidRPr="00EE016F" w:rsidR="00C8267D">
        <w:rPr>
          <w:sz w:val="24"/>
          <w:szCs w:val="24"/>
        </w:rPr>
        <w:t xml:space="preserve">will send sample members </w:t>
      </w:r>
      <w:r w:rsidRPr="00EE016F">
        <w:rPr>
          <w:sz w:val="24"/>
          <w:szCs w:val="24"/>
        </w:rPr>
        <w:t xml:space="preserve">a </w:t>
      </w:r>
      <w:r w:rsidRPr="00EE016F" w:rsidR="00CF3381">
        <w:rPr>
          <w:sz w:val="24"/>
          <w:szCs w:val="24"/>
        </w:rPr>
        <w:t xml:space="preserve">personalized </w:t>
      </w:r>
      <w:r w:rsidRPr="00EE016F">
        <w:rPr>
          <w:sz w:val="24"/>
          <w:szCs w:val="24"/>
        </w:rPr>
        <w:t xml:space="preserve">link </w:t>
      </w:r>
      <w:r w:rsidRPr="00EE016F" w:rsidR="002A78C5">
        <w:rPr>
          <w:sz w:val="24"/>
          <w:szCs w:val="24"/>
        </w:rPr>
        <w:t xml:space="preserve">to launch the </w:t>
      </w:r>
      <w:r>
        <w:rPr>
          <w:sz w:val="24"/>
          <w:szCs w:val="24"/>
        </w:rPr>
        <w:t>online</w:t>
      </w:r>
      <w:r w:rsidRPr="00EE016F" w:rsidR="002A78C5">
        <w:rPr>
          <w:sz w:val="24"/>
          <w:szCs w:val="24"/>
        </w:rPr>
        <w:t xml:space="preserve"> survey </w:t>
      </w:r>
      <w:r w:rsidRPr="00EE016F">
        <w:rPr>
          <w:sz w:val="24"/>
          <w:szCs w:val="24"/>
        </w:rPr>
        <w:t xml:space="preserve">in the </w:t>
      </w:r>
      <w:r w:rsidRPr="00EE016F" w:rsidR="0046446F">
        <w:rPr>
          <w:sz w:val="24"/>
          <w:szCs w:val="24"/>
        </w:rPr>
        <w:t>initial</w:t>
      </w:r>
      <w:r w:rsidRPr="00EE016F" w:rsidR="00C8267D">
        <w:rPr>
          <w:sz w:val="24"/>
          <w:szCs w:val="24"/>
        </w:rPr>
        <w:t xml:space="preserve"> letter</w:t>
      </w:r>
      <w:r w:rsidRPr="00EE016F">
        <w:rPr>
          <w:sz w:val="24"/>
          <w:szCs w:val="24"/>
        </w:rPr>
        <w:t xml:space="preserve"> and all email reminders</w:t>
      </w:r>
      <w:r w:rsidRPr="00EE016F" w:rsidR="00C8267D">
        <w:rPr>
          <w:sz w:val="24"/>
          <w:szCs w:val="24"/>
        </w:rPr>
        <w:t xml:space="preserve"> (see Attachment</w:t>
      </w:r>
      <w:r w:rsidR="0041599E">
        <w:rPr>
          <w:sz w:val="24"/>
          <w:szCs w:val="24"/>
        </w:rPr>
        <w:t>s</w:t>
      </w:r>
      <w:r w:rsidRPr="00EE016F" w:rsidR="00C8267D">
        <w:rPr>
          <w:sz w:val="24"/>
          <w:szCs w:val="24"/>
        </w:rPr>
        <w:t xml:space="preserve"> </w:t>
      </w:r>
      <w:r w:rsidRPr="00EE016F" w:rsidR="00F95FCC">
        <w:rPr>
          <w:sz w:val="24"/>
          <w:szCs w:val="24"/>
        </w:rPr>
        <w:t>A</w:t>
      </w:r>
      <w:r w:rsidR="0041599E">
        <w:rPr>
          <w:sz w:val="24"/>
          <w:szCs w:val="24"/>
        </w:rPr>
        <w:t>1a-A1f</w:t>
      </w:r>
      <w:r w:rsidR="00BF40F5">
        <w:rPr>
          <w:sz w:val="24"/>
          <w:szCs w:val="24"/>
        </w:rPr>
        <w:t>, A2a-A2f, and A3a-A3f</w:t>
      </w:r>
      <w:r w:rsidRPr="00EE016F" w:rsidR="00C8267D">
        <w:rPr>
          <w:sz w:val="24"/>
          <w:szCs w:val="24"/>
        </w:rPr>
        <w:t xml:space="preserve">). </w:t>
      </w:r>
    </w:p>
    <w:p w:rsidR="005B1101" w:rsidRPr="00EE016F" w:rsidP="008808F6" w14:paraId="150186E4" w14:textId="6AE55B23">
      <w:pPr>
        <w:pStyle w:val="ListBullet"/>
        <w:tabs>
          <w:tab w:val="clear" w:pos="360"/>
        </w:tabs>
        <w:spacing w:line="276" w:lineRule="auto"/>
        <w:ind w:left="1260"/>
        <w:rPr>
          <w:sz w:val="24"/>
          <w:szCs w:val="24"/>
        </w:rPr>
      </w:pPr>
      <w:r w:rsidRPr="00EE016F">
        <w:rPr>
          <w:b/>
          <w:sz w:val="24"/>
          <w:szCs w:val="24"/>
        </w:rPr>
        <w:t>Computer-based sample management system.</w:t>
      </w:r>
      <w:r w:rsidRPr="00EE016F">
        <w:rPr>
          <w:sz w:val="24"/>
          <w:szCs w:val="24"/>
        </w:rPr>
        <w:t xml:space="preserve"> </w:t>
      </w:r>
      <w:r w:rsidR="0066181F">
        <w:rPr>
          <w:sz w:val="24"/>
          <w:szCs w:val="24"/>
        </w:rPr>
        <w:t xml:space="preserve"> </w:t>
      </w:r>
      <w:r w:rsidRPr="00EE016F">
        <w:rPr>
          <w:sz w:val="24"/>
          <w:szCs w:val="24"/>
        </w:rPr>
        <w:t xml:space="preserve">The sample management system will minimize respondent burden by ensuring that </w:t>
      </w:r>
      <w:r w:rsidR="002562F5">
        <w:rPr>
          <w:sz w:val="24"/>
          <w:szCs w:val="24"/>
        </w:rPr>
        <w:t xml:space="preserve">we direct </w:t>
      </w:r>
      <w:r w:rsidRPr="00EE016F">
        <w:rPr>
          <w:sz w:val="24"/>
          <w:szCs w:val="24"/>
        </w:rPr>
        <w:t xml:space="preserve">nonresponse follow-up efforts only to applicable </w:t>
      </w:r>
      <w:r w:rsidRPr="00EE016F" w:rsidR="008E7592">
        <w:rPr>
          <w:sz w:val="24"/>
          <w:szCs w:val="24"/>
        </w:rPr>
        <w:t>sample members</w:t>
      </w:r>
      <w:r w:rsidRPr="00EE016F">
        <w:rPr>
          <w:sz w:val="24"/>
          <w:szCs w:val="24"/>
        </w:rPr>
        <w:t xml:space="preserve">. </w:t>
      </w:r>
      <w:r w:rsidR="0066181F">
        <w:rPr>
          <w:sz w:val="24"/>
          <w:szCs w:val="24"/>
        </w:rPr>
        <w:t xml:space="preserve"> </w:t>
      </w:r>
      <w:r w:rsidR="002562F5">
        <w:rPr>
          <w:sz w:val="24"/>
          <w:szCs w:val="24"/>
        </w:rPr>
        <w:t>We will update t</w:t>
      </w:r>
      <w:r w:rsidRPr="00EE016F">
        <w:rPr>
          <w:sz w:val="24"/>
          <w:szCs w:val="24"/>
        </w:rPr>
        <w:t xml:space="preserve">he system in real time as </w:t>
      </w:r>
      <w:r w:rsidRPr="00EE016F" w:rsidR="00EE02DA">
        <w:rPr>
          <w:sz w:val="24"/>
          <w:szCs w:val="24"/>
        </w:rPr>
        <w:t xml:space="preserve">provider survey </w:t>
      </w:r>
      <w:r w:rsidRPr="00EE016F">
        <w:rPr>
          <w:sz w:val="24"/>
          <w:szCs w:val="24"/>
        </w:rPr>
        <w:t>respondents</w:t>
      </w:r>
      <w:r w:rsidRPr="00EE016F">
        <w:rPr>
          <w:sz w:val="24"/>
          <w:szCs w:val="24"/>
        </w:rPr>
        <w:t xml:space="preserve"> complete interview</w:t>
      </w:r>
      <w:r w:rsidRPr="00EE016F" w:rsidR="008E7592">
        <w:rPr>
          <w:sz w:val="24"/>
          <w:szCs w:val="24"/>
        </w:rPr>
        <w:t>s</w:t>
      </w:r>
      <w:r w:rsidRPr="00EE016F">
        <w:rPr>
          <w:sz w:val="24"/>
          <w:szCs w:val="24"/>
        </w:rPr>
        <w:t xml:space="preserve">. </w:t>
      </w:r>
      <w:r w:rsidR="0066181F">
        <w:rPr>
          <w:sz w:val="24"/>
          <w:szCs w:val="24"/>
        </w:rPr>
        <w:t xml:space="preserve"> </w:t>
      </w:r>
      <w:r w:rsidR="002562F5">
        <w:rPr>
          <w:sz w:val="24"/>
          <w:szCs w:val="24"/>
        </w:rPr>
        <w:t xml:space="preserve">The system </w:t>
      </w:r>
      <w:r w:rsidRPr="00EE016F" w:rsidR="008E78E6">
        <w:rPr>
          <w:sz w:val="24"/>
          <w:szCs w:val="24"/>
        </w:rPr>
        <w:t>will also</w:t>
      </w:r>
      <w:r w:rsidRPr="00EE016F">
        <w:rPr>
          <w:sz w:val="24"/>
          <w:szCs w:val="24"/>
        </w:rPr>
        <w:t xml:space="preserve"> allow Mathematica to update respondent contact information</w:t>
      </w:r>
      <w:r w:rsidRPr="00EE016F" w:rsidR="00347B1D">
        <w:rPr>
          <w:sz w:val="24"/>
          <w:szCs w:val="24"/>
        </w:rPr>
        <w:t>, if needed</w:t>
      </w:r>
      <w:r w:rsidRPr="00EE016F" w:rsidR="007033FF">
        <w:rPr>
          <w:sz w:val="24"/>
          <w:szCs w:val="24"/>
        </w:rPr>
        <w:t>.</w:t>
      </w:r>
      <w:r w:rsidRPr="00EE016F">
        <w:rPr>
          <w:sz w:val="24"/>
          <w:szCs w:val="24"/>
        </w:rPr>
        <w:t xml:space="preserve"> </w:t>
      </w:r>
    </w:p>
    <w:p w:rsidR="00560382" w:rsidRPr="00DD467C" w:rsidP="008808F6" w14:paraId="4973218E" w14:textId="483A7C50">
      <w:pPr>
        <w:pStyle w:val="ListBullet"/>
        <w:tabs>
          <w:tab w:val="clear" w:pos="360"/>
        </w:tabs>
        <w:spacing w:line="276" w:lineRule="auto"/>
        <w:ind w:left="1260"/>
        <w:rPr>
          <w:b/>
          <w:sz w:val="24"/>
          <w:szCs w:val="24"/>
        </w:rPr>
      </w:pPr>
      <w:r w:rsidRPr="00EE016F">
        <w:rPr>
          <w:b/>
          <w:sz w:val="24"/>
          <w:szCs w:val="24"/>
        </w:rPr>
        <w:t>Sending the survey link via email</w:t>
      </w:r>
      <w:r w:rsidRPr="00EE016F" w:rsidR="005B1101">
        <w:rPr>
          <w:b/>
          <w:sz w:val="24"/>
          <w:szCs w:val="24"/>
        </w:rPr>
        <w:t xml:space="preserve">. </w:t>
      </w:r>
      <w:r w:rsidR="0066181F">
        <w:rPr>
          <w:b/>
          <w:sz w:val="24"/>
          <w:szCs w:val="24"/>
        </w:rPr>
        <w:t xml:space="preserve"> </w:t>
      </w:r>
      <w:r w:rsidRPr="00EE016F" w:rsidR="006D72B2">
        <w:rPr>
          <w:sz w:val="24"/>
          <w:szCs w:val="24"/>
        </w:rPr>
        <w:t xml:space="preserve">As noted above, all email reminders will include a personalized link to launch the </w:t>
      </w:r>
      <w:r w:rsidR="00646AC3">
        <w:rPr>
          <w:sz w:val="24"/>
          <w:szCs w:val="24"/>
        </w:rPr>
        <w:t>online</w:t>
      </w:r>
      <w:r w:rsidRPr="00EE016F" w:rsidR="006D72B2">
        <w:rPr>
          <w:sz w:val="24"/>
          <w:szCs w:val="24"/>
        </w:rPr>
        <w:t xml:space="preserve"> survey.</w:t>
      </w:r>
      <w:r w:rsidR="0066181F">
        <w:rPr>
          <w:sz w:val="24"/>
          <w:szCs w:val="24"/>
        </w:rPr>
        <w:t xml:space="preserve"> </w:t>
      </w:r>
      <w:r w:rsidRPr="00EE016F" w:rsidR="006D72B2">
        <w:rPr>
          <w:sz w:val="24"/>
          <w:szCs w:val="24"/>
        </w:rPr>
        <w:t xml:space="preserve"> Sending the link by email </w:t>
      </w:r>
      <w:r w:rsidRPr="00DD467C" w:rsidR="006D72B2">
        <w:rPr>
          <w:sz w:val="24"/>
          <w:szCs w:val="24"/>
        </w:rPr>
        <w:t xml:space="preserve">reduces </w:t>
      </w:r>
      <w:r w:rsidRPr="00DD467C" w:rsidR="002E16AC">
        <w:rPr>
          <w:sz w:val="24"/>
          <w:szCs w:val="24"/>
        </w:rPr>
        <w:t>burden because providers can click on the link to begin the survey instead of having to manually type it into their web browser.</w:t>
      </w:r>
    </w:p>
    <w:p w:rsidR="006C2D43" w:rsidRPr="00DD467C" w:rsidP="008808F6" w14:paraId="6336C088" w14:textId="7D00792F">
      <w:pPr>
        <w:pStyle w:val="H3"/>
        <w:spacing w:line="276" w:lineRule="auto"/>
      </w:pPr>
      <w:r w:rsidRPr="00DD467C">
        <w:t xml:space="preserve">Qualitative </w:t>
      </w:r>
      <w:r w:rsidRPr="00DD467C" w:rsidR="002E16AC">
        <w:t>interviews</w:t>
      </w:r>
      <w:r w:rsidRPr="00DD467C">
        <w:t xml:space="preserve"> </w:t>
      </w:r>
    </w:p>
    <w:p w:rsidR="002E12AB" w:rsidRPr="00DD467C" w:rsidP="008808F6" w14:paraId="66C2BA74" w14:textId="766B9E98">
      <w:pPr>
        <w:pStyle w:val="ListBullet"/>
        <w:tabs>
          <w:tab w:val="clear" w:pos="360"/>
        </w:tabs>
        <w:spacing w:line="276" w:lineRule="auto"/>
        <w:ind w:left="1260"/>
        <w:rPr>
          <w:sz w:val="24"/>
          <w:szCs w:val="24"/>
        </w:rPr>
      </w:pPr>
      <w:r w:rsidRPr="00DD467C">
        <w:rPr>
          <w:b/>
          <w:sz w:val="24"/>
          <w:szCs w:val="24"/>
        </w:rPr>
        <w:t xml:space="preserve">Computer-based sample management </w:t>
      </w:r>
      <w:r w:rsidRPr="00DD467C" w:rsidR="00745602">
        <w:rPr>
          <w:b/>
          <w:sz w:val="24"/>
          <w:szCs w:val="24"/>
        </w:rPr>
        <w:t>tool</w:t>
      </w:r>
      <w:r w:rsidRPr="00DD467C">
        <w:rPr>
          <w:b/>
          <w:sz w:val="24"/>
          <w:szCs w:val="24"/>
        </w:rPr>
        <w:t>.</w:t>
      </w:r>
      <w:r w:rsidRPr="00DD467C">
        <w:rPr>
          <w:sz w:val="24"/>
          <w:szCs w:val="24"/>
        </w:rPr>
        <w:t xml:space="preserve"> </w:t>
      </w:r>
      <w:r w:rsidR="0066181F">
        <w:rPr>
          <w:sz w:val="24"/>
          <w:szCs w:val="24"/>
        </w:rPr>
        <w:t xml:space="preserve"> </w:t>
      </w:r>
      <w:r w:rsidRPr="00DD467C" w:rsidR="00547B76">
        <w:rPr>
          <w:sz w:val="24"/>
          <w:szCs w:val="24"/>
        </w:rPr>
        <w:t xml:space="preserve">Mathematica will track responses to outreach efforts </w:t>
      </w:r>
      <w:r w:rsidRPr="00DD467C" w:rsidR="00373DE8">
        <w:rPr>
          <w:sz w:val="24"/>
          <w:szCs w:val="24"/>
        </w:rPr>
        <w:t>with a c</w:t>
      </w:r>
      <w:r w:rsidRPr="00DD467C" w:rsidR="00547B76">
        <w:rPr>
          <w:sz w:val="24"/>
          <w:szCs w:val="24"/>
        </w:rPr>
        <w:t xml:space="preserve">omputer-based sample management system. </w:t>
      </w:r>
      <w:r w:rsidR="0066181F">
        <w:rPr>
          <w:sz w:val="24"/>
          <w:szCs w:val="24"/>
        </w:rPr>
        <w:t xml:space="preserve"> </w:t>
      </w:r>
      <w:r w:rsidRPr="00DD467C" w:rsidR="00547B76">
        <w:rPr>
          <w:sz w:val="24"/>
          <w:szCs w:val="24"/>
        </w:rPr>
        <w:t xml:space="preserve">This will streamline recruitment and scheduling efforts, ensuring </w:t>
      </w:r>
      <w:r w:rsidR="002562F5">
        <w:rPr>
          <w:sz w:val="24"/>
          <w:szCs w:val="24"/>
        </w:rPr>
        <w:t xml:space="preserve">we clearly document </w:t>
      </w:r>
      <w:r w:rsidRPr="00DD467C" w:rsidR="00C2703B">
        <w:rPr>
          <w:sz w:val="24"/>
          <w:szCs w:val="24"/>
        </w:rPr>
        <w:t xml:space="preserve">each potential interviewee’s status </w:t>
      </w:r>
      <w:r w:rsidRPr="00DD467C" w:rsidR="00C460B2">
        <w:rPr>
          <w:sz w:val="24"/>
          <w:szCs w:val="24"/>
        </w:rPr>
        <w:t xml:space="preserve">and </w:t>
      </w:r>
      <w:r w:rsidR="002562F5">
        <w:rPr>
          <w:sz w:val="24"/>
          <w:szCs w:val="24"/>
        </w:rPr>
        <w:t xml:space="preserve">other staff do not duplicate </w:t>
      </w:r>
      <w:r w:rsidRPr="00DD467C" w:rsidR="00C460B2">
        <w:rPr>
          <w:sz w:val="24"/>
          <w:szCs w:val="24"/>
        </w:rPr>
        <w:t xml:space="preserve">efforts. </w:t>
      </w:r>
      <w:r w:rsidR="0066181F">
        <w:rPr>
          <w:sz w:val="24"/>
          <w:szCs w:val="24"/>
        </w:rPr>
        <w:t xml:space="preserve"> </w:t>
      </w:r>
      <w:r w:rsidRPr="00DD467C" w:rsidR="004C3101">
        <w:rPr>
          <w:sz w:val="24"/>
          <w:szCs w:val="24"/>
        </w:rPr>
        <w:t>After scheduling</w:t>
      </w:r>
      <w:r w:rsidRPr="00DD467C" w:rsidR="00C460B2">
        <w:rPr>
          <w:sz w:val="24"/>
          <w:szCs w:val="24"/>
        </w:rPr>
        <w:t xml:space="preserve"> an interview, </w:t>
      </w:r>
      <w:r w:rsidRPr="00DD467C" w:rsidR="008C00C8">
        <w:rPr>
          <w:sz w:val="24"/>
          <w:szCs w:val="24"/>
        </w:rPr>
        <w:t xml:space="preserve">Mathematica will record </w:t>
      </w:r>
      <w:r w:rsidRPr="00DD467C" w:rsidR="00C460B2">
        <w:rPr>
          <w:sz w:val="24"/>
          <w:szCs w:val="24"/>
        </w:rPr>
        <w:t xml:space="preserve">the date, time, and interviewer assigned. </w:t>
      </w:r>
    </w:p>
    <w:p w:rsidR="00F40EBF" w:rsidRPr="00DD467C" w:rsidP="008808F6" w14:paraId="75B3C75C" w14:textId="0052E218">
      <w:pPr>
        <w:pStyle w:val="ListBullet"/>
        <w:tabs>
          <w:tab w:val="clear" w:pos="360"/>
        </w:tabs>
        <w:spacing w:line="276" w:lineRule="auto"/>
        <w:ind w:left="1260"/>
        <w:rPr>
          <w:sz w:val="24"/>
          <w:szCs w:val="24"/>
        </w:rPr>
      </w:pPr>
      <w:r w:rsidRPr="00DD467C">
        <w:rPr>
          <w:b/>
          <w:sz w:val="24"/>
          <w:szCs w:val="24"/>
        </w:rPr>
        <w:t>Recording</w:t>
      </w:r>
      <w:r w:rsidRPr="00DD467C" w:rsidR="00293911">
        <w:rPr>
          <w:b/>
          <w:sz w:val="24"/>
          <w:szCs w:val="24"/>
        </w:rPr>
        <w:t xml:space="preserve"> interviews. </w:t>
      </w:r>
      <w:r w:rsidR="0066181F">
        <w:rPr>
          <w:b/>
          <w:sz w:val="24"/>
          <w:szCs w:val="24"/>
        </w:rPr>
        <w:t xml:space="preserve"> </w:t>
      </w:r>
      <w:r w:rsidRPr="00DD467C" w:rsidR="00E07CDE">
        <w:rPr>
          <w:sz w:val="24"/>
          <w:szCs w:val="24"/>
        </w:rPr>
        <w:t xml:space="preserve">With participants’ permission, </w:t>
      </w:r>
      <w:r w:rsidRPr="00DD467C" w:rsidR="001B338C">
        <w:rPr>
          <w:sz w:val="24"/>
          <w:szCs w:val="24"/>
        </w:rPr>
        <w:t>Mathematica</w:t>
      </w:r>
      <w:r w:rsidRPr="00DD467C" w:rsidR="00E07CDE">
        <w:rPr>
          <w:sz w:val="24"/>
          <w:szCs w:val="24"/>
        </w:rPr>
        <w:t xml:space="preserve"> will </w:t>
      </w:r>
      <w:r w:rsidRPr="00DD467C">
        <w:rPr>
          <w:sz w:val="24"/>
          <w:szCs w:val="24"/>
        </w:rPr>
        <w:t>audio</w:t>
      </w:r>
      <w:r w:rsidR="002562F5">
        <w:rPr>
          <w:sz w:val="24"/>
          <w:szCs w:val="24"/>
        </w:rPr>
        <w:noBreakHyphen/>
      </w:r>
      <w:r w:rsidRPr="00DD467C">
        <w:rPr>
          <w:sz w:val="24"/>
          <w:szCs w:val="24"/>
        </w:rPr>
        <w:t xml:space="preserve">record the </w:t>
      </w:r>
      <w:r w:rsidRPr="00DD467C" w:rsidR="00E07CDE">
        <w:rPr>
          <w:sz w:val="24"/>
          <w:szCs w:val="24"/>
        </w:rPr>
        <w:t>interviews</w:t>
      </w:r>
      <w:r w:rsidRPr="00DD467C" w:rsidR="007D1C35">
        <w:rPr>
          <w:sz w:val="24"/>
          <w:szCs w:val="24"/>
        </w:rPr>
        <w:t xml:space="preserve">. </w:t>
      </w:r>
      <w:r w:rsidR="0066181F">
        <w:rPr>
          <w:sz w:val="24"/>
          <w:szCs w:val="24"/>
        </w:rPr>
        <w:t xml:space="preserve"> </w:t>
      </w:r>
      <w:r w:rsidRPr="00DD467C" w:rsidR="001B338C">
        <w:rPr>
          <w:sz w:val="24"/>
          <w:szCs w:val="24"/>
        </w:rPr>
        <w:t>Mathematica will use</w:t>
      </w:r>
      <w:r w:rsidRPr="00DD467C" w:rsidR="00E15F3B">
        <w:rPr>
          <w:sz w:val="24"/>
          <w:szCs w:val="24"/>
        </w:rPr>
        <w:t xml:space="preserve"> the </w:t>
      </w:r>
      <w:r w:rsidRPr="00DD467C" w:rsidR="007D1C35">
        <w:rPr>
          <w:sz w:val="24"/>
          <w:szCs w:val="24"/>
        </w:rPr>
        <w:t>recordings to</w:t>
      </w:r>
      <w:r w:rsidR="002562F5">
        <w:rPr>
          <w:sz w:val="24"/>
          <w:szCs w:val="24"/>
        </w:rPr>
        <w:t>:</w:t>
      </w:r>
      <w:r w:rsidRPr="00DD467C" w:rsidR="007D1C35">
        <w:rPr>
          <w:sz w:val="24"/>
          <w:szCs w:val="24"/>
        </w:rPr>
        <w:t xml:space="preserve"> </w:t>
      </w:r>
      <w:r w:rsidR="0066181F">
        <w:rPr>
          <w:sz w:val="24"/>
          <w:szCs w:val="24"/>
        </w:rPr>
        <w:t xml:space="preserve"> </w:t>
      </w:r>
      <w:r w:rsidR="002562F5">
        <w:rPr>
          <w:sz w:val="24"/>
          <w:szCs w:val="24"/>
        </w:rPr>
        <w:t xml:space="preserve">(1) </w:t>
      </w:r>
      <w:r w:rsidRPr="00DD467C" w:rsidR="00834190">
        <w:rPr>
          <w:sz w:val="24"/>
          <w:szCs w:val="24"/>
        </w:rPr>
        <w:t xml:space="preserve">ensure </w:t>
      </w:r>
      <w:r w:rsidR="002562F5">
        <w:rPr>
          <w:sz w:val="24"/>
          <w:szCs w:val="24"/>
        </w:rPr>
        <w:t xml:space="preserve">the accuracy of </w:t>
      </w:r>
      <w:r w:rsidRPr="00DD467C" w:rsidR="007D1C35">
        <w:rPr>
          <w:sz w:val="24"/>
          <w:szCs w:val="24"/>
        </w:rPr>
        <w:t xml:space="preserve">interview </w:t>
      </w:r>
      <w:r w:rsidRPr="00DD467C">
        <w:rPr>
          <w:sz w:val="24"/>
          <w:szCs w:val="24"/>
        </w:rPr>
        <w:t>notes</w:t>
      </w:r>
      <w:r w:rsidR="002562F5">
        <w:rPr>
          <w:sz w:val="24"/>
          <w:szCs w:val="24"/>
        </w:rPr>
        <w:t>,</w:t>
      </w:r>
      <w:r w:rsidRPr="00DD467C" w:rsidR="007D1C35">
        <w:rPr>
          <w:sz w:val="24"/>
          <w:szCs w:val="24"/>
        </w:rPr>
        <w:t xml:space="preserve"> </w:t>
      </w:r>
      <w:r w:rsidRPr="00DD467C">
        <w:rPr>
          <w:sz w:val="24"/>
          <w:szCs w:val="24"/>
        </w:rPr>
        <w:t xml:space="preserve">and </w:t>
      </w:r>
      <w:r w:rsidR="002562F5">
        <w:rPr>
          <w:sz w:val="24"/>
          <w:szCs w:val="24"/>
        </w:rPr>
        <w:t xml:space="preserve">(2) </w:t>
      </w:r>
      <w:r w:rsidRPr="00DD467C" w:rsidR="00B33CE9">
        <w:rPr>
          <w:sz w:val="24"/>
          <w:szCs w:val="24"/>
        </w:rPr>
        <w:t>produce transcripts</w:t>
      </w:r>
      <w:r w:rsidRPr="00DD467C" w:rsidR="00E565CC">
        <w:rPr>
          <w:sz w:val="24"/>
          <w:szCs w:val="24"/>
        </w:rPr>
        <w:t xml:space="preserve"> of the interviews. </w:t>
      </w:r>
    </w:p>
    <w:p w:rsidR="00C8051F" w:rsidRPr="00DD467C" w:rsidP="008808F6" w14:paraId="4C100B4D" w14:textId="69D6AD9D">
      <w:pPr>
        <w:pStyle w:val="ListBullet"/>
        <w:tabs>
          <w:tab w:val="clear" w:pos="360"/>
        </w:tabs>
        <w:spacing w:line="276" w:lineRule="auto"/>
        <w:ind w:left="1260"/>
        <w:rPr>
          <w:sz w:val="24"/>
          <w:szCs w:val="24"/>
        </w:rPr>
      </w:pPr>
      <w:r>
        <w:rPr>
          <w:b/>
          <w:sz w:val="24"/>
          <w:szCs w:val="24"/>
        </w:rPr>
        <w:t>Software</w:t>
      </w:r>
      <w:r w:rsidRPr="00DD467C">
        <w:rPr>
          <w:b/>
          <w:sz w:val="24"/>
          <w:szCs w:val="24"/>
        </w:rPr>
        <w:t xml:space="preserve"> to code interview transcripts.</w:t>
      </w:r>
      <w:r w:rsidR="0066181F">
        <w:rPr>
          <w:b/>
          <w:sz w:val="24"/>
          <w:szCs w:val="24"/>
        </w:rPr>
        <w:t xml:space="preserve"> </w:t>
      </w:r>
      <w:r w:rsidRPr="00DD467C">
        <w:rPr>
          <w:sz w:val="24"/>
          <w:szCs w:val="24"/>
        </w:rPr>
        <w:t xml:space="preserve"> Mathematica will use </w:t>
      </w:r>
      <w:r w:rsidRPr="00DD467C" w:rsidR="003B6DB1">
        <w:rPr>
          <w:sz w:val="24"/>
          <w:szCs w:val="24"/>
        </w:rPr>
        <w:t xml:space="preserve">software to </w:t>
      </w:r>
      <w:r w:rsidRPr="00DD467C" w:rsidR="00B20631">
        <w:rPr>
          <w:sz w:val="24"/>
          <w:szCs w:val="24"/>
        </w:rPr>
        <w:t xml:space="preserve">apply codes to the interview transcripts. </w:t>
      </w:r>
      <w:r w:rsidR="0066181F">
        <w:rPr>
          <w:sz w:val="24"/>
          <w:szCs w:val="24"/>
        </w:rPr>
        <w:t xml:space="preserve"> </w:t>
      </w:r>
      <w:r w:rsidRPr="00DD467C" w:rsidR="00B20631">
        <w:rPr>
          <w:sz w:val="24"/>
          <w:szCs w:val="24"/>
        </w:rPr>
        <w:t>These codes</w:t>
      </w:r>
      <w:r w:rsidRPr="00DD467C" w:rsidR="00652282">
        <w:rPr>
          <w:sz w:val="24"/>
          <w:szCs w:val="24"/>
        </w:rPr>
        <w:t xml:space="preserve"> will</w:t>
      </w:r>
      <w:r w:rsidRPr="00DD467C" w:rsidR="007812A0">
        <w:rPr>
          <w:sz w:val="24"/>
          <w:szCs w:val="24"/>
        </w:rPr>
        <w:t xml:space="preserve"> build the foundation for </w:t>
      </w:r>
      <w:r w:rsidRPr="00DD467C" w:rsidR="00814E0E">
        <w:rPr>
          <w:sz w:val="24"/>
          <w:szCs w:val="24"/>
        </w:rPr>
        <w:t>identif</w:t>
      </w:r>
      <w:r w:rsidRPr="00DD467C" w:rsidR="00955C10">
        <w:rPr>
          <w:sz w:val="24"/>
          <w:szCs w:val="24"/>
        </w:rPr>
        <w:t>ying</w:t>
      </w:r>
      <w:r w:rsidRPr="00DD467C" w:rsidR="007812A0">
        <w:rPr>
          <w:sz w:val="24"/>
          <w:szCs w:val="24"/>
        </w:rPr>
        <w:t xml:space="preserve"> themes across interviews and support the analysis of the data collected. </w:t>
      </w:r>
    </w:p>
    <w:p w:rsidR="00250D99" w:rsidRPr="00DD467C" w:rsidP="008808F6" w14:paraId="3943DB66" w14:textId="1C6B33A0">
      <w:pPr>
        <w:pStyle w:val="H2"/>
        <w:spacing w:line="276" w:lineRule="auto"/>
        <w:ind w:left="900" w:hanging="450"/>
        <w:rPr>
          <w:rFonts w:ascii="Times New Roman" w:hAnsi="Times New Roman" w:cs="Times New Roman"/>
          <w:szCs w:val="24"/>
        </w:rPr>
      </w:pPr>
      <w:bookmarkStart w:id="19" w:name="_Toc476059354"/>
      <w:bookmarkStart w:id="20" w:name="_Toc130382260"/>
      <w:bookmarkStart w:id="21" w:name="_Toc134438378"/>
      <w:bookmarkStart w:id="22" w:name="_Toc183510761"/>
      <w:r w:rsidRPr="00DD467C">
        <w:rPr>
          <w:rFonts w:ascii="Times New Roman" w:hAnsi="Times New Roman" w:cs="Times New Roman"/>
          <w:szCs w:val="24"/>
        </w:rPr>
        <w:t>4.</w:t>
      </w:r>
      <w:r w:rsidRPr="00DD467C" w:rsidR="00951015">
        <w:rPr>
          <w:rFonts w:ascii="Times New Roman" w:hAnsi="Times New Roman" w:cs="Times New Roman"/>
          <w:szCs w:val="24"/>
        </w:rPr>
        <w:t xml:space="preserve"> </w:t>
      </w:r>
      <w:r w:rsidRPr="00DD467C" w:rsidR="00664E53">
        <w:rPr>
          <w:rFonts w:ascii="Times New Roman" w:hAnsi="Times New Roman" w:cs="Times New Roman"/>
          <w:szCs w:val="24"/>
        </w:rPr>
        <w:tab/>
      </w:r>
      <w:r w:rsidRPr="00DD467C">
        <w:rPr>
          <w:rFonts w:ascii="Times New Roman" w:hAnsi="Times New Roman" w:cs="Times New Roman"/>
          <w:szCs w:val="24"/>
        </w:rPr>
        <w:t xml:space="preserve">Why </w:t>
      </w:r>
      <w:bookmarkEnd w:id="19"/>
      <w:bookmarkEnd w:id="20"/>
      <w:bookmarkEnd w:id="21"/>
      <w:bookmarkEnd w:id="22"/>
      <w:r w:rsidRPr="00DD467C" w:rsidR="002B608C">
        <w:rPr>
          <w:rFonts w:ascii="Times New Roman" w:hAnsi="Times New Roman" w:cs="Times New Roman"/>
          <w:szCs w:val="24"/>
        </w:rPr>
        <w:t>We Cannot Use Duplicate Information</w:t>
      </w:r>
    </w:p>
    <w:p w:rsidR="00250D99" w:rsidP="001B7986" w14:paraId="7B44A23B" w14:textId="28A80C24">
      <w:pPr>
        <w:pStyle w:val="ParagraphContinued"/>
        <w:spacing w:line="276" w:lineRule="auto"/>
        <w:ind w:left="907"/>
        <w:rPr>
          <w:rFonts w:ascii="Times New Roman" w:hAnsi="Times New Roman" w:cs="Times New Roman"/>
          <w:sz w:val="24"/>
          <w:szCs w:val="24"/>
        </w:rPr>
      </w:pPr>
      <w:r w:rsidRPr="00DD467C">
        <w:rPr>
          <w:rFonts w:ascii="Times New Roman" w:hAnsi="Times New Roman" w:cs="Times New Roman"/>
          <w:sz w:val="24"/>
          <w:szCs w:val="24"/>
        </w:rPr>
        <w:t xml:space="preserve">The nature of the information </w:t>
      </w:r>
      <w:r w:rsidR="0066181F">
        <w:rPr>
          <w:rFonts w:ascii="Times New Roman" w:hAnsi="Times New Roman" w:cs="Times New Roman"/>
          <w:sz w:val="24"/>
          <w:szCs w:val="24"/>
        </w:rPr>
        <w:t>we</w:t>
      </w:r>
      <w:r w:rsidRPr="00DD467C">
        <w:rPr>
          <w:rFonts w:ascii="Times New Roman" w:hAnsi="Times New Roman" w:cs="Times New Roman"/>
          <w:sz w:val="24"/>
          <w:szCs w:val="24"/>
        </w:rPr>
        <w:t xml:space="preserve"> </w:t>
      </w:r>
      <w:r w:rsidR="0066181F">
        <w:rPr>
          <w:rFonts w:ascii="Times New Roman" w:hAnsi="Times New Roman" w:cs="Times New Roman"/>
          <w:sz w:val="24"/>
          <w:szCs w:val="24"/>
        </w:rPr>
        <w:t xml:space="preserve">will </w:t>
      </w:r>
      <w:r w:rsidRPr="00DD467C">
        <w:rPr>
          <w:rFonts w:ascii="Times New Roman" w:hAnsi="Times New Roman" w:cs="Times New Roman"/>
          <w:sz w:val="24"/>
          <w:szCs w:val="24"/>
        </w:rPr>
        <w:t xml:space="preserve">collect and the manner in which </w:t>
      </w:r>
      <w:r w:rsidR="0066181F">
        <w:rPr>
          <w:rFonts w:ascii="Times New Roman" w:hAnsi="Times New Roman" w:cs="Times New Roman"/>
          <w:sz w:val="24"/>
          <w:szCs w:val="24"/>
        </w:rPr>
        <w:t>we will collect it</w:t>
      </w:r>
      <w:r w:rsidRPr="00DD467C" w:rsidR="00A45034">
        <w:rPr>
          <w:rFonts w:ascii="Times New Roman" w:hAnsi="Times New Roman" w:cs="Times New Roman"/>
          <w:sz w:val="24"/>
          <w:szCs w:val="24"/>
        </w:rPr>
        <w:t xml:space="preserve"> </w:t>
      </w:r>
      <w:r w:rsidRPr="00DD467C">
        <w:rPr>
          <w:rFonts w:ascii="Times New Roman" w:hAnsi="Times New Roman" w:cs="Times New Roman"/>
          <w:sz w:val="24"/>
          <w:szCs w:val="24"/>
        </w:rPr>
        <w:t xml:space="preserve">preclude duplication. </w:t>
      </w:r>
      <w:r w:rsidR="0066181F">
        <w:rPr>
          <w:rFonts w:ascii="Times New Roman" w:hAnsi="Times New Roman" w:cs="Times New Roman"/>
          <w:sz w:val="24"/>
          <w:szCs w:val="24"/>
        </w:rPr>
        <w:t xml:space="preserve"> </w:t>
      </w:r>
      <w:r w:rsidRPr="00DD467C">
        <w:rPr>
          <w:rFonts w:ascii="Times New Roman" w:hAnsi="Times New Roman" w:cs="Times New Roman"/>
          <w:sz w:val="24"/>
          <w:szCs w:val="24"/>
        </w:rPr>
        <w:t xml:space="preserve">SSA </w:t>
      </w:r>
      <w:r w:rsidRPr="00DD467C" w:rsidR="001B5A5B">
        <w:rPr>
          <w:rFonts w:ascii="Times New Roman" w:hAnsi="Times New Roman" w:cs="Times New Roman"/>
          <w:sz w:val="24"/>
          <w:szCs w:val="24"/>
        </w:rPr>
        <w:t xml:space="preserve">will </w:t>
      </w:r>
      <w:r w:rsidRPr="00DD467C">
        <w:rPr>
          <w:rFonts w:ascii="Times New Roman" w:hAnsi="Times New Roman" w:cs="Times New Roman"/>
          <w:sz w:val="24"/>
          <w:szCs w:val="24"/>
        </w:rPr>
        <w:t xml:space="preserve">not use another collection </w:t>
      </w:r>
      <w:r w:rsidRPr="00DD467C" w:rsidR="009B190B">
        <w:rPr>
          <w:rFonts w:ascii="Times New Roman" w:hAnsi="Times New Roman" w:cs="Times New Roman"/>
          <w:sz w:val="24"/>
          <w:szCs w:val="24"/>
        </w:rPr>
        <w:t xml:space="preserve">effort </w:t>
      </w:r>
      <w:r w:rsidRPr="00DD467C">
        <w:rPr>
          <w:rFonts w:ascii="Times New Roman" w:hAnsi="Times New Roman" w:cs="Times New Roman"/>
          <w:sz w:val="24"/>
          <w:szCs w:val="24"/>
        </w:rPr>
        <w:t xml:space="preserve">to obtain </w:t>
      </w:r>
      <w:r w:rsidRPr="00DD467C" w:rsidR="009B190B">
        <w:rPr>
          <w:rFonts w:ascii="Times New Roman" w:hAnsi="Times New Roman" w:cs="Times New Roman"/>
          <w:sz w:val="24"/>
          <w:szCs w:val="24"/>
        </w:rPr>
        <w:t xml:space="preserve">these </w:t>
      </w:r>
      <w:r w:rsidRPr="00DD467C">
        <w:rPr>
          <w:rFonts w:ascii="Times New Roman" w:hAnsi="Times New Roman" w:cs="Times New Roman"/>
          <w:sz w:val="24"/>
          <w:szCs w:val="24"/>
        </w:rPr>
        <w:t>data.</w:t>
      </w:r>
      <w:r w:rsidR="0066181F">
        <w:rPr>
          <w:rFonts w:ascii="Times New Roman" w:hAnsi="Times New Roman" w:cs="Times New Roman"/>
          <w:sz w:val="24"/>
          <w:szCs w:val="24"/>
        </w:rPr>
        <w:t xml:space="preserve"> </w:t>
      </w:r>
      <w:r w:rsidRPr="00DD467C">
        <w:rPr>
          <w:rFonts w:ascii="Times New Roman" w:hAnsi="Times New Roman" w:cs="Times New Roman"/>
          <w:sz w:val="24"/>
          <w:szCs w:val="24"/>
        </w:rPr>
        <w:t xml:space="preserve"> </w:t>
      </w:r>
      <w:r w:rsidR="002B6788">
        <w:rPr>
          <w:rFonts w:ascii="Times New Roman" w:hAnsi="Times New Roman" w:cs="Times New Roman"/>
          <w:sz w:val="24"/>
          <w:szCs w:val="24"/>
        </w:rPr>
        <w:t>As described previously, c</w:t>
      </w:r>
      <w:r w:rsidR="003F4CD4">
        <w:rPr>
          <w:rFonts w:ascii="Times New Roman" w:hAnsi="Times New Roman" w:cs="Times New Roman"/>
          <w:sz w:val="24"/>
          <w:szCs w:val="24"/>
        </w:rPr>
        <w:t xml:space="preserve">hanges to the programs since previous evaluations mean that </w:t>
      </w:r>
      <w:r w:rsidR="00660C5C">
        <w:rPr>
          <w:rFonts w:ascii="Times New Roman" w:hAnsi="Times New Roman" w:cs="Times New Roman"/>
          <w:sz w:val="24"/>
          <w:szCs w:val="24"/>
        </w:rPr>
        <w:t>Ticketholder</w:t>
      </w:r>
      <w:r w:rsidR="00B807A8">
        <w:rPr>
          <w:rFonts w:ascii="Times New Roman" w:hAnsi="Times New Roman" w:cs="Times New Roman"/>
          <w:sz w:val="24"/>
          <w:szCs w:val="24"/>
        </w:rPr>
        <w:t xml:space="preserve"> outcomes and therefore program effectiveness may differ in the current context relative to </w:t>
      </w:r>
      <w:r w:rsidR="002B6788">
        <w:rPr>
          <w:rFonts w:ascii="Times New Roman" w:hAnsi="Times New Roman" w:cs="Times New Roman"/>
          <w:sz w:val="24"/>
          <w:szCs w:val="24"/>
        </w:rPr>
        <w:t xml:space="preserve">what </w:t>
      </w:r>
      <w:r w:rsidR="0066181F">
        <w:rPr>
          <w:rFonts w:ascii="Times New Roman" w:hAnsi="Times New Roman" w:cs="Times New Roman"/>
          <w:sz w:val="24"/>
          <w:szCs w:val="24"/>
        </w:rPr>
        <w:t>we</w:t>
      </w:r>
      <w:r w:rsidR="00B807A8">
        <w:rPr>
          <w:rFonts w:ascii="Times New Roman" w:hAnsi="Times New Roman" w:cs="Times New Roman"/>
          <w:sz w:val="24"/>
          <w:szCs w:val="24"/>
        </w:rPr>
        <w:t xml:space="preserve"> documented in past evaluations</w:t>
      </w:r>
      <w:r w:rsidR="00BC3244">
        <w:rPr>
          <w:rFonts w:ascii="Times New Roman" w:hAnsi="Times New Roman" w:cs="Times New Roman"/>
          <w:sz w:val="24"/>
          <w:szCs w:val="24"/>
        </w:rPr>
        <w:t>, such that past evidence is insufficient to fully evaluate the programs today</w:t>
      </w:r>
      <w:r w:rsidR="00B807A8">
        <w:rPr>
          <w:rFonts w:ascii="Times New Roman" w:hAnsi="Times New Roman" w:cs="Times New Roman"/>
          <w:sz w:val="24"/>
          <w:szCs w:val="24"/>
        </w:rPr>
        <w:t>.</w:t>
      </w:r>
    </w:p>
    <w:p w:rsidR="00BF7FC3" w:rsidP="008808F6" w14:paraId="761342A4" w14:textId="503D96C3">
      <w:pPr>
        <w:pStyle w:val="ParagraphContinued"/>
        <w:spacing w:before="0" w:line="276" w:lineRule="auto"/>
        <w:ind w:left="900"/>
        <w:rPr>
          <w:rFonts w:ascii="Times New Roman" w:hAnsi="Times New Roman" w:cs="Times New Roman"/>
          <w:sz w:val="24"/>
          <w:szCs w:val="24"/>
        </w:rPr>
      </w:pPr>
      <w:r w:rsidRPr="00DD467C">
        <w:rPr>
          <w:rFonts w:ascii="Times New Roman" w:hAnsi="Times New Roman" w:cs="Times New Roman"/>
          <w:sz w:val="24"/>
          <w:szCs w:val="24"/>
        </w:rPr>
        <w:t xml:space="preserve">The provider survey and the qualitative interviews with Ticketholders will provide information Mathematica cannot obtain through SSA’s </w:t>
      </w:r>
      <w:r>
        <w:rPr>
          <w:rFonts w:ascii="Times New Roman" w:hAnsi="Times New Roman" w:cs="Times New Roman"/>
          <w:sz w:val="24"/>
          <w:szCs w:val="24"/>
        </w:rPr>
        <w:t xml:space="preserve">existing programmatic data and </w:t>
      </w:r>
      <w:r w:rsidRPr="00DD467C">
        <w:rPr>
          <w:rFonts w:ascii="Times New Roman" w:hAnsi="Times New Roman" w:cs="Times New Roman"/>
          <w:sz w:val="24"/>
          <w:szCs w:val="24"/>
        </w:rPr>
        <w:t>administrative records.</w:t>
      </w:r>
      <w:r>
        <w:rPr>
          <w:rFonts w:ascii="Times New Roman" w:hAnsi="Times New Roman" w:cs="Times New Roman"/>
          <w:sz w:val="24"/>
          <w:szCs w:val="24"/>
        </w:rPr>
        <w:t xml:space="preserve"> </w:t>
      </w:r>
      <w:r w:rsidR="00023806">
        <w:rPr>
          <w:rFonts w:ascii="Times New Roman" w:hAnsi="Times New Roman" w:cs="Times New Roman"/>
          <w:sz w:val="24"/>
          <w:szCs w:val="24"/>
        </w:rPr>
        <w:t xml:space="preserve"> </w:t>
      </w:r>
      <w:r>
        <w:rPr>
          <w:rFonts w:ascii="Times New Roman" w:hAnsi="Times New Roman" w:cs="Times New Roman"/>
          <w:sz w:val="24"/>
          <w:szCs w:val="24"/>
        </w:rPr>
        <w:t xml:space="preserve">The information SSA proposes to collect </w:t>
      </w:r>
      <w:r w:rsidR="002B6788">
        <w:rPr>
          <w:rFonts w:ascii="Times New Roman" w:hAnsi="Times New Roman" w:cs="Times New Roman"/>
          <w:sz w:val="24"/>
          <w:szCs w:val="24"/>
        </w:rPr>
        <w:t xml:space="preserve">in the new activities </w:t>
      </w:r>
      <w:r>
        <w:rPr>
          <w:rFonts w:ascii="Times New Roman" w:hAnsi="Times New Roman" w:cs="Times New Roman"/>
          <w:sz w:val="24"/>
          <w:szCs w:val="24"/>
        </w:rPr>
        <w:t xml:space="preserve">falls in two primary categories: </w:t>
      </w:r>
      <w:r w:rsidR="00023806">
        <w:rPr>
          <w:rFonts w:ascii="Times New Roman" w:hAnsi="Times New Roman" w:cs="Times New Roman"/>
          <w:sz w:val="24"/>
          <w:szCs w:val="24"/>
        </w:rPr>
        <w:t xml:space="preserve"> </w:t>
      </w:r>
      <w:r>
        <w:rPr>
          <w:rFonts w:ascii="Times New Roman" w:hAnsi="Times New Roman" w:cs="Times New Roman"/>
          <w:sz w:val="24"/>
          <w:szCs w:val="24"/>
        </w:rPr>
        <w:t xml:space="preserve">(1) completely unique data elements, unavailable in existing SSA sources, and (2) data elements available in limited forms in existing sources, but insufficient to respond to evaluation research questions related to program experiences. </w:t>
      </w:r>
      <w:r w:rsidR="00023806">
        <w:rPr>
          <w:rFonts w:ascii="Times New Roman" w:hAnsi="Times New Roman" w:cs="Times New Roman"/>
          <w:sz w:val="24"/>
          <w:szCs w:val="24"/>
        </w:rPr>
        <w:t xml:space="preserve"> </w:t>
      </w:r>
      <w:r>
        <w:rPr>
          <w:rFonts w:ascii="Times New Roman" w:hAnsi="Times New Roman" w:cs="Times New Roman"/>
          <w:sz w:val="24"/>
          <w:szCs w:val="24"/>
        </w:rPr>
        <w:t>In a few instances, data elements duplicate information that SSA already has available</w:t>
      </w:r>
      <w:r w:rsidR="0099690D">
        <w:rPr>
          <w:rFonts w:ascii="Times New Roman" w:hAnsi="Times New Roman" w:cs="Times New Roman"/>
          <w:sz w:val="24"/>
          <w:szCs w:val="24"/>
        </w:rPr>
        <w:t xml:space="preserve">, </w:t>
      </w:r>
      <w:r>
        <w:rPr>
          <w:rFonts w:ascii="Times New Roman" w:hAnsi="Times New Roman" w:cs="Times New Roman"/>
          <w:sz w:val="24"/>
          <w:szCs w:val="24"/>
        </w:rPr>
        <w:t xml:space="preserve">such as the SSA-approved business model of an </w:t>
      </w:r>
      <w:r w:rsidR="00AA154B">
        <w:rPr>
          <w:rFonts w:ascii="Times New Roman" w:hAnsi="Times New Roman" w:cs="Times New Roman"/>
          <w:sz w:val="24"/>
          <w:szCs w:val="24"/>
        </w:rPr>
        <w:t>EN</w:t>
      </w:r>
      <w:r>
        <w:rPr>
          <w:rFonts w:ascii="Times New Roman" w:hAnsi="Times New Roman" w:cs="Times New Roman"/>
          <w:sz w:val="24"/>
          <w:szCs w:val="24"/>
        </w:rPr>
        <w:t xml:space="preserve">. </w:t>
      </w:r>
      <w:r w:rsidR="0099690D">
        <w:rPr>
          <w:rFonts w:ascii="Times New Roman" w:hAnsi="Times New Roman" w:cs="Times New Roman"/>
          <w:sz w:val="24"/>
          <w:szCs w:val="24"/>
        </w:rPr>
        <w:t xml:space="preserve"> We need t</w:t>
      </w:r>
      <w:r>
        <w:rPr>
          <w:rFonts w:ascii="Times New Roman" w:hAnsi="Times New Roman" w:cs="Times New Roman"/>
          <w:sz w:val="24"/>
          <w:szCs w:val="24"/>
        </w:rPr>
        <w:t xml:space="preserve">hese </w:t>
      </w:r>
      <w:r w:rsidR="00425652">
        <w:rPr>
          <w:rFonts w:ascii="Times New Roman" w:hAnsi="Times New Roman" w:cs="Times New Roman"/>
          <w:sz w:val="24"/>
          <w:szCs w:val="24"/>
        </w:rPr>
        <w:t xml:space="preserve">very </w:t>
      </w:r>
      <w:r>
        <w:rPr>
          <w:rFonts w:ascii="Times New Roman" w:hAnsi="Times New Roman" w:cs="Times New Roman"/>
          <w:sz w:val="24"/>
          <w:szCs w:val="24"/>
        </w:rPr>
        <w:t>limited instances to anchor survey responses</w:t>
      </w:r>
      <w:r w:rsidR="00A21832">
        <w:rPr>
          <w:rFonts w:ascii="Times New Roman" w:hAnsi="Times New Roman" w:cs="Times New Roman"/>
          <w:sz w:val="24"/>
          <w:szCs w:val="24"/>
        </w:rPr>
        <w:t xml:space="preserve"> that then determine important paths of data collection within the survey. </w:t>
      </w:r>
      <w:r w:rsidR="0099690D">
        <w:rPr>
          <w:rFonts w:ascii="Times New Roman" w:hAnsi="Times New Roman" w:cs="Times New Roman"/>
          <w:sz w:val="24"/>
          <w:szCs w:val="24"/>
        </w:rPr>
        <w:t xml:space="preserve"> </w:t>
      </w:r>
      <w:r w:rsidR="00A21832">
        <w:rPr>
          <w:rFonts w:ascii="Times New Roman" w:hAnsi="Times New Roman" w:cs="Times New Roman"/>
          <w:sz w:val="24"/>
          <w:szCs w:val="24"/>
        </w:rPr>
        <w:t>Th</w:t>
      </w:r>
      <w:r w:rsidR="00EB5AEA">
        <w:rPr>
          <w:rFonts w:ascii="Times New Roman" w:hAnsi="Times New Roman" w:cs="Times New Roman"/>
          <w:sz w:val="24"/>
          <w:szCs w:val="24"/>
        </w:rPr>
        <w:t>is will allow the evaluation</w:t>
      </w:r>
      <w:r>
        <w:rPr>
          <w:rFonts w:ascii="Times New Roman" w:hAnsi="Times New Roman" w:cs="Times New Roman"/>
          <w:sz w:val="24"/>
          <w:szCs w:val="24"/>
        </w:rPr>
        <w:t xml:space="preserve"> to </w:t>
      </w:r>
      <w:r w:rsidR="00EB5AEA">
        <w:rPr>
          <w:rFonts w:ascii="Times New Roman" w:hAnsi="Times New Roman" w:cs="Times New Roman"/>
          <w:sz w:val="24"/>
          <w:szCs w:val="24"/>
        </w:rPr>
        <w:t>analyze</w:t>
      </w:r>
      <w:r>
        <w:rPr>
          <w:rFonts w:ascii="Times New Roman" w:hAnsi="Times New Roman" w:cs="Times New Roman"/>
          <w:sz w:val="24"/>
          <w:szCs w:val="24"/>
        </w:rPr>
        <w:t xml:space="preserve"> data of the highest quality</w:t>
      </w:r>
      <w:r w:rsidR="00EB5AEA">
        <w:rPr>
          <w:rFonts w:ascii="Times New Roman" w:hAnsi="Times New Roman" w:cs="Times New Roman"/>
          <w:sz w:val="24"/>
          <w:szCs w:val="24"/>
        </w:rPr>
        <w:t xml:space="preserve"> and internal consistency</w:t>
      </w:r>
      <w:r>
        <w:rPr>
          <w:rFonts w:ascii="Times New Roman" w:hAnsi="Times New Roman" w:cs="Times New Roman"/>
          <w:sz w:val="24"/>
          <w:szCs w:val="24"/>
        </w:rPr>
        <w:t>.</w:t>
      </w:r>
    </w:p>
    <w:p w:rsidR="006C2A53" w:rsidRPr="006C2A53" w:rsidP="006C2A53" w14:paraId="7818683A" w14:textId="5065989E">
      <w:pPr>
        <w:pStyle w:val="ParagraphContinued"/>
        <w:spacing w:before="0" w:line="276" w:lineRule="auto"/>
        <w:ind w:left="900"/>
        <w:rPr>
          <w:rFonts w:ascii="Times New Roman" w:hAnsi="Times New Roman" w:cs="Times New Roman"/>
          <w:sz w:val="24"/>
          <w:szCs w:val="24"/>
        </w:rPr>
      </w:pPr>
      <w:r>
        <w:rPr>
          <w:rFonts w:ascii="Times New Roman" w:hAnsi="Times New Roman" w:cs="Times New Roman"/>
          <w:sz w:val="24"/>
          <w:szCs w:val="24"/>
        </w:rPr>
        <w:t>The</w:t>
      </w:r>
      <w:r w:rsidR="00BF7FC3">
        <w:rPr>
          <w:rFonts w:ascii="Times New Roman" w:hAnsi="Times New Roman" w:cs="Times New Roman"/>
          <w:sz w:val="24"/>
          <w:szCs w:val="24"/>
        </w:rPr>
        <w:t xml:space="preserve"> category of </w:t>
      </w:r>
      <w:r w:rsidRPr="00235297" w:rsidR="00BF7FC3">
        <w:rPr>
          <w:rFonts w:ascii="Times New Roman" w:hAnsi="Times New Roman" w:cs="Times New Roman"/>
          <w:sz w:val="24"/>
          <w:szCs w:val="24"/>
        </w:rPr>
        <w:t>completely unique</w:t>
      </w:r>
      <w:r w:rsidRPr="009A4E61" w:rsidR="00BF7FC3">
        <w:rPr>
          <w:rFonts w:ascii="Times New Roman" w:hAnsi="Times New Roman" w:cs="Times New Roman"/>
          <w:b/>
          <w:bCs/>
          <w:sz w:val="24"/>
          <w:szCs w:val="24"/>
        </w:rPr>
        <w:t xml:space="preserve"> </w:t>
      </w:r>
      <w:r w:rsidRPr="00E902EC" w:rsidR="00BF7FC3">
        <w:rPr>
          <w:rFonts w:ascii="Times New Roman" w:hAnsi="Times New Roman" w:cs="Times New Roman"/>
          <w:sz w:val="24"/>
          <w:szCs w:val="24"/>
        </w:rPr>
        <w:t xml:space="preserve">data elements </w:t>
      </w:r>
      <w:r>
        <w:rPr>
          <w:rFonts w:ascii="Times New Roman" w:hAnsi="Times New Roman" w:cs="Times New Roman"/>
          <w:sz w:val="24"/>
          <w:szCs w:val="24"/>
        </w:rPr>
        <w:t>includes</w:t>
      </w:r>
      <w:r w:rsidR="00BF7FC3">
        <w:rPr>
          <w:rFonts w:ascii="Times New Roman" w:hAnsi="Times New Roman" w:cs="Times New Roman"/>
          <w:sz w:val="24"/>
          <w:szCs w:val="24"/>
        </w:rPr>
        <w:t xml:space="preserve"> questions such as provider decision-making. </w:t>
      </w:r>
      <w:r w:rsidR="0099690D">
        <w:rPr>
          <w:rFonts w:ascii="Times New Roman" w:hAnsi="Times New Roman" w:cs="Times New Roman"/>
          <w:sz w:val="24"/>
          <w:szCs w:val="24"/>
        </w:rPr>
        <w:t xml:space="preserve"> </w:t>
      </w:r>
      <w:r w:rsidR="00BF7FC3">
        <w:rPr>
          <w:rFonts w:ascii="Times New Roman" w:hAnsi="Times New Roman" w:cs="Times New Roman"/>
          <w:sz w:val="24"/>
          <w:szCs w:val="24"/>
        </w:rPr>
        <w:t>SSA currently has</w:t>
      </w:r>
      <w:r w:rsidRPr="00277748" w:rsidR="00BF7FC3">
        <w:rPr>
          <w:rFonts w:ascii="Times New Roman" w:hAnsi="Times New Roman" w:cs="Times New Roman"/>
          <w:sz w:val="24"/>
          <w:szCs w:val="24"/>
        </w:rPr>
        <w:t xml:space="preserve"> data on the outcomes of many decisions providers make (e.g., how many tickets get assigned, whether to start or stop operating, whether they participate in the </w:t>
      </w:r>
      <w:r w:rsidR="00AA154B">
        <w:rPr>
          <w:rFonts w:ascii="Times New Roman" w:hAnsi="Times New Roman" w:cs="Times New Roman"/>
          <w:sz w:val="24"/>
          <w:szCs w:val="24"/>
        </w:rPr>
        <w:t xml:space="preserve">TTW </w:t>
      </w:r>
      <w:r w:rsidRPr="00277748" w:rsidR="00BF7FC3">
        <w:rPr>
          <w:rFonts w:ascii="Times New Roman" w:hAnsi="Times New Roman" w:cs="Times New Roman"/>
          <w:sz w:val="24"/>
          <w:szCs w:val="24"/>
        </w:rPr>
        <w:t>Marketing Program</w:t>
      </w:r>
      <w:r w:rsidR="00AA154B">
        <w:rPr>
          <w:rFonts w:ascii="Times New Roman" w:hAnsi="Times New Roman" w:cs="Times New Roman"/>
          <w:sz w:val="24"/>
          <w:szCs w:val="24"/>
        </w:rPr>
        <w:t xml:space="preserve"> and/or Partnership Plus</w:t>
      </w:r>
      <w:r w:rsidRPr="00277748" w:rsidR="00BF7FC3">
        <w:rPr>
          <w:rFonts w:ascii="Times New Roman" w:hAnsi="Times New Roman" w:cs="Times New Roman"/>
          <w:sz w:val="24"/>
          <w:szCs w:val="24"/>
        </w:rPr>
        <w:t xml:space="preserve">), </w:t>
      </w:r>
      <w:r w:rsidR="00BF7FC3">
        <w:rPr>
          <w:rFonts w:ascii="Times New Roman" w:hAnsi="Times New Roman" w:cs="Times New Roman"/>
          <w:sz w:val="24"/>
          <w:szCs w:val="24"/>
        </w:rPr>
        <w:t xml:space="preserve">but </w:t>
      </w:r>
      <w:r w:rsidR="00425652">
        <w:rPr>
          <w:rFonts w:ascii="Times New Roman" w:hAnsi="Times New Roman" w:cs="Times New Roman"/>
          <w:sz w:val="24"/>
          <w:szCs w:val="24"/>
        </w:rPr>
        <w:t xml:space="preserve">the agency </w:t>
      </w:r>
      <w:r w:rsidR="00BF7FC3">
        <w:rPr>
          <w:rFonts w:ascii="Times New Roman" w:hAnsi="Times New Roman" w:cs="Times New Roman"/>
          <w:sz w:val="24"/>
          <w:szCs w:val="24"/>
        </w:rPr>
        <w:t>does</w:t>
      </w:r>
      <w:r w:rsidRPr="00277748" w:rsidR="00BF7FC3">
        <w:rPr>
          <w:rFonts w:ascii="Times New Roman" w:hAnsi="Times New Roman" w:cs="Times New Roman"/>
          <w:sz w:val="24"/>
          <w:szCs w:val="24"/>
        </w:rPr>
        <w:t xml:space="preserve"> not have any systematic data on the “why” behind these decisions. </w:t>
      </w:r>
      <w:r w:rsidR="0099690D">
        <w:rPr>
          <w:rFonts w:ascii="Times New Roman" w:hAnsi="Times New Roman" w:cs="Times New Roman"/>
          <w:sz w:val="24"/>
          <w:szCs w:val="24"/>
        </w:rPr>
        <w:t xml:space="preserve"> </w:t>
      </w:r>
      <w:r w:rsidRPr="00277748" w:rsidR="00BF7FC3">
        <w:rPr>
          <w:rFonts w:ascii="Times New Roman" w:hAnsi="Times New Roman" w:cs="Times New Roman"/>
          <w:sz w:val="24"/>
          <w:szCs w:val="24"/>
        </w:rPr>
        <w:t xml:space="preserve">The provider surveys </w:t>
      </w:r>
      <w:r w:rsidR="00BF7FC3">
        <w:rPr>
          <w:rFonts w:ascii="Times New Roman" w:hAnsi="Times New Roman" w:cs="Times New Roman"/>
          <w:sz w:val="24"/>
          <w:szCs w:val="24"/>
        </w:rPr>
        <w:t xml:space="preserve">will </w:t>
      </w:r>
      <w:r w:rsidRPr="00277748" w:rsidR="00BF7FC3">
        <w:rPr>
          <w:rFonts w:ascii="Times New Roman" w:hAnsi="Times New Roman" w:cs="Times New Roman"/>
          <w:sz w:val="24"/>
          <w:szCs w:val="24"/>
        </w:rPr>
        <w:t>fill in these types of gaps, by asking questions about factors that influence these decisions</w:t>
      </w:r>
      <w:r w:rsidR="00BF7FC3">
        <w:rPr>
          <w:rFonts w:ascii="Times New Roman" w:hAnsi="Times New Roman" w:cs="Times New Roman"/>
          <w:sz w:val="24"/>
          <w:szCs w:val="24"/>
        </w:rPr>
        <w:t xml:space="preserve">. </w:t>
      </w:r>
      <w:r w:rsidR="0099690D">
        <w:rPr>
          <w:rFonts w:ascii="Times New Roman" w:hAnsi="Times New Roman" w:cs="Times New Roman"/>
          <w:sz w:val="24"/>
          <w:szCs w:val="24"/>
        </w:rPr>
        <w:t xml:space="preserve"> </w:t>
      </w:r>
      <w:r w:rsidR="00BF7FC3">
        <w:rPr>
          <w:rFonts w:ascii="Times New Roman" w:hAnsi="Times New Roman" w:cs="Times New Roman"/>
          <w:sz w:val="24"/>
          <w:szCs w:val="24"/>
        </w:rPr>
        <w:t>Qualitative interviews with beneficiaries will similarly offer context about the “why” of their decisions and “how” of their experiences, not simply whether they assigned their Ticket or worked above the Substantial Gainful Activity (SGA) level.</w:t>
      </w:r>
      <w:r w:rsidR="0099690D">
        <w:rPr>
          <w:rFonts w:ascii="Times New Roman" w:hAnsi="Times New Roman" w:cs="Times New Roman"/>
          <w:sz w:val="24"/>
          <w:szCs w:val="24"/>
        </w:rPr>
        <w:t xml:space="preserve"> </w:t>
      </w:r>
      <w:r w:rsidR="00BF7FC3">
        <w:rPr>
          <w:rFonts w:ascii="Times New Roman" w:hAnsi="Times New Roman" w:cs="Times New Roman"/>
          <w:sz w:val="24"/>
          <w:szCs w:val="24"/>
        </w:rPr>
        <w:t xml:space="preserve"> </w:t>
      </w:r>
      <w:r w:rsidR="00E902EC">
        <w:rPr>
          <w:rFonts w:ascii="Times New Roman" w:hAnsi="Times New Roman" w:cs="Times New Roman"/>
          <w:sz w:val="24"/>
          <w:szCs w:val="24"/>
        </w:rPr>
        <w:t xml:space="preserve">This contextual data </w:t>
      </w:r>
      <w:r w:rsidR="00BF7FC3">
        <w:rPr>
          <w:rFonts w:ascii="Times New Roman" w:hAnsi="Times New Roman" w:cs="Times New Roman"/>
          <w:sz w:val="24"/>
          <w:szCs w:val="24"/>
        </w:rPr>
        <w:t xml:space="preserve">is critical </w:t>
      </w:r>
      <w:r w:rsidR="00E902EC">
        <w:rPr>
          <w:rFonts w:ascii="Times New Roman" w:hAnsi="Times New Roman" w:cs="Times New Roman"/>
          <w:sz w:val="24"/>
          <w:szCs w:val="24"/>
        </w:rPr>
        <w:t>to</w:t>
      </w:r>
      <w:r w:rsidR="00BF7FC3">
        <w:rPr>
          <w:rFonts w:ascii="Times New Roman" w:hAnsi="Times New Roman" w:cs="Times New Roman"/>
          <w:sz w:val="24"/>
          <w:szCs w:val="24"/>
        </w:rPr>
        <w:t xml:space="preserve"> SSA</w:t>
      </w:r>
      <w:r w:rsidR="00E902EC">
        <w:rPr>
          <w:rFonts w:ascii="Times New Roman" w:hAnsi="Times New Roman" w:cs="Times New Roman"/>
          <w:sz w:val="24"/>
          <w:szCs w:val="24"/>
        </w:rPr>
        <w:t>’s</w:t>
      </w:r>
      <w:r w:rsidR="00BF7FC3">
        <w:rPr>
          <w:rFonts w:ascii="Times New Roman" w:hAnsi="Times New Roman" w:cs="Times New Roman"/>
          <w:sz w:val="24"/>
          <w:szCs w:val="24"/>
        </w:rPr>
        <w:t xml:space="preserve"> consider</w:t>
      </w:r>
      <w:r w:rsidR="00E902EC">
        <w:rPr>
          <w:rFonts w:ascii="Times New Roman" w:hAnsi="Times New Roman" w:cs="Times New Roman"/>
          <w:sz w:val="24"/>
          <w:szCs w:val="24"/>
        </w:rPr>
        <w:t>ation of</w:t>
      </w:r>
      <w:r w:rsidR="00BF7FC3">
        <w:rPr>
          <w:rFonts w:ascii="Times New Roman" w:hAnsi="Times New Roman" w:cs="Times New Roman"/>
          <w:sz w:val="24"/>
          <w:szCs w:val="24"/>
        </w:rPr>
        <w:t xml:space="preserve"> modifications to the programs that could </w:t>
      </w:r>
      <w:r w:rsidR="00E902EC">
        <w:rPr>
          <w:rFonts w:ascii="Times New Roman" w:hAnsi="Times New Roman" w:cs="Times New Roman"/>
          <w:sz w:val="24"/>
          <w:szCs w:val="24"/>
        </w:rPr>
        <w:t>improve</w:t>
      </w:r>
      <w:r w:rsidR="00BF7FC3">
        <w:rPr>
          <w:rFonts w:ascii="Times New Roman" w:hAnsi="Times New Roman" w:cs="Times New Roman"/>
          <w:sz w:val="24"/>
          <w:szCs w:val="24"/>
        </w:rPr>
        <w:t xml:space="preserve"> program </w:t>
      </w:r>
      <w:r w:rsidR="00E902EC">
        <w:rPr>
          <w:rFonts w:ascii="Times New Roman" w:hAnsi="Times New Roman" w:cs="Times New Roman"/>
          <w:sz w:val="24"/>
          <w:szCs w:val="24"/>
        </w:rPr>
        <w:t xml:space="preserve">effectiveness. </w:t>
      </w:r>
    </w:p>
    <w:p w:rsidR="00BF7FC3" w:rsidRPr="006C2A53" w:rsidP="006C2A53" w14:paraId="3AE771BA" w14:textId="649CBEB6">
      <w:pPr>
        <w:pStyle w:val="ParagraphContinued"/>
        <w:spacing w:before="0" w:line="276" w:lineRule="auto"/>
        <w:ind w:left="900"/>
        <w:rPr>
          <w:rFonts w:ascii="Times New Roman" w:hAnsi="Times New Roman" w:cs="Times New Roman"/>
          <w:sz w:val="24"/>
          <w:szCs w:val="24"/>
        </w:rPr>
      </w:pPr>
      <w:r>
        <w:rPr>
          <w:rFonts w:ascii="Times New Roman" w:hAnsi="Times New Roman" w:cs="Times New Roman"/>
          <w:bCs/>
          <w:sz w:val="24"/>
          <w:szCs w:val="24"/>
        </w:rPr>
        <w:t>The</w:t>
      </w:r>
      <w:r w:rsidRPr="006C2A53">
        <w:rPr>
          <w:rFonts w:ascii="Times New Roman" w:hAnsi="Times New Roman" w:cs="Times New Roman"/>
          <w:bCs/>
          <w:sz w:val="24"/>
          <w:szCs w:val="24"/>
        </w:rPr>
        <w:t xml:space="preserve"> category of data elements </w:t>
      </w:r>
      <w:r w:rsidRPr="00235297">
        <w:rPr>
          <w:rFonts w:ascii="Times New Roman" w:hAnsi="Times New Roman" w:cs="Times New Roman"/>
          <w:bCs/>
          <w:sz w:val="24"/>
          <w:szCs w:val="24"/>
        </w:rPr>
        <w:t>available but insufficient</w:t>
      </w:r>
      <w:r w:rsidRPr="006C2A53">
        <w:rPr>
          <w:rFonts w:ascii="Times New Roman" w:hAnsi="Times New Roman" w:cs="Times New Roman"/>
          <w:bCs/>
          <w:sz w:val="24"/>
          <w:szCs w:val="24"/>
        </w:rPr>
        <w:t xml:space="preserve"> to answer </w:t>
      </w:r>
      <w:r w:rsidRPr="006C2A53" w:rsidR="00C978D6">
        <w:rPr>
          <w:rFonts w:ascii="Times New Roman" w:hAnsi="Times New Roman" w:cs="Times New Roman"/>
          <w:bCs/>
          <w:sz w:val="24"/>
          <w:szCs w:val="24"/>
        </w:rPr>
        <w:t xml:space="preserve">evaluation </w:t>
      </w:r>
      <w:r w:rsidRPr="006C2A53">
        <w:rPr>
          <w:rFonts w:ascii="Times New Roman" w:hAnsi="Times New Roman" w:cs="Times New Roman"/>
          <w:bCs/>
          <w:sz w:val="24"/>
          <w:szCs w:val="24"/>
        </w:rPr>
        <w:t xml:space="preserve">research questions </w:t>
      </w:r>
      <w:r w:rsidR="00273479">
        <w:rPr>
          <w:rFonts w:ascii="Times New Roman" w:hAnsi="Times New Roman" w:cs="Times New Roman"/>
          <w:bCs/>
          <w:sz w:val="24"/>
          <w:szCs w:val="24"/>
        </w:rPr>
        <w:t>includes</w:t>
      </w:r>
      <w:r w:rsidRPr="006C2A53">
        <w:rPr>
          <w:rFonts w:ascii="Times New Roman" w:hAnsi="Times New Roman" w:cs="Times New Roman"/>
          <w:bCs/>
          <w:sz w:val="24"/>
          <w:szCs w:val="24"/>
        </w:rPr>
        <w:t xml:space="preserve"> examples like the one offered </w:t>
      </w:r>
      <w:r w:rsidR="00E902EC">
        <w:rPr>
          <w:rFonts w:ascii="Times New Roman" w:hAnsi="Times New Roman" w:cs="Times New Roman"/>
          <w:bCs/>
          <w:sz w:val="24"/>
          <w:szCs w:val="24"/>
        </w:rPr>
        <w:t>in Section 1</w:t>
      </w:r>
      <w:r w:rsidRPr="006C2A53">
        <w:rPr>
          <w:rFonts w:ascii="Times New Roman" w:hAnsi="Times New Roman" w:cs="Times New Roman"/>
          <w:bCs/>
          <w:sz w:val="24"/>
          <w:szCs w:val="24"/>
        </w:rPr>
        <w:t xml:space="preserve">, where ENs indicate to SSA whether they make services available to </w:t>
      </w:r>
      <w:r w:rsidRPr="009A4E61">
        <w:rPr>
          <w:rFonts w:ascii="Times New Roman" w:hAnsi="Times New Roman" w:cs="Times New Roman"/>
          <w:bCs/>
          <w:sz w:val="24"/>
          <w:szCs w:val="24"/>
        </w:rPr>
        <w:t>any</w:t>
      </w:r>
      <w:r w:rsidRPr="006C2A53">
        <w:rPr>
          <w:rFonts w:ascii="Times New Roman" w:hAnsi="Times New Roman" w:cs="Times New Roman"/>
          <w:bCs/>
          <w:i/>
          <w:iCs/>
          <w:sz w:val="24"/>
          <w:szCs w:val="24"/>
        </w:rPr>
        <w:t xml:space="preserve"> </w:t>
      </w:r>
      <w:r w:rsidRPr="006C2A53">
        <w:rPr>
          <w:rFonts w:ascii="Times New Roman" w:hAnsi="Times New Roman" w:cs="Times New Roman"/>
          <w:bCs/>
          <w:sz w:val="24"/>
          <w:szCs w:val="24"/>
        </w:rPr>
        <w:t xml:space="preserve">Ticketholder, but do not provide context about the share of Ticketholders who receive them. </w:t>
      </w:r>
      <w:r w:rsidR="0099690D">
        <w:rPr>
          <w:rFonts w:ascii="Times New Roman" w:hAnsi="Times New Roman" w:cs="Times New Roman"/>
          <w:bCs/>
          <w:sz w:val="24"/>
          <w:szCs w:val="24"/>
        </w:rPr>
        <w:t xml:space="preserve"> </w:t>
      </w:r>
      <w:r w:rsidR="001D48A4">
        <w:rPr>
          <w:rFonts w:ascii="Times New Roman" w:hAnsi="Times New Roman" w:cs="Times New Roman"/>
          <w:bCs/>
          <w:sz w:val="24"/>
          <w:szCs w:val="24"/>
        </w:rPr>
        <w:t xml:space="preserve">We will analyze the </w:t>
      </w:r>
      <w:r w:rsidRPr="006C2A53">
        <w:rPr>
          <w:rFonts w:ascii="Times New Roman" w:hAnsi="Times New Roman" w:cs="Times New Roman"/>
          <w:bCs/>
          <w:sz w:val="24"/>
          <w:szCs w:val="24"/>
        </w:rPr>
        <w:t>data collect</w:t>
      </w:r>
      <w:r w:rsidR="001D48A4">
        <w:rPr>
          <w:rFonts w:ascii="Times New Roman" w:hAnsi="Times New Roman" w:cs="Times New Roman"/>
          <w:bCs/>
          <w:sz w:val="24"/>
          <w:szCs w:val="24"/>
        </w:rPr>
        <w:t>ed</w:t>
      </w:r>
      <w:r w:rsidRPr="006C2A53">
        <w:rPr>
          <w:rFonts w:ascii="Times New Roman" w:hAnsi="Times New Roman" w:cs="Times New Roman"/>
          <w:bCs/>
          <w:sz w:val="24"/>
          <w:szCs w:val="24"/>
        </w:rPr>
        <w:t xml:space="preserve"> in the provider survey </w:t>
      </w:r>
      <w:r w:rsidR="001D48A4">
        <w:rPr>
          <w:rFonts w:ascii="Times New Roman" w:hAnsi="Times New Roman" w:cs="Times New Roman"/>
          <w:bCs/>
          <w:sz w:val="24"/>
          <w:szCs w:val="24"/>
        </w:rPr>
        <w:t xml:space="preserve">in conjunction </w:t>
      </w:r>
      <w:r w:rsidRPr="006C2A53">
        <w:rPr>
          <w:rFonts w:ascii="Times New Roman" w:hAnsi="Times New Roman" w:cs="Times New Roman"/>
          <w:bCs/>
          <w:sz w:val="24"/>
          <w:szCs w:val="24"/>
        </w:rPr>
        <w:t>with</w:t>
      </w:r>
      <w:r w:rsidR="001D48A4">
        <w:rPr>
          <w:rFonts w:ascii="Times New Roman" w:hAnsi="Times New Roman" w:cs="Times New Roman"/>
          <w:bCs/>
          <w:sz w:val="24"/>
          <w:szCs w:val="24"/>
        </w:rPr>
        <w:t xml:space="preserve"> SSA’s existing</w:t>
      </w:r>
      <w:r w:rsidRPr="006C2A53">
        <w:rPr>
          <w:rFonts w:ascii="Times New Roman" w:hAnsi="Times New Roman" w:cs="Times New Roman"/>
          <w:bCs/>
          <w:sz w:val="24"/>
          <w:szCs w:val="24"/>
        </w:rPr>
        <w:t xml:space="preserve"> administrative data </w:t>
      </w:r>
      <w:r w:rsidRPr="006C2A53">
        <w:rPr>
          <w:rFonts w:ascii="Times New Roman" w:hAnsi="Times New Roman" w:cs="Times New Roman"/>
          <w:bCs/>
          <w:sz w:val="24"/>
          <w:szCs w:val="24"/>
        </w:rPr>
        <w:t>on return-to-work outcomes at the provider level</w:t>
      </w:r>
      <w:r w:rsidR="001D48A4">
        <w:rPr>
          <w:rFonts w:ascii="Times New Roman" w:hAnsi="Times New Roman" w:cs="Times New Roman"/>
          <w:bCs/>
          <w:sz w:val="24"/>
          <w:szCs w:val="24"/>
        </w:rPr>
        <w:t xml:space="preserve"> to</w:t>
      </w:r>
      <w:r w:rsidRPr="006C2A53">
        <w:rPr>
          <w:rFonts w:ascii="Times New Roman" w:hAnsi="Times New Roman" w:cs="Times New Roman"/>
          <w:bCs/>
          <w:sz w:val="24"/>
          <w:szCs w:val="24"/>
        </w:rPr>
        <w:t xml:space="preserve"> shed light on the types of service provision that are </w:t>
      </w:r>
      <w:r w:rsidR="001D48A4">
        <w:rPr>
          <w:rFonts w:ascii="Times New Roman" w:hAnsi="Times New Roman" w:cs="Times New Roman"/>
          <w:bCs/>
          <w:sz w:val="24"/>
          <w:szCs w:val="24"/>
        </w:rPr>
        <w:t>most</w:t>
      </w:r>
      <w:r w:rsidRPr="006C2A53">
        <w:rPr>
          <w:rFonts w:ascii="Times New Roman" w:hAnsi="Times New Roman" w:cs="Times New Roman"/>
          <w:bCs/>
          <w:sz w:val="24"/>
          <w:szCs w:val="24"/>
        </w:rPr>
        <w:t xml:space="preserve"> effective in supporting Ticketholders. </w:t>
      </w:r>
    </w:p>
    <w:p w:rsidR="00C46932" w:rsidRPr="00DD467C" w:rsidP="008808F6" w14:paraId="48700C12" w14:textId="1295EB29">
      <w:pPr>
        <w:pStyle w:val="H2"/>
        <w:spacing w:line="276" w:lineRule="auto"/>
        <w:ind w:left="900" w:hanging="450"/>
        <w:rPr>
          <w:rFonts w:ascii="Times New Roman" w:hAnsi="Times New Roman" w:cs="Times New Roman"/>
          <w:szCs w:val="24"/>
        </w:rPr>
      </w:pPr>
      <w:bookmarkStart w:id="23" w:name="_Toc476059355"/>
      <w:bookmarkStart w:id="24" w:name="_Toc130382261"/>
      <w:bookmarkStart w:id="25" w:name="_Toc134438379"/>
      <w:bookmarkStart w:id="26" w:name="_Toc183510762"/>
      <w:r w:rsidRPr="00DD467C">
        <w:rPr>
          <w:rFonts w:ascii="Times New Roman" w:hAnsi="Times New Roman" w:cs="Times New Roman"/>
          <w:szCs w:val="24"/>
        </w:rPr>
        <w:t xml:space="preserve">5. </w:t>
      </w:r>
      <w:r w:rsidRPr="00DD467C">
        <w:rPr>
          <w:rFonts w:ascii="Times New Roman" w:hAnsi="Times New Roman" w:cs="Times New Roman"/>
          <w:szCs w:val="24"/>
        </w:rPr>
        <w:tab/>
        <w:t xml:space="preserve">Minimizing </w:t>
      </w:r>
      <w:bookmarkEnd w:id="23"/>
      <w:bookmarkEnd w:id="24"/>
      <w:bookmarkEnd w:id="25"/>
      <w:bookmarkEnd w:id="26"/>
      <w:r w:rsidRPr="00DD467C" w:rsidR="00664E53">
        <w:rPr>
          <w:rFonts w:ascii="Times New Roman" w:hAnsi="Times New Roman" w:cs="Times New Roman"/>
          <w:szCs w:val="24"/>
        </w:rPr>
        <w:t>Burden on Small Respondents</w:t>
      </w:r>
    </w:p>
    <w:p w:rsidR="00C46932" w:rsidRPr="00DD467C" w:rsidP="008808F6" w14:paraId="0D8BDFB1" w14:textId="7A3BA486">
      <w:pPr>
        <w:pStyle w:val="ParagraphContinued"/>
        <w:spacing w:line="276" w:lineRule="auto"/>
        <w:ind w:left="907"/>
        <w:rPr>
          <w:rFonts w:ascii="Times New Roman" w:hAnsi="Times New Roman" w:cs="Times New Roman"/>
          <w:sz w:val="24"/>
          <w:szCs w:val="24"/>
        </w:rPr>
      </w:pPr>
      <w:r w:rsidRPr="00DD467C">
        <w:rPr>
          <w:rFonts w:ascii="Times New Roman" w:hAnsi="Times New Roman" w:cs="Times New Roman"/>
          <w:sz w:val="24"/>
          <w:szCs w:val="24"/>
        </w:rPr>
        <w:t xml:space="preserve">Some of the service providers </w:t>
      </w:r>
      <w:r w:rsidRPr="00DD467C" w:rsidR="00ED50F1">
        <w:rPr>
          <w:rFonts w:ascii="Times New Roman" w:hAnsi="Times New Roman" w:cs="Times New Roman"/>
          <w:sz w:val="24"/>
          <w:szCs w:val="24"/>
        </w:rPr>
        <w:t>included in the provider survey</w:t>
      </w:r>
      <w:r w:rsidRPr="00DD467C" w:rsidR="00EA5C8C">
        <w:rPr>
          <w:rFonts w:ascii="Times New Roman" w:hAnsi="Times New Roman" w:cs="Times New Roman"/>
          <w:sz w:val="24"/>
          <w:szCs w:val="24"/>
        </w:rPr>
        <w:t>s</w:t>
      </w:r>
      <w:r w:rsidRPr="00DD467C" w:rsidR="00ED50F1">
        <w:rPr>
          <w:rFonts w:ascii="Times New Roman" w:hAnsi="Times New Roman" w:cs="Times New Roman"/>
          <w:sz w:val="24"/>
          <w:szCs w:val="24"/>
        </w:rPr>
        <w:t xml:space="preserve"> </w:t>
      </w:r>
      <w:r w:rsidRPr="00DD467C">
        <w:rPr>
          <w:rFonts w:ascii="Times New Roman" w:hAnsi="Times New Roman" w:cs="Times New Roman"/>
          <w:sz w:val="24"/>
          <w:szCs w:val="24"/>
        </w:rPr>
        <w:t>might be small entities.</w:t>
      </w:r>
      <w:r w:rsidR="0099690D">
        <w:rPr>
          <w:rFonts w:ascii="Times New Roman" w:hAnsi="Times New Roman" w:cs="Times New Roman"/>
          <w:sz w:val="24"/>
          <w:szCs w:val="24"/>
        </w:rPr>
        <w:t xml:space="preserve">  </w:t>
      </w:r>
      <w:r w:rsidRPr="00DD467C" w:rsidR="003D3C03">
        <w:rPr>
          <w:rFonts w:ascii="Times New Roman" w:hAnsi="Times New Roman" w:cs="Times New Roman"/>
          <w:sz w:val="24"/>
          <w:szCs w:val="24"/>
        </w:rPr>
        <w:t>Mathematica’s</w:t>
      </w:r>
      <w:r w:rsidRPr="00DD467C" w:rsidR="00A3294F">
        <w:rPr>
          <w:rFonts w:ascii="Times New Roman" w:hAnsi="Times New Roman" w:cs="Times New Roman"/>
          <w:sz w:val="24"/>
          <w:szCs w:val="24"/>
        </w:rPr>
        <w:t xml:space="preserve"> survey </w:t>
      </w:r>
      <w:r w:rsidRPr="00DD467C">
        <w:rPr>
          <w:rFonts w:ascii="Times New Roman" w:hAnsi="Times New Roman" w:cs="Times New Roman"/>
          <w:sz w:val="24"/>
          <w:szCs w:val="24"/>
        </w:rPr>
        <w:t>impose</w:t>
      </w:r>
      <w:r w:rsidRPr="00DD467C" w:rsidR="0051477A">
        <w:rPr>
          <w:rFonts w:ascii="Times New Roman" w:hAnsi="Times New Roman" w:cs="Times New Roman"/>
          <w:sz w:val="24"/>
          <w:szCs w:val="24"/>
        </w:rPr>
        <w:t>s</w:t>
      </w:r>
      <w:r w:rsidRPr="00DD467C">
        <w:rPr>
          <w:rFonts w:ascii="Times New Roman" w:hAnsi="Times New Roman" w:cs="Times New Roman"/>
          <w:sz w:val="24"/>
          <w:szCs w:val="24"/>
        </w:rPr>
        <w:t xml:space="preserve"> minimal burden on </w:t>
      </w:r>
      <w:r w:rsidRPr="00DD467C" w:rsidR="00601146">
        <w:rPr>
          <w:rFonts w:ascii="Times New Roman" w:hAnsi="Times New Roman" w:cs="Times New Roman"/>
          <w:sz w:val="24"/>
          <w:szCs w:val="24"/>
        </w:rPr>
        <w:t>the providers</w:t>
      </w:r>
      <w:r w:rsidRPr="00DD467C">
        <w:rPr>
          <w:rFonts w:ascii="Times New Roman" w:hAnsi="Times New Roman" w:cs="Times New Roman"/>
          <w:sz w:val="24"/>
          <w:szCs w:val="24"/>
        </w:rPr>
        <w:t xml:space="preserve"> involved</w:t>
      </w:r>
      <w:r w:rsidRPr="00DD467C" w:rsidR="007D68D4">
        <w:rPr>
          <w:rFonts w:ascii="Times New Roman" w:hAnsi="Times New Roman" w:cs="Times New Roman"/>
          <w:sz w:val="24"/>
          <w:szCs w:val="24"/>
        </w:rPr>
        <w:t>.</w:t>
      </w:r>
      <w:r w:rsidRPr="00DD467C">
        <w:rPr>
          <w:rFonts w:ascii="Times New Roman" w:hAnsi="Times New Roman" w:cs="Times New Roman"/>
          <w:sz w:val="24"/>
          <w:szCs w:val="24"/>
        </w:rPr>
        <w:t xml:space="preserve"> </w:t>
      </w:r>
      <w:r w:rsidR="0099690D">
        <w:rPr>
          <w:rFonts w:ascii="Times New Roman" w:hAnsi="Times New Roman" w:cs="Times New Roman"/>
          <w:sz w:val="24"/>
          <w:szCs w:val="24"/>
        </w:rPr>
        <w:t xml:space="preserve"> </w:t>
      </w:r>
      <w:r w:rsidRPr="00DD467C" w:rsidR="006673B0">
        <w:rPr>
          <w:rFonts w:ascii="Times New Roman" w:hAnsi="Times New Roman" w:cs="Times New Roman"/>
          <w:sz w:val="24"/>
          <w:szCs w:val="24"/>
        </w:rPr>
        <w:t xml:space="preserve">Each </w:t>
      </w:r>
      <w:r w:rsidRPr="00DD467C" w:rsidR="00EA5C8C">
        <w:rPr>
          <w:rFonts w:ascii="Times New Roman" w:hAnsi="Times New Roman" w:cs="Times New Roman"/>
          <w:sz w:val="24"/>
          <w:szCs w:val="24"/>
        </w:rPr>
        <w:t xml:space="preserve">survey </w:t>
      </w:r>
      <w:r w:rsidRPr="00DD467C">
        <w:rPr>
          <w:rFonts w:ascii="Times New Roman" w:hAnsi="Times New Roman" w:cs="Times New Roman"/>
          <w:sz w:val="24"/>
          <w:szCs w:val="24"/>
        </w:rPr>
        <w:t xml:space="preserve">will </w:t>
      </w:r>
      <w:r w:rsidRPr="00DD467C" w:rsidR="00EA5C8C">
        <w:rPr>
          <w:rFonts w:ascii="Times New Roman" w:hAnsi="Times New Roman" w:cs="Times New Roman"/>
          <w:sz w:val="24"/>
          <w:szCs w:val="24"/>
        </w:rPr>
        <w:t>take</w:t>
      </w:r>
      <w:r w:rsidRPr="00DD467C">
        <w:rPr>
          <w:rFonts w:ascii="Times New Roman" w:hAnsi="Times New Roman" w:cs="Times New Roman"/>
          <w:sz w:val="24"/>
          <w:szCs w:val="24"/>
        </w:rPr>
        <w:t xml:space="preserve"> one hour or less</w:t>
      </w:r>
      <w:r w:rsidRPr="00DD467C" w:rsidR="00EA5C8C">
        <w:rPr>
          <w:rFonts w:ascii="Times New Roman" w:hAnsi="Times New Roman" w:cs="Times New Roman"/>
          <w:sz w:val="24"/>
          <w:szCs w:val="24"/>
        </w:rPr>
        <w:t xml:space="preserve"> to complete</w:t>
      </w:r>
      <w:r w:rsidRPr="00DD467C">
        <w:rPr>
          <w:rFonts w:ascii="Times New Roman" w:hAnsi="Times New Roman" w:cs="Times New Roman"/>
          <w:sz w:val="24"/>
          <w:szCs w:val="24"/>
        </w:rPr>
        <w:t xml:space="preserve">. </w:t>
      </w:r>
      <w:r w:rsidR="0099690D">
        <w:rPr>
          <w:rFonts w:ascii="Times New Roman" w:hAnsi="Times New Roman" w:cs="Times New Roman"/>
          <w:sz w:val="24"/>
          <w:szCs w:val="24"/>
        </w:rPr>
        <w:t xml:space="preserve"> </w:t>
      </w:r>
      <w:r w:rsidRPr="00DD467C" w:rsidR="000E14F1">
        <w:rPr>
          <w:rFonts w:ascii="Times New Roman" w:hAnsi="Times New Roman" w:cs="Times New Roman"/>
          <w:sz w:val="24"/>
          <w:szCs w:val="24"/>
        </w:rPr>
        <w:t>The provider survey</w:t>
      </w:r>
      <w:r w:rsidRPr="00DD467C" w:rsidR="008367B8">
        <w:rPr>
          <w:rFonts w:ascii="Times New Roman" w:hAnsi="Times New Roman" w:cs="Times New Roman"/>
          <w:sz w:val="24"/>
          <w:szCs w:val="24"/>
        </w:rPr>
        <w:t xml:space="preserve">s will </w:t>
      </w:r>
      <w:r w:rsidRPr="00DD467C" w:rsidR="000E14F1">
        <w:rPr>
          <w:rFonts w:ascii="Times New Roman" w:hAnsi="Times New Roman" w:cs="Times New Roman"/>
          <w:sz w:val="24"/>
          <w:szCs w:val="24"/>
        </w:rPr>
        <w:t xml:space="preserve">collect the minimum amount of data needed to achieve </w:t>
      </w:r>
      <w:r w:rsidRPr="00DD467C" w:rsidR="008367B8">
        <w:rPr>
          <w:rFonts w:ascii="Times New Roman" w:hAnsi="Times New Roman" w:cs="Times New Roman"/>
          <w:sz w:val="24"/>
          <w:szCs w:val="24"/>
        </w:rPr>
        <w:t xml:space="preserve">the </w:t>
      </w:r>
      <w:r w:rsidRPr="00DD467C" w:rsidR="000E14F1">
        <w:rPr>
          <w:rFonts w:ascii="Times New Roman" w:hAnsi="Times New Roman" w:cs="Times New Roman"/>
          <w:sz w:val="24"/>
          <w:szCs w:val="24"/>
        </w:rPr>
        <w:t>evaluation</w:t>
      </w:r>
      <w:r w:rsidRPr="00DD467C" w:rsidR="008367B8">
        <w:rPr>
          <w:rFonts w:ascii="Times New Roman" w:hAnsi="Times New Roman" w:cs="Times New Roman"/>
          <w:sz w:val="24"/>
          <w:szCs w:val="24"/>
        </w:rPr>
        <w:t>’s</w:t>
      </w:r>
      <w:r w:rsidRPr="00DD467C" w:rsidR="000E14F1">
        <w:rPr>
          <w:rFonts w:ascii="Times New Roman" w:hAnsi="Times New Roman" w:cs="Times New Roman"/>
          <w:sz w:val="24"/>
          <w:szCs w:val="24"/>
        </w:rPr>
        <w:t xml:space="preserve"> goals</w:t>
      </w:r>
      <w:r w:rsidRPr="00DD467C" w:rsidR="008367B8">
        <w:rPr>
          <w:rFonts w:ascii="Times New Roman" w:hAnsi="Times New Roman" w:cs="Times New Roman"/>
          <w:sz w:val="24"/>
          <w:szCs w:val="24"/>
        </w:rPr>
        <w:t xml:space="preserve">. </w:t>
      </w:r>
      <w:r w:rsidR="0099690D">
        <w:rPr>
          <w:rFonts w:ascii="Times New Roman" w:hAnsi="Times New Roman" w:cs="Times New Roman"/>
          <w:sz w:val="24"/>
          <w:szCs w:val="24"/>
        </w:rPr>
        <w:t xml:space="preserve"> </w:t>
      </w:r>
      <w:r w:rsidRPr="00DD467C" w:rsidR="008367B8">
        <w:rPr>
          <w:rFonts w:ascii="Times New Roman" w:hAnsi="Times New Roman" w:cs="Times New Roman"/>
          <w:sz w:val="24"/>
          <w:szCs w:val="24"/>
        </w:rPr>
        <w:t xml:space="preserve">Respondents </w:t>
      </w:r>
      <w:r w:rsidRPr="00DD467C" w:rsidR="00960DEF">
        <w:rPr>
          <w:rFonts w:ascii="Times New Roman" w:hAnsi="Times New Roman" w:cs="Times New Roman"/>
          <w:sz w:val="24"/>
          <w:szCs w:val="24"/>
        </w:rPr>
        <w:t xml:space="preserve">can complete surveys at a time of their choice. </w:t>
      </w:r>
      <w:r w:rsidRPr="00DD467C" w:rsidR="000E14F1">
        <w:rPr>
          <w:rFonts w:ascii="Times New Roman" w:hAnsi="Times New Roman" w:cs="Times New Roman"/>
          <w:sz w:val="24"/>
          <w:szCs w:val="24"/>
        </w:rPr>
        <w:t xml:space="preserve"> </w:t>
      </w:r>
    </w:p>
    <w:p w:rsidR="00C832DD" w:rsidRPr="00DD467C" w:rsidP="008808F6" w14:paraId="7A0BB73E" w14:textId="005ED95E">
      <w:pPr>
        <w:pStyle w:val="H2"/>
        <w:spacing w:line="276" w:lineRule="auto"/>
        <w:ind w:left="900" w:hanging="450"/>
        <w:rPr>
          <w:rFonts w:ascii="Times New Roman" w:hAnsi="Times New Roman" w:cs="Times New Roman"/>
          <w:szCs w:val="24"/>
        </w:rPr>
      </w:pPr>
      <w:bookmarkStart w:id="27" w:name="_Toc476059356"/>
      <w:bookmarkStart w:id="28" w:name="_Toc130382262"/>
      <w:bookmarkStart w:id="29" w:name="_Toc183510763"/>
      <w:r w:rsidRPr="00DD467C">
        <w:rPr>
          <w:rFonts w:ascii="Times New Roman" w:hAnsi="Times New Roman" w:cs="Times New Roman"/>
          <w:szCs w:val="24"/>
        </w:rPr>
        <w:t xml:space="preserve">6. </w:t>
      </w:r>
      <w:r w:rsidRPr="00DD467C">
        <w:rPr>
          <w:rFonts w:ascii="Times New Roman" w:hAnsi="Times New Roman" w:cs="Times New Roman"/>
          <w:szCs w:val="24"/>
        </w:rPr>
        <w:tab/>
        <w:t xml:space="preserve">Consequences of </w:t>
      </w:r>
      <w:bookmarkEnd w:id="27"/>
      <w:bookmarkEnd w:id="28"/>
      <w:bookmarkEnd w:id="29"/>
      <w:r w:rsidRPr="00DD467C" w:rsidR="001A2422">
        <w:rPr>
          <w:rFonts w:ascii="Times New Roman" w:hAnsi="Times New Roman"/>
        </w:rPr>
        <w:t>Not Collecting Information or Collecting it Less Frequently</w:t>
      </w:r>
    </w:p>
    <w:p w:rsidR="00040DD9" w:rsidRPr="00C27263" w:rsidP="001B7986" w14:paraId="16A49ADD" w14:textId="03AAF68E">
      <w:pPr>
        <w:pStyle w:val="H3"/>
        <w:spacing w:line="276" w:lineRule="auto"/>
        <w:rPr>
          <w:b w:val="0"/>
          <w:bCs/>
        </w:rPr>
      </w:pPr>
      <w:r w:rsidRPr="00C27263">
        <w:rPr>
          <w:b w:val="0"/>
          <w:bCs/>
        </w:rPr>
        <w:t xml:space="preserve">SSA </w:t>
      </w:r>
      <w:r w:rsidR="001D48A4">
        <w:rPr>
          <w:b w:val="0"/>
          <w:bCs/>
        </w:rPr>
        <w:t xml:space="preserve">collects and stores </w:t>
      </w:r>
      <w:r w:rsidRPr="00C27263">
        <w:rPr>
          <w:b w:val="0"/>
          <w:bCs/>
        </w:rPr>
        <w:t>data for program oversight and administrative record</w:t>
      </w:r>
      <w:r w:rsidR="001D48A4">
        <w:rPr>
          <w:b w:val="0"/>
          <w:bCs/>
        </w:rPr>
        <w:t>-keeping</w:t>
      </w:r>
      <w:r w:rsidRPr="00C27263">
        <w:rPr>
          <w:b w:val="0"/>
          <w:bCs/>
        </w:rPr>
        <w:t>, including characteristics of providers</w:t>
      </w:r>
      <w:r w:rsidR="001D48A4">
        <w:rPr>
          <w:b w:val="0"/>
          <w:bCs/>
        </w:rPr>
        <w:t xml:space="preserve"> and characteristics of </w:t>
      </w:r>
      <w:r w:rsidRPr="00C27263">
        <w:rPr>
          <w:b w:val="0"/>
          <w:bCs/>
        </w:rPr>
        <w:t>beneficiaries who</w:t>
      </w:r>
      <w:r w:rsidR="001D48A4">
        <w:rPr>
          <w:b w:val="0"/>
          <w:bCs/>
        </w:rPr>
        <w:t xml:space="preserve"> (1)</w:t>
      </w:r>
      <w:r w:rsidR="0099690D">
        <w:rPr>
          <w:b w:val="0"/>
          <w:bCs/>
        </w:rPr>
        <w:t> </w:t>
      </w:r>
      <w:r w:rsidRPr="00C27263">
        <w:rPr>
          <w:b w:val="0"/>
          <w:bCs/>
        </w:rPr>
        <w:t xml:space="preserve">receive program services and </w:t>
      </w:r>
      <w:r w:rsidR="001D48A4">
        <w:rPr>
          <w:b w:val="0"/>
          <w:bCs/>
        </w:rPr>
        <w:t xml:space="preserve">(2) </w:t>
      </w:r>
      <w:r w:rsidRPr="00C27263">
        <w:rPr>
          <w:b w:val="0"/>
          <w:bCs/>
        </w:rPr>
        <w:t>achieve return-to-work outcomes consistent with the program’s legislative intent.</w:t>
      </w:r>
      <w:r w:rsidR="0099690D">
        <w:rPr>
          <w:b w:val="0"/>
          <w:bCs/>
        </w:rPr>
        <w:t xml:space="preserve"> </w:t>
      </w:r>
      <w:r w:rsidRPr="00C27263">
        <w:rPr>
          <w:b w:val="0"/>
          <w:bCs/>
        </w:rPr>
        <w:t xml:space="preserve"> </w:t>
      </w:r>
      <w:r w:rsidR="001D48A4">
        <w:rPr>
          <w:b w:val="0"/>
          <w:bCs/>
        </w:rPr>
        <w:t>T</w:t>
      </w:r>
      <w:r w:rsidRPr="00C27263">
        <w:rPr>
          <w:b w:val="0"/>
          <w:bCs/>
        </w:rPr>
        <w:t xml:space="preserve">hat information, </w:t>
      </w:r>
      <w:r w:rsidR="001D48A4">
        <w:rPr>
          <w:b w:val="0"/>
          <w:bCs/>
        </w:rPr>
        <w:t xml:space="preserve">however, </w:t>
      </w:r>
      <w:r w:rsidRPr="00C27263">
        <w:rPr>
          <w:b w:val="0"/>
          <w:bCs/>
        </w:rPr>
        <w:t>is insufficient to understand the reasons why Ticketholders and providers decide to participate in Ticket Act programs (or not), nor the barriers and facilitators to service provision and receipt that would result in Ticketholders sustaining work to ultimately cease benefits from federal disability programs.</w:t>
      </w:r>
      <w:r w:rsidR="001D48A4">
        <w:rPr>
          <w:b w:val="0"/>
          <w:bCs/>
        </w:rPr>
        <w:t xml:space="preserve"> </w:t>
      </w:r>
      <w:r w:rsidR="0099690D">
        <w:rPr>
          <w:b w:val="0"/>
          <w:bCs/>
        </w:rPr>
        <w:t xml:space="preserve"> </w:t>
      </w:r>
      <w:r w:rsidR="001D48A4">
        <w:rPr>
          <w:b w:val="0"/>
          <w:bCs/>
        </w:rPr>
        <w:t xml:space="preserve">The proposed data collection in this package is necessary to inform </w:t>
      </w:r>
      <w:r w:rsidR="003F3DE4">
        <w:rPr>
          <w:b w:val="0"/>
          <w:bCs/>
        </w:rPr>
        <w:t>potential programmatic changes of legislative requests t</w:t>
      </w:r>
      <w:r w:rsidR="001D48A4">
        <w:rPr>
          <w:b w:val="0"/>
          <w:bCs/>
        </w:rPr>
        <w:t xml:space="preserve">o </w:t>
      </w:r>
      <w:r w:rsidR="003F3DE4">
        <w:rPr>
          <w:b w:val="0"/>
          <w:bCs/>
        </w:rPr>
        <w:t xml:space="preserve">maximize </w:t>
      </w:r>
      <w:r w:rsidR="001D48A4">
        <w:rPr>
          <w:b w:val="0"/>
          <w:bCs/>
        </w:rPr>
        <w:t xml:space="preserve">the Ticket to Work program’s </w:t>
      </w:r>
      <w:r w:rsidR="003F3DE4">
        <w:rPr>
          <w:b w:val="0"/>
          <w:bCs/>
        </w:rPr>
        <w:t>effectiveness.</w:t>
      </w:r>
    </w:p>
    <w:p w:rsidR="00C832DD" w:rsidRPr="00DD467C" w:rsidP="008808F6" w14:paraId="301F4860" w14:textId="4057FBAE">
      <w:pPr>
        <w:pStyle w:val="H3"/>
        <w:spacing w:line="276" w:lineRule="auto"/>
      </w:pPr>
      <w:r w:rsidRPr="00DD467C">
        <w:t>Provider survey</w:t>
      </w:r>
      <w:r w:rsidRPr="00DD467C" w:rsidR="006F3053">
        <w:t>s</w:t>
      </w:r>
    </w:p>
    <w:p w:rsidR="00C832DD" w:rsidRPr="00DD467C" w:rsidP="008808F6" w14:paraId="2EEC721A" w14:textId="50C150BE">
      <w:pPr>
        <w:pStyle w:val="ParagraphContinued"/>
        <w:spacing w:before="0" w:line="276" w:lineRule="auto"/>
        <w:ind w:left="900"/>
        <w:rPr>
          <w:rFonts w:ascii="Times New Roman" w:hAnsi="Times New Roman" w:cs="Times New Roman"/>
          <w:sz w:val="24"/>
          <w:szCs w:val="24"/>
        </w:rPr>
      </w:pPr>
      <w:r w:rsidRPr="00DD467C">
        <w:rPr>
          <w:rFonts w:ascii="Times New Roman" w:hAnsi="Times New Roman" w:cs="Times New Roman"/>
          <w:sz w:val="24"/>
          <w:szCs w:val="24"/>
        </w:rPr>
        <w:t>The provider survey</w:t>
      </w:r>
      <w:r w:rsidRPr="00DD467C" w:rsidR="006F3053">
        <w:rPr>
          <w:rFonts w:ascii="Times New Roman" w:hAnsi="Times New Roman" w:cs="Times New Roman"/>
          <w:sz w:val="24"/>
          <w:szCs w:val="24"/>
        </w:rPr>
        <w:t>s are</w:t>
      </w:r>
      <w:r w:rsidRPr="00DD467C">
        <w:rPr>
          <w:rFonts w:ascii="Times New Roman" w:hAnsi="Times New Roman" w:cs="Times New Roman"/>
          <w:sz w:val="24"/>
          <w:szCs w:val="24"/>
        </w:rPr>
        <w:t xml:space="preserve"> a one-time collection and necessary to </w:t>
      </w:r>
      <w:r w:rsidR="0040798E">
        <w:rPr>
          <w:rFonts w:ascii="Times New Roman" w:hAnsi="Times New Roman" w:cs="Times New Roman"/>
          <w:sz w:val="24"/>
          <w:szCs w:val="24"/>
        </w:rPr>
        <w:t>understand service availability and provision as determinants of program effectiveness</w:t>
      </w:r>
      <w:r w:rsidRPr="00DD467C">
        <w:rPr>
          <w:rFonts w:ascii="Times New Roman" w:hAnsi="Times New Roman" w:cs="Times New Roman"/>
          <w:sz w:val="24"/>
          <w:szCs w:val="24"/>
        </w:rPr>
        <w:t xml:space="preserve">. </w:t>
      </w:r>
      <w:r w:rsidR="0099690D">
        <w:rPr>
          <w:rFonts w:ascii="Times New Roman" w:hAnsi="Times New Roman" w:cs="Times New Roman"/>
          <w:sz w:val="24"/>
          <w:szCs w:val="24"/>
        </w:rPr>
        <w:t xml:space="preserve"> </w:t>
      </w:r>
      <w:r w:rsidRPr="00DD467C">
        <w:rPr>
          <w:rFonts w:ascii="Times New Roman" w:hAnsi="Times New Roman" w:cs="Times New Roman"/>
          <w:sz w:val="24"/>
          <w:szCs w:val="24"/>
        </w:rPr>
        <w:t xml:space="preserve">The data </w:t>
      </w:r>
      <w:r w:rsidRPr="00DD467C" w:rsidR="00413B29">
        <w:rPr>
          <w:rFonts w:ascii="Times New Roman" w:hAnsi="Times New Roman" w:cs="Times New Roman"/>
          <w:sz w:val="24"/>
          <w:szCs w:val="24"/>
        </w:rPr>
        <w:t>the surveys</w:t>
      </w:r>
      <w:r w:rsidRPr="00DD467C" w:rsidR="007419FC">
        <w:rPr>
          <w:rFonts w:ascii="Times New Roman" w:hAnsi="Times New Roman" w:cs="Times New Roman"/>
          <w:sz w:val="24"/>
          <w:szCs w:val="24"/>
        </w:rPr>
        <w:t xml:space="preserve"> </w:t>
      </w:r>
      <w:r w:rsidRPr="00DD467C">
        <w:rPr>
          <w:rFonts w:ascii="Times New Roman" w:hAnsi="Times New Roman" w:cs="Times New Roman"/>
          <w:sz w:val="24"/>
          <w:szCs w:val="24"/>
        </w:rPr>
        <w:t xml:space="preserve">will collect are </w:t>
      </w:r>
      <w:r w:rsidR="004064DE">
        <w:rPr>
          <w:rFonts w:ascii="Times New Roman" w:hAnsi="Times New Roman" w:cs="Times New Roman"/>
          <w:sz w:val="24"/>
          <w:szCs w:val="24"/>
        </w:rPr>
        <w:t>neither</w:t>
      </w:r>
      <w:r w:rsidRPr="00DD467C" w:rsidR="004064DE">
        <w:rPr>
          <w:rFonts w:ascii="Times New Roman" w:hAnsi="Times New Roman" w:cs="Times New Roman"/>
          <w:sz w:val="24"/>
          <w:szCs w:val="24"/>
        </w:rPr>
        <w:t xml:space="preserve"> </w:t>
      </w:r>
      <w:r w:rsidRPr="00DD467C">
        <w:rPr>
          <w:rFonts w:ascii="Times New Roman" w:hAnsi="Times New Roman" w:cs="Times New Roman"/>
          <w:sz w:val="24"/>
          <w:szCs w:val="24"/>
        </w:rPr>
        <w:t xml:space="preserve">available from </w:t>
      </w:r>
      <w:r w:rsidRPr="00DD467C" w:rsidR="00413B29">
        <w:rPr>
          <w:rFonts w:ascii="Times New Roman" w:hAnsi="Times New Roman" w:cs="Times New Roman"/>
          <w:sz w:val="24"/>
          <w:szCs w:val="24"/>
        </w:rPr>
        <w:t xml:space="preserve">SSA’s </w:t>
      </w:r>
      <w:r w:rsidR="00181EE7">
        <w:rPr>
          <w:rFonts w:ascii="Times New Roman" w:hAnsi="Times New Roman" w:cs="Times New Roman"/>
          <w:sz w:val="24"/>
          <w:szCs w:val="24"/>
        </w:rPr>
        <w:t xml:space="preserve">existing programmatic data collected from providers, nor from </w:t>
      </w:r>
      <w:r w:rsidRPr="00DD467C" w:rsidR="000D3F0C">
        <w:rPr>
          <w:rFonts w:ascii="Times New Roman" w:hAnsi="Times New Roman" w:cs="Times New Roman"/>
          <w:sz w:val="24"/>
          <w:szCs w:val="24"/>
        </w:rPr>
        <w:t xml:space="preserve">administrative records </w:t>
      </w:r>
      <w:r w:rsidRPr="00DD467C" w:rsidR="00413B29">
        <w:rPr>
          <w:rFonts w:ascii="Times New Roman" w:hAnsi="Times New Roman" w:cs="Times New Roman"/>
          <w:sz w:val="24"/>
          <w:szCs w:val="24"/>
        </w:rPr>
        <w:t xml:space="preserve">or </w:t>
      </w:r>
      <w:r w:rsidRPr="00DD467C">
        <w:rPr>
          <w:rFonts w:ascii="Times New Roman" w:hAnsi="Times New Roman" w:cs="Times New Roman"/>
          <w:sz w:val="24"/>
          <w:szCs w:val="24"/>
        </w:rPr>
        <w:t>other sources.</w:t>
      </w:r>
      <w:r w:rsidRPr="00DD467C" w:rsidR="000D3F0C">
        <w:rPr>
          <w:rFonts w:ascii="Times New Roman" w:hAnsi="Times New Roman" w:cs="Times New Roman"/>
          <w:sz w:val="24"/>
          <w:szCs w:val="24"/>
        </w:rPr>
        <w:t xml:space="preserve"> </w:t>
      </w:r>
    </w:p>
    <w:p w:rsidR="005B6003" w:rsidRPr="00DD467C" w:rsidP="008808F6" w14:paraId="412F0F8F" w14:textId="0A5F16F5">
      <w:pPr>
        <w:pStyle w:val="H3"/>
        <w:spacing w:line="276" w:lineRule="auto"/>
      </w:pPr>
      <w:r w:rsidRPr="00DD467C">
        <w:t xml:space="preserve">Qualitative </w:t>
      </w:r>
      <w:r w:rsidRPr="00DD467C" w:rsidR="006717B5">
        <w:t>interviews</w:t>
      </w:r>
    </w:p>
    <w:p w:rsidR="00D83520" w:rsidP="001B7986" w14:paraId="5523AC64" w14:textId="23437AD7">
      <w:pPr>
        <w:pStyle w:val="ParagraphContinued"/>
        <w:spacing w:before="0" w:line="276" w:lineRule="auto"/>
        <w:ind w:left="900"/>
        <w:rPr>
          <w:rFonts w:ascii="Times New Roman" w:hAnsi="Times New Roman" w:cs="Times New Roman"/>
          <w:sz w:val="24"/>
          <w:szCs w:val="24"/>
        </w:rPr>
      </w:pPr>
      <w:r w:rsidRPr="00DD467C">
        <w:rPr>
          <w:rFonts w:ascii="Times New Roman" w:hAnsi="Times New Roman" w:cs="Times New Roman"/>
          <w:sz w:val="24"/>
          <w:szCs w:val="24"/>
        </w:rPr>
        <w:t xml:space="preserve">The qualitative </w:t>
      </w:r>
      <w:r w:rsidRPr="00DD467C" w:rsidR="00CB73DA">
        <w:rPr>
          <w:rFonts w:ascii="Times New Roman" w:hAnsi="Times New Roman" w:cs="Times New Roman"/>
          <w:sz w:val="24"/>
          <w:szCs w:val="24"/>
        </w:rPr>
        <w:t>interviews</w:t>
      </w:r>
      <w:r w:rsidRPr="00DD467C">
        <w:rPr>
          <w:rFonts w:ascii="Times New Roman" w:hAnsi="Times New Roman" w:cs="Times New Roman"/>
          <w:sz w:val="24"/>
          <w:szCs w:val="24"/>
        </w:rPr>
        <w:t xml:space="preserve"> </w:t>
      </w:r>
      <w:r w:rsidRPr="00DD467C" w:rsidR="00CB73DA">
        <w:rPr>
          <w:rFonts w:ascii="Times New Roman" w:hAnsi="Times New Roman" w:cs="Times New Roman"/>
          <w:sz w:val="24"/>
          <w:szCs w:val="24"/>
        </w:rPr>
        <w:t>are</w:t>
      </w:r>
      <w:r w:rsidRPr="00DD467C">
        <w:rPr>
          <w:rFonts w:ascii="Times New Roman" w:hAnsi="Times New Roman" w:cs="Times New Roman"/>
          <w:sz w:val="24"/>
          <w:szCs w:val="24"/>
        </w:rPr>
        <w:t xml:space="preserve"> a one-time collection and necessary to </w:t>
      </w:r>
      <w:r w:rsidR="002C0BA0">
        <w:rPr>
          <w:rFonts w:ascii="Times New Roman" w:hAnsi="Times New Roman" w:cs="Times New Roman"/>
          <w:sz w:val="24"/>
          <w:szCs w:val="24"/>
        </w:rPr>
        <w:t>understand awareness of services, decisions to use services, ability to find providers and needed services, and the perceptions of beneficiaries about service value</w:t>
      </w:r>
      <w:r w:rsidRPr="00DD467C">
        <w:rPr>
          <w:rFonts w:ascii="Times New Roman" w:hAnsi="Times New Roman" w:cs="Times New Roman"/>
          <w:sz w:val="24"/>
          <w:szCs w:val="24"/>
        </w:rPr>
        <w:t xml:space="preserve">. </w:t>
      </w:r>
      <w:r w:rsidR="0099690D">
        <w:rPr>
          <w:rFonts w:ascii="Times New Roman" w:hAnsi="Times New Roman" w:cs="Times New Roman"/>
          <w:sz w:val="24"/>
          <w:szCs w:val="24"/>
        </w:rPr>
        <w:t xml:space="preserve"> </w:t>
      </w:r>
      <w:r w:rsidRPr="00DD467C">
        <w:rPr>
          <w:rFonts w:ascii="Times New Roman" w:hAnsi="Times New Roman" w:cs="Times New Roman"/>
          <w:sz w:val="24"/>
          <w:szCs w:val="24"/>
        </w:rPr>
        <w:t xml:space="preserve">The </w:t>
      </w:r>
      <w:r w:rsidR="003F3DE4">
        <w:rPr>
          <w:rFonts w:ascii="Times New Roman" w:hAnsi="Times New Roman" w:cs="Times New Roman"/>
          <w:sz w:val="24"/>
          <w:szCs w:val="24"/>
        </w:rPr>
        <w:t xml:space="preserve">interviews will provide </w:t>
      </w:r>
      <w:r w:rsidRPr="00DD467C">
        <w:rPr>
          <w:rFonts w:ascii="Times New Roman" w:hAnsi="Times New Roman" w:cs="Times New Roman"/>
          <w:sz w:val="24"/>
          <w:szCs w:val="24"/>
        </w:rPr>
        <w:t xml:space="preserve">data </w:t>
      </w:r>
      <w:r w:rsidR="003F3DE4">
        <w:rPr>
          <w:rFonts w:ascii="Times New Roman" w:hAnsi="Times New Roman" w:cs="Times New Roman"/>
          <w:sz w:val="24"/>
          <w:szCs w:val="24"/>
        </w:rPr>
        <w:t xml:space="preserve">to SSA that is </w:t>
      </w:r>
      <w:r w:rsidRPr="00DD467C">
        <w:rPr>
          <w:rFonts w:ascii="Times New Roman" w:hAnsi="Times New Roman" w:cs="Times New Roman"/>
          <w:sz w:val="24"/>
          <w:szCs w:val="24"/>
        </w:rPr>
        <w:t xml:space="preserve">not available from </w:t>
      </w:r>
      <w:r w:rsidRPr="00DD467C" w:rsidR="00CB73DA">
        <w:rPr>
          <w:rFonts w:ascii="Times New Roman" w:hAnsi="Times New Roman" w:cs="Times New Roman"/>
          <w:sz w:val="24"/>
          <w:szCs w:val="24"/>
        </w:rPr>
        <w:t>SSA’s</w:t>
      </w:r>
      <w:r w:rsidRPr="00DD467C">
        <w:rPr>
          <w:rFonts w:ascii="Times New Roman" w:hAnsi="Times New Roman" w:cs="Times New Roman"/>
          <w:sz w:val="24"/>
          <w:szCs w:val="24"/>
        </w:rPr>
        <w:t xml:space="preserve"> administrative records </w:t>
      </w:r>
      <w:r w:rsidR="002C0BA0">
        <w:rPr>
          <w:rFonts w:ascii="Times New Roman" w:hAnsi="Times New Roman" w:cs="Times New Roman"/>
          <w:sz w:val="24"/>
          <w:szCs w:val="24"/>
        </w:rPr>
        <w:t>or existing surveys of Ticketholders</w:t>
      </w:r>
      <w:r w:rsidRPr="00DD467C">
        <w:rPr>
          <w:rFonts w:ascii="Times New Roman" w:hAnsi="Times New Roman" w:cs="Times New Roman"/>
          <w:sz w:val="24"/>
          <w:szCs w:val="24"/>
        </w:rPr>
        <w:t xml:space="preserve">. </w:t>
      </w:r>
    </w:p>
    <w:p w:rsidR="00F047E8" w:rsidP="008808F6" w14:paraId="3C6BA19F" w14:textId="31A1B268">
      <w:pPr>
        <w:pStyle w:val="Paragraph"/>
        <w:spacing w:line="276" w:lineRule="auto"/>
        <w:ind w:left="907"/>
        <w:rPr>
          <w:rFonts w:ascii="Times New Roman" w:hAnsi="Times New Roman" w:cs="Times New Roman"/>
          <w:sz w:val="24"/>
          <w:szCs w:val="24"/>
        </w:rPr>
      </w:pPr>
      <w:r>
        <w:rPr>
          <w:rFonts w:ascii="Times New Roman" w:hAnsi="Times New Roman" w:cs="Times New Roman"/>
          <w:sz w:val="24"/>
          <w:szCs w:val="24"/>
        </w:rPr>
        <w:t xml:space="preserve">Without the proposed data collection activities, the evaluation </w:t>
      </w:r>
      <w:r w:rsidR="000F69D5">
        <w:rPr>
          <w:rFonts w:ascii="Times New Roman" w:hAnsi="Times New Roman" w:cs="Times New Roman"/>
          <w:sz w:val="24"/>
          <w:szCs w:val="24"/>
        </w:rPr>
        <w:t>will not be fully able to provide</w:t>
      </w:r>
      <w:r w:rsidRPr="00E00B27">
        <w:rPr>
          <w:rFonts w:ascii="Times New Roman" w:hAnsi="Times New Roman" w:cs="Times New Roman"/>
          <w:sz w:val="24"/>
          <w:szCs w:val="24"/>
        </w:rPr>
        <w:t xml:space="preserve"> </w:t>
      </w:r>
      <w:r>
        <w:rPr>
          <w:rFonts w:ascii="Times New Roman" w:hAnsi="Times New Roman" w:cs="Times New Roman"/>
          <w:sz w:val="24"/>
          <w:szCs w:val="24"/>
        </w:rPr>
        <w:t xml:space="preserve">SSA actionable steps it can take to improve the effectiveness of the Ticket Act programs. </w:t>
      </w:r>
      <w:r w:rsidR="0099690D">
        <w:rPr>
          <w:rFonts w:ascii="Times New Roman" w:hAnsi="Times New Roman" w:cs="Times New Roman"/>
          <w:sz w:val="24"/>
          <w:szCs w:val="24"/>
        </w:rPr>
        <w:t xml:space="preserve"> </w:t>
      </w:r>
      <w:r>
        <w:rPr>
          <w:rFonts w:ascii="Times New Roman" w:hAnsi="Times New Roman" w:cs="Times New Roman"/>
          <w:sz w:val="24"/>
          <w:szCs w:val="24"/>
        </w:rPr>
        <w:t xml:space="preserve">Drawing upon the proposed data collection, in conjunction with existing SSA data, we expect the evaluation will be able to consider mechanisms to improve program effectiveness such as: </w:t>
      </w:r>
      <w:r w:rsidR="0099690D">
        <w:rPr>
          <w:rFonts w:ascii="Times New Roman" w:hAnsi="Times New Roman" w:cs="Times New Roman"/>
          <w:sz w:val="24"/>
          <w:szCs w:val="24"/>
        </w:rPr>
        <w:t xml:space="preserve"> </w:t>
      </w:r>
      <w:r>
        <w:rPr>
          <w:rFonts w:ascii="Times New Roman" w:hAnsi="Times New Roman" w:cs="Times New Roman"/>
          <w:sz w:val="24"/>
          <w:szCs w:val="24"/>
        </w:rPr>
        <w:t xml:space="preserve">(1) increasing take-up by Ticketholders most likely to work; (2) considering alternatives methods for monitoring service providers and the </w:t>
      </w:r>
      <w:r>
        <w:rPr>
          <w:rFonts w:ascii="Times New Roman" w:hAnsi="Times New Roman" w:cs="Times New Roman"/>
          <w:sz w:val="24"/>
          <w:szCs w:val="24"/>
        </w:rPr>
        <w:t xml:space="preserve">services they deliver; and (3) process improvements aimed at reducing the administrative burden of providers and Ticketholders who participate in the programs. </w:t>
      </w:r>
    </w:p>
    <w:p w:rsidR="00050F56" w:rsidRPr="00DD467C" w:rsidP="008808F6" w14:paraId="58DD5AF7" w14:textId="30075439">
      <w:pPr>
        <w:pStyle w:val="H2"/>
        <w:spacing w:line="276" w:lineRule="auto"/>
        <w:ind w:left="900" w:hanging="450"/>
        <w:rPr>
          <w:rFonts w:ascii="Times New Roman" w:hAnsi="Times New Roman" w:cs="Times New Roman"/>
          <w:szCs w:val="24"/>
        </w:rPr>
      </w:pPr>
      <w:bookmarkStart w:id="30" w:name="_Toc476059357"/>
      <w:bookmarkStart w:id="31" w:name="_Toc130382263"/>
      <w:bookmarkStart w:id="32" w:name="_Toc183510764"/>
      <w:r w:rsidRPr="00DD467C">
        <w:rPr>
          <w:rFonts w:ascii="Times New Roman" w:hAnsi="Times New Roman" w:cs="Times New Roman"/>
          <w:szCs w:val="24"/>
        </w:rPr>
        <w:t>7.</w:t>
      </w:r>
      <w:r w:rsidRPr="00DD467C">
        <w:rPr>
          <w:rFonts w:ascii="Times New Roman" w:hAnsi="Times New Roman" w:cs="Times New Roman"/>
          <w:szCs w:val="24"/>
        </w:rPr>
        <w:tab/>
      </w:r>
      <w:r w:rsidRPr="00DD467C">
        <w:rPr>
          <w:rFonts w:ascii="Times New Roman" w:hAnsi="Times New Roman" w:cs="Times New Roman"/>
          <w:szCs w:val="24"/>
        </w:rPr>
        <w:t xml:space="preserve">Special </w:t>
      </w:r>
      <w:r w:rsidRPr="00DD467C" w:rsidR="001A2422">
        <w:rPr>
          <w:rFonts w:ascii="Times New Roman" w:hAnsi="Times New Roman" w:cs="Times New Roman"/>
          <w:szCs w:val="24"/>
        </w:rPr>
        <w:t>C</w:t>
      </w:r>
      <w:r w:rsidRPr="00DD467C">
        <w:rPr>
          <w:rFonts w:ascii="Times New Roman" w:hAnsi="Times New Roman" w:cs="Times New Roman"/>
          <w:szCs w:val="24"/>
        </w:rPr>
        <w:t>ircumstances</w:t>
      </w:r>
      <w:bookmarkEnd w:id="30"/>
      <w:bookmarkEnd w:id="31"/>
      <w:bookmarkEnd w:id="32"/>
    </w:p>
    <w:p w:rsidR="00050F56" w:rsidRPr="00EE016F" w:rsidP="008808F6" w14:paraId="3EF79BC8" w14:textId="4BCC812B">
      <w:pPr>
        <w:pStyle w:val="ParagraphContinued"/>
        <w:spacing w:line="276" w:lineRule="auto"/>
        <w:ind w:left="907"/>
        <w:rPr>
          <w:rFonts w:ascii="Times New Roman" w:hAnsi="Times New Roman" w:cs="Times New Roman"/>
          <w:sz w:val="24"/>
          <w:szCs w:val="24"/>
        </w:rPr>
      </w:pPr>
      <w:r w:rsidRPr="00DD467C">
        <w:rPr>
          <w:rFonts w:ascii="Times New Roman" w:hAnsi="Times New Roman" w:cs="Times New Roman"/>
          <w:sz w:val="24"/>
          <w:szCs w:val="24"/>
        </w:rPr>
        <w:t>The proposed data collection activities are consistent with the guidelines set</w:t>
      </w:r>
      <w:r w:rsidRPr="00EE016F">
        <w:rPr>
          <w:rFonts w:ascii="Times New Roman" w:hAnsi="Times New Roman" w:cs="Times New Roman"/>
          <w:sz w:val="24"/>
          <w:szCs w:val="24"/>
        </w:rPr>
        <w:t xml:space="preserve"> forth in </w:t>
      </w:r>
      <w:r w:rsidRPr="00851F12">
        <w:rPr>
          <w:rFonts w:ascii="Times New Roman" w:hAnsi="Times New Roman" w:cs="Times New Roman"/>
          <w:i/>
          <w:iCs/>
          <w:sz w:val="24"/>
          <w:szCs w:val="24"/>
        </w:rPr>
        <w:t>5</w:t>
      </w:r>
      <w:r w:rsidRPr="00851F12" w:rsidR="00851F12">
        <w:rPr>
          <w:rFonts w:ascii="Times New Roman" w:hAnsi="Times New Roman" w:cs="Times New Roman"/>
          <w:i/>
          <w:iCs/>
          <w:sz w:val="24"/>
          <w:szCs w:val="24"/>
        </w:rPr>
        <w:t> </w:t>
      </w:r>
      <w:r w:rsidRPr="00851F12">
        <w:rPr>
          <w:rFonts w:ascii="Times New Roman" w:hAnsi="Times New Roman" w:cs="Times New Roman"/>
          <w:i/>
          <w:iCs/>
          <w:sz w:val="24"/>
          <w:szCs w:val="24"/>
        </w:rPr>
        <w:t>CFR 1320.5</w:t>
      </w:r>
      <w:r w:rsidRPr="00EE016F">
        <w:rPr>
          <w:rFonts w:ascii="Times New Roman" w:hAnsi="Times New Roman" w:cs="Times New Roman"/>
          <w:sz w:val="24"/>
          <w:szCs w:val="24"/>
        </w:rPr>
        <w:t xml:space="preserve"> (Controlling Paperwork Burden on the Public, General Information Collection Guidelines). </w:t>
      </w:r>
      <w:r w:rsidR="00F60685">
        <w:rPr>
          <w:rFonts w:ascii="Times New Roman" w:hAnsi="Times New Roman" w:cs="Times New Roman"/>
          <w:sz w:val="24"/>
          <w:szCs w:val="24"/>
        </w:rPr>
        <w:t xml:space="preserve"> </w:t>
      </w:r>
      <w:r w:rsidRPr="00EE016F">
        <w:rPr>
          <w:rFonts w:ascii="Times New Roman" w:hAnsi="Times New Roman" w:cs="Times New Roman"/>
          <w:sz w:val="24"/>
          <w:szCs w:val="24"/>
        </w:rPr>
        <w:t>There are no circumstances that require deviation from these guidelines.</w:t>
      </w:r>
    </w:p>
    <w:p w:rsidR="00E93E2B" w:rsidRPr="00CA7810" w:rsidP="008808F6" w14:paraId="150D1A2F" w14:textId="2F290F39">
      <w:pPr>
        <w:pStyle w:val="H2"/>
        <w:spacing w:line="276" w:lineRule="auto"/>
        <w:ind w:left="900" w:hanging="450"/>
        <w:rPr>
          <w:rFonts w:ascii="Times New Roman" w:hAnsi="Times New Roman" w:cs="Times New Roman"/>
          <w:szCs w:val="24"/>
        </w:rPr>
      </w:pPr>
      <w:bookmarkStart w:id="33" w:name="_Toc476059358"/>
      <w:bookmarkStart w:id="34" w:name="_Toc130382264"/>
      <w:bookmarkStart w:id="35" w:name="_Toc183510765"/>
      <w:r>
        <w:rPr>
          <w:rFonts w:ascii="Times New Roman" w:hAnsi="Times New Roman" w:cs="Times New Roman"/>
          <w:szCs w:val="24"/>
        </w:rPr>
        <w:t>8.</w:t>
      </w:r>
      <w:r>
        <w:rPr>
          <w:rFonts w:ascii="Times New Roman" w:hAnsi="Times New Roman" w:cs="Times New Roman"/>
          <w:szCs w:val="24"/>
        </w:rPr>
        <w:tab/>
      </w:r>
      <w:r w:rsidRPr="00CA7810">
        <w:rPr>
          <w:rFonts w:ascii="Times New Roman" w:hAnsi="Times New Roman" w:cs="Times New Roman"/>
          <w:szCs w:val="24"/>
        </w:rPr>
        <w:t xml:space="preserve">Solicitation </w:t>
      </w:r>
      <w:bookmarkEnd w:id="33"/>
      <w:bookmarkEnd w:id="34"/>
      <w:bookmarkEnd w:id="35"/>
      <w:r w:rsidRPr="00BC7F42" w:rsidR="0027238A">
        <w:rPr>
          <w:rFonts w:ascii="Times New Roman" w:hAnsi="Times New Roman"/>
        </w:rPr>
        <w:t>of Public Comment and Other Consultations with the Public</w:t>
      </w:r>
    </w:p>
    <w:p w:rsidR="000E23E0" w:rsidRPr="00EE016F" w:rsidP="008808F6" w14:paraId="0ABF1E1B" w14:textId="687C380D">
      <w:pPr>
        <w:pStyle w:val="H3"/>
        <w:spacing w:line="276" w:lineRule="auto"/>
      </w:pPr>
      <w:bookmarkStart w:id="36" w:name="_Hlk179821476"/>
      <w:r w:rsidRPr="00EE016F">
        <w:t>Federal Register</w:t>
      </w:r>
    </w:p>
    <w:bookmarkEnd w:id="36"/>
    <w:p w:rsidR="00B85F70" w:rsidP="008808F6" w14:paraId="64ADFBC5" w14:textId="77777777">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The</w:t>
      </w:r>
      <w:r w:rsidRPr="00EE016F" w:rsidR="002A710D">
        <w:rPr>
          <w:rFonts w:ascii="Times New Roman" w:hAnsi="Times New Roman" w:cs="Times New Roman"/>
          <w:sz w:val="24"/>
          <w:szCs w:val="24"/>
        </w:rPr>
        <w:t xml:space="preserve"> 60-Day </w:t>
      </w:r>
      <w:r w:rsidR="00851F12">
        <w:rPr>
          <w:rFonts w:ascii="Times New Roman" w:hAnsi="Times New Roman" w:cs="Times New Roman"/>
          <w:sz w:val="24"/>
          <w:szCs w:val="24"/>
        </w:rPr>
        <w:t xml:space="preserve">advance Federal Register </w:t>
      </w:r>
      <w:r w:rsidRPr="00EE016F" w:rsidR="002A710D">
        <w:rPr>
          <w:rFonts w:ascii="Times New Roman" w:hAnsi="Times New Roman" w:cs="Times New Roman"/>
          <w:sz w:val="24"/>
          <w:szCs w:val="24"/>
        </w:rPr>
        <w:t>Notice</w:t>
      </w:r>
      <w:r w:rsidRPr="00EE016F" w:rsidR="00E5260E">
        <w:rPr>
          <w:rFonts w:ascii="Times New Roman" w:hAnsi="Times New Roman" w:cs="Times New Roman"/>
          <w:sz w:val="24"/>
          <w:szCs w:val="24"/>
        </w:rPr>
        <w:t xml:space="preserve"> published on </w:t>
      </w:r>
      <w:r>
        <w:rPr>
          <w:rFonts w:ascii="Times New Roman" w:hAnsi="Times New Roman" w:cs="Times New Roman"/>
          <w:sz w:val="24"/>
          <w:szCs w:val="24"/>
        </w:rPr>
        <w:t xml:space="preserve">September 3, </w:t>
      </w:r>
      <w:r>
        <w:rPr>
          <w:rFonts w:ascii="Times New Roman" w:hAnsi="Times New Roman" w:cs="Times New Roman"/>
          <w:sz w:val="24"/>
          <w:szCs w:val="24"/>
        </w:rPr>
        <w:t>2025</w:t>
      </w:r>
      <w:r>
        <w:rPr>
          <w:rFonts w:ascii="Times New Roman" w:hAnsi="Times New Roman" w:cs="Times New Roman"/>
          <w:sz w:val="24"/>
          <w:szCs w:val="24"/>
        </w:rPr>
        <w:t xml:space="preserve"> at 90 FR 42667</w:t>
      </w:r>
      <w:r w:rsidRPr="00EE016F">
        <w:rPr>
          <w:rFonts w:ascii="Times New Roman" w:hAnsi="Times New Roman" w:cs="Times New Roman"/>
          <w:sz w:val="24"/>
          <w:szCs w:val="24"/>
        </w:rPr>
        <w:t xml:space="preserve"> and SSA received </w:t>
      </w:r>
      <w:r>
        <w:rPr>
          <w:rFonts w:ascii="Times New Roman" w:hAnsi="Times New Roman" w:cs="Times New Roman"/>
          <w:sz w:val="24"/>
          <w:szCs w:val="24"/>
        </w:rPr>
        <w:t>one public</w:t>
      </w:r>
      <w:r w:rsidRPr="00EE016F">
        <w:rPr>
          <w:rFonts w:ascii="Times New Roman" w:hAnsi="Times New Roman" w:cs="Times New Roman"/>
          <w:sz w:val="24"/>
          <w:szCs w:val="24"/>
        </w:rPr>
        <w:t xml:space="preserve"> comment</w:t>
      </w:r>
      <w:r>
        <w:rPr>
          <w:rFonts w:ascii="Times New Roman" w:hAnsi="Times New Roman" w:cs="Times New Roman"/>
          <w:sz w:val="24"/>
          <w:szCs w:val="24"/>
        </w:rPr>
        <w:t xml:space="preserve"> (see the attached Addendum for SSA’s responses to the public comment)</w:t>
      </w:r>
      <w:r w:rsidRPr="00EE016F">
        <w:rPr>
          <w:rFonts w:ascii="Times New Roman" w:hAnsi="Times New Roman" w:cs="Times New Roman"/>
          <w:sz w:val="24"/>
          <w:szCs w:val="24"/>
        </w:rPr>
        <w:t xml:space="preserve">. </w:t>
      </w:r>
    </w:p>
    <w:p w:rsidR="000E23E0" w:rsidRPr="00EE016F" w:rsidP="008808F6" w14:paraId="60F2B013" w14:textId="679E5BA4">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SSA publish</w:t>
      </w:r>
      <w:r w:rsidR="00851F12">
        <w:rPr>
          <w:rFonts w:ascii="Times New Roman" w:hAnsi="Times New Roman" w:cs="Times New Roman"/>
          <w:sz w:val="24"/>
          <w:szCs w:val="24"/>
        </w:rPr>
        <w:t>ed</w:t>
      </w:r>
      <w:r w:rsidRPr="00EE016F">
        <w:rPr>
          <w:rFonts w:ascii="Times New Roman" w:hAnsi="Times New Roman" w:cs="Times New Roman"/>
          <w:sz w:val="24"/>
          <w:szCs w:val="24"/>
        </w:rPr>
        <w:t xml:space="preserve"> the second </w:t>
      </w:r>
      <w:r w:rsidR="00851F12">
        <w:rPr>
          <w:rFonts w:ascii="Times New Roman" w:hAnsi="Times New Roman" w:cs="Times New Roman"/>
          <w:sz w:val="24"/>
          <w:szCs w:val="24"/>
        </w:rPr>
        <w:t>N</w:t>
      </w:r>
      <w:r w:rsidRPr="00EE016F">
        <w:rPr>
          <w:rFonts w:ascii="Times New Roman" w:hAnsi="Times New Roman" w:cs="Times New Roman"/>
          <w:sz w:val="24"/>
          <w:szCs w:val="24"/>
        </w:rPr>
        <w:t xml:space="preserve">otice on </w:t>
      </w:r>
      <w:r w:rsidRPr="0074359A" w:rsidR="0074359A">
        <w:rPr>
          <w:rFonts w:ascii="Times New Roman" w:hAnsi="Times New Roman" w:cs="Times New Roman"/>
          <w:sz w:val="24"/>
          <w:szCs w:val="24"/>
        </w:rPr>
        <w:t>February 2, 2026,</w:t>
      </w:r>
      <w:r w:rsidRPr="0074359A">
        <w:rPr>
          <w:rFonts w:ascii="Times New Roman" w:hAnsi="Times New Roman" w:cs="Times New Roman"/>
          <w:sz w:val="24"/>
          <w:szCs w:val="24"/>
        </w:rPr>
        <w:t xml:space="preserve"> at </w:t>
      </w:r>
      <w:r w:rsidRPr="0074359A" w:rsidR="00851F12">
        <w:rPr>
          <w:rFonts w:ascii="Times New Roman" w:hAnsi="Times New Roman" w:cs="Times New Roman"/>
          <w:sz w:val="24"/>
          <w:szCs w:val="24"/>
        </w:rPr>
        <w:t>9</w:t>
      </w:r>
      <w:r w:rsidRPr="0074359A" w:rsidR="0074359A">
        <w:rPr>
          <w:rFonts w:ascii="Times New Roman" w:hAnsi="Times New Roman" w:cs="Times New Roman"/>
          <w:sz w:val="24"/>
          <w:szCs w:val="24"/>
        </w:rPr>
        <w:t>1</w:t>
      </w:r>
      <w:r w:rsidRPr="0074359A">
        <w:rPr>
          <w:rFonts w:ascii="Times New Roman" w:hAnsi="Times New Roman" w:cs="Times New Roman"/>
          <w:sz w:val="24"/>
          <w:szCs w:val="24"/>
        </w:rPr>
        <w:t xml:space="preserve"> FR </w:t>
      </w:r>
      <w:r w:rsidRPr="0074359A" w:rsidR="0074359A">
        <w:rPr>
          <w:rFonts w:ascii="Times New Roman" w:hAnsi="Times New Roman" w:cs="Times New Roman"/>
          <w:sz w:val="24"/>
          <w:szCs w:val="24"/>
        </w:rPr>
        <w:t>4776</w:t>
      </w:r>
      <w:r w:rsidRPr="0074359A">
        <w:rPr>
          <w:rFonts w:ascii="Times New Roman" w:hAnsi="Times New Roman" w:cs="Times New Roman"/>
          <w:sz w:val="24"/>
          <w:szCs w:val="24"/>
        </w:rPr>
        <w:t>.</w:t>
      </w:r>
      <w:r w:rsidRPr="00EE016F">
        <w:rPr>
          <w:rFonts w:ascii="Times New Roman" w:hAnsi="Times New Roman" w:cs="Times New Roman"/>
          <w:sz w:val="24"/>
          <w:szCs w:val="24"/>
        </w:rPr>
        <w:t xml:space="preserve"> </w:t>
      </w:r>
      <w:r w:rsidR="0074359A">
        <w:rPr>
          <w:rFonts w:ascii="Times New Roman" w:hAnsi="Times New Roman" w:cs="Times New Roman"/>
          <w:sz w:val="24"/>
          <w:szCs w:val="24"/>
        </w:rPr>
        <w:t xml:space="preserve"> </w:t>
      </w:r>
      <w:r w:rsidRPr="00EE016F">
        <w:rPr>
          <w:rFonts w:ascii="Times New Roman" w:hAnsi="Times New Roman" w:cs="Times New Roman"/>
          <w:sz w:val="24"/>
          <w:szCs w:val="24"/>
        </w:rPr>
        <w:t xml:space="preserve">If SSA receives comments in response to the 30-Day Notice, it will forward them to OMB. </w:t>
      </w:r>
    </w:p>
    <w:p w:rsidR="00432769" w:rsidRPr="00EE016F" w:rsidP="008808F6" w14:paraId="4F7E97AD" w14:textId="2F065A8D">
      <w:pPr>
        <w:pStyle w:val="H3"/>
        <w:spacing w:line="276" w:lineRule="auto"/>
      </w:pPr>
      <w:r w:rsidRPr="00EE016F">
        <w:t>Consultation with outside agencies</w:t>
      </w:r>
    </w:p>
    <w:p w:rsidR="00C95874" w:rsidRPr="00EE016F" w:rsidP="008808F6" w14:paraId="3D7FC839" w14:textId="1C39B815">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As a first step </w:t>
      </w:r>
      <w:r w:rsidRPr="00EE016F" w:rsidR="00A54D9F">
        <w:rPr>
          <w:rFonts w:ascii="Times New Roman" w:hAnsi="Times New Roman" w:cs="Times New Roman"/>
          <w:sz w:val="24"/>
          <w:szCs w:val="24"/>
        </w:rPr>
        <w:t xml:space="preserve">in the evaluation, </w:t>
      </w:r>
      <w:r w:rsidRPr="00EE016F" w:rsidR="000E3274">
        <w:rPr>
          <w:rFonts w:ascii="Times New Roman" w:hAnsi="Times New Roman" w:cs="Times New Roman"/>
          <w:sz w:val="24"/>
          <w:szCs w:val="24"/>
        </w:rPr>
        <w:t xml:space="preserve">SSA convened a technical advisory panel. </w:t>
      </w:r>
      <w:r w:rsidR="00F60685">
        <w:rPr>
          <w:rFonts w:ascii="Times New Roman" w:hAnsi="Times New Roman" w:cs="Times New Roman"/>
          <w:sz w:val="24"/>
          <w:szCs w:val="24"/>
        </w:rPr>
        <w:t xml:space="preserve"> </w:t>
      </w:r>
      <w:r w:rsidRPr="00EE016F" w:rsidR="00512068">
        <w:rPr>
          <w:rFonts w:ascii="Times New Roman" w:hAnsi="Times New Roman" w:cs="Times New Roman"/>
          <w:sz w:val="24"/>
          <w:szCs w:val="24"/>
        </w:rPr>
        <w:t xml:space="preserve">The panel provided input on the </w:t>
      </w:r>
      <w:r w:rsidRPr="00EE016F" w:rsidR="00675CA9">
        <w:rPr>
          <w:rFonts w:ascii="Times New Roman" w:hAnsi="Times New Roman" w:cs="Times New Roman"/>
          <w:sz w:val="24"/>
          <w:szCs w:val="24"/>
        </w:rPr>
        <w:t xml:space="preserve">evaluation criteria and research design. </w:t>
      </w:r>
      <w:r w:rsidR="00F60685">
        <w:rPr>
          <w:rFonts w:ascii="Times New Roman" w:hAnsi="Times New Roman" w:cs="Times New Roman"/>
          <w:sz w:val="24"/>
          <w:szCs w:val="24"/>
        </w:rPr>
        <w:t xml:space="preserve"> </w:t>
      </w:r>
      <w:r w:rsidRPr="00EE016F" w:rsidR="007B0F91">
        <w:rPr>
          <w:rFonts w:ascii="Times New Roman" w:hAnsi="Times New Roman" w:cs="Times New Roman"/>
          <w:sz w:val="24"/>
          <w:szCs w:val="24"/>
        </w:rPr>
        <w:t>It consist</w:t>
      </w:r>
      <w:r w:rsidRPr="00EE016F" w:rsidR="000C22AF">
        <w:rPr>
          <w:rFonts w:ascii="Times New Roman" w:hAnsi="Times New Roman" w:cs="Times New Roman"/>
          <w:sz w:val="24"/>
          <w:szCs w:val="24"/>
        </w:rPr>
        <w:t>ed</w:t>
      </w:r>
      <w:r w:rsidRPr="00EE016F" w:rsidR="007B0F91">
        <w:rPr>
          <w:rFonts w:ascii="Times New Roman" w:hAnsi="Times New Roman" w:cs="Times New Roman"/>
          <w:sz w:val="24"/>
          <w:szCs w:val="24"/>
        </w:rPr>
        <w:t xml:space="preserve"> </w:t>
      </w:r>
      <w:r w:rsidRPr="00EE016F">
        <w:rPr>
          <w:rFonts w:ascii="Times New Roman" w:hAnsi="Times New Roman" w:cs="Times New Roman"/>
          <w:sz w:val="24"/>
          <w:szCs w:val="24"/>
        </w:rPr>
        <w:t xml:space="preserve">of </w:t>
      </w:r>
      <w:r w:rsidRPr="00EE016F" w:rsidR="00117320">
        <w:rPr>
          <w:rFonts w:ascii="Times New Roman" w:hAnsi="Times New Roman" w:cs="Times New Roman"/>
          <w:sz w:val="24"/>
          <w:szCs w:val="24"/>
        </w:rPr>
        <w:t xml:space="preserve">the following </w:t>
      </w:r>
      <w:r w:rsidRPr="00EE016F">
        <w:rPr>
          <w:rFonts w:ascii="Times New Roman" w:hAnsi="Times New Roman" w:cs="Times New Roman"/>
          <w:sz w:val="24"/>
          <w:szCs w:val="24"/>
        </w:rPr>
        <w:t>experts in disability and employment, evaluation methods, and research methods to advise us on the evaluation design</w:t>
      </w:r>
      <w:r w:rsidRPr="00EE016F" w:rsidR="00C23C92">
        <w:rPr>
          <w:rFonts w:ascii="Times New Roman" w:hAnsi="Times New Roman" w:cs="Times New Roman"/>
          <w:sz w:val="24"/>
          <w:szCs w:val="24"/>
        </w:rPr>
        <w:t xml:space="preserve">: </w:t>
      </w:r>
    </w:p>
    <w:p w:rsidR="0002535D" w:rsidRPr="00EE016F" w:rsidP="008808F6" w14:paraId="5FF55730" w14:textId="2ACC8009">
      <w:pPr>
        <w:pStyle w:val="ListBullet"/>
        <w:tabs>
          <w:tab w:val="clear" w:pos="360"/>
        </w:tabs>
        <w:spacing w:line="276" w:lineRule="auto"/>
        <w:ind w:left="1260"/>
        <w:rPr>
          <w:sz w:val="24"/>
          <w:szCs w:val="24"/>
        </w:rPr>
      </w:pPr>
      <w:r w:rsidRPr="00EE016F">
        <w:rPr>
          <w:sz w:val="24"/>
          <w:szCs w:val="24"/>
        </w:rPr>
        <w:t xml:space="preserve">Teresa Nguyen, M.P.H., Lurie Institute for Disability Policy in the Heller School for Social Policy and Management of Brandeis </w:t>
      </w:r>
      <w:r w:rsidRPr="00EE016F">
        <w:rPr>
          <w:sz w:val="24"/>
          <w:szCs w:val="24"/>
        </w:rPr>
        <w:t>University</w:t>
      </w:r>
      <w:r w:rsidRPr="00EE016F" w:rsidR="000A5C0D">
        <w:rPr>
          <w:sz w:val="24"/>
          <w:szCs w:val="24"/>
        </w:rPr>
        <w:t>;</w:t>
      </w:r>
      <w:r w:rsidRPr="00EE016F" w:rsidR="000A5C0D">
        <w:rPr>
          <w:sz w:val="24"/>
          <w:szCs w:val="24"/>
        </w:rPr>
        <w:t xml:space="preserve"> </w:t>
      </w:r>
    </w:p>
    <w:p w:rsidR="0002535D" w:rsidRPr="00EE016F" w:rsidP="008808F6" w14:paraId="621EC8AB" w14:textId="468B4C96">
      <w:pPr>
        <w:pStyle w:val="ListBullet"/>
        <w:tabs>
          <w:tab w:val="clear" w:pos="360"/>
        </w:tabs>
        <w:spacing w:line="276" w:lineRule="auto"/>
        <w:ind w:left="1260"/>
        <w:rPr>
          <w:sz w:val="24"/>
          <w:szCs w:val="24"/>
        </w:rPr>
      </w:pPr>
      <w:r w:rsidRPr="00EE016F">
        <w:rPr>
          <w:sz w:val="24"/>
          <w:szCs w:val="24"/>
        </w:rPr>
        <w:t xml:space="preserve">Emily Roessel, M.P.P., Social Security Advisory </w:t>
      </w:r>
      <w:r w:rsidRPr="00EE016F">
        <w:rPr>
          <w:sz w:val="24"/>
          <w:szCs w:val="24"/>
        </w:rPr>
        <w:t>Board</w:t>
      </w:r>
      <w:r w:rsidRPr="00EE016F" w:rsidR="000A5C0D">
        <w:rPr>
          <w:sz w:val="24"/>
          <w:szCs w:val="24"/>
        </w:rPr>
        <w:t>;</w:t>
      </w:r>
      <w:r w:rsidRPr="00EE016F" w:rsidR="000A5C0D">
        <w:rPr>
          <w:sz w:val="24"/>
          <w:szCs w:val="24"/>
        </w:rPr>
        <w:t xml:space="preserve"> </w:t>
      </w:r>
    </w:p>
    <w:p w:rsidR="0002535D" w:rsidRPr="00EE016F" w:rsidP="008808F6" w14:paraId="5205281A" w14:textId="4646DF76">
      <w:pPr>
        <w:pStyle w:val="ListBullet"/>
        <w:tabs>
          <w:tab w:val="clear" w:pos="360"/>
        </w:tabs>
        <w:spacing w:line="276" w:lineRule="auto"/>
        <w:ind w:left="1260"/>
        <w:rPr>
          <w:sz w:val="24"/>
          <w:szCs w:val="24"/>
        </w:rPr>
      </w:pPr>
      <w:r w:rsidRPr="00EE016F">
        <w:rPr>
          <w:sz w:val="24"/>
          <w:szCs w:val="24"/>
        </w:rPr>
        <w:t>Ari Ne’eman, Ph.D., Harvard T.H. Chan School of Public Health</w:t>
      </w:r>
      <w:r w:rsidRPr="00EE016F" w:rsidR="000A5C0D">
        <w:rPr>
          <w:sz w:val="24"/>
          <w:szCs w:val="24"/>
        </w:rPr>
        <w:t xml:space="preserve">; and </w:t>
      </w:r>
    </w:p>
    <w:p w:rsidR="0002535D" w:rsidRPr="00EE016F" w:rsidP="008808F6" w14:paraId="2AE06170" w14:textId="0258A793">
      <w:pPr>
        <w:pStyle w:val="ListBullet"/>
        <w:tabs>
          <w:tab w:val="clear" w:pos="360"/>
        </w:tabs>
        <w:spacing w:line="276" w:lineRule="auto"/>
        <w:ind w:left="1260"/>
        <w:rPr>
          <w:sz w:val="24"/>
          <w:szCs w:val="24"/>
        </w:rPr>
      </w:pPr>
      <w:r w:rsidRPr="00EE016F">
        <w:rPr>
          <w:sz w:val="24"/>
          <w:szCs w:val="24"/>
        </w:rPr>
        <w:t>Hirah Mir, Ph.D., New York Office for People with Developmental Disabilities</w:t>
      </w:r>
      <w:r w:rsidRPr="00EE016F" w:rsidR="009D1B2F">
        <w:rPr>
          <w:sz w:val="24"/>
          <w:szCs w:val="24"/>
        </w:rPr>
        <w:t>.</w:t>
      </w:r>
    </w:p>
    <w:p w:rsidR="00F6420A" w:rsidRPr="00EE016F" w:rsidP="008808F6" w14:paraId="31FEFC2B" w14:textId="5A989A8B">
      <w:pPr>
        <w:pStyle w:val="H3"/>
        <w:spacing w:line="276" w:lineRule="auto"/>
      </w:pPr>
      <w:r w:rsidRPr="00EE016F">
        <w:t>Consultation with the public</w:t>
      </w:r>
    </w:p>
    <w:p w:rsidR="00F6420A" w:rsidRPr="00EE016F" w:rsidP="008808F6" w14:paraId="1E1CC435" w14:textId="6377C655">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An </w:t>
      </w:r>
      <w:r w:rsidRPr="009A4E61">
        <w:rPr>
          <w:rFonts w:ascii="Times New Roman" w:hAnsi="Times New Roman" w:cs="Times New Roman"/>
          <w:sz w:val="24"/>
          <w:szCs w:val="24"/>
        </w:rPr>
        <w:t>interdisciplinary group</w:t>
      </w:r>
      <w:r w:rsidRPr="00EE016F">
        <w:rPr>
          <w:rFonts w:ascii="Times New Roman" w:hAnsi="Times New Roman" w:cs="Times New Roman"/>
          <w:sz w:val="24"/>
          <w:szCs w:val="24"/>
        </w:rPr>
        <w:t xml:space="preserve"> of </w:t>
      </w:r>
      <w:r w:rsidRPr="00EE016F" w:rsidR="009D1B2F">
        <w:rPr>
          <w:rFonts w:ascii="Times New Roman" w:hAnsi="Times New Roman" w:cs="Times New Roman"/>
          <w:sz w:val="24"/>
          <w:szCs w:val="24"/>
        </w:rPr>
        <w:t xml:space="preserve">the following </w:t>
      </w:r>
      <w:r w:rsidRPr="00EE016F">
        <w:rPr>
          <w:rFonts w:ascii="Times New Roman" w:hAnsi="Times New Roman" w:cs="Times New Roman"/>
          <w:sz w:val="24"/>
          <w:szCs w:val="24"/>
        </w:rPr>
        <w:t xml:space="preserve">economists, disability policy researchers, survey researchers, and information systems professionals </w:t>
      </w:r>
      <w:r w:rsidRPr="00EE016F" w:rsidR="00C72F6A">
        <w:rPr>
          <w:rFonts w:ascii="Times New Roman" w:hAnsi="Times New Roman" w:cs="Times New Roman"/>
          <w:sz w:val="24"/>
          <w:szCs w:val="24"/>
        </w:rPr>
        <w:t xml:space="preserve">at </w:t>
      </w:r>
      <w:r w:rsidRPr="00EE016F" w:rsidR="005147D6">
        <w:rPr>
          <w:rFonts w:ascii="Times New Roman" w:hAnsi="Times New Roman" w:cs="Times New Roman"/>
          <w:sz w:val="24"/>
          <w:szCs w:val="24"/>
        </w:rPr>
        <w:t xml:space="preserve">Mathematica </w:t>
      </w:r>
      <w:r w:rsidRPr="00EE016F" w:rsidR="00205045">
        <w:rPr>
          <w:rFonts w:ascii="Times New Roman" w:hAnsi="Times New Roman" w:cs="Times New Roman"/>
          <w:sz w:val="24"/>
          <w:szCs w:val="24"/>
        </w:rPr>
        <w:t xml:space="preserve">contributed to the </w:t>
      </w:r>
      <w:r w:rsidRPr="00EE016F" w:rsidR="004E1EE9">
        <w:rPr>
          <w:rFonts w:ascii="Times New Roman" w:hAnsi="Times New Roman" w:cs="Times New Roman"/>
          <w:sz w:val="24"/>
          <w:szCs w:val="24"/>
        </w:rPr>
        <w:t>design of the overall evaluation</w:t>
      </w:r>
      <w:r w:rsidRPr="00EE016F" w:rsidR="00BA7FF3">
        <w:rPr>
          <w:rFonts w:ascii="Times New Roman" w:hAnsi="Times New Roman" w:cs="Times New Roman"/>
          <w:sz w:val="24"/>
          <w:szCs w:val="24"/>
        </w:rPr>
        <w:t xml:space="preserve"> and the </w:t>
      </w:r>
      <w:r w:rsidRPr="00EE016F">
        <w:rPr>
          <w:rFonts w:ascii="Times New Roman" w:hAnsi="Times New Roman" w:cs="Times New Roman"/>
          <w:sz w:val="24"/>
          <w:szCs w:val="24"/>
        </w:rPr>
        <w:t>information collection effort:</w:t>
      </w:r>
    </w:p>
    <w:tbl>
      <w:tblPr>
        <w:tblStyle w:val="TableGrid"/>
        <w:tblW w:w="80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3335"/>
      </w:tblGrid>
      <w:tr w14:paraId="7E5CB9F0" w14:textId="77777777" w:rsidTr="00951015">
        <w:tblPrEx>
          <w:tblW w:w="80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85A1B" w:rsidRPr="00EE016F" w:rsidP="008808F6" w14:paraId="0BBC324D" w14:textId="764E6080">
            <w:pPr>
              <w:pStyle w:val="ListParagraph"/>
              <w:numPr>
                <w:ilvl w:val="0"/>
                <w:numId w:val="3"/>
              </w:numPr>
              <w:spacing w:before="80" w:after="80" w:line="276" w:lineRule="auto"/>
              <w:rPr>
                <w:sz w:val="24"/>
                <w:szCs w:val="24"/>
              </w:rPr>
            </w:pPr>
            <w:r w:rsidRPr="00EE016F">
              <w:rPr>
                <w:sz w:val="24"/>
                <w:szCs w:val="24"/>
              </w:rPr>
              <w:t>Jody Schimmel Hyde</w:t>
            </w:r>
          </w:p>
          <w:p w:rsidR="00485A1B" w:rsidRPr="00EE016F" w:rsidP="008808F6" w14:paraId="4DE27516" w14:textId="79AF7B6C">
            <w:pPr>
              <w:pStyle w:val="ListParagraph"/>
              <w:numPr>
                <w:ilvl w:val="0"/>
                <w:numId w:val="3"/>
              </w:numPr>
              <w:spacing w:before="80" w:after="80" w:line="276" w:lineRule="auto"/>
              <w:rPr>
                <w:sz w:val="24"/>
                <w:szCs w:val="24"/>
              </w:rPr>
            </w:pPr>
            <w:r w:rsidRPr="00EE016F">
              <w:rPr>
                <w:sz w:val="24"/>
                <w:szCs w:val="24"/>
              </w:rPr>
              <w:t>Gina Livermore</w:t>
            </w:r>
          </w:p>
          <w:p w:rsidR="00485A1B" w:rsidRPr="00EE016F" w:rsidP="008808F6" w14:paraId="03B2A0EA" w14:textId="5C1ED465">
            <w:pPr>
              <w:pStyle w:val="ListParagraph"/>
              <w:numPr>
                <w:ilvl w:val="0"/>
                <w:numId w:val="3"/>
              </w:numPr>
              <w:spacing w:before="80" w:after="80" w:line="276" w:lineRule="auto"/>
              <w:rPr>
                <w:sz w:val="24"/>
                <w:szCs w:val="24"/>
              </w:rPr>
            </w:pPr>
            <w:r w:rsidRPr="00EE016F">
              <w:rPr>
                <w:sz w:val="24"/>
                <w:szCs w:val="24"/>
              </w:rPr>
              <w:t>Sarah Croake</w:t>
            </w:r>
          </w:p>
          <w:p w:rsidR="00485A1B" w:rsidRPr="00EE016F" w:rsidP="008808F6" w14:paraId="48774C9B" w14:textId="25C711C4">
            <w:pPr>
              <w:pStyle w:val="ListParagraph"/>
              <w:numPr>
                <w:ilvl w:val="0"/>
                <w:numId w:val="3"/>
              </w:numPr>
              <w:spacing w:before="80" w:after="80" w:line="276" w:lineRule="auto"/>
              <w:rPr>
                <w:sz w:val="24"/>
                <w:szCs w:val="24"/>
              </w:rPr>
            </w:pPr>
            <w:r w:rsidRPr="00EE016F">
              <w:rPr>
                <w:sz w:val="24"/>
                <w:szCs w:val="24"/>
              </w:rPr>
              <w:t>Noémie Sportiche</w:t>
            </w:r>
          </w:p>
        </w:tc>
        <w:tc>
          <w:tcPr>
            <w:tcW w:w="3335" w:type="dxa"/>
          </w:tcPr>
          <w:p w:rsidR="00485A1B" w:rsidRPr="00EE016F" w:rsidP="008808F6" w14:paraId="02B58A67" w14:textId="61015555">
            <w:pPr>
              <w:pStyle w:val="ListParagraph"/>
              <w:numPr>
                <w:ilvl w:val="0"/>
                <w:numId w:val="3"/>
              </w:numPr>
              <w:spacing w:before="80" w:after="80" w:line="276" w:lineRule="auto"/>
              <w:rPr>
                <w:sz w:val="24"/>
                <w:szCs w:val="24"/>
              </w:rPr>
            </w:pPr>
            <w:r w:rsidRPr="00EE016F">
              <w:rPr>
                <w:sz w:val="24"/>
                <w:szCs w:val="24"/>
              </w:rPr>
              <w:t>Isabel Musse</w:t>
            </w:r>
          </w:p>
          <w:p w:rsidR="00485A1B" w:rsidRPr="00EE016F" w:rsidP="008808F6" w14:paraId="098B401A" w14:textId="0B338283">
            <w:pPr>
              <w:pStyle w:val="ListParagraph"/>
              <w:numPr>
                <w:ilvl w:val="0"/>
                <w:numId w:val="3"/>
              </w:numPr>
              <w:spacing w:before="80" w:after="80" w:line="276" w:lineRule="auto"/>
              <w:rPr>
                <w:sz w:val="24"/>
                <w:szCs w:val="24"/>
              </w:rPr>
            </w:pPr>
            <w:r w:rsidRPr="00EE016F">
              <w:rPr>
                <w:sz w:val="24"/>
                <w:szCs w:val="24"/>
              </w:rPr>
              <w:t>Holly Matulewicz</w:t>
            </w:r>
          </w:p>
          <w:p w:rsidR="00485A1B" w:rsidRPr="00EE016F" w:rsidP="008808F6" w14:paraId="3E26DF25" w14:textId="52228CE4">
            <w:pPr>
              <w:pStyle w:val="ListParagraph"/>
              <w:numPr>
                <w:ilvl w:val="0"/>
                <w:numId w:val="3"/>
              </w:numPr>
              <w:spacing w:before="80" w:after="80" w:line="276" w:lineRule="auto"/>
              <w:rPr>
                <w:sz w:val="24"/>
                <w:szCs w:val="24"/>
              </w:rPr>
            </w:pPr>
            <w:r w:rsidRPr="00EE016F">
              <w:rPr>
                <w:sz w:val="24"/>
                <w:szCs w:val="24"/>
              </w:rPr>
              <w:t>Joanna Nevins</w:t>
            </w:r>
          </w:p>
          <w:p w:rsidR="00485A1B" w:rsidRPr="00EE016F" w:rsidP="008808F6" w14:paraId="23C2AC67" w14:textId="1283F49A">
            <w:pPr>
              <w:pStyle w:val="ListParagraph"/>
              <w:numPr>
                <w:ilvl w:val="0"/>
                <w:numId w:val="3"/>
              </w:numPr>
              <w:spacing w:before="80" w:after="80" w:line="276" w:lineRule="auto"/>
              <w:rPr>
                <w:sz w:val="24"/>
                <w:szCs w:val="24"/>
              </w:rPr>
            </w:pPr>
            <w:r w:rsidRPr="00EE016F">
              <w:rPr>
                <w:sz w:val="24"/>
                <w:szCs w:val="24"/>
              </w:rPr>
              <w:t>Diane Beaver</w:t>
            </w:r>
          </w:p>
        </w:tc>
      </w:tr>
    </w:tbl>
    <w:p w:rsidR="00653148" w:rsidRPr="00EE016F" w:rsidP="008808F6" w14:paraId="03D8A2E3" w14:textId="5A03D587">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Mathematica</w:t>
      </w:r>
      <w:r w:rsidRPr="00EE016F" w:rsidR="00511C23">
        <w:rPr>
          <w:rFonts w:ascii="Times New Roman" w:hAnsi="Times New Roman" w:cs="Times New Roman"/>
          <w:sz w:val="24"/>
          <w:szCs w:val="24"/>
        </w:rPr>
        <w:t xml:space="preserve"> engaged</w:t>
      </w:r>
      <w:r w:rsidRPr="00EE016F" w:rsidR="000B0C54">
        <w:rPr>
          <w:rFonts w:ascii="Times New Roman" w:hAnsi="Times New Roman" w:cs="Times New Roman"/>
          <w:sz w:val="24"/>
          <w:szCs w:val="24"/>
        </w:rPr>
        <w:t xml:space="preserve"> a group</w:t>
      </w:r>
      <w:r w:rsidRPr="00EE016F" w:rsidR="002333E1">
        <w:rPr>
          <w:rFonts w:ascii="Times New Roman" w:hAnsi="Times New Roman" w:cs="Times New Roman"/>
          <w:sz w:val="24"/>
          <w:szCs w:val="24"/>
        </w:rPr>
        <w:t xml:space="preserve"> of </w:t>
      </w:r>
      <w:r w:rsidRPr="009A4E61" w:rsidR="00F01311">
        <w:rPr>
          <w:rFonts w:ascii="Times New Roman" w:hAnsi="Times New Roman" w:cs="Times New Roman"/>
          <w:sz w:val="24"/>
          <w:szCs w:val="24"/>
        </w:rPr>
        <w:t>consultants knowledgeable about</w:t>
      </w:r>
      <w:r w:rsidRPr="009A4E61" w:rsidR="00454AE8">
        <w:rPr>
          <w:rFonts w:ascii="Times New Roman" w:hAnsi="Times New Roman" w:cs="Times New Roman"/>
          <w:sz w:val="24"/>
          <w:szCs w:val="24"/>
        </w:rPr>
        <w:t xml:space="preserve"> the</w:t>
      </w:r>
      <w:r w:rsidRPr="009A4E61" w:rsidR="00A37289">
        <w:rPr>
          <w:rFonts w:ascii="Times New Roman" w:hAnsi="Times New Roman" w:cs="Times New Roman"/>
          <w:sz w:val="24"/>
          <w:szCs w:val="24"/>
        </w:rPr>
        <w:t xml:space="preserve"> </w:t>
      </w:r>
      <w:r w:rsidRPr="009A4E61" w:rsidR="00F051B4">
        <w:rPr>
          <w:rFonts w:ascii="Times New Roman" w:hAnsi="Times New Roman" w:cs="Times New Roman"/>
          <w:sz w:val="24"/>
          <w:szCs w:val="24"/>
        </w:rPr>
        <w:t>Ticket Act programs.</w:t>
      </w:r>
      <w:r w:rsidRPr="00EE016F" w:rsidR="00F051B4">
        <w:rPr>
          <w:rFonts w:ascii="Times New Roman" w:hAnsi="Times New Roman" w:cs="Times New Roman"/>
          <w:b/>
          <w:bCs/>
          <w:sz w:val="24"/>
          <w:szCs w:val="24"/>
        </w:rPr>
        <w:t xml:space="preserve"> </w:t>
      </w:r>
      <w:r w:rsidR="00F60685">
        <w:rPr>
          <w:rFonts w:ascii="Times New Roman" w:hAnsi="Times New Roman" w:cs="Times New Roman"/>
          <w:b/>
          <w:bCs/>
          <w:sz w:val="24"/>
          <w:szCs w:val="24"/>
        </w:rPr>
        <w:t xml:space="preserve"> </w:t>
      </w:r>
      <w:r w:rsidRPr="00EE016F" w:rsidR="00F051B4">
        <w:rPr>
          <w:rFonts w:ascii="Times New Roman" w:hAnsi="Times New Roman" w:cs="Times New Roman"/>
          <w:sz w:val="24"/>
          <w:szCs w:val="24"/>
        </w:rPr>
        <w:t>This</w:t>
      </w:r>
      <w:r w:rsidRPr="00EE016F" w:rsidR="00BA6571">
        <w:rPr>
          <w:rFonts w:ascii="Times New Roman" w:hAnsi="Times New Roman" w:cs="Times New Roman"/>
          <w:sz w:val="24"/>
          <w:szCs w:val="24"/>
        </w:rPr>
        <w:t xml:space="preserve"> include</w:t>
      </w:r>
      <w:r w:rsidRPr="00EE016F" w:rsidR="009C6EE6">
        <w:rPr>
          <w:rFonts w:ascii="Times New Roman" w:hAnsi="Times New Roman" w:cs="Times New Roman"/>
          <w:sz w:val="24"/>
          <w:szCs w:val="24"/>
        </w:rPr>
        <w:t>d</w:t>
      </w:r>
      <w:r w:rsidRPr="00EE016F" w:rsidR="00BA6571">
        <w:rPr>
          <w:rFonts w:ascii="Times New Roman" w:hAnsi="Times New Roman" w:cs="Times New Roman"/>
          <w:sz w:val="24"/>
          <w:szCs w:val="24"/>
        </w:rPr>
        <w:t xml:space="preserve"> </w:t>
      </w:r>
      <w:r w:rsidR="00005232">
        <w:rPr>
          <w:rFonts w:ascii="Times New Roman" w:hAnsi="Times New Roman" w:cs="Times New Roman"/>
          <w:sz w:val="24"/>
          <w:szCs w:val="24"/>
        </w:rPr>
        <w:t>Ticketholders</w:t>
      </w:r>
      <w:r w:rsidRPr="00EE016F" w:rsidR="00005232">
        <w:rPr>
          <w:rFonts w:ascii="Times New Roman" w:hAnsi="Times New Roman" w:cs="Times New Roman"/>
          <w:sz w:val="24"/>
          <w:szCs w:val="24"/>
        </w:rPr>
        <w:t xml:space="preserve"> </w:t>
      </w:r>
      <w:r w:rsidRPr="00EE016F" w:rsidR="002957AE">
        <w:rPr>
          <w:rFonts w:ascii="Times New Roman" w:hAnsi="Times New Roman" w:cs="Times New Roman"/>
          <w:sz w:val="24"/>
          <w:szCs w:val="24"/>
        </w:rPr>
        <w:t xml:space="preserve">as well as </w:t>
      </w:r>
      <w:r w:rsidRPr="00EE016F" w:rsidR="000B0C54">
        <w:rPr>
          <w:rFonts w:ascii="Times New Roman" w:hAnsi="Times New Roman" w:cs="Times New Roman"/>
          <w:sz w:val="24"/>
          <w:szCs w:val="24"/>
        </w:rPr>
        <w:t>EN, VR</w:t>
      </w:r>
      <w:r w:rsidRPr="00EE016F" w:rsidR="00CD7D9A">
        <w:rPr>
          <w:rFonts w:ascii="Times New Roman" w:hAnsi="Times New Roman" w:cs="Times New Roman"/>
          <w:sz w:val="24"/>
          <w:szCs w:val="24"/>
        </w:rPr>
        <w:t xml:space="preserve"> agency</w:t>
      </w:r>
      <w:r w:rsidRPr="00EE016F" w:rsidR="000B0C54">
        <w:rPr>
          <w:rFonts w:ascii="Times New Roman" w:hAnsi="Times New Roman" w:cs="Times New Roman"/>
          <w:sz w:val="24"/>
          <w:szCs w:val="24"/>
        </w:rPr>
        <w:t xml:space="preserve">, </w:t>
      </w:r>
      <w:r w:rsidRPr="00EE016F" w:rsidR="00CD7D9A">
        <w:rPr>
          <w:rFonts w:ascii="Times New Roman" w:hAnsi="Times New Roman" w:cs="Times New Roman"/>
          <w:sz w:val="24"/>
          <w:szCs w:val="24"/>
        </w:rPr>
        <w:t>WIPA project</w:t>
      </w:r>
      <w:r w:rsidRPr="00EE016F" w:rsidR="000B0C54">
        <w:rPr>
          <w:rFonts w:ascii="Times New Roman" w:hAnsi="Times New Roman" w:cs="Times New Roman"/>
          <w:sz w:val="24"/>
          <w:szCs w:val="24"/>
        </w:rPr>
        <w:t xml:space="preserve">, and </w:t>
      </w:r>
      <w:r w:rsidRPr="00EE016F" w:rsidR="00CD7D9A">
        <w:rPr>
          <w:rFonts w:ascii="Times New Roman" w:hAnsi="Times New Roman" w:cs="Times New Roman"/>
          <w:sz w:val="24"/>
          <w:szCs w:val="24"/>
        </w:rPr>
        <w:t>P&amp;A agency</w:t>
      </w:r>
      <w:r w:rsidRPr="00EE016F" w:rsidR="000B0C54">
        <w:rPr>
          <w:rFonts w:ascii="Times New Roman" w:hAnsi="Times New Roman" w:cs="Times New Roman"/>
          <w:sz w:val="24"/>
          <w:szCs w:val="24"/>
        </w:rPr>
        <w:t xml:space="preserve"> providers, collectively representing a wide range of </w:t>
      </w:r>
      <w:r w:rsidR="00895C09">
        <w:rPr>
          <w:rFonts w:ascii="Times New Roman" w:hAnsi="Times New Roman" w:cs="Times New Roman"/>
          <w:sz w:val="24"/>
          <w:szCs w:val="24"/>
        </w:rPr>
        <w:t xml:space="preserve">perspectives regarding </w:t>
      </w:r>
      <w:r w:rsidRPr="00EE016F" w:rsidR="000B0C54">
        <w:rPr>
          <w:rFonts w:ascii="Times New Roman" w:hAnsi="Times New Roman" w:cs="Times New Roman"/>
          <w:sz w:val="24"/>
          <w:szCs w:val="24"/>
        </w:rPr>
        <w:t xml:space="preserve">the Ticket Act programs. </w:t>
      </w:r>
      <w:r w:rsidR="00F60685">
        <w:rPr>
          <w:rFonts w:ascii="Times New Roman" w:hAnsi="Times New Roman" w:cs="Times New Roman"/>
          <w:sz w:val="24"/>
          <w:szCs w:val="24"/>
        </w:rPr>
        <w:t xml:space="preserve"> </w:t>
      </w:r>
      <w:r w:rsidRPr="00EE016F" w:rsidR="00A665AE">
        <w:rPr>
          <w:rFonts w:ascii="Times New Roman" w:hAnsi="Times New Roman" w:cs="Times New Roman"/>
          <w:sz w:val="24"/>
          <w:szCs w:val="24"/>
        </w:rPr>
        <w:t>This group includes the following people</w:t>
      </w:r>
      <w:r w:rsidRPr="00EE016F" w:rsidR="00C07577">
        <w:rPr>
          <w:rFonts w:ascii="Times New Roman" w:hAnsi="Times New Roman" w:cs="Times New Roman"/>
          <w:sz w:val="24"/>
          <w:szCs w:val="24"/>
        </w:rPr>
        <w:t xml:space="preserve">: </w:t>
      </w:r>
    </w:p>
    <w:tbl>
      <w:tblPr>
        <w:tblStyle w:val="TableGrid"/>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3695"/>
      </w:tblGrid>
      <w:tr w14:paraId="140358DC" w14:textId="77777777" w:rsidTr="00951015">
        <w:tblPrEx>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85A1B" w:rsidRPr="00EE016F" w:rsidP="008808F6" w14:paraId="48EC0FD1" w14:textId="77777777">
            <w:pPr>
              <w:pStyle w:val="ListParagraph"/>
              <w:numPr>
                <w:ilvl w:val="0"/>
                <w:numId w:val="3"/>
              </w:numPr>
              <w:spacing w:before="80" w:after="80" w:line="276" w:lineRule="auto"/>
              <w:rPr>
                <w:sz w:val="24"/>
                <w:szCs w:val="24"/>
              </w:rPr>
            </w:pPr>
            <w:r w:rsidRPr="00EE016F">
              <w:rPr>
                <w:sz w:val="24"/>
                <w:szCs w:val="24"/>
              </w:rPr>
              <w:t>John Connelly</w:t>
            </w:r>
          </w:p>
          <w:p w:rsidR="00485A1B" w:rsidRPr="00EE016F" w:rsidP="008808F6" w14:paraId="2327AF67" w14:textId="77777777">
            <w:pPr>
              <w:pStyle w:val="ListParagraph"/>
              <w:numPr>
                <w:ilvl w:val="0"/>
                <w:numId w:val="3"/>
              </w:numPr>
              <w:spacing w:before="80" w:after="80" w:line="276" w:lineRule="auto"/>
              <w:rPr>
                <w:sz w:val="24"/>
                <w:szCs w:val="24"/>
              </w:rPr>
            </w:pPr>
            <w:r w:rsidRPr="00EE016F">
              <w:rPr>
                <w:sz w:val="24"/>
                <w:szCs w:val="24"/>
              </w:rPr>
              <w:t>Ray Cebula </w:t>
            </w:r>
          </w:p>
          <w:p w:rsidR="00485A1B" w:rsidRPr="00EE016F" w:rsidP="008808F6" w14:paraId="4480BA2A" w14:textId="77777777">
            <w:pPr>
              <w:pStyle w:val="ListParagraph"/>
              <w:numPr>
                <w:ilvl w:val="0"/>
                <w:numId w:val="3"/>
              </w:numPr>
              <w:spacing w:before="80" w:after="80" w:line="276" w:lineRule="auto"/>
              <w:rPr>
                <w:sz w:val="24"/>
                <w:szCs w:val="24"/>
              </w:rPr>
            </w:pPr>
            <w:r w:rsidRPr="00EE016F">
              <w:rPr>
                <w:sz w:val="24"/>
                <w:szCs w:val="24"/>
              </w:rPr>
              <w:t>Cheryl Bates- Harris</w:t>
            </w:r>
          </w:p>
          <w:p w:rsidR="00485A1B" w:rsidRPr="00EE016F" w:rsidP="008808F6" w14:paraId="0426B511" w14:textId="4F4E8125">
            <w:pPr>
              <w:pStyle w:val="ListParagraph"/>
              <w:numPr>
                <w:ilvl w:val="0"/>
                <w:numId w:val="3"/>
              </w:numPr>
              <w:spacing w:before="80" w:after="80" w:line="276" w:lineRule="auto"/>
              <w:rPr>
                <w:sz w:val="24"/>
                <w:szCs w:val="24"/>
              </w:rPr>
            </w:pPr>
            <w:r w:rsidRPr="00EE016F">
              <w:rPr>
                <w:sz w:val="24"/>
                <w:szCs w:val="24"/>
              </w:rPr>
              <w:t>Larrisa Cummings</w:t>
            </w:r>
          </w:p>
        </w:tc>
        <w:tc>
          <w:tcPr>
            <w:tcW w:w="3695" w:type="dxa"/>
          </w:tcPr>
          <w:p w:rsidR="00485A1B" w:rsidRPr="00EE016F" w:rsidP="008808F6" w14:paraId="051E466C" w14:textId="77777777">
            <w:pPr>
              <w:pStyle w:val="ListParagraph"/>
              <w:numPr>
                <w:ilvl w:val="0"/>
                <w:numId w:val="3"/>
              </w:numPr>
              <w:spacing w:before="80" w:after="80" w:line="276" w:lineRule="auto"/>
              <w:rPr>
                <w:sz w:val="24"/>
                <w:szCs w:val="24"/>
              </w:rPr>
            </w:pPr>
            <w:r w:rsidRPr="00EE016F">
              <w:rPr>
                <w:sz w:val="24"/>
                <w:szCs w:val="24"/>
              </w:rPr>
              <w:t>Gloria Freeney</w:t>
            </w:r>
          </w:p>
          <w:p w:rsidR="00485A1B" w:rsidRPr="00EE016F" w:rsidP="008808F6" w14:paraId="75805AAC" w14:textId="77777777">
            <w:pPr>
              <w:pStyle w:val="ListParagraph"/>
              <w:numPr>
                <w:ilvl w:val="0"/>
                <w:numId w:val="3"/>
              </w:numPr>
              <w:spacing w:before="80" w:after="80" w:line="276" w:lineRule="auto"/>
              <w:rPr>
                <w:sz w:val="24"/>
                <w:szCs w:val="24"/>
              </w:rPr>
            </w:pPr>
            <w:r w:rsidRPr="00EE016F">
              <w:rPr>
                <w:sz w:val="24"/>
                <w:szCs w:val="24"/>
              </w:rPr>
              <w:t>Amy Wallish </w:t>
            </w:r>
          </w:p>
          <w:p w:rsidR="00485A1B" w:rsidRPr="00EE016F" w:rsidP="008808F6" w14:paraId="58237696" w14:textId="77777777">
            <w:pPr>
              <w:pStyle w:val="ListParagraph"/>
              <w:numPr>
                <w:ilvl w:val="0"/>
                <w:numId w:val="3"/>
              </w:numPr>
              <w:spacing w:before="80" w:after="80" w:line="276" w:lineRule="auto"/>
              <w:rPr>
                <w:sz w:val="24"/>
                <w:szCs w:val="24"/>
              </w:rPr>
            </w:pPr>
            <w:r w:rsidRPr="00EE016F">
              <w:rPr>
                <w:sz w:val="24"/>
                <w:szCs w:val="24"/>
              </w:rPr>
              <w:t>Andrew Pulrang </w:t>
            </w:r>
          </w:p>
          <w:p w:rsidR="00485A1B" w:rsidRPr="00EE016F" w:rsidP="008808F6" w14:paraId="5BFD005A" w14:textId="710F465E">
            <w:pPr>
              <w:pStyle w:val="ListParagraph"/>
              <w:numPr>
                <w:ilvl w:val="0"/>
                <w:numId w:val="3"/>
              </w:numPr>
              <w:spacing w:before="80" w:after="80" w:line="276" w:lineRule="auto"/>
              <w:rPr>
                <w:sz w:val="24"/>
                <w:szCs w:val="24"/>
              </w:rPr>
            </w:pPr>
            <w:r w:rsidRPr="00EE016F">
              <w:rPr>
                <w:sz w:val="24"/>
                <w:szCs w:val="24"/>
              </w:rPr>
              <w:t>Adam Pinchuck </w:t>
            </w:r>
          </w:p>
        </w:tc>
      </w:tr>
    </w:tbl>
    <w:p w:rsidR="0045228E" w:rsidRPr="00EE016F" w:rsidP="008808F6" w14:paraId="73091387" w14:textId="4ECC89FA">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Finally, </w:t>
      </w:r>
      <w:r w:rsidRPr="00EE016F" w:rsidR="00F6573F">
        <w:rPr>
          <w:rFonts w:ascii="Times New Roman" w:hAnsi="Times New Roman" w:cs="Times New Roman"/>
          <w:sz w:val="24"/>
          <w:szCs w:val="24"/>
        </w:rPr>
        <w:t>Mathematica</w:t>
      </w:r>
      <w:r w:rsidRPr="00EE016F">
        <w:rPr>
          <w:rFonts w:ascii="Times New Roman" w:hAnsi="Times New Roman" w:cs="Times New Roman"/>
          <w:sz w:val="24"/>
          <w:szCs w:val="24"/>
        </w:rPr>
        <w:t xml:space="preserve"> convened </w:t>
      </w:r>
      <w:r w:rsidRPr="00EE016F" w:rsidR="00591845">
        <w:rPr>
          <w:rFonts w:ascii="Times New Roman" w:hAnsi="Times New Roman" w:cs="Times New Roman"/>
          <w:sz w:val="24"/>
          <w:szCs w:val="24"/>
        </w:rPr>
        <w:t>eight</w:t>
      </w:r>
      <w:r w:rsidRPr="00EE016F" w:rsidR="00EA0665">
        <w:rPr>
          <w:rFonts w:ascii="Times New Roman" w:hAnsi="Times New Roman" w:cs="Times New Roman"/>
          <w:sz w:val="24"/>
          <w:szCs w:val="24"/>
        </w:rPr>
        <w:t xml:space="preserve"> </w:t>
      </w:r>
      <w:r w:rsidRPr="009A4E61">
        <w:rPr>
          <w:rFonts w:ascii="Times New Roman" w:hAnsi="Times New Roman" w:cs="Times New Roman"/>
          <w:sz w:val="24"/>
          <w:szCs w:val="24"/>
        </w:rPr>
        <w:t>exploratory listening sessions</w:t>
      </w:r>
      <w:r w:rsidRPr="00EE016F">
        <w:rPr>
          <w:rFonts w:ascii="Times New Roman" w:hAnsi="Times New Roman" w:cs="Times New Roman"/>
          <w:sz w:val="24"/>
          <w:szCs w:val="24"/>
        </w:rPr>
        <w:t xml:space="preserve"> approved </w:t>
      </w:r>
      <w:r w:rsidR="00446FE1">
        <w:rPr>
          <w:rFonts w:ascii="Times New Roman" w:hAnsi="Times New Roman" w:cs="Times New Roman"/>
          <w:sz w:val="24"/>
          <w:szCs w:val="24"/>
        </w:rPr>
        <w:t xml:space="preserve">by OMB </w:t>
      </w:r>
      <w:r w:rsidR="00F76158">
        <w:rPr>
          <w:rFonts w:ascii="Times New Roman" w:hAnsi="Times New Roman" w:cs="Times New Roman"/>
          <w:sz w:val="24"/>
          <w:szCs w:val="24"/>
        </w:rPr>
        <w:t xml:space="preserve">on December 30, </w:t>
      </w:r>
      <w:r w:rsidR="004D44BB">
        <w:rPr>
          <w:rFonts w:ascii="Times New Roman" w:hAnsi="Times New Roman" w:cs="Times New Roman"/>
          <w:sz w:val="24"/>
          <w:szCs w:val="24"/>
        </w:rPr>
        <w:t>2023,</w:t>
      </w:r>
      <w:r w:rsidR="00072E9F">
        <w:rPr>
          <w:rFonts w:ascii="Times New Roman" w:hAnsi="Times New Roman" w:cs="Times New Roman"/>
          <w:sz w:val="24"/>
          <w:szCs w:val="24"/>
        </w:rPr>
        <w:t xml:space="preserve"> under </w:t>
      </w:r>
      <w:r w:rsidR="00FF5D7E">
        <w:rPr>
          <w:rFonts w:ascii="Times New Roman" w:hAnsi="Times New Roman" w:cs="Times New Roman"/>
          <w:sz w:val="24"/>
          <w:szCs w:val="24"/>
        </w:rPr>
        <w:t>control number 0960-0788</w:t>
      </w:r>
      <w:r w:rsidRPr="00EE016F" w:rsidR="00A95BE6">
        <w:rPr>
          <w:rFonts w:ascii="Times New Roman" w:hAnsi="Times New Roman" w:cs="Times New Roman"/>
          <w:sz w:val="24"/>
          <w:szCs w:val="24"/>
        </w:rPr>
        <w:t>.</w:t>
      </w:r>
      <w:r w:rsidRPr="00EE016F" w:rsidR="005A1D82">
        <w:rPr>
          <w:rFonts w:ascii="Times New Roman" w:hAnsi="Times New Roman" w:cs="Times New Roman"/>
          <w:sz w:val="24"/>
          <w:szCs w:val="24"/>
        </w:rPr>
        <w:t xml:space="preserve"> </w:t>
      </w:r>
      <w:r w:rsidR="00F60685">
        <w:rPr>
          <w:rFonts w:ascii="Times New Roman" w:hAnsi="Times New Roman" w:cs="Times New Roman"/>
          <w:sz w:val="24"/>
          <w:szCs w:val="24"/>
        </w:rPr>
        <w:t xml:space="preserve"> </w:t>
      </w:r>
      <w:r w:rsidRPr="00EE016F" w:rsidR="00A95BE6">
        <w:rPr>
          <w:rFonts w:ascii="Times New Roman" w:hAnsi="Times New Roman" w:cs="Times New Roman"/>
          <w:sz w:val="24"/>
          <w:szCs w:val="24"/>
        </w:rPr>
        <w:t>The listening sessions</w:t>
      </w:r>
      <w:r w:rsidRPr="00EE016F" w:rsidR="004713AF">
        <w:rPr>
          <w:rFonts w:ascii="Times New Roman" w:hAnsi="Times New Roman" w:cs="Times New Roman"/>
          <w:sz w:val="24"/>
          <w:szCs w:val="24"/>
        </w:rPr>
        <w:t xml:space="preserve"> </w:t>
      </w:r>
      <w:r w:rsidRPr="00EE016F">
        <w:rPr>
          <w:rFonts w:ascii="Times New Roman" w:hAnsi="Times New Roman" w:cs="Times New Roman"/>
          <w:sz w:val="24"/>
          <w:szCs w:val="24"/>
        </w:rPr>
        <w:t>provide</w:t>
      </w:r>
      <w:r w:rsidRPr="00EE016F" w:rsidR="004713AF">
        <w:rPr>
          <w:rFonts w:ascii="Times New Roman" w:hAnsi="Times New Roman" w:cs="Times New Roman"/>
          <w:sz w:val="24"/>
          <w:szCs w:val="24"/>
        </w:rPr>
        <w:t>d</w:t>
      </w:r>
      <w:r w:rsidRPr="00EE016F">
        <w:rPr>
          <w:rFonts w:ascii="Times New Roman" w:hAnsi="Times New Roman" w:cs="Times New Roman"/>
          <w:sz w:val="24"/>
          <w:szCs w:val="24"/>
        </w:rPr>
        <w:t xml:space="preserve"> a platform for attendees </w:t>
      </w:r>
      <w:r w:rsidRPr="00EE016F" w:rsidR="00A95BE6">
        <w:rPr>
          <w:rFonts w:ascii="Times New Roman" w:hAnsi="Times New Roman" w:cs="Times New Roman"/>
          <w:sz w:val="24"/>
          <w:szCs w:val="24"/>
        </w:rPr>
        <w:t xml:space="preserve">to </w:t>
      </w:r>
      <w:r w:rsidRPr="00EE016F">
        <w:rPr>
          <w:rFonts w:ascii="Times New Roman" w:hAnsi="Times New Roman" w:cs="Times New Roman"/>
          <w:sz w:val="24"/>
          <w:szCs w:val="24"/>
        </w:rPr>
        <w:t xml:space="preserve">share their experiences with Ticket Act programs. </w:t>
      </w:r>
      <w:r w:rsidR="00F60685">
        <w:rPr>
          <w:rFonts w:ascii="Times New Roman" w:hAnsi="Times New Roman" w:cs="Times New Roman"/>
          <w:sz w:val="24"/>
          <w:szCs w:val="24"/>
        </w:rPr>
        <w:t xml:space="preserve"> </w:t>
      </w:r>
      <w:r w:rsidR="00BF1397">
        <w:rPr>
          <w:rFonts w:ascii="Times New Roman" w:hAnsi="Times New Roman" w:cs="Times New Roman"/>
          <w:sz w:val="24"/>
          <w:szCs w:val="24"/>
        </w:rPr>
        <w:t>The 82 a</w:t>
      </w:r>
      <w:r w:rsidRPr="00EE016F" w:rsidR="002B19F5">
        <w:rPr>
          <w:rFonts w:ascii="Times New Roman" w:hAnsi="Times New Roman" w:cs="Times New Roman"/>
          <w:sz w:val="24"/>
          <w:szCs w:val="24"/>
        </w:rPr>
        <w:t xml:space="preserve">ttendees included </w:t>
      </w:r>
      <w:r w:rsidR="00B162DD">
        <w:rPr>
          <w:rFonts w:ascii="Times New Roman" w:hAnsi="Times New Roman" w:cs="Times New Roman"/>
          <w:sz w:val="24"/>
          <w:szCs w:val="24"/>
        </w:rPr>
        <w:t>service users of</w:t>
      </w:r>
      <w:r w:rsidR="00B644F7">
        <w:rPr>
          <w:rFonts w:ascii="Times New Roman" w:hAnsi="Times New Roman" w:cs="Times New Roman"/>
          <w:sz w:val="24"/>
          <w:szCs w:val="24"/>
        </w:rPr>
        <w:t xml:space="preserve"> Ticket Act programs</w:t>
      </w:r>
      <w:r w:rsidRPr="00EE016F" w:rsidR="002B19F5">
        <w:rPr>
          <w:rFonts w:ascii="Times New Roman" w:hAnsi="Times New Roman" w:cs="Times New Roman"/>
          <w:sz w:val="24"/>
          <w:szCs w:val="24"/>
        </w:rPr>
        <w:t xml:space="preserve">, </w:t>
      </w:r>
      <w:r w:rsidRPr="00EE016F" w:rsidR="001E65A0">
        <w:rPr>
          <w:rFonts w:ascii="Times New Roman" w:hAnsi="Times New Roman" w:cs="Times New Roman"/>
          <w:sz w:val="24"/>
          <w:szCs w:val="24"/>
        </w:rPr>
        <w:t xml:space="preserve">Ticket Act </w:t>
      </w:r>
      <w:r w:rsidRPr="00EE016F" w:rsidR="002B19F5">
        <w:rPr>
          <w:rFonts w:ascii="Times New Roman" w:hAnsi="Times New Roman" w:cs="Times New Roman"/>
          <w:sz w:val="24"/>
          <w:szCs w:val="24"/>
        </w:rPr>
        <w:t xml:space="preserve">service providers, and </w:t>
      </w:r>
      <w:r w:rsidRPr="00EE016F" w:rsidR="00A95BE6">
        <w:rPr>
          <w:rFonts w:ascii="Times New Roman" w:hAnsi="Times New Roman" w:cs="Times New Roman"/>
          <w:sz w:val="24"/>
          <w:szCs w:val="24"/>
        </w:rPr>
        <w:t xml:space="preserve">disability </w:t>
      </w:r>
      <w:r w:rsidRPr="00EE016F" w:rsidR="002B19F5">
        <w:rPr>
          <w:rFonts w:ascii="Times New Roman" w:hAnsi="Times New Roman" w:cs="Times New Roman"/>
          <w:sz w:val="24"/>
          <w:szCs w:val="24"/>
        </w:rPr>
        <w:t>advocates</w:t>
      </w:r>
      <w:r w:rsidRPr="00EE016F" w:rsidR="00337A7E">
        <w:rPr>
          <w:rFonts w:ascii="Times New Roman" w:hAnsi="Times New Roman" w:cs="Times New Roman"/>
          <w:sz w:val="24"/>
          <w:szCs w:val="24"/>
        </w:rPr>
        <w:t xml:space="preserve">. </w:t>
      </w:r>
    </w:p>
    <w:p w:rsidR="004C74F5" w:rsidRPr="00EE016F" w:rsidP="008808F6" w14:paraId="648CA524" w14:textId="184CD7C8">
      <w:pPr>
        <w:pStyle w:val="H2"/>
        <w:spacing w:line="276" w:lineRule="auto"/>
        <w:ind w:left="900" w:hanging="450"/>
        <w:rPr>
          <w:rFonts w:ascii="Times New Roman" w:hAnsi="Times New Roman" w:cs="Times New Roman"/>
          <w:szCs w:val="24"/>
        </w:rPr>
      </w:pPr>
      <w:bookmarkStart w:id="37" w:name="_Toc476059359"/>
      <w:bookmarkStart w:id="38" w:name="_Toc130382265"/>
      <w:bookmarkStart w:id="39" w:name="_Toc183510766"/>
      <w:r w:rsidRPr="00EE016F">
        <w:rPr>
          <w:rFonts w:ascii="Times New Roman" w:hAnsi="Times New Roman" w:cs="Times New Roman"/>
          <w:szCs w:val="24"/>
        </w:rPr>
        <w:t xml:space="preserve">9. </w:t>
      </w:r>
      <w:r w:rsidRPr="00EE016F">
        <w:rPr>
          <w:rFonts w:ascii="Times New Roman" w:hAnsi="Times New Roman" w:cs="Times New Roman"/>
          <w:szCs w:val="24"/>
        </w:rPr>
        <w:tab/>
        <w:t xml:space="preserve">Payments </w:t>
      </w:r>
      <w:bookmarkEnd w:id="37"/>
      <w:bookmarkEnd w:id="38"/>
      <w:bookmarkEnd w:id="39"/>
      <w:r w:rsidRPr="005D409A" w:rsidR="005D409A">
        <w:rPr>
          <w:rFonts w:ascii="Times New Roman" w:hAnsi="Times New Roman" w:cs="Times New Roman"/>
          <w:szCs w:val="24"/>
        </w:rPr>
        <w:t>or Gifts to Respondents</w:t>
      </w:r>
    </w:p>
    <w:p w:rsidR="0029520B" w:rsidRPr="00DD467C" w:rsidP="008808F6" w14:paraId="402BF3B3" w14:textId="0371DCE9">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SSA believes that some compensation is important to engender a positive attitude about the </w:t>
      </w:r>
      <w:r w:rsidRPr="00EE016F" w:rsidR="00A95BE6">
        <w:rPr>
          <w:rFonts w:ascii="Times New Roman" w:hAnsi="Times New Roman" w:cs="Times New Roman"/>
          <w:sz w:val="24"/>
          <w:szCs w:val="24"/>
        </w:rPr>
        <w:t>data collection</w:t>
      </w:r>
      <w:r w:rsidRPr="00EE016F">
        <w:rPr>
          <w:rFonts w:ascii="Times New Roman" w:hAnsi="Times New Roman" w:cs="Times New Roman"/>
          <w:sz w:val="24"/>
          <w:szCs w:val="24"/>
        </w:rPr>
        <w:t xml:space="preserve">, obtain high response rates, and reduce the risk of biased estimates. </w:t>
      </w:r>
      <w:r w:rsidR="00F60685">
        <w:rPr>
          <w:rFonts w:ascii="Times New Roman" w:hAnsi="Times New Roman" w:cs="Times New Roman"/>
          <w:sz w:val="24"/>
          <w:szCs w:val="24"/>
        </w:rPr>
        <w:t xml:space="preserve"> </w:t>
      </w:r>
      <w:r w:rsidRPr="00EE016F">
        <w:rPr>
          <w:rFonts w:ascii="Times New Roman" w:hAnsi="Times New Roman" w:cs="Times New Roman"/>
          <w:sz w:val="24"/>
          <w:szCs w:val="24"/>
        </w:rPr>
        <w:t>Decades of research indicate monetary incentives increase response rates</w:t>
      </w:r>
      <w:r w:rsidRPr="00EE016F" w:rsidR="006C2751">
        <w:rPr>
          <w:rFonts w:ascii="Times New Roman" w:hAnsi="Times New Roman" w:cs="Times New Roman"/>
          <w:sz w:val="24"/>
          <w:szCs w:val="24"/>
        </w:rPr>
        <w:t xml:space="preserve"> </w:t>
      </w:r>
      <w:r w:rsidRPr="00EE016F">
        <w:rPr>
          <w:rFonts w:ascii="Times New Roman" w:hAnsi="Times New Roman" w:cs="Times New Roman"/>
          <w:sz w:val="24"/>
          <w:szCs w:val="24"/>
        </w:rPr>
        <w:t>without compromising data quality and often reduce data collection costs (Mercer et al. 2015</w:t>
      </w:r>
      <w:r w:rsidRPr="00EE016F" w:rsidR="00334A8C">
        <w:rPr>
          <w:rFonts w:ascii="Times New Roman" w:hAnsi="Times New Roman" w:cs="Times New Roman"/>
          <w:sz w:val="24"/>
          <w:szCs w:val="24"/>
        </w:rPr>
        <w:t>;</w:t>
      </w:r>
      <w:r w:rsidRPr="00EE016F">
        <w:rPr>
          <w:rFonts w:ascii="Times New Roman" w:hAnsi="Times New Roman" w:cs="Times New Roman"/>
          <w:sz w:val="24"/>
          <w:szCs w:val="24"/>
        </w:rPr>
        <w:t xml:space="preserve"> Singer and Ye 2013; de Heer and de Leeuw 2002</w:t>
      </w:r>
      <w:r w:rsidRPr="00EE016F" w:rsidR="00334A8C">
        <w:rPr>
          <w:rFonts w:ascii="Times New Roman" w:hAnsi="Times New Roman" w:cs="Times New Roman"/>
          <w:sz w:val="24"/>
          <w:szCs w:val="24"/>
        </w:rPr>
        <w:t>;</w:t>
      </w:r>
      <w:r w:rsidRPr="00EE016F">
        <w:rPr>
          <w:rFonts w:ascii="Times New Roman" w:hAnsi="Times New Roman" w:cs="Times New Roman"/>
          <w:sz w:val="24"/>
          <w:szCs w:val="24"/>
        </w:rPr>
        <w:t xml:space="preserve"> Singer and Kulka 2000). </w:t>
      </w:r>
      <w:r w:rsidR="00F60685">
        <w:rPr>
          <w:rFonts w:ascii="Times New Roman" w:hAnsi="Times New Roman" w:cs="Times New Roman"/>
          <w:sz w:val="24"/>
          <w:szCs w:val="24"/>
        </w:rPr>
        <w:t xml:space="preserve"> </w:t>
      </w:r>
      <w:r w:rsidRPr="00EE016F">
        <w:rPr>
          <w:rFonts w:ascii="Times New Roman" w:hAnsi="Times New Roman" w:cs="Times New Roman"/>
          <w:sz w:val="24"/>
          <w:szCs w:val="24"/>
        </w:rPr>
        <w:t xml:space="preserve">There is also evidence that </w:t>
      </w:r>
      <w:r w:rsidRPr="00DD467C">
        <w:rPr>
          <w:rFonts w:ascii="Times New Roman" w:hAnsi="Times New Roman" w:cs="Times New Roman"/>
          <w:sz w:val="24"/>
          <w:szCs w:val="24"/>
        </w:rPr>
        <w:t>incentives bolster participation among those with lower interest in the survey topic (</w:t>
      </w:r>
      <w:r w:rsidRPr="00DD467C">
        <w:rPr>
          <w:rFonts w:ascii="Times New Roman" w:hAnsi="Times New Roman" w:cs="Times New Roman"/>
          <w:sz w:val="24"/>
          <w:szCs w:val="24"/>
        </w:rPr>
        <w:t>Jäckle</w:t>
      </w:r>
      <w:r w:rsidRPr="00DD467C">
        <w:rPr>
          <w:rFonts w:ascii="Times New Roman" w:hAnsi="Times New Roman" w:cs="Times New Roman"/>
          <w:sz w:val="24"/>
          <w:szCs w:val="24"/>
        </w:rPr>
        <w:t xml:space="preserve"> and Lynn 2007; Kay 2001; Schwartz et al. 2006), resulting in </w:t>
      </w:r>
      <w:r w:rsidRPr="00DD467C" w:rsidR="00334A8C">
        <w:rPr>
          <w:rFonts w:ascii="Times New Roman" w:hAnsi="Times New Roman" w:cs="Times New Roman"/>
          <w:sz w:val="24"/>
          <w:szCs w:val="24"/>
        </w:rPr>
        <w:t xml:space="preserve">more complete </w:t>
      </w:r>
      <w:r w:rsidRPr="00DD467C">
        <w:rPr>
          <w:rFonts w:ascii="Times New Roman" w:hAnsi="Times New Roman" w:cs="Times New Roman"/>
          <w:sz w:val="24"/>
          <w:szCs w:val="24"/>
        </w:rPr>
        <w:t>data.</w:t>
      </w:r>
      <w:r w:rsidRPr="00DD467C" w:rsidR="001C7803">
        <w:rPr>
          <w:rFonts w:ascii="Times New Roman" w:hAnsi="Times New Roman" w:cs="Times New Roman"/>
          <w:sz w:val="24"/>
          <w:szCs w:val="24"/>
        </w:rPr>
        <w:t xml:space="preserve"> </w:t>
      </w:r>
      <w:r w:rsidR="00F60685">
        <w:rPr>
          <w:rFonts w:ascii="Times New Roman" w:hAnsi="Times New Roman" w:cs="Times New Roman"/>
          <w:sz w:val="24"/>
          <w:szCs w:val="24"/>
        </w:rPr>
        <w:t xml:space="preserve"> </w:t>
      </w:r>
      <w:r w:rsidRPr="00DD467C" w:rsidR="00883F12">
        <w:rPr>
          <w:rFonts w:ascii="Times New Roman" w:hAnsi="Times New Roman" w:cs="Times New Roman"/>
          <w:sz w:val="24"/>
          <w:szCs w:val="24"/>
        </w:rPr>
        <w:t xml:space="preserve">Accordingly, </w:t>
      </w:r>
      <w:r w:rsidRPr="00DD467C" w:rsidR="00A84016">
        <w:rPr>
          <w:rFonts w:ascii="Times New Roman" w:hAnsi="Times New Roman" w:cs="Times New Roman"/>
          <w:sz w:val="24"/>
          <w:szCs w:val="24"/>
        </w:rPr>
        <w:t xml:space="preserve">Mathematica </w:t>
      </w:r>
      <w:r w:rsidRPr="00DD467C" w:rsidR="00707814">
        <w:rPr>
          <w:rFonts w:ascii="Times New Roman" w:hAnsi="Times New Roman" w:cs="Times New Roman"/>
          <w:sz w:val="24"/>
          <w:szCs w:val="24"/>
        </w:rPr>
        <w:t xml:space="preserve">will offer </w:t>
      </w:r>
      <w:r w:rsidRPr="00DD467C" w:rsidR="00CC3F56">
        <w:rPr>
          <w:rFonts w:ascii="Times New Roman" w:hAnsi="Times New Roman" w:cs="Times New Roman"/>
          <w:sz w:val="24"/>
          <w:szCs w:val="24"/>
        </w:rPr>
        <w:t xml:space="preserve">a </w:t>
      </w:r>
      <w:r w:rsidRPr="00DD467C" w:rsidR="00526612">
        <w:rPr>
          <w:rFonts w:ascii="Times New Roman" w:hAnsi="Times New Roman" w:cs="Times New Roman"/>
          <w:sz w:val="24"/>
          <w:szCs w:val="24"/>
        </w:rPr>
        <w:t xml:space="preserve">$40 </w:t>
      </w:r>
      <w:r w:rsidRPr="00DD467C" w:rsidR="00A37C48">
        <w:rPr>
          <w:rFonts w:ascii="Times New Roman" w:hAnsi="Times New Roman" w:cs="Times New Roman"/>
          <w:sz w:val="24"/>
          <w:szCs w:val="24"/>
        </w:rPr>
        <w:t>check</w:t>
      </w:r>
      <w:r w:rsidRPr="00DD467C" w:rsidR="00482330">
        <w:rPr>
          <w:rFonts w:ascii="Times New Roman" w:hAnsi="Times New Roman" w:cs="Times New Roman"/>
          <w:sz w:val="24"/>
          <w:szCs w:val="24"/>
        </w:rPr>
        <w:t xml:space="preserve"> for completi</w:t>
      </w:r>
      <w:r w:rsidRPr="00DD467C" w:rsidR="00334A8C">
        <w:rPr>
          <w:rFonts w:ascii="Times New Roman" w:hAnsi="Times New Roman" w:cs="Times New Roman"/>
          <w:sz w:val="24"/>
          <w:szCs w:val="24"/>
        </w:rPr>
        <w:t>ng</w:t>
      </w:r>
      <w:r w:rsidRPr="00DD467C" w:rsidR="00482330">
        <w:rPr>
          <w:rFonts w:ascii="Times New Roman" w:hAnsi="Times New Roman" w:cs="Times New Roman"/>
          <w:sz w:val="24"/>
          <w:szCs w:val="24"/>
        </w:rPr>
        <w:t xml:space="preserve"> the provider survey</w:t>
      </w:r>
      <w:r w:rsidRPr="00DD467C" w:rsidR="00E765DC">
        <w:rPr>
          <w:rFonts w:ascii="Times New Roman" w:hAnsi="Times New Roman" w:cs="Times New Roman"/>
          <w:sz w:val="24"/>
          <w:szCs w:val="24"/>
        </w:rPr>
        <w:t>s</w:t>
      </w:r>
      <w:r w:rsidRPr="00DD467C" w:rsidR="00482330">
        <w:rPr>
          <w:rFonts w:ascii="Times New Roman" w:hAnsi="Times New Roman" w:cs="Times New Roman"/>
          <w:sz w:val="24"/>
          <w:szCs w:val="24"/>
        </w:rPr>
        <w:t xml:space="preserve"> and a $40 </w:t>
      </w:r>
      <w:r w:rsidRPr="00DD467C" w:rsidR="005C30B1">
        <w:rPr>
          <w:rFonts w:ascii="Times New Roman" w:hAnsi="Times New Roman" w:cs="Times New Roman"/>
          <w:sz w:val="24"/>
          <w:szCs w:val="24"/>
        </w:rPr>
        <w:t xml:space="preserve">Visa </w:t>
      </w:r>
      <w:r w:rsidRPr="00DD467C" w:rsidR="00482330">
        <w:rPr>
          <w:rFonts w:ascii="Times New Roman" w:hAnsi="Times New Roman" w:cs="Times New Roman"/>
          <w:sz w:val="24"/>
          <w:szCs w:val="24"/>
        </w:rPr>
        <w:t>gift card</w:t>
      </w:r>
      <w:r w:rsidRPr="00DD467C" w:rsidR="00CC3F56">
        <w:rPr>
          <w:rFonts w:ascii="Times New Roman" w:hAnsi="Times New Roman" w:cs="Times New Roman"/>
          <w:sz w:val="24"/>
          <w:szCs w:val="24"/>
        </w:rPr>
        <w:t xml:space="preserve"> </w:t>
      </w:r>
      <w:r w:rsidRPr="00DD467C" w:rsidR="004D3686">
        <w:rPr>
          <w:rFonts w:ascii="Times New Roman" w:hAnsi="Times New Roman" w:cs="Times New Roman"/>
          <w:sz w:val="24"/>
          <w:szCs w:val="24"/>
        </w:rPr>
        <w:t>to</w:t>
      </w:r>
      <w:r w:rsidRPr="00DD467C" w:rsidR="00486B23">
        <w:rPr>
          <w:rFonts w:ascii="Times New Roman" w:hAnsi="Times New Roman" w:cs="Times New Roman"/>
          <w:sz w:val="24"/>
          <w:szCs w:val="24"/>
        </w:rPr>
        <w:t xml:space="preserve"> </w:t>
      </w:r>
      <w:r w:rsidRPr="00DD467C" w:rsidR="006879D8">
        <w:rPr>
          <w:rFonts w:ascii="Times New Roman" w:hAnsi="Times New Roman" w:cs="Times New Roman"/>
          <w:sz w:val="24"/>
          <w:szCs w:val="24"/>
        </w:rPr>
        <w:t>Ticketholders</w:t>
      </w:r>
      <w:r w:rsidRPr="00DD467C" w:rsidR="00486B23">
        <w:rPr>
          <w:rFonts w:ascii="Times New Roman" w:hAnsi="Times New Roman" w:cs="Times New Roman"/>
          <w:sz w:val="24"/>
          <w:szCs w:val="24"/>
        </w:rPr>
        <w:t xml:space="preserve"> who complete the qualitative interviews</w:t>
      </w:r>
      <w:r w:rsidRPr="00DD467C" w:rsidR="00E765DC">
        <w:rPr>
          <w:rFonts w:ascii="Times New Roman" w:hAnsi="Times New Roman" w:cs="Times New Roman"/>
          <w:sz w:val="24"/>
          <w:szCs w:val="24"/>
        </w:rPr>
        <w:t>.</w:t>
      </w:r>
      <w:r w:rsidRPr="00DD467C" w:rsidR="004A7BDE">
        <w:rPr>
          <w:rFonts w:ascii="Times New Roman" w:hAnsi="Times New Roman" w:cs="Times New Roman"/>
          <w:sz w:val="24"/>
          <w:szCs w:val="24"/>
        </w:rPr>
        <w:t xml:space="preserve"> </w:t>
      </w:r>
    </w:p>
    <w:p w:rsidR="00A45D82" w:rsidRPr="00DD467C" w:rsidP="008808F6" w14:paraId="186F1DFD" w14:textId="4896F3EE">
      <w:pPr>
        <w:pStyle w:val="H2"/>
        <w:spacing w:line="276" w:lineRule="auto"/>
        <w:ind w:left="900" w:hanging="450"/>
        <w:rPr>
          <w:rFonts w:ascii="Times New Roman" w:hAnsi="Times New Roman" w:cs="Times New Roman"/>
          <w:szCs w:val="24"/>
        </w:rPr>
      </w:pPr>
      <w:bookmarkStart w:id="40" w:name="_Toc476059360"/>
      <w:bookmarkStart w:id="41" w:name="_Toc130382266"/>
      <w:bookmarkStart w:id="42" w:name="_Toc183510767"/>
      <w:r w:rsidRPr="00DD467C">
        <w:rPr>
          <w:rFonts w:ascii="Times New Roman" w:hAnsi="Times New Roman" w:cs="Times New Roman"/>
          <w:szCs w:val="24"/>
        </w:rPr>
        <w:t xml:space="preserve">10. </w:t>
      </w:r>
      <w:r w:rsidRPr="00DD467C">
        <w:rPr>
          <w:rFonts w:ascii="Times New Roman" w:hAnsi="Times New Roman" w:cs="Times New Roman"/>
          <w:szCs w:val="24"/>
        </w:rPr>
        <w:tab/>
        <w:t xml:space="preserve">Assurances of </w:t>
      </w:r>
      <w:r w:rsidRPr="00DD467C" w:rsidR="006631B2">
        <w:rPr>
          <w:rFonts w:ascii="Times New Roman" w:hAnsi="Times New Roman" w:cs="Times New Roman"/>
          <w:szCs w:val="24"/>
        </w:rPr>
        <w:t>C</w:t>
      </w:r>
      <w:r w:rsidRPr="00DD467C">
        <w:rPr>
          <w:rFonts w:ascii="Times New Roman" w:hAnsi="Times New Roman" w:cs="Times New Roman"/>
          <w:szCs w:val="24"/>
        </w:rPr>
        <w:t>onfidentiality</w:t>
      </w:r>
      <w:bookmarkEnd w:id="40"/>
      <w:bookmarkEnd w:id="41"/>
      <w:bookmarkEnd w:id="42"/>
    </w:p>
    <w:p w:rsidR="008F51A1" w:rsidRPr="00EE016F" w:rsidP="008808F6" w14:paraId="52E556C3" w14:textId="26A899CB">
      <w:pPr>
        <w:pStyle w:val="ParagraphContinued"/>
        <w:spacing w:before="0" w:line="276" w:lineRule="auto"/>
        <w:ind w:left="900"/>
        <w:rPr>
          <w:rFonts w:ascii="Times New Roman" w:hAnsi="Times New Roman" w:cs="Times New Roman"/>
          <w:sz w:val="24"/>
          <w:szCs w:val="24"/>
        </w:rPr>
      </w:pPr>
      <w:r w:rsidRPr="00DD467C">
        <w:rPr>
          <w:rFonts w:ascii="Times New Roman" w:hAnsi="Times New Roman" w:cs="Times New Roman"/>
          <w:sz w:val="24"/>
          <w:szCs w:val="24"/>
        </w:rPr>
        <w:t xml:space="preserve">The identity of </w:t>
      </w:r>
      <w:r w:rsidRPr="00DD467C" w:rsidR="004D35F9">
        <w:rPr>
          <w:rFonts w:ascii="Times New Roman" w:hAnsi="Times New Roman" w:cs="Times New Roman"/>
          <w:sz w:val="24"/>
          <w:szCs w:val="24"/>
        </w:rPr>
        <w:t xml:space="preserve">providers and </w:t>
      </w:r>
      <w:r w:rsidRPr="00DD467C" w:rsidR="0027634D">
        <w:rPr>
          <w:rFonts w:ascii="Times New Roman" w:hAnsi="Times New Roman" w:cs="Times New Roman"/>
          <w:sz w:val="24"/>
          <w:szCs w:val="24"/>
        </w:rPr>
        <w:t xml:space="preserve">Ticketholders </w:t>
      </w:r>
      <w:r w:rsidRPr="00DD467C">
        <w:rPr>
          <w:rFonts w:ascii="Times New Roman" w:hAnsi="Times New Roman" w:cs="Times New Roman"/>
          <w:sz w:val="24"/>
          <w:szCs w:val="24"/>
        </w:rPr>
        <w:t>and the nature of</w:t>
      </w:r>
      <w:r w:rsidRPr="00EE016F">
        <w:rPr>
          <w:rFonts w:ascii="Times New Roman" w:hAnsi="Times New Roman" w:cs="Times New Roman"/>
          <w:sz w:val="24"/>
          <w:szCs w:val="24"/>
        </w:rPr>
        <w:t xml:space="preserve"> the information collected require strict confidentiality procedures. </w:t>
      </w:r>
      <w:r w:rsidR="00F60685">
        <w:rPr>
          <w:rFonts w:ascii="Times New Roman" w:hAnsi="Times New Roman" w:cs="Times New Roman"/>
          <w:sz w:val="24"/>
          <w:szCs w:val="24"/>
        </w:rPr>
        <w:t xml:space="preserve"> </w:t>
      </w:r>
      <w:r w:rsidRPr="00EE016F">
        <w:rPr>
          <w:rFonts w:ascii="Times New Roman" w:hAnsi="Times New Roman" w:cs="Times New Roman"/>
          <w:sz w:val="24"/>
          <w:szCs w:val="24"/>
        </w:rPr>
        <w:t xml:space="preserve">SSA will protect the information collected in accordance with </w:t>
      </w:r>
      <w:r w:rsidRPr="00851F12">
        <w:rPr>
          <w:rFonts w:ascii="Times New Roman" w:hAnsi="Times New Roman" w:cs="Times New Roman"/>
          <w:i/>
          <w:iCs/>
          <w:sz w:val="24"/>
          <w:szCs w:val="24"/>
        </w:rPr>
        <w:t>42 U.S.C. 1306, 20 CFR 401</w:t>
      </w:r>
      <w:r w:rsidRPr="00EE016F">
        <w:rPr>
          <w:rFonts w:ascii="Times New Roman" w:hAnsi="Times New Roman" w:cs="Times New Roman"/>
          <w:sz w:val="24"/>
          <w:szCs w:val="24"/>
        </w:rPr>
        <w:t xml:space="preserve"> and </w:t>
      </w:r>
      <w:r w:rsidRPr="00851F12">
        <w:rPr>
          <w:rFonts w:ascii="Times New Roman" w:hAnsi="Times New Roman" w:cs="Times New Roman"/>
          <w:i/>
          <w:iCs/>
          <w:sz w:val="24"/>
          <w:szCs w:val="24"/>
        </w:rPr>
        <w:t>402, 5 U.S.C. 552</w:t>
      </w:r>
      <w:r w:rsidRPr="00EE016F">
        <w:rPr>
          <w:rFonts w:ascii="Times New Roman" w:hAnsi="Times New Roman" w:cs="Times New Roman"/>
          <w:sz w:val="24"/>
          <w:szCs w:val="24"/>
        </w:rPr>
        <w:t xml:space="preserve"> (Freedom of Information Act), </w:t>
      </w:r>
      <w:r w:rsidRPr="00851F12">
        <w:rPr>
          <w:rFonts w:ascii="Times New Roman" w:hAnsi="Times New Roman" w:cs="Times New Roman"/>
          <w:i/>
          <w:iCs/>
          <w:sz w:val="24"/>
          <w:szCs w:val="24"/>
        </w:rPr>
        <w:t>5 U.S.C. 552a</w:t>
      </w:r>
      <w:r w:rsidRPr="00EE016F">
        <w:rPr>
          <w:rFonts w:ascii="Times New Roman" w:hAnsi="Times New Roman" w:cs="Times New Roman"/>
          <w:sz w:val="24"/>
          <w:szCs w:val="24"/>
        </w:rPr>
        <w:t xml:space="preserve"> (Privacy Act of 1974), and OMB Circular No. A-130. </w:t>
      </w:r>
      <w:r w:rsidR="008F6AE5">
        <w:rPr>
          <w:rFonts w:ascii="Times New Roman" w:hAnsi="Times New Roman" w:cs="Times New Roman"/>
          <w:sz w:val="24"/>
          <w:szCs w:val="24"/>
        </w:rPr>
        <w:t xml:space="preserve"> </w:t>
      </w:r>
      <w:r w:rsidRPr="00EE016F">
        <w:rPr>
          <w:rFonts w:ascii="Times New Roman" w:hAnsi="Times New Roman" w:cs="Times New Roman"/>
          <w:sz w:val="24"/>
          <w:szCs w:val="24"/>
        </w:rPr>
        <w:t xml:space="preserve">Descriptions of the detailed plans for informed consent and data security procedures follow. </w:t>
      </w:r>
    </w:p>
    <w:p w:rsidR="00A81B49" w:rsidRPr="00EE016F" w:rsidP="008808F6" w14:paraId="667EBDFF" w14:textId="44E11813">
      <w:pPr>
        <w:pStyle w:val="H3"/>
        <w:spacing w:line="276" w:lineRule="auto"/>
      </w:pPr>
      <w:bookmarkStart w:id="43" w:name="_Hlk178848979"/>
      <w:r w:rsidRPr="00EE016F">
        <w:t xml:space="preserve">Informed consent for </w:t>
      </w:r>
      <w:r w:rsidRPr="00EE016F" w:rsidR="00C23576">
        <w:t xml:space="preserve">provider </w:t>
      </w:r>
      <w:r w:rsidRPr="00EE016F">
        <w:t>surveys</w:t>
      </w:r>
    </w:p>
    <w:bookmarkEnd w:id="43"/>
    <w:p w:rsidR="00952B61" w:rsidRPr="00EE016F" w:rsidP="008808F6" w14:paraId="54C7DA47" w14:textId="5B3458BF">
      <w:pPr>
        <w:pStyle w:val="ParagraphContinued"/>
        <w:tabs>
          <w:tab w:val="left" w:pos="900"/>
        </w:tabs>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All </w:t>
      </w:r>
      <w:r w:rsidRPr="00EE016F" w:rsidR="00F65BE4">
        <w:rPr>
          <w:rFonts w:ascii="Times New Roman" w:hAnsi="Times New Roman" w:cs="Times New Roman"/>
          <w:sz w:val="24"/>
          <w:szCs w:val="24"/>
        </w:rPr>
        <w:t>Ticket Act service providers</w:t>
      </w:r>
      <w:r w:rsidRPr="00EE016F" w:rsidR="00B03C7C">
        <w:rPr>
          <w:rFonts w:ascii="Times New Roman" w:hAnsi="Times New Roman" w:cs="Times New Roman"/>
          <w:sz w:val="24"/>
          <w:szCs w:val="24"/>
        </w:rPr>
        <w:t xml:space="preserve"> </w:t>
      </w:r>
      <w:r w:rsidRPr="00EE016F" w:rsidR="00D15D18">
        <w:rPr>
          <w:rFonts w:ascii="Times New Roman" w:hAnsi="Times New Roman" w:cs="Times New Roman"/>
          <w:sz w:val="24"/>
          <w:szCs w:val="24"/>
        </w:rPr>
        <w:t xml:space="preserve">will </w:t>
      </w:r>
      <w:r w:rsidRPr="00EE016F">
        <w:rPr>
          <w:rFonts w:ascii="Times New Roman" w:hAnsi="Times New Roman" w:cs="Times New Roman"/>
          <w:sz w:val="24"/>
          <w:szCs w:val="24"/>
        </w:rPr>
        <w:t xml:space="preserve">be able to make a genuinely informed decision about participating in the </w:t>
      </w:r>
      <w:r w:rsidRPr="00EE016F" w:rsidR="00F5745D">
        <w:rPr>
          <w:rFonts w:ascii="Times New Roman" w:hAnsi="Times New Roman" w:cs="Times New Roman"/>
          <w:sz w:val="24"/>
          <w:szCs w:val="24"/>
        </w:rPr>
        <w:t>survey</w:t>
      </w:r>
      <w:r w:rsidRPr="00EE016F" w:rsidR="005C2E4F">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sidR="005375DB">
        <w:rPr>
          <w:rFonts w:ascii="Times New Roman" w:hAnsi="Times New Roman" w:cs="Times New Roman"/>
          <w:sz w:val="24"/>
          <w:szCs w:val="24"/>
        </w:rPr>
        <w:t xml:space="preserve">The initial letter </w:t>
      </w:r>
      <w:r w:rsidRPr="00EE016F">
        <w:rPr>
          <w:rFonts w:ascii="Times New Roman" w:hAnsi="Times New Roman" w:cs="Times New Roman"/>
          <w:sz w:val="24"/>
          <w:szCs w:val="24"/>
        </w:rPr>
        <w:t xml:space="preserve">will </w:t>
      </w:r>
      <w:r w:rsidRPr="00EE016F" w:rsidR="005375DB">
        <w:rPr>
          <w:rFonts w:ascii="Times New Roman" w:hAnsi="Times New Roman" w:cs="Times New Roman"/>
          <w:sz w:val="24"/>
          <w:szCs w:val="24"/>
        </w:rPr>
        <w:t>include</w:t>
      </w:r>
      <w:r w:rsidRPr="00EE016F" w:rsidR="0050100F">
        <w:rPr>
          <w:rFonts w:ascii="Times New Roman" w:hAnsi="Times New Roman" w:cs="Times New Roman"/>
          <w:sz w:val="24"/>
          <w:szCs w:val="24"/>
        </w:rPr>
        <w:t xml:space="preserve"> a </w:t>
      </w:r>
      <w:r w:rsidRPr="00EE016F">
        <w:rPr>
          <w:rFonts w:ascii="Times New Roman" w:hAnsi="Times New Roman" w:cs="Times New Roman"/>
          <w:sz w:val="24"/>
          <w:szCs w:val="24"/>
        </w:rPr>
        <w:t xml:space="preserve">consent statement </w:t>
      </w:r>
      <w:r w:rsidRPr="00EE016F" w:rsidR="00EC7FC6">
        <w:rPr>
          <w:rFonts w:ascii="Times New Roman" w:hAnsi="Times New Roman" w:cs="Times New Roman"/>
          <w:sz w:val="24"/>
          <w:szCs w:val="24"/>
        </w:rPr>
        <w:t xml:space="preserve">(see </w:t>
      </w:r>
      <w:r w:rsidRPr="00EE016F" w:rsidR="00AC32A4">
        <w:rPr>
          <w:rFonts w:ascii="Times New Roman" w:hAnsi="Times New Roman" w:cs="Times New Roman"/>
          <w:sz w:val="24"/>
          <w:szCs w:val="24"/>
        </w:rPr>
        <w:t>Attachment</w:t>
      </w:r>
      <w:r w:rsidR="00A82320">
        <w:rPr>
          <w:rFonts w:ascii="Times New Roman" w:hAnsi="Times New Roman" w:cs="Times New Roman"/>
          <w:sz w:val="24"/>
          <w:szCs w:val="24"/>
        </w:rPr>
        <w:t>s</w:t>
      </w:r>
      <w:r w:rsidRPr="00EE016F" w:rsidR="00AC32A4">
        <w:rPr>
          <w:rFonts w:ascii="Times New Roman" w:hAnsi="Times New Roman" w:cs="Times New Roman"/>
          <w:sz w:val="24"/>
          <w:szCs w:val="24"/>
        </w:rPr>
        <w:t xml:space="preserve"> </w:t>
      </w:r>
      <w:r w:rsidRPr="00EE016F" w:rsidR="00EC7FC6">
        <w:rPr>
          <w:rFonts w:ascii="Times New Roman" w:hAnsi="Times New Roman" w:cs="Times New Roman"/>
          <w:sz w:val="24"/>
          <w:szCs w:val="24"/>
        </w:rPr>
        <w:t>A</w:t>
      </w:r>
      <w:r w:rsidR="00A82320">
        <w:rPr>
          <w:rFonts w:ascii="Times New Roman" w:hAnsi="Times New Roman" w:cs="Times New Roman"/>
          <w:sz w:val="24"/>
          <w:szCs w:val="24"/>
        </w:rPr>
        <w:t>1a, A2a, and A3a</w:t>
      </w:r>
      <w:r w:rsidRPr="00EE016F" w:rsidR="00EC7FC6">
        <w:rPr>
          <w:rFonts w:ascii="Times New Roman" w:hAnsi="Times New Roman" w:cs="Times New Roman"/>
          <w:sz w:val="24"/>
          <w:szCs w:val="24"/>
        </w:rPr>
        <w:t>).</w:t>
      </w:r>
      <w:r w:rsidR="008F6AE5">
        <w:rPr>
          <w:rFonts w:ascii="Times New Roman" w:hAnsi="Times New Roman" w:cs="Times New Roman"/>
          <w:sz w:val="24"/>
          <w:szCs w:val="24"/>
        </w:rPr>
        <w:t xml:space="preserve"> </w:t>
      </w:r>
      <w:r w:rsidRPr="00EE016F" w:rsidR="00EC7FC6">
        <w:rPr>
          <w:rFonts w:ascii="Times New Roman" w:hAnsi="Times New Roman" w:cs="Times New Roman"/>
          <w:sz w:val="24"/>
          <w:szCs w:val="24"/>
        </w:rPr>
        <w:t xml:space="preserve"> </w:t>
      </w:r>
      <w:r w:rsidRPr="00EE016F" w:rsidR="00C67A94">
        <w:rPr>
          <w:rFonts w:ascii="Times New Roman" w:hAnsi="Times New Roman" w:cs="Times New Roman"/>
          <w:sz w:val="24"/>
          <w:szCs w:val="24"/>
        </w:rPr>
        <w:t xml:space="preserve">This </w:t>
      </w:r>
      <w:r w:rsidRPr="00EE016F" w:rsidR="00B7607A">
        <w:rPr>
          <w:rFonts w:ascii="Times New Roman" w:hAnsi="Times New Roman" w:cs="Times New Roman"/>
          <w:sz w:val="24"/>
          <w:szCs w:val="24"/>
        </w:rPr>
        <w:t>statement</w:t>
      </w:r>
      <w:r w:rsidRPr="00EE016F" w:rsidR="00C67A94">
        <w:rPr>
          <w:rFonts w:ascii="Times New Roman" w:hAnsi="Times New Roman" w:cs="Times New Roman"/>
          <w:sz w:val="24"/>
          <w:szCs w:val="24"/>
        </w:rPr>
        <w:t xml:space="preserve"> provides </w:t>
      </w:r>
      <w:r w:rsidRPr="00EE016F" w:rsidR="00F85B46">
        <w:rPr>
          <w:rFonts w:ascii="Times New Roman" w:hAnsi="Times New Roman" w:cs="Times New Roman"/>
          <w:sz w:val="24"/>
          <w:szCs w:val="24"/>
        </w:rPr>
        <w:t xml:space="preserve">information on the purpose of the evaluation overall and the survey specifically, </w:t>
      </w:r>
      <w:r w:rsidRPr="00EE016F" w:rsidR="00784641">
        <w:rPr>
          <w:rFonts w:ascii="Times New Roman" w:hAnsi="Times New Roman" w:cs="Times New Roman"/>
          <w:sz w:val="24"/>
          <w:szCs w:val="24"/>
        </w:rPr>
        <w:t xml:space="preserve">the topics covered in the survey, </w:t>
      </w:r>
      <w:r w:rsidRPr="00EE016F" w:rsidR="00F85B46">
        <w:rPr>
          <w:rFonts w:ascii="Times New Roman" w:hAnsi="Times New Roman" w:cs="Times New Roman"/>
          <w:sz w:val="24"/>
          <w:szCs w:val="24"/>
        </w:rPr>
        <w:t xml:space="preserve">the </w:t>
      </w:r>
      <w:r w:rsidRPr="00EE016F" w:rsidR="00425527">
        <w:rPr>
          <w:rFonts w:ascii="Times New Roman" w:hAnsi="Times New Roman" w:cs="Times New Roman"/>
          <w:sz w:val="24"/>
          <w:szCs w:val="24"/>
        </w:rPr>
        <w:t xml:space="preserve">risks and benefits </w:t>
      </w:r>
      <w:r w:rsidRPr="00EE016F" w:rsidR="001D2225">
        <w:rPr>
          <w:rFonts w:ascii="Times New Roman" w:hAnsi="Times New Roman" w:cs="Times New Roman"/>
          <w:sz w:val="24"/>
          <w:szCs w:val="24"/>
        </w:rPr>
        <w:t>of</w:t>
      </w:r>
      <w:r w:rsidRPr="00EE016F" w:rsidR="00425527">
        <w:rPr>
          <w:rFonts w:ascii="Times New Roman" w:hAnsi="Times New Roman" w:cs="Times New Roman"/>
          <w:sz w:val="24"/>
          <w:szCs w:val="24"/>
        </w:rPr>
        <w:t xml:space="preserve"> participation, how </w:t>
      </w:r>
      <w:r w:rsidR="00ED59E9">
        <w:rPr>
          <w:rFonts w:ascii="Times New Roman" w:hAnsi="Times New Roman" w:cs="Times New Roman"/>
          <w:sz w:val="24"/>
          <w:szCs w:val="24"/>
        </w:rPr>
        <w:t xml:space="preserve">we will store and use </w:t>
      </w:r>
      <w:r w:rsidRPr="00EE016F" w:rsidR="00425527">
        <w:rPr>
          <w:rFonts w:ascii="Times New Roman" w:hAnsi="Times New Roman" w:cs="Times New Roman"/>
          <w:sz w:val="24"/>
          <w:szCs w:val="24"/>
        </w:rPr>
        <w:t>the data</w:t>
      </w:r>
      <w:r w:rsidRPr="00EE016F" w:rsidR="00384A95">
        <w:rPr>
          <w:rFonts w:ascii="Times New Roman" w:hAnsi="Times New Roman" w:cs="Times New Roman"/>
          <w:sz w:val="24"/>
          <w:szCs w:val="24"/>
        </w:rPr>
        <w:t>, and the voluntary nature of participation</w:t>
      </w:r>
      <w:r w:rsidRPr="00EE016F" w:rsidR="00784641">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sidR="000B16F0">
        <w:rPr>
          <w:rFonts w:ascii="Times New Roman" w:hAnsi="Times New Roman" w:cs="Times New Roman"/>
          <w:sz w:val="24"/>
          <w:szCs w:val="24"/>
        </w:rPr>
        <w:t xml:space="preserve">Mathematica </w:t>
      </w:r>
      <w:r w:rsidRPr="00EE016F" w:rsidR="0089717B">
        <w:rPr>
          <w:rFonts w:ascii="Times New Roman" w:hAnsi="Times New Roman" w:cs="Times New Roman"/>
          <w:sz w:val="24"/>
          <w:szCs w:val="24"/>
        </w:rPr>
        <w:t>will</w:t>
      </w:r>
      <w:r w:rsidRPr="00EE016F" w:rsidR="00B31393">
        <w:rPr>
          <w:rFonts w:ascii="Times New Roman" w:hAnsi="Times New Roman" w:cs="Times New Roman"/>
          <w:sz w:val="24"/>
          <w:szCs w:val="24"/>
        </w:rPr>
        <w:t xml:space="preserve"> </w:t>
      </w:r>
      <w:r w:rsidRPr="00EE016F" w:rsidR="0089717B">
        <w:rPr>
          <w:rFonts w:ascii="Times New Roman" w:hAnsi="Times New Roman" w:cs="Times New Roman"/>
          <w:sz w:val="24"/>
          <w:szCs w:val="24"/>
        </w:rPr>
        <w:t xml:space="preserve">provide a toll-free telephone number </w:t>
      </w:r>
      <w:r w:rsidRPr="00EE016F" w:rsidR="00F42FAF">
        <w:rPr>
          <w:rFonts w:ascii="Times New Roman" w:hAnsi="Times New Roman" w:cs="Times New Roman"/>
          <w:sz w:val="24"/>
          <w:szCs w:val="24"/>
        </w:rPr>
        <w:t>that</w:t>
      </w:r>
      <w:r w:rsidRPr="00EE016F" w:rsidR="00890524">
        <w:rPr>
          <w:rFonts w:ascii="Times New Roman" w:hAnsi="Times New Roman" w:cs="Times New Roman"/>
          <w:sz w:val="24"/>
          <w:szCs w:val="24"/>
        </w:rPr>
        <w:t xml:space="preserve"> </w:t>
      </w:r>
      <w:r w:rsidRPr="00EE016F" w:rsidR="00065681">
        <w:rPr>
          <w:rFonts w:ascii="Times New Roman" w:hAnsi="Times New Roman" w:cs="Times New Roman"/>
          <w:sz w:val="24"/>
          <w:szCs w:val="24"/>
        </w:rPr>
        <w:t xml:space="preserve">service providers can </w:t>
      </w:r>
      <w:r w:rsidRPr="00EE016F" w:rsidR="0089717B">
        <w:rPr>
          <w:rFonts w:ascii="Times New Roman" w:hAnsi="Times New Roman" w:cs="Times New Roman"/>
          <w:sz w:val="24"/>
          <w:szCs w:val="24"/>
        </w:rPr>
        <w:t>call with questions</w:t>
      </w:r>
      <w:r w:rsidRPr="00EE016F" w:rsidR="00065681">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sidR="00FF2219">
        <w:rPr>
          <w:rFonts w:ascii="Times New Roman" w:hAnsi="Times New Roman" w:cs="Times New Roman"/>
          <w:sz w:val="24"/>
          <w:szCs w:val="24"/>
        </w:rPr>
        <w:t>When providers</w:t>
      </w:r>
      <w:r w:rsidRPr="00EE016F" w:rsidR="005D61DF">
        <w:rPr>
          <w:rFonts w:ascii="Times New Roman" w:hAnsi="Times New Roman" w:cs="Times New Roman"/>
          <w:sz w:val="24"/>
          <w:szCs w:val="24"/>
        </w:rPr>
        <w:t xml:space="preserve"> log into </w:t>
      </w:r>
      <w:r w:rsidRPr="00EE016F" w:rsidR="00B73801">
        <w:rPr>
          <w:rFonts w:ascii="Times New Roman" w:hAnsi="Times New Roman" w:cs="Times New Roman"/>
          <w:sz w:val="24"/>
          <w:szCs w:val="24"/>
        </w:rPr>
        <w:t xml:space="preserve">the </w:t>
      </w:r>
      <w:r w:rsidR="00646AC3">
        <w:rPr>
          <w:rFonts w:ascii="Times New Roman" w:hAnsi="Times New Roman" w:cs="Times New Roman"/>
          <w:sz w:val="24"/>
          <w:szCs w:val="24"/>
        </w:rPr>
        <w:t>online</w:t>
      </w:r>
      <w:r w:rsidRPr="00EE016F" w:rsidR="00B73801">
        <w:rPr>
          <w:rFonts w:ascii="Times New Roman" w:hAnsi="Times New Roman" w:cs="Times New Roman"/>
          <w:sz w:val="24"/>
          <w:szCs w:val="24"/>
        </w:rPr>
        <w:t xml:space="preserve"> survey, </w:t>
      </w:r>
      <w:r w:rsidRPr="00EE016F" w:rsidR="00F42FAF">
        <w:rPr>
          <w:rFonts w:ascii="Times New Roman" w:hAnsi="Times New Roman" w:cs="Times New Roman"/>
          <w:sz w:val="24"/>
          <w:szCs w:val="24"/>
        </w:rPr>
        <w:t xml:space="preserve">the survey </w:t>
      </w:r>
      <w:r w:rsidRPr="00EE016F" w:rsidR="006D0B9E">
        <w:rPr>
          <w:rFonts w:ascii="Times New Roman" w:hAnsi="Times New Roman" w:cs="Times New Roman"/>
          <w:sz w:val="24"/>
          <w:szCs w:val="24"/>
        </w:rPr>
        <w:t>instrument</w:t>
      </w:r>
      <w:r w:rsidRPr="00EE016F" w:rsidR="005D61DF">
        <w:rPr>
          <w:rFonts w:ascii="Times New Roman" w:hAnsi="Times New Roman" w:cs="Times New Roman"/>
          <w:sz w:val="24"/>
          <w:szCs w:val="24"/>
        </w:rPr>
        <w:t xml:space="preserve"> </w:t>
      </w:r>
      <w:r w:rsidRPr="00EE016F" w:rsidR="00B73801">
        <w:rPr>
          <w:rFonts w:ascii="Times New Roman" w:hAnsi="Times New Roman" w:cs="Times New Roman"/>
          <w:sz w:val="24"/>
          <w:szCs w:val="24"/>
        </w:rPr>
        <w:t xml:space="preserve">will </w:t>
      </w:r>
      <w:r w:rsidRPr="00EE016F" w:rsidR="006D0B9E">
        <w:rPr>
          <w:rFonts w:ascii="Times New Roman" w:hAnsi="Times New Roman" w:cs="Times New Roman"/>
          <w:sz w:val="24"/>
          <w:szCs w:val="24"/>
        </w:rPr>
        <w:t xml:space="preserve">ask </w:t>
      </w:r>
      <w:r w:rsidRPr="00EE016F" w:rsidR="00FF2219">
        <w:rPr>
          <w:rFonts w:ascii="Times New Roman" w:hAnsi="Times New Roman" w:cs="Times New Roman"/>
          <w:sz w:val="24"/>
          <w:szCs w:val="24"/>
        </w:rPr>
        <w:t>them whether</w:t>
      </w:r>
      <w:r w:rsidRPr="00EE016F" w:rsidR="006D0B9E">
        <w:rPr>
          <w:rFonts w:ascii="Times New Roman" w:hAnsi="Times New Roman" w:cs="Times New Roman"/>
          <w:sz w:val="24"/>
          <w:szCs w:val="24"/>
        </w:rPr>
        <w:t xml:space="preserve"> they </w:t>
      </w:r>
      <w:r w:rsidRPr="00EE016F" w:rsidR="00B73801">
        <w:rPr>
          <w:rFonts w:ascii="Times New Roman" w:hAnsi="Times New Roman" w:cs="Times New Roman"/>
          <w:sz w:val="24"/>
          <w:szCs w:val="24"/>
        </w:rPr>
        <w:t xml:space="preserve">consent to participate. </w:t>
      </w:r>
      <w:r w:rsidR="008F6AE5">
        <w:rPr>
          <w:rFonts w:ascii="Times New Roman" w:hAnsi="Times New Roman" w:cs="Times New Roman"/>
          <w:sz w:val="24"/>
          <w:szCs w:val="24"/>
        </w:rPr>
        <w:t xml:space="preserve"> </w:t>
      </w:r>
      <w:r w:rsidRPr="00EE016F" w:rsidR="00B44A27">
        <w:rPr>
          <w:rFonts w:ascii="Times New Roman" w:hAnsi="Times New Roman" w:cs="Times New Roman"/>
          <w:sz w:val="24"/>
          <w:szCs w:val="24"/>
        </w:rPr>
        <w:t>A</w:t>
      </w:r>
      <w:r w:rsidRPr="00EE016F" w:rsidR="00AC32A4">
        <w:rPr>
          <w:rFonts w:ascii="Times New Roman" w:hAnsi="Times New Roman" w:cs="Times New Roman"/>
          <w:sz w:val="24"/>
          <w:szCs w:val="24"/>
        </w:rPr>
        <w:t xml:space="preserve">ll </w:t>
      </w:r>
      <w:r w:rsidRPr="00EE016F" w:rsidR="00422756">
        <w:rPr>
          <w:rFonts w:ascii="Times New Roman" w:hAnsi="Times New Roman" w:cs="Times New Roman"/>
          <w:sz w:val="24"/>
          <w:szCs w:val="24"/>
        </w:rPr>
        <w:t>providers</w:t>
      </w:r>
      <w:r w:rsidRPr="00EE016F" w:rsidR="00AC32A4">
        <w:rPr>
          <w:rFonts w:ascii="Times New Roman" w:hAnsi="Times New Roman" w:cs="Times New Roman"/>
          <w:sz w:val="24"/>
          <w:szCs w:val="24"/>
        </w:rPr>
        <w:t xml:space="preserve"> must </w:t>
      </w:r>
      <w:r w:rsidRPr="00EE016F" w:rsidR="00222BC2">
        <w:rPr>
          <w:rFonts w:ascii="Times New Roman" w:hAnsi="Times New Roman" w:cs="Times New Roman"/>
          <w:sz w:val="24"/>
          <w:szCs w:val="24"/>
        </w:rPr>
        <w:t>consent</w:t>
      </w:r>
      <w:r w:rsidRPr="00EE016F" w:rsidR="00AC32A4">
        <w:rPr>
          <w:rFonts w:ascii="Times New Roman" w:hAnsi="Times New Roman" w:cs="Times New Roman"/>
          <w:sz w:val="24"/>
          <w:szCs w:val="24"/>
        </w:rPr>
        <w:t xml:space="preserve"> </w:t>
      </w:r>
      <w:r w:rsidRPr="00EE016F" w:rsidR="007430F7">
        <w:rPr>
          <w:rFonts w:ascii="Times New Roman" w:hAnsi="Times New Roman" w:cs="Times New Roman"/>
          <w:sz w:val="24"/>
          <w:szCs w:val="24"/>
        </w:rPr>
        <w:t>to</w:t>
      </w:r>
      <w:r w:rsidRPr="00EE016F" w:rsidR="00BB43E6">
        <w:rPr>
          <w:rFonts w:ascii="Times New Roman" w:hAnsi="Times New Roman" w:cs="Times New Roman"/>
          <w:sz w:val="24"/>
          <w:szCs w:val="24"/>
        </w:rPr>
        <w:t xml:space="preserve"> progress </w:t>
      </w:r>
      <w:r w:rsidRPr="00EE016F" w:rsidR="00C36150">
        <w:rPr>
          <w:rFonts w:ascii="Times New Roman" w:hAnsi="Times New Roman" w:cs="Times New Roman"/>
          <w:sz w:val="24"/>
          <w:szCs w:val="24"/>
        </w:rPr>
        <w:t>t</w:t>
      </w:r>
      <w:r w:rsidRPr="00EE016F" w:rsidR="00BB43E6">
        <w:rPr>
          <w:rFonts w:ascii="Times New Roman" w:hAnsi="Times New Roman" w:cs="Times New Roman"/>
          <w:sz w:val="24"/>
          <w:szCs w:val="24"/>
        </w:rPr>
        <w:t>o the survey questions</w:t>
      </w:r>
      <w:r w:rsidRPr="00EE016F" w:rsidR="005E6F3C">
        <w:rPr>
          <w:rFonts w:ascii="Times New Roman" w:hAnsi="Times New Roman" w:cs="Times New Roman"/>
          <w:sz w:val="24"/>
          <w:szCs w:val="24"/>
        </w:rPr>
        <w:t xml:space="preserve">. </w:t>
      </w:r>
    </w:p>
    <w:p w:rsidR="00A81B49" w:rsidRPr="00DD467C" w:rsidP="008808F6" w14:paraId="1BACEC4F" w14:textId="7FD2C78C">
      <w:pPr>
        <w:pStyle w:val="H3"/>
        <w:spacing w:line="276" w:lineRule="auto"/>
      </w:pPr>
      <w:r w:rsidRPr="00DD467C">
        <w:t>Informed consent for qualitative interviews</w:t>
      </w:r>
    </w:p>
    <w:p w:rsidR="008F51A1" w:rsidRPr="00EE016F" w:rsidP="008808F6" w14:paraId="27B01A58" w14:textId="1200821F">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All</w:t>
      </w:r>
      <w:r w:rsidRPr="00DD467C">
        <w:rPr>
          <w:rFonts w:ascii="Times New Roman" w:hAnsi="Times New Roman" w:cs="Times New Roman"/>
          <w:sz w:val="24"/>
          <w:szCs w:val="24"/>
        </w:rPr>
        <w:t xml:space="preserve"> </w:t>
      </w:r>
      <w:r w:rsidRPr="00DD467C" w:rsidR="000A338D">
        <w:rPr>
          <w:rFonts w:ascii="Times New Roman" w:hAnsi="Times New Roman" w:cs="Times New Roman"/>
          <w:sz w:val="24"/>
          <w:szCs w:val="24"/>
        </w:rPr>
        <w:t>Ticketholders</w:t>
      </w:r>
      <w:r w:rsidRPr="00DD467C">
        <w:rPr>
          <w:rFonts w:ascii="Times New Roman" w:hAnsi="Times New Roman" w:cs="Times New Roman"/>
          <w:sz w:val="24"/>
          <w:szCs w:val="24"/>
        </w:rPr>
        <w:t xml:space="preserve"> </w:t>
      </w:r>
      <w:r w:rsidRPr="00DD467C" w:rsidR="00D15D18">
        <w:rPr>
          <w:rFonts w:ascii="Times New Roman" w:hAnsi="Times New Roman" w:cs="Times New Roman"/>
          <w:sz w:val="24"/>
          <w:szCs w:val="24"/>
        </w:rPr>
        <w:t xml:space="preserve">will </w:t>
      </w:r>
      <w:r w:rsidRPr="00DD467C">
        <w:rPr>
          <w:rFonts w:ascii="Times New Roman" w:hAnsi="Times New Roman" w:cs="Times New Roman"/>
          <w:sz w:val="24"/>
          <w:szCs w:val="24"/>
        </w:rPr>
        <w:t xml:space="preserve">be able to make a genuinely informed decision about participating in the </w:t>
      </w:r>
      <w:r w:rsidRPr="00DD467C" w:rsidR="00F65BE4">
        <w:rPr>
          <w:rFonts w:ascii="Times New Roman" w:hAnsi="Times New Roman" w:cs="Times New Roman"/>
          <w:sz w:val="24"/>
          <w:szCs w:val="24"/>
        </w:rPr>
        <w:t>qualitative interviews</w:t>
      </w:r>
      <w:r w:rsidRPr="00DD467C">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DD467C" w:rsidR="00CC5ECD">
        <w:rPr>
          <w:rFonts w:ascii="Times New Roman" w:hAnsi="Times New Roman" w:cs="Times New Roman"/>
          <w:sz w:val="24"/>
          <w:szCs w:val="24"/>
        </w:rPr>
        <w:t xml:space="preserve">The initial letter </w:t>
      </w:r>
      <w:r w:rsidRPr="00DD467C">
        <w:rPr>
          <w:rFonts w:ascii="Times New Roman" w:hAnsi="Times New Roman" w:cs="Times New Roman"/>
          <w:sz w:val="24"/>
          <w:szCs w:val="24"/>
        </w:rPr>
        <w:t xml:space="preserve">will </w:t>
      </w:r>
      <w:r w:rsidRPr="00DD467C" w:rsidR="00CC5ECD">
        <w:rPr>
          <w:rFonts w:ascii="Times New Roman" w:hAnsi="Times New Roman" w:cs="Times New Roman"/>
          <w:sz w:val="24"/>
          <w:szCs w:val="24"/>
        </w:rPr>
        <w:t>include</w:t>
      </w:r>
      <w:r w:rsidRPr="00DD467C">
        <w:rPr>
          <w:rFonts w:ascii="Times New Roman" w:hAnsi="Times New Roman" w:cs="Times New Roman"/>
          <w:sz w:val="24"/>
          <w:szCs w:val="24"/>
        </w:rPr>
        <w:t xml:space="preserve"> a consent </w:t>
      </w:r>
      <w:r w:rsidRPr="00DD467C" w:rsidR="00C61314">
        <w:rPr>
          <w:rFonts w:ascii="Times New Roman" w:hAnsi="Times New Roman" w:cs="Times New Roman"/>
          <w:sz w:val="24"/>
          <w:szCs w:val="24"/>
        </w:rPr>
        <w:t>form</w:t>
      </w:r>
      <w:r w:rsidRPr="00DD467C">
        <w:rPr>
          <w:rFonts w:ascii="Times New Roman" w:hAnsi="Times New Roman" w:cs="Times New Roman"/>
          <w:sz w:val="24"/>
          <w:szCs w:val="24"/>
        </w:rPr>
        <w:t xml:space="preserve"> (</w:t>
      </w:r>
      <w:r w:rsidRPr="00DD467C" w:rsidR="000551E3">
        <w:rPr>
          <w:rFonts w:ascii="Times New Roman" w:hAnsi="Times New Roman" w:cs="Times New Roman"/>
          <w:sz w:val="24"/>
          <w:szCs w:val="24"/>
        </w:rPr>
        <w:t xml:space="preserve">see </w:t>
      </w:r>
      <w:r w:rsidRPr="00DD467C">
        <w:rPr>
          <w:rFonts w:ascii="Times New Roman" w:hAnsi="Times New Roman" w:cs="Times New Roman"/>
          <w:sz w:val="24"/>
          <w:szCs w:val="24"/>
        </w:rPr>
        <w:t>Attachment</w:t>
      </w:r>
      <w:r w:rsidRPr="00DD467C" w:rsidR="00736A3C">
        <w:rPr>
          <w:rFonts w:ascii="Times New Roman" w:hAnsi="Times New Roman" w:cs="Times New Roman"/>
          <w:sz w:val="24"/>
          <w:szCs w:val="24"/>
        </w:rPr>
        <w:t>s</w:t>
      </w:r>
      <w:r w:rsidRPr="00DD467C">
        <w:rPr>
          <w:rFonts w:ascii="Times New Roman" w:hAnsi="Times New Roman" w:cs="Times New Roman"/>
          <w:sz w:val="24"/>
          <w:szCs w:val="24"/>
        </w:rPr>
        <w:t xml:space="preserve"> </w:t>
      </w:r>
      <w:r w:rsidRPr="00DD467C" w:rsidR="00F432B0">
        <w:rPr>
          <w:rFonts w:ascii="Times New Roman" w:hAnsi="Times New Roman" w:cs="Times New Roman"/>
          <w:sz w:val="24"/>
          <w:szCs w:val="24"/>
        </w:rPr>
        <w:t>B</w:t>
      </w:r>
      <w:r w:rsidRPr="00DD467C" w:rsidR="00B80A43">
        <w:rPr>
          <w:rFonts w:ascii="Times New Roman" w:hAnsi="Times New Roman" w:cs="Times New Roman"/>
          <w:sz w:val="24"/>
          <w:szCs w:val="24"/>
        </w:rPr>
        <w:t>1</w:t>
      </w:r>
      <w:r w:rsidRPr="00DD467C" w:rsidR="00736A3C">
        <w:rPr>
          <w:rFonts w:ascii="Times New Roman" w:hAnsi="Times New Roman" w:cs="Times New Roman"/>
          <w:sz w:val="24"/>
          <w:szCs w:val="24"/>
        </w:rPr>
        <w:t>a</w:t>
      </w:r>
      <w:r w:rsidRPr="00DD467C" w:rsidR="00F432B0">
        <w:rPr>
          <w:rFonts w:ascii="Times New Roman" w:hAnsi="Times New Roman" w:cs="Times New Roman"/>
          <w:sz w:val="24"/>
          <w:szCs w:val="24"/>
        </w:rPr>
        <w:t>,</w:t>
      </w:r>
      <w:r w:rsidRPr="00DD467C" w:rsidR="00736A3C">
        <w:rPr>
          <w:rFonts w:ascii="Times New Roman" w:hAnsi="Times New Roman" w:cs="Times New Roman"/>
          <w:sz w:val="24"/>
          <w:szCs w:val="24"/>
        </w:rPr>
        <w:t xml:space="preserve"> and B</w:t>
      </w:r>
      <w:r w:rsidRPr="00DD467C" w:rsidR="00B80A43">
        <w:rPr>
          <w:rFonts w:ascii="Times New Roman" w:hAnsi="Times New Roman" w:cs="Times New Roman"/>
          <w:sz w:val="24"/>
          <w:szCs w:val="24"/>
        </w:rPr>
        <w:t>1</w:t>
      </w:r>
      <w:r w:rsidRPr="00DD467C" w:rsidR="00736A3C">
        <w:rPr>
          <w:rFonts w:ascii="Times New Roman" w:hAnsi="Times New Roman" w:cs="Times New Roman"/>
          <w:sz w:val="24"/>
          <w:szCs w:val="24"/>
        </w:rPr>
        <w:t>b</w:t>
      </w:r>
      <w:r w:rsidRPr="00DD467C">
        <w:rPr>
          <w:rFonts w:ascii="Times New Roman" w:hAnsi="Times New Roman" w:cs="Times New Roman"/>
          <w:sz w:val="24"/>
          <w:szCs w:val="24"/>
        </w:rPr>
        <w:t>)</w:t>
      </w:r>
      <w:r w:rsidRPr="00DD467C" w:rsidR="00222BC2">
        <w:rPr>
          <w:rFonts w:ascii="Times New Roman" w:hAnsi="Times New Roman" w:cs="Times New Roman"/>
          <w:sz w:val="24"/>
          <w:szCs w:val="24"/>
        </w:rPr>
        <w:t xml:space="preserve"> that</w:t>
      </w:r>
      <w:r w:rsidRPr="00DD467C" w:rsidR="00764443">
        <w:rPr>
          <w:rFonts w:ascii="Times New Roman" w:hAnsi="Times New Roman" w:cs="Times New Roman"/>
          <w:sz w:val="24"/>
          <w:szCs w:val="24"/>
        </w:rPr>
        <w:t xml:space="preserve"> </w:t>
      </w:r>
      <w:r w:rsidRPr="00DD467C">
        <w:rPr>
          <w:rFonts w:ascii="Times New Roman" w:hAnsi="Times New Roman" w:cs="Times New Roman"/>
          <w:sz w:val="24"/>
          <w:szCs w:val="24"/>
        </w:rPr>
        <w:t xml:space="preserve">provides information on the purpose of the evaluation overall and the </w:t>
      </w:r>
      <w:r w:rsidRPr="00DD467C" w:rsidR="00F24A23">
        <w:rPr>
          <w:rFonts w:ascii="Times New Roman" w:hAnsi="Times New Roman" w:cs="Times New Roman"/>
          <w:sz w:val="24"/>
          <w:szCs w:val="24"/>
        </w:rPr>
        <w:t xml:space="preserve">interview </w:t>
      </w:r>
      <w:r w:rsidRPr="00DD467C" w:rsidR="001D2225">
        <w:rPr>
          <w:rFonts w:ascii="Times New Roman" w:hAnsi="Times New Roman" w:cs="Times New Roman"/>
          <w:sz w:val="24"/>
          <w:szCs w:val="24"/>
        </w:rPr>
        <w:t>specifically</w:t>
      </w:r>
      <w:r w:rsidRPr="00DD467C" w:rsidR="00F24A23">
        <w:rPr>
          <w:rFonts w:ascii="Times New Roman" w:hAnsi="Times New Roman" w:cs="Times New Roman"/>
          <w:sz w:val="24"/>
          <w:szCs w:val="24"/>
        </w:rPr>
        <w:t xml:space="preserve">, </w:t>
      </w:r>
      <w:r w:rsidRPr="00DD467C">
        <w:rPr>
          <w:rFonts w:ascii="Times New Roman" w:hAnsi="Times New Roman" w:cs="Times New Roman"/>
          <w:sz w:val="24"/>
          <w:szCs w:val="24"/>
        </w:rPr>
        <w:t xml:space="preserve">the topics covered in the </w:t>
      </w:r>
      <w:r w:rsidRPr="00DD467C" w:rsidR="00F24A23">
        <w:rPr>
          <w:rFonts w:ascii="Times New Roman" w:hAnsi="Times New Roman" w:cs="Times New Roman"/>
          <w:sz w:val="24"/>
          <w:szCs w:val="24"/>
        </w:rPr>
        <w:t xml:space="preserve">interview, </w:t>
      </w:r>
      <w:r w:rsidRPr="00DD467C" w:rsidR="009C7944">
        <w:rPr>
          <w:rFonts w:ascii="Times New Roman" w:hAnsi="Times New Roman" w:cs="Times New Roman"/>
          <w:sz w:val="24"/>
          <w:szCs w:val="24"/>
        </w:rPr>
        <w:t xml:space="preserve">the </w:t>
      </w:r>
      <w:r w:rsidRPr="00DD467C">
        <w:rPr>
          <w:rFonts w:ascii="Times New Roman" w:hAnsi="Times New Roman" w:cs="Times New Roman"/>
          <w:sz w:val="24"/>
          <w:szCs w:val="24"/>
        </w:rPr>
        <w:t xml:space="preserve">risks and benefits </w:t>
      </w:r>
      <w:r w:rsidRPr="00DD467C" w:rsidR="009C7944">
        <w:rPr>
          <w:rFonts w:ascii="Times New Roman" w:hAnsi="Times New Roman" w:cs="Times New Roman"/>
          <w:sz w:val="24"/>
          <w:szCs w:val="24"/>
        </w:rPr>
        <w:t>of</w:t>
      </w:r>
      <w:r w:rsidRPr="00DD467C">
        <w:rPr>
          <w:rFonts w:ascii="Times New Roman" w:hAnsi="Times New Roman" w:cs="Times New Roman"/>
          <w:sz w:val="24"/>
          <w:szCs w:val="24"/>
        </w:rPr>
        <w:t xml:space="preserve"> participation, </w:t>
      </w:r>
      <w:r w:rsidRPr="00DD467C" w:rsidR="00F24A23">
        <w:rPr>
          <w:rFonts w:ascii="Times New Roman" w:hAnsi="Times New Roman" w:cs="Times New Roman"/>
          <w:sz w:val="24"/>
          <w:szCs w:val="24"/>
        </w:rPr>
        <w:t xml:space="preserve">and </w:t>
      </w:r>
      <w:r w:rsidRPr="00DD467C">
        <w:rPr>
          <w:rFonts w:ascii="Times New Roman" w:hAnsi="Times New Roman" w:cs="Times New Roman"/>
          <w:sz w:val="24"/>
          <w:szCs w:val="24"/>
        </w:rPr>
        <w:t>how</w:t>
      </w:r>
      <w:r w:rsidR="00ED59E9">
        <w:rPr>
          <w:rFonts w:ascii="Times New Roman" w:hAnsi="Times New Roman" w:cs="Times New Roman"/>
          <w:sz w:val="24"/>
          <w:szCs w:val="24"/>
        </w:rPr>
        <w:t xml:space="preserve"> we will store and use</w:t>
      </w:r>
      <w:r w:rsidRPr="00DD467C">
        <w:rPr>
          <w:rFonts w:ascii="Times New Roman" w:hAnsi="Times New Roman" w:cs="Times New Roman"/>
          <w:sz w:val="24"/>
          <w:szCs w:val="24"/>
        </w:rPr>
        <w:t xml:space="preserve"> the data.</w:t>
      </w:r>
      <w:r w:rsidRPr="00DD467C" w:rsidR="00F24A23">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DD467C">
        <w:rPr>
          <w:rFonts w:ascii="Times New Roman" w:hAnsi="Times New Roman" w:cs="Times New Roman"/>
          <w:sz w:val="24"/>
          <w:szCs w:val="24"/>
        </w:rPr>
        <w:t xml:space="preserve">This form also describes the voluntary </w:t>
      </w:r>
      <w:r w:rsidRPr="00DD467C" w:rsidR="00F24A23">
        <w:rPr>
          <w:rFonts w:ascii="Times New Roman" w:hAnsi="Times New Roman" w:cs="Times New Roman"/>
          <w:sz w:val="24"/>
          <w:szCs w:val="24"/>
        </w:rPr>
        <w:t>nature of participation</w:t>
      </w:r>
      <w:r w:rsidRPr="00DD467C">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DD467C" w:rsidR="007A06E8">
        <w:rPr>
          <w:rFonts w:ascii="Times New Roman" w:hAnsi="Times New Roman" w:cs="Times New Roman"/>
          <w:sz w:val="24"/>
          <w:szCs w:val="24"/>
        </w:rPr>
        <w:t xml:space="preserve">Mathematica </w:t>
      </w:r>
      <w:r w:rsidRPr="00DD467C">
        <w:rPr>
          <w:rFonts w:ascii="Times New Roman" w:hAnsi="Times New Roman" w:cs="Times New Roman"/>
          <w:sz w:val="24"/>
          <w:szCs w:val="24"/>
        </w:rPr>
        <w:t xml:space="preserve">will provide a toll-free telephone number </w:t>
      </w:r>
      <w:r w:rsidRPr="00DD467C" w:rsidR="007430F7">
        <w:rPr>
          <w:rFonts w:ascii="Times New Roman" w:hAnsi="Times New Roman" w:cs="Times New Roman"/>
          <w:sz w:val="24"/>
          <w:szCs w:val="24"/>
        </w:rPr>
        <w:t>t</w:t>
      </w:r>
      <w:r w:rsidRPr="00DD467C" w:rsidR="006D5F09">
        <w:rPr>
          <w:rFonts w:ascii="Times New Roman" w:hAnsi="Times New Roman" w:cs="Times New Roman"/>
          <w:sz w:val="24"/>
          <w:szCs w:val="24"/>
        </w:rPr>
        <w:t xml:space="preserve">hat </w:t>
      </w:r>
      <w:r w:rsidRPr="00DD467C" w:rsidR="000A338D">
        <w:rPr>
          <w:rFonts w:ascii="Times New Roman" w:hAnsi="Times New Roman" w:cs="Times New Roman"/>
          <w:sz w:val="24"/>
          <w:szCs w:val="24"/>
        </w:rPr>
        <w:t xml:space="preserve">Ticketholders </w:t>
      </w:r>
      <w:r w:rsidRPr="00DD467C" w:rsidR="00DE0963">
        <w:rPr>
          <w:rFonts w:ascii="Times New Roman" w:hAnsi="Times New Roman" w:cs="Times New Roman"/>
          <w:sz w:val="24"/>
          <w:szCs w:val="24"/>
        </w:rPr>
        <w:t xml:space="preserve">can </w:t>
      </w:r>
      <w:r w:rsidRPr="00DD467C">
        <w:rPr>
          <w:rFonts w:ascii="Times New Roman" w:hAnsi="Times New Roman" w:cs="Times New Roman"/>
          <w:sz w:val="24"/>
          <w:szCs w:val="24"/>
        </w:rPr>
        <w:t>call with questions</w:t>
      </w:r>
      <w:r w:rsidRPr="00DD467C" w:rsidR="000A338D">
        <w:rPr>
          <w:rFonts w:ascii="Times New Roman" w:hAnsi="Times New Roman" w:cs="Times New Roman"/>
          <w:sz w:val="24"/>
          <w:szCs w:val="24"/>
        </w:rPr>
        <w:t xml:space="preserve"> related to the data collection</w:t>
      </w:r>
      <w:r w:rsidRPr="00DD467C" w:rsidR="00DE0963">
        <w:rPr>
          <w:rFonts w:ascii="Times New Roman" w:hAnsi="Times New Roman" w:cs="Times New Roman"/>
          <w:sz w:val="24"/>
          <w:szCs w:val="24"/>
        </w:rPr>
        <w:t>.</w:t>
      </w:r>
      <w:r w:rsidR="008F6AE5">
        <w:rPr>
          <w:rFonts w:ascii="Times New Roman" w:hAnsi="Times New Roman" w:cs="Times New Roman"/>
          <w:sz w:val="24"/>
          <w:szCs w:val="24"/>
        </w:rPr>
        <w:t xml:space="preserve"> </w:t>
      </w:r>
      <w:r w:rsidRPr="00DD467C" w:rsidR="00DE0963">
        <w:rPr>
          <w:rFonts w:ascii="Times New Roman" w:hAnsi="Times New Roman" w:cs="Times New Roman"/>
          <w:sz w:val="24"/>
          <w:szCs w:val="24"/>
        </w:rPr>
        <w:t xml:space="preserve"> </w:t>
      </w:r>
      <w:r w:rsidRPr="00DD467C" w:rsidR="000E3460">
        <w:rPr>
          <w:rFonts w:ascii="Times New Roman" w:hAnsi="Times New Roman" w:cs="Times New Roman"/>
          <w:sz w:val="24"/>
          <w:szCs w:val="24"/>
        </w:rPr>
        <w:t>In addition, a</w:t>
      </w:r>
      <w:r w:rsidRPr="00DD467C" w:rsidR="00847894">
        <w:rPr>
          <w:rFonts w:ascii="Times New Roman" w:hAnsi="Times New Roman" w:cs="Times New Roman"/>
          <w:sz w:val="24"/>
          <w:szCs w:val="24"/>
        </w:rPr>
        <w:t xml:space="preserve">t the start of each interview, the </w:t>
      </w:r>
      <w:r w:rsidRPr="00DD467C" w:rsidR="0099165D">
        <w:rPr>
          <w:rFonts w:ascii="Times New Roman" w:hAnsi="Times New Roman" w:cs="Times New Roman"/>
          <w:sz w:val="24"/>
          <w:szCs w:val="24"/>
        </w:rPr>
        <w:t xml:space="preserve">Mathematica interviewer </w:t>
      </w:r>
      <w:r w:rsidRPr="00DD467C" w:rsidR="008717E5">
        <w:rPr>
          <w:rFonts w:ascii="Times New Roman" w:hAnsi="Times New Roman" w:cs="Times New Roman"/>
          <w:sz w:val="24"/>
          <w:szCs w:val="24"/>
        </w:rPr>
        <w:t xml:space="preserve">will </w:t>
      </w:r>
      <w:r w:rsidRPr="00DD467C" w:rsidR="00F3281C">
        <w:rPr>
          <w:rFonts w:ascii="Times New Roman" w:hAnsi="Times New Roman" w:cs="Times New Roman"/>
          <w:sz w:val="24"/>
          <w:szCs w:val="24"/>
        </w:rPr>
        <w:t xml:space="preserve">ask </w:t>
      </w:r>
      <w:r w:rsidRPr="00DD467C" w:rsidR="000A338D">
        <w:rPr>
          <w:rFonts w:ascii="Times New Roman" w:hAnsi="Times New Roman" w:cs="Times New Roman"/>
          <w:sz w:val="24"/>
          <w:szCs w:val="24"/>
        </w:rPr>
        <w:t xml:space="preserve">Ticketholders </w:t>
      </w:r>
      <w:r w:rsidRPr="00DD467C" w:rsidR="008277AE">
        <w:rPr>
          <w:rFonts w:ascii="Times New Roman" w:hAnsi="Times New Roman" w:cs="Times New Roman"/>
          <w:sz w:val="24"/>
          <w:szCs w:val="24"/>
        </w:rPr>
        <w:t xml:space="preserve">whether </w:t>
      </w:r>
      <w:r w:rsidRPr="00DD467C" w:rsidR="00F3281C">
        <w:rPr>
          <w:rFonts w:ascii="Times New Roman" w:hAnsi="Times New Roman" w:cs="Times New Roman"/>
          <w:sz w:val="24"/>
          <w:szCs w:val="24"/>
        </w:rPr>
        <w:t xml:space="preserve">they have any questions about the information provided and collect verbal consent </w:t>
      </w:r>
      <w:r w:rsidRPr="00DD467C" w:rsidR="008277AE">
        <w:rPr>
          <w:rFonts w:ascii="Times New Roman" w:hAnsi="Times New Roman" w:cs="Times New Roman"/>
          <w:sz w:val="24"/>
          <w:szCs w:val="24"/>
        </w:rPr>
        <w:t>before</w:t>
      </w:r>
      <w:r w:rsidRPr="00DD467C" w:rsidR="00D778B1">
        <w:rPr>
          <w:rFonts w:ascii="Times New Roman" w:hAnsi="Times New Roman" w:cs="Times New Roman"/>
          <w:sz w:val="24"/>
          <w:szCs w:val="24"/>
        </w:rPr>
        <w:t xml:space="preserve"> initiating </w:t>
      </w:r>
      <w:r w:rsidRPr="00DD467C" w:rsidR="000445EE">
        <w:rPr>
          <w:rFonts w:ascii="Times New Roman" w:hAnsi="Times New Roman" w:cs="Times New Roman"/>
          <w:sz w:val="24"/>
          <w:szCs w:val="24"/>
        </w:rPr>
        <w:t>the interview questions.</w:t>
      </w:r>
      <w:r w:rsidRPr="00EE016F" w:rsidR="000445EE">
        <w:rPr>
          <w:rFonts w:ascii="Times New Roman" w:hAnsi="Times New Roman" w:cs="Times New Roman"/>
          <w:sz w:val="24"/>
          <w:szCs w:val="24"/>
        </w:rPr>
        <w:t xml:space="preserve"> </w:t>
      </w:r>
    </w:p>
    <w:p w:rsidR="00FF26E6" w:rsidRPr="00EE016F" w:rsidP="008808F6" w14:paraId="357B8168" w14:textId="34C68BE9">
      <w:pPr>
        <w:pStyle w:val="H3"/>
        <w:spacing w:line="276" w:lineRule="auto"/>
      </w:pPr>
      <w:r w:rsidRPr="00EE016F">
        <w:t>Data confidentiality protections</w:t>
      </w:r>
    </w:p>
    <w:p w:rsidR="002512A0" w:rsidRPr="00EE016F" w:rsidP="008808F6" w14:paraId="2533F51A" w14:textId="577A714D">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Mathematica will clearly state the assurances and limits of confidentiality in the consent </w:t>
      </w:r>
      <w:r w:rsidRPr="00EE016F" w:rsidR="00EE14E1">
        <w:rPr>
          <w:rFonts w:ascii="Times New Roman" w:hAnsi="Times New Roman" w:cs="Times New Roman"/>
          <w:sz w:val="24"/>
          <w:szCs w:val="24"/>
        </w:rPr>
        <w:t xml:space="preserve">statement </w:t>
      </w:r>
      <w:r w:rsidRPr="00EE016F" w:rsidR="00142C11">
        <w:rPr>
          <w:rFonts w:ascii="Times New Roman" w:hAnsi="Times New Roman" w:cs="Times New Roman"/>
          <w:sz w:val="24"/>
          <w:szCs w:val="24"/>
        </w:rPr>
        <w:t>for the provider surveys</w:t>
      </w:r>
      <w:r w:rsidRPr="00EE016F" w:rsidR="00066439">
        <w:rPr>
          <w:rFonts w:ascii="Times New Roman" w:hAnsi="Times New Roman" w:cs="Times New Roman"/>
          <w:sz w:val="24"/>
          <w:szCs w:val="24"/>
        </w:rPr>
        <w:t>,</w:t>
      </w:r>
      <w:r w:rsidRPr="00EE016F" w:rsidR="00142C11">
        <w:rPr>
          <w:rFonts w:ascii="Times New Roman" w:hAnsi="Times New Roman" w:cs="Times New Roman"/>
          <w:sz w:val="24"/>
          <w:szCs w:val="24"/>
        </w:rPr>
        <w:t xml:space="preserve"> </w:t>
      </w:r>
      <w:r w:rsidRPr="00EE016F" w:rsidR="00F85A38">
        <w:rPr>
          <w:rFonts w:ascii="Times New Roman" w:hAnsi="Times New Roman" w:cs="Times New Roman"/>
          <w:sz w:val="24"/>
          <w:szCs w:val="24"/>
        </w:rPr>
        <w:t xml:space="preserve">the </w:t>
      </w:r>
      <w:r w:rsidRPr="00EE016F" w:rsidR="003725FE">
        <w:rPr>
          <w:rFonts w:ascii="Times New Roman" w:hAnsi="Times New Roman" w:cs="Times New Roman"/>
          <w:sz w:val="24"/>
          <w:szCs w:val="24"/>
        </w:rPr>
        <w:t>consent form for</w:t>
      </w:r>
      <w:r w:rsidRPr="00EE016F" w:rsidR="00EE14E1">
        <w:rPr>
          <w:rFonts w:ascii="Times New Roman" w:hAnsi="Times New Roman" w:cs="Times New Roman"/>
          <w:sz w:val="24"/>
          <w:szCs w:val="24"/>
        </w:rPr>
        <w:t xml:space="preserve"> </w:t>
      </w:r>
      <w:r w:rsidRPr="00EE016F" w:rsidR="00F85A38">
        <w:rPr>
          <w:rFonts w:ascii="Times New Roman" w:hAnsi="Times New Roman" w:cs="Times New Roman"/>
          <w:sz w:val="24"/>
          <w:szCs w:val="24"/>
        </w:rPr>
        <w:t>the qualitative interview</w:t>
      </w:r>
      <w:r w:rsidRPr="00EE016F" w:rsidR="003725FE">
        <w:rPr>
          <w:rFonts w:ascii="Times New Roman" w:hAnsi="Times New Roman" w:cs="Times New Roman"/>
          <w:sz w:val="24"/>
          <w:szCs w:val="24"/>
        </w:rPr>
        <w:t>s,</w:t>
      </w:r>
      <w:r w:rsidRPr="00EE016F" w:rsidR="00EE14E1">
        <w:rPr>
          <w:rFonts w:ascii="Times New Roman" w:hAnsi="Times New Roman" w:cs="Times New Roman"/>
          <w:sz w:val="24"/>
          <w:szCs w:val="24"/>
        </w:rPr>
        <w:t xml:space="preserve"> </w:t>
      </w:r>
      <w:r w:rsidRPr="00EE016F">
        <w:rPr>
          <w:rFonts w:ascii="Times New Roman" w:hAnsi="Times New Roman" w:cs="Times New Roman"/>
          <w:sz w:val="24"/>
          <w:szCs w:val="24"/>
        </w:rPr>
        <w:t>and the materials used to conduct survey</w:t>
      </w:r>
      <w:r w:rsidRPr="00EE016F" w:rsidR="00E422E2">
        <w:rPr>
          <w:rFonts w:ascii="Times New Roman" w:hAnsi="Times New Roman" w:cs="Times New Roman"/>
          <w:sz w:val="24"/>
          <w:szCs w:val="24"/>
        </w:rPr>
        <w:t xml:space="preserve"> and </w:t>
      </w:r>
      <w:r w:rsidRPr="00EE016F">
        <w:rPr>
          <w:rFonts w:ascii="Times New Roman" w:hAnsi="Times New Roman" w:cs="Times New Roman"/>
          <w:sz w:val="24"/>
          <w:szCs w:val="24"/>
        </w:rPr>
        <w:t>qualitative data collection</w:t>
      </w:r>
      <w:r w:rsidRPr="00EE016F" w:rsidR="00F85A38">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Pr>
          <w:rFonts w:ascii="Times New Roman" w:hAnsi="Times New Roman" w:cs="Times New Roman"/>
          <w:sz w:val="24"/>
          <w:szCs w:val="24"/>
        </w:rPr>
        <w:t xml:space="preserve">The Paperwork Reduction and Privacy Act </w:t>
      </w:r>
      <w:r w:rsidR="008F6AE5">
        <w:rPr>
          <w:rFonts w:ascii="Times New Roman" w:hAnsi="Times New Roman" w:cs="Times New Roman"/>
          <w:sz w:val="24"/>
          <w:szCs w:val="24"/>
        </w:rPr>
        <w:t>S</w:t>
      </w:r>
      <w:r w:rsidRPr="00EE016F">
        <w:rPr>
          <w:rFonts w:ascii="Times New Roman" w:hAnsi="Times New Roman" w:cs="Times New Roman"/>
          <w:sz w:val="24"/>
          <w:szCs w:val="24"/>
        </w:rPr>
        <w:t>tatements will appear on all study documents</w:t>
      </w:r>
      <w:r w:rsidRPr="00EE016F" w:rsidR="00141611">
        <w:rPr>
          <w:rFonts w:ascii="Times New Roman" w:hAnsi="Times New Roman" w:cs="Times New Roman"/>
          <w:sz w:val="24"/>
          <w:szCs w:val="24"/>
        </w:rPr>
        <w:t xml:space="preserve"> </w:t>
      </w:r>
      <w:r w:rsidRPr="00EE016F">
        <w:rPr>
          <w:rFonts w:ascii="Times New Roman" w:hAnsi="Times New Roman" w:cs="Times New Roman"/>
          <w:sz w:val="24"/>
          <w:szCs w:val="24"/>
        </w:rPr>
        <w:t xml:space="preserve">(see Attachments </w:t>
      </w:r>
      <w:r w:rsidRPr="00EE016F" w:rsidR="000C4178">
        <w:rPr>
          <w:rFonts w:ascii="Times New Roman" w:hAnsi="Times New Roman" w:cs="Times New Roman"/>
          <w:sz w:val="24"/>
          <w:szCs w:val="24"/>
        </w:rPr>
        <w:t>A</w:t>
      </w:r>
      <w:r w:rsidR="00F03E42">
        <w:rPr>
          <w:rFonts w:ascii="Times New Roman" w:hAnsi="Times New Roman" w:cs="Times New Roman"/>
          <w:sz w:val="24"/>
          <w:szCs w:val="24"/>
        </w:rPr>
        <w:t>1a-A1g, A2a-A2g, A</w:t>
      </w:r>
      <w:r w:rsidR="001B5876">
        <w:rPr>
          <w:rFonts w:ascii="Times New Roman" w:hAnsi="Times New Roman" w:cs="Times New Roman"/>
          <w:sz w:val="24"/>
          <w:szCs w:val="24"/>
        </w:rPr>
        <w:t>3a-A3g,</w:t>
      </w:r>
      <w:r w:rsidR="00F022C1">
        <w:rPr>
          <w:rFonts w:ascii="Times New Roman" w:hAnsi="Times New Roman" w:cs="Times New Roman"/>
          <w:sz w:val="24"/>
          <w:szCs w:val="24"/>
        </w:rPr>
        <w:t xml:space="preserve"> B1, B2a, and B2b</w:t>
      </w:r>
      <w:r w:rsidRPr="00EE016F" w:rsidR="000C4178">
        <w:rPr>
          <w:rFonts w:ascii="Times New Roman" w:hAnsi="Times New Roman" w:cs="Times New Roman"/>
          <w:sz w:val="24"/>
          <w:szCs w:val="24"/>
        </w:rPr>
        <w:t>)</w:t>
      </w:r>
      <w:r w:rsidRPr="00EE016F">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Pr>
          <w:rFonts w:ascii="Times New Roman" w:hAnsi="Times New Roman" w:cs="Times New Roman"/>
          <w:sz w:val="24"/>
          <w:szCs w:val="24"/>
        </w:rPr>
        <w:t xml:space="preserve">The Privacy Act </w:t>
      </w:r>
      <w:r w:rsidR="008F6AE5">
        <w:rPr>
          <w:rFonts w:ascii="Times New Roman" w:hAnsi="Times New Roman" w:cs="Times New Roman"/>
          <w:sz w:val="24"/>
          <w:szCs w:val="24"/>
        </w:rPr>
        <w:t>S</w:t>
      </w:r>
      <w:r w:rsidRPr="00EE016F">
        <w:rPr>
          <w:rFonts w:ascii="Times New Roman" w:hAnsi="Times New Roman" w:cs="Times New Roman"/>
          <w:sz w:val="24"/>
          <w:szCs w:val="24"/>
        </w:rPr>
        <w:t xml:space="preserve">tatement provides assurance that </w:t>
      </w:r>
      <w:r w:rsidR="00ED59E9">
        <w:rPr>
          <w:rFonts w:ascii="Times New Roman" w:hAnsi="Times New Roman" w:cs="Times New Roman"/>
          <w:sz w:val="24"/>
          <w:szCs w:val="24"/>
        </w:rPr>
        <w:t xml:space="preserve">we will keep </w:t>
      </w:r>
      <w:r w:rsidRPr="00EE016F">
        <w:rPr>
          <w:rFonts w:ascii="Times New Roman" w:hAnsi="Times New Roman" w:cs="Times New Roman"/>
          <w:sz w:val="24"/>
          <w:szCs w:val="24"/>
        </w:rPr>
        <w:t xml:space="preserve">all information collected confidential unless required by law and will not </w:t>
      </w:r>
      <w:r w:rsidR="00ED59E9">
        <w:rPr>
          <w:rFonts w:ascii="Times New Roman" w:hAnsi="Times New Roman" w:cs="Times New Roman"/>
          <w:sz w:val="24"/>
          <w:szCs w:val="24"/>
        </w:rPr>
        <w:t>use the information</w:t>
      </w:r>
      <w:r w:rsidRPr="00EE016F">
        <w:rPr>
          <w:rFonts w:ascii="Times New Roman" w:hAnsi="Times New Roman" w:cs="Times New Roman"/>
          <w:sz w:val="24"/>
          <w:szCs w:val="24"/>
        </w:rPr>
        <w:t xml:space="preserve"> in any way that would affect SSA benefit eligibility or payments.</w:t>
      </w:r>
      <w:r w:rsidRPr="00EE016F" w:rsidR="002D4816">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Pr>
          <w:rFonts w:ascii="Times New Roman" w:hAnsi="Times New Roman" w:cs="Times New Roman"/>
          <w:sz w:val="24"/>
          <w:szCs w:val="24"/>
        </w:rPr>
        <w:t xml:space="preserve">After collecting and analyzing the survey and qualitative data, </w:t>
      </w:r>
      <w:r w:rsidRPr="00EE016F" w:rsidR="008F7943">
        <w:rPr>
          <w:rFonts w:ascii="Times New Roman" w:hAnsi="Times New Roman" w:cs="Times New Roman"/>
          <w:sz w:val="24"/>
          <w:szCs w:val="24"/>
        </w:rPr>
        <w:t xml:space="preserve">neither SSA nor </w:t>
      </w:r>
      <w:r w:rsidRPr="00EE016F" w:rsidR="000A3243">
        <w:rPr>
          <w:rFonts w:ascii="Times New Roman" w:hAnsi="Times New Roman" w:cs="Times New Roman"/>
          <w:sz w:val="24"/>
          <w:szCs w:val="24"/>
        </w:rPr>
        <w:t xml:space="preserve">Mathematica </w:t>
      </w:r>
      <w:r w:rsidRPr="00EE016F">
        <w:rPr>
          <w:rFonts w:ascii="Times New Roman" w:hAnsi="Times New Roman" w:cs="Times New Roman"/>
          <w:sz w:val="24"/>
          <w:szCs w:val="24"/>
        </w:rPr>
        <w:t xml:space="preserve">will attribute responses to specific </w:t>
      </w:r>
      <w:r w:rsidRPr="00EE016F" w:rsidR="00211C1A">
        <w:rPr>
          <w:rFonts w:ascii="Times New Roman" w:hAnsi="Times New Roman" w:cs="Times New Roman"/>
          <w:sz w:val="24"/>
          <w:szCs w:val="24"/>
        </w:rPr>
        <w:t xml:space="preserve">people </w:t>
      </w:r>
      <w:r w:rsidRPr="00EE016F">
        <w:rPr>
          <w:rFonts w:ascii="Times New Roman" w:hAnsi="Times New Roman" w:cs="Times New Roman"/>
          <w:sz w:val="24"/>
          <w:szCs w:val="24"/>
        </w:rPr>
        <w:t xml:space="preserve">in any public documents. </w:t>
      </w:r>
      <w:r w:rsidR="008F6AE5">
        <w:rPr>
          <w:rFonts w:ascii="Times New Roman" w:hAnsi="Times New Roman" w:cs="Times New Roman"/>
          <w:sz w:val="24"/>
          <w:szCs w:val="24"/>
        </w:rPr>
        <w:t xml:space="preserve"> </w:t>
      </w:r>
      <w:r w:rsidRPr="00EE016F" w:rsidR="000A3243">
        <w:rPr>
          <w:rFonts w:ascii="Times New Roman" w:hAnsi="Times New Roman" w:cs="Times New Roman"/>
          <w:sz w:val="24"/>
          <w:szCs w:val="24"/>
        </w:rPr>
        <w:t xml:space="preserve">Mathematica </w:t>
      </w:r>
      <w:r w:rsidRPr="00EE016F">
        <w:rPr>
          <w:rFonts w:ascii="Times New Roman" w:hAnsi="Times New Roman" w:cs="Times New Roman"/>
          <w:sz w:val="24"/>
          <w:szCs w:val="24"/>
        </w:rPr>
        <w:t xml:space="preserve">will </w:t>
      </w:r>
      <w:r w:rsidRPr="00EE016F" w:rsidR="00211C1A">
        <w:rPr>
          <w:rFonts w:ascii="Times New Roman" w:hAnsi="Times New Roman" w:cs="Times New Roman"/>
          <w:sz w:val="24"/>
          <w:szCs w:val="24"/>
        </w:rPr>
        <w:t xml:space="preserve">securely </w:t>
      </w:r>
      <w:r w:rsidRPr="00EE016F">
        <w:rPr>
          <w:rFonts w:ascii="Times New Roman" w:hAnsi="Times New Roman" w:cs="Times New Roman"/>
          <w:sz w:val="24"/>
          <w:szCs w:val="24"/>
        </w:rPr>
        <w:t>destroy all data at the completion of the evaluation.</w:t>
      </w:r>
    </w:p>
    <w:p w:rsidR="00C30A19" w:rsidRPr="00EE016F" w:rsidP="008808F6" w14:paraId="12DD86EB" w14:textId="2EC0C807">
      <w:pPr>
        <w:pStyle w:val="H3"/>
        <w:spacing w:line="276" w:lineRule="auto"/>
      </w:pPr>
      <w:r w:rsidRPr="00EE016F">
        <w:t>Data storage and handling</w:t>
      </w:r>
    </w:p>
    <w:p w:rsidR="00C30A19" w:rsidRPr="00EE016F" w:rsidP="008808F6" w14:paraId="578DB398" w14:textId="0F59699F">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Mathematica</w:t>
      </w:r>
      <w:r w:rsidRPr="00EE016F" w:rsidR="001A6F7E">
        <w:rPr>
          <w:rFonts w:ascii="Times New Roman" w:hAnsi="Times New Roman" w:cs="Times New Roman"/>
          <w:sz w:val="24"/>
          <w:szCs w:val="24"/>
        </w:rPr>
        <w:t xml:space="preserve"> </w:t>
      </w:r>
      <w:r w:rsidRPr="00EE016F">
        <w:rPr>
          <w:rFonts w:ascii="Times New Roman" w:hAnsi="Times New Roman" w:cs="Times New Roman"/>
          <w:sz w:val="24"/>
          <w:szCs w:val="24"/>
        </w:rPr>
        <w:t xml:space="preserve">takes seriously the ethical and legal obligations associated with the collection of confidential data and has procedures in place to appropriately safeguard data from unauthorized use and disclosure, including the use of passwords and encryption. </w:t>
      </w:r>
      <w:r w:rsidR="008F6AE5">
        <w:rPr>
          <w:rFonts w:ascii="Times New Roman" w:hAnsi="Times New Roman" w:cs="Times New Roman"/>
          <w:sz w:val="24"/>
          <w:szCs w:val="24"/>
        </w:rPr>
        <w:t xml:space="preserve"> </w:t>
      </w:r>
      <w:r w:rsidRPr="00EE016F">
        <w:rPr>
          <w:rFonts w:ascii="Times New Roman" w:hAnsi="Times New Roman" w:cs="Times New Roman"/>
          <w:sz w:val="24"/>
          <w:szCs w:val="24"/>
        </w:rPr>
        <w:t>Mathematica</w:t>
      </w:r>
      <w:r w:rsidRPr="00EE016F" w:rsidR="000162B4">
        <w:rPr>
          <w:rFonts w:ascii="Times New Roman" w:hAnsi="Times New Roman" w:cs="Times New Roman"/>
          <w:sz w:val="24"/>
          <w:szCs w:val="24"/>
        </w:rPr>
        <w:t xml:space="preserve"> </w:t>
      </w:r>
      <w:r w:rsidRPr="00EE016F">
        <w:rPr>
          <w:rFonts w:ascii="Times New Roman" w:hAnsi="Times New Roman" w:cs="Times New Roman"/>
          <w:sz w:val="24"/>
          <w:szCs w:val="24"/>
        </w:rPr>
        <w:t xml:space="preserve">uses several mechanisms to secure data, including obtaining suitability determinations for designated staff, training staff to recognize and handle sensitive data, protecting computer systems from access by staff without favorable suitability determinations, limiting the use of personally identifiable information in data, limiting access to secure data on a need-to-know basis and to staff with favorable suitability determinations, and creating data extract files that exclude identifying information. </w:t>
      </w:r>
    </w:p>
    <w:p w:rsidR="00CA4B75" w:rsidRPr="00EE016F" w:rsidP="008808F6" w14:paraId="20A64932" w14:textId="53CD6C66">
      <w:pPr>
        <w:pStyle w:val="H2"/>
        <w:spacing w:line="276" w:lineRule="auto"/>
        <w:ind w:left="900" w:hanging="450"/>
        <w:rPr>
          <w:rFonts w:ascii="Times New Roman" w:hAnsi="Times New Roman" w:cs="Times New Roman"/>
          <w:szCs w:val="24"/>
        </w:rPr>
      </w:pPr>
      <w:bookmarkStart w:id="44" w:name="_Toc476059361"/>
      <w:bookmarkStart w:id="45" w:name="_Toc130382267"/>
      <w:bookmarkStart w:id="46" w:name="_Toc183510768"/>
      <w:r w:rsidRPr="00EE016F">
        <w:rPr>
          <w:rFonts w:ascii="Times New Roman" w:hAnsi="Times New Roman" w:cs="Times New Roman"/>
          <w:szCs w:val="24"/>
        </w:rPr>
        <w:t xml:space="preserve">11. </w:t>
      </w:r>
      <w:r w:rsidRPr="00EE016F">
        <w:rPr>
          <w:rFonts w:ascii="Times New Roman" w:hAnsi="Times New Roman" w:cs="Times New Roman"/>
          <w:szCs w:val="24"/>
        </w:rPr>
        <w:tab/>
        <w:t xml:space="preserve">Justification for </w:t>
      </w:r>
      <w:r w:rsidR="006631B2">
        <w:rPr>
          <w:rFonts w:ascii="Times New Roman" w:hAnsi="Times New Roman" w:cs="Times New Roman"/>
          <w:szCs w:val="24"/>
        </w:rPr>
        <w:t>S</w:t>
      </w:r>
      <w:r w:rsidRPr="00EE016F">
        <w:rPr>
          <w:rFonts w:ascii="Times New Roman" w:hAnsi="Times New Roman" w:cs="Times New Roman"/>
          <w:szCs w:val="24"/>
        </w:rPr>
        <w:t xml:space="preserve">ensitive </w:t>
      </w:r>
      <w:r w:rsidR="006631B2">
        <w:rPr>
          <w:rFonts w:ascii="Times New Roman" w:hAnsi="Times New Roman" w:cs="Times New Roman"/>
          <w:szCs w:val="24"/>
        </w:rPr>
        <w:t>Q</w:t>
      </w:r>
      <w:r w:rsidRPr="00EE016F">
        <w:rPr>
          <w:rFonts w:ascii="Times New Roman" w:hAnsi="Times New Roman" w:cs="Times New Roman"/>
          <w:szCs w:val="24"/>
        </w:rPr>
        <w:t>uestions</w:t>
      </w:r>
      <w:bookmarkEnd w:id="44"/>
      <w:bookmarkEnd w:id="45"/>
      <w:bookmarkEnd w:id="46"/>
    </w:p>
    <w:p w:rsidR="00231DA9" w:rsidRPr="00EE016F" w:rsidP="008808F6" w14:paraId="63DFD527" w14:textId="7435B9A6">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The purpose of this </w:t>
      </w:r>
      <w:r w:rsidRPr="00EE016F">
        <w:rPr>
          <w:rFonts w:ascii="Times New Roman" w:hAnsi="Times New Roman" w:cs="Times New Roman"/>
          <w:sz w:val="24"/>
          <w:szCs w:val="24"/>
        </w:rPr>
        <w:t xml:space="preserve">evaluation is to better understand the extent to which Ticket Act programs are working effectively </w:t>
      </w:r>
      <w:r w:rsidR="00CB303F">
        <w:rPr>
          <w:rFonts w:ascii="Times New Roman" w:hAnsi="Times New Roman" w:cs="Times New Roman"/>
          <w:sz w:val="24"/>
          <w:szCs w:val="24"/>
        </w:rPr>
        <w:t xml:space="preserve">and </w:t>
      </w:r>
      <w:r w:rsidRPr="00EE016F">
        <w:rPr>
          <w:rFonts w:ascii="Times New Roman" w:hAnsi="Times New Roman" w:cs="Times New Roman"/>
          <w:sz w:val="24"/>
          <w:szCs w:val="24"/>
        </w:rPr>
        <w:t xml:space="preserve">efficiently and what opportunities </w:t>
      </w:r>
      <w:r w:rsidRPr="00EE016F" w:rsidR="003462D4">
        <w:rPr>
          <w:rFonts w:ascii="Times New Roman" w:hAnsi="Times New Roman" w:cs="Times New Roman"/>
          <w:sz w:val="24"/>
          <w:szCs w:val="24"/>
        </w:rPr>
        <w:t>might</w:t>
      </w:r>
      <w:r w:rsidRPr="00EE016F">
        <w:rPr>
          <w:rFonts w:ascii="Times New Roman" w:hAnsi="Times New Roman" w:cs="Times New Roman"/>
          <w:sz w:val="24"/>
          <w:szCs w:val="24"/>
        </w:rPr>
        <w:t xml:space="preserve"> be available to improve the achievement of program outcomes.</w:t>
      </w:r>
      <w:r w:rsidR="008F6AE5">
        <w:rPr>
          <w:rFonts w:ascii="Times New Roman" w:hAnsi="Times New Roman" w:cs="Times New Roman"/>
          <w:sz w:val="24"/>
          <w:szCs w:val="24"/>
        </w:rPr>
        <w:t xml:space="preserve"> </w:t>
      </w:r>
      <w:r w:rsidRPr="00EE016F" w:rsidR="00D2671B">
        <w:rPr>
          <w:rFonts w:ascii="Times New Roman" w:hAnsi="Times New Roman" w:cs="Times New Roman"/>
          <w:sz w:val="24"/>
          <w:szCs w:val="24"/>
        </w:rPr>
        <w:t xml:space="preserve"> As such</w:t>
      </w:r>
      <w:r w:rsidRPr="00EE016F" w:rsidR="008B51CB">
        <w:rPr>
          <w:rFonts w:ascii="Times New Roman" w:hAnsi="Times New Roman" w:cs="Times New Roman"/>
          <w:sz w:val="24"/>
          <w:szCs w:val="24"/>
        </w:rPr>
        <w:t>, some res</w:t>
      </w:r>
      <w:r w:rsidRPr="00EE016F" w:rsidR="00E926DF">
        <w:rPr>
          <w:rFonts w:ascii="Times New Roman" w:hAnsi="Times New Roman" w:cs="Times New Roman"/>
          <w:sz w:val="24"/>
          <w:szCs w:val="24"/>
        </w:rPr>
        <w:t>pondents</w:t>
      </w:r>
      <w:r w:rsidRPr="00EE016F" w:rsidR="00D1483E">
        <w:rPr>
          <w:rFonts w:ascii="Times New Roman" w:hAnsi="Times New Roman" w:cs="Times New Roman"/>
          <w:sz w:val="24"/>
          <w:szCs w:val="24"/>
        </w:rPr>
        <w:t xml:space="preserve"> might perceive </w:t>
      </w:r>
      <w:r w:rsidRPr="00EE016F" w:rsidR="00A52F79">
        <w:rPr>
          <w:rFonts w:ascii="Times New Roman" w:hAnsi="Times New Roman" w:cs="Times New Roman"/>
          <w:sz w:val="24"/>
          <w:szCs w:val="24"/>
        </w:rPr>
        <w:t>certain</w:t>
      </w:r>
      <w:r w:rsidRPr="00EE016F" w:rsidR="00400ECF">
        <w:rPr>
          <w:rFonts w:ascii="Times New Roman" w:hAnsi="Times New Roman" w:cs="Times New Roman"/>
          <w:sz w:val="24"/>
          <w:szCs w:val="24"/>
        </w:rPr>
        <w:t xml:space="preserve"> aspects of the information collection as sensitive, as described below. </w:t>
      </w:r>
    </w:p>
    <w:p w:rsidR="00B41804" w:rsidRPr="00EE016F" w:rsidP="008808F6" w14:paraId="4DA0E49B" w14:textId="52A2AB54">
      <w:pPr>
        <w:pStyle w:val="H3"/>
        <w:spacing w:line="276" w:lineRule="auto"/>
      </w:pPr>
      <w:r w:rsidRPr="00EE016F">
        <w:t>Provider surveys</w:t>
      </w:r>
    </w:p>
    <w:p w:rsidR="00901ECF" w:rsidRPr="00DD467C" w:rsidP="008808F6" w14:paraId="56E79308" w14:textId="2A6F34F6">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We do not anticipate the provider survey respondents to </w:t>
      </w:r>
      <w:r w:rsidRPr="00EE016F" w:rsidR="00D1483E">
        <w:rPr>
          <w:rFonts w:ascii="Times New Roman" w:hAnsi="Times New Roman" w:cs="Times New Roman"/>
          <w:sz w:val="24"/>
          <w:szCs w:val="24"/>
        </w:rPr>
        <w:t>perceive</w:t>
      </w:r>
      <w:r w:rsidRPr="00EE016F">
        <w:rPr>
          <w:rFonts w:ascii="Times New Roman" w:hAnsi="Times New Roman" w:cs="Times New Roman"/>
          <w:sz w:val="24"/>
          <w:szCs w:val="24"/>
        </w:rPr>
        <w:t xml:space="preserve"> any of the items as sensitive. </w:t>
      </w:r>
      <w:r w:rsidR="008F6AE5">
        <w:rPr>
          <w:rFonts w:ascii="Times New Roman" w:hAnsi="Times New Roman" w:cs="Times New Roman"/>
          <w:sz w:val="24"/>
          <w:szCs w:val="24"/>
        </w:rPr>
        <w:t xml:space="preserve"> </w:t>
      </w:r>
      <w:r w:rsidRPr="00EE016F" w:rsidR="00A152B2">
        <w:rPr>
          <w:rFonts w:ascii="Times New Roman" w:hAnsi="Times New Roman" w:cs="Times New Roman"/>
          <w:sz w:val="24"/>
          <w:szCs w:val="24"/>
        </w:rPr>
        <w:t>Mathematica</w:t>
      </w:r>
      <w:r w:rsidRPr="00EE016F">
        <w:rPr>
          <w:rFonts w:ascii="Times New Roman" w:hAnsi="Times New Roman" w:cs="Times New Roman"/>
          <w:sz w:val="24"/>
          <w:szCs w:val="24"/>
        </w:rPr>
        <w:t xml:space="preserve"> </w:t>
      </w:r>
      <w:r w:rsidRPr="00EE016F" w:rsidR="00BF1310">
        <w:rPr>
          <w:rFonts w:ascii="Times New Roman" w:hAnsi="Times New Roman" w:cs="Times New Roman"/>
          <w:sz w:val="24"/>
          <w:szCs w:val="24"/>
        </w:rPr>
        <w:t xml:space="preserve">confirmed this assumption during post-interview debriefing with </w:t>
      </w:r>
      <w:r w:rsidRPr="00EE016F" w:rsidR="00020965">
        <w:rPr>
          <w:rFonts w:ascii="Times New Roman" w:hAnsi="Times New Roman" w:cs="Times New Roman"/>
          <w:sz w:val="24"/>
          <w:szCs w:val="24"/>
        </w:rPr>
        <w:t xml:space="preserve">survey </w:t>
      </w:r>
      <w:r w:rsidRPr="00EE016F" w:rsidR="00BF1310">
        <w:rPr>
          <w:rFonts w:ascii="Times New Roman" w:hAnsi="Times New Roman" w:cs="Times New Roman"/>
          <w:sz w:val="24"/>
          <w:szCs w:val="24"/>
        </w:rPr>
        <w:t>pretest respondents</w:t>
      </w:r>
      <w:r w:rsidRPr="00EE016F" w:rsidR="004A34EC">
        <w:rPr>
          <w:rFonts w:ascii="Times New Roman" w:hAnsi="Times New Roman" w:cs="Times New Roman"/>
          <w:sz w:val="24"/>
          <w:szCs w:val="24"/>
        </w:rPr>
        <w:t xml:space="preserve">. </w:t>
      </w:r>
      <w:r w:rsidR="008F6AE5">
        <w:rPr>
          <w:rFonts w:ascii="Times New Roman" w:hAnsi="Times New Roman" w:cs="Times New Roman"/>
          <w:sz w:val="24"/>
          <w:szCs w:val="24"/>
        </w:rPr>
        <w:t xml:space="preserve"> </w:t>
      </w:r>
      <w:r w:rsidRPr="00EE016F" w:rsidR="00C6114A">
        <w:rPr>
          <w:rFonts w:ascii="Times New Roman" w:hAnsi="Times New Roman" w:cs="Times New Roman"/>
          <w:sz w:val="24"/>
          <w:szCs w:val="24"/>
        </w:rPr>
        <w:t xml:space="preserve">Nonetheless, the survey consent statement </w:t>
      </w:r>
      <w:r w:rsidRPr="00EE016F" w:rsidR="00484D82">
        <w:rPr>
          <w:rFonts w:ascii="Times New Roman" w:hAnsi="Times New Roman" w:cs="Times New Roman"/>
          <w:sz w:val="24"/>
          <w:szCs w:val="24"/>
        </w:rPr>
        <w:t xml:space="preserve">and survey instruments </w:t>
      </w:r>
      <w:r w:rsidRPr="00DD467C" w:rsidR="00484D82">
        <w:rPr>
          <w:rFonts w:ascii="Times New Roman" w:hAnsi="Times New Roman" w:cs="Times New Roman"/>
          <w:sz w:val="24"/>
          <w:szCs w:val="24"/>
        </w:rPr>
        <w:t xml:space="preserve">inform </w:t>
      </w:r>
      <w:r w:rsidRPr="00DD467C" w:rsidR="00C6114A">
        <w:rPr>
          <w:rFonts w:ascii="Times New Roman" w:hAnsi="Times New Roman" w:cs="Times New Roman"/>
          <w:sz w:val="24"/>
          <w:szCs w:val="24"/>
        </w:rPr>
        <w:t xml:space="preserve">providers </w:t>
      </w:r>
      <w:r w:rsidRPr="00DD467C" w:rsidR="00484D82">
        <w:rPr>
          <w:rFonts w:ascii="Times New Roman" w:hAnsi="Times New Roman" w:cs="Times New Roman"/>
          <w:sz w:val="24"/>
          <w:szCs w:val="24"/>
        </w:rPr>
        <w:t xml:space="preserve">that the information they provide is confidential and </w:t>
      </w:r>
      <w:r w:rsidR="00ED59E9">
        <w:rPr>
          <w:rFonts w:ascii="Times New Roman" w:hAnsi="Times New Roman" w:cs="Times New Roman"/>
          <w:sz w:val="24"/>
          <w:szCs w:val="24"/>
        </w:rPr>
        <w:t>we will only use it</w:t>
      </w:r>
      <w:r w:rsidRPr="00DD467C" w:rsidR="00484D82">
        <w:rPr>
          <w:rFonts w:ascii="Times New Roman" w:hAnsi="Times New Roman" w:cs="Times New Roman"/>
          <w:sz w:val="24"/>
          <w:szCs w:val="24"/>
        </w:rPr>
        <w:t xml:space="preserve"> for research purposes. </w:t>
      </w:r>
      <w:r w:rsidR="008F6AE5">
        <w:rPr>
          <w:rFonts w:ascii="Times New Roman" w:hAnsi="Times New Roman" w:cs="Times New Roman"/>
          <w:sz w:val="24"/>
          <w:szCs w:val="24"/>
        </w:rPr>
        <w:t xml:space="preserve"> </w:t>
      </w:r>
      <w:r w:rsidRPr="00DD467C" w:rsidR="00DE06E2">
        <w:rPr>
          <w:rFonts w:ascii="Times New Roman" w:hAnsi="Times New Roman" w:cs="Times New Roman"/>
          <w:sz w:val="24"/>
          <w:szCs w:val="24"/>
        </w:rPr>
        <w:t>The</w:t>
      </w:r>
      <w:r w:rsidRPr="00DD467C" w:rsidR="00A7646E">
        <w:rPr>
          <w:rFonts w:ascii="Times New Roman" w:hAnsi="Times New Roman" w:cs="Times New Roman"/>
          <w:sz w:val="24"/>
          <w:szCs w:val="24"/>
        </w:rPr>
        <w:t xml:space="preserve"> statement and instruments</w:t>
      </w:r>
      <w:r w:rsidRPr="00DD467C" w:rsidR="00DE06E2">
        <w:rPr>
          <w:rFonts w:ascii="Times New Roman" w:hAnsi="Times New Roman" w:cs="Times New Roman"/>
          <w:sz w:val="24"/>
          <w:szCs w:val="24"/>
        </w:rPr>
        <w:t xml:space="preserve"> also inform providers that </w:t>
      </w:r>
      <w:r w:rsidRPr="00DD467C" w:rsidR="00AD5C9C">
        <w:rPr>
          <w:rFonts w:ascii="Times New Roman" w:hAnsi="Times New Roman" w:cs="Times New Roman"/>
          <w:sz w:val="24"/>
          <w:szCs w:val="24"/>
        </w:rPr>
        <w:t xml:space="preserve">the survey is voluntary </w:t>
      </w:r>
      <w:r w:rsidRPr="00DD467C" w:rsidR="002A1DD3">
        <w:rPr>
          <w:rFonts w:ascii="Times New Roman" w:hAnsi="Times New Roman" w:cs="Times New Roman"/>
          <w:sz w:val="24"/>
          <w:szCs w:val="24"/>
        </w:rPr>
        <w:t>and that</w:t>
      </w:r>
      <w:r w:rsidRPr="00DD467C" w:rsidR="00AD5C9C">
        <w:rPr>
          <w:rFonts w:ascii="Times New Roman" w:hAnsi="Times New Roman" w:cs="Times New Roman"/>
          <w:sz w:val="24"/>
          <w:szCs w:val="24"/>
        </w:rPr>
        <w:t xml:space="preserve"> they can skip any questions they do not wish to answer</w:t>
      </w:r>
      <w:r w:rsidRPr="00DD467C" w:rsidR="00484D82">
        <w:rPr>
          <w:rFonts w:ascii="Times New Roman" w:hAnsi="Times New Roman" w:cs="Times New Roman"/>
          <w:sz w:val="24"/>
          <w:szCs w:val="24"/>
        </w:rPr>
        <w:t xml:space="preserve">. </w:t>
      </w:r>
    </w:p>
    <w:p w:rsidR="00901ECF" w:rsidRPr="00DD467C" w:rsidP="008808F6" w14:paraId="688A13D8" w14:textId="746B477E">
      <w:pPr>
        <w:pStyle w:val="H3"/>
        <w:spacing w:line="276" w:lineRule="auto"/>
      </w:pPr>
      <w:r w:rsidRPr="00DD467C">
        <w:t>Qualitative interviews</w:t>
      </w:r>
    </w:p>
    <w:p w:rsidR="00980355" w:rsidRPr="00EE016F" w:rsidP="008808F6" w14:paraId="0E0AB561" w14:textId="0FD93AC7">
      <w:pPr>
        <w:pStyle w:val="ParagraphContinued"/>
        <w:spacing w:before="0" w:line="276" w:lineRule="auto"/>
        <w:ind w:left="900"/>
        <w:rPr>
          <w:rFonts w:ascii="Times New Roman" w:hAnsi="Times New Roman" w:cs="Times New Roman"/>
          <w:sz w:val="24"/>
          <w:szCs w:val="24"/>
        </w:rPr>
      </w:pPr>
      <w:r w:rsidRPr="00DD467C">
        <w:rPr>
          <w:rFonts w:ascii="Times New Roman" w:hAnsi="Times New Roman" w:cs="Times New Roman"/>
          <w:sz w:val="24"/>
          <w:szCs w:val="24"/>
        </w:rPr>
        <w:t>Ticketholders</w:t>
      </w:r>
      <w:r w:rsidRPr="00DD467C" w:rsidR="0017726D">
        <w:rPr>
          <w:rFonts w:ascii="Times New Roman" w:hAnsi="Times New Roman" w:cs="Times New Roman"/>
          <w:sz w:val="24"/>
          <w:szCs w:val="24"/>
        </w:rPr>
        <w:t xml:space="preserve"> might</w:t>
      </w:r>
      <w:r w:rsidRPr="00DD467C" w:rsidR="005A2409">
        <w:rPr>
          <w:rFonts w:ascii="Times New Roman" w:hAnsi="Times New Roman" w:cs="Times New Roman"/>
          <w:sz w:val="24"/>
          <w:szCs w:val="24"/>
        </w:rPr>
        <w:t xml:space="preserve"> find </w:t>
      </w:r>
      <w:r w:rsidRPr="00DD467C" w:rsidR="00684649">
        <w:rPr>
          <w:rFonts w:ascii="Times New Roman" w:hAnsi="Times New Roman" w:cs="Times New Roman"/>
          <w:sz w:val="24"/>
          <w:szCs w:val="24"/>
        </w:rPr>
        <w:t>it sensitive to</w:t>
      </w:r>
      <w:r w:rsidRPr="00DD467C" w:rsidR="005A2409">
        <w:rPr>
          <w:rFonts w:ascii="Times New Roman" w:hAnsi="Times New Roman" w:cs="Times New Roman"/>
          <w:sz w:val="24"/>
          <w:szCs w:val="24"/>
        </w:rPr>
        <w:t xml:space="preserve"> discuss their experiences with service </w:t>
      </w:r>
      <w:r w:rsidRPr="00DD467C" w:rsidR="00B61B33">
        <w:rPr>
          <w:rFonts w:ascii="Times New Roman" w:hAnsi="Times New Roman" w:cs="Times New Roman"/>
          <w:sz w:val="24"/>
          <w:szCs w:val="24"/>
        </w:rPr>
        <w:t>receipt</w:t>
      </w:r>
      <w:r w:rsidRPr="00DD467C" w:rsidR="005A2409">
        <w:rPr>
          <w:rFonts w:ascii="Times New Roman" w:hAnsi="Times New Roman" w:cs="Times New Roman"/>
          <w:sz w:val="24"/>
          <w:szCs w:val="24"/>
        </w:rPr>
        <w:t xml:space="preserve"> or barriers they encountered in accessing services. </w:t>
      </w:r>
      <w:r w:rsidR="00982C42">
        <w:rPr>
          <w:rFonts w:ascii="Times New Roman" w:hAnsi="Times New Roman" w:cs="Times New Roman"/>
          <w:sz w:val="24"/>
          <w:szCs w:val="24"/>
        </w:rPr>
        <w:t xml:space="preserve"> </w:t>
      </w:r>
      <w:r w:rsidRPr="00DD467C" w:rsidR="00922846">
        <w:rPr>
          <w:rFonts w:ascii="Times New Roman" w:hAnsi="Times New Roman" w:cs="Times New Roman"/>
          <w:sz w:val="24"/>
          <w:szCs w:val="24"/>
        </w:rPr>
        <w:t xml:space="preserve">As such, these interviews may have psychological costs pertaining to collection of data on these topics. </w:t>
      </w:r>
      <w:r w:rsidR="00982C42">
        <w:rPr>
          <w:rFonts w:ascii="Times New Roman" w:hAnsi="Times New Roman" w:cs="Times New Roman"/>
          <w:sz w:val="24"/>
          <w:szCs w:val="24"/>
        </w:rPr>
        <w:t xml:space="preserve"> </w:t>
      </w:r>
      <w:r w:rsidRPr="00DD467C" w:rsidR="00F61DAA">
        <w:rPr>
          <w:rFonts w:ascii="Times New Roman" w:hAnsi="Times New Roman" w:cs="Times New Roman"/>
          <w:sz w:val="24"/>
          <w:szCs w:val="24"/>
        </w:rPr>
        <w:t>Still, the d</w:t>
      </w:r>
      <w:r w:rsidRPr="00DD467C" w:rsidR="0069144B">
        <w:rPr>
          <w:rFonts w:ascii="Times New Roman" w:hAnsi="Times New Roman" w:cs="Times New Roman"/>
          <w:sz w:val="24"/>
          <w:szCs w:val="24"/>
        </w:rPr>
        <w:t>ata</w:t>
      </w:r>
      <w:r w:rsidR="00982C42">
        <w:rPr>
          <w:rFonts w:ascii="Times New Roman" w:hAnsi="Times New Roman" w:cs="Times New Roman"/>
          <w:sz w:val="24"/>
          <w:szCs w:val="24"/>
        </w:rPr>
        <w:t xml:space="preserve"> we are collecting</w:t>
      </w:r>
      <w:r w:rsidRPr="00DD467C" w:rsidR="0069144B">
        <w:rPr>
          <w:rFonts w:ascii="Times New Roman" w:hAnsi="Times New Roman" w:cs="Times New Roman"/>
          <w:sz w:val="24"/>
          <w:szCs w:val="24"/>
        </w:rPr>
        <w:t xml:space="preserve"> on these topics </w:t>
      </w:r>
      <w:r w:rsidRPr="00DD467C" w:rsidR="00DB5CF9">
        <w:rPr>
          <w:rFonts w:ascii="Times New Roman" w:hAnsi="Times New Roman" w:cs="Times New Roman"/>
          <w:sz w:val="24"/>
          <w:szCs w:val="24"/>
        </w:rPr>
        <w:t>are</w:t>
      </w:r>
      <w:r w:rsidRPr="00DD467C" w:rsidR="0069144B">
        <w:rPr>
          <w:rFonts w:ascii="Times New Roman" w:hAnsi="Times New Roman" w:cs="Times New Roman"/>
          <w:sz w:val="24"/>
          <w:szCs w:val="24"/>
        </w:rPr>
        <w:t xml:space="preserve"> critical to understanding </w:t>
      </w:r>
      <w:r w:rsidRPr="00DD467C" w:rsidR="00765E61">
        <w:rPr>
          <w:rFonts w:ascii="Times New Roman" w:hAnsi="Times New Roman" w:cs="Times New Roman"/>
          <w:sz w:val="24"/>
          <w:szCs w:val="24"/>
        </w:rPr>
        <w:t>how Ticket Act programs are working and to identify</w:t>
      </w:r>
      <w:r w:rsidRPr="00DD467C" w:rsidR="00DB5CF9">
        <w:rPr>
          <w:rFonts w:ascii="Times New Roman" w:hAnsi="Times New Roman" w:cs="Times New Roman"/>
          <w:sz w:val="24"/>
          <w:szCs w:val="24"/>
        </w:rPr>
        <w:t>ing</w:t>
      </w:r>
      <w:r w:rsidRPr="00DD467C" w:rsidR="00765E61">
        <w:rPr>
          <w:rFonts w:ascii="Times New Roman" w:hAnsi="Times New Roman" w:cs="Times New Roman"/>
          <w:sz w:val="24"/>
          <w:szCs w:val="24"/>
        </w:rPr>
        <w:t xml:space="preserve"> </w:t>
      </w:r>
      <w:r w:rsidRPr="00DD467C" w:rsidR="00636079">
        <w:rPr>
          <w:rFonts w:ascii="Times New Roman" w:hAnsi="Times New Roman" w:cs="Times New Roman"/>
          <w:sz w:val="24"/>
          <w:szCs w:val="24"/>
        </w:rPr>
        <w:t>service delivery</w:t>
      </w:r>
      <w:r w:rsidRPr="00EE016F" w:rsidR="00636079">
        <w:rPr>
          <w:rFonts w:ascii="Times New Roman" w:hAnsi="Times New Roman" w:cs="Times New Roman"/>
          <w:sz w:val="24"/>
          <w:szCs w:val="24"/>
        </w:rPr>
        <w:t xml:space="preserve"> </w:t>
      </w:r>
      <w:r w:rsidRPr="00EE016F" w:rsidR="00765E61">
        <w:rPr>
          <w:rFonts w:ascii="Times New Roman" w:hAnsi="Times New Roman" w:cs="Times New Roman"/>
          <w:sz w:val="24"/>
          <w:szCs w:val="24"/>
        </w:rPr>
        <w:t xml:space="preserve">issues related to </w:t>
      </w:r>
      <w:r w:rsidRPr="00EE016F" w:rsidR="00375116">
        <w:rPr>
          <w:rFonts w:ascii="Times New Roman" w:hAnsi="Times New Roman" w:cs="Times New Roman"/>
          <w:sz w:val="24"/>
          <w:szCs w:val="24"/>
        </w:rPr>
        <w:t>e</w:t>
      </w:r>
      <w:r w:rsidR="00375116">
        <w:rPr>
          <w:rFonts w:ascii="Times New Roman" w:hAnsi="Times New Roman" w:cs="Times New Roman"/>
          <w:sz w:val="24"/>
          <w:szCs w:val="24"/>
        </w:rPr>
        <w:t>fficiency</w:t>
      </w:r>
      <w:r w:rsidRPr="00EE016F" w:rsidR="00375116">
        <w:rPr>
          <w:rFonts w:ascii="Times New Roman" w:hAnsi="Times New Roman" w:cs="Times New Roman"/>
          <w:sz w:val="24"/>
          <w:szCs w:val="24"/>
        </w:rPr>
        <w:t xml:space="preserve"> </w:t>
      </w:r>
      <w:r w:rsidRPr="00EE016F" w:rsidR="00620BF4">
        <w:rPr>
          <w:rFonts w:ascii="Times New Roman" w:hAnsi="Times New Roman" w:cs="Times New Roman"/>
          <w:sz w:val="24"/>
          <w:szCs w:val="24"/>
        </w:rPr>
        <w:t>and effectiveness</w:t>
      </w:r>
      <w:r w:rsidRPr="00EE016F" w:rsidR="00101F5A">
        <w:rPr>
          <w:rFonts w:ascii="Times New Roman" w:hAnsi="Times New Roman" w:cs="Times New Roman"/>
          <w:sz w:val="24"/>
          <w:szCs w:val="24"/>
        </w:rPr>
        <w:t>.</w:t>
      </w:r>
      <w:r w:rsidRPr="00EE016F" w:rsidR="00BB24B7">
        <w:rPr>
          <w:rFonts w:ascii="Times New Roman" w:hAnsi="Times New Roman" w:cs="Times New Roman"/>
          <w:sz w:val="24"/>
          <w:szCs w:val="24"/>
        </w:rPr>
        <w:t xml:space="preserve"> </w:t>
      </w:r>
      <w:r w:rsidR="00982C42">
        <w:rPr>
          <w:rFonts w:ascii="Times New Roman" w:hAnsi="Times New Roman" w:cs="Times New Roman"/>
          <w:sz w:val="24"/>
          <w:szCs w:val="24"/>
        </w:rPr>
        <w:t xml:space="preserve"> </w:t>
      </w:r>
      <w:r w:rsidRPr="00EE016F" w:rsidR="00BA4A6F">
        <w:rPr>
          <w:rFonts w:ascii="Times New Roman" w:hAnsi="Times New Roman" w:cs="Times New Roman"/>
          <w:sz w:val="24"/>
          <w:szCs w:val="24"/>
        </w:rPr>
        <w:t>Qu</w:t>
      </w:r>
      <w:r w:rsidRPr="00EE016F" w:rsidR="007E7D7C">
        <w:rPr>
          <w:rFonts w:ascii="Times New Roman" w:hAnsi="Times New Roman" w:cs="Times New Roman"/>
          <w:sz w:val="24"/>
          <w:szCs w:val="24"/>
        </w:rPr>
        <w:t xml:space="preserve">alitative interviews </w:t>
      </w:r>
      <w:r w:rsidRPr="00EE016F" w:rsidR="00676C58">
        <w:rPr>
          <w:rFonts w:ascii="Times New Roman" w:hAnsi="Times New Roman" w:cs="Times New Roman"/>
          <w:sz w:val="24"/>
          <w:szCs w:val="24"/>
        </w:rPr>
        <w:t xml:space="preserve">will not collect data that </w:t>
      </w:r>
      <w:r w:rsidR="00ED59E9">
        <w:rPr>
          <w:rFonts w:ascii="Times New Roman" w:hAnsi="Times New Roman" w:cs="Times New Roman"/>
          <w:sz w:val="24"/>
          <w:szCs w:val="24"/>
        </w:rPr>
        <w:t xml:space="preserve">is </w:t>
      </w:r>
      <w:r w:rsidRPr="00EE016F" w:rsidR="00F61DAA">
        <w:rPr>
          <w:rFonts w:ascii="Times New Roman" w:hAnsi="Times New Roman" w:cs="Times New Roman"/>
          <w:sz w:val="24"/>
          <w:szCs w:val="24"/>
        </w:rPr>
        <w:t>available</w:t>
      </w:r>
      <w:r w:rsidRPr="00EE016F" w:rsidR="00676C58">
        <w:rPr>
          <w:rFonts w:ascii="Times New Roman" w:hAnsi="Times New Roman" w:cs="Times New Roman"/>
          <w:sz w:val="24"/>
          <w:szCs w:val="24"/>
        </w:rPr>
        <w:t xml:space="preserve"> from other sources (such as from SSA administrative records).</w:t>
      </w:r>
      <w:r w:rsidRPr="00EE016F" w:rsidR="00901D1C">
        <w:rPr>
          <w:rFonts w:ascii="Times New Roman" w:hAnsi="Times New Roman" w:cs="Times New Roman"/>
          <w:sz w:val="24"/>
          <w:szCs w:val="24"/>
        </w:rPr>
        <w:t xml:space="preserve"> </w:t>
      </w:r>
      <w:r w:rsidR="00982C42">
        <w:rPr>
          <w:rFonts w:ascii="Times New Roman" w:hAnsi="Times New Roman" w:cs="Times New Roman"/>
          <w:sz w:val="24"/>
          <w:szCs w:val="24"/>
        </w:rPr>
        <w:t xml:space="preserve"> </w:t>
      </w:r>
      <w:r w:rsidRPr="00EE016F">
        <w:rPr>
          <w:rFonts w:ascii="Times New Roman" w:hAnsi="Times New Roman" w:cs="Times New Roman"/>
          <w:sz w:val="24"/>
          <w:szCs w:val="24"/>
        </w:rPr>
        <w:t xml:space="preserve">The consent form </w:t>
      </w:r>
      <w:r w:rsidRPr="00EE016F" w:rsidR="00083BAF">
        <w:rPr>
          <w:rFonts w:ascii="Times New Roman" w:hAnsi="Times New Roman" w:cs="Times New Roman"/>
          <w:sz w:val="24"/>
          <w:szCs w:val="24"/>
        </w:rPr>
        <w:t>describes</w:t>
      </w:r>
      <w:r w:rsidRPr="00EE016F" w:rsidR="004B751F">
        <w:rPr>
          <w:rFonts w:ascii="Times New Roman" w:hAnsi="Times New Roman" w:cs="Times New Roman"/>
          <w:sz w:val="24"/>
          <w:szCs w:val="24"/>
        </w:rPr>
        <w:t xml:space="preserve"> </w:t>
      </w:r>
      <w:r w:rsidRPr="00EE016F" w:rsidR="004218DC">
        <w:rPr>
          <w:rFonts w:ascii="Times New Roman" w:hAnsi="Times New Roman" w:cs="Times New Roman"/>
          <w:sz w:val="24"/>
          <w:szCs w:val="24"/>
        </w:rPr>
        <w:t>that</w:t>
      </w:r>
      <w:r w:rsidRPr="00EE016F" w:rsidR="004B751F">
        <w:rPr>
          <w:rFonts w:ascii="Times New Roman" w:hAnsi="Times New Roman" w:cs="Times New Roman"/>
          <w:sz w:val="24"/>
          <w:szCs w:val="24"/>
        </w:rPr>
        <w:t xml:space="preserve"> (1)</w:t>
      </w:r>
      <w:r w:rsidR="00ED59E9">
        <w:rPr>
          <w:rFonts w:ascii="Times New Roman" w:hAnsi="Times New Roman" w:cs="Times New Roman"/>
          <w:sz w:val="24"/>
          <w:szCs w:val="24"/>
        </w:rPr>
        <w:t> </w:t>
      </w:r>
      <w:r w:rsidRPr="00EE016F">
        <w:rPr>
          <w:rFonts w:ascii="Times New Roman" w:hAnsi="Times New Roman" w:cs="Times New Roman"/>
          <w:sz w:val="24"/>
          <w:szCs w:val="24"/>
        </w:rPr>
        <w:t xml:space="preserve">the information </w:t>
      </w:r>
      <w:r w:rsidR="00ED59E9">
        <w:rPr>
          <w:rFonts w:ascii="Times New Roman" w:hAnsi="Times New Roman" w:cs="Times New Roman"/>
          <w:sz w:val="24"/>
          <w:szCs w:val="24"/>
        </w:rPr>
        <w:t xml:space="preserve">the respondents </w:t>
      </w:r>
      <w:r w:rsidRPr="00EE016F" w:rsidR="007F1F95">
        <w:rPr>
          <w:rFonts w:ascii="Times New Roman" w:hAnsi="Times New Roman" w:cs="Times New Roman"/>
          <w:sz w:val="24"/>
          <w:szCs w:val="24"/>
        </w:rPr>
        <w:t xml:space="preserve">provide in the interviews </w:t>
      </w:r>
      <w:r w:rsidRPr="00EE016F">
        <w:rPr>
          <w:rFonts w:ascii="Times New Roman" w:hAnsi="Times New Roman" w:cs="Times New Roman"/>
          <w:sz w:val="24"/>
          <w:szCs w:val="24"/>
        </w:rPr>
        <w:t xml:space="preserve">is confidential and </w:t>
      </w:r>
      <w:r w:rsidR="00ED59E9">
        <w:rPr>
          <w:rFonts w:ascii="Times New Roman" w:hAnsi="Times New Roman" w:cs="Times New Roman"/>
          <w:sz w:val="24"/>
          <w:szCs w:val="24"/>
        </w:rPr>
        <w:t xml:space="preserve">we will only use it </w:t>
      </w:r>
      <w:r w:rsidRPr="00EE016F">
        <w:rPr>
          <w:rFonts w:ascii="Times New Roman" w:hAnsi="Times New Roman" w:cs="Times New Roman"/>
          <w:sz w:val="24"/>
          <w:szCs w:val="24"/>
        </w:rPr>
        <w:t>for research purposes</w:t>
      </w:r>
      <w:r w:rsidRPr="00EE016F" w:rsidR="004B751F">
        <w:rPr>
          <w:rFonts w:ascii="Times New Roman" w:hAnsi="Times New Roman" w:cs="Times New Roman"/>
          <w:sz w:val="24"/>
          <w:szCs w:val="24"/>
        </w:rPr>
        <w:t xml:space="preserve"> and (2) </w:t>
      </w:r>
      <w:r w:rsidRPr="00EE016F" w:rsidR="00D46374">
        <w:rPr>
          <w:rFonts w:ascii="Times New Roman" w:hAnsi="Times New Roman" w:cs="Times New Roman"/>
          <w:sz w:val="24"/>
          <w:szCs w:val="24"/>
        </w:rPr>
        <w:t xml:space="preserve">interviewees </w:t>
      </w:r>
      <w:r w:rsidRPr="00EE016F" w:rsidR="00F61DAA">
        <w:rPr>
          <w:rFonts w:ascii="Times New Roman" w:hAnsi="Times New Roman" w:cs="Times New Roman"/>
          <w:sz w:val="24"/>
          <w:szCs w:val="24"/>
        </w:rPr>
        <w:t>can</w:t>
      </w:r>
      <w:r w:rsidRPr="00EE016F">
        <w:rPr>
          <w:rFonts w:ascii="Times New Roman" w:hAnsi="Times New Roman" w:cs="Times New Roman"/>
          <w:sz w:val="24"/>
          <w:szCs w:val="24"/>
        </w:rPr>
        <w:t xml:space="preserve"> decline </w:t>
      </w:r>
      <w:r w:rsidRPr="00EE016F" w:rsidR="00F61DAA">
        <w:rPr>
          <w:rFonts w:ascii="Times New Roman" w:hAnsi="Times New Roman" w:cs="Times New Roman"/>
          <w:sz w:val="24"/>
          <w:szCs w:val="24"/>
        </w:rPr>
        <w:t xml:space="preserve">to </w:t>
      </w:r>
      <w:r w:rsidRPr="00EE016F">
        <w:rPr>
          <w:rFonts w:ascii="Times New Roman" w:hAnsi="Times New Roman" w:cs="Times New Roman"/>
          <w:sz w:val="24"/>
          <w:szCs w:val="24"/>
        </w:rPr>
        <w:t>answer questions they find too sensitive.</w:t>
      </w:r>
      <w:r w:rsidR="00982C42">
        <w:rPr>
          <w:rFonts w:ascii="Times New Roman" w:hAnsi="Times New Roman" w:cs="Times New Roman"/>
          <w:sz w:val="24"/>
          <w:szCs w:val="24"/>
        </w:rPr>
        <w:t xml:space="preserve"> </w:t>
      </w:r>
      <w:r w:rsidRPr="00EE016F">
        <w:rPr>
          <w:rFonts w:ascii="Times New Roman" w:hAnsi="Times New Roman" w:cs="Times New Roman"/>
          <w:sz w:val="24"/>
          <w:szCs w:val="24"/>
        </w:rPr>
        <w:t xml:space="preserve"> </w:t>
      </w:r>
      <w:r w:rsidRPr="00EE016F" w:rsidR="00F61DAA">
        <w:rPr>
          <w:rFonts w:ascii="Times New Roman" w:hAnsi="Times New Roman" w:cs="Times New Roman"/>
          <w:sz w:val="24"/>
          <w:szCs w:val="24"/>
        </w:rPr>
        <w:t>Before collecting</w:t>
      </w:r>
      <w:r w:rsidRPr="00EE016F" w:rsidR="00D46374">
        <w:rPr>
          <w:rFonts w:ascii="Times New Roman" w:hAnsi="Times New Roman" w:cs="Times New Roman"/>
          <w:sz w:val="24"/>
          <w:szCs w:val="24"/>
        </w:rPr>
        <w:t xml:space="preserve"> data, </w:t>
      </w:r>
      <w:r w:rsidRPr="00EE016F" w:rsidR="007857A4">
        <w:rPr>
          <w:rFonts w:ascii="Times New Roman" w:hAnsi="Times New Roman" w:cs="Times New Roman"/>
          <w:sz w:val="24"/>
          <w:szCs w:val="24"/>
        </w:rPr>
        <w:t xml:space="preserve">Mathematica will </w:t>
      </w:r>
      <w:r w:rsidRPr="00EE016F">
        <w:rPr>
          <w:rFonts w:ascii="Times New Roman" w:hAnsi="Times New Roman" w:cs="Times New Roman"/>
          <w:sz w:val="24"/>
          <w:szCs w:val="24"/>
        </w:rPr>
        <w:t>train interviewers on how to administer the instrument and probe on sensitive items.</w:t>
      </w:r>
    </w:p>
    <w:p w:rsidR="00FD7AC7" w:rsidRPr="00EE016F" w:rsidP="008808F6" w14:paraId="749C146B" w14:textId="5CDBA7DF">
      <w:pPr>
        <w:pStyle w:val="H2"/>
        <w:spacing w:line="276" w:lineRule="auto"/>
        <w:ind w:left="900" w:hanging="450"/>
        <w:rPr>
          <w:rFonts w:ascii="Times New Roman" w:hAnsi="Times New Roman" w:cs="Times New Roman"/>
          <w:szCs w:val="24"/>
        </w:rPr>
      </w:pPr>
      <w:bookmarkStart w:id="47" w:name="_Toc476059362"/>
      <w:bookmarkStart w:id="48" w:name="_Toc130382268"/>
      <w:bookmarkStart w:id="49" w:name="_Toc183510769"/>
      <w:r w:rsidRPr="00EE016F">
        <w:rPr>
          <w:rFonts w:ascii="Times New Roman" w:hAnsi="Times New Roman" w:cs="Times New Roman"/>
          <w:szCs w:val="24"/>
        </w:rPr>
        <w:t xml:space="preserve">12. </w:t>
      </w:r>
      <w:r w:rsidRPr="00EE016F">
        <w:rPr>
          <w:rFonts w:ascii="Times New Roman" w:hAnsi="Times New Roman" w:cs="Times New Roman"/>
          <w:szCs w:val="24"/>
        </w:rPr>
        <w:tab/>
        <w:t xml:space="preserve">Estimates of </w:t>
      </w:r>
      <w:r w:rsidR="0077270B">
        <w:rPr>
          <w:rFonts w:ascii="Times New Roman" w:hAnsi="Times New Roman" w:cs="Times New Roman"/>
          <w:szCs w:val="24"/>
        </w:rPr>
        <w:t>P</w:t>
      </w:r>
      <w:r w:rsidRPr="00EE016F">
        <w:rPr>
          <w:rFonts w:ascii="Times New Roman" w:hAnsi="Times New Roman" w:cs="Times New Roman"/>
          <w:szCs w:val="24"/>
        </w:rPr>
        <w:t xml:space="preserve">ublic </w:t>
      </w:r>
      <w:r w:rsidR="0077270B">
        <w:rPr>
          <w:rFonts w:ascii="Times New Roman" w:hAnsi="Times New Roman" w:cs="Times New Roman"/>
          <w:szCs w:val="24"/>
        </w:rPr>
        <w:t>R</w:t>
      </w:r>
      <w:r w:rsidRPr="00EE016F">
        <w:rPr>
          <w:rFonts w:ascii="Times New Roman" w:hAnsi="Times New Roman" w:cs="Times New Roman"/>
          <w:szCs w:val="24"/>
        </w:rPr>
        <w:t xml:space="preserve">eporting </w:t>
      </w:r>
      <w:r w:rsidR="0077270B">
        <w:rPr>
          <w:rFonts w:ascii="Times New Roman" w:hAnsi="Times New Roman" w:cs="Times New Roman"/>
          <w:szCs w:val="24"/>
        </w:rPr>
        <w:t>B</w:t>
      </w:r>
      <w:r w:rsidRPr="00EE016F">
        <w:rPr>
          <w:rFonts w:ascii="Times New Roman" w:hAnsi="Times New Roman" w:cs="Times New Roman"/>
          <w:szCs w:val="24"/>
        </w:rPr>
        <w:t>urden</w:t>
      </w:r>
      <w:bookmarkEnd w:id="47"/>
      <w:bookmarkEnd w:id="48"/>
      <w:bookmarkEnd w:id="49"/>
    </w:p>
    <w:p w:rsidR="0003159D" w:rsidRPr="006C2A53" w:rsidP="008808F6" w14:paraId="09938C2E" w14:textId="0A277F11">
      <w:pPr>
        <w:pStyle w:val="ParagraphContinued"/>
        <w:spacing w:before="0" w:line="276" w:lineRule="auto"/>
        <w:ind w:left="900"/>
        <w:rPr>
          <w:rFonts w:ascii="Times New Roman" w:hAnsi="Times New Roman" w:cs="Times New Roman"/>
          <w:sz w:val="24"/>
          <w:szCs w:val="24"/>
        </w:rPr>
      </w:pPr>
      <w:r w:rsidRPr="008808F6">
        <w:rPr>
          <w:rFonts w:ascii="Times New Roman" w:hAnsi="Times New Roman"/>
          <w:sz w:val="24"/>
        </w:rPr>
        <w:t xml:space="preserve">The chart below </w:t>
      </w:r>
      <w:r w:rsidRPr="008808F6" w:rsidR="00F144A1">
        <w:rPr>
          <w:rFonts w:ascii="Times New Roman" w:hAnsi="Times New Roman"/>
          <w:sz w:val="24"/>
        </w:rPr>
        <w:t>provide</w:t>
      </w:r>
      <w:r w:rsidRPr="008808F6">
        <w:rPr>
          <w:rFonts w:ascii="Times New Roman" w:hAnsi="Times New Roman"/>
          <w:sz w:val="24"/>
        </w:rPr>
        <w:t>s</w:t>
      </w:r>
      <w:r w:rsidRPr="008808F6" w:rsidR="00F144A1">
        <w:rPr>
          <w:rFonts w:ascii="Times New Roman" w:hAnsi="Times New Roman"/>
          <w:sz w:val="24"/>
        </w:rPr>
        <w:t xml:space="preserve"> the annual time </w:t>
      </w:r>
      <w:r w:rsidRPr="006C2A53" w:rsidR="00F144A1">
        <w:rPr>
          <w:rFonts w:ascii="Times New Roman" w:hAnsi="Times New Roman"/>
          <w:sz w:val="24"/>
          <w:szCs w:val="24"/>
        </w:rPr>
        <w:t>burden</w:t>
      </w:r>
      <w:r w:rsidR="006C2A53">
        <w:rPr>
          <w:rFonts w:ascii="Times New Roman" w:hAnsi="Times New Roman"/>
          <w:sz w:val="24"/>
          <w:szCs w:val="24"/>
        </w:rPr>
        <w:t xml:space="preserve"> </w:t>
      </w:r>
      <w:r w:rsidRPr="006C2A53" w:rsidR="00F144A1">
        <w:rPr>
          <w:rFonts w:ascii="Times New Roman" w:hAnsi="Times New Roman"/>
          <w:sz w:val="24"/>
          <w:szCs w:val="24"/>
        </w:rPr>
        <w:t>for</w:t>
      </w:r>
      <w:r w:rsidRPr="008808F6" w:rsidR="00F144A1">
        <w:rPr>
          <w:rFonts w:ascii="Times New Roman" w:hAnsi="Times New Roman"/>
          <w:sz w:val="24"/>
        </w:rPr>
        <w:t xml:space="preserve"> this </w:t>
      </w:r>
      <w:r w:rsidRPr="008808F6">
        <w:rPr>
          <w:rFonts w:ascii="Times New Roman" w:hAnsi="Times New Roman"/>
          <w:sz w:val="24"/>
        </w:rPr>
        <w:t xml:space="preserve">information </w:t>
      </w:r>
      <w:r w:rsidRPr="008808F6" w:rsidR="00F144A1">
        <w:rPr>
          <w:rFonts w:ascii="Times New Roman" w:hAnsi="Times New Roman"/>
          <w:sz w:val="24"/>
        </w:rPr>
        <w:t>collection</w:t>
      </w:r>
      <w:r w:rsidRPr="008808F6" w:rsidR="00D97043">
        <w:rPr>
          <w:rFonts w:ascii="Times New Roman" w:hAnsi="Times New Roman"/>
          <w:sz w:val="24"/>
        </w:rPr>
        <w:t xml:space="preserve">. </w:t>
      </w:r>
      <w:r w:rsidR="00982C42">
        <w:rPr>
          <w:rFonts w:ascii="Times New Roman" w:hAnsi="Times New Roman"/>
          <w:sz w:val="24"/>
        </w:rPr>
        <w:t xml:space="preserve"> </w:t>
      </w:r>
      <w:r w:rsidRPr="008808F6" w:rsidR="006C048C">
        <w:rPr>
          <w:rFonts w:ascii="Times New Roman" w:hAnsi="Times New Roman"/>
          <w:sz w:val="24"/>
        </w:rPr>
        <w:t xml:space="preserve">We also include </w:t>
      </w:r>
      <w:r w:rsidRPr="008808F6" w:rsidR="00272E54">
        <w:rPr>
          <w:rFonts w:ascii="Times New Roman" w:hAnsi="Times New Roman"/>
          <w:sz w:val="24"/>
        </w:rPr>
        <w:t xml:space="preserve">our considerations of financial opportunity costs, travel costs, and learning costs potentially associated with this information collection. </w:t>
      </w:r>
      <w:r w:rsidR="00982C42">
        <w:rPr>
          <w:rFonts w:ascii="Times New Roman" w:hAnsi="Times New Roman"/>
          <w:sz w:val="24"/>
        </w:rPr>
        <w:t xml:space="preserve"> </w:t>
      </w:r>
      <w:r w:rsidRPr="008808F6" w:rsidR="00B13A15">
        <w:rPr>
          <w:rFonts w:ascii="Times New Roman" w:hAnsi="Times New Roman"/>
          <w:sz w:val="24"/>
        </w:rPr>
        <w:t xml:space="preserve">We provide a summary of the burden estimates by calendar year, type of collection, and respondent type in </w:t>
      </w:r>
      <w:r w:rsidRPr="008808F6" w:rsidR="00BA33D0">
        <w:rPr>
          <w:rFonts w:ascii="Times New Roman" w:hAnsi="Times New Roman"/>
          <w:sz w:val="24"/>
        </w:rPr>
        <w:t>the table below</w:t>
      </w:r>
      <w:r w:rsidR="00B85F70">
        <w:rPr>
          <w:rFonts w:ascii="Times New Roman" w:hAnsi="Times New Roman"/>
          <w:sz w:val="24"/>
        </w:rPr>
        <w:t>:</w:t>
      </w:r>
      <w:r w:rsidRPr="008808F6" w:rsidR="00B13A15">
        <w:rPr>
          <w:rFonts w:ascii="Times New Roman" w:hAnsi="Times New Roman"/>
          <w:sz w:val="24"/>
        </w:rPr>
        <w:t xml:space="preserve"> </w:t>
      </w:r>
    </w:p>
    <w:p w:rsidR="00F7582B" w:rsidRPr="00EE016F" w:rsidP="00D67CF9" w14:paraId="5B9DDA52" w14:textId="0F11F007">
      <w:pPr>
        <w:pStyle w:val="Tabletitle"/>
        <w:spacing w:line="276" w:lineRule="auto"/>
        <w:ind w:left="900"/>
        <w:rPr>
          <w:rFonts w:ascii="Times New Roman" w:hAnsi="Times New Roman"/>
          <w:b w:val="0"/>
          <w:bCs/>
          <w:sz w:val="24"/>
          <w:szCs w:val="24"/>
        </w:rPr>
      </w:pPr>
      <w:bookmarkStart w:id="50" w:name="_Hlk180421119"/>
      <w:r>
        <w:rPr>
          <w:rFonts w:ascii="Times New Roman" w:hAnsi="Times New Roman"/>
          <w:bCs/>
          <w:sz w:val="24"/>
          <w:szCs w:val="24"/>
        </w:rPr>
        <w:t>E</w:t>
      </w:r>
      <w:r w:rsidRPr="00EE016F" w:rsidR="001F1B5C">
        <w:rPr>
          <w:rFonts w:ascii="Times New Roman" w:hAnsi="Times New Roman"/>
          <w:bCs/>
          <w:sz w:val="24"/>
          <w:szCs w:val="24"/>
        </w:rPr>
        <w:t xml:space="preserve">stimated </w:t>
      </w:r>
      <w:r w:rsidRPr="00EE016F" w:rsidR="00F2244A">
        <w:rPr>
          <w:rFonts w:ascii="Times New Roman" w:hAnsi="Times New Roman"/>
          <w:bCs/>
          <w:sz w:val="24"/>
          <w:szCs w:val="24"/>
        </w:rPr>
        <w:t>t</w:t>
      </w:r>
      <w:r w:rsidRPr="00EE016F" w:rsidR="001F1B5C">
        <w:rPr>
          <w:rFonts w:ascii="Times New Roman" w:hAnsi="Times New Roman"/>
          <w:bCs/>
          <w:sz w:val="24"/>
          <w:szCs w:val="24"/>
        </w:rPr>
        <w:t xml:space="preserve">otal </w:t>
      </w:r>
      <w:r w:rsidRPr="00EE016F" w:rsidR="00F2244A">
        <w:rPr>
          <w:rFonts w:ascii="Times New Roman" w:hAnsi="Times New Roman"/>
          <w:bCs/>
          <w:sz w:val="24"/>
          <w:szCs w:val="24"/>
        </w:rPr>
        <w:t>a</w:t>
      </w:r>
      <w:r w:rsidRPr="00EE016F" w:rsidR="001F1B5C">
        <w:rPr>
          <w:rFonts w:ascii="Times New Roman" w:hAnsi="Times New Roman"/>
          <w:bCs/>
          <w:sz w:val="24"/>
          <w:szCs w:val="24"/>
        </w:rPr>
        <w:t xml:space="preserve">nnual </w:t>
      </w:r>
      <w:r w:rsidRPr="00EE016F" w:rsidR="00F2244A">
        <w:rPr>
          <w:rFonts w:ascii="Times New Roman" w:hAnsi="Times New Roman"/>
          <w:bCs/>
          <w:sz w:val="24"/>
          <w:szCs w:val="24"/>
        </w:rPr>
        <w:t>b</w:t>
      </w:r>
      <w:r w:rsidRPr="00EE016F" w:rsidR="001F1B5C">
        <w:rPr>
          <w:rFonts w:ascii="Times New Roman" w:hAnsi="Times New Roman"/>
          <w:bCs/>
          <w:sz w:val="24"/>
          <w:szCs w:val="24"/>
        </w:rPr>
        <w:t xml:space="preserve">urden by </w:t>
      </w:r>
      <w:r w:rsidRPr="00EE016F" w:rsidR="00F2244A">
        <w:rPr>
          <w:rFonts w:ascii="Times New Roman" w:hAnsi="Times New Roman"/>
          <w:bCs/>
          <w:sz w:val="24"/>
          <w:szCs w:val="24"/>
        </w:rPr>
        <w:t>r</w:t>
      </w:r>
      <w:r w:rsidRPr="00EE016F" w:rsidR="001F1B5C">
        <w:rPr>
          <w:rFonts w:ascii="Times New Roman" w:hAnsi="Times New Roman"/>
          <w:bCs/>
          <w:sz w:val="24"/>
          <w:szCs w:val="24"/>
        </w:rPr>
        <w:t xml:space="preserve">espondent </w:t>
      </w:r>
      <w:r w:rsidRPr="00EE016F" w:rsidR="00F2244A">
        <w:rPr>
          <w:rFonts w:ascii="Times New Roman" w:hAnsi="Times New Roman"/>
          <w:bCs/>
          <w:sz w:val="24"/>
          <w:szCs w:val="24"/>
        </w:rPr>
        <w:t>t</w:t>
      </w:r>
      <w:r w:rsidRPr="00EE016F" w:rsidR="001F1B5C">
        <w:rPr>
          <w:rFonts w:ascii="Times New Roman" w:hAnsi="Times New Roman"/>
          <w:bCs/>
          <w:sz w:val="24"/>
          <w:szCs w:val="24"/>
        </w:rPr>
        <w:t>ype</w:t>
      </w:r>
    </w:p>
    <w:tbl>
      <w:tblPr>
        <w:tblStyle w:val="TableGrid"/>
        <w:tblW w:w="10170" w:type="dxa"/>
        <w:tblInd w:w="-365" w:type="dxa"/>
        <w:tblLayout w:type="fixed"/>
        <w:tblLook w:val="04A0"/>
      </w:tblPr>
      <w:tblGrid>
        <w:gridCol w:w="1800"/>
        <w:gridCol w:w="1440"/>
        <w:gridCol w:w="1620"/>
        <w:gridCol w:w="1440"/>
        <w:gridCol w:w="1080"/>
        <w:gridCol w:w="1350"/>
        <w:gridCol w:w="1440"/>
      </w:tblGrid>
      <w:tr w14:paraId="342E3444" w14:textId="1306138A" w:rsidTr="003A1ABF">
        <w:tblPrEx>
          <w:tblW w:w="10170" w:type="dxa"/>
          <w:tblInd w:w="-365" w:type="dxa"/>
          <w:tblLayout w:type="fixed"/>
          <w:tblLook w:val="04A0"/>
        </w:tblPrEx>
        <w:trPr>
          <w:tblHeader/>
        </w:trPr>
        <w:tc>
          <w:tcPr>
            <w:tcW w:w="1800" w:type="dxa"/>
            <w:shd w:val="clear" w:color="auto" w:fill="FFFF00"/>
          </w:tcPr>
          <w:bookmarkEnd w:id="50"/>
          <w:p w:rsidR="003A1ABF" w:rsidRPr="00982C42" w:rsidP="00982C42" w14:paraId="639FD160" w14:textId="04743D5D">
            <w:pPr>
              <w:spacing w:line="276" w:lineRule="auto"/>
              <w:ind w:left="-43" w:right="-43"/>
              <w:rPr>
                <w:rFonts w:ascii="Times New Roman" w:hAnsi="Times New Roman"/>
                <w:b/>
              </w:rPr>
            </w:pPr>
            <w:r w:rsidRPr="00982C42">
              <w:rPr>
                <w:rFonts w:ascii="Times New Roman" w:hAnsi="Times New Roman"/>
                <w:b/>
              </w:rPr>
              <w:t>Modality of completion</w:t>
            </w:r>
          </w:p>
        </w:tc>
        <w:tc>
          <w:tcPr>
            <w:tcW w:w="1440" w:type="dxa"/>
            <w:shd w:val="clear" w:color="auto" w:fill="FFFF00"/>
          </w:tcPr>
          <w:p w:rsidR="003A1ABF" w:rsidRPr="00982C42" w:rsidP="00982C42" w14:paraId="23E84137" w14:textId="78C7422F">
            <w:pPr>
              <w:spacing w:line="276" w:lineRule="auto"/>
              <w:ind w:left="-43" w:right="-43"/>
              <w:rPr>
                <w:rFonts w:ascii="Times New Roman" w:hAnsi="Times New Roman"/>
                <w:b/>
              </w:rPr>
            </w:pPr>
            <w:r w:rsidRPr="00982C42">
              <w:rPr>
                <w:rFonts w:ascii="Times New Roman" w:hAnsi="Times New Roman"/>
                <w:b/>
              </w:rPr>
              <w:t>Number of respondents</w:t>
            </w:r>
          </w:p>
        </w:tc>
        <w:tc>
          <w:tcPr>
            <w:tcW w:w="1620" w:type="dxa"/>
            <w:shd w:val="clear" w:color="auto" w:fill="FFFF00"/>
          </w:tcPr>
          <w:p w:rsidR="003A1ABF" w:rsidRPr="00982C42" w:rsidP="00982C42" w14:paraId="201A9CEB" w14:textId="684794F6">
            <w:pPr>
              <w:spacing w:line="276" w:lineRule="auto"/>
              <w:ind w:left="-43" w:right="-43"/>
              <w:rPr>
                <w:rFonts w:ascii="Times New Roman" w:hAnsi="Times New Roman"/>
                <w:b/>
              </w:rPr>
            </w:pPr>
            <w:r w:rsidRPr="00982C42">
              <w:rPr>
                <w:rFonts w:ascii="Times New Roman" w:hAnsi="Times New Roman"/>
                <w:b/>
              </w:rPr>
              <w:t>Frequency of Response</w:t>
            </w:r>
          </w:p>
        </w:tc>
        <w:tc>
          <w:tcPr>
            <w:tcW w:w="1440" w:type="dxa"/>
            <w:shd w:val="clear" w:color="auto" w:fill="FFFF00"/>
          </w:tcPr>
          <w:p w:rsidR="003A1ABF" w:rsidRPr="00982C42" w:rsidP="00982C42" w14:paraId="5B3B9CA2" w14:textId="628BBB62">
            <w:pPr>
              <w:spacing w:line="276" w:lineRule="auto"/>
              <w:ind w:left="-43" w:right="-43"/>
              <w:rPr>
                <w:rFonts w:ascii="Times New Roman" w:hAnsi="Times New Roman"/>
                <w:b/>
              </w:rPr>
            </w:pPr>
            <w:r w:rsidRPr="00982C42">
              <w:rPr>
                <w:rFonts w:ascii="Times New Roman" w:hAnsi="Times New Roman"/>
                <w:b/>
              </w:rPr>
              <w:t>Average burden per response (minutes)</w:t>
            </w:r>
          </w:p>
        </w:tc>
        <w:tc>
          <w:tcPr>
            <w:tcW w:w="1080" w:type="dxa"/>
            <w:shd w:val="clear" w:color="auto" w:fill="FFFF00"/>
          </w:tcPr>
          <w:p w:rsidR="003A1ABF" w:rsidRPr="00982C42" w:rsidP="00982C42" w14:paraId="0FA908A6" w14:textId="03606A31">
            <w:pPr>
              <w:spacing w:line="276" w:lineRule="auto"/>
              <w:ind w:left="-43" w:right="-43"/>
              <w:rPr>
                <w:rFonts w:ascii="Times New Roman" w:hAnsi="Times New Roman"/>
                <w:b/>
              </w:rPr>
            </w:pPr>
            <w:r w:rsidRPr="00982C42">
              <w:rPr>
                <w:rFonts w:ascii="Times New Roman" w:hAnsi="Times New Roman"/>
                <w:b/>
              </w:rPr>
              <w:t>Total annual burden</w:t>
            </w:r>
          </w:p>
          <w:p w:rsidR="003A1ABF" w:rsidRPr="00982C42" w:rsidP="00982C42" w14:paraId="18F4E306" w14:textId="0B5642C2">
            <w:pPr>
              <w:spacing w:line="276" w:lineRule="auto"/>
              <w:ind w:left="-43" w:right="-43"/>
              <w:rPr>
                <w:rFonts w:ascii="Times New Roman" w:hAnsi="Times New Roman"/>
                <w:b/>
              </w:rPr>
            </w:pPr>
            <w:r w:rsidRPr="00982C42">
              <w:rPr>
                <w:rFonts w:ascii="Times New Roman" w:hAnsi="Times New Roman"/>
                <w:b/>
              </w:rPr>
              <w:t>(hours)</w:t>
            </w:r>
            <w:r>
              <w:rPr>
                <w:rFonts w:ascii="Times New Roman" w:hAnsi="Times New Roman"/>
                <w:b/>
                <w:vertAlign w:val="superscript"/>
              </w:rPr>
              <w:t>*</w:t>
            </w:r>
          </w:p>
        </w:tc>
        <w:tc>
          <w:tcPr>
            <w:tcW w:w="1350" w:type="dxa"/>
            <w:shd w:val="clear" w:color="auto" w:fill="FFFF00"/>
          </w:tcPr>
          <w:p w:rsidR="003A1ABF" w:rsidRPr="00982C42" w:rsidP="00982C42" w14:paraId="4A0912CC" w14:textId="69C84226">
            <w:pPr>
              <w:spacing w:line="276" w:lineRule="auto"/>
              <w:ind w:left="-43" w:right="-43"/>
              <w:rPr>
                <w:rFonts w:ascii="Times New Roman" w:hAnsi="Times New Roman"/>
                <w:b/>
              </w:rPr>
            </w:pPr>
            <w:r w:rsidRPr="00982C42">
              <w:rPr>
                <w:rFonts w:ascii="Times New Roman" w:hAnsi="Times New Roman"/>
                <w:b/>
              </w:rPr>
              <w:t>Average theoretical hourly cost</w:t>
            </w:r>
            <w:r>
              <w:rPr>
                <w:rFonts w:ascii="Times New Roman" w:hAnsi="Times New Roman"/>
                <w:b/>
                <w:vertAlign w:val="superscript"/>
              </w:rPr>
              <w:t>**</w:t>
            </w:r>
          </w:p>
        </w:tc>
        <w:tc>
          <w:tcPr>
            <w:tcW w:w="1440" w:type="dxa"/>
            <w:shd w:val="clear" w:color="auto" w:fill="FFFF00"/>
          </w:tcPr>
          <w:p w:rsidR="003A1ABF" w:rsidRPr="00982C42" w:rsidP="00982C42" w14:paraId="6B2855CB" w14:textId="7639EDC4">
            <w:pPr>
              <w:spacing w:line="276" w:lineRule="auto"/>
              <w:ind w:left="-43" w:right="-43"/>
              <w:rPr>
                <w:rFonts w:ascii="Times New Roman" w:hAnsi="Times New Roman"/>
                <w:b/>
              </w:rPr>
            </w:pPr>
            <w:r w:rsidRPr="00982C42">
              <w:rPr>
                <w:rFonts w:ascii="Times New Roman" w:hAnsi="Times New Roman"/>
                <w:b/>
              </w:rPr>
              <w:t xml:space="preserve">Total </w:t>
            </w:r>
            <w:r>
              <w:rPr>
                <w:rFonts w:ascii="Times New Roman" w:hAnsi="Times New Roman"/>
                <w:b/>
              </w:rPr>
              <w:t xml:space="preserve">Estimated </w:t>
            </w:r>
            <w:r w:rsidRPr="00982C42">
              <w:rPr>
                <w:rFonts w:ascii="Times New Roman" w:hAnsi="Times New Roman"/>
                <w:b/>
              </w:rPr>
              <w:t>annual opportunity cost</w:t>
            </w:r>
            <w:r>
              <w:rPr>
                <w:rFonts w:ascii="Times New Roman" w:hAnsi="Times New Roman"/>
                <w:b/>
                <w:vertAlign w:val="superscript"/>
              </w:rPr>
              <w:t>***</w:t>
            </w:r>
          </w:p>
        </w:tc>
      </w:tr>
      <w:tr w14:paraId="36CED23A" w14:textId="77777777" w:rsidTr="003A1ABF">
        <w:tblPrEx>
          <w:tblW w:w="10170" w:type="dxa"/>
          <w:tblInd w:w="-365" w:type="dxa"/>
          <w:tblLayout w:type="fixed"/>
          <w:tblLook w:val="04A0"/>
        </w:tblPrEx>
        <w:tc>
          <w:tcPr>
            <w:tcW w:w="1800" w:type="dxa"/>
            <w:shd w:val="clear" w:color="auto" w:fill="DEEBF6" w:themeFill="accent5" w:themeFillTint="33"/>
          </w:tcPr>
          <w:p w:rsidR="003A1ABF" w:rsidRPr="00982C42" w:rsidP="00982C42" w14:paraId="2CC7175D" w14:textId="7583ADC8">
            <w:pPr>
              <w:spacing w:before="40" w:after="40" w:line="276" w:lineRule="auto"/>
              <w:rPr>
                <w:rFonts w:ascii="Times New Roman" w:hAnsi="Times New Roman"/>
                <w:b/>
              </w:rPr>
            </w:pPr>
            <w:r w:rsidRPr="00982C42">
              <w:rPr>
                <w:rFonts w:ascii="Times New Roman" w:hAnsi="Times New Roman"/>
                <w:b/>
              </w:rPr>
              <w:t>Provider surveys</w:t>
            </w:r>
          </w:p>
        </w:tc>
        <w:tc>
          <w:tcPr>
            <w:tcW w:w="1440" w:type="dxa"/>
            <w:shd w:val="clear" w:color="auto" w:fill="DEEBF6" w:themeFill="accent5" w:themeFillTint="33"/>
          </w:tcPr>
          <w:p w:rsidR="003A1ABF" w:rsidRPr="00982C42" w:rsidP="00982C42" w14:paraId="6CD826DF" w14:textId="77777777">
            <w:pPr>
              <w:spacing w:before="40" w:after="40" w:line="276" w:lineRule="auto"/>
              <w:jc w:val="right"/>
              <w:rPr>
                <w:rFonts w:ascii="Times New Roman" w:hAnsi="Times New Roman"/>
              </w:rPr>
            </w:pPr>
          </w:p>
        </w:tc>
        <w:tc>
          <w:tcPr>
            <w:tcW w:w="1620" w:type="dxa"/>
            <w:shd w:val="clear" w:color="auto" w:fill="DEEBF6" w:themeFill="accent5" w:themeFillTint="33"/>
          </w:tcPr>
          <w:p w:rsidR="003A1ABF" w:rsidRPr="00982C42" w:rsidP="00982C42" w14:paraId="3B581BEB" w14:textId="77777777">
            <w:pPr>
              <w:spacing w:before="40" w:after="40" w:line="276" w:lineRule="auto"/>
              <w:jc w:val="right"/>
              <w:rPr>
                <w:rFonts w:ascii="Times New Roman" w:hAnsi="Times New Roman"/>
              </w:rPr>
            </w:pPr>
          </w:p>
        </w:tc>
        <w:tc>
          <w:tcPr>
            <w:tcW w:w="1440" w:type="dxa"/>
            <w:shd w:val="clear" w:color="auto" w:fill="DEEBF6" w:themeFill="accent5" w:themeFillTint="33"/>
          </w:tcPr>
          <w:p w:rsidR="003A1ABF" w:rsidRPr="00982C42" w:rsidP="00982C42" w14:paraId="65D458CE" w14:textId="77777777">
            <w:pPr>
              <w:spacing w:before="40" w:after="40" w:line="276" w:lineRule="auto"/>
              <w:jc w:val="right"/>
              <w:rPr>
                <w:rFonts w:ascii="Times New Roman" w:hAnsi="Times New Roman"/>
              </w:rPr>
            </w:pPr>
          </w:p>
        </w:tc>
        <w:tc>
          <w:tcPr>
            <w:tcW w:w="1080" w:type="dxa"/>
            <w:shd w:val="clear" w:color="auto" w:fill="DEEBF6" w:themeFill="accent5" w:themeFillTint="33"/>
          </w:tcPr>
          <w:p w:rsidR="003A1ABF" w:rsidRPr="00982C42" w:rsidP="00982C42" w14:paraId="1E5FD265" w14:textId="77777777">
            <w:pPr>
              <w:spacing w:before="40" w:after="40" w:line="276" w:lineRule="auto"/>
              <w:jc w:val="right"/>
              <w:rPr>
                <w:rFonts w:ascii="Times New Roman" w:hAnsi="Times New Roman"/>
              </w:rPr>
            </w:pPr>
          </w:p>
        </w:tc>
        <w:tc>
          <w:tcPr>
            <w:tcW w:w="1350" w:type="dxa"/>
            <w:shd w:val="clear" w:color="auto" w:fill="DEEBF6" w:themeFill="accent5" w:themeFillTint="33"/>
          </w:tcPr>
          <w:p w:rsidR="003A1ABF" w:rsidRPr="00982C42" w:rsidP="00982C42" w14:paraId="5D173452" w14:textId="77777777">
            <w:pPr>
              <w:spacing w:before="40" w:after="40" w:line="276" w:lineRule="auto"/>
              <w:jc w:val="right"/>
              <w:rPr>
                <w:rFonts w:ascii="Times New Roman" w:hAnsi="Times New Roman"/>
              </w:rPr>
            </w:pPr>
          </w:p>
        </w:tc>
        <w:tc>
          <w:tcPr>
            <w:tcW w:w="1440" w:type="dxa"/>
            <w:shd w:val="clear" w:color="auto" w:fill="DEEBF6" w:themeFill="accent5" w:themeFillTint="33"/>
          </w:tcPr>
          <w:p w:rsidR="003A1ABF" w:rsidRPr="00982C42" w:rsidP="00982C42" w14:paraId="5E3F2081" w14:textId="1047D7EA">
            <w:pPr>
              <w:spacing w:before="40" w:after="40" w:line="276" w:lineRule="auto"/>
              <w:jc w:val="right"/>
              <w:rPr>
                <w:rFonts w:ascii="Times New Roman" w:hAnsi="Times New Roman"/>
              </w:rPr>
            </w:pPr>
          </w:p>
        </w:tc>
      </w:tr>
      <w:tr w14:paraId="4DED8CC8" w14:textId="77777777" w:rsidTr="003A1ABF">
        <w:tblPrEx>
          <w:tblW w:w="10170" w:type="dxa"/>
          <w:tblInd w:w="-365" w:type="dxa"/>
          <w:tblLayout w:type="fixed"/>
          <w:tblLook w:val="04A0"/>
        </w:tblPrEx>
        <w:tc>
          <w:tcPr>
            <w:tcW w:w="1800" w:type="dxa"/>
          </w:tcPr>
          <w:p w:rsidR="003A1ABF" w:rsidRPr="00982C42" w:rsidP="00982C42" w14:paraId="3763BAFC" w14:textId="7C442462">
            <w:pPr>
              <w:spacing w:before="40" w:after="40" w:line="276" w:lineRule="auto"/>
              <w:ind w:left="144"/>
              <w:rPr>
                <w:rFonts w:ascii="Times New Roman" w:hAnsi="Times New Roman"/>
                <w:b/>
              </w:rPr>
            </w:pPr>
            <w:r w:rsidRPr="00982C42">
              <w:rPr>
                <w:rFonts w:ascii="Times New Roman" w:hAnsi="Times New Roman"/>
              </w:rPr>
              <w:t xml:space="preserve">TTW survey </w:t>
            </w:r>
          </w:p>
        </w:tc>
        <w:tc>
          <w:tcPr>
            <w:tcW w:w="1440" w:type="dxa"/>
          </w:tcPr>
          <w:p w:rsidR="003A1ABF" w:rsidRPr="00982C42" w:rsidP="00982C42" w14:paraId="08092D11" w14:textId="29C0A5AA">
            <w:pPr>
              <w:spacing w:before="40" w:after="40" w:line="276" w:lineRule="auto"/>
              <w:jc w:val="right"/>
              <w:rPr>
                <w:rFonts w:ascii="Times New Roman" w:hAnsi="Times New Roman"/>
              </w:rPr>
            </w:pPr>
            <w:r w:rsidRPr="00982C42">
              <w:rPr>
                <w:rFonts w:ascii="Times New Roman" w:hAnsi="Times New Roman"/>
              </w:rPr>
              <w:t>353</w:t>
            </w:r>
          </w:p>
        </w:tc>
        <w:tc>
          <w:tcPr>
            <w:tcW w:w="1620" w:type="dxa"/>
          </w:tcPr>
          <w:p w:rsidR="003A1ABF" w:rsidRPr="00982C42" w:rsidP="00982C42" w14:paraId="63129EA5" w14:textId="5EA02A98">
            <w:pPr>
              <w:spacing w:before="40" w:after="40" w:line="276" w:lineRule="auto"/>
              <w:jc w:val="right"/>
              <w:rPr>
                <w:rFonts w:ascii="Times New Roman" w:hAnsi="Times New Roman"/>
              </w:rPr>
            </w:pPr>
            <w:r w:rsidRPr="00982C42">
              <w:rPr>
                <w:rFonts w:ascii="Times New Roman" w:hAnsi="Times New Roman"/>
              </w:rPr>
              <w:t>1</w:t>
            </w:r>
          </w:p>
        </w:tc>
        <w:tc>
          <w:tcPr>
            <w:tcW w:w="1440" w:type="dxa"/>
          </w:tcPr>
          <w:p w:rsidR="003A1ABF" w:rsidRPr="00982C42" w:rsidP="00982C42" w14:paraId="77BBCA3F" w14:textId="2604D5F2">
            <w:pPr>
              <w:spacing w:before="40" w:after="40" w:line="276" w:lineRule="auto"/>
              <w:jc w:val="right"/>
              <w:rPr>
                <w:rFonts w:ascii="Times New Roman" w:hAnsi="Times New Roman"/>
              </w:rPr>
            </w:pPr>
            <w:r w:rsidRPr="00982C42">
              <w:rPr>
                <w:rFonts w:ascii="Times New Roman" w:hAnsi="Times New Roman"/>
              </w:rPr>
              <w:t>38</w:t>
            </w:r>
          </w:p>
        </w:tc>
        <w:tc>
          <w:tcPr>
            <w:tcW w:w="1080" w:type="dxa"/>
          </w:tcPr>
          <w:p w:rsidR="003A1ABF" w:rsidRPr="00982C42" w:rsidP="00982C42" w14:paraId="7A4ABF14" w14:textId="4A6D3EFB">
            <w:pPr>
              <w:spacing w:before="40" w:after="40" w:line="276" w:lineRule="auto"/>
              <w:jc w:val="right"/>
              <w:rPr>
                <w:rFonts w:ascii="Times New Roman" w:hAnsi="Times New Roman"/>
              </w:rPr>
            </w:pPr>
            <w:r w:rsidRPr="00982C42">
              <w:rPr>
                <w:rFonts w:ascii="Times New Roman" w:hAnsi="Times New Roman"/>
              </w:rPr>
              <w:t>224</w:t>
            </w:r>
            <w:r>
              <w:rPr>
                <w:rFonts w:ascii="Times New Roman" w:hAnsi="Times New Roman"/>
              </w:rPr>
              <w:t>*</w:t>
            </w:r>
          </w:p>
        </w:tc>
        <w:tc>
          <w:tcPr>
            <w:tcW w:w="1350" w:type="dxa"/>
          </w:tcPr>
          <w:p w:rsidR="003A1ABF" w:rsidRPr="00982C42" w:rsidP="00982C42" w14:paraId="20916D8F" w14:textId="5059BAB7">
            <w:pPr>
              <w:spacing w:before="40" w:after="40" w:line="276" w:lineRule="auto"/>
              <w:jc w:val="right"/>
              <w:rPr>
                <w:rFonts w:ascii="Times New Roman" w:hAnsi="Times New Roman"/>
              </w:rPr>
            </w:pPr>
            <w:r w:rsidRPr="00982C42">
              <w:rPr>
                <w:rFonts w:ascii="Times New Roman" w:hAnsi="Times New Roman"/>
              </w:rPr>
              <w:t>$40.10</w:t>
            </w:r>
            <w:r>
              <w:rPr>
                <w:rFonts w:ascii="Times New Roman" w:hAnsi="Times New Roman"/>
              </w:rPr>
              <w:t>**</w:t>
            </w:r>
          </w:p>
        </w:tc>
        <w:tc>
          <w:tcPr>
            <w:tcW w:w="1440" w:type="dxa"/>
          </w:tcPr>
          <w:p w:rsidR="003A1ABF" w:rsidRPr="00982C42" w:rsidP="00982C42" w14:paraId="0624D434" w14:textId="1F4C3A82">
            <w:pPr>
              <w:spacing w:before="40" w:after="40" w:line="276" w:lineRule="auto"/>
              <w:jc w:val="right"/>
              <w:rPr>
                <w:rFonts w:ascii="Times New Roman" w:hAnsi="Times New Roman"/>
              </w:rPr>
            </w:pPr>
            <w:r w:rsidRPr="00982C42">
              <w:rPr>
                <w:rFonts w:ascii="Times New Roman" w:hAnsi="Times New Roman"/>
              </w:rPr>
              <w:t>$8,</w:t>
            </w:r>
            <w:r>
              <w:rPr>
                <w:rFonts w:ascii="Times New Roman" w:hAnsi="Times New Roman"/>
              </w:rPr>
              <w:t>982***</w:t>
            </w:r>
          </w:p>
        </w:tc>
      </w:tr>
      <w:tr w14:paraId="0760D2A9" w14:textId="77777777" w:rsidTr="003A1ABF">
        <w:tblPrEx>
          <w:tblW w:w="10170" w:type="dxa"/>
          <w:tblInd w:w="-365" w:type="dxa"/>
          <w:tblLayout w:type="fixed"/>
          <w:tblLook w:val="04A0"/>
        </w:tblPrEx>
        <w:tc>
          <w:tcPr>
            <w:tcW w:w="1800" w:type="dxa"/>
          </w:tcPr>
          <w:p w:rsidR="003A1ABF" w:rsidRPr="00982C42" w:rsidP="00982C42" w14:paraId="2D3EAFD8" w14:textId="072A4384">
            <w:pPr>
              <w:spacing w:before="40" w:after="40" w:line="276" w:lineRule="auto"/>
              <w:ind w:left="144"/>
              <w:rPr>
                <w:rFonts w:ascii="Times New Roman" w:hAnsi="Times New Roman"/>
                <w:b/>
              </w:rPr>
            </w:pPr>
            <w:r w:rsidRPr="00982C42">
              <w:rPr>
                <w:rFonts w:ascii="Times New Roman" w:hAnsi="Times New Roman"/>
              </w:rPr>
              <w:t>WIPA survey</w:t>
            </w:r>
          </w:p>
        </w:tc>
        <w:tc>
          <w:tcPr>
            <w:tcW w:w="1440" w:type="dxa"/>
          </w:tcPr>
          <w:p w:rsidR="003A1ABF" w:rsidRPr="00982C42" w:rsidP="00982C42" w14:paraId="58ECCD7B" w14:textId="370053F1">
            <w:pPr>
              <w:spacing w:before="40" w:after="40" w:line="276" w:lineRule="auto"/>
              <w:jc w:val="right"/>
              <w:rPr>
                <w:rFonts w:ascii="Times New Roman" w:hAnsi="Times New Roman"/>
              </w:rPr>
            </w:pPr>
            <w:r w:rsidRPr="00982C42">
              <w:rPr>
                <w:rFonts w:ascii="Times New Roman" w:hAnsi="Times New Roman"/>
              </w:rPr>
              <w:t>59</w:t>
            </w:r>
          </w:p>
        </w:tc>
        <w:tc>
          <w:tcPr>
            <w:tcW w:w="1620" w:type="dxa"/>
          </w:tcPr>
          <w:p w:rsidR="003A1ABF" w:rsidRPr="00982C42" w:rsidP="00982C42" w14:paraId="0F93C3A0" w14:textId="04FC9045">
            <w:pPr>
              <w:spacing w:before="40" w:after="40" w:line="276" w:lineRule="auto"/>
              <w:jc w:val="right"/>
              <w:rPr>
                <w:rFonts w:ascii="Times New Roman" w:hAnsi="Times New Roman"/>
              </w:rPr>
            </w:pPr>
            <w:r w:rsidRPr="00982C42">
              <w:rPr>
                <w:rFonts w:ascii="Times New Roman" w:hAnsi="Times New Roman"/>
              </w:rPr>
              <w:t>1</w:t>
            </w:r>
          </w:p>
        </w:tc>
        <w:tc>
          <w:tcPr>
            <w:tcW w:w="1440" w:type="dxa"/>
          </w:tcPr>
          <w:p w:rsidR="003A1ABF" w:rsidRPr="00982C42" w:rsidP="00982C42" w14:paraId="37650206" w14:textId="2CD04CBB">
            <w:pPr>
              <w:spacing w:before="40" w:after="40" w:line="276" w:lineRule="auto"/>
              <w:jc w:val="right"/>
              <w:rPr>
                <w:rFonts w:ascii="Times New Roman" w:hAnsi="Times New Roman"/>
              </w:rPr>
            </w:pPr>
            <w:r w:rsidRPr="00982C42">
              <w:rPr>
                <w:rFonts w:ascii="Times New Roman" w:hAnsi="Times New Roman"/>
              </w:rPr>
              <w:t>38</w:t>
            </w:r>
          </w:p>
        </w:tc>
        <w:tc>
          <w:tcPr>
            <w:tcW w:w="1080" w:type="dxa"/>
          </w:tcPr>
          <w:p w:rsidR="003A1ABF" w:rsidRPr="00982C42" w:rsidP="00982C42" w14:paraId="390B78E5" w14:textId="1446DFF0">
            <w:pPr>
              <w:spacing w:before="40" w:after="40" w:line="276" w:lineRule="auto"/>
              <w:jc w:val="right"/>
              <w:rPr>
                <w:rFonts w:ascii="Times New Roman" w:hAnsi="Times New Roman"/>
              </w:rPr>
            </w:pPr>
            <w:r w:rsidRPr="00982C42">
              <w:rPr>
                <w:rFonts w:ascii="Times New Roman" w:hAnsi="Times New Roman"/>
              </w:rPr>
              <w:t>37</w:t>
            </w:r>
            <w:r>
              <w:rPr>
                <w:rFonts w:ascii="Times New Roman" w:hAnsi="Times New Roman"/>
              </w:rPr>
              <w:t>*</w:t>
            </w:r>
          </w:p>
        </w:tc>
        <w:tc>
          <w:tcPr>
            <w:tcW w:w="1350" w:type="dxa"/>
          </w:tcPr>
          <w:p w:rsidR="003A1ABF" w:rsidRPr="00982C42" w:rsidP="00982C42" w14:paraId="0829C56F" w14:textId="42F38BCC">
            <w:pPr>
              <w:spacing w:before="40" w:after="40" w:line="276" w:lineRule="auto"/>
              <w:jc w:val="right"/>
              <w:rPr>
                <w:rFonts w:ascii="Times New Roman" w:hAnsi="Times New Roman"/>
              </w:rPr>
            </w:pPr>
            <w:r w:rsidRPr="00982C42">
              <w:rPr>
                <w:rFonts w:ascii="Times New Roman" w:hAnsi="Times New Roman"/>
              </w:rPr>
              <w:t>$40.10</w:t>
            </w:r>
            <w:r>
              <w:rPr>
                <w:rFonts w:ascii="Times New Roman" w:hAnsi="Times New Roman"/>
              </w:rPr>
              <w:t>**</w:t>
            </w:r>
          </w:p>
        </w:tc>
        <w:tc>
          <w:tcPr>
            <w:tcW w:w="1440" w:type="dxa"/>
          </w:tcPr>
          <w:p w:rsidR="003A1ABF" w:rsidRPr="00982C42" w:rsidP="00982C42" w14:paraId="4587D771" w14:textId="0259D474">
            <w:pPr>
              <w:spacing w:before="40" w:after="40" w:line="276" w:lineRule="auto"/>
              <w:jc w:val="right"/>
              <w:rPr>
                <w:rFonts w:ascii="Times New Roman" w:hAnsi="Times New Roman"/>
              </w:rPr>
            </w:pPr>
            <w:r w:rsidRPr="00982C42">
              <w:rPr>
                <w:rFonts w:ascii="Times New Roman" w:hAnsi="Times New Roman"/>
              </w:rPr>
              <w:t>$1,</w:t>
            </w:r>
            <w:r>
              <w:rPr>
                <w:rFonts w:ascii="Times New Roman" w:hAnsi="Times New Roman"/>
              </w:rPr>
              <w:t>483***</w:t>
            </w:r>
          </w:p>
        </w:tc>
      </w:tr>
      <w:tr w14:paraId="120F45AA" w14:textId="77777777" w:rsidTr="003A1ABF">
        <w:tblPrEx>
          <w:tblW w:w="10170" w:type="dxa"/>
          <w:tblInd w:w="-365" w:type="dxa"/>
          <w:tblLayout w:type="fixed"/>
          <w:tblLook w:val="04A0"/>
        </w:tblPrEx>
        <w:tc>
          <w:tcPr>
            <w:tcW w:w="1800" w:type="dxa"/>
          </w:tcPr>
          <w:p w:rsidR="003A1ABF" w:rsidRPr="00982C42" w:rsidP="00982C42" w14:paraId="287E513F" w14:textId="2CF8D65C">
            <w:pPr>
              <w:spacing w:before="40" w:after="40" w:line="276" w:lineRule="auto"/>
              <w:ind w:left="144"/>
              <w:rPr>
                <w:rFonts w:ascii="Times New Roman" w:hAnsi="Times New Roman"/>
                <w:b/>
              </w:rPr>
            </w:pPr>
            <w:r w:rsidRPr="00982C42">
              <w:rPr>
                <w:rFonts w:ascii="Times New Roman" w:hAnsi="Times New Roman"/>
              </w:rPr>
              <w:t>PABSS survey</w:t>
            </w:r>
          </w:p>
        </w:tc>
        <w:tc>
          <w:tcPr>
            <w:tcW w:w="1440" w:type="dxa"/>
          </w:tcPr>
          <w:p w:rsidR="003A1ABF" w:rsidRPr="00982C42" w:rsidP="00982C42" w14:paraId="10FFAC0A" w14:textId="2F1F7756">
            <w:pPr>
              <w:spacing w:before="40" w:after="40" w:line="276" w:lineRule="auto"/>
              <w:jc w:val="right"/>
              <w:rPr>
                <w:rFonts w:ascii="Times New Roman" w:hAnsi="Times New Roman"/>
              </w:rPr>
            </w:pPr>
            <w:r w:rsidRPr="00982C42">
              <w:rPr>
                <w:rFonts w:ascii="Times New Roman" w:hAnsi="Times New Roman"/>
              </w:rPr>
              <w:t>46</w:t>
            </w:r>
          </w:p>
        </w:tc>
        <w:tc>
          <w:tcPr>
            <w:tcW w:w="1620" w:type="dxa"/>
          </w:tcPr>
          <w:p w:rsidR="003A1ABF" w:rsidRPr="00982C42" w:rsidP="00982C42" w14:paraId="3B77C06B" w14:textId="6531F8E7">
            <w:pPr>
              <w:spacing w:before="40" w:after="40" w:line="276" w:lineRule="auto"/>
              <w:jc w:val="right"/>
              <w:rPr>
                <w:rFonts w:ascii="Times New Roman" w:hAnsi="Times New Roman"/>
              </w:rPr>
            </w:pPr>
            <w:r w:rsidRPr="00982C42">
              <w:rPr>
                <w:rFonts w:ascii="Times New Roman" w:hAnsi="Times New Roman"/>
              </w:rPr>
              <w:t>1</w:t>
            </w:r>
          </w:p>
        </w:tc>
        <w:tc>
          <w:tcPr>
            <w:tcW w:w="1440" w:type="dxa"/>
          </w:tcPr>
          <w:p w:rsidR="003A1ABF" w:rsidRPr="00982C42" w:rsidP="00982C42" w14:paraId="1682429B" w14:textId="6BE96328">
            <w:pPr>
              <w:spacing w:before="40" w:after="40" w:line="276" w:lineRule="auto"/>
              <w:jc w:val="right"/>
              <w:rPr>
                <w:rFonts w:ascii="Times New Roman" w:hAnsi="Times New Roman"/>
              </w:rPr>
            </w:pPr>
            <w:r w:rsidRPr="00982C42">
              <w:rPr>
                <w:rFonts w:ascii="Times New Roman" w:hAnsi="Times New Roman"/>
              </w:rPr>
              <w:t>28</w:t>
            </w:r>
          </w:p>
        </w:tc>
        <w:tc>
          <w:tcPr>
            <w:tcW w:w="1080" w:type="dxa"/>
          </w:tcPr>
          <w:p w:rsidR="003A1ABF" w:rsidRPr="00982C42" w:rsidP="00982C42" w14:paraId="1E41E5FD" w14:textId="7E09B0F5">
            <w:pPr>
              <w:spacing w:before="40" w:after="40" w:line="276" w:lineRule="auto"/>
              <w:jc w:val="right"/>
              <w:rPr>
                <w:rFonts w:ascii="Times New Roman" w:hAnsi="Times New Roman"/>
              </w:rPr>
            </w:pPr>
            <w:r w:rsidRPr="00982C42">
              <w:rPr>
                <w:rFonts w:ascii="Times New Roman" w:hAnsi="Times New Roman"/>
              </w:rPr>
              <w:t>21</w:t>
            </w:r>
            <w:r>
              <w:rPr>
                <w:rFonts w:ascii="Times New Roman" w:hAnsi="Times New Roman"/>
              </w:rPr>
              <w:t>*</w:t>
            </w:r>
          </w:p>
        </w:tc>
        <w:tc>
          <w:tcPr>
            <w:tcW w:w="1350" w:type="dxa"/>
          </w:tcPr>
          <w:p w:rsidR="003A1ABF" w:rsidRPr="00982C42" w:rsidP="00982C42" w14:paraId="6120DECB" w14:textId="48949CB0">
            <w:pPr>
              <w:spacing w:before="40" w:after="40" w:line="276" w:lineRule="auto"/>
              <w:jc w:val="right"/>
              <w:rPr>
                <w:rFonts w:ascii="Times New Roman" w:hAnsi="Times New Roman"/>
              </w:rPr>
            </w:pPr>
            <w:r w:rsidRPr="00982C42">
              <w:rPr>
                <w:rFonts w:ascii="Times New Roman" w:hAnsi="Times New Roman"/>
              </w:rPr>
              <w:t>$40.10</w:t>
            </w:r>
            <w:r>
              <w:rPr>
                <w:rFonts w:ascii="Times New Roman" w:hAnsi="Times New Roman"/>
              </w:rPr>
              <w:t>**</w:t>
            </w:r>
          </w:p>
        </w:tc>
        <w:tc>
          <w:tcPr>
            <w:tcW w:w="1440" w:type="dxa"/>
          </w:tcPr>
          <w:p w:rsidR="003A1ABF" w:rsidRPr="00982C42" w:rsidP="00982C42" w14:paraId="45100150" w14:textId="47A98F73">
            <w:pPr>
              <w:spacing w:before="40" w:after="40" w:line="276" w:lineRule="auto"/>
              <w:jc w:val="right"/>
              <w:rPr>
                <w:rFonts w:ascii="Times New Roman" w:hAnsi="Times New Roman"/>
              </w:rPr>
            </w:pPr>
            <w:r w:rsidRPr="00982C42">
              <w:rPr>
                <w:rFonts w:ascii="Times New Roman" w:hAnsi="Times New Roman"/>
              </w:rPr>
              <w:t>$</w:t>
            </w:r>
            <w:r>
              <w:rPr>
                <w:rFonts w:ascii="Times New Roman" w:hAnsi="Times New Roman"/>
              </w:rPr>
              <w:t>842***</w:t>
            </w:r>
          </w:p>
        </w:tc>
      </w:tr>
      <w:tr w14:paraId="462EA173" w14:textId="77777777" w:rsidTr="003A1ABF">
        <w:tblPrEx>
          <w:tblW w:w="10170" w:type="dxa"/>
          <w:tblInd w:w="-365" w:type="dxa"/>
          <w:tblLayout w:type="fixed"/>
          <w:tblLook w:val="04A0"/>
        </w:tblPrEx>
        <w:tc>
          <w:tcPr>
            <w:tcW w:w="1800" w:type="dxa"/>
            <w:shd w:val="clear" w:color="auto" w:fill="DEEBF6" w:themeFill="accent5" w:themeFillTint="33"/>
          </w:tcPr>
          <w:p w:rsidR="003A1ABF" w:rsidRPr="00D67CF9" w:rsidP="00982C42" w14:paraId="6EF037F0" w14:textId="180CC7CB">
            <w:pPr>
              <w:spacing w:before="40" w:after="40" w:line="276" w:lineRule="auto"/>
              <w:ind w:left="144"/>
              <w:rPr>
                <w:rFonts w:ascii="Times New Roman" w:hAnsi="Times New Roman"/>
                <w:b/>
                <w:i/>
              </w:rPr>
            </w:pPr>
            <w:r w:rsidRPr="00D67CF9">
              <w:rPr>
                <w:rFonts w:ascii="Times New Roman" w:hAnsi="Times New Roman"/>
                <w:b/>
                <w:i/>
              </w:rPr>
              <w:t>Subtotal - surveys</w:t>
            </w:r>
          </w:p>
        </w:tc>
        <w:tc>
          <w:tcPr>
            <w:tcW w:w="1440" w:type="dxa"/>
            <w:shd w:val="clear" w:color="auto" w:fill="DEEBF6" w:themeFill="accent5" w:themeFillTint="33"/>
          </w:tcPr>
          <w:p w:rsidR="003A1ABF" w:rsidRPr="00982C42" w:rsidP="00982C42" w14:paraId="109EE056" w14:textId="43AAC19F">
            <w:pPr>
              <w:spacing w:before="40" w:after="40" w:line="276" w:lineRule="auto"/>
              <w:jc w:val="right"/>
              <w:rPr>
                <w:rFonts w:ascii="Times New Roman" w:hAnsi="Times New Roman"/>
                <w:iCs/>
              </w:rPr>
            </w:pPr>
            <w:r w:rsidRPr="00982C42">
              <w:rPr>
                <w:rFonts w:ascii="Times New Roman" w:hAnsi="Times New Roman"/>
                <w:b/>
                <w:iCs/>
              </w:rPr>
              <w:t>458</w:t>
            </w:r>
          </w:p>
        </w:tc>
        <w:tc>
          <w:tcPr>
            <w:tcW w:w="1620" w:type="dxa"/>
            <w:shd w:val="clear" w:color="auto" w:fill="DEEBF6" w:themeFill="accent5" w:themeFillTint="33"/>
          </w:tcPr>
          <w:p w:rsidR="003A1ABF" w:rsidRPr="00982C42" w:rsidP="00982C42" w14:paraId="3A10F751" w14:textId="66DD0304">
            <w:pPr>
              <w:spacing w:before="40" w:after="40" w:line="276" w:lineRule="auto"/>
              <w:jc w:val="right"/>
              <w:rPr>
                <w:rFonts w:ascii="Times New Roman" w:hAnsi="Times New Roman"/>
                <w:iCs/>
              </w:rPr>
            </w:pPr>
          </w:p>
        </w:tc>
        <w:tc>
          <w:tcPr>
            <w:tcW w:w="1440" w:type="dxa"/>
            <w:shd w:val="clear" w:color="auto" w:fill="DEEBF6" w:themeFill="accent5" w:themeFillTint="33"/>
          </w:tcPr>
          <w:p w:rsidR="003A1ABF" w:rsidRPr="00982C42" w:rsidP="00982C42" w14:paraId="10C76A79" w14:textId="47C99A8D">
            <w:pPr>
              <w:spacing w:before="40" w:after="40" w:line="276" w:lineRule="auto"/>
              <w:jc w:val="right"/>
              <w:rPr>
                <w:rFonts w:ascii="Times New Roman" w:hAnsi="Times New Roman"/>
                <w:iCs/>
              </w:rPr>
            </w:pPr>
          </w:p>
        </w:tc>
        <w:tc>
          <w:tcPr>
            <w:tcW w:w="1080" w:type="dxa"/>
            <w:shd w:val="clear" w:color="auto" w:fill="DEEBF6" w:themeFill="accent5" w:themeFillTint="33"/>
          </w:tcPr>
          <w:p w:rsidR="003A1ABF" w:rsidRPr="00982C42" w:rsidP="00982C42" w14:paraId="4D4C4ED1" w14:textId="601E3873">
            <w:pPr>
              <w:spacing w:before="40" w:after="40" w:line="276" w:lineRule="auto"/>
              <w:jc w:val="right"/>
              <w:rPr>
                <w:rFonts w:ascii="Times New Roman" w:hAnsi="Times New Roman"/>
                <w:iCs/>
              </w:rPr>
            </w:pPr>
            <w:r w:rsidRPr="00982C42">
              <w:rPr>
                <w:rFonts w:ascii="Times New Roman" w:hAnsi="Times New Roman"/>
                <w:b/>
                <w:iCs/>
              </w:rPr>
              <w:t>282</w:t>
            </w:r>
            <w:r>
              <w:rPr>
                <w:rFonts w:ascii="Times New Roman" w:hAnsi="Times New Roman"/>
                <w:b/>
                <w:iCs/>
              </w:rPr>
              <w:t>*</w:t>
            </w:r>
          </w:p>
        </w:tc>
        <w:tc>
          <w:tcPr>
            <w:tcW w:w="1350" w:type="dxa"/>
            <w:shd w:val="clear" w:color="auto" w:fill="DEEBF6" w:themeFill="accent5" w:themeFillTint="33"/>
          </w:tcPr>
          <w:p w:rsidR="003A1ABF" w:rsidRPr="00982C42" w:rsidP="00982C42" w14:paraId="03787DDF" w14:textId="1C3AF4DB">
            <w:pPr>
              <w:spacing w:before="40" w:after="40" w:line="276" w:lineRule="auto"/>
              <w:jc w:val="right"/>
              <w:rPr>
                <w:rFonts w:ascii="Times New Roman" w:hAnsi="Times New Roman"/>
                <w:iCs/>
              </w:rPr>
            </w:pPr>
          </w:p>
        </w:tc>
        <w:tc>
          <w:tcPr>
            <w:tcW w:w="1440" w:type="dxa"/>
            <w:shd w:val="clear" w:color="auto" w:fill="DEEBF6" w:themeFill="accent5" w:themeFillTint="33"/>
          </w:tcPr>
          <w:p w:rsidR="003A1ABF" w:rsidRPr="00982C42" w:rsidP="00982C42" w14:paraId="4081949A" w14:textId="34208F17">
            <w:pPr>
              <w:spacing w:before="40" w:after="40" w:line="276" w:lineRule="auto"/>
              <w:jc w:val="right"/>
              <w:rPr>
                <w:rFonts w:ascii="Times New Roman" w:hAnsi="Times New Roman"/>
                <w:b/>
                <w:iCs/>
              </w:rPr>
            </w:pPr>
            <w:r w:rsidRPr="00982C42">
              <w:rPr>
                <w:rFonts w:ascii="Times New Roman" w:hAnsi="Times New Roman"/>
                <w:b/>
                <w:iCs/>
              </w:rPr>
              <w:t>$11,</w:t>
            </w:r>
            <w:r>
              <w:rPr>
                <w:rFonts w:ascii="Times New Roman" w:hAnsi="Times New Roman"/>
                <w:b/>
                <w:iCs/>
              </w:rPr>
              <w:t>307***</w:t>
            </w:r>
          </w:p>
        </w:tc>
      </w:tr>
      <w:tr w14:paraId="02CF9DBA" w14:textId="77777777" w:rsidTr="003A1ABF">
        <w:tblPrEx>
          <w:tblW w:w="10170" w:type="dxa"/>
          <w:tblInd w:w="-365" w:type="dxa"/>
          <w:tblLayout w:type="fixed"/>
          <w:tblLook w:val="04A0"/>
        </w:tblPrEx>
        <w:tc>
          <w:tcPr>
            <w:tcW w:w="1800" w:type="dxa"/>
            <w:shd w:val="clear" w:color="auto" w:fill="E2EFD9" w:themeFill="accent6" w:themeFillTint="33"/>
          </w:tcPr>
          <w:p w:rsidR="003A1ABF" w:rsidRPr="00982C42" w:rsidP="00982C42" w14:paraId="47902983" w14:textId="4E81A2A7">
            <w:pPr>
              <w:spacing w:before="40" w:after="40" w:line="276" w:lineRule="auto"/>
              <w:rPr>
                <w:rFonts w:ascii="Times New Roman" w:hAnsi="Times New Roman"/>
              </w:rPr>
            </w:pPr>
            <w:r w:rsidRPr="00982C42">
              <w:rPr>
                <w:rFonts w:ascii="Times New Roman" w:hAnsi="Times New Roman"/>
                <w:b/>
              </w:rPr>
              <w:t>Qualitative interviews</w:t>
            </w:r>
          </w:p>
        </w:tc>
        <w:tc>
          <w:tcPr>
            <w:tcW w:w="1440" w:type="dxa"/>
            <w:shd w:val="clear" w:color="auto" w:fill="E2EFD9" w:themeFill="accent6" w:themeFillTint="33"/>
          </w:tcPr>
          <w:p w:rsidR="003A1ABF" w:rsidRPr="00982C42" w:rsidP="00982C42" w14:paraId="00956587" w14:textId="5E49C6F2">
            <w:pPr>
              <w:spacing w:before="40" w:after="40" w:line="276" w:lineRule="auto"/>
              <w:jc w:val="right"/>
              <w:rPr>
                <w:rFonts w:ascii="Times New Roman" w:hAnsi="Times New Roman"/>
              </w:rPr>
            </w:pPr>
          </w:p>
        </w:tc>
        <w:tc>
          <w:tcPr>
            <w:tcW w:w="1620" w:type="dxa"/>
            <w:shd w:val="clear" w:color="auto" w:fill="E2EFD9" w:themeFill="accent6" w:themeFillTint="33"/>
          </w:tcPr>
          <w:p w:rsidR="003A1ABF" w:rsidRPr="00982C42" w:rsidP="00982C42" w14:paraId="7E64A4D6" w14:textId="4F62096E">
            <w:pPr>
              <w:spacing w:before="40" w:after="40" w:line="276" w:lineRule="auto"/>
              <w:jc w:val="right"/>
              <w:rPr>
                <w:rFonts w:ascii="Times New Roman" w:hAnsi="Times New Roman"/>
              </w:rPr>
            </w:pPr>
          </w:p>
        </w:tc>
        <w:tc>
          <w:tcPr>
            <w:tcW w:w="1440" w:type="dxa"/>
            <w:shd w:val="clear" w:color="auto" w:fill="E2EFD9" w:themeFill="accent6" w:themeFillTint="33"/>
          </w:tcPr>
          <w:p w:rsidR="003A1ABF" w:rsidRPr="00982C42" w:rsidP="00982C42" w14:paraId="0F5D6727" w14:textId="3BF571CD">
            <w:pPr>
              <w:spacing w:before="40" w:after="40" w:line="276" w:lineRule="auto"/>
              <w:jc w:val="right"/>
              <w:rPr>
                <w:rFonts w:ascii="Times New Roman" w:hAnsi="Times New Roman"/>
              </w:rPr>
            </w:pPr>
          </w:p>
        </w:tc>
        <w:tc>
          <w:tcPr>
            <w:tcW w:w="1080" w:type="dxa"/>
            <w:shd w:val="clear" w:color="auto" w:fill="E2EFD9" w:themeFill="accent6" w:themeFillTint="33"/>
          </w:tcPr>
          <w:p w:rsidR="003A1ABF" w:rsidRPr="00982C42" w:rsidP="00982C42" w14:paraId="0D4B0BA1" w14:textId="521B883C">
            <w:pPr>
              <w:spacing w:before="40" w:after="40" w:line="276" w:lineRule="auto"/>
              <w:jc w:val="right"/>
              <w:rPr>
                <w:rFonts w:ascii="Times New Roman" w:hAnsi="Times New Roman"/>
              </w:rPr>
            </w:pPr>
          </w:p>
        </w:tc>
        <w:tc>
          <w:tcPr>
            <w:tcW w:w="1350" w:type="dxa"/>
            <w:shd w:val="clear" w:color="auto" w:fill="E2EFD9" w:themeFill="accent6" w:themeFillTint="33"/>
          </w:tcPr>
          <w:p w:rsidR="003A1ABF" w:rsidRPr="00982C42" w:rsidP="00982C42" w14:paraId="1309C568" w14:textId="05463992">
            <w:pPr>
              <w:spacing w:before="40" w:after="40" w:line="276" w:lineRule="auto"/>
              <w:jc w:val="right"/>
              <w:rPr>
                <w:rFonts w:ascii="Times New Roman" w:hAnsi="Times New Roman"/>
              </w:rPr>
            </w:pPr>
          </w:p>
        </w:tc>
        <w:tc>
          <w:tcPr>
            <w:tcW w:w="1440" w:type="dxa"/>
            <w:shd w:val="clear" w:color="auto" w:fill="E2EFD9" w:themeFill="accent6" w:themeFillTint="33"/>
          </w:tcPr>
          <w:p w:rsidR="003A1ABF" w:rsidRPr="00982C42" w:rsidP="00982C42" w14:paraId="4ACBAD99" w14:textId="5E77715C">
            <w:pPr>
              <w:spacing w:before="40" w:after="40" w:line="276" w:lineRule="auto"/>
              <w:jc w:val="right"/>
              <w:rPr>
                <w:rFonts w:ascii="Times New Roman" w:hAnsi="Times New Roman"/>
              </w:rPr>
            </w:pPr>
          </w:p>
        </w:tc>
      </w:tr>
      <w:tr w14:paraId="72939719" w14:textId="77777777" w:rsidTr="003A1ABF">
        <w:tblPrEx>
          <w:tblW w:w="10170" w:type="dxa"/>
          <w:tblInd w:w="-365" w:type="dxa"/>
          <w:tblLayout w:type="fixed"/>
          <w:tblLook w:val="04A0"/>
        </w:tblPrEx>
        <w:tc>
          <w:tcPr>
            <w:tcW w:w="1800" w:type="dxa"/>
          </w:tcPr>
          <w:p w:rsidR="003A1ABF" w:rsidRPr="00982C42" w:rsidP="00982C42" w14:paraId="7250AF4F" w14:textId="2744B2E3">
            <w:pPr>
              <w:spacing w:before="40" w:after="40" w:line="276" w:lineRule="auto"/>
              <w:ind w:left="144"/>
              <w:rPr>
                <w:rFonts w:ascii="Times New Roman" w:hAnsi="Times New Roman"/>
                <w:b/>
                <w:i/>
              </w:rPr>
            </w:pPr>
            <w:r w:rsidRPr="00982C42">
              <w:rPr>
                <w:rFonts w:ascii="Times New Roman" w:hAnsi="Times New Roman"/>
              </w:rPr>
              <w:t>Ticketholder: TTW users</w:t>
            </w:r>
          </w:p>
        </w:tc>
        <w:tc>
          <w:tcPr>
            <w:tcW w:w="1440" w:type="dxa"/>
          </w:tcPr>
          <w:p w:rsidR="003A1ABF" w:rsidRPr="00982C42" w:rsidP="00982C42" w14:paraId="1C626316" w14:textId="3E55E562">
            <w:pPr>
              <w:spacing w:before="40" w:after="40" w:line="276" w:lineRule="auto"/>
              <w:jc w:val="right"/>
              <w:rPr>
                <w:rFonts w:ascii="Times New Roman" w:hAnsi="Times New Roman"/>
                <w:b/>
                <w:i/>
              </w:rPr>
            </w:pPr>
            <w:r w:rsidRPr="00982C42">
              <w:rPr>
                <w:rFonts w:ascii="Times New Roman" w:hAnsi="Times New Roman"/>
              </w:rPr>
              <w:t>70</w:t>
            </w:r>
          </w:p>
        </w:tc>
        <w:tc>
          <w:tcPr>
            <w:tcW w:w="1620" w:type="dxa"/>
          </w:tcPr>
          <w:p w:rsidR="003A1ABF" w:rsidRPr="00982C42" w:rsidP="00982C42" w14:paraId="0580005D" w14:textId="45032AA1">
            <w:pPr>
              <w:spacing w:before="40" w:after="40" w:line="276" w:lineRule="auto"/>
              <w:jc w:val="right"/>
              <w:rPr>
                <w:rFonts w:ascii="Times New Roman" w:hAnsi="Times New Roman"/>
                <w:b/>
                <w:i/>
              </w:rPr>
            </w:pPr>
            <w:r w:rsidRPr="00982C42">
              <w:rPr>
                <w:rFonts w:ascii="Times New Roman" w:hAnsi="Times New Roman"/>
              </w:rPr>
              <w:t>1</w:t>
            </w:r>
          </w:p>
        </w:tc>
        <w:tc>
          <w:tcPr>
            <w:tcW w:w="1440" w:type="dxa"/>
          </w:tcPr>
          <w:p w:rsidR="003A1ABF" w:rsidRPr="00982C42" w:rsidP="00982C42" w14:paraId="381A42A9" w14:textId="22E0FC02">
            <w:pPr>
              <w:spacing w:before="40" w:after="40" w:line="276" w:lineRule="auto"/>
              <w:jc w:val="right"/>
              <w:rPr>
                <w:rFonts w:ascii="Times New Roman" w:hAnsi="Times New Roman"/>
                <w:b/>
                <w:i/>
              </w:rPr>
            </w:pPr>
            <w:r w:rsidRPr="00982C42">
              <w:rPr>
                <w:rFonts w:ascii="Times New Roman" w:hAnsi="Times New Roman"/>
              </w:rPr>
              <w:t>51</w:t>
            </w:r>
          </w:p>
        </w:tc>
        <w:tc>
          <w:tcPr>
            <w:tcW w:w="1080" w:type="dxa"/>
          </w:tcPr>
          <w:p w:rsidR="003A1ABF" w:rsidRPr="00982C42" w:rsidP="00982C42" w14:paraId="627C26B5" w14:textId="0FA1915E">
            <w:pPr>
              <w:spacing w:before="40" w:after="40" w:line="276" w:lineRule="auto"/>
              <w:jc w:val="right"/>
              <w:rPr>
                <w:rFonts w:ascii="Times New Roman" w:hAnsi="Times New Roman"/>
              </w:rPr>
            </w:pPr>
            <w:r w:rsidRPr="00982C42">
              <w:rPr>
                <w:rFonts w:ascii="Times New Roman" w:hAnsi="Times New Roman"/>
              </w:rPr>
              <w:t>60</w:t>
            </w:r>
            <w:r>
              <w:rPr>
                <w:rFonts w:ascii="Times New Roman" w:hAnsi="Times New Roman"/>
              </w:rPr>
              <w:t>*</w:t>
            </w:r>
          </w:p>
        </w:tc>
        <w:tc>
          <w:tcPr>
            <w:tcW w:w="1350" w:type="dxa"/>
          </w:tcPr>
          <w:p w:rsidR="003A1ABF" w:rsidRPr="00982C42" w:rsidP="00982C42" w14:paraId="4FE5DB60" w14:textId="50D17C7C">
            <w:pPr>
              <w:spacing w:before="40" w:after="40" w:line="276" w:lineRule="auto"/>
              <w:jc w:val="right"/>
              <w:rPr>
                <w:rFonts w:ascii="Times New Roman" w:hAnsi="Times New Roman"/>
                <w:b/>
                <w:i/>
              </w:rPr>
            </w:pPr>
            <w:r w:rsidRPr="00982C42">
              <w:rPr>
                <w:rFonts w:ascii="Times New Roman" w:hAnsi="Times New Roman"/>
              </w:rPr>
              <w:t>$16.22</w:t>
            </w:r>
            <w:r>
              <w:rPr>
                <w:rFonts w:ascii="Times New Roman" w:hAnsi="Times New Roman"/>
              </w:rPr>
              <w:t>**</w:t>
            </w:r>
          </w:p>
        </w:tc>
        <w:tc>
          <w:tcPr>
            <w:tcW w:w="1440" w:type="dxa"/>
          </w:tcPr>
          <w:p w:rsidR="003A1ABF" w:rsidRPr="00982C42" w:rsidP="00982C42" w14:paraId="509EAE5A" w14:textId="41397DE1">
            <w:pPr>
              <w:spacing w:before="40" w:after="40" w:line="276" w:lineRule="auto"/>
              <w:jc w:val="right"/>
              <w:rPr>
                <w:rFonts w:ascii="Times New Roman" w:hAnsi="Times New Roman"/>
                <w:b/>
              </w:rPr>
            </w:pPr>
            <w:r w:rsidRPr="00982C42">
              <w:rPr>
                <w:rFonts w:ascii="Times New Roman" w:hAnsi="Times New Roman"/>
              </w:rPr>
              <w:t>$</w:t>
            </w:r>
            <w:r>
              <w:rPr>
                <w:rFonts w:ascii="Times New Roman" w:hAnsi="Times New Roman"/>
              </w:rPr>
              <w:t>973***</w:t>
            </w:r>
          </w:p>
        </w:tc>
      </w:tr>
      <w:tr w14:paraId="12C2ECF6" w14:textId="77777777" w:rsidTr="003A1ABF">
        <w:tblPrEx>
          <w:tblW w:w="10170" w:type="dxa"/>
          <w:tblInd w:w="-365" w:type="dxa"/>
          <w:tblLayout w:type="fixed"/>
          <w:tblLook w:val="04A0"/>
        </w:tblPrEx>
        <w:tc>
          <w:tcPr>
            <w:tcW w:w="1800" w:type="dxa"/>
          </w:tcPr>
          <w:p w:rsidR="003A1ABF" w:rsidRPr="00982C42" w:rsidP="00982C42" w14:paraId="09D612D2" w14:textId="1B63F432">
            <w:pPr>
              <w:spacing w:before="40" w:after="40" w:line="276" w:lineRule="auto"/>
              <w:ind w:left="144"/>
              <w:rPr>
                <w:rFonts w:ascii="Times New Roman" w:hAnsi="Times New Roman"/>
                <w:b/>
                <w:i/>
              </w:rPr>
            </w:pPr>
            <w:r w:rsidRPr="00982C42">
              <w:rPr>
                <w:rFonts w:ascii="Times New Roman" w:hAnsi="Times New Roman"/>
              </w:rPr>
              <w:t>Ticketholder: TTW non-users</w:t>
            </w:r>
          </w:p>
        </w:tc>
        <w:tc>
          <w:tcPr>
            <w:tcW w:w="1440" w:type="dxa"/>
          </w:tcPr>
          <w:p w:rsidR="003A1ABF" w:rsidRPr="00982C42" w:rsidP="00982C42" w14:paraId="749CB2C4" w14:textId="157E0C06">
            <w:pPr>
              <w:spacing w:before="40" w:after="40" w:line="276" w:lineRule="auto"/>
              <w:jc w:val="right"/>
              <w:rPr>
                <w:rFonts w:ascii="Times New Roman" w:hAnsi="Times New Roman"/>
                <w:b/>
                <w:i/>
              </w:rPr>
            </w:pPr>
            <w:r w:rsidRPr="00982C42">
              <w:rPr>
                <w:rFonts w:ascii="Times New Roman" w:hAnsi="Times New Roman"/>
              </w:rPr>
              <w:t>10</w:t>
            </w:r>
          </w:p>
        </w:tc>
        <w:tc>
          <w:tcPr>
            <w:tcW w:w="1620" w:type="dxa"/>
          </w:tcPr>
          <w:p w:rsidR="003A1ABF" w:rsidRPr="00982C42" w:rsidP="00982C42" w14:paraId="3A82F70C" w14:textId="109DAB7A">
            <w:pPr>
              <w:spacing w:before="40" w:after="40" w:line="276" w:lineRule="auto"/>
              <w:jc w:val="right"/>
              <w:rPr>
                <w:rFonts w:ascii="Times New Roman" w:hAnsi="Times New Roman"/>
                <w:b/>
                <w:i/>
              </w:rPr>
            </w:pPr>
            <w:r w:rsidRPr="00982C42">
              <w:rPr>
                <w:rFonts w:ascii="Times New Roman" w:hAnsi="Times New Roman"/>
              </w:rPr>
              <w:t>1</w:t>
            </w:r>
          </w:p>
        </w:tc>
        <w:tc>
          <w:tcPr>
            <w:tcW w:w="1440" w:type="dxa"/>
          </w:tcPr>
          <w:p w:rsidR="003A1ABF" w:rsidRPr="00982C42" w:rsidP="00982C42" w14:paraId="07E32010" w14:textId="3A7E2208">
            <w:pPr>
              <w:spacing w:before="40" w:after="40" w:line="276" w:lineRule="auto"/>
              <w:jc w:val="right"/>
              <w:rPr>
                <w:rFonts w:ascii="Times New Roman" w:hAnsi="Times New Roman"/>
                <w:b/>
                <w:i/>
              </w:rPr>
            </w:pPr>
            <w:r w:rsidRPr="00982C42">
              <w:rPr>
                <w:rFonts w:ascii="Times New Roman" w:hAnsi="Times New Roman"/>
              </w:rPr>
              <w:t>41</w:t>
            </w:r>
          </w:p>
        </w:tc>
        <w:tc>
          <w:tcPr>
            <w:tcW w:w="1080" w:type="dxa"/>
          </w:tcPr>
          <w:p w:rsidR="003A1ABF" w:rsidRPr="00982C42" w:rsidP="00982C42" w14:paraId="2F51BCBC" w14:textId="44528157">
            <w:pPr>
              <w:spacing w:before="40" w:after="40" w:line="276" w:lineRule="auto"/>
              <w:jc w:val="right"/>
              <w:rPr>
                <w:rFonts w:ascii="Times New Roman" w:hAnsi="Times New Roman"/>
              </w:rPr>
            </w:pPr>
            <w:r w:rsidRPr="00982C42">
              <w:rPr>
                <w:rFonts w:ascii="Times New Roman" w:hAnsi="Times New Roman"/>
              </w:rPr>
              <w:t>7</w:t>
            </w:r>
            <w:r>
              <w:rPr>
                <w:rFonts w:ascii="Times New Roman" w:hAnsi="Times New Roman"/>
              </w:rPr>
              <w:t>*</w:t>
            </w:r>
          </w:p>
        </w:tc>
        <w:tc>
          <w:tcPr>
            <w:tcW w:w="1350" w:type="dxa"/>
          </w:tcPr>
          <w:p w:rsidR="003A1ABF" w:rsidRPr="00982C42" w:rsidP="00982C42" w14:paraId="6DC2579A" w14:textId="16DCF6DE">
            <w:pPr>
              <w:spacing w:before="40" w:after="40" w:line="276" w:lineRule="auto"/>
              <w:jc w:val="right"/>
              <w:rPr>
                <w:rFonts w:ascii="Times New Roman" w:hAnsi="Times New Roman"/>
                <w:b/>
                <w:i/>
              </w:rPr>
            </w:pPr>
            <w:r w:rsidRPr="00982C42">
              <w:rPr>
                <w:rFonts w:ascii="Times New Roman" w:hAnsi="Times New Roman"/>
              </w:rPr>
              <w:t>$16.22</w:t>
            </w:r>
            <w:r>
              <w:rPr>
                <w:rFonts w:ascii="Times New Roman" w:hAnsi="Times New Roman"/>
              </w:rPr>
              <w:t>**</w:t>
            </w:r>
          </w:p>
        </w:tc>
        <w:tc>
          <w:tcPr>
            <w:tcW w:w="1440" w:type="dxa"/>
          </w:tcPr>
          <w:p w:rsidR="003A1ABF" w:rsidRPr="00982C42" w:rsidP="00982C42" w14:paraId="633C1372" w14:textId="645F61B5">
            <w:pPr>
              <w:spacing w:before="40" w:after="40" w:line="276" w:lineRule="auto"/>
              <w:jc w:val="right"/>
              <w:rPr>
                <w:rFonts w:ascii="Times New Roman" w:hAnsi="Times New Roman"/>
                <w:b/>
              </w:rPr>
            </w:pPr>
            <w:r w:rsidRPr="00982C42">
              <w:rPr>
                <w:rFonts w:ascii="Times New Roman" w:hAnsi="Times New Roman"/>
              </w:rPr>
              <w:t>$11</w:t>
            </w:r>
            <w:r>
              <w:rPr>
                <w:rFonts w:ascii="Times New Roman" w:hAnsi="Times New Roman"/>
              </w:rPr>
              <w:t>4***</w:t>
            </w:r>
          </w:p>
        </w:tc>
      </w:tr>
      <w:tr w14:paraId="7D423CB1" w14:textId="77777777" w:rsidTr="003A1ABF">
        <w:tblPrEx>
          <w:tblW w:w="10170" w:type="dxa"/>
          <w:tblInd w:w="-365" w:type="dxa"/>
          <w:tblLayout w:type="fixed"/>
          <w:tblLook w:val="04A0"/>
        </w:tblPrEx>
        <w:tc>
          <w:tcPr>
            <w:tcW w:w="1800" w:type="dxa"/>
          </w:tcPr>
          <w:p w:rsidR="003A1ABF" w:rsidRPr="00982C42" w:rsidP="00982C42" w14:paraId="30359CF3" w14:textId="73E6646D">
            <w:pPr>
              <w:spacing w:before="40" w:after="40" w:line="276" w:lineRule="auto"/>
              <w:ind w:left="144"/>
              <w:rPr>
                <w:rFonts w:ascii="Times New Roman" w:hAnsi="Times New Roman"/>
                <w:b/>
                <w:i/>
              </w:rPr>
            </w:pPr>
            <w:r w:rsidRPr="00982C42">
              <w:rPr>
                <w:rFonts w:ascii="Times New Roman" w:hAnsi="Times New Roman"/>
              </w:rPr>
              <w:t>Ticketholder: WIPA users</w:t>
            </w:r>
          </w:p>
        </w:tc>
        <w:tc>
          <w:tcPr>
            <w:tcW w:w="1440" w:type="dxa"/>
          </w:tcPr>
          <w:p w:rsidR="003A1ABF" w:rsidRPr="00982C42" w:rsidP="00982C42" w14:paraId="13D2E255" w14:textId="69AEF379">
            <w:pPr>
              <w:spacing w:before="40" w:after="40" w:line="276" w:lineRule="auto"/>
              <w:jc w:val="right"/>
              <w:rPr>
                <w:rFonts w:ascii="Times New Roman" w:hAnsi="Times New Roman"/>
                <w:b/>
                <w:i/>
              </w:rPr>
            </w:pPr>
            <w:r w:rsidRPr="00982C42">
              <w:rPr>
                <w:rFonts w:ascii="Times New Roman" w:hAnsi="Times New Roman"/>
              </w:rPr>
              <w:t>20</w:t>
            </w:r>
          </w:p>
        </w:tc>
        <w:tc>
          <w:tcPr>
            <w:tcW w:w="1620" w:type="dxa"/>
          </w:tcPr>
          <w:p w:rsidR="003A1ABF" w:rsidRPr="00982C42" w:rsidP="00982C42" w14:paraId="1C41985E" w14:textId="02ED9204">
            <w:pPr>
              <w:spacing w:before="40" w:after="40" w:line="276" w:lineRule="auto"/>
              <w:jc w:val="right"/>
              <w:rPr>
                <w:rFonts w:ascii="Times New Roman" w:hAnsi="Times New Roman"/>
                <w:b/>
                <w:i/>
              </w:rPr>
            </w:pPr>
            <w:r w:rsidRPr="00982C42">
              <w:rPr>
                <w:rFonts w:ascii="Times New Roman" w:hAnsi="Times New Roman"/>
              </w:rPr>
              <w:t>1</w:t>
            </w:r>
          </w:p>
        </w:tc>
        <w:tc>
          <w:tcPr>
            <w:tcW w:w="1440" w:type="dxa"/>
          </w:tcPr>
          <w:p w:rsidR="003A1ABF" w:rsidRPr="00982C42" w:rsidP="00982C42" w14:paraId="76C3B6E0" w14:textId="055CF422">
            <w:pPr>
              <w:spacing w:before="40" w:after="40" w:line="276" w:lineRule="auto"/>
              <w:jc w:val="right"/>
              <w:rPr>
                <w:rFonts w:ascii="Times New Roman" w:hAnsi="Times New Roman"/>
                <w:b/>
                <w:i/>
              </w:rPr>
            </w:pPr>
            <w:r w:rsidRPr="00982C42">
              <w:rPr>
                <w:rFonts w:ascii="Times New Roman" w:hAnsi="Times New Roman"/>
              </w:rPr>
              <w:t>51</w:t>
            </w:r>
          </w:p>
        </w:tc>
        <w:tc>
          <w:tcPr>
            <w:tcW w:w="1080" w:type="dxa"/>
          </w:tcPr>
          <w:p w:rsidR="003A1ABF" w:rsidRPr="00982C42" w:rsidP="00982C42" w14:paraId="4D4B9D4B" w14:textId="4E70A542">
            <w:pPr>
              <w:spacing w:before="40" w:after="40" w:line="276" w:lineRule="auto"/>
              <w:jc w:val="right"/>
              <w:rPr>
                <w:rFonts w:ascii="Times New Roman" w:hAnsi="Times New Roman"/>
              </w:rPr>
            </w:pPr>
            <w:r w:rsidRPr="00982C42">
              <w:rPr>
                <w:rFonts w:ascii="Times New Roman" w:hAnsi="Times New Roman"/>
              </w:rPr>
              <w:t>17</w:t>
            </w:r>
            <w:r>
              <w:rPr>
                <w:rFonts w:ascii="Times New Roman" w:hAnsi="Times New Roman"/>
              </w:rPr>
              <w:t>*</w:t>
            </w:r>
          </w:p>
        </w:tc>
        <w:tc>
          <w:tcPr>
            <w:tcW w:w="1350" w:type="dxa"/>
          </w:tcPr>
          <w:p w:rsidR="003A1ABF" w:rsidRPr="00982C42" w:rsidP="00982C42" w14:paraId="68DE3211" w14:textId="3733848B">
            <w:pPr>
              <w:spacing w:before="40" w:after="40" w:line="276" w:lineRule="auto"/>
              <w:jc w:val="right"/>
              <w:rPr>
                <w:rFonts w:ascii="Times New Roman" w:hAnsi="Times New Roman"/>
                <w:b/>
                <w:i/>
              </w:rPr>
            </w:pPr>
            <w:r w:rsidRPr="00982C42">
              <w:rPr>
                <w:rFonts w:ascii="Times New Roman" w:hAnsi="Times New Roman"/>
              </w:rPr>
              <w:t>$16.22</w:t>
            </w:r>
            <w:r>
              <w:rPr>
                <w:rFonts w:ascii="Times New Roman" w:hAnsi="Times New Roman"/>
              </w:rPr>
              <w:t>**</w:t>
            </w:r>
          </w:p>
        </w:tc>
        <w:tc>
          <w:tcPr>
            <w:tcW w:w="1440" w:type="dxa"/>
          </w:tcPr>
          <w:p w:rsidR="003A1ABF" w:rsidRPr="00982C42" w:rsidP="00982C42" w14:paraId="6A5941E7" w14:textId="2203E76D">
            <w:pPr>
              <w:spacing w:before="40" w:after="40" w:line="276" w:lineRule="auto"/>
              <w:jc w:val="right"/>
              <w:rPr>
                <w:rFonts w:ascii="Times New Roman" w:hAnsi="Times New Roman"/>
                <w:b/>
              </w:rPr>
            </w:pPr>
            <w:r w:rsidRPr="00982C42">
              <w:rPr>
                <w:rFonts w:ascii="Times New Roman" w:hAnsi="Times New Roman"/>
              </w:rPr>
              <w:t>$27</w:t>
            </w:r>
            <w:r>
              <w:rPr>
                <w:rFonts w:ascii="Times New Roman" w:hAnsi="Times New Roman"/>
              </w:rPr>
              <w:t>6***</w:t>
            </w:r>
          </w:p>
        </w:tc>
      </w:tr>
      <w:tr w14:paraId="2DAB190F" w14:textId="3D7B644B" w:rsidTr="003A1ABF">
        <w:tblPrEx>
          <w:tblW w:w="10170" w:type="dxa"/>
          <w:tblInd w:w="-365" w:type="dxa"/>
          <w:tblLayout w:type="fixed"/>
          <w:tblLook w:val="04A0"/>
        </w:tblPrEx>
        <w:tc>
          <w:tcPr>
            <w:tcW w:w="1800" w:type="dxa"/>
            <w:shd w:val="clear" w:color="auto" w:fill="E2EFD9" w:themeFill="accent6" w:themeFillTint="33"/>
          </w:tcPr>
          <w:p w:rsidR="003A1ABF" w:rsidRPr="00D67CF9" w:rsidP="00982C42" w14:paraId="5022AB91" w14:textId="1B6C2C99">
            <w:pPr>
              <w:spacing w:before="40" w:after="40" w:line="276" w:lineRule="auto"/>
              <w:ind w:left="144"/>
              <w:rPr>
                <w:rFonts w:ascii="Times New Roman" w:hAnsi="Times New Roman"/>
                <w:b/>
                <w:i/>
              </w:rPr>
            </w:pPr>
            <w:r w:rsidRPr="00D67CF9">
              <w:rPr>
                <w:rFonts w:ascii="Times New Roman" w:hAnsi="Times New Roman"/>
                <w:b/>
                <w:i/>
              </w:rPr>
              <w:t>Subtotal - qualitative interviews</w:t>
            </w:r>
          </w:p>
        </w:tc>
        <w:tc>
          <w:tcPr>
            <w:tcW w:w="1440" w:type="dxa"/>
            <w:shd w:val="clear" w:color="auto" w:fill="E2EFD9" w:themeFill="accent6" w:themeFillTint="33"/>
          </w:tcPr>
          <w:p w:rsidR="003A1ABF" w:rsidRPr="00982C42" w:rsidP="00982C42" w14:paraId="5D1CB53D" w14:textId="2DF0FBC2">
            <w:pPr>
              <w:spacing w:before="40" w:after="40" w:line="276" w:lineRule="auto"/>
              <w:jc w:val="right"/>
              <w:rPr>
                <w:rFonts w:ascii="Times New Roman" w:hAnsi="Times New Roman"/>
                <w:b/>
                <w:iCs/>
              </w:rPr>
            </w:pPr>
            <w:r w:rsidRPr="00982C42">
              <w:rPr>
                <w:rFonts w:ascii="Times New Roman" w:hAnsi="Times New Roman"/>
                <w:b/>
                <w:iCs/>
              </w:rPr>
              <w:t>100</w:t>
            </w:r>
          </w:p>
        </w:tc>
        <w:tc>
          <w:tcPr>
            <w:tcW w:w="1620" w:type="dxa"/>
            <w:shd w:val="clear" w:color="auto" w:fill="E2EFD9" w:themeFill="accent6" w:themeFillTint="33"/>
          </w:tcPr>
          <w:p w:rsidR="003A1ABF" w:rsidRPr="00982C42" w:rsidP="00982C42" w14:paraId="3161BDA7" w14:textId="718725C5">
            <w:pPr>
              <w:spacing w:before="40" w:after="40" w:line="276" w:lineRule="auto"/>
              <w:jc w:val="right"/>
              <w:rPr>
                <w:rFonts w:ascii="Times New Roman" w:hAnsi="Times New Roman"/>
                <w:b/>
                <w:iCs/>
              </w:rPr>
            </w:pPr>
          </w:p>
        </w:tc>
        <w:tc>
          <w:tcPr>
            <w:tcW w:w="1440" w:type="dxa"/>
            <w:shd w:val="clear" w:color="auto" w:fill="E2EFD9" w:themeFill="accent6" w:themeFillTint="33"/>
          </w:tcPr>
          <w:p w:rsidR="003A1ABF" w:rsidRPr="00982C42" w:rsidP="00982C42" w14:paraId="05A311D9" w14:textId="7BC5E24A">
            <w:pPr>
              <w:spacing w:before="40" w:after="40" w:line="276" w:lineRule="auto"/>
              <w:jc w:val="right"/>
              <w:rPr>
                <w:rFonts w:ascii="Times New Roman" w:hAnsi="Times New Roman"/>
                <w:b/>
                <w:iCs/>
              </w:rPr>
            </w:pPr>
          </w:p>
        </w:tc>
        <w:tc>
          <w:tcPr>
            <w:tcW w:w="1080" w:type="dxa"/>
            <w:shd w:val="clear" w:color="auto" w:fill="E2EFD9" w:themeFill="accent6" w:themeFillTint="33"/>
          </w:tcPr>
          <w:p w:rsidR="003A1ABF" w:rsidRPr="00982C42" w:rsidP="00982C42" w14:paraId="5BF052F3" w14:textId="32B5CF30">
            <w:pPr>
              <w:spacing w:before="40" w:after="40" w:line="276" w:lineRule="auto"/>
              <w:jc w:val="right"/>
              <w:rPr>
                <w:rFonts w:ascii="Times New Roman" w:hAnsi="Times New Roman"/>
                <w:b/>
                <w:iCs/>
              </w:rPr>
            </w:pPr>
            <w:r>
              <w:rPr>
                <w:rFonts w:ascii="Times New Roman" w:hAnsi="Times New Roman"/>
                <w:b/>
                <w:iCs/>
              </w:rPr>
              <w:t>84</w:t>
            </w:r>
          </w:p>
        </w:tc>
        <w:tc>
          <w:tcPr>
            <w:tcW w:w="1350" w:type="dxa"/>
            <w:shd w:val="clear" w:color="auto" w:fill="E2EFD9" w:themeFill="accent6" w:themeFillTint="33"/>
          </w:tcPr>
          <w:p w:rsidR="003A1ABF" w:rsidRPr="00982C42" w:rsidP="00982C42" w14:paraId="0D9A7320" w14:textId="4A189644">
            <w:pPr>
              <w:spacing w:before="40" w:after="40" w:line="276" w:lineRule="auto"/>
              <w:jc w:val="right"/>
              <w:rPr>
                <w:rFonts w:ascii="Times New Roman" w:hAnsi="Times New Roman"/>
                <w:b/>
                <w:iCs/>
              </w:rPr>
            </w:pPr>
          </w:p>
        </w:tc>
        <w:tc>
          <w:tcPr>
            <w:tcW w:w="1440" w:type="dxa"/>
            <w:shd w:val="clear" w:color="auto" w:fill="E2EFD9" w:themeFill="accent6" w:themeFillTint="33"/>
          </w:tcPr>
          <w:p w:rsidR="003A1ABF" w:rsidRPr="00982C42" w:rsidP="00982C42" w14:paraId="41C35CED" w14:textId="3C804973">
            <w:pPr>
              <w:spacing w:before="40" w:after="40" w:line="276" w:lineRule="auto"/>
              <w:jc w:val="right"/>
              <w:rPr>
                <w:rFonts w:ascii="Times New Roman" w:hAnsi="Times New Roman"/>
                <w:b/>
                <w:iCs/>
              </w:rPr>
            </w:pPr>
            <w:r w:rsidRPr="00982C42">
              <w:rPr>
                <w:rFonts w:ascii="Times New Roman" w:hAnsi="Times New Roman"/>
                <w:b/>
                <w:iCs/>
              </w:rPr>
              <w:t>$1,</w:t>
            </w:r>
            <w:r>
              <w:rPr>
                <w:rFonts w:ascii="Times New Roman" w:hAnsi="Times New Roman"/>
                <w:b/>
                <w:iCs/>
              </w:rPr>
              <w:t>363***</w:t>
            </w:r>
          </w:p>
        </w:tc>
      </w:tr>
      <w:tr w14:paraId="7E262616" w14:textId="294AB891" w:rsidTr="003A1ABF">
        <w:tblPrEx>
          <w:tblW w:w="10170" w:type="dxa"/>
          <w:tblInd w:w="-365" w:type="dxa"/>
          <w:tblLayout w:type="fixed"/>
          <w:tblLook w:val="04A0"/>
        </w:tblPrEx>
        <w:tc>
          <w:tcPr>
            <w:tcW w:w="1800" w:type="dxa"/>
            <w:shd w:val="clear" w:color="auto" w:fill="E7E6E6" w:themeFill="background2"/>
          </w:tcPr>
          <w:p w:rsidR="003A1ABF" w:rsidRPr="00982C42" w:rsidP="00982C42" w14:paraId="6B92A839" w14:textId="092F2E9F">
            <w:pPr>
              <w:spacing w:before="40" w:after="40" w:line="276" w:lineRule="auto"/>
              <w:rPr>
                <w:rFonts w:ascii="Times New Roman" w:hAnsi="Times New Roman"/>
                <w:b/>
              </w:rPr>
            </w:pPr>
            <w:r w:rsidRPr="00982C42">
              <w:rPr>
                <w:rFonts w:ascii="Times New Roman" w:hAnsi="Times New Roman"/>
                <w:b/>
              </w:rPr>
              <w:t>Total</w:t>
            </w:r>
            <w:r>
              <w:rPr>
                <w:rFonts w:ascii="Times New Roman" w:hAnsi="Times New Roman"/>
                <w:b/>
              </w:rPr>
              <w:t>s</w:t>
            </w:r>
          </w:p>
        </w:tc>
        <w:tc>
          <w:tcPr>
            <w:tcW w:w="1440" w:type="dxa"/>
            <w:shd w:val="clear" w:color="auto" w:fill="E7E6E6" w:themeFill="background2"/>
          </w:tcPr>
          <w:p w:rsidR="003A1ABF" w:rsidRPr="00982C42" w:rsidP="00982C42" w14:paraId="744C898A" w14:textId="7146813B">
            <w:pPr>
              <w:spacing w:before="40" w:after="40" w:line="276" w:lineRule="auto"/>
              <w:jc w:val="right"/>
              <w:rPr>
                <w:rFonts w:ascii="Times New Roman" w:hAnsi="Times New Roman"/>
              </w:rPr>
            </w:pPr>
          </w:p>
        </w:tc>
        <w:tc>
          <w:tcPr>
            <w:tcW w:w="1620" w:type="dxa"/>
            <w:shd w:val="clear" w:color="auto" w:fill="E7E6E6" w:themeFill="background2"/>
          </w:tcPr>
          <w:p w:rsidR="003A1ABF" w:rsidRPr="00982C42" w:rsidP="00982C42" w14:paraId="374576A2" w14:textId="77777777">
            <w:pPr>
              <w:spacing w:before="40" w:after="40" w:line="276" w:lineRule="auto"/>
              <w:jc w:val="right"/>
              <w:rPr>
                <w:rFonts w:ascii="Times New Roman" w:hAnsi="Times New Roman"/>
              </w:rPr>
            </w:pPr>
          </w:p>
        </w:tc>
        <w:tc>
          <w:tcPr>
            <w:tcW w:w="1440" w:type="dxa"/>
            <w:shd w:val="clear" w:color="auto" w:fill="E7E6E6" w:themeFill="background2"/>
          </w:tcPr>
          <w:p w:rsidR="003A1ABF" w:rsidRPr="00982C42" w:rsidP="00982C42" w14:paraId="30C9AC75" w14:textId="54457CE1">
            <w:pPr>
              <w:spacing w:before="40" w:after="40" w:line="276" w:lineRule="auto"/>
              <w:jc w:val="right"/>
              <w:rPr>
                <w:rFonts w:ascii="Times New Roman" w:hAnsi="Times New Roman"/>
              </w:rPr>
            </w:pPr>
          </w:p>
        </w:tc>
        <w:tc>
          <w:tcPr>
            <w:tcW w:w="1080" w:type="dxa"/>
            <w:shd w:val="clear" w:color="auto" w:fill="E7E6E6" w:themeFill="background2"/>
          </w:tcPr>
          <w:p w:rsidR="003A1ABF" w:rsidRPr="00982C42" w:rsidP="00982C42" w14:paraId="43E9DF3E" w14:textId="33E2E9BD">
            <w:pPr>
              <w:spacing w:before="40" w:after="40" w:line="276" w:lineRule="auto"/>
              <w:jc w:val="right"/>
              <w:rPr>
                <w:rFonts w:ascii="Times New Roman" w:hAnsi="Times New Roman"/>
              </w:rPr>
            </w:pPr>
          </w:p>
        </w:tc>
        <w:tc>
          <w:tcPr>
            <w:tcW w:w="1350" w:type="dxa"/>
            <w:shd w:val="clear" w:color="auto" w:fill="E7E6E6" w:themeFill="background2"/>
          </w:tcPr>
          <w:p w:rsidR="003A1ABF" w:rsidRPr="00982C42" w:rsidP="00982C42" w14:paraId="608A0878" w14:textId="2B8A0413">
            <w:pPr>
              <w:spacing w:before="40" w:after="40" w:line="276" w:lineRule="auto"/>
              <w:jc w:val="right"/>
              <w:rPr>
                <w:rFonts w:ascii="Times New Roman" w:hAnsi="Times New Roman"/>
              </w:rPr>
            </w:pPr>
          </w:p>
        </w:tc>
        <w:tc>
          <w:tcPr>
            <w:tcW w:w="1440" w:type="dxa"/>
            <w:shd w:val="clear" w:color="auto" w:fill="E7E6E6" w:themeFill="background2"/>
          </w:tcPr>
          <w:p w:rsidR="003A1ABF" w:rsidRPr="00982C42" w:rsidP="00982C42" w14:paraId="329762B3" w14:textId="4D96E501">
            <w:pPr>
              <w:spacing w:before="40" w:after="40" w:line="276" w:lineRule="auto"/>
              <w:jc w:val="right"/>
              <w:rPr>
                <w:rFonts w:ascii="Times New Roman" w:hAnsi="Times New Roman"/>
              </w:rPr>
            </w:pPr>
          </w:p>
        </w:tc>
      </w:tr>
      <w:tr w14:paraId="6AE1C664" w14:textId="28D48CF1" w:rsidTr="003A1ABF">
        <w:tblPrEx>
          <w:tblW w:w="10170" w:type="dxa"/>
          <w:tblInd w:w="-365" w:type="dxa"/>
          <w:tblLayout w:type="fixed"/>
          <w:tblLook w:val="04A0"/>
        </w:tblPrEx>
        <w:tc>
          <w:tcPr>
            <w:tcW w:w="1800" w:type="dxa"/>
            <w:shd w:val="clear" w:color="auto" w:fill="DEEBF6" w:themeFill="accent5" w:themeFillTint="33"/>
          </w:tcPr>
          <w:p w:rsidR="003A1ABF" w:rsidRPr="00982C42" w:rsidP="00982C42" w14:paraId="725566D4" w14:textId="131E5F3A">
            <w:pPr>
              <w:spacing w:before="40" w:after="40" w:line="276" w:lineRule="auto"/>
              <w:rPr>
                <w:rFonts w:ascii="Times New Roman" w:hAnsi="Times New Roman"/>
              </w:rPr>
            </w:pPr>
            <w:r w:rsidRPr="00982C42">
              <w:rPr>
                <w:rFonts w:ascii="Times New Roman" w:hAnsi="Times New Roman"/>
              </w:rPr>
              <w:t xml:space="preserve">Surveys </w:t>
            </w:r>
          </w:p>
        </w:tc>
        <w:tc>
          <w:tcPr>
            <w:tcW w:w="1440" w:type="dxa"/>
            <w:shd w:val="clear" w:color="auto" w:fill="DEEBF6" w:themeFill="accent5" w:themeFillTint="33"/>
          </w:tcPr>
          <w:p w:rsidR="003A1ABF" w:rsidRPr="00982C42" w:rsidP="00982C42" w14:paraId="5156C428" w14:textId="2B211919">
            <w:pPr>
              <w:spacing w:before="40" w:after="40" w:line="276" w:lineRule="auto"/>
              <w:jc w:val="right"/>
              <w:rPr>
                <w:rFonts w:ascii="Times New Roman" w:hAnsi="Times New Roman"/>
              </w:rPr>
            </w:pPr>
            <w:r w:rsidRPr="00982C42">
              <w:rPr>
                <w:rFonts w:ascii="Times New Roman" w:hAnsi="Times New Roman"/>
                <w:color w:val="000000"/>
              </w:rPr>
              <w:t>458</w:t>
            </w:r>
          </w:p>
        </w:tc>
        <w:tc>
          <w:tcPr>
            <w:tcW w:w="1620" w:type="dxa"/>
            <w:shd w:val="clear" w:color="auto" w:fill="DEEBF6" w:themeFill="accent5" w:themeFillTint="33"/>
          </w:tcPr>
          <w:p w:rsidR="003A1ABF" w:rsidRPr="00982C42" w:rsidP="00982C42" w14:paraId="08B0172A" w14:textId="68C0DE31">
            <w:pPr>
              <w:spacing w:before="40" w:after="40" w:line="276" w:lineRule="auto"/>
              <w:jc w:val="right"/>
              <w:rPr>
                <w:rFonts w:ascii="Times New Roman" w:hAnsi="Times New Roman"/>
              </w:rPr>
            </w:pPr>
          </w:p>
        </w:tc>
        <w:tc>
          <w:tcPr>
            <w:tcW w:w="1440" w:type="dxa"/>
            <w:shd w:val="clear" w:color="auto" w:fill="DEEBF6" w:themeFill="accent5" w:themeFillTint="33"/>
          </w:tcPr>
          <w:p w:rsidR="003A1ABF" w:rsidRPr="00982C42" w:rsidP="00982C42" w14:paraId="3EACF6B8" w14:textId="1273B3D0">
            <w:pPr>
              <w:spacing w:before="40" w:after="40" w:line="276" w:lineRule="auto"/>
              <w:jc w:val="right"/>
              <w:rPr>
                <w:rFonts w:ascii="Times New Roman" w:hAnsi="Times New Roman"/>
              </w:rPr>
            </w:pPr>
          </w:p>
        </w:tc>
        <w:tc>
          <w:tcPr>
            <w:tcW w:w="1080" w:type="dxa"/>
            <w:shd w:val="clear" w:color="auto" w:fill="DEEBF6" w:themeFill="accent5" w:themeFillTint="33"/>
          </w:tcPr>
          <w:p w:rsidR="003A1ABF" w:rsidRPr="00982C42" w:rsidP="00982C42" w14:paraId="0C81CEA8" w14:textId="5C546C22">
            <w:pPr>
              <w:spacing w:before="40" w:after="40" w:line="276" w:lineRule="auto"/>
              <w:jc w:val="right"/>
              <w:rPr>
                <w:rFonts w:ascii="Times New Roman" w:hAnsi="Times New Roman"/>
              </w:rPr>
            </w:pPr>
            <w:r w:rsidRPr="00982C42">
              <w:rPr>
                <w:rFonts w:ascii="Times New Roman" w:hAnsi="Times New Roman"/>
                <w:color w:val="000000"/>
              </w:rPr>
              <w:t>282</w:t>
            </w:r>
            <w:r>
              <w:rPr>
                <w:rFonts w:ascii="Times New Roman" w:hAnsi="Times New Roman"/>
                <w:color w:val="000000"/>
              </w:rPr>
              <w:t>*</w:t>
            </w:r>
          </w:p>
        </w:tc>
        <w:tc>
          <w:tcPr>
            <w:tcW w:w="1350" w:type="dxa"/>
            <w:shd w:val="clear" w:color="auto" w:fill="DEEBF6" w:themeFill="accent5" w:themeFillTint="33"/>
          </w:tcPr>
          <w:p w:rsidR="003A1ABF" w:rsidRPr="00982C42" w:rsidP="00982C42" w14:paraId="42ABCC0A" w14:textId="2C49907C">
            <w:pPr>
              <w:spacing w:before="40" w:after="40" w:line="276" w:lineRule="auto"/>
              <w:jc w:val="right"/>
              <w:rPr>
                <w:rFonts w:ascii="Times New Roman" w:hAnsi="Times New Roman"/>
              </w:rPr>
            </w:pPr>
          </w:p>
        </w:tc>
        <w:tc>
          <w:tcPr>
            <w:tcW w:w="1440" w:type="dxa"/>
            <w:shd w:val="clear" w:color="auto" w:fill="DEEBF6" w:themeFill="accent5" w:themeFillTint="33"/>
          </w:tcPr>
          <w:p w:rsidR="003A1ABF" w:rsidRPr="00982C42" w:rsidP="00982C42" w14:paraId="7D2FD21D" w14:textId="0E1A9F9E">
            <w:pPr>
              <w:spacing w:before="40" w:after="40" w:line="276" w:lineRule="auto"/>
              <w:jc w:val="right"/>
              <w:rPr>
                <w:rFonts w:ascii="Times New Roman" w:hAnsi="Times New Roman"/>
              </w:rPr>
            </w:pPr>
            <w:r w:rsidRPr="00982C42">
              <w:rPr>
                <w:rFonts w:ascii="Times New Roman" w:hAnsi="Times New Roman"/>
              </w:rPr>
              <w:t>$11,</w:t>
            </w:r>
            <w:r>
              <w:rPr>
                <w:rFonts w:ascii="Times New Roman" w:hAnsi="Times New Roman"/>
              </w:rPr>
              <w:t>307***</w:t>
            </w:r>
          </w:p>
        </w:tc>
      </w:tr>
      <w:tr w14:paraId="4D3E7B05" w14:textId="0E853BF6" w:rsidTr="003A1ABF">
        <w:tblPrEx>
          <w:tblW w:w="10170" w:type="dxa"/>
          <w:tblInd w:w="-365" w:type="dxa"/>
          <w:tblLayout w:type="fixed"/>
          <w:tblLook w:val="04A0"/>
        </w:tblPrEx>
        <w:tc>
          <w:tcPr>
            <w:tcW w:w="1800" w:type="dxa"/>
            <w:shd w:val="clear" w:color="auto" w:fill="E2EFD9" w:themeFill="accent6" w:themeFillTint="33"/>
          </w:tcPr>
          <w:p w:rsidR="003A1ABF" w:rsidRPr="00982C42" w:rsidP="00982C42" w14:paraId="2962E114" w14:textId="02904EA5">
            <w:pPr>
              <w:spacing w:before="40" w:after="40" w:line="276" w:lineRule="auto"/>
              <w:rPr>
                <w:rFonts w:ascii="Times New Roman" w:hAnsi="Times New Roman"/>
              </w:rPr>
            </w:pPr>
            <w:r w:rsidRPr="00982C42">
              <w:rPr>
                <w:rFonts w:ascii="Times New Roman" w:hAnsi="Times New Roman"/>
              </w:rPr>
              <w:t>Qualitative interviews</w:t>
            </w:r>
          </w:p>
        </w:tc>
        <w:tc>
          <w:tcPr>
            <w:tcW w:w="1440" w:type="dxa"/>
            <w:shd w:val="clear" w:color="auto" w:fill="E2EFD9" w:themeFill="accent6" w:themeFillTint="33"/>
          </w:tcPr>
          <w:p w:rsidR="003A1ABF" w:rsidRPr="00982C42" w:rsidP="00982C42" w14:paraId="51618086" w14:textId="635C9D03">
            <w:pPr>
              <w:spacing w:before="40" w:after="40" w:line="276" w:lineRule="auto"/>
              <w:jc w:val="right"/>
              <w:rPr>
                <w:rFonts w:ascii="Times New Roman" w:hAnsi="Times New Roman"/>
              </w:rPr>
            </w:pPr>
            <w:r w:rsidRPr="00982C42">
              <w:rPr>
                <w:rFonts w:ascii="Times New Roman" w:hAnsi="Times New Roman"/>
                <w:color w:val="000000"/>
              </w:rPr>
              <w:t>100</w:t>
            </w:r>
          </w:p>
        </w:tc>
        <w:tc>
          <w:tcPr>
            <w:tcW w:w="1620" w:type="dxa"/>
            <w:shd w:val="clear" w:color="auto" w:fill="E2EFD9" w:themeFill="accent6" w:themeFillTint="33"/>
          </w:tcPr>
          <w:p w:rsidR="003A1ABF" w:rsidRPr="00982C42" w:rsidP="00982C42" w14:paraId="248C80BA" w14:textId="4A18DFBB">
            <w:pPr>
              <w:spacing w:before="40" w:after="40" w:line="276" w:lineRule="auto"/>
              <w:jc w:val="right"/>
              <w:rPr>
                <w:rFonts w:ascii="Times New Roman" w:hAnsi="Times New Roman"/>
              </w:rPr>
            </w:pPr>
          </w:p>
        </w:tc>
        <w:tc>
          <w:tcPr>
            <w:tcW w:w="1440" w:type="dxa"/>
            <w:shd w:val="clear" w:color="auto" w:fill="E2EFD9" w:themeFill="accent6" w:themeFillTint="33"/>
          </w:tcPr>
          <w:p w:rsidR="003A1ABF" w:rsidRPr="00982C42" w:rsidP="00982C42" w14:paraId="70C107BA" w14:textId="253C396C">
            <w:pPr>
              <w:spacing w:before="40" w:after="40" w:line="276" w:lineRule="auto"/>
              <w:jc w:val="right"/>
              <w:rPr>
                <w:rFonts w:ascii="Times New Roman" w:hAnsi="Times New Roman"/>
              </w:rPr>
            </w:pPr>
          </w:p>
        </w:tc>
        <w:tc>
          <w:tcPr>
            <w:tcW w:w="1080" w:type="dxa"/>
            <w:shd w:val="clear" w:color="auto" w:fill="E2EFD9" w:themeFill="accent6" w:themeFillTint="33"/>
          </w:tcPr>
          <w:p w:rsidR="003A1ABF" w:rsidRPr="00982C42" w:rsidP="00982C42" w14:paraId="38526D79" w14:textId="182847BA">
            <w:pPr>
              <w:spacing w:before="40" w:after="40" w:line="276" w:lineRule="auto"/>
              <w:jc w:val="right"/>
              <w:rPr>
                <w:rFonts w:ascii="Times New Roman" w:hAnsi="Times New Roman"/>
              </w:rPr>
            </w:pPr>
            <w:r w:rsidRPr="00982C42">
              <w:rPr>
                <w:rFonts w:ascii="Times New Roman" w:hAnsi="Times New Roman"/>
                <w:color w:val="000000"/>
              </w:rPr>
              <w:t>8</w:t>
            </w:r>
            <w:r>
              <w:rPr>
                <w:rFonts w:ascii="Times New Roman" w:hAnsi="Times New Roman"/>
                <w:color w:val="000000"/>
              </w:rPr>
              <w:t>4*</w:t>
            </w:r>
          </w:p>
        </w:tc>
        <w:tc>
          <w:tcPr>
            <w:tcW w:w="1350" w:type="dxa"/>
            <w:shd w:val="clear" w:color="auto" w:fill="E2EFD9" w:themeFill="accent6" w:themeFillTint="33"/>
          </w:tcPr>
          <w:p w:rsidR="003A1ABF" w:rsidRPr="00982C42" w:rsidP="00982C42" w14:paraId="2AFB8897" w14:textId="1D38C076">
            <w:pPr>
              <w:spacing w:before="40" w:after="40" w:line="276" w:lineRule="auto"/>
              <w:jc w:val="right"/>
              <w:rPr>
                <w:rFonts w:ascii="Times New Roman" w:hAnsi="Times New Roman"/>
              </w:rPr>
            </w:pPr>
          </w:p>
        </w:tc>
        <w:tc>
          <w:tcPr>
            <w:tcW w:w="1440" w:type="dxa"/>
            <w:shd w:val="clear" w:color="auto" w:fill="E2EFD9" w:themeFill="accent6" w:themeFillTint="33"/>
          </w:tcPr>
          <w:p w:rsidR="003A1ABF" w:rsidRPr="00982C42" w:rsidP="00982C42" w14:paraId="2859F761" w14:textId="6FC906E6">
            <w:pPr>
              <w:spacing w:before="40" w:after="40" w:line="276" w:lineRule="auto"/>
              <w:jc w:val="right"/>
              <w:rPr>
                <w:rFonts w:ascii="Times New Roman" w:hAnsi="Times New Roman"/>
              </w:rPr>
            </w:pPr>
            <w:r w:rsidRPr="00982C42">
              <w:rPr>
                <w:rFonts w:ascii="Times New Roman" w:hAnsi="Times New Roman"/>
              </w:rPr>
              <w:t>$1,3</w:t>
            </w:r>
            <w:r>
              <w:rPr>
                <w:rFonts w:ascii="Times New Roman" w:hAnsi="Times New Roman"/>
              </w:rPr>
              <w:t>63***</w:t>
            </w:r>
          </w:p>
        </w:tc>
      </w:tr>
      <w:tr w14:paraId="59DBE439" w14:textId="77777777" w:rsidTr="003A1ABF">
        <w:tblPrEx>
          <w:tblW w:w="10170" w:type="dxa"/>
          <w:tblInd w:w="-365" w:type="dxa"/>
          <w:tblLayout w:type="fixed"/>
          <w:tblLook w:val="04A0"/>
        </w:tblPrEx>
        <w:tc>
          <w:tcPr>
            <w:tcW w:w="1800" w:type="dxa"/>
          </w:tcPr>
          <w:p w:rsidR="003A1ABF" w:rsidRPr="00982C42" w:rsidP="00982C42" w14:paraId="2CB34B44" w14:textId="1914A6E0">
            <w:pPr>
              <w:spacing w:before="40" w:after="40" w:line="276" w:lineRule="auto"/>
              <w:rPr>
                <w:rFonts w:ascii="Times New Roman" w:hAnsi="Times New Roman"/>
                <w:b/>
              </w:rPr>
            </w:pPr>
            <w:r w:rsidRPr="00982C42">
              <w:rPr>
                <w:rFonts w:ascii="Times New Roman" w:hAnsi="Times New Roman"/>
                <w:b/>
              </w:rPr>
              <w:t>Total</w:t>
            </w:r>
          </w:p>
        </w:tc>
        <w:tc>
          <w:tcPr>
            <w:tcW w:w="1440" w:type="dxa"/>
          </w:tcPr>
          <w:p w:rsidR="003A1ABF" w:rsidRPr="00982C42" w:rsidP="00982C42" w14:paraId="755B41F9" w14:textId="47C824F8">
            <w:pPr>
              <w:spacing w:before="40" w:after="40" w:line="276" w:lineRule="auto"/>
              <w:jc w:val="right"/>
              <w:rPr>
                <w:rFonts w:ascii="Times New Roman" w:hAnsi="Times New Roman"/>
                <w:b/>
                <w:color w:val="000000"/>
              </w:rPr>
            </w:pPr>
            <w:r w:rsidRPr="00982C42">
              <w:rPr>
                <w:rFonts w:ascii="Times New Roman" w:hAnsi="Times New Roman"/>
                <w:b/>
                <w:color w:val="000000"/>
              </w:rPr>
              <w:t>558</w:t>
            </w:r>
          </w:p>
        </w:tc>
        <w:tc>
          <w:tcPr>
            <w:tcW w:w="1620" w:type="dxa"/>
          </w:tcPr>
          <w:p w:rsidR="003A1ABF" w:rsidRPr="00982C42" w:rsidP="00982C42" w14:paraId="48FED83B" w14:textId="77777777">
            <w:pPr>
              <w:spacing w:before="40" w:after="40" w:line="276" w:lineRule="auto"/>
              <w:jc w:val="right"/>
              <w:rPr>
                <w:rFonts w:ascii="Times New Roman" w:hAnsi="Times New Roman"/>
                <w:b/>
                <w:i/>
                <w:color w:val="000000"/>
              </w:rPr>
            </w:pPr>
          </w:p>
        </w:tc>
        <w:tc>
          <w:tcPr>
            <w:tcW w:w="1440" w:type="dxa"/>
          </w:tcPr>
          <w:p w:rsidR="003A1ABF" w:rsidRPr="00982C42" w:rsidP="00982C42" w14:paraId="46E27EB5" w14:textId="77777777">
            <w:pPr>
              <w:spacing w:before="40" w:after="40" w:line="276" w:lineRule="auto"/>
              <w:jc w:val="right"/>
              <w:rPr>
                <w:rFonts w:ascii="Times New Roman" w:hAnsi="Times New Roman"/>
                <w:b/>
                <w:color w:val="000000"/>
              </w:rPr>
            </w:pPr>
          </w:p>
        </w:tc>
        <w:tc>
          <w:tcPr>
            <w:tcW w:w="1080" w:type="dxa"/>
          </w:tcPr>
          <w:p w:rsidR="003A1ABF" w:rsidRPr="00982C42" w:rsidP="00982C42" w14:paraId="7A23B7CC" w14:textId="0E66C88B">
            <w:pPr>
              <w:spacing w:before="40" w:after="40" w:line="276" w:lineRule="auto"/>
              <w:jc w:val="right"/>
              <w:rPr>
                <w:rFonts w:ascii="Times New Roman" w:hAnsi="Times New Roman"/>
                <w:b/>
                <w:color w:val="000000"/>
              </w:rPr>
            </w:pPr>
            <w:r w:rsidRPr="00982C42">
              <w:rPr>
                <w:rFonts w:ascii="Times New Roman" w:hAnsi="Times New Roman"/>
                <w:b/>
                <w:color w:val="000000"/>
              </w:rPr>
              <w:t>366</w:t>
            </w:r>
            <w:r>
              <w:rPr>
                <w:rFonts w:ascii="Times New Roman" w:hAnsi="Times New Roman"/>
                <w:b/>
                <w:color w:val="000000"/>
              </w:rPr>
              <w:t>*</w:t>
            </w:r>
          </w:p>
        </w:tc>
        <w:tc>
          <w:tcPr>
            <w:tcW w:w="1350" w:type="dxa"/>
          </w:tcPr>
          <w:p w:rsidR="003A1ABF" w:rsidRPr="00982C42" w:rsidP="00982C42" w14:paraId="474F0957" w14:textId="77777777">
            <w:pPr>
              <w:spacing w:before="40" w:after="40" w:line="276" w:lineRule="auto"/>
              <w:jc w:val="right"/>
              <w:rPr>
                <w:rFonts w:ascii="Times New Roman" w:hAnsi="Times New Roman"/>
                <w:b/>
                <w:color w:val="000000"/>
              </w:rPr>
            </w:pPr>
          </w:p>
        </w:tc>
        <w:tc>
          <w:tcPr>
            <w:tcW w:w="1440" w:type="dxa"/>
          </w:tcPr>
          <w:p w:rsidR="003A1ABF" w:rsidRPr="00982C42" w:rsidP="00982C42" w14:paraId="3E262EBD" w14:textId="603FE5FB">
            <w:pPr>
              <w:spacing w:before="40" w:after="40" w:line="276" w:lineRule="auto"/>
              <w:jc w:val="right"/>
              <w:rPr>
                <w:rFonts w:ascii="Times New Roman" w:hAnsi="Times New Roman"/>
                <w:b/>
              </w:rPr>
            </w:pPr>
            <w:r w:rsidRPr="00982C42">
              <w:rPr>
                <w:rFonts w:ascii="Times New Roman" w:hAnsi="Times New Roman"/>
                <w:b/>
              </w:rPr>
              <w:t>$12,</w:t>
            </w:r>
            <w:r>
              <w:rPr>
                <w:rFonts w:ascii="Times New Roman" w:hAnsi="Times New Roman"/>
                <w:b/>
              </w:rPr>
              <w:t>670***</w:t>
            </w:r>
          </w:p>
        </w:tc>
      </w:tr>
    </w:tbl>
    <w:p w:rsidR="00766A73" w:rsidRPr="00D67CF9" w:rsidP="00D67CF9" w14:paraId="40C409A6" w14:textId="6756E0B6">
      <w:pPr>
        <w:widowControl/>
        <w:tabs>
          <w:tab w:val="left" w:pos="1080"/>
        </w:tabs>
        <w:spacing w:before="40" w:after="20" w:line="276" w:lineRule="auto"/>
        <w:ind w:left="900"/>
        <w:rPr>
          <w:rFonts w:ascii="Times New Roman" w:hAnsi="Times New Roman"/>
        </w:rPr>
      </w:pPr>
      <w:bookmarkStart w:id="51" w:name="_Toc130382269"/>
      <w:r w:rsidRPr="003A1ABF">
        <w:rPr>
          <w:rFonts w:ascii="Times New Roman" w:hAnsi="Times New Roman"/>
          <w:snapToGrid/>
        </w:rPr>
        <w:t>*</w:t>
      </w:r>
      <w:r w:rsidRPr="003A1ABF">
        <w:rPr>
          <w:rFonts w:ascii="Times New Roman" w:hAnsi="Times New Roman"/>
          <w:snapToGrid/>
        </w:rPr>
        <w:t xml:space="preserve"> </w:t>
      </w:r>
      <w:bookmarkStart w:id="52" w:name="_Hlk206156092"/>
      <w:r w:rsidRPr="00D67CF9">
        <w:rPr>
          <w:rFonts w:ascii="Times New Roman" w:hAnsi="Times New Roman"/>
        </w:rPr>
        <w:t xml:space="preserve">To show annual burden, we </w:t>
      </w:r>
      <w:r w:rsidRPr="00D67CF9" w:rsidR="002F5F2C">
        <w:rPr>
          <w:rFonts w:ascii="Times New Roman" w:hAnsi="Times New Roman"/>
        </w:rPr>
        <w:t xml:space="preserve">multiplied the </w:t>
      </w:r>
      <w:r w:rsidRPr="00D67CF9" w:rsidR="002C16C8">
        <w:rPr>
          <w:rFonts w:ascii="Times New Roman" w:hAnsi="Times New Roman"/>
        </w:rPr>
        <w:t xml:space="preserve">number of respondents by the number of responses annually by the average respondent burden per response. </w:t>
      </w:r>
      <w:r>
        <w:rPr>
          <w:rFonts w:ascii="Times New Roman" w:hAnsi="Times New Roman"/>
        </w:rPr>
        <w:t xml:space="preserve"> </w:t>
      </w:r>
      <w:r w:rsidRPr="00D67CF9" w:rsidR="00DF5CA1">
        <w:rPr>
          <w:rFonts w:ascii="Times New Roman" w:hAnsi="Times New Roman"/>
        </w:rPr>
        <w:t xml:space="preserve">We allocated the number of planned responses by year based on the timing of the provider survey </w:t>
      </w:r>
      <w:r w:rsidRPr="00D67CF9" w:rsidR="004A2F56">
        <w:rPr>
          <w:rFonts w:ascii="Times New Roman" w:hAnsi="Times New Roman"/>
        </w:rPr>
        <w:t xml:space="preserve">and the planned distribution of the qualitative interviews over the two calendar years. </w:t>
      </w:r>
      <w:r w:rsidRPr="00D67CF9" w:rsidR="00DF5CA1">
        <w:rPr>
          <w:rFonts w:ascii="Times New Roman" w:hAnsi="Times New Roman"/>
        </w:rPr>
        <w:t xml:space="preserve"> </w:t>
      </w:r>
      <w:bookmarkEnd w:id="52"/>
    </w:p>
    <w:p w:rsidR="00402D42" w:rsidRPr="00D67CF9" w:rsidP="008808F6" w14:paraId="327982E2" w14:textId="77777777">
      <w:pPr>
        <w:widowControl/>
        <w:tabs>
          <w:tab w:val="left" w:pos="1080"/>
        </w:tabs>
        <w:spacing w:before="40" w:after="20" w:line="276" w:lineRule="auto"/>
        <w:rPr>
          <w:rFonts w:ascii="Times New Roman" w:hAnsi="Times New Roman"/>
        </w:rPr>
      </w:pPr>
    </w:p>
    <w:p w:rsidR="00C467B1" w:rsidRPr="00D67CF9" w:rsidP="00D67CF9" w14:paraId="2AA3CFE6" w14:textId="57A4C643">
      <w:pPr>
        <w:pStyle w:val="FootnoteText"/>
        <w:spacing w:before="40" w:after="20" w:line="276" w:lineRule="auto"/>
        <w:ind w:left="900"/>
        <w:rPr>
          <w:sz w:val="24"/>
          <w:szCs w:val="24"/>
        </w:rPr>
      </w:pPr>
      <w:r>
        <w:rPr>
          <w:sz w:val="24"/>
          <w:szCs w:val="24"/>
        </w:rPr>
        <w:t>**</w:t>
      </w:r>
      <w:r w:rsidRPr="00D67CF9" w:rsidR="00766A73">
        <w:rPr>
          <w:sz w:val="24"/>
          <w:szCs w:val="24"/>
          <w:vertAlign w:val="superscript"/>
        </w:rPr>
        <w:t xml:space="preserve"> </w:t>
      </w:r>
      <w:bookmarkStart w:id="53" w:name="_Hlk206156107"/>
      <w:r w:rsidRPr="00D67CF9" w:rsidR="00766A73">
        <w:rPr>
          <w:sz w:val="24"/>
          <w:szCs w:val="24"/>
        </w:rPr>
        <w:t xml:space="preserve">Opportunity cost estimates </w:t>
      </w:r>
      <w:r w:rsidRPr="00D67CF9" w:rsidR="003E5382">
        <w:rPr>
          <w:sz w:val="24"/>
          <w:szCs w:val="24"/>
        </w:rPr>
        <w:t xml:space="preserve">for Ticket Act </w:t>
      </w:r>
      <w:r w:rsidRPr="00D67CF9" w:rsidR="00F2244A">
        <w:rPr>
          <w:sz w:val="24"/>
          <w:szCs w:val="24"/>
        </w:rPr>
        <w:t>p</w:t>
      </w:r>
      <w:r w:rsidRPr="00D67CF9" w:rsidR="003E5382">
        <w:rPr>
          <w:sz w:val="24"/>
          <w:szCs w:val="24"/>
        </w:rPr>
        <w:t xml:space="preserve">roviders </w:t>
      </w:r>
      <w:r w:rsidRPr="00D67CF9" w:rsidR="00766A73">
        <w:rPr>
          <w:sz w:val="24"/>
          <w:szCs w:val="24"/>
        </w:rPr>
        <w:t xml:space="preserve">assume </w:t>
      </w:r>
      <w:r w:rsidRPr="00D67CF9" w:rsidR="008720C0">
        <w:rPr>
          <w:sz w:val="24"/>
          <w:szCs w:val="24"/>
        </w:rPr>
        <w:t xml:space="preserve">a </w:t>
      </w:r>
      <w:r w:rsidRPr="00D67CF9" w:rsidR="00766A73">
        <w:rPr>
          <w:sz w:val="24"/>
          <w:szCs w:val="24"/>
        </w:rPr>
        <w:t xml:space="preserve">wage rate of </w:t>
      </w:r>
      <w:r w:rsidRPr="00D67CF9" w:rsidR="00B71F17">
        <w:rPr>
          <w:sz w:val="24"/>
          <w:szCs w:val="24"/>
        </w:rPr>
        <w:t>$</w:t>
      </w:r>
      <w:r w:rsidRPr="00D67CF9" w:rsidR="00614C46">
        <w:rPr>
          <w:sz w:val="24"/>
          <w:szCs w:val="24"/>
        </w:rPr>
        <w:t>40.10</w:t>
      </w:r>
      <w:r w:rsidRPr="00D67CF9" w:rsidR="0092597C">
        <w:rPr>
          <w:sz w:val="24"/>
          <w:szCs w:val="24"/>
        </w:rPr>
        <w:t xml:space="preserve"> per hour</w:t>
      </w:r>
      <w:r w:rsidRPr="00D67CF9" w:rsidR="00B71F17">
        <w:rPr>
          <w:sz w:val="24"/>
          <w:szCs w:val="24"/>
        </w:rPr>
        <w:t xml:space="preserve">, the </w:t>
      </w:r>
      <w:r w:rsidRPr="00D67CF9" w:rsidR="00614C46">
        <w:rPr>
          <w:sz w:val="24"/>
          <w:szCs w:val="24"/>
        </w:rPr>
        <w:t>average</w:t>
      </w:r>
      <w:r w:rsidRPr="00D67CF9" w:rsidR="00B71F17">
        <w:rPr>
          <w:sz w:val="24"/>
          <w:szCs w:val="24"/>
        </w:rPr>
        <w:t xml:space="preserve"> national wage reported by the Bureau of Labor Statistics for the </w:t>
      </w:r>
      <w:r w:rsidRPr="00D67CF9" w:rsidR="00AF4B2A">
        <w:rPr>
          <w:sz w:val="24"/>
          <w:szCs w:val="24"/>
        </w:rPr>
        <w:t>employment category of “Social and Community Service Managers”</w:t>
      </w:r>
      <w:r w:rsidRPr="00D67CF9" w:rsidR="0077543D">
        <w:rPr>
          <w:sz w:val="24"/>
          <w:szCs w:val="24"/>
        </w:rPr>
        <w:t xml:space="preserve"> (</w:t>
      </w:r>
      <w:r w:rsidRPr="00D67CF9" w:rsidR="00413AD6">
        <w:rPr>
          <w:sz w:val="24"/>
          <w:szCs w:val="24"/>
        </w:rPr>
        <w:t>a</w:t>
      </w:r>
      <w:r w:rsidRPr="00D67CF9" w:rsidR="0077543D">
        <w:rPr>
          <w:sz w:val="24"/>
          <w:szCs w:val="24"/>
        </w:rPr>
        <w:t xml:space="preserve">ccessed at </w:t>
      </w:r>
      <w:hyperlink r:id="rId9" w:history="1">
        <w:r w:rsidRPr="00D67CF9" w:rsidR="0077543D">
          <w:rPr>
            <w:rStyle w:val="Hyperlink"/>
            <w:sz w:val="24"/>
            <w:szCs w:val="24"/>
          </w:rPr>
          <w:t>https://www.bls.gov/oes/current/oes119151.htm</w:t>
        </w:r>
      </w:hyperlink>
      <w:r w:rsidRPr="00D67CF9" w:rsidR="0077543D">
        <w:rPr>
          <w:sz w:val="24"/>
          <w:szCs w:val="24"/>
        </w:rPr>
        <w:t xml:space="preserve"> on October 22, 2024</w:t>
      </w:r>
      <w:r w:rsidRPr="00D67CF9" w:rsidR="00413AD6">
        <w:rPr>
          <w:sz w:val="24"/>
          <w:szCs w:val="24"/>
        </w:rPr>
        <w:t>)</w:t>
      </w:r>
      <w:r w:rsidRPr="00D67CF9" w:rsidR="0077543D">
        <w:rPr>
          <w:sz w:val="24"/>
          <w:szCs w:val="24"/>
        </w:rPr>
        <w:t xml:space="preserve">. </w:t>
      </w:r>
      <w:r w:rsidR="00D67CF9">
        <w:rPr>
          <w:sz w:val="24"/>
          <w:szCs w:val="24"/>
        </w:rPr>
        <w:t xml:space="preserve"> </w:t>
      </w:r>
      <w:r w:rsidRPr="00D67CF9" w:rsidR="00947643">
        <w:rPr>
          <w:sz w:val="24"/>
          <w:szCs w:val="24"/>
        </w:rPr>
        <w:t>Opportunity cost estimate</w:t>
      </w:r>
      <w:r w:rsidRPr="00D67CF9" w:rsidR="0027634D">
        <w:rPr>
          <w:sz w:val="24"/>
          <w:szCs w:val="24"/>
        </w:rPr>
        <w:t>s</w:t>
      </w:r>
      <w:r w:rsidRPr="00D67CF9" w:rsidR="00947643">
        <w:rPr>
          <w:sz w:val="24"/>
          <w:szCs w:val="24"/>
        </w:rPr>
        <w:t xml:space="preserve"> for SSA </w:t>
      </w:r>
      <w:r w:rsidRPr="00D67CF9" w:rsidR="0027634D">
        <w:rPr>
          <w:sz w:val="24"/>
          <w:szCs w:val="24"/>
        </w:rPr>
        <w:t xml:space="preserve">Ticketholders </w:t>
      </w:r>
      <w:r w:rsidRPr="00D67CF9" w:rsidR="00947643">
        <w:rPr>
          <w:sz w:val="24"/>
          <w:szCs w:val="24"/>
        </w:rPr>
        <w:t xml:space="preserve">assume a </w:t>
      </w:r>
      <w:r w:rsidRPr="00D67CF9" w:rsidR="008720C0">
        <w:rPr>
          <w:sz w:val="24"/>
          <w:szCs w:val="24"/>
        </w:rPr>
        <w:t xml:space="preserve">rate of </w:t>
      </w:r>
      <w:r w:rsidRPr="00D67CF9" w:rsidR="00F00717">
        <w:rPr>
          <w:sz w:val="24"/>
          <w:szCs w:val="24"/>
        </w:rPr>
        <w:t xml:space="preserve">$16.22 per hour, corresponding to the average wage for </w:t>
      </w:r>
      <w:r w:rsidRPr="00D67CF9" w:rsidR="00E17E6C">
        <w:rPr>
          <w:sz w:val="24"/>
          <w:szCs w:val="24"/>
        </w:rPr>
        <w:t xml:space="preserve">employed </w:t>
      </w:r>
      <w:r w:rsidRPr="00D67CF9" w:rsidR="004021FD">
        <w:rPr>
          <w:sz w:val="24"/>
          <w:szCs w:val="24"/>
        </w:rPr>
        <w:t xml:space="preserve">SSDI and SSI </w:t>
      </w:r>
      <w:r w:rsidRPr="00D67CF9" w:rsidR="00F00717">
        <w:rPr>
          <w:sz w:val="24"/>
          <w:szCs w:val="24"/>
        </w:rPr>
        <w:t xml:space="preserve">beneficiaries in 2019 ($12.92, </w:t>
      </w:r>
      <w:hyperlink r:id="rId10" w:history="1">
        <w:r w:rsidRPr="00D67CF9" w:rsidR="004021FD">
          <w:rPr>
            <w:rStyle w:val="Hyperlink"/>
            <w:sz w:val="24"/>
            <w:szCs w:val="24"/>
          </w:rPr>
          <w:t>https://www.ssa.gov/policy/docs/statcomps/nbs/2019/job-characteristics.html</w:t>
        </w:r>
      </w:hyperlink>
      <w:r w:rsidRPr="00D67CF9" w:rsidR="004021FD">
        <w:rPr>
          <w:sz w:val="24"/>
          <w:szCs w:val="24"/>
        </w:rPr>
        <w:t>)</w:t>
      </w:r>
      <w:r w:rsidRPr="00D67CF9" w:rsidR="00F00717">
        <w:rPr>
          <w:sz w:val="24"/>
          <w:szCs w:val="24"/>
        </w:rPr>
        <w:t xml:space="preserve"> adjusted for inflation </w:t>
      </w:r>
      <w:r w:rsidRPr="00D67CF9" w:rsidR="00A054DD">
        <w:rPr>
          <w:sz w:val="24"/>
          <w:szCs w:val="24"/>
        </w:rPr>
        <w:t xml:space="preserve">using the U.S. Bureau of Labor Statistic’s </w:t>
      </w:r>
      <w:r w:rsidRPr="00D67CF9" w:rsidR="00DF3EA8">
        <w:rPr>
          <w:sz w:val="24"/>
          <w:szCs w:val="24"/>
        </w:rPr>
        <w:t>Inflation Calculator (</w:t>
      </w:r>
      <w:hyperlink r:id="rId11" w:history="1">
        <w:r w:rsidRPr="00D67CF9" w:rsidR="004021FD">
          <w:rPr>
            <w:rStyle w:val="Hyperlink"/>
            <w:sz w:val="24"/>
            <w:szCs w:val="24"/>
          </w:rPr>
          <w:t>https://www.bls.gov/data/inflation_calculator.htm</w:t>
        </w:r>
      </w:hyperlink>
      <w:r w:rsidRPr="00D67CF9" w:rsidR="004021FD">
        <w:rPr>
          <w:sz w:val="24"/>
          <w:szCs w:val="24"/>
        </w:rPr>
        <w:t>)</w:t>
      </w:r>
      <w:bookmarkEnd w:id="53"/>
      <w:r w:rsidRPr="00D67CF9" w:rsidR="00DF3EA8">
        <w:rPr>
          <w:sz w:val="24"/>
          <w:szCs w:val="24"/>
        </w:rPr>
        <w:t>.</w:t>
      </w:r>
    </w:p>
    <w:p w:rsidR="00402D42" w:rsidRPr="003A1ABF" w:rsidP="008808F6" w14:paraId="44ED4EBF" w14:textId="77777777">
      <w:pPr>
        <w:pStyle w:val="FootnoteText"/>
        <w:spacing w:before="40" w:after="20" w:line="276" w:lineRule="auto"/>
        <w:rPr>
          <w:sz w:val="24"/>
          <w:szCs w:val="24"/>
        </w:rPr>
      </w:pPr>
    </w:p>
    <w:p w:rsidR="00766A73" w:rsidRPr="00D67CF9" w:rsidP="00D67CF9" w14:paraId="5DE19561" w14:textId="00273A42">
      <w:pPr>
        <w:widowControl/>
        <w:tabs>
          <w:tab w:val="left" w:pos="1080"/>
        </w:tabs>
        <w:spacing w:before="40" w:after="20" w:line="276" w:lineRule="auto"/>
        <w:ind w:left="900"/>
        <w:rPr>
          <w:rFonts w:ascii="Times New Roman" w:hAnsi="Times New Roman"/>
        </w:rPr>
      </w:pPr>
      <w:r w:rsidRPr="003A1ABF">
        <w:rPr>
          <w:rFonts w:ascii="Times New Roman" w:hAnsi="Times New Roman"/>
        </w:rPr>
        <w:t>***</w:t>
      </w:r>
      <w:r>
        <w:rPr>
          <w:rFonts w:ascii="Times New Roman" w:hAnsi="Times New Roman"/>
          <w:vertAlign w:val="superscript"/>
        </w:rPr>
        <w:t xml:space="preserve"> </w:t>
      </w:r>
      <w:bookmarkStart w:id="54" w:name="_Hlk206156129"/>
      <w:r w:rsidRPr="00D67CF9">
        <w:rPr>
          <w:rFonts w:ascii="Times New Roman" w:hAnsi="Times New Roman"/>
        </w:rPr>
        <w:t xml:space="preserve">This figure does not represent actual costs that SSA will impose on </w:t>
      </w:r>
      <w:r w:rsidRPr="00D67CF9" w:rsidR="00A260E9">
        <w:rPr>
          <w:rFonts w:ascii="Times New Roman" w:hAnsi="Times New Roman"/>
        </w:rPr>
        <w:t>survey respondents or participants in the qualitative interviews.</w:t>
      </w:r>
      <w:r w:rsidR="00D67CF9">
        <w:rPr>
          <w:rFonts w:ascii="Times New Roman" w:hAnsi="Times New Roman"/>
        </w:rPr>
        <w:t xml:space="preserve"> </w:t>
      </w:r>
      <w:r w:rsidRPr="00D67CF9" w:rsidR="0005595B">
        <w:rPr>
          <w:rFonts w:ascii="Times New Roman" w:hAnsi="Times New Roman"/>
        </w:rPr>
        <w:t xml:space="preserve"> </w:t>
      </w:r>
      <w:r w:rsidRPr="00D67CF9" w:rsidR="00A260E9">
        <w:rPr>
          <w:rFonts w:ascii="Times New Roman" w:hAnsi="Times New Roman"/>
        </w:rPr>
        <w:t>T</w:t>
      </w:r>
      <w:r w:rsidRPr="00D67CF9">
        <w:rPr>
          <w:rFonts w:ascii="Times New Roman" w:hAnsi="Times New Roman"/>
        </w:rPr>
        <w:t xml:space="preserve">hey are theoretical opportunity costs for the time </w:t>
      </w:r>
      <w:r w:rsidRPr="00D67CF9" w:rsidR="00C85169">
        <w:rPr>
          <w:rFonts w:ascii="Times New Roman" w:hAnsi="Times New Roman"/>
        </w:rPr>
        <w:t xml:space="preserve">that </w:t>
      </w:r>
      <w:r w:rsidRPr="00D67CF9">
        <w:rPr>
          <w:rFonts w:ascii="Times New Roman" w:hAnsi="Times New Roman"/>
        </w:rPr>
        <w:t xml:space="preserve">respondents will spend participating in data collection activities. </w:t>
      </w:r>
      <w:r w:rsidR="00D67CF9">
        <w:rPr>
          <w:rFonts w:ascii="Times New Roman" w:hAnsi="Times New Roman"/>
        </w:rPr>
        <w:t xml:space="preserve"> </w:t>
      </w:r>
      <w:r w:rsidRPr="00D67CF9">
        <w:rPr>
          <w:rFonts w:ascii="Times New Roman" w:hAnsi="Times New Roman"/>
        </w:rPr>
        <w:t>There is no charge to respondents for participating in data collection activities.</w:t>
      </w:r>
      <w:r w:rsidRPr="00D67CF9" w:rsidR="00F739B7">
        <w:rPr>
          <w:rFonts w:ascii="Times New Roman" w:hAnsi="Times New Roman"/>
        </w:rPr>
        <w:t xml:space="preserve"> </w:t>
      </w:r>
      <w:r w:rsidR="00D67CF9">
        <w:rPr>
          <w:rFonts w:ascii="Times New Roman" w:hAnsi="Times New Roman"/>
        </w:rPr>
        <w:t xml:space="preserve"> </w:t>
      </w:r>
      <w:r w:rsidRPr="00D67CF9" w:rsidR="00F739B7">
        <w:rPr>
          <w:rFonts w:ascii="Times New Roman" w:hAnsi="Times New Roman"/>
        </w:rPr>
        <w:t xml:space="preserve">We calculated these costs by multiplying the </w:t>
      </w:r>
      <w:r w:rsidRPr="00D67CF9" w:rsidR="00D47349">
        <w:rPr>
          <w:rFonts w:ascii="Times New Roman" w:hAnsi="Times New Roman"/>
        </w:rPr>
        <w:t>total annual burden in hours</w:t>
      </w:r>
      <w:r w:rsidR="00D67CF9">
        <w:rPr>
          <w:rFonts w:ascii="Times New Roman" w:hAnsi="Times New Roman"/>
        </w:rPr>
        <w:t xml:space="preserve"> </w:t>
      </w:r>
      <w:r w:rsidRPr="00D67CF9" w:rsidR="00D47349">
        <w:rPr>
          <w:rFonts w:ascii="Times New Roman" w:hAnsi="Times New Roman"/>
        </w:rPr>
        <w:t xml:space="preserve">by the average theoretical </w:t>
      </w:r>
      <w:r w:rsidRPr="00D67CF9" w:rsidR="00F4121F">
        <w:rPr>
          <w:rFonts w:ascii="Times New Roman" w:hAnsi="Times New Roman"/>
        </w:rPr>
        <w:t xml:space="preserve">hourly </w:t>
      </w:r>
      <w:r w:rsidRPr="00D67CF9" w:rsidR="00A77441">
        <w:rPr>
          <w:rFonts w:ascii="Times New Roman" w:hAnsi="Times New Roman"/>
        </w:rPr>
        <w:t>rate</w:t>
      </w:r>
      <w:r w:rsidRPr="00D67CF9" w:rsidR="002B6663">
        <w:rPr>
          <w:rFonts w:ascii="Times New Roman" w:hAnsi="Times New Roman"/>
        </w:rPr>
        <w:t xml:space="preserve">. </w:t>
      </w:r>
      <w:r w:rsidR="00D67CF9">
        <w:rPr>
          <w:rFonts w:ascii="Times New Roman" w:hAnsi="Times New Roman"/>
        </w:rPr>
        <w:t xml:space="preserve"> </w:t>
      </w:r>
      <w:r w:rsidRPr="00D67CF9" w:rsidR="002B6663">
        <w:rPr>
          <w:rFonts w:ascii="Times New Roman" w:hAnsi="Times New Roman"/>
        </w:rPr>
        <w:t xml:space="preserve">Because the table presents rounded total annual </w:t>
      </w:r>
      <w:r w:rsidRPr="00A51E55" w:rsidR="002B6663">
        <w:rPr>
          <w:rFonts w:ascii="Times New Roman" w:hAnsi="Times New Roman"/>
        </w:rPr>
        <w:t>burden hours,</w:t>
      </w:r>
      <w:r w:rsidRPr="00A51E55" w:rsidR="00F4174F">
        <w:rPr>
          <w:rFonts w:ascii="Times New Roman" w:hAnsi="Times New Roman"/>
        </w:rPr>
        <w:t xml:space="preserve"> </w:t>
      </w:r>
      <w:r w:rsidRPr="00A51E55" w:rsidR="004B3F00">
        <w:rPr>
          <w:rFonts w:ascii="Times New Roman" w:hAnsi="Times New Roman"/>
        </w:rPr>
        <w:t>th</w:t>
      </w:r>
      <w:r w:rsidRPr="00A51E55" w:rsidR="00136E1B">
        <w:rPr>
          <w:rFonts w:ascii="Times New Roman" w:hAnsi="Times New Roman"/>
        </w:rPr>
        <w:t>is</w:t>
      </w:r>
      <w:r w:rsidRPr="00A51E55" w:rsidR="004B3F00">
        <w:rPr>
          <w:rFonts w:ascii="Times New Roman" w:hAnsi="Times New Roman"/>
        </w:rPr>
        <w:t xml:space="preserve"> rounding may </w:t>
      </w:r>
      <w:r w:rsidRPr="00A51E55" w:rsidR="00136E1B">
        <w:rPr>
          <w:rFonts w:ascii="Times New Roman" w:hAnsi="Times New Roman"/>
        </w:rPr>
        <w:t>affect the previsions needed to replicate these estimates</w:t>
      </w:r>
      <w:bookmarkEnd w:id="54"/>
      <w:r w:rsidRPr="00A51E55" w:rsidR="00A51E55">
        <w:rPr>
          <w:rFonts w:ascii="Times New Roman" w:hAnsi="Times New Roman"/>
        </w:rPr>
        <w:t xml:space="preserve">.  </w:t>
      </w:r>
      <w:r w:rsidRPr="00A51E55" w:rsidR="00A51E55">
        <w:rPr>
          <w:rFonts w:ascii="Times New Roman" w:eastAsia="SimSun" w:hAnsi="Times New Roman"/>
          <w:b/>
          <w:bCs/>
          <w:u w:val="single"/>
          <w:lang w:eastAsia="zh-CN"/>
        </w:rPr>
        <w:t>There is no actual charge to respondents to complete the tasks</w:t>
      </w:r>
      <w:r w:rsidRPr="00A51E55" w:rsidR="004B3F00">
        <w:rPr>
          <w:rFonts w:ascii="Times New Roman" w:hAnsi="Times New Roman"/>
        </w:rPr>
        <w:t>.</w:t>
      </w:r>
      <w:r w:rsidRPr="00D67CF9" w:rsidR="002B6663">
        <w:rPr>
          <w:rFonts w:ascii="Times New Roman" w:hAnsi="Times New Roman"/>
        </w:rPr>
        <w:t xml:space="preserve"> </w:t>
      </w:r>
    </w:p>
    <w:p w:rsidR="00681130" w:rsidRPr="00EE016F" w:rsidP="00F7565A" w14:paraId="3116EA08" w14:textId="28D70EFB">
      <w:pPr>
        <w:pStyle w:val="H2"/>
        <w:spacing w:line="276" w:lineRule="auto"/>
        <w:ind w:left="900" w:hanging="450"/>
        <w:rPr>
          <w:rFonts w:ascii="Times New Roman" w:hAnsi="Times New Roman" w:cs="Times New Roman"/>
          <w:szCs w:val="24"/>
        </w:rPr>
      </w:pPr>
      <w:bookmarkStart w:id="55" w:name="_Toc183510770"/>
      <w:r w:rsidRPr="00EE016F">
        <w:rPr>
          <w:rFonts w:ascii="Times New Roman" w:hAnsi="Times New Roman" w:cs="Times New Roman"/>
          <w:szCs w:val="24"/>
        </w:rPr>
        <w:t xml:space="preserve">13. </w:t>
      </w:r>
      <w:r w:rsidRPr="00EE016F">
        <w:rPr>
          <w:rFonts w:ascii="Times New Roman" w:hAnsi="Times New Roman" w:cs="Times New Roman"/>
          <w:szCs w:val="24"/>
        </w:rPr>
        <w:tab/>
        <w:t xml:space="preserve">Annual </w:t>
      </w:r>
      <w:r w:rsidR="00167C60">
        <w:rPr>
          <w:rFonts w:ascii="Times New Roman" w:hAnsi="Times New Roman" w:cs="Times New Roman"/>
          <w:szCs w:val="24"/>
        </w:rPr>
        <w:t>C</w:t>
      </w:r>
      <w:r w:rsidRPr="00EE016F">
        <w:rPr>
          <w:rFonts w:ascii="Times New Roman" w:hAnsi="Times New Roman" w:cs="Times New Roman"/>
          <w:szCs w:val="24"/>
        </w:rPr>
        <w:t xml:space="preserve">ost to the </w:t>
      </w:r>
      <w:r w:rsidR="00167C60">
        <w:rPr>
          <w:rFonts w:ascii="Times New Roman" w:hAnsi="Times New Roman" w:cs="Times New Roman"/>
          <w:szCs w:val="24"/>
        </w:rPr>
        <w:t>R</w:t>
      </w:r>
      <w:r w:rsidRPr="00EE016F">
        <w:rPr>
          <w:rFonts w:ascii="Times New Roman" w:hAnsi="Times New Roman" w:cs="Times New Roman"/>
          <w:szCs w:val="24"/>
        </w:rPr>
        <w:t>espondents (</w:t>
      </w:r>
      <w:r w:rsidR="00167C60">
        <w:rPr>
          <w:rFonts w:ascii="Times New Roman" w:hAnsi="Times New Roman" w:cs="Times New Roman"/>
          <w:szCs w:val="24"/>
        </w:rPr>
        <w:t>O</w:t>
      </w:r>
      <w:r w:rsidRPr="00EE016F">
        <w:rPr>
          <w:rFonts w:ascii="Times New Roman" w:hAnsi="Times New Roman" w:cs="Times New Roman"/>
          <w:szCs w:val="24"/>
        </w:rPr>
        <w:t>ther)</w:t>
      </w:r>
      <w:bookmarkEnd w:id="51"/>
      <w:bookmarkEnd w:id="55"/>
    </w:p>
    <w:p w:rsidR="00681130" w:rsidRPr="00EE016F" w:rsidP="00F7565A" w14:paraId="571CF68B" w14:textId="2AD92984">
      <w:pPr>
        <w:pStyle w:val="ParagraphContinued"/>
        <w:spacing w:before="0" w:line="276" w:lineRule="auto"/>
        <w:ind w:left="900"/>
        <w:rPr>
          <w:rFonts w:ascii="Times New Roman" w:hAnsi="Times New Roman" w:cs="Times New Roman"/>
          <w:sz w:val="24"/>
          <w:szCs w:val="24"/>
          <w:u w:val="single"/>
        </w:rPr>
      </w:pPr>
      <w:r w:rsidRPr="00EE016F">
        <w:rPr>
          <w:rFonts w:ascii="Times New Roman" w:hAnsi="Times New Roman" w:cs="Times New Roman"/>
          <w:sz w:val="24"/>
          <w:szCs w:val="24"/>
        </w:rPr>
        <w:t>There are no direct costs to respondents for any of the data collection activities</w:t>
      </w:r>
      <w:r w:rsidRPr="00EE016F" w:rsidR="002F6D62">
        <w:rPr>
          <w:rFonts w:ascii="Times New Roman" w:hAnsi="Times New Roman" w:cs="Times New Roman"/>
          <w:sz w:val="24"/>
          <w:szCs w:val="24"/>
        </w:rPr>
        <w:t>, other than their time to participate</w:t>
      </w:r>
      <w:r w:rsidRPr="00EE016F" w:rsidR="00140FC7">
        <w:rPr>
          <w:rFonts w:ascii="Times New Roman" w:hAnsi="Times New Roman" w:cs="Times New Roman"/>
          <w:sz w:val="24"/>
          <w:szCs w:val="24"/>
        </w:rPr>
        <w:t xml:space="preserve"> in the study, as described above</w:t>
      </w:r>
      <w:r w:rsidRPr="00EE016F">
        <w:rPr>
          <w:rFonts w:ascii="Times New Roman" w:hAnsi="Times New Roman" w:cs="Times New Roman"/>
          <w:sz w:val="24"/>
          <w:szCs w:val="24"/>
        </w:rPr>
        <w:t xml:space="preserve">. </w:t>
      </w:r>
      <w:r w:rsidR="00D67CF9">
        <w:rPr>
          <w:rFonts w:ascii="Times New Roman" w:hAnsi="Times New Roman" w:cs="Times New Roman"/>
          <w:sz w:val="24"/>
          <w:szCs w:val="24"/>
        </w:rPr>
        <w:t xml:space="preserve"> </w:t>
      </w:r>
      <w:r w:rsidRPr="00EE016F" w:rsidR="001510F5">
        <w:rPr>
          <w:rFonts w:ascii="Times New Roman" w:hAnsi="Times New Roman" w:cs="Times New Roman"/>
          <w:sz w:val="24"/>
          <w:szCs w:val="24"/>
        </w:rPr>
        <w:t xml:space="preserve">Mathematica </w:t>
      </w:r>
      <w:r w:rsidRPr="00EE016F">
        <w:rPr>
          <w:rFonts w:ascii="Times New Roman" w:hAnsi="Times New Roman" w:cs="Times New Roman"/>
          <w:sz w:val="24"/>
          <w:szCs w:val="24"/>
        </w:rPr>
        <w:t xml:space="preserve">will not ask respondents to maintain any new records. </w:t>
      </w:r>
      <w:r w:rsidR="00D67CF9">
        <w:rPr>
          <w:rFonts w:ascii="Times New Roman" w:hAnsi="Times New Roman" w:cs="Times New Roman"/>
          <w:sz w:val="24"/>
          <w:szCs w:val="24"/>
        </w:rPr>
        <w:t xml:space="preserve"> </w:t>
      </w:r>
      <w:r w:rsidRPr="00EE016F" w:rsidR="003D1B18">
        <w:rPr>
          <w:rFonts w:ascii="Times New Roman" w:hAnsi="Times New Roman" w:cs="Times New Roman"/>
          <w:sz w:val="24"/>
          <w:szCs w:val="24"/>
        </w:rPr>
        <w:t xml:space="preserve">Mathematica </w:t>
      </w:r>
      <w:r w:rsidRPr="00EE016F">
        <w:rPr>
          <w:rFonts w:ascii="Times New Roman" w:hAnsi="Times New Roman" w:cs="Times New Roman"/>
          <w:sz w:val="24"/>
          <w:szCs w:val="24"/>
        </w:rPr>
        <w:t>will collect and maintain all data and is responsible for all costs associated with collectin</w:t>
      </w:r>
      <w:r w:rsidRPr="00EE016F" w:rsidR="0062387E">
        <w:rPr>
          <w:rFonts w:ascii="Times New Roman" w:hAnsi="Times New Roman" w:cs="Times New Roman"/>
          <w:sz w:val="24"/>
          <w:szCs w:val="24"/>
        </w:rPr>
        <w:t>g</w:t>
      </w:r>
      <w:r w:rsidRPr="00EE016F">
        <w:rPr>
          <w:rFonts w:ascii="Times New Roman" w:hAnsi="Times New Roman" w:cs="Times New Roman"/>
          <w:sz w:val="24"/>
          <w:szCs w:val="24"/>
        </w:rPr>
        <w:t>, stor</w:t>
      </w:r>
      <w:r w:rsidRPr="00EE016F" w:rsidR="0062387E">
        <w:rPr>
          <w:rFonts w:ascii="Times New Roman" w:hAnsi="Times New Roman" w:cs="Times New Roman"/>
          <w:sz w:val="24"/>
          <w:szCs w:val="24"/>
        </w:rPr>
        <w:t>ing</w:t>
      </w:r>
      <w:r w:rsidRPr="00EE016F">
        <w:rPr>
          <w:rFonts w:ascii="Times New Roman" w:hAnsi="Times New Roman" w:cs="Times New Roman"/>
          <w:sz w:val="24"/>
          <w:szCs w:val="24"/>
        </w:rPr>
        <w:t xml:space="preserve">, processing, and other functions related to these data. </w:t>
      </w:r>
      <w:r w:rsidR="00D67CF9">
        <w:rPr>
          <w:rFonts w:ascii="Times New Roman" w:hAnsi="Times New Roman" w:cs="Times New Roman"/>
          <w:sz w:val="24"/>
          <w:szCs w:val="24"/>
        </w:rPr>
        <w:t xml:space="preserve"> </w:t>
      </w:r>
      <w:r w:rsidRPr="00EE016F">
        <w:rPr>
          <w:rFonts w:ascii="Times New Roman" w:hAnsi="Times New Roman" w:cs="Times New Roman"/>
          <w:sz w:val="24"/>
          <w:szCs w:val="24"/>
        </w:rPr>
        <w:t xml:space="preserve">Section 14 summarizes these costs, which are costs to the federal government under an SSA </w:t>
      </w:r>
      <w:r w:rsidRPr="00EE016F" w:rsidR="004E0233">
        <w:rPr>
          <w:rFonts w:ascii="Times New Roman" w:hAnsi="Times New Roman" w:cs="Times New Roman"/>
          <w:sz w:val="24"/>
          <w:szCs w:val="24"/>
        </w:rPr>
        <w:t>contract</w:t>
      </w:r>
      <w:r w:rsidRPr="00EE016F">
        <w:rPr>
          <w:rFonts w:ascii="Times New Roman" w:hAnsi="Times New Roman" w:cs="Times New Roman"/>
          <w:sz w:val="24"/>
          <w:szCs w:val="24"/>
        </w:rPr>
        <w:t xml:space="preserve">. </w:t>
      </w:r>
    </w:p>
    <w:p w:rsidR="005623CF" w:rsidRPr="00EE016F" w:rsidP="00F7565A" w14:paraId="763CD846" w14:textId="28E983ED">
      <w:pPr>
        <w:pStyle w:val="H2"/>
        <w:spacing w:line="276" w:lineRule="auto"/>
        <w:ind w:left="900" w:hanging="450"/>
        <w:rPr>
          <w:rFonts w:ascii="Times New Roman" w:hAnsi="Times New Roman" w:cs="Times New Roman"/>
          <w:szCs w:val="24"/>
        </w:rPr>
      </w:pPr>
      <w:bookmarkStart w:id="56" w:name="_Toc476059364"/>
      <w:bookmarkStart w:id="57" w:name="_Toc130382270"/>
      <w:bookmarkStart w:id="58" w:name="_Toc183510771"/>
      <w:r w:rsidRPr="00EE016F">
        <w:rPr>
          <w:rFonts w:ascii="Times New Roman" w:hAnsi="Times New Roman" w:cs="Times New Roman"/>
          <w:szCs w:val="24"/>
        </w:rPr>
        <w:t xml:space="preserve">14. </w:t>
      </w:r>
      <w:r w:rsidRPr="00EE016F">
        <w:rPr>
          <w:rFonts w:ascii="Times New Roman" w:hAnsi="Times New Roman" w:cs="Times New Roman"/>
          <w:szCs w:val="24"/>
        </w:rPr>
        <w:tab/>
        <w:t xml:space="preserve">Annual </w:t>
      </w:r>
      <w:r w:rsidR="00346FFA">
        <w:rPr>
          <w:rFonts w:ascii="Times New Roman" w:hAnsi="Times New Roman" w:cs="Times New Roman"/>
          <w:szCs w:val="24"/>
        </w:rPr>
        <w:t>C</w:t>
      </w:r>
      <w:r w:rsidRPr="00EE016F">
        <w:rPr>
          <w:rFonts w:ascii="Times New Roman" w:hAnsi="Times New Roman" w:cs="Times New Roman"/>
          <w:szCs w:val="24"/>
        </w:rPr>
        <w:t xml:space="preserve">osts to </w:t>
      </w:r>
      <w:r w:rsidR="00346FFA">
        <w:rPr>
          <w:rFonts w:ascii="Times New Roman" w:hAnsi="Times New Roman" w:cs="Times New Roman"/>
          <w:szCs w:val="24"/>
        </w:rPr>
        <w:t>F</w:t>
      </w:r>
      <w:r w:rsidRPr="00EE016F">
        <w:rPr>
          <w:rFonts w:ascii="Times New Roman" w:hAnsi="Times New Roman" w:cs="Times New Roman"/>
          <w:szCs w:val="24"/>
        </w:rPr>
        <w:t xml:space="preserve">ederal </w:t>
      </w:r>
      <w:r w:rsidR="00346FFA">
        <w:rPr>
          <w:rFonts w:ascii="Times New Roman" w:hAnsi="Times New Roman" w:cs="Times New Roman"/>
          <w:szCs w:val="24"/>
        </w:rPr>
        <w:t>G</w:t>
      </w:r>
      <w:r w:rsidRPr="00EE016F">
        <w:rPr>
          <w:rFonts w:ascii="Times New Roman" w:hAnsi="Times New Roman" w:cs="Times New Roman"/>
          <w:szCs w:val="24"/>
        </w:rPr>
        <w:t>overnment</w:t>
      </w:r>
      <w:bookmarkEnd w:id="56"/>
      <w:bookmarkEnd w:id="57"/>
      <w:bookmarkEnd w:id="58"/>
    </w:p>
    <w:p w:rsidR="00A15B17" w:rsidRPr="00EE016F" w:rsidP="00F7565A" w14:paraId="4C9715F4" w14:textId="27D66E2D">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The cost to SSA for conducting the provider surveys and qualitative interviews </w:t>
      </w:r>
      <w:r w:rsidRPr="00EE016F" w:rsidR="00710E77">
        <w:rPr>
          <w:rFonts w:ascii="Times New Roman" w:hAnsi="Times New Roman" w:cs="Times New Roman"/>
          <w:sz w:val="24"/>
          <w:szCs w:val="24"/>
        </w:rPr>
        <w:t xml:space="preserve">is </w:t>
      </w:r>
      <w:r w:rsidR="005275C8">
        <w:rPr>
          <w:rFonts w:ascii="Times New Roman" w:hAnsi="Times New Roman" w:cs="Times New Roman"/>
          <w:sz w:val="24"/>
          <w:szCs w:val="24"/>
        </w:rPr>
        <w:t xml:space="preserve">approximately </w:t>
      </w:r>
      <w:r w:rsidRPr="009A4E61" w:rsidR="00A2656D">
        <w:rPr>
          <w:rFonts w:ascii="Times New Roman" w:hAnsi="Times New Roman" w:cs="Times New Roman"/>
          <w:sz w:val="24"/>
          <w:szCs w:val="24"/>
        </w:rPr>
        <w:t>$1,167,</w:t>
      </w:r>
      <w:r w:rsidRPr="009A4E61" w:rsidR="00416B28">
        <w:rPr>
          <w:rFonts w:ascii="Times New Roman" w:hAnsi="Times New Roman" w:cs="Times New Roman"/>
          <w:sz w:val="24"/>
          <w:szCs w:val="24"/>
        </w:rPr>
        <w:t>01</w:t>
      </w:r>
      <w:r w:rsidRPr="009A4E61" w:rsidR="00C561C1">
        <w:rPr>
          <w:rFonts w:ascii="Times New Roman" w:hAnsi="Times New Roman" w:cs="Times New Roman"/>
          <w:sz w:val="24"/>
          <w:szCs w:val="24"/>
        </w:rPr>
        <w:t>1</w:t>
      </w:r>
      <w:r w:rsidRPr="00EE016F" w:rsidR="00710E77">
        <w:rPr>
          <w:rFonts w:ascii="Times New Roman" w:hAnsi="Times New Roman" w:cs="Times New Roman"/>
          <w:sz w:val="24"/>
          <w:szCs w:val="24"/>
        </w:rPr>
        <w:t xml:space="preserve">. </w:t>
      </w:r>
      <w:r w:rsidR="00D67CF9">
        <w:rPr>
          <w:rFonts w:ascii="Times New Roman" w:hAnsi="Times New Roman" w:cs="Times New Roman"/>
          <w:sz w:val="24"/>
          <w:szCs w:val="24"/>
        </w:rPr>
        <w:t xml:space="preserve"> </w:t>
      </w:r>
      <w:r w:rsidR="00346FFA">
        <w:rPr>
          <w:rFonts w:ascii="Times New Roman" w:hAnsi="Times New Roman" w:cs="Times New Roman"/>
          <w:sz w:val="24"/>
          <w:szCs w:val="24"/>
        </w:rPr>
        <w:t>Th</w:t>
      </w:r>
      <w:r w:rsidR="00ED59E9">
        <w:rPr>
          <w:rFonts w:ascii="Times New Roman" w:hAnsi="Times New Roman" w:cs="Times New Roman"/>
          <w:sz w:val="24"/>
          <w:szCs w:val="24"/>
        </w:rPr>
        <w:t>is</w:t>
      </w:r>
      <w:r w:rsidR="00346FFA">
        <w:rPr>
          <w:rFonts w:ascii="Times New Roman" w:hAnsi="Times New Roman" w:cs="Times New Roman"/>
          <w:sz w:val="24"/>
          <w:szCs w:val="24"/>
        </w:rPr>
        <w:t xml:space="preserve"> </w:t>
      </w:r>
      <w:r w:rsidR="008F04EE">
        <w:rPr>
          <w:rFonts w:ascii="Times New Roman" w:hAnsi="Times New Roman" w:cs="Times New Roman"/>
          <w:sz w:val="24"/>
          <w:szCs w:val="24"/>
        </w:rPr>
        <w:t>estimate accounts for</w:t>
      </w:r>
      <w:r w:rsidRPr="00EE016F" w:rsidR="00710E77">
        <w:rPr>
          <w:rFonts w:ascii="Times New Roman" w:hAnsi="Times New Roman" w:cs="Times New Roman"/>
          <w:sz w:val="24"/>
          <w:szCs w:val="24"/>
        </w:rPr>
        <w:t xml:space="preserve"> costs by activity. </w:t>
      </w:r>
      <w:r w:rsidR="00D67CF9">
        <w:rPr>
          <w:rFonts w:ascii="Times New Roman" w:hAnsi="Times New Roman" w:cs="Times New Roman"/>
          <w:sz w:val="24"/>
          <w:szCs w:val="24"/>
        </w:rPr>
        <w:t xml:space="preserve"> </w:t>
      </w:r>
      <w:r w:rsidRPr="00EE016F">
        <w:rPr>
          <w:rFonts w:ascii="Times New Roman" w:hAnsi="Times New Roman" w:cs="Times New Roman"/>
          <w:sz w:val="24"/>
          <w:szCs w:val="24"/>
        </w:rPr>
        <w:t xml:space="preserve">Mathematica budgeted the labor costs by estimating the number of hours for required staff at the various wage levels, multiplying by the applicable wage rates, and multiplying the resulting subtotals by factors to cover fringe benefits and burden expense. </w:t>
      </w:r>
      <w:r w:rsidR="00D67CF9">
        <w:rPr>
          <w:rFonts w:ascii="Times New Roman" w:hAnsi="Times New Roman" w:cs="Times New Roman"/>
          <w:sz w:val="24"/>
          <w:szCs w:val="24"/>
        </w:rPr>
        <w:t xml:space="preserve"> </w:t>
      </w:r>
      <w:r w:rsidRPr="00EE016F">
        <w:rPr>
          <w:rFonts w:ascii="Times New Roman" w:hAnsi="Times New Roman" w:cs="Times New Roman"/>
          <w:sz w:val="24"/>
          <w:szCs w:val="24"/>
        </w:rPr>
        <w:t xml:space="preserve">The other direct costs include operational expenses such as information technology, postage, and </w:t>
      </w:r>
      <w:r w:rsidRPr="00EE016F" w:rsidR="000B063E">
        <w:rPr>
          <w:rFonts w:ascii="Times New Roman" w:hAnsi="Times New Roman" w:cs="Times New Roman"/>
          <w:sz w:val="24"/>
          <w:szCs w:val="24"/>
        </w:rPr>
        <w:t>respondent payments</w:t>
      </w:r>
      <w:r w:rsidRPr="00EE016F">
        <w:rPr>
          <w:rFonts w:ascii="Times New Roman" w:hAnsi="Times New Roman" w:cs="Times New Roman"/>
          <w:sz w:val="24"/>
          <w:szCs w:val="24"/>
        </w:rPr>
        <w:t xml:space="preserve">. </w:t>
      </w:r>
      <w:r w:rsidR="00D67CF9">
        <w:rPr>
          <w:rFonts w:ascii="Times New Roman" w:hAnsi="Times New Roman" w:cs="Times New Roman"/>
          <w:sz w:val="24"/>
          <w:szCs w:val="24"/>
        </w:rPr>
        <w:t xml:space="preserve"> </w:t>
      </w:r>
      <w:r w:rsidRPr="00EE016F">
        <w:rPr>
          <w:rFonts w:ascii="Times New Roman" w:hAnsi="Times New Roman" w:cs="Times New Roman"/>
          <w:sz w:val="24"/>
          <w:szCs w:val="24"/>
        </w:rPr>
        <w:t>The basis for estimating other direct costs varies with the type of cost. Mathematica summed the total of labor costs and other direct costs and multiplied them by a factor to cover general and program expenses.</w:t>
      </w:r>
    </w:p>
    <w:p w:rsidR="001A4595" w:rsidRPr="00EE016F" w:rsidP="00D67CF9" w14:paraId="53CD32D0" w14:textId="734B0FE7">
      <w:pPr>
        <w:pStyle w:val="Tabletitle"/>
        <w:spacing w:line="276" w:lineRule="auto"/>
        <w:ind w:left="900"/>
        <w:rPr>
          <w:rFonts w:ascii="Times New Roman" w:hAnsi="Times New Roman"/>
          <w:sz w:val="24"/>
          <w:szCs w:val="24"/>
        </w:rPr>
      </w:pPr>
      <w:r w:rsidRPr="00EE016F">
        <w:rPr>
          <w:rFonts w:ascii="Times New Roman" w:hAnsi="Times New Roman"/>
          <w:bCs/>
          <w:sz w:val="24"/>
          <w:szCs w:val="24"/>
        </w:rPr>
        <w:t xml:space="preserve">Total costs </w:t>
      </w:r>
      <w:r w:rsidRPr="00EE016F" w:rsidR="00CF74AA">
        <w:rPr>
          <w:rFonts w:ascii="Times New Roman" w:hAnsi="Times New Roman"/>
          <w:bCs/>
          <w:sz w:val="24"/>
          <w:szCs w:val="24"/>
        </w:rPr>
        <w:t xml:space="preserve">of </w:t>
      </w:r>
      <w:r w:rsidRPr="00EE016F">
        <w:rPr>
          <w:rFonts w:ascii="Times New Roman" w:hAnsi="Times New Roman"/>
          <w:bCs/>
          <w:sz w:val="24"/>
          <w:szCs w:val="24"/>
        </w:rPr>
        <w:t xml:space="preserve">designing and conducting the provider survey and qualitative data </w:t>
      </w:r>
      <w:r w:rsidRPr="00EE016F">
        <w:rPr>
          <w:rFonts w:ascii="Times New Roman" w:hAnsi="Times New Roman"/>
          <w:bCs/>
          <w:sz w:val="24"/>
          <w:szCs w:val="24"/>
        </w:rPr>
        <w:t>collection</w:t>
      </w:r>
    </w:p>
    <w:tbl>
      <w:tblPr>
        <w:tblStyle w:val="TableGrid11"/>
        <w:tblW w:w="4572" w:type="pct"/>
        <w:tblInd w:w="895" w:type="dxa"/>
        <w:tblBorders>
          <w:bottom w:val="single" w:sz="4" w:space="0" w:color="auto"/>
        </w:tblBorders>
        <w:tblLook w:val="04A0"/>
      </w:tblPr>
      <w:tblGrid>
        <w:gridCol w:w="2521"/>
        <w:gridCol w:w="3567"/>
        <w:gridCol w:w="2462"/>
      </w:tblGrid>
      <w:tr w14:paraId="3AC0C2E1" w14:textId="77777777" w:rsidTr="00D035FC">
        <w:tblPrEx>
          <w:tblW w:w="4572" w:type="pct"/>
          <w:tblInd w:w="895" w:type="dxa"/>
          <w:tblBorders>
            <w:bottom w:val="single" w:sz="4" w:space="0" w:color="auto"/>
          </w:tblBorders>
          <w:tblLook w:val="04A0"/>
        </w:tblPrEx>
        <w:trPr>
          <w:cantSplit/>
          <w:tblHeader/>
        </w:trPr>
        <w:tc>
          <w:tcPr>
            <w:tcW w:w="1474" w:type="pct"/>
            <w:tcBorders>
              <w:top w:val="single" w:sz="4" w:space="0" w:color="auto"/>
              <w:left w:val="single" w:sz="4" w:space="0" w:color="auto"/>
              <w:bottom w:val="single" w:sz="4" w:space="0" w:color="auto"/>
              <w:right w:val="single" w:sz="4" w:space="0" w:color="auto"/>
            </w:tcBorders>
            <w:shd w:val="clear" w:color="auto" w:fill="FFFF00"/>
            <w:vAlign w:val="bottom"/>
          </w:tcPr>
          <w:p w:rsidR="009858B2" w:rsidRPr="00EE016F" w:rsidP="00F7565A" w14:paraId="70657B15" w14:textId="60B8E50F">
            <w:pPr>
              <w:keepNext/>
              <w:widowControl/>
              <w:spacing w:before="40" w:after="20" w:line="276" w:lineRule="auto"/>
              <w:rPr>
                <w:rFonts w:ascii="Times New Roman" w:hAnsi="Times New Roman"/>
                <w:b/>
                <w:snapToGrid/>
              </w:rPr>
            </w:pPr>
            <w:r w:rsidRPr="00EE016F">
              <w:rPr>
                <w:rFonts w:ascii="Times New Roman" w:hAnsi="Times New Roman"/>
                <w:b/>
                <w:snapToGrid/>
              </w:rPr>
              <w:t xml:space="preserve">Description of </w:t>
            </w:r>
            <w:r w:rsidR="00D92AEE">
              <w:rPr>
                <w:rFonts w:ascii="Times New Roman" w:hAnsi="Times New Roman"/>
                <w:b/>
                <w:snapToGrid/>
              </w:rPr>
              <w:t>C</w:t>
            </w:r>
            <w:r w:rsidRPr="00EE016F">
              <w:rPr>
                <w:rFonts w:ascii="Times New Roman" w:hAnsi="Times New Roman"/>
                <w:b/>
                <w:snapToGrid/>
              </w:rPr>
              <w:t xml:space="preserve">ost </w:t>
            </w:r>
            <w:r w:rsidR="00D92AEE">
              <w:rPr>
                <w:rFonts w:ascii="Times New Roman" w:hAnsi="Times New Roman"/>
                <w:b/>
                <w:snapToGrid/>
              </w:rPr>
              <w:t>F</w:t>
            </w:r>
            <w:r w:rsidRPr="00EE016F">
              <w:rPr>
                <w:rFonts w:ascii="Times New Roman" w:hAnsi="Times New Roman"/>
                <w:b/>
                <w:snapToGrid/>
              </w:rPr>
              <w:t>actor</w:t>
            </w:r>
          </w:p>
        </w:tc>
        <w:tc>
          <w:tcPr>
            <w:tcW w:w="2086" w:type="pct"/>
            <w:tcBorders>
              <w:top w:val="single" w:sz="4" w:space="0" w:color="auto"/>
              <w:left w:val="single" w:sz="4" w:space="0" w:color="auto"/>
              <w:bottom w:val="single" w:sz="4" w:space="0" w:color="auto"/>
              <w:right w:val="single" w:sz="4" w:space="0" w:color="auto"/>
            </w:tcBorders>
            <w:shd w:val="clear" w:color="auto" w:fill="FFFF00"/>
          </w:tcPr>
          <w:p w:rsidR="009858B2" w:rsidRPr="00EE016F" w:rsidP="00F7565A" w14:paraId="002FD3B6" w14:textId="452B72F9">
            <w:pPr>
              <w:keepNext/>
              <w:widowControl/>
              <w:spacing w:before="40" w:after="20" w:line="276" w:lineRule="auto"/>
              <w:rPr>
                <w:rFonts w:ascii="Times New Roman" w:hAnsi="Times New Roman"/>
                <w:b/>
                <w:snapToGrid/>
              </w:rPr>
            </w:pPr>
            <w:r w:rsidRPr="00EE016F">
              <w:rPr>
                <w:rFonts w:ascii="Times New Roman" w:hAnsi="Times New Roman"/>
                <w:b/>
                <w:snapToGrid/>
              </w:rPr>
              <w:t xml:space="preserve">Methodology for </w:t>
            </w:r>
            <w:r w:rsidR="00D92AEE">
              <w:rPr>
                <w:rFonts w:ascii="Times New Roman" w:hAnsi="Times New Roman"/>
                <w:b/>
                <w:snapToGrid/>
              </w:rPr>
              <w:t>E</w:t>
            </w:r>
            <w:r w:rsidRPr="00EE016F">
              <w:rPr>
                <w:rFonts w:ascii="Times New Roman" w:hAnsi="Times New Roman"/>
                <w:b/>
                <w:snapToGrid/>
              </w:rPr>
              <w:t xml:space="preserve">stimating </w:t>
            </w:r>
            <w:r w:rsidR="00D92AEE">
              <w:rPr>
                <w:rFonts w:ascii="Times New Roman" w:hAnsi="Times New Roman"/>
                <w:b/>
                <w:snapToGrid/>
              </w:rPr>
              <w:t>C</w:t>
            </w:r>
            <w:r w:rsidRPr="00EE016F">
              <w:rPr>
                <w:rFonts w:ascii="Times New Roman" w:hAnsi="Times New Roman"/>
                <w:b/>
                <w:snapToGrid/>
              </w:rPr>
              <w:t>ost</w:t>
            </w:r>
          </w:p>
        </w:tc>
        <w:tc>
          <w:tcPr>
            <w:tcW w:w="1440" w:type="pct"/>
            <w:tcBorders>
              <w:top w:val="single" w:sz="4" w:space="0" w:color="auto"/>
              <w:left w:val="single" w:sz="4" w:space="0" w:color="auto"/>
              <w:bottom w:val="single" w:sz="4" w:space="0" w:color="auto"/>
              <w:right w:val="single" w:sz="4" w:space="0" w:color="auto"/>
            </w:tcBorders>
            <w:shd w:val="clear" w:color="auto" w:fill="FFFF00"/>
          </w:tcPr>
          <w:p w:rsidR="009858B2" w:rsidRPr="00EE016F" w:rsidP="00F7565A" w14:paraId="1F19C5AA" w14:textId="4F055D86">
            <w:pPr>
              <w:keepNext/>
              <w:widowControl/>
              <w:spacing w:before="40" w:after="20" w:line="276" w:lineRule="auto"/>
              <w:rPr>
                <w:rFonts w:ascii="Times New Roman" w:hAnsi="Times New Roman"/>
                <w:b/>
                <w:snapToGrid/>
              </w:rPr>
            </w:pPr>
            <w:r w:rsidRPr="00EE016F">
              <w:rPr>
                <w:rFonts w:ascii="Times New Roman" w:hAnsi="Times New Roman"/>
                <w:b/>
                <w:bCs/>
                <w:color w:val="000000"/>
              </w:rPr>
              <w:t>Cost in Dollars*</w:t>
            </w:r>
          </w:p>
        </w:tc>
      </w:tr>
      <w:tr w14:paraId="3AA214C3"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10010D74" w14:textId="583021EB">
            <w:pPr>
              <w:widowControl/>
              <w:spacing w:before="40" w:after="20" w:line="276" w:lineRule="auto"/>
              <w:rPr>
                <w:rFonts w:ascii="Times New Roman" w:hAnsi="Times New Roman"/>
                <w:snapToGrid/>
              </w:rPr>
            </w:pPr>
            <w:r w:rsidRPr="00EE016F">
              <w:rPr>
                <w:rFonts w:ascii="Times New Roman" w:hAnsi="Times New Roman"/>
              </w:rPr>
              <w:t>Designing and Printing the Form</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136DDB35" w14:textId="04DBAC69">
            <w:pPr>
              <w:widowControl/>
              <w:spacing w:before="40" w:after="20" w:line="276" w:lineRule="auto"/>
              <w:rPr>
                <w:rFonts w:ascii="Times New Roman" w:hAnsi="Times New Roman"/>
                <w:snapToGrid/>
              </w:rPr>
            </w:pPr>
            <w:r w:rsidRPr="00EE016F">
              <w:rPr>
                <w:rFonts w:ascii="Times New Roman" w:hAnsi="Times New Roman"/>
              </w:rPr>
              <w:t>Design Cost + Printing Cost</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526CFFE7" w14:textId="63D2AB54">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$174,021</w:t>
            </w:r>
          </w:p>
        </w:tc>
      </w:tr>
      <w:tr w14:paraId="1BF0434F"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7703607E" w14:textId="01297043">
            <w:pPr>
              <w:widowControl/>
              <w:spacing w:before="40" w:after="20" w:line="276" w:lineRule="auto"/>
              <w:rPr>
                <w:rFonts w:ascii="Times New Roman" w:hAnsi="Times New Roman"/>
                <w:snapToGrid/>
              </w:rPr>
            </w:pPr>
            <w:r w:rsidRPr="00EE016F">
              <w:rPr>
                <w:rFonts w:ascii="Times New Roman" w:hAnsi="Times New Roman"/>
              </w:rPr>
              <w:t>Distributing, Shipping, and Material Costs for the Form</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5799B1F1" w14:textId="650EAD14">
            <w:pPr>
              <w:widowControl/>
              <w:spacing w:before="40" w:after="20" w:line="276" w:lineRule="auto"/>
              <w:rPr>
                <w:rFonts w:ascii="Times New Roman" w:hAnsi="Times New Roman"/>
                <w:snapToGrid/>
              </w:rPr>
            </w:pPr>
            <w:r w:rsidRPr="00EE016F">
              <w:rPr>
                <w:rFonts w:ascii="Times New Roman" w:hAnsi="Times New Roman"/>
              </w:rPr>
              <w:t>Distribution + Shipping + Material Cost</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0B677B42" w14:textId="70B0EE6B">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$1,717</w:t>
            </w:r>
          </w:p>
        </w:tc>
      </w:tr>
      <w:tr w14:paraId="4A931FB5"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6B52E73E" w14:textId="0D907D34">
            <w:pPr>
              <w:widowControl/>
              <w:spacing w:before="40" w:after="20" w:line="276" w:lineRule="auto"/>
              <w:rPr>
                <w:rFonts w:ascii="Times New Roman" w:hAnsi="Times New Roman"/>
                <w:snapToGrid/>
              </w:rPr>
            </w:pPr>
            <w:r w:rsidRPr="00EE016F">
              <w:rPr>
                <w:rFonts w:ascii="Times New Roman" w:hAnsi="Times New Roman"/>
              </w:rPr>
              <w:t>SSA Employee (e.g., field office, 800 number, DDS staff) Information Collection and Processing Time</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667E228B" w14:textId="133DC457">
            <w:pPr>
              <w:widowControl/>
              <w:spacing w:before="40" w:after="20" w:line="276" w:lineRule="auto"/>
              <w:rPr>
                <w:rFonts w:ascii="Times New Roman" w:hAnsi="Times New Roman"/>
                <w:snapToGrid/>
              </w:rPr>
            </w:pPr>
            <w:r w:rsidRPr="00EE016F">
              <w:rPr>
                <w:rFonts w:ascii="Times New Roman" w:hAnsi="Times New Roman"/>
              </w:rPr>
              <w:t>GS-9 employee x # of responses x processing time</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7D5BECAA" w14:textId="09308C1F">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$0</w:t>
            </w:r>
            <w:r w:rsidR="00D67CF9">
              <w:rPr>
                <w:rFonts w:ascii="Times New Roman" w:hAnsi="Times New Roman"/>
              </w:rPr>
              <w:t>*</w:t>
            </w:r>
          </w:p>
        </w:tc>
      </w:tr>
      <w:tr w14:paraId="26D55032"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0934369A" w14:textId="1270C8A7">
            <w:pPr>
              <w:widowControl/>
              <w:spacing w:before="40" w:after="20" w:line="276" w:lineRule="auto"/>
              <w:rPr>
                <w:rFonts w:ascii="Times New Roman" w:hAnsi="Times New Roman"/>
                <w:snapToGrid/>
              </w:rPr>
            </w:pPr>
            <w:r w:rsidRPr="00EE016F">
              <w:rPr>
                <w:rFonts w:ascii="Times New Roman" w:hAnsi="Times New Roman"/>
              </w:rPr>
              <w:t>Full-Time Equivalent Costs</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331F6F3D" w14:textId="06086918">
            <w:pPr>
              <w:widowControl/>
              <w:spacing w:before="40" w:after="20" w:line="276" w:lineRule="auto"/>
              <w:rPr>
                <w:rFonts w:ascii="Times New Roman" w:hAnsi="Times New Roman"/>
                <w:snapToGrid/>
              </w:rPr>
            </w:pPr>
            <w:r w:rsidRPr="00EE016F">
              <w:rPr>
                <w:rFonts w:ascii="Times New Roman" w:hAnsi="Times New Roman"/>
              </w:rPr>
              <w:t>Out of pocket costs + Other expenses for providing this service</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69060406" w14:textId="4E396381">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$0</w:t>
            </w:r>
            <w:r w:rsidR="00D67CF9">
              <w:rPr>
                <w:rFonts w:ascii="Times New Roman" w:hAnsi="Times New Roman"/>
              </w:rPr>
              <w:t>*</w:t>
            </w:r>
          </w:p>
        </w:tc>
      </w:tr>
      <w:tr w14:paraId="42E705DF"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607244DC" w14:textId="60176447">
            <w:pPr>
              <w:widowControl/>
              <w:spacing w:before="40" w:after="20" w:line="276" w:lineRule="auto"/>
              <w:rPr>
                <w:rFonts w:ascii="Times New Roman" w:hAnsi="Times New Roman"/>
                <w:snapToGrid/>
              </w:rPr>
            </w:pPr>
            <w:r w:rsidRPr="00EE016F">
              <w:rPr>
                <w:rFonts w:ascii="Times New Roman" w:hAnsi="Times New Roman"/>
                <w:color w:val="000000"/>
              </w:rPr>
              <w:t>Systems Development, Updating, and Maintenance</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1AC89CB1" w14:textId="2C7F2381">
            <w:pPr>
              <w:widowControl/>
              <w:spacing w:before="40" w:after="20" w:line="276" w:lineRule="auto"/>
              <w:rPr>
                <w:rFonts w:ascii="Times New Roman" w:hAnsi="Times New Roman"/>
                <w:snapToGrid/>
              </w:rPr>
            </w:pPr>
            <w:r w:rsidRPr="00EE016F">
              <w:rPr>
                <w:rFonts w:ascii="Times New Roman" w:hAnsi="Times New Roman"/>
                <w:snapToGrid/>
                <w:color w:val="000000"/>
              </w:rPr>
              <w:t>Costs to develop the Confirmit instruments and to maintain the data inventory</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3733378E" w14:textId="0978AFA2">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$80,123</w:t>
            </w:r>
          </w:p>
        </w:tc>
      </w:tr>
      <w:tr w14:paraId="3B23D301"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33D91A33" w14:textId="53B92D2D">
            <w:pPr>
              <w:widowControl/>
              <w:spacing w:before="40" w:after="20" w:line="276" w:lineRule="auto"/>
              <w:rPr>
                <w:rFonts w:ascii="Times New Roman" w:hAnsi="Times New Roman"/>
                <w:snapToGrid/>
              </w:rPr>
            </w:pPr>
            <w:r w:rsidRPr="00EE016F">
              <w:rPr>
                <w:rFonts w:ascii="Times New Roman" w:hAnsi="Times New Roman"/>
                <w:snapToGrid/>
              </w:rPr>
              <w:t xml:space="preserve">Quantifiable IT </w:t>
            </w:r>
            <w:r w:rsidRPr="00EE016F" w:rsidR="00007E7C">
              <w:rPr>
                <w:rFonts w:ascii="Times New Roman" w:hAnsi="Times New Roman"/>
                <w:snapToGrid/>
              </w:rPr>
              <w:t>C</w:t>
            </w:r>
            <w:r w:rsidRPr="00EE016F">
              <w:rPr>
                <w:rFonts w:ascii="Times New Roman" w:hAnsi="Times New Roman"/>
                <w:snapToGrid/>
              </w:rPr>
              <w:t>osts</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2ACED65E" w14:textId="615E3B73">
            <w:pPr>
              <w:widowControl/>
              <w:spacing w:before="40" w:after="20" w:line="276" w:lineRule="auto"/>
              <w:rPr>
                <w:rFonts w:ascii="Times New Roman" w:hAnsi="Times New Roman"/>
                <w:snapToGrid/>
                <w:color w:val="000000"/>
              </w:rPr>
            </w:pPr>
            <w:r w:rsidRPr="00EE016F">
              <w:rPr>
                <w:rFonts w:ascii="Times New Roman" w:hAnsi="Times New Roman"/>
                <w:snapToGrid/>
                <w:color w:val="000000"/>
              </w:rPr>
              <w:t>Any additional IT costs</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5F50D5B8" w14:textId="7C4FF107">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$63,210</w:t>
            </w:r>
          </w:p>
        </w:tc>
      </w:tr>
      <w:tr w14:paraId="537740D3"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68629B10" w14:textId="77777777">
            <w:pPr>
              <w:widowControl/>
              <w:spacing w:before="40" w:after="20" w:line="276" w:lineRule="auto"/>
              <w:rPr>
                <w:rFonts w:ascii="Times New Roman" w:hAnsi="Times New Roman"/>
                <w:snapToGrid/>
              </w:rPr>
            </w:pPr>
            <w:r w:rsidRPr="00EE016F">
              <w:rPr>
                <w:rFonts w:ascii="Times New Roman" w:hAnsi="Times New Roman"/>
                <w:snapToGrid/>
              </w:rPr>
              <w:t>Other</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29E39C84" w14:textId="648C1D45">
            <w:pPr>
              <w:widowControl/>
              <w:spacing w:before="40" w:after="20" w:line="276" w:lineRule="auto"/>
              <w:rPr>
                <w:rFonts w:ascii="Times New Roman" w:hAnsi="Times New Roman"/>
                <w:snapToGrid/>
              </w:rPr>
            </w:pPr>
            <w:r w:rsidRPr="00EE016F">
              <w:rPr>
                <w:rFonts w:ascii="Times New Roman" w:hAnsi="Times New Roman"/>
                <w:snapToGrid/>
              </w:rPr>
              <w:t>Provider survey system administration (data collection)</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49B58334" w14:textId="7C606303">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$237,928</w:t>
            </w:r>
          </w:p>
        </w:tc>
      </w:tr>
      <w:tr w14:paraId="0BC6B76D"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5AC02F71" w14:textId="77777777">
            <w:pPr>
              <w:widowControl/>
              <w:spacing w:before="40" w:after="20" w:line="276" w:lineRule="auto"/>
              <w:rPr>
                <w:rFonts w:ascii="Times New Roman" w:hAnsi="Times New Roman"/>
                <w:snapToGrid/>
              </w:rPr>
            </w:pPr>
            <w:r w:rsidRPr="00EE016F">
              <w:rPr>
                <w:rFonts w:ascii="Times New Roman" w:hAnsi="Times New Roman"/>
                <w:snapToGrid/>
              </w:rPr>
              <w:t>Other</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19E8EE1A" w14:textId="5690B13E">
            <w:pPr>
              <w:widowControl/>
              <w:spacing w:before="40" w:after="20" w:line="276" w:lineRule="auto"/>
              <w:rPr>
                <w:rFonts w:ascii="Times New Roman" w:hAnsi="Times New Roman"/>
                <w:snapToGrid/>
              </w:rPr>
            </w:pPr>
            <w:r w:rsidRPr="00EE016F">
              <w:rPr>
                <w:rFonts w:ascii="Times New Roman" w:hAnsi="Times New Roman"/>
                <w:snapToGrid/>
              </w:rPr>
              <w:t>Qualitative interviewee recruitment and interviews, including transcription (data collection)</w:t>
            </w: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2860270C" w14:textId="10E2CD64">
            <w:pPr>
              <w:widowControl/>
              <w:tabs>
                <w:tab w:val="decimal" w:pos="653"/>
                <w:tab w:val="decimal" w:pos="898"/>
              </w:tabs>
              <w:spacing w:before="40" w:after="20" w:line="276" w:lineRule="auto"/>
              <w:jc w:val="right"/>
              <w:rPr>
                <w:rFonts w:ascii="Times New Roman" w:hAnsi="Times New Roman"/>
              </w:rPr>
            </w:pPr>
            <w:r w:rsidRPr="00EE016F">
              <w:rPr>
                <w:rFonts w:ascii="Times New Roman" w:hAnsi="Times New Roman"/>
              </w:rPr>
              <w:t>$610,010</w:t>
            </w:r>
          </w:p>
        </w:tc>
      </w:tr>
      <w:tr w14:paraId="23ECD17D" w14:textId="77777777" w:rsidTr="00402D42">
        <w:tblPrEx>
          <w:tblW w:w="4572" w:type="pct"/>
          <w:tblInd w:w="895" w:type="dxa"/>
          <w:tblLook w:val="04A0"/>
        </w:tblPrEx>
        <w:trPr>
          <w:cantSplit/>
        </w:trPr>
        <w:tc>
          <w:tcPr>
            <w:tcW w:w="1474" w:type="pct"/>
            <w:tcBorders>
              <w:top w:val="single" w:sz="4" w:space="0" w:color="auto"/>
              <w:left w:val="single" w:sz="4" w:space="0" w:color="auto"/>
              <w:bottom w:val="single" w:sz="4" w:space="0" w:color="auto"/>
              <w:right w:val="single" w:sz="4" w:space="0" w:color="auto"/>
            </w:tcBorders>
          </w:tcPr>
          <w:p w:rsidR="009858B2" w:rsidRPr="00EE016F" w:rsidP="00F7565A" w14:paraId="05656396" w14:textId="77777777">
            <w:pPr>
              <w:widowControl/>
              <w:spacing w:before="40" w:after="20" w:line="276" w:lineRule="auto"/>
              <w:rPr>
                <w:rFonts w:ascii="Times New Roman" w:hAnsi="Times New Roman"/>
                <w:b/>
                <w:snapToGrid/>
              </w:rPr>
            </w:pPr>
            <w:r w:rsidRPr="00EE016F">
              <w:rPr>
                <w:rFonts w:ascii="Times New Roman" w:hAnsi="Times New Roman"/>
                <w:b/>
                <w:snapToGrid/>
              </w:rPr>
              <w:t>Total</w:t>
            </w:r>
          </w:p>
        </w:tc>
        <w:tc>
          <w:tcPr>
            <w:tcW w:w="2086" w:type="pct"/>
            <w:tcBorders>
              <w:top w:val="single" w:sz="4" w:space="0" w:color="auto"/>
              <w:left w:val="single" w:sz="4" w:space="0" w:color="auto"/>
              <w:bottom w:val="single" w:sz="4" w:space="0" w:color="auto"/>
              <w:right w:val="single" w:sz="4" w:space="0" w:color="auto"/>
            </w:tcBorders>
          </w:tcPr>
          <w:p w:rsidR="009858B2" w:rsidRPr="00EE016F" w:rsidP="00F7565A" w14:paraId="1DAA1F47" w14:textId="77777777">
            <w:pPr>
              <w:widowControl/>
              <w:spacing w:before="40" w:after="20" w:line="276" w:lineRule="auto"/>
              <w:rPr>
                <w:rFonts w:ascii="Times New Roman" w:hAnsi="Times New Roman"/>
                <w:b/>
                <w:snapToGrid/>
              </w:rPr>
            </w:pPr>
          </w:p>
        </w:tc>
        <w:tc>
          <w:tcPr>
            <w:tcW w:w="1440" w:type="pct"/>
            <w:tcBorders>
              <w:top w:val="single" w:sz="4" w:space="0" w:color="auto"/>
              <w:left w:val="single" w:sz="4" w:space="0" w:color="auto"/>
              <w:bottom w:val="single" w:sz="4" w:space="0" w:color="auto"/>
              <w:right w:val="single" w:sz="4" w:space="0" w:color="auto"/>
            </w:tcBorders>
          </w:tcPr>
          <w:p w:rsidR="009858B2" w:rsidRPr="00EE016F" w:rsidP="00F7565A" w14:paraId="1A2BF899" w14:textId="7F8D1CA2">
            <w:pPr>
              <w:widowControl/>
              <w:tabs>
                <w:tab w:val="decimal" w:pos="653"/>
                <w:tab w:val="decimal" w:pos="898"/>
              </w:tabs>
              <w:spacing w:before="40" w:after="20" w:line="276" w:lineRule="auto"/>
              <w:jc w:val="right"/>
              <w:rPr>
                <w:rFonts w:ascii="Times New Roman" w:hAnsi="Times New Roman"/>
                <w:b/>
              </w:rPr>
            </w:pPr>
            <w:r w:rsidRPr="00EE016F">
              <w:rPr>
                <w:rFonts w:ascii="Times New Roman" w:hAnsi="Times New Roman"/>
                <w:b/>
              </w:rPr>
              <w:t>$1,167,011</w:t>
            </w:r>
          </w:p>
        </w:tc>
      </w:tr>
    </w:tbl>
    <w:p w:rsidR="006220B0" w:rsidRPr="00EE016F" w:rsidP="00F7565A" w14:paraId="4F2D5BF6" w14:textId="77777777">
      <w:pPr>
        <w:widowControl/>
        <w:tabs>
          <w:tab w:val="left" w:pos="1080"/>
        </w:tabs>
        <w:spacing w:before="40" w:after="240" w:line="276" w:lineRule="auto"/>
        <w:ind w:left="900"/>
        <w:rPr>
          <w:rFonts w:ascii="Times New Roman" w:hAnsi="Times New Roman"/>
          <w:snapToGrid/>
        </w:rPr>
      </w:pPr>
      <w:r w:rsidRPr="00EE016F">
        <w:rPr>
          <w:rFonts w:ascii="Times New Roman" w:hAnsi="Times New Roman"/>
          <w:snapToGrid/>
        </w:rPr>
        <w:t>* We have inserted a $0 amount for cost factors that do not apply to this collection.</w:t>
      </w:r>
    </w:p>
    <w:p w:rsidR="00377987" w:rsidRPr="00EE016F" w:rsidP="00F7565A" w14:paraId="096B690C" w14:textId="19190D09">
      <w:pPr>
        <w:pStyle w:val="H2"/>
        <w:spacing w:line="276" w:lineRule="auto"/>
        <w:ind w:left="900" w:hanging="450"/>
        <w:rPr>
          <w:rFonts w:ascii="Times New Roman" w:hAnsi="Times New Roman" w:cs="Times New Roman"/>
          <w:szCs w:val="24"/>
        </w:rPr>
      </w:pPr>
      <w:bookmarkStart w:id="59" w:name="_Toc183510772"/>
      <w:r w:rsidRPr="00EE016F">
        <w:rPr>
          <w:rFonts w:ascii="Times New Roman" w:hAnsi="Times New Roman" w:cs="Times New Roman"/>
          <w:szCs w:val="24"/>
        </w:rPr>
        <w:t xml:space="preserve">15. </w:t>
      </w:r>
      <w:r w:rsidRPr="00EE016F">
        <w:rPr>
          <w:rFonts w:ascii="Times New Roman" w:hAnsi="Times New Roman" w:cs="Times New Roman"/>
          <w:szCs w:val="24"/>
        </w:rPr>
        <w:tab/>
        <w:t xml:space="preserve">Program </w:t>
      </w:r>
      <w:r w:rsidR="004A273F">
        <w:rPr>
          <w:rFonts w:ascii="Times New Roman" w:hAnsi="Times New Roman" w:cs="Times New Roman"/>
          <w:szCs w:val="24"/>
        </w:rPr>
        <w:t>C</w:t>
      </w:r>
      <w:r w:rsidRPr="00EE016F">
        <w:rPr>
          <w:rFonts w:ascii="Times New Roman" w:hAnsi="Times New Roman" w:cs="Times New Roman"/>
          <w:szCs w:val="24"/>
        </w:rPr>
        <w:t xml:space="preserve">hanges or </w:t>
      </w:r>
      <w:r w:rsidR="004A273F">
        <w:rPr>
          <w:rFonts w:ascii="Times New Roman" w:hAnsi="Times New Roman" w:cs="Times New Roman"/>
          <w:szCs w:val="24"/>
        </w:rPr>
        <w:t>A</w:t>
      </w:r>
      <w:r w:rsidRPr="00EE016F">
        <w:rPr>
          <w:rFonts w:ascii="Times New Roman" w:hAnsi="Times New Roman" w:cs="Times New Roman"/>
          <w:szCs w:val="24"/>
        </w:rPr>
        <w:t xml:space="preserve">djustments to the </w:t>
      </w:r>
      <w:r w:rsidR="004A273F">
        <w:rPr>
          <w:rFonts w:ascii="Times New Roman" w:hAnsi="Times New Roman" w:cs="Times New Roman"/>
          <w:szCs w:val="24"/>
        </w:rPr>
        <w:t>I</w:t>
      </w:r>
      <w:r w:rsidRPr="00EE016F">
        <w:rPr>
          <w:rFonts w:ascii="Times New Roman" w:hAnsi="Times New Roman" w:cs="Times New Roman"/>
          <w:szCs w:val="24"/>
        </w:rPr>
        <w:t xml:space="preserve">nformation </w:t>
      </w:r>
      <w:r w:rsidR="004A273F">
        <w:rPr>
          <w:rFonts w:ascii="Times New Roman" w:hAnsi="Times New Roman" w:cs="Times New Roman"/>
          <w:szCs w:val="24"/>
        </w:rPr>
        <w:t>C</w:t>
      </w:r>
      <w:r w:rsidRPr="00EE016F">
        <w:rPr>
          <w:rFonts w:ascii="Times New Roman" w:hAnsi="Times New Roman" w:cs="Times New Roman"/>
          <w:szCs w:val="24"/>
        </w:rPr>
        <w:t xml:space="preserve">ollection </w:t>
      </w:r>
      <w:r w:rsidR="004A273F">
        <w:rPr>
          <w:rFonts w:ascii="Times New Roman" w:hAnsi="Times New Roman" w:cs="Times New Roman"/>
          <w:szCs w:val="24"/>
        </w:rPr>
        <w:t>R</w:t>
      </w:r>
      <w:r w:rsidRPr="00EE016F">
        <w:rPr>
          <w:rFonts w:ascii="Times New Roman" w:hAnsi="Times New Roman" w:cs="Times New Roman"/>
          <w:szCs w:val="24"/>
        </w:rPr>
        <w:t>equest</w:t>
      </w:r>
      <w:bookmarkEnd w:id="59"/>
    </w:p>
    <w:p w:rsidR="00C973BC" w:rsidRPr="00EE016F" w:rsidP="00F7565A" w14:paraId="5131C2C0" w14:textId="0CF477D1">
      <w:pPr>
        <w:pStyle w:val="ParagraphContinued"/>
        <w:spacing w:before="0" w:line="276" w:lineRule="auto"/>
        <w:ind w:left="900"/>
        <w:rPr>
          <w:rFonts w:ascii="Times New Roman" w:hAnsi="Times New Roman" w:cs="Times New Roman"/>
          <w:sz w:val="24"/>
          <w:szCs w:val="24"/>
        </w:rPr>
      </w:pPr>
      <w:r>
        <w:rPr>
          <w:rFonts w:ascii="Times New Roman" w:hAnsi="Times New Roman" w:cs="Times New Roman"/>
          <w:sz w:val="24"/>
          <w:szCs w:val="24"/>
        </w:rPr>
        <w:t xml:space="preserve">This is a new information collection that </w:t>
      </w:r>
      <w:r w:rsidR="00BD4BD3">
        <w:rPr>
          <w:rFonts w:ascii="Times New Roman" w:hAnsi="Times New Roman" w:cs="Times New Roman"/>
          <w:sz w:val="24"/>
          <w:szCs w:val="24"/>
        </w:rPr>
        <w:t>increases the public reporting burden.  See #12 above for updated burden figures.</w:t>
      </w:r>
    </w:p>
    <w:p w:rsidR="00327B32" w:rsidRPr="00EE016F" w:rsidP="00F7565A" w14:paraId="3C928D77" w14:textId="7CE7FE8E">
      <w:pPr>
        <w:pStyle w:val="H2"/>
        <w:spacing w:line="276" w:lineRule="auto"/>
        <w:ind w:left="900" w:hanging="450"/>
        <w:rPr>
          <w:rFonts w:ascii="Times New Roman" w:hAnsi="Times New Roman" w:cs="Times New Roman"/>
          <w:szCs w:val="24"/>
        </w:rPr>
      </w:pPr>
      <w:bookmarkStart w:id="60" w:name="_Toc476059366"/>
      <w:bookmarkStart w:id="61" w:name="_Toc130382272"/>
      <w:bookmarkStart w:id="62" w:name="_Toc183510773"/>
      <w:r w:rsidRPr="00EE016F">
        <w:rPr>
          <w:rFonts w:ascii="Times New Roman" w:hAnsi="Times New Roman" w:cs="Times New Roman"/>
          <w:szCs w:val="24"/>
        </w:rPr>
        <w:t xml:space="preserve">16. </w:t>
      </w:r>
      <w:r w:rsidRPr="00EE016F">
        <w:rPr>
          <w:rFonts w:ascii="Times New Roman" w:hAnsi="Times New Roman" w:cs="Times New Roman"/>
          <w:szCs w:val="24"/>
        </w:rPr>
        <w:tab/>
        <w:t xml:space="preserve">Plans for </w:t>
      </w:r>
      <w:r w:rsidR="00DE5043">
        <w:rPr>
          <w:rFonts w:ascii="Times New Roman" w:hAnsi="Times New Roman" w:cs="Times New Roman"/>
          <w:szCs w:val="24"/>
        </w:rPr>
        <w:t>P</w:t>
      </w:r>
      <w:r w:rsidRPr="00EE016F">
        <w:rPr>
          <w:rFonts w:ascii="Times New Roman" w:hAnsi="Times New Roman" w:cs="Times New Roman"/>
          <w:szCs w:val="24"/>
        </w:rPr>
        <w:t xml:space="preserve">ublic </w:t>
      </w:r>
      <w:r w:rsidR="00DE5043">
        <w:rPr>
          <w:rFonts w:ascii="Times New Roman" w:hAnsi="Times New Roman" w:cs="Times New Roman"/>
          <w:szCs w:val="24"/>
        </w:rPr>
        <w:t>I</w:t>
      </w:r>
      <w:r w:rsidRPr="00EE016F">
        <w:rPr>
          <w:rFonts w:ascii="Times New Roman" w:hAnsi="Times New Roman" w:cs="Times New Roman"/>
          <w:szCs w:val="24"/>
        </w:rPr>
        <w:t xml:space="preserve">nformation </w:t>
      </w:r>
      <w:r w:rsidR="00DE5043">
        <w:rPr>
          <w:rFonts w:ascii="Times New Roman" w:hAnsi="Times New Roman" w:cs="Times New Roman"/>
          <w:szCs w:val="24"/>
        </w:rPr>
        <w:t>C</w:t>
      </w:r>
      <w:r w:rsidRPr="00EE016F">
        <w:rPr>
          <w:rFonts w:ascii="Times New Roman" w:hAnsi="Times New Roman" w:cs="Times New Roman"/>
          <w:szCs w:val="24"/>
        </w:rPr>
        <w:t xml:space="preserve">ollection </w:t>
      </w:r>
      <w:r w:rsidR="00DE5043">
        <w:rPr>
          <w:rFonts w:ascii="Times New Roman" w:hAnsi="Times New Roman" w:cs="Times New Roman"/>
          <w:szCs w:val="24"/>
        </w:rPr>
        <w:t>R</w:t>
      </w:r>
      <w:r w:rsidRPr="00EE016F">
        <w:rPr>
          <w:rFonts w:ascii="Times New Roman" w:hAnsi="Times New Roman" w:cs="Times New Roman"/>
          <w:szCs w:val="24"/>
        </w:rPr>
        <w:t>esults</w:t>
      </w:r>
      <w:bookmarkEnd w:id="60"/>
      <w:bookmarkEnd w:id="61"/>
      <w:bookmarkEnd w:id="62"/>
    </w:p>
    <w:p w:rsidR="005B3D23" w:rsidRPr="00EE016F" w:rsidP="00F7565A" w14:paraId="6E0DB23C" w14:textId="0943C267">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The evaluation will analyze, tabulate, and report the data collected for the evaluation</w:t>
      </w:r>
      <w:r w:rsidR="00B14FE3">
        <w:rPr>
          <w:rFonts w:ascii="Times New Roman" w:hAnsi="Times New Roman" w:cs="Times New Roman"/>
          <w:sz w:val="24"/>
          <w:szCs w:val="24"/>
        </w:rPr>
        <w:t>, in conjunction with analysis of existing SSA programmatic and administrative data</w:t>
      </w:r>
      <w:r w:rsidRPr="00EE016F">
        <w:rPr>
          <w:rFonts w:ascii="Times New Roman" w:hAnsi="Times New Roman" w:cs="Times New Roman"/>
          <w:sz w:val="24"/>
          <w:szCs w:val="24"/>
        </w:rPr>
        <w:t>.</w:t>
      </w:r>
      <w:r w:rsidR="00E619F5">
        <w:rPr>
          <w:rFonts w:ascii="Times New Roman" w:hAnsi="Times New Roman" w:cs="Times New Roman"/>
          <w:sz w:val="24"/>
          <w:szCs w:val="24"/>
        </w:rPr>
        <w:t xml:space="preserve"> </w:t>
      </w:r>
      <w:r w:rsidRPr="00EE016F">
        <w:rPr>
          <w:rFonts w:ascii="Times New Roman" w:hAnsi="Times New Roman" w:cs="Times New Roman"/>
          <w:sz w:val="24"/>
          <w:szCs w:val="24"/>
        </w:rPr>
        <w:t xml:space="preserve"> </w:t>
      </w:r>
      <w:r w:rsidR="00BD4BD3">
        <w:rPr>
          <w:rFonts w:ascii="Times New Roman" w:hAnsi="Times New Roman" w:cs="Times New Roman"/>
          <w:sz w:val="24"/>
          <w:szCs w:val="24"/>
        </w:rPr>
        <w:t>SSA may publicize t</w:t>
      </w:r>
      <w:r w:rsidRPr="00EE016F">
        <w:rPr>
          <w:rFonts w:ascii="Times New Roman" w:hAnsi="Times New Roman" w:cs="Times New Roman"/>
          <w:sz w:val="24"/>
          <w:szCs w:val="24"/>
        </w:rPr>
        <w:t xml:space="preserve">hese findings after </w:t>
      </w:r>
      <w:r w:rsidR="00BD4BD3">
        <w:rPr>
          <w:rFonts w:ascii="Times New Roman" w:hAnsi="Times New Roman" w:cs="Times New Roman"/>
          <w:sz w:val="24"/>
          <w:szCs w:val="24"/>
        </w:rPr>
        <w:t xml:space="preserve">we </w:t>
      </w:r>
      <w:r w:rsidRPr="00EE016F">
        <w:rPr>
          <w:rFonts w:ascii="Times New Roman" w:hAnsi="Times New Roman" w:cs="Times New Roman"/>
          <w:sz w:val="24"/>
          <w:szCs w:val="24"/>
        </w:rPr>
        <w:t xml:space="preserve">review </w:t>
      </w:r>
      <w:r w:rsidR="00BD4BD3">
        <w:rPr>
          <w:rFonts w:ascii="Times New Roman" w:hAnsi="Times New Roman" w:cs="Times New Roman"/>
          <w:sz w:val="24"/>
          <w:szCs w:val="24"/>
        </w:rPr>
        <w:t>them</w:t>
      </w:r>
      <w:r w:rsidRPr="00EE016F">
        <w:rPr>
          <w:rFonts w:ascii="Times New Roman" w:hAnsi="Times New Roman" w:cs="Times New Roman"/>
          <w:sz w:val="24"/>
          <w:szCs w:val="24"/>
        </w:rPr>
        <w:t>.</w:t>
      </w:r>
    </w:p>
    <w:p w:rsidR="00FA640B" w:rsidRPr="000D0C95" w:rsidP="00F7565A" w14:paraId="03DD7277" w14:textId="22248CB5">
      <w:pPr>
        <w:pStyle w:val="H3"/>
        <w:spacing w:line="276" w:lineRule="auto"/>
      </w:pPr>
      <w:r w:rsidRPr="00EE016F">
        <w:t>Time schedule for analysis and reporting</w:t>
      </w:r>
    </w:p>
    <w:p w:rsidR="00BA2AEC" w:rsidRPr="00EE016F" w:rsidP="00F7565A" w14:paraId="2AAF626C" w14:textId="25CB691E">
      <w:pPr>
        <w:pStyle w:val="ParagraphContinued"/>
        <w:spacing w:before="0" w:line="276" w:lineRule="auto"/>
        <w:ind w:left="900"/>
        <w:rPr>
          <w:rFonts w:ascii="Times New Roman" w:hAnsi="Times New Roman" w:cs="Times New Roman"/>
          <w:sz w:val="24"/>
          <w:szCs w:val="24"/>
        </w:rPr>
      </w:pPr>
      <w:r>
        <w:rPr>
          <w:rFonts w:ascii="Times New Roman" w:hAnsi="Times New Roman" w:cs="Times New Roman"/>
          <w:sz w:val="24"/>
          <w:szCs w:val="24"/>
        </w:rPr>
        <w:t xml:space="preserve">The </w:t>
      </w:r>
      <w:r w:rsidR="006C564B">
        <w:rPr>
          <w:rFonts w:ascii="Times New Roman" w:hAnsi="Times New Roman" w:cs="Times New Roman"/>
          <w:sz w:val="24"/>
          <w:szCs w:val="24"/>
        </w:rPr>
        <w:t xml:space="preserve">table below shows the </w:t>
      </w:r>
      <w:r>
        <w:rPr>
          <w:rFonts w:ascii="Times New Roman" w:hAnsi="Times New Roman" w:cs="Times New Roman"/>
          <w:sz w:val="24"/>
          <w:szCs w:val="24"/>
        </w:rPr>
        <w:t>timing of analysis and reporting</w:t>
      </w:r>
      <w:r w:rsidR="00B35917">
        <w:rPr>
          <w:rFonts w:ascii="Times New Roman" w:hAnsi="Times New Roman" w:cs="Times New Roman"/>
          <w:sz w:val="24"/>
          <w:szCs w:val="24"/>
        </w:rPr>
        <w:t xml:space="preserve">, </w:t>
      </w:r>
      <w:r w:rsidR="006C564B">
        <w:rPr>
          <w:rFonts w:ascii="Times New Roman" w:hAnsi="Times New Roman" w:cs="Times New Roman"/>
          <w:sz w:val="24"/>
          <w:szCs w:val="24"/>
        </w:rPr>
        <w:t xml:space="preserve">which will </w:t>
      </w:r>
      <w:r>
        <w:rPr>
          <w:rFonts w:ascii="Times New Roman" w:hAnsi="Times New Roman" w:cs="Times New Roman"/>
          <w:sz w:val="24"/>
          <w:szCs w:val="24"/>
        </w:rPr>
        <w:t xml:space="preserve">depend on the receipt of PRA clearance. </w:t>
      </w:r>
    </w:p>
    <w:tbl>
      <w:tblPr>
        <w:tblStyle w:val="TableGrid"/>
        <w:tblW w:w="0" w:type="auto"/>
        <w:tblInd w:w="900" w:type="dxa"/>
        <w:tblLook w:val="04A0"/>
      </w:tblPr>
      <w:tblGrid>
        <w:gridCol w:w="4228"/>
        <w:gridCol w:w="4222"/>
      </w:tblGrid>
      <w:tr w14:paraId="3017F33A" w14:textId="77777777" w:rsidTr="00D035FC">
        <w:tblPrEx>
          <w:tblW w:w="0" w:type="auto"/>
          <w:tblInd w:w="900" w:type="dxa"/>
          <w:tblLook w:val="04A0"/>
        </w:tblPrEx>
        <w:trPr>
          <w:tblHeader/>
        </w:trPr>
        <w:tc>
          <w:tcPr>
            <w:tcW w:w="4228" w:type="dxa"/>
            <w:shd w:val="clear" w:color="auto" w:fill="FFFF00"/>
          </w:tcPr>
          <w:p w:rsidR="007E4C75" w:rsidRPr="00AA7736" w:rsidP="00F7565A" w14:paraId="6C4CAA3D" w14:textId="49C915B1">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
                <w:sz w:val="24"/>
                <w:szCs w:val="24"/>
              </w:rPr>
              <w:t>Data collection</w:t>
            </w:r>
          </w:p>
        </w:tc>
        <w:tc>
          <w:tcPr>
            <w:tcW w:w="4222" w:type="dxa"/>
            <w:shd w:val="clear" w:color="auto" w:fill="FFFF00"/>
          </w:tcPr>
          <w:p w:rsidR="007E4C75" w:rsidRPr="00AA7736" w:rsidP="00F7565A" w14:paraId="542BD1AE" w14:textId="43491318">
            <w:pPr>
              <w:pStyle w:val="ParagraphContinued"/>
              <w:spacing w:before="0" w:after="0" w:line="276" w:lineRule="auto"/>
              <w:rPr>
                <w:rFonts w:ascii="Times New Roman" w:hAnsi="Times New Roman" w:cs="Times New Roman"/>
                <w:b/>
                <w:sz w:val="24"/>
                <w:szCs w:val="24"/>
              </w:rPr>
            </w:pPr>
            <w:r>
              <w:rPr>
                <w:rFonts w:ascii="Times New Roman" w:hAnsi="Times New Roman" w:cs="Times New Roman"/>
                <w:b/>
                <w:sz w:val="24"/>
                <w:szCs w:val="24"/>
              </w:rPr>
              <w:t>Timing</w:t>
            </w:r>
          </w:p>
        </w:tc>
      </w:tr>
      <w:tr w14:paraId="11DEE9FD" w14:textId="77777777" w:rsidTr="00C27263">
        <w:tblPrEx>
          <w:tblW w:w="0" w:type="auto"/>
          <w:tblInd w:w="900" w:type="dxa"/>
          <w:tblLook w:val="04A0"/>
        </w:tblPrEx>
        <w:tc>
          <w:tcPr>
            <w:tcW w:w="4228" w:type="dxa"/>
          </w:tcPr>
          <w:p w:rsidR="007E4C75" w:rsidRPr="00AA7736" w:rsidP="00F7565A" w14:paraId="21DACAF1" w14:textId="00204BE8">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sz w:val="24"/>
                <w:szCs w:val="24"/>
              </w:rPr>
              <w:t>Provider surveys</w:t>
            </w:r>
          </w:p>
        </w:tc>
        <w:tc>
          <w:tcPr>
            <w:tcW w:w="4222" w:type="dxa"/>
          </w:tcPr>
          <w:p w:rsidR="007E4C75" w:rsidRPr="00AA7736" w:rsidP="00F7565A" w14:paraId="61A85558" w14:textId="698E329B">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sz w:val="24"/>
                <w:szCs w:val="24"/>
              </w:rPr>
              <w:t xml:space="preserve">About 8 weeks beginning </w:t>
            </w:r>
            <w:r w:rsidR="00E135BE">
              <w:rPr>
                <w:rFonts w:ascii="Times New Roman" w:hAnsi="Times New Roman" w:cs="Times New Roman"/>
                <w:sz w:val="24"/>
                <w:szCs w:val="24"/>
              </w:rPr>
              <w:t>within</w:t>
            </w:r>
            <w:r w:rsidR="00D3245D">
              <w:rPr>
                <w:rFonts w:ascii="Times New Roman" w:hAnsi="Times New Roman" w:cs="Times New Roman"/>
                <w:sz w:val="24"/>
                <w:szCs w:val="24"/>
              </w:rPr>
              <w:t xml:space="preserve"> </w:t>
            </w:r>
            <w:r w:rsidR="00503B46">
              <w:rPr>
                <w:rFonts w:ascii="Times New Roman" w:hAnsi="Times New Roman" w:cs="Times New Roman"/>
                <w:sz w:val="24"/>
                <w:szCs w:val="24"/>
              </w:rPr>
              <w:t>3</w:t>
            </w:r>
            <w:r w:rsidRPr="00AA7736">
              <w:rPr>
                <w:rFonts w:ascii="Times New Roman" w:hAnsi="Times New Roman" w:cs="Times New Roman"/>
                <w:sz w:val="24"/>
                <w:szCs w:val="24"/>
              </w:rPr>
              <w:t xml:space="preserve"> months after receiving PRA clearance </w:t>
            </w:r>
          </w:p>
        </w:tc>
      </w:tr>
      <w:tr w14:paraId="6F4F1769" w14:textId="77777777" w:rsidTr="00C27263">
        <w:tblPrEx>
          <w:tblW w:w="0" w:type="auto"/>
          <w:tblInd w:w="900" w:type="dxa"/>
          <w:tblLook w:val="04A0"/>
        </w:tblPrEx>
        <w:tc>
          <w:tcPr>
            <w:tcW w:w="4228" w:type="dxa"/>
          </w:tcPr>
          <w:p w:rsidR="007E4C75" w:rsidRPr="003104B2" w:rsidP="00F7565A" w14:paraId="2FC33A4C" w14:textId="7718E4F7">
            <w:pPr>
              <w:pStyle w:val="ParagraphContinued"/>
              <w:spacing w:before="0" w:after="0" w:line="276" w:lineRule="auto"/>
              <w:rPr>
                <w:rFonts w:ascii="Times New Roman" w:hAnsi="Times New Roman" w:cs="Times New Roman"/>
                <w:bCs/>
                <w:sz w:val="24"/>
                <w:szCs w:val="24"/>
              </w:rPr>
            </w:pPr>
            <w:r w:rsidRPr="003104B2">
              <w:rPr>
                <w:rFonts w:ascii="Times New Roman" w:hAnsi="Times New Roman" w:cs="Times New Roman"/>
                <w:bCs/>
                <w:sz w:val="24"/>
                <w:szCs w:val="24"/>
              </w:rPr>
              <w:t>Qualitative interviews</w:t>
            </w:r>
          </w:p>
        </w:tc>
        <w:tc>
          <w:tcPr>
            <w:tcW w:w="4222" w:type="dxa"/>
          </w:tcPr>
          <w:p w:rsidR="007E4C75" w:rsidRPr="00AA7736" w:rsidP="00F7565A" w14:paraId="6FA02F9A" w14:textId="5FAAE5AE">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sz w:val="24"/>
                <w:szCs w:val="24"/>
              </w:rPr>
              <w:t xml:space="preserve">About </w:t>
            </w:r>
            <w:r w:rsidR="00503B46">
              <w:rPr>
                <w:rFonts w:ascii="Times New Roman" w:hAnsi="Times New Roman" w:cs="Times New Roman"/>
                <w:sz w:val="24"/>
                <w:szCs w:val="24"/>
              </w:rPr>
              <w:t>4</w:t>
            </w:r>
            <w:r w:rsidRPr="00AA7736">
              <w:rPr>
                <w:rFonts w:ascii="Times New Roman" w:hAnsi="Times New Roman" w:cs="Times New Roman"/>
                <w:sz w:val="24"/>
                <w:szCs w:val="24"/>
              </w:rPr>
              <w:t xml:space="preserve"> months beginning </w:t>
            </w:r>
            <w:r w:rsidR="00E135BE">
              <w:rPr>
                <w:rFonts w:ascii="Times New Roman" w:hAnsi="Times New Roman" w:cs="Times New Roman"/>
                <w:sz w:val="24"/>
                <w:szCs w:val="24"/>
              </w:rPr>
              <w:t>within</w:t>
            </w:r>
            <w:r w:rsidR="00D3245D">
              <w:rPr>
                <w:rFonts w:ascii="Times New Roman" w:hAnsi="Times New Roman" w:cs="Times New Roman"/>
                <w:sz w:val="24"/>
                <w:szCs w:val="24"/>
              </w:rPr>
              <w:t xml:space="preserve"> </w:t>
            </w:r>
            <w:r w:rsidR="00503B46">
              <w:rPr>
                <w:rFonts w:ascii="Times New Roman" w:hAnsi="Times New Roman" w:cs="Times New Roman"/>
                <w:sz w:val="24"/>
                <w:szCs w:val="24"/>
              </w:rPr>
              <w:t>2</w:t>
            </w:r>
            <w:r w:rsidRPr="00AA7736">
              <w:rPr>
                <w:rFonts w:ascii="Times New Roman" w:hAnsi="Times New Roman" w:cs="Times New Roman"/>
                <w:sz w:val="24"/>
                <w:szCs w:val="24"/>
              </w:rPr>
              <w:t xml:space="preserve"> months after receiving PRA clearance </w:t>
            </w:r>
          </w:p>
        </w:tc>
      </w:tr>
      <w:tr w14:paraId="1F502E86" w14:textId="77777777" w:rsidTr="00C27263">
        <w:tblPrEx>
          <w:tblW w:w="0" w:type="auto"/>
          <w:tblInd w:w="900" w:type="dxa"/>
          <w:tblLook w:val="04A0"/>
        </w:tblPrEx>
        <w:tc>
          <w:tcPr>
            <w:tcW w:w="4228" w:type="dxa"/>
          </w:tcPr>
          <w:p w:rsidR="007E4C75" w:rsidRPr="00AA7736" w:rsidP="00F7565A" w14:paraId="484209B6" w14:textId="392D442D">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
                <w:sz w:val="24"/>
                <w:szCs w:val="24"/>
              </w:rPr>
              <w:t>Reports</w:t>
            </w:r>
            <w:r w:rsidR="00194950">
              <w:rPr>
                <w:rFonts w:ascii="Times New Roman" w:hAnsi="Times New Roman" w:cs="Times New Roman"/>
                <w:b/>
                <w:sz w:val="24"/>
                <w:szCs w:val="24"/>
              </w:rPr>
              <w:t xml:space="preserve"> (date</w:t>
            </w:r>
            <w:r w:rsidR="00F61287">
              <w:rPr>
                <w:rFonts w:ascii="Times New Roman" w:hAnsi="Times New Roman" w:cs="Times New Roman"/>
                <w:b/>
                <w:sz w:val="24"/>
                <w:szCs w:val="24"/>
              </w:rPr>
              <w:t>s first drafts are due)</w:t>
            </w:r>
          </w:p>
        </w:tc>
        <w:tc>
          <w:tcPr>
            <w:tcW w:w="4222" w:type="dxa"/>
          </w:tcPr>
          <w:p w:rsidR="007E4C75" w:rsidRPr="00AA7736" w:rsidP="00F7565A" w14:paraId="287B5A9E" w14:textId="77777777">
            <w:pPr>
              <w:pStyle w:val="ParagraphContinued"/>
              <w:spacing w:before="0" w:after="0" w:line="276" w:lineRule="auto"/>
              <w:rPr>
                <w:rFonts w:ascii="Times New Roman" w:hAnsi="Times New Roman" w:cs="Times New Roman"/>
                <w:b/>
                <w:sz w:val="24"/>
                <w:szCs w:val="24"/>
              </w:rPr>
            </w:pPr>
          </w:p>
        </w:tc>
      </w:tr>
      <w:tr w14:paraId="511C34CC" w14:textId="77777777" w:rsidTr="00C27263">
        <w:tblPrEx>
          <w:tblW w:w="0" w:type="auto"/>
          <w:tblInd w:w="900" w:type="dxa"/>
          <w:tblLook w:val="04A0"/>
        </w:tblPrEx>
        <w:tc>
          <w:tcPr>
            <w:tcW w:w="4228" w:type="dxa"/>
          </w:tcPr>
          <w:p w:rsidR="007E4C75" w:rsidRPr="00AA7736" w:rsidP="00F7565A" w14:paraId="62159D53" w14:textId="317B369D">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Cs/>
                <w:sz w:val="24"/>
                <w:szCs w:val="24"/>
              </w:rPr>
              <w:t>PABSS evaluation report</w:t>
            </w:r>
          </w:p>
        </w:tc>
        <w:tc>
          <w:tcPr>
            <w:tcW w:w="4222" w:type="dxa"/>
          </w:tcPr>
          <w:p w:rsidR="007E4C75" w:rsidRPr="00AA7736" w:rsidP="00F7565A" w14:paraId="72416067" w14:textId="48579DC2">
            <w:pPr>
              <w:pStyle w:val="ParagraphContinued"/>
              <w:spacing w:before="0" w:after="0" w:line="276" w:lineRule="auto"/>
              <w:rPr>
                <w:rFonts w:ascii="Times New Roman" w:hAnsi="Times New Roman" w:cs="Times New Roman"/>
                <w:b/>
                <w:sz w:val="24"/>
                <w:szCs w:val="24"/>
              </w:rPr>
            </w:pPr>
            <w:r w:rsidRPr="003104B2">
              <w:rPr>
                <w:rFonts w:ascii="Times New Roman" w:hAnsi="Times New Roman" w:cs="Times New Roman"/>
                <w:sz w:val="24"/>
                <w:szCs w:val="24"/>
              </w:rPr>
              <w:t xml:space="preserve">14 months after receiving </w:t>
            </w:r>
            <w:r w:rsidRPr="003104B2" w:rsidR="004A4066">
              <w:rPr>
                <w:rFonts w:ascii="Times New Roman" w:hAnsi="Times New Roman" w:cs="Times New Roman"/>
                <w:sz w:val="24"/>
                <w:szCs w:val="24"/>
              </w:rPr>
              <w:t>PRA</w:t>
            </w:r>
            <w:r w:rsidRPr="003104B2">
              <w:rPr>
                <w:rFonts w:ascii="Times New Roman" w:hAnsi="Times New Roman" w:cs="Times New Roman"/>
                <w:sz w:val="24"/>
                <w:szCs w:val="24"/>
              </w:rPr>
              <w:t xml:space="preserve"> clearance</w:t>
            </w:r>
          </w:p>
        </w:tc>
      </w:tr>
      <w:tr w14:paraId="6F8A4301" w14:textId="77777777" w:rsidTr="00C27263">
        <w:tblPrEx>
          <w:tblW w:w="0" w:type="auto"/>
          <w:tblInd w:w="900" w:type="dxa"/>
          <w:tblLook w:val="04A0"/>
        </w:tblPrEx>
        <w:tc>
          <w:tcPr>
            <w:tcW w:w="4228" w:type="dxa"/>
          </w:tcPr>
          <w:p w:rsidR="007E4C75" w:rsidRPr="00AA7736" w:rsidP="00F7565A" w14:paraId="422246CF" w14:textId="5EEB02C5">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Cs/>
                <w:sz w:val="24"/>
                <w:szCs w:val="24"/>
              </w:rPr>
              <w:t>WIPA evaluation report</w:t>
            </w:r>
          </w:p>
        </w:tc>
        <w:tc>
          <w:tcPr>
            <w:tcW w:w="4222" w:type="dxa"/>
          </w:tcPr>
          <w:p w:rsidR="007E4C75" w:rsidRPr="00AA7736" w:rsidP="00F7565A" w14:paraId="38033EBA" w14:textId="265A8A22">
            <w:pPr>
              <w:pStyle w:val="ParagraphContinued"/>
              <w:spacing w:before="0" w:after="0" w:line="276" w:lineRule="auto"/>
              <w:rPr>
                <w:rFonts w:ascii="Times New Roman" w:hAnsi="Times New Roman" w:cs="Times New Roman"/>
                <w:b/>
                <w:sz w:val="24"/>
                <w:szCs w:val="24"/>
              </w:rPr>
            </w:pPr>
            <w:r w:rsidRPr="003104B2">
              <w:rPr>
                <w:rFonts w:ascii="Times New Roman" w:hAnsi="Times New Roman" w:cs="Times New Roman"/>
                <w:sz w:val="24"/>
                <w:szCs w:val="24"/>
              </w:rPr>
              <w:t xml:space="preserve">17 months </w:t>
            </w:r>
            <w:r w:rsidRPr="00AA7736" w:rsidR="00C30BB5">
              <w:rPr>
                <w:rFonts w:ascii="Times New Roman" w:hAnsi="Times New Roman" w:cs="Times New Roman"/>
                <w:sz w:val="24"/>
                <w:szCs w:val="24"/>
              </w:rPr>
              <w:t xml:space="preserve">after receiving PRA clearance </w:t>
            </w:r>
          </w:p>
        </w:tc>
      </w:tr>
      <w:tr w14:paraId="534A4A20" w14:textId="77777777" w:rsidTr="00C27263">
        <w:tblPrEx>
          <w:tblW w:w="0" w:type="auto"/>
          <w:tblInd w:w="900" w:type="dxa"/>
          <w:tblLook w:val="04A0"/>
        </w:tblPrEx>
        <w:tc>
          <w:tcPr>
            <w:tcW w:w="4228" w:type="dxa"/>
          </w:tcPr>
          <w:p w:rsidR="007E4C75" w:rsidRPr="00AA7736" w:rsidP="00F7565A" w14:paraId="26396A9C" w14:textId="78D62252">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Cs/>
                <w:sz w:val="24"/>
                <w:szCs w:val="24"/>
              </w:rPr>
              <w:t>TTW evaluation report</w:t>
            </w:r>
          </w:p>
        </w:tc>
        <w:tc>
          <w:tcPr>
            <w:tcW w:w="4222" w:type="dxa"/>
          </w:tcPr>
          <w:p w:rsidR="007E4C75" w:rsidRPr="00AA7736" w:rsidP="00F7565A" w14:paraId="03BBB639" w14:textId="41155608">
            <w:pPr>
              <w:pStyle w:val="ParagraphContinued"/>
              <w:spacing w:before="0" w:after="0" w:line="276" w:lineRule="auto"/>
              <w:rPr>
                <w:rFonts w:ascii="Times New Roman" w:hAnsi="Times New Roman" w:cs="Times New Roman"/>
                <w:b/>
                <w:sz w:val="24"/>
                <w:szCs w:val="24"/>
              </w:rPr>
            </w:pPr>
            <w:r w:rsidRPr="003104B2">
              <w:rPr>
                <w:rFonts w:ascii="Times New Roman" w:hAnsi="Times New Roman" w:cs="Times New Roman"/>
                <w:sz w:val="24"/>
                <w:szCs w:val="24"/>
              </w:rPr>
              <w:t xml:space="preserve">19 months </w:t>
            </w:r>
            <w:r w:rsidRPr="00AA7736" w:rsidR="000564EE">
              <w:rPr>
                <w:rFonts w:ascii="Times New Roman" w:hAnsi="Times New Roman" w:cs="Times New Roman"/>
                <w:sz w:val="24"/>
                <w:szCs w:val="24"/>
              </w:rPr>
              <w:t xml:space="preserve">after receiving PRA clearance </w:t>
            </w:r>
          </w:p>
        </w:tc>
      </w:tr>
      <w:tr w14:paraId="228B3FA7" w14:textId="77777777" w:rsidTr="00C27263">
        <w:tblPrEx>
          <w:tblW w:w="0" w:type="auto"/>
          <w:tblInd w:w="900" w:type="dxa"/>
          <w:tblLook w:val="04A0"/>
        </w:tblPrEx>
        <w:tc>
          <w:tcPr>
            <w:tcW w:w="4228" w:type="dxa"/>
          </w:tcPr>
          <w:p w:rsidR="007E4C75" w:rsidRPr="00AA7736" w:rsidP="00F7565A" w14:paraId="640A87E9" w14:textId="4A4A0875">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Cs/>
                <w:sz w:val="24"/>
                <w:szCs w:val="24"/>
              </w:rPr>
              <w:t>Ticket Act programs summary</w:t>
            </w:r>
          </w:p>
        </w:tc>
        <w:tc>
          <w:tcPr>
            <w:tcW w:w="4222" w:type="dxa"/>
          </w:tcPr>
          <w:p w:rsidR="007E4C75" w:rsidRPr="00AA7736" w:rsidP="00F7565A" w14:paraId="030CF121" w14:textId="10D7BCFB">
            <w:pPr>
              <w:pStyle w:val="ParagraphContinued"/>
              <w:spacing w:before="0" w:after="0" w:line="276" w:lineRule="auto"/>
              <w:rPr>
                <w:rFonts w:ascii="Times New Roman" w:hAnsi="Times New Roman" w:cs="Times New Roman"/>
                <w:b/>
                <w:sz w:val="24"/>
                <w:szCs w:val="24"/>
              </w:rPr>
            </w:pPr>
            <w:r w:rsidRPr="003104B2">
              <w:rPr>
                <w:rFonts w:ascii="Times New Roman" w:hAnsi="Times New Roman" w:cs="Times New Roman"/>
                <w:sz w:val="24"/>
                <w:szCs w:val="24"/>
              </w:rPr>
              <w:t>21 months</w:t>
            </w:r>
            <w:r w:rsidRPr="00AA7736" w:rsidR="000564EE">
              <w:rPr>
                <w:rFonts w:ascii="Times New Roman" w:hAnsi="Times New Roman" w:cs="Times New Roman"/>
                <w:sz w:val="24"/>
                <w:szCs w:val="24"/>
              </w:rPr>
              <w:t xml:space="preserve"> after receiving PRA clearance</w:t>
            </w:r>
          </w:p>
        </w:tc>
      </w:tr>
      <w:tr w14:paraId="691CFD30" w14:textId="77777777" w:rsidTr="00C27263">
        <w:tblPrEx>
          <w:tblW w:w="0" w:type="auto"/>
          <w:tblInd w:w="900" w:type="dxa"/>
          <w:tblLook w:val="04A0"/>
        </w:tblPrEx>
        <w:tc>
          <w:tcPr>
            <w:tcW w:w="4228" w:type="dxa"/>
          </w:tcPr>
          <w:p w:rsidR="007E4C75" w:rsidRPr="003104B2" w:rsidP="00F7565A" w14:paraId="3D491ACC" w14:textId="6CA5AD67">
            <w:pPr>
              <w:pStyle w:val="ParagraphContinued"/>
              <w:spacing w:before="0" w:after="0" w:line="276" w:lineRule="auto"/>
              <w:rPr>
                <w:rFonts w:ascii="Times New Roman" w:hAnsi="Times New Roman" w:cs="Times New Roman"/>
                <w:b/>
                <w:sz w:val="24"/>
                <w:szCs w:val="24"/>
              </w:rPr>
            </w:pPr>
            <w:r w:rsidRPr="00AA7736">
              <w:rPr>
                <w:rFonts w:ascii="Times New Roman" w:hAnsi="Times New Roman" w:cs="Times New Roman"/>
                <w:b/>
                <w:sz w:val="24"/>
                <w:szCs w:val="24"/>
              </w:rPr>
              <w:t>Data Files</w:t>
            </w:r>
            <w:r w:rsidR="00F61287">
              <w:rPr>
                <w:rFonts w:ascii="Times New Roman" w:hAnsi="Times New Roman" w:cs="Times New Roman"/>
                <w:b/>
                <w:sz w:val="24"/>
                <w:szCs w:val="24"/>
              </w:rPr>
              <w:t xml:space="preserve"> (dates first drafts are due)</w:t>
            </w:r>
          </w:p>
        </w:tc>
        <w:tc>
          <w:tcPr>
            <w:tcW w:w="4222" w:type="dxa"/>
          </w:tcPr>
          <w:p w:rsidR="007E4C75" w:rsidRPr="00AA7736" w:rsidP="00F7565A" w14:paraId="3895E272" w14:textId="77777777">
            <w:pPr>
              <w:pStyle w:val="ParagraphContinued"/>
              <w:spacing w:before="0" w:after="0" w:line="276" w:lineRule="auto"/>
              <w:rPr>
                <w:rFonts w:ascii="Times New Roman" w:hAnsi="Times New Roman" w:cs="Times New Roman"/>
                <w:bCs/>
                <w:sz w:val="24"/>
                <w:szCs w:val="24"/>
              </w:rPr>
            </w:pPr>
          </w:p>
        </w:tc>
      </w:tr>
      <w:tr w14:paraId="3C0BE7DD" w14:textId="77777777" w:rsidTr="00C27263">
        <w:tblPrEx>
          <w:tblW w:w="0" w:type="auto"/>
          <w:tblInd w:w="900" w:type="dxa"/>
          <w:tblLook w:val="04A0"/>
        </w:tblPrEx>
        <w:tc>
          <w:tcPr>
            <w:tcW w:w="4228" w:type="dxa"/>
          </w:tcPr>
          <w:p w:rsidR="007E4C75" w:rsidRPr="00E90A78" w:rsidP="00F7565A" w14:paraId="41924314" w14:textId="34DB163F">
            <w:pPr>
              <w:pStyle w:val="ParagraphContinued"/>
              <w:spacing w:before="0" w:after="0" w:line="276" w:lineRule="auto"/>
              <w:rPr>
                <w:rFonts w:ascii="Times New Roman" w:hAnsi="Times New Roman" w:cs="Times New Roman"/>
                <w:bCs/>
                <w:sz w:val="24"/>
                <w:szCs w:val="24"/>
              </w:rPr>
            </w:pPr>
            <w:r w:rsidRPr="00E90A78">
              <w:rPr>
                <w:rFonts w:ascii="Times New Roman" w:hAnsi="Times New Roman" w:cs="Times New Roman"/>
                <w:sz w:val="24"/>
                <w:szCs w:val="24"/>
              </w:rPr>
              <w:t>Administrative and survey data guide</w:t>
            </w:r>
          </w:p>
        </w:tc>
        <w:tc>
          <w:tcPr>
            <w:tcW w:w="4222" w:type="dxa"/>
          </w:tcPr>
          <w:p w:rsidR="007E4C75" w:rsidRPr="00E90A78" w:rsidP="00F7565A" w14:paraId="232420D2" w14:textId="1D4394E4">
            <w:pPr>
              <w:pStyle w:val="ParagraphContinued"/>
              <w:spacing w:before="0" w:after="0" w:line="276" w:lineRule="auto"/>
              <w:rPr>
                <w:rFonts w:ascii="Times New Roman" w:hAnsi="Times New Roman" w:cs="Times New Roman"/>
                <w:bCs/>
                <w:sz w:val="24"/>
                <w:szCs w:val="24"/>
              </w:rPr>
            </w:pPr>
            <w:r w:rsidRPr="003104B2">
              <w:rPr>
                <w:rFonts w:ascii="Times New Roman" w:hAnsi="Times New Roman" w:cs="Times New Roman"/>
                <w:iCs/>
                <w:sz w:val="24"/>
                <w:szCs w:val="24"/>
              </w:rPr>
              <w:t xml:space="preserve">18 months </w:t>
            </w:r>
            <w:r w:rsidRPr="00E90A78" w:rsidR="00E90A78">
              <w:rPr>
                <w:rFonts w:ascii="Times New Roman" w:hAnsi="Times New Roman" w:cs="Times New Roman"/>
                <w:sz w:val="24"/>
                <w:szCs w:val="24"/>
              </w:rPr>
              <w:t xml:space="preserve">after receiving PRA clearance </w:t>
            </w:r>
          </w:p>
        </w:tc>
      </w:tr>
      <w:tr w14:paraId="5E8734F2" w14:textId="77777777" w:rsidTr="00C27263">
        <w:tblPrEx>
          <w:tblW w:w="0" w:type="auto"/>
          <w:tblInd w:w="900" w:type="dxa"/>
          <w:tblLook w:val="04A0"/>
        </w:tblPrEx>
        <w:tc>
          <w:tcPr>
            <w:tcW w:w="4228" w:type="dxa"/>
          </w:tcPr>
          <w:p w:rsidR="009F52C3" w:rsidRPr="00E90A78" w:rsidP="00F7565A" w14:paraId="3BB5A1DC" w14:textId="3854B22A">
            <w:pPr>
              <w:pStyle w:val="ParagraphContinued"/>
              <w:spacing w:before="0" w:after="0" w:line="276" w:lineRule="auto"/>
              <w:rPr>
                <w:rFonts w:ascii="Times New Roman" w:hAnsi="Times New Roman" w:cs="Times New Roman"/>
                <w:sz w:val="24"/>
                <w:szCs w:val="24"/>
              </w:rPr>
            </w:pPr>
            <w:r w:rsidRPr="003104B2">
              <w:rPr>
                <w:rFonts w:ascii="Times New Roman" w:hAnsi="Times New Roman" w:cs="Times New Roman"/>
                <w:sz w:val="24"/>
                <w:szCs w:val="24"/>
              </w:rPr>
              <w:t xml:space="preserve">Documentation and </w:t>
            </w:r>
            <w:r w:rsidR="00194950">
              <w:rPr>
                <w:rFonts w:ascii="Times New Roman" w:hAnsi="Times New Roman" w:cs="Times New Roman"/>
                <w:sz w:val="24"/>
                <w:szCs w:val="24"/>
              </w:rPr>
              <w:t>r</w:t>
            </w:r>
            <w:r w:rsidRPr="003104B2">
              <w:rPr>
                <w:rFonts w:ascii="Times New Roman" w:hAnsi="Times New Roman" w:cs="Times New Roman"/>
                <w:sz w:val="24"/>
                <w:szCs w:val="24"/>
              </w:rPr>
              <w:t xml:space="preserve">estricted </w:t>
            </w:r>
            <w:r w:rsidR="00194950">
              <w:rPr>
                <w:rFonts w:ascii="Times New Roman" w:hAnsi="Times New Roman" w:cs="Times New Roman"/>
                <w:sz w:val="24"/>
                <w:szCs w:val="24"/>
              </w:rPr>
              <w:t>a</w:t>
            </w:r>
            <w:r w:rsidRPr="00C70956">
              <w:rPr>
                <w:rFonts w:ascii="Times New Roman" w:hAnsi="Times New Roman" w:cs="Times New Roman"/>
                <w:sz w:val="24"/>
                <w:szCs w:val="24"/>
              </w:rPr>
              <w:t xml:space="preserve">ccess </w:t>
            </w:r>
            <w:r w:rsidR="00194950">
              <w:rPr>
                <w:rFonts w:ascii="Times New Roman" w:hAnsi="Times New Roman" w:cs="Times New Roman"/>
                <w:sz w:val="24"/>
                <w:szCs w:val="24"/>
              </w:rPr>
              <w:t>f</w:t>
            </w:r>
            <w:r w:rsidRPr="00C70956">
              <w:rPr>
                <w:rFonts w:ascii="Times New Roman" w:hAnsi="Times New Roman" w:cs="Times New Roman"/>
                <w:sz w:val="24"/>
                <w:szCs w:val="24"/>
              </w:rPr>
              <w:t xml:space="preserve">ile for </w:t>
            </w:r>
            <w:r w:rsidR="00194950">
              <w:rPr>
                <w:rFonts w:ascii="Times New Roman" w:hAnsi="Times New Roman" w:cs="Times New Roman"/>
                <w:sz w:val="24"/>
                <w:szCs w:val="24"/>
              </w:rPr>
              <w:t>p</w:t>
            </w:r>
            <w:r w:rsidRPr="00C70956">
              <w:rPr>
                <w:rFonts w:ascii="Times New Roman" w:hAnsi="Times New Roman" w:cs="Times New Roman"/>
                <w:sz w:val="24"/>
                <w:szCs w:val="24"/>
              </w:rPr>
              <w:t xml:space="preserve">rovider </w:t>
            </w:r>
            <w:r w:rsidR="00194950">
              <w:rPr>
                <w:rFonts w:ascii="Times New Roman" w:hAnsi="Times New Roman" w:cs="Times New Roman"/>
                <w:sz w:val="24"/>
                <w:szCs w:val="24"/>
              </w:rPr>
              <w:t>s</w:t>
            </w:r>
            <w:r w:rsidRPr="00C70956">
              <w:rPr>
                <w:rFonts w:ascii="Times New Roman" w:hAnsi="Times New Roman" w:cs="Times New Roman"/>
                <w:sz w:val="24"/>
                <w:szCs w:val="24"/>
              </w:rPr>
              <w:t>urvey</w:t>
            </w:r>
          </w:p>
        </w:tc>
        <w:tc>
          <w:tcPr>
            <w:tcW w:w="4222" w:type="dxa"/>
          </w:tcPr>
          <w:p w:rsidR="009F52C3" w:rsidRPr="00C70956" w:rsidP="00F7565A" w14:paraId="420F42EC" w14:textId="4F8EDE1D">
            <w:pPr>
              <w:pStyle w:val="ParagraphContinued"/>
              <w:spacing w:before="0" w:after="0" w:line="276" w:lineRule="auto"/>
              <w:rPr>
                <w:rFonts w:ascii="Times New Roman" w:hAnsi="Times New Roman" w:cs="Times New Roman"/>
                <w:sz w:val="24"/>
                <w:szCs w:val="24"/>
              </w:rPr>
            </w:pPr>
            <w:r w:rsidRPr="00C70956">
              <w:rPr>
                <w:rFonts w:ascii="Times New Roman" w:hAnsi="Times New Roman" w:cs="Times New Roman"/>
                <w:sz w:val="24"/>
                <w:szCs w:val="24"/>
              </w:rPr>
              <w:t xml:space="preserve">21 months </w:t>
            </w:r>
            <w:r w:rsidRPr="00E90A78" w:rsidR="00E90A78">
              <w:rPr>
                <w:rFonts w:ascii="Times New Roman" w:hAnsi="Times New Roman" w:cs="Times New Roman"/>
                <w:sz w:val="24"/>
                <w:szCs w:val="24"/>
              </w:rPr>
              <w:t xml:space="preserve">after receiving PRA clearance </w:t>
            </w:r>
          </w:p>
        </w:tc>
      </w:tr>
    </w:tbl>
    <w:p w:rsidR="00E72372" w:rsidRPr="00EE016F" w:rsidP="00F7565A" w14:paraId="39999F66" w14:textId="78165AB6">
      <w:pPr>
        <w:pStyle w:val="H3"/>
        <w:spacing w:line="276" w:lineRule="auto"/>
      </w:pPr>
      <w:bookmarkStart w:id="63" w:name="_Toc476059367"/>
      <w:bookmarkStart w:id="64" w:name="_Toc130382273"/>
      <w:r w:rsidRPr="00EE016F">
        <w:t>Analytic techniques, tabulations, and reporting</w:t>
      </w:r>
    </w:p>
    <w:p w:rsidR="008E128F" w:rsidRPr="00EE016F" w:rsidP="00F7565A" w14:paraId="3BE1C908" w14:textId="0785A2E4">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sz w:val="24"/>
          <w:szCs w:val="24"/>
        </w:rPr>
        <w:t xml:space="preserve">The </w:t>
      </w:r>
      <w:r w:rsidRPr="00EE016F" w:rsidR="00A645BA">
        <w:rPr>
          <w:rFonts w:ascii="Times New Roman" w:hAnsi="Times New Roman" w:cs="Times New Roman"/>
          <w:sz w:val="24"/>
          <w:szCs w:val="24"/>
        </w:rPr>
        <w:t>survey and qualitative interview</w:t>
      </w:r>
      <w:r w:rsidRPr="00EE016F">
        <w:rPr>
          <w:rFonts w:ascii="Times New Roman" w:hAnsi="Times New Roman" w:cs="Times New Roman"/>
          <w:sz w:val="24"/>
          <w:szCs w:val="24"/>
        </w:rPr>
        <w:t xml:space="preserve"> findings will address the evaluation questions and identify promising practices and challenges to program effectiveness, service provision, and service </w:t>
      </w:r>
      <w:r w:rsidR="006F4F7E">
        <w:rPr>
          <w:rFonts w:ascii="Times New Roman" w:hAnsi="Times New Roman" w:cs="Times New Roman"/>
          <w:sz w:val="24"/>
          <w:szCs w:val="24"/>
        </w:rPr>
        <w:t>access</w:t>
      </w:r>
      <w:r w:rsidRPr="00EE016F">
        <w:rPr>
          <w:rFonts w:ascii="Times New Roman" w:hAnsi="Times New Roman" w:cs="Times New Roman"/>
          <w:sz w:val="24"/>
          <w:szCs w:val="24"/>
        </w:rPr>
        <w:t xml:space="preserve">. </w:t>
      </w:r>
      <w:r w:rsidR="00E619F5">
        <w:rPr>
          <w:rFonts w:ascii="Times New Roman" w:hAnsi="Times New Roman" w:cs="Times New Roman"/>
          <w:sz w:val="24"/>
          <w:szCs w:val="24"/>
        </w:rPr>
        <w:t xml:space="preserve"> </w:t>
      </w:r>
      <w:r w:rsidRPr="00EE016F">
        <w:rPr>
          <w:rFonts w:ascii="Times New Roman" w:hAnsi="Times New Roman" w:cs="Times New Roman"/>
          <w:sz w:val="24"/>
          <w:szCs w:val="24"/>
        </w:rPr>
        <w:t xml:space="preserve">The </w:t>
      </w:r>
      <w:r w:rsidRPr="00EE016F" w:rsidR="00A645BA">
        <w:rPr>
          <w:rFonts w:ascii="Times New Roman" w:hAnsi="Times New Roman" w:cs="Times New Roman"/>
          <w:sz w:val="24"/>
          <w:szCs w:val="24"/>
        </w:rPr>
        <w:t>survey and qualitative interview</w:t>
      </w:r>
      <w:r w:rsidRPr="00EE016F">
        <w:rPr>
          <w:rFonts w:ascii="Times New Roman" w:hAnsi="Times New Roman" w:cs="Times New Roman"/>
          <w:sz w:val="24"/>
          <w:szCs w:val="24"/>
        </w:rPr>
        <w:t xml:space="preserve"> findings will also provide context for interpreting findings from the analyses </w:t>
      </w:r>
      <w:r w:rsidRPr="00EE016F" w:rsidR="00D32814">
        <w:rPr>
          <w:rFonts w:ascii="Times New Roman" w:hAnsi="Times New Roman" w:cs="Times New Roman"/>
          <w:sz w:val="24"/>
          <w:szCs w:val="24"/>
        </w:rPr>
        <w:t>of SSA administrative records</w:t>
      </w:r>
      <w:r w:rsidRPr="00EE016F">
        <w:rPr>
          <w:rFonts w:ascii="Times New Roman" w:hAnsi="Times New Roman" w:cs="Times New Roman"/>
          <w:sz w:val="24"/>
          <w:szCs w:val="24"/>
        </w:rPr>
        <w:t xml:space="preserve"> and inform suggestions for improv</w:t>
      </w:r>
      <w:r w:rsidRPr="00EE016F" w:rsidR="00C24EA7">
        <w:rPr>
          <w:rFonts w:ascii="Times New Roman" w:hAnsi="Times New Roman" w:cs="Times New Roman"/>
          <w:sz w:val="24"/>
          <w:szCs w:val="24"/>
        </w:rPr>
        <w:t>ing</w:t>
      </w:r>
      <w:r w:rsidRPr="00EE016F">
        <w:rPr>
          <w:rFonts w:ascii="Times New Roman" w:hAnsi="Times New Roman" w:cs="Times New Roman"/>
          <w:sz w:val="24"/>
          <w:szCs w:val="24"/>
        </w:rPr>
        <w:t xml:space="preserve"> the Ticket Act programs. </w:t>
      </w:r>
    </w:p>
    <w:p w:rsidR="00C24B4A" w:rsidRPr="00EE016F" w:rsidP="00F7565A" w14:paraId="57144C7B" w14:textId="513B5A58">
      <w:pPr>
        <w:pStyle w:val="ParagraphContinued"/>
        <w:spacing w:before="0" w:line="276" w:lineRule="auto"/>
        <w:ind w:left="900"/>
        <w:rPr>
          <w:rFonts w:ascii="Times New Roman" w:eastAsia="Garamond" w:hAnsi="Times New Roman" w:cs="Times New Roman"/>
          <w:sz w:val="24"/>
          <w:szCs w:val="24"/>
        </w:rPr>
      </w:pPr>
      <w:r w:rsidRPr="00EE016F">
        <w:rPr>
          <w:rFonts w:ascii="Times New Roman" w:hAnsi="Times New Roman" w:cs="Times New Roman"/>
          <w:b/>
          <w:sz w:val="24"/>
          <w:szCs w:val="24"/>
        </w:rPr>
        <w:t>Analyzing</w:t>
      </w:r>
      <w:r w:rsidRPr="00EE016F" w:rsidR="00EF0026">
        <w:rPr>
          <w:rFonts w:ascii="Times New Roman" w:hAnsi="Times New Roman" w:cs="Times New Roman"/>
          <w:b/>
          <w:bCs/>
          <w:sz w:val="24"/>
          <w:szCs w:val="24"/>
        </w:rPr>
        <w:t xml:space="preserve"> data from the provider surveys</w:t>
      </w:r>
      <w:r w:rsidRPr="00EE016F">
        <w:rPr>
          <w:rFonts w:ascii="Times New Roman" w:hAnsi="Times New Roman" w:cs="Times New Roman"/>
          <w:b/>
          <w:bCs/>
          <w:sz w:val="24"/>
          <w:szCs w:val="24"/>
        </w:rPr>
        <w:t>.</w:t>
      </w:r>
      <w:r w:rsidRPr="00EE016F">
        <w:rPr>
          <w:rFonts w:ascii="Times New Roman" w:hAnsi="Times New Roman" w:cs="Times New Roman"/>
          <w:sz w:val="24"/>
          <w:szCs w:val="24"/>
        </w:rPr>
        <w:t xml:space="preserve"> </w:t>
      </w:r>
      <w:r w:rsidR="00D035FC">
        <w:rPr>
          <w:rFonts w:ascii="Times New Roman" w:hAnsi="Times New Roman" w:cs="Times New Roman"/>
          <w:sz w:val="24"/>
          <w:szCs w:val="24"/>
        </w:rPr>
        <w:t xml:space="preserve"> </w:t>
      </w:r>
      <w:r w:rsidRPr="00EE016F" w:rsidR="00935A23">
        <w:rPr>
          <w:rFonts w:ascii="Times New Roman" w:hAnsi="Times New Roman" w:cs="Times New Roman"/>
          <w:sz w:val="24"/>
          <w:szCs w:val="24"/>
        </w:rPr>
        <w:t xml:space="preserve">Mathematica </w:t>
      </w:r>
      <w:r w:rsidRPr="00EE016F" w:rsidR="00402527">
        <w:rPr>
          <w:rFonts w:ascii="Times New Roman" w:hAnsi="Times New Roman" w:cs="Times New Roman"/>
          <w:sz w:val="24"/>
          <w:szCs w:val="24"/>
        </w:rPr>
        <w:t xml:space="preserve">will </w:t>
      </w:r>
      <w:r w:rsidRPr="00EE016F" w:rsidR="002C1EAE">
        <w:rPr>
          <w:rFonts w:ascii="Times New Roman" w:hAnsi="Times New Roman" w:cs="Times New Roman"/>
          <w:sz w:val="24"/>
          <w:szCs w:val="24"/>
        </w:rPr>
        <w:t>produce</w:t>
      </w:r>
      <w:r w:rsidRPr="00EE016F" w:rsidR="00402527">
        <w:rPr>
          <w:rFonts w:ascii="Times New Roman" w:hAnsi="Times New Roman" w:cs="Times New Roman"/>
          <w:sz w:val="24"/>
          <w:szCs w:val="24"/>
        </w:rPr>
        <w:t xml:space="preserve"> descriptive statistics to describe the experiences and perspectives of providers </w:t>
      </w:r>
      <w:r w:rsidRPr="00EE016F" w:rsidR="00343CA7">
        <w:rPr>
          <w:rFonts w:ascii="Times New Roman" w:hAnsi="Times New Roman" w:cs="Times New Roman"/>
          <w:sz w:val="24"/>
          <w:szCs w:val="24"/>
        </w:rPr>
        <w:t>in each program separately (</w:t>
      </w:r>
      <w:r w:rsidRPr="00EE016F" w:rsidR="00F257CD">
        <w:rPr>
          <w:rFonts w:ascii="Times New Roman" w:hAnsi="Times New Roman" w:cs="Times New Roman"/>
          <w:sz w:val="24"/>
          <w:szCs w:val="24"/>
        </w:rPr>
        <w:t>that is,</w:t>
      </w:r>
      <w:r w:rsidRPr="00EE016F" w:rsidR="00343CA7">
        <w:rPr>
          <w:rFonts w:ascii="Times New Roman" w:hAnsi="Times New Roman" w:cs="Times New Roman"/>
          <w:sz w:val="24"/>
          <w:szCs w:val="24"/>
        </w:rPr>
        <w:t xml:space="preserve"> TTW, WIPA, and PABSS).</w:t>
      </w:r>
      <w:r w:rsidRPr="00EE016F" w:rsidR="00E21A09">
        <w:rPr>
          <w:rFonts w:ascii="Times New Roman" w:hAnsi="Times New Roman" w:cs="Times New Roman"/>
          <w:sz w:val="24"/>
          <w:szCs w:val="24"/>
        </w:rPr>
        <w:t xml:space="preserve"> </w:t>
      </w:r>
      <w:r w:rsidR="00D035FC">
        <w:rPr>
          <w:rFonts w:ascii="Times New Roman" w:hAnsi="Times New Roman" w:cs="Times New Roman"/>
          <w:sz w:val="24"/>
          <w:szCs w:val="24"/>
        </w:rPr>
        <w:t xml:space="preserve"> </w:t>
      </w:r>
      <w:r w:rsidRPr="00EE016F" w:rsidR="00E21A09">
        <w:rPr>
          <w:rFonts w:ascii="Times New Roman" w:hAnsi="Times New Roman" w:cs="Times New Roman"/>
          <w:sz w:val="24"/>
          <w:szCs w:val="24"/>
        </w:rPr>
        <w:t xml:space="preserve">Analyses will also </w:t>
      </w:r>
      <w:r w:rsidRPr="00EE016F" w:rsidR="00402527">
        <w:rPr>
          <w:rFonts w:ascii="Times New Roman" w:hAnsi="Times New Roman" w:cs="Times New Roman"/>
          <w:sz w:val="24"/>
          <w:szCs w:val="24"/>
        </w:rPr>
        <w:t xml:space="preserve">compare </w:t>
      </w:r>
      <w:r w:rsidRPr="00EE016F" w:rsidR="00E21A09">
        <w:rPr>
          <w:rFonts w:ascii="Times New Roman" w:hAnsi="Times New Roman" w:cs="Times New Roman"/>
          <w:sz w:val="24"/>
          <w:szCs w:val="24"/>
        </w:rPr>
        <w:t xml:space="preserve">statistics across </w:t>
      </w:r>
      <w:r w:rsidRPr="00EE016F" w:rsidR="00343CA7">
        <w:rPr>
          <w:rFonts w:ascii="Times New Roman" w:hAnsi="Times New Roman" w:cs="Times New Roman"/>
          <w:sz w:val="24"/>
          <w:szCs w:val="24"/>
        </w:rPr>
        <w:t xml:space="preserve">groups of providers within each program </w:t>
      </w:r>
      <w:r w:rsidRPr="00EE016F" w:rsidR="00B23C5B">
        <w:rPr>
          <w:rFonts w:ascii="Times New Roman" w:hAnsi="Times New Roman" w:cs="Times New Roman"/>
          <w:sz w:val="24"/>
          <w:szCs w:val="24"/>
        </w:rPr>
        <w:t xml:space="preserve">(as sample sizes allow) </w:t>
      </w:r>
      <w:r w:rsidRPr="00EE016F" w:rsidR="00E21A09">
        <w:rPr>
          <w:rFonts w:ascii="Times New Roman" w:hAnsi="Times New Roman" w:cs="Times New Roman"/>
          <w:sz w:val="24"/>
          <w:szCs w:val="24"/>
        </w:rPr>
        <w:t>based on</w:t>
      </w:r>
      <w:r w:rsidRPr="00EE016F" w:rsidR="00402527">
        <w:rPr>
          <w:rFonts w:ascii="Times New Roman" w:hAnsi="Times New Roman" w:cs="Times New Roman"/>
          <w:sz w:val="24"/>
          <w:szCs w:val="24"/>
        </w:rPr>
        <w:t xml:space="preserve"> characteristics such as provider type, geographic service area, tenure in the program, </w:t>
      </w:r>
      <w:r w:rsidRPr="00EE016F" w:rsidR="002C1EAE">
        <w:rPr>
          <w:rFonts w:ascii="Times New Roman" w:hAnsi="Times New Roman" w:cs="Times New Roman"/>
          <w:sz w:val="24"/>
          <w:szCs w:val="24"/>
        </w:rPr>
        <w:t xml:space="preserve">number of </w:t>
      </w:r>
      <w:r w:rsidR="0011231D">
        <w:rPr>
          <w:rFonts w:ascii="Times New Roman" w:hAnsi="Times New Roman" w:cs="Times New Roman"/>
          <w:sz w:val="24"/>
          <w:szCs w:val="24"/>
        </w:rPr>
        <w:t>clients</w:t>
      </w:r>
      <w:r w:rsidRPr="00EE016F" w:rsidR="002C1EAE">
        <w:rPr>
          <w:rFonts w:ascii="Times New Roman" w:hAnsi="Times New Roman" w:cs="Times New Roman"/>
          <w:sz w:val="24"/>
          <w:szCs w:val="24"/>
        </w:rPr>
        <w:t xml:space="preserve"> served</w:t>
      </w:r>
      <w:r w:rsidRPr="00EE016F" w:rsidR="00402527">
        <w:rPr>
          <w:rFonts w:ascii="Times New Roman" w:hAnsi="Times New Roman" w:cs="Times New Roman"/>
          <w:sz w:val="24"/>
          <w:szCs w:val="24"/>
        </w:rPr>
        <w:t xml:space="preserve">, and </w:t>
      </w:r>
      <w:r w:rsidRPr="00EE016F" w:rsidR="00E21A09">
        <w:rPr>
          <w:rFonts w:ascii="Times New Roman" w:hAnsi="Times New Roman" w:cs="Times New Roman"/>
          <w:sz w:val="24"/>
          <w:szCs w:val="24"/>
        </w:rPr>
        <w:t>other</w:t>
      </w:r>
      <w:r w:rsidRPr="00EE016F" w:rsidR="00402527">
        <w:rPr>
          <w:rFonts w:ascii="Times New Roman" w:hAnsi="Times New Roman" w:cs="Times New Roman"/>
          <w:sz w:val="24"/>
          <w:szCs w:val="24"/>
        </w:rPr>
        <w:t xml:space="preserve"> measures </w:t>
      </w:r>
      <w:r w:rsidRPr="00EE016F" w:rsidR="002C1EAE">
        <w:rPr>
          <w:rFonts w:ascii="Times New Roman" w:hAnsi="Times New Roman" w:cs="Times New Roman"/>
          <w:sz w:val="24"/>
          <w:szCs w:val="24"/>
        </w:rPr>
        <w:t xml:space="preserve">derived </w:t>
      </w:r>
      <w:r w:rsidRPr="00EE016F" w:rsidR="00402527">
        <w:rPr>
          <w:rFonts w:ascii="Times New Roman" w:hAnsi="Times New Roman" w:cs="Times New Roman"/>
          <w:sz w:val="24"/>
          <w:szCs w:val="24"/>
        </w:rPr>
        <w:t>using admin</w:t>
      </w:r>
      <w:r w:rsidRPr="00EE016F" w:rsidR="003A2B25">
        <w:rPr>
          <w:rFonts w:ascii="Times New Roman" w:hAnsi="Times New Roman" w:cs="Times New Roman"/>
          <w:sz w:val="24"/>
          <w:szCs w:val="24"/>
        </w:rPr>
        <w:t xml:space="preserve">istrative </w:t>
      </w:r>
      <w:r w:rsidRPr="00EE016F" w:rsidR="006223A5">
        <w:rPr>
          <w:rFonts w:ascii="Times New Roman" w:hAnsi="Times New Roman" w:cs="Times New Roman"/>
          <w:sz w:val="24"/>
          <w:szCs w:val="24"/>
        </w:rPr>
        <w:t>data</w:t>
      </w:r>
      <w:r w:rsidRPr="00EE016F" w:rsidR="00402527">
        <w:rPr>
          <w:rFonts w:ascii="Times New Roman" w:hAnsi="Times New Roman" w:cs="Times New Roman"/>
          <w:sz w:val="24"/>
          <w:szCs w:val="24"/>
        </w:rPr>
        <w:t xml:space="preserve">. </w:t>
      </w:r>
      <w:r w:rsidR="00D035FC">
        <w:rPr>
          <w:rFonts w:ascii="Times New Roman" w:hAnsi="Times New Roman" w:cs="Times New Roman"/>
          <w:sz w:val="24"/>
          <w:szCs w:val="24"/>
        </w:rPr>
        <w:t xml:space="preserve"> </w:t>
      </w:r>
      <w:r w:rsidRPr="00EE016F" w:rsidR="00E21A09">
        <w:rPr>
          <w:rFonts w:ascii="Times New Roman" w:hAnsi="Times New Roman" w:cs="Times New Roman"/>
          <w:sz w:val="24"/>
          <w:szCs w:val="24"/>
        </w:rPr>
        <w:t xml:space="preserve">Statistical analyses will document differences in means and distributions across provider groups, as necessary. </w:t>
      </w:r>
      <w:r w:rsidR="00D035FC">
        <w:rPr>
          <w:rFonts w:ascii="Times New Roman" w:hAnsi="Times New Roman" w:cs="Times New Roman"/>
          <w:sz w:val="24"/>
          <w:szCs w:val="24"/>
        </w:rPr>
        <w:t xml:space="preserve"> </w:t>
      </w:r>
      <w:r w:rsidRPr="00EE016F" w:rsidR="00402527">
        <w:rPr>
          <w:rFonts w:ascii="Times New Roman" w:hAnsi="Times New Roman" w:cs="Times New Roman"/>
          <w:sz w:val="24"/>
          <w:szCs w:val="24"/>
        </w:rPr>
        <w:t xml:space="preserve">The survey </w:t>
      </w:r>
      <w:r w:rsidRPr="00EE016F" w:rsidR="004856C7">
        <w:rPr>
          <w:rFonts w:ascii="Times New Roman" w:hAnsi="Times New Roman" w:cs="Times New Roman"/>
          <w:sz w:val="24"/>
          <w:szCs w:val="24"/>
        </w:rPr>
        <w:t>will</w:t>
      </w:r>
      <w:r w:rsidRPr="00EE016F" w:rsidR="00402527">
        <w:rPr>
          <w:rFonts w:ascii="Times New Roman" w:hAnsi="Times New Roman" w:cs="Times New Roman"/>
          <w:sz w:val="24"/>
          <w:szCs w:val="24"/>
        </w:rPr>
        <w:t xml:space="preserve"> also gather information from providers via open-ended questions, such as suggestions for improving the program. </w:t>
      </w:r>
      <w:r w:rsidR="00D035FC">
        <w:rPr>
          <w:rFonts w:ascii="Times New Roman" w:hAnsi="Times New Roman" w:cs="Times New Roman"/>
          <w:sz w:val="24"/>
          <w:szCs w:val="24"/>
        </w:rPr>
        <w:t xml:space="preserve"> </w:t>
      </w:r>
      <w:r w:rsidRPr="00EE016F" w:rsidR="00CD012A">
        <w:rPr>
          <w:rFonts w:ascii="Times New Roman" w:hAnsi="Times New Roman" w:cs="Times New Roman"/>
          <w:sz w:val="24"/>
          <w:szCs w:val="24"/>
        </w:rPr>
        <w:t xml:space="preserve">Here, Mathematica </w:t>
      </w:r>
      <w:r w:rsidRPr="00EE016F" w:rsidR="00402527">
        <w:rPr>
          <w:rFonts w:ascii="Times New Roman" w:hAnsi="Times New Roman" w:cs="Times New Roman"/>
          <w:sz w:val="24"/>
          <w:szCs w:val="24"/>
        </w:rPr>
        <w:t xml:space="preserve">will review and analyze the open-ended responses </w:t>
      </w:r>
      <w:r w:rsidRPr="00EE016F" w:rsidR="00337B80">
        <w:rPr>
          <w:rFonts w:ascii="Times New Roman" w:hAnsi="Times New Roman" w:cs="Times New Roman"/>
          <w:sz w:val="24"/>
          <w:szCs w:val="24"/>
        </w:rPr>
        <w:t xml:space="preserve">using a </w:t>
      </w:r>
      <w:r w:rsidRPr="00EE016F" w:rsidR="00402527">
        <w:rPr>
          <w:rFonts w:ascii="Times New Roman" w:hAnsi="Times New Roman" w:cs="Times New Roman"/>
          <w:sz w:val="24"/>
          <w:szCs w:val="24"/>
        </w:rPr>
        <w:t xml:space="preserve">similar </w:t>
      </w:r>
      <w:r w:rsidRPr="00EE016F" w:rsidR="00337B80">
        <w:rPr>
          <w:rFonts w:ascii="Times New Roman" w:hAnsi="Times New Roman" w:cs="Times New Roman"/>
          <w:sz w:val="24"/>
          <w:szCs w:val="24"/>
        </w:rPr>
        <w:t xml:space="preserve">approach to </w:t>
      </w:r>
      <w:r w:rsidRPr="00EE016F" w:rsidR="00D763EF">
        <w:rPr>
          <w:rFonts w:ascii="Times New Roman" w:hAnsi="Times New Roman" w:cs="Times New Roman"/>
          <w:sz w:val="24"/>
          <w:szCs w:val="24"/>
        </w:rPr>
        <w:t xml:space="preserve">the planned analysis of </w:t>
      </w:r>
      <w:r w:rsidRPr="00EE016F" w:rsidR="00402527">
        <w:rPr>
          <w:rFonts w:ascii="Times New Roman" w:hAnsi="Times New Roman" w:cs="Times New Roman"/>
          <w:sz w:val="24"/>
          <w:szCs w:val="24"/>
        </w:rPr>
        <w:t>the qualitative information collect</w:t>
      </w:r>
      <w:r w:rsidRPr="00EE016F" w:rsidR="005162EF">
        <w:rPr>
          <w:rFonts w:ascii="Times New Roman" w:hAnsi="Times New Roman" w:cs="Times New Roman"/>
          <w:sz w:val="24"/>
          <w:szCs w:val="24"/>
        </w:rPr>
        <w:t xml:space="preserve">ion </w:t>
      </w:r>
      <w:r w:rsidRPr="00EE016F" w:rsidR="00402527">
        <w:rPr>
          <w:rFonts w:ascii="Times New Roman" w:hAnsi="Times New Roman" w:cs="Times New Roman"/>
          <w:sz w:val="24"/>
          <w:szCs w:val="24"/>
        </w:rPr>
        <w:t xml:space="preserve">(that is, by categorizing and coding the responses and identifying key themes across them).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The findings from the provider survey data analyses will contribute to the reports and brief</w:t>
      </w:r>
      <w:r w:rsidRPr="00EE016F" w:rsidR="00EE6DF9">
        <w:rPr>
          <w:rFonts w:ascii="Times New Roman" w:hAnsi="Times New Roman" w:cs="Times New Roman"/>
          <w:sz w:val="24"/>
          <w:szCs w:val="24"/>
        </w:rPr>
        <w:t>s</w:t>
      </w:r>
      <w:r w:rsidRPr="00EE016F">
        <w:rPr>
          <w:rFonts w:ascii="Times New Roman" w:hAnsi="Times New Roman" w:cs="Times New Roman"/>
          <w:sz w:val="24"/>
          <w:szCs w:val="24"/>
        </w:rPr>
        <w:t xml:space="preserve">.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They will complement the qualitative and administrative data analyses to develop a comprehensive understanding of the experiences of providers in the TTW program and develop suggestions for ways to improve the program.</w:t>
      </w:r>
    </w:p>
    <w:p w:rsidR="00907B6D" w:rsidRPr="00EE016F" w:rsidP="00F7565A" w14:paraId="027515C0" w14:textId="419707BD">
      <w:pPr>
        <w:pStyle w:val="ParagraphContinued"/>
        <w:spacing w:before="0" w:line="276" w:lineRule="auto"/>
        <w:ind w:left="900"/>
        <w:rPr>
          <w:rFonts w:ascii="Times New Roman" w:hAnsi="Times New Roman" w:cs="Times New Roman"/>
          <w:sz w:val="24"/>
          <w:szCs w:val="24"/>
        </w:rPr>
      </w:pPr>
      <w:r w:rsidRPr="00EE016F">
        <w:rPr>
          <w:rFonts w:ascii="Times New Roman" w:hAnsi="Times New Roman" w:cs="Times New Roman"/>
          <w:b/>
          <w:sz w:val="24"/>
          <w:szCs w:val="24"/>
        </w:rPr>
        <w:t xml:space="preserve">Analyzing the qualitative </w:t>
      </w:r>
      <w:r w:rsidRPr="00EE016F" w:rsidR="00EE6DF9">
        <w:rPr>
          <w:rFonts w:ascii="Times New Roman" w:hAnsi="Times New Roman" w:cs="Times New Roman"/>
          <w:b/>
          <w:bCs/>
          <w:sz w:val="24"/>
          <w:szCs w:val="24"/>
        </w:rPr>
        <w:t xml:space="preserve">interview </w:t>
      </w:r>
      <w:r w:rsidRPr="00EE016F">
        <w:rPr>
          <w:rFonts w:ascii="Times New Roman" w:hAnsi="Times New Roman" w:cs="Times New Roman"/>
          <w:b/>
          <w:bCs/>
          <w:sz w:val="24"/>
          <w:szCs w:val="24"/>
        </w:rPr>
        <w:t>data.</w:t>
      </w:r>
      <w:r w:rsidRPr="00EE016F">
        <w:rPr>
          <w:rFonts w:ascii="Times New Roman" w:hAnsi="Times New Roman" w:cs="Times New Roman"/>
          <w:sz w:val="24"/>
          <w:szCs w:val="24"/>
        </w:rPr>
        <w:t xml:space="preserve">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 xml:space="preserve">After completing all </w:t>
      </w:r>
      <w:r w:rsidRPr="00EE016F" w:rsidR="00D32814">
        <w:rPr>
          <w:rFonts w:ascii="Times New Roman" w:hAnsi="Times New Roman" w:cs="Times New Roman"/>
          <w:sz w:val="24"/>
          <w:szCs w:val="24"/>
        </w:rPr>
        <w:t>qualitative</w:t>
      </w:r>
      <w:r w:rsidRPr="00EE016F">
        <w:rPr>
          <w:rFonts w:ascii="Times New Roman" w:hAnsi="Times New Roman" w:cs="Times New Roman"/>
          <w:sz w:val="24"/>
          <w:szCs w:val="24"/>
        </w:rPr>
        <w:t xml:space="preserve"> interviews, </w:t>
      </w:r>
      <w:r w:rsidRPr="00EE016F" w:rsidR="00F52E53">
        <w:rPr>
          <w:rFonts w:ascii="Times New Roman" w:hAnsi="Times New Roman" w:cs="Times New Roman"/>
          <w:sz w:val="24"/>
          <w:szCs w:val="24"/>
        </w:rPr>
        <w:t xml:space="preserve">Mathematica </w:t>
      </w:r>
      <w:r w:rsidRPr="00EE016F">
        <w:rPr>
          <w:rFonts w:ascii="Times New Roman" w:hAnsi="Times New Roman" w:cs="Times New Roman"/>
          <w:sz w:val="24"/>
          <w:szCs w:val="24"/>
        </w:rPr>
        <w:t xml:space="preserve">will systematically code transcripts and analyze the data. </w:t>
      </w:r>
      <w:r w:rsidR="00D035FC">
        <w:rPr>
          <w:rFonts w:ascii="Times New Roman" w:hAnsi="Times New Roman" w:cs="Times New Roman"/>
          <w:sz w:val="24"/>
          <w:szCs w:val="24"/>
        </w:rPr>
        <w:t xml:space="preserve"> </w:t>
      </w:r>
      <w:r w:rsidRPr="00EE016F" w:rsidR="00EC4620">
        <w:rPr>
          <w:rFonts w:ascii="Times New Roman" w:hAnsi="Times New Roman" w:cs="Times New Roman"/>
          <w:sz w:val="24"/>
          <w:szCs w:val="24"/>
        </w:rPr>
        <w:t xml:space="preserve">Mathematica will not use quantitative techniques to analyze the qualitative data from these collections.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 xml:space="preserve">When analyzing the qualitative data, </w:t>
      </w:r>
      <w:r w:rsidRPr="00EE016F" w:rsidR="00C24EA7">
        <w:rPr>
          <w:rFonts w:ascii="Times New Roman" w:hAnsi="Times New Roman" w:cs="Times New Roman"/>
          <w:sz w:val="24"/>
          <w:szCs w:val="24"/>
        </w:rPr>
        <w:t>Mathematica</w:t>
      </w:r>
      <w:r w:rsidRPr="00EE016F" w:rsidR="001A2E73">
        <w:rPr>
          <w:rFonts w:ascii="Times New Roman" w:hAnsi="Times New Roman" w:cs="Times New Roman"/>
          <w:sz w:val="24"/>
          <w:szCs w:val="24"/>
        </w:rPr>
        <w:t xml:space="preserve"> </w:t>
      </w:r>
      <w:r w:rsidRPr="00EE016F">
        <w:rPr>
          <w:rFonts w:ascii="Times New Roman" w:hAnsi="Times New Roman" w:cs="Times New Roman"/>
          <w:sz w:val="24"/>
          <w:szCs w:val="24"/>
        </w:rPr>
        <w:t xml:space="preserve">will use the Consolidated Framework for Implementation Research (CFIR) to guide findings about factors that influenced implementation of the Ticket Act programs.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 xml:space="preserve">CFIR is a conceptual framework for assessing implementation and identifying factors that might influence effectiveness (Damschroder et al. 2009).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 xml:space="preserve">It reflects the evidence base of factors most likely to influence program implementation.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 xml:space="preserve">To apply the CFIR framework to </w:t>
      </w:r>
      <w:r w:rsidRPr="00EE016F" w:rsidR="00D94B6F">
        <w:rPr>
          <w:rFonts w:ascii="Times New Roman" w:hAnsi="Times New Roman" w:cs="Times New Roman"/>
          <w:sz w:val="24"/>
          <w:szCs w:val="24"/>
        </w:rPr>
        <w:t>the</w:t>
      </w:r>
      <w:r w:rsidRPr="00EE016F">
        <w:rPr>
          <w:rFonts w:ascii="Times New Roman" w:hAnsi="Times New Roman" w:cs="Times New Roman"/>
          <w:sz w:val="24"/>
          <w:szCs w:val="24"/>
        </w:rPr>
        <w:t xml:space="preserve"> qualitative analysis, </w:t>
      </w:r>
      <w:r w:rsidRPr="00EE016F" w:rsidR="00D94B6F">
        <w:rPr>
          <w:rFonts w:ascii="Times New Roman" w:hAnsi="Times New Roman" w:cs="Times New Roman"/>
          <w:sz w:val="24"/>
          <w:szCs w:val="24"/>
        </w:rPr>
        <w:t>Mathematica</w:t>
      </w:r>
      <w:r w:rsidRPr="00EE016F">
        <w:rPr>
          <w:rFonts w:ascii="Times New Roman" w:hAnsi="Times New Roman" w:cs="Times New Roman"/>
          <w:sz w:val="24"/>
          <w:szCs w:val="24"/>
        </w:rPr>
        <w:t xml:space="preserve"> will record and transcribe interviews and then code interview transcripts to identify information relevant to intervention components and CFIR constructs. </w:t>
      </w:r>
      <w:r w:rsidR="00D035FC">
        <w:rPr>
          <w:rFonts w:ascii="Times New Roman" w:hAnsi="Times New Roman" w:cs="Times New Roman"/>
          <w:sz w:val="24"/>
          <w:szCs w:val="24"/>
        </w:rPr>
        <w:t xml:space="preserve"> </w:t>
      </w:r>
      <w:r w:rsidRPr="00EE016F" w:rsidR="003301A9">
        <w:rPr>
          <w:rFonts w:ascii="Times New Roman" w:hAnsi="Times New Roman" w:cs="Times New Roman"/>
          <w:sz w:val="24"/>
          <w:szCs w:val="24"/>
        </w:rPr>
        <w:t>Mathematica</w:t>
      </w:r>
      <w:r w:rsidRPr="00EE016F">
        <w:rPr>
          <w:rFonts w:ascii="Times New Roman" w:hAnsi="Times New Roman" w:cs="Times New Roman"/>
          <w:sz w:val="24"/>
          <w:szCs w:val="24"/>
        </w:rPr>
        <w:t xml:space="preserve"> will then populate analytic matrices and identify themes corresponding to the research questions.</w:t>
      </w:r>
    </w:p>
    <w:p w:rsidR="00A45D82" w:rsidRPr="00EE016F" w:rsidP="00F7565A" w14:paraId="32EEC39F" w14:textId="27A48E77">
      <w:pPr>
        <w:pStyle w:val="H2"/>
        <w:spacing w:line="276" w:lineRule="auto"/>
        <w:ind w:left="900" w:hanging="450"/>
        <w:rPr>
          <w:rFonts w:ascii="Times New Roman" w:hAnsi="Times New Roman" w:cs="Times New Roman"/>
          <w:szCs w:val="24"/>
        </w:rPr>
      </w:pPr>
      <w:bookmarkStart w:id="65" w:name="_Toc183510774"/>
      <w:r w:rsidRPr="00EE016F">
        <w:rPr>
          <w:rFonts w:ascii="Times New Roman" w:hAnsi="Times New Roman" w:cs="Times New Roman"/>
          <w:szCs w:val="24"/>
        </w:rPr>
        <w:t xml:space="preserve">17. </w:t>
      </w:r>
      <w:r w:rsidRPr="00EE016F">
        <w:rPr>
          <w:rFonts w:ascii="Times New Roman" w:hAnsi="Times New Roman" w:cs="Times New Roman"/>
          <w:szCs w:val="24"/>
        </w:rPr>
        <w:tab/>
        <w:t xml:space="preserve">Displaying the OMB </w:t>
      </w:r>
      <w:r w:rsidR="0073109E">
        <w:rPr>
          <w:rFonts w:ascii="Times New Roman" w:hAnsi="Times New Roman" w:cs="Times New Roman"/>
          <w:szCs w:val="24"/>
        </w:rPr>
        <w:t>A</w:t>
      </w:r>
      <w:r w:rsidRPr="00EE016F">
        <w:rPr>
          <w:rFonts w:ascii="Times New Roman" w:hAnsi="Times New Roman" w:cs="Times New Roman"/>
          <w:szCs w:val="24"/>
        </w:rPr>
        <w:t xml:space="preserve">pproval </w:t>
      </w:r>
      <w:r w:rsidR="0073109E">
        <w:rPr>
          <w:rFonts w:ascii="Times New Roman" w:hAnsi="Times New Roman" w:cs="Times New Roman"/>
          <w:szCs w:val="24"/>
        </w:rPr>
        <w:t>E</w:t>
      </w:r>
      <w:r w:rsidRPr="00EE016F">
        <w:rPr>
          <w:rFonts w:ascii="Times New Roman" w:hAnsi="Times New Roman" w:cs="Times New Roman"/>
          <w:szCs w:val="24"/>
        </w:rPr>
        <w:t xml:space="preserve">xpiration </w:t>
      </w:r>
      <w:r w:rsidR="0073109E">
        <w:rPr>
          <w:rFonts w:ascii="Times New Roman" w:hAnsi="Times New Roman" w:cs="Times New Roman"/>
          <w:szCs w:val="24"/>
        </w:rPr>
        <w:t>D</w:t>
      </w:r>
      <w:r w:rsidRPr="00EE016F">
        <w:rPr>
          <w:rFonts w:ascii="Times New Roman" w:hAnsi="Times New Roman" w:cs="Times New Roman"/>
          <w:szCs w:val="24"/>
        </w:rPr>
        <w:t>ate</w:t>
      </w:r>
      <w:bookmarkEnd w:id="63"/>
      <w:bookmarkEnd w:id="64"/>
      <w:bookmarkEnd w:id="65"/>
    </w:p>
    <w:p w:rsidR="00A45D82" w:rsidRPr="00EE016F" w:rsidP="00F7565A" w14:paraId="507633EE" w14:textId="5A10C429">
      <w:pPr>
        <w:pStyle w:val="ParagraphContinued"/>
        <w:spacing w:before="0" w:line="276" w:lineRule="auto"/>
        <w:ind w:left="900"/>
        <w:rPr>
          <w:rFonts w:ascii="Times New Roman" w:hAnsi="Times New Roman" w:cs="Times New Roman"/>
          <w:b/>
          <w:bCs/>
          <w:iCs/>
          <w:sz w:val="24"/>
          <w:szCs w:val="24"/>
          <w:u w:val="single"/>
        </w:rPr>
      </w:pPr>
      <w:r w:rsidRPr="00EE016F">
        <w:rPr>
          <w:rFonts w:ascii="Times New Roman" w:hAnsi="Times New Roman" w:cs="Times New Roman"/>
          <w:sz w:val="24"/>
          <w:szCs w:val="24"/>
        </w:rPr>
        <w:t xml:space="preserve">SSA is not requesting an exception to the requirement to display the OMB approval expiration date. </w:t>
      </w:r>
      <w:r w:rsidR="00D035FC">
        <w:rPr>
          <w:rFonts w:ascii="Times New Roman" w:hAnsi="Times New Roman" w:cs="Times New Roman"/>
          <w:sz w:val="24"/>
          <w:szCs w:val="24"/>
        </w:rPr>
        <w:t xml:space="preserve"> </w:t>
      </w:r>
      <w:r w:rsidRPr="00EE016F">
        <w:rPr>
          <w:rFonts w:ascii="Times New Roman" w:hAnsi="Times New Roman" w:cs="Times New Roman"/>
          <w:sz w:val="24"/>
          <w:szCs w:val="24"/>
        </w:rPr>
        <w:t>Mathematica will display the OMB expiration date on the survey consent statement, the qualitative interview consent form</w:t>
      </w:r>
      <w:r w:rsidRPr="00EE016F" w:rsidR="00F10F7B">
        <w:rPr>
          <w:rFonts w:ascii="Times New Roman" w:hAnsi="Times New Roman" w:cs="Times New Roman"/>
          <w:sz w:val="24"/>
          <w:szCs w:val="24"/>
        </w:rPr>
        <w:t>,</w:t>
      </w:r>
      <w:r w:rsidRPr="00EE016F">
        <w:rPr>
          <w:rFonts w:ascii="Times New Roman" w:hAnsi="Times New Roman" w:cs="Times New Roman"/>
          <w:sz w:val="24"/>
          <w:szCs w:val="24"/>
        </w:rPr>
        <w:t xml:space="preserve"> and all materials used for surveys and qualitative data collection. </w:t>
      </w:r>
      <w:r w:rsidRPr="00EE016F" w:rsidR="00351255">
        <w:rPr>
          <w:rFonts w:ascii="Times New Roman" w:hAnsi="Times New Roman" w:cs="Times New Roman"/>
          <w:b/>
          <w:bCs/>
          <w:iCs/>
          <w:sz w:val="24"/>
          <w:szCs w:val="24"/>
          <w:u w:val="single"/>
        </w:rPr>
        <w:t xml:space="preserve"> </w:t>
      </w:r>
      <w:r w:rsidRPr="00EE016F" w:rsidR="00DC013B">
        <w:rPr>
          <w:rFonts w:ascii="Times New Roman" w:hAnsi="Times New Roman" w:cs="Times New Roman"/>
          <w:b/>
          <w:bCs/>
          <w:iCs/>
          <w:sz w:val="24"/>
          <w:szCs w:val="24"/>
          <w:u w:val="single"/>
        </w:rPr>
        <w:t xml:space="preserve"> </w:t>
      </w:r>
    </w:p>
    <w:p w:rsidR="002D4B3A" w:rsidRPr="00EE016F" w:rsidP="00F7565A" w14:paraId="6F1F83F2" w14:textId="3FB123E2">
      <w:pPr>
        <w:pStyle w:val="H2"/>
        <w:spacing w:line="276" w:lineRule="auto"/>
        <w:ind w:left="900" w:hanging="450"/>
        <w:rPr>
          <w:rFonts w:ascii="Times New Roman" w:hAnsi="Times New Roman" w:cs="Times New Roman"/>
          <w:szCs w:val="24"/>
        </w:rPr>
      </w:pPr>
      <w:bookmarkStart w:id="66" w:name="_Toc476059368"/>
      <w:bookmarkStart w:id="67" w:name="_Toc130382274"/>
      <w:bookmarkStart w:id="68" w:name="_Toc183510775"/>
      <w:r w:rsidRPr="00EE016F">
        <w:rPr>
          <w:rFonts w:ascii="Times New Roman" w:hAnsi="Times New Roman" w:cs="Times New Roman"/>
          <w:szCs w:val="24"/>
        </w:rPr>
        <w:t xml:space="preserve">18. </w:t>
      </w:r>
      <w:r w:rsidRPr="00EE016F">
        <w:rPr>
          <w:rFonts w:ascii="Times New Roman" w:hAnsi="Times New Roman" w:cs="Times New Roman"/>
          <w:szCs w:val="24"/>
        </w:rPr>
        <w:tab/>
        <w:t xml:space="preserve">Exception to </w:t>
      </w:r>
      <w:r w:rsidR="0073109E">
        <w:rPr>
          <w:rFonts w:ascii="Times New Roman" w:hAnsi="Times New Roman" w:cs="Times New Roman"/>
          <w:szCs w:val="24"/>
        </w:rPr>
        <w:t>C</w:t>
      </w:r>
      <w:r w:rsidRPr="00EE016F">
        <w:rPr>
          <w:rFonts w:ascii="Times New Roman" w:hAnsi="Times New Roman" w:cs="Times New Roman"/>
          <w:szCs w:val="24"/>
        </w:rPr>
        <w:t xml:space="preserve">ertification </w:t>
      </w:r>
      <w:r w:rsidR="0073109E">
        <w:rPr>
          <w:rFonts w:ascii="Times New Roman" w:hAnsi="Times New Roman" w:cs="Times New Roman"/>
          <w:szCs w:val="24"/>
        </w:rPr>
        <w:t>S</w:t>
      </w:r>
      <w:r w:rsidRPr="00EE016F">
        <w:rPr>
          <w:rFonts w:ascii="Times New Roman" w:hAnsi="Times New Roman" w:cs="Times New Roman"/>
          <w:szCs w:val="24"/>
        </w:rPr>
        <w:t>tatement</w:t>
      </w:r>
      <w:bookmarkEnd w:id="66"/>
      <w:bookmarkEnd w:id="67"/>
      <w:bookmarkEnd w:id="68"/>
    </w:p>
    <w:p w:rsidR="00B95930" w:rsidRPr="00EE016F" w:rsidP="00F7565A" w14:paraId="04406F56" w14:textId="606D72BF">
      <w:pPr>
        <w:pStyle w:val="ParagraphContinued"/>
        <w:spacing w:before="0" w:line="276" w:lineRule="auto"/>
        <w:ind w:left="900"/>
        <w:rPr>
          <w:rFonts w:ascii="Times New Roman" w:hAnsi="Times New Roman" w:eastAsiaTheme="majorEastAsia" w:cs="Times New Roman"/>
          <w:b/>
          <w:color w:val="000000" w:themeColor="text1"/>
          <w:sz w:val="24"/>
          <w:szCs w:val="24"/>
        </w:rPr>
      </w:pPr>
      <w:r w:rsidRPr="00EE016F">
        <w:rPr>
          <w:rFonts w:ascii="Times New Roman" w:hAnsi="Times New Roman" w:cs="Times New Roman"/>
          <w:sz w:val="24"/>
          <w:szCs w:val="24"/>
        </w:rPr>
        <w:t xml:space="preserve">SSA is not requesting an exception to the certification requirements at </w:t>
      </w:r>
      <w:r w:rsidRPr="00BD4BD3">
        <w:rPr>
          <w:rFonts w:ascii="Times New Roman" w:hAnsi="Times New Roman" w:cs="Times New Roman"/>
          <w:i/>
          <w:iCs/>
          <w:sz w:val="24"/>
          <w:szCs w:val="24"/>
        </w:rPr>
        <w:t>5 CFR 1320.9</w:t>
      </w:r>
      <w:r w:rsidRPr="00EE016F">
        <w:rPr>
          <w:rFonts w:ascii="Times New Roman" w:hAnsi="Times New Roman" w:cs="Times New Roman"/>
          <w:sz w:val="24"/>
          <w:szCs w:val="24"/>
        </w:rPr>
        <w:t xml:space="preserve"> and related provisions at </w:t>
      </w:r>
      <w:r w:rsidRPr="00BD4BD3">
        <w:rPr>
          <w:rFonts w:ascii="Times New Roman" w:hAnsi="Times New Roman" w:cs="Times New Roman"/>
          <w:i/>
          <w:iCs/>
          <w:sz w:val="24"/>
          <w:szCs w:val="24"/>
        </w:rPr>
        <w:t>5 CFR 1320.8(b)(3)</w:t>
      </w:r>
      <w:r w:rsidRPr="00EE016F">
        <w:rPr>
          <w:rFonts w:ascii="Times New Roman" w:hAnsi="Times New Roman" w:cs="Times New Roman"/>
          <w:sz w:val="24"/>
          <w:szCs w:val="24"/>
        </w:rPr>
        <w:t>.</w:t>
      </w:r>
      <w:r w:rsidRPr="00EE016F">
        <w:rPr>
          <w:rFonts w:ascii="Times New Roman" w:hAnsi="Times New Roman" w:cs="Times New Roman"/>
          <w:sz w:val="24"/>
          <w:szCs w:val="24"/>
        </w:rPr>
        <w:t xml:space="preserve"> </w:t>
      </w:r>
      <w:bookmarkStart w:id="69" w:name="_Toc476059369"/>
      <w:bookmarkStart w:id="70" w:name="_Toc130382275"/>
    </w:p>
    <w:p w:rsidR="00686387" w:rsidRPr="00EE016F" w:rsidP="00F7565A" w14:paraId="4911A512" w14:textId="77777777">
      <w:pPr>
        <w:widowControl/>
        <w:spacing w:line="276" w:lineRule="auto"/>
        <w:rPr>
          <w:rFonts w:ascii="Times New Roman" w:hAnsi="Times New Roman" w:eastAsiaTheme="majorEastAsia"/>
          <w:b/>
          <w:snapToGrid/>
          <w:color w:val="000000" w:themeColor="text1"/>
        </w:rPr>
      </w:pPr>
      <w:r w:rsidRPr="00EE016F">
        <w:rPr>
          <w:rFonts w:ascii="Times New Roman" w:hAnsi="Times New Roman"/>
        </w:rPr>
        <w:br w:type="page"/>
      </w:r>
    </w:p>
    <w:p w:rsidR="00DA3029" w:rsidRPr="00EE016F" w:rsidP="00F7565A" w14:paraId="56F51B7C" w14:textId="04082F77">
      <w:pPr>
        <w:pStyle w:val="H1"/>
        <w:spacing w:line="276" w:lineRule="auto"/>
        <w:rPr>
          <w:sz w:val="24"/>
          <w:szCs w:val="24"/>
        </w:rPr>
      </w:pPr>
      <w:bookmarkStart w:id="71" w:name="_Toc183510776"/>
      <w:r w:rsidRPr="00EE016F">
        <w:rPr>
          <w:sz w:val="24"/>
          <w:szCs w:val="24"/>
        </w:rPr>
        <w:t>References</w:t>
      </w:r>
      <w:bookmarkEnd w:id="69"/>
      <w:bookmarkEnd w:id="70"/>
      <w:bookmarkEnd w:id="71"/>
      <w:r w:rsidRPr="00EE016F">
        <w:rPr>
          <w:sz w:val="24"/>
          <w:szCs w:val="24"/>
        </w:rPr>
        <w:t xml:space="preserve"> </w:t>
      </w:r>
    </w:p>
    <w:p w:rsidR="009E4294" w:rsidRPr="00EE016F" w:rsidP="00F7565A" w14:paraId="7A21972D" w14:textId="77777777">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sz w:val="24"/>
          <w:szCs w:val="24"/>
        </w:rPr>
        <w:t xml:space="preserve">Damschroder, L.J., D.C. Aron, R.E. Keith, S.R. Kirsh, J.A. Alexander, and J.C. Lowery. “Fostering Implementation of Health Services Research Findings into Practice: A Consolidated Framework for Advancing Implementation Science.” </w:t>
      </w:r>
      <w:r w:rsidRPr="00EE016F">
        <w:rPr>
          <w:rFonts w:ascii="Times New Roman" w:hAnsi="Times New Roman" w:cs="Times New Roman"/>
          <w:i/>
          <w:sz w:val="24"/>
          <w:szCs w:val="24"/>
        </w:rPr>
        <w:t>Implementation Science</w:t>
      </w:r>
      <w:r w:rsidRPr="00EE016F">
        <w:rPr>
          <w:rFonts w:ascii="Times New Roman" w:hAnsi="Times New Roman" w:cs="Times New Roman"/>
          <w:sz w:val="24"/>
          <w:szCs w:val="24"/>
        </w:rPr>
        <w:t>, vol. 4, no. 50, 2009.</w:t>
      </w:r>
    </w:p>
    <w:p w:rsidR="00E16D2B" w:rsidRPr="00EE016F" w:rsidP="00F7565A" w14:paraId="7594B44E" w14:textId="19377E01">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color w:val="222222"/>
          <w:sz w:val="24"/>
          <w:szCs w:val="24"/>
          <w:shd w:val="clear" w:color="auto" w:fill="FFFFFF"/>
        </w:rPr>
        <w:t xml:space="preserve">De Heer, W., and E. De Leeuw. “Trends in </w:t>
      </w:r>
      <w:r w:rsidRPr="00EE016F" w:rsidR="00B06DA4">
        <w:rPr>
          <w:rFonts w:ascii="Times New Roman" w:hAnsi="Times New Roman" w:cs="Times New Roman"/>
          <w:color w:val="222222"/>
          <w:sz w:val="24"/>
          <w:szCs w:val="24"/>
          <w:shd w:val="clear" w:color="auto" w:fill="FFFFFF"/>
        </w:rPr>
        <w:t>Household Survey Nonresponse</w:t>
      </w:r>
      <w:r w:rsidRPr="00EE016F">
        <w:rPr>
          <w:rFonts w:ascii="Times New Roman" w:hAnsi="Times New Roman" w:cs="Times New Roman"/>
          <w:color w:val="222222"/>
          <w:sz w:val="24"/>
          <w:szCs w:val="24"/>
          <w:shd w:val="clear" w:color="auto" w:fill="FFFFFF"/>
        </w:rPr>
        <w:t xml:space="preserve">: A </w:t>
      </w:r>
      <w:r w:rsidRPr="00EE016F" w:rsidR="00B06DA4">
        <w:rPr>
          <w:rFonts w:ascii="Times New Roman" w:hAnsi="Times New Roman" w:cs="Times New Roman"/>
          <w:color w:val="222222"/>
          <w:sz w:val="24"/>
          <w:szCs w:val="24"/>
          <w:shd w:val="clear" w:color="auto" w:fill="FFFFFF"/>
        </w:rPr>
        <w:t xml:space="preserve">Longitudinal </w:t>
      </w:r>
      <w:r w:rsidRPr="00EE016F">
        <w:rPr>
          <w:rFonts w:ascii="Times New Roman" w:hAnsi="Times New Roman" w:cs="Times New Roman"/>
          <w:color w:val="222222"/>
          <w:sz w:val="24"/>
          <w:szCs w:val="24"/>
          <w:shd w:val="clear" w:color="auto" w:fill="FFFFFF"/>
        </w:rPr>
        <w:t xml:space="preserve">and </w:t>
      </w:r>
      <w:r w:rsidRPr="00EE016F" w:rsidR="00B06DA4">
        <w:rPr>
          <w:rFonts w:ascii="Times New Roman" w:hAnsi="Times New Roman" w:cs="Times New Roman"/>
          <w:color w:val="222222"/>
          <w:sz w:val="24"/>
          <w:szCs w:val="24"/>
          <w:shd w:val="clear" w:color="auto" w:fill="FFFFFF"/>
        </w:rPr>
        <w:t>International Comparison</w:t>
      </w:r>
      <w:r w:rsidRPr="00EE016F">
        <w:rPr>
          <w:rFonts w:ascii="Times New Roman" w:hAnsi="Times New Roman" w:cs="Times New Roman"/>
          <w:color w:val="222222"/>
          <w:sz w:val="24"/>
          <w:szCs w:val="24"/>
          <w:shd w:val="clear" w:color="auto" w:fill="FFFFFF"/>
        </w:rPr>
        <w:t xml:space="preserve">.” </w:t>
      </w:r>
      <w:r w:rsidRPr="00EE016F">
        <w:rPr>
          <w:rFonts w:ascii="Times New Roman" w:hAnsi="Times New Roman" w:cs="Times New Roman"/>
          <w:i/>
          <w:color w:val="222222"/>
          <w:sz w:val="24"/>
          <w:szCs w:val="24"/>
          <w:shd w:val="clear" w:color="auto" w:fill="FFFFFF"/>
        </w:rPr>
        <w:t xml:space="preserve">Survey </w:t>
      </w:r>
      <w:r w:rsidRPr="00EE016F" w:rsidR="00B06DA4">
        <w:rPr>
          <w:rFonts w:ascii="Times New Roman" w:hAnsi="Times New Roman" w:cs="Times New Roman"/>
          <w:i/>
          <w:color w:val="222222"/>
          <w:sz w:val="24"/>
          <w:szCs w:val="24"/>
          <w:shd w:val="clear" w:color="auto" w:fill="FFFFFF"/>
        </w:rPr>
        <w:t>Nonresponse</w:t>
      </w:r>
      <w:r w:rsidRPr="00EE016F">
        <w:rPr>
          <w:rFonts w:ascii="Times New Roman" w:hAnsi="Times New Roman" w:cs="Times New Roman"/>
          <w:color w:val="222222"/>
          <w:sz w:val="24"/>
          <w:szCs w:val="24"/>
          <w:shd w:val="clear" w:color="auto" w:fill="FFFFFF"/>
        </w:rPr>
        <w:t>, vol. 41, 2002, pp. 41</w:t>
      </w:r>
      <w:r w:rsidRPr="00EE016F" w:rsidR="00B06DA4">
        <w:rPr>
          <w:rFonts w:ascii="Times New Roman" w:hAnsi="Times New Roman" w:cs="Times New Roman"/>
          <w:color w:val="222222"/>
          <w:sz w:val="24"/>
          <w:szCs w:val="24"/>
          <w:shd w:val="clear" w:color="auto" w:fill="FFFFFF"/>
        </w:rPr>
        <w:t>–</w:t>
      </w:r>
      <w:r w:rsidRPr="00EE016F">
        <w:rPr>
          <w:rFonts w:ascii="Times New Roman" w:hAnsi="Times New Roman" w:cs="Times New Roman"/>
          <w:color w:val="222222"/>
          <w:sz w:val="24"/>
          <w:szCs w:val="24"/>
          <w:shd w:val="clear" w:color="auto" w:fill="FFFFFF"/>
        </w:rPr>
        <w:t>54.</w:t>
      </w:r>
    </w:p>
    <w:p w:rsidR="00FC77B6" w:rsidRPr="00EE016F" w:rsidP="00F7565A" w14:paraId="655BB5EA" w14:textId="77777777">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sz w:val="24"/>
          <w:szCs w:val="24"/>
        </w:rPr>
        <w:t>Jäckle</w:t>
      </w:r>
      <w:r w:rsidRPr="00EE016F">
        <w:rPr>
          <w:rFonts w:ascii="Times New Roman" w:hAnsi="Times New Roman" w:cs="Times New Roman"/>
          <w:sz w:val="24"/>
          <w:szCs w:val="24"/>
        </w:rPr>
        <w:t>, Annette, and Peter Lynn. “Respondent Incentives in a Multi-Mode Panel Survey: Cumulative Effects on Nonresponse and Bias.” Colchester, UK: Institute for Social and Economic Research, University of Essex, 2007.</w:t>
      </w:r>
    </w:p>
    <w:p w:rsidR="00F71D36" w:rsidRPr="00EE016F" w:rsidP="00F7565A" w14:paraId="168DF209" w14:textId="77777777">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sz w:val="24"/>
          <w:szCs w:val="24"/>
        </w:rPr>
        <w:t xml:space="preserve">Kay, Ward R. “The Use of Targeted Incentives to Reluctant Respondents on Response Rates and Data Quality.” </w:t>
      </w:r>
      <w:r w:rsidRPr="00EE016F">
        <w:rPr>
          <w:rFonts w:ascii="Times New Roman" w:hAnsi="Times New Roman" w:cs="Times New Roman"/>
          <w:i/>
          <w:sz w:val="24"/>
          <w:szCs w:val="24"/>
        </w:rPr>
        <w:t xml:space="preserve">Proceedings of the American Association for Public Research. </w:t>
      </w:r>
      <w:r w:rsidRPr="00EE016F">
        <w:rPr>
          <w:rFonts w:ascii="Times New Roman" w:hAnsi="Times New Roman" w:cs="Times New Roman"/>
          <w:sz w:val="24"/>
          <w:szCs w:val="24"/>
        </w:rPr>
        <w:t>Montreal, Canada: American Association for Public Opinion Research, 2001.</w:t>
      </w:r>
    </w:p>
    <w:p w:rsidR="000A6FBA" w:rsidRPr="00EE016F" w:rsidP="00F7565A" w14:paraId="2BFD9B6A" w14:textId="0197A27B">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color w:val="222222"/>
          <w:sz w:val="24"/>
          <w:szCs w:val="24"/>
          <w:shd w:val="clear" w:color="auto" w:fill="FFFFFF"/>
        </w:rPr>
        <w:t xml:space="preserve">Mercer, Andrew, et al. “How </w:t>
      </w:r>
      <w:r w:rsidRPr="00EE016F" w:rsidR="00B06DA4">
        <w:rPr>
          <w:rFonts w:ascii="Times New Roman" w:hAnsi="Times New Roman" w:cs="Times New Roman"/>
          <w:color w:val="222222"/>
          <w:sz w:val="24"/>
          <w:szCs w:val="24"/>
          <w:shd w:val="clear" w:color="auto" w:fill="FFFFFF"/>
        </w:rPr>
        <w:t>Much Gets You How Much</w:t>
      </w:r>
      <w:r w:rsidRPr="00EE016F">
        <w:rPr>
          <w:rFonts w:ascii="Times New Roman" w:hAnsi="Times New Roman" w:cs="Times New Roman"/>
          <w:color w:val="222222"/>
          <w:sz w:val="24"/>
          <w:szCs w:val="24"/>
          <w:shd w:val="clear" w:color="auto" w:fill="FFFFFF"/>
        </w:rPr>
        <w:t xml:space="preserve">? Monetary </w:t>
      </w:r>
      <w:r w:rsidRPr="00EE016F" w:rsidR="00B06DA4">
        <w:rPr>
          <w:rFonts w:ascii="Times New Roman" w:hAnsi="Times New Roman" w:cs="Times New Roman"/>
          <w:color w:val="222222"/>
          <w:sz w:val="24"/>
          <w:szCs w:val="24"/>
          <w:shd w:val="clear" w:color="auto" w:fill="FFFFFF"/>
        </w:rPr>
        <w:t xml:space="preserve">Incentives </w:t>
      </w:r>
      <w:r w:rsidRPr="00EE016F">
        <w:rPr>
          <w:rFonts w:ascii="Times New Roman" w:hAnsi="Times New Roman" w:cs="Times New Roman"/>
          <w:color w:val="222222"/>
          <w:sz w:val="24"/>
          <w:szCs w:val="24"/>
          <w:shd w:val="clear" w:color="auto" w:fill="FFFFFF"/>
        </w:rPr>
        <w:t xml:space="preserve">and </w:t>
      </w:r>
      <w:r w:rsidRPr="00EE016F" w:rsidR="00B06DA4">
        <w:rPr>
          <w:rFonts w:ascii="Times New Roman" w:hAnsi="Times New Roman" w:cs="Times New Roman"/>
          <w:color w:val="222222"/>
          <w:sz w:val="24"/>
          <w:szCs w:val="24"/>
          <w:shd w:val="clear" w:color="auto" w:fill="FFFFFF"/>
        </w:rPr>
        <w:t xml:space="preserve">Response Rates </w:t>
      </w:r>
      <w:r w:rsidRPr="00EE016F">
        <w:rPr>
          <w:rFonts w:ascii="Times New Roman" w:hAnsi="Times New Roman" w:cs="Times New Roman"/>
          <w:color w:val="222222"/>
          <w:sz w:val="24"/>
          <w:szCs w:val="24"/>
          <w:shd w:val="clear" w:color="auto" w:fill="FFFFFF"/>
        </w:rPr>
        <w:t xml:space="preserve">in </w:t>
      </w:r>
      <w:r w:rsidRPr="00EE016F" w:rsidR="00B06DA4">
        <w:rPr>
          <w:rFonts w:ascii="Times New Roman" w:hAnsi="Times New Roman" w:cs="Times New Roman"/>
          <w:color w:val="222222"/>
          <w:sz w:val="24"/>
          <w:szCs w:val="24"/>
          <w:shd w:val="clear" w:color="auto" w:fill="FFFFFF"/>
        </w:rPr>
        <w:t>Household Surveys</w:t>
      </w:r>
      <w:r w:rsidRPr="00EE016F">
        <w:rPr>
          <w:rFonts w:ascii="Times New Roman" w:hAnsi="Times New Roman" w:cs="Times New Roman"/>
          <w:color w:val="222222"/>
          <w:sz w:val="24"/>
          <w:szCs w:val="24"/>
          <w:shd w:val="clear" w:color="auto" w:fill="FFFFFF"/>
        </w:rPr>
        <w:t xml:space="preserve">.” </w:t>
      </w:r>
      <w:r w:rsidRPr="00EE016F">
        <w:rPr>
          <w:rFonts w:ascii="Times New Roman" w:hAnsi="Times New Roman" w:cs="Times New Roman"/>
          <w:i/>
          <w:color w:val="222222"/>
          <w:sz w:val="24"/>
          <w:szCs w:val="24"/>
          <w:shd w:val="clear" w:color="auto" w:fill="FFFFFF"/>
        </w:rPr>
        <w:t>Public Opinion Quarterly</w:t>
      </w:r>
      <w:r w:rsidRPr="00EE016F">
        <w:rPr>
          <w:rFonts w:ascii="Times New Roman" w:hAnsi="Times New Roman" w:cs="Times New Roman"/>
          <w:color w:val="222222"/>
          <w:sz w:val="24"/>
          <w:szCs w:val="24"/>
          <w:shd w:val="clear" w:color="auto" w:fill="FFFFFF"/>
        </w:rPr>
        <w:t xml:space="preserve"> vol. 79, no.1, 2015, pp. 105</w:t>
      </w:r>
      <w:r w:rsidRPr="00EE016F" w:rsidR="00B06DA4">
        <w:rPr>
          <w:rFonts w:ascii="Times New Roman" w:hAnsi="Times New Roman" w:cs="Times New Roman"/>
          <w:color w:val="222222"/>
          <w:sz w:val="24"/>
          <w:szCs w:val="24"/>
          <w:shd w:val="clear" w:color="auto" w:fill="FFFFFF"/>
        </w:rPr>
        <w:t>–</w:t>
      </w:r>
      <w:r w:rsidRPr="00EE016F">
        <w:rPr>
          <w:rFonts w:ascii="Times New Roman" w:hAnsi="Times New Roman" w:cs="Times New Roman"/>
          <w:color w:val="222222"/>
          <w:sz w:val="24"/>
          <w:szCs w:val="24"/>
          <w:shd w:val="clear" w:color="auto" w:fill="FFFFFF"/>
        </w:rPr>
        <w:t>129.</w:t>
      </w:r>
      <w:r w:rsidRPr="00EE016F">
        <w:rPr>
          <w:rFonts w:ascii="Times New Roman" w:hAnsi="Times New Roman" w:cs="Times New Roman"/>
          <w:sz w:val="24"/>
          <w:szCs w:val="24"/>
        </w:rPr>
        <w:t xml:space="preserve"> </w:t>
      </w:r>
    </w:p>
    <w:p w:rsidR="00573E60" w:rsidRPr="00EE016F" w:rsidP="00F7565A" w14:paraId="7B619F7A" w14:textId="77777777">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sz w:val="24"/>
          <w:szCs w:val="24"/>
        </w:rPr>
        <w:t xml:space="preserve">Schwartz, Lisa K., Lisbeth Goble, and Edward M. English. “Counterbalancing Topic Interest with Cell Quotas and Incentives: Examining Leverage-Salience Theory in the Context of the Poverty in America Survey.” </w:t>
      </w:r>
      <w:r w:rsidRPr="00EE016F">
        <w:rPr>
          <w:rFonts w:ascii="Times New Roman" w:hAnsi="Times New Roman" w:cs="Times New Roman"/>
          <w:i/>
          <w:sz w:val="24"/>
          <w:szCs w:val="24"/>
        </w:rPr>
        <w:t xml:space="preserve">Proceedings of the American Association for Public Research. </w:t>
      </w:r>
      <w:r w:rsidRPr="00EE016F">
        <w:rPr>
          <w:rFonts w:ascii="Times New Roman" w:hAnsi="Times New Roman" w:cs="Times New Roman"/>
          <w:sz w:val="24"/>
          <w:szCs w:val="24"/>
        </w:rPr>
        <w:t>Montreal, Canada: American Association for Public Opinion Research, 2006.</w:t>
      </w:r>
    </w:p>
    <w:p w:rsidR="00D32053" w:rsidRPr="00EE016F" w:rsidP="00F7565A" w14:paraId="37E7E299" w14:textId="3C6A9A29">
      <w:pPr>
        <w:pStyle w:val="Reference"/>
        <w:spacing w:before="120" w:after="120" w:line="276" w:lineRule="auto"/>
        <w:rPr>
          <w:rFonts w:ascii="Times New Roman" w:hAnsi="Times New Roman" w:cs="Times New Roman"/>
          <w:sz w:val="24"/>
          <w:szCs w:val="24"/>
        </w:rPr>
      </w:pPr>
      <w:r w:rsidRPr="00EE016F">
        <w:rPr>
          <w:rFonts w:ascii="Times New Roman" w:hAnsi="Times New Roman" w:cs="Times New Roman"/>
          <w:color w:val="222222"/>
          <w:sz w:val="24"/>
          <w:szCs w:val="24"/>
          <w:shd w:val="clear" w:color="auto" w:fill="FFFFFF"/>
        </w:rPr>
        <w:t xml:space="preserve">Singer, Eleanor, and Cong Ye. “The </w:t>
      </w:r>
      <w:r w:rsidRPr="00EE016F" w:rsidR="00B06DA4">
        <w:rPr>
          <w:rFonts w:ascii="Times New Roman" w:hAnsi="Times New Roman" w:cs="Times New Roman"/>
          <w:color w:val="222222"/>
          <w:sz w:val="24"/>
          <w:szCs w:val="24"/>
          <w:shd w:val="clear" w:color="auto" w:fill="FFFFFF"/>
        </w:rPr>
        <w:t xml:space="preserve">Use </w:t>
      </w:r>
      <w:r w:rsidRPr="00EE016F">
        <w:rPr>
          <w:rFonts w:ascii="Times New Roman" w:hAnsi="Times New Roman" w:cs="Times New Roman"/>
          <w:color w:val="222222"/>
          <w:sz w:val="24"/>
          <w:szCs w:val="24"/>
          <w:shd w:val="clear" w:color="auto" w:fill="FFFFFF"/>
        </w:rPr>
        <w:t xml:space="preserve">and </w:t>
      </w:r>
      <w:r w:rsidRPr="00EE016F" w:rsidR="00B06DA4">
        <w:rPr>
          <w:rFonts w:ascii="Times New Roman" w:hAnsi="Times New Roman" w:cs="Times New Roman"/>
          <w:color w:val="222222"/>
          <w:sz w:val="24"/>
          <w:szCs w:val="24"/>
          <w:shd w:val="clear" w:color="auto" w:fill="FFFFFF"/>
        </w:rPr>
        <w:t xml:space="preserve">Effects </w:t>
      </w:r>
      <w:r w:rsidRPr="00EE016F">
        <w:rPr>
          <w:rFonts w:ascii="Times New Roman" w:hAnsi="Times New Roman" w:cs="Times New Roman"/>
          <w:color w:val="222222"/>
          <w:sz w:val="24"/>
          <w:szCs w:val="24"/>
          <w:shd w:val="clear" w:color="auto" w:fill="FFFFFF"/>
        </w:rPr>
        <w:t xml:space="preserve">of </w:t>
      </w:r>
      <w:r w:rsidRPr="00EE016F" w:rsidR="00B06DA4">
        <w:rPr>
          <w:rFonts w:ascii="Times New Roman" w:hAnsi="Times New Roman" w:cs="Times New Roman"/>
          <w:color w:val="222222"/>
          <w:sz w:val="24"/>
          <w:szCs w:val="24"/>
          <w:shd w:val="clear" w:color="auto" w:fill="FFFFFF"/>
        </w:rPr>
        <w:t>I</w:t>
      </w:r>
      <w:r w:rsidRPr="00EE016F">
        <w:rPr>
          <w:rFonts w:ascii="Times New Roman" w:hAnsi="Times New Roman" w:cs="Times New Roman"/>
          <w:color w:val="222222"/>
          <w:sz w:val="24"/>
          <w:szCs w:val="24"/>
          <w:shd w:val="clear" w:color="auto" w:fill="FFFFFF"/>
        </w:rPr>
        <w:t xml:space="preserve">ncentives in </w:t>
      </w:r>
      <w:r w:rsidRPr="00EE016F" w:rsidR="00B06DA4">
        <w:rPr>
          <w:rFonts w:ascii="Times New Roman" w:hAnsi="Times New Roman" w:cs="Times New Roman"/>
          <w:color w:val="222222"/>
          <w:sz w:val="24"/>
          <w:szCs w:val="24"/>
          <w:shd w:val="clear" w:color="auto" w:fill="FFFFFF"/>
        </w:rPr>
        <w:t>Surveys</w:t>
      </w:r>
      <w:r w:rsidRPr="00EE016F">
        <w:rPr>
          <w:rFonts w:ascii="Times New Roman" w:hAnsi="Times New Roman" w:cs="Times New Roman"/>
          <w:color w:val="222222"/>
          <w:sz w:val="24"/>
          <w:szCs w:val="24"/>
          <w:shd w:val="clear" w:color="auto" w:fill="FFFFFF"/>
        </w:rPr>
        <w:t xml:space="preserve">.” </w:t>
      </w:r>
      <w:r w:rsidRPr="00EE016F">
        <w:rPr>
          <w:rFonts w:ascii="Times New Roman" w:hAnsi="Times New Roman" w:cs="Times New Roman"/>
          <w:i/>
          <w:color w:val="222222"/>
          <w:sz w:val="24"/>
          <w:szCs w:val="24"/>
          <w:shd w:val="clear" w:color="auto" w:fill="FFFFFF"/>
        </w:rPr>
        <w:t xml:space="preserve">The </w:t>
      </w:r>
      <w:r w:rsidRPr="00EE016F" w:rsidR="00B06DA4">
        <w:rPr>
          <w:rFonts w:ascii="Times New Roman" w:hAnsi="Times New Roman" w:cs="Times New Roman"/>
          <w:i/>
          <w:color w:val="222222"/>
          <w:sz w:val="24"/>
          <w:szCs w:val="24"/>
          <w:shd w:val="clear" w:color="auto" w:fill="FFFFFF"/>
        </w:rPr>
        <w:t xml:space="preserve">Annals </w:t>
      </w:r>
      <w:r w:rsidRPr="00EE016F">
        <w:rPr>
          <w:rFonts w:ascii="Times New Roman" w:hAnsi="Times New Roman" w:cs="Times New Roman"/>
          <w:i/>
          <w:color w:val="222222"/>
          <w:sz w:val="24"/>
          <w:szCs w:val="24"/>
          <w:shd w:val="clear" w:color="auto" w:fill="FFFFFF"/>
        </w:rPr>
        <w:t>of the American Academy of Political and Social Science</w:t>
      </w:r>
      <w:r w:rsidRPr="00EE016F">
        <w:rPr>
          <w:rFonts w:ascii="Times New Roman" w:hAnsi="Times New Roman" w:cs="Times New Roman"/>
          <w:color w:val="222222"/>
          <w:sz w:val="24"/>
          <w:szCs w:val="24"/>
          <w:shd w:val="clear" w:color="auto" w:fill="FFFFFF"/>
        </w:rPr>
        <w:t>, vol. 645, no. 1, 2013, pp. 112</w:t>
      </w:r>
      <w:r w:rsidRPr="00EE016F" w:rsidR="00B06DA4">
        <w:rPr>
          <w:rFonts w:ascii="Times New Roman" w:hAnsi="Times New Roman" w:cs="Times New Roman"/>
          <w:color w:val="222222"/>
          <w:sz w:val="24"/>
          <w:szCs w:val="24"/>
          <w:shd w:val="clear" w:color="auto" w:fill="FFFFFF"/>
        </w:rPr>
        <w:t>–</w:t>
      </w:r>
      <w:r w:rsidRPr="00EE016F">
        <w:rPr>
          <w:rFonts w:ascii="Times New Roman" w:hAnsi="Times New Roman" w:cs="Times New Roman"/>
          <w:color w:val="222222"/>
          <w:sz w:val="24"/>
          <w:szCs w:val="24"/>
          <w:shd w:val="clear" w:color="auto" w:fill="FFFFFF"/>
        </w:rPr>
        <w:t>141.</w:t>
      </w:r>
    </w:p>
    <w:p w:rsidR="004352C7" w:rsidRPr="00F7565A" w:rsidP="00F7565A" w14:paraId="3E927AAC" w14:textId="722F9539">
      <w:pPr>
        <w:pStyle w:val="Reference"/>
        <w:spacing w:before="120" w:after="120" w:line="276" w:lineRule="auto"/>
        <w:rPr>
          <w:rFonts w:ascii="Times New Roman" w:hAnsi="Times New Roman" w:cs="Times New Roman"/>
          <w:color w:val="222222"/>
          <w:sz w:val="24"/>
          <w:szCs w:val="24"/>
          <w:shd w:val="clear" w:color="auto" w:fill="FFFFFF"/>
        </w:rPr>
      </w:pPr>
      <w:r w:rsidRPr="00EE016F">
        <w:rPr>
          <w:rFonts w:ascii="Times New Roman" w:hAnsi="Times New Roman" w:cs="Times New Roman"/>
          <w:color w:val="222222"/>
          <w:sz w:val="24"/>
          <w:szCs w:val="24"/>
          <w:shd w:val="clear" w:color="auto" w:fill="FFFFFF"/>
        </w:rPr>
        <w:t xml:space="preserve">Singer, Eleanor, and Richard A. Kulka. “Paying Respondents for Survey Participation.” Ann Arbor, MI: The University of Michigan, Institute for Social Research, Survey Research </w:t>
      </w:r>
      <w:r w:rsidRPr="00F7565A">
        <w:rPr>
          <w:rFonts w:ascii="Times New Roman" w:hAnsi="Times New Roman" w:cs="Times New Roman"/>
          <w:color w:val="222222"/>
          <w:sz w:val="24"/>
          <w:szCs w:val="24"/>
          <w:shd w:val="clear" w:color="auto" w:fill="FFFFFF"/>
        </w:rPr>
        <w:t>Center, 2000.</w:t>
      </w:r>
    </w:p>
    <w:p w:rsidR="0060248B" w:rsidRPr="00EE016F" w:rsidP="0050280E" w14:paraId="2B583059" w14:textId="30DC63C1">
      <w:pPr>
        <w:pStyle w:val="Reference"/>
        <w:spacing w:before="120" w:after="120" w:line="276" w:lineRule="auto"/>
        <w:rPr>
          <w:rFonts w:ascii="Times New Roman" w:hAnsi="Times New Roman" w:cs="Times New Roman"/>
          <w:color w:val="222222"/>
          <w:sz w:val="24"/>
          <w:szCs w:val="24"/>
          <w:shd w:val="clear" w:color="auto" w:fill="FFFFFF"/>
        </w:rPr>
      </w:pPr>
      <w:r w:rsidRPr="00F7565A">
        <w:rPr>
          <w:rFonts w:ascii="Times New Roman" w:hAnsi="Times New Roman" w:cs="Times New Roman"/>
          <w:color w:val="222222"/>
          <w:sz w:val="24"/>
          <w:szCs w:val="24"/>
          <w:shd w:val="clear" w:color="auto" w:fill="FFFFFF"/>
        </w:rPr>
        <w:t>Ticket to Work and Work Incentives Improvement Act</w:t>
      </w:r>
      <w:r w:rsidRPr="00F7565A" w:rsidR="00BB101B">
        <w:rPr>
          <w:rFonts w:ascii="Times New Roman" w:hAnsi="Times New Roman" w:cs="Times New Roman"/>
          <w:color w:val="222222"/>
          <w:sz w:val="24"/>
          <w:szCs w:val="24"/>
          <w:shd w:val="clear" w:color="auto" w:fill="FFFFFF"/>
        </w:rPr>
        <w:t xml:space="preserve"> of 1999. Pub. L. No. </w:t>
      </w:r>
      <w:r w:rsidRPr="00F7565A" w:rsidR="00E32F85">
        <w:rPr>
          <w:rFonts w:ascii="Times New Roman" w:hAnsi="Times New Roman" w:cs="Times New Roman"/>
          <w:color w:val="222222"/>
          <w:sz w:val="24"/>
          <w:szCs w:val="24"/>
          <w:shd w:val="clear" w:color="auto" w:fill="FFFFFF"/>
        </w:rPr>
        <w:t xml:space="preserve">106-170, </w:t>
      </w:r>
      <w:r w:rsidRPr="00F7565A" w:rsidR="00E96E7C">
        <w:rPr>
          <w:rFonts w:ascii="Times New Roman" w:hAnsi="Times New Roman" w:cs="Times New Roman"/>
          <w:color w:val="222222"/>
          <w:sz w:val="24"/>
          <w:szCs w:val="24"/>
          <w:shd w:val="clear" w:color="auto" w:fill="FFFFFF"/>
        </w:rPr>
        <w:t>113</w:t>
      </w:r>
      <w:r w:rsidRPr="00F7565A" w:rsidR="00FC0028">
        <w:rPr>
          <w:rFonts w:ascii="Times New Roman" w:hAnsi="Times New Roman" w:cs="Times New Roman"/>
          <w:color w:val="222222"/>
          <w:sz w:val="24"/>
          <w:szCs w:val="24"/>
          <w:shd w:val="clear" w:color="auto" w:fill="FFFFFF"/>
        </w:rPr>
        <w:t xml:space="preserve"> Stat. </w:t>
      </w:r>
      <w:r w:rsidRPr="00F7565A" w:rsidR="00E96E7C">
        <w:rPr>
          <w:rFonts w:ascii="Times New Roman" w:hAnsi="Times New Roman" w:cs="Times New Roman"/>
          <w:color w:val="222222"/>
          <w:sz w:val="24"/>
          <w:szCs w:val="24"/>
          <w:shd w:val="clear" w:color="auto" w:fill="FFFFFF"/>
        </w:rPr>
        <w:t>1860</w:t>
      </w:r>
      <w:r w:rsidRPr="00F7565A" w:rsidR="00FC0028">
        <w:rPr>
          <w:rFonts w:ascii="Times New Roman" w:hAnsi="Times New Roman" w:cs="Times New Roman"/>
          <w:color w:val="222222"/>
          <w:sz w:val="24"/>
          <w:szCs w:val="24"/>
          <w:shd w:val="clear" w:color="auto" w:fill="FFFFFF"/>
        </w:rPr>
        <w:t>. 1999.</w:t>
      </w:r>
      <w:r w:rsidR="00FC0028">
        <w:rPr>
          <w:rFonts w:ascii="Times New Roman" w:hAnsi="Times New Roman" w:cs="Times New Roman"/>
          <w:color w:val="222222"/>
          <w:sz w:val="24"/>
          <w:szCs w:val="24"/>
          <w:shd w:val="clear" w:color="auto" w:fill="FFFFFF"/>
        </w:rPr>
        <w:t xml:space="preserve"> </w:t>
      </w:r>
    </w:p>
    <w:p w:rsidR="00D9553E" w:rsidRPr="00EE016F" w:rsidP="009A4E61" w14:paraId="38A3451D" w14:textId="77777777">
      <w:pPr>
        <w:widowControl/>
        <w:spacing w:line="276" w:lineRule="auto"/>
        <w:rPr>
          <w:rFonts w:ascii="Times New Roman" w:hAnsi="Times New Roman"/>
          <w:b/>
          <w:bCs/>
          <w:snapToGrid/>
        </w:rPr>
      </w:pPr>
      <w:r w:rsidRPr="00EE016F">
        <w:rPr>
          <w:rFonts w:ascii="Times New Roman" w:hAnsi="Times New Roman"/>
          <w:b/>
          <w:bCs/>
          <w:snapToGrid/>
        </w:rPr>
        <w:br w:type="page"/>
      </w:r>
    </w:p>
    <w:p w:rsidR="004352C7" w:rsidRPr="00EE016F" w:rsidP="009A4E61" w14:paraId="63E9D8D0" w14:textId="6DC4F977">
      <w:pPr>
        <w:keepLines/>
        <w:widowControl/>
        <w:spacing w:before="120" w:after="120" w:line="276" w:lineRule="auto"/>
        <w:rPr>
          <w:rFonts w:ascii="Times New Roman" w:hAnsi="Times New Roman"/>
          <w:b/>
          <w:bCs/>
          <w:snapToGrid/>
        </w:rPr>
      </w:pPr>
      <w:r w:rsidRPr="00EE016F">
        <w:rPr>
          <w:rFonts w:ascii="Times New Roman" w:hAnsi="Times New Roman"/>
          <w:b/>
          <w:bCs/>
          <w:snapToGrid/>
        </w:rPr>
        <w:t>List of Attachments</w:t>
      </w:r>
    </w:p>
    <w:p w:rsidR="00CF0920" w:rsidP="009A4E61" w14:paraId="69344C66" w14:textId="020F5540">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sidR="000E09A5">
        <w:rPr>
          <w:rFonts w:ascii="Times New Roman" w:hAnsi="Times New Roman"/>
          <w:b/>
          <w:bCs/>
          <w:snapToGrid/>
        </w:rPr>
        <w:t>1a</w:t>
      </w:r>
      <w:r w:rsidRPr="00EE016F">
        <w:rPr>
          <w:rFonts w:ascii="Times New Roman" w:hAnsi="Times New Roman"/>
          <w:b/>
          <w:bCs/>
          <w:snapToGrid/>
        </w:rPr>
        <w:t>:</w:t>
      </w:r>
      <w:r w:rsidRPr="00EE016F">
        <w:rPr>
          <w:rFonts w:ascii="Times New Roman" w:hAnsi="Times New Roman"/>
          <w:snapToGrid/>
        </w:rPr>
        <w:t xml:space="preserve"> </w:t>
      </w:r>
      <w:r w:rsidR="000E09A5">
        <w:rPr>
          <w:rFonts w:ascii="Times New Roman" w:hAnsi="Times New Roman"/>
          <w:snapToGrid/>
        </w:rPr>
        <w:t xml:space="preserve">EN-VR </w:t>
      </w:r>
      <w:r w:rsidRPr="00EE016F" w:rsidR="00A55BC5">
        <w:rPr>
          <w:rFonts w:ascii="Times New Roman" w:hAnsi="Times New Roman"/>
          <w:snapToGrid/>
        </w:rPr>
        <w:t xml:space="preserve">Provider </w:t>
      </w:r>
      <w:r w:rsidR="000E09A5">
        <w:rPr>
          <w:rFonts w:ascii="Times New Roman" w:hAnsi="Times New Roman"/>
          <w:snapToGrid/>
        </w:rPr>
        <w:t>Invitation Letter Packet</w:t>
      </w:r>
    </w:p>
    <w:p w:rsidR="000E09A5" w:rsidP="009A4E61" w14:paraId="5C4D8E3E" w14:textId="3AE19797">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1b</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EN-VR </w:t>
      </w:r>
      <w:r w:rsidRPr="00EE016F">
        <w:rPr>
          <w:rFonts w:ascii="Times New Roman" w:hAnsi="Times New Roman"/>
          <w:snapToGrid/>
        </w:rPr>
        <w:t xml:space="preserve">Provider </w:t>
      </w:r>
      <w:r>
        <w:rPr>
          <w:rFonts w:ascii="Times New Roman" w:hAnsi="Times New Roman"/>
          <w:snapToGrid/>
        </w:rPr>
        <w:t>Survey Invitation Email</w:t>
      </w:r>
      <w:r w:rsidR="0085135A">
        <w:rPr>
          <w:rFonts w:ascii="Times New Roman" w:hAnsi="Times New Roman"/>
          <w:snapToGrid/>
        </w:rPr>
        <w:t xml:space="preserve"> (Week 1.5)</w:t>
      </w:r>
    </w:p>
    <w:p w:rsidR="000E09A5" w:rsidP="009A4E61" w14:paraId="1C8B671C" w14:textId="6409F776">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1c</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EN-VR </w:t>
      </w:r>
      <w:r w:rsidRPr="00EE016F">
        <w:rPr>
          <w:rFonts w:ascii="Times New Roman" w:hAnsi="Times New Roman"/>
          <w:snapToGrid/>
        </w:rPr>
        <w:t xml:space="preserve">Provider </w:t>
      </w:r>
      <w:r>
        <w:rPr>
          <w:rFonts w:ascii="Times New Roman" w:hAnsi="Times New Roman"/>
          <w:snapToGrid/>
        </w:rPr>
        <w:t>Survey Reminder Email</w:t>
      </w:r>
      <w:r w:rsidR="007957CD">
        <w:rPr>
          <w:rFonts w:ascii="Times New Roman" w:hAnsi="Times New Roman"/>
          <w:snapToGrid/>
        </w:rPr>
        <w:t xml:space="preserve"> (Week 3)</w:t>
      </w:r>
    </w:p>
    <w:p w:rsidR="00D33288" w:rsidP="009A4E61" w14:paraId="520B4987" w14:textId="5F94F9A8">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1d</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EN-VR </w:t>
      </w:r>
      <w:r w:rsidRPr="00EE016F">
        <w:rPr>
          <w:rFonts w:ascii="Times New Roman" w:hAnsi="Times New Roman"/>
          <w:snapToGrid/>
        </w:rPr>
        <w:t xml:space="preserve">Provider </w:t>
      </w:r>
      <w:r>
        <w:rPr>
          <w:rFonts w:ascii="Times New Roman" w:hAnsi="Times New Roman"/>
          <w:snapToGrid/>
        </w:rPr>
        <w:t>Survey Reminder Email</w:t>
      </w:r>
      <w:r w:rsidR="00AF063B">
        <w:rPr>
          <w:rFonts w:ascii="Times New Roman" w:hAnsi="Times New Roman"/>
          <w:snapToGrid/>
        </w:rPr>
        <w:t xml:space="preserve"> (Week 4.5)</w:t>
      </w:r>
    </w:p>
    <w:p w:rsidR="00D33288" w:rsidP="009A4E61" w14:paraId="3787512C" w14:textId="515D48BE">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1e</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EN-VR </w:t>
      </w:r>
      <w:r w:rsidRPr="00EE016F">
        <w:rPr>
          <w:rFonts w:ascii="Times New Roman" w:hAnsi="Times New Roman"/>
          <w:snapToGrid/>
        </w:rPr>
        <w:t xml:space="preserve">Provider </w:t>
      </w:r>
      <w:r>
        <w:rPr>
          <w:rFonts w:ascii="Times New Roman" w:hAnsi="Times New Roman"/>
          <w:snapToGrid/>
        </w:rPr>
        <w:t>Survey Reminder Email</w:t>
      </w:r>
      <w:r w:rsidR="00724107">
        <w:rPr>
          <w:rFonts w:ascii="Times New Roman" w:hAnsi="Times New Roman"/>
          <w:snapToGrid/>
        </w:rPr>
        <w:t xml:space="preserve"> (Week 6)</w:t>
      </w:r>
    </w:p>
    <w:p w:rsidR="00D33288" w:rsidP="009A4E61" w14:paraId="38F2DBAA" w14:textId="141D9788">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1f</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EN-VR </w:t>
      </w:r>
      <w:r w:rsidRPr="00EE016F">
        <w:rPr>
          <w:rFonts w:ascii="Times New Roman" w:hAnsi="Times New Roman"/>
          <w:snapToGrid/>
        </w:rPr>
        <w:t xml:space="preserve">Provider </w:t>
      </w:r>
      <w:r>
        <w:rPr>
          <w:rFonts w:ascii="Times New Roman" w:hAnsi="Times New Roman"/>
          <w:snapToGrid/>
        </w:rPr>
        <w:t>Survey Reminder Email</w:t>
      </w:r>
      <w:r w:rsidR="00B03028">
        <w:rPr>
          <w:rFonts w:ascii="Times New Roman" w:hAnsi="Times New Roman"/>
          <w:snapToGrid/>
        </w:rPr>
        <w:t xml:space="preserve"> (Week 7.5)</w:t>
      </w:r>
    </w:p>
    <w:p w:rsidR="00D33288" w:rsidP="009A4E61" w14:paraId="0CD2DE06" w14:textId="656CAAAA">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1g</w:t>
      </w:r>
      <w:r w:rsidRPr="00EE016F">
        <w:rPr>
          <w:rFonts w:ascii="Times New Roman" w:hAnsi="Times New Roman"/>
          <w:b/>
          <w:bCs/>
          <w:snapToGrid/>
        </w:rPr>
        <w:t>:</w:t>
      </w:r>
      <w:r w:rsidRPr="00EE016F">
        <w:rPr>
          <w:rFonts w:ascii="Times New Roman" w:hAnsi="Times New Roman"/>
          <w:snapToGrid/>
        </w:rPr>
        <w:t xml:space="preserve"> </w:t>
      </w:r>
      <w:r w:rsidR="00EE0B78">
        <w:rPr>
          <w:rFonts w:ascii="Times New Roman" w:hAnsi="Times New Roman"/>
          <w:snapToGrid/>
        </w:rPr>
        <w:t>EN-VR</w:t>
      </w:r>
      <w:r>
        <w:rPr>
          <w:rFonts w:ascii="Times New Roman" w:hAnsi="Times New Roman"/>
          <w:snapToGrid/>
        </w:rPr>
        <w:t xml:space="preserve"> </w:t>
      </w:r>
      <w:r w:rsidRPr="00EE016F">
        <w:rPr>
          <w:rFonts w:ascii="Times New Roman" w:hAnsi="Times New Roman"/>
          <w:snapToGrid/>
        </w:rPr>
        <w:t xml:space="preserve">Provider </w:t>
      </w:r>
      <w:r>
        <w:rPr>
          <w:rFonts w:ascii="Times New Roman" w:hAnsi="Times New Roman"/>
          <w:snapToGrid/>
        </w:rPr>
        <w:t>Survey Instrument</w:t>
      </w:r>
    </w:p>
    <w:p w:rsidR="00EE0B78" w:rsidP="009A4E61" w14:paraId="2669C06C" w14:textId="71518E48">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2a</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Invitation Letter Packet</w:t>
      </w:r>
    </w:p>
    <w:p w:rsidR="00EE0B78" w:rsidP="009A4E61" w14:paraId="4207AF39" w14:textId="44437B66">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2b</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Survey Invitation Email</w:t>
      </w:r>
      <w:r w:rsidR="00906255">
        <w:rPr>
          <w:rFonts w:ascii="Times New Roman" w:hAnsi="Times New Roman"/>
          <w:snapToGrid/>
        </w:rPr>
        <w:t xml:space="preserve"> (Week 1.5)</w:t>
      </w:r>
    </w:p>
    <w:p w:rsidR="00EE0B78" w:rsidP="009A4E61" w14:paraId="3BD9FC31" w14:textId="3DEF8032">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2c</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Survey Reminder Email (Week 3)</w:t>
      </w:r>
    </w:p>
    <w:p w:rsidR="00EE0B78" w:rsidP="009A4E61" w14:paraId="34ACBF84" w14:textId="40386907">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2d</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Survey Reminder Email (Week 4.5)</w:t>
      </w:r>
    </w:p>
    <w:p w:rsidR="00EE0B78" w:rsidP="009A4E61" w14:paraId="623BEB04" w14:textId="70C21A97">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2e</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Survey Reminder Email (Week 6)</w:t>
      </w:r>
    </w:p>
    <w:p w:rsidR="00EE0B78" w:rsidP="009A4E61" w14:paraId="2FB3DDE8" w14:textId="2031D854">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2f</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Survey Reminder Email (Week 7.5)</w:t>
      </w:r>
    </w:p>
    <w:p w:rsidR="00EE0B78" w:rsidP="009A4E61" w14:paraId="2254E4E0" w14:textId="42E0955A">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2g</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WIPA </w:t>
      </w:r>
      <w:r w:rsidRPr="00EE016F">
        <w:rPr>
          <w:rFonts w:ascii="Times New Roman" w:hAnsi="Times New Roman"/>
          <w:snapToGrid/>
        </w:rPr>
        <w:t xml:space="preserve">Provider </w:t>
      </w:r>
      <w:r>
        <w:rPr>
          <w:rFonts w:ascii="Times New Roman" w:hAnsi="Times New Roman"/>
          <w:snapToGrid/>
        </w:rPr>
        <w:t>Survey Instrument</w:t>
      </w:r>
    </w:p>
    <w:p w:rsidR="00EE0B78" w:rsidP="009A4E61" w14:paraId="60E8CF8A" w14:textId="1AA9ACDF">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3a</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Invitation Letter Packet</w:t>
      </w:r>
    </w:p>
    <w:p w:rsidR="00EE0B78" w:rsidP="009A4E61" w14:paraId="5E6ED499" w14:textId="345EA404">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3b</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Survey Invitation Email</w:t>
      </w:r>
      <w:r w:rsidR="00906255">
        <w:rPr>
          <w:rFonts w:ascii="Times New Roman" w:hAnsi="Times New Roman"/>
          <w:snapToGrid/>
        </w:rPr>
        <w:t xml:space="preserve"> (Week 1.5)</w:t>
      </w:r>
    </w:p>
    <w:p w:rsidR="00EE0B78" w:rsidP="009A4E61" w14:paraId="5CDEC7E6" w14:textId="5942B1E1">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3c</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Survey Reminder Email (Week 3)</w:t>
      </w:r>
    </w:p>
    <w:p w:rsidR="00EE0B78" w:rsidP="009A4E61" w14:paraId="69A7A5FB" w14:textId="0F8609D7">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3d</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Survey Reminder Email (Week 4.5)</w:t>
      </w:r>
    </w:p>
    <w:p w:rsidR="00EE0B78" w:rsidP="009A4E61" w14:paraId="5F978FCF" w14:textId="68B6C1C3">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3e</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Survey Reminder Email (Week 6)</w:t>
      </w:r>
    </w:p>
    <w:p w:rsidR="00EE0B78" w:rsidP="009A4E61" w14:paraId="5474DB2E" w14:textId="4A17D6B3">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3f</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Survey Reminder Email (Week 7.5)</w:t>
      </w:r>
    </w:p>
    <w:p w:rsidR="000E09A5" w:rsidRPr="00EE016F" w:rsidP="009A4E61" w14:paraId="3650F58F" w14:textId="1FECCCA8">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A</w:t>
      </w:r>
      <w:r>
        <w:rPr>
          <w:rFonts w:ascii="Times New Roman" w:hAnsi="Times New Roman"/>
          <w:b/>
          <w:bCs/>
          <w:snapToGrid/>
        </w:rPr>
        <w:t>3g</w:t>
      </w:r>
      <w:r w:rsidRPr="00EE016F">
        <w:rPr>
          <w:rFonts w:ascii="Times New Roman" w:hAnsi="Times New Roman"/>
          <w:b/>
          <w:bCs/>
          <w:snapToGrid/>
        </w:rPr>
        <w:t>:</w:t>
      </w:r>
      <w:r w:rsidRPr="00EE016F">
        <w:rPr>
          <w:rFonts w:ascii="Times New Roman" w:hAnsi="Times New Roman"/>
          <w:snapToGrid/>
        </w:rPr>
        <w:t xml:space="preserve"> </w:t>
      </w:r>
      <w:r>
        <w:rPr>
          <w:rFonts w:ascii="Times New Roman" w:hAnsi="Times New Roman"/>
          <w:snapToGrid/>
        </w:rPr>
        <w:t xml:space="preserve">PABSS </w:t>
      </w:r>
      <w:r w:rsidRPr="00EE016F">
        <w:rPr>
          <w:rFonts w:ascii="Times New Roman" w:hAnsi="Times New Roman"/>
          <w:snapToGrid/>
        </w:rPr>
        <w:t xml:space="preserve">Provider </w:t>
      </w:r>
      <w:r>
        <w:rPr>
          <w:rFonts w:ascii="Times New Roman" w:hAnsi="Times New Roman"/>
          <w:snapToGrid/>
        </w:rPr>
        <w:t>Survey Instrument</w:t>
      </w:r>
    </w:p>
    <w:p w:rsidR="0012516D" w:rsidP="009A4E61" w14:paraId="2771CDE6" w14:textId="131A13E2">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 xml:space="preserve">Attachment </w:t>
      </w:r>
      <w:r w:rsidRPr="00EE016F" w:rsidR="0076181D">
        <w:rPr>
          <w:rFonts w:ascii="Times New Roman" w:hAnsi="Times New Roman"/>
          <w:b/>
          <w:bCs/>
          <w:snapToGrid/>
        </w:rPr>
        <w:t>B</w:t>
      </w:r>
      <w:r w:rsidR="004D7FE8">
        <w:rPr>
          <w:rFonts w:ascii="Times New Roman" w:hAnsi="Times New Roman"/>
          <w:b/>
          <w:bCs/>
          <w:snapToGrid/>
        </w:rPr>
        <w:t>1</w:t>
      </w:r>
      <w:r w:rsidR="0076181D">
        <w:rPr>
          <w:rFonts w:ascii="Times New Roman" w:hAnsi="Times New Roman"/>
          <w:b/>
          <w:bCs/>
          <w:snapToGrid/>
        </w:rPr>
        <w:t>a</w:t>
      </w:r>
      <w:r w:rsidRPr="00EE016F" w:rsidR="0076181D">
        <w:rPr>
          <w:rFonts w:ascii="Times New Roman" w:hAnsi="Times New Roman"/>
          <w:b/>
          <w:bCs/>
          <w:snapToGrid/>
        </w:rPr>
        <w:t>:</w:t>
      </w:r>
      <w:r w:rsidRPr="009628C3" w:rsidR="0076181D">
        <w:rPr>
          <w:rFonts w:ascii="Times New Roman" w:hAnsi="Times New Roman"/>
          <w:snapToGrid/>
        </w:rPr>
        <w:t xml:space="preserve"> </w:t>
      </w:r>
      <w:r w:rsidR="00654F8A">
        <w:rPr>
          <w:rFonts w:ascii="Times New Roman" w:hAnsi="Times New Roman"/>
          <w:snapToGrid/>
        </w:rPr>
        <w:t xml:space="preserve">Qualitative </w:t>
      </w:r>
      <w:r w:rsidRPr="009628C3" w:rsidR="00546721">
        <w:rPr>
          <w:rFonts w:ascii="Times New Roman" w:hAnsi="Times New Roman"/>
          <w:snapToGrid/>
        </w:rPr>
        <w:t>Outreach to Ticketholders – Program Participants</w:t>
      </w:r>
    </w:p>
    <w:p w:rsidR="006910BF" w:rsidRPr="00EE016F" w:rsidP="009A4E61" w14:paraId="3BC243A1" w14:textId="6A798889">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B</w:t>
      </w:r>
      <w:r w:rsidR="004D7FE8">
        <w:rPr>
          <w:rFonts w:ascii="Times New Roman" w:hAnsi="Times New Roman"/>
          <w:b/>
          <w:bCs/>
          <w:snapToGrid/>
        </w:rPr>
        <w:t>1</w:t>
      </w:r>
      <w:r>
        <w:rPr>
          <w:rFonts w:ascii="Times New Roman" w:hAnsi="Times New Roman"/>
          <w:b/>
          <w:bCs/>
          <w:snapToGrid/>
        </w:rPr>
        <w:t>b</w:t>
      </w:r>
      <w:r w:rsidRPr="00EE016F">
        <w:rPr>
          <w:rFonts w:ascii="Times New Roman" w:hAnsi="Times New Roman"/>
          <w:b/>
          <w:bCs/>
          <w:snapToGrid/>
        </w:rPr>
        <w:t>:</w:t>
      </w:r>
      <w:r w:rsidRPr="00106B21">
        <w:rPr>
          <w:rFonts w:ascii="Times New Roman" w:hAnsi="Times New Roman"/>
          <w:snapToGrid/>
        </w:rPr>
        <w:t xml:space="preserve"> </w:t>
      </w:r>
      <w:r w:rsidR="00654F8A">
        <w:rPr>
          <w:rFonts w:ascii="Times New Roman" w:hAnsi="Times New Roman"/>
          <w:snapToGrid/>
        </w:rPr>
        <w:t xml:space="preserve">Qualitative </w:t>
      </w:r>
      <w:r w:rsidRPr="00106B21">
        <w:rPr>
          <w:rFonts w:ascii="Times New Roman" w:hAnsi="Times New Roman"/>
          <w:snapToGrid/>
        </w:rPr>
        <w:t xml:space="preserve">Outreach to Ticketholders – Program </w:t>
      </w:r>
      <w:r>
        <w:rPr>
          <w:rFonts w:ascii="Times New Roman" w:hAnsi="Times New Roman"/>
          <w:snapToGrid/>
        </w:rPr>
        <w:t>Non-</w:t>
      </w:r>
      <w:r w:rsidR="00AD3764">
        <w:rPr>
          <w:rFonts w:ascii="Times New Roman" w:hAnsi="Times New Roman"/>
          <w:snapToGrid/>
        </w:rPr>
        <w:t>P</w:t>
      </w:r>
      <w:r w:rsidRPr="00106B21">
        <w:rPr>
          <w:rFonts w:ascii="Times New Roman" w:hAnsi="Times New Roman"/>
          <w:snapToGrid/>
        </w:rPr>
        <w:t>articipants</w:t>
      </w:r>
    </w:p>
    <w:p w:rsidR="00A45D82" w:rsidRPr="00D035FC" w:rsidP="00D035FC" w14:paraId="2B553806" w14:textId="080CFF5A">
      <w:pPr>
        <w:widowControl/>
        <w:tabs>
          <w:tab w:val="num" w:pos="360"/>
        </w:tabs>
        <w:spacing w:before="120" w:after="120" w:line="276" w:lineRule="auto"/>
        <w:ind w:left="360" w:hanging="360"/>
        <w:rPr>
          <w:rFonts w:ascii="Times New Roman" w:hAnsi="Times New Roman"/>
          <w:snapToGrid/>
        </w:rPr>
      </w:pPr>
      <w:r w:rsidRPr="00EE016F">
        <w:rPr>
          <w:rFonts w:ascii="Times New Roman" w:hAnsi="Times New Roman"/>
          <w:b/>
          <w:bCs/>
          <w:snapToGrid/>
        </w:rPr>
        <w:t>Attachment B</w:t>
      </w:r>
      <w:r w:rsidR="004D7FE8">
        <w:rPr>
          <w:rFonts w:ascii="Times New Roman" w:hAnsi="Times New Roman"/>
          <w:b/>
          <w:bCs/>
          <w:snapToGrid/>
        </w:rPr>
        <w:t>2</w:t>
      </w:r>
      <w:r w:rsidRPr="00EE016F">
        <w:rPr>
          <w:rFonts w:ascii="Times New Roman" w:hAnsi="Times New Roman"/>
          <w:b/>
          <w:bCs/>
          <w:snapToGrid/>
        </w:rPr>
        <w:t>:</w:t>
      </w:r>
      <w:r w:rsidRPr="009628C3" w:rsidR="00B43498">
        <w:rPr>
          <w:rFonts w:ascii="Times New Roman" w:hAnsi="Times New Roman"/>
          <w:snapToGrid/>
        </w:rPr>
        <w:t xml:space="preserve"> Qualitative </w:t>
      </w:r>
      <w:r w:rsidR="006E1AEE">
        <w:rPr>
          <w:rFonts w:ascii="Times New Roman" w:hAnsi="Times New Roman"/>
          <w:snapToGrid/>
        </w:rPr>
        <w:t>I</w:t>
      </w:r>
      <w:r w:rsidRPr="009628C3" w:rsidR="00B43498">
        <w:rPr>
          <w:rFonts w:ascii="Times New Roman" w:hAnsi="Times New Roman"/>
          <w:snapToGrid/>
        </w:rPr>
        <w:t xml:space="preserve">nterview </w:t>
      </w:r>
      <w:r w:rsidR="006E1AEE">
        <w:rPr>
          <w:rFonts w:ascii="Times New Roman" w:hAnsi="Times New Roman"/>
          <w:snapToGrid/>
        </w:rPr>
        <w:t>T</w:t>
      </w:r>
      <w:r w:rsidRPr="009628C3" w:rsidR="00B43498">
        <w:rPr>
          <w:rFonts w:ascii="Times New Roman" w:hAnsi="Times New Roman"/>
          <w:snapToGrid/>
        </w:rPr>
        <w:t>opics</w:t>
      </w:r>
    </w:p>
    <w:sectPr w:rsidSect="00312F8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E6" w14:paraId="2C82C8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0"/>
        <w:szCs w:val="20"/>
      </w:rPr>
      <w:id w:val="1990435344"/>
      <w:docPartObj>
        <w:docPartGallery w:val="Page Numbers (Bottom of Page)"/>
        <w:docPartUnique/>
      </w:docPartObj>
    </w:sdtPr>
    <w:sdtContent>
      <w:p w:rsidR="00D035FC" w:rsidRPr="00D035FC" w:rsidP="0029688E" w14:paraId="43967E3B" w14:textId="77777777">
        <w:pPr>
          <w:pStyle w:val="Footer"/>
          <w:jc w:val="right"/>
          <w:rPr>
            <w:rFonts w:ascii="Times New Roman" w:hAnsi="Times New Roman"/>
            <w:sz w:val="20"/>
            <w:szCs w:val="20"/>
          </w:rPr>
        </w:pPr>
        <w:r w:rsidRPr="00D035FC">
          <w:rPr>
            <w:rFonts w:ascii="Times New Roman" w:hAnsi="Times New Roman"/>
            <w:sz w:val="20"/>
            <w:szCs w:val="20"/>
          </w:rPr>
          <w:t xml:space="preserve">Supporting Statement for Ticket to Work Program Evaluation </w:t>
        </w:r>
      </w:p>
      <w:p w:rsidR="0029688E" w:rsidRPr="00D035FC" w:rsidP="0029688E" w14:paraId="2B23DF5E" w14:textId="396F28F4">
        <w:pPr>
          <w:pStyle w:val="Footer"/>
          <w:jc w:val="right"/>
          <w:rPr>
            <w:rFonts w:ascii="Times New Roman" w:hAnsi="Times New Roman"/>
            <w:sz w:val="20"/>
            <w:szCs w:val="20"/>
          </w:rPr>
        </w:pPr>
        <w:r w:rsidRPr="00D035FC">
          <w:rPr>
            <w:rFonts w:ascii="Times New Roman" w:hAnsi="Times New Roman"/>
            <w:sz w:val="20"/>
            <w:szCs w:val="20"/>
          </w:rPr>
          <w:t xml:space="preserve">Page </w:t>
        </w:r>
        <w:r w:rsidRPr="00D035FC">
          <w:rPr>
            <w:rFonts w:ascii="Times New Roman" w:hAnsi="Times New Roman"/>
            <w:sz w:val="20"/>
            <w:szCs w:val="20"/>
          </w:rPr>
          <w:fldChar w:fldCharType="begin"/>
        </w:r>
        <w:r w:rsidRPr="00D035FC">
          <w:rPr>
            <w:rFonts w:ascii="Times New Roman" w:hAnsi="Times New Roman"/>
            <w:sz w:val="20"/>
            <w:szCs w:val="20"/>
          </w:rPr>
          <w:instrText xml:space="preserve"> PAGE   \* MERGEFORMAT </w:instrText>
        </w:r>
        <w:r w:rsidRPr="00D035FC">
          <w:rPr>
            <w:rFonts w:ascii="Times New Roman" w:hAnsi="Times New Roman"/>
            <w:sz w:val="20"/>
            <w:szCs w:val="20"/>
          </w:rPr>
          <w:fldChar w:fldCharType="separate"/>
        </w:r>
        <w:r w:rsidRPr="00D035FC">
          <w:rPr>
            <w:rFonts w:ascii="Times New Roman" w:hAnsi="Times New Roman"/>
            <w:sz w:val="20"/>
            <w:szCs w:val="20"/>
          </w:rPr>
          <w:t>2</w:t>
        </w:r>
        <w:r w:rsidRPr="00D035FC">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E6" w14:paraId="157CC9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33F8" w14:paraId="63A46832" w14:textId="77777777">
      <w:r>
        <w:separator/>
      </w:r>
    </w:p>
  </w:footnote>
  <w:footnote w:type="continuationSeparator" w:id="1">
    <w:p w:rsidR="009633F8" w14:paraId="2D3BC292" w14:textId="77777777">
      <w:r>
        <w:continuationSeparator/>
      </w:r>
    </w:p>
  </w:footnote>
  <w:footnote w:type="continuationNotice" w:id="2">
    <w:p w:rsidR="009633F8" w14:paraId="79B3A547" w14:textId="77777777"/>
  </w:footnote>
  <w:footnote w:id="3">
    <w:p w:rsidR="004223FF" w14:paraId="702C9CCA" w14:textId="7B72D181">
      <w:pPr>
        <w:pStyle w:val="FootnoteText"/>
      </w:pPr>
      <w:r>
        <w:rPr>
          <w:rStyle w:val="FootnoteReference"/>
        </w:rPr>
        <w:footnoteRef/>
      </w:r>
      <w:r>
        <w:t xml:space="preserve"> </w:t>
      </w:r>
      <w:r w:rsidR="00CF406E">
        <w:t>T</w:t>
      </w:r>
      <w:r w:rsidRPr="00CF406E" w:rsidR="00CF406E">
        <w:t xml:space="preserve">hroughout this document, “Ticketholders” broadly refers to working-age disabled SSI and SSDI beneficiaries who are eligible for </w:t>
      </w:r>
      <w:r w:rsidR="00105275">
        <w:t>services created by the Ticket Act</w:t>
      </w:r>
      <w:r w:rsidRPr="00CF406E" w:rsidR="00CF406E">
        <w:t>.</w:t>
      </w:r>
    </w:p>
  </w:footnote>
  <w:footnote w:id="4">
    <w:p w:rsidR="006A247F" w14:paraId="37CF75CE" w14:textId="3F4D5C16">
      <w:pPr>
        <w:pStyle w:val="FootnoteText"/>
      </w:pPr>
      <w:r>
        <w:rPr>
          <w:rStyle w:val="FootnoteReference"/>
        </w:rPr>
        <w:footnoteRef/>
      </w:r>
      <w:r>
        <w:t xml:space="preserve"> SSA conducted an internal review of the piloted version of the Marketing Program, but the planned Ticket to Work Program Evaluation will be the first to evaluate the Marketing Program within the </w:t>
      </w:r>
      <w:r w:rsidR="00881E1D">
        <w:t>holistic Ticket Act ecosystem.</w:t>
      </w:r>
    </w:p>
  </w:footnote>
  <w:footnote w:id="5">
    <w:p w:rsidR="00407B84" w:rsidP="00407B84" w14:paraId="27BA567D" w14:textId="0A5C72D9">
      <w:pPr>
        <w:pStyle w:val="FootnoteText"/>
      </w:pPr>
      <w:r>
        <w:rPr>
          <w:rStyle w:val="FootnoteReference"/>
        </w:rPr>
        <w:footnoteRef/>
      </w:r>
      <w:r>
        <w:t xml:space="preserve"> Organization numbers are as of 2024. </w:t>
      </w:r>
      <w:r w:rsidR="00E63492">
        <w:t xml:space="preserve"> </w:t>
      </w:r>
      <w:r>
        <w:t xml:space="preserve">To the extent that the universe of service providers changes between the time of drafting of this document and the survey fielding period, we will field the survey to the population of services providers as of a date as close to the beginning of survey fielding as practicable. </w:t>
      </w:r>
    </w:p>
  </w:footnote>
  <w:footnote w:id="6">
    <w:p w:rsidR="006A37D4" w:rsidP="006A37D4" w14:paraId="08174F92" w14:textId="77777777">
      <w:pPr>
        <w:pStyle w:val="FootnoteText"/>
      </w:pPr>
      <w:r>
        <w:rPr>
          <w:rStyle w:val="FootnoteReference"/>
        </w:rPr>
        <w:footnoteRef/>
      </w:r>
      <w:r>
        <w:t xml:space="preserve"> “TTW participants” refers to Ticketholders who have received services from an EN or VR within the last three years. </w:t>
      </w:r>
    </w:p>
  </w:footnote>
  <w:footnote w:id="7">
    <w:p w:rsidR="006A37D4" w:rsidP="006A37D4" w14:paraId="74AAE074" w14:textId="77777777">
      <w:pPr>
        <w:pStyle w:val="FootnoteText"/>
      </w:pPr>
      <w:r>
        <w:rPr>
          <w:rStyle w:val="FootnoteReference"/>
        </w:rPr>
        <w:footnoteRef/>
      </w:r>
      <w:r>
        <w:t xml:space="preserve"> “WIPA participants” refers Ticketholders who have received services from a WIPA project within the last three years.</w:t>
      </w:r>
    </w:p>
  </w:footnote>
  <w:footnote w:id="8">
    <w:p w:rsidR="0026415B" w14:paraId="18F4B99E" w14:textId="5024168E">
      <w:pPr>
        <w:pStyle w:val="FootnoteText"/>
      </w:pPr>
      <w:r>
        <w:rPr>
          <w:rStyle w:val="FootnoteReference"/>
        </w:rPr>
        <w:footnoteRef/>
      </w:r>
      <w:r>
        <w:t xml:space="preserve"> It is possible that a Ticketholder identified in SSA’s administrative records could lose their Ticket eligibility in the time between identification and interview.  </w:t>
      </w:r>
    </w:p>
  </w:footnote>
  <w:footnote w:id="9">
    <w:p w:rsidR="00C8267D" w:rsidP="00C8267D" w14:paraId="7F637B44" w14:textId="6BCF4BD8">
      <w:pPr>
        <w:pStyle w:val="FootnoteText"/>
      </w:pPr>
      <w:r>
        <w:rPr>
          <w:rStyle w:val="FootnoteReference"/>
        </w:rPr>
        <w:footnoteRef/>
      </w:r>
      <w:r>
        <w:t xml:space="preserve"> </w:t>
      </w:r>
      <w:r w:rsidRPr="0019364D">
        <w:t>Confirmit</w:t>
      </w:r>
      <w:r w:rsidRPr="001B5A5B">
        <w:rPr>
          <w:vertAlign w:val="superscript"/>
        </w:rPr>
        <w:t>®</w:t>
      </w:r>
      <w:r w:rsidRPr="0019364D">
        <w:t xml:space="preserve"> is the computer-assisted interviewing system and survey-processing tool Mathematica </w:t>
      </w:r>
      <w:r>
        <w:t xml:space="preserve">uses </w:t>
      </w:r>
      <w:r w:rsidRPr="0019364D">
        <w:t xml:space="preserve">for survey data collection. </w:t>
      </w:r>
      <w:r w:rsidR="0066181F">
        <w:t xml:space="preserve"> </w:t>
      </w:r>
      <w:r w:rsidRPr="0019364D">
        <w:t>The software was developed by Confirmit</w:t>
      </w:r>
      <w:r w:rsidRPr="001B5A5B">
        <w:rPr>
          <w:vertAlign w:val="superscript"/>
        </w:rPr>
        <w:t>®</w:t>
      </w:r>
      <w:r w:rsidRPr="0019364D">
        <w:t xml:space="preserve"> for the Windows</w:t>
      </w:r>
      <w:r w:rsidRPr="001B5A5B">
        <w:rPr>
          <w:vertAlign w:val="superscript"/>
        </w:rPr>
        <w:t>®</w:t>
      </w:r>
      <w:r w:rsidRPr="000D5728">
        <w:t xml:space="preserve"> </w:t>
      </w:r>
      <w:r w:rsidRPr="0019364D">
        <w:t>operating system and web browsers.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E6" w14:paraId="29829F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E6" w14:paraId="3841AB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E6" w14:paraId="16CEEA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EF2834E"/>
    <w:lvl w:ilvl="0">
      <w:start w:val="1"/>
      <w:numFmt w:val="decimal"/>
      <w:lvlText w:val="%1."/>
      <w:lvlJc w:val="left"/>
      <w:pPr>
        <w:tabs>
          <w:tab w:val="num" w:pos="1800"/>
        </w:tabs>
        <w:ind w:left="1800" w:hanging="360"/>
      </w:pPr>
    </w:lvl>
  </w:abstractNum>
  <w:abstractNum w:abstractNumId="1">
    <w:nsid w:val="FFFFFF7D"/>
    <w:multiLevelType w:val="singleLevel"/>
    <w:tmpl w:val="EE90CB2C"/>
    <w:lvl w:ilvl="0">
      <w:start w:val="1"/>
      <w:numFmt w:val="decimal"/>
      <w:lvlText w:val="%1."/>
      <w:lvlJc w:val="left"/>
      <w:pPr>
        <w:tabs>
          <w:tab w:val="num" w:pos="1440"/>
        </w:tabs>
        <w:ind w:left="1440" w:hanging="360"/>
      </w:pPr>
    </w:lvl>
  </w:abstractNum>
  <w:abstractNum w:abstractNumId="2">
    <w:nsid w:val="FFFFFF7E"/>
    <w:multiLevelType w:val="singleLevel"/>
    <w:tmpl w:val="00308A32"/>
    <w:lvl w:ilvl="0">
      <w:start w:val="1"/>
      <w:numFmt w:val="decimal"/>
      <w:lvlText w:val="%1."/>
      <w:lvlJc w:val="left"/>
      <w:pPr>
        <w:tabs>
          <w:tab w:val="num" w:pos="1080"/>
        </w:tabs>
        <w:ind w:left="1080" w:hanging="360"/>
      </w:pPr>
    </w:lvl>
  </w:abstractNum>
  <w:abstractNum w:abstractNumId="3">
    <w:nsid w:val="FFFFFF7F"/>
    <w:multiLevelType w:val="singleLevel"/>
    <w:tmpl w:val="2188BC3C"/>
    <w:lvl w:ilvl="0">
      <w:start w:val="1"/>
      <w:numFmt w:val="decimal"/>
      <w:lvlText w:val="%1."/>
      <w:lvlJc w:val="left"/>
      <w:pPr>
        <w:tabs>
          <w:tab w:val="num" w:pos="720"/>
        </w:tabs>
        <w:ind w:left="720" w:hanging="360"/>
      </w:pPr>
    </w:lvl>
  </w:abstractNum>
  <w:abstractNum w:abstractNumId="4">
    <w:nsid w:val="FFFFFF80"/>
    <w:multiLevelType w:val="singleLevel"/>
    <w:tmpl w:val="E5A8FF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6AA9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5E12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BFCB3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CF422"/>
    <w:lvl w:ilvl="0">
      <w:start w:val="1"/>
      <w:numFmt w:val="decimal"/>
      <w:lvlText w:val="%1."/>
      <w:lvlJc w:val="left"/>
      <w:pPr>
        <w:tabs>
          <w:tab w:val="num" w:pos="360"/>
        </w:tabs>
        <w:ind w:left="360" w:hanging="360"/>
      </w:pPr>
    </w:lvl>
  </w:abstractNum>
  <w:abstractNum w:abstractNumId="9">
    <w:nsid w:val="FFFFFF89"/>
    <w:multiLevelType w:val="singleLevel"/>
    <w:tmpl w:val="951838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C5BA7"/>
    <w:multiLevelType w:val="hybridMultilevel"/>
    <w:tmpl w:val="D7E8582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09C50364"/>
    <w:multiLevelType w:val="hybridMultilevel"/>
    <w:tmpl w:val="2A7C362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0C9846EE"/>
    <w:multiLevelType w:val="hybridMultilevel"/>
    <w:tmpl w:val="B7500FF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3">
    <w:nsid w:val="0FC407F7"/>
    <w:multiLevelType w:val="hybridMultilevel"/>
    <w:tmpl w:val="88B8958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4">
    <w:nsid w:val="1DF921CF"/>
    <w:multiLevelType w:val="hybridMultilevel"/>
    <w:tmpl w:val="74D236C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2459229A"/>
    <w:multiLevelType w:val="hybridMultilevel"/>
    <w:tmpl w:val="67DCF7DA"/>
    <w:lvl w:ilvl="0">
      <w:start w:val="1"/>
      <w:numFmt w:val="bullet"/>
      <w:lvlText w:val=""/>
      <w:lvlJc w:val="left"/>
      <w:pPr>
        <w:ind w:left="1627" w:hanging="360"/>
      </w:pPr>
      <w:rPr>
        <w:rFonts w:ascii="Symbol" w:hAnsi="Symbol" w:hint="default"/>
      </w:rPr>
    </w:lvl>
    <w:lvl w:ilvl="1" w:tentative="1">
      <w:start w:val="1"/>
      <w:numFmt w:val="bullet"/>
      <w:lvlText w:val="o"/>
      <w:lvlJc w:val="left"/>
      <w:pPr>
        <w:ind w:left="2347" w:hanging="360"/>
      </w:pPr>
      <w:rPr>
        <w:rFonts w:ascii="Courier New" w:hAnsi="Courier New" w:cs="Courier New" w:hint="default"/>
      </w:rPr>
    </w:lvl>
    <w:lvl w:ilvl="2" w:tentative="1">
      <w:start w:val="1"/>
      <w:numFmt w:val="bullet"/>
      <w:lvlText w:val=""/>
      <w:lvlJc w:val="left"/>
      <w:pPr>
        <w:ind w:left="3067" w:hanging="360"/>
      </w:pPr>
      <w:rPr>
        <w:rFonts w:ascii="Wingdings" w:hAnsi="Wingdings" w:hint="default"/>
      </w:rPr>
    </w:lvl>
    <w:lvl w:ilvl="3" w:tentative="1">
      <w:start w:val="1"/>
      <w:numFmt w:val="bullet"/>
      <w:lvlText w:val=""/>
      <w:lvlJc w:val="left"/>
      <w:pPr>
        <w:ind w:left="3787" w:hanging="360"/>
      </w:pPr>
      <w:rPr>
        <w:rFonts w:ascii="Symbol" w:hAnsi="Symbol" w:hint="default"/>
      </w:rPr>
    </w:lvl>
    <w:lvl w:ilvl="4" w:tentative="1">
      <w:start w:val="1"/>
      <w:numFmt w:val="bullet"/>
      <w:lvlText w:val="o"/>
      <w:lvlJc w:val="left"/>
      <w:pPr>
        <w:ind w:left="4507" w:hanging="360"/>
      </w:pPr>
      <w:rPr>
        <w:rFonts w:ascii="Courier New" w:hAnsi="Courier New" w:cs="Courier New" w:hint="default"/>
      </w:rPr>
    </w:lvl>
    <w:lvl w:ilvl="5" w:tentative="1">
      <w:start w:val="1"/>
      <w:numFmt w:val="bullet"/>
      <w:lvlText w:val=""/>
      <w:lvlJc w:val="left"/>
      <w:pPr>
        <w:ind w:left="5227" w:hanging="360"/>
      </w:pPr>
      <w:rPr>
        <w:rFonts w:ascii="Wingdings" w:hAnsi="Wingdings" w:hint="default"/>
      </w:rPr>
    </w:lvl>
    <w:lvl w:ilvl="6" w:tentative="1">
      <w:start w:val="1"/>
      <w:numFmt w:val="bullet"/>
      <w:lvlText w:val=""/>
      <w:lvlJc w:val="left"/>
      <w:pPr>
        <w:ind w:left="5947" w:hanging="360"/>
      </w:pPr>
      <w:rPr>
        <w:rFonts w:ascii="Symbol" w:hAnsi="Symbol" w:hint="default"/>
      </w:rPr>
    </w:lvl>
    <w:lvl w:ilvl="7" w:tentative="1">
      <w:start w:val="1"/>
      <w:numFmt w:val="bullet"/>
      <w:lvlText w:val="o"/>
      <w:lvlJc w:val="left"/>
      <w:pPr>
        <w:ind w:left="6667" w:hanging="360"/>
      </w:pPr>
      <w:rPr>
        <w:rFonts w:ascii="Courier New" w:hAnsi="Courier New" w:cs="Courier New" w:hint="default"/>
      </w:rPr>
    </w:lvl>
    <w:lvl w:ilvl="8" w:tentative="1">
      <w:start w:val="1"/>
      <w:numFmt w:val="bullet"/>
      <w:lvlText w:val=""/>
      <w:lvlJc w:val="left"/>
      <w:pPr>
        <w:ind w:left="7387" w:hanging="360"/>
      </w:pPr>
      <w:rPr>
        <w:rFonts w:ascii="Wingdings" w:hAnsi="Wingdings" w:hint="default"/>
      </w:rPr>
    </w:lvl>
  </w:abstractNum>
  <w:abstractNum w:abstractNumId="16">
    <w:nsid w:val="2C253931"/>
    <w:multiLevelType w:val="hybridMultilevel"/>
    <w:tmpl w:val="88886EC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7">
    <w:nsid w:val="3066A2F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1DF469D"/>
    <w:multiLevelType w:val="hybridMultilevel"/>
    <w:tmpl w:val="8884D7C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428C4791"/>
    <w:multiLevelType w:val="hybridMultilevel"/>
    <w:tmpl w:val="AD9E18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4BEA251E"/>
    <w:multiLevelType w:val="hybridMultilevel"/>
    <w:tmpl w:val="3BFA320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1">
    <w:nsid w:val="56EC6952"/>
    <w:multiLevelType w:val="hybridMultilevel"/>
    <w:tmpl w:val="889064D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2">
    <w:nsid w:val="57C27767"/>
    <w:multiLevelType w:val="hybridMultilevel"/>
    <w:tmpl w:val="94ACF0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D000388"/>
    <w:multiLevelType w:val="hybridMultilevel"/>
    <w:tmpl w:val="4434E77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67E876A0"/>
    <w:multiLevelType w:val="hybridMultilevel"/>
    <w:tmpl w:val="60A863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6">
    <w:nsid w:val="7020478C"/>
    <w:multiLevelType w:val="hybridMultilevel"/>
    <w:tmpl w:val="63B470E8"/>
    <w:lvl w:ilvl="0">
      <w:start w:val="1"/>
      <w:numFmt w:val="bullet"/>
      <w:pStyle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7">
    <w:nsid w:val="733E5D08"/>
    <w:multiLevelType w:val="hybridMultilevel"/>
    <w:tmpl w:val="6E08949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8">
    <w:nsid w:val="7ED20918"/>
    <w:multiLevelType w:val="hybridMultilevel"/>
    <w:tmpl w:val="DFD489B2"/>
    <w:lvl w:ilvl="0">
      <w:start w:val="1"/>
      <w:numFmt w:val="decimal"/>
      <w:pStyle w:val="ListParagraph"/>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7510349">
    <w:abstractNumId w:val="28"/>
  </w:num>
  <w:num w:numId="2" w16cid:durableId="1999845595">
    <w:abstractNumId w:val="26"/>
  </w:num>
  <w:num w:numId="3" w16cid:durableId="2017339280">
    <w:abstractNumId w:val="24"/>
  </w:num>
  <w:num w:numId="4" w16cid:durableId="1747679845">
    <w:abstractNumId w:val="9"/>
  </w:num>
  <w:num w:numId="5" w16cid:durableId="1979332290">
    <w:abstractNumId w:val="25"/>
    <w:lvlOverride w:ilvl="0">
      <w:lvl w:ilvl="0">
        <w:start w:val="1"/>
        <w:numFmt w:val="decimal"/>
        <w:pStyle w:val="SidebarListNumber"/>
        <w:lvlText w:val="%1."/>
        <w:lvlJc w:val="left"/>
        <w:pPr>
          <w:tabs>
            <w:tab w:val="num" w:pos="288"/>
          </w:tabs>
          <w:ind w:left="288" w:hanging="288"/>
        </w:pPr>
        <w:rPr>
          <w:rFonts w:hint="default"/>
          <w:color w:val="A5A5A5" w:themeColor="accent3"/>
        </w:rPr>
      </w:lvl>
    </w:lvlOverride>
  </w:num>
  <w:num w:numId="6" w16cid:durableId="1926912368">
    <w:abstractNumId w:val="22"/>
  </w:num>
  <w:num w:numId="7" w16cid:durableId="656110568">
    <w:abstractNumId w:val="7"/>
  </w:num>
  <w:num w:numId="8" w16cid:durableId="685791253">
    <w:abstractNumId w:val="6"/>
  </w:num>
  <w:num w:numId="9" w16cid:durableId="1393309872">
    <w:abstractNumId w:val="5"/>
  </w:num>
  <w:num w:numId="10" w16cid:durableId="1923753054">
    <w:abstractNumId w:val="4"/>
  </w:num>
  <w:num w:numId="11" w16cid:durableId="461074859">
    <w:abstractNumId w:val="8"/>
  </w:num>
  <w:num w:numId="12" w16cid:durableId="1222332491">
    <w:abstractNumId w:val="3"/>
  </w:num>
  <w:num w:numId="13" w16cid:durableId="777943000">
    <w:abstractNumId w:val="2"/>
  </w:num>
  <w:num w:numId="14" w16cid:durableId="346255292">
    <w:abstractNumId w:val="1"/>
  </w:num>
  <w:num w:numId="15" w16cid:durableId="608242810">
    <w:abstractNumId w:val="0"/>
  </w:num>
  <w:num w:numId="16" w16cid:durableId="1503592533">
    <w:abstractNumId w:val="8"/>
  </w:num>
  <w:num w:numId="17" w16cid:durableId="939341117">
    <w:abstractNumId w:val="3"/>
  </w:num>
  <w:num w:numId="18" w16cid:durableId="238102676">
    <w:abstractNumId w:val="2"/>
  </w:num>
  <w:num w:numId="19" w16cid:durableId="749231006">
    <w:abstractNumId w:val="1"/>
  </w:num>
  <w:num w:numId="20" w16cid:durableId="1874616513">
    <w:abstractNumId w:val="0"/>
  </w:num>
  <w:num w:numId="21" w16cid:durableId="2066903635">
    <w:abstractNumId w:val="14"/>
  </w:num>
  <w:num w:numId="22" w16cid:durableId="1865947542">
    <w:abstractNumId w:val="23"/>
  </w:num>
  <w:num w:numId="23" w16cid:durableId="908617760">
    <w:abstractNumId w:val="10"/>
  </w:num>
  <w:num w:numId="24" w16cid:durableId="1869677932">
    <w:abstractNumId w:val="16"/>
  </w:num>
  <w:num w:numId="25" w16cid:durableId="457644796">
    <w:abstractNumId w:val="12"/>
  </w:num>
  <w:num w:numId="26" w16cid:durableId="1038241872">
    <w:abstractNumId w:val="21"/>
  </w:num>
  <w:num w:numId="27" w16cid:durableId="835221519">
    <w:abstractNumId w:val="20"/>
  </w:num>
  <w:num w:numId="28" w16cid:durableId="1675764612">
    <w:abstractNumId w:val="17"/>
  </w:num>
  <w:num w:numId="29" w16cid:durableId="623386407">
    <w:abstractNumId w:val="13"/>
  </w:num>
  <w:num w:numId="30" w16cid:durableId="870846201">
    <w:abstractNumId w:val="11"/>
  </w:num>
  <w:num w:numId="31" w16cid:durableId="1736855483">
    <w:abstractNumId w:val="19"/>
  </w:num>
  <w:num w:numId="32" w16cid:durableId="1588075082">
    <w:abstractNumId w:val="18"/>
  </w:num>
  <w:num w:numId="33" w16cid:durableId="129176737">
    <w:abstractNumId w:val="15"/>
  </w:num>
  <w:num w:numId="34" w16cid:durableId="1287159665">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noPunctuationKerning/>
  <w:characterSpacingControl w:val="doNotCompress"/>
  <w:footnotePr>
    <w:footnote w:id="0"/>
    <w:footnote w:id="1"/>
    <w:footnote w:id="2"/>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0EE"/>
    <w:rsid w:val="0000056E"/>
    <w:rsid w:val="00000D86"/>
    <w:rsid w:val="00000FA9"/>
    <w:rsid w:val="000010D3"/>
    <w:rsid w:val="000014BD"/>
    <w:rsid w:val="000015C2"/>
    <w:rsid w:val="000016EB"/>
    <w:rsid w:val="00001956"/>
    <w:rsid w:val="0000203D"/>
    <w:rsid w:val="0000214E"/>
    <w:rsid w:val="0000217C"/>
    <w:rsid w:val="000024C5"/>
    <w:rsid w:val="00002714"/>
    <w:rsid w:val="000028C0"/>
    <w:rsid w:val="00002BEC"/>
    <w:rsid w:val="00003983"/>
    <w:rsid w:val="00003BD0"/>
    <w:rsid w:val="0000457C"/>
    <w:rsid w:val="00005232"/>
    <w:rsid w:val="000064B2"/>
    <w:rsid w:val="000069C1"/>
    <w:rsid w:val="00006C6B"/>
    <w:rsid w:val="00007E7C"/>
    <w:rsid w:val="00010705"/>
    <w:rsid w:val="00011381"/>
    <w:rsid w:val="000114E1"/>
    <w:rsid w:val="00011F54"/>
    <w:rsid w:val="000129D0"/>
    <w:rsid w:val="000143F8"/>
    <w:rsid w:val="00014A07"/>
    <w:rsid w:val="0001589F"/>
    <w:rsid w:val="00015970"/>
    <w:rsid w:val="00015E8A"/>
    <w:rsid w:val="000162B4"/>
    <w:rsid w:val="0001670A"/>
    <w:rsid w:val="00016823"/>
    <w:rsid w:val="00016C41"/>
    <w:rsid w:val="00017EA6"/>
    <w:rsid w:val="000202E8"/>
    <w:rsid w:val="000205B1"/>
    <w:rsid w:val="00020965"/>
    <w:rsid w:val="0002142D"/>
    <w:rsid w:val="0002164F"/>
    <w:rsid w:val="000217FF"/>
    <w:rsid w:val="000222A7"/>
    <w:rsid w:val="000225F1"/>
    <w:rsid w:val="00023806"/>
    <w:rsid w:val="000238FA"/>
    <w:rsid w:val="00023D6A"/>
    <w:rsid w:val="000244CE"/>
    <w:rsid w:val="00024B0E"/>
    <w:rsid w:val="00025216"/>
    <w:rsid w:val="0002535D"/>
    <w:rsid w:val="0002583D"/>
    <w:rsid w:val="0002587C"/>
    <w:rsid w:val="000259B0"/>
    <w:rsid w:val="00025D75"/>
    <w:rsid w:val="00026680"/>
    <w:rsid w:val="0002677F"/>
    <w:rsid w:val="00026DAE"/>
    <w:rsid w:val="00027899"/>
    <w:rsid w:val="00027A49"/>
    <w:rsid w:val="00027B1A"/>
    <w:rsid w:val="00030313"/>
    <w:rsid w:val="00030601"/>
    <w:rsid w:val="000307B4"/>
    <w:rsid w:val="000309BC"/>
    <w:rsid w:val="00030D1E"/>
    <w:rsid w:val="0003159D"/>
    <w:rsid w:val="00031E93"/>
    <w:rsid w:val="0003325F"/>
    <w:rsid w:val="00033374"/>
    <w:rsid w:val="000345C3"/>
    <w:rsid w:val="00034B21"/>
    <w:rsid w:val="0003509B"/>
    <w:rsid w:val="0003553D"/>
    <w:rsid w:val="000357A2"/>
    <w:rsid w:val="0003596B"/>
    <w:rsid w:val="00035F83"/>
    <w:rsid w:val="000373A6"/>
    <w:rsid w:val="00037A59"/>
    <w:rsid w:val="00040388"/>
    <w:rsid w:val="00040468"/>
    <w:rsid w:val="00040B2B"/>
    <w:rsid w:val="00040DD9"/>
    <w:rsid w:val="00041757"/>
    <w:rsid w:val="000418F9"/>
    <w:rsid w:val="00041C7A"/>
    <w:rsid w:val="000420E0"/>
    <w:rsid w:val="00042258"/>
    <w:rsid w:val="00042A59"/>
    <w:rsid w:val="00044348"/>
    <w:rsid w:val="000445EE"/>
    <w:rsid w:val="00044822"/>
    <w:rsid w:val="00044D0E"/>
    <w:rsid w:val="00044D22"/>
    <w:rsid w:val="000453FF"/>
    <w:rsid w:val="00045516"/>
    <w:rsid w:val="00045841"/>
    <w:rsid w:val="0004584F"/>
    <w:rsid w:val="000460C4"/>
    <w:rsid w:val="00046AC2"/>
    <w:rsid w:val="000476BB"/>
    <w:rsid w:val="00047EF2"/>
    <w:rsid w:val="000504FC"/>
    <w:rsid w:val="00050D9A"/>
    <w:rsid w:val="00050F56"/>
    <w:rsid w:val="00052016"/>
    <w:rsid w:val="000520C2"/>
    <w:rsid w:val="00052259"/>
    <w:rsid w:val="000532B1"/>
    <w:rsid w:val="000538D1"/>
    <w:rsid w:val="0005423B"/>
    <w:rsid w:val="000551E3"/>
    <w:rsid w:val="000554D2"/>
    <w:rsid w:val="0005595B"/>
    <w:rsid w:val="000564EE"/>
    <w:rsid w:val="00056D87"/>
    <w:rsid w:val="00057092"/>
    <w:rsid w:val="000577D2"/>
    <w:rsid w:val="00057F20"/>
    <w:rsid w:val="000600F6"/>
    <w:rsid w:val="00060179"/>
    <w:rsid w:val="0006057F"/>
    <w:rsid w:val="00061267"/>
    <w:rsid w:val="00061926"/>
    <w:rsid w:val="00061E5C"/>
    <w:rsid w:val="00061FE8"/>
    <w:rsid w:val="00062147"/>
    <w:rsid w:val="000623B3"/>
    <w:rsid w:val="000631E7"/>
    <w:rsid w:val="00063A05"/>
    <w:rsid w:val="00063AA1"/>
    <w:rsid w:val="00063C7B"/>
    <w:rsid w:val="00064229"/>
    <w:rsid w:val="000645C8"/>
    <w:rsid w:val="0006476F"/>
    <w:rsid w:val="000649A2"/>
    <w:rsid w:val="000651C6"/>
    <w:rsid w:val="000655B3"/>
    <w:rsid w:val="00065681"/>
    <w:rsid w:val="000657E2"/>
    <w:rsid w:val="00066439"/>
    <w:rsid w:val="000664D6"/>
    <w:rsid w:val="000665B6"/>
    <w:rsid w:val="000667EF"/>
    <w:rsid w:val="0006715D"/>
    <w:rsid w:val="00067304"/>
    <w:rsid w:val="0006758C"/>
    <w:rsid w:val="00067BA1"/>
    <w:rsid w:val="00067D6B"/>
    <w:rsid w:val="00067E5D"/>
    <w:rsid w:val="00070BDC"/>
    <w:rsid w:val="00070F2E"/>
    <w:rsid w:val="000715A9"/>
    <w:rsid w:val="0007189E"/>
    <w:rsid w:val="00072E9F"/>
    <w:rsid w:val="00073288"/>
    <w:rsid w:val="000739CF"/>
    <w:rsid w:val="00073D68"/>
    <w:rsid w:val="00074112"/>
    <w:rsid w:val="00074188"/>
    <w:rsid w:val="00075773"/>
    <w:rsid w:val="000762C9"/>
    <w:rsid w:val="0007678D"/>
    <w:rsid w:val="00077720"/>
    <w:rsid w:val="00077E0E"/>
    <w:rsid w:val="00080545"/>
    <w:rsid w:val="00080ACE"/>
    <w:rsid w:val="00080C15"/>
    <w:rsid w:val="00080F67"/>
    <w:rsid w:val="0008106E"/>
    <w:rsid w:val="000815CB"/>
    <w:rsid w:val="000815DB"/>
    <w:rsid w:val="00081C12"/>
    <w:rsid w:val="00081DE9"/>
    <w:rsid w:val="0008269A"/>
    <w:rsid w:val="000826DE"/>
    <w:rsid w:val="00082830"/>
    <w:rsid w:val="000839C9"/>
    <w:rsid w:val="00083BAF"/>
    <w:rsid w:val="0008461A"/>
    <w:rsid w:val="00085D2C"/>
    <w:rsid w:val="00086E84"/>
    <w:rsid w:val="0008710C"/>
    <w:rsid w:val="00087296"/>
    <w:rsid w:val="0008780F"/>
    <w:rsid w:val="00087957"/>
    <w:rsid w:val="00087DE7"/>
    <w:rsid w:val="000903B9"/>
    <w:rsid w:val="0009097F"/>
    <w:rsid w:val="0009284F"/>
    <w:rsid w:val="00092A27"/>
    <w:rsid w:val="00092B43"/>
    <w:rsid w:val="00092D9D"/>
    <w:rsid w:val="00092E25"/>
    <w:rsid w:val="000943C5"/>
    <w:rsid w:val="0009457B"/>
    <w:rsid w:val="0009467E"/>
    <w:rsid w:val="0009496F"/>
    <w:rsid w:val="000949B9"/>
    <w:rsid w:val="000958AA"/>
    <w:rsid w:val="00095BF3"/>
    <w:rsid w:val="00096208"/>
    <w:rsid w:val="00096EEC"/>
    <w:rsid w:val="00097792"/>
    <w:rsid w:val="000A0955"/>
    <w:rsid w:val="000A14FE"/>
    <w:rsid w:val="000A156B"/>
    <w:rsid w:val="000A1BA3"/>
    <w:rsid w:val="000A1EB8"/>
    <w:rsid w:val="000A1F3D"/>
    <w:rsid w:val="000A2489"/>
    <w:rsid w:val="000A28FB"/>
    <w:rsid w:val="000A2EB3"/>
    <w:rsid w:val="000A3243"/>
    <w:rsid w:val="000A338D"/>
    <w:rsid w:val="000A3D04"/>
    <w:rsid w:val="000A5860"/>
    <w:rsid w:val="000A5C0D"/>
    <w:rsid w:val="000A5C66"/>
    <w:rsid w:val="000A5EDA"/>
    <w:rsid w:val="000A604D"/>
    <w:rsid w:val="000A6108"/>
    <w:rsid w:val="000A63AF"/>
    <w:rsid w:val="000A650A"/>
    <w:rsid w:val="000A6597"/>
    <w:rsid w:val="000A66E2"/>
    <w:rsid w:val="000A6AE3"/>
    <w:rsid w:val="000A6CE1"/>
    <w:rsid w:val="000A6E5B"/>
    <w:rsid w:val="000A6FBA"/>
    <w:rsid w:val="000B0174"/>
    <w:rsid w:val="000B063E"/>
    <w:rsid w:val="000B0BA3"/>
    <w:rsid w:val="000B0C54"/>
    <w:rsid w:val="000B1339"/>
    <w:rsid w:val="000B16F0"/>
    <w:rsid w:val="000B17D9"/>
    <w:rsid w:val="000B20A4"/>
    <w:rsid w:val="000B2648"/>
    <w:rsid w:val="000B2B68"/>
    <w:rsid w:val="000B30EE"/>
    <w:rsid w:val="000B31F6"/>
    <w:rsid w:val="000B3B12"/>
    <w:rsid w:val="000B3E1B"/>
    <w:rsid w:val="000B417A"/>
    <w:rsid w:val="000B55B3"/>
    <w:rsid w:val="000B6250"/>
    <w:rsid w:val="000B652F"/>
    <w:rsid w:val="000B6700"/>
    <w:rsid w:val="000B70CE"/>
    <w:rsid w:val="000B7218"/>
    <w:rsid w:val="000C0D09"/>
    <w:rsid w:val="000C151C"/>
    <w:rsid w:val="000C1C2F"/>
    <w:rsid w:val="000C1D18"/>
    <w:rsid w:val="000C21F3"/>
    <w:rsid w:val="000C2261"/>
    <w:rsid w:val="000C22AF"/>
    <w:rsid w:val="000C24F7"/>
    <w:rsid w:val="000C2A79"/>
    <w:rsid w:val="000C2B30"/>
    <w:rsid w:val="000C2BA3"/>
    <w:rsid w:val="000C31E0"/>
    <w:rsid w:val="000C3489"/>
    <w:rsid w:val="000C3576"/>
    <w:rsid w:val="000C36FF"/>
    <w:rsid w:val="000C3760"/>
    <w:rsid w:val="000C39F2"/>
    <w:rsid w:val="000C4178"/>
    <w:rsid w:val="000C452E"/>
    <w:rsid w:val="000C468D"/>
    <w:rsid w:val="000C55FA"/>
    <w:rsid w:val="000C5DBF"/>
    <w:rsid w:val="000C6E75"/>
    <w:rsid w:val="000C734F"/>
    <w:rsid w:val="000C78AD"/>
    <w:rsid w:val="000D02D3"/>
    <w:rsid w:val="000D0504"/>
    <w:rsid w:val="000D0758"/>
    <w:rsid w:val="000D0C95"/>
    <w:rsid w:val="000D11A6"/>
    <w:rsid w:val="000D12B8"/>
    <w:rsid w:val="000D2064"/>
    <w:rsid w:val="000D2791"/>
    <w:rsid w:val="000D2C5C"/>
    <w:rsid w:val="000D34B2"/>
    <w:rsid w:val="000D3BE8"/>
    <w:rsid w:val="000D3F0C"/>
    <w:rsid w:val="000D4351"/>
    <w:rsid w:val="000D54F8"/>
    <w:rsid w:val="000D5728"/>
    <w:rsid w:val="000D5F5C"/>
    <w:rsid w:val="000D6018"/>
    <w:rsid w:val="000D6CE0"/>
    <w:rsid w:val="000D7360"/>
    <w:rsid w:val="000E09A5"/>
    <w:rsid w:val="000E0C7A"/>
    <w:rsid w:val="000E0FA4"/>
    <w:rsid w:val="000E10B0"/>
    <w:rsid w:val="000E1372"/>
    <w:rsid w:val="000E14F1"/>
    <w:rsid w:val="000E1575"/>
    <w:rsid w:val="000E1671"/>
    <w:rsid w:val="000E18DB"/>
    <w:rsid w:val="000E23E0"/>
    <w:rsid w:val="000E3274"/>
    <w:rsid w:val="000E3460"/>
    <w:rsid w:val="000E4203"/>
    <w:rsid w:val="000E4EBB"/>
    <w:rsid w:val="000E502B"/>
    <w:rsid w:val="000E56AF"/>
    <w:rsid w:val="000E5C5F"/>
    <w:rsid w:val="000E60C3"/>
    <w:rsid w:val="000E67E6"/>
    <w:rsid w:val="000E75E8"/>
    <w:rsid w:val="000E76D9"/>
    <w:rsid w:val="000E7739"/>
    <w:rsid w:val="000E7AE6"/>
    <w:rsid w:val="000E7FE5"/>
    <w:rsid w:val="000F06B4"/>
    <w:rsid w:val="000F231C"/>
    <w:rsid w:val="000F2D17"/>
    <w:rsid w:val="000F2F8D"/>
    <w:rsid w:val="000F3291"/>
    <w:rsid w:val="000F3707"/>
    <w:rsid w:val="000F3737"/>
    <w:rsid w:val="000F383F"/>
    <w:rsid w:val="000F416F"/>
    <w:rsid w:val="000F4C5B"/>
    <w:rsid w:val="000F4F34"/>
    <w:rsid w:val="000F5CFF"/>
    <w:rsid w:val="000F5E75"/>
    <w:rsid w:val="000F69D5"/>
    <w:rsid w:val="000F6F3A"/>
    <w:rsid w:val="0010004C"/>
    <w:rsid w:val="0010052A"/>
    <w:rsid w:val="00100E08"/>
    <w:rsid w:val="0010100D"/>
    <w:rsid w:val="00101959"/>
    <w:rsid w:val="00101D83"/>
    <w:rsid w:val="00101EA7"/>
    <w:rsid w:val="00101F5A"/>
    <w:rsid w:val="00102511"/>
    <w:rsid w:val="00102869"/>
    <w:rsid w:val="00102A15"/>
    <w:rsid w:val="00102BEA"/>
    <w:rsid w:val="001031AD"/>
    <w:rsid w:val="001034F6"/>
    <w:rsid w:val="00103596"/>
    <w:rsid w:val="001039EB"/>
    <w:rsid w:val="00103AB0"/>
    <w:rsid w:val="00103B02"/>
    <w:rsid w:val="00104387"/>
    <w:rsid w:val="00104E1D"/>
    <w:rsid w:val="00105275"/>
    <w:rsid w:val="00105909"/>
    <w:rsid w:val="001065F1"/>
    <w:rsid w:val="00106798"/>
    <w:rsid w:val="00106B21"/>
    <w:rsid w:val="00106C95"/>
    <w:rsid w:val="00107579"/>
    <w:rsid w:val="001076F2"/>
    <w:rsid w:val="00107DD4"/>
    <w:rsid w:val="00110A32"/>
    <w:rsid w:val="001113D1"/>
    <w:rsid w:val="00111551"/>
    <w:rsid w:val="0011231D"/>
    <w:rsid w:val="0011308C"/>
    <w:rsid w:val="00114F7D"/>
    <w:rsid w:val="0011532F"/>
    <w:rsid w:val="00115369"/>
    <w:rsid w:val="001153E6"/>
    <w:rsid w:val="00115467"/>
    <w:rsid w:val="00115524"/>
    <w:rsid w:val="001157A7"/>
    <w:rsid w:val="0011614B"/>
    <w:rsid w:val="001163EA"/>
    <w:rsid w:val="00116AB4"/>
    <w:rsid w:val="00116ED1"/>
    <w:rsid w:val="00117320"/>
    <w:rsid w:val="001175FC"/>
    <w:rsid w:val="00117A74"/>
    <w:rsid w:val="00120299"/>
    <w:rsid w:val="001207EF"/>
    <w:rsid w:val="00120AF9"/>
    <w:rsid w:val="00121032"/>
    <w:rsid w:val="00121163"/>
    <w:rsid w:val="0012173A"/>
    <w:rsid w:val="00121DED"/>
    <w:rsid w:val="00122A6D"/>
    <w:rsid w:val="00122EE2"/>
    <w:rsid w:val="00123AC9"/>
    <w:rsid w:val="00123B3B"/>
    <w:rsid w:val="001242EE"/>
    <w:rsid w:val="001247C9"/>
    <w:rsid w:val="00124A10"/>
    <w:rsid w:val="0012516D"/>
    <w:rsid w:val="00125394"/>
    <w:rsid w:val="00125739"/>
    <w:rsid w:val="00125D97"/>
    <w:rsid w:val="00126ACB"/>
    <w:rsid w:val="00127025"/>
    <w:rsid w:val="001274C5"/>
    <w:rsid w:val="00127980"/>
    <w:rsid w:val="00130122"/>
    <w:rsid w:val="001310A8"/>
    <w:rsid w:val="0013117E"/>
    <w:rsid w:val="001313D8"/>
    <w:rsid w:val="001325FC"/>
    <w:rsid w:val="001326CC"/>
    <w:rsid w:val="00132B64"/>
    <w:rsid w:val="0013313E"/>
    <w:rsid w:val="00133755"/>
    <w:rsid w:val="001352C0"/>
    <w:rsid w:val="00135562"/>
    <w:rsid w:val="0013582B"/>
    <w:rsid w:val="001369D1"/>
    <w:rsid w:val="00136E1B"/>
    <w:rsid w:val="00137121"/>
    <w:rsid w:val="00140BF3"/>
    <w:rsid w:val="00140FC7"/>
    <w:rsid w:val="0014123A"/>
    <w:rsid w:val="00141273"/>
    <w:rsid w:val="00141611"/>
    <w:rsid w:val="00141640"/>
    <w:rsid w:val="00141AB4"/>
    <w:rsid w:val="00141B45"/>
    <w:rsid w:val="00141C3A"/>
    <w:rsid w:val="001426F1"/>
    <w:rsid w:val="00142C11"/>
    <w:rsid w:val="00142F3D"/>
    <w:rsid w:val="00143078"/>
    <w:rsid w:val="0014333D"/>
    <w:rsid w:val="001435C0"/>
    <w:rsid w:val="00143E04"/>
    <w:rsid w:val="00143FE7"/>
    <w:rsid w:val="00144B2B"/>
    <w:rsid w:val="00144B5D"/>
    <w:rsid w:val="00145796"/>
    <w:rsid w:val="00145B11"/>
    <w:rsid w:val="00145C38"/>
    <w:rsid w:val="00146275"/>
    <w:rsid w:val="00146519"/>
    <w:rsid w:val="00146D66"/>
    <w:rsid w:val="00146DB9"/>
    <w:rsid w:val="001471B8"/>
    <w:rsid w:val="00147324"/>
    <w:rsid w:val="00150C08"/>
    <w:rsid w:val="00150C25"/>
    <w:rsid w:val="001510F5"/>
    <w:rsid w:val="001511EB"/>
    <w:rsid w:val="00151983"/>
    <w:rsid w:val="00151DA0"/>
    <w:rsid w:val="0015236D"/>
    <w:rsid w:val="001526CB"/>
    <w:rsid w:val="00152775"/>
    <w:rsid w:val="001527D9"/>
    <w:rsid w:val="00152FE1"/>
    <w:rsid w:val="0015373A"/>
    <w:rsid w:val="001538CC"/>
    <w:rsid w:val="0015576E"/>
    <w:rsid w:val="0015647A"/>
    <w:rsid w:val="0015703C"/>
    <w:rsid w:val="0015771E"/>
    <w:rsid w:val="00157AD6"/>
    <w:rsid w:val="001605F7"/>
    <w:rsid w:val="00160767"/>
    <w:rsid w:val="00160C7A"/>
    <w:rsid w:val="00161396"/>
    <w:rsid w:val="00161A18"/>
    <w:rsid w:val="00161EB6"/>
    <w:rsid w:val="001622A3"/>
    <w:rsid w:val="001622BD"/>
    <w:rsid w:val="0016247D"/>
    <w:rsid w:val="00162F05"/>
    <w:rsid w:val="0016317B"/>
    <w:rsid w:val="0016360C"/>
    <w:rsid w:val="00163D7A"/>
    <w:rsid w:val="00163F85"/>
    <w:rsid w:val="00164441"/>
    <w:rsid w:val="00165477"/>
    <w:rsid w:val="001654E1"/>
    <w:rsid w:val="0016591F"/>
    <w:rsid w:val="00165951"/>
    <w:rsid w:val="00165C95"/>
    <w:rsid w:val="0016605C"/>
    <w:rsid w:val="0016609C"/>
    <w:rsid w:val="001665B1"/>
    <w:rsid w:val="001668AF"/>
    <w:rsid w:val="00166F78"/>
    <w:rsid w:val="0016710C"/>
    <w:rsid w:val="0016717A"/>
    <w:rsid w:val="00167602"/>
    <w:rsid w:val="00167C60"/>
    <w:rsid w:val="0017063A"/>
    <w:rsid w:val="00170C0C"/>
    <w:rsid w:val="0017118D"/>
    <w:rsid w:val="00171C5C"/>
    <w:rsid w:val="00171D6E"/>
    <w:rsid w:val="00171FFD"/>
    <w:rsid w:val="00172515"/>
    <w:rsid w:val="001728A2"/>
    <w:rsid w:val="00172A54"/>
    <w:rsid w:val="00172F0D"/>
    <w:rsid w:val="001732F9"/>
    <w:rsid w:val="001741AC"/>
    <w:rsid w:val="001742EB"/>
    <w:rsid w:val="001747C5"/>
    <w:rsid w:val="00174CAD"/>
    <w:rsid w:val="00175084"/>
    <w:rsid w:val="001754A7"/>
    <w:rsid w:val="0017574D"/>
    <w:rsid w:val="00175BC7"/>
    <w:rsid w:val="00176099"/>
    <w:rsid w:val="00176ABF"/>
    <w:rsid w:val="001770A5"/>
    <w:rsid w:val="0017726D"/>
    <w:rsid w:val="00177766"/>
    <w:rsid w:val="001779F3"/>
    <w:rsid w:val="0018119F"/>
    <w:rsid w:val="00181DA7"/>
    <w:rsid w:val="00181EE7"/>
    <w:rsid w:val="00182601"/>
    <w:rsid w:val="00182FFE"/>
    <w:rsid w:val="001836EC"/>
    <w:rsid w:val="00183C18"/>
    <w:rsid w:val="00184153"/>
    <w:rsid w:val="0018480D"/>
    <w:rsid w:val="001848F4"/>
    <w:rsid w:val="00184C03"/>
    <w:rsid w:val="00185D74"/>
    <w:rsid w:val="00186052"/>
    <w:rsid w:val="0018642F"/>
    <w:rsid w:val="00186442"/>
    <w:rsid w:val="001867E3"/>
    <w:rsid w:val="001869E6"/>
    <w:rsid w:val="00186C90"/>
    <w:rsid w:val="001871E7"/>
    <w:rsid w:val="00187F46"/>
    <w:rsid w:val="00187F5D"/>
    <w:rsid w:val="00190148"/>
    <w:rsid w:val="00190F25"/>
    <w:rsid w:val="00191352"/>
    <w:rsid w:val="0019176B"/>
    <w:rsid w:val="0019237E"/>
    <w:rsid w:val="00192897"/>
    <w:rsid w:val="00192A1B"/>
    <w:rsid w:val="00192FFC"/>
    <w:rsid w:val="0019364D"/>
    <w:rsid w:val="00193895"/>
    <w:rsid w:val="001939BA"/>
    <w:rsid w:val="00194363"/>
    <w:rsid w:val="001946D4"/>
    <w:rsid w:val="00194764"/>
    <w:rsid w:val="00194950"/>
    <w:rsid w:val="00194E9D"/>
    <w:rsid w:val="001957FA"/>
    <w:rsid w:val="00195829"/>
    <w:rsid w:val="00195D80"/>
    <w:rsid w:val="00196056"/>
    <w:rsid w:val="00196703"/>
    <w:rsid w:val="00197F30"/>
    <w:rsid w:val="001A0071"/>
    <w:rsid w:val="001A029F"/>
    <w:rsid w:val="001A032A"/>
    <w:rsid w:val="001A03C4"/>
    <w:rsid w:val="001A0B3E"/>
    <w:rsid w:val="001A0C34"/>
    <w:rsid w:val="001A0E1B"/>
    <w:rsid w:val="001A1283"/>
    <w:rsid w:val="001A12B1"/>
    <w:rsid w:val="001A1DD6"/>
    <w:rsid w:val="001A20F4"/>
    <w:rsid w:val="001A2422"/>
    <w:rsid w:val="001A2E73"/>
    <w:rsid w:val="001A3317"/>
    <w:rsid w:val="001A43CA"/>
    <w:rsid w:val="001A4595"/>
    <w:rsid w:val="001A48D7"/>
    <w:rsid w:val="001A4962"/>
    <w:rsid w:val="001A566E"/>
    <w:rsid w:val="001A5ADC"/>
    <w:rsid w:val="001A5E69"/>
    <w:rsid w:val="001A6193"/>
    <w:rsid w:val="001A65F9"/>
    <w:rsid w:val="001A6EB4"/>
    <w:rsid w:val="001A6F7E"/>
    <w:rsid w:val="001A738D"/>
    <w:rsid w:val="001A77FC"/>
    <w:rsid w:val="001A7B5E"/>
    <w:rsid w:val="001B0300"/>
    <w:rsid w:val="001B0339"/>
    <w:rsid w:val="001B041B"/>
    <w:rsid w:val="001B05CA"/>
    <w:rsid w:val="001B1106"/>
    <w:rsid w:val="001B1499"/>
    <w:rsid w:val="001B15A8"/>
    <w:rsid w:val="001B1DD4"/>
    <w:rsid w:val="001B1EFC"/>
    <w:rsid w:val="001B2B88"/>
    <w:rsid w:val="001B2EF9"/>
    <w:rsid w:val="001B338C"/>
    <w:rsid w:val="001B3FC3"/>
    <w:rsid w:val="001B4728"/>
    <w:rsid w:val="001B5876"/>
    <w:rsid w:val="001B5A5B"/>
    <w:rsid w:val="001B6868"/>
    <w:rsid w:val="001B717F"/>
    <w:rsid w:val="001B718F"/>
    <w:rsid w:val="001B795D"/>
    <w:rsid w:val="001B7986"/>
    <w:rsid w:val="001B7CF4"/>
    <w:rsid w:val="001C016D"/>
    <w:rsid w:val="001C0412"/>
    <w:rsid w:val="001C0A2F"/>
    <w:rsid w:val="001C0CB8"/>
    <w:rsid w:val="001C1046"/>
    <w:rsid w:val="001C1392"/>
    <w:rsid w:val="001C1EB4"/>
    <w:rsid w:val="001C22E7"/>
    <w:rsid w:val="001C3157"/>
    <w:rsid w:val="001C3534"/>
    <w:rsid w:val="001C3AB4"/>
    <w:rsid w:val="001C3DF8"/>
    <w:rsid w:val="001C4378"/>
    <w:rsid w:val="001C43D2"/>
    <w:rsid w:val="001C4954"/>
    <w:rsid w:val="001C56E2"/>
    <w:rsid w:val="001C584E"/>
    <w:rsid w:val="001C668F"/>
    <w:rsid w:val="001C6763"/>
    <w:rsid w:val="001C6CBE"/>
    <w:rsid w:val="001C6D3A"/>
    <w:rsid w:val="001C700D"/>
    <w:rsid w:val="001C7735"/>
    <w:rsid w:val="001C7803"/>
    <w:rsid w:val="001C7D93"/>
    <w:rsid w:val="001D058C"/>
    <w:rsid w:val="001D092E"/>
    <w:rsid w:val="001D0B21"/>
    <w:rsid w:val="001D0E03"/>
    <w:rsid w:val="001D1720"/>
    <w:rsid w:val="001D1A9E"/>
    <w:rsid w:val="001D2225"/>
    <w:rsid w:val="001D2419"/>
    <w:rsid w:val="001D2C1B"/>
    <w:rsid w:val="001D371E"/>
    <w:rsid w:val="001D3950"/>
    <w:rsid w:val="001D3A40"/>
    <w:rsid w:val="001D48A4"/>
    <w:rsid w:val="001D4E59"/>
    <w:rsid w:val="001D4E8C"/>
    <w:rsid w:val="001D5314"/>
    <w:rsid w:val="001D56FF"/>
    <w:rsid w:val="001D59CE"/>
    <w:rsid w:val="001D5D73"/>
    <w:rsid w:val="001D65D3"/>
    <w:rsid w:val="001D6B63"/>
    <w:rsid w:val="001D6EA9"/>
    <w:rsid w:val="001D7640"/>
    <w:rsid w:val="001D7CF4"/>
    <w:rsid w:val="001E0E28"/>
    <w:rsid w:val="001E101D"/>
    <w:rsid w:val="001E1076"/>
    <w:rsid w:val="001E1344"/>
    <w:rsid w:val="001E1449"/>
    <w:rsid w:val="001E191E"/>
    <w:rsid w:val="001E22CE"/>
    <w:rsid w:val="001E2598"/>
    <w:rsid w:val="001E40FE"/>
    <w:rsid w:val="001E413B"/>
    <w:rsid w:val="001E4875"/>
    <w:rsid w:val="001E5AE0"/>
    <w:rsid w:val="001E60A3"/>
    <w:rsid w:val="001E65A0"/>
    <w:rsid w:val="001E6ADA"/>
    <w:rsid w:val="001E6AFC"/>
    <w:rsid w:val="001E7AF2"/>
    <w:rsid w:val="001E7B10"/>
    <w:rsid w:val="001E7E05"/>
    <w:rsid w:val="001F01F8"/>
    <w:rsid w:val="001F0464"/>
    <w:rsid w:val="001F0AD5"/>
    <w:rsid w:val="001F1062"/>
    <w:rsid w:val="001F141F"/>
    <w:rsid w:val="001F1B5C"/>
    <w:rsid w:val="001F1BA7"/>
    <w:rsid w:val="001F291E"/>
    <w:rsid w:val="001F2B67"/>
    <w:rsid w:val="001F34BF"/>
    <w:rsid w:val="001F35F6"/>
    <w:rsid w:val="001F386D"/>
    <w:rsid w:val="001F3CE4"/>
    <w:rsid w:val="001F428A"/>
    <w:rsid w:val="001F5023"/>
    <w:rsid w:val="001F62E4"/>
    <w:rsid w:val="001F6BCF"/>
    <w:rsid w:val="001F6F76"/>
    <w:rsid w:val="001F70EE"/>
    <w:rsid w:val="001F73B9"/>
    <w:rsid w:val="001F7E01"/>
    <w:rsid w:val="0020034F"/>
    <w:rsid w:val="002003D8"/>
    <w:rsid w:val="002008D6"/>
    <w:rsid w:val="00201DDB"/>
    <w:rsid w:val="00202C06"/>
    <w:rsid w:val="00202D9B"/>
    <w:rsid w:val="00202F19"/>
    <w:rsid w:val="00202FEC"/>
    <w:rsid w:val="002039B9"/>
    <w:rsid w:val="00203A44"/>
    <w:rsid w:val="00204D8F"/>
    <w:rsid w:val="00204EBF"/>
    <w:rsid w:val="00205045"/>
    <w:rsid w:val="00205491"/>
    <w:rsid w:val="002062D2"/>
    <w:rsid w:val="00206AA6"/>
    <w:rsid w:val="00206D5B"/>
    <w:rsid w:val="00207A70"/>
    <w:rsid w:val="002106FB"/>
    <w:rsid w:val="00211C1A"/>
    <w:rsid w:val="002125F3"/>
    <w:rsid w:val="00212A27"/>
    <w:rsid w:val="00212E6D"/>
    <w:rsid w:val="0021304B"/>
    <w:rsid w:val="0021323F"/>
    <w:rsid w:val="002144FE"/>
    <w:rsid w:val="00214CF0"/>
    <w:rsid w:val="00214D94"/>
    <w:rsid w:val="00214DED"/>
    <w:rsid w:val="0021592C"/>
    <w:rsid w:val="00215F96"/>
    <w:rsid w:val="00216AF5"/>
    <w:rsid w:val="00216CC8"/>
    <w:rsid w:val="00217115"/>
    <w:rsid w:val="0021713C"/>
    <w:rsid w:val="00217575"/>
    <w:rsid w:val="002213D5"/>
    <w:rsid w:val="002218DC"/>
    <w:rsid w:val="00222BC2"/>
    <w:rsid w:val="00222C5C"/>
    <w:rsid w:val="00223B56"/>
    <w:rsid w:val="00223DEF"/>
    <w:rsid w:val="00224728"/>
    <w:rsid w:val="002250FB"/>
    <w:rsid w:val="00225861"/>
    <w:rsid w:val="00225B1D"/>
    <w:rsid w:val="00225E40"/>
    <w:rsid w:val="002267EE"/>
    <w:rsid w:val="00226993"/>
    <w:rsid w:val="00226E2E"/>
    <w:rsid w:val="00227058"/>
    <w:rsid w:val="00227272"/>
    <w:rsid w:val="0023043A"/>
    <w:rsid w:val="002306A0"/>
    <w:rsid w:val="0023134A"/>
    <w:rsid w:val="00231907"/>
    <w:rsid w:val="00231BB1"/>
    <w:rsid w:val="00231DA9"/>
    <w:rsid w:val="00232010"/>
    <w:rsid w:val="002321B0"/>
    <w:rsid w:val="00232F33"/>
    <w:rsid w:val="00233109"/>
    <w:rsid w:val="002333E1"/>
    <w:rsid w:val="00233C10"/>
    <w:rsid w:val="0023445E"/>
    <w:rsid w:val="00234569"/>
    <w:rsid w:val="00235297"/>
    <w:rsid w:val="0023583E"/>
    <w:rsid w:val="00235954"/>
    <w:rsid w:val="00235C89"/>
    <w:rsid w:val="00235F06"/>
    <w:rsid w:val="0023650F"/>
    <w:rsid w:val="0023704D"/>
    <w:rsid w:val="00237259"/>
    <w:rsid w:val="002372BF"/>
    <w:rsid w:val="0023749E"/>
    <w:rsid w:val="00237535"/>
    <w:rsid w:val="00237AF8"/>
    <w:rsid w:val="00237B37"/>
    <w:rsid w:val="0024020E"/>
    <w:rsid w:val="00240287"/>
    <w:rsid w:val="00240492"/>
    <w:rsid w:val="00240F99"/>
    <w:rsid w:val="00241095"/>
    <w:rsid w:val="00241BCE"/>
    <w:rsid w:val="0024221B"/>
    <w:rsid w:val="00242338"/>
    <w:rsid w:val="002431DC"/>
    <w:rsid w:val="002431F3"/>
    <w:rsid w:val="0024352C"/>
    <w:rsid w:val="00243533"/>
    <w:rsid w:val="002439F5"/>
    <w:rsid w:val="00243A81"/>
    <w:rsid w:val="0024502D"/>
    <w:rsid w:val="0024586B"/>
    <w:rsid w:val="00245A69"/>
    <w:rsid w:val="00245BEC"/>
    <w:rsid w:val="00245CAF"/>
    <w:rsid w:val="00246836"/>
    <w:rsid w:val="00246AF7"/>
    <w:rsid w:val="00246F65"/>
    <w:rsid w:val="002473A2"/>
    <w:rsid w:val="002506D5"/>
    <w:rsid w:val="00250D99"/>
    <w:rsid w:val="002512A0"/>
    <w:rsid w:val="00251694"/>
    <w:rsid w:val="002521EF"/>
    <w:rsid w:val="0025278F"/>
    <w:rsid w:val="00252C4A"/>
    <w:rsid w:val="00252F7B"/>
    <w:rsid w:val="00253030"/>
    <w:rsid w:val="00253746"/>
    <w:rsid w:val="002540D1"/>
    <w:rsid w:val="00254A2C"/>
    <w:rsid w:val="00254C52"/>
    <w:rsid w:val="002558B6"/>
    <w:rsid w:val="002562F5"/>
    <w:rsid w:val="00256875"/>
    <w:rsid w:val="002570F5"/>
    <w:rsid w:val="002603C5"/>
    <w:rsid w:val="0026052B"/>
    <w:rsid w:val="002605A4"/>
    <w:rsid w:val="00260813"/>
    <w:rsid w:val="002611E4"/>
    <w:rsid w:val="0026126C"/>
    <w:rsid w:val="002619A4"/>
    <w:rsid w:val="00262088"/>
    <w:rsid w:val="00262250"/>
    <w:rsid w:val="0026228F"/>
    <w:rsid w:val="00262735"/>
    <w:rsid w:val="0026307F"/>
    <w:rsid w:val="002633E1"/>
    <w:rsid w:val="002638C0"/>
    <w:rsid w:val="00263B33"/>
    <w:rsid w:val="002640A4"/>
    <w:rsid w:val="0026415B"/>
    <w:rsid w:val="0026472C"/>
    <w:rsid w:val="00265300"/>
    <w:rsid w:val="00265374"/>
    <w:rsid w:val="002656DC"/>
    <w:rsid w:val="00265F0B"/>
    <w:rsid w:val="00266360"/>
    <w:rsid w:val="002668C4"/>
    <w:rsid w:val="00266A93"/>
    <w:rsid w:val="00266AC4"/>
    <w:rsid w:val="00267216"/>
    <w:rsid w:val="00267223"/>
    <w:rsid w:val="00270175"/>
    <w:rsid w:val="002705DA"/>
    <w:rsid w:val="0027115A"/>
    <w:rsid w:val="002711AD"/>
    <w:rsid w:val="00271363"/>
    <w:rsid w:val="00271380"/>
    <w:rsid w:val="0027138C"/>
    <w:rsid w:val="0027164C"/>
    <w:rsid w:val="00271833"/>
    <w:rsid w:val="00271908"/>
    <w:rsid w:val="00271F71"/>
    <w:rsid w:val="00272087"/>
    <w:rsid w:val="002720F9"/>
    <w:rsid w:val="0027238A"/>
    <w:rsid w:val="00272463"/>
    <w:rsid w:val="002727A8"/>
    <w:rsid w:val="002727B2"/>
    <w:rsid w:val="00272C87"/>
    <w:rsid w:val="00272E54"/>
    <w:rsid w:val="00273479"/>
    <w:rsid w:val="002735A7"/>
    <w:rsid w:val="00273622"/>
    <w:rsid w:val="00273799"/>
    <w:rsid w:val="00273A33"/>
    <w:rsid w:val="00273C61"/>
    <w:rsid w:val="00273C8C"/>
    <w:rsid w:val="00274517"/>
    <w:rsid w:val="00274CBE"/>
    <w:rsid w:val="002753B1"/>
    <w:rsid w:val="0027634D"/>
    <w:rsid w:val="00276411"/>
    <w:rsid w:val="00276757"/>
    <w:rsid w:val="00276AAF"/>
    <w:rsid w:val="00277748"/>
    <w:rsid w:val="002801F8"/>
    <w:rsid w:val="00280A9A"/>
    <w:rsid w:val="00281D05"/>
    <w:rsid w:val="00282761"/>
    <w:rsid w:val="00282FC7"/>
    <w:rsid w:val="00283049"/>
    <w:rsid w:val="0028381E"/>
    <w:rsid w:val="002843D1"/>
    <w:rsid w:val="002845A3"/>
    <w:rsid w:val="002852C8"/>
    <w:rsid w:val="002856C8"/>
    <w:rsid w:val="00286F90"/>
    <w:rsid w:val="00287D69"/>
    <w:rsid w:val="0029008C"/>
    <w:rsid w:val="0029019C"/>
    <w:rsid w:val="00290659"/>
    <w:rsid w:val="00290735"/>
    <w:rsid w:val="002913A0"/>
    <w:rsid w:val="00292003"/>
    <w:rsid w:val="002920A0"/>
    <w:rsid w:val="002925AF"/>
    <w:rsid w:val="0029266D"/>
    <w:rsid w:val="00292D74"/>
    <w:rsid w:val="00293465"/>
    <w:rsid w:val="0029375A"/>
    <w:rsid w:val="00293911"/>
    <w:rsid w:val="00294447"/>
    <w:rsid w:val="002945D6"/>
    <w:rsid w:val="002948AC"/>
    <w:rsid w:val="00294C0C"/>
    <w:rsid w:val="002951B0"/>
    <w:rsid w:val="0029520B"/>
    <w:rsid w:val="00295792"/>
    <w:rsid w:val="002957AE"/>
    <w:rsid w:val="0029641C"/>
    <w:rsid w:val="0029688E"/>
    <w:rsid w:val="00297AC8"/>
    <w:rsid w:val="002A01A7"/>
    <w:rsid w:val="002A0DF7"/>
    <w:rsid w:val="002A18F8"/>
    <w:rsid w:val="002A1C2C"/>
    <w:rsid w:val="002A1DD3"/>
    <w:rsid w:val="002A2775"/>
    <w:rsid w:val="002A2D65"/>
    <w:rsid w:val="002A31A4"/>
    <w:rsid w:val="002A48E1"/>
    <w:rsid w:val="002A4C30"/>
    <w:rsid w:val="002A5BD7"/>
    <w:rsid w:val="002A62BC"/>
    <w:rsid w:val="002A710D"/>
    <w:rsid w:val="002A740A"/>
    <w:rsid w:val="002A78C5"/>
    <w:rsid w:val="002B001C"/>
    <w:rsid w:val="002B001D"/>
    <w:rsid w:val="002B01D4"/>
    <w:rsid w:val="002B05C5"/>
    <w:rsid w:val="002B066D"/>
    <w:rsid w:val="002B0820"/>
    <w:rsid w:val="002B0AC9"/>
    <w:rsid w:val="002B0D90"/>
    <w:rsid w:val="002B15E5"/>
    <w:rsid w:val="002B19F5"/>
    <w:rsid w:val="002B1B75"/>
    <w:rsid w:val="002B24C5"/>
    <w:rsid w:val="002B27A3"/>
    <w:rsid w:val="002B38B1"/>
    <w:rsid w:val="002B46D5"/>
    <w:rsid w:val="002B4770"/>
    <w:rsid w:val="002B48A4"/>
    <w:rsid w:val="002B4E13"/>
    <w:rsid w:val="002B5578"/>
    <w:rsid w:val="002B5AD8"/>
    <w:rsid w:val="002B608C"/>
    <w:rsid w:val="002B640A"/>
    <w:rsid w:val="002B6663"/>
    <w:rsid w:val="002B6788"/>
    <w:rsid w:val="002B68C3"/>
    <w:rsid w:val="002B7A59"/>
    <w:rsid w:val="002C07C9"/>
    <w:rsid w:val="002C0AE5"/>
    <w:rsid w:val="002C0BA0"/>
    <w:rsid w:val="002C16C8"/>
    <w:rsid w:val="002C1B2F"/>
    <w:rsid w:val="002C1EAE"/>
    <w:rsid w:val="002C2213"/>
    <w:rsid w:val="002C2804"/>
    <w:rsid w:val="002C2854"/>
    <w:rsid w:val="002C2DFC"/>
    <w:rsid w:val="002C3F9E"/>
    <w:rsid w:val="002C4009"/>
    <w:rsid w:val="002C402D"/>
    <w:rsid w:val="002C4040"/>
    <w:rsid w:val="002C48C0"/>
    <w:rsid w:val="002C4D7E"/>
    <w:rsid w:val="002C6BBA"/>
    <w:rsid w:val="002C75EE"/>
    <w:rsid w:val="002D0187"/>
    <w:rsid w:val="002D02E9"/>
    <w:rsid w:val="002D0472"/>
    <w:rsid w:val="002D0561"/>
    <w:rsid w:val="002D209F"/>
    <w:rsid w:val="002D43B4"/>
    <w:rsid w:val="002D4816"/>
    <w:rsid w:val="002D4B3A"/>
    <w:rsid w:val="002D4E7A"/>
    <w:rsid w:val="002D4FFA"/>
    <w:rsid w:val="002D54CC"/>
    <w:rsid w:val="002D590A"/>
    <w:rsid w:val="002D609B"/>
    <w:rsid w:val="002D61C6"/>
    <w:rsid w:val="002D70D6"/>
    <w:rsid w:val="002D79CF"/>
    <w:rsid w:val="002D79DF"/>
    <w:rsid w:val="002D7B0A"/>
    <w:rsid w:val="002E022E"/>
    <w:rsid w:val="002E0792"/>
    <w:rsid w:val="002E09FE"/>
    <w:rsid w:val="002E0CB7"/>
    <w:rsid w:val="002E12AB"/>
    <w:rsid w:val="002E16AC"/>
    <w:rsid w:val="002E18CF"/>
    <w:rsid w:val="002E18E2"/>
    <w:rsid w:val="002E192A"/>
    <w:rsid w:val="002E1BD8"/>
    <w:rsid w:val="002E1D2B"/>
    <w:rsid w:val="002E2D17"/>
    <w:rsid w:val="002E335E"/>
    <w:rsid w:val="002E3B72"/>
    <w:rsid w:val="002E504F"/>
    <w:rsid w:val="002E54B2"/>
    <w:rsid w:val="002E5603"/>
    <w:rsid w:val="002E5F1B"/>
    <w:rsid w:val="002E7A8B"/>
    <w:rsid w:val="002E7AEE"/>
    <w:rsid w:val="002E7CDB"/>
    <w:rsid w:val="002F0119"/>
    <w:rsid w:val="002F15BE"/>
    <w:rsid w:val="002F1C11"/>
    <w:rsid w:val="002F1D31"/>
    <w:rsid w:val="002F1EB4"/>
    <w:rsid w:val="002F2142"/>
    <w:rsid w:val="002F29E2"/>
    <w:rsid w:val="002F41E9"/>
    <w:rsid w:val="002F448B"/>
    <w:rsid w:val="002F4D36"/>
    <w:rsid w:val="002F5C64"/>
    <w:rsid w:val="002F5F2C"/>
    <w:rsid w:val="002F6675"/>
    <w:rsid w:val="002F6D62"/>
    <w:rsid w:val="002F6F97"/>
    <w:rsid w:val="002F71BE"/>
    <w:rsid w:val="002F7220"/>
    <w:rsid w:val="002F74D4"/>
    <w:rsid w:val="002F78F9"/>
    <w:rsid w:val="002F7A05"/>
    <w:rsid w:val="003000B2"/>
    <w:rsid w:val="00300F8F"/>
    <w:rsid w:val="00301243"/>
    <w:rsid w:val="0030135F"/>
    <w:rsid w:val="00302483"/>
    <w:rsid w:val="003024BC"/>
    <w:rsid w:val="00302545"/>
    <w:rsid w:val="00302F06"/>
    <w:rsid w:val="0030312D"/>
    <w:rsid w:val="0030504D"/>
    <w:rsid w:val="003053F3"/>
    <w:rsid w:val="0030568E"/>
    <w:rsid w:val="00306AE8"/>
    <w:rsid w:val="00306F05"/>
    <w:rsid w:val="00307BDC"/>
    <w:rsid w:val="00310048"/>
    <w:rsid w:val="0031019F"/>
    <w:rsid w:val="003104B2"/>
    <w:rsid w:val="00312F80"/>
    <w:rsid w:val="00313205"/>
    <w:rsid w:val="003133FD"/>
    <w:rsid w:val="0031396A"/>
    <w:rsid w:val="00313ACB"/>
    <w:rsid w:val="00313B59"/>
    <w:rsid w:val="00313EE9"/>
    <w:rsid w:val="00314B41"/>
    <w:rsid w:val="00314B90"/>
    <w:rsid w:val="00314C7B"/>
    <w:rsid w:val="00314ED6"/>
    <w:rsid w:val="00315065"/>
    <w:rsid w:val="00315AFA"/>
    <w:rsid w:val="00316169"/>
    <w:rsid w:val="00316DC5"/>
    <w:rsid w:val="003173B1"/>
    <w:rsid w:val="00317438"/>
    <w:rsid w:val="003176E1"/>
    <w:rsid w:val="00320959"/>
    <w:rsid w:val="0032095E"/>
    <w:rsid w:val="0032126B"/>
    <w:rsid w:val="003213A0"/>
    <w:rsid w:val="00321436"/>
    <w:rsid w:val="0032161B"/>
    <w:rsid w:val="0032191C"/>
    <w:rsid w:val="00323A21"/>
    <w:rsid w:val="00323DEC"/>
    <w:rsid w:val="003245E1"/>
    <w:rsid w:val="00325ECD"/>
    <w:rsid w:val="003265DE"/>
    <w:rsid w:val="0032733D"/>
    <w:rsid w:val="003275EB"/>
    <w:rsid w:val="00327B32"/>
    <w:rsid w:val="00330177"/>
    <w:rsid w:val="003301A9"/>
    <w:rsid w:val="003302CC"/>
    <w:rsid w:val="00331821"/>
    <w:rsid w:val="00331EEF"/>
    <w:rsid w:val="0033201F"/>
    <w:rsid w:val="00332C95"/>
    <w:rsid w:val="0033313A"/>
    <w:rsid w:val="003334DE"/>
    <w:rsid w:val="003338FA"/>
    <w:rsid w:val="00333B64"/>
    <w:rsid w:val="00333D3D"/>
    <w:rsid w:val="0033426B"/>
    <w:rsid w:val="00334747"/>
    <w:rsid w:val="0033482E"/>
    <w:rsid w:val="003348AF"/>
    <w:rsid w:val="00334A8C"/>
    <w:rsid w:val="0033516D"/>
    <w:rsid w:val="00335287"/>
    <w:rsid w:val="00335474"/>
    <w:rsid w:val="003354EA"/>
    <w:rsid w:val="00335967"/>
    <w:rsid w:val="003360E5"/>
    <w:rsid w:val="003366E3"/>
    <w:rsid w:val="00336876"/>
    <w:rsid w:val="00336C36"/>
    <w:rsid w:val="003374A7"/>
    <w:rsid w:val="00337603"/>
    <w:rsid w:val="00337A7E"/>
    <w:rsid w:val="00337B80"/>
    <w:rsid w:val="00337D96"/>
    <w:rsid w:val="00337F1E"/>
    <w:rsid w:val="003401B0"/>
    <w:rsid w:val="003407C1"/>
    <w:rsid w:val="00340D7D"/>
    <w:rsid w:val="00340FB0"/>
    <w:rsid w:val="00341CB4"/>
    <w:rsid w:val="00341FDC"/>
    <w:rsid w:val="00342510"/>
    <w:rsid w:val="00342728"/>
    <w:rsid w:val="003433AE"/>
    <w:rsid w:val="003438A1"/>
    <w:rsid w:val="00343B1A"/>
    <w:rsid w:val="00343CA7"/>
    <w:rsid w:val="0034419C"/>
    <w:rsid w:val="003442BD"/>
    <w:rsid w:val="003443E8"/>
    <w:rsid w:val="003444C2"/>
    <w:rsid w:val="00345C83"/>
    <w:rsid w:val="003462D4"/>
    <w:rsid w:val="003465DC"/>
    <w:rsid w:val="003469CA"/>
    <w:rsid w:val="00346B98"/>
    <w:rsid w:val="00346FFA"/>
    <w:rsid w:val="00347044"/>
    <w:rsid w:val="003477B1"/>
    <w:rsid w:val="0034796D"/>
    <w:rsid w:val="00347B1D"/>
    <w:rsid w:val="00347E0B"/>
    <w:rsid w:val="003501E6"/>
    <w:rsid w:val="003506B6"/>
    <w:rsid w:val="00350E70"/>
    <w:rsid w:val="00351170"/>
    <w:rsid w:val="003511E5"/>
    <w:rsid w:val="00351255"/>
    <w:rsid w:val="00351506"/>
    <w:rsid w:val="0035174F"/>
    <w:rsid w:val="0035187E"/>
    <w:rsid w:val="0035233A"/>
    <w:rsid w:val="00353390"/>
    <w:rsid w:val="00354B4F"/>
    <w:rsid w:val="0035518D"/>
    <w:rsid w:val="00355658"/>
    <w:rsid w:val="003562AD"/>
    <w:rsid w:val="003564F0"/>
    <w:rsid w:val="00356B7F"/>
    <w:rsid w:val="003578ED"/>
    <w:rsid w:val="00360274"/>
    <w:rsid w:val="00361B86"/>
    <w:rsid w:val="00361BD5"/>
    <w:rsid w:val="00361C04"/>
    <w:rsid w:val="00361EB1"/>
    <w:rsid w:val="00362D01"/>
    <w:rsid w:val="00362FC0"/>
    <w:rsid w:val="0036424B"/>
    <w:rsid w:val="00364280"/>
    <w:rsid w:val="00364328"/>
    <w:rsid w:val="00364529"/>
    <w:rsid w:val="00364D60"/>
    <w:rsid w:val="00365236"/>
    <w:rsid w:val="00365E8A"/>
    <w:rsid w:val="003660CD"/>
    <w:rsid w:val="0036615B"/>
    <w:rsid w:val="0036696D"/>
    <w:rsid w:val="00370184"/>
    <w:rsid w:val="0037021D"/>
    <w:rsid w:val="00370590"/>
    <w:rsid w:val="00370ECA"/>
    <w:rsid w:val="00370ECF"/>
    <w:rsid w:val="003714E2"/>
    <w:rsid w:val="0037172E"/>
    <w:rsid w:val="003717C2"/>
    <w:rsid w:val="00371B4F"/>
    <w:rsid w:val="00371CC1"/>
    <w:rsid w:val="00372460"/>
    <w:rsid w:val="003725FE"/>
    <w:rsid w:val="00372E18"/>
    <w:rsid w:val="0037308E"/>
    <w:rsid w:val="003736B5"/>
    <w:rsid w:val="003739A1"/>
    <w:rsid w:val="00373DE8"/>
    <w:rsid w:val="00374300"/>
    <w:rsid w:val="00374459"/>
    <w:rsid w:val="00375116"/>
    <w:rsid w:val="0037562E"/>
    <w:rsid w:val="003756C5"/>
    <w:rsid w:val="00375858"/>
    <w:rsid w:val="00375FF7"/>
    <w:rsid w:val="00376443"/>
    <w:rsid w:val="0037685D"/>
    <w:rsid w:val="00376963"/>
    <w:rsid w:val="00376A11"/>
    <w:rsid w:val="00376AF8"/>
    <w:rsid w:val="0037707E"/>
    <w:rsid w:val="0037771B"/>
    <w:rsid w:val="00377987"/>
    <w:rsid w:val="0038050B"/>
    <w:rsid w:val="003806B2"/>
    <w:rsid w:val="00380BEC"/>
    <w:rsid w:val="00381452"/>
    <w:rsid w:val="00381E38"/>
    <w:rsid w:val="00382173"/>
    <w:rsid w:val="00382CAD"/>
    <w:rsid w:val="00382DC2"/>
    <w:rsid w:val="00382EDD"/>
    <w:rsid w:val="0038313E"/>
    <w:rsid w:val="003833DB"/>
    <w:rsid w:val="00383BE6"/>
    <w:rsid w:val="003842B5"/>
    <w:rsid w:val="0038437F"/>
    <w:rsid w:val="00384A95"/>
    <w:rsid w:val="00385217"/>
    <w:rsid w:val="00385488"/>
    <w:rsid w:val="003854E0"/>
    <w:rsid w:val="00385C1E"/>
    <w:rsid w:val="00385E2C"/>
    <w:rsid w:val="00385F20"/>
    <w:rsid w:val="00386555"/>
    <w:rsid w:val="003866AE"/>
    <w:rsid w:val="0039005F"/>
    <w:rsid w:val="00390A17"/>
    <w:rsid w:val="00390C5E"/>
    <w:rsid w:val="00390D8F"/>
    <w:rsid w:val="00390F67"/>
    <w:rsid w:val="00391ADF"/>
    <w:rsid w:val="00391CE3"/>
    <w:rsid w:val="00392586"/>
    <w:rsid w:val="0039288E"/>
    <w:rsid w:val="00392EEF"/>
    <w:rsid w:val="00393159"/>
    <w:rsid w:val="00393599"/>
    <w:rsid w:val="00393CCD"/>
    <w:rsid w:val="003946AE"/>
    <w:rsid w:val="0039471C"/>
    <w:rsid w:val="00394D46"/>
    <w:rsid w:val="00394DBD"/>
    <w:rsid w:val="00395575"/>
    <w:rsid w:val="00396667"/>
    <w:rsid w:val="00396D7C"/>
    <w:rsid w:val="00396FDB"/>
    <w:rsid w:val="003972C2"/>
    <w:rsid w:val="003972FF"/>
    <w:rsid w:val="00397917"/>
    <w:rsid w:val="00397EBE"/>
    <w:rsid w:val="003A00B9"/>
    <w:rsid w:val="003A0160"/>
    <w:rsid w:val="003A0329"/>
    <w:rsid w:val="003A1040"/>
    <w:rsid w:val="003A1ABF"/>
    <w:rsid w:val="003A1F34"/>
    <w:rsid w:val="003A2B25"/>
    <w:rsid w:val="003A2D7E"/>
    <w:rsid w:val="003A2F21"/>
    <w:rsid w:val="003A3056"/>
    <w:rsid w:val="003A3AEC"/>
    <w:rsid w:val="003A3F9C"/>
    <w:rsid w:val="003A43C4"/>
    <w:rsid w:val="003A4DAF"/>
    <w:rsid w:val="003A51EF"/>
    <w:rsid w:val="003A55B2"/>
    <w:rsid w:val="003A671D"/>
    <w:rsid w:val="003A6994"/>
    <w:rsid w:val="003A6E57"/>
    <w:rsid w:val="003A71A9"/>
    <w:rsid w:val="003A7ED0"/>
    <w:rsid w:val="003B0B20"/>
    <w:rsid w:val="003B0C4A"/>
    <w:rsid w:val="003B141C"/>
    <w:rsid w:val="003B15EC"/>
    <w:rsid w:val="003B2351"/>
    <w:rsid w:val="003B2C1C"/>
    <w:rsid w:val="003B30B4"/>
    <w:rsid w:val="003B31A9"/>
    <w:rsid w:val="003B35DC"/>
    <w:rsid w:val="003B4622"/>
    <w:rsid w:val="003B4CA4"/>
    <w:rsid w:val="003B5AE2"/>
    <w:rsid w:val="003B5C23"/>
    <w:rsid w:val="003B6483"/>
    <w:rsid w:val="003B6BC2"/>
    <w:rsid w:val="003B6DB1"/>
    <w:rsid w:val="003B6E77"/>
    <w:rsid w:val="003B71C3"/>
    <w:rsid w:val="003C07DB"/>
    <w:rsid w:val="003C10BD"/>
    <w:rsid w:val="003C20AE"/>
    <w:rsid w:val="003C2792"/>
    <w:rsid w:val="003C3A1B"/>
    <w:rsid w:val="003C49AD"/>
    <w:rsid w:val="003C49B7"/>
    <w:rsid w:val="003C4B56"/>
    <w:rsid w:val="003C4FF3"/>
    <w:rsid w:val="003C5CCF"/>
    <w:rsid w:val="003C5CFB"/>
    <w:rsid w:val="003C6E38"/>
    <w:rsid w:val="003C7166"/>
    <w:rsid w:val="003C7828"/>
    <w:rsid w:val="003C7C5E"/>
    <w:rsid w:val="003C7DAB"/>
    <w:rsid w:val="003D062E"/>
    <w:rsid w:val="003D0653"/>
    <w:rsid w:val="003D079D"/>
    <w:rsid w:val="003D082B"/>
    <w:rsid w:val="003D102F"/>
    <w:rsid w:val="003D1B18"/>
    <w:rsid w:val="003D2C3B"/>
    <w:rsid w:val="003D3093"/>
    <w:rsid w:val="003D3340"/>
    <w:rsid w:val="003D3445"/>
    <w:rsid w:val="003D3C03"/>
    <w:rsid w:val="003D4D09"/>
    <w:rsid w:val="003D53B6"/>
    <w:rsid w:val="003D5BB7"/>
    <w:rsid w:val="003D5C39"/>
    <w:rsid w:val="003D63CE"/>
    <w:rsid w:val="003D7590"/>
    <w:rsid w:val="003D7F4C"/>
    <w:rsid w:val="003E011B"/>
    <w:rsid w:val="003E079C"/>
    <w:rsid w:val="003E0906"/>
    <w:rsid w:val="003E0B01"/>
    <w:rsid w:val="003E1006"/>
    <w:rsid w:val="003E145C"/>
    <w:rsid w:val="003E17FC"/>
    <w:rsid w:val="003E195B"/>
    <w:rsid w:val="003E1A0E"/>
    <w:rsid w:val="003E1BF7"/>
    <w:rsid w:val="003E1C5D"/>
    <w:rsid w:val="003E1F85"/>
    <w:rsid w:val="003E2417"/>
    <w:rsid w:val="003E28F0"/>
    <w:rsid w:val="003E2DFD"/>
    <w:rsid w:val="003E2F41"/>
    <w:rsid w:val="003E3222"/>
    <w:rsid w:val="003E3CB0"/>
    <w:rsid w:val="003E4A83"/>
    <w:rsid w:val="003E4ACD"/>
    <w:rsid w:val="003E52A2"/>
    <w:rsid w:val="003E5382"/>
    <w:rsid w:val="003E5811"/>
    <w:rsid w:val="003E5823"/>
    <w:rsid w:val="003E5CE3"/>
    <w:rsid w:val="003E6215"/>
    <w:rsid w:val="003E66D2"/>
    <w:rsid w:val="003E720C"/>
    <w:rsid w:val="003E73AF"/>
    <w:rsid w:val="003E73F5"/>
    <w:rsid w:val="003E73FF"/>
    <w:rsid w:val="003E7ACA"/>
    <w:rsid w:val="003F00B3"/>
    <w:rsid w:val="003F033E"/>
    <w:rsid w:val="003F3545"/>
    <w:rsid w:val="003F3958"/>
    <w:rsid w:val="003F3BC7"/>
    <w:rsid w:val="003F3DE2"/>
    <w:rsid w:val="003F3DE4"/>
    <w:rsid w:val="003F3F7C"/>
    <w:rsid w:val="003F435C"/>
    <w:rsid w:val="003F4CD4"/>
    <w:rsid w:val="003F4D52"/>
    <w:rsid w:val="003F4D7C"/>
    <w:rsid w:val="003F4EB0"/>
    <w:rsid w:val="003F56A9"/>
    <w:rsid w:val="003F57A0"/>
    <w:rsid w:val="003F5B72"/>
    <w:rsid w:val="003F5E16"/>
    <w:rsid w:val="003F63E4"/>
    <w:rsid w:val="003F6B51"/>
    <w:rsid w:val="003F6E9C"/>
    <w:rsid w:val="003F6F7D"/>
    <w:rsid w:val="003F7FBD"/>
    <w:rsid w:val="00400ECF"/>
    <w:rsid w:val="0040157E"/>
    <w:rsid w:val="00401DE1"/>
    <w:rsid w:val="004021FD"/>
    <w:rsid w:val="00402527"/>
    <w:rsid w:val="00402D42"/>
    <w:rsid w:val="004036CD"/>
    <w:rsid w:val="00403796"/>
    <w:rsid w:val="004039A5"/>
    <w:rsid w:val="00403A8E"/>
    <w:rsid w:val="00403F0E"/>
    <w:rsid w:val="00403FB7"/>
    <w:rsid w:val="00404B32"/>
    <w:rsid w:val="00405005"/>
    <w:rsid w:val="00405057"/>
    <w:rsid w:val="0040520D"/>
    <w:rsid w:val="00405548"/>
    <w:rsid w:val="00405570"/>
    <w:rsid w:val="004058DC"/>
    <w:rsid w:val="00405B65"/>
    <w:rsid w:val="004064DE"/>
    <w:rsid w:val="00406C39"/>
    <w:rsid w:val="0040798E"/>
    <w:rsid w:val="00407B84"/>
    <w:rsid w:val="00410906"/>
    <w:rsid w:val="0041131C"/>
    <w:rsid w:val="00411759"/>
    <w:rsid w:val="00411F90"/>
    <w:rsid w:val="004138EE"/>
    <w:rsid w:val="0041393E"/>
    <w:rsid w:val="00413A16"/>
    <w:rsid w:val="00413AD6"/>
    <w:rsid w:val="00413B29"/>
    <w:rsid w:val="00413BDC"/>
    <w:rsid w:val="00413D60"/>
    <w:rsid w:val="004145D2"/>
    <w:rsid w:val="00414B50"/>
    <w:rsid w:val="00414E0B"/>
    <w:rsid w:val="00414F09"/>
    <w:rsid w:val="00415369"/>
    <w:rsid w:val="00415702"/>
    <w:rsid w:val="0041599E"/>
    <w:rsid w:val="00415AF9"/>
    <w:rsid w:val="00415B52"/>
    <w:rsid w:val="00416B28"/>
    <w:rsid w:val="00416E5C"/>
    <w:rsid w:val="0041758B"/>
    <w:rsid w:val="00417AB4"/>
    <w:rsid w:val="00420926"/>
    <w:rsid w:val="00420B77"/>
    <w:rsid w:val="004218DC"/>
    <w:rsid w:val="004223FF"/>
    <w:rsid w:val="00422540"/>
    <w:rsid w:val="00422756"/>
    <w:rsid w:val="0042296A"/>
    <w:rsid w:val="0042333E"/>
    <w:rsid w:val="0042362B"/>
    <w:rsid w:val="004238CA"/>
    <w:rsid w:val="004238F6"/>
    <w:rsid w:val="004242D7"/>
    <w:rsid w:val="00425527"/>
    <w:rsid w:val="00425632"/>
    <w:rsid w:val="00425652"/>
    <w:rsid w:val="004268DB"/>
    <w:rsid w:val="00426996"/>
    <w:rsid w:val="00426D3F"/>
    <w:rsid w:val="00427882"/>
    <w:rsid w:val="00430E87"/>
    <w:rsid w:val="004317CB"/>
    <w:rsid w:val="004320AE"/>
    <w:rsid w:val="0043269A"/>
    <w:rsid w:val="00432769"/>
    <w:rsid w:val="00432B54"/>
    <w:rsid w:val="00432BFE"/>
    <w:rsid w:val="004339E9"/>
    <w:rsid w:val="00433A3E"/>
    <w:rsid w:val="00434339"/>
    <w:rsid w:val="00434D3E"/>
    <w:rsid w:val="00434DC9"/>
    <w:rsid w:val="004352C7"/>
    <w:rsid w:val="004353D0"/>
    <w:rsid w:val="00436A7C"/>
    <w:rsid w:val="00436D43"/>
    <w:rsid w:val="0043707E"/>
    <w:rsid w:val="004375D1"/>
    <w:rsid w:val="004377D3"/>
    <w:rsid w:val="00437A36"/>
    <w:rsid w:val="00437A85"/>
    <w:rsid w:val="00437BF7"/>
    <w:rsid w:val="0044089A"/>
    <w:rsid w:val="004414C6"/>
    <w:rsid w:val="00442AC9"/>
    <w:rsid w:val="00442B4B"/>
    <w:rsid w:val="00443420"/>
    <w:rsid w:val="0044358D"/>
    <w:rsid w:val="004436E0"/>
    <w:rsid w:val="0044379F"/>
    <w:rsid w:val="00444277"/>
    <w:rsid w:val="004442FE"/>
    <w:rsid w:val="00444A64"/>
    <w:rsid w:val="00444C72"/>
    <w:rsid w:val="00444F4E"/>
    <w:rsid w:val="00445297"/>
    <w:rsid w:val="004455BD"/>
    <w:rsid w:val="00445D3E"/>
    <w:rsid w:val="004464E1"/>
    <w:rsid w:val="00446612"/>
    <w:rsid w:val="00446755"/>
    <w:rsid w:val="00446CBA"/>
    <w:rsid w:val="00446FE1"/>
    <w:rsid w:val="00447B71"/>
    <w:rsid w:val="00447BFD"/>
    <w:rsid w:val="00447EE9"/>
    <w:rsid w:val="00447FDD"/>
    <w:rsid w:val="0045065A"/>
    <w:rsid w:val="004509AD"/>
    <w:rsid w:val="004510D2"/>
    <w:rsid w:val="0045144D"/>
    <w:rsid w:val="004514B7"/>
    <w:rsid w:val="0045228E"/>
    <w:rsid w:val="004524E5"/>
    <w:rsid w:val="00452670"/>
    <w:rsid w:val="00453306"/>
    <w:rsid w:val="00453A7E"/>
    <w:rsid w:val="00453FE6"/>
    <w:rsid w:val="00454234"/>
    <w:rsid w:val="0045445E"/>
    <w:rsid w:val="00454517"/>
    <w:rsid w:val="004546FF"/>
    <w:rsid w:val="00454755"/>
    <w:rsid w:val="00454AE8"/>
    <w:rsid w:val="00454C72"/>
    <w:rsid w:val="00454D95"/>
    <w:rsid w:val="00454DAA"/>
    <w:rsid w:val="00455679"/>
    <w:rsid w:val="00455939"/>
    <w:rsid w:val="00455E56"/>
    <w:rsid w:val="0045683E"/>
    <w:rsid w:val="00456850"/>
    <w:rsid w:val="00456988"/>
    <w:rsid w:val="00457225"/>
    <w:rsid w:val="0045752C"/>
    <w:rsid w:val="0045759A"/>
    <w:rsid w:val="00457B68"/>
    <w:rsid w:val="00457C1D"/>
    <w:rsid w:val="00457D75"/>
    <w:rsid w:val="0046017C"/>
    <w:rsid w:val="00460391"/>
    <w:rsid w:val="004608B1"/>
    <w:rsid w:val="00460ACD"/>
    <w:rsid w:val="00460D27"/>
    <w:rsid w:val="004613A2"/>
    <w:rsid w:val="004613D5"/>
    <w:rsid w:val="0046154A"/>
    <w:rsid w:val="00462459"/>
    <w:rsid w:val="00462595"/>
    <w:rsid w:val="00462952"/>
    <w:rsid w:val="00462BF1"/>
    <w:rsid w:val="004633BE"/>
    <w:rsid w:val="00463803"/>
    <w:rsid w:val="00463A23"/>
    <w:rsid w:val="0046446F"/>
    <w:rsid w:val="004644F2"/>
    <w:rsid w:val="004658F4"/>
    <w:rsid w:val="00465A56"/>
    <w:rsid w:val="004663D2"/>
    <w:rsid w:val="004668BB"/>
    <w:rsid w:val="00466B2D"/>
    <w:rsid w:val="00470A03"/>
    <w:rsid w:val="00470F89"/>
    <w:rsid w:val="004713AF"/>
    <w:rsid w:val="004713BF"/>
    <w:rsid w:val="00471F85"/>
    <w:rsid w:val="00472ED7"/>
    <w:rsid w:val="00472F7D"/>
    <w:rsid w:val="0047453A"/>
    <w:rsid w:val="00474807"/>
    <w:rsid w:val="004748A5"/>
    <w:rsid w:val="00474A38"/>
    <w:rsid w:val="00474D2D"/>
    <w:rsid w:val="00474E29"/>
    <w:rsid w:val="00475292"/>
    <w:rsid w:val="00475350"/>
    <w:rsid w:val="00475466"/>
    <w:rsid w:val="00476DFC"/>
    <w:rsid w:val="00477149"/>
    <w:rsid w:val="0047717D"/>
    <w:rsid w:val="004775D7"/>
    <w:rsid w:val="00477A07"/>
    <w:rsid w:val="00477A37"/>
    <w:rsid w:val="00477C4F"/>
    <w:rsid w:val="0048055C"/>
    <w:rsid w:val="00480A12"/>
    <w:rsid w:val="00481B44"/>
    <w:rsid w:val="00482330"/>
    <w:rsid w:val="00482457"/>
    <w:rsid w:val="004829EE"/>
    <w:rsid w:val="00482B6B"/>
    <w:rsid w:val="00482B7F"/>
    <w:rsid w:val="0048355D"/>
    <w:rsid w:val="00483683"/>
    <w:rsid w:val="004845DC"/>
    <w:rsid w:val="00484662"/>
    <w:rsid w:val="004849CA"/>
    <w:rsid w:val="00484D82"/>
    <w:rsid w:val="00485068"/>
    <w:rsid w:val="004856C7"/>
    <w:rsid w:val="00485A1B"/>
    <w:rsid w:val="00485C92"/>
    <w:rsid w:val="00485DA3"/>
    <w:rsid w:val="0048622F"/>
    <w:rsid w:val="00486B23"/>
    <w:rsid w:val="00486C17"/>
    <w:rsid w:val="0048742A"/>
    <w:rsid w:val="00487F57"/>
    <w:rsid w:val="00490363"/>
    <w:rsid w:val="0049060C"/>
    <w:rsid w:val="00490A2B"/>
    <w:rsid w:val="00490DDE"/>
    <w:rsid w:val="004915B5"/>
    <w:rsid w:val="004919D7"/>
    <w:rsid w:val="00491B3D"/>
    <w:rsid w:val="00492622"/>
    <w:rsid w:val="00492C59"/>
    <w:rsid w:val="004934F9"/>
    <w:rsid w:val="00493A7E"/>
    <w:rsid w:val="00493CF8"/>
    <w:rsid w:val="00493FFC"/>
    <w:rsid w:val="004951B4"/>
    <w:rsid w:val="0049546D"/>
    <w:rsid w:val="004955B3"/>
    <w:rsid w:val="00495AAE"/>
    <w:rsid w:val="00495B43"/>
    <w:rsid w:val="00495D67"/>
    <w:rsid w:val="00495EED"/>
    <w:rsid w:val="004960D5"/>
    <w:rsid w:val="00496555"/>
    <w:rsid w:val="004969B3"/>
    <w:rsid w:val="00496C22"/>
    <w:rsid w:val="004971C3"/>
    <w:rsid w:val="00497A32"/>
    <w:rsid w:val="004A04FD"/>
    <w:rsid w:val="004A2069"/>
    <w:rsid w:val="004A2373"/>
    <w:rsid w:val="004A256B"/>
    <w:rsid w:val="004A273F"/>
    <w:rsid w:val="004A2F56"/>
    <w:rsid w:val="004A34EC"/>
    <w:rsid w:val="004A3CC3"/>
    <w:rsid w:val="004A4066"/>
    <w:rsid w:val="004A4A96"/>
    <w:rsid w:val="004A510E"/>
    <w:rsid w:val="004A5FC4"/>
    <w:rsid w:val="004A642C"/>
    <w:rsid w:val="004A680D"/>
    <w:rsid w:val="004A6F30"/>
    <w:rsid w:val="004A7605"/>
    <w:rsid w:val="004A7BDE"/>
    <w:rsid w:val="004B1B14"/>
    <w:rsid w:val="004B2038"/>
    <w:rsid w:val="004B2286"/>
    <w:rsid w:val="004B2CF3"/>
    <w:rsid w:val="004B2D63"/>
    <w:rsid w:val="004B2FCC"/>
    <w:rsid w:val="004B3109"/>
    <w:rsid w:val="004B3177"/>
    <w:rsid w:val="004B360C"/>
    <w:rsid w:val="004B3EEA"/>
    <w:rsid w:val="004B3F00"/>
    <w:rsid w:val="004B43FE"/>
    <w:rsid w:val="004B4692"/>
    <w:rsid w:val="004B4D36"/>
    <w:rsid w:val="004B5032"/>
    <w:rsid w:val="004B563A"/>
    <w:rsid w:val="004B5B69"/>
    <w:rsid w:val="004B5C55"/>
    <w:rsid w:val="004B5E25"/>
    <w:rsid w:val="004B5E6A"/>
    <w:rsid w:val="004B634D"/>
    <w:rsid w:val="004B6C13"/>
    <w:rsid w:val="004B702C"/>
    <w:rsid w:val="004B751F"/>
    <w:rsid w:val="004B7543"/>
    <w:rsid w:val="004C0311"/>
    <w:rsid w:val="004C0468"/>
    <w:rsid w:val="004C128D"/>
    <w:rsid w:val="004C166B"/>
    <w:rsid w:val="004C1702"/>
    <w:rsid w:val="004C1B58"/>
    <w:rsid w:val="004C1CBE"/>
    <w:rsid w:val="004C2127"/>
    <w:rsid w:val="004C2222"/>
    <w:rsid w:val="004C24FD"/>
    <w:rsid w:val="004C27DE"/>
    <w:rsid w:val="004C2955"/>
    <w:rsid w:val="004C2ECA"/>
    <w:rsid w:val="004C3101"/>
    <w:rsid w:val="004C310D"/>
    <w:rsid w:val="004C3442"/>
    <w:rsid w:val="004C3901"/>
    <w:rsid w:val="004C45B1"/>
    <w:rsid w:val="004C49E6"/>
    <w:rsid w:val="004C4F43"/>
    <w:rsid w:val="004C5327"/>
    <w:rsid w:val="004C567A"/>
    <w:rsid w:val="004C6B18"/>
    <w:rsid w:val="004C6BB8"/>
    <w:rsid w:val="004C73E5"/>
    <w:rsid w:val="004C74F5"/>
    <w:rsid w:val="004C7986"/>
    <w:rsid w:val="004C7B96"/>
    <w:rsid w:val="004D09E2"/>
    <w:rsid w:val="004D0BB1"/>
    <w:rsid w:val="004D2012"/>
    <w:rsid w:val="004D35F9"/>
    <w:rsid w:val="004D3686"/>
    <w:rsid w:val="004D3712"/>
    <w:rsid w:val="004D383D"/>
    <w:rsid w:val="004D44BB"/>
    <w:rsid w:val="004D4706"/>
    <w:rsid w:val="004D4A3A"/>
    <w:rsid w:val="004D5079"/>
    <w:rsid w:val="004D5626"/>
    <w:rsid w:val="004D58E2"/>
    <w:rsid w:val="004D7303"/>
    <w:rsid w:val="004D7426"/>
    <w:rsid w:val="004D7461"/>
    <w:rsid w:val="004D7FAE"/>
    <w:rsid w:val="004D7FE8"/>
    <w:rsid w:val="004E0233"/>
    <w:rsid w:val="004E0816"/>
    <w:rsid w:val="004E13D3"/>
    <w:rsid w:val="004E146D"/>
    <w:rsid w:val="004E14FC"/>
    <w:rsid w:val="004E193B"/>
    <w:rsid w:val="004E1ECE"/>
    <w:rsid w:val="004E1EE9"/>
    <w:rsid w:val="004E2094"/>
    <w:rsid w:val="004E290C"/>
    <w:rsid w:val="004E3BAA"/>
    <w:rsid w:val="004E42F5"/>
    <w:rsid w:val="004E4C36"/>
    <w:rsid w:val="004E4D89"/>
    <w:rsid w:val="004E5AC0"/>
    <w:rsid w:val="004E668A"/>
    <w:rsid w:val="004E6D2C"/>
    <w:rsid w:val="004E7718"/>
    <w:rsid w:val="004E789B"/>
    <w:rsid w:val="004E7D04"/>
    <w:rsid w:val="004E7F5A"/>
    <w:rsid w:val="004F1275"/>
    <w:rsid w:val="004F139A"/>
    <w:rsid w:val="004F2011"/>
    <w:rsid w:val="004F2623"/>
    <w:rsid w:val="004F2DF5"/>
    <w:rsid w:val="004F321D"/>
    <w:rsid w:val="004F339F"/>
    <w:rsid w:val="004F3B0B"/>
    <w:rsid w:val="004F4611"/>
    <w:rsid w:val="004F48DB"/>
    <w:rsid w:val="004F4F79"/>
    <w:rsid w:val="004F580B"/>
    <w:rsid w:val="004F5D4B"/>
    <w:rsid w:val="004F63AC"/>
    <w:rsid w:val="004F64B8"/>
    <w:rsid w:val="004F67E1"/>
    <w:rsid w:val="004F6E1C"/>
    <w:rsid w:val="004F6F43"/>
    <w:rsid w:val="004F712C"/>
    <w:rsid w:val="004F75D4"/>
    <w:rsid w:val="004F76B5"/>
    <w:rsid w:val="0050088F"/>
    <w:rsid w:val="0050100F"/>
    <w:rsid w:val="005015EC"/>
    <w:rsid w:val="005016E4"/>
    <w:rsid w:val="0050197F"/>
    <w:rsid w:val="0050242A"/>
    <w:rsid w:val="0050254D"/>
    <w:rsid w:val="0050280E"/>
    <w:rsid w:val="00502AB6"/>
    <w:rsid w:val="00502DB6"/>
    <w:rsid w:val="005035BD"/>
    <w:rsid w:val="00503B46"/>
    <w:rsid w:val="00503C59"/>
    <w:rsid w:val="00504073"/>
    <w:rsid w:val="005040EC"/>
    <w:rsid w:val="0050425A"/>
    <w:rsid w:val="00504875"/>
    <w:rsid w:val="005055B9"/>
    <w:rsid w:val="005057F3"/>
    <w:rsid w:val="005059F9"/>
    <w:rsid w:val="00505F01"/>
    <w:rsid w:val="00506486"/>
    <w:rsid w:val="00506873"/>
    <w:rsid w:val="0050690F"/>
    <w:rsid w:val="00506E41"/>
    <w:rsid w:val="00506EB1"/>
    <w:rsid w:val="00507563"/>
    <w:rsid w:val="0051003B"/>
    <w:rsid w:val="005106C0"/>
    <w:rsid w:val="00510C1F"/>
    <w:rsid w:val="005111E6"/>
    <w:rsid w:val="00511C23"/>
    <w:rsid w:val="00511E38"/>
    <w:rsid w:val="00512068"/>
    <w:rsid w:val="0051240F"/>
    <w:rsid w:val="00512481"/>
    <w:rsid w:val="00512907"/>
    <w:rsid w:val="00512E0C"/>
    <w:rsid w:val="00513193"/>
    <w:rsid w:val="0051329C"/>
    <w:rsid w:val="00513393"/>
    <w:rsid w:val="00513971"/>
    <w:rsid w:val="005141FE"/>
    <w:rsid w:val="0051477A"/>
    <w:rsid w:val="005147D6"/>
    <w:rsid w:val="00515403"/>
    <w:rsid w:val="005162EF"/>
    <w:rsid w:val="00516AC4"/>
    <w:rsid w:val="00517249"/>
    <w:rsid w:val="005172FE"/>
    <w:rsid w:val="00520159"/>
    <w:rsid w:val="00520210"/>
    <w:rsid w:val="005207DE"/>
    <w:rsid w:val="005213D5"/>
    <w:rsid w:val="00522DEA"/>
    <w:rsid w:val="005232E8"/>
    <w:rsid w:val="005238C2"/>
    <w:rsid w:val="0052424F"/>
    <w:rsid w:val="0052477D"/>
    <w:rsid w:val="00524AF1"/>
    <w:rsid w:val="00524C9D"/>
    <w:rsid w:val="00524E20"/>
    <w:rsid w:val="00525015"/>
    <w:rsid w:val="00525B81"/>
    <w:rsid w:val="00525BC0"/>
    <w:rsid w:val="00525EBC"/>
    <w:rsid w:val="00526612"/>
    <w:rsid w:val="00526AC0"/>
    <w:rsid w:val="00526DF6"/>
    <w:rsid w:val="00526E3E"/>
    <w:rsid w:val="00526F20"/>
    <w:rsid w:val="005274CF"/>
    <w:rsid w:val="005275C8"/>
    <w:rsid w:val="005278B0"/>
    <w:rsid w:val="005303ED"/>
    <w:rsid w:val="0053062B"/>
    <w:rsid w:val="005307CD"/>
    <w:rsid w:val="005308BC"/>
    <w:rsid w:val="00530A28"/>
    <w:rsid w:val="00531B2C"/>
    <w:rsid w:val="00532866"/>
    <w:rsid w:val="0053298C"/>
    <w:rsid w:val="00533A63"/>
    <w:rsid w:val="00533E8B"/>
    <w:rsid w:val="005350B1"/>
    <w:rsid w:val="00535A27"/>
    <w:rsid w:val="00535DB0"/>
    <w:rsid w:val="00536546"/>
    <w:rsid w:val="0053663E"/>
    <w:rsid w:val="00536CAD"/>
    <w:rsid w:val="00536D5E"/>
    <w:rsid w:val="00536FDF"/>
    <w:rsid w:val="005370E0"/>
    <w:rsid w:val="005373B2"/>
    <w:rsid w:val="005375DB"/>
    <w:rsid w:val="0053783E"/>
    <w:rsid w:val="00537ECA"/>
    <w:rsid w:val="00537F29"/>
    <w:rsid w:val="00540C67"/>
    <w:rsid w:val="00541BA4"/>
    <w:rsid w:val="00541FEE"/>
    <w:rsid w:val="00542316"/>
    <w:rsid w:val="00542A25"/>
    <w:rsid w:val="00542BA0"/>
    <w:rsid w:val="00542E56"/>
    <w:rsid w:val="005430DD"/>
    <w:rsid w:val="005438F0"/>
    <w:rsid w:val="00543A89"/>
    <w:rsid w:val="005441A6"/>
    <w:rsid w:val="00544316"/>
    <w:rsid w:val="005445F7"/>
    <w:rsid w:val="00544E7F"/>
    <w:rsid w:val="00545769"/>
    <w:rsid w:val="00545D19"/>
    <w:rsid w:val="005463FF"/>
    <w:rsid w:val="00546721"/>
    <w:rsid w:val="00546B8D"/>
    <w:rsid w:val="005474EF"/>
    <w:rsid w:val="00547A74"/>
    <w:rsid w:val="00547B76"/>
    <w:rsid w:val="00550937"/>
    <w:rsid w:val="0055096D"/>
    <w:rsid w:val="005510A4"/>
    <w:rsid w:val="00551199"/>
    <w:rsid w:val="005512D2"/>
    <w:rsid w:val="00552958"/>
    <w:rsid w:val="00552973"/>
    <w:rsid w:val="00553ACA"/>
    <w:rsid w:val="00553BF9"/>
    <w:rsid w:val="00554346"/>
    <w:rsid w:val="005546A4"/>
    <w:rsid w:val="00554990"/>
    <w:rsid w:val="00554D2A"/>
    <w:rsid w:val="00555B00"/>
    <w:rsid w:val="00557302"/>
    <w:rsid w:val="00557381"/>
    <w:rsid w:val="00557E97"/>
    <w:rsid w:val="00560275"/>
    <w:rsid w:val="00560382"/>
    <w:rsid w:val="00560467"/>
    <w:rsid w:val="005615CC"/>
    <w:rsid w:val="0056163C"/>
    <w:rsid w:val="00561776"/>
    <w:rsid w:val="00561C24"/>
    <w:rsid w:val="005623CF"/>
    <w:rsid w:val="00562A33"/>
    <w:rsid w:val="00562C54"/>
    <w:rsid w:val="00564259"/>
    <w:rsid w:val="005648A3"/>
    <w:rsid w:val="00564B6C"/>
    <w:rsid w:val="00564E15"/>
    <w:rsid w:val="0056528C"/>
    <w:rsid w:val="005657D2"/>
    <w:rsid w:val="00566778"/>
    <w:rsid w:val="00566AA4"/>
    <w:rsid w:val="00570075"/>
    <w:rsid w:val="00571666"/>
    <w:rsid w:val="00571750"/>
    <w:rsid w:val="00571E77"/>
    <w:rsid w:val="005721D4"/>
    <w:rsid w:val="00572FD2"/>
    <w:rsid w:val="005736BF"/>
    <w:rsid w:val="00573978"/>
    <w:rsid w:val="00573AD7"/>
    <w:rsid w:val="00573CFD"/>
    <w:rsid w:val="00573D0D"/>
    <w:rsid w:val="00573E60"/>
    <w:rsid w:val="0057468C"/>
    <w:rsid w:val="0057492A"/>
    <w:rsid w:val="00574BA4"/>
    <w:rsid w:val="00574CFD"/>
    <w:rsid w:val="005750EF"/>
    <w:rsid w:val="005757EE"/>
    <w:rsid w:val="00575E3A"/>
    <w:rsid w:val="00577D72"/>
    <w:rsid w:val="00580184"/>
    <w:rsid w:val="005801B1"/>
    <w:rsid w:val="0058035C"/>
    <w:rsid w:val="0058054A"/>
    <w:rsid w:val="00580AE5"/>
    <w:rsid w:val="005812A6"/>
    <w:rsid w:val="00581331"/>
    <w:rsid w:val="00581C84"/>
    <w:rsid w:val="00581D1A"/>
    <w:rsid w:val="00582135"/>
    <w:rsid w:val="005821A7"/>
    <w:rsid w:val="005821D1"/>
    <w:rsid w:val="005823A2"/>
    <w:rsid w:val="005824F1"/>
    <w:rsid w:val="0058281A"/>
    <w:rsid w:val="00583222"/>
    <w:rsid w:val="005832A2"/>
    <w:rsid w:val="005836E0"/>
    <w:rsid w:val="00583883"/>
    <w:rsid w:val="0058477B"/>
    <w:rsid w:val="005849D6"/>
    <w:rsid w:val="005850AA"/>
    <w:rsid w:val="005856B4"/>
    <w:rsid w:val="00585B23"/>
    <w:rsid w:val="00585F22"/>
    <w:rsid w:val="0058779C"/>
    <w:rsid w:val="00587876"/>
    <w:rsid w:val="00590471"/>
    <w:rsid w:val="00591845"/>
    <w:rsid w:val="00592740"/>
    <w:rsid w:val="00592CC9"/>
    <w:rsid w:val="00592D66"/>
    <w:rsid w:val="00593A36"/>
    <w:rsid w:val="00593B7B"/>
    <w:rsid w:val="00594161"/>
    <w:rsid w:val="0059456E"/>
    <w:rsid w:val="00594A55"/>
    <w:rsid w:val="00594CB3"/>
    <w:rsid w:val="00594F26"/>
    <w:rsid w:val="005953C0"/>
    <w:rsid w:val="005965CA"/>
    <w:rsid w:val="005967E1"/>
    <w:rsid w:val="00597FA5"/>
    <w:rsid w:val="00597FAF"/>
    <w:rsid w:val="005A0349"/>
    <w:rsid w:val="005A0393"/>
    <w:rsid w:val="005A0505"/>
    <w:rsid w:val="005A06AF"/>
    <w:rsid w:val="005A1198"/>
    <w:rsid w:val="005A1D82"/>
    <w:rsid w:val="005A2409"/>
    <w:rsid w:val="005A2517"/>
    <w:rsid w:val="005A2780"/>
    <w:rsid w:val="005A2F14"/>
    <w:rsid w:val="005A385F"/>
    <w:rsid w:val="005A3D82"/>
    <w:rsid w:val="005A42C3"/>
    <w:rsid w:val="005A4655"/>
    <w:rsid w:val="005A4F63"/>
    <w:rsid w:val="005A524D"/>
    <w:rsid w:val="005A529D"/>
    <w:rsid w:val="005A5322"/>
    <w:rsid w:val="005A5364"/>
    <w:rsid w:val="005A5A74"/>
    <w:rsid w:val="005A5AAF"/>
    <w:rsid w:val="005A5BB9"/>
    <w:rsid w:val="005A5D55"/>
    <w:rsid w:val="005A6417"/>
    <w:rsid w:val="005A6928"/>
    <w:rsid w:val="005A7205"/>
    <w:rsid w:val="005A7DDA"/>
    <w:rsid w:val="005A7EFA"/>
    <w:rsid w:val="005B024F"/>
    <w:rsid w:val="005B0AA4"/>
    <w:rsid w:val="005B0B2E"/>
    <w:rsid w:val="005B0D74"/>
    <w:rsid w:val="005B1101"/>
    <w:rsid w:val="005B1297"/>
    <w:rsid w:val="005B12F4"/>
    <w:rsid w:val="005B1455"/>
    <w:rsid w:val="005B15E5"/>
    <w:rsid w:val="005B1F01"/>
    <w:rsid w:val="005B222E"/>
    <w:rsid w:val="005B2731"/>
    <w:rsid w:val="005B3665"/>
    <w:rsid w:val="005B3691"/>
    <w:rsid w:val="005B39E4"/>
    <w:rsid w:val="005B3BBD"/>
    <w:rsid w:val="005B3D23"/>
    <w:rsid w:val="005B4932"/>
    <w:rsid w:val="005B547A"/>
    <w:rsid w:val="005B5D4E"/>
    <w:rsid w:val="005B6003"/>
    <w:rsid w:val="005B6F1D"/>
    <w:rsid w:val="005B6F70"/>
    <w:rsid w:val="005B78B0"/>
    <w:rsid w:val="005B7F42"/>
    <w:rsid w:val="005C13F2"/>
    <w:rsid w:val="005C14E0"/>
    <w:rsid w:val="005C1BA6"/>
    <w:rsid w:val="005C2163"/>
    <w:rsid w:val="005C25AF"/>
    <w:rsid w:val="005C2C39"/>
    <w:rsid w:val="005C2E4F"/>
    <w:rsid w:val="005C30B1"/>
    <w:rsid w:val="005C3424"/>
    <w:rsid w:val="005C36A8"/>
    <w:rsid w:val="005C4004"/>
    <w:rsid w:val="005C4252"/>
    <w:rsid w:val="005C4A0D"/>
    <w:rsid w:val="005C5441"/>
    <w:rsid w:val="005C55A4"/>
    <w:rsid w:val="005C5888"/>
    <w:rsid w:val="005C636C"/>
    <w:rsid w:val="005C6797"/>
    <w:rsid w:val="005C6AC3"/>
    <w:rsid w:val="005C6AC9"/>
    <w:rsid w:val="005C7391"/>
    <w:rsid w:val="005C79E6"/>
    <w:rsid w:val="005C79EE"/>
    <w:rsid w:val="005D0488"/>
    <w:rsid w:val="005D0709"/>
    <w:rsid w:val="005D10D7"/>
    <w:rsid w:val="005D1A22"/>
    <w:rsid w:val="005D1DA6"/>
    <w:rsid w:val="005D1FD3"/>
    <w:rsid w:val="005D2486"/>
    <w:rsid w:val="005D2B73"/>
    <w:rsid w:val="005D2FC5"/>
    <w:rsid w:val="005D32E8"/>
    <w:rsid w:val="005D3664"/>
    <w:rsid w:val="005D3717"/>
    <w:rsid w:val="005D377A"/>
    <w:rsid w:val="005D4050"/>
    <w:rsid w:val="005D409A"/>
    <w:rsid w:val="005D4107"/>
    <w:rsid w:val="005D5B33"/>
    <w:rsid w:val="005D61DF"/>
    <w:rsid w:val="005D7028"/>
    <w:rsid w:val="005D7434"/>
    <w:rsid w:val="005D77E3"/>
    <w:rsid w:val="005D77FC"/>
    <w:rsid w:val="005E02B4"/>
    <w:rsid w:val="005E02C9"/>
    <w:rsid w:val="005E0D0E"/>
    <w:rsid w:val="005E0E26"/>
    <w:rsid w:val="005E1145"/>
    <w:rsid w:val="005E16D2"/>
    <w:rsid w:val="005E1E53"/>
    <w:rsid w:val="005E1F0B"/>
    <w:rsid w:val="005E27E0"/>
    <w:rsid w:val="005E3107"/>
    <w:rsid w:val="005E31FC"/>
    <w:rsid w:val="005E344F"/>
    <w:rsid w:val="005E3FAB"/>
    <w:rsid w:val="005E46EB"/>
    <w:rsid w:val="005E5093"/>
    <w:rsid w:val="005E529F"/>
    <w:rsid w:val="005E552C"/>
    <w:rsid w:val="005E5837"/>
    <w:rsid w:val="005E5E14"/>
    <w:rsid w:val="005E6F3C"/>
    <w:rsid w:val="005E7242"/>
    <w:rsid w:val="005F018B"/>
    <w:rsid w:val="005F074A"/>
    <w:rsid w:val="005F0935"/>
    <w:rsid w:val="005F0D51"/>
    <w:rsid w:val="005F1741"/>
    <w:rsid w:val="005F208A"/>
    <w:rsid w:val="005F23E6"/>
    <w:rsid w:val="005F273B"/>
    <w:rsid w:val="005F402F"/>
    <w:rsid w:val="005F41D4"/>
    <w:rsid w:val="005F458D"/>
    <w:rsid w:val="005F63FF"/>
    <w:rsid w:val="005F6A63"/>
    <w:rsid w:val="005F6B54"/>
    <w:rsid w:val="005F6CE6"/>
    <w:rsid w:val="005F71AC"/>
    <w:rsid w:val="005F7644"/>
    <w:rsid w:val="0060013F"/>
    <w:rsid w:val="006002DD"/>
    <w:rsid w:val="00600955"/>
    <w:rsid w:val="00600A38"/>
    <w:rsid w:val="00600FC7"/>
    <w:rsid w:val="00601146"/>
    <w:rsid w:val="006013A3"/>
    <w:rsid w:val="006017F0"/>
    <w:rsid w:val="0060248B"/>
    <w:rsid w:val="006029D0"/>
    <w:rsid w:val="00602C44"/>
    <w:rsid w:val="00603B8A"/>
    <w:rsid w:val="00603FFB"/>
    <w:rsid w:val="00604628"/>
    <w:rsid w:val="00604CD8"/>
    <w:rsid w:val="00604E40"/>
    <w:rsid w:val="006052D0"/>
    <w:rsid w:val="00605366"/>
    <w:rsid w:val="00605AA0"/>
    <w:rsid w:val="00605D67"/>
    <w:rsid w:val="00606386"/>
    <w:rsid w:val="006066F6"/>
    <w:rsid w:val="00606C90"/>
    <w:rsid w:val="0060793A"/>
    <w:rsid w:val="00607B2F"/>
    <w:rsid w:val="00607D74"/>
    <w:rsid w:val="00610198"/>
    <w:rsid w:val="006101DD"/>
    <w:rsid w:val="00610759"/>
    <w:rsid w:val="00610E96"/>
    <w:rsid w:val="00611239"/>
    <w:rsid w:val="00612355"/>
    <w:rsid w:val="00613A7B"/>
    <w:rsid w:val="00613EB4"/>
    <w:rsid w:val="006148B5"/>
    <w:rsid w:val="00614C46"/>
    <w:rsid w:val="006150E4"/>
    <w:rsid w:val="0061521F"/>
    <w:rsid w:val="00615521"/>
    <w:rsid w:val="006160ED"/>
    <w:rsid w:val="00616665"/>
    <w:rsid w:val="0061671D"/>
    <w:rsid w:val="00616774"/>
    <w:rsid w:val="00616B95"/>
    <w:rsid w:val="0061739D"/>
    <w:rsid w:val="00617549"/>
    <w:rsid w:val="006200A8"/>
    <w:rsid w:val="00620827"/>
    <w:rsid w:val="00620BF4"/>
    <w:rsid w:val="00620DC0"/>
    <w:rsid w:val="00621830"/>
    <w:rsid w:val="00621965"/>
    <w:rsid w:val="0062198B"/>
    <w:rsid w:val="006219BA"/>
    <w:rsid w:val="006220B0"/>
    <w:rsid w:val="006223A5"/>
    <w:rsid w:val="006225E3"/>
    <w:rsid w:val="0062269D"/>
    <w:rsid w:val="00623190"/>
    <w:rsid w:val="0062387E"/>
    <w:rsid w:val="00623F5F"/>
    <w:rsid w:val="00624899"/>
    <w:rsid w:val="00624F26"/>
    <w:rsid w:val="00624FCD"/>
    <w:rsid w:val="00625A04"/>
    <w:rsid w:val="00625B36"/>
    <w:rsid w:val="00626365"/>
    <w:rsid w:val="00626A29"/>
    <w:rsid w:val="00626C22"/>
    <w:rsid w:val="00626D32"/>
    <w:rsid w:val="006301D6"/>
    <w:rsid w:val="006302F0"/>
    <w:rsid w:val="00630894"/>
    <w:rsid w:val="00630CDB"/>
    <w:rsid w:val="00630E62"/>
    <w:rsid w:val="006311AD"/>
    <w:rsid w:val="006319A3"/>
    <w:rsid w:val="00631F1B"/>
    <w:rsid w:val="0063304D"/>
    <w:rsid w:val="00633133"/>
    <w:rsid w:val="006331E6"/>
    <w:rsid w:val="00633670"/>
    <w:rsid w:val="0063394F"/>
    <w:rsid w:val="0063498F"/>
    <w:rsid w:val="00634B8F"/>
    <w:rsid w:val="00634DE5"/>
    <w:rsid w:val="00635196"/>
    <w:rsid w:val="0063567E"/>
    <w:rsid w:val="00635939"/>
    <w:rsid w:val="00636079"/>
    <w:rsid w:val="00636C28"/>
    <w:rsid w:val="00636D12"/>
    <w:rsid w:val="006376B9"/>
    <w:rsid w:val="00637AF5"/>
    <w:rsid w:val="00640955"/>
    <w:rsid w:val="00640A26"/>
    <w:rsid w:val="00641377"/>
    <w:rsid w:val="006415A7"/>
    <w:rsid w:val="00641DBD"/>
    <w:rsid w:val="006420ED"/>
    <w:rsid w:val="006421D3"/>
    <w:rsid w:val="0064229E"/>
    <w:rsid w:val="006429FA"/>
    <w:rsid w:val="00642A88"/>
    <w:rsid w:val="00642D51"/>
    <w:rsid w:val="00643A8E"/>
    <w:rsid w:val="00643B4C"/>
    <w:rsid w:val="00643C69"/>
    <w:rsid w:val="006443F8"/>
    <w:rsid w:val="00644F6F"/>
    <w:rsid w:val="0064502C"/>
    <w:rsid w:val="006452E6"/>
    <w:rsid w:val="006457DA"/>
    <w:rsid w:val="00645E72"/>
    <w:rsid w:val="006465E2"/>
    <w:rsid w:val="0064674D"/>
    <w:rsid w:val="00646822"/>
    <w:rsid w:val="00646AC3"/>
    <w:rsid w:val="00646FB8"/>
    <w:rsid w:val="00647408"/>
    <w:rsid w:val="00647563"/>
    <w:rsid w:val="00647FF5"/>
    <w:rsid w:val="0065171E"/>
    <w:rsid w:val="00651CB8"/>
    <w:rsid w:val="00652282"/>
    <w:rsid w:val="00652AC9"/>
    <w:rsid w:val="00652E8B"/>
    <w:rsid w:val="00653148"/>
    <w:rsid w:val="006536A0"/>
    <w:rsid w:val="00653F05"/>
    <w:rsid w:val="0065414F"/>
    <w:rsid w:val="00654174"/>
    <w:rsid w:val="006541C3"/>
    <w:rsid w:val="0065444D"/>
    <w:rsid w:val="00654788"/>
    <w:rsid w:val="00654822"/>
    <w:rsid w:val="0065486B"/>
    <w:rsid w:val="00654F8A"/>
    <w:rsid w:val="006557CD"/>
    <w:rsid w:val="0065600F"/>
    <w:rsid w:val="0065617E"/>
    <w:rsid w:val="0065622F"/>
    <w:rsid w:val="00656E94"/>
    <w:rsid w:val="006570B4"/>
    <w:rsid w:val="00657528"/>
    <w:rsid w:val="00657EB7"/>
    <w:rsid w:val="006602DD"/>
    <w:rsid w:val="00660378"/>
    <w:rsid w:val="00660B50"/>
    <w:rsid w:val="00660C5C"/>
    <w:rsid w:val="0066144D"/>
    <w:rsid w:val="00661643"/>
    <w:rsid w:val="0066181F"/>
    <w:rsid w:val="0066225A"/>
    <w:rsid w:val="006626B8"/>
    <w:rsid w:val="00662BB2"/>
    <w:rsid w:val="00662D50"/>
    <w:rsid w:val="00662E11"/>
    <w:rsid w:val="006631B2"/>
    <w:rsid w:val="0066334D"/>
    <w:rsid w:val="006634C6"/>
    <w:rsid w:val="00663881"/>
    <w:rsid w:val="00663A36"/>
    <w:rsid w:val="00664553"/>
    <w:rsid w:val="00664E53"/>
    <w:rsid w:val="00664FB2"/>
    <w:rsid w:val="00665339"/>
    <w:rsid w:val="00665643"/>
    <w:rsid w:val="006661AC"/>
    <w:rsid w:val="006661C8"/>
    <w:rsid w:val="006673B0"/>
    <w:rsid w:val="0066776E"/>
    <w:rsid w:val="00667ABD"/>
    <w:rsid w:val="006705DA"/>
    <w:rsid w:val="00671618"/>
    <w:rsid w:val="006717B5"/>
    <w:rsid w:val="00671E05"/>
    <w:rsid w:val="00672429"/>
    <w:rsid w:val="006725DD"/>
    <w:rsid w:val="00672EE3"/>
    <w:rsid w:val="0067364A"/>
    <w:rsid w:val="006738AC"/>
    <w:rsid w:val="00673975"/>
    <w:rsid w:val="00673A81"/>
    <w:rsid w:val="00673B91"/>
    <w:rsid w:val="00673D31"/>
    <w:rsid w:val="00673ED2"/>
    <w:rsid w:val="006744FB"/>
    <w:rsid w:val="0067452C"/>
    <w:rsid w:val="0067510A"/>
    <w:rsid w:val="00675B2B"/>
    <w:rsid w:val="00675C36"/>
    <w:rsid w:val="00675CA9"/>
    <w:rsid w:val="00676620"/>
    <w:rsid w:val="00676C58"/>
    <w:rsid w:val="00677140"/>
    <w:rsid w:val="006774D9"/>
    <w:rsid w:val="00677912"/>
    <w:rsid w:val="006779EA"/>
    <w:rsid w:val="00677BAD"/>
    <w:rsid w:val="00677CAB"/>
    <w:rsid w:val="006806E1"/>
    <w:rsid w:val="00680A1B"/>
    <w:rsid w:val="00681130"/>
    <w:rsid w:val="00681493"/>
    <w:rsid w:val="00681DAA"/>
    <w:rsid w:val="0068231E"/>
    <w:rsid w:val="00682E49"/>
    <w:rsid w:val="00682F41"/>
    <w:rsid w:val="00683463"/>
    <w:rsid w:val="006844AB"/>
    <w:rsid w:val="00684649"/>
    <w:rsid w:val="00684C3D"/>
    <w:rsid w:val="00684F8D"/>
    <w:rsid w:val="006858BD"/>
    <w:rsid w:val="00686387"/>
    <w:rsid w:val="00686A24"/>
    <w:rsid w:val="00686CC1"/>
    <w:rsid w:val="00686E01"/>
    <w:rsid w:val="00686ED3"/>
    <w:rsid w:val="00687174"/>
    <w:rsid w:val="006871BC"/>
    <w:rsid w:val="006876AC"/>
    <w:rsid w:val="006879D8"/>
    <w:rsid w:val="00690073"/>
    <w:rsid w:val="006901AB"/>
    <w:rsid w:val="006901F3"/>
    <w:rsid w:val="006910BF"/>
    <w:rsid w:val="0069144B"/>
    <w:rsid w:val="006918F2"/>
    <w:rsid w:val="00691988"/>
    <w:rsid w:val="00691C37"/>
    <w:rsid w:val="00692C92"/>
    <w:rsid w:val="006935D2"/>
    <w:rsid w:val="0069362E"/>
    <w:rsid w:val="006945FB"/>
    <w:rsid w:val="00694679"/>
    <w:rsid w:val="00694888"/>
    <w:rsid w:val="00694AD7"/>
    <w:rsid w:val="00694AF7"/>
    <w:rsid w:val="00694E3A"/>
    <w:rsid w:val="00695C46"/>
    <w:rsid w:val="0069667B"/>
    <w:rsid w:val="00696C2F"/>
    <w:rsid w:val="00696CA4"/>
    <w:rsid w:val="00696D94"/>
    <w:rsid w:val="006973A2"/>
    <w:rsid w:val="006973C9"/>
    <w:rsid w:val="006975DB"/>
    <w:rsid w:val="006A022E"/>
    <w:rsid w:val="006A0985"/>
    <w:rsid w:val="006A1203"/>
    <w:rsid w:val="006A143F"/>
    <w:rsid w:val="006A19D0"/>
    <w:rsid w:val="006A22D3"/>
    <w:rsid w:val="006A247F"/>
    <w:rsid w:val="006A26A3"/>
    <w:rsid w:val="006A2DCD"/>
    <w:rsid w:val="006A37D4"/>
    <w:rsid w:val="006A3C49"/>
    <w:rsid w:val="006A3F26"/>
    <w:rsid w:val="006A4AAA"/>
    <w:rsid w:val="006A4CD3"/>
    <w:rsid w:val="006A56F6"/>
    <w:rsid w:val="006A5E8F"/>
    <w:rsid w:val="006A617D"/>
    <w:rsid w:val="006A6954"/>
    <w:rsid w:val="006A6A22"/>
    <w:rsid w:val="006A7074"/>
    <w:rsid w:val="006A7550"/>
    <w:rsid w:val="006A7594"/>
    <w:rsid w:val="006B0030"/>
    <w:rsid w:val="006B015A"/>
    <w:rsid w:val="006B019A"/>
    <w:rsid w:val="006B0A19"/>
    <w:rsid w:val="006B0C9D"/>
    <w:rsid w:val="006B131E"/>
    <w:rsid w:val="006B173F"/>
    <w:rsid w:val="006B17EF"/>
    <w:rsid w:val="006B1ED6"/>
    <w:rsid w:val="006B2114"/>
    <w:rsid w:val="006B297F"/>
    <w:rsid w:val="006B2C8A"/>
    <w:rsid w:val="006B2D70"/>
    <w:rsid w:val="006B2F3B"/>
    <w:rsid w:val="006B3C92"/>
    <w:rsid w:val="006B3E40"/>
    <w:rsid w:val="006B5243"/>
    <w:rsid w:val="006B569A"/>
    <w:rsid w:val="006B56BE"/>
    <w:rsid w:val="006B5A7C"/>
    <w:rsid w:val="006B6FCA"/>
    <w:rsid w:val="006B7EF9"/>
    <w:rsid w:val="006B7F8C"/>
    <w:rsid w:val="006C048C"/>
    <w:rsid w:val="006C0880"/>
    <w:rsid w:val="006C09E0"/>
    <w:rsid w:val="006C0F88"/>
    <w:rsid w:val="006C1345"/>
    <w:rsid w:val="006C1844"/>
    <w:rsid w:val="006C19E6"/>
    <w:rsid w:val="006C1A27"/>
    <w:rsid w:val="006C2751"/>
    <w:rsid w:val="006C2A53"/>
    <w:rsid w:val="006C2D43"/>
    <w:rsid w:val="006C42F5"/>
    <w:rsid w:val="006C4EF9"/>
    <w:rsid w:val="006C50CE"/>
    <w:rsid w:val="006C5519"/>
    <w:rsid w:val="006C564B"/>
    <w:rsid w:val="006C617B"/>
    <w:rsid w:val="006C633B"/>
    <w:rsid w:val="006C64B4"/>
    <w:rsid w:val="006C716A"/>
    <w:rsid w:val="006C7764"/>
    <w:rsid w:val="006C788E"/>
    <w:rsid w:val="006C7BBE"/>
    <w:rsid w:val="006D026F"/>
    <w:rsid w:val="006D033D"/>
    <w:rsid w:val="006D0965"/>
    <w:rsid w:val="006D0B9E"/>
    <w:rsid w:val="006D24B0"/>
    <w:rsid w:val="006D2C08"/>
    <w:rsid w:val="006D3162"/>
    <w:rsid w:val="006D43C7"/>
    <w:rsid w:val="006D44D6"/>
    <w:rsid w:val="006D46FB"/>
    <w:rsid w:val="006D4A61"/>
    <w:rsid w:val="006D5987"/>
    <w:rsid w:val="006D5F09"/>
    <w:rsid w:val="006D67A8"/>
    <w:rsid w:val="006D6A34"/>
    <w:rsid w:val="006D6A96"/>
    <w:rsid w:val="006D7141"/>
    <w:rsid w:val="006D719C"/>
    <w:rsid w:val="006D72B2"/>
    <w:rsid w:val="006D732D"/>
    <w:rsid w:val="006E0996"/>
    <w:rsid w:val="006E10CC"/>
    <w:rsid w:val="006E1261"/>
    <w:rsid w:val="006E16DC"/>
    <w:rsid w:val="006E1853"/>
    <w:rsid w:val="006E1AEE"/>
    <w:rsid w:val="006E2369"/>
    <w:rsid w:val="006E2374"/>
    <w:rsid w:val="006E2420"/>
    <w:rsid w:val="006E2B99"/>
    <w:rsid w:val="006E2D4F"/>
    <w:rsid w:val="006E2FB4"/>
    <w:rsid w:val="006E321F"/>
    <w:rsid w:val="006E38BC"/>
    <w:rsid w:val="006E38C8"/>
    <w:rsid w:val="006E4D67"/>
    <w:rsid w:val="006E59B6"/>
    <w:rsid w:val="006E5C06"/>
    <w:rsid w:val="006E5CBE"/>
    <w:rsid w:val="006E600D"/>
    <w:rsid w:val="006E61AC"/>
    <w:rsid w:val="006E6BB7"/>
    <w:rsid w:val="006E6BCC"/>
    <w:rsid w:val="006F0D9B"/>
    <w:rsid w:val="006F13F1"/>
    <w:rsid w:val="006F1DDD"/>
    <w:rsid w:val="006F1E59"/>
    <w:rsid w:val="006F2203"/>
    <w:rsid w:val="006F2333"/>
    <w:rsid w:val="006F2B8B"/>
    <w:rsid w:val="006F3053"/>
    <w:rsid w:val="006F3091"/>
    <w:rsid w:val="006F31D8"/>
    <w:rsid w:val="006F320D"/>
    <w:rsid w:val="006F3702"/>
    <w:rsid w:val="006F3A22"/>
    <w:rsid w:val="006F4038"/>
    <w:rsid w:val="006F40BC"/>
    <w:rsid w:val="006F4D0F"/>
    <w:rsid w:val="006F4DB3"/>
    <w:rsid w:val="006F4F62"/>
    <w:rsid w:val="006F4F7E"/>
    <w:rsid w:val="006F549F"/>
    <w:rsid w:val="006F5E5B"/>
    <w:rsid w:val="006F5EEE"/>
    <w:rsid w:val="006F62A1"/>
    <w:rsid w:val="006F6772"/>
    <w:rsid w:val="006F69E4"/>
    <w:rsid w:val="006F756D"/>
    <w:rsid w:val="006F78BB"/>
    <w:rsid w:val="006F7967"/>
    <w:rsid w:val="00700CC7"/>
    <w:rsid w:val="00701293"/>
    <w:rsid w:val="00701494"/>
    <w:rsid w:val="007016E1"/>
    <w:rsid w:val="00701740"/>
    <w:rsid w:val="007017C4"/>
    <w:rsid w:val="00701E7D"/>
    <w:rsid w:val="007021FD"/>
    <w:rsid w:val="00702BCC"/>
    <w:rsid w:val="00702FC6"/>
    <w:rsid w:val="007033FF"/>
    <w:rsid w:val="00703AC0"/>
    <w:rsid w:val="007043BB"/>
    <w:rsid w:val="0070479A"/>
    <w:rsid w:val="00704AD7"/>
    <w:rsid w:val="0070529F"/>
    <w:rsid w:val="0070604A"/>
    <w:rsid w:val="00707146"/>
    <w:rsid w:val="00707814"/>
    <w:rsid w:val="00707AB4"/>
    <w:rsid w:val="00707E9C"/>
    <w:rsid w:val="00710E77"/>
    <w:rsid w:val="00711020"/>
    <w:rsid w:val="007112E4"/>
    <w:rsid w:val="00711439"/>
    <w:rsid w:val="00712407"/>
    <w:rsid w:val="00712B5C"/>
    <w:rsid w:val="00712F1B"/>
    <w:rsid w:val="00714067"/>
    <w:rsid w:val="0071437B"/>
    <w:rsid w:val="00714864"/>
    <w:rsid w:val="00714B17"/>
    <w:rsid w:val="00714DBB"/>
    <w:rsid w:val="00714E84"/>
    <w:rsid w:val="00715DC9"/>
    <w:rsid w:val="007160CC"/>
    <w:rsid w:val="007160FD"/>
    <w:rsid w:val="00716399"/>
    <w:rsid w:val="007165DB"/>
    <w:rsid w:val="007168D3"/>
    <w:rsid w:val="00717423"/>
    <w:rsid w:val="0071789F"/>
    <w:rsid w:val="007178A3"/>
    <w:rsid w:val="00717B6A"/>
    <w:rsid w:val="00720676"/>
    <w:rsid w:val="00721B83"/>
    <w:rsid w:val="00721FF5"/>
    <w:rsid w:val="00722545"/>
    <w:rsid w:val="00722561"/>
    <w:rsid w:val="00722C50"/>
    <w:rsid w:val="00722EBD"/>
    <w:rsid w:val="007231D1"/>
    <w:rsid w:val="0072333E"/>
    <w:rsid w:val="00723937"/>
    <w:rsid w:val="00724107"/>
    <w:rsid w:val="007245C9"/>
    <w:rsid w:val="00724DFB"/>
    <w:rsid w:val="0072532A"/>
    <w:rsid w:val="0072555D"/>
    <w:rsid w:val="007256B3"/>
    <w:rsid w:val="007258E1"/>
    <w:rsid w:val="0072692C"/>
    <w:rsid w:val="00726BEF"/>
    <w:rsid w:val="00727DF7"/>
    <w:rsid w:val="00730283"/>
    <w:rsid w:val="00730841"/>
    <w:rsid w:val="00730924"/>
    <w:rsid w:val="0073109E"/>
    <w:rsid w:val="007310F0"/>
    <w:rsid w:val="00731BBC"/>
    <w:rsid w:val="00731D32"/>
    <w:rsid w:val="007323AE"/>
    <w:rsid w:val="00732C0B"/>
    <w:rsid w:val="00733F59"/>
    <w:rsid w:val="00734AEB"/>
    <w:rsid w:val="007350D8"/>
    <w:rsid w:val="007353FD"/>
    <w:rsid w:val="007356F2"/>
    <w:rsid w:val="007359BF"/>
    <w:rsid w:val="00735DB7"/>
    <w:rsid w:val="00736912"/>
    <w:rsid w:val="00736A3C"/>
    <w:rsid w:val="00736AC7"/>
    <w:rsid w:val="00736C1F"/>
    <w:rsid w:val="00736CF1"/>
    <w:rsid w:val="00736EBD"/>
    <w:rsid w:val="00736ED2"/>
    <w:rsid w:val="00737ACF"/>
    <w:rsid w:val="00737FF2"/>
    <w:rsid w:val="007400FC"/>
    <w:rsid w:val="007400FD"/>
    <w:rsid w:val="00740286"/>
    <w:rsid w:val="00740989"/>
    <w:rsid w:val="00740FE2"/>
    <w:rsid w:val="007412BD"/>
    <w:rsid w:val="007413B0"/>
    <w:rsid w:val="00741519"/>
    <w:rsid w:val="007419FC"/>
    <w:rsid w:val="00741A45"/>
    <w:rsid w:val="00742B56"/>
    <w:rsid w:val="00742B57"/>
    <w:rsid w:val="007430F7"/>
    <w:rsid w:val="0074359A"/>
    <w:rsid w:val="00743CB8"/>
    <w:rsid w:val="00744363"/>
    <w:rsid w:val="00744E0D"/>
    <w:rsid w:val="00744E7B"/>
    <w:rsid w:val="00745462"/>
    <w:rsid w:val="00745602"/>
    <w:rsid w:val="0074586F"/>
    <w:rsid w:val="00745A43"/>
    <w:rsid w:val="00745EAD"/>
    <w:rsid w:val="00745F37"/>
    <w:rsid w:val="00746063"/>
    <w:rsid w:val="007463A5"/>
    <w:rsid w:val="00746B3B"/>
    <w:rsid w:val="00746F6C"/>
    <w:rsid w:val="00747164"/>
    <w:rsid w:val="007472AF"/>
    <w:rsid w:val="007477D2"/>
    <w:rsid w:val="00747C08"/>
    <w:rsid w:val="00750624"/>
    <w:rsid w:val="00750E69"/>
    <w:rsid w:val="00751C58"/>
    <w:rsid w:val="00752567"/>
    <w:rsid w:val="00752CF9"/>
    <w:rsid w:val="00752FB3"/>
    <w:rsid w:val="007531AF"/>
    <w:rsid w:val="007534DA"/>
    <w:rsid w:val="00753656"/>
    <w:rsid w:val="007536B7"/>
    <w:rsid w:val="007543DB"/>
    <w:rsid w:val="0075500C"/>
    <w:rsid w:val="00755253"/>
    <w:rsid w:val="0075550D"/>
    <w:rsid w:val="0075720A"/>
    <w:rsid w:val="00757CFE"/>
    <w:rsid w:val="00757D67"/>
    <w:rsid w:val="00760442"/>
    <w:rsid w:val="00760678"/>
    <w:rsid w:val="00760906"/>
    <w:rsid w:val="0076181D"/>
    <w:rsid w:val="00761F7D"/>
    <w:rsid w:val="0076205A"/>
    <w:rsid w:val="00762528"/>
    <w:rsid w:val="00763606"/>
    <w:rsid w:val="00763AE7"/>
    <w:rsid w:val="00763ED7"/>
    <w:rsid w:val="007643BD"/>
    <w:rsid w:val="00764443"/>
    <w:rsid w:val="0076480F"/>
    <w:rsid w:val="00764D71"/>
    <w:rsid w:val="00765E61"/>
    <w:rsid w:val="00765FB8"/>
    <w:rsid w:val="007663D4"/>
    <w:rsid w:val="00766676"/>
    <w:rsid w:val="007668D7"/>
    <w:rsid w:val="00766A73"/>
    <w:rsid w:val="00766E2A"/>
    <w:rsid w:val="0076744D"/>
    <w:rsid w:val="00767BFE"/>
    <w:rsid w:val="00770069"/>
    <w:rsid w:val="00770949"/>
    <w:rsid w:val="007709CA"/>
    <w:rsid w:val="007709E0"/>
    <w:rsid w:val="00770BB9"/>
    <w:rsid w:val="00770DCC"/>
    <w:rsid w:val="00771169"/>
    <w:rsid w:val="007714F0"/>
    <w:rsid w:val="00771B53"/>
    <w:rsid w:val="00772198"/>
    <w:rsid w:val="007721B7"/>
    <w:rsid w:val="007723EE"/>
    <w:rsid w:val="0077270B"/>
    <w:rsid w:val="00772B5D"/>
    <w:rsid w:val="00772C37"/>
    <w:rsid w:val="007730B0"/>
    <w:rsid w:val="007738FE"/>
    <w:rsid w:val="0077470C"/>
    <w:rsid w:val="0077527B"/>
    <w:rsid w:val="007752C0"/>
    <w:rsid w:val="0077543D"/>
    <w:rsid w:val="0077566E"/>
    <w:rsid w:val="00775E3B"/>
    <w:rsid w:val="007771F2"/>
    <w:rsid w:val="007773F3"/>
    <w:rsid w:val="007777CE"/>
    <w:rsid w:val="007800C8"/>
    <w:rsid w:val="007809A1"/>
    <w:rsid w:val="007812A0"/>
    <w:rsid w:val="0078137F"/>
    <w:rsid w:val="0078154F"/>
    <w:rsid w:val="0078199F"/>
    <w:rsid w:val="00781EED"/>
    <w:rsid w:val="00782819"/>
    <w:rsid w:val="007829B7"/>
    <w:rsid w:val="00782EB5"/>
    <w:rsid w:val="00783120"/>
    <w:rsid w:val="007832E9"/>
    <w:rsid w:val="007835C8"/>
    <w:rsid w:val="00784206"/>
    <w:rsid w:val="00784641"/>
    <w:rsid w:val="00784A89"/>
    <w:rsid w:val="007857A4"/>
    <w:rsid w:val="00785802"/>
    <w:rsid w:val="00785BD5"/>
    <w:rsid w:val="00786387"/>
    <w:rsid w:val="0078719E"/>
    <w:rsid w:val="00787683"/>
    <w:rsid w:val="00790A09"/>
    <w:rsid w:val="007911EB"/>
    <w:rsid w:val="007920B8"/>
    <w:rsid w:val="0079405A"/>
    <w:rsid w:val="007940B6"/>
    <w:rsid w:val="007942BF"/>
    <w:rsid w:val="00794852"/>
    <w:rsid w:val="00794B73"/>
    <w:rsid w:val="00795156"/>
    <w:rsid w:val="0079521F"/>
    <w:rsid w:val="007957CD"/>
    <w:rsid w:val="00795BAB"/>
    <w:rsid w:val="00795CEA"/>
    <w:rsid w:val="0079624C"/>
    <w:rsid w:val="007962B2"/>
    <w:rsid w:val="00796666"/>
    <w:rsid w:val="00796D7F"/>
    <w:rsid w:val="00797117"/>
    <w:rsid w:val="00797D61"/>
    <w:rsid w:val="00797EC3"/>
    <w:rsid w:val="007A06E8"/>
    <w:rsid w:val="007A0880"/>
    <w:rsid w:val="007A08D1"/>
    <w:rsid w:val="007A0999"/>
    <w:rsid w:val="007A2A4A"/>
    <w:rsid w:val="007A2C47"/>
    <w:rsid w:val="007A2DEE"/>
    <w:rsid w:val="007A32B7"/>
    <w:rsid w:val="007A430A"/>
    <w:rsid w:val="007A47EC"/>
    <w:rsid w:val="007A595F"/>
    <w:rsid w:val="007A60FD"/>
    <w:rsid w:val="007A61BA"/>
    <w:rsid w:val="007A6A09"/>
    <w:rsid w:val="007A6DF6"/>
    <w:rsid w:val="007A751D"/>
    <w:rsid w:val="007B007C"/>
    <w:rsid w:val="007B0335"/>
    <w:rsid w:val="007B08C3"/>
    <w:rsid w:val="007B0F91"/>
    <w:rsid w:val="007B11CD"/>
    <w:rsid w:val="007B132B"/>
    <w:rsid w:val="007B136D"/>
    <w:rsid w:val="007B19BA"/>
    <w:rsid w:val="007B1CCA"/>
    <w:rsid w:val="007B1EFF"/>
    <w:rsid w:val="007B2360"/>
    <w:rsid w:val="007B2446"/>
    <w:rsid w:val="007B25FC"/>
    <w:rsid w:val="007B36F6"/>
    <w:rsid w:val="007B42C5"/>
    <w:rsid w:val="007B451B"/>
    <w:rsid w:val="007B45FC"/>
    <w:rsid w:val="007B4608"/>
    <w:rsid w:val="007B54D9"/>
    <w:rsid w:val="007B5DD3"/>
    <w:rsid w:val="007B6042"/>
    <w:rsid w:val="007B67A7"/>
    <w:rsid w:val="007B67E5"/>
    <w:rsid w:val="007B682F"/>
    <w:rsid w:val="007B70D2"/>
    <w:rsid w:val="007B7188"/>
    <w:rsid w:val="007C0384"/>
    <w:rsid w:val="007C0807"/>
    <w:rsid w:val="007C0A4B"/>
    <w:rsid w:val="007C0AA0"/>
    <w:rsid w:val="007C174D"/>
    <w:rsid w:val="007C1FDB"/>
    <w:rsid w:val="007C2EE6"/>
    <w:rsid w:val="007C309F"/>
    <w:rsid w:val="007C30FD"/>
    <w:rsid w:val="007C31A0"/>
    <w:rsid w:val="007C4ADC"/>
    <w:rsid w:val="007C4AF6"/>
    <w:rsid w:val="007C5A8E"/>
    <w:rsid w:val="007C5D96"/>
    <w:rsid w:val="007C6038"/>
    <w:rsid w:val="007C6D46"/>
    <w:rsid w:val="007C706F"/>
    <w:rsid w:val="007C71A7"/>
    <w:rsid w:val="007D061D"/>
    <w:rsid w:val="007D07F4"/>
    <w:rsid w:val="007D1345"/>
    <w:rsid w:val="007D17B1"/>
    <w:rsid w:val="007D1998"/>
    <w:rsid w:val="007D1C35"/>
    <w:rsid w:val="007D20EA"/>
    <w:rsid w:val="007D21AB"/>
    <w:rsid w:val="007D2284"/>
    <w:rsid w:val="007D22D3"/>
    <w:rsid w:val="007D22EB"/>
    <w:rsid w:val="007D27DB"/>
    <w:rsid w:val="007D30F5"/>
    <w:rsid w:val="007D3453"/>
    <w:rsid w:val="007D382E"/>
    <w:rsid w:val="007D4124"/>
    <w:rsid w:val="007D4712"/>
    <w:rsid w:val="007D4D07"/>
    <w:rsid w:val="007D54BE"/>
    <w:rsid w:val="007D5981"/>
    <w:rsid w:val="007D5D1E"/>
    <w:rsid w:val="007D60ED"/>
    <w:rsid w:val="007D68D4"/>
    <w:rsid w:val="007D6C45"/>
    <w:rsid w:val="007D6D1D"/>
    <w:rsid w:val="007D6D9C"/>
    <w:rsid w:val="007D7020"/>
    <w:rsid w:val="007E0506"/>
    <w:rsid w:val="007E051B"/>
    <w:rsid w:val="007E0A51"/>
    <w:rsid w:val="007E17BD"/>
    <w:rsid w:val="007E23E3"/>
    <w:rsid w:val="007E2A96"/>
    <w:rsid w:val="007E2E89"/>
    <w:rsid w:val="007E318E"/>
    <w:rsid w:val="007E33C5"/>
    <w:rsid w:val="007E3F70"/>
    <w:rsid w:val="007E3F99"/>
    <w:rsid w:val="007E4834"/>
    <w:rsid w:val="007E4AB8"/>
    <w:rsid w:val="007E4C75"/>
    <w:rsid w:val="007E512E"/>
    <w:rsid w:val="007E54A5"/>
    <w:rsid w:val="007E5BE6"/>
    <w:rsid w:val="007E61FB"/>
    <w:rsid w:val="007E6670"/>
    <w:rsid w:val="007E6E22"/>
    <w:rsid w:val="007E7D7C"/>
    <w:rsid w:val="007E7E79"/>
    <w:rsid w:val="007F191A"/>
    <w:rsid w:val="007F1F95"/>
    <w:rsid w:val="007F285E"/>
    <w:rsid w:val="007F29F6"/>
    <w:rsid w:val="007F30C3"/>
    <w:rsid w:val="007F3236"/>
    <w:rsid w:val="007F36C2"/>
    <w:rsid w:val="007F383C"/>
    <w:rsid w:val="007F428A"/>
    <w:rsid w:val="007F4DFD"/>
    <w:rsid w:val="007F5649"/>
    <w:rsid w:val="007F59F0"/>
    <w:rsid w:val="007F5AE4"/>
    <w:rsid w:val="007F5EEC"/>
    <w:rsid w:val="007F6CD0"/>
    <w:rsid w:val="007F7B6E"/>
    <w:rsid w:val="00800129"/>
    <w:rsid w:val="00800643"/>
    <w:rsid w:val="00800D7F"/>
    <w:rsid w:val="00801157"/>
    <w:rsid w:val="00801D2B"/>
    <w:rsid w:val="00801E56"/>
    <w:rsid w:val="00801EC9"/>
    <w:rsid w:val="0080224F"/>
    <w:rsid w:val="00802A5E"/>
    <w:rsid w:val="00802BE4"/>
    <w:rsid w:val="008031FD"/>
    <w:rsid w:val="00803531"/>
    <w:rsid w:val="0080360F"/>
    <w:rsid w:val="008041B4"/>
    <w:rsid w:val="00804266"/>
    <w:rsid w:val="00804E5D"/>
    <w:rsid w:val="0080528A"/>
    <w:rsid w:val="00805CA9"/>
    <w:rsid w:val="00806336"/>
    <w:rsid w:val="008065A7"/>
    <w:rsid w:val="0080687D"/>
    <w:rsid w:val="00806984"/>
    <w:rsid w:val="00807E30"/>
    <w:rsid w:val="00810485"/>
    <w:rsid w:val="008114DF"/>
    <w:rsid w:val="00811851"/>
    <w:rsid w:val="00811FE6"/>
    <w:rsid w:val="008126B0"/>
    <w:rsid w:val="00812D66"/>
    <w:rsid w:val="00812DC9"/>
    <w:rsid w:val="008139B7"/>
    <w:rsid w:val="00813BB0"/>
    <w:rsid w:val="00814729"/>
    <w:rsid w:val="00814772"/>
    <w:rsid w:val="008147AF"/>
    <w:rsid w:val="00814C54"/>
    <w:rsid w:val="00814DEA"/>
    <w:rsid w:val="00814E0E"/>
    <w:rsid w:val="00814E2D"/>
    <w:rsid w:val="008157BD"/>
    <w:rsid w:val="00816B28"/>
    <w:rsid w:val="00816E70"/>
    <w:rsid w:val="00816F48"/>
    <w:rsid w:val="008179EA"/>
    <w:rsid w:val="00817A4B"/>
    <w:rsid w:val="008202A1"/>
    <w:rsid w:val="0082046B"/>
    <w:rsid w:val="00820576"/>
    <w:rsid w:val="00820ABC"/>
    <w:rsid w:val="00820C7D"/>
    <w:rsid w:val="008210F1"/>
    <w:rsid w:val="00822369"/>
    <w:rsid w:val="00822424"/>
    <w:rsid w:val="00822B19"/>
    <w:rsid w:val="00823B73"/>
    <w:rsid w:val="00823E19"/>
    <w:rsid w:val="0082472F"/>
    <w:rsid w:val="00824A35"/>
    <w:rsid w:val="00824D72"/>
    <w:rsid w:val="00825191"/>
    <w:rsid w:val="00825B97"/>
    <w:rsid w:val="008267BE"/>
    <w:rsid w:val="00827006"/>
    <w:rsid w:val="008272B8"/>
    <w:rsid w:val="00827508"/>
    <w:rsid w:val="008276BA"/>
    <w:rsid w:val="008277AE"/>
    <w:rsid w:val="00830136"/>
    <w:rsid w:val="00830EEF"/>
    <w:rsid w:val="0083156F"/>
    <w:rsid w:val="00831A6E"/>
    <w:rsid w:val="00831CCD"/>
    <w:rsid w:val="00831CD3"/>
    <w:rsid w:val="00831DCE"/>
    <w:rsid w:val="008324E7"/>
    <w:rsid w:val="00832D81"/>
    <w:rsid w:val="00833974"/>
    <w:rsid w:val="00833C21"/>
    <w:rsid w:val="008340D3"/>
    <w:rsid w:val="00834190"/>
    <w:rsid w:val="0083445D"/>
    <w:rsid w:val="00834477"/>
    <w:rsid w:val="008359AF"/>
    <w:rsid w:val="00836321"/>
    <w:rsid w:val="008367B8"/>
    <w:rsid w:val="00837403"/>
    <w:rsid w:val="00837A39"/>
    <w:rsid w:val="00837D0A"/>
    <w:rsid w:val="00840394"/>
    <w:rsid w:val="008404FE"/>
    <w:rsid w:val="00840A78"/>
    <w:rsid w:val="00840A8A"/>
    <w:rsid w:val="00841019"/>
    <w:rsid w:val="00841105"/>
    <w:rsid w:val="00841D22"/>
    <w:rsid w:val="008428DE"/>
    <w:rsid w:val="00842A21"/>
    <w:rsid w:val="00842EB0"/>
    <w:rsid w:val="00843068"/>
    <w:rsid w:val="008435EC"/>
    <w:rsid w:val="008443F2"/>
    <w:rsid w:val="00844CD1"/>
    <w:rsid w:val="008454FE"/>
    <w:rsid w:val="00845703"/>
    <w:rsid w:val="00846BC6"/>
    <w:rsid w:val="008472AC"/>
    <w:rsid w:val="0084775D"/>
    <w:rsid w:val="00847894"/>
    <w:rsid w:val="00847922"/>
    <w:rsid w:val="00847C24"/>
    <w:rsid w:val="008502BC"/>
    <w:rsid w:val="008509E8"/>
    <w:rsid w:val="00850ECE"/>
    <w:rsid w:val="0085135A"/>
    <w:rsid w:val="0085193D"/>
    <w:rsid w:val="00851F12"/>
    <w:rsid w:val="0085232C"/>
    <w:rsid w:val="00852A73"/>
    <w:rsid w:val="00852EF8"/>
    <w:rsid w:val="00852FCE"/>
    <w:rsid w:val="00853064"/>
    <w:rsid w:val="00853579"/>
    <w:rsid w:val="00853908"/>
    <w:rsid w:val="00853FD9"/>
    <w:rsid w:val="00854CCE"/>
    <w:rsid w:val="00855604"/>
    <w:rsid w:val="00855B4F"/>
    <w:rsid w:val="00855D17"/>
    <w:rsid w:val="00856336"/>
    <w:rsid w:val="00857518"/>
    <w:rsid w:val="00857A64"/>
    <w:rsid w:val="00860311"/>
    <w:rsid w:val="008604C8"/>
    <w:rsid w:val="0086115D"/>
    <w:rsid w:val="008612BB"/>
    <w:rsid w:val="00861650"/>
    <w:rsid w:val="00861855"/>
    <w:rsid w:val="00861C00"/>
    <w:rsid w:val="0086304A"/>
    <w:rsid w:val="008632E5"/>
    <w:rsid w:val="008638AA"/>
    <w:rsid w:val="00863A26"/>
    <w:rsid w:val="0086463A"/>
    <w:rsid w:val="00864823"/>
    <w:rsid w:val="00865AB4"/>
    <w:rsid w:val="008667CB"/>
    <w:rsid w:val="008668AC"/>
    <w:rsid w:val="008668BF"/>
    <w:rsid w:val="00866A6E"/>
    <w:rsid w:val="00866F2C"/>
    <w:rsid w:val="00867A02"/>
    <w:rsid w:val="008706A8"/>
    <w:rsid w:val="008707EA"/>
    <w:rsid w:val="0087089A"/>
    <w:rsid w:val="00870BA8"/>
    <w:rsid w:val="00870EAF"/>
    <w:rsid w:val="008717E5"/>
    <w:rsid w:val="008720C0"/>
    <w:rsid w:val="00872425"/>
    <w:rsid w:val="00872952"/>
    <w:rsid w:val="0087359D"/>
    <w:rsid w:val="008737E6"/>
    <w:rsid w:val="00873803"/>
    <w:rsid w:val="00874D25"/>
    <w:rsid w:val="00875113"/>
    <w:rsid w:val="008752CA"/>
    <w:rsid w:val="008753AB"/>
    <w:rsid w:val="00875416"/>
    <w:rsid w:val="008754ED"/>
    <w:rsid w:val="00876271"/>
    <w:rsid w:val="00876482"/>
    <w:rsid w:val="0087649E"/>
    <w:rsid w:val="008764BE"/>
    <w:rsid w:val="00877A84"/>
    <w:rsid w:val="00877B69"/>
    <w:rsid w:val="0088004B"/>
    <w:rsid w:val="0088089F"/>
    <w:rsid w:val="008808F6"/>
    <w:rsid w:val="0088099E"/>
    <w:rsid w:val="00881150"/>
    <w:rsid w:val="0088130F"/>
    <w:rsid w:val="008814A1"/>
    <w:rsid w:val="00881E1D"/>
    <w:rsid w:val="008826E7"/>
    <w:rsid w:val="0088296E"/>
    <w:rsid w:val="0088298D"/>
    <w:rsid w:val="00883C49"/>
    <w:rsid w:val="00883F12"/>
    <w:rsid w:val="00884388"/>
    <w:rsid w:val="0088438E"/>
    <w:rsid w:val="008846A7"/>
    <w:rsid w:val="0088484A"/>
    <w:rsid w:val="008850AE"/>
    <w:rsid w:val="00885822"/>
    <w:rsid w:val="008858B8"/>
    <w:rsid w:val="00885BBD"/>
    <w:rsid w:val="008867F7"/>
    <w:rsid w:val="00887A39"/>
    <w:rsid w:val="0089038B"/>
    <w:rsid w:val="00890524"/>
    <w:rsid w:val="00890B3A"/>
    <w:rsid w:val="00890C5F"/>
    <w:rsid w:val="00891202"/>
    <w:rsid w:val="00891CA8"/>
    <w:rsid w:val="00891F48"/>
    <w:rsid w:val="00892089"/>
    <w:rsid w:val="008922FB"/>
    <w:rsid w:val="0089236D"/>
    <w:rsid w:val="00892E12"/>
    <w:rsid w:val="0089353B"/>
    <w:rsid w:val="00893631"/>
    <w:rsid w:val="00893F64"/>
    <w:rsid w:val="00894142"/>
    <w:rsid w:val="00894BE2"/>
    <w:rsid w:val="00894EE9"/>
    <w:rsid w:val="0089551F"/>
    <w:rsid w:val="008957E7"/>
    <w:rsid w:val="00895C09"/>
    <w:rsid w:val="00895CDA"/>
    <w:rsid w:val="00896258"/>
    <w:rsid w:val="00896A5B"/>
    <w:rsid w:val="00896E08"/>
    <w:rsid w:val="00896E78"/>
    <w:rsid w:val="0089717B"/>
    <w:rsid w:val="008A04CA"/>
    <w:rsid w:val="008A094A"/>
    <w:rsid w:val="008A1100"/>
    <w:rsid w:val="008A1122"/>
    <w:rsid w:val="008A154A"/>
    <w:rsid w:val="008A180F"/>
    <w:rsid w:val="008A255A"/>
    <w:rsid w:val="008A2606"/>
    <w:rsid w:val="008A2649"/>
    <w:rsid w:val="008A2BF4"/>
    <w:rsid w:val="008A2D23"/>
    <w:rsid w:val="008A3158"/>
    <w:rsid w:val="008A32B1"/>
    <w:rsid w:val="008A3658"/>
    <w:rsid w:val="008A3876"/>
    <w:rsid w:val="008A3B9A"/>
    <w:rsid w:val="008A3EE1"/>
    <w:rsid w:val="008A45F0"/>
    <w:rsid w:val="008A57F9"/>
    <w:rsid w:val="008A5B1E"/>
    <w:rsid w:val="008A6BBC"/>
    <w:rsid w:val="008A6C39"/>
    <w:rsid w:val="008A72AA"/>
    <w:rsid w:val="008A7763"/>
    <w:rsid w:val="008B043C"/>
    <w:rsid w:val="008B067D"/>
    <w:rsid w:val="008B08A9"/>
    <w:rsid w:val="008B1436"/>
    <w:rsid w:val="008B143F"/>
    <w:rsid w:val="008B1FFB"/>
    <w:rsid w:val="008B3032"/>
    <w:rsid w:val="008B34AB"/>
    <w:rsid w:val="008B3588"/>
    <w:rsid w:val="008B3F86"/>
    <w:rsid w:val="008B51CB"/>
    <w:rsid w:val="008B62DD"/>
    <w:rsid w:val="008B6774"/>
    <w:rsid w:val="008C00C8"/>
    <w:rsid w:val="008C077C"/>
    <w:rsid w:val="008C1077"/>
    <w:rsid w:val="008C1544"/>
    <w:rsid w:val="008C193C"/>
    <w:rsid w:val="008C29A2"/>
    <w:rsid w:val="008C2AF9"/>
    <w:rsid w:val="008C2B11"/>
    <w:rsid w:val="008C2E10"/>
    <w:rsid w:val="008C3719"/>
    <w:rsid w:val="008C4480"/>
    <w:rsid w:val="008C50AA"/>
    <w:rsid w:val="008C536B"/>
    <w:rsid w:val="008C6390"/>
    <w:rsid w:val="008C6F07"/>
    <w:rsid w:val="008C7254"/>
    <w:rsid w:val="008C7549"/>
    <w:rsid w:val="008C7BBC"/>
    <w:rsid w:val="008C7CEF"/>
    <w:rsid w:val="008D00AD"/>
    <w:rsid w:val="008D1313"/>
    <w:rsid w:val="008D13D8"/>
    <w:rsid w:val="008D158E"/>
    <w:rsid w:val="008D1661"/>
    <w:rsid w:val="008D184F"/>
    <w:rsid w:val="008D1A8E"/>
    <w:rsid w:val="008D1CDA"/>
    <w:rsid w:val="008D2502"/>
    <w:rsid w:val="008D251C"/>
    <w:rsid w:val="008D289A"/>
    <w:rsid w:val="008D2CCF"/>
    <w:rsid w:val="008D418F"/>
    <w:rsid w:val="008D41BC"/>
    <w:rsid w:val="008D49CD"/>
    <w:rsid w:val="008D52CB"/>
    <w:rsid w:val="008D5554"/>
    <w:rsid w:val="008D5AF3"/>
    <w:rsid w:val="008D608C"/>
    <w:rsid w:val="008D62DD"/>
    <w:rsid w:val="008D6AE7"/>
    <w:rsid w:val="008D7084"/>
    <w:rsid w:val="008D7C4C"/>
    <w:rsid w:val="008D7D26"/>
    <w:rsid w:val="008E128F"/>
    <w:rsid w:val="008E157B"/>
    <w:rsid w:val="008E1A22"/>
    <w:rsid w:val="008E1C96"/>
    <w:rsid w:val="008E260F"/>
    <w:rsid w:val="008E3A3A"/>
    <w:rsid w:val="008E4704"/>
    <w:rsid w:val="008E5174"/>
    <w:rsid w:val="008E5547"/>
    <w:rsid w:val="008E5F64"/>
    <w:rsid w:val="008E6264"/>
    <w:rsid w:val="008E6842"/>
    <w:rsid w:val="008E7592"/>
    <w:rsid w:val="008E7885"/>
    <w:rsid w:val="008E78E6"/>
    <w:rsid w:val="008E7AA9"/>
    <w:rsid w:val="008E7BFD"/>
    <w:rsid w:val="008F03A0"/>
    <w:rsid w:val="008F04EE"/>
    <w:rsid w:val="008F070B"/>
    <w:rsid w:val="008F0BB3"/>
    <w:rsid w:val="008F0E7D"/>
    <w:rsid w:val="008F1311"/>
    <w:rsid w:val="008F1341"/>
    <w:rsid w:val="008F1659"/>
    <w:rsid w:val="008F2511"/>
    <w:rsid w:val="008F2D7B"/>
    <w:rsid w:val="008F2EE5"/>
    <w:rsid w:val="008F31F1"/>
    <w:rsid w:val="008F3251"/>
    <w:rsid w:val="008F34D4"/>
    <w:rsid w:val="008F382C"/>
    <w:rsid w:val="008F3E6A"/>
    <w:rsid w:val="008F45C5"/>
    <w:rsid w:val="008F4B03"/>
    <w:rsid w:val="008F5014"/>
    <w:rsid w:val="008F51A1"/>
    <w:rsid w:val="008F5828"/>
    <w:rsid w:val="008F5F18"/>
    <w:rsid w:val="008F5F78"/>
    <w:rsid w:val="008F657A"/>
    <w:rsid w:val="008F6AE5"/>
    <w:rsid w:val="008F6D7B"/>
    <w:rsid w:val="008F6FB3"/>
    <w:rsid w:val="008F70A4"/>
    <w:rsid w:val="008F7943"/>
    <w:rsid w:val="008F7B98"/>
    <w:rsid w:val="0090005B"/>
    <w:rsid w:val="009001D4"/>
    <w:rsid w:val="0090148A"/>
    <w:rsid w:val="00901630"/>
    <w:rsid w:val="009016A9"/>
    <w:rsid w:val="00901D1C"/>
    <w:rsid w:val="00901ECF"/>
    <w:rsid w:val="00901EDC"/>
    <w:rsid w:val="00902770"/>
    <w:rsid w:val="00903914"/>
    <w:rsid w:val="00903B4F"/>
    <w:rsid w:val="00903F1F"/>
    <w:rsid w:val="00904300"/>
    <w:rsid w:val="00904791"/>
    <w:rsid w:val="00904DCC"/>
    <w:rsid w:val="00906255"/>
    <w:rsid w:val="00906892"/>
    <w:rsid w:val="00906A83"/>
    <w:rsid w:val="00907B6D"/>
    <w:rsid w:val="00907CFF"/>
    <w:rsid w:val="00911242"/>
    <w:rsid w:val="00911704"/>
    <w:rsid w:val="009118A7"/>
    <w:rsid w:val="009119E2"/>
    <w:rsid w:val="00911D35"/>
    <w:rsid w:val="00912230"/>
    <w:rsid w:val="0091323B"/>
    <w:rsid w:val="00913ADD"/>
    <w:rsid w:val="00914842"/>
    <w:rsid w:val="00915346"/>
    <w:rsid w:val="009153A2"/>
    <w:rsid w:val="00915C6A"/>
    <w:rsid w:val="009165F8"/>
    <w:rsid w:val="00916A00"/>
    <w:rsid w:val="00916E1E"/>
    <w:rsid w:val="00916EA9"/>
    <w:rsid w:val="009174CD"/>
    <w:rsid w:val="00917CD6"/>
    <w:rsid w:val="009206C5"/>
    <w:rsid w:val="00920BC3"/>
    <w:rsid w:val="0092116C"/>
    <w:rsid w:val="009221B4"/>
    <w:rsid w:val="00922846"/>
    <w:rsid w:val="00922A40"/>
    <w:rsid w:val="00922FA9"/>
    <w:rsid w:val="00922FDD"/>
    <w:rsid w:val="00923244"/>
    <w:rsid w:val="00923290"/>
    <w:rsid w:val="00923523"/>
    <w:rsid w:val="00923652"/>
    <w:rsid w:val="009241B8"/>
    <w:rsid w:val="00924CBE"/>
    <w:rsid w:val="009252AB"/>
    <w:rsid w:val="0092563B"/>
    <w:rsid w:val="00925959"/>
    <w:rsid w:val="0092597C"/>
    <w:rsid w:val="00925F4C"/>
    <w:rsid w:val="00926986"/>
    <w:rsid w:val="00927886"/>
    <w:rsid w:val="0092788D"/>
    <w:rsid w:val="0093068F"/>
    <w:rsid w:val="00931116"/>
    <w:rsid w:val="00931577"/>
    <w:rsid w:val="00931723"/>
    <w:rsid w:val="00931C98"/>
    <w:rsid w:val="00931F44"/>
    <w:rsid w:val="009323AF"/>
    <w:rsid w:val="00932BF5"/>
    <w:rsid w:val="00932D4F"/>
    <w:rsid w:val="00933513"/>
    <w:rsid w:val="00933864"/>
    <w:rsid w:val="00933A8C"/>
    <w:rsid w:val="00934755"/>
    <w:rsid w:val="00934ADF"/>
    <w:rsid w:val="00934C81"/>
    <w:rsid w:val="00934D27"/>
    <w:rsid w:val="00934EE4"/>
    <w:rsid w:val="009353F5"/>
    <w:rsid w:val="00935717"/>
    <w:rsid w:val="00935A23"/>
    <w:rsid w:val="00935C68"/>
    <w:rsid w:val="0093666F"/>
    <w:rsid w:val="00936D50"/>
    <w:rsid w:val="0093712C"/>
    <w:rsid w:val="009371DE"/>
    <w:rsid w:val="00941084"/>
    <w:rsid w:val="0094149A"/>
    <w:rsid w:val="00941514"/>
    <w:rsid w:val="009418C0"/>
    <w:rsid w:val="009420B6"/>
    <w:rsid w:val="009426B6"/>
    <w:rsid w:val="009436E1"/>
    <w:rsid w:val="00943A28"/>
    <w:rsid w:val="0094403A"/>
    <w:rsid w:val="00946967"/>
    <w:rsid w:val="00946E41"/>
    <w:rsid w:val="009474CE"/>
    <w:rsid w:val="009474D8"/>
    <w:rsid w:val="00947643"/>
    <w:rsid w:val="009476A5"/>
    <w:rsid w:val="009477A7"/>
    <w:rsid w:val="00950178"/>
    <w:rsid w:val="00950D97"/>
    <w:rsid w:val="00951015"/>
    <w:rsid w:val="009511AD"/>
    <w:rsid w:val="00951258"/>
    <w:rsid w:val="00951678"/>
    <w:rsid w:val="00951A8D"/>
    <w:rsid w:val="00951EB0"/>
    <w:rsid w:val="009529E9"/>
    <w:rsid w:val="00952B61"/>
    <w:rsid w:val="00952C5B"/>
    <w:rsid w:val="009535DC"/>
    <w:rsid w:val="00954904"/>
    <w:rsid w:val="00955448"/>
    <w:rsid w:val="009556E1"/>
    <w:rsid w:val="00955ABA"/>
    <w:rsid w:val="00955C10"/>
    <w:rsid w:val="00955EC4"/>
    <w:rsid w:val="00956346"/>
    <w:rsid w:val="009564D5"/>
    <w:rsid w:val="00960251"/>
    <w:rsid w:val="0096063E"/>
    <w:rsid w:val="00960DEF"/>
    <w:rsid w:val="00961DB2"/>
    <w:rsid w:val="009621CB"/>
    <w:rsid w:val="009628C3"/>
    <w:rsid w:val="00962BEF"/>
    <w:rsid w:val="00962F94"/>
    <w:rsid w:val="009630CF"/>
    <w:rsid w:val="009633F8"/>
    <w:rsid w:val="0096386C"/>
    <w:rsid w:val="0096408E"/>
    <w:rsid w:val="009645CC"/>
    <w:rsid w:val="009647AE"/>
    <w:rsid w:val="00964838"/>
    <w:rsid w:val="0096499A"/>
    <w:rsid w:val="0096579C"/>
    <w:rsid w:val="00965899"/>
    <w:rsid w:val="00965B1D"/>
    <w:rsid w:val="009660BF"/>
    <w:rsid w:val="0096640B"/>
    <w:rsid w:val="00967071"/>
    <w:rsid w:val="00967084"/>
    <w:rsid w:val="009704AC"/>
    <w:rsid w:val="00971114"/>
    <w:rsid w:val="00971B5C"/>
    <w:rsid w:val="00971E89"/>
    <w:rsid w:val="00972B1C"/>
    <w:rsid w:val="009738A2"/>
    <w:rsid w:val="00973FEB"/>
    <w:rsid w:val="009741AD"/>
    <w:rsid w:val="009745E3"/>
    <w:rsid w:val="009748A9"/>
    <w:rsid w:val="009748B6"/>
    <w:rsid w:val="009748B9"/>
    <w:rsid w:val="00975A7E"/>
    <w:rsid w:val="00975A98"/>
    <w:rsid w:val="00975DD8"/>
    <w:rsid w:val="00975EAE"/>
    <w:rsid w:val="009765CA"/>
    <w:rsid w:val="00976CC0"/>
    <w:rsid w:val="00977905"/>
    <w:rsid w:val="00980054"/>
    <w:rsid w:val="00980355"/>
    <w:rsid w:val="00980AD8"/>
    <w:rsid w:val="0098147C"/>
    <w:rsid w:val="00982374"/>
    <w:rsid w:val="00982830"/>
    <w:rsid w:val="00982C42"/>
    <w:rsid w:val="00982DA3"/>
    <w:rsid w:val="00983B31"/>
    <w:rsid w:val="00983B93"/>
    <w:rsid w:val="00983CD5"/>
    <w:rsid w:val="00983D40"/>
    <w:rsid w:val="00984DAA"/>
    <w:rsid w:val="00984E5B"/>
    <w:rsid w:val="009858B2"/>
    <w:rsid w:val="00986345"/>
    <w:rsid w:val="00986515"/>
    <w:rsid w:val="00986B69"/>
    <w:rsid w:val="00986D92"/>
    <w:rsid w:val="0098718D"/>
    <w:rsid w:val="009872A1"/>
    <w:rsid w:val="00987550"/>
    <w:rsid w:val="00987E1F"/>
    <w:rsid w:val="009900A8"/>
    <w:rsid w:val="00990125"/>
    <w:rsid w:val="00991017"/>
    <w:rsid w:val="0099165D"/>
    <w:rsid w:val="00991A6F"/>
    <w:rsid w:val="00991C04"/>
    <w:rsid w:val="0099338E"/>
    <w:rsid w:val="0099390D"/>
    <w:rsid w:val="00993DD1"/>
    <w:rsid w:val="00993E64"/>
    <w:rsid w:val="009945E9"/>
    <w:rsid w:val="00994943"/>
    <w:rsid w:val="009949B9"/>
    <w:rsid w:val="009958A2"/>
    <w:rsid w:val="0099593B"/>
    <w:rsid w:val="00995EC9"/>
    <w:rsid w:val="0099690D"/>
    <w:rsid w:val="00996B16"/>
    <w:rsid w:val="00996B20"/>
    <w:rsid w:val="009971E7"/>
    <w:rsid w:val="00997BB2"/>
    <w:rsid w:val="00997F13"/>
    <w:rsid w:val="00997F51"/>
    <w:rsid w:val="009A0694"/>
    <w:rsid w:val="009A0B16"/>
    <w:rsid w:val="009A0CA5"/>
    <w:rsid w:val="009A0D97"/>
    <w:rsid w:val="009A115F"/>
    <w:rsid w:val="009A1D72"/>
    <w:rsid w:val="009A20C5"/>
    <w:rsid w:val="009A2636"/>
    <w:rsid w:val="009A2A6D"/>
    <w:rsid w:val="009A2C3B"/>
    <w:rsid w:val="009A2C69"/>
    <w:rsid w:val="009A2E36"/>
    <w:rsid w:val="009A4428"/>
    <w:rsid w:val="009A4E61"/>
    <w:rsid w:val="009A55FD"/>
    <w:rsid w:val="009A580A"/>
    <w:rsid w:val="009A598C"/>
    <w:rsid w:val="009A5FF1"/>
    <w:rsid w:val="009A69DE"/>
    <w:rsid w:val="009A6F2F"/>
    <w:rsid w:val="009A743C"/>
    <w:rsid w:val="009A7490"/>
    <w:rsid w:val="009B0A3F"/>
    <w:rsid w:val="009B139E"/>
    <w:rsid w:val="009B1598"/>
    <w:rsid w:val="009B190B"/>
    <w:rsid w:val="009B261C"/>
    <w:rsid w:val="009B28C8"/>
    <w:rsid w:val="009B3FCA"/>
    <w:rsid w:val="009B4296"/>
    <w:rsid w:val="009B42B4"/>
    <w:rsid w:val="009B430F"/>
    <w:rsid w:val="009B4DC2"/>
    <w:rsid w:val="009B5EFA"/>
    <w:rsid w:val="009B69B5"/>
    <w:rsid w:val="009C0DD5"/>
    <w:rsid w:val="009C1B04"/>
    <w:rsid w:val="009C2DBB"/>
    <w:rsid w:val="009C3322"/>
    <w:rsid w:val="009C3EC3"/>
    <w:rsid w:val="009C4252"/>
    <w:rsid w:val="009C45C6"/>
    <w:rsid w:val="009C48FF"/>
    <w:rsid w:val="009C5280"/>
    <w:rsid w:val="009C5D22"/>
    <w:rsid w:val="009C5F09"/>
    <w:rsid w:val="009C5F3D"/>
    <w:rsid w:val="009C6385"/>
    <w:rsid w:val="009C6612"/>
    <w:rsid w:val="009C6D21"/>
    <w:rsid w:val="009C6EE6"/>
    <w:rsid w:val="009C7944"/>
    <w:rsid w:val="009C7C84"/>
    <w:rsid w:val="009D01E5"/>
    <w:rsid w:val="009D03EA"/>
    <w:rsid w:val="009D09F6"/>
    <w:rsid w:val="009D0A77"/>
    <w:rsid w:val="009D0B01"/>
    <w:rsid w:val="009D0C30"/>
    <w:rsid w:val="009D0DCD"/>
    <w:rsid w:val="009D1B2F"/>
    <w:rsid w:val="009D22E4"/>
    <w:rsid w:val="009D23C6"/>
    <w:rsid w:val="009D2455"/>
    <w:rsid w:val="009D250B"/>
    <w:rsid w:val="009D2956"/>
    <w:rsid w:val="009D2A4D"/>
    <w:rsid w:val="009D2A6B"/>
    <w:rsid w:val="009D2C0A"/>
    <w:rsid w:val="009D2ED7"/>
    <w:rsid w:val="009D3032"/>
    <w:rsid w:val="009D38F1"/>
    <w:rsid w:val="009D4009"/>
    <w:rsid w:val="009D42B1"/>
    <w:rsid w:val="009D443B"/>
    <w:rsid w:val="009D4568"/>
    <w:rsid w:val="009D4807"/>
    <w:rsid w:val="009D51D8"/>
    <w:rsid w:val="009D53D6"/>
    <w:rsid w:val="009D5A55"/>
    <w:rsid w:val="009D5BE2"/>
    <w:rsid w:val="009D6002"/>
    <w:rsid w:val="009D626A"/>
    <w:rsid w:val="009D6FA6"/>
    <w:rsid w:val="009D7CD7"/>
    <w:rsid w:val="009E04D2"/>
    <w:rsid w:val="009E0619"/>
    <w:rsid w:val="009E1B62"/>
    <w:rsid w:val="009E23FD"/>
    <w:rsid w:val="009E3C50"/>
    <w:rsid w:val="009E4294"/>
    <w:rsid w:val="009E4DDF"/>
    <w:rsid w:val="009E5043"/>
    <w:rsid w:val="009E58EB"/>
    <w:rsid w:val="009E5FB3"/>
    <w:rsid w:val="009E61EF"/>
    <w:rsid w:val="009E65E2"/>
    <w:rsid w:val="009E6F5D"/>
    <w:rsid w:val="009E70F3"/>
    <w:rsid w:val="009E71B7"/>
    <w:rsid w:val="009E7ACC"/>
    <w:rsid w:val="009F03A7"/>
    <w:rsid w:val="009F0B49"/>
    <w:rsid w:val="009F0FC6"/>
    <w:rsid w:val="009F23D6"/>
    <w:rsid w:val="009F3128"/>
    <w:rsid w:val="009F356A"/>
    <w:rsid w:val="009F4015"/>
    <w:rsid w:val="009F430E"/>
    <w:rsid w:val="009F43D1"/>
    <w:rsid w:val="009F4B98"/>
    <w:rsid w:val="009F52C3"/>
    <w:rsid w:val="009F6A3B"/>
    <w:rsid w:val="009F730D"/>
    <w:rsid w:val="009F778B"/>
    <w:rsid w:val="009F7BB3"/>
    <w:rsid w:val="00A0051C"/>
    <w:rsid w:val="00A0118F"/>
    <w:rsid w:val="00A01574"/>
    <w:rsid w:val="00A018CA"/>
    <w:rsid w:val="00A02C81"/>
    <w:rsid w:val="00A037B0"/>
    <w:rsid w:val="00A03CF0"/>
    <w:rsid w:val="00A03EE1"/>
    <w:rsid w:val="00A04237"/>
    <w:rsid w:val="00A0482D"/>
    <w:rsid w:val="00A04DA7"/>
    <w:rsid w:val="00A0528D"/>
    <w:rsid w:val="00A053D8"/>
    <w:rsid w:val="00A054DD"/>
    <w:rsid w:val="00A05B0C"/>
    <w:rsid w:val="00A0652D"/>
    <w:rsid w:val="00A06BE2"/>
    <w:rsid w:val="00A06ECC"/>
    <w:rsid w:val="00A079CE"/>
    <w:rsid w:val="00A07DBD"/>
    <w:rsid w:val="00A100B1"/>
    <w:rsid w:val="00A108F4"/>
    <w:rsid w:val="00A10908"/>
    <w:rsid w:val="00A10B17"/>
    <w:rsid w:val="00A10B93"/>
    <w:rsid w:val="00A10C4E"/>
    <w:rsid w:val="00A10D1B"/>
    <w:rsid w:val="00A1122E"/>
    <w:rsid w:val="00A13399"/>
    <w:rsid w:val="00A13DAE"/>
    <w:rsid w:val="00A152B2"/>
    <w:rsid w:val="00A15B17"/>
    <w:rsid w:val="00A16057"/>
    <w:rsid w:val="00A1610F"/>
    <w:rsid w:val="00A162B1"/>
    <w:rsid w:val="00A1680D"/>
    <w:rsid w:val="00A17EA0"/>
    <w:rsid w:val="00A17ED4"/>
    <w:rsid w:val="00A2028F"/>
    <w:rsid w:val="00A2074C"/>
    <w:rsid w:val="00A207E0"/>
    <w:rsid w:val="00A21226"/>
    <w:rsid w:val="00A2124D"/>
    <w:rsid w:val="00A21832"/>
    <w:rsid w:val="00A23AF9"/>
    <w:rsid w:val="00A2450F"/>
    <w:rsid w:val="00A246CF"/>
    <w:rsid w:val="00A24AFF"/>
    <w:rsid w:val="00A24D1F"/>
    <w:rsid w:val="00A260E9"/>
    <w:rsid w:val="00A264D4"/>
    <w:rsid w:val="00A2656D"/>
    <w:rsid w:val="00A2696D"/>
    <w:rsid w:val="00A26A75"/>
    <w:rsid w:val="00A26D44"/>
    <w:rsid w:val="00A275D4"/>
    <w:rsid w:val="00A2792E"/>
    <w:rsid w:val="00A30D50"/>
    <w:rsid w:val="00A31D3F"/>
    <w:rsid w:val="00A31E6C"/>
    <w:rsid w:val="00A3294F"/>
    <w:rsid w:val="00A32C8F"/>
    <w:rsid w:val="00A337E4"/>
    <w:rsid w:val="00A33C65"/>
    <w:rsid w:val="00A34222"/>
    <w:rsid w:val="00A34947"/>
    <w:rsid w:val="00A34BB2"/>
    <w:rsid w:val="00A35C1F"/>
    <w:rsid w:val="00A365D3"/>
    <w:rsid w:val="00A36AC9"/>
    <w:rsid w:val="00A37289"/>
    <w:rsid w:val="00A37341"/>
    <w:rsid w:val="00A37C48"/>
    <w:rsid w:val="00A37EE2"/>
    <w:rsid w:val="00A41144"/>
    <w:rsid w:val="00A41690"/>
    <w:rsid w:val="00A4177E"/>
    <w:rsid w:val="00A41A2F"/>
    <w:rsid w:val="00A41B7B"/>
    <w:rsid w:val="00A41CE8"/>
    <w:rsid w:val="00A41D3C"/>
    <w:rsid w:val="00A42012"/>
    <w:rsid w:val="00A435D5"/>
    <w:rsid w:val="00A43F3A"/>
    <w:rsid w:val="00A4470B"/>
    <w:rsid w:val="00A45034"/>
    <w:rsid w:val="00A45278"/>
    <w:rsid w:val="00A455B1"/>
    <w:rsid w:val="00A457A6"/>
    <w:rsid w:val="00A45AD8"/>
    <w:rsid w:val="00A45D82"/>
    <w:rsid w:val="00A45E8A"/>
    <w:rsid w:val="00A465B5"/>
    <w:rsid w:val="00A4680E"/>
    <w:rsid w:val="00A47105"/>
    <w:rsid w:val="00A47723"/>
    <w:rsid w:val="00A512CC"/>
    <w:rsid w:val="00A51E55"/>
    <w:rsid w:val="00A520B7"/>
    <w:rsid w:val="00A5293E"/>
    <w:rsid w:val="00A52A9D"/>
    <w:rsid w:val="00A52F79"/>
    <w:rsid w:val="00A5323F"/>
    <w:rsid w:val="00A5337C"/>
    <w:rsid w:val="00A53422"/>
    <w:rsid w:val="00A53748"/>
    <w:rsid w:val="00A53792"/>
    <w:rsid w:val="00A537C5"/>
    <w:rsid w:val="00A547B9"/>
    <w:rsid w:val="00A54D9F"/>
    <w:rsid w:val="00A54E26"/>
    <w:rsid w:val="00A54E8C"/>
    <w:rsid w:val="00A555C4"/>
    <w:rsid w:val="00A5585C"/>
    <w:rsid w:val="00A55BC5"/>
    <w:rsid w:val="00A56B7D"/>
    <w:rsid w:val="00A575F4"/>
    <w:rsid w:val="00A57AB2"/>
    <w:rsid w:val="00A57BD0"/>
    <w:rsid w:val="00A60083"/>
    <w:rsid w:val="00A60E80"/>
    <w:rsid w:val="00A61258"/>
    <w:rsid w:val="00A612CF"/>
    <w:rsid w:val="00A616D3"/>
    <w:rsid w:val="00A62027"/>
    <w:rsid w:val="00A621C3"/>
    <w:rsid w:val="00A626EA"/>
    <w:rsid w:val="00A63197"/>
    <w:rsid w:val="00A63795"/>
    <w:rsid w:val="00A63935"/>
    <w:rsid w:val="00A63A69"/>
    <w:rsid w:val="00A63F00"/>
    <w:rsid w:val="00A640D8"/>
    <w:rsid w:val="00A645BA"/>
    <w:rsid w:val="00A651A7"/>
    <w:rsid w:val="00A65953"/>
    <w:rsid w:val="00A65B39"/>
    <w:rsid w:val="00A665AE"/>
    <w:rsid w:val="00A66A3A"/>
    <w:rsid w:val="00A67C30"/>
    <w:rsid w:val="00A67D76"/>
    <w:rsid w:val="00A700D7"/>
    <w:rsid w:val="00A703DB"/>
    <w:rsid w:val="00A706B8"/>
    <w:rsid w:val="00A72056"/>
    <w:rsid w:val="00A72B8F"/>
    <w:rsid w:val="00A72F46"/>
    <w:rsid w:val="00A732BD"/>
    <w:rsid w:val="00A7358B"/>
    <w:rsid w:val="00A73CF0"/>
    <w:rsid w:val="00A74402"/>
    <w:rsid w:val="00A74452"/>
    <w:rsid w:val="00A74ADB"/>
    <w:rsid w:val="00A74EDF"/>
    <w:rsid w:val="00A7516E"/>
    <w:rsid w:val="00A75E40"/>
    <w:rsid w:val="00A7646E"/>
    <w:rsid w:val="00A769AC"/>
    <w:rsid w:val="00A76EBE"/>
    <w:rsid w:val="00A770BA"/>
    <w:rsid w:val="00A77441"/>
    <w:rsid w:val="00A779C5"/>
    <w:rsid w:val="00A77F4B"/>
    <w:rsid w:val="00A805BA"/>
    <w:rsid w:val="00A80682"/>
    <w:rsid w:val="00A809BD"/>
    <w:rsid w:val="00A809FB"/>
    <w:rsid w:val="00A814B4"/>
    <w:rsid w:val="00A814DB"/>
    <w:rsid w:val="00A81705"/>
    <w:rsid w:val="00A81B30"/>
    <w:rsid w:val="00A81B49"/>
    <w:rsid w:val="00A81E8A"/>
    <w:rsid w:val="00A81EB9"/>
    <w:rsid w:val="00A82320"/>
    <w:rsid w:val="00A827E6"/>
    <w:rsid w:val="00A833D7"/>
    <w:rsid w:val="00A83673"/>
    <w:rsid w:val="00A836F2"/>
    <w:rsid w:val="00A84016"/>
    <w:rsid w:val="00A840FC"/>
    <w:rsid w:val="00A84185"/>
    <w:rsid w:val="00A85517"/>
    <w:rsid w:val="00A85563"/>
    <w:rsid w:val="00A866BF"/>
    <w:rsid w:val="00A87F58"/>
    <w:rsid w:val="00A908D5"/>
    <w:rsid w:val="00A90995"/>
    <w:rsid w:val="00A91D39"/>
    <w:rsid w:val="00A928E4"/>
    <w:rsid w:val="00A92A02"/>
    <w:rsid w:val="00A932D1"/>
    <w:rsid w:val="00A93D33"/>
    <w:rsid w:val="00A95870"/>
    <w:rsid w:val="00A95BE6"/>
    <w:rsid w:val="00A95FAF"/>
    <w:rsid w:val="00A960A5"/>
    <w:rsid w:val="00A96734"/>
    <w:rsid w:val="00A96813"/>
    <w:rsid w:val="00A96A3D"/>
    <w:rsid w:val="00A9718D"/>
    <w:rsid w:val="00A97AA6"/>
    <w:rsid w:val="00AA06A4"/>
    <w:rsid w:val="00AA0858"/>
    <w:rsid w:val="00AA0B8A"/>
    <w:rsid w:val="00AA0C27"/>
    <w:rsid w:val="00AA154B"/>
    <w:rsid w:val="00AA1692"/>
    <w:rsid w:val="00AA26DD"/>
    <w:rsid w:val="00AA2790"/>
    <w:rsid w:val="00AA2871"/>
    <w:rsid w:val="00AA2AF6"/>
    <w:rsid w:val="00AA2CC5"/>
    <w:rsid w:val="00AA30FD"/>
    <w:rsid w:val="00AA366C"/>
    <w:rsid w:val="00AA376E"/>
    <w:rsid w:val="00AA43C1"/>
    <w:rsid w:val="00AA4590"/>
    <w:rsid w:val="00AA46C9"/>
    <w:rsid w:val="00AA4E08"/>
    <w:rsid w:val="00AA506F"/>
    <w:rsid w:val="00AA6193"/>
    <w:rsid w:val="00AA6250"/>
    <w:rsid w:val="00AA64C9"/>
    <w:rsid w:val="00AA670F"/>
    <w:rsid w:val="00AA7736"/>
    <w:rsid w:val="00AA7CE7"/>
    <w:rsid w:val="00AB003B"/>
    <w:rsid w:val="00AB03D4"/>
    <w:rsid w:val="00AB0CA7"/>
    <w:rsid w:val="00AB0F8C"/>
    <w:rsid w:val="00AB124A"/>
    <w:rsid w:val="00AB1424"/>
    <w:rsid w:val="00AB1B5B"/>
    <w:rsid w:val="00AB1E65"/>
    <w:rsid w:val="00AB21BC"/>
    <w:rsid w:val="00AB24C9"/>
    <w:rsid w:val="00AB282A"/>
    <w:rsid w:val="00AB31CA"/>
    <w:rsid w:val="00AB37C0"/>
    <w:rsid w:val="00AB3867"/>
    <w:rsid w:val="00AB39B3"/>
    <w:rsid w:val="00AB3D1D"/>
    <w:rsid w:val="00AB3D27"/>
    <w:rsid w:val="00AB422A"/>
    <w:rsid w:val="00AB49BB"/>
    <w:rsid w:val="00AB4A16"/>
    <w:rsid w:val="00AB4D40"/>
    <w:rsid w:val="00AB5D45"/>
    <w:rsid w:val="00AB6A30"/>
    <w:rsid w:val="00AB6DEF"/>
    <w:rsid w:val="00AB7E4C"/>
    <w:rsid w:val="00AC02EA"/>
    <w:rsid w:val="00AC0538"/>
    <w:rsid w:val="00AC05C5"/>
    <w:rsid w:val="00AC06DF"/>
    <w:rsid w:val="00AC16A5"/>
    <w:rsid w:val="00AC1988"/>
    <w:rsid w:val="00AC1BF1"/>
    <w:rsid w:val="00AC23C8"/>
    <w:rsid w:val="00AC2428"/>
    <w:rsid w:val="00AC2E93"/>
    <w:rsid w:val="00AC32A4"/>
    <w:rsid w:val="00AC3494"/>
    <w:rsid w:val="00AC39FD"/>
    <w:rsid w:val="00AC43B2"/>
    <w:rsid w:val="00AC4D74"/>
    <w:rsid w:val="00AC4DEE"/>
    <w:rsid w:val="00AC50AC"/>
    <w:rsid w:val="00AC5426"/>
    <w:rsid w:val="00AC5909"/>
    <w:rsid w:val="00AC5A95"/>
    <w:rsid w:val="00AC5F7B"/>
    <w:rsid w:val="00AC6D44"/>
    <w:rsid w:val="00AC756A"/>
    <w:rsid w:val="00AC7EA6"/>
    <w:rsid w:val="00AC7EC9"/>
    <w:rsid w:val="00AD0977"/>
    <w:rsid w:val="00AD1DC3"/>
    <w:rsid w:val="00AD2145"/>
    <w:rsid w:val="00AD3764"/>
    <w:rsid w:val="00AD476E"/>
    <w:rsid w:val="00AD491F"/>
    <w:rsid w:val="00AD4F72"/>
    <w:rsid w:val="00AD51AA"/>
    <w:rsid w:val="00AD567A"/>
    <w:rsid w:val="00AD56AA"/>
    <w:rsid w:val="00AD5808"/>
    <w:rsid w:val="00AD5C9C"/>
    <w:rsid w:val="00AD5D3B"/>
    <w:rsid w:val="00AD6111"/>
    <w:rsid w:val="00AD61AB"/>
    <w:rsid w:val="00AD72A0"/>
    <w:rsid w:val="00AD74EA"/>
    <w:rsid w:val="00AD763D"/>
    <w:rsid w:val="00AD7A7D"/>
    <w:rsid w:val="00AE0527"/>
    <w:rsid w:val="00AE06F4"/>
    <w:rsid w:val="00AE0A2B"/>
    <w:rsid w:val="00AE12D8"/>
    <w:rsid w:val="00AE1B21"/>
    <w:rsid w:val="00AE25FA"/>
    <w:rsid w:val="00AE29FE"/>
    <w:rsid w:val="00AE3067"/>
    <w:rsid w:val="00AE3187"/>
    <w:rsid w:val="00AE35B8"/>
    <w:rsid w:val="00AE3C7C"/>
    <w:rsid w:val="00AE3DD5"/>
    <w:rsid w:val="00AE3E8D"/>
    <w:rsid w:val="00AE42D7"/>
    <w:rsid w:val="00AE4529"/>
    <w:rsid w:val="00AE46BC"/>
    <w:rsid w:val="00AE584C"/>
    <w:rsid w:val="00AE5983"/>
    <w:rsid w:val="00AE5A8C"/>
    <w:rsid w:val="00AE5B3C"/>
    <w:rsid w:val="00AE69FC"/>
    <w:rsid w:val="00AE6E43"/>
    <w:rsid w:val="00AE7984"/>
    <w:rsid w:val="00AE7EE4"/>
    <w:rsid w:val="00AE7F1D"/>
    <w:rsid w:val="00AF063B"/>
    <w:rsid w:val="00AF0A16"/>
    <w:rsid w:val="00AF0B80"/>
    <w:rsid w:val="00AF1755"/>
    <w:rsid w:val="00AF178E"/>
    <w:rsid w:val="00AF1CE6"/>
    <w:rsid w:val="00AF29C9"/>
    <w:rsid w:val="00AF3160"/>
    <w:rsid w:val="00AF3BEA"/>
    <w:rsid w:val="00AF42B3"/>
    <w:rsid w:val="00AF4647"/>
    <w:rsid w:val="00AF475B"/>
    <w:rsid w:val="00AF4B2A"/>
    <w:rsid w:val="00AF5096"/>
    <w:rsid w:val="00AF5155"/>
    <w:rsid w:val="00AF56FC"/>
    <w:rsid w:val="00AF5B9A"/>
    <w:rsid w:val="00AF7234"/>
    <w:rsid w:val="00AF74BE"/>
    <w:rsid w:val="00AF7917"/>
    <w:rsid w:val="00AF7FD5"/>
    <w:rsid w:val="00B0054D"/>
    <w:rsid w:val="00B007C5"/>
    <w:rsid w:val="00B00818"/>
    <w:rsid w:val="00B00DF8"/>
    <w:rsid w:val="00B00EFC"/>
    <w:rsid w:val="00B01D57"/>
    <w:rsid w:val="00B029CF"/>
    <w:rsid w:val="00B03028"/>
    <w:rsid w:val="00B032C7"/>
    <w:rsid w:val="00B032D8"/>
    <w:rsid w:val="00B03699"/>
    <w:rsid w:val="00B03C7C"/>
    <w:rsid w:val="00B043D2"/>
    <w:rsid w:val="00B04C4A"/>
    <w:rsid w:val="00B04C5B"/>
    <w:rsid w:val="00B04CDE"/>
    <w:rsid w:val="00B05369"/>
    <w:rsid w:val="00B05570"/>
    <w:rsid w:val="00B06D49"/>
    <w:rsid w:val="00B06DA4"/>
    <w:rsid w:val="00B07F18"/>
    <w:rsid w:val="00B10150"/>
    <w:rsid w:val="00B10334"/>
    <w:rsid w:val="00B103C3"/>
    <w:rsid w:val="00B10FF2"/>
    <w:rsid w:val="00B1114C"/>
    <w:rsid w:val="00B12845"/>
    <w:rsid w:val="00B13879"/>
    <w:rsid w:val="00B13A15"/>
    <w:rsid w:val="00B13A80"/>
    <w:rsid w:val="00B1461A"/>
    <w:rsid w:val="00B14840"/>
    <w:rsid w:val="00B14FE3"/>
    <w:rsid w:val="00B15846"/>
    <w:rsid w:val="00B1614B"/>
    <w:rsid w:val="00B162DD"/>
    <w:rsid w:val="00B162E5"/>
    <w:rsid w:val="00B16D26"/>
    <w:rsid w:val="00B2016A"/>
    <w:rsid w:val="00B20631"/>
    <w:rsid w:val="00B20CBA"/>
    <w:rsid w:val="00B21BD9"/>
    <w:rsid w:val="00B21DF8"/>
    <w:rsid w:val="00B22F09"/>
    <w:rsid w:val="00B23C5B"/>
    <w:rsid w:val="00B24AE5"/>
    <w:rsid w:val="00B258F8"/>
    <w:rsid w:val="00B25CC1"/>
    <w:rsid w:val="00B25D9F"/>
    <w:rsid w:val="00B25E4C"/>
    <w:rsid w:val="00B26BDD"/>
    <w:rsid w:val="00B27A05"/>
    <w:rsid w:val="00B30A1B"/>
    <w:rsid w:val="00B30AE3"/>
    <w:rsid w:val="00B30C4A"/>
    <w:rsid w:val="00B30D2A"/>
    <w:rsid w:val="00B30D37"/>
    <w:rsid w:val="00B30E39"/>
    <w:rsid w:val="00B3108A"/>
    <w:rsid w:val="00B311A9"/>
    <w:rsid w:val="00B31393"/>
    <w:rsid w:val="00B31584"/>
    <w:rsid w:val="00B32086"/>
    <w:rsid w:val="00B323F8"/>
    <w:rsid w:val="00B33689"/>
    <w:rsid w:val="00B33CE9"/>
    <w:rsid w:val="00B345FF"/>
    <w:rsid w:val="00B34B30"/>
    <w:rsid w:val="00B35478"/>
    <w:rsid w:val="00B35917"/>
    <w:rsid w:val="00B359D6"/>
    <w:rsid w:val="00B35E52"/>
    <w:rsid w:val="00B37130"/>
    <w:rsid w:val="00B375D1"/>
    <w:rsid w:val="00B37AB1"/>
    <w:rsid w:val="00B406B7"/>
    <w:rsid w:val="00B4091B"/>
    <w:rsid w:val="00B4092D"/>
    <w:rsid w:val="00B41804"/>
    <w:rsid w:val="00B4279A"/>
    <w:rsid w:val="00B433A3"/>
    <w:rsid w:val="00B43498"/>
    <w:rsid w:val="00B437F2"/>
    <w:rsid w:val="00B438F8"/>
    <w:rsid w:val="00B43DCC"/>
    <w:rsid w:val="00B44247"/>
    <w:rsid w:val="00B44254"/>
    <w:rsid w:val="00B44873"/>
    <w:rsid w:val="00B44A27"/>
    <w:rsid w:val="00B4520F"/>
    <w:rsid w:val="00B457C6"/>
    <w:rsid w:val="00B46845"/>
    <w:rsid w:val="00B46F9C"/>
    <w:rsid w:val="00B47269"/>
    <w:rsid w:val="00B51B12"/>
    <w:rsid w:val="00B51EF0"/>
    <w:rsid w:val="00B523C3"/>
    <w:rsid w:val="00B525CA"/>
    <w:rsid w:val="00B5300D"/>
    <w:rsid w:val="00B539EF"/>
    <w:rsid w:val="00B540D0"/>
    <w:rsid w:val="00B54125"/>
    <w:rsid w:val="00B543BC"/>
    <w:rsid w:val="00B54781"/>
    <w:rsid w:val="00B5490F"/>
    <w:rsid w:val="00B54C10"/>
    <w:rsid w:val="00B54DC9"/>
    <w:rsid w:val="00B55C3C"/>
    <w:rsid w:val="00B56D0F"/>
    <w:rsid w:val="00B573B3"/>
    <w:rsid w:val="00B57829"/>
    <w:rsid w:val="00B57A32"/>
    <w:rsid w:val="00B605DA"/>
    <w:rsid w:val="00B60C75"/>
    <w:rsid w:val="00B61B33"/>
    <w:rsid w:val="00B61E16"/>
    <w:rsid w:val="00B62697"/>
    <w:rsid w:val="00B62F14"/>
    <w:rsid w:val="00B638DD"/>
    <w:rsid w:val="00B64155"/>
    <w:rsid w:val="00B644F7"/>
    <w:rsid w:val="00B6493C"/>
    <w:rsid w:val="00B64CD0"/>
    <w:rsid w:val="00B64CFC"/>
    <w:rsid w:val="00B651DB"/>
    <w:rsid w:val="00B6628B"/>
    <w:rsid w:val="00B66E69"/>
    <w:rsid w:val="00B676D1"/>
    <w:rsid w:val="00B679DB"/>
    <w:rsid w:val="00B67A8E"/>
    <w:rsid w:val="00B67ED4"/>
    <w:rsid w:val="00B67F6E"/>
    <w:rsid w:val="00B70128"/>
    <w:rsid w:val="00B70218"/>
    <w:rsid w:val="00B70A51"/>
    <w:rsid w:val="00B70E2B"/>
    <w:rsid w:val="00B7152B"/>
    <w:rsid w:val="00B71EC7"/>
    <w:rsid w:val="00B71F17"/>
    <w:rsid w:val="00B72A5C"/>
    <w:rsid w:val="00B731DC"/>
    <w:rsid w:val="00B73801"/>
    <w:rsid w:val="00B741F6"/>
    <w:rsid w:val="00B74283"/>
    <w:rsid w:val="00B74CF3"/>
    <w:rsid w:val="00B750F7"/>
    <w:rsid w:val="00B75B17"/>
    <w:rsid w:val="00B75CAD"/>
    <w:rsid w:val="00B75F4B"/>
    <w:rsid w:val="00B7607A"/>
    <w:rsid w:val="00B763C7"/>
    <w:rsid w:val="00B76442"/>
    <w:rsid w:val="00B7687A"/>
    <w:rsid w:val="00B76FBE"/>
    <w:rsid w:val="00B77B3C"/>
    <w:rsid w:val="00B801D9"/>
    <w:rsid w:val="00B807A8"/>
    <w:rsid w:val="00B80A43"/>
    <w:rsid w:val="00B80FB4"/>
    <w:rsid w:val="00B80FB7"/>
    <w:rsid w:val="00B818E7"/>
    <w:rsid w:val="00B81E1E"/>
    <w:rsid w:val="00B81FE1"/>
    <w:rsid w:val="00B8220A"/>
    <w:rsid w:val="00B8322C"/>
    <w:rsid w:val="00B83430"/>
    <w:rsid w:val="00B83C1D"/>
    <w:rsid w:val="00B83CDB"/>
    <w:rsid w:val="00B84190"/>
    <w:rsid w:val="00B843DF"/>
    <w:rsid w:val="00B84D6C"/>
    <w:rsid w:val="00B85422"/>
    <w:rsid w:val="00B85CE1"/>
    <w:rsid w:val="00B85F70"/>
    <w:rsid w:val="00B862FD"/>
    <w:rsid w:val="00B8686C"/>
    <w:rsid w:val="00B86F56"/>
    <w:rsid w:val="00B8778D"/>
    <w:rsid w:val="00B87E8F"/>
    <w:rsid w:val="00B87F0D"/>
    <w:rsid w:val="00B9045C"/>
    <w:rsid w:val="00B9103B"/>
    <w:rsid w:val="00B91133"/>
    <w:rsid w:val="00B91898"/>
    <w:rsid w:val="00B918BC"/>
    <w:rsid w:val="00B92367"/>
    <w:rsid w:val="00B92550"/>
    <w:rsid w:val="00B9289A"/>
    <w:rsid w:val="00B92CA0"/>
    <w:rsid w:val="00B932BA"/>
    <w:rsid w:val="00B936DF"/>
    <w:rsid w:val="00B9394B"/>
    <w:rsid w:val="00B93E38"/>
    <w:rsid w:val="00B94763"/>
    <w:rsid w:val="00B95930"/>
    <w:rsid w:val="00B95F1B"/>
    <w:rsid w:val="00B963B7"/>
    <w:rsid w:val="00B967C7"/>
    <w:rsid w:val="00B97860"/>
    <w:rsid w:val="00BA0082"/>
    <w:rsid w:val="00BA0698"/>
    <w:rsid w:val="00BA0E86"/>
    <w:rsid w:val="00BA13E5"/>
    <w:rsid w:val="00BA143E"/>
    <w:rsid w:val="00BA1653"/>
    <w:rsid w:val="00BA1E7A"/>
    <w:rsid w:val="00BA2AEC"/>
    <w:rsid w:val="00BA2DE6"/>
    <w:rsid w:val="00BA2FF1"/>
    <w:rsid w:val="00BA3134"/>
    <w:rsid w:val="00BA332B"/>
    <w:rsid w:val="00BA33D0"/>
    <w:rsid w:val="00BA341B"/>
    <w:rsid w:val="00BA401A"/>
    <w:rsid w:val="00BA4625"/>
    <w:rsid w:val="00BA47A1"/>
    <w:rsid w:val="00BA4A6F"/>
    <w:rsid w:val="00BA4FF8"/>
    <w:rsid w:val="00BA52CB"/>
    <w:rsid w:val="00BA5566"/>
    <w:rsid w:val="00BA5724"/>
    <w:rsid w:val="00BA610D"/>
    <w:rsid w:val="00BA6571"/>
    <w:rsid w:val="00BA6724"/>
    <w:rsid w:val="00BA680B"/>
    <w:rsid w:val="00BA6885"/>
    <w:rsid w:val="00BA6D83"/>
    <w:rsid w:val="00BA76FF"/>
    <w:rsid w:val="00BA7C87"/>
    <w:rsid w:val="00BA7FF3"/>
    <w:rsid w:val="00BB0675"/>
    <w:rsid w:val="00BB0E09"/>
    <w:rsid w:val="00BB101B"/>
    <w:rsid w:val="00BB24B7"/>
    <w:rsid w:val="00BB2932"/>
    <w:rsid w:val="00BB2D52"/>
    <w:rsid w:val="00BB2DA1"/>
    <w:rsid w:val="00BB3304"/>
    <w:rsid w:val="00BB3B51"/>
    <w:rsid w:val="00BB406E"/>
    <w:rsid w:val="00BB43E6"/>
    <w:rsid w:val="00BB4489"/>
    <w:rsid w:val="00BB4644"/>
    <w:rsid w:val="00BB464E"/>
    <w:rsid w:val="00BB479E"/>
    <w:rsid w:val="00BB508D"/>
    <w:rsid w:val="00BB554D"/>
    <w:rsid w:val="00BB55F6"/>
    <w:rsid w:val="00BB5FEA"/>
    <w:rsid w:val="00BB630D"/>
    <w:rsid w:val="00BB6BCB"/>
    <w:rsid w:val="00BB743A"/>
    <w:rsid w:val="00BC043A"/>
    <w:rsid w:val="00BC05E7"/>
    <w:rsid w:val="00BC088E"/>
    <w:rsid w:val="00BC0CDA"/>
    <w:rsid w:val="00BC0ED9"/>
    <w:rsid w:val="00BC1189"/>
    <w:rsid w:val="00BC1A14"/>
    <w:rsid w:val="00BC26B1"/>
    <w:rsid w:val="00BC2DAB"/>
    <w:rsid w:val="00BC3244"/>
    <w:rsid w:val="00BC32B9"/>
    <w:rsid w:val="00BC3DA5"/>
    <w:rsid w:val="00BC5531"/>
    <w:rsid w:val="00BC5669"/>
    <w:rsid w:val="00BC5707"/>
    <w:rsid w:val="00BC65FC"/>
    <w:rsid w:val="00BC7F42"/>
    <w:rsid w:val="00BD008F"/>
    <w:rsid w:val="00BD04F0"/>
    <w:rsid w:val="00BD0E66"/>
    <w:rsid w:val="00BD1213"/>
    <w:rsid w:val="00BD1598"/>
    <w:rsid w:val="00BD1787"/>
    <w:rsid w:val="00BD1CAA"/>
    <w:rsid w:val="00BD2568"/>
    <w:rsid w:val="00BD3300"/>
    <w:rsid w:val="00BD4228"/>
    <w:rsid w:val="00BD456B"/>
    <w:rsid w:val="00BD4A6C"/>
    <w:rsid w:val="00BD4A80"/>
    <w:rsid w:val="00BD4BD3"/>
    <w:rsid w:val="00BD4BFC"/>
    <w:rsid w:val="00BD61C7"/>
    <w:rsid w:val="00BD6429"/>
    <w:rsid w:val="00BD6836"/>
    <w:rsid w:val="00BD703E"/>
    <w:rsid w:val="00BD722D"/>
    <w:rsid w:val="00BD74FC"/>
    <w:rsid w:val="00BD7F9A"/>
    <w:rsid w:val="00BE081F"/>
    <w:rsid w:val="00BE0F71"/>
    <w:rsid w:val="00BE1484"/>
    <w:rsid w:val="00BE2E5F"/>
    <w:rsid w:val="00BE2E6D"/>
    <w:rsid w:val="00BE47E7"/>
    <w:rsid w:val="00BE49FA"/>
    <w:rsid w:val="00BE4AC9"/>
    <w:rsid w:val="00BE508C"/>
    <w:rsid w:val="00BE5EC9"/>
    <w:rsid w:val="00BE68FB"/>
    <w:rsid w:val="00BE6B41"/>
    <w:rsid w:val="00BF026F"/>
    <w:rsid w:val="00BF04A8"/>
    <w:rsid w:val="00BF064B"/>
    <w:rsid w:val="00BF0B75"/>
    <w:rsid w:val="00BF0D84"/>
    <w:rsid w:val="00BF123B"/>
    <w:rsid w:val="00BF1310"/>
    <w:rsid w:val="00BF1397"/>
    <w:rsid w:val="00BF2081"/>
    <w:rsid w:val="00BF244B"/>
    <w:rsid w:val="00BF256F"/>
    <w:rsid w:val="00BF2B08"/>
    <w:rsid w:val="00BF2D72"/>
    <w:rsid w:val="00BF308C"/>
    <w:rsid w:val="00BF3145"/>
    <w:rsid w:val="00BF321F"/>
    <w:rsid w:val="00BF34D8"/>
    <w:rsid w:val="00BF3B72"/>
    <w:rsid w:val="00BF3C63"/>
    <w:rsid w:val="00BF3E98"/>
    <w:rsid w:val="00BF40F5"/>
    <w:rsid w:val="00BF43C1"/>
    <w:rsid w:val="00BF489B"/>
    <w:rsid w:val="00BF4955"/>
    <w:rsid w:val="00BF4A47"/>
    <w:rsid w:val="00BF53D2"/>
    <w:rsid w:val="00BF6BF4"/>
    <w:rsid w:val="00BF7561"/>
    <w:rsid w:val="00BF77E2"/>
    <w:rsid w:val="00BF7FC3"/>
    <w:rsid w:val="00C001F9"/>
    <w:rsid w:val="00C003C6"/>
    <w:rsid w:val="00C003E1"/>
    <w:rsid w:val="00C00F93"/>
    <w:rsid w:val="00C0125E"/>
    <w:rsid w:val="00C0191D"/>
    <w:rsid w:val="00C0290B"/>
    <w:rsid w:val="00C02C33"/>
    <w:rsid w:val="00C02CAA"/>
    <w:rsid w:val="00C04165"/>
    <w:rsid w:val="00C047A4"/>
    <w:rsid w:val="00C063EA"/>
    <w:rsid w:val="00C06808"/>
    <w:rsid w:val="00C06D57"/>
    <w:rsid w:val="00C07176"/>
    <w:rsid w:val="00C07577"/>
    <w:rsid w:val="00C0776E"/>
    <w:rsid w:val="00C07948"/>
    <w:rsid w:val="00C07CE8"/>
    <w:rsid w:val="00C10324"/>
    <w:rsid w:val="00C10736"/>
    <w:rsid w:val="00C11AAA"/>
    <w:rsid w:val="00C11C0F"/>
    <w:rsid w:val="00C11ECF"/>
    <w:rsid w:val="00C1205F"/>
    <w:rsid w:val="00C121CC"/>
    <w:rsid w:val="00C129CD"/>
    <w:rsid w:val="00C12EE7"/>
    <w:rsid w:val="00C131E2"/>
    <w:rsid w:val="00C133DB"/>
    <w:rsid w:val="00C135B7"/>
    <w:rsid w:val="00C13772"/>
    <w:rsid w:val="00C13933"/>
    <w:rsid w:val="00C1410F"/>
    <w:rsid w:val="00C15DF3"/>
    <w:rsid w:val="00C16D76"/>
    <w:rsid w:val="00C17450"/>
    <w:rsid w:val="00C1777A"/>
    <w:rsid w:val="00C177A5"/>
    <w:rsid w:val="00C17F63"/>
    <w:rsid w:val="00C2042A"/>
    <w:rsid w:val="00C20474"/>
    <w:rsid w:val="00C20848"/>
    <w:rsid w:val="00C21B0A"/>
    <w:rsid w:val="00C21B56"/>
    <w:rsid w:val="00C21CBB"/>
    <w:rsid w:val="00C22097"/>
    <w:rsid w:val="00C22D00"/>
    <w:rsid w:val="00C2336B"/>
    <w:rsid w:val="00C23576"/>
    <w:rsid w:val="00C23C92"/>
    <w:rsid w:val="00C242FF"/>
    <w:rsid w:val="00C24B4A"/>
    <w:rsid w:val="00C24D1B"/>
    <w:rsid w:val="00C24D9A"/>
    <w:rsid w:val="00C24E6E"/>
    <w:rsid w:val="00C24EA7"/>
    <w:rsid w:val="00C2539A"/>
    <w:rsid w:val="00C25BE4"/>
    <w:rsid w:val="00C25FDC"/>
    <w:rsid w:val="00C2668B"/>
    <w:rsid w:val="00C26A0B"/>
    <w:rsid w:val="00C26EE9"/>
    <w:rsid w:val="00C2703B"/>
    <w:rsid w:val="00C27263"/>
    <w:rsid w:val="00C27E4F"/>
    <w:rsid w:val="00C30695"/>
    <w:rsid w:val="00C30A19"/>
    <w:rsid w:val="00C30BB5"/>
    <w:rsid w:val="00C31196"/>
    <w:rsid w:val="00C313A1"/>
    <w:rsid w:val="00C31EB4"/>
    <w:rsid w:val="00C32511"/>
    <w:rsid w:val="00C326B8"/>
    <w:rsid w:val="00C326D0"/>
    <w:rsid w:val="00C33595"/>
    <w:rsid w:val="00C336FE"/>
    <w:rsid w:val="00C34553"/>
    <w:rsid w:val="00C345BF"/>
    <w:rsid w:val="00C34A91"/>
    <w:rsid w:val="00C36150"/>
    <w:rsid w:val="00C366A1"/>
    <w:rsid w:val="00C37043"/>
    <w:rsid w:val="00C377BC"/>
    <w:rsid w:val="00C37A09"/>
    <w:rsid w:val="00C37F7A"/>
    <w:rsid w:val="00C40074"/>
    <w:rsid w:val="00C4065D"/>
    <w:rsid w:val="00C40950"/>
    <w:rsid w:val="00C40CBD"/>
    <w:rsid w:val="00C411A8"/>
    <w:rsid w:val="00C4164C"/>
    <w:rsid w:val="00C42853"/>
    <w:rsid w:val="00C43021"/>
    <w:rsid w:val="00C4309D"/>
    <w:rsid w:val="00C444C8"/>
    <w:rsid w:val="00C45E9C"/>
    <w:rsid w:val="00C460B2"/>
    <w:rsid w:val="00C463A5"/>
    <w:rsid w:val="00C467B1"/>
    <w:rsid w:val="00C46932"/>
    <w:rsid w:val="00C470F6"/>
    <w:rsid w:val="00C47274"/>
    <w:rsid w:val="00C47E27"/>
    <w:rsid w:val="00C50094"/>
    <w:rsid w:val="00C5009E"/>
    <w:rsid w:val="00C501AA"/>
    <w:rsid w:val="00C505BD"/>
    <w:rsid w:val="00C508D8"/>
    <w:rsid w:val="00C50FED"/>
    <w:rsid w:val="00C5104E"/>
    <w:rsid w:val="00C52ADD"/>
    <w:rsid w:val="00C52BF4"/>
    <w:rsid w:val="00C52E81"/>
    <w:rsid w:val="00C53018"/>
    <w:rsid w:val="00C5395E"/>
    <w:rsid w:val="00C53B48"/>
    <w:rsid w:val="00C550B7"/>
    <w:rsid w:val="00C55F36"/>
    <w:rsid w:val="00C561C1"/>
    <w:rsid w:val="00C6002E"/>
    <w:rsid w:val="00C60337"/>
    <w:rsid w:val="00C604CA"/>
    <w:rsid w:val="00C60E61"/>
    <w:rsid w:val="00C60EA8"/>
    <w:rsid w:val="00C6114A"/>
    <w:rsid w:val="00C61214"/>
    <w:rsid w:val="00C61314"/>
    <w:rsid w:val="00C61BD1"/>
    <w:rsid w:val="00C625AC"/>
    <w:rsid w:val="00C62949"/>
    <w:rsid w:val="00C62F99"/>
    <w:rsid w:val="00C63A2B"/>
    <w:rsid w:val="00C63A73"/>
    <w:rsid w:val="00C63B9D"/>
    <w:rsid w:val="00C653EF"/>
    <w:rsid w:val="00C65BE7"/>
    <w:rsid w:val="00C65CF8"/>
    <w:rsid w:val="00C66F5E"/>
    <w:rsid w:val="00C67942"/>
    <w:rsid w:val="00C67A94"/>
    <w:rsid w:val="00C67C8A"/>
    <w:rsid w:val="00C67F83"/>
    <w:rsid w:val="00C70120"/>
    <w:rsid w:val="00C7058A"/>
    <w:rsid w:val="00C70956"/>
    <w:rsid w:val="00C70D58"/>
    <w:rsid w:val="00C721A3"/>
    <w:rsid w:val="00C72460"/>
    <w:rsid w:val="00C72CE9"/>
    <w:rsid w:val="00C72D6B"/>
    <w:rsid w:val="00C72F6A"/>
    <w:rsid w:val="00C74924"/>
    <w:rsid w:val="00C74937"/>
    <w:rsid w:val="00C74A43"/>
    <w:rsid w:val="00C74EF9"/>
    <w:rsid w:val="00C752AA"/>
    <w:rsid w:val="00C753A9"/>
    <w:rsid w:val="00C75E74"/>
    <w:rsid w:val="00C76637"/>
    <w:rsid w:val="00C769F1"/>
    <w:rsid w:val="00C804ED"/>
    <w:rsid w:val="00C8051F"/>
    <w:rsid w:val="00C80BAE"/>
    <w:rsid w:val="00C8170B"/>
    <w:rsid w:val="00C81C8B"/>
    <w:rsid w:val="00C81F30"/>
    <w:rsid w:val="00C8267D"/>
    <w:rsid w:val="00C829EC"/>
    <w:rsid w:val="00C82F0F"/>
    <w:rsid w:val="00C83287"/>
    <w:rsid w:val="00C832DD"/>
    <w:rsid w:val="00C838A3"/>
    <w:rsid w:val="00C83E46"/>
    <w:rsid w:val="00C842ED"/>
    <w:rsid w:val="00C84443"/>
    <w:rsid w:val="00C84B84"/>
    <w:rsid w:val="00C85169"/>
    <w:rsid w:val="00C8546F"/>
    <w:rsid w:val="00C8558E"/>
    <w:rsid w:val="00C8585B"/>
    <w:rsid w:val="00C85D1C"/>
    <w:rsid w:val="00C86711"/>
    <w:rsid w:val="00C86D3E"/>
    <w:rsid w:val="00C86D6B"/>
    <w:rsid w:val="00C90615"/>
    <w:rsid w:val="00C90E94"/>
    <w:rsid w:val="00C9112E"/>
    <w:rsid w:val="00C91970"/>
    <w:rsid w:val="00C9210C"/>
    <w:rsid w:val="00C92354"/>
    <w:rsid w:val="00C924BC"/>
    <w:rsid w:val="00C93220"/>
    <w:rsid w:val="00C93DB4"/>
    <w:rsid w:val="00C941E2"/>
    <w:rsid w:val="00C94495"/>
    <w:rsid w:val="00C94665"/>
    <w:rsid w:val="00C957F6"/>
    <w:rsid w:val="00C95874"/>
    <w:rsid w:val="00C9606C"/>
    <w:rsid w:val="00C96A69"/>
    <w:rsid w:val="00C973BC"/>
    <w:rsid w:val="00C978D6"/>
    <w:rsid w:val="00C97E5E"/>
    <w:rsid w:val="00CA0707"/>
    <w:rsid w:val="00CA0865"/>
    <w:rsid w:val="00CA0B15"/>
    <w:rsid w:val="00CA1717"/>
    <w:rsid w:val="00CA172F"/>
    <w:rsid w:val="00CA180C"/>
    <w:rsid w:val="00CA19D7"/>
    <w:rsid w:val="00CA2071"/>
    <w:rsid w:val="00CA24C3"/>
    <w:rsid w:val="00CA2C9B"/>
    <w:rsid w:val="00CA343E"/>
    <w:rsid w:val="00CA3632"/>
    <w:rsid w:val="00CA3B41"/>
    <w:rsid w:val="00CA40A8"/>
    <w:rsid w:val="00CA42B9"/>
    <w:rsid w:val="00CA4B75"/>
    <w:rsid w:val="00CA5032"/>
    <w:rsid w:val="00CA5DF0"/>
    <w:rsid w:val="00CA5F75"/>
    <w:rsid w:val="00CA6BED"/>
    <w:rsid w:val="00CA6CAE"/>
    <w:rsid w:val="00CA6FBD"/>
    <w:rsid w:val="00CA70C2"/>
    <w:rsid w:val="00CA7770"/>
    <w:rsid w:val="00CA7810"/>
    <w:rsid w:val="00CB0128"/>
    <w:rsid w:val="00CB06C4"/>
    <w:rsid w:val="00CB1197"/>
    <w:rsid w:val="00CB12DE"/>
    <w:rsid w:val="00CB12FE"/>
    <w:rsid w:val="00CB155B"/>
    <w:rsid w:val="00CB2675"/>
    <w:rsid w:val="00CB2965"/>
    <w:rsid w:val="00CB2F85"/>
    <w:rsid w:val="00CB302B"/>
    <w:rsid w:val="00CB303F"/>
    <w:rsid w:val="00CB3F0D"/>
    <w:rsid w:val="00CB4C7E"/>
    <w:rsid w:val="00CB5184"/>
    <w:rsid w:val="00CB5716"/>
    <w:rsid w:val="00CB58CB"/>
    <w:rsid w:val="00CB5AEA"/>
    <w:rsid w:val="00CB60C2"/>
    <w:rsid w:val="00CB6101"/>
    <w:rsid w:val="00CB6CD2"/>
    <w:rsid w:val="00CB6DCD"/>
    <w:rsid w:val="00CB7253"/>
    <w:rsid w:val="00CB73DA"/>
    <w:rsid w:val="00CB7557"/>
    <w:rsid w:val="00CC0118"/>
    <w:rsid w:val="00CC0196"/>
    <w:rsid w:val="00CC03CB"/>
    <w:rsid w:val="00CC10BB"/>
    <w:rsid w:val="00CC1302"/>
    <w:rsid w:val="00CC1604"/>
    <w:rsid w:val="00CC1753"/>
    <w:rsid w:val="00CC1882"/>
    <w:rsid w:val="00CC1DEC"/>
    <w:rsid w:val="00CC2767"/>
    <w:rsid w:val="00CC3F56"/>
    <w:rsid w:val="00CC440F"/>
    <w:rsid w:val="00CC4625"/>
    <w:rsid w:val="00CC5796"/>
    <w:rsid w:val="00CC57BD"/>
    <w:rsid w:val="00CC5A8F"/>
    <w:rsid w:val="00CC5D78"/>
    <w:rsid w:val="00CC5ECD"/>
    <w:rsid w:val="00CC772C"/>
    <w:rsid w:val="00CC77EE"/>
    <w:rsid w:val="00CC7B13"/>
    <w:rsid w:val="00CC7B47"/>
    <w:rsid w:val="00CD012A"/>
    <w:rsid w:val="00CD07B4"/>
    <w:rsid w:val="00CD0DC7"/>
    <w:rsid w:val="00CD14F1"/>
    <w:rsid w:val="00CD16C6"/>
    <w:rsid w:val="00CD1C0A"/>
    <w:rsid w:val="00CD1DF0"/>
    <w:rsid w:val="00CD23AF"/>
    <w:rsid w:val="00CD2E65"/>
    <w:rsid w:val="00CD3097"/>
    <w:rsid w:val="00CD30FB"/>
    <w:rsid w:val="00CD3E00"/>
    <w:rsid w:val="00CD4230"/>
    <w:rsid w:val="00CD46B4"/>
    <w:rsid w:val="00CD48A5"/>
    <w:rsid w:val="00CD495F"/>
    <w:rsid w:val="00CD4EFC"/>
    <w:rsid w:val="00CD5036"/>
    <w:rsid w:val="00CD5AD5"/>
    <w:rsid w:val="00CD6030"/>
    <w:rsid w:val="00CD633C"/>
    <w:rsid w:val="00CD667A"/>
    <w:rsid w:val="00CD6A29"/>
    <w:rsid w:val="00CD71A8"/>
    <w:rsid w:val="00CD7D9A"/>
    <w:rsid w:val="00CE102E"/>
    <w:rsid w:val="00CE23C1"/>
    <w:rsid w:val="00CE3F1F"/>
    <w:rsid w:val="00CE4050"/>
    <w:rsid w:val="00CE44B9"/>
    <w:rsid w:val="00CE66DC"/>
    <w:rsid w:val="00CE7327"/>
    <w:rsid w:val="00CF0595"/>
    <w:rsid w:val="00CF076D"/>
    <w:rsid w:val="00CF0920"/>
    <w:rsid w:val="00CF1455"/>
    <w:rsid w:val="00CF289B"/>
    <w:rsid w:val="00CF2CB4"/>
    <w:rsid w:val="00CF2F06"/>
    <w:rsid w:val="00CF3381"/>
    <w:rsid w:val="00CF383F"/>
    <w:rsid w:val="00CF406E"/>
    <w:rsid w:val="00CF41F7"/>
    <w:rsid w:val="00CF4BD6"/>
    <w:rsid w:val="00CF52D5"/>
    <w:rsid w:val="00CF57DE"/>
    <w:rsid w:val="00CF5C06"/>
    <w:rsid w:val="00CF67ED"/>
    <w:rsid w:val="00CF685A"/>
    <w:rsid w:val="00CF6B70"/>
    <w:rsid w:val="00CF6BB8"/>
    <w:rsid w:val="00CF6BEC"/>
    <w:rsid w:val="00CF6D8A"/>
    <w:rsid w:val="00CF6EDA"/>
    <w:rsid w:val="00CF74AA"/>
    <w:rsid w:val="00CF7556"/>
    <w:rsid w:val="00CF7D12"/>
    <w:rsid w:val="00D0011E"/>
    <w:rsid w:val="00D00593"/>
    <w:rsid w:val="00D00647"/>
    <w:rsid w:val="00D00F4C"/>
    <w:rsid w:val="00D01304"/>
    <w:rsid w:val="00D0131A"/>
    <w:rsid w:val="00D02778"/>
    <w:rsid w:val="00D02810"/>
    <w:rsid w:val="00D02EEA"/>
    <w:rsid w:val="00D02FD2"/>
    <w:rsid w:val="00D0303A"/>
    <w:rsid w:val="00D035FC"/>
    <w:rsid w:val="00D036D1"/>
    <w:rsid w:val="00D03E8A"/>
    <w:rsid w:val="00D041F5"/>
    <w:rsid w:val="00D044DD"/>
    <w:rsid w:val="00D05089"/>
    <w:rsid w:val="00D05D3B"/>
    <w:rsid w:val="00D06203"/>
    <w:rsid w:val="00D06294"/>
    <w:rsid w:val="00D06648"/>
    <w:rsid w:val="00D06BCA"/>
    <w:rsid w:val="00D07E02"/>
    <w:rsid w:val="00D10628"/>
    <w:rsid w:val="00D106BE"/>
    <w:rsid w:val="00D1095D"/>
    <w:rsid w:val="00D10C18"/>
    <w:rsid w:val="00D114EB"/>
    <w:rsid w:val="00D11971"/>
    <w:rsid w:val="00D12600"/>
    <w:rsid w:val="00D12B3C"/>
    <w:rsid w:val="00D1347A"/>
    <w:rsid w:val="00D14058"/>
    <w:rsid w:val="00D14068"/>
    <w:rsid w:val="00D14398"/>
    <w:rsid w:val="00D1483E"/>
    <w:rsid w:val="00D14E4D"/>
    <w:rsid w:val="00D15573"/>
    <w:rsid w:val="00D15D18"/>
    <w:rsid w:val="00D15D80"/>
    <w:rsid w:val="00D162DC"/>
    <w:rsid w:val="00D166E4"/>
    <w:rsid w:val="00D17809"/>
    <w:rsid w:val="00D20050"/>
    <w:rsid w:val="00D208A0"/>
    <w:rsid w:val="00D21373"/>
    <w:rsid w:val="00D2140E"/>
    <w:rsid w:val="00D214ED"/>
    <w:rsid w:val="00D21979"/>
    <w:rsid w:val="00D2256B"/>
    <w:rsid w:val="00D232C1"/>
    <w:rsid w:val="00D234E4"/>
    <w:rsid w:val="00D23837"/>
    <w:rsid w:val="00D23B66"/>
    <w:rsid w:val="00D23F3C"/>
    <w:rsid w:val="00D24718"/>
    <w:rsid w:val="00D255A3"/>
    <w:rsid w:val="00D25DF7"/>
    <w:rsid w:val="00D2671B"/>
    <w:rsid w:val="00D268B9"/>
    <w:rsid w:val="00D26A52"/>
    <w:rsid w:val="00D277F4"/>
    <w:rsid w:val="00D27DEA"/>
    <w:rsid w:val="00D27DF9"/>
    <w:rsid w:val="00D302CA"/>
    <w:rsid w:val="00D3191A"/>
    <w:rsid w:val="00D32053"/>
    <w:rsid w:val="00D3245D"/>
    <w:rsid w:val="00D32814"/>
    <w:rsid w:val="00D328DF"/>
    <w:rsid w:val="00D32976"/>
    <w:rsid w:val="00D32EFA"/>
    <w:rsid w:val="00D33288"/>
    <w:rsid w:val="00D3413E"/>
    <w:rsid w:val="00D34A04"/>
    <w:rsid w:val="00D35247"/>
    <w:rsid w:val="00D3563A"/>
    <w:rsid w:val="00D3612F"/>
    <w:rsid w:val="00D36446"/>
    <w:rsid w:val="00D40099"/>
    <w:rsid w:val="00D40FD9"/>
    <w:rsid w:val="00D41524"/>
    <w:rsid w:val="00D419BF"/>
    <w:rsid w:val="00D41F90"/>
    <w:rsid w:val="00D41FF0"/>
    <w:rsid w:val="00D4224C"/>
    <w:rsid w:val="00D428F1"/>
    <w:rsid w:val="00D42941"/>
    <w:rsid w:val="00D42EFE"/>
    <w:rsid w:val="00D430D6"/>
    <w:rsid w:val="00D430DB"/>
    <w:rsid w:val="00D43279"/>
    <w:rsid w:val="00D4360C"/>
    <w:rsid w:val="00D43EA7"/>
    <w:rsid w:val="00D440E2"/>
    <w:rsid w:val="00D446BE"/>
    <w:rsid w:val="00D44900"/>
    <w:rsid w:val="00D4535E"/>
    <w:rsid w:val="00D45AFF"/>
    <w:rsid w:val="00D46374"/>
    <w:rsid w:val="00D4651C"/>
    <w:rsid w:val="00D4692C"/>
    <w:rsid w:val="00D46BED"/>
    <w:rsid w:val="00D47349"/>
    <w:rsid w:val="00D5093A"/>
    <w:rsid w:val="00D5102D"/>
    <w:rsid w:val="00D516F5"/>
    <w:rsid w:val="00D51B21"/>
    <w:rsid w:val="00D52309"/>
    <w:rsid w:val="00D5260E"/>
    <w:rsid w:val="00D52720"/>
    <w:rsid w:val="00D5273C"/>
    <w:rsid w:val="00D53271"/>
    <w:rsid w:val="00D53713"/>
    <w:rsid w:val="00D5397C"/>
    <w:rsid w:val="00D53E22"/>
    <w:rsid w:val="00D54111"/>
    <w:rsid w:val="00D54353"/>
    <w:rsid w:val="00D54366"/>
    <w:rsid w:val="00D544E8"/>
    <w:rsid w:val="00D545AC"/>
    <w:rsid w:val="00D54D32"/>
    <w:rsid w:val="00D5531A"/>
    <w:rsid w:val="00D556F1"/>
    <w:rsid w:val="00D556FA"/>
    <w:rsid w:val="00D55A93"/>
    <w:rsid w:val="00D55C7D"/>
    <w:rsid w:val="00D56107"/>
    <w:rsid w:val="00D56152"/>
    <w:rsid w:val="00D5665E"/>
    <w:rsid w:val="00D5730D"/>
    <w:rsid w:val="00D57B71"/>
    <w:rsid w:val="00D57BE0"/>
    <w:rsid w:val="00D57C5C"/>
    <w:rsid w:val="00D60A97"/>
    <w:rsid w:val="00D6167D"/>
    <w:rsid w:val="00D61D4B"/>
    <w:rsid w:val="00D6214F"/>
    <w:rsid w:val="00D62BC6"/>
    <w:rsid w:val="00D638C8"/>
    <w:rsid w:val="00D64EC8"/>
    <w:rsid w:val="00D65029"/>
    <w:rsid w:val="00D6537F"/>
    <w:rsid w:val="00D653A5"/>
    <w:rsid w:val="00D65642"/>
    <w:rsid w:val="00D65DB0"/>
    <w:rsid w:val="00D65E43"/>
    <w:rsid w:val="00D66151"/>
    <w:rsid w:val="00D66E0F"/>
    <w:rsid w:val="00D678F8"/>
    <w:rsid w:val="00D67B1E"/>
    <w:rsid w:val="00D67CF9"/>
    <w:rsid w:val="00D67F41"/>
    <w:rsid w:val="00D70256"/>
    <w:rsid w:val="00D70EDB"/>
    <w:rsid w:val="00D7105B"/>
    <w:rsid w:val="00D710E8"/>
    <w:rsid w:val="00D71215"/>
    <w:rsid w:val="00D71725"/>
    <w:rsid w:val="00D71BFC"/>
    <w:rsid w:val="00D71E8F"/>
    <w:rsid w:val="00D72071"/>
    <w:rsid w:val="00D720D6"/>
    <w:rsid w:val="00D725BD"/>
    <w:rsid w:val="00D72C72"/>
    <w:rsid w:val="00D72E76"/>
    <w:rsid w:val="00D7323A"/>
    <w:rsid w:val="00D73290"/>
    <w:rsid w:val="00D73499"/>
    <w:rsid w:val="00D73B59"/>
    <w:rsid w:val="00D73C0D"/>
    <w:rsid w:val="00D74129"/>
    <w:rsid w:val="00D741CE"/>
    <w:rsid w:val="00D74245"/>
    <w:rsid w:val="00D7437C"/>
    <w:rsid w:val="00D743D3"/>
    <w:rsid w:val="00D74B04"/>
    <w:rsid w:val="00D751CE"/>
    <w:rsid w:val="00D75805"/>
    <w:rsid w:val="00D75E09"/>
    <w:rsid w:val="00D763EF"/>
    <w:rsid w:val="00D77077"/>
    <w:rsid w:val="00D778B1"/>
    <w:rsid w:val="00D77E5A"/>
    <w:rsid w:val="00D8003A"/>
    <w:rsid w:val="00D80F4E"/>
    <w:rsid w:val="00D8256E"/>
    <w:rsid w:val="00D82988"/>
    <w:rsid w:val="00D82E1D"/>
    <w:rsid w:val="00D82FB5"/>
    <w:rsid w:val="00D830C6"/>
    <w:rsid w:val="00D833A7"/>
    <w:rsid w:val="00D83520"/>
    <w:rsid w:val="00D84FA7"/>
    <w:rsid w:val="00D850A2"/>
    <w:rsid w:val="00D850CA"/>
    <w:rsid w:val="00D862EB"/>
    <w:rsid w:val="00D86B9B"/>
    <w:rsid w:val="00D87152"/>
    <w:rsid w:val="00D87467"/>
    <w:rsid w:val="00D87CC3"/>
    <w:rsid w:val="00D90E41"/>
    <w:rsid w:val="00D91A13"/>
    <w:rsid w:val="00D924CC"/>
    <w:rsid w:val="00D92644"/>
    <w:rsid w:val="00D92AEE"/>
    <w:rsid w:val="00D92D00"/>
    <w:rsid w:val="00D94B6F"/>
    <w:rsid w:val="00D94EEE"/>
    <w:rsid w:val="00D9503F"/>
    <w:rsid w:val="00D9509E"/>
    <w:rsid w:val="00D9553E"/>
    <w:rsid w:val="00D955E4"/>
    <w:rsid w:val="00D95F24"/>
    <w:rsid w:val="00D96491"/>
    <w:rsid w:val="00D96B2B"/>
    <w:rsid w:val="00D97043"/>
    <w:rsid w:val="00D974BE"/>
    <w:rsid w:val="00D97732"/>
    <w:rsid w:val="00D9781A"/>
    <w:rsid w:val="00D97833"/>
    <w:rsid w:val="00D97AE4"/>
    <w:rsid w:val="00DA15B9"/>
    <w:rsid w:val="00DA1AA3"/>
    <w:rsid w:val="00DA25AD"/>
    <w:rsid w:val="00DA27E6"/>
    <w:rsid w:val="00DA2DF3"/>
    <w:rsid w:val="00DA2E1F"/>
    <w:rsid w:val="00DA2FDF"/>
    <w:rsid w:val="00DA3029"/>
    <w:rsid w:val="00DA31B4"/>
    <w:rsid w:val="00DA3C45"/>
    <w:rsid w:val="00DA3CF7"/>
    <w:rsid w:val="00DA40A1"/>
    <w:rsid w:val="00DA415A"/>
    <w:rsid w:val="00DA4BB6"/>
    <w:rsid w:val="00DA5C67"/>
    <w:rsid w:val="00DA5E8D"/>
    <w:rsid w:val="00DA60B5"/>
    <w:rsid w:val="00DA60F6"/>
    <w:rsid w:val="00DA6447"/>
    <w:rsid w:val="00DA6723"/>
    <w:rsid w:val="00DA68C1"/>
    <w:rsid w:val="00DA6BAC"/>
    <w:rsid w:val="00DA7518"/>
    <w:rsid w:val="00DA765E"/>
    <w:rsid w:val="00DA76A6"/>
    <w:rsid w:val="00DA76F6"/>
    <w:rsid w:val="00DB0082"/>
    <w:rsid w:val="00DB013D"/>
    <w:rsid w:val="00DB0332"/>
    <w:rsid w:val="00DB0A38"/>
    <w:rsid w:val="00DB0AA1"/>
    <w:rsid w:val="00DB1549"/>
    <w:rsid w:val="00DB1A5B"/>
    <w:rsid w:val="00DB1B04"/>
    <w:rsid w:val="00DB1DB4"/>
    <w:rsid w:val="00DB1ED0"/>
    <w:rsid w:val="00DB23CE"/>
    <w:rsid w:val="00DB25E2"/>
    <w:rsid w:val="00DB2C0C"/>
    <w:rsid w:val="00DB2F8D"/>
    <w:rsid w:val="00DB386B"/>
    <w:rsid w:val="00DB3A28"/>
    <w:rsid w:val="00DB3AC0"/>
    <w:rsid w:val="00DB3AEA"/>
    <w:rsid w:val="00DB3B5E"/>
    <w:rsid w:val="00DB423F"/>
    <w:rsid w:val="00DB452D"/>
    <w:rsid w:val="00DB470B"/>
    <w:rsid w:val="00DB4787"/>
    <w:rsid w:val="00DB49D6"/>
    <w:rsid w:val="00DB4CC1"/>
    <w:rsid w:val="00DB5928"/>
    <w:rsid w:val="00DB5CF9"/>
    <w:rsid w:val="00DB7CD9"/>
    <w:rsid w:val="00DC013B"/>
    <w:rsid w:val="00DC1DB9"/>
    <w:rsid w:val="00DC25D9"/>
    <w:rsid w:val="00DC27AF"/>
    <w:rsid w:val="00DC29D7"/>
    <w:rsid w:val="00DC2ACD"/>
    <w:rsid w:val="00DC2BF6"/>
    <w:rsid w:val="00DC345C"/>
    <w:rsid w:val="00DC3592"/>
    <w:rsid w:val="00DC3E21"/>
    <w:rsid w:val="00DC4026"/>
    <w:rsid w:val="00DC4A1C"/>
    <w:rsid w:val="00DC4EC5"/>
    <w:rsid w:val="00DC54C9"/>
    <w:rsid w:val="00DC5546"/>
    <w:rsid w:val="00DC5E55"/>
    <w:rsid w:val="00DC5E96"/>
    <w:rsid w:val="00DC602F"/>
    <w:rsid w:val="00DC60A1"/>
    <w:rsid w:val="00DC7477"/>
    <w:rsid w:val="00DC7879"/>
    <w:rsid w:val="00DD0AFC"/>
    <w:rsid w:val="00DD1E26"/>
    <w:rsid w:val="00DD275E"/>
    <w:rsid w:val="00DD2994"/>
    <w:rsid w:val="00DD30EC"/>
    <w:rsid w:val="00DD3207"/>
    <w:rsid w:val="00DD336F"/>
    <w:rsid w:val="00DD3881"/>
    <w:rsid w:val="00DD44E5"/>
    <w:rsid w:val="00DD463E"/>
    <w:rsid w:val="00DD467C"/>
    <w:rsid w:val="00DD494D"/>
    <w:rsid w:val="00DD4BE7"/>
    <w:rsid w:val="00DD5230"/>
    <w:rsid w:val="00DD53BA"/>
    <w:rsid w:val="00DD62A1"/>
    <w:rsid w:val="00DD6928"/>
    <w:rsid w:val="00DD7150"/>
    <w:rsid w:val="00DD7365"/>
    <w:rsid w:val="00DD7B2E"/>
    <w:rsid w:val="00DE00F7"/>
    <w:rsid w:val="00DE06E2"/>
    <w:rsid w:val="00DE0963"/>
    <w:rsid w:val="00DE0A08"/>
    <w:rsid w:val="00DE0EB2"/>
    <w:rsid w:val="00DE1460"/>
    <w:rsid w:val="00DE156B"/>
    <w:rsid w:val="00DE1B82"/>
    <w:rsid w:val="00DE1CED"/>
    <w:rsid w:val="00DE1E49"/>
    <w:rsid w:val="00DE1EB3"/>
    <w:rsid w:val="00DE1FD4"/>
    <w:rsid w:val="00DE2050"/>
    <w:rsid w:val="00DE22B0"/>
    <w:rsid w:val="00DE27E4"/>
    <w:rsid w:val="00DE2847"/>
    <w:rsid w:val="00DE2D87"/>
    <w:rsid w:val="00DE2FA3"/>
    <w:rsid w:val="00DE42F4"/>
    <w:rsid w:val="00DE468D"/>
    <w:rsid w:val="00DE5043"/>
    <w:rsid w:val="00DE533A"/>
    <w:rsid w:val="00DE55B4"/>
    <w:rsid w:val="00DE6186"/>
    <w:rsid w:val="00DE6DD1"/>
    <w:rsid w:val="00DE7946"/>
    <w:rsid w:val="00DE799B"/>
    <w:rsid w:val="00DE7E62"/>
    <w:rsid w:val="00DF002B"/>
    <w:rsid w:val="00DF0204"/>
    <w:rsid w:val="00DF028E"/>
    <w:rsid w:val="00DF1051"/>
    <w:rsid w:val="00DF1D6D"/>
    <w:rsid w:val="00DF1FF8"/>
    <w:rsid w:val="00DF22E1"/>
    <w:rsid w:val="00DF3EA8"/>
    <w:rsid w:val="00DF3EF7"/>
    <w:rsid w:val="00DF4062"/>
    <w:rsid w:val="00DF41A9"/>
    <w:rsid w:val="00DF437F"/>
    <w:rsid w:val="00DF445F"/>
    <w:rsid w:val="00DF4727"/>
    <w:rsid w:val="00DF5544"/>
    <w:rsid w:val="00DF59A7"/>
    <w:rsid w:val="00DF5CA1"/>
    <w:rsid w:val="00DF5FC0"/>
    <w:rsid w:val="00DF60A1"/>
    <w:rsid w:val="00DF6884"/>
    <w:rsid w:val="00DF7D9D"/>
    <w:rsid w:val="00E00864"/>
    <w:rsid w:val="00E008A9"/>
    <w:rsid w:val="00E00B27"/>
    <w:rsid w:val="00E0112D"/>
    <w:rsid w:val="00E0137B"/>
    <w:rsid w:val="00E02908"/>
    <w:rsid w:val="00E0299B"/>
    <w:rsid w:val="00E02C00"/>
    <w:rsid w:val="00E03505"/>
    <w:rsid w:val="00E036FE"/>
    <w:rsid w:val="00E037D5"/>
    <w:rsid w:val="00E037FB"/>
    <w:rsid w:val="00E03C91"/>
    <w:rsid w:val="00E03CC7"/>
    <w:rsid w:val="00E03D0B"/>
    <w:rsid w:val="00E04475"/>
    <w:rsid w:val="00E048A0"/>
    <w:rsid w:val="00E05A41"/>
    <w:rsid w:val="00E05EC0"/>
    <w:rsid w:val="00E05F35"/>
    <w:rsid w:val="00E0621B"/>
    <w:rsid w:val="00E064D0"/>
    <w:rsid w:val="00E065DA"/>
    <w:rsid w:val="00E0663C"/>
    <w:rsid w:val="00E06C9D"/>
    <w:rsid w:val="00E0702D"/>
    <w:rsid w:val="00E077FA"/>
    <w:rsid w:val="00E07B9F"/>
    <w:rsid w:val="00E07CDE"/>
    <w:rsid w:val="00E114A5"/>
    <w:rsid w:val="00E12452"/>
    <w:rsid w:val="00E12ED2"/>
    <w:rsid w:val="00E135BE"/>
    <w:rsid w:val="00E14004"/>
    <w:rsid w:val="00E14218"/>
    <w:rsid w:val="00E145C4"/>
    <w:rsid w:val="00E15479"/>
    <w:rsid w:val="00E154E0"/>
    <w:rsid w:val="00E158D3"/>
    <w:rsid w:val="00E15F3B"/>
    <w:rsid w:val="00E161C9"/>
    <w:rsid w:val="00E165D7"/>
    <w:rsid w:val="00E1688A"/>
    <w:rsid w:val="00E16A20"/>
    <w:rsid w:val="00E16D2B"/>
    <w:rsid w:val="00E17E6C"/>
    <w:rsid w:val="00E20104"/>
    <w:rsid w:val="00E204AC"/>
    <w:rsid w:val="00E20BEE"/>
    <w:rsid w:val="00E20E1F"/>
    <w:rsid w:val="00E211BD"/>
    <w:rsid w:val="00E21A09"/>
    <w:rsid w:val="00E21B23"/>
    <w:rsid w:val="00E22919"/>
    <w:rsid w:val="00E22F03"/>
    <w:rsid w:val="00E23BE4"/>
    <w:rsid w:val="00E24E63"/>
    <w:rsid w:val="00E24F68"/>
    <w:rsid w:val="00E251BA"/>
    <w:rsid w:val="00E25838"/>
    <w:rsid w:val="00E259FA"/>
    <w:rsid w:val="00E25BB4"/>
    <w:rsid w:val="00E26182"/>
    <w:rsid w:val="00E263DD"/>
    <w:rsid w:val="00E266C4"/>
    <w:rsid w:val="00E26F0C"/>
    <w:rsid w:val="00E26F9C"/>
    <w:rsid w:val="00E27110"/>
    <w:rsid w:val="00E303DE"/>
    <w:rsid w:val="00E308B9"/>
    <w:rsid w:val="00E30CBA"/>
    <w:rsid w:val="00E30CD5"/>
    <w:rsid w:val="00E30D3F"/>
    <w:rsid w:val="00E30F33"/>
    <w:rsid w:val="00E3120F"/>
    <w:rsid w:val="00E3164F"/>
    <w:rsid w:val="00E316D4"/>
    <w:rsid w:val="00E318D0"/>
    <w:rsid w:val="00E31D7D"/>
    <w:rsid w:val="00E32582"/>
    <w:rsid w:val="00E32F85"/>
    <w:rsid w:val="00E34EBE"/>
    <w:rsid w:val="00E35793"/>
    <w:rsid w:val="00E35ABD"/>
    <w:rsid w:val="00E3600D"/>
    <w:rsid w:val="00E3655A"/>
    <w:rsid w:val="00E37B7D"/>
    <w:rsid w:val="00E40340"/>
    <w:rsid w:val="00E40792"/>
    <w:rsid w:val="00E41003"/>
    <w:rsid w:val="00E41089"/>
    <w:rsid w:val="00E41845"/>
    <w:rsid w:val="00E41B1A"/>
    <w:rsid w:val="00E41EA5"/>
    <w:rsid w:val="00E422E2"/>
    <w:rsid w:val="00E42F3B"/>
    <w:rsid w:val="00E43649"/>
    <w:rsid w:val="00E436CA"/>
    <w:rsid w:val="00E437C5"/>
    <w:rsid w:val="00E43BAE"/>
    <w:rsid w:val="00E43E7F"/>
    <w:rsid w:val="00E44D4F"/>
    <w:rsid w:val="00E4511F"/>
    <w:rsid w:val="00E461E7"/>
    <w:rsid w:val="00E46415"/>
    <w:rsid w:val="00E466BB"/>
    <w:rsid w:val="00E46788"/>
    <w:rsid w:val="00E46820"/>
    <w:rsid w:val="00E46ABC"/>
    <w:rsid w:val="00E476AF"/>
    <w:rsid w:val="00E47852"/>
    <w:rsid w:val="00E47DCD"/>
    <w:rsid w:val="00E47EC1"/>
    <w:rsid w:val="00E47F06"/>
    <w:rsid w:val="00E5037B"/>
    <w:rsid w:val="00E51321"/>
    <w:rsid w:val="00E51684"/>
    <w:rsid w:val="00E51B02"/>
    <w:rsid w:val="00E51DFE"/>
    <w:rsid w:val="00E5260E"/>
    <w:rsid w:val="00E52632"/>
    <w:rsid w:val="00E53BD9"/>
    <w:rsid w:val="00E53CFC"/>
    <w:rsid w:val="00E54354"/>
    <w:rsid w:val="00E54900"/>
    <w:rsid w:val="00E54A46"/>
    <w:rsid w:val="00E54BF0"/>
    <w:rsid w:val="00E56415"/>
    <w:rsid w:val="00E565CC"/>
    <w:rsid w:val="00E56680"/>
    <w:rsid w:val="00E571A1"/>
    <w:rsid w:val="00E572C6"/>
    <w:rsid w:val="00E57355"/>
    <w:rsid w:val="00E57746"/>
    <w:rsid w:val="00E5793E"/>
    <w:rsid w:val="00E60233"/>
    <w:rsid w:val="00E615E2"/>
    <w:rsid w:val="00E61717"/>
    <w:rsid w:val="00E619F5"/>
    <w:rsid w:val="00E63492"/>
    <w:rsid w:val="00E639EF"/>
    <w:rsid w:val="00E6418E"/>
    <w:rsid w:val="00E6420B"/>
    <w:rsid w:val="00E64533"/>
    <w:rsid w:val="00E6513E"/>
    <w:rsid w:val="00E65226"/>
    <w:rsid w:val="00E65276"/>
    <w:rsid w:val="00E6559B"/>
    <w:rsid w:val="00E65796"/>
    <w:rsid w:val="00E66103"/>
    <w:rsid w:val="00E6617B"/>
    <w:rsid w:val="00E664CC"/>
    <w:rsid w:val="00E66BB4"/>
    <w:rsid w:val="00E67A5B"/>
    <w:rsid w:val="00E67E67"/>
    <w:rsid w:val="00E67EDA"/>
    <w:rsid w:val="00E70306"/>
    <w:rsid w:val="00E70476"/>
    <w:rsid w:val="00E7080F"/>
    <w:rsid w:val="00E71062"/>
    <w:rsid w:val="00E71152"/>
    <w:rsid w:val="00E711B6"/>
    <w:rsid w:val="00E717B2"/>
    <w:rsid w:val="00E72331"/>
    <w:rsid w:val="00E72372"/>
    <w:rsid w:val="00E72AB6"/>
    <w:rsid w:val="00E739E4"/>
    <w:rsid w:val="00E744F2"/>
    <w:rsid w:val="00E74DAD"/>
    <w:rsid w:val="00E75B1A"/>
    <w:rsid w:val="00E75DB0"/>
    <w:rsid w:val="00E76496"/>
    <w:rsid w:val="00E765B7"/>
    <w:rsid w:val="00E765DC"/>
    <w:rsid w:val="00E766BD"/>
    <w:rsid w:val="00E769CE"/>
    <w:rsid w:val="00E778B4"/>
    <w:rsid w:val="00E77C59"/>
    <w:rsid w:val="00E77F33"/>
    <w:rsid w:val="00E80456"/>
    <w:rsid w:val="00E80A79"/>
    <w:rsid w:val="00E82994"/>
    <w:rsid w:val="00E82BC6"/>
    <w:rsid w:val="00E82C8B"/>
    <w:rsid w:val="00E82F6A"/>
    <w:rsid w:val="00E831E3"/>
    <w:rsid w:val="00E83CD0"/>
    <w:rsid w:val="00E8401D"/>
    <w:rsid w:val="00E8420D"/>
    <w:rsid w:val="00E84E5C"/>
    <w:rsid w:val="00E864B3"/>
    <w:rsid w:val="00E87454"/>
    <w:rsid w:val="00E8752E"/>
    <w:rsid w:val="00E879C3"/>
    <w:rsid w:val="00E879E3"/>
    <w:rsid w:val="00E87D66"/>
    <w:rsid w:val="00E902B7"/>
    <w:rsid w:val="00E902EC"/>
    <w:rsid w:val="00E904B1"/>
    <w:rsid w:val="00E90613"/>
    <w:rsid w:val="00E90A78"/>
    <w:rsid w:val="00E90B53"/>
    <w:rsid w:val="00E90F31"/>
    <w:rsid w:val="00E9101F"/>
    <w:rsid w:val="00E91218"/>
    <w:rsid w:val="00E9121D"/>
    <w:rsid w:val="00E91342"/>
    <w:rsid w:val="00E91363"/>
    <w:rsid w:val="00E91556"/>
    <w:rsid w:val="00E91FB3"/>
    <w:rsid w:val="00E926DF"/>
    <w:rsid w:val="00E92ADD"/>
    <w:rsid w:val="00E93E2B"/>
    <w:rsid w:val="00E93E60"/>
    <w:rsid w:val="00E9430D"/>
    <w:rsid w:val="00E94DFF"/>
    <w:rsid w:val="00E95400"/>
    <w:rsid w:val="00E956F3"/>
    <w:rsid w:val="00E95755"/>
    <w:rsid w:val="00E9587E"/>
    <w:rsid w:val="00E9678F"/>
    <w:rsid w:val="00E96B08"/>
    <w:rsid w:val="00E96E7C"/>
    <w:rsid w:val="00E9706A"/>
    <w:rsid w:val="00E9709A"/>
    <w:rsid w:val="00E976F4"/>
    <w:rsid w:val="00E9784F"/>
    <w:rsid w:val="00EA0082"/>
    <w:rsid w:val="00EA0573"/>
    <w:rsid w:val="00EA0665"/>
    <w:rsid w:val="00EA2651"/>
    <w:rsid w:val="00EA436D"/>
    <w:rsid w:val="00EA50B2"/>
    <w:rsid w:val="00EA5860"/>
    <w:rsid w:val="00EA5AAF"/>
    <w:rsid w:val="00EA5C8C"/>
    <w:rsid w:val="00EA64C1"/>
    <w:rsid w:val="00EA67E1"/>
    <w:rsid w:val="00EA6845"/>
    <w:rsid w:val="00EA6BFA"/>
    <w:rsid w:val="00EA7779"/>
    <w:rsid w:val="00EA7B09"/>
    <w:rsid w:val="00EB0558"/>
    <w:rsid w:val="00EB0A71"/>
    <w:rsid w:val="00EB1818"/>
    <w:rsid w:val="00EB1BD1"/>
    <w:rsid w:val="00EB22D4"/>
    <w:rsid w:val="00EB276A"/>
    <w:rsid w:val="00EB2C91"/>
    <w:rsid w:val="00EB2CAF"/>
    <w:rsid w:val="00EB30E1"/>
    <w:rsid w:val="00EB30EE"/>
    <w:rsid w:val="00EB3BE9"/>
    <w:rsid w:val="00EB4246"/>
    <w:rsid w:val="00EB5A4B"/>
    <w:rsid w:val="00EB5AEA"/>
    <w:rsid w:val="00EB5DC8"/>
    <w:rsid w:val="00EB6747"/>
    <w:rsid w:val="00EB7125"/>
    <w:rsid w:val="00EC06C0"/>
    <w:rsid w:val="00EC08E6"/>
    <w:rsid w:val="00EC0A58"/>
    <w:rsid w:val="00EC0DFE"/>
    <w:rsid w:val="00EC1925"/>
    <w:rsid w:val="00EC194C"/>
    <w:rsid w:val="00EC1A64"/>
    <w:rsid w:val="00EC1DFC"/>
    <w:rsid w:val="00EC1EFF"/>
    <w:rsid w:val="00EC294E"/>
    <w:rsid w:val="00EC2E73"/>
    <w:rsid w:val="00EC2F97"/>
    <w:rsid w:val="00EC312B"/>
    <w:rsid w:val="00EC32DF"/>
    <w:rsid w:val="00EC32ED"/>
    <w:rsid w:val="00EC3688"/>
    <w:rsid w:val="00EC3801"/>
    <w:rsid w:val="00EC3BE7"/>
    <w:rsid w:val="00EC3E77"/>
    <w:rsid w:val="00EC4620"/>
    <w:rsid w:val="00EC46DE"/>
    <w:rsid w:val="00EC4774"/>
    <w:rsid w:val="00EC4F16"/>
    <w:rsid w:val="00EC6574"/>
    <w:rsid w:val="00EC665D"/>
    <w:rsid w:val="00EC6900"/>
    <w:rsid w:val="00EC6931"/>
    <w:rsid w:val="00EC6D0B"/>
    <w:rsid w:val="00EC7D6D"/>
    <w:rsid w:val="00EC7EFD"/>
    <w:rsid w:val="00EC7FC6"/>
    <w:rsid w:val="00ED0433"/>
    <w:rsid w:val="00ED047D"/>
    <w:rsid w:val="00ED04A8"/>
    <w:rsid w:val="00ED09FD"/>
    <w:rsid w:val="00ED107E"/>
    <w:rsid w:val="00ED1CDB"/>
    <w:rsid w:val="00ED2693"/>
    <w:rsid w:val="00ED2988"/>
    <w:rsid w:val="00ED2BD2"/>
    <w:rsid w:val="00ED343C"/>
    <w:rsid w:val="00ED35AB"/>
    <w:rsid w:val="00ED36D8"/>
    <w:rsid w:val="00ED4CB6"/>
    <w:rsid w:val="00ED4CF9"/>
    <w:rsid w:val="00ED4E58"/>
    <w:rsid w:val="00ED4F87"/>
    <w:rsid w:val="00ED50F1"/>
    <w:rsid w:val="00ED57B1"/>
    <w:rsid w:val="00ED59E9"/>
    <w:rsid w:val="00ED5B9F"/>
    <w:rsid w:val="00ED5ECA"/>
    <w:rsid w:val="00ED6140"/>
    <w:rsid w:val="00ED6E5E"/>
    <w:rsid w:val="00ED78BE"/>
    <w:rsid w:val="00ED7A2C"/>
    <w:rsid w:val="00EE016F"/>
    <w:rsid w:val="00EE02DA"/>
    <w:rsid w:val="00EE0B78"/>
    <w:rsid w:val="00EE0D3A"/>
    <w:rsid w:val="00EE0EB7"/>
    <w:rsid w:val="00EE0F0B"/>
    <w:rsid w:val="00EE14E1"/>
    <w:rsid w:val="00EE1B12"/>
    <w:rsid w:val="00EE2287"/>
    <w:rsid w:val="00EE26B4"/>
    <w:rsid w:val="00EE2DE9"/>
    <w:rsid w:val="00EE3A30"/>
    <w:rsid w:val="00EE3FE3"/>
    <w:rsid w:val="00EE3FEE"/>
    <w:rsid w:val="00EE439D"/>
    <w:rsid w:val="00EE4653"/>
    <w:rsid w:val="00EE48AD"/>
    <w:rsid w:val="00EE4975"/>
    <w:rsid w:val="00EE49AB"/>
    <w:rsid w:val="00EE5568"/>
    <w:rsid w:val="00EE5BA6"/>
    <w:rsid w:val="00EE5BCF"/>
    <w:rsid w:val="00EE5C1D"/>
    <w:rsid w:val="00EE5C77"/>
    <w:rsid w:val="00EE6086"/>
    <w:rsid w:val="00EE68E2"/>
    <w:rsid w:val="00EE6B4C"/>
    <w:rsid w:val="00EE6C48"/>
    <w:rsid w:val="00EE6DF9"/>
    <w:rsid w:val="00EE6EBB"/>
    <w:rsid w:val="00EE774C"/>
    <w:rsid w:val="00EF0026"/>
    <w:rsid w:val="00EF0B92"/>
    <w:rsid w:val="00EF1B64"/>
    <w:rsid w:val="00EF1F64"/>
    <w:rsid w:val="00EF2408"/>
    <w:rsid w:val="00EF3016"/>
    <w:rsid w:val="00EF310E"/>
    <w:rsid w:val="00EF326B"/>
    <w:rsid w:val="00EF4071"/>
    <w:rsid w:val="00EF5328"/>
    <w:rsid w:val="00EF55EC"/>
    <w:rsid w:val="00EF6235"/>
    <w:rsid w:val="00EF638E"/>
    <w:rsid w:val="00EF6E69"/>
    <w:rsid w:val="00EF727A"/>
    <w:rsid w:val="00EF765F"/>
    <w:rsid w:val="00EF78E4"/>
    <w:rsid w:val="00EF7DE6"/>
    <w:rsid w:val="00F005EC"/>
    <w:rsid w:val="00F00717"/>
    <w:rsid w:val="00F007BE"/>
    <w:rsid w:val="00F00D4A"/>
    <w:rsid w:val="00F01177"/>
    <w:rsid w:val="00F01311"/>
    <w:rsid w:val="00F01C5C"/>
    <w:rsid w:val="00F01E31"/>
    <w:rsid w:val="00F022C1"/>
    <w:rsid w:val="00F028DE"/>
    <w:rsid w:val="00F02A5F"/>
    <w:rsid w:val="00F02D44"/>
    <w:rsid w:val="00F02F34"/>
    <w:rsid w:val="00F02F38"/>
    <w:rsid w:val="00F036AD"/>
    <w:rsid w:val="00F03B54"/>
    <w:rsid w:val="00F03E42"/>
    <w:rsid w:val="00F03E61"/>
    <w:rsid w:val="00F040C9"/>
    <w:rsid w:val="00F047C7"/>
    <w:rsid w:val="00F047E8"/>
    <w:rsid w:val="00F04815"/>
    <w:rsid w:val="00F04F94"/>
    <w:rsid w:val="00F0501F"/>
    <w:rsid w:val="00F051B4"/>
    <w:rsid w:val="00F052A3"/>
    <w:rsid w:val="00F052F8"/>
    <w:rsid w:val="00F0585C"/>
    <w:rsid w:val="00F05BD7"/>
    <w:rsid w:val="00F05FEB"/>
    <w:rsid w:val="00F063E1"/>
    <w:rsid w:val="00F0642D"/>
    <w:rsid w:val="00F06F3A"/>
    <w:rsid w:val="00F0778D"/>
    <w:rsid w:val="00F07AD4"/>
    <w:rsid w:val="00F10176"/>
    <w:rsid w:val="00F107B7"/>
    <w:rsid w:val="00F1086B"/>
    <w:rsid w:val="00F10EC2"/>
    <w:rsid w:val="00F10F7B"/>
    <w:rsid w:val="00F11067"/>
    <w:rsid w:val="00F11412"/>
    <w:rsid w:val="00F11F57"/>
    <w:rsid w:val="00F12514"/>
    <w:rsid w:val="00F1261F"/>
    <w:rsid w:val="00F12B72"/>
    <w:rsid w:val="00F13B44"/>
    <w:rsid w:val="00F144A1"/>
    <w:rsid w:val="00F147AB"/>
    <w:rsid w:val="00F14BA8"/>
    <w:rsid w:val="00F15EF8"/>
    <w:rsid w:val="00F162E4"/>
    <w:rsid w:val="00F16600"/>
    <w:rsid w:val="00F177C0"/>
    <w:rsid w:val="00F17D99"/>
    <w:rsid w:val="00F2053A"/>
    <w:rsid w:val="00F20A49"/>
    <w:rsid w:val="00F20DED"/>
    <w:rsid w:val="00F21085"/>
    <w:rsid w:val="00F2154D"/>
    <w:rsid w:val="00F21A21"/>
    <w:rsid w:val="00F21A27"/>
    <w:rsid w:val="00F2244A"/>
    <w:rsid w:val="00F22A03"/>
    <w:rsid w:val="00F22ACD"/>
    <w:rsid w:val="00F22D59"/>
    <w:rsid w:val="00F23315"/>
    <w:rsid w:val="00F23329"/>
    <w:rsid w:val="00F23738"/>
    <w:rsid w:val="00F24748"/>
    <w:rsid w:val="00F24860"/>
    <w:rsid w:val="00F24A23"/>
    <w:rsid w:val="00F24A97"/>
    <w:rsid w:val="00F24B3F"/>
    <w:rsid w:val="00F24D52"/>
    <w:rsid w:val="00F253FA"/>
    <w:rsid w:val="00F257CD"/>
    <w:rsid w:val="00F25870"/>
    <w:rsid w:val="00F26FDC"/>
    <w:rsid w:val="00F2781D"/>
    <w:rsid w:val="00F27C0C"/>
    <w:rsid w:val="00F3044B"/>
    <w:rsid w:val="00F30506"/>
    <w:rsid w:val="00F31465"/>
    <w:rsid w:val="00F31631"/>
    <w:rsid w:val="00F31A4E"/>
    <w:rsid w:val="00F323E2"/>
    <w:rsid w:val="00F327ED"/>
    <w:rsid w:val="00F3281C"/>
    <w:rsid w:val="00F33167"/>
    <w:rsid w:val="00F33361"/>
    <w:rsid w:val="00F33445"/>
    <w:rsid w:val="00F336E9"/>
    <w:rsid w:val="00F33A68"/>
    <w:rsid w:val="00F33FC5"/>
    <w:rsid w:val="00F342F6"/>
    <w:rsid w:val="00F35A9C"/>
    <w:rsid w:val="00F35B18"/>
    <w:rsid w:val="00F36113"/>
    <w:rsid w:val="00F36C93"/>
    <w:rsid w:val="00F36E53"/>
    <w:rsid w:val="00F37DD8"/>
    <w:rsid w:val="00F40239"/>
    <w:rsid w:val="00F406AE"/>
    <w:rsid w:val="00F40C0E"/>
    <w:rsid w:val="00F40EBF"/>
    <w:rsid w:val="00F4121F"/>
    <w:rsid w:val="00F4174F"/>
    <w:rsid w:val="00F42290"/>
    <w:rsid w:val="00F4243A"/>
    <w:rsid w:val="00F42FAF"/>
    <w:rsid w:val="00F4316C"/>
    <w:rsid w:val="00F432B0"/>
    <w:rsid w:val="00F43B02"/>
    <w:rsid w:val="00F44F71"/>
    <w:rsid w:val="00F454A3"/>
    <w:rsid w:val="00F45661"/>
    <w:rsid w:val="00F45921"/>
    <w:rsid w:val="00F46176"/>
    <w:rsid w:val="00F4684E"/>
    <w:rsid w:val="00F469FA"/>
    <w:rsid w:val="00F46C82"/>
    <w:rsid w:val="00F46DA5"/>
    <w:rsid w:val="00F46EE2"/>
    <w:rsid w:val="00F4735D"/>
    <w:rsid w:val="00F5033C"/>
    <w:rsid w:val="00F50E51"/>
    <w:rsid w:val="00F5136D"/>
    <w:rsid w:val="00F5149E"/>
    <w:rsid w:val="00F517E6"/>
    <w:rsid w:val="00F51D8A"/>
    <w:rsid w:val="00F51F65"/>
    <w:rsid w:val="00F52086"/>
    <w:rsid w:val="00F524E4"/>
    <w:rsid w:val="00F525D1"/>
    <w:rsid w:val="00F526FE"/>
    <w:rsid w:val="00F52E53"/>
    <w:rsid w:val="00F5308D"/>
    <w:rsid w:val="00F531DC"/>
    <w:rsid w:val="00F53318"/>
    <w:rsid w:val="00F5352D"/>
    <w:rsid w:val="00F53D57"/>
    <w:rsid w:val="00F54412"/>
    <w:rsid w:val="00F54821"/>
    <w:rsid w:val="00F553D5"/>
    <w:rsid w:val="00F5555D"/>
    <w:rsid w:val="00F5568B"/>
    <w:rsid w:val="00F55CA3"/>
    <w:rsid w:val="00F55CCC"/>
    <w:rsid w:val="00F561DA"/>
    <w:rsid w:val="00F56A74"/>
    <w:rsid w:val="00F56D29"/>
    <w:rsid w:val="00F56D5E"/>
    <w:rsid w:val="00F5745D"/>
    <w:rsid w:val="00F57AD9"/>
    <w:rsid w:val="00F57CB7"/>
    <w:rsid w:val="00F57D29"/>
    <w:rsid w:val="00F57F02"/>
    <w:rsid w:val="00F60407"/>
    <w:rsid w:val="00F60502"/>
    <w:rsid w:val="00F60685"/>
    <w:rsid w:val="00F60D8A"/>
    <w:rsid w:val="00F60DFB"/>
    <w:rsid w:val="00F61287"/>
    <w:rsid w:val="00F61DAA"/>
    <w:rsid w:val="00F627FC"/>
    <w:rsid w:val="00F62B53"/>
    <w:rsid w:val="00F63303"/>
    <w:rsid w:val="00F63642"/>
    <w:rsid w:val="00F63D0F"/>
    <w:rsid w:val="00F6420A"/>
    <w:rsid w:val="00F644A6"/>
    <w:rsid w:val="00F645F6"/>
    <w:rsid w:val="00F64703"/>
    <w:rsid w:val="00F648A7"/>
    <w:rsid w:val="00F64AAB"/>
    <w:rsid w:val="00F64E9D"/>
    <w:rsid w:val="00F65645"/>
    <w:rsid w:val="00F6573F"/>
    <w:rsid w:val="00F65A19"/>
    <w:rsid w:val="00F65BB6"/>
    <w:rsid w:val="00F65BE4"/>
    <w:rsid w:val="00F65D09"/>
    <w:rsid w:val="00F65DF4"/>
    <w:rsid w:val="00F65EE3"/>
    <w:rsid w:val="00F67702"/>
    <w:rsid w:val="00F679D2"/>
    <w:rsid w:val="00F709D1"/>
    <w:rsid w:val="00F716D3"/>
    <w:rsid w:val="00F71B35"/>
    <w:rsid w:val="00F71D36"/>
    <w:rsid w:val="00F71ED4"/>
    <w:rsid w:val="00F7273B"/>
    <w:rsid w:val="00F728AE"/>
    <w:rsid w:val="00F731E4"/>
    <w:rsid w:val="00F734D7"/>
    <w:rsid w:val="00F7379D"/>
    <w:rsid w:val="00F739B7"/>
    <w:rsid w:val="00F73C3C"/>
    <w:rsid w:val="00F7466B"/>
    <w:rsid w:val="00F74E39"/>
    <w:rsid w:val="00F755AA"/>
    <w:rsid w:val="00F7565A"/>
    <w:rsid w:val="00F7582B"/>
    <w:rsid w:val="00F76158"/>
    <w:rsid w:val="00F77875"/>
    <w:rsid w:val="00F8078C"/>
    <w:rsid w:val="00F81C4F"/>
    <w:rsid w:val="00F81EA4"/>
    <w:rsid w:val="00F82D9A"/>
    <w:rsid w:val="00F83073"/>
    <w:rsid w:val="00F832E5"/>
    <w:rsid w:val="00F83746"/>
    <w:rsid w:val="00F83956"/>
    <w:rsid w:val="00F84BC3"/>
    <w:rsid w:val="00F84E6C"/>
    <w:rsid w:val="00F84F16"/>
    <w:rsid w:val="00F8514E"/>
    <w:rsid w:val="00F8514F"/>
    <w:rsid w:val="00F8545F"/>
    <w:rsid w:val="00F85A13"/>
    <w:rsid w:val="00F85A38"/>
    <w:rsid w:val="00F85A9C"/>
    <w:rsid w:val="00F85B46"/>
    <w:rsid w:val="00F86289"/>
    <w:rsid w:val="00F86A06"/>
    <w:rsid w:val="00F86B7C"/>
    <w:rsid w:val="00F86E4D"/>
    <w:rsid w:val="00F8708A"/>
    <w:rsid w:val="00F870A3"/>
    <w:rsid w:val="00F870B9"/>
    <w:rsid w:val="00F9046C"/>
    <w:rsid w:val="00F904DE"/>
    <w:rsid w:val="00F90AC3"/>
    <w:rsid w:val="00F90B24"/>
    <w:rsid w:val="00F91762"/>
    <w:rsid w:val="00F91CBF"/>
    <w:rsid w:val="00F91DA6"/>
    <w:rsid w:val="00F92DF5"/>
    <w:rsid w:val="00F93503"/>
    <w:rsid w:val="00F9405B"/>
    <w:rsid w:val="00F94F4D"/>
    <w:rsid w:val="00F95537"/>
    <w:rsid w:val="00F95642"/>
    <w:rsid w:val="00F959D3"/>
    <w:rsid w:val="00F95D3F"/>
    <w:rsid w:val="00F95FCC"/>
    <w:rsid w:val="00F97206"/>
    <w:rsid w:val="00F9721B"/>
    <w:rsid w:val="00F979B9"/>
    <w:rsid w:val="00F97A53"/>
    <w:rsid w:val="00F97FC4"/>
    <w:rsid w:val="00FA09CA"/>
    <w:rsid w:val="00FA0FE2"/>
    <w:rsid w:val="00FA2CB7"/>
    <w:rsid w:val="00FA34E8"/>
    <w:rsid w:val="00FA3A6B"/>
    <w:rsid w:val="00FA4B1B"/>
    <w:rsid w:val="00FA4D6B"/>
    <w:rsid w:val="00FA4F5D"/>
    <w:rsid w:val="00FA5ABA"/>
    <w:rsid w:val="00FA613C"/>
    <w:rsid w:val="00FA6326"/>
    <w:rsid w:val="00FA640B"/>
    <w:rsid w:val="00FA748E"/>
    <w:rsid w:val="00FA75BD"/>
    <w:rsid w:val="00FA77F5"/>
    <w:rsid w:val="00FA7D4E"/>
    <w:rsid w:val="00FB00B6"/>
    <w:rsid w:val="00FB1BD6"/>
    <w:rsid w:val="00FB202B"/>
    <w:rsid w:val="00FB20B5"/>
    <w:rsid w:val="00FB2365"/>
    <w:rsid w:val="00FB237C"/>
    <w:rsid w:val="00FB2471"/>
    <w:rsid w:val="00FB2734"/>
    <w:rsid w:val="00FB2B93"/>
    <w:rsid w:val="00FB4772"/>
    <w:rsid w:val="00FB4CBA"/>
    <w:rsid w:val="00FB4D3B"/>
    <w:rsid w:val="00FB4F0E"/>
    <w:rsid w:val="00FB53C6"/>
    <w:rsid w:val="00FB53E7"/>
    <w:rsid w:val="00FB55DC"/>
    <w:rsid w:val="00FB5DFA"/>
    <w:rsid w:val="00FB6A9D"/>
    <w:rsid w:val="00FB6B18"/>
    <w:rsid w:val="00FB6F45"/>
    <w:rsid w:val="00FB7A47"/>
    <w:rsid w:val="00FB7B32"/>
    <w:rsid w:val="00FC0028"/>
    <w:rsid w:val="00FC0698"/>
    <w:rsid w:val="00FC06FD"/>
    <w:rsid w:val="00FC0999"/>
    <w:rsid w:val="00FC0B1F"/>
    <w:rsid w:val="00FC0E76"/>
    <w:rsid w:val="00FC13CE"/>
    <w:rsid w:val="00FC1B7F"/>
    <w:rsid w:val="00FC2576"/>
    <w:rsid w:val="00FC2A25"/>
    <w:rsid w:val="00FC2C0D"/>
    <w:rsid w:val="00FC3370"/>
    <w:rsid w:val="00FC3602"/>
    <w:rsid w:val="00FC41AB"/>
    <w:rsid w:val="00FC555A"/>
    <w:rsid w:val="00FC5E41"/>
    <w:rsid w:val="00FC6476"/>
    <w:rsid w:val="00FC74C8"/>
    <w:rsid w:val="00FC75EA"/>
    <w:rsid w:val="00FC7698"/>
    <w:rsid w:val="00FC77B6"/>
    <w:rsid w:val="00FC785A"/>
    <w:rsid w:val="00FC796F"/>
    <w:rsid w:val="00FC7EFF"/>
    <w:rsid w:val="00FD08B8"/>
    <w:rsid w:val="00FD0B3D"/>
    <w:rsid w:val="00FD0D57"/>
    <w:rsid w:val="00FD12FB"/>
    <w:rsid w:val="00FD2004"/>
    <w:rsid w:val="00FD2624"/>
    <w:rsid w:val="00FD3445"/>
    <w:rsid w:val="00FD440E"/>
    <w:rsid w:val="00FD45A4"/>
    <w:rsid w:val="00FD4609"/>
    <w:rsid w:val="00FD549D"/>
    <w:rsid w:val="00FD5699"/>
    <w:rsid w:val="00FD5B61"/>
    <w:rsid w:val="00FD5BD5"/>
    <w:rsid w:val="00FD5F5F"/>
    <w:rsid w:val="00FD5FC5"/>
    <w:rsid w:val="00FD62D2"/>
    <w:rsid w:val="00FD6374"/>
    <w:rsid w:val="00FD66CB"/>
    <w:rsid w:val="00FD6E77"/>
    <w:rsid w:val="00FD76FB"/>
    <w:rsid w:val="00FD7AC7"/>
    <w:rsid w:val="00FE0AD0"/>
    <w:rsid w:val="00FE0BA1"/>
    <w:rsid w:val="00FE17E8"/>
    <w:rsid w:val="00FE1A94"/>
    <w:rsid w:val="00FE1D4D"/>
    <w:rsid w:val="00FE1F04"/>
    <w:rsid w:val="00FE244C"/>
    <w:rsid w:val="00FE2DCC"/>
    <w:rsid w:val="00FE379A"/>
    <w:rsid w:val="00FE397C"/>
    <w:rsid w:val="00FE3AD6"/>
    <w:rsid w:val="00FE3CD6"/>
    <w:rsid w:val="00FE4C1E"/>
    <w:rsid w:val="00FE52F4"/>
    <w:rsid w:val="00FE586A"/>
    <w:rsid w:val="00FE599B"/>
    <w:rsid w:val="00FE5C13"/>
    <w:rsid w:val="00FE5C6C"/>
    <w:rsid w:val="00FE5E5B"/>
    <w:rsid w:val="00FE6AF6"/>
    <w:rsid w:val="00FE7122"/>
    <w:rsid w:val="00FE7374"/>
    <w:rsid w:val="00FE7B8D"/>
    <w:rsid w:val="00FF0E2C"/>
    <w:rsid w:val="00FF1451"/>
    <w:rsid w:val="00FF2219"/>
    <w:rsid w:val="00FF26E6"/>
    <w:rsid w:val="00FF2828"/>
    <w:rsid w:val="00FF2A1A"/>
    <w:rsid w:val="00FF34AE"/>
    <w:rsid w:val="00FF3C28"/>
    <w:rsid w:val="00FF3F81"/>
    <w:rsid w:val="00FF4129"/>
    <w:rsid w:val="00FF4457"/>
    <w:rsid w:val="00FF4D56"/>
    <w:rsid w:val="00FF5088"/>
    <w:rsid w:val="00FF5B27"/>
    <w:rsid w:val="00FF5D7E"/>
    <w:rsid w:val="00FF61E9"/>
    <w:rsid w:val="00FF71B2"/>
    <w:rsid w:val="15F403A6"/>
    <w:rsid w:val="1C336744"/>
    <w:rsid w:val="25C67236"/>
    <w:rsid w:val="27017E04"/>
    <w:rsid w:val="411858C8"/>
    <w:rsid w:val="45986744"/>
    <w:rsid w:val="49256EF6"/>
    <w:rsid w:val="522E05BB"/>
    <w:rsid w:val="566DFD30"/>
    <w:rsid w:val="66DC6926"/>
    <w:rsid w:val="67768632"/>
    <w:rsid w:val="6B27C512"/>
    <w:rsid w:val="7372FB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70678EDF-DEAF-432D-972A-B507140F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footnote reference" w:qFormat="1"/>
    <w:lsdException w:name="annotation reference" w:uiPriority="99"/>
    <w:lsdException w:name="List Bullet"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170B"/>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link w:val="BodyText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uiPriority w:val="99"/>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543"/>
    <w:pPr>
      <w:widowControl/>
      <w:numPr>
        <w:numId w:val="1"/>
      </w:numPr>
      <w:spacing w:before="160" w:after="160"/>
    </w:pPr>
    <w:rPr>
      <w:rFonts w:ascii="Times New Roman" w:eastAsia="Calibri" w:hAnsi="Times New Roman"/>
      <w:snapToGrid/>
      <w:sz w:val="22"/>
      <w:szCs w:val="22"/>
    </w:r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rsid w:val="002B0820"/>
    <w:rPr>
      <w:sz w:val="16"/>
      <w:szCs w:val="16"/>
    </w:rPr>
  </w:style>
  <w:style w:type="paragraph" w:styleId="CommentText">
    <w:name w:val="annotation text"/>
    <w:basedOn w:val="Normal"/>
    <w:link w:val="CommentTextChar"/>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FooterChar">
    <w:name w:val="Footer Char"/>
    <w:basedOn w:val="DefaultParagraphFont"/>
    <w:link w:val="Footer"/>
    <w:uiPriority w:val="99"/>
    <w:rsid w:val="0029688E"/>
    <w:rPr>
      <w:rFonts w:ascii="Courier" w:eastAsia="Times New Roman" w:hAnsi="Courier"/>
      <w:snapToGrid w:val="0"/>
      <w:sz w:val="24"/>
      <w:szCs w:val="24"/>
    </w:rPr>
  </w:style>
  <w:style w:type="paragraph" w:customStyle="1" w:styleId="Paragraph">
    <w:name w:val="Paragraph"/>
    <w:basedOn w:val="Normal"/>
    <w:link w:val="ParagraphChar"/>
    <w:qFormat/>
    <w:rsid w:val="00625B36"/>
    <w:pPr>
      <w:widowControl/>
      <w:spacing w:after="160" w:line="264" w:lineRule="auto"/>
    </w:pPr>
    <w:rPr>
      <w:rFonts w:asciiTheme="minorHAnsi" w:eastAsiaTheme="minorHAnsi" w:hAnsiTheme="minorHAnsi" w:cstheme="minorBidi"/>
      <w:snapToGrid/>
      <w:sz w:val="22"/>
      <w:szCs w:val="22"/>
    </w:rPr>
  </w:style>
  <w:style w:type="paragraph" w:customStyle="1" w:styleId="Anchor">
    <w:name w:val="Anchor"/>
    <w:semiHidden/>
    <w:rsid w:val="00625B36"/>
    <w:pPr>
      <w:spacing w:line="20" w:lineRule="exact"/>
    </w:pPr>
    <w:rPr>
      <w:rFonts w:asciiTheme="minorHAnsi" w:eastAsiaTheme="minorHAnsi" w:hAnsiTheme="minorHAnsi" w:cstheme="minorBidi"/>
      <w:b/>
      <w:bCs/>
      <w:color w:val="FFFFFF" w:themeColor="background1"/>
      <w:sz w:val="2"/>
      <w:szCs w:val="22"/>
    </w:rPr>
  </w:style>
  <w:style w:type="paragraph" w:customStyle="1" w:styleId="CoverTitle">
    <w:name w:val="Cover Title"/>
    <w:semiHidden/>
    <w:rsid w:val="00625B36"/>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Text">
    <w:name w:val="Cover Text"/>
    <w:semiHidden/>
    <w:rsid w:val="00625B36"/>
    <w:pPr>
      <w:spacing w:after="300" w:line="276" w:lineRule="auto"/>
      <w:contextualSpacing/>
    </w:pPr>
    <w:rPr>
      <w:rFonts w:ascii="Georgia" w:hAnsi="Georgia" w:eastAsiaTheme="minorHAnsi" w:cstheme="minorBidi"/>
      <w:color w:val="4472C4" w:themeColor="accent1"/>
      <w:sz w:val="22"/>
      <w:szCs w:val="22"/>
    </w:rPr>
  </w:style>
  <w:style w:type="paragraph" w:customStyle="1" w:styleId="CoverRFP">
    <w:name w:val="Cover RFP"/>
    <w:basedOn w:val="Normal"/>
    <w:semiHidden/>
    <w:rsid w:val="00625B36"/>
    <w:pPr>
      <w:widowControl/>
      <w:spacing w:before="3000" w:line="252" w:lineRule="auto"/>
    </w:pPr>
    <w:rPr>
      <w:rFonts w:asciiTheme="majorHAnsi" w:hAnsiTheme="majorHAnsi"/>
      <w:b/>
      <w:snapToGrid/>
      <w:color w:val="4472C4" w:themeColor="accent1"/>
      <w:spacing w:val="2"/>
      <w:szCs w:val="20"/>
    </w:rPr>
  </w:style>
  <w:style w:type="paragraph" w:styleId="TOC1">
    <w:name w:val="toc 1"/>
    <w:basedOn w:val="Normal"/>
    <w:next w:val="Normal"/>
    <w:uiPriority w:val="39"/>
    <w:rsid w:val="004F580B"/>
    <w:pPr>
      <w:widowControl/>
      <w:tabs>
        <w:tab w:val="right" w:leader="dot" w:pos="9360"/>
      </w:tabs>
      <w:spacing w:before="160" w:after="160" w:line="264" w:lineRule="auto"/>
      <w:ind w:left="432" w:right="720" w:hanging="432"/>
    </w:pPr>
    <w:rPr>
      <w:rFonts w:asciiTheme="majorHAnsi" w:eastAsiaTheme="minorHAnsi" w:hAnsiTheme="majorHAnsi" w:cstheme="minorBidi"/>
      <w:snapToGrid/>
      <w:sz w:val="22"/>
      <w:szCs w:val="22"/>
    </w:rPr>
  </w:style>
  <w:style w:type="paragraph" w:styleId="TOC2">
    <w:name w:val="toc 2"/>
    <w:basedOn w:val="Normal"/>
    <w:next w:val="Normal"/>
    <w:uiPriority w:val="39"/>
    <w:rsid w:val="004F580B"/>
    <w:pPr>
      <w:widowControl/>
      <w:tabs>
        <w:tab w:val="right" w:leader="dot" w:pos="9360"/>
      </w:tabs>
      <w:spacing w:before="160" w:after="160" w:line="264" w:lineRule="auto"/>
      <w:ind w:left="864" w:right="720" w:hanging="432"/>
    </w:pPr>
    <w:rPr>
      <w:rFonts w:asciiTheme="majorHAnsi" w:eastAsiaTheme="minorHAnsi" w:hAnsiTheme="majorHAnsi" w:cstheme="minorBidi"/>
      <w:snapToGrid/>
      <w:sz w:val="22"/>
      <w:szCs w:val="22"/>
    </w:rPr>
  </w:style>
  <w:style w:type="paragraph" w:customStyle="1" w:styleId="TableHeaderLeft">
    <w:name w:val="Table Header Left"/>
    <w:basedOn w:val="TableTextLeft"/>
    <w:qFormat/>
    <w:rsid w:val="000D6CE0"/>
    <w:pPr>
      <w:keepNext/>
    </w:pPr>
    <w:rPr>
      <w:color w:val="FFFFFF" w:themeColor="background1"/>
      <w:sz w:val="20"/>
    </w:rPr>
  </w:style>
  <w:style w:type="paragraph" w:styleId="TableofFigures">
    <w:name w:val="table of figures"/>
    <w:basedOn w:val="Normal"/>
    <w:next w:val="Normal"/>
    <w:rsid w:val="000D6CE0"/>
    <w:pPr>
      <w:widowControl/>
      <w:spacing w:line="264" w:lineRule="auto"/>
    </w:pPr>
    <w:rPr>
      <w:rFonts w:asciiTheme="minorHAnsi" w:eastAsiaTheme="minorHAnsi" w:hAnsiTheme="minorHAnsi" w:cstheme="minorBidi"/>
      <w:snapToGrid/>
      <w:sz w:val="22"/>
      <w:szCs w:val="22"/>
    </w:rPr>
  </w:style>
  <w:style w:type="paragraph" w:customStyle="1" w:styleId="TableTextLeft">
    <w:name w:val="Table Text Left"/>
    <w:qFormat/>
    <w:rsid w:val="000D6CE0"/>
    <w:pPr>
      <w:spacing w:before="40" w:after="20" w:line="264" w:lineRule="auto"/>
    </w:pPr>
    <w:rPr>
      <w:rFonts w:asciiTheme="majorHAnsi" w:eastAsiaTheme="minorHAnsi" w:hAnsiTheme="majorHAnsi" w:cstheme="minorBidi"/>
      <w:color w:val="000000" w:themeColor="text1"/>
      <w:sz w:val="18"/>
      <w:szCs w:val="22"/>
    </w:rPr>
  </w:style>
  <w:style w:type="paragraph" w:customStyle="1" w:styleId="H1">
    <w:name w:val="H1"/>
    <w:basedOn w:val="Heading1"/>
    <w:next w:val="Normal"/>
    <w:link w:val="H1Char"/>
    <w:qFormat/>
    <w:rsid w:val="00A85563"/>
    <w:pPr>
      <w:keepLines/>
      <w:widowControl/>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spacing w:before="240" w:line="264" w:lineRule="auto"/>
      <w:ind w:left="432" w:hanging="432"/>
      <w:outlineLvl w:val="1"/>
    </w:pPr>
    <w:rPr>
      <w:rFonts w:ascii="Times New Roman" w:hAnsi="Times New Roman" w:eastAsiaTheme="majorEastAsia" w:cs="Times New Roman"/>
      <w:bCs w:val="0"/>
      <w:snapToGrid/>
      <w:color w:val="000000" w:themeColor="text1"/>
      <w:sz w:val="28"/>
      <w:szCs w:val="32"/>
    </w:rPr>
  </w:style>
  <w:style w:type="table" w:customStyle="1" w:styleId="MathUBaseTable">
    <w:name w:val="MathU Base Table"/>
    <w:basedOn w:val="TableNormal"/>
    <w:rsid w:val="000D6CE0"/>
    <w:pPr>
      <w:spacing w:before="40" w:after="20"/>
    </w:pPr>
    <w:rPr>
      <w:rFonts w:asciiTheme="majorHAnsi" w:eastAsiaTheme="minorHAnsi" w:hAnsiTheme="majorHAnsi" w:cstheme="minorBidi"/>
      <w:sz w:val="18"/>
      <w:szCs w:val="22"/>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customStyle="1" w:styleId="H1Char">
    <w:name w:val="H1 Char"/>
    <w:basedOn w:val="DefaultParagraphFont"/>
    <w:link w:val="H1"/>
    <w:rsid w:val="000D6CE0"/>
    <w:rPr>
      <w:rFonts w:eastAsiaTheme="majorEastAsia"/>
      <w:b/>
      <w:color w:val="000000" w:themeColor="text1"/>
      <w:sz w:val="28"/>
      <w:szCs w:val="32"/>
    </w:rPr>
  </w:style>
  <w:style w:type="paragraph" w:customStyle="1" w:styleId="H2">
    <w:name w:val="H2"/>
    <w:basedOn w:val="H1"/>
    <w:next w:val="Normal"/>
    <w:qFormat/>
    <w:rsid w:val="00294C0C"/>
    <w:pPr>
      <w:ind w:left="720" w:hanging="720"/>
      <w:outlineLvl w:val="2"/>
    </w:pPr>
    <w:rPr>
      <w:rFonts w:ascii="Arial" w:hAnsi="Arial" w:cs="Arial"/>
      <w:bCs/>
      <w:sz w:val="24"/>
    </w:rPr>
  </w:style>
  <w:style w:type="paragraph" w:customStyle="1" w:styleId="H3">
    <w:name w:val="H3"/>
    <w:basedOn w:val="Normal"/>
    <w:next w:val="Normal"/>
    <w:qFormat/>
    <w:rsid w:val="000D0C95"/>
    <w:pPr>
      <w:keepNext/>
      <w:keepLines/>
      <w:widowControl/>
      <w:spacing w:before="160" w:line="264" w:lineRule="auto"/>
      <w:ind w:left="900"/>
      <w:outlineLvl w:val="3"/>
    </w:pPr>
    <w:rPr>
      <w:rFonts w:ascii="Times New Roman" w:hAnsi="Times New Roman"/>
      <w:b/>
      <w:snapToGrid/>
      <w:color w:val="000000"/>
    </w:rPr>
  </w:style>
  <w:style w:type="paragraph" w:customStyle="1" w:styleId="ParagraphContinued">
    <w:name w:val="Paragraph Continued"/>
    <w:basedOn w:val="Paragraph"/>
    <w:next w:val="Paragraph"/>
    <w:qFormat/>
    <w:rsid w:val="0029520B"/>
    <w:pPr>
      <w:spacing w:before="160"/>
    </w:pPr>
  </w:style>
  <w:style w:type="table" w:customStyle="1" w:styleId="TableGrid1">
    <w:name w:val="Table Grid1"/>
    <w:basedOn w:val="TableNormal"/>
    <w:next w:val="TableGrid"/>
    <w:locked/>
    <w:rsid w:val="006C0880"/>
    <w:rPr>
      <w:rFonts w:eastAsia="Times New Roman"/>
      <w:sz w:val="22"/>
      <w:szCs w:val="22"/>
    </w:rPr>
    <w:tblPr>
      <w:tblBorders>
        <w:top w:val="dotted" w:sz="12" w:space="0" w:color="046B5C"/>
        <w:bottom w:val="dotted" w:sz="12" w:space="0" w:color="046B5C"/>
      </w:tblBorders>
    </w:tblPr>
  </w:style>
  <w:style w:type="table" w:customStyle="1" w:styleId="TableGrid2">
    <w:name w:val="Table Grid2"/>
    <w:basedOn w:val="TableNormal"/>
    <w:next w:val="TableGrid"/>
    <w:locked/>
    <w:rsid w:val="006A4AAA"/>
    <w:rPr>
      <w:rFonts w:eastAsia="Times New Roman"/>
      <w:sz w:val="22"/>
      <w:szCs w:val="22"/>
    </w:rPr>
    <w:tblPr>
      <w:tblBorders>
        <w:top w:val="dotted" w:sz="12" w:space="0" w:color="046B5C"/>
        <w:bottom w:val="dotted" w:sz="12" w:space="0" w:color="046B5C"/>
      </w:tblBorders>
    </w:tblPr>
  </w:style>
  <w:style w:type="character" w:styleId="FootnoteReference">
    <w:name w:val="footnote reference"/>
    <w:aliases w:val="*Footnote Reference"/>
    <w:basedOn w:val="DefaultParagraphFont"/>
    <w:qFormat/>
    <w:rsid w:val="00C8267D"/>
    <w:rPr>
      <w:vertAlign w:val="superscript"/>
    </w:rPr>
  </w:style>
  <w:style w:type="paragraph" w:styleId="FootnoteText">
    <w:name w:val="footnote text"/>
    <w:aliases w:val="F1,FOOTNOTE"/>
    <w:basedOn w:val="Normal"/>
    <w:link w:val="FootnoteTextChar"/>
    <w:rsid w:val="00C8267D"/>
    <w:pPr>
      <w:widowControl/>
    </w:pPr>
    <w:rPr>
      <w:rFonts w:ascii="Times New Roman" w:hAnsi="Times New Roman"/>
      <w:snapToGrid/>
      <w:sz w:val="20"/>
      <w:szCs w:val="20"/>
    </w:rPr>
  </w:style>
  <w:style w:type="character" w:customStyle="1" w:styleId="FootnoteTextChar">
    <w:name w:val="Footnote Text Char"/>
    <w:aliases w:val="F1 Char,FOOTNOTE Char"/>
    <w:basedOn w:val="DefaultParagraphFont"/>
    <w:link w:val="FootnoteText"/>
    <w:rsid w:val="00C8267D"/>
    <w:rPr>
      <w:rFonts w:eastAsia="Times New Roman"/>
    </w:rPr>
  </w:style>
  <w:style w:type="paragraph" w:customStyle="1" w:styleId="Bullet">
    <w:name w:val="Bullet"/>
    <w:basedOn w:val="Normal"/>
    <w:semiHidden/>
    <w:rsid w:val="003E1A0E"/>
    <w:pPr>
      <w:widowControl/>
      <w:numPr>
        <w:numId w:val="2"/>
      </w:numPr>
      <w:tabs>
        <w:tab w:val="left" w:pos="432"/>
      </w:tabs>
      <w:spacing w:after="120"/>
      <w:ind w:left="432" w:hanging="432"/>
    </w:pPr>
    <w:rPr>
      <w:rFonts w:asciiTheme="minorHAnsi" w:eastAsiaTheme="minorHAnsi" w:hAnsiTheme="minorHAnsi" w:cstheme="minorBidi"/>
      <w:snapToGrid/>
      <w:sz w:val="22"/>
      <w:szCs w:val="22"/>
    </w:rPr>
  </w:style>
  <w:style w:type="character" w:customStyle="1" w:styleId="ParagraphChar">
    <w:name w:val="Paragraph Char"/>
    <w:basedOn w:val="DefaultParagraphFont"/>
    <w:link w:val="Paragraph"/>
    <w:rsid w:val="00B4092D"/>
    <w:rPr>
      <w:rFonts w:asciiTheme="minorHAnsi" w:eastAsiaTheme="minorHAnsi" w:hAnsiTheme="minorHAnsi" w:cstheme="minorBidi"/>
      <w:sz w:val="22"/>
      <w:szCs w:val="22"/>
    </w:rPr>
  </w:style>
  <w:style w:type="table" w:customStyle="1" w:styleId="BaseTable">
    <w:name w:val="Base Table"/>
    <w:basedOn w:val="TableNormal"/>
    <w:rsid w:val="006C617B"/>
    <w:pPr>
      <w:spacing w:before="40" w:after="20"/>
    </w:pPr>
    <w:rPr>
      <w:rFonts w:asciiTheme="majorHAnsi" w:eastAsiaTheme="minorHAnsi" w:hAnsiTheme="majorHAnsi" w:cstheme="minorBidi"/>
      <w:sz w:val="18"/>
      <w:szCs w:val="22"/>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MarkforAppendixTitle">
    <w:name w:val="Mark for Appendix Title"/>
    <w:basedOn w:val="Normal"/>
    <w:next w:val="Normal"/>
    <w:semiHidden/>
    <w:rsid w:val="004352C7"/>
    <w:pPr>
      <w:widowControl/>
      <w:spacing w:before="2640" w:after="240"/>
      <w:jc w:val="center"/>
      <w:outlineLvl w:val="1"/>
    </w:pPr>
    <w:rPr>
      <w:rFonts w:ascii="Arial Black" w:hAnsi="Arial Black"/>
      <w:caps/>
      <w:snapToGrid/>
      <w:sz w:val="22"/>
      <w:szCs w:val="22"/>
    </w:rPr>
  </w:style>
  <w:style w:type="table" w:customStyle="1" w:styleId="TableGrid11">
    <w:name w:val="Table Grid11"/>
    <w:basedOn w:val="TableNormal"/>
    <w:next w:val="TableGrid"/>
    <w:rsid w:val="006220B0"/>
    <w:rPr>
      <w:rFonts w:ascii="Calibri" w:eastAsia="Times New Roman" w:hAnsi="Calibri"/>
      <w:sz w:val="24"/>
    </w:rPr>
    <w:tblPr/>
  </w:style>
  <w:style w:type="character" w:customStyle="1" w:styleId="cf01">
    <w:name w:val="cf01"/>
    <w:basedOn w:val="DefaultParagraphFont"/>
    <w:rsid w:val="008A2606"/>
    <w:rPr>
      <w:rFonts w:ascii="Segoe UI" w:hAnsi="Segoe UI" w:cs="Segoe UI" w:hint="default"/>
      <w:color w:val="262626"/>
      <w:sz w:val="36"/>
      <w:szCs w:val="36"/>
    </w:rPr>
  </w:style>
  <w:style w:type="character" w:customStyle="1" w:styleId="normaltextrun">
    <w:name w:val="normaltextrun"/>
    <w:basedOn w:val="DefaultParagraphFont"/>
    <w:rsid w:val="00EE2DE9"/>
  </w:style>
  <w:style w:type="character" w:customStyle="1" w:styleId="eop">
    <w:name w:val="eop"/>
    <w:basedOn w:val="DefaultParagraphFont"/>
    <w:rsid w:val="00EE2DE9"/>
  </w:style>
  <w:style w:type="paragraph" w:styleId="ListBullet">
    <w:name w:val="List Bullet"/>
    <w:basedOn w:val="Normal"/>
    <w:qFormat/>
    <w:rsid w:val="002753B1"/>
    <w:pPr>
      <w:widowControl/>
      <w:numPr>
        <w:numId w:val="4"/>
      </w:numPr>
      <w:spacing w:after="80"/>
    </w:pPr>
    <w:rPr>
      <w:rFonts w:ascii="Times New Roman" w:hAnsi="Times New Roman" w:eastAsiaTheme="minorHAnsi"/>
      <w:snapToGrid/>
      <w:sz w:val="22"/>
      <w:szCs w:val="22"/>
    </w:rPr>
  </w:style>
  <w:style w:type="paragraph" w:customStyle="1" w:styleId="TableTextCentered">
    <w:name w:val="Table Text Centered"/>
    <w:basedOn w:val="TableTextLeft"/>
    <w:qFormat/>
    <w:rsid w:val="00137121"/>
    <w:pPr>
      <w:spacing w:line="240" w:lineRule="auto"/>
      <w:jc w:val="center"/>
    </w:pPr>
    <w:rPr>
      <w:rFonts w:ascii="Arial Narrow" w:hAnsi="Arial Narrow"/>
      <w:szCs w:val="16"/>
    </w:rPr>
  </w:style>
  <w:style w:type="paragraph" w:customStyle="1" w:styleId="Reference">
    <w:name w:val="Reference"/>
    <w:basedOn w:val="ListContinue"/>
    <w:qFormat/>
    <w:rsid w:val="000A6FBA"/>
    <w:pPr>
      <w:keepLines/>
      <w:widowControl/>
      <w:spacing w:after="80" w:line="264" w:lineRule="auto"/>
      <w:ind w:hanging="360"/>
      <w:contextualSpacing w:val="0"/>
    </w:pPr>
    <w:rPr>
      <w:rFonts w:asciiTheme="minorHAnsi" w:eastAsiaTheme="minorHAnsi" w:hAnsiTheme="minorHAnsi" w:cstheme="minorBidi"/>
      <w:snapToGrid/>
      <w:sz w:val="22"/>
      <w:szCs w:val="22"/>
    </w:rPr>
  </w:style>
  <w:style w:type="paragraph" w:styleId="ListContinue">
    <w:name w:val="List Continue"/>
    <w:basedOn w:val="Normal"/>
    <w:rsid w:val="000A6FBA"/>
    <w:pPr>
      <w:spacing w:after="120"/>
      <w:ind w:left="360"/>
      <w:contextualSpacing/>
    </w:pPr>
  </w:style>
  <w:style w:type="character" w:customStyle="1" w:styleId="CommentTextChar">
    <w:name w:val="Comment Text Char"/>
    <w:basedOn w:val="DefaultParagraphFont"/>
    <w:link w:val="CommentText"/>
    <w:uiPriority w:val="99"/>
    <w:rsid w:val="00C411A8"/>
    <w:rPr>
      <w:rFonts w:ascii="Courier" w:eastAsia="Times New Roman" w:hAnsi="Courier"/>
      <w:snapToGrid w:val="0"/>
    </w:rPr>
  </w:style>
  <w:style w:type="paragraph" w:customStyle="1" w:styleId="SidebarHead">
    <w:name w:val="Sidebar Head"/>
    <w:basedOn w:val="Normal"/>
    <w:next w:val="Normal"/>
    <w:semiHidden/>
    <w:rsid w:val="00C411A8"/>
    <w:pPr>
      <w:keepNext/>
      <w:keepLines/>
      <w:widowControl/>
      <w:spacing w:after="80" w:line="260" w:lineRule="atLeast"/>
    </w:pPr>
    <w:rPr>
      <w:rFonts w:asciiTheme="majorHAnsi" w:eastAsiaTheme="majorEastAsia" w:hAnsiTheme="majorHAnsi" w:cstheme="majorBidi"/>
      <w:b/>
      <w:snapToGrid/>
      <w:color w:val="4472C4" w:themeColor="accent1"/>
      <w:sz w:val="22"/>
      <w:szCs w:val="32"/>
    </w:rPr>
  </w:style>
  <w:style w:type="paragraph" w:customStyle="1" w:styleId="SidebarListNumber">
    <w:name w:val="Sidebar List Number"/>
    <w:basedOn w:val="Normal"/>
    <w:semiHidden/>
    <w:rsid w:val="00C411A8"/>
    <w:pPr>
      <w:widowControl/>
      <w:numPr>
        <w:numId w:val="5"/>
      </w:numPr>
      <w:tabs>
        <w:tab w:val="right" w:pos="4680"/>
      </w:tabs>
      <w:adjustRightInd w:val="0"/>
      <w:spacing w:after="60" w:line="260" w:lineRule="atLeast"/>
    </w:pPr>
    <w:rPr>
      <w:rFonts w:asciiTheme="majorHAnsi" w:eastAsiaTheme="minorHAnsi" w:hAnsiTheme="majorHAnsi" w:cstheme="minorBidi"/>
      <w:snapToGrid/>
      <w:color w:val="7B7B7B" w:themeColor="accent3" w:themeShade="BF"/>
      <w:sz w:val="18"/>
      <w:szCs w:val="22"/>
    </w:rPr>
  </w:style>
  <w:style w:type="table" w:customStyle="1" w:styleId="TanCell">
    <w:name w:val="Tan Cell"/>
    <w:basedOn w:val="TableNormal"/>
    <w:rsid w:val="00C411A8"/>
    <w:rPr>
      <w:rFonts w:asciiTheme="majorHAnsi" w:eastAsiaTheme="minorHAnsi" w:hAnsiTheme="majorHAnsi" w:cstheme="minorBidi"/>
      <w:sz w:val="18"/>
      <w:szCs w:val="22"/>
    </w:rPr>
    <w:tblPr>
      <w:tblCellMar>
        <w:top w:w="72" w:type="dxa"/>
        <w:left w:w="144" w:type="dxa"/>
        <w:bottom w:w="72" w:type="dxa"/>
        <w:right w:w="144" w:type="dxa"/>
      </w:tblCellMar>
    </w:tblPr>
    <w:tcPr>
      <w:shd w:val="clear" w:color="auto" w:fill="FAF9F9" w:themeFill="background2" w:themeFillTint="33"/>
    </w:tcPr>
  </w:style>
  <w:style w:type="character" w:styleId="Mention">
    <w:name w:val="Mention"/>
    <w:basedOn w:val="DefaultParagraphFont"/>
    <w:uiPriority w:val="99"/>
    <w:unhideWhenUsed/>
    <w:rsid w:val="00896E78"/>
    <w:rPr>
      <w:color w:val="2B579A"/>
      <w:shd w:val="clear" w:color="auto" w:fill="E1DFDD"/>
    </w:rPr>
  </w:style>
  <w:style w:type="paragraph" w:styleId="Revision">
    <w:name w:val="Revision"/>
    <w:hidden/>
    <w:uiPriority w:val="99"/>
    <w:semiHidden/>
    <w:rsid w:val="007C6D46"/>
    <w:rPr>
      <w:rFonts w:ascii="Courier" w:eastAsia="Times New Roman" w:hAnsi="Courier"/>
      <w:snapToGrid w:val="0"/>
      <w:sz w:val="24"/>
      <w:szCs w:val="24"/>
    </w:rPr>
  </w:style>
  <w:style w:type="paragraph" w:customStyle="1" w:styleId="Tabletitle">
    <w:name w:val="Table title"/>
    <w:basedOn w:val="Normal"/>
    <w:qFormat/>
    <w:rsid w:val="00955ABA"/>
    <w:pPr>
      <w:keepNext/>
      <w:spacing w:before="120" w:after="120"/>
    </w:pPr>
    <w:rPr>
      <w:rFonts w:ascii="Arial" w:hAnsi="Arial"/>
      <w:b/>
      <w:snapToGrid/>
      <w:color w:val="000000"/>
      <w:sz w:val="20"/>
      <w:szCs w:val="22"/>
    </w:rPr>
  </w:style>
  <w:style w:type="paragraph" w:customStyle="1" w:styleId="Tablerowhead">
    <w:name w:val="Table row head"/>
    <w:basedOn w:val="Normal"/>
    <w:qFormat/>
    <w:rsid w:val="00955ABA"/>
    <w:pPr>
      <w:keepNext/>
      <w:widowControl/>
      <w:spacing w:before="60" w:after="60"/>
    </w:pPr>
    <w:rPr>
      <w:rFonts w:ascii="Arial" w:hAnsi="Arial" w:cs="Arial"/>
      <w:b/>
      <w:bCs/>
      <w:sz w:val="18"/>
      <w:szCs w:val="18"/>
    </w:rPr>
  </w:style>
  <w:style w:type="character" w:customStyle="1" w:styleId="BodyTextChar">
    <w:name w:val="Body Text Char"/>
    <w:basedOn w:val="DefaultParagraphFont"/>
    <w:link w:val="BodyText"/>
    <w:rsid w:val="00EE016F"/>
    <w:rPr>
      <w:rFonts w:ascii="Courier" w:eastAsia="Times New Roman" w:hAnsi="Courier"/>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sa.gov/policy/docs/statcomps/nbs/2019/job-characteristics.html" TargetMode="External" /><Relationship Id="rId11" Type="http://schemas.openxmlformats.org/officeDocument/2006/relationships/hyperlink" Target="https://www.bls.gov/data/inflation_calculator.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customXml/itemProps2.xml><?xml version="1.0" encoding="utf-8"?>
<ds:datastoreItem xmlns:ds="http://schemas.openxmlformats.org/officeDocument/2006/customXml" ds:itemID="{0D62F8CA-A477-4A0E-BBBA-1B6764BCD1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74E29-3C94-4C16-9BA1-947B8C0F67AB}">
  <ds:schemaRefs>
    <ds:schemaRef ds:uri="http://schemas.microsoft.com/sharepoint/v3/contenttype/forms"/>
  </ds:schemaRefs>
</ds:datastoreItem>
</file>

<file path=customXml/itemProps4.xml><?xml version="1.0" encoding="utf-8"?>
<ds:datastoreItem xmlns:ds="http://schemas.openxmlformats.org/officeDocument/2006/customXml" ds:itemID="{B5B76471-82AE-4B0F-8142-35FA2CD8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22</Pages>
  <Words>7423</Words>
  <Characters>44444</Characters>
  <Application>Microsoft Office Word</Application>
  <DocSecurity>0</DocSecurity>
  <Lines>370</Lines>
  <Paragraphs>103</Paragraphs>
  <ScaleCrop>false</ScaleCrop>
  <HeadingPairs>
    <vt:vector size="2" baseType="variant">
      <vt:variant>
        <vt:lpstr>Title</vt:lpstr>
      </vt:variant>
      <vt:variant>
        <vt:i4>1</vt:i4>
      </vt:variant>
    </vt:vector>
  </HeadingPairs>
  <TitlesOfParts>
    <vt:vector size="1" baseType="lpstr">
      <vt:lpstr>SSA TTW OMB Part A</vt:lpstr>
    </vt:vector>
  </TitlesOfParts>
  <Company>Social Security Administration</Company>
  <LinksUpToDate>false</LinksUpToDate>
  <CharactersWithSpaces>51764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TTW OMB Part A</dc:title>
  <dc:creator>Naomi</dc:creator>
  <cp:lastModifiedBy>LP/PFD/Reports Clearance</cp:lastModifiedBy>
  <cp:revision>4</cp:revision>
  <dcterms:created xsi:type="dcterms:W3CDTF">2026-01-22T16:10:00Z</dcterms:created>
  <dcterms:modified xsi:type="dcterms:W3CDTF">2026-02-04T13:34:00Z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MSIP_Label_9a5e8a9d-1b12-42bd-9856-0af2bbe0ed89_ActionId">
    <vt:lpwstr>8f2c4f50-09d3-45d7-91dd-bfe74e7344ae</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2025-07-24T19:10:13Z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927484012</vt:i4>
  </property>
  <property fmtid="{D5CDD505-2E9C-101B-9397-08002B2CF9AE}" pid="12" name="_AuthorEmail">
    <vt:lpwstr>Eleanor.Stinnett@ssa.gov</vt:lpwstr>
  </property>
  <property fmtid="{D5CDD505-2E9C-101B-9397-08002B2CF9AE}" pid="13" name="_AuthorEmailDisplayName">
    <vt:lpwstr>Stinnett, Eleanor</vt:lpwstr>
  </property>
  <property fmtid="{D5CDD505-2E9C-101B-9397-08002B2CF9AE}" pid="14" name="_EmailSubject">
    <vt:lpwstr>PRA Package - Ticket to Work Evaluation</vt:lpwstr>
  </property>
  <property fmtid="{D5CDD505-2E9C-101B-9397-08002B2CF9AE}" pid="15" name="_NewReviewCycle">
    <vt:lpwstr/>
  </property>
  <property fmtid="{D5CDD505-2E9C-101B-9397-08002B2CF9AE}" pid="16" name="_ReviewingToolsShownOnce">
    <vt:lpwstr/>
  </property>
</Properties>
</file>