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3CC4" w:rsidRPr="00B97F3D" w:rsidP="00213CC4" w14:paraId="7D3B8EC0" w14:textId="1AE2166F">
      <w:pPr>
        <w:tabs>
          <w:tab w:val="center" w:pos="4860"/>
        </w:tabs>
        <w:suppressAutoHyphens/>
        <w:jc w:val="center"/>
        <w:rPr>
          <w:b/>
          <w:sz w:val="24"/>
          <w:szCs w:val="24"/>
        </w:rPr>
      </w:pPr>
      <w:r>
        <w:rPr>
          <w:b/>
          <w:sz w:val="24"/>
          <w:szCs w:val="24"/>
        </w:rPr>
        <w:t>S</w:t>
      </w:r>
      <w:r w:rsidRPr="00B97F3D">
        <w:rPr>
          <w:b/>
          <w:sz w:val="24"/>
          <w:szCs w:val="24"/>
        </w:rPr>
        <w:t>upporting Statement for Forms SSA-7161-OCR-SM and SSA-7162-OCR-SM</w:t>
      </w:r>
    </w:p>
    <w:p w:rsidR="00213CC4" w:rsidRPr="00B97F3D" w:rsidP="00213CC4" w14:paraId="70E0532F" w14:textId="77777777">
      <w:pPr>
        <w:tabs>
          <w:tab w:val="center" w:pos="4860"/>
        </w:tabs>
        <w:suppressAutoHyphens/>
        <w:jc w:val="center"/>
        <w:rPr>
          <w:b/>
          <w:sz w:val="24"/>
          <w:szCs w:val="24"/>
        </w:rPr>
      </w:pPr>
      <w:r w:rsidRPr="00B97F3D">
        <w:rPr>
          <w:b/>
          <w:sz w:val="24"/>
          <w:szCs w:val="24"/>
        </w:rPr>
        <w:t xml:space="preserve">Report to </w:t>
      </w:r>
      <w:smartTag w:uri="urn:schemas-microsoft-com:office:smarttags" w:element="place">
        <w:smartTag w:uri="urn:schemas-microsoft-com:office:smarttags" w:element="country-region">
          <w:r w:rsidRPr="00B97F3D">
            <w:rPr>
              <w:b/>
              <w:sz w:val="24"/>
              <w:szCs w:val="24"/>
            </w:rPr>
            <w:t>United States</w:t>
          </w:r>
        </w:smartTag>
      </w:smartTag>
      <w:r w:rsidRPr="00B97F3D">
        <w:rPr>
          <w:b/>
          <w:sz w:val="24"/>
          <w:szCs w:val="24"/>
        </w:rPr>
        <w:t xml:space="preserve"> Social Security Administration by Person </w:t>
      </w:r>
    </w:p>
    <w:p w:rsidR="00213CC4" w:rsidRPr="00B97F3D" w:rsidP="00213CC4" w14:paraId="68E42097" w14:textId="77777777">
      <w:pPr>
        <w:tabs>
          <w:tab w:val="center" w:pos="4860"/>
        </w:tabs>
        <w:suppressAutoHyphens/>
        <w:jc w:val="center"/>
        <w:rPr>
          <w:b/>
          <w:sz w:val="24"/>
          <w:szCs w:val="24"/>
        </w:rPr>
      </w:pPr>
      <w:r w:rsidRPr="00B97F3D">
        <w:rPr>
          <w:b/>
          <w:sz w:val="24"/>
          <w:szCs w:val="24"/>
        </w:rPr>
        <w:t xml:space="preserve">Receiving Benefits for a Child or for an Adult Unable to Handle Funds; </w:t>
      </w:r>
    </w:p>
    <w:p w:rsidR="00213CC4" w:rsidRPr="00B97F3D" w:rsidP="00213CC4" w14:paraId="12C33E10" w14:textId="77777777">
      <w:pPr>
        <w:tabs>
          <w:tab w:val="center" w:pos="4860"/>
        </w:tabs>
        <w:suppressAutoHyphens/>
        <w:jc w:val="center"/>
        <w:rPr>
          <w:b/>
          <w:sz w:val="24"/>
          <w:szCs w:val="24"/>
        </w:rPr>
      </w:pPr>
      <w:r w:rsidRPr="00B97F3D">
        <w:rPr>
          <w:b/>
          <w:sz w:val="24"/>
          <w:szCs w:val="24"/>
        </w:rPr>
        <w:t xml:space="preserve">Report to </w:t>
      </w:r>
      <w:smartTag w:uri="urn:schemas-microsoft-com:office:smarttags" w:element="place">
        <w:smartTag w:uri="urn:schemas-microsoft-com:office:smarttags" w:element="country-region">
          <w:r w:rsidRPr="00B97F3D">
            <w:rPr>
              <w:b/>
              <w:sz w:val="24"/>
              <w:szCs w:val="24"/>
            </w:rPr>
            <w:t>United States</w:t>
          </w:r>
        </w:smartTag>
      </w:smartTag>
      <w:r w:rsidRPr="00B97F3D">
        <w:rPr>
          <w:b/>
          <w:sz w:val="24"/>
          <w:szCs w:val="24"/>
        </w:rPr>
        <w:t xml:space="preserve"> Social Security Administration</w:t>
      </w:r>
    </w:p>
    <w:p w:rsidR="00213CC4" w:rsidP="00213CC4" w14:paraId="6730B34B" w14:textId="77777777">
      <w:pPr>
        <w:tabs>
          <w:tab w:val="left" w:pos="-720"/>
        </w:tabs>
        <w:suppressAutoHyphens/>
        <w:jc w:val="center"/>
        <w:rPr>
          <w:b/>
          <w:sz w:val="24"/>
          <w:szCs w:val="24"/>
        </w:rPr>
      </w:pPr>
      <w:r w:rsidRPr="00B97F3D">
        <w:rPr>
          <w:b/>
          <w:sz w:val="24"/>
          <w:szCs w:val="24"/>
        </w:rPr>
        <w:t>OMB No. 0960-0049</w:t>
      </w:r>
    </w:p>
    <w:p w:rsidR="00213CC4" w14:paraId="4C149105" w14:textId="77777777">
      <w:pPr>
        <w:tabs>
          <w:tab w:val="center" w:pos="4860"/>
        </w:tabs>
        <w:suppressAutoHyphens/>
        <w:jc w:val="center"/>
        <w:rPr>
          <w:b/>
          <w:sz w:val="24"/>
          <w:szCs w:val="24"/>
        </w:rPr>
      </w:pPr>
    </w:p>
    <w:p w:rsidR="00487E40" w:rsidRPr="0060778C" w:rsidP="00487E40" w14:paraId="55A2702E" w14:textId="77777777">
      <w:pPr>
        <w:pStyle w:val="ListParagraph"/>
        <w:numPr>
          <w:ilvl w:val="0"/>
          <w:numId w:val="20"/>
        </w:numPr>
        <w:tabs>
          <w:tab w:val="left" w:pos="-720"/>
        </w:tabs>
        <w:suppressAutoHyphens/>
        <w:rPr>
          <w:b/>
          <w:sz w:val="24"/>
          <w:szCs w:val="24"/>
          <w:u w:val="single"/>
        </w:rPr>
      </w:pPr>
      <w:r w:rsidRPr="0060778C">
        <w:rPr>
          <w:b/>
          <w:sz w:val="24"/>
          <w:szCs w:val="24"/>
          <w:u w:val="single"/>
        </w:rPr>
        <w:t>Justification</w:t>
      </w:r>
    </w:p>
    <w:p w:rsidR="00487E40" w:rsidRPr="0060778C" w:rsidP="00487E40" w14:paraId="53B6779E" w14:textId="77777777">
      <w:pPr>
        <w:tabs>
          <w:tab w:val="left" w:pos="-720"/>
        </w:tabs>
        <w:suppressAutoHyphens/>
        <w:ind w:left="720"/>
        <w:rPr>
          <w:b/>
          <w:sz w:val="24"/>
          <w:szCs w:val="24"/>
        </w:rPr>
      </w:pPr>
    </w:p>
    <w:p w:rsidR="008E0947" w:rsidRPr="0060778C" w:rsidP="00DA5859" w14:paraId="1A17B940" w14:textId="77777777">
      <w:pPr>
        <w:pStyle w:val="ListParagraph"/>
        <w:numPr>
          <w:ilvl w:val="0"/>
          <w:numId w:val="21"/>
        </w:numPr>
        <w:tabs>
          <w:tab w:val="left" w:pos="-720"/>
        </w:tabs>
        <w:suppressAutoHyphens/>
        <w:rPr>
          <w:b/>
          <w:sz w:val="24"/>
          <w:szCs w:val="24"/>
        </w:rPr>
      </w:pPr>
      <w:r w:rsidRPr="0060778C">
        <w:rPr>
          <w:b/>
          <w:sz w:val="24"/>
          <w:szCs w:val="24"/>
        </w:rPr>
        <w:t>Introduction/Authoring Laws and Regulations</w:t>
      </w:r>
      <w:r w:rsidRPr="0060778C">
        <w:rPr>
          <w:sz w:val="24"/>
          <w:szCs w:val="24"/>
        </w:rPr>
        <w:t xml:space="preserve"> </w:t>
      </w:r>
    </w:p>
    <w:p w:rsidR="001D7013" w:rsidP="008E0947" w14:paraId="1DEA2B89" w14:textId="55866152">
      <w:pPr>
        <w:pStyle w:val="ListParagraph"/>
        <w:tabs>
          <w:tab w:val="left" w:pos="-720"/>
        </w:tabs>
        <w:suppressAutoHyphens/>
        <w:ind w:left="1080"/>
        <w:rPr>
          <w:snapToGrid w:val="0"/>
          <w:sz w:val="24"/>
          <w:szCs w:val="24"/>
          <w:lang w:eastAsia="en-US"/>
        </w:rPr>
      </w:pPr>
      <w:r w:rsidRPr="0060778C">
        <w:rPr>
          <w:sz w:val="24"/>
          <w:szCs w:val="24"/>
        </w:rPr>
        <w:t>Section</w:t>
      </w:r>
      <w:r w:rsidRPr="0060778C" w:rsidR="00CC3300">
        <w:rPr>
          <w:sz w:val="24"/>
          <w:szCs w:val="24"/>
        </w:rPr>
        <w:t>s</w:t>
      </w:r>
      <w:r w:rsidRPr="0060778C">
        <w:rPr>
          <w:i/>
          <w:sz w:val="24"/>
          <w:szCs w:val="24"/>
        </w:rPr>
        <w:t xml:space="preserve"> 203(c)</w:t>
      </w:r>
      <w:r w:rsidRPr="0060778C" w:rsidR="00605E26">
        <w:rPr>
          <w:i/>
          <w:sz w:val="24"/>
          <w:szCs w:val="24"/>
        </w:rPr>
        <w:t xml:space="preserve"> and 203(g)</w:t>
      </w:r>
      <w:r w:rsidRPr="0060778C">
        <w:rPr>
          <w:i/>
          <w:sz w:val="24"/>
          <w:szCs w:val="24"/>
        </w:rPr>
        <w:t xml:space="preserve"> </w:t>
      </w:r>
      <w:r w:rsidRPr="0060778C">
        <w:rPr>
          <w:sz w:val="24"/>
          <w:szCs w:val="24"/>
        </w:rPr>
        <w:t>of the</w:t>
      </w:r>
      <w:r w:rsidRPr="0060778C">
        <w:rPr>
          <w:i/>
          <w:sz w:val="24"/>
          <w:szCs w:val="24"/>
        </w:rPr>
        <w:t xml:space="preserve"> Social Security Act (Act)</w:t>
      </w:r>
      <w:r w:rsidRPr="0060778C" w:rsidR="00CC3300">
        <w:rPr>
          <w:sz w:val="24"/>
          <w:szCs w:val="24"/>
        </w:rPr>
        <w:t xml:space="preserve"> require</w:t>
      </w:r>
      <w:r w:rsidRPr="0060778C">
        <w:rPr>
          <w:sz w:val="24"/>
          <w:szCs w:val="24"/>
        </w:rPr>
        <w:t xml:space="preserve"> the Commissioner of Social Security </w:t>
      </w:r>
      <w:r w:rsidRPr="0060778C" w:rsidR="00970306">
        <w:rPr>
          <w:sz w:val="24"/>
          <w:szCs w:val="24"/>
          <w:lang w:eastAsia="en-US"/>
        </w:rPr>
        <w:t>to make benefit</w:t>
      </w:r>
      <w:r w:rsidRPr="0060778C" w:rsidR="00970306">
        <w:rPr>
          <w:sz w:val="24"/>
          <w:szCs w:val="24"/>
        </w:rPr>
        <w:t xml:space="preserve"> </w:t>
      </w:r>
      <w:r w:rsidRPr="0060778C" w:rsidR="00AA2DB8">
        <w:rPr>
          <w:sz w:val="24"/>
          <w:szCs w:val="24"/>
          <w:lang w:eastAsia="en-US"/>
        </w:rPr>
        <w:t>deductions</w:t>
      </w:r>
      <w:r w:rsidRPr="0060778C" w:rsidR="00605E26">
        <w:rPr>
          <w:sz w:val="24"/>
          <w:szCs w:val="24"/>
          <w:lang w:eastAsia="en-US"/>
        </w:rPr>
        <w:t xml:space="preserve"> and</w:t>
      </w:r>
      <w:r w:rsidRPr="0060778C" w:rsidR="003D3F7E">
        <w:rPr>
          <w:sz w:val="24"/>
          <w:szCs w:val="24"/>
        </w:rPr>
        <w:t xml:space="preserve"> provide</w:t>
      </w:r>
      <w:r w:rsidRPr="0060778C">
        <w:rPr>
          <w:sz w:val="24"/>
          <w:szCs w:val="24"/>
        </w:rPr>
        <w:t xml:space="preserve"> for the Commissioner to impose penalty deductions on benefits of individuals who fail to make timely reports of events</w:t>
      </w:r>
      <w:r w:rsidR="008B5505">
        <w:rPr>
          <w:sz w:val="24"/>
          <w:szCs w:val="24"/>
        </w:rPr>
        <w:t xml:space="preserve"> that affect their eligibility</w:t>
      </w:r>
      <w:r w:rsidRPr="0060778C">
        <w:rPr>
          <w:sz w:val="24"/>
          <w:szCs w:val="24"/>
        </w:rPr>
        <w:t>.  Section</w:t>
      </w:r>
      <w:r w:rsidRPr="0060778C">
        <w:rPr>
          <w:i/>
          <w:sz w:val="24"/>
          <w:szCs w:val="24"/>
        </w:rPr>
        <w:t xml:space="preserve"> 205(a) </w:t>
      </w:r>
      <w:r w:rsidRPr="0060778C">
        <w:rPr>
          <w:sz w:val="24"/>
          <w:szCs w:val="24"/>
        </w:rPr>
        <w:t>of the</w:t>
      </w:r>
      <w:r w:rsidRPr="0060778C">
        <w:rPr>
          <w:i/>
          <w:sz w:val="24"/>
          <w:szCs w:val="24"/>
        </w:rPr>
        <w:t xml:space="preserve"> Act</w:t>
      </w:r>
      <w:r w:rsidRPr="0060778C">
        <w:rPr>
          <w:sz w:val="24"/>
          <w:szCs w:val="24"/>
        </w:rPr>
        <w:t xml:space="preserve"> empowers the Commissioner to determine an individual's continuing e</w:t>
      </w:r>
      <w:r w:rsidRPr="0060778C" w:rsidR="00CC3300">
        <w:rPr>
          <w:sz w:val="24"/>
          <w:szCs w:val="24"/>
        </w:rPr>
        <w:t>ligibility for benefits.  In addition, t</w:t>
      </w:r>
      <w:r w:rsidRPr="0060778C">
        <w:rPr>
          <w:sz w:val="24"/>
          <w:szCs w:val="24"/>
        </w:rPr>
        <w:t xml:space="preserve">he U.S. District Court for the Western District of Oklahoma ordered the Commissioner to obtain universal, mandatory annual accountings from all representative payees </w:t>
      </w:r>
      <w:r w:rsidRPr="0060778C">
        <w:rPr>
          <w:i/>
          <w:sz w:val="24"/>
          <w:szCs w:val="24"/>
          <w:u w:val="single"/>
        </w:rPr>
        <w:t>(Jordan v. Heckler, Civ-79-994-W)</w:t>
      </w:r>
      <w:r w:rsidRPr="0060778C">
        <w:rPr>
          <w:i/>
          <w:sz w:val="24"/>
          <w:szCs w:val="24"/>
        </w:rPr>
        <w:t xml:space="preserve">.  </w:t>
      </w:r>
      <w:r w:rsidRPr="0060778C">
        <w:rPr>
          <w:sz w:val="24"/>
          <w:szCs w:val="24"/>
        </w:rPr>
        <w:t>Sections</w:t>
      </w:r>
      <w:r w:rsidRPr="0060778C">
        <w:rPr>
          <w:i/>
          <w:sz w:val="24"/>
          <w:szCs w:val="24"/>
        </w:rPr>
        <w:t xml:space="preserve"> 205(j) </w:t>
      </w:r>
      <w:r w:rsidRPr="0060778C">
        <w:rPr>
          <w:sz w:val="24"/>
          <w:szCs w:val="24"/>
        </w:rPr>
        <w:t>and</w:t>
      </w:r>
      <w:r w:rsidRPr="0060778C">
        <w:rPr>
          <w:i/>
          <w:sz w:val="24"/>
          <w:szCs w:val="24"/>
        </w:rPr>
        <w:t xml:space="preserve"> 1631(e)(1)(A) </w:t>
      </w:r>
      <w:r w:rsidRPr="0060778C" w:rsidR="000A3614">
        <w:rPr>
          <w:sz w:val="24"/>
          <w:szCs w:val="24"/>
        </w:rPr>
        <w:t xml:space="preserve">of the </w:t>
      </w:r>
      <w:r w:rsidRPr="0060778C" w:rsidR="000A3614">
        <w:rPr>
          <w:i/>
          <w:sz w:val="24"/>
          <w:szCs w:val="24"/>
        </w:rPr>
        <w:t>Act</w:t>
      </w:r>
      <w:r w:rsidRPr="0060778C" w:rsidR="000A3614">
        <w:rPr>
          <w:sz w:val="24"/>
          <w:szCs w:val="24"/>
        </w:rPr>
        <w:t xml:space="preserve"> </w:t>
      </w:r>
      <w:r w:rsidRPr="0060778C">
        <w:rPr>
          <w:snapToGrid w:val="0"/>
          <w:sz w:val="24"/>
          <w:szCs w:val="24"/>
          <w:lang w:eastAsia="en-US"/>
        </w:rPr>
        <w:t>establish the requirement for the agency to set up a monitoring system for representative payees</w:t>
      </w:r>
      <w:r w:rsidRPr="0060778C" w:rsidR="00CC3300">
        <w:rPr>
          <w:snapToGrid w:val="0"/>
          <w:sz w:val="24"/>
          <w:szCs w:val="24"/>
          <w:lang w:eastAsia="en-US"/>
        </w:rPr>
        <w:t>,</w:t>
      </w:r>
      <w:r w:rsidRPr="0060778C" w:rsidR="00605E26">
        <w:rPr>
          <w:snapToGrid w:val="0"/>
          <w:sz w:val="24"/>
          <w:szCs w:val="24"/>
          <w:lang w:eastAsia="en-US"/>
        </w:rPr>
        <w:t xml:space="preserve"> and Section </w:t>
      </w:r>
      <w:r w:rsidRPr="0060778C" w:rsidR="00605E26">
        <w:rPr>
          <w:i/>
          <w:snapToGrid w:val="0"/>
          <w:sz w:val="24"/>
          <w:szCs w:val="24"/>
          <w:lang w:eastAsia="en-US"/>
        </w:rPr>
        <w:t xml:space="preserve">102 </w:t>
      </w:r>
      <w:r w:rsidRPr="008D78D3" w:rsidR="00351889">
        <w:rPr>
          <w:iCs/>
          <w:snapToGrid w:val="0"/>
          <w:sz w:val="24"/>
          <w:szCs w:val="24"/>
          <w:lang w:eastAsia="en-US"/>
        </w:rPr>
        <w:t xml:space="preserve">of the </w:t>
      </w:r>
      <w:r w:rsidRPr="003E6F13" w:rsidR="00351889">
        <w:rPr>
          <w:i/>
          <w:snapToGrid w:val="0"/>
          <w:sz w:val="24"/>
          <w:szCs w:val="24"/>
          <w:lang w:eastAsia="en-US"/>
        </w:rPr>
        <w:t>Strengthening Protections for Social Security Beneficiaries Act of 2018</w:t>
      </w:r>
      <w:r w:rsidR="008D78D3">
        <w:rPr>
          <w:iCs/>
          <w:snapToGrid w:val="0"/>
          <w:sz w:val="24"/>
          <w:szCs w:val="24"/>
          <w:lang w:eastAsia="en-US"/>
        </w:rPr>
        <w:t xml:space="preserve"> (</w:t>
      </w:r>
      <w:r w:rsidRPr="008D78D3" w:rsidR="00351889">
        <w:rPr>
          <w:iCs/>
          <w:snapToGrid w:val="0"/>
          <w:sz w:val="24"/>
          <w:szCs w:val="24"/>
          <w:lang w:eastAsia="en-US"/>
        </w:rPr>
        <w:t>Public Law 115-165</w:t>
      </w:r>
      <w:r w:rsidR="008D78D3">
        <w:rPr>
          <w:iCs/>
          <w:snapToGrid w:val="0"/>
          <w:sz w:val="24"/>
          <w:szCs w:val="24"/>
          <w:lang w:eastAsia="en-US"/>
        </w:rPr>
        <w:t xml:space="preserve">) </w:t>
      </w:r>
      <w:r w:rsidRPr="008D78D3" w:rsidR="00605E26">
        <w:rPr>
          <w:iCs/>
          <w:snapToGrid w:val="0"/>
          <w:sz w:val="24"/>
          <w:szCs w:val="24"/>
          <w:lang w:eastAsia="en-US"/>
        </w:rPr>
        <w:t>amends</w:t>
      </w:r>
      <w:r w:rsidRPr="0060778C" w:rsidR="00605E26">
        <w:rPr>
          <w:snapToGrid w:val="0"/>
          <w:sz w:val="24"/>
          <w:szCs w:val="24"/>
          <w:lang w:eastAsia="en-US"/>
        </w:rPr>
        <w:t xml:space="preserve"> sections </w:t>
      </w:r>
      <w:r w:rsidRPr="0060778C" w:rsidR="00605E26">
        <w:rPr>
          <w:i/>
          <w:snapToGrid w:val="0"/>
          <w:sz w:val="24"/>
          <w:szCs w:val="24"/>
          <w:lang w:eastAsia="en-US"/>
        </w:rPr>
        <w:t>205(j)(3)</w:t>
      </w:r>
      <w:r w:rsidRPr="0060778C" w:rsidR="00605E26">
        <w:rPr>
          <w:snapToGrid w:val="0"/>
          <w:sz w:val="24"/>
          <w:szCs w:val="24"/>
          <w:lang w:eastAsia="en-US"/>
        </w:rPr>
        <w:t xml:space="preserve"> and </w:t>
      </w:r>
      <w:r w:rsidRPr="0060778C" w:rsidR="00605E26">
        <w:rPr>
          <w:i/>
          <w:snapToGrid w:val="0"/>
          <w:sz w:val="24"/>
          <w:szCs w:val="24"/>
          <w:lang w:eastAsia="en-US"/>
        </w:rPr>
        <w:t>1631(a)(2)(c)</w:t>
      </w:r>
      <w:r w:rsidRPr="0060778C" w:rsidR="00605E26">
        <w:rPr>
          <w:snapToGrid w:val="0"/>
          <w:sz w:val="24"/>
          <w:szCs w:val="24"/>
          <w:lang w:eastAsia="en-US"/>
        </w:rPr>
        <w:t xml:space="preserve"> </w:t>
      </w:r>
      <w:r w:rsidRPr="0060778C" w:rsidR="000A3614">
        <w:rPr>
          <w:snapToGrid w:val="0"/>
          <w:sz w:val="24"/>
          <w:szCs w:val="24"/>
          <w:lang w:eastAsia="en-US"/>
        </w:rPr>
        <w:t xml:space="preserve">of the </w:t>
      </w:r>
      <w:r w:rsidRPr="0060778C" w:rsidR="000A3614">
        <w:rPr>
          <w:i/>
          <w:snapToGrid w:val="0"/>
          <w:sz w:val="24"/>
          <w:szCs w:val="24"/>
          <w:lang w:eastAsia="en-US"/>
        </w:rPr>
        <w:t>Act</w:t>
      </w:r>
      <w:r w:rsidRPr="0060778C" w:rsidR="000A3614">
        <w:rPr>
          <w:snapToGrid w:val="0"/>
          <w:sz w:val="24"/>
          <w:szCs w:val="24"/>
          <w:lang w:eastAsia="en-US"/>
        </w:rPr>
        <w:t xml:space="preserve"> </w:t>
      </w:r>
      <w:r w:rsidR="009848F7">
        <w:rPr>
          <w:snapToGrid w:val="0"/>
          <w:sz w:val="24"/>
          <w:szCs w:val="24"/>
          <w:lang w:eastAsia="en-US"/>
        </w:rPr>
        <w:t>to exempt</w:t>
      </w:r>
      <w:r w:rsidRPr="0060778C" w:rsidR="00605E26">
        <w:rPr>
          <w:snapToGrid w:val="0"/>
          <w:sz w:val="24"/>
          <w:szCs w:val="24"/>
          <w:lang w:eastAsia="en-US"/>
        </w:rPr>
        <w:t xml:space="preserve"> certain rep</w:t>
      </w:r>
      <w:r>
        <w:rPr>
          <w:snapToGrid w:val="0"/>
          <w:sz w:val="24"/>
          <w:szCs w:val="24"/>
          <w:lang w:eastAsia="en-US"/>
        </w:rPr>
        <w:t>resentative</w:t>
      </w:r>
      <w:r w:rsidRPr="0060778C" w:rsidR="00605E26">
        <w:rPr>
          <w:snapToGrid w:val="0"/>
          <w:sz w:val="24"/>
          <w:szCs w:val="24"/>
          <w:lang w:eastAsia="en-US"/>
        </w:rPr>
        <w:t xml:space="preserve"> payee</w:t>
      </w:r>
      <w:r w:rsidR="003E6F13">
        <w:rPr>
          <w:snapToGrid w:val="0"/>
          <w:sz w:val="24"/>
          <w:szCs w:val="24"/>
          <w:lang w:eastAsia="en-US"/>
        </w:rPr>
        <w:t xml:space="preserve">s from the </w:t>
      </w:r>
      <w:r w:rsidRPr="0060778C" w:rsidR="00605E26">
        <w:rPr>
          <w:snapToGrid w:val="0"/>
          <w:sz w:val="24"/>
          <w:szCs w:val="24"/>
          <w:lang w:eastAsia="en-US"/>
        </w:rPr>
        <w:t xml:space="preserve">accounting requirements.  </w:t>
      </w:r>
    </w:p>
    <w:p w:rsidR="001D7013" w:rsidP="008E0947" w14:paraId="5A06A33A" w14:textId="77777777">
      <w:pPr>
        <w:pStyle w:val="ListParagraph"/>
        <w:tabs>
          <w:tab w:val="left" w:pos="-720"/>
        </w:tabs>
        <w:suppressAutoHyphens/>
        <w:ind w:left="1080"/>
        <w:rPr>
          <w:snapToGrid w:val="0"/>
          <w:sz w:val="24"/>
          <w:szCs w:val="24"/>
          <w:lang w:eastAsia="en-US"/>
        </w:rPr>
      </w:pPr>
    </w:p>
    <w:p w:rsidR="00DA5859" w:rsidP="008E0947" w14:paraId="1B2A7F5B" w14:textId="3FE2FB5E">
      <w:pPr>
        <w:pStyle w:val="ListParagraph"/>
        <w:tabs>
          <w:tab w:val="left" w:pos="-720"/>
        </w:tabs>
        <w:suppressAutoHyphens/>
        <w:ind w:left="1080"/>
        <w:rPr>
          <w:snapToGrid w:val="0"/>
          <w:sz w:val="24"/>
          <w:szCs w:val="24"/>
          <w:lang w:eastAsia="en-US"/>
        </w:rPr>
      </w:pPr>
      <w:r>
        <w:rPr>
          <w:snapToGrid w:val="0"/>
          <w:sz w:val="24"/>
          <w:szCs w:val="24"/>
          <w:lang w:eastAsia="en-US"/>
        </w:rPr>
        <w:t>In accordance with</w:t>
      </w:r>
      <w:r w:rsidR="001D7013">
        <w:rPr>
          <w:snapToGrid w:val="0"/>
          <w:sz w:val="24"/>
          <w:szCs w:val="24"/>
          <w:lang w:eastAsia="en-US"/>
        </w:rPr>
        <w:t xml:space="preserve"> these </w:t>
      </w:r>
      <w:r w:rsidRPr="0060778C">
        <w:rPr>
          <w:snapToGrid w:val="0"/>
          <w:sz w:val="24"/>
          <w:szCs w:val="24"/>
          <w:lang w:eastAsia="en-US"/>
        </w:rPr>
        <w:t xml:space="preserve">laws, the Social Security Administration (SSA) uses </w:t>
      </w:r>
      <w:r w:rsidR="00000BFD">
        <w:rPr>
          <w:snapToGrid w:val="0"/>
          <w:sz w:val="24"/>
          <w:szCs w:val="24"/>
          <w:lang w:eastAsia="en-US"/>
        </w:rPr>
        <w:t xml:space="preserve">the </w:t>
      </w:r>
      <w:r w:rsidRPr="008E6C93">
        <w:rPr>
          <w:snapToGrid w:val="0"/>
          <w:sz w:val="24"/>
          <w:szCs w:val="24"/>
          <w:lang w:eastAsia="en-US"/>
        </w:rPr>
        <w:t>SSA-7161-OCR-SM</w:t>
      </w:r>
      <w:r w:rsidR="006841A2">
        <w:rPr>
          <w:snapToGrid w:val="0"/>
          <w:sz w:val="24"/>
          <w:szCs w:val="24"/>
          <w:lang w:eastAsia="en-US"/>
        </w:rPr>
        <w:t>,</w:t>
      </w:r>
      <w:r w:rsidRPr="00F80693">
        <w:rPr>
          <w:i/>
          <w:iCs/>
          <w:snapToGrid w:val="0"/>
          <w:sz w:val="24"/>
          <w:szCs w:val="24"/>
          <w:lang w:eastAsia="en-US"/>
        </w:rPr>
        <w:t xml:space="preserve"> Report to United States Social Security Administration by Person Receiving Benefits for a Child or for an Adult Unable to Handle Funds</w:t>
      </w:r>
      <w:r w:rsidR="006841A2">
        <w:rPr>
          <w:i/>
          <w:iCs/>
          <w:snapToGrid w:val="0"/>
          <w:sz w:val="24"/>
          <w:szCs w:val="24"/>
          <w:lang w:eastAsia="en-US"/>
        </w:rPr>
        <w:t>,</w:t>
      </w:r>
      <w:r w:rsidRPr="0060778C">
        <w:rPr>
          <w:snapToGrid w:val="0"/>
          <w:sz w:val="24"/>
          <w:szCs w:val="24"/>
          <w:lang w:eastAsia="en-US"/>
        </w:rPr>
        <w:t xml:space="preserve"> and </w:t>
      </w:r>
      <w:r w:rsidR="00000BFD">
        <w:rPr>
          <w:snapToGrid w:val="0"/>
          <w:sz w:val="24"/>
          <w:szCs w:val="24"/>
          <w:lang w:eastAsia="en-US"/>
        </w:rPr>
        <w:t xml:space="preserve">the </w:t>
      </w:r>
      <w:r w:rsidRPr="008E6C93">
        <w:rPr>
          <w:snapToGrid w:val="0"/>
          <w:sz w:val="24"/>
          <w:szCs w:val="24"/>
          <w:lang w:eastAsia="en-US"/>
        </w:rPr>
        <w:t>SSA-7162-OCR-SM</w:t>
      </w:r>
      <w:r w:rsidRPr="00F80693">
        <w:rPr>
          <w:i/>
          <w:iCs/>
          <w:snapToGrid w:val="0"/>
          <w:sz w:val="24"/>
          <w:szCs w:val="24"/>
          <w:lang w:eastAsia="en-US"/>
        </w:rPr>
        <w:t>, Report to the United States Social Security Administration</w:t>
      </w:r>
      <w:r w:rsidR="00000BFD">
        <w:rPr>
          <w:i/>
          <w:iCs/>
          <w:snapToGrid w:val="0"/>
          <w:sz w:val="24"/>
          <w:szCs w:val="24"/>
          <w:lang w:eastAsia="en-US"/>
        </w:rPr>
        <w:t xml:space="preserve"> – </w:t>
      </w:r>
      <w:r w:rsidR="00194DF5">
        <w:rPr>
          <w:snapToGrid w:val="0"/>
          <w:sz w:val="24"/>
          <w:szCs w:val="24"/>
          <w:lang w:eastAsia="en-US"/>
        </w:rPr>
        <w:t xml:space="preserve">also known as our Foreign Enforcement Questionnaires (FEQ) – </w:t>
      </w:r>
      <w:r w:rsidRPr="0060778C">
        <w:rPr>
          <w:snapToGrid w:val="0"/>
          <w:sz w:val="24"/>
          <w:szCs w:val="24"/>
          <w:lang w:eastAsia="en-US"/>
        </w:rPr>
        <w:t>to collect th</w:t>
      </w:r>
      <w:r w:rsidR="00F80693">
        <w:rPr>
          <w:snapToGrid w:val="0"/>
          <w:sz w:val="24"/>
          <w:szCs w:val="24"/>
          <w:lang w:eastAsia="en-US"/>
        </w:rPr>
        <w:t>e relevant</w:t>
      </w:r>
      <w:r w:rsidRPr="0060778C">
        <w:rPr>
          <w:snapToGrid w:val="0"/>
          <w:sz w:val="24"/>
          <w:szCs w:val="24"/>
          <w:lang w:eastAsia="en-US"/>
        </w:rPr>
        <w:t xml:space="preserve"> information</w:t>
      </w:r>
      <w:r w:rsidRPr="0060778C" w:rsidR="00CC3300">
        <w:rPr>
          <w:snapToGrid w:val="0"/>
          <w:sz w:val="24"/>
          <w:szCs w:val="24"/>
          <w:lang w:eastAsia="en-US"/>
        </w:rPr>
        <w:t xml:space="preserve"> </w:t>
      </w:r>
      <w:r w:rsidR="002A3FDF">
        <w:rPr>
          <w:snapToGrid w:val="0"/>
          <w:sz w:val="24"/>
          <w:szCs w:val="24"/>
          <w:lang w:eastAsia="en-US"/>
        </w:rPr>
        <w:t xml:space="preserve">about beneficiaries </w:t>
      </w:r>
      <w:r w:rsidRPr="0060778C" w:rsidR="00CC3300">
        <w:rPr>
          <w:snapToGrid w:val="0"/>
          <w:sz w:val="24"/>
          <w:szCs w:val="24"/>
          <w:lang w:eastAsia="en-US"/>
        </w:rPr>
        <w:t>who live outside the United States</w:t>
      </w:r>
      <w:r w:rsidRPr="0060778C">
        <w:rPr>
          <w:snapToGrid w:val="0"/>
          <w:sz w:val="24"/>
          <w:szCs w:val="24"/>
          <w:lang w:eastAsia="en-US"/>
        </w:rPr>
        <w:t xml:space="preserve">.  </w:t>
      </w:r>
    </w:p>
    <w:p w:rsidR="00A954A0" w:rsidP="008E0947" w14:paraId="11898CE6" w14:textId="77777777">
      <w:pPr>
        <w:pStyle w:val="ListParagraph"/>
        <w:tabs>
          <w:tab w:val="left" w:pos="-720"/>
        </w:tabs>
        <w:suppressAutoHyphens/>
        <w:ind w:left="1080"/>
        <w:rPr>
          <w:snapToGrid w:val="0"/>
          <w:sz w:val="24"/>
          <w:szCs w:val="24"/>
          <w:lang w:eastAsia="en-US"/>
        </w:rPr>
      </w:pPr>
    </w:p>
    <w:p w:rsidR="008E0947" w:rsidRPr="0060778C" w:rsidP="00DA5859" w14:paraId="50E51675" w14:textId="77777777">
      <w:pPr>
        <w:pStyle w:val="ListParagraph"/>
        <w:numPr>
          <w:ilvl w:val="0"/>
          <w:numId w:val="21"/>
        </w:numPr>
        <w:tabs>
          <w:tab w:val="left" w:pos="-720"/>
        </w:tabs>
        <w:suppressAutoHyphens/>
        <w:rPr>
          <w:b/>
          <w:sz w:val="24"/>
          <w:szCs w:val="24"/>
        </w:rPr>
      </w:pPr>
      <w:r w:rsidRPr="0060778C">
        <w:rPr>
          <w:b/>
          <w:sz w:val="24"/>
          <w:szCs w:val="24"/>
        </w:rPr>
        <w:t>Description of Collection</w:t>
      </w:r>
      <w:r w:rsidRPr="0060778C">
        <w:rPr>
          <w:sz w:val="24"/>
          <w:szCs w:val="24"/>
        </w:rPr>
        <w:t xml:space="preserve"> </w:t>
      </w:r>
    </w:p>
    <w:p w:rsidR="007A5D91" w:rsidRPr="0060778C" w:rsidP="007A5D91" w14:paraId="4D2291A0" w14:textId="34B152A4">
      <w:pPr>
        <w:pStyle w:val="ListParagraph"/>
        <w:tabs>
          <w:tab w:val="left" w:pos="-720"/>
        </w:tabs>
        <w:suppressAutoHyphens/>
        <w:ind w:left="1080"/>
        <w:rPr>
          <w:sz w:val="24"/>
          <w:szCs w:val="24"/>
          <w:lang w:eastAsia="en-US"/>
        </w:rPr>
      </w:pPr>
      <w:r w:rsidRPr="0060778C">
        <w:rPr>
          <w:sz w:val="24"/>
          <w:szCs w:val="24"/>
          <w:lang w:eastAsia="en-US"/>
        </w:rPr>
        <w:t xml:space="preserve">U.S. citizens and noncitizens who meet certain eligibility requirements can receive Old-Age, Survivors and Disability Insurance </w:t>
      </w:r>
      <w:r w:rsidR="00C210EC">
        <w:rPr>
          <w:sz w:val="24"/>
          <w:szCs w:val="24"/>
          <w:lang w:eastAsia="en-US"/>
        </w:rPr>
        <w:t>(</w:t>
      </w:r>
      <w:r w:rsidR="00F558F6">
        <w:rPr>
          <w:sz w:val="24"/>
          <w:szCs w:val="24"/>
          <w:lang w:eastAsia="en-US"/>
        </w:rPr>
        <w:t xml:space="preserve">as defined under </w:t>
      </w:r>
      <w:r w:rsidR="00C210EC">
        <w:rPr>
          <w:sz w:val="24"/>
          <w:szCs w:val="24"/>
          <w:lang w:eastAsia="en-US"/>
        </w:rPr>
        <w:t>Title I</w:t>
      </w:r>
      <w:r w:rsidR="00F558F6">
        <w:rPr>
          <w:sz w:val="24"/>
          <w:szCs w:val="24"/>
          <w:lang w:eastAsia="en-US"/>
        </w:rPr>
        <w:t>I</w:t>
      </w:r>
      <w:r w:rsidR="00C210EC">
        <w:rPr>
          <w:sz w:val="24"/>
          <w:szCs w:val="24"/>
          <w:lang w:eastAsia="en-US"/>
        </w:rPr>
        <w:t xml:space="preserve"> of the Social Security Act) </w:t>
      </w:r>
      <w:r w:rsidR="00D165E4">
        <w:rPr>
          <w:sz w:val="24"/>
          <w:szCs w:val="24"/>
          <w:lang w:eastAsia="en-US"/>
        </w:rPr>
        <w:t>benefits</w:t>
      </w:r>
      <w:r w:rsidRPr="0060778C">
        <w:rPr>
          <w:sz w:val="24"/>
          <w:szCs w:val="24"/>
          <w:lang w:eastAsia="en-US"/>
        </w:rPr>
        <w:t xml:space="preserve"> while living abroad</w:t>
      </w:r>
      <w:r w:rsidRPr="0060778C" w:rsidR="00031F87">
        <w:rPr>
          <w:sz w:val="24"/>
          <w:szCs w:val="24"/>
          <w:lang w:eastAsia="en-US"/>
        </w:rPr>
        <w:t xml:space="preserve">.  </w:t>
      </w:r>
      <w:r w:rsidR="00FF5724">
        <w:rPr>
          <w:sz w:val="24"/>
          <w:szCs w:val="24"/>
          <w:lang w:eastAsia="en-US"/>
        </w:rPr>
        <w:t>As of SSA’s last review in 2025</w:t>
      </w:r>
      <w:r w:rsidR="00C50163">
        <w:rPr>
          <w:sz w:val="24"/>
          <w:szCs w:val="24"/>
          <w:lang w:eastAsia="en-US"/>
        </w:rPr>
        <w:t>,</w:t>
      </w:r>
      <w:r w:rsidRPr="002A63E3">
        <w:rPr>
          <w:sz w:val="24"/>
          <w:szCs w:val="24"/>
          <w:lang w:eastAsia="en-US"/>
        </w:rPr>
        <w:t xml:space="preserve"> there were approximately </w:t>
      </w:r>
      <w:r w:rsidR="00C00B2D">
        <w:rPr>
          <w:sz w:val="24"/>
          <w:szCs w:val="24"/>
          <w:lang w:eastAsia="en-US"/>
        </w:rPr>
        <w:t>841,60</w:t>
      </w:r>
      <w:r w:rsidR="00822812">
        <w:rPr>
          <w:sz w:val="24"/>
          <w:szCs w:val="24"/>
          <w:lang w:eastAsia="en-US"/>
        </w:rPr>
        <w:t>0</w:t>
      </w:r>
      <w:r w:rsidRPr="002A63E3">
        <w:rPr>
          <w:sz w:val="24"/>
          <w:szCs w:val="24"/>
          <w:lang w:eastAsia="en-US"/>
        </w:rPr>
        <w:t xml:space="preserve"> beneficiaries residing in foreign countries</w:t>
      </w:r>
      <w:r w:rsidR="005200F8">
        <w:rPr>
          <w:sz w:val="24"/>
          <w:szCs w:val="24"/>
          <w:lang w:eastAsia="en-US"/>
        </w:rPr>
        <w:t xml:space="preserve">.  They </w:t>
      </w:r>
      <w:r w:rsidRPr="002A63E3">
        <w:rPr>
          <w:sz w:val="24"/>
          <w:szCs w:val="24"/>
          <w:lang w:eastAsia="en-US"/>
        </w:rPr>
        <w:t>receiv</w:t>
      </w:r>
      <w:r w:rsidR="005200F8">
        <w:rPr>
          <w:sz w:val="24"/>
          <w:szCs w:val="24"/>
          <w:lang w:eastAsia="en-US"/>
        </w:rPr>
        <w:t xml:space="preserve">ed </w:t>
      </w:r>
      <w:r w:rsidRPr="002A63E3">
        <w:rPr>
          <w:sz w:val="24"/>
          <w:szCs w:val="24"/>
          <w:lang w:eastAsia="en-US"/>
        </w:rPr>
        <w:t>about $</w:t>
      </w:r>
      <w:r w:rsidR="00C00B2D">
        <w:rPr>
          <w:sz w:val="24"/>
          <w:szCs w:val="24"/>
          <w:lang w:eastAsia="en-US"/>
        </w:rPr>
        <w:t>677</w:t>
      </w:r>
      <w:r w:rsidRPr="002A63E3">
        <w:rPr>
          <w:sz w:val="24"/>
          <w:szCs w:val="24"/>
          <w:lang w:eastAsia="en-US"/>
        </w:rPr>
        <w:t xml:space="preserve"> million in monthly benefit payments (about $</w:t>
      </w:r>
      <w:r w:rsidR="00C00B2D">
        <w:rPr>
          <w:sz w:val="24"/>
          <w:szCs w:val="24"/>
          <w:lang w:eastAsia="en-US"/>
        </w:rPr>
        <w:t>8.1</w:t>
      </w:r>
      <w:r w:rsidRPr="002A63E3">
        <w:rPr>
          <w:sz w:val="24"/>
          <w:szCs w:val="24"/>
          <w:lang w:eastAsia="en-US"/>
        </w:rPr>
        <w:t xml:space="preserve"> billion annually)</w:t>
      </w:r>
      <w:r w:rsidRPr="002A63E3" w:rsidR="00031F87">
        <w:rPr>
          <w:sz w:val="24"/>
          <w:szCs w:val="24"/>
          <w:lang w:eastAsia="en-US"/>
        </w:rPr>
        <w:t xml:space="preserve">.  </w:t>
      </w:r>
      <w:r w:rsidR="00FF5724">
        <w:rPr>
          <w:sz w:val="24"/>
          <w:szCs w:val="24"/>
          <w:lang w:eastAsia="en-US"/>
        </w:rPr>
        <w:t>In addition,</w:t>
      </w:r>
      <w:r w:rsidRPr="002A63E3">
        <w:rPr>
          <w:sz w:val="24"/>
          <w:szCs w:val="24"/>
          <w:lang w:eastAsia="en-US"/>
        </w:rPr>
        <w:t xml:space="preserve"> representative payees were serving about </w:t>
      </w:r>
      <w:r w:rsidR="00562B4C">
        <w:rPr>
          <w:sz w:val="24"/>
          <w:szCs w:val="24"/>
          <w:lang w:eastAsia="en-US"/>
        </w:rPr>
        <w:t>25,5</w:t>
      </w:r>
      <w:r w:rsidR="00822812">
        <w:rPr>
          <w:sz w:val="24"/>
          <w:szCs w:val="24"/>
          <w:lang w:eastAsia="en-US"/>
        </w:rPr>
        <w:t>50</w:t>
      </w:r>
      <w:r w:rsidRPr="002A63E3">
        <w:rPr>
          <w:sz w:val="24"/>
          <w:szCs w:val="24"/>
          <w:lang w:eastAsia="en-US"/>
        </w:rPr>
        <w:t xml:space="preserve"> beneficiaries residing in foreign countries.</w:t>
      </w:r>
      <w:r w:rsidRPr="0060778C">
        <w:rPr>
          <w:sz w:val="24"/>
          <w:szCs w:val="24"/>
          <w:lang w:eastAsia="en-US"/>
        </w:rPr>
        <w:t xml:space="preserve"> </w:t>
      </w:r>
    </w:p>
    <w:p w:rsidR="007A5D91" w:rsidRPr="0060778C" w:rsidP="007A5D91" w14:paraId="21037521" w14:textId="77777777">
      <w:pPr>
        <w:pStyle w:val="ListParagraph"/>
        <w:tabs>
          <w:tab w:val="left" w:pos="-720"/>
        </w:tabs>
        <w:suppressAutoHyphens/>
        <w:ind w:left="1080"/>
        <w:rPr>
          <w:sz w:val="24"/>
          <w:szCs w:val="24"/>
          <w:lang w:eastAsia="en-US"/>
        </w:rPr>
      </w:pPr>
    </w:p>
    <w:p w:rsidR="0001637A" w:rsidP="008E0947" w14:paraId="1F828E6F" w14:textId="78ACA45F">
      <w:pPr>
        <w:pStyle w:val="ListParagraph"/>
        <w:tabs>
          <w:tab w:val="left" w:pos="-720"/>
        </w:tabs>
        <w:suppressAutoHyphens/>
        <w:ind w:left="1080"/>
        <w:rPr>
          <w:sz w:val="24"/>
          <w:szCs w:val="24"/>
          <w:lang w:eastAsia="en-US"/>
        </w:rPr>
      </w:pPr>
      <w:r>
        <w:rPr>
          <w:sz w:val="24"/>
          <w:szCs w:val="24"/>
          <w:lang w:eastAsia="en-US"/>
        </w:rPr>
        <w:t>We</w:t>
      </w:r>
      <w:r w:rsidRPr="0060778C" w:rsidR="007A5D91">
        <w:rPr>
          <w:sz w:val="24"/>
          <w:szCs w:val="24"/>
          <w:lang w:eastAsia="en-US"/>
        </w:rPr>
        <w:t xml:space="preserve"> </w:t>
      </w:r>
      <w:r w:rsidR="00F74911">
        <w:rPr>
          <w:sz w:val="24"/>
          <w:szCs w:val="24"/>
          <w:lang w:eastAsia="en-US"/>
        </w:rPr>
        <w:t xml:space="preserve">regularly mail the </w:t>
      </w:r>
      <w:r w:rsidR="00194DF5">
        <w:rPr>
          <w:sz w:val="24"/>
          <w:szCs w:val="24"/>
          <w:lang w:eastAsia="en-US"/>
        </w:rPr>
        <w:t>form</w:t>
      </w:r>
      <w:r w:rsidR="00000BFD">
        <w:rPr>
          <w:sz w:val="24"/>
          <w:szCs w:val="24"/>
          <w:lang w:eastAsia="en-US"/>
        </w:rPr>
        <w:t xml:space="preserve"> </w:t>
      </w:r>
      <w:r w:rsidRPr="0060778C" w:rsidR="007A5D91">
        <w:rPr>
          <w:sz w:val="24"/>
          <w:szCs w:val="24"/>
          <w:lang w:eastAsia="en-US"/>
        </w:rPr>
        <w:t xml:space="preserve">to beneficiaries </w:t>
      </w:r>
      <w:r w:rsidR="00E247FD">
        <w:rPr>
          <w:sz w:val="24"/>
          <w:szCs w:val="24"/>
          <w:lang w:eastAsia="en-US"/>
        </w:rPr>
        <w:t>living abroad</w:t>
      </w:r>
      <w:r w:rsidR="003832C7">
        <w:rPr>
          <w:sz w:val="24"/>
          <w:szCs w:val="24"/>
          <w:lang w:eastAsia="en-US"/>
        </w:rPr>
        <w:t xml:space="preserve"> (or their representative payees)</w:t>
      </w:r>
      <w:r w:rsidR="00E247FD">
        <w:rPr>
          <w:sz w:val="24"/>
          <w:szCs w:val="24"/>
          <w:lang w:eastAsia="en-US"/>
        </w:rPr>
        <w:t xml:space="preserve"> </w:t>
      </w:r>
      <w:r w:rsidRPr="0060778C" w:rsidR="007A5D91">
        <w:rPr>
          <w:sz w:val="24"/>
          <w:szCs w:val="24"/>
          <w:lang w:eastAsia="en-US"/>
        </w:rPr>
        <w:t xml:space="preserve">to ensure </w:t>
      </w:r>
      <w:r w:rsidR="00E247FD">
        <w:rPr>
          <w:sz w:val="24"/>
          <w:szCs w:val="24"/>
          <w:lang w:eastAsia="en-US"/>
        </w:rPr>
        <w:t>th</w:t>
      </w:r>
      <w:r w:rsidR="003832C7">
        <w:rPr>
          <w:sz w:val="24"/>
          <w:szCs w:val="24"/>
          <w:lang w:eastAsia="en-US"/>
        </w:rPr>
        <w:t xml:space="preserve">ey </w:t>
      </w:r>
      <w:r w:rsidRPr="0060778C" w:rsidR="007A5D91">
        <w:rPr>
          <w:sz w:val="24"/>
          <w:szCs w:val="24"/>
          <w:lang w:eastAsia="en-US"/>
        </w:rPr>
        <w:t xml:space="preserve">are alive and to determine whether there have been any </w:t>
      </w:r>
      <w:r w:rsidRPr="005F18D9" w:rsidR="005F18D9">
        <w:rPr>
          <w:sz w:val="24"/>
          <w:szCs w:val="24"/>
          <w:lang w:eastAsia="en-US"/>
        </w:rPr>
        <w:t>events that may result in suspension, reduction and termination of benefits</w:t>
      </w:r>
      <w:r w:rsidR="0098098A">
        <w:rPr>
          <w:sz w:val="24"/>
          <w:szCs w:val="24"/>
          <w:lang w:eastAsia="en-US"/>
        </w:rPr>
        <w:t xml:space="preserve"> (such as a</w:t>
      </w:r>
      <w:r w:rsidRPr="005F18D9" w:rsidR="005F18D9">
        <w:rPr>
          <w:sz w:val="24"/>
          <w:szCs w:val="24"/>
          <w:lang w:eastAsia="en-US"/>
        </w:rPr>
        <w:t xml:space="preserve"> change in citizenship, </w:t>
      </w:r>
      <w:r w:rsidR="00A55311">
        <w:rPr>
          <w:sz w:val="24"/>
          <w:szCs w:val="24"/>
          <w:lang w:eastAsia="en-US"/>
        </w:rPr>
        <w:t>work</w:t>
      </w:r>
      <w:r w:rsidR="00E77424">
        <w:rPr>
          <w:sz w:val="24"/>
          <w:szCs w:val="24"/>
          <w:lang w:eastAsia="en-US"/>
        </w:rPr>
        <w:t xml:space="preserve"> status</w:t>
      </w:r>
      <w:r w:rsidR="00A55311">
        <w:rPr>
          <w:sz w:val="24"/>
          <w:szCs w:val="24"/>
          <w:lang w:eastAsia="en-US"/>
        </w:rPr>
        <w:t xml:space="preserve">, </w:t>
      </w:r>
      <w:r w:rsidRPr="005F18D9" w:rsidR="005F18D9">
        <w:rPr>
          <w:sz w:val="24"/>
          <w:szCs w:val="24"/>
          <w:lang w:eastAsia="en-US"/>
        </w:rPr>
        <w:t xml:space="preserve">marriage, </w:t>
      </w:r>
      <w:r w:rsidR="0098098A">
        <w:rPr>
          <w:sz w:val="24"/>
          <w:szCs w:val="24"/>
          <w:lang w:eastAsia="en-US"/>
        </w:rPr>
        <w:t xml:space="preserve">or </w:t>
      </w:r>
      <w:r w:rsidRPr="005F18D9" w:rsidR="005F18D9">
        <w:rPr>
          <w:sz w:val="24"/>
          <w:szCs w:val="24"/>
          <w:lang w:eastAsia="en-US"/>
        </w:rPr>
        <w:t>divorce</w:t>
      </w:r>
      <w:r w:rsidR="0098098A">
        <w:rPr>
          <w:sz w:val="24"/>
          <w:szCs w:val="24"/>
          <w:lang w:eastAsia="en-US"/>
        </w:rPr>
        <w:t>)</w:t>
      </w:r>
      <w:r w:rsidRPr="0060778C" w:rsidR="007A5D91">
        <w:rPr>
          <w:sz w:val="24"/>
          <w:szCs w:val="24"/>
          <w:lang w:eastAsia="en-US"/>
        </w:rPr>
        <w:t xml:space="preserve">. </w:t>
      </w:r>
      <w:r w:rsidR="0098098A">
        <w:rPr>
          <w:sz w:val="24"/>
          <w:szCs w:val="24"/>
          <w:lang w:eastAsia="en-US"/>
        </w:rPr>
        <w:t xml:space="preserve"> </w:t>
      </w:r>
      <w:r w:rsidRPr="0060778C" w:rsidR="007A5D91">
        <w:rPr>
          <w:sz w:val="24"/>
          <w:szCs w:val="24"/>
          <w:lang w:eastAsia="en-US"/>
        </w:rPr>
        <w:t xml:space="preserve">The </w:t>
      </w:r>
      <w:r w:rsidR="00FC773F">
        <w:rPr>
          <w:sz w:val="24"/>
          <w:szCs w:val="24"/>
          <w:lang w:eastAsia="en-US"/>
        </w:rPr>
        <w:t>a</w:t>
      </w:r>
      <w:r w:rsidRPr="0060778C" w:rsidR="007A5D91">
        <w:rPr>
          <w:sz w:val="24"/>
          <w:szCs w:val="24"/>
          <w:lang w:eastAsia="en-US"/>
        </w:rPr>
        <w:t>gency sends beneficiaries receiving their own benefit payments</w:t>
      </w:r>
      <w:r w:rsidR="00FC773F">
        <w:rPr>
          <w:sz w:val="24"/>
          <w:szCs w:val="24"/>
          <w:lang w:eastAsia="en-US"/>
        </w:rPr>
        <w:t xml:space="preserve"> an </w:t>
      </w:r>
      <w:r w:rsidRPr="0060778C" w:rsidR="007A5D91">
        <w:rPr>
          <w:sz w:val="24"/>
          <w:szCs w:val="24"/>
          <w:lang w:eastAsia="en-US"/>
        </w:rPr>
        <w:t xml:space="preserve">SSA-7162 annually or biennially, depending on their age, country of residence, and benefit type. </w:t>
      </w:r>
      <w:r w:rsidR="00C83543">
        <w:rPr>
          <w:sz w:val="24"/>
          <w:szCs w:val="24"/>
          <w:lang w:eastAsia="en-US"/>
        </w:rPr>
        <w:t xml:space="preserve"> </w:t>
      </w:r>
      <w:r w:rsidR="003C7E4F">
        <w:rPr>
          <w:sz w:val="24"/>
          <w:szCs w:val="24"/>
          <w:lang w:eastAsia="en-US"/>
        </w:rPr>
        <w:t>Beneficiaries</w:t>
      </w:r>
      <w:r w:rsidR="008F519E">
        <w:rPr>
          <w:sz w:val="24"/>
          <w:szCs w:val="24"/>
          <w:lang w:eastAsia="en-US"/>
        </w:rPr>
        <w:t xml:space="preserve"> whose circumstances are more likely to change</w:t>
      </w:r>
      <w:r w:rsidR="00DF3742">
        <w:rPr>
          <w:sz w:val="24"/>
          <w:szCs w:val="24"/>
          <w:lang w:eastAsia="en-US"/>
        </w:rPr>
        <w:t xml:space="preserve"> or </w:t>
      </w:r>
      <w:r w:rsidR="00BD525A">
        <w:rPr>
          <w:sz w:val="24"/>
          <w:szCs w:val="24"/>
          <w:lang w:eastAsia="en-US"/>
        </w:rPr>
        <w:t xml:space="preserve">who may </w:t>
      </w:r>
      <w:r w:rsidR="00290CD7">
        <w:rPr>
          <w:sz w:val="24"/>
          <w:szCs w:val="24"/>
          <w:lang w:eastAsia="en-US"/>
        </w:rPr>
        <w:t xml:space="preserve">face greater </w:t>
      </w:r>
      <w:r w:rsidR="003C7E4F">
        <w:rPr>
          <w:sz w:val="24"/>
          <w:szCs w:val="24"/>
          <w:lang w:eastAsia="en-US"/>
        </w:rPr>
        <w:t xml:space="preserve">challenges with </w:t>
      </w:r>
      <w:r w:rsidR="00C255F1">
        <w:rPr>
          <w:sz w:val="24"/>
          <w:szCs w:val="24"/>
          <w:lang w:eastAsia="en-US"/>
        </w:rPr>
        <w:t>timely</w:t>
      </w:r>
      <w:r w:rsidR="003C7E4F">
        <w:rPr>
          <w:sz w:val="24"/>
          <w:szCs w:val="24"/>
          <w:lang w:eastAsia="en-US"/>
        </w:rPr>
        <w:t xml:space="preserve"> </w:t>
      </w:r>
      <w:r w:rsidR="00C255F1">
        <w:rPr>
          <w:sz w:val="24"/>
          <w:szCs w:val="24"/>
          <w:lang w:eastAsia="en-US"/>
        </w:rPr>
        <w:t>report</w:t>
      </w:r>
      <w:r w:rsidR="003C7E4F">
        <w:rPr>
          <w:sz w:val="24"/>
          <w:szCs w:val="24"/>
          <w:lang w:eastAsia="en-US"/>
        </w:rPr>
        <w:t>ing</w:t>
      </w:r>
      <w:r w:rsidR="001B1B7D">
        <w:rPr>
          <w:sz w:val="24"/>
          <w:szCs w:val="24"/>
          <w:lang w:eastAsia="en-US"/>
        </w:rPr>
        <w:t xml:space="preserve"> receive the form annually</w:t>
      </w:r>
      <w:r w:rsidR="005439A6">
        <w:rPr>
          <w:sz w:val="24"/>
          <w:szCs w:val="24"/>
          <w:lang w:eastAsia="en-US"/>
        </w:rPr>
        <w:t>,</w:t>
      </w:r>
      <w:r w:rsidR="001B1B7D">
        <w:rPr>
          <w:sz w:val="24"/>
          <w:szCs w:val="24"/>
          <w:lang w:eastAsia="en-US"/>
        </w:rPr>
        <w:t xml:space="preserve"> whereas those whose circumstances are less likely to change receive it biennially.  </w:t>
      </w:r>
    </w:p>
    <w:p w:rsidR="0001637A" w:rsidP="008E0947" w14:paraId="65B6FBE1" w14:textId="77777777">
      <w:pPr>
        <w:pStyle w:val="ListParagraph"/>
        <w:tabs>
          <w:tab w:val="left" w:pos="-720"/>
        </w:tabs>
        <w:suppressAutoHyphens/>
        <w:ind w:left="1080"/>
        <w:rPr>
          <w:sz w:val="24"/>
          <w:szCs w:val="24"/>
          <w:lang w:eastAsia="en-US"/>
        </w:rPr>
      </w:pPr>
    </w:p>
    <w:p w:rsidR="006D7529" w:rsidRPr="0060778C" w:rsidP="006D7529" w14:paraId="62099026" w14:textId="2826B290">
      <w:pPr>
        <w:pStyle w:val="ListParagraph"/>
        <w:tabs>
          <w:tab w:val="left" w:pos="-720"/>
        </w:tabs>
        <w:suppressAutoHyphens/>
        <w:ind w:left="1080"/>
        <w:rPr>
          <w:sz w:val="24"/>
          <w:szCs w:val="24"/>
        </w:rPr>
      </w:pPr>
      <w:r>
        <w:rPr>
          <w:sz w:val="24"/>
          <w:szCs w:val="24"/>
          <w:lang w:eastAsia="en-US"/>
        </w:rPr>
        <w:t>W</w:t>
      </w:r>
      <w:r>
        <w:rPr>
          <w:sz w:val="24"/>
          <w:szCs w:val="24"/>
          <w:lang w:eastAsia="en-US"/>
        </w:rPr>
        <w:t>e</w:t>
      </w:r>
      <w:r w:rsidRPr="0060778C">
        <w:rPr>
          <w:sz w:val="24"/>
          <w:szCs w:val="24"/>
          <w:lang w:eastAsia="en-US"/>
        </w:rPr>
        <w:t xml:space="preserve"> </w:t>
      </w:r>
      <w:r>
        <w:rPr>
          <w:sz w:val="24"/>
          <w:szCs w:val="24"/>
          <w:lang w:eastAsia="en-US"/>
        </w:rPr>
        <w:t xml:space="preserve">annually </w:t>
      </w:r>
      <w:r w:rsidRPr="0060778C">
        <w:rPr>
          <w:sz w:val="24"/>
          <w:szCs w:val="24"/>
          <w:lang w:eastAsia="en-US"/>
        </w:rPr>
        <w:t xml:space="preserve">send representative payees of beneficiaries living abroad </w:t>
      </w:r>
      <w:r>
        <w:rPr>
          <w:sz w:val="24"/>
          <w:szCs w:val="24"/>
          <w:lang w:eastAsia="en-US"/>
        </w:rPr>
        <w:t xml:space="preserve">an SSA-7161 </w:t>
      </w:r>
      <w:r w:rsidRPr="0060778C">
        <w:rPr>
          <w:sz w:val="24"/>
          <w:szCs w:val="24"/>
          <w:lang w:eastAsia="en-US"/>
        </w:rPr>
        <w:t>to complete on behalf of the overseas beneficiar</w:t>
      </w:r>
      <w:r>
        <w:rPr>
          <w:sz w:val="24"/>
          <w:szCs w:val="24"/>
          <w:lang w:eastAsia="en-US"/>
        </w:rPr>
        <w:t xml:space="preserve">y </w:t>
      </w:r>
      <w:r w:rsidRPr="0060778C">
        <w:rPr>
          <w:sz w:val="24"/>
          <w:szCs w:val="24"/>
          <w:lang w:eastAsia="en-US"/>
        </w:rPr>
        <w:t>they serve.</w:t>
      </w:r>
      <w:r>
        <w:rPr>
          <w:sz w:val="24"/>
          <w:szCs w:val="24"/>
          <w:lang w:eastAsia="en-US"/>
        </w:rPr>
        <w:t xml:space="preserve">  In addition to the information the SSA-7162 collects, the SSA-7161 also </w:t>
      </w:r>
      <w:r w:rsidRPr="0060778C">
        <w:rPr>
          <w:sz w:val="24"/>
          <w:szCs w:val="24"/>
        </w:rPr>
        <w:t xml:space="preserve">collects </w:t>
      </w:r>
      <w:r>
        <w:rPr>
          <w:sz w:val="24"/>
          <w:szCs w:val="24"/>
        </w:rPr>
        <w:t xml:space="preserve">annual </w:t>
      </w:r>
      <w:r w:rsidRPr="0060778C">
        <w:rPr>
          <w:sz w:val="24"/>
          <w:szCs w:val="24"/>
        </w:rPr>
        <w:t>representative payee accounting information</w:t>
      </w:r>
      <w:r>
        <w:rPr>
          <w:sz w:val="24"/>
          <w:szCs w:val="24"/>
        </w:rPr>
        <w:t>, which</w:t>
      </w:r>
      <w:r w:rsidR="00031F87">
        <w:rPr>
          <w:sz w:val="24"/>
          <w:szCs w:val="24"/>
        </w:rPr>
        <w:t xml:space="preserve"> statutorily requires SSA to collect </w:t>
      </w:r>
      <w:r>
        <w:rPr>
          <w:sz w:val="24"/>
          <w:szCs w:val="24"/>
        </w:rPr>
        <w:t>for fraud prevention purposes</w:t>
      </w:r>
      <w:r w:rsidRPr="0060778C" w:rsidR="00031F87">
        <w:rPr>
          <w:sz w:val="24"/>
          <w:szCs w:val="24"/>
        </w:rPr>
        <w:t>.</w:t>
      </w:r>
      <w:r w:rsidRPr="00A9461C" w:rsidR="00031F87">
        <w:rPr>
          <w:sz w:val="24"/>
          <w:szCs w:val="24"/>
        </w:rPr>
        <w:t xml:space="preserve">  </w:t>
      </w:r>
      <w:r w:rsidR="00A912E5">
        <w:rPr>
          <w:sz w:val="24"/>
          <w:szCs w:val="24"/>
        </w:rPr>
        <w:t>[</w:t>
      </w:r>
      <w:r w:rsidRPr="0060778C">
        <w:rPr>
          <w:sz w:val="24"/>
          <w:szCs w:val="24"/>
        </w:rPr>
        <w:t>Information collections related to U</w:t>
      </w:r>
      <w:r>
        <w:rPr>
          <w:sz w:val="24"/>
          <w:szCs w:val="24"/>
        </w:rPr>
        <w:t>.</w:t>
      </w:r>
      <w:r w:rsidRPr="0060778C">
        <w:rPr>
          <w:sz w:val="24"/>
          <w:szCs w:val="24"/>
        </w:rPr>
        <w:t>S</w:t>
      </w:r>
      <w:r>
        <w:rPr>
          <w:sz w:val="24"/>
          <w:szCs w:val="24"/>
        </w:rPr>
        <w:t>.</w:t>
      </w:r>
      <w:r w:rsidRPr="0060778C">
        <w:rPr>
          <w:sz w:val="24"/>
          <w:szCs w:val="24"/>
        </w:rPr>
        <w:t>-based representative payees are covered under separate OMB control numbers</w:t>
      </w:r>
      <w:r>
        <w:rPr>
          <w:sz w:val="24"/>
          <w:szCs w:val="24"/>
        </w:rPr>
        <w:t>:</w:t>
      </w:r>
      <w:r w:rsidRPr="0060778C">
        <w:rPr>
          <w:sz w:val="24"/>
          <w:szCs w:val="24"/>
        </w:rPr>
        <w:t xml:space="preserve"> OMB 0960-0068 (includes the SSA-623, SSA-6230 and SSA-6234), OMB 0960-0576 (includes SSA-6233)</w:t>
      </w:r>
      <w:r>
        <w:rPr>
          <w:sz w:val="24"/>
          <w:szCs w:val="24"/>
        </w:rPr>
        <w:t>,</w:t>
      </w:r>
      <w:r w:rsidRPr="0060778C">
        <w:rPr>
          <w:sz w:val="24"/>
          <w:szCs w:val="24"/>
        </w:rPr>
        <w:t xml:space="preserve"> and OMB 0960-0069 (includes the SSA-624).</w:t>
      </w:r>
      <w:r w:rsidR="00A912E5">
        <w:rPr>
          <w:sz w:val="24"/>
          <w:szCs w:val="24"/>
        </w:rPr>
        <w:t>]</w:t>
      </w:r>
    </w:p>
    <w:p w:rsidR="006D7529" w:rsidP="008E0947" w14:paraId="454CA36C" w14:textId="77777777">
      <w:pPr>
        <w:pStyle w:val="ListParagraph"/>
        <w:tabs>
          <w:tab w:val="left" w:pos="-720"/>
        </w:tabs>
        <w:suppressAutoHyphens/>
        <w:ind w:left="1080"/>
        <w:rPr>
          <w:sz w:val="24"/>
          <w:szCs w:val="24"/>
          <w:lang w:eastAsia="en-US"/>
        </w:rPr>
      </w:pPr>
    </w:p>
    <w:p w:rsidR="00301F0B" w:rsidP="008E0947" w14:paraId="44BF9501" w14:textId="484ED671">
      <w:pPr>
        <w:pStyle w:val="ListParagraph"/>
        <w:tabs>
          <w:tab w:val="left" w:pos="-720"/>
        </w:tabs>
        <w:suppressAutoHyphens/>
        <w:ind w:left="1080"/>
        <w:rPr>
          <w:sz w:val="24"/>
          <w:szCs w:val="24"/>
          <w:lang w:eastAsia="en-US"/>
        </w:rPr>
      </w:pPr>
      <w:r>
        <w:rPr>
          <w:sz w:val="24"/>
          <w:szCs w:val="24"/>
          <w:lang w:eastAsia="en-US"/>
        </w:rPr>
        <w:t>SSA</w:t>
      </w:r>
      <w:r w:rsidR="006D7529">
        <w:rPr>
          <w:sz w:val="24"/>
          <w:szCs w:val="24"/>
          <w:lang w:eastAsia="en-US"/>
        </w:rPr>
        <w:t xml:space="preserve"> mail</w:t>
      </w:r>
      <w:r>
        <w:rPr>
          <w:sz w:val="24"/>
          <w:szCs w:val="24"/>
          <w:lang w:eastAsia="en-US"/>
        </w:rPr>
        <w:t>s</w:t>
      </w:r>
      <w:r w:rsidR="006D7529">
        <w:rPr>
          <w:sz w:val="24"/>
          <w:szCs w:val="24"/>
          <w:lang w:eastAsia="en-US"/>
        </w:rPr>
        <w:t xml:space="preserve"> </w:t>
      </w:r>
      <w:r w:rsidR="00F50106">
        <w:rPr>
          <w:sz w:val="24"/>
          <w:szCs w:val="24"/>
          <w:lang w:eastAsia="en-US"/>
        </w:rPr>
        <w:t xml:space="preserve">the </w:t>
      </w:r>
      <w:r w:rsidR="006D7529">
        <w:rPr>
          <w:sz w:val="24"/>
          <w:szCs w:val="24"/>
          <w:lang w:eastAsia="en-US"/>
        </w:rPr>
        <w:t xml:space="preserve">forms on an annual cycle.  First, </w:t>
      </w:r>
      <w:r w:rsidR="00A912E5">
        <w:rPr>
          <w:sz w:val="24"/>
          <w:szCs w:val="24"/>
          <w:lang w:eastAsia="en-US"/>
        </w:rPr>
        <w:t xml:space="preserve">in June or July of each year, </w:t>
      </w:r>
      <w:r w:rsidR="006D7529">
        <w:rPr>
          <w:sz w:val="24"/>
          <w:szCs w:val="24"/>
          <w:lang w:eastAsia="en-US"/>
        </w:rPr>
        <w:t>we</w:t>
      </w:r>
      <w:r w:rsidR="0001637A">
        <w:rPr>
          <w:sz w:val="24"/>
          <w:szCs w:val="24"/>
          <w:lang w:eastAsia="en-US"/>
        </w:rPr>
        <w:t xml:space="preserve"> send an initial copy</w:t>
      </w:r>
      <w:r w:rsidR="00C7198E">
        <w:rPr>
          <w:sz w:val="24"/>
          <w:szCs w:val="24"/>
          <w:lang w:eastAsia="en-US"/>
        </w:rPr>
        <w:t xml:space="preserve"> of the </w:t>
      </w:r>
      <w:r w:rsidR="002F0875">
        <w:rPr>
          <w:sz w:val="24"/>
          <w:szCs w:val="24"/>
          <w:lang w:eastAsia="en-US"/>
        </w:rPr>
        <w:t>form</w:t>
      </w:r>
      <w:r w:rsidR="0001637A">
        <w:rPr>
          <w:sz w:val="24"/>
          <w:szCs w:val="24"/>
          <w:lang w:eastAsia="en-US"/>
        </w:rPr>
        <w:t xml:space="preserve">, </w:t>
      </w:r>
      <w:r w:rsidR="002F0875">
        <w:rPr>
          <w:sz w:val="24"/>
          <w:szCs w:val="24"/>
          <w:lang w:eastAsia="en-US"/>
        </w:rPr>
        <w:t xml:space="preserve">along </w:t>
      </w:r>
      <w:r w:rsidR="0001637A">
        <w:rPr>
          <w:sz w:val="24"/>
          <w:szCs w:val="24"/>
          <w:lang w:eastAsia="en-US"/>
        </w:rPr>
        <w:t xml:space="preserve">with </w:t>
      </w:r>
      <w:r w:rsidR="00C7198E">
        <w:rPr>
          <w:sz w:val="24"/>
          <w:szCs w:val="24"/>
          <w:lang w:eastAsia="en-US"/>
        </w:rPr>
        <w:t xml:space="preserve">instructions </w:t>
      </w:r>
      <w:r>
        <w:rPr>
          <w:sz w:val="24"/>
          <w:szCs w:val="24"/>
          <w:lang w:eastAsia="en-US"/>
        </w:rPr>
        <w:t xml:space="preserve">that state SSA requires the representative payee to complete and return the form within </w:t>
      </w:r>
      <w:r w:rsidR="00136298">
        <w:rPr>
          <w:sz w:val="24"/>
          <w:szCs w:val="24"/>
          <w:lang w:eastAsia="en-US"/>
        </w:rPr>
        <w:t>60 days</w:t>
      </w:r>
      <w:r w:rsidR="00C7198E">
        <w:rPr>
          <w:sz w:val="24"/>
          <w:szCs w:val="24"/>
          <w:lang w:eastAsia="en-US"/>
        </w:rPr>
        <w:t xml:space="preserve">.  </w:t>
      </w:r>
      <w:r w:rsidR="00A912E5">
        <w:rPr>
          <w:sz w:val="24"/>
          <w:szCs w:val="24"/>
          <w:lang w:eastAsia="en-US"/>
        </w:rPr>
        <w:t xml:space="preserve">In October, we </w:t>
      </w:r>
      <w:r w:rsidR="00DD2F42">
        <w:rPr>
          <w:sz w:val="24"/>
          <w:szCs w:val="24"/>
          <w:lang w:eastAsia="en-US"/>
        </w:rPr>
        <w:t xml:space="preserve">then </w:t>
      </w:r>
      <w:r w:rsidR="00F50106">
        <w:rPr>
          <w:sz w:val="24"/>
          <w:szCs w:val="24"/>
          <w:lang w:eastAsia="en-US"/>
        </w:rPr>
        <w:t>mail</w:t>
      </w:r>
      <w:r w:rsidR="0071181E">
        <w:rPr>
          <w:sz w:val="24"/>
          <w:szCs w:val="24"/>
          <w:lang w:eastAsia="en-US"/>
        </w:rPr>
        <w:t xml:space="preserve"> an additional copy </w:t>
      </w:r>
      <w:r w:rsidR="00136298">
        <w:rPr>
          <w:sz w:val="24"/>
          <w:szCs w:val="24"/>
          <w:lang w:eastAsia="en-US"/>
        </w:rPr>
        <w:t xml:space="preserve">to individuals </w:t>
      </w:r>
      <w:r w:rsidR="00BC17AB">
        <w:rPr>
          <w:sz w:val="24"/>
          <w:szCs w:val="24"/>
          <w:lang w:eastAsia="en-US"/>
        </w:rPr>
        <w:t xml:space="preserve">who have not returned the first </w:t>
      </w:r>
      <w:r w:rsidR="002F0875">
        <w:rPr>
          <w:sz w:val="24"/>
          <w:szCs w:val="24"/>
          <w:lang w:eastAsia="en-US"/>
        </w:rPr>
        <w:t>form</w:t>
      </w:r>
      <w:r w:rsidR="00A912E5">
        <w:rPr>
          <w:sz w:val="24"/>
          <w:szCs w:val="24"/>
          <w:lang w:eastAsia="en-US"/>
        </w:rPr>
        <w:t>, yet</w:t>
      </w:r>
      <w:r w:rsidR="00BC17AB">
        <w:rPr>
          <w:sz w:val="24"/>
          <w:szCs w:val="24"/>
          <w:lang w:eastAsia="en-US"/>
        </w:rPr>
        <w:t xml:space="preserve">.  Finally, </w:t>
      </w:r>
      <w:r w:rsidR="00A912E5">
        <w:rPr>
          <w:sz w:val="24"/>
          <w:szCs w:val="24"/>
          <w:lang w:eastAsia="en-US"/>
        </w:rPr>
        <w:t xml:space="preserve">if we still do not receive the form by the end of December, </w:t>
      </w:r>
      <w:r w:rsidR="00BC17AB">
        <w:rPr>
          <w:sz w:val="24"/>
          <w:szCs w:val="24"/>
          <w:lang w:eastAsia="en-US"/>
        </w:rPr>
        <w:t xml:space="preserve">we </w:t>
      </w:r>
      <w:r w:rsidR="00F50106">
        <w:rPr>
          <w:sz w:val="24"/>
          <w:szCs w:val="24"/>
          <w:lang w:eastAsia="en-US"/>
        </w:rPr>
        <w:t xml:space="preserve">mail </w:t>
      </w:r>
      <w:r w:rsidR="001F0245">
        <w:rPr>
          <w:sz w:val="24"/>
          <w:szCs w:val="24"/>
          <w:lang w:eastAsia="en-US"/>
        </w:rPr>
        <w:t xml:space="preserve">a </w:t>
      </w:r>
      <w:r w:rsidR="00F50106">
        <w:rPr>
          <w:sz w:val="24"/>
          <w:szCs w:val="24"/>
          <w:lang w:eastAsia="en-US"/>
        </w:rPr>
        <w:t xml:space="preserve">suspension </w:t>
      </w:r>
      <w:r w:rsidR="001F0245">
        <w:rPr>
          <w:sz w:val="24"/>
          <w:szCs w:val="24"/>
          <w:lang w:eastAsia="en-US"/>
        </w:rPr>
        <w:t xml:space="preserve">notice to non-responders in January </w:t>
      </w:r>
      <w:r w:rsidR="005A1B0E">
        <w:rPr>
          <w:sz w:val="24"/>
          <w:szCs w:val="24"/>
          <w:lang w:eastAsia="en-US"/>
        </w:rPr>
        <w:t xml:space="preserve">indicating </w:t>
      </w:r>
      <w:r w:rsidR="001F0245">
        <w:rPr>
          <w:sz w:val="24"/>
          <w:szCs w:val="24"/>
          <w:lang w:eastAsia="en-US"/>
        </w:rPr>
        <w:t>that their benefits will stop with the February payment (for January benefits)</w:t>
      </w:r>
      <w:r w:rsidR="00A912E5">
        <w:rPr>
          <w:sz w:val="24"/>
          <w:szCs w:val="24"/>
          <w:lang w:eastAsia="en-US"/>
        </w:rPr>
        <w:t>, unless we receive their responses</w:t>
      </w:r>
      <w:r w:rsidR="001F0245">
        <w:rPr>
          <w:sz w:val="24"/>
          <w:szCs w:val="24"/>
          <w:lang w:eastAsia="en-US"/>
        </w:rPr>
        <w:t xml:space="preserve">. </w:t>
      </w:r>
    </w:p>
    <w:p w:rsidR="00301F0B" w:rsidP="008E0947" w14:paraId="71604EE6" w14:textId="77777777">
      <w:pPr>
        <w:pStyle w:val="ListParagraph"/>
        <w:tabs>
          <w:tab w:val="left" w:pos="-720"/>
        </w:tabs>
        <w:suppressAutoHyphens/>
        <w:ind w:left="1080"/>
        <w:rPr>
          <w:sz w:val="24"/>
          <w:szCs w:val="24"/>
          <w:lang w:eastAsia="en-US"/>
        </w:rPr>
      </w:pPr>
    </w:p>
    <w:p w:rsidR="00DA5859" w:rsidRPr="0060778C" w:rsidP="008E0947" w14:paraId="7F9B7937" w14:textId="0B170705">
      <w:pPr>
        <w:pStyle w:val="ListParagraph"/>
        <w:tabs>
          <w:tab w:val="left" w:pos="-720"/>
        </w:tabs>
        <w:suppressAutoHyphens/>
        <w:ind w:left="1080"/>
        <w:rPr>
          <w:rFonts w:eastAsia="Melior"/>
          <w:bCs/>
          <w:sz w:val="24"/>
          <w:szCs w:val="24"/>
        </w:rPr>
      </w:pPr>
      <w:r>
        <w:rPr>
          <w:sz w:val="24"/>
          <w:szCs w:val="24"/>
          <w:lang w:eastAsia="en-US"/>
        </w:rPr>
        <w:t xml:space="preserve">Upon receipt of a completed </w:t>
      </w:r>
      <w:r w:rsidR="00194DF5">
        <w:rPr>
          <w:sz w:val="24"/>
          <w:szCs w:val="24"/>
          <w:lang w:eastAsia="en-US"/>
        </w:rPr>
        <w:t>form</w:t>
      </w:r>
      <w:r>
        <w:rPr>
          <w:sz w:val="24"/>
          <w:szCs w:val="24"/>
          <w:lang w:eastAsia="en-US"/>
        </w:rPr>
        <w:t>, w</w:t>
      </w:r>
      <w:r w:rsidR="00443359">
        <w:rPr>
          <w:sz w:val="24"/>
          <w:szCs w:val="24"/>
          <w:lang w:eastAsia="en-US"/>
        </w:rPr>
        <w:t>e</w:t>
      </w:r>
      <w:r w:rsidRPr="0060778C" w:rsidR="007A5D91">
        <w:rPr>
          <w:sz w:val="24"/>
          <w:szCs w:val="24"/>
          <w:lang w:eastAsia="en-US"/>
        </w:rPr>
        <w:t xml:space="preserve"> review the responses to the questions that solicit information about factors of entitlement to Social Security (e.g.</w:t>
      </w:r>
      <w:r w:rsidR="00351811">
        <w:rPr>
          <w:sz w:val="24"/>
          <w:szCs w:val="24"/>
          <w:lang w:eastAsia="en-US"/>
        </w:rPr>
        <w:t>,</w:t>
      </w:r>
      <w:r w:rsidRPr="0060778C" w:rsidR="007A5D91">
        <w:rPr>
          <w:sz w:val="24"/>
          <w:szCs w:val="24"/>
          <w:lang w:eastAsia="en-US"/>
        </w:rPr>
        <w:t xml:space="preserve"> marital status, earnings or self-employment, death, etc.) to </w:t>
      </w:r>
      <w:r w:rsidR="00197F2F">
        <w:rPr>
          <w:sz w:val="24"/>
          <w:szCs w:val="24"/>
          <w:lang w:eastAsia="en-US"/>
        </w:rPr>
        <w:t>decide</w:t>
      </w:r>
      <w:r w:rsidRPr="0060778C" w:rsidR="007A5D91">
        <w:rPr>
          <w:sz w:val="24"/>
          <w:szCs w:val="24"/>
          <w:lang w:eastAsia="en-US"/>
        </w:rPr>
        <w:t xml:space="preserve"> whether </w:t>
      </w:r>
      <w:r w:rsidR="00DE7495">
        <w:rPr>
          <w:sz w:val="24"/>
          <w:szCs w:val="24"/>
          <w:lang w:eastAsia="en-US"/>
        </w:rPr>
        <w:t>to continue,</w:t>
      </w:r>
      <w:r w:rsidRPr="0060778C" w:rsidR="007A5D91">
        <w:rPr>
          <w:sz w:val="24"/>
          <w:szCs w:val="24"/>
          <w:lang w:eastAsia="en-US"/>
        </w:rPr>
        <w:t xml:space="preserve"> </w:t>
      </w:r>
      <w:r w:rsidR="00202097">
        <w:rPr>
          <w:sz w:val="24"/>
          <w:szCs w:val="24"/>
          <w:lang w:eastAsia="en-US"/>
        </w:rPr>
        <w:t>change, suspend, or terminate</w:t>
      </w:r>
      <w:r w:rsidRPr="0060778C" w:rsidR="007A5D91">
        <w:rPr>
          <w:sz w:val="24"/>
          <w:szCs w:val="24"/>
          <w:lang w:eastAsia="en-US"/>
        </w:rPr>
        <w:t xml:space="preserve"> benefits</w:t>
      </w:r>
      <w:r w:rsidRPr="0060778C" w:rsidR="00970306">
        <w:rPr>
          <w:rFonts w:eastAsia="Melior"/>
          <w:bCs/>
          <w:sz w:val="24"/>
          <w:szCs w:val="24"/>
        </w:rPr>
        <w:t>.</w:t>
      </w:r>
      <w:r w:rsidR="00092F62">
        <w:rPr>
          <w:rFonts w:eastAsia="Melior"/>
          <w:bCs/>
          <w:sz w:val="24"/>
          <w:szCs w:val="24"/>
        </w:rPr>
        <w:t xml:space="preserve">  </w:t>
      </w:r>
    </w:p>
    <w:p w:rsidR="007A5D91" w:rsidRPr="0060778C" w:rsidP="008E0947" w14:paraId="0F2A4AD3" w14:textId="54494073">
      <w:pPr>
        <w:pStyle w:val="ListParagraph"/>
        <w:tabs>
          <w:tab w:val="left" w:pos="-720"/>
        </w:tabs>
        <w:suppressAutoHyphens/>
        <w:ind w:left="1080"/>
        <w:rPr>
          <w:sz w:val="24"/>
          <w:szCs w:val="24"/>
        </w:rPr>
      </w:pPr>
    </w:p>
    <w:p w:rsidR="00FF5724" w:rsidP="007A5D91" w14:paraId="7DAE4D3E" w14:textId="04BBC982">
      <w:pPr>
        <w:pStyle w:val="ListParagraph"/>
        <w:tabs>
          <w:tab w:val="left" w:pos="-720"/>
        </w:tabs>
        <w:suppressAutoHyphens/>
        <w:ind w:left="1080"/>
        <w:rPr>
          <w:sz w:val="24"/>
          <w:szCs w:val="24"/>
        </w:rPr>
      </w:pPr>
      <w:r>
        <w:rPr>
          <w:sz w:val="24"/>
          <w:szCs w:val="24"/>
        </w:rPr>
        <w:t>Based on FY 2023</w:t>
      </w:r>
      <w:r>
        <w:rPr>
          <w:sz w:val="24"/>
          <w:szCs w:val="24"/>
        </w:rPr>
        <w:t xml:space="preserve">, </w:t>
      </w:r>
      <w:r>
        <w:rPr>
          <w:sz w:val="24"/>
          <w:szCs w:val="24"/>
        </w:rPr>
        <w:t>FY 2024</w:t>
      </w:r>
      <w:r>
        <w:rPr>
          <w:sz w:val="24"/>
          <w:szCs w:val="24"/>
        </w:rPr>
        <w:t xml:space="preserve">, and FY 2025 </w:t>
      </w:r>
      <w:r>
        <w:rPr>
          <w:sz w:val="24"/>
          <w:szCs w:val="24"/>
        </w:rPr>
        <w:t>data</w:t>
      </w:r>
      <w:r w:rsidRPr="0060778C" w:rsidR="007A5D91">
        <w:rPr>
          <w:sz w:val="24"/>
          <w:szCs w:val="24"/>
        </w:rPr>
        <w:t xml:space="preserve">, </w:t>
      </w:r>
      <w:r w:rsidR="00AA630F">
        <w:rPr>
          <w:sz w:val="24"/>
          <w:szCs w:val="24"/>
        </w:rPr>
        <w:t>10.5</w:t>
      </w:r>
      <w:r w:rsidRPr="0060778C" w:rsidR="00135F84">
        <w:rPr>
          <w:sz w:val="24"/>
          <w:szCs w:val="24"/>
        </w:rPr>
        <w:t xml:space="preserve"> </w:t>
      </w:r>
      <w:r w:rsidRPr="0060778C" w:rsidR="007A5D91">
        <w:rPr>
          <w:sz w:val="24"/>
          <w:szCs w:val="24"/>
        </w:rPr>
        <w:t xml:space="preserve">percent of SSA-7162-OCR-SM </w:t>
      </w:r>
      <w:r w:rsidR="00AA630F">
        <w:rPr>
          <w:sz w:val="24"/>
          <w:szCs w:val="24"/>
        </w:rPr>
        <w:t xml:space="preserve">respondents </w:t>
      </w:r>
      <w:r w:rsidRPr="0060778C" w:rsidR="007A5D91">
        <w:rPr>
          <w:sz w:val="24"/>
          <w:szCs w:val="24"/>
        </w:rPr>
        <w:t xml:space="preserve">and </w:t>
      </w:r>
      <w:r w:rsidR="00AA630F">
        <w:rPr>
          <w:sz w:val="24"/>
          <w:szCs w:val="24"/>
        </w:rPr>
        <w:t xml:space="preserve">15.1 </w:t>
      </w:r>
      <w:r w:rsidRPr="0060778C" w:rsidR="004207E8">
        <w:rPr>
          <w:sz w:val="24"/>
          <w:szCs w:val="24"/>
        </w:rPr>
        <w:t xml:space="preserve">percent of </w:t>
      </w:r>
      <w:r w:rsidRPr="0060778C" w:rsidR="007A5D91">
        <w:rPr>
          <w:sz w:val="24"/>
          <w:szCs w:val="24"/>
        </w:rPr>
        <w:t xml:space="preserve">SSA-7161-OCR-SM </w:t>
      </w:r>
      <w:r w:rsidR="00AA630F">
        <w:rPr>
          <w:sz w:val="24"/>
          <w:szCs w:val="24"/>
        </w:rPr>
        <w:t xml:space="preserve">respondents </w:t>
      </w:r>
      <w:r w:rsidRPr="0060778C" w:rsidR="007A5D91">
        <w:rPr>
          <w:sz w:val="24"/>
          <w:szCs w:val="24"/>
        </w:rPr>
        <w:t xml:space="preserve">failed to </w:t>
      </w:r>
      <w:r w:rsidR="00147951">
        <w:rPr>
          <w:sz w:val="24"/>
          <w:szCs w:val="24"/>
        </w:rPr>
        <w:t>complete and return the</w:t>
      </w:r>
      <w:r w:rsidR="00EA0596">
        <w:rPr>
          <w:sz w:val="24"/>
          <w:szCs w:val="24"/>
        </w:rPr>
        <w:t xml:space="preserve">ir </w:t>
      </w:r>
      <w:r w:rsidR="00194DF5">
        <w:rPr>
          <w:sz w:val="24"/>
          <w:szCs w:val="24"/>
        </w:rPr>
        <w:t>form</w:t>
      </w:r>
      <w:r w:rsidR="00147951">
        <w:rPr>
          <w:sz w:val="24"/>
          <w:szCs w:val="24"/>
        </w:rPr>
        <w:t xml:space="preserve">, resulting in benefit suspensions.  </w:t>
      </w:r>
      <w:r w:rsidR="000F01C5">
        <w:rPr>
          <w:sz w:val="24"/>
          <w:szCs w:val="24"/>
        </w:rPr>
        <w:t xml:space="preserve"> </w:t>
      </w:r>
    </w:p>
    <w:p w:rsidR="00BA7437" w:rsidP="007A5D91" w14:paraId="4346EC23" w14:textId="77777777">
      <w:pPr>
        <w:pStyle w:val="ListParagraph"/>
        <w:tabs>
          <w:tab w:val="left" w:pos="-720"/>
        </w:tabs>
        <w:suppressAutoHyphens/>
        <w:ind w:left="1080"/>
        <w:rPr>
          <w:sz w:val="24"/>
          <w:szCs w:val="24"/>
        </w:rPr>
      </w:pPr>
    </w:p>
    <w:p w:rsidR="00675107" w:rsidRPr="00675107" w:rsidP="00675107" w14:paraId="6429D5E7" w14:textId="04BFD179">
      <w:pPr>
        <w:tabs>
          <w:tab w:val="left" w:pos="-720"/>
        </w:tabs>
        <w:suppressAutoHyphens/>
        <w:ind w:left="1080"/>
        <w:rPr>
          <w:sz w:val="24"/>
          <w:szCs w:val="24"/>
        </w:rPr>
      </w:pPr>
      <w:r w:rsidRPr="00675107">
        <w:rPr>
          <w:sz w:val="24"/>
          <w:szCs w:val="24"/>
        </w:rPr>
        <w:t>We identified the following psychological costs based on the requirements for this information collection:</w:t>
      </w:r>
    </w:p>
    <w:p w:rsidR="00675107" w:rsidRPr="00675107" w:rsidP="00675107" w14:paraId="33FFEC9D" w14:textId="77777777">
      <w:pPr>
        <w:tabs>
          <w:tab w:val="left" w:pos="-720"/>
        </w:tabs>
        <w:suppressAutoHyphens/>
        <w:ind w:left="1080"/>
        <w:rPr>
          <w:sz w:val="24"/>
          <w:szCs w:val="24"/>
        </w:rPr>
      </w:pPr>
    </w:p>
    <w:p w:rsidR="00675107" w:rsidRPr="00675107" w:rsidP="00675107" w14:paraId="7C2519E0" w14:textId="0642356C">
      <w:pPr>
        <w:numPr>
          <w:ilvl w:val="0"/>
          <w:numId w:val="24"/>
        </w:numPr>
        <w:tabs>
          <w:tab w:val="left" w:pos="-720"/>
        </w:tabs>
        <w:suppressAutoHyphens/>
        <w:rPr>
          <w:sz w:val="24"/>
          <w:szCs w:val="24"/>
        </w:rPr>
      </w:pPr>
      <w:r w:rsidRPr="00675107">
        <w:rPr>
          <w:b/>
          <w:bCs/>
          <w:sz w:val="24"/>
          <w:szCs w:val="24"/>
          <w:u w:val="single"/>
        </w:rPr>
        <w:t>Psychological Cost</w:t>
      </w:r>
      <w:r w:rsidR="00F0019D">
        <w:rPr>
          <w:b/>
          <w:bCs/>
          <w:sz w:val="24"/>
          <w:szCs w:val="24"/>
          <w:u w:val="single"/>
        </w:rPr>
        <w:t xml:space="preserve"> #1</w:t>
      </w:r>
      <w:r w:rsidRPr="00675107">
        <w:rPr>
          <w:sz w:val="24"/>
          <w:szCs w:val="24"/>
        </w:rPr>
        <w:t xml:space="preserve">:  </w:t>
      </w:r>
    </w:p>
    <w:p w:rsidR="00675107" w:rsidRPr="00675107" w:rsidP="00675107" w14:paraId="365E9439" w14:textId="42C07AAC">
      <w:pPr>
        <w:numPr>
          <w:ilvl w:val="1"/>
          <w:numId w:val="24"/>
        </w:numPr>
        <w:tabs>
          <w:tab w:val="left" w:pos="-720"/>
        </w:tabs>
        <w:suppressAutoHyphens/>
        <w:rPr>
          <w:sz w:val="24"/>
          <w:szCs w:val="24"/>
        </w:rPr>
      </w:pPr>
      <w:r w:rsidRPr="00675107">
        <w:rPr>
          <w:b/>
          <w:bCs/>
          <w:sz w:val="24"/>
          <w:szCs w:val="24"/>
        </w:rPr>
        <w:t>Requirement for the Program:</w:t>
      </w:r>
      <w:r w:rsidRPr="00675107">
        <w:rPr>
          <w:sz w:val="24"/>
          <w:szCs w:val="24"/>
        </w:rPr>
        <w:t xml:space="preserve">  </w:t>
      </w:r>
      <w:r w:rsidR="00E44FD8">
        <w:rPr>
          <w:sz w:val="24"/>
          <w:szCs w:val="24"/>
        </w:rPr>
        <w:t xml:space="preserve">Forms </w:t>
      </w:r>
      <w:r w:rsidRPr="00675107">
        <w:rPr>
          <w:sz w:val="24"/>
          <w:szCs w:val="24"/>
        </w:rPr>
        <w:t>SSA-</w:t>
      </w:r>
      <w:r w:rsidR="009227CC">
        <w:rPr>
          <w:sz w:val="24"/>
          <w:szCs w:val="24"/>
        </w:rPr>
        <w:t>7161 and SSA-7162</w:t>
      </w:r>
      <w:r w:rsidRPr="00675107">
        <w:rPr>
          <w:sz w:val="24"/>
          <w:szCs w:val="24"/>
        </w:rPr>
        <w:t xml:space="preserve"> ask</w:t>
      </w:r>
      <w:r w:rsidR="009227CC">
        <w:rPr>
          <w:sz w:val="24"/>
          <w:szCs w:val="24"/>
        </w:rPr>
        <w:t xml:space="preserve"> </w:t>
      </w:r>
      <w:r w:rsidRPr="00675107">
        <w:rPr>
          <w:sz w:val="24"/>
          <w:szCs w:val="24"/>
        </w:rPr>
        <w:t xml:space="preserve">individuals to provide some personal information about themselves so SSA can determine whether they </w:t>
      </w:r>
      <w:r w:rsidR="009227CC">
        <w:rPr>
          <w:sz w:val="24"/>
          <w:szCs w:val="24"/>
        </w:rPr>
        <w:t xml:space="preserve">remain entitled </w:t>
      </w:r>
      <w:r w:rsidR="00A049E4">
        <w:rPr>
          <w:sz w:val="24"/>
          <w:szCs w:val="24"/>
        </w:rPr>
        <w:t xml:space="preserve">to benefits </w:t>
      </w:r>
      <w:r w:rsidR="009227CC">
        <w:rPr>
          <w:sz w:val="24"/>
          <w:szCs w:val="24"/>
        </w:rPr>
        <w:t xml:space="preserve">and eligible </w:t>
      </w:r>
      <w:r w:rsidR="00A049E4">
        <w:rPr>
          <w:sz w:val="24"/>
          <w:szCs w:val="24"/>
        </w:rPr>
        <w:t xml:space="preserve">for their current payment </w:t>
      </w:r>
      <w:r w:rsidR="009227CC">
        <w:rPr>
          <w:sz w:val="24"/>
          <w:szCs w:val="24"/>
        </w:rPr>
        <w:t xml:space="preserve">amount. </w:t>
      </w:r>
    </w:p>
    <w:p w:rsidR="00675107" w:rsidRPr="00675107" w:rsidP="00675107" w14:paraId="65690D45" w14:textId="77777777">
      <w:pPr>
        <w:tabs>
          <w:tab w:val="left" w:pos="-720"/>
        </w:tabs>
        <w:suppressAutoHyphens/>
        <w:ind w:left="1080"/>
        <w:rPr>
          <w:sz w:val="24"/>
          <w:szCs w:val="24"/>
        </w:rPr>
      </w:pPr>
    </w:p>
    <w:p w:rsidR="00675107" w:rsidRPr="00366629" w:rsidP="00675107" w14:paraId="0A2F039C" w14:textId="5144B33C">
      <w:pPr>
        <w:numPr>
          <w:ilvl w:val="1"/>
          <w:numId w:val="24"/>
        </w:numPr>
        <w:tabs>
          <w:tab w:val="left" w:pos="-720"/>
        </w:tabs>
        <w:suppressAutoHyphens/>
        <w:rPr>
          <w:b/>
          <w:bCs/>
          <w:sz w:val="24"/>
          <w:szCs w:val="24"/>
        </w:rPr>
      </w:pPr>
      <w:r w:rsidRPr="00675107">
        <w:rPr>
          <w:b/>
          <w:bCs/>
          <w:sz w:val="24"/>
          <w:szCs w:val="24"/>
        </w:rPr>
        <w:t xml:space="preserve">Psychological Cost:  </w:t>
      </w:r>
      <w:r w:rsidRPr="00675107">
        <w:rPr>
          <w:sz w:val="24"/>
          <w:szCs w:val="24"/>
        </w:rPr>
        <w:t xml:space="preserve">The respondent may perceive these questions as unduly invasive, and these factors </w:t>
      </w:r>
      <w:r w:rsidR="00F526C6">
        <w:rPr>
          <w:sz w:val="24"/>
          <w:szCs w:val="24"/>
        </w:rPr>
        <w:t>could</w:t>
      </w:r>
      <w:r w:rsidRPr="00675107">
        <w:rPr>
          <w:sz w:val="24"/>
          <w:szCs w:val="24"/>
        </w:rPr>
        <w:t xml:space="preserve"> lead to individuals choosing to delay or abandon completing this form.</w:t>
      </w:r>
    </w:p>
    <w:p w:rsidR="00366629" w:rsidP="00366629" w14:paraId="4A51B0A0" w14:textId="77777777">
      <w:pPr>
        <w:pStyle w:val="ListParagraph"/>
        <w:rPr>
          <w:b/>
          <w:bCs/>
          <w:sz w:val="24"/>
          <w:szCs w:val="24"/>
        </w:rPr>
      </w:pPr>
    </w:p>
    <w:p w:rsidR="00366629" w:rsidP="00DD2F42" w14:paraId="06279224" w14:textId="0DE9AC80">
      <w:pPr>
        <w:tabs>
          <w:tab w:val="left" w:pos="-720"/>
        </w:tabs>
        <w:suppressAutoHyphens/>
        <w:ind w:left="1170"/>
        <w:rPr>
          <w:sz w:val="24"/>
          <w:szCs w:val="24"/>
        </w:rPr>
      </w:pPr>
      <w:r w:rsidRPr="00366629">
        <w:rPr>
          <w:sz w:val="24"/>
          <w:szCs w:val="24"/>
        </w:rPr>
        <w:t>We understand th</w:t>
      </w:r>
      <w:r>
        <w:rPr>
          <w:sz w:val="24"/>
          <w:szCs w:val="24"/>
        </w:rPr>
        <w:t>is</w:t>
      </w:r>
      <w:r w:rsidRPr="00366629">
        <w:rPr>
          <w:sz w:val="24"/>
          <w:szCs w:val="24"/>
        </w:rPr>
        <w:t xml:space="preserve"> psychological cost</w:t>
      </w:r>
      <w:r>
        <w:rPr>
          <w:sz w:val="24"/>
          <w:szCs w:val="24"/>
        </w:rPr>
        <w:t xml:space="preserve"> </w:t>
      </w:r>
      <w:r w:rsidRPr="00366629">
        <w:rPr>
          <w:sz w:val="24"/>
          <w:szCs w:val="24"/>
        </w:rPr>
        <w:t xml:space="preserve">may cause respondents to delay their completion of the information collection or cause them to abandon the information collection entirely.  However, we require full completion of this collection to </w:t>
      </w:r>
      <w:r w:rsidR="00F0019D">
        <w:rPr>
          <w:sz w:val="24"/>
          <w:szCs w:val="24"/>
        </w:rPr>
        <w:t xml:space="preserve">continue to </w:t>
      </w:r>
      <w:r w:rsidRPr="00366629">
        <w:rPr>
          <w:sz w:val="24"/>
          <w:szCs w:val="24"/>
        </w:rPr>
        <w:t>receive benefits.  Therefore, we have taken this potential psychological cost into account when calculating our burden in #12 below.</w:t>
      </w:r>
    </w:p>
    <w:p w:rsidR="00FF5724" w:rsidP="00DD2F42" w14:paraId="0B4EF380" w14:textId="1B1F5D7F">
      <w:pPr>
        <w:tabs>
          <w:tab w:val="left" w:pos="-720"/>
        </w:tabs>
        <w:suppressAutoHyphens/>
        <w:ind w:left="1170"/>
        <w:rPr>
          <w:sz w:val="24"/>
          <w:szCs w:val="24"/>
        </w:rPr>
      </w:pPr>
    </w:p>
    <w:p w:rsidR="00FF5724" w:rsidP="00FF5724" w14:paraId="1CF14054" w14:textId="14C5A26E">
      <w:pPr>
        <w:pStyle w:val="ListParagraph"/>
        <w:tabs>
          <w:tab w:val="left" w:pos="-720"/>
        </w:tabs>
        <w:suppressAutoHyphens/>
        <w:ind w:left="1080"/>
        <w:rPr>
          <w:sz w:val="24"/>
          <w:szCs w:val="24"/>
        </w:rPr>
      </w:pPr>
      <w:r>
        <w:rPr>
          <w:sz w:val="24"/>
          <w:szCs w:val="24"/>
          <w:lang w:eastAsia="en-US"/>
        </w:rPr>
        <w:t>T</w:t>
      </w:r>
      <w:r w:rsidRPr="007F51EC">
        <w:rPr>
          <w:sz w:val="24"/>
          <w:szCs w:val="24"/>
          <w:lang w:eastAsia="en-US"/>
        </w:rPr>
        <w:t>he respondents are individuals living outside the United States who are receiving benefits on their own</w:t>
      </w:r>
      <w:r>
        <w:rPr>
          <w:sz w:val="24"/>
          <w:szCs w:val="24"/>
          <w:lang w:eastAsia="en-US"/>
        </w:rPr>
        <w:t xml:space="preserve"> (in the case of SSA-7162-OCR-SM)</w:t>
      </w:r>
      <w:r w:rsidRPr="007F51EC">
        <w:rPr>
          <w:sz w:val="24"/>
          <w:szCs w:val="24"/>
          <w:lang w:eastAsia="en-US"/>
        </w:rPr>
        <w:t xml:space="preserve"> </w:t>
      </w:r>
      <w:r>
        <w:rPr>
          <w:sz w:val="24"/>
          <w:szCs w:val="24"/>
          <w:lang w:eastAsia="en-US"/>
        </w:rPr>
        <w:t xml:space="preserve">or Representative payees who receive Title II benefits on behalf of a beneficiary who lives outside the United States (for the </w:t>
      </w:r>
      <w:r w:rsidRPr="0060778C">
        <w:rPr>
          <w:sz w:val="24"/>
          <w:szCs w:val="24"/>
          <w:lang w:eastAsia="en-US"/>
        </w:rPr>
        <w:t>SSA-7161-OCR-SM).</w:t>
      </w:r>
    </w:p>
    <w:p w:rsidR="00FF5724" w:rsidP="00FF5724" w14:paraId="6E3D959A" w14:textId="77777777">
      <w:pPr>
        <w:tabs>
          <w:tab w:val="left" w:pos="-720"/>
        </w:tabs>
        <w:suppressAutoHyphens/>
        <w:ind w:left="1080"/>
        <w:rPr>
          <w:sz w:val="24"/>
          <w:szCs w:val="24"/>
        </w:rPr>
      </w:pPr>
    </w:p>
    <w:p w:rsidR="008E0947" w:rsidRPr="0060778C" w:rsidP="00DA5859" w14:paraId="59ED7DD1" w14:textId="77777777">
      <w:pPr>
        <w:pStyle w:val="ListParagraph"/>
        <w:numPr>
          <w:ilvl w:val="0"/>
          <w:numId w:val="21"/>
        </w:numPr>
        <w:tabs>
          <w:tab w:val="left" w:pos="-720"/>
        </w:tabs>
        <w:suppressAutoHyphens/>
        <w:rPr>
          <w:b/>
          <w:sz w:val="24"/>
          <w:szCs w:val="24"/>
        </w:rPr>
      </w:pPr>
      <w:r w:rsidRPr="0060778C">
        <w:rPr>
          <w:b/>
          <w:sz w:val="24"/>
          <w:szCs w:val="24"/>
        </w:rPr>
        <w:t>Use of Information Technology to Collect the Information</w:t>
      </w:r>
    </w:p>
    <w:p w:rsidR="00DA5859" w:rsidP="008E0947" w14:paraId="0700A062" w14:textId="332E3E32">
      <w:pPr>
        <w:pStyle w:val="ListParagraph"/>
        <w:tabs>
          <w:tab w:val="left" w:pos="-720"/>
        </w:tabs>
        <w:suppressAutoHyphens/>
        <w:ind w:left="1080"/>
        <w:rPr>
          <w:sz w:val="24"/>
          <w:szCs w:val="24"/>
        </w:rPr>
      </w:pPr>
      <w:r w:rsidRPr="0060778C">
        <w:rPr>
          <w:sz w:val="24"/>
          <w:szCs w:val="24"/>
        </w:rPr>
        <w:t xml:space="preserve">SSA </w:t>
      </w:r>
      <w:r w:rsidR="003E63F7">
        <w:rPr>
          <w:sz w:val="24"/>
          <w:szCs w:val="24"/>
        </w:rPr>
        <w:t xml:space="preserve">currently </w:t>
      </w:r>
      <w:r w:rsidR="00384093">
        <w:rPr>
          <w:sz w:val="24"/>
          <w:szCs w:val="24"/>
        </w:rPr>
        <w:t xml:space="preserve">uses a mail-based </w:t>
      </w:r>
      <w:r w:rsidR="00FC506C">
        <w:rPr>
          <w:sz w:val="24"/>
          <w:szCs w:val="24"/>
        </w:rPr>
        <w:t xml:space="preserve">process </w:t>
      </w:r>
      <w:r w:rsidR="006B66A4">
        <w:rPr>
          <w:sz w:val="24"/>
          <w:szCs w:val="24"/>
        </w:rPr>
        <w:t>to collect the information</w:t>
      </w:r>
      <w:r w:rsidR="00153442">
        <w:rPr>
          <w:sz w:val="24"/>
          <w:szCs w:val="24"/>
        </w:rPr>
        <w:t>.</w:t>
      </w:r>
      <w:r w:rsidR="006C7B69">
        <w:rPr>
          <w:sz w:val="24"/>
          <w:szCs w:val="24"/>
        </w:rPr>
        <w:t xml:space="preserve"> </w:t>
      </w:r>
      <w:r w:rsidR="00153442">
        <w:rPr>
          <w:sz w:val="24"/>
          <w:szCs w:val="24"/>
        </w:rPr>
        <w:t xml:space="preserve"> </w:t>
      </w:r>
      <w:r w:rsidR="006C7B69">
        <w:rPr>
          <w:sz w:val="24"/>
          <w:szCs w:val="24"/>
        </w:rPr>
        <w:t xml:space="preserve">We mail paper forms, which respondents complete, sign, and return </w:t>
      </w:r>
      <w:r w:rsidR="00A5215A">
        <w:rPr>
          <w:sz w:val="24"/>
          <w:szCs w:val="24"/>
        </w:rPr>
        <w:t xml:space="preserve">by mail </w:t>
      </w:r>
      <w:r w:rsidR="00842220">
        <w:rPr>
          <w:sz w:val="24"/>
          <w:szCs w:val="24"/>
        </w:rPr>
        <w:t>in a prepaid return envelope for scanning and processing</w:t>
      </w:r>
      <w:r w:rsidR="00153442">
        <w:rPr>
          <w:sz w:val="24"/>
          <w:szCs w:val="24"/>
        </w:rPr>
        <w:t xml:space="preserve"> at a central SSA facility</w:t>
      </w:r>
      <w:r w:rsidR="00842220">
        <w:rPr>
          <w:sz w:val="24"/>
          <w:szCs w:val="24"/>
        </w:rPr>
        <w:t xml:space="preserve">. </w:t>
      </w:r>
    </w:p>
    <w:p w:rsidR="00EE1CE5" w:rsidP="008E0947" w14:paraId="24F065A7" w14:textId="77777777">
      <w:pPr>
        <w:pStyle w:val="ListParagraph"/>
        <w:tabs>
          <w:tab w:val="left" w:pos="-720"/>
        </w:tabs>
        <w:suppressAutoHyphens/>
        <w:ind w:left="1080"/>
        <w:rPr>
          <w:sz w:val="24"/>
          <w:szCs w:val="24"/>
        </w:rPr>
      </w:pPr>
    </w:p>
    <w:p w:rsidR="00EE1CE5" w:rsidP="008E0947" w14:paraId="6CD4E102" w14:textId="44F63454">
      <w:pPr>
        <w:pStyle w:val="ListParagraph"/>
        <w:tabs>
          <w:tab w:val="left" w:pos="-720"/>
        </w:tabs>
        <w:suppressAutoHyphens/>
        <w:ind w:left="1080"/>
        <w:rPr>
          <w:sz w:val="24"/>
          <w:szCs w:val="24"/>
        </w:rPr>
      </w:pPr>
      <w:r>
        <w:rPr>
          <w:sz w:val="24"/>
          <w:szCs w:val="24"/>
        </w:rPr>
        <w:t xml:space="preserve">As of August 2025, SSA began allowing respondents to complete and sign their form over the telephone using </w:t>
      </w:r>
      <w:r w:rsidRPr="00FB173D">
        <w:rPr>
          <w:sz w:val="24"/>
          <w:szCs w:val="24"/>
        </w:rPr>
        <w:t>the agency’s telephone identity verification and signature attestation processes.</w:t>
      </w:r>
      <w:r>
        <w:rPr>
          <w:sz w:val="24"/>
          <w:szCs w:val="24"/>
        </w:rPr>
        <w:t xml:space="preserve">  When the</w:t>
      </w:r>
      <w:r w:rsidR="007F4F10">
        <w:rPr>
          <w:sz w:val="24"/>
          <w:szCs w:val="24"/>
        </w:rPr>
        <w:t xml:space="preserve"> respondents calls to complete the forms,</w:t>
      </w:r>
      <w:r>
        <w:rPr>
          <w:sz w:val="24"/>
          <w:szCs w:val="24"/>
        </w:rPr>
        <w:t xml:space="preserve"> field office</w:t>
      </w:r>
      <w:r w:rsidRPr="00EE1CE5">
        <w:rPr>
          <w:sz w:val="24"/>
          <w:szCs w:val="24"/>
        </w:rPr>
        <w:t xml:space="preserve"> or FBU technician records the respondent’s answers on a paper form, annotates</w:t>
      </w:r>
      <w:r>
        <w:rPr>
          <w:sz w:val="24"/>
          <w:szCs w:val="24"/>
        </w:rPr>
        <w:t xml:space="preserve"> </w:t>
      </w:r>
      <w:r w:rsidRPr="00EE1CE5">
        <w:rPr>
          <w:sz w:val="24"/>
          <w:szCs w:val="24"/>
        </w:rPr>
        <w:t xml:space="preserve">the form </w:t>
      </w:r>
      <w:r w:rsidR="00A86B8D">
        <w:rPr>
          <w:sz w:val="24"/>
          <w:szCs w:val="24"/>
        </w:rPr>
        <w:t xml:space="preserve">is complete </w:t>
      </w:r>
      <w:r>
        <w:rPr>
          <w:sz w:val="24"/>
          <w:szCs w:val="24"/>
        </w:rPr>
        <w:t xml:space="preserve">and </w:t>
      </w:r>
      <w:r w:rsidRPr="00EE1CE5">
        <w:rPr>
          <w:sz w:val="24"/>
          <w:szCs w:val="24"/>
        </w:rPr>
        <w:t xml:space="preserve">signed </w:t>
      </w:r>
      <w:r>
        <w:rPr>
          <w:sz w:val="24"/>
          <w:szCs w:val="24"/>
        </w:rPr>
        <w:t>by</w:t>
      </w:r>
      <w:r w:rsidRPr="00EE1CE5">
        <w:rPr>
          <w:sz w:val="24"/>
          <w:szCs w:val="24"/>
        </w:rPr>
        <w:t xml:space="preserve"> attestation, and then sends the form to our processing center (following the same process as if they had received a completed form by mail). </w:t>
      </w:r>
      <w:r>
        <w:rPr>
          <w:sz w:val="24"/>
          <w:szCs w:val="24"/>
        </w:rPr>
        <w:t xml:space="preserve"> Although we prefer the respondent to mail the form back to SSA, we expect the percentage of telephone percentage to rise considerably in the future.</w:t>
      </w:r>
      <w:r>
        <w:rPr>
          <w:sz w:val="24"/>
          <w:szCs w:val="24"/>
        </w:rPr>
        <w:t xml:space="preserve"> </w:t>
      </w:r>
      <w:r w:rsidR="007F4F10">
        <w:rPr>
          <w:sz w:val="24"/>
          <w:szCs w:val="24"/>
        </w:rPr>
        <w:t>We estimate that 0.5% of respondents use this method.</w:t>
      </w:r>
    </w:p>
    <w:p w:rsidR="00D479EF" w:rsidP="008E0947" w14:paraId="6F778002" w14:textId="77777777">
      <w:pPr>
        <w:pStyle w:val="ListParagraph"/>
        <w:tabs>
          <w:tab w:val="left" w:pos="-720"/>
        </w:tabs>
        <w:suppressAutoHyphens/>
        <w:ind w:left="1080"/>
        <w:rPr>
          <w:sz w:val="24"/>
          <w:szCs w:val="24"/>
        </w:rPr>
      </w:pPr>
    </w:p>
    <w:p w:rsidR="00CA5F26" w:rsidRPr="00CA5F26" w:rsidP="00CA5F26" w14:paraId="209E573A" w14:textId="26F3DA13">
      <w:pPr>
        <w:pStyle w:val="ListParagraph"/>
        <w:tabs>
          <w:tab w:val="left" w:pos="-720"/>
        </w:tabs>
        <w:suppressAutoHyphens/>
        <w:ind w:left="1080"/>
        <w:rPr>
          <w:sz w:val="24"/>
          <w:szCs w:val="24"/>
        </w:rPr>
      </w:pPr>
      <w:r w:rsidRPr="00CA5F26">
        <w:rPr>
          <w:sz w:val="24"/>
          <w:szCs w:val="24"/>
        </w:rPr>
        <w:t>SSA is unable to create an electronic version of this information collection at this time, as we send this agency-initiated application to respondents with pre-filled information.</w:t>
      </w:r>
      <w:r w:rsidR="00E44FD8">
        <w:rPr>
          <w:sz w:val="24"/>
          <w:szCs w:val="24"/>
        </w:rPr>
        <w:t xml:space="preserve">  </w:t>
      </w:r>
      <w:r w:rsidRPr="00CA5F26">
        <w:rPr>
          <w:sz w:val="24"/>
          <w:szCs w:val="24"/>
        </w:rPr>
        <w:t>We also include a bar code which allows us to scan the completed form into the electronic folder once we receive it from the respondent.  Currently, we do not have any means to pre-fill information and send the individualized forms to the respondents electronically, as that would require us to build a new system, and we do not have the resources and manpower to do that at this time.</w:t>
      </w:r>
      <w:r w:rsidR="00E44FD8">
        <w:rPr>
          <w:sz w:val="24"/>
          <w:szCs w:val="24"/>
        </w:rPr>
        <w:t xml:space="preserve">  </w:t>
      </w:r>
      <w:r w:rsidRPr="00CA5F26">
        <w:rPr>
          <w:sz w:val="24"/>
          <w:szCs w:val="24"/>
        </w:rPr>
        <w:t>In addition, we cannot send these via email, as the pre-filled information contains personal identifying information (PII) of the respondents, and email is a non-secured means of transferring PII.  We will reassess our ability to create an electronic version of this collection if and when technological advances are created that would allow for us to make this collection available via the Internet in a fully secure way.</w:t>
      </w:r>
    </w:p>
    <w:p w:rsidR="009E4449" w:rsidP="008E0947" w14:paraId="7FEBAA8D" w14:textId="77777777">
      <w:pPr>
        <w:pStyle w:val="ListParagraph"/>
        <w:tabs>
          <w:tab w:val="left" w:pos="-720"/>
        </w:tabs>
        <w:suppressAutoHyphens/>
        <w:ind w:left="1080"/>
        <w:rPr>
          <w:sz w:val="24"/>
          <w:szCs w:val="24"/>
        </w:rPr>
      </w:pPr>
    </w:p>
    <w:p w:rsidR="006F41C5" w:rsidP="00A0071F" w14:paraId="543DB9B3" w14:textId="40AC2E3F">
      <w:pPr>
        <w:pStyle w:val="ListParagraph"/>
        <w:tabs>
          <w:tab w:val="left" w:pos="-720"/>
        </w:tabs>
        <w:suppressAutoHyphens/>
        <w:ind w:left="1080"/>
        <w:rPr>
          <w:sz w:val="24"/>
          <w:szCs w:val="24"/>
        </w:rPr>
      </w:pPr>
      <w:r>
        <w:rPr>
          <w:sz w:val="24"/>
          <w:szCs w:val="24"/>
        </w:rPr>
        <w:t>Additionally</w:t>
      </w:r>
      <w:r w:rsidR="002D1B1F">
        <w:rPr>
          <w:sz w:val="24"/>
          <w:szCs w:val="24"/>
        </w:rPr>
        <w:t xml:space="preserve">, it has </w:t>
      </w:r>
      <w:r>
        <w:rPr>
          <w:sz w:val="24"/>
          <w:szCs w:val="24"/>
        </w:rPr>
        <w:t xml:space="preserve">historically </w:t>
      </w:r>
      <w:r w:rsidR="002D1B1F">
        <w:rPr>
          <w:sz w:val="24"/>
          <w:szCs w:val="24"/>
        </w:rPr>
        <w:t xml:space="preserve">been </w:t>
      </w:r>
      <w:r w:rsidR="004E69A4">
        <w:rPr>
          <w:sz w:val="24"/>
          <w:szCs w:val="24"/>
        </w:rPr>
        <w:t>SSA’s</w:t>
      </w:r>
      <w:r w:rsidR="002D1B1F">
        <w:rPr>
          <w:sz w:val="24"/>
          <w:szCs w:val="24"/>
        </w:rPr>
        <w:t xml:space="preserve"> position that </w:t>
      </w:r>
      <w:r w:rsidR="00B4401D">
        <w:rPr>
          <w:sz w:val="24"/>
          <w:szCs w:val="24"/>
        </w:rPr>
        <w:t xml:space="preserve">collecting the information </w:t>
      </w:r>
      <w:r w:rsidRPr="002D1B1F" w:rsidR="002D1B1F">
        <w:rPr>
          <w:sz w:val="24"/>
          <w:szCs w:val="24"/>
        </w:rPr>
        <w:t xml:space="preserve">electronically would </w:t>
      </w:r>
      <w:r w:rsidR="00354E18">
        <w:rPr>
          <w:sz w:val="24"/>
          <w:szCs w:val="24"/>
        </w:rPr>
        <w:t xml:space="preserve">not </w:t>
      </w:r>
      <w:r w:rsidRPr="002D1B1F" w:rsidR="002D1B1F">
        <w:rPr>
          <w:sz w:val="24"/>
          <w:szCs w:val="24"/>
        </w:rPr>
        <w:t xml:space="preserve">provide satisfactory evidence of a respondent’s residence. </w:t>
      </w:r>
      <w:r w:rsidR="00DB06D2">
        <w:rPr>
          <w:sz w:val="24"/>
          <w:szCs w:val="24"/>
        </w:rPr>
        <w:t xml:space="preserve"> </w:t>
      </w:r>
      <w:r w:rsidR="00EA499F">
        <w:rPr>
          <w:sz w:val="24"/>
          <w:szCs w:val="24"/>
        </w:rPr>
        <w:t xml:space="preserve">Allowing respondents to complete their </w:t>
      </w:r>
      <w:r w:rsidR="00194DF5">
        <w:rPr>
          <w:sz w:val="24"/>
          <w:szCs w:val="24"/>
        </w:rPr>
        <w:t>form</w:t>
      </w:r>
      <w:r w:rsidR="00EA499F">
        <w:rPr>
          <w:sz w:val="24"/>
          <w:szCs w:val="24"/>
        </w:rPr>
        <w:t xml:space="preserve"> online </w:t>
      </w:r>
      <w:r w:rsidR="003F36A7">
        <w:rPr>
          <w:sz w:val="24"/>
          <w:szCs w:val="24"/>
        </w:rPr>
        <w:t>could</w:t>
      </w:r>
      <w:r w:rsidRPr="002D1B1F" w:rsidR="002D1B1F">
        <w:rPr>
          <w:sz w:val="24"/>
          <w:szCs w:val="24"/>
        </w:rPr>
        <w:t xml:space="preserve"> sacrifice our </w:t>
      </w:r>
      <w:r w:rsidR="00D82FAA">
        <w:rPr>
          <w:sz w:val="24"/>
          <w:szCs w:val="24"/>
        </w:rPr>
        <w:t xml:space="preserve">primary </w:t>
      </w:r>
      <w:r w:rsidR="008C49CD">
        <w:rPr>
          <w:sz w:val="24"/>
          <w:szCs w:val="24"/>
        </w:rPr>
        <w:t xml:space="preserve">way of </w:t>
      </w:r>
      <w:r w:rsidR="00DB5E41">
        <w:rPr>
          <w:sz w:val="24"/>
          <w:szCs w:val="24"/>
        </w:rPr>
        <w:t>ensuring</w:t>
      </w:r>
      <w:r w:rsidR="003F36A7">
        <w:rPr>
          <w:sz w:val="24"/>
          <w:szCs w:val="24"/>
        </w:rPr>
        <w:t xml:space="preserve"> </w:t>
      </w:r>
      <w:r w:rsidR="00DB5E41">
        <w:rPr>
          <w:sz w:val="24"/>
          <w:szCs w:val="24"/>
        </w:rPr>
        <w:t xml:space="preserve">that </w:t>
      </w:r>
      <w:r w:rsidR="003F36A7">
        <w:rPr>
          <w:sz w:val="24"/>
          <w:szCs w:val="24"/>
        </w:rPr>
        <w:t>beneficiaries abroad live</w:t>
      </w:r>
      <w:r w:rsidR="00DB5E41">
        <w:rPr>
          <w:sz w:val="24"/>
          <w:szCs w:val="24"/>
        </w:rPr>
        <w:t xml:space="preserve"> where they claim to live</w:t>
      </w:r>
      <w:r w:rsidR="00CD616A">
        <w:rPr>
          <w:sz w:val="24"/>
          <w:szCs w:val="24"/>
        </w:rPr>
        <w:t>, putting</w:t>
      </w:r>
      <w:r w:rsidRPr="002D1B1F" w:rsidR="002D1B1F">
        <w:rPr>
          <w:sz w:val="24"/>
          <w:szCs w:val="24"/>
        </w:rPr>
        <w:t xml:space="preserve"> the integrity of </w:t>
      </w:r>
      <w:r w:rsidR="003D1938">
        <w:rPr>
          <w:sz w:val="24"/>
          <w:szCs w:val="24"/>
        </w:rPr>
        <w:t xml:space="preserve">our </w:t>
      </w:r>
      <w:r w:rsidRPr="002D1B1F" w:rsidR="002D1B1F">
        <w:rPr>
          <w:sz w:val="24"/>
          <w:szCs w:val="24"/>
        </w:rPr>
        <w:t xml:space="preserve">program at risk. </w:t>
      </w:r>
      <w:r w:rsidR="003D1938">
        <w:rPr>
          <w:sz w:val="24"/>
          <w:szCs w:val="24"/>
        </w:rPr>
        <w:t xml:space="preserve"> </w:t>
      </w:r>
    </w:p>
    <w:p w:rsidR="006F41C5" w:rsidP="00A0071F" w14:paraId="191F53D7" w14:textId="77777777">
      <w:pPr>
        <w:pStyle w:val="ListParagraph"/>
        <w:tabs>
          <w:tab w:val="left" w:pos="-720"/>
        </w:tabs>
        <w:suppressAutoHyphens/>
        <w:ind w:left="1080"/>
        <w:rPr>
          <w:sz w:val="24"/>
          <w:szCs w:val="24"/>
        </w:rPr>
      </w:pPr>
    </w:p>
    <w:p w:rsidR="00EE1CE5" w:rsidRPr="00806C3E" w:rsidP="00EE1CE5" w14:paraId="633D4FD3" w14:textId="518EE108">
      <w:pPr>
        <w:pStyle w:val="ListParagraph"/>
        <w:tabs>
          <w:tab w:val="left" w:pos="-720"/>
        </w:tabs>
        <w:suppressAutoHyphens/>
        <w:ind w:left="1080"/>
        <w:rPr>
          <w:sz w:val="24"/>
          <w:szCs w:val="24"/>
        </w:rPr>
      </w:pPr>
      <w:r w:rsidRPr="00FB173D">
        <w:rPr>
          <w:sz w:val="24"/>
          <w:szCs w:val="24"/>
        </w:rPr>
        <w:t>However, due to frequent global mail service disruptions</w:t>
      </w:r>
      <w:r>
        <w:rPr>
          <w:sz w:val="24"/>
          <w:szCs w:val="24"/>
        </w:rPr>
        <w:t xml:space="preserve">, </w:t>
      </w:r>
      <w:r w:rsidRPr="00FB173D">
        <w:rPr>
          <w:sz w:val="24"/>
          <w:szCs w:val="24"/>
        </w:rPr>
        <w:t>we are exploring alternative ways to collect the information</w:t>
      </w:r>
      <w:r w:rsidR="007F4F10">
        <w:rPr>
          <w:sz w:val="24"/>
          <w:szCs w:val="24"/>
        </w:rPr>
        <w:t>.</w:t>
      </w:r>
      <w:r w:rsidRPr="00FB173D">
        <w:rPr>
          <w:sz w:val="24"/>
          <w:szCs w:val="24"/>
        </w:rPr>
        <w:t xml:space="preserve">  We </w:t>
      </w:r>
      <w:r>
        <w:rPr>
          <w:sz w:val="24"/>
          <w:szCs w:val="24"/>
        </w:rPr>
        <w:t xml:space="preserve">may also reconsider an </w:t>
      </w:r>
      <w:r w:rsidRPr="00FB173D">
        <w:rPr>
          <w:sz w:val="24"/>
          <w:szCs w:val="24"/>
        </w:rPr>
        <w:t xml:space="preserve">electronic </w:t>
      </w:r>
      <w:r>
        <w:rPr>
          <w:sz w:val="24"/>
          <w:szCs w:val="24"/>
        </w:rPr>
        <w:t xml:space="preserve">version of </w:t>
      </w:r>
      <w:r w:rsidRPr="00FB173D">
        <w:rPr>
          <w:sz w:val="24"/>
          <w:szCs w:val="24"/>
        </w:rPr>
        <w:t>the forms</w:t>
      </w:r>
      <w:r>
        <w:rPr>
          <w:sz w:val="24"/>
          <w:szCs w:val="24"/>
        </w:rPr>
        <w:t xml:space="preserve">, which could only </w:t>
      </w:r>
      <w:r>
        <w:rPr>
          <w:sz w:val="24"/>
          <w:szCs w:val="24"/>
        </w:rPr>
        <w:t>be submitted</w:t>
      </w:r>
      <w:r>
        <w:rPr>
          <w:sz w:val="24"/>
          <w:szCs w:val="24"/>
        </w:rPr>
        <w:t xml:space="preserve"> by an </w:t>
      </w:r>
      <w:r w:rsidRPr="00FB173D">
        <w:rPr>
          <w:sz w:val="24"/>
          <w:szCs w:val="24"/>
        </w:rPr>
        <w:t>authenticated mySSA online account</w:t>
      </w:r>
      <w:r>
        <w:rPr>
          <w:sz w:val="24"/>
          <w:szCs w:val="24"/>
        </w:rPr>
        <w:t xml:space="preserve"> user, </w:t>
      </w:r>
      <w:r w:rsidRPr="00FB173D">
        <w:rPr>
          <w:sz w:val="24"/>
          <w:szCs w:val="24"/>
        </w:rPr>
        <w:t xml:space="preserve">and allow </w:t>
      </w:r>
      <w:r>
        <w:rPr>
          <w:sz w:val="24"/>
          <w:szCs w:val="24"/>
        </w:rPr>
        <w:t>the forms to be signed electronically</w:t>
      </w:r>
      <w:r w:rsidRPr="00FB173D">
        <w:rPr>
          <w:sz w:val="24"/>
          <w:szCs w:val="24"/>
        </w:rPr>
        <w:t xml:space="preserve">.  </w:t>
      </w:r>
      <w:r>
        <w:rPr>
          <w:sz w:val="24"/>
          <w:szCs w:val="24"/>
        </w:rPr>
        <w:t xml:space="preserve">However, such changes have </w:t>
      </w:r>
      <w:r w:rsidRPr="00A86B8D">
        <w:rPr>
          <w:sz w:val="24"/>
          <w:szCs w:val="24"/>
        </w:rPr>
        <w:t xml:space="preserve">not </w:t>
      </w:r>
      <w:r w:rsidRPr="00A86B8D">
        <w:rPr>
          <w:sz w:val="24"/>
          <w:szCs w:val="24"/>
        </w:rPr>
        <w:t>be</w:t>
      </w:r>
      <w:r>
        <w:rPr>
          <w:sz w:val="24"/>
          <w:szCs w:val="24"/>
        </w:rPr>
        <w:t>en made</w:t>
      </w:r>
      <w:r>
        <w:rPr>
          <w:sz w:val="24"/>
          <w:szCs w:val="24"/>
        </w:rPr>
        <w:t xml:space="preserve"> as of the writing of this submission.  If</w:t>
      </w:r>
      <w:r w:rsidRPr="0087624C">
        <w:rPr>
          <w:sz w:val="24"/>
          <w:szCs w:val="24"/>
        </w:rPr>
        <w:t xml:space="preserve"> </w:t>
      </w:r>
      <w:r>
        <w:rPr>
          <w:sz w:val="24"/>
          <w:szCs w:val="24"/>
        </w:rPr>
        <w:t xml:space="preserve">we </w:t>
      </w:r>
      <w:r w:rsidRPr="0087624C">
        <w:rPr>
          <w:sz w:val="24"/>
          <w:szCs w:val="24"/>
        </w:rPr>
        <w:t>schedule th</w:t>
      </w:r>
      <w:r>
        <w:rPr>
          <w:sz w:val="24"/>
          <w:szCs w:val="24"/>
        </w:rPr>
        <w:t>e</w:t>
      </w:r>
      <w:r w:rsidRPr="0087624C">
        <w:rPr>
          <w:sz w:val="24"/>
          <w:szCs w:val="24"/>
        </w:rPr>
        <w:t xml:space="preserve"> form</w:t>
      </w:r>
      <w:r>
        <w:rPr>
          <w:sz w:val="24"/>
          <w:szCs w:val="24"/>
        </w:rPr>
        <w:t>s</w:t>
      </w:r>
      <w:r w:rsidRPr="0087624C">
        <w:rPr>
          <w:sz w:val="24"/>
          <w:szCs w:val="24"/>
        </w:rPr>
        <w:t xml:space="preserve"> for conversion to a submittable PDF, we will submit a Change Request to OMB to request prior approval.</w:t>
      </w:r>
    </w:p>
    <w:p w:rsidR="00EE1CE5" w:rsidP="00A0071F" w14:paraId="5F6D8661" w14:textId="77777777">
      <w:pPr>
        <w:pStyle w:val="ListParagraph"/>
        <w:tabs>
          <w:tab w:val="left" w:pos="-720"/>
        </w:tabs>
        <w:suppressAutoHyphens/>
        <w:ind w:left="1080"/>
        <w:rPr>
          <w:sz w:val="24"/>
          <w:szCs w:val="24"/>
        </w:rPr>
      </w:pPr>
    </w:p>
    <w:p w:rsidR="008E0947" w:rsidRPr="0060778C" w:rsidP="00487E40" w14:paraId="53252767" w14:textId="77777777">
      <w:pPr>
        <w:pStyle w:val="ListParagraph"/>
        <w:numPr>
          <w:ilvl w:val="0"/>
          <w:numId w:val="21"/>
        </w:numPr>
        <w:tabs>
          <w:tab w:val="left" w:pos="-720"/>
        </w:tabs>
        <w:suppressAutoHyphens/>
        <w:rPr>
          <w:b/>
          <w:sz w:val="24"/>
          <w:szCs w:val="24"/>
        </w:rPr>
      </w:pPr>
      <w:r w:rsidRPr="0060778C">
        <w:rPr>
          <w:b/>
          <w:sz w:val="24"/>
          <w:szCs w:val="24"/>
        </w:rPr>
        <w:t>Why We Cannot Use Duplicate Information</w:t>
      </w:r>
    </w:p>
    <w:p w:rsidR="00487E40" w:rsidRPr="0060778C" w:rsidP="008E0947" w14:paraId="53657082" w14:textId="77777777">
      <w:pPr>
        <w:pStyle w:val="ListParagraph"/>
        <w:tabs>
          <w:tab w:val="left" w:pos="-720"/>
        </w:tabs>
        <w:suppressAutoHyphens/>
        <w:ind w:left="1080"/>
        <w:rPr>
          <w:b/>
          <w:sz w:val="24"/>
          <w:szCs w:val="24"/>
        </w:rPr>
      </w:pPr>
      <w:r w:rsidRPr="0060778C">
        <w:rPr>
          <w:sz w:val="24"/>
          <w:szCs w:val="24"/>
        </w:rPr>
        <w:t>The nature of the information we collect and the manner in which we collect it preclude duplication.  SSA does not use another instrument to obtain similar data</w:t>
      </w:r>
      <w:r w:rsidRPr="0060778C" w:rsidR="0033373D">
        <w:rPr>
          <w:sz w:val="24"/>
          <w:szCs w:val="24"/>
        </w:rPr>
        <w:t xml:space="preserve"> from respondents residing in foreign countries</w:t>
      </w:r>
      <w:r w:rsidRPr="0060778C">
        <w:rPr>
          <w:sz w:val="24"/>
          <w:szCs w:val="24"/>
        </w:rPr>
        <w:t>.</w:t>
      </w:r>
    </w:p>
    <w:p w:rsidR="006F39A1" w:rsidRPr="0060778C" w:rsidP="006F39A1" w14:paraId="759A201D" w14:textId="77777777">
      <w:pPr>
        <w:pStyle w:val="ListParagraph"/>
        <w:tabs>
          <w:tab w:val="left" w:pos="-720"/>
        </w:tabs>
        <w:suppressAutoHyphens/>
        <w:ind w:left="1080"/>
        <w:rPr>
          <w:b/>
          <w:sz w:val="24"/>
          <w:szCs w:val="24"/>
        </w:rPr>
      </w:pPr>
    </w:p>
    <w:p w:rsidR="008E0947" w:rsidRPr="0060778C" w:rsidP="00487E40" w14:paraId="34CEE029" w14:textId="77777777">
      <w:pPr>
        <w:pStyle w:val="ListParagraph"/>
        <w:numPr>
          <w:ilvl w:val="0"/>
          <w:numId w:val="21"/>
        </w:numPr>
        <w:tabs>
          <w:tab w:val="left" w:pos="-720"/>
        </w:tabs>
        <w:suppressAutoHyphens/>
        <w:rPr>
          <w:b/>
          <w:sz w:val="32"/>
          <w:szCs w:val="24"/>
        </w:rPr>
      </w:pPr>
      <w:r w:rsidRPr="0060778C">
        <w:rPr>
          <w:b/>
          <w:sz w:val="24"/>
        </w:rPr>
        <w:t>Minimizing Burden on Small Respondents</w:t>
      </w:r>
    </w:p>
    <w:p w:rsidR="00487E40" w:rsidRPr="0060778C" w:rsidP="008E0947" w14:paraId="7F7A66D2" w14:textId="77777777">
      <w:pPr>
        <w:pStyle w:val="ListParagraph"/>
        <w:tabs>
          <w:tab w:val="left" w:pos="-720"/>
        </w:tabs>
        <w:suppressAutoHyphens/>
        <w:ind w:left="1080"/>
        <w:rPr>
          <w:b/>
          <w:sz w:val="24"/>
          <w:szCs w:val="24"/>
        </w:rPr>
      </w:pPr>
      <w:r w:rsidRPr="0060778C">
        <w:rPr>
          <w:sz w:val="24"/>
          <w:szCs w:val="24"/>
        </w:rPr>
        <w:t>This collection does not affect small businesses or other small entities.</w:t>
      </w:r>
    </w:p>
    <w:p w:rsidR="006F39A1" w:rsidRPr="0060778C" w:rsidP="006F39A1" w14:paraId="15C79601" w14:textId="77777777">
      <w:pPr>
        <w:tabs>
          <w:tab w:val="left" w:pos="-720"/>
        </w:tabs>
        <w:suppressAutoHyphens/>
        <w:rPr>
          <w:b/>
          <w:sz w:val="24"/>
          <w:szCs w:val="24"/>
        </w:rPr>
      </w:pPr>
    </w:p>
    <w:p w:rsidR="008E0947" w:rsidRPr="0060778C" w:rsidP="00487E40" w14:paraId="24D266D4" w14:textId="77777777">
      <w:pPr>
        <w:pStyle w:val="ListParagraph"/>
        <w:numPr>
          <w:ilvl w:val="0"/>
          <w:numId w:val="21"/>
        </w:numPr>
        <w:tabs>
          <w:tab w:val="left" w:pos="-720"/>
        </w:tabs>
        <w:suppressAutoHyphens/>
        <w:rPr>
          <w:b/>
          <w:sz w:val="32"/>
          <w:szCs w:val="24"/>
        </w:rPr>
      </w:pPr>
      <w:r w:rsidRPr="0060778C">
        <w:rPr>
          <w:b/>
          <w:sz w:val="24"/>
        </w:rPr>
        <w:t>Consequence of Not Collecting Information or Collecting it Less Frequently</w:t>
      </w:r>
    </w:p>
    <w:p w:rsidR="000724CB" w:rsidP="008E0947" w14:paraId="5C5CB1FB" w14:textId="0115A4E0">
      <w:pPr>
        <w:pStyle w:val="ListParagraph"/>
        <w:tabs>
          <w:tab w:val="left" w:pos="-720"/>
        </w:tabs>
        <w:suppressAutoHyphens/>
        <w:ind w:left="1080"/>
        <w:rPr>
          <w:sz w:val="24"/>
          <w:szCs w:val="24"/>
        </w:rPr>
      </w:pPr>
      <w:r w:rsidRPr="0060778C">
        <w:rPr>
          <w:sz w:val="24"/>
          <w:szCs w:val="24"/>
        </w:rPr>
        <w:t xml:space="preserve">Forms SSA-7161-OCR-SM and SSA-7162-OCR-SM gather information about events and changes in circumstances that might affect entitlement to Title II benefits, or eligibility for payment of such benefits, </w:t>
      </w:r>
      <w:r w:rsidR="002D604E">
        <w:rPr>
          <w:sz w:val="24"/>
          <w:szCs w:val="24"/>
        </w:rPr>
        <w:t>for</w:t>
      </w:r>
      <w:r w:rsidRPr="0060778C">
        <w:rPr>
          <w:sz w:val="24"/>
          <w:szCs w:val="24"/>
        </w:rPr>
        <w:t xml:space="preserve"> beneficiaries living outside the United States.  </w:t>
      </w:r>
      <w:r w:rsidR="0006722B">
        <w:rPr>
          <w:sz w:val="24"/>
          <w:szCs w:val="24"/>
        </w:rPr>
        <w:t>By n</w:t>
      </w:r>
      <w:r w:rsidR="00CC3786">
        <w:rPr>
          <w:sz w:val="24"/>
          <w:szCs w:val="24"/>
        </w:rPr>
        <w:t xml:space="preserve">ot sending the forms, or sending </w:t>
      </w:r>
      <w:r w:rsidR="0006722B">
        <w:rPr>
          <w:sz w:val="24"/>
          <w:szCs w:val="24"/>
        </w:rPr>
        <w:t>them less often, w</w:t>
      </w:r>
      <w:r w:rsidR="007243F6">
        <w:rPr>
          <w:sz w:val="24"/>
          <w:szCs w:val="24"/>
        </w:rPr>
        <w:t>e would be less likely to lea</w:t>
      </w:r>
      <w:r w:rsidRPr="0060778C">
        <w:rPr>
          <w:sz w:val="24"/>
          <w:szCs w:val="24"/>
        </w:rPr>
        <w:t xml:space="preserve">rn about such events and changes in circumstances since it is more difficult for beneficiaries </w:t>
      </w:r>
      <w:r w:rsidR="0006722B">
        <w:rPr>
          <w:sz w:val="24"/>
          <w:szCs w:val="24"/>
        </w:rPr>
        <w:t xml:space="preserve">abroad </w:t>
      </w:r>
      <w:r w:rsidRPr="0060778C">
        <w:rPr>
          <w:sz w:val="24"/>
          <w:szCs w:val="24"/>
        </w:rPr>
        <w:t>to self</w:t>
      </w:r>
      <w:r w:rsidRPr="0060778C">
        <w:rPr>
          <w:sz w:val="24"/>
          <w:szCs w:val="24"/>
        </w:rPr>
        <w:noBreakHyphen/>
        <w:t>report</w:t>
      </w:r>
      <w:r w:rsidR="00574A3F">
        <w:rPr>
          <w:sz w:val="24"/>
          <w:szCs w:val="24"/>
        </w:rPr>
        <w:t xml:space="preserve"> them</w:t>
      </w:r>
      <w:r w:rsidRPr="0060778C">
        <w:rPr>
          <w:sz w:val="24"/>
          <w:szCs w:val="24"/>
        </w:rPr>
        <w:t xml:space="preserve">.  </w:t>
      </w:r>
      <w:r>
        <w:rPr>
          <w:sz w:val="24"/>
          <w:szCs w:val="24"/>
        </w:rPr>
        <w:t>This could result in improper payments</w:t>
      </w:r>
      <w:r w:rsidR="00D96435">
        <w:rPr>
          <w:sz w:val="24"/>
          <w:szCs w:val="24"/>
        </w:rPr>
        <w:t xml:space="preserve">. </w:t>
      </w:r>
    </w:p>
    <w:p w:rsidR="000724CB" w:rsidP="008E0947" w14:paraId="7CAEE9C7" w14:textId="77777777">
      <w:pPr>
        <w:pStyle w:val="ListParagraph"/>
        <w:tabs>
          <w:tab w:val="left" w:pos="-720"/>
        </w:tabs>
        <w:suppressAutoHyphens/>
        <w:ind w:left="1080"/>
        <w:rPr>
          <w:sz w:val="24"/>
          <w:szCs w:val="24"/>
        </w:rPr>
      </w:pPr>
    </w:p>
    <w:p w:rsidR="00487E40" w:rsidRPr="0060778C" w:rsidP="008E0947" w14:paraId="36BF8AEA" w14:textId="1C8FAFE8">
      <w:pPr>
        <w:pStyle w:val="ListParagraph"/>
        <w:tabs>
          <w:tab w:val="left" w:pos="-720"/>
        </w:tabs>
        <w:suppressAutoHyphens/>
        <w:ind w:left="1080"/>
        <w:rPr>
          <w:sz w:val="24"/>
          <w:szCs w:val="24"/>
        </w:rPr>
      </w:pPr>
      <w:r w:rsidRPr="0060778C">
        <w:rPr>
          <w:sz w:val="24"/>
          <w:szCs w:val="24"/>
        </w:rPr>
        <w:t xml:space="preserve">Additionally, </w:t>
      </w:r>
      <w:r w:rsidR="00574A3F">
        <w:rPr>
          <w:sz w:val="24"/>
          <w:szCs w:val="24"/>
        </w:rPr>
        <w:t xml:space="preserve">the </w:t>
      </w:r>
      <w:r w:rsidRPr="0060778C">
        <w:rPr>
          <w:sz w:val="24"/>
          <w:szCs w:val="24"/>
        </w:rPr>
        <w:t xml:space="preserve">SSA-7161-OCR-SM serves </w:t>
      </w:r>
      <w:r w:rsidR="00574A3F">
        <w:rPr>
          <w:sz w:val="24"/>
          <w:szCs w:val="24"/>
        </w:rPr>
        <w:t xml:space="preserve">a secondary function as our </w:t>
      </w:r>
      <w:r w:rsidR="00801D65">
        <w:rPr>
          <w:sz w:val="24"/>
          <w:szCs w:val="24"/>
        </w:rPr>
        <w:t xml:space="preserve">mechanism for gathering </w:t>
      </w:r>
      <w:r w:rsidR="00D96435">
        <w:rPr>
          <w:sz w:val="24"/>
          <w:szCs w:val="24"/>
        </w:rPr>
        <w:t xml:space="preserve">representative payee </w:t>
      </w:r>
      <w:r w:rsidRPr="0060778C">
        <w:rPr>
          <w:sz w:val="24"/>
          <w:szCs w:val="24"/>
        </w:rPr>
        <w:t>account</w:t>
      </w:r>
      <w:r w:rsidR="00801D65">
        <w:rPr>
          <w:sz w:val="24"/>
          <w:szCs w:val="24"/>
        </w:rPr>
        <w:t>ing information</w:t>
      </w:r>
      <w:r w:rsidR="0001724E">
        <w:rPr>
          <w:sz w:val="24"/>
          <w:szCs w:val="24"/>
        </w:rPr>
        <w:t>, which</w:t>
      </w:r>
      <w:r w:rsidR="00031F87">
        <w:rPr>
          <w:sz w:val="24"/>
          <w:szCs w:val="24"/>
        </w:rPr>
        <w:t xml:space="preserve"> statutorily requires</w:t>
      </w:r>
      <w:r w:rsidR="0001724E">
        <w:rPr>
          <w:sz w:val="24"/>
          <w:szCs w:val="24"/>
        </w:rPr>
        <w:t xml:space="preserve"> </w:t>
      </w:r>
      <w:r w:rsidR="00031F87">
        <w:rPr>
          <w:sz w:val="24"/>
          <w:szCs w:val="24"/>
        </w:rPr>
        <w:t>SSA to</w:t>
      </w:r>
      <w:r w:rsidR="00254212">
        <w:rPr>
          <w:sz w:val="24"/>
          <w:szCs w:val="24"/>
        </w:rPr>
        <w:t xml:space="preserve"> do on an annual basis</w:t>
      </w:r>
      <w:r w:rsidR="0052075B">
        <w:rPr>
          <w:sz w:val="24"/>
          <w:szCs w:val="24"/>
        </w:rPr>
        <w:t>.</w:t>
      </w:r>
      <w:r w:rsidR="00254212">
        <w:rPr>
          <w:sz w:val="24"/>
          <w:szCs w:val="24"/>
        </w:rPr>
        <w:t xml:space="preserve"> </w:t>
      </w:r>
      <w:r w:rsidR="00337511">
        <w:rPr>
          <w:sz w:val="24"/>
          <w:szCs w:val="24"/>
        </w:rPr>
        <w:t xml:space="preserve"> </w:t>
      </w:r>
      <w:r w:rsidR="00AE620D">
        <w:rPr>
          <w:sz w:val="24"/>
          <w:szCs w:val="24"/>
        </w:rPr>
        <w:t>We would be out of compliance if we did not collect the information on an annual basis.</w:t>
      </w:r>
    </w:p>
    <w:p w:rsidR="007A5D91" w:rsidRPr="0060778C" w:rsidP="008E0947" w14:paraId="1FA4CB94" w14:textId="1022B36D">
      <w:pPr>
        <w:pStyle w:val="ListParagraph"/>
        <w:tabs>
          <w:tab w:val="left" w:pos="-720"/>
        </w:tabs>
        <w:suppressAutoHyphens/>
        <w:ind w:left="1080"/>
        <w:rPr>
          <w:sz w:val="24"/>
          <w:szCs w:val="24"/>
        </w:rPr>
      </w:pPr>
    </w:p>
    <w:p w:rsidR="008E0947" w:rsidRPr="0060778C" w:rsidP="00487E40" w14:paraId="70BC935A" w14:textId="77777777">
      <w:pPr>
        <w:pStyle w:val="ListParagraph"/>
        <w:numPr>
          <w:ilvl w:val="0"/>
          <w:numId w:val="21"/>
        </w:numPr>
        <w:tabs>
          <w:tab w:val="left" w:pos="-720"/>
        </w:tabs>
        <w:suppressAutoHyphens/>
        <w:rPr>
          <w:b/>
          <w:sz w:val="32"/>
          <w:szCs w:val="24"/>
        </w:rPr>
      </w:pPr>
      <w:r w:rsidRPr="0060778C">
        <w:rPr>
          <w:b/>
          <w:sz w:val="24"/>
        </w:rPr>
        <w:t>Special Circumstances</w:t>
      </w:r>
    </w:p>
    <w:p w:rsidR="00487E40" w:rsidRPr="0060778C" w:rsidP="008E0947" w14:paraId="0D6DC807" w14:textId="77777777">
      <w:pPr>
        <w:pStyle w:val="ListParagraph"/>
        <w:tabs>
          <w:tab w:val="left" w:pos="-720"/>
        </w:tabs>
        <w:suppressAutoHyphens/>
        <w:ind w:left="1080"/>
        <w:rPr>
          <w:b/>
          <w:sz w:val="24"/>
          <w:szCs w:val="24"/>
        </w:rPr>
      </w:pPr>
      <w:r w:rsidRPr="0060778C">
        <w:rPr>
          <w:sz w:val="24"/>
          <w:szCs w:val="24"/>
        </w:rPr>
        <w:t xml:space="preserve">There are no special circumstances that would cause SSA to conduct this information collection in a manner inconsistent with </w:t>
      </w:r>
      <w:r w:rsidRPr="0060778C">
        <w:rPr>
          <w:i/>
          <w:sz w:val="24"/>
          <w:szCs w:val="24"/>
        </w:rPr>
        <w:t>5 CFR 1320.5</w:t>
      </w:r>
      <w:r w:rsidRPr="0060778C">
        <w:rPr>
          <w:sz w:val="24"/>
          <w:szCs w:val="24"/>
        </w:rPr>
        <w:t>.</w:t>
      </w:r>
    </w:p>
    <w:p w:rsidR="00C44451" w:rsidRPr="0060778C" w:rsidP="008E0947" w14:paraId="35523D8E" w14:textId="77777777">
      <w:pPr>
        <w:tabs>
          <w:tab w:val="left" w:pos="-720"/>
        </w:tabs>
        <w:suppressAutoHyphens/>
        <w:rPr>
          <w:b/>
          <w:sz w:val="24"/>
          <w:szCs w:val="24"/>
        </w:rPr>
      </w:pPr>
    </w:p>
    <w:p w:rsidR="008E0947" w:rsidRPr="0060778C" w:rsidP="00487E40" w14:paraId="2F104269" w14:textId="77777777">
      <w:pPr>
        <w:pStyle w:val="ListParagraph"/>
        <w:numPr>
          <w:ilvl w:val="0"/>
          <w:numId w:val="21"/>
        </w:numPr>
        <w:tabs>
          <w:tab w:val="left" w:pos="-720"/>
        </w:tabs>
        <w:suppressAutoHyphens/>
        <w:rPr>
          <w:b/>
          <w:sz w:val="32"/>
          <w:szCs w:val="24"/>
        </w:rPr>
      </w:pPr>
      <w:r w:rsidRPr="0060778C">
        <w:rPr>
          <w:b/>
          <w:sz w:val="24"/>
        </w:rPr>
        <w:t>Solicitation of Public Comment and Other Consultations with the Public</w:t>
      </w:r>
    </w:p>
    <w:p w:rsidR="00F05E08" w:rsidRPr="004D4A7D" w:rsidP="00F05E08" w14:paraId="4951742F" w14:textId="758A324C">
      <w:pPr>
        <w:pStyle w:val="ListParagraph"/>
        <w:ind w:left="1080"/>
        <w:rPr>
          <w:sz w:val="24"/>
          <w:szCs w:val="24"/>
        </w:rPr>
      </w:pPr>
      <w:r w:rsidRPr="004D4A7D">
        <w:rPr>
          <w:noProof/>
          <w:sz w:val="24"/>
          <w:szCs w:val="24"/>
          <w:lang w:bidi="en-US"/>
        </w:rPr>
        <w:t xml:space="preserve">The 60-day advance Federal Register Notice published on </w:t>
      </w:r>
      <w:r>
        <w:rPr>
          <w:noProof/>
          <w:sz w:val="24"/>
          <w:szCs w:val="24"/>
          <w:lang w:bidi="en-US"/>
        </w:rPr>
        <w:t>August 29, 2025</w:t>
      </w:r>
      <w:r w:rsidRPr="004D4A7D">
        <w:rPr>
          <w:sz w:val="24"/>
          <w:szCs w:val="24"/>
        </w:rPr>
        <w:t xml:space="preserve">, at </w:t>
      </w:r>
    </w:p>
    <w:p w:rsidR="007D0E8A" w:rsidRPr="0060778C" w:rsidP="00C511FF" w14:paraId="62A1EB28" w14:textId="4C66554F">
      <w:pPr>
        <w:pStyle w:val="ListParagraph"/>
        <w:ind w:left="1080"/>
        <w:rPr>
          <w:sz w:val="24"/>
          <w:szCs w:val="24"/>
        </w:rPr>
      </w:pPr>
      <w:r w:rsidRPr="004D4A7D">
        <w:rPr>
          <w:sz w:val="24"/>
          <w:szCs w:val="24"/>
        </w:rPr>
        <w:t xml:space="preserve">90 FR </w:t>
      </w:r>
      <w:r>
        <w:rPr>
          <w:sz w:val="24"/>
          <w:szCs w:val="24"/>
        </w:rPr>
        <w:t>42294</w:t>
      </w:r>
      <w:r w:rsidRPr="004D4A7D">
        <w:rPr>
          <w:sz w:val="24"/>
          <w:szCs w:val="24"/>
        </w:rPr>
        <w:t xml:space="preserve">, </w:t>
      </w:r>
      <w:r w:rsidRPr="004D4A7D">
        <w:rPr>
          <w:noProof/>
          <w:sz w:val="24"/>
          <w:szCs w:val="24"/>
          <w:lang w:bidi="en-US"/>
        </w:rPr>
        <w:t xml:space="preserve">and we received no public comments.  </w:t>
      </w:r>
      <w:r w:rsidRPr="004D4A7D">
        <w:rPr>
          <w:sz w:val="24"/>
          <w:szCs w:val="24"/>
        </w:rPr>
        <w:t>The 30-day FRN published on</w:t>
      </w:r>
      <w:r>
        <w:rPr>
          <w:sz w:val="24"/>
          <w:szCs w:val="24"/>
        </w:rPr>
        <w:t xml:space="preserve"> </w:t>
      </w:r>
      <w:r w:rsidR="002148B7">
        <w:rPr>
          <w:sz w:val="24"/>
          <w:szCs w:val="24"/>
        </w:rPr>
        <w:t xml:space="preserve">December 17, </w:t>
      </w:r>
      <w:r w:rsidR="00031F87">
        <w:rPr>
          <w:sz w:val="24"/>
          <w:szCs w:val="24"/>
        </w:rPr>
        <w:t>2025,</w:t>
      </w:r>
      <w:r w:rsidRPr="004D4A7D">
        <w:rPr>
          <w:sz w:val="24"/>
          <w:szCs w:val="24"/>
        </w:rPr>
        <w:t xml:space="preserve"> at 90 FR </w:t>
      </w:r>
      <w:r w:rsidR="002148B7">
        <w:rPr>
          <w:sz w:val="24"/>
          <w:szCs w:val="24"/>
        </w:rPr>
        <w:t>58678</w:t>
      </w:r>
      <w:r w:rsidRPr="004D4A7D">
        <w:rPr>
          <w:sz w:val="24"/>
          <w:szCs w:val="24"/>
        </w:rPr>
        <w:t>.  If we receive any comments in response to this Notice, we will forward them to OMB.  We did not consult with the public in the revision of this form.</w:t>
      </w:r>
      <w:r>
        <w:rPr>
          <w:sz w:val="24"/>
          <w:szCs w:val="24"/>
        </w:rPr>
        <w:t xml:space="preserve">  </w:t>
      </w:r>
      <w:r w:rsidRPr="0060778C">
        <w:rPr>
          <w:sz w:val="24"/>
          <w:szCs w:val="24"/>
        </w:rPr>
        <w:t>We did not consult with the public in the revision/maintenance of this form.</w:t>
      </w:r>
    </w:p>
    <w:p w:rsidR="008E0947" w:rsidRPr="0060778C" w:rsidP="008E0947" w14:paraId="61763327" w14:textId="77777777">
      <w:pPr>
        <w:tabs>
          <w:tab w:val="left" w:pos="-720"/>
        </w:tabs>
        <w:suppressAutoHyphens/>
        <w:rPr>
          <w:b/>
          <w:sz w:val="24"/>
          <w:szCs w:val="24"/>
        </w:rPr>
      </w:pPr>
    </w:p>
    <w:p w:rsidR="008E0947" w:rsidRPr="0060778C" w:rsidP="00487E40" w14:paraId="0E955209" w14:textId="77777777">
      <w:pPr>
        <w:pStyle w:val="ListParagraph"/>
        <w:numPr>
          <w:ilvl w:val="0"/>
          <w:numId w:val="21"/>
        </w:numPr>
        <w:tabs>
          <w:tab w:val="left" w:pos="-720"/>
        </w:tabs>
        <w:suppressAutoHyphens/>
        <w:rPr>
          <w:b/>
          <w:sz w:val="24"/>
          <w:szCs w:val="24"/>
        </w:rPr>
      </w:pPr>
      <w:r w:rsidRPr="0060778C">
        <w:rPr>
          <w:b/>
          <w:sz w:val="24"/>
        </w:rPr>
        <w:t>Payment or Gifts to Respondents</w:t>
      </w:r>
    </w:p>
    <w:p w:rsidR="00487E40" w:rsidRPr="0060778C" w:rsidP="008E0947" w14:paraId="1178E835" w14:textId="77777777">
      <w:pPr>
        <w:pStyle w:val="ListParagraph"/>
        <w:tabs>
          <w:tab w:val="left" w:pos="-720"/>
        </w:tabs>
        <w:suppressAutoHyphens/>
        <w:ind w:left="1080"/>
        <w:rPr>
          <w:b/>
          <w:sz w:val="24"/>
          <w:szCs w:val="24"/>
        </w:rPr>
      </w:pPr>
      <w:r w:rsidRPr="0060778C">
        <w:rPr>
          <w:sz w:val="24"/>
          <w:szCs w:val="24"/>
        </w:rPr>
        <w:t>SSA does not provide payments or gifts to the respondents.</w:t>
      </w:r>
    </w:p>
    <w:p w:rsidR="008E0947" w:rsidRPr="0060778C" w:rsidP="008E0947" w14:paraId="6670F0EC" w14:textId="77777777">
      <w:pPr>
        <w:pStyle w:val="ListParagraph"/>
        <w:tabs>
          <w:tab w:val="left" w:pos="-720"/>
        </w:tabs>
        <w:suppressAutoHyphens/>
        <w:ind w:left="1080"/>
        <w:rPr>
          <w:b/>
          <w:sz w:val="24"/>
          <w:szCs w:val="24"/>
        </w:rPr>
      </w:pPr>
    </w:p>
    <w:p w:rsidR="008E0947" w:rsidRPr="0060778C" w:rsidP="00487E40" w14:paraId="15D78C5E" w14:textId="77777777">
      <w:pPr>
        <w:pStyle w:val="ListParagraph"/>
        <w:numPr>
          <w:ilvl w:val="0"/>
          <w:numId w:val="21"/>
        </w:numPr>
        <w:tabs>
          <w:tab w:val="left" w:pos="-720"/>
        </w:tabs>
        <w:suppressAutoHyphens/>
        <w:rPr>
          <w:b/>
          <w:sz w:val="24"/>
          <w:szCs w:val="24"/>
        </w:rPr>
      </w:pPr>
      <w:r w:rsidRPr="0060778C">
        <w:rPr>
          <w:b/>
          <w:sz w:val="24"/>
        </w:rPr>
        <w:t>Assurances of Confidentiality</w:t>
      </w:r>
      <w:r w:rsidRPr="0060778C">
        <w:rPr>
          <w:sz w:val="24"/>
          <w:szCs w:val="24"/>
        </w:rPr>
        <w:t xml:space="preserve"> </w:t>
      </w:r>
    </w:p>
    <w:p w:rsidR="00487E40" w:rsidP="008E0947" w14:paraId="0930A494" w14:textId="77777777">
      <w:pPr>
        <w:pStyle w:val="ListParagraph"/>
        <w:tabs>
          <w:tab w:val="left" w:pos="-720"/>
        </w:tabs>
        <w:suppressAutoHyphens/>
        <w:ind w:left="1080"/>
        <w:rPr>
          <w:sz w:val="24"/>
          <w:szCs w:val="24"/>
        </w:rPr>
      </w:pPr>
      <w:r w:rsidRPr="0060778C">
        <w:rPr>
          <w:sz w:val="24"/>
          <w:szCs w:val="24"/>
        </w:rPr>
        <w:t xml:space="preserve">SSA protects and holds confidential the information it collects in accordance with </w:t>
      </w:r>
      <w:r w:rsidRPr="0060778C" w:rsidR="0033373D">
        <w:rPr>
          <w:i/>
          <w:sz w:val="24"/>
          <w:szCs w:val="24"/>
        </w:rPr>
        <w:t>42 </w:t>
      </w:r>
      <w:r w:rsidRPr="0060778C">
        <w:rPr>
          <w:i/>
          <w:sz w:val="24"/>
          <w:szCs w:val="24"/>
        </w:rPr>
        <w:t>U.S.C. 1306, 20 CFR 401</w:t>
      </w:r>
      <w:r w:rsidRPr="0060778C">
        <w:rPr>
          <w:sz w:val="24"/>
          <w:szCs w:val="24"/>
        </w:rPr>
        <w:t xml:space="preserve"> and </w:t>
      </w:r>
      <w:r w:rsidRPr="0060778C">
        <w:rPr>
          <w:i/>
          <w:sz w:val="24"/>
          <w:szCs w:val="24"/>
        </w:rPr>
        <w:t>402, 5 U.S.C. 552</w:t>
      </w:r>
      <w:r w:rsidRPr="0060778C">
        <w:rPr>
          <w:sz w:val="24"/>
          <w:szCs w:val="24"/>
        </w:rPr>
        <w:t xml:space="preserve"> (Freedom of Information Act), </w:t>
      </w:r>
      <w:r w:rsidRPr="0060778C" w:rsidR="0033373D">
        <w:rPr>
          <w:i/>
          <w:sz w:val="24"/>
          <w:szCs w:val="24"/>
        </w:rPr>
        <w:t>5 </w:t>
      </w:r>
      <w:r w:rsidRPr="0060778C">
        <w:rPr>
          <w:i/>
          <w:sz w:val="24"/>
          <w:szCs w:val="24"/>
        </w:rPr>
        <w:t>U.S.C. 552a</w:t>
      </w:r>
      <w:r w:rsidRPr="0060778C">
        <w:rPr>
          <w:sz w:val="24"/>
          <w:szCs w:val="24"/>
        </w:rPr>
        <w:t xml:space="preserve"> (Privacy Act of 1974) and OMB Circular No. A-130.</w:t>
      </w:r>
    </w:p>
    <w:p w:rsidR="007F4F10" w:rsidRPr="0060778C" w:rsidP="008E0947" w14:paraId="695D35CC" w14:textId="77777777">
      <w:pPr>
        <w:pStyle w:val="ListParagraph"/>
        <w:tabs>
          <w:tab w:val="left" w:pos="-720"/>
        </w:tabs>
        <w:suppressAutoHyphens/>
        <w:ind w:left="1080"/>
        <w:rPr>
          <w:b/>
          <w:sz w:val="24"/>
          <w:szCs w:val="24"/>
        </w:rPr>
      </w:pPr>
    </w:p>
    <w:p w:rsidR="008E0947" w:rsidRPr="0060778C" w:rsidP="008E0947" w14:paraId="2A267E9C" w14:textId="77777777">
      <w:pPr>
        <w:tabs>
          <w:tab w:val="left" w:pos="-720"/>
        </w:tabs>
        <w:suppressAutoHyphens/>
        <w:rPr>
          <w:b/>
          <w:sz w:val="24"/>
          <w:szCs w:val="24"/>
        </w:rPr>
      </w:pPr>
    </w:p>
    <w:p w:rsidR="008E0947" w:rsidRPr="0060778C" w:rsidP="00487E40" w14:paraId="21D3ED08" w14:textId="77777777">
      <w:pPr>
        <w:pStyle w:val="ListParagraph"/>
        <w:numPr>
          <w:ilvl w:val="0"/>
          <w:numId w:val="21"/>
        </w:numPr>
        <w:tabs>
          <w:tab w:val="left" w:pos="-720"/>
        </w:tabs>
        <w:suppressAutoHyphens/>
        <w:rPr>
          <w:b/>
          <w:sz w:val="24"/>
          <w:szCs w:val="24"/>
        </w:rPr>
      </w:pPr>
      <w:r w:rsidRPr="0060778C">
        <w:rPr>
          <w:b/>
          <w:sz w:val="24"/>
        </w:rPr>
        <w:t>Justification for Sensitive Questions</w:t>
      </w:r>
      <w:r w:rsidRPr="0060778C">
        <w:rPr>
          <w:sz w:val="32"/>
          <w:szCs w:val="24"/>
        </w:rPr>
        <w:t xml:space="preserve"> </w:t>
      </w:r>
    </w:p>
    <w:p w:rsidR="00487E40" w:rsidP="008E0947" w14:paraId="5A3914E3" w14:textId="77777777">
      <w:pPr>
        <w:pStyle w:val="ListParagraph"/>
        <w:tabs>
          <w:tab w:val="left" w:pos="-720"/>
        </w:tabs>
        <w:suppressAutoHyphens/>
        <w:ind w:left="1080"/>
        <w:rPr>
          <w:sz w:val="24"/>
          <w:szCs w:val="24"/>
        </w:rPr>
      </w:pPr>
      <w:r w:rsidRPr="0060778C">
        <w:rPr>
          <w:sz w:val="24"/>
          <w:szCs w:val="24"/>
        </w:rPr>
        <w:t>The information collection does not contain any questions of a sensitive nature.</w:t>
      </w:r>
    </w:p>
    <w:p w:rsidR="002148B7" w:rsidP="008E0947" w14:paraId="7D0593D9" w14:textId="77777777">
      <w:pPr>
        <w:pStyle w:val="ListParagraph"/>
        <w:tabs>
          <w:tab w:val="left" w:pos="-720"/>
        </w:tabs>
        <w:suppressAutoHyphens/>
        <w:ind w:left="1080"/>
        <w:rPr>
          <w:sz w:val="24"/>
          <w:szCs w:val="24"/>
        </w:rPr>
      </w:pPr>
    </w:p>
    <w:p w:rsidR="008E0947" w:rsidRPr="0060778C" w:rsidP="00487E40" w14:paraId="562F2170" w14:textId="77777777">
      <w:pPr>
        <w:pStyle w:val="ListParagraph"/>
        <w:numPr>
          <w:ilvl w:val="0"/>
          <w:numId w:val="21"/>
        </w:numPr>
        <w:tabs>
          <w:tab w:val="left" w:pos="-720"/>
        </w:tabs>
        <w:suppressAutoHyphens/>
        <w:rPr>
          <w:b/>
          <w:sz w:val="24"/>
          <w:szCs w:val="24"/>
        </w:rPr>
      </w:pPr>
      <w:r w:rsidRPr="0060778C">
        <w:rPr>
          <w:b/>
          <w:sz w:val="24"/>
        </w:rPr>
        <w:t>Estimates of Public Reporting Burden</w:t>
      </w:r>
    </w:p>
    <w:tbl>
      <w:tblPr>
        <w:tblW w:w="11557"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0"/>
        <w:gridCol w:w="1523"/>
        <w:gridCol w:w="1310"/>
        <w:gridCol w:w="1190"/>
        <w:gridCol w:w="1256"/>
        <w:gridCol w:w="1389"/>
        <w:gridCol w:w="1362"/>
        <w:gridCol w:w="1867"/>
      </w:tblGrid>
      <w:tr w14:paraId="78AC9B73" w14:textId="77777777" w:rsidTr="000F01C5">
        <w:tblPrEx>
          <w:tblW w:w="11557"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15"/>
        </w:trPr>
        <w:tc>
          <w:tcPr>
            <w:tcW w:w="1666" w:type="dxa"/>
          </w:tcPr>
          <w:p w:rsidR="000F01C5" w:rsidRPr="0060778C" w:rsidP="000F01C5" w14:paraId="54157A42" w14:textId="0F254690">
            <w:pPr>
              <w:rPr>
                <w:b/>
                <w:sz w:val="24"/>
                <w:szCs w:val="24"/>
              </w:rPr>
            </w:pPr>
            <w:r>
              <w:rPr>
                <w:sz w:val="24"/>
                <w:szCs w:val="24"/>
              </w:rPr>
              <w:t xml:space="preserve"> </w:t>
            </w:r>
            <w:r w:rsidRPr="0060778C">
              <w:rPr>
                <w:b/>
                <w:sz w:val="24"/>
                <w:szCs w:val="24"/>
              </w:rPr>
              <w:t>Modality of</w:t>
            </w:r>
          </w:p>
          <w:p w:rsidR="000F01C5" w:rsidRPr="0060778C" w:rsidP="000F01C5" w14:paraId="60ED5CE1" w14:textId="6BB37F8C">
            <w:pPr>
              <w:rPr>
                <w:b/>
                <w:sz w:val="24"/>
                <w:szCs w:val="24"/>
              </w:rPr>
            </w:pPr>
            <w:r w:rsidRPr="0060778C">
              <w:rPr>
                <w:b/>
                <w:sz w:val="24"/>
                <w:szCs w:val="24"/>
              </w:rPr>
              <w:t>Completion</w:t>
            </w:r>
          </w:p>
        </w:tc>
        <w:tc>
          <w:tcPr>
            <w:tcW w:w="1523" w:type="dxa"/>
          </w:tcPr>
          <w:p w:rsidR="000F01C5" w:rsidRPr="0060778C" w:rsidP="000F01C5" w14:paraId="0D110539" w14:textId="77777777">
            <w:pPr>
              <w:rPr>
                <w:b/>
                <w:sz w:val="24"/>
                <w:szCs w:val="24"/>
              </w:rPr>
            </w:pPr>
            <w:r w:rsidRPr="0060778C">
              <w:rPr>
                <w:b/>
                <w:sz w:val="24"/>
                <w:szCs w:val="24"/>
              </w:rPr>
              <w:t>Number of Respondents</w:t>
            </w:r>
          </w:p>
        </w:tc>
        <w:tc>
          <w:tcPr>
            <w:tcW w:w="1310" w:type="dxa"/>
          </w:tcPr>
          <w:p w:rsidR="000F01C5" w:rsidRPr="0060778C" w:rsidP="000F01C5" w14:paraId="61021B3F" w14:textId="77777777">
            <w:pPr>
              <w:rPr>
                <w:b/>
                <w:sz w:val="24"/>
                <w:szCs w:val="24"/>
              </w:rPr>
            </w:pPr>
            <w:r w:rsidRPr="0060778C">
              <w:rPr>
                <w:b/>
                <w:sz w:val="24"/>
                <w:szCs w:val="24"/>
              </w:rPr>
              <w:t>Frequency of Response</w:t>
            </w:r>
          </w:p>
        </w:tc>
        <w:tc>
          <w:tcPr>
            <w:tcW w:w="1190" w:type="dxa"/>
          </w:tcPr>
          <w:p w:rsidR="000F01C5" w:rsidRPr="0060778C" w:rsidP="000F01C5" w14:paraId="28DC1AED" w14:textId="77777777">
            <w:pPr>
              <w:rPr>
                <w:b/>
                <w:sz w:val="24"/>
                <w:szCs w:val="24"/>
              </w:rPr>
            </w:pPr>
            <w:r w:rsidRPr="0060778C">
              <w:rPr>
                <w:b/>
                <w:sz w:val="24"/>
                <w:szCs w:val="24"/>
              </w:rPr>
              <w:t>Average Burden per Response (minutes)</w:t>
            </w:r>
          </w:p>
        </w:tc>
        <w:tc>
          <w:tcPr>
            <w:tcW w:w="1256" w:type="dxa"/>
          </w:tcPr>
          <w:p w:rsidR="000F01C5" w:rsidRPr="0060778C" w:rsidP="000F01C5" w14:paraId="1F01C42D" w14:textId="77777777">
            <w:pPr>
              <w:rPr>
                <w:b/>
                <w:sz w:val="24"/>
                <w:szCs w:val="24"/>
              </w:rPr>
            </w:pPr>
            <w:r w:rsidRPr="0060778C">
              <w:rPr>
                <w:b/>
                <w:sz w:val="24"/>
                <w:szCs w:val="24"/>
              </w:rPr>
              <w:t>Estimated Total Annual Burden (hours)</w:t>
            </w:r>
          </w:p>
        </w:tc>
        <w:tc>
          <w:tcPr>
            <w:tcW w:w="1389" w:type="dxa"/>
          </w:tcPr>
          <w:p w:rsidR="000F01C5" w:rsidRPr="0060778C" w:rsidP="000F01C5" w14:paraId="21CFB02A" w14:textId="77777777">
            <w:pPr>
              <w:rPr>
                <w:b/>
                <w:sz w:val="24"/>
                <w:szCs w:val="24"/>
              </w:rPr>
            </w:pPr>
            <w:r w:rsidRPr="0060778C">
              <w:rPr>
                <w:b/>
                <w:sz w:val="24"/>
                <w:szCs w:val="24"/>
              </w:rPr>
              <w:t>Average Theoretical Hourly Cost Amount (dollars)*</w:t>
            </w:r>
          </w:p>
        </w:tc>
        <w:tc>
          <w:tcPr>
            <w:tcW w:w="1348" w:type="dxa"/>
          </w:tcPr>
          <w:p w:rsidR="00BA7437" w:rsidRPr="00BA7437" w:rsidP="00BA7437" w14:paraId="7E843C87" w14:textId="77777777">
            <w:pPr>
              <w:autoSpaceDE w:val="0"/>
              <w:autoSpaceDN w:val="0"/>
              <w:adjustRightInd w:val="0"/>
              <w:rPr>
                <w:rFonts w:eastAsia="Calibri"/>
                <w:b/>
                <w:sz w:val="24"/>
                <w:szCs w:val="24"/>
              </w:rPr>
            </w:pPr>
            <w:r w:rsidRPr="00BA7437">
              <w:rPr>
                <w:rFonts w:eastAsia="Calibri"/>
                <w:b/>
                <w:sz w:val="24"/>
                <w:szCs w:val="24"/>
              </w:rPr>
              <w:t xml:space="preserve">Average Wait for Teleservice Centers </w:t>
            </w:r>
          </w:p>
          <w:p w:rsidR="000F01C5" w:rsidRPr="000F01C5" w:rsidP="00BA7437" w14:paraId="71F2EC6F" w14:textId="32130B4B">
            <w:pPr>
              <w:rPr>
                <w:b/>
                <w:sz w:val="24"/>
                <w:szCs w:val="24"/>
              </w:rPr>
            </w:pPr>
            <w:r w:rsidRPr="00BA7437">
              <w:rPr>
                <w:rFonts w:eastAsia="Calibri"/>
                <w:b/>
                <w:sz w:val="24"/>
                <w:szCs w:val="24"/>
                <w:lang w:val="x-none"/>
              </w:rPr>
              <w:t>(minutes) **</w:t>
            </w:r>
          </w:p>
        </w:tc>
        <w:tc>
          <w:tcPr>
            <w:tcW w:w="1875" w:type="dxa"/>
          </w:tcPr>
          <w:p w:rsidR="000F01C5" w:rsidRPr="0060778C" w:rsidP="000F01C5" w14:paraId="37A60F7A" w14:textId="403CA782">
            <w:pPr>
              <w:rPr>
                <w:b/>
                <w:sz w:val="24"/>
                <w:szCs w:val="24"/>
              </w:rPr>
            </w:pPr>
            <w:r w:rsidRPr="0060778C">
              <w:rPr>
                <w:b/>
                <w:sz w:val="24"/>
                <w:szCs w:val="24"/>
              </w:rPr>
              <w:t>Total Annual Opportunity Cost (dollars)**</w:t>
            </w:r>
          </w:p>
        </w:tc>
      </w:tr>
      <w:tr w14:paraId="3AA162BD" w14:textId="77777777" w:rsidTr="000F01C5">
        <w:tblPrEx>
          <w:tblW w:w="11557" w:type="dxa"/>
          <w:tblInd w:w="-1175" w:type="dxa"/>
          <w:tblLook w:val="01E0"/>
        </w:tblPrEx>
        <w:trPr>
          <w:trHeight w:val="471"/>
        </w:trPr>
        <w:tc>
          <w:tcPr>
            <w:tcW w:w="1666" w:type="dxa"/>
          </w:tcPr>
          <w:p w:rsidR="000F01C5" w:rsidRPr="0060778C" w:rsidP="000F01C5" w14:paraId="10D48CB5" w14:textId="77777777">
            <w:pPr>
              <w:pStyle w:val="HTMLPreformatted"/>
              <w:rPr>
                <w:rFonts w:ascii="Times New Roman" w:hAnsi="Times New Roman" w:cs="Times New Roman"/>
                <w:sz w:val="24"/>
                <w:szCs w:val="24"/>
              </w:rPr>
            </w:pPr>
            <w:r w:rsidRPr="0060778C">
              <w:rPr>
                <w:rFonts w:ascii="Times New Roman" w:hAnsi="Times New Roman" w:cs="Times New Roman"/>
                <w:sz w:val="24"/>
                <w:szCs w:val="24"/>
              </w:rPr>
              <w:t>SSA-7161-OCR-SM</w:t>
            </w:r>
          </w:p>
        </w:tc>
        <w:tc>
          <w:tcPr>
            <w:tcW w:w="1523" w:type="dxa"/>
          </w:tcPr>
          <w:p w:rsidR="000F01C5" w:rsidRPr="0060778C" w:rsidP="000F01C5" w14:paraId="4526AE08" w14:textId="6FC3AECE">
            <w:pPr>
              <w:pStyle w:val="HTMLPreformatted"/>
              <w:jc w:val="right"/>
              <w:rPr>
                <w:rFonts w:ascii="Times New Roman" w:hAnsi="Times New Roman" w:cs="Times New Roman"/>
                <w:sz w:val="24"/>
                <w:szCs w:val="24"/>
              </w:rPr>
            </w:pPr>
            <w:r w:rsidRPr="0060778C">
              <w:rPr>
                <w:rFonts w:ascii="Times New Roman" w:hAnsi="Times New Roman" w:cs="Times New Roman"/>
                <w:sz w:val="24"/>
                <w:szCs w:val="24"/>
              </w:rPr>
              <w:t>6,077</w:t>
            </w:r>
          </w:p>
        </w:tc>
        <w:tc>
          <w:tcPr>
            <w:tcW w:w="1310" w:type="dxa"/>
          </w:tcPr>
          <w:p w:rsidR="000F01C5" w:rsidRPr="0060778C" w:rsidP="000F01C5" w14:paraId="77EF3E2C" w14:textId="77777777">
            <w:pPr>
              <w:pStyle w:val="HTMLPreformatted"/>
              <w:jc w:val="right"/>
              <w:rPr>
                <w:rFonts w:ascii="Times New Roman" w:hAnsi="Times New Roman" w:cs="Times New Roman"/>
                <w:sz w:val="24"/>
                <w:szCs w:val="24"/>
              </w:rPr>
            </w:pPr>
            <w:r w:rsidRPr="0060778C">
              <w:rPr>
                <w:rFonts w:ascii="Times New Roman" w:hAnsi="Times New Roman" w:cs="Times New Roman"/>
                <w:sz w:val="24"/>
                <w:szCs w:val="24"/>
              </w:rPr>
              <w:t>1</w:t>
            </w:r>
          </w:p>
        </w:tc>
        <w:tc>
          <w:tcPr>
            <w:tcW w:w="1190" w:type="dxa"/>
          </w:tcPr>
          <w:p w:rsidR="000F01C5" w:rsidRPr="0060778C" w:rsidP="000F01C5" w14:paraId="303112F3" w14:textId="77777777">
            <w:pPr>
              <w:pStyle w:val="HTMLPreformatted"/>
              <w:jc w:val="right"/>
              <w:rPr>
                <w:rFonts w:ascii="Times New Roman" w:hAnsi="Times New Roman" w:cs="Times New Roman"/>
                <w:sz w:val="24"/>
                <w:szCs w:val="24"/>
              </w:rPr>
            </w:pPr>
            <w:r w:rsidRPr="0060778C">
              <w:rPr>
                <w:rFonts w:ascii="Times New Roman" w:hAnsi="Times New Roman" w:cs="Times New Roman"/>
                <w:sz w:val="24"/>
                <w:szCs w:val="24"/>
              </w:rPr>
              <w:t>15</w:t>
            </w:r>
          </w:p>
        </w:tc>
        <w:tc>
          <w:tcPr>
            <w:tcW w:w="1256" w:type="dxa"/>
          </w:tcPr>
          <w:p w:rsidR="000F01C5" w:rsidRPr="0060778C" w:rsidP="000F01C5" w14:paraId="65B0BC95" w14:textId="41161783">
            <w:pPr>
              <w:pStyle w:val="HTMLPreformatted"/>
              <w:jc w:val="right"/>
              <w:rPr>
                <w:rFonts w:ascii="Times New Roman" w:hAnsi="Times New Roman" w:cs="Times New Roman"/>
                <w:sz w:val="24"/>
                <w:szCs w:val="24"/>
              </w:rPr>
            </w:pPr>
            <w:r w:rsidRPr="0060778C">
              <w:rPr>
                <w:rFonts w:ascii="Times New Roman" w:hAnsi="Times New Roman" w:cs="Times New Roman"/>
                <w:sz w:val="24"/>
                <w:szCs w:val="24"/>
              </w:rPr>
              <w:t>1,519</w:t>
            </w:r>
          </w:p>
        </w:tc>
        <w:tc>
          <w:tcPr>
            <w:tcW w:w="1389" w:type="dxa"/>
          </w:tcPr>
          <w:p w:rsidR="000F01C5" w:rsidRPr="0060778C" w:rsidP="000F01C5" w14:paraId="483F84D5" w14:textId="611B7A64">
            <w:pPr>
              <w:jc w:val="right"/>
              <w:rPr>
                <w:color w:val="000000" w:themeColor="text1"/>
                <w:sz w:val="24"/>
                <w:szCs w:val="24"/>
              </w:rPr>
            </w:pPr>
            <w:r w:rsidRPr="0060778C">
              <w:rPr>
                <w:color w:val="000000" w:themeColor="text1"/>
                <w:sz w:val="24"/>
                <w:szCs w:val="24"/>
              </w:rPr>
              <w:t>$32.66*</w:t>
            </w:r>
          </w:p>
        </w:tc>
        <w:tc>
          <w:tcPr>
            <w:tcW w:w="1348" w:type="dxa"/>
          </w:tcPr>
          <w:p w:rsidR="000F01C5" w:rsidRPr="0060778C" w:rsidP="000F01C5" w14:paraId="3A4AC7DE" w14:textId="37E5CA9F">
            <w:pPr>
              <w:jc w:val="right"/>
              <w:rPr>
                <w:color w:val="000000" w:themeColor="text1"/>
                <w:sz w:val="24"/>
                <w:szCs w:val="24"/>
              </w:rPr>
            </w:pPr>
            <w:r>
              <w:rPr>
                <w:sz w:val="24"/>
                <w:szCs w:val="24"/>
              </w:rPr>
              <w:t>53</w:t>
            </w:r>
            <w:r>
              <w:rPr>
                <w:sz w:val="24"/>
                <w:szCs w:val="24"/>
              </w:rPr>
              <w:t>*</w:t>
            </w:r>
            <w:r w:rsidR="007F4F10">
              <w:rPr>
                <w:sz w:val="24"/>
                <w:szCs w:val="24"/>
              </w:rPr>
              <w:t>*</w:t>
            </w:r>
          </w:p>
        </w:tc>
        <w:tc>
          <w:tcPr>
            <w:tcW w:w="1875" w:type="dxa"/>
          </w:tcPr>
          <w:p w:rsidR="000F01C5" w:rsidRPr="0060778C" w:rsidP="000F01C5" w14:paraId="49564076" w14:textId="5B588ED1">
            <w:pPr>
              <w:jc w:val="right"/>
              <w:rPr>
                <w:color w:val="000000" w:themeColor="text1"/>
                <w:sz w:val="24"/>
                <w:szCs w:val="24"/>
              </w:rPr>
            </w:pPr>
            <w:r w:rsidRPr="0060778C">
              <w:rPr>
                <w:color w:val="000000" w:themeColor="text1"/>
                <w:sz w:val="24"/>
                <w:szCs w:val="24"/>
              </w:rPr>
              <w:t>$</w:t>
            </w:r>
            <w:r>
              <w:rPr>
                <w:color w:val="000000" w:themeColor="text1"/>
                <w:sz w:val="24"/>
                <w:szCs w:val="24"/>
              </w:rPr>
              <w:t>224,929**</w:t>
            </w:r>
          </w:p>
          <w:p w:rsidR="000F01C5" w:rsidRPr="0060778C" w:rsidP="000F01C5" w14:paraId="47D7BE03" w14:textId="75A7EA58">
            <w:pPr>
              <w:jc w:val="right"/>
              <w:rPr>
                <w:color w:val="000000" w:themeColor="text1"/>
                <w:sz w:val="24"/>
                <w:szCs w:val="24"/>
              </w:rPr>
            </w:pPr>
          </w:p>
        </w:tc>
      </w:tr>
      <w:tr w14:paraId="2A3A9BBF" w14:textId="77777777" w:rsidTr="000F01C5">
        <w:tblPrEx>
          <w:tblW w:w="11557" w:type="dxa"/>
          <w:tblInd w:w="-1175" w:type="dxa"/>
          <w:tblLook w:val="01E0"/>
        </w:tblPrEx>
        <w:trPr>
          <w:trHeight w:val="230"/>
        </w:trPr>
        <w:tc>
          <w:tcPr>
            <w:tcW w:w="1666" w:type="dxa"/>
          </w:tcPr>
          <w:p w:rsidR="000F01C5" w:rsidRPr="0060778C" w:rsidP="000F01C5" w14:paraId="5C55CAD8" w14:textId="77777777">
            <w:pPr>
              <w:pStyle w:val="HTMLPreformatted"/>
              <w:rPr>
                <w:rFonts w:ascii="Times New Roman" w:hAnsi="Times New Roman" w:cs="Times New Roman"/>
                <w:sz w:val="24"/>
                <w:szCs w:val="24"/>
              </w:rPr>
            </w:pPr>
            <w:r w:rsidRPr="0060778C">
              <w:rPr>
                <w:rFonts w:ascii="Times New Roman" w:hAnsi="Times New Roman" w:cs="Times New Roman"/>
                <w:sz w:val="24"/>
                <w:szCs w:val="24"/>
              </w:rPr>
              <w:t>SSA-7162-OCR-SM</w:t>
            </w:r>
          </w:p>
        </w:tc>
        <w:tc>
          <w:tcPr>
            <w:tcW w:w="1523" w:type="dxa"/>
          </w:tcPr>
          <w:p w:rsidR="000F01C5" w:rsidRPr="0060778C" w:rsidP="000F01C5" w14:paraId="6253A6AB" w14:textId="45D63312">
            <w:pPr>
              <w:pStyle w:val="HTMLPreformatted"/>
              <w:jc w:val="right"/>
              <w:rPr>
                <w:rFonts w:ascii="Times New Roman" w:hAnsi="Times New Roman" w:cs="Times New Roman"/>
                <w:sz w:val="24"/>
                <w:szCs w:val="24"/>
              </w:rPr>
            </w:pPr>
            <w:r w:rsidRPr="0060778C">
              <w:rPr>
                <w:rFonts w:ascii="Times New Roman" w:hAnsi="Times New Roman" w:cs="Times New Roman"/>
                <w:sz w:val="24"/>
                <w:szCs w:val="24"/>
              </w:rPr>
              <w:t>352,956</w:t>
            </w:r>
          </w:p>
        </w:tc>
        <w:tc>
          <w:tcPr>
            <w:tcW w:w="1310" w:type="dxa"/>
          </w:tcPr>
          <w:p w:rsidR="000F01C5" w:rsidRPr="0060778C" w:rsidP="000F01C5" w14:paraId="3E2DE508" w14:textId="77777777">
            <w:pPr>
              <w:pStyle w:val="HTMLPreformatted"/>
              <w:jc w:val="right"/>
              <w:rPr>
                <w:rFonts w:ascii="Times New Roman" w:hAnsi="Times New Roman" w:cs="Times New Roman"/>
                <w:sz w:val="24"/>
                <w:szCs w:val="24"/>
              </w:rPr>
            </w:pPr>
            <w:r w:rsidRPr="0060778C">
              <w:rPr>
                <w:rFonts w:ascii="Times New Roman" w:hAnsi="Times New Roman" w:cs="Times New Roman"/>
                <w:sz w:val="24"/>
                <w:szCs w:val="24"/>
              </w:rPr>
              <w:t>1</w:t>
            </w:r>
          </w:p>
        </w:tc>
        <w:tc>
          <w:tcPr>
            <w:tcW w:w="1190" w:type="dxa"/>
          </w:tcPr>
          <w:p w:rsidR="000F01C5" w:rsidRPr="0060778C" w:rsidP="000F01C5" w14:paraId="01B847DD" w14:textId="77777777">
            <w:pPr>
              <w:pStyle w:val="HTMLPreformatted"/>
              <w:jc w:val="right"/>
              <w:rPr>
                <w:rFonts w:ascii="Times New Roman" w:hAnsi="Times New Roman" w:cs="Times New Roman"/>
                <w:sz w:val="24"/>
                <w:szCs w:val="24"/>
              </w:rPr>
            </w:pPr>
            <w:r w:rsidRPr="0060778C">
              <w:rPr>
                <w:rFonts w:ascii="Times New Roman" w:hAnsi="Times New Roman" w:cs="Times New Roman"/>
                <w:sz w:val="24"/>
                <w:szCs w:val="24"/>
              </w:rPr>
              <w:t>5</w:t>
            </w:r>
          </w:p>
        </w:tc>
        <w:tc>
          <w:tcPr>
            <w:tcW w:w="1256" w:type="dxa"/>
          </w:tcPr>
          <w:p w:rsidR="000F01C5" w:rsidRPr="0060778C" w:rsidP="000F01C5" w14:paraId="15A9A89A" w14:textId="4572122E">
            <w:pPr>
              <w:pStyle w:val="HTMLPreformatted"/>
              <w:jc w:val="right"/>
              <w:rPr>
                <w:rFonts w:ascii="Times New Roman" w:hAnsi="Times New Roman" w:cs="Times New Roman"/>
                <w:sz w:val="24"/>
                <w:szCs w:val="24"/>
              </w:rPr>
            </w:pPr>
            <w:r w:rsidRPr="0060778C">
              <w:rPr>
                <w:rFonts w:ascii="Times New Roman" w:hAnsi="Times New Roman" w:cs="Times New Roman"/>
                <w:sz w:val="24"/>
                <w:szCs w:val="24"/>
              </w:rPr>
              <w:t>29,413</w:t>
            </w:r>
          </w:p>
        </w:tc>
        <w:tc>
          <w:tcPr>
            <w:tcW w:w="1389" w:type="dxa"/>
          </w:tcPr>
          <w:p w:rsidR="000F01C5" w:rsidRPr="0060778C" w:rsidP="000F01C5" w14:paraId="28B5E215" w14:textId="2A767444">
            <w:pPr>
              <w:jc w:val="right"/>
              <w:rPr>
                <w:color w:val="000000" w:themeColor="text1"/>
                <w:sz w:val="24"/>
                <w:szCs w:val="24"/>
              </w:rPr>
            </w:pPr>
            <w:r w:rsidRPr="0060778C">
              <w:rPr>
                <w:color w:val="000000" w:themeColor="text1"/>
                <w:sz w:val="24"/>
                <w:szCs w:val="24"/>
              </w:rPr>
              <w:t>$32.66*</w:t>
            </w:r>
          </w:p>
        </w:tc>
        <w:tc>
          <w:tcPr>
            <w:tcW w:w="1348" w:type="dxa"/>
          </w:tcPr>
          <w:p w:rsidR="000F01C5" w:rsidRPr="0060778C" w:rsidP="000F01C5" w14:paraId="46C1C8E6" w14:textId="059B04BD">
            <w:pPr>
              <w:jc w:val="right"/>
              <w:rPr>
                <w:color w:val="000000" w:themeColor="text1"/>
                <w:sz w:val="24"/>
                <w:szCs w:val="24"/>
              </w:rPr>
            </w:pPr>
            <w:r>
              <w:rPr>
                <w:color w:val="000000" w:themeColor="text1"/>
                <w:sz w:val="24"/>
                <w:szCs w:val="24"/>
              </w:rPr>
              <w:t>53*</w:t>
            </w:r>
            <w:r w:rsidR="007F4F10">
              <w:rPr>
                <w:color w:val="000000" w:themeColor="text1"/>
                <w:sz w:val="24"/>
                <w:szCs w:val="24"/>
              </w:rPr>
              <w:t>*</w:t>
            </w:r>
          </w:p>
        </w:tc>
        <w:tc>
          <w:tcPr>
            <w:tcW w:w="1875" w:type="dxa"/>
          </w:tcPr>
          <w:p w:rsidR="000F01C5" w:rsidRPr="0060778C" w:rsidP="000F01C5" w14:paraId="64AF0AB5" w14:textId="26C0722C">
            <w:pPr>
              <w:jc w:val="right"/>
              <w:rPr>
                <w:color w:val="000000" w:themeColor="text1"/>
                <w:sz w:val="24"/>
                <w:szCs w:val="24"/>
              </w:rPr>
            </w:pPr>
            <w:r w:rsidRPr="0060778C">
              <w:rPr>
                <w:color w:val="000000" w:themeColor="text1"/>
                <w:sz w:val="24"/>
                <w:szCs w:val="24"/>
              </w:rPr>
              <w:t>$</w:t>
            </w:r>
            <w:r>
              <w:rPr>
                <w:color w:val="000000" w:themeColor="text1"/>
                <w:sz w:val="24"/>
                <w:szCs w:val="24"/>
              </w:rPr>
              <w:t>341,191</w:t>
            </w:r>
            <w:r w:rsidRPr="0060778C">
              <w:rPr>
                <w:color w:val="000000" w:themeColor="text1"/>
                <w:sz w:val="24"/>
                <w:szCs w:val="24"/>
              </w:rPr>
              <w:t>*</w:t>
            </w:r>
            <w:r>
              <w:rPr>
                <w:color w:val="000000" w:themeColor="text1"/>
                <w:sz w:val="24"/>
                <w:szCs w:val="24"/>
              </w:rPr>
              <w:t>*</w:t>
            </w:r>
          </w:p>
        </w:tc>
      </w:tr>
      <w:tr w14:paraId="20C0AA9E" w14:textId="77777777" w:rsidTr="000F01C5">
        <w:tblPrEx>
          <w:tblW w:w="11557" w:type="dxa"/>
          <w:tblInd w:w="-1175" w:type="dxa"/>
          <w:tblLook w:val="01E0"/>
        </w:tblPrEx>
        <w:trPr>
          <w:trHeight w:val="235"/>
        </w:trPr>
        <w:tc>
          <w:tcPr>
            <w:tcW w:w="1666" w:type="dxa"/>
          </w:tcPr>
          <w:p w:rsidR="000F01C5" w:rsidRPr="0060778C" w:rsidP="000F01C5" w14:paraId="2575A7A2" w14:textId="77777777">
            <w:pPr>
              <w:pStyle w:val="HTMLPreformatted"/>
              <w:rPr>
                <w:rFonts w:ascii="Times New Roman" w:hAnsi="Times New Roman" w:cs="Times New Roman"/>
                <w:b/>
                <w:sz w:val="24"/>
                <w:szCs w:val="24"/>
              </w:rPr>
            </w:pPr>
            <w:r w:rsidRPr="0060778C">
              <w:rPr>
                <w:rFonts w:ascii="Times New Roman" w:hAnsi="Times New Roman" w:cs="Times New Roman"/>
                <w:b/>
                <w:sz w:val="24"/>
                <w:szCs w:val="24"/>
              </w:rPr>
              <w:t>Totals</w:t>
            </w:r>
          </w:p>
        </w:tc>
        <w:tc>
          <w:tcPr>
            <w:tcW w:w="1523" w:type="dxa"/>
          </w:tcPr>
          <w:p w:rsidR="000F01C5" w:rsidRPr="0060778C" w:rsidP="000F01C5" w14:paraId="2DACC300" w14:textId="20B96141">
            <w:pPr>
              <w:pStyle w:val="HTMLPreformatted"/>
              <w:jc w:val="right"/>
              <w:rPr>
                <w:rFonts w:ascii="Times New Roman" w:hAnsi="Times New Roman" w:cs="Times New Roman"/>
                <w:b/>
                <w:sz w:val="24"/>
                <w:szCs w:val="24"/>
              </w:rPr>
            </w:pPr>
            <w:r w:rsidRPr="0060778C">
              <w:rPr>
                <w:rFonts w:ascii="Times New Roman" w:hAnsi="Times New Roman" w:cs="Times New Roman"/>
                <w:b/>
                <w:sz w:val="24"/>
                <w:szCs w:val="24"/>
              </w:rPr>
              <w:t>359,033</w:t>
            </w:r>
          </w:p>
        </w:tc>
        <w:tc>
          <w:tcPr>
            <w:tcW w:w="1310" w:type="dxa"/>
          </w:tcPr>
          <w:p w:rsidR="000F01C5" w:rsidRPr="0060778C" w:rsidP="000F01C5" w14:paraId="57C1A5F9" w14:textId="77777777">
            <w:pPr>
              <w:pStyle w:val="HTMLPreformatted"/>
              <w:jc w:val="right"/>
              <w:rPr>
                <w:rFonts w:ascii="Times New Roman" w:hAnsi="Times New Roman" w:cs="Times New Roman"/>
                <w:b/>
                <w:sz w:val="24"/>
                <w:szCs w:val="24"/>
              </w:rPr>
            </w:pPr>
          </w:p>
        </w:tc>
        <w:tc>
          <w:tcPr>
            <w:tcW w:w="1190" w:type="dxa"/>
          </w:tcPr>
          <w:p w:rsidR="000F01C5" w:rsidRPr="0060778C" w:rsidP="000F01C5" w14:paraId="3B092C88" w14:textId="77777777">
            <w:pPr>
              <w:pStyle w:val="HTMLPreformatted"/>
              <w:jc w:val="right"/>
              <w:rPr>
                <w:rFonts w:ascii="Times New Roman" w:hAnsi="Times New Roman" w:cs="Times New Roman"/>
                <w:b/>
                <w:sz w:val="24"/>
                <w:szCs w:val="24"/>
              </w:rPr>
            </w:pPr>
          </w:p>
        </w:tc>
        <w:tc>
          <w:tcPr>
            <w:tcW w:w="1256" w:type="dxa"/>
          </w:tcPr>
          <w:p w:rsidR="000F01C5" w:rsidRPr="0060778C" w:rsidP="000F01C5" w14:paraId="69FE2689" w14:textId="02D4B1FD">
            <w:pPr>
              <w:pStyle w:val="HTMLPreformatted"/>
              <w:jc w:val="right"/>
              <w:rPr>
                <w:rFonts w:ascii="Times New Roman" w:hAnsi="Times New Roman" w:cs="Times New Roman"/>
                <w:b/>
                <w:sz w:val="24"/>
                <w:szCs w:val="24"/>
              </w:rPr>
            </w:pPr>
            <w:r w:rsidRPr="0060778C">
              <w:rPr>
                <w:rFonts w:ascii="Times New Roman" w:hAnsi="Times New Roman" w:cs="Times New Roman"/>
                <w:b/>
                <w:sz w:val="24"/>
                <w:szCs w:val="24"/>
              </w:rPr>
              <w:t>30,932</w:t>
            </w:r>
          </w:p>
        </w:tc>
        <w:tc>
          <w:tcPr>
            <w:tcW w:w="1389" w:type="dxa"/>
          </w:tcPr>
          <w:p w:rsidR="000F01C5" w:rsidRPr="0060778C" w:rsidP="000F01C5" w14:paraId="56193A66" w14:textId="77777777">
            <w:pPr>
              <w:jc w:val="right"/>
              <w:rPr>
                <w:b/>
                <w:color w:val="000000" w:themeColor="text1"/>
                <w:sz w:val="24"/>
                <w:szCs w:val="24"/>
              </w:rPr>
            </w:pPr>
          </w:p>
        </w:tc>
        <w:tc>
          <w:tcPr>
            <w:tcW w:w="1348" w:type="dxa"/>
          </w:tcPr>
          <w:p w:rsidR="000F01C5" w:rsidRPr="0060778C" w:rsidP="000F01C5" w14:paraId="5A343170" w14:textId="77777777">
            <w:pPr>
              <w:jc w:val="right"/>
              <w:rPr>
                <w:b/>
                <w:color w:val="000000" w:themeColor="text1"/>
                <w:sz w:val="24"/>
                <w:szCs w:val="24"/>
              </w:rPr>
            </w:pPr>
          </w:p>
        </w:tc>
        <w:tc>
          <w:tcPr>
            <w:tcW w:w="1875" w:type="dxa"/>
          </w:tcPr>
          <w:p w:rsidR="000F01C5" w:rsidRPr="00A86B8D" w:rsidP="000F01C5" w14:paraId="20E232B9" w14:textId="5256B274">
            <w:pPr>
              <w:jc w:val="right"/>
              <w:rPr>
                <w:bCs/>
                <w:color w:val="000000" w:themeColor="text1"/>
                <w:sz w:val="24"/>
                <w:szCs w:val="24"/>
              </w:rPr>
            </w:pPr>
            <w:r w:rsidRPr="00A86B8D">
              <w:rPr>
                <w:bCs/>
                <w:color w:val="000000" w:themeColor="text1"/>
                <w:sz w:val="24"/>
                <w:szCs w:val="24"/>
              </w:rPr>
              <w:t>$</w:t>
            </w:r>
            <w:r w:rsidRPr="00A86B8D">
              <w:rPr>
                <w:bCs/>
                <w:sz w:val="24"/>
                <w:szCs w:val="24"/>
              </w:rPr>
              <w:t xml:space="preserve"> </w:t>
            </w:r>
            <w:r w:rsidRPr="00A86B8D" w:rsidR="00BA7437">
              <w:rPr>
                <w:bCs/>
                <w:sz w:val="24"/>
                <w:szCs w:val="24"/>
              </w:rPr>
              <w:t>566,120</w:t>
            </w:r>
            <w:r w:rsidRPr="00A86B8D">
              <w:rPr>
                <w:bCs/>
                <w:color w:val="000000" w:themeColor="text1"/>
                <w:sz w:val="24"/>
                <w:szCs w:val="24"/>
              </w:rPr>
              <w:t>**</w:t>
            </w:r>
          </w:p>
        </w:tc>
      </w:tr>
    </w:tbl>
    <w:p w:rsidR="00FD053C" w:rsidRPr="00FD053C" w:rsidP="00FD053C" w14:paraId="652522EE" w14:textId="28B41FA3">
      <w:pPr>
        <w:ind w:left="1440"/>
        <w:rPr>
          <w:rStyle w:val="Hyperlink"/>
          <w:color w:val="000000" w:themeColor="text1"/>
          <w:sz w:val="24"/>
          <w:szCs w:val="24"/>
          <w:u w:val="none"/>
        </w:rPr>
      </w:pPr>
      <w:r w:rsidRPr="0060778C">
        <w:rPr>
          <w:color w:val="000000" w:themeColor="text1"/>
          <w:sz w:val="24"/>
          <w:szCs w:val="24"/>
        </w:rPr>
        <w:t>* We based this figure on average U.S. worker’s hourly wages</w:t>
      </w:r>
      <w:r w:rsidRPr="0060778C" w:rsidR="00F749E5">
        <w:rPr>
          <w:color w:val="000000" w:themeColor="text1"/>
          <w:sz w:val="24"/>
          <w:szCs w:val="24"/>
        </w:rPr>
        <w:t xml:space="preserve"> </w:t>
      </w:r>
      <w:r w:rsidRPr="0060778C" w:rsidR="00F749E5">
        <w:rPr>
          <w:rFonts w:eastAsia="SimSun"/>
          <w:snapToGrid w:val="0"/>
          <w:sz w:val="24"/>
          <w:szCs w:val="24"/>
        </w:rPr>
        <w:t>as reported by Bureau of Labor Statistics data</w:t>
      </w:r>
      <w:r w:rsidRPr="00FD053C">
        <w:rPr>
          <w:color w:val="000000" w:themeColor="text1"/>
          <w:sz w:val="24"/>
          <w:szCs w:val="24"/>
        </w:rPr>
        <w:t xml:space="preserve"> (</w:t>
      </w:r>
      <w:r w:rsidRPr="00FD053C">
        <w:rPr>
          <w:sz w:val="24"/>
          <w:szCs w:val="24"/>
        </w:rPr>
        <w:fldChar w:fldCharType="begin"/>
      </w:r>
      <w:r w:rsidRPr="00FD053C">
        <w:rPr>
          <w:sz w:val="24"/>
          <w:szCs w:val="24"/>
        </w:rPr>
        <w:instrText>HYPERLINK "https://data.bls.gov/oes/" \l "/industry/000000"</w:instrText>
      </w:r>
      <w:r w:rsidRPr="00FD053C">
        <w:rPr>
          <w:sz w:val="24"/>
          <w:szCs w:val="24"/>
        </w:rPr>
        <w:fldChar w:fldCharType="separate"/>
      </w:r>
      <w:r w:rsidRPr="00FD053C">
        <w:rPr>
          <w:rStyle w:val="Hyperlink"/>
          <w:sz w:val="24"/>
          <w:szCs w:val="24"/>
        </w:rPr>
        <w:t>Occupational Employment and Wage Statistics).</w:t>
      </w:r>
    </w:p>
    <w:p w:rsidR="005A7CF3" w:rsidRPr="0060778C" w:rsidP="00FD053C" w14:paraId="29051632" w14:textId="5CB9DFCC">
      <w:pPr>
        <w:ind w:left="720"/>
        <w:rPr>
          <w:color w:val="000000" w:themeColor="text1"/>
          <w:sz w:val="24"/>
          <w:szCs w:val="24"/>
        </w:rPr>
      </w:pPr>
      <w:r w:rsidRPr="00FD053C">
        <w:rPr>
          <w:sz w:val="24"/>
          <w:szCs w:val="24"/>
        </w:rPr>
        <w:fldChar w:fldCharType="end"/>
      </w:r>
    </w:p>
    <w:p w:rsidR="00BA7437" w:rsidRPr="00424B49" w:rsidP="00BA7437" w14:paraId="19C3560C" w14:textId="01BE4227">
      <w:pPr>
        <w:ind w:left="1440"/>
        <w:rPr>
          <w:sz w:val="24"/>
          <w:szCs w:val="24"/>
        </w:rPr>
      </w:pPr>
      <w:r>
        <w:rPr>
          <w:sz w:val="24"/>
          <w:szCs w:val="24"/>
        </w:rPr>
        <w:t xml:space="preserve">** </w:t>
      </w:r>
      <w:r w:rsidRPr="00424B49">
        <w:rPr>
          <w:sz w:val="24"/>
          <w:szCs w:val="24"/>
        </w:rPr>
        <w:t>*We based this figure on the average combined FY 2026 wait times</w:t>
      </w:r>
      <w:r>
        <w:rPr>
          <w:sz w:val="24"/>
          <w:szCs w:val="24"/>
        </w:rPr>
        <w:t xml:space="preserve"> </w:t>
      </w:r>
      <w:r w:rsidRPr="00424B49">
        <w:rPr>
          <w:sz w:val="24"/>
          <w:szCs w:val="24"/>
        </w:rPr>
        <w:t xml:space="preserve">for teleservice centers </w:t>
      </w:r>
      <w:r>
        <w:rPr>
          <w:sz w:val="24"/>
          <w:szCs w:val="24"/>
        </w:rPr>
        <w:t>(</w:t>
      </w:r>
      <w:r w:rsidRPr="00424B49">
        <w:rPr>
          <w:sz w:val="24"/>
          <w:szCs w:val="24"/>
        </w:rPr>
        <w:t>53 minutes which includes the average speed of answer of 12 minutes as well as the average 41-minute wait time for a call back from an SSA technician), based on SSA’s current management information data.  This figure reflects both data from our systems and the data posted on our public facing website (</w:t>
      </w:r>
      <w:hyperlink r:id="rId5" w:history="1">
        <w:r w:rsidRPr="00424B49">
          <w:rPr>
            <w:rStyle w:val="Hyperlink"/>
            <w:sz w:val="24"/>
            <w:szCs w:val="24"/>
          </w:rPr>
          <w:t>Social Security performance | SSA</w:t>
        </w:r>
      </w:hyperlink>
      <w:r w:rsidRPr="00424B49">
        <w:rPr>
          <w:sz w:val="24"/>
          <w:szCs w:val="24"/>
        </w:rPr>
        <w:t>) on the date we drafted this document.  As the figures fluctuate daily, the wait times may be different on the website than they appear here.  We continue to monitor our website and management information data on call back times to ensure we report updated figures when possible.</w:t>
      </w:r>
    </w:p>
    <w:p w:rsidR="00BA7437" w:rsidP="002148B7" w14:paraId="650AE2B2" w14:textId="77777777">
      <w:pPr>
        <w:ind w:left="1440"/>
        <w:rPr>
          <w:color w:val="000000" w:themeColor="text1"/>
          <w:sz w:val="24"/>
          <w:szCs w:val="24"/>
        </w:rPr>
      </w:pPr>
    </w:p>
    <w:p w:rsidR="005A7CF3" w:rsidRPr="0060778C" w:rsidP="002148B7" w14:paraId="43313AF4" w14:textId="35CBC32A">
      <w:pPr>
        <w:ind w:left="1440"/>
        <w:rPr>
          <w:color w:val="000000" w:themeColor="text1"/>
          <w:sz w:val="24"/>
          <w:szCs w:val="24"/>
        </w:rPr>
      </w:pPr>
      <w:r w:rsidRPr="0060778C">
        <w:rPr>
          <w:color w:val="000000" w:themeColor="text1"/>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60778C" w:rsidR="00031F87">
        <w:rPr>
          <w:color w:val="000000" w:themeColor="text1"/>
          <w:sz w:val="24"/>
          <w:szCs w:val="24"/>
        </w:rPr>
        <w:t xml:space="preserve">.  </w:t>
      </w:r>
      <w:r w:rsidRPr="0060778C">
        <w:rPr>
          <w:b/>
          <w:color w:val="000000" w:themeColor="text1"/>
          <w:sz w:val="24"/>
          <w:szCs w:val="24"/>
          <w:u w:val="single"/>
        </w:rPr>
        <w:t>There is no actual charge to respondents to complete the application</w:t>
      </w:r>
      <w:r w:rsidRPr="0060778C">
        <w:rPr>
          <w:color w:val="000000" w:themeColor="text1"/>
          <w:sz w:val="24"/>
          <w:szCs w:val="24"/>
        </w:rPr>
        <w:t>.</w:t>
      </w:r>
    </w:p>
    <w:p w:rsidR="005A7CF3" w:rsidRPr="0060778C" w:rsidP="005A7CF3" w14:paraId="52AF84B9" w14:textId="77777777">
      <w:pPr>
        <w:tabs>
          <w:tab w:val="left" w:pos="-720"/>
        </w:tabs>
        <w:suppressAutoHyphens/>
        <w:rPr>
          <w:color w:val="000000" w:themeColor="text1"/>
          <w:sz w:val="24"/>
          <w:szCs w:val="24"/>
        </w:rPr>
      </w:pPr>
    </w:p>
    <w:p w:rsidR="00DD6585" w:rsidRPr="0060778C" w:rsidP="00B17FEB" w14:paraId="31EDAC4D" w14:textId="6AA740D6">
      <w:pPr>
        <w:widowControl w:val="0"/>
        <w:ind w:left="1440"/>
        <w:rPr>
          <w:noProof/>
          <w:sz w:val="24"/>
          <w:szCs w:val="24"/>
        </w:rPr>
      </w:pPr>
      <w:r w:rsidRPr="0060778C">
        <w:rPr>
          <w:snapToGrid w:val="0"/>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W w:w="7914"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1358"/>
        <w:gridCol w:w="1511"/>
        <w:gridCol w:w="1588"/>
        <w:gridCol w:w="1656"/>
      </w:tblGrid>
      <w:tr w14:paraId="45923719" w14:textId="77777777" w:rsidTr="0058201E">
        <w:tblPrEx>
          <w:tblW w:w="7914"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801" w:type="dxa"/>
            <w:shd w:val="clear" w:color="auto" w:fill="auto"/>
          </w:tcPr>
          <w:p w:rsidR="00DD6585" w:rsidRPr="0060778C" w:rsidP="00976821" w14:paraId="05F7E031" w14:textId="77777777">
            <w:pPr>
              <w:widowControl w:val="0"/>
              <w:rPr>
                <w:b/>
                <w:snapToGrid w:val="0"/>
                <w:sz w:val="24"/>
                <w:szCs w:val="24"/>
              </w:rPr>
            </w:pPr>
            <w:r w:rsidRPr="0060778C">
              <w:rPr>
                <w:b/>
                <w:snapToGrid w:val="0"/>
                <w:sz w:val="24"/>
                <w:szCs w:val="24"/>
              </w:rPr>
              <w:t xml:space="preserve">Total Number of Respondents </w:t>
            </w:r>
          </w:p>
        </w:tc>
        <w:tc>
          <w:tcPr>
            <w:tcW w:w="1358" w:type="dxa"/>
            <w:shd w:val="clear" w:color="auto" w:fill="auto"/>
          </w:tcPr>
          <w:p w:rsidR="00DD6585" w:rsidRPr="0060778C" w:rsidP="00976821" w14:paraId="11605F97" w14:textId="77777777">
            <w:pPr>
              <w:widowControl w:val="0"/>
              <w:rPr>
                <w:b/>
                <w:snapToGrid w:val="0"/>
                <w:sz w:val="24"/>
                <w:szCs w:val="24"/>
              </w:rPr>
            </w:pPr>
            <w:r w:rsidRPr="0060778C">
              <w:rPr>
                <w:b/>
                <w:snapToGrid w:val="0"/>
                <w:sz w:val="24"/>
                <w:szCs w:val="24"/>
              </w:rPr>
              <w:t>Frequency of Response</w:t>
            </w:r>
          </w:p>
        </w:tc>
        <w:tc>
          <w:tcPr>
            <w:tcW w:w="1511" w:type="dxa"/>
            <w:shd w:val="clear" w:color="auto" w:fill="auto"/>
          </w:tcPr>
          <w:p w:rsidR="00DD6585" w:rsidRPr="0060778C" w:rsidP="00976821" w14:paraId="393FE8A4" w14:textId="77777777">
            <w:pPr>
              <w:widowControl w:val="0"/>
              <w:rPr>
                <w:b/>
                <w:snapToGrid w:val="0"/>
                <w:sz w:val="24"/>
                <w:szCs w:val="24"/>
              </w:rPr>
            </w:pPr>
            <w:r w:rsidRPr="0060778C">
              <w:rPr>
                <w:b/>
                <w:snapToGrid w:val="0"/>
                <w:sz w:val="24"/>
                <w:szCs w:val="24"/>
              </w:rPr>
              <w:t>Estimate Learning Cost (minutes)</w:t>
            </w:r>
          </w:p>
        </w:tc>
        <w:tc>
          <w:tcPr>
            <w:tcW w:w="1588" w:type="dxa"/>
          </w:tcPr>
          <w:p w:rsidR="00DD6585" w:rsidRPr="0060778C" w:rsidP="00976821" w14:paraId="63CCABAD" w14:textId="77777777">
            <w:pPr>
              <w:widowControl w:val="0"/>
              <w:rPr>
                <w:b/>
                <w:snapToGrid w:val="0"/>
                <w:sz w:val="24"/>
                <w:szCs w:val="24"/>
              </w:rPr>
            </w:pPr>
            <w:r w:rsidRPr="0060778C">
              <w:rPr>
                <w:b/>
                <w:snapToGrid w:val="0"/>
                <w:sz w:val="24"/>
                <w:szCs w:val="24"/>
              </w:rPr>
              <w:t>Estimated Total Annual Burden (hours)</w:t>
            </w:r>
          </w:p>
        </w:tc>
        <w:tc>
          <w:tcPr>
            <w:tcW w:w="1656" w:type="dxa"/>
            <w:shd w:val="clear" w:color="auto" w:fill="auto"/>
          </w:tcPr>
          <w:p w:rsidR="00DD6585" w:rsidRPr="0060778C" w:rsidP="00976821" w14:paraId="3DE2EC5B" w14:textId="4CBFAC2F">
            <w:pPr>
              <w:widowControl w:val="0"/>
              <w:rPr>
                <w:b/>
                <w:snapToGrid w:val="0"/>
                <w:sz w:val="24"/>
                <w:szCs w:val="24"/>
              </w:rPr>
            </w:pPr>
            <w:r w:rsidRPr="0060778C">
              <w:rPr>
                <w:b/>
                <w:snapToGrid w:val="0"/>
                <w:sz w:val="24"/>
                <w:szCs w:val="24"/>
              </w:rPr>
              <w:t>Total Annual Learning Cost (dollars)**</w:t>
            </w:r>
            <w:r w:rsidR="003764BC">
              <w:rPr>
                <w:b/>
                <w:snapToGrid w:val="0"/>
                <w:sz w:val="24"/>
                <w:szCs w:val="24"/>
              </w:rPr>
              <w:t>*</w:t>
            </w:r>
          </w:p>
        </w:tc>
      </w:tr>
      <w:tr w14:paraId="12E17301" w14:textId="77777777" w:rsidTr="0058201E">
        <w:tblPrEx>
          <w:tblW w:w="7914" w:type="dxa"/>
          <w:tblInd w:w="1435" w:type="dxa"/>
          <w:tblLook w:val="04A0"/>
        </w:tblPrEx>
        <w:trPr>
          <w:trHeight w:val="306"/>
        </w:trPr>
        <w:tc>
          <w:tcPr>
            <w:tcW w:w="1801" w:type="dxa"/>
            <w:shd w:val="clear" w:color="auto" w:fill="auto"/>
          </w:tcPr>
          <w:p w:rsidR="00DD6585" w:rsidRPr="0060778C" w:rsidP="00976821" w14:paraId="1558A455" w14:textId="19F5202D">
            <w:pPr>
              <w:widowControl w:val="0"/>
              <w:jc w:val="right"/>
              <w:rPr>
                <w:snapToGrid w:val="0"/>
                <w:sz w:val="24"/>
                <w:szCs w:val="24"/>
              </w:rPr>
            </w:pPr>
            <w:r w:rsidRPr="0060778C">
              <w:rPr>
                <w:snapToGrid w:val="0"/>
                <w:sz w:val="24"/>
                <w:szCs w:val="24"/>
              </w:rPr>
              <w:t>359,033</w:t>
            </w:r>
          </w:p>
        </w:tc>
        <w:tc>
          <w:tcPr>
            <w:tcW w:w="1358" w:type="dxa"/>
            <w:shd w:val="clear" w:color="auto" w:fill="auto"/>
          </w:tcPr>
          <w:p w:rsidR="00DD6585" w:rsidRPr="0060778C" w:rsidP="00976821" w14:paraId="04A51A16" w14:textId="77777777">
            <w:pPr>
              <w:widowControl w:val="0"/>
              <w:jc w:val="right"/>
              <w:rPr>
                <w:snapToGrid w:val="0"/>
                <w:sz w:val="24"/>
                <w:szCs w:val="24"/>
              </w:rPr>
            </w:pPr>
            <w:r w:rsidRPr="0060778C">
              <w:rPr>
                <w:snapToGrid w:val="0"/>
                <w:sz w:val="24"/>
                <w:szCs w:val="24"/>
              </w:rPr>
              <w:t>1</w:t>
            </w:r>
          </w:p>
        </w:tc>
        <w:tc>
          <w:tcPr>
            <w:tcW w:w="1511" w:type="dxa"/>
            <w:shd w:val="clear" w:color="auto" w:fill="auto"/>
          </w:tcPr>
          <w:p w:rsidR="00DD6585" w:rsidRPr="0060778C" w:rsidP="00976821" w14:paraId="4CE6833A" w14:textId="77777777">
            <w:pPr>
              <w:widowControl w:val="0"/>
              <w:jc w:val="right"/>
              <w:rPr>
                <w:snapToGrid w:val="0"/>
                <w:sz w:val="24"/>
                <w:szCs w:val="24"/>
              </w:rPr>
            </w:pPr>
            <w:r w:rsidRPr="0060778C">
              <w:rPr>
                <w:snapToGrid w:val="0"/>
                <w:sz w:val="24"/>
                <w:szCs w:val="24"/>
              </w:rPr>
              <w:t>30</w:t>
            </w:r>
          </w:p>
        </w:tc>
        <w:tc>
          <w:tcPr>
            <w:tcW w:w="1588" w:type="dxa"/>
          </w:tcPr>
          <w:p w:rsidR="00DD6585" w:rsidRPr="0060778C" w:rsidP="00976821" w14:paraId="42451B9E" w14:textId="42527A11">
            <w:pPr>
              <w:widowControl w:val="0"/>
              <w:jc w:val="right"/>
              <w:rPr>
                <w:snapToGrid w:val="0"/>
                <w:sz w:val="24"/>
                <w:szCs w:val="24"/>
              </w:rPr>
            </w:pPr>
            <w:r w:rsidRPr="0060778C">
              <w:rPr>
                <w:snapToGrid w:val="0"/>
                <w:sz w:val="24"/>
                <w:szCs w:val="24"/>
              </w:rPr>
              <w:t>179,51</w:t>
            </w:r>
            <w:r w:rsidR="00BA3794">
              <w:rPr>
                <w:snapToGrid w:val="0"/>
                <w:sz w:val="24"/>
                <w:szCs w:val="24"/>
              </w:rPr>
              <w:t>7</w:t>
            </w:r>
          </w:p>
        </w:tc>
        <w:tc>
          <w:tcPr>
            <w:tcW w:w="1656" w:type="dxa"/>
            <w:shd w:val="clear" w:color="auto" w:fill="auto"/>
          </w:tcPr>
          <w:p w:rsidR="00DD6585" w:rsidRPr="0060778C" w:rsidP="00976821" w14:paraId="7041442D" w14:textId="1CB8D6A7">
            <w:pPr>
              <w:widowControl w:val="0"/>
              <w:jc w:val="right"/>
              <w:rPr>
                <w:snapToGrid w:val="0"/>
                <w:sz w:val="24"/>
                <w:szCs w:val="24"/>
              </w:rPr>
            </w:pPr>
            <w:r w:rsidRPr="0060778C">
              <w:rPr>
                <w:snapToGrid w:val="0"/>
                <w:sz w:val="24"/>
                <w:szCs w:val="24"/>
              </w:rPr>
              <w:t>$</w:t>
            </w:r>
            <w:r w:rsidRPr="0060778C" w:rsidR="00E96E01">
              <w:rPr>
                <w:snapToGrid w:val="0"/>
                <w:sz w:val="24"/>
                <w:szCs w:val="24"/>
              </w:rPr>
              <w:t>5,8</w:t>
            </w:r>
            <w:r w:rsidRPr="0060778C" w:rsidR="006D4D7D">
              <w:rPr>
                <w:snapToGrid w:val="0"/>
                <w:sz w:val="24"/>
                <w:szCs w:val="24"/>
              </w:rPr>
              <w:t>63,0</w:t>
            </w:r>
            <w:r w:rsidR="00BA3794">
              <w:rPr>
                <w:snapToGrid w:val="0"/>
                <w:sz w:val="24"/>
                <w:szCs w:val="24"/>
              </w:rPr>
              <w:t>25**</w:t>
            </w:r>
            <w:r w:rsidRPr="0060778C">
              <w:rPr>
                <w:snapToGrid w:val="0"/>
                <w:sz w:val="24"/>
                <w:szCs w:val="24"/>
              </w:rPr>
              <w:t>*</w:t>
            </w:r>
          </w:p>
        </w:tc>
      </w:tr>
    </w:tbl>
    <w:p w:rsidR="00DD6585" w:rsidRPr="0060778C" w:rsidP="002148B7" w14:paraId="6E059C31" w14:textId="0037061A">
      <w:pPr>
        <w:widowControl w:val="0"/>
        <w:ind w:left="1440"/>
        <w:rPr>
          <w:snapToGrid w:val="0"/>
          <w:sz w:val="24"/>
          <w:szCs w:val="24"/>
        </w:rPr>
      </w:pPr>
      <w:r w:rsidRPr="0060778C">
        <w:rPr>
          <w:snapToGrid w:val="0"/>
          <w:sz w:val="24"/>
          <w:szCs w:val="24"/>
        </w:rPr>
        <w:t>***We based this dollar amount on the Average Theoretical Hourly Cost Amount in dollars shown on the burden chart above.</w:t>
      </w:r>
    </w:p>
    <w:p w:rsidR="00DD6585" w:rsidRPr="0060778C" w:rsidP="00DD6585" w14:paraId="6845F1CB" w14:textId="77777777">
      <w:pPr>
        <w:widowControl w:val="0"/>
        <w:ind w:left="1440"/>
        <w:rPr>
          <w:snapToGrid w:val="0"/>
          <w:sz w:val="24"/>
          <w:szCs w:val="24"/>
        </w:rPr>
      </w:pPr>
    </w:p>
    <w:p w:rsidR="00DD6585" w:rsidRPr="0060778C" w:rsidP="002148B7" w14:paraId="5E59EB76" w14:textId="77777777">
      <w:pPr>
        <w:widowControl w:val="0"/>
        <w:ind w:left="1440"/>
        <w:rPr>
          <w:snapToGrid w:val="0"/>
          <w:sz w:val="24"/>
          <w:szCs w:val="24"/>
        </w:rPr>
      </w:pPr>
      <w:r w:rsidRPr="003764BC">
        <w:rPr>
          <w:snapToGrid w:val="0"/>
          <w:sz w:val="24"/>
          <w:szCs w:val="24"/>
          <w:u w:val="single"/>
        </w:rPr>
        <w:t>NOTE:</w:t>
      </w:r>
      <w:r w:rsidRPr="0060778C">
        <w:rPr>
          <w:snapToGrid w:val="0"/>
          <w:sz w:val="24"/>
          <w:szCs w:val="24"/>
        </w:rPr>
        <w:t xml:space="preserve">  We included the total opportunity cost estimate from this chart in our calculations when showing the total time and opportunity cost estimates in the paragraph below.</w:t>
      </w:r>
    </w:p>
    <w:p w:rsidR="00DD6585" w:rsidRPr="0060778C" w:rsidP="00DD6585" w14:paraId="3AAAEB3A" w14:textId="77777777">
      <w:pPr>
        <w:widowControl w:val="0"/>
        <w:ind w:left="1440"/>
        <w:rPr>
          <w:snapToGrid w:val="0"/>
          <w:sz w:val="24"/>
          <w:szCs w:val="24"/>
        </w:rPr>
      </w:pPr>
    </w:p>
    <w:p w:rsidR="00AF2D0D" w:rsidRPr="00AF2D0D" w:rsidP="002148B7" w14:paraId="1C9E6BBD" w14:textId="3D9F7A16">
      <w:pPr>
        <w:tabs>
          <w:tab w:val="left" w:pos="360"/>
        </w:tabs>
        <w:ind w:left="1440"/>
        <w:rPr>
          <w:sz w:val="24"/>
          <w:szCs w:val="24"/>
        </w:rPr>
      </w:pPr>
      <w:r w:rsidRPr="00AF2D0D">
        <w:rPr>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FD053C" w:rsidR="00FD053C">
        <w:rPr>
          <w:b/>
          <w:bCs/>
          <w:noProof/>
          <w:sz w:val="24"/>
          <w:szCs w:val="24"/>
        </w:rPr>
        <w:t xml:space="preserve">5 </w:t>
      </w:r>
      <w:r w:rsidR="00FD053C">
        <w:rPr>
          <w:noProof/>
          <w:sz w:val="24"/>
          <w:szCs w:val="24"/>
        </w:rPr>
        <w:t>and</w:t>
      </w:r>
      <w:r w:rsidRPr="00FD053C" w:rsidR="00FD053C">
        <w:rPr>
          <w:b/>
          <w:bCs/>
          <w:noProof/>
          <w:sz w:val="24"/>
          <w:szCs w:val="24"/>
        </w:rPr>
        <w:t xml:space="preserve"> 15</w:t>
      </w:r>
      <w:r w:rsidRPr="00AF2D0D">
        <w:rPr>
          <w:noProof/>
          <w:sz w:val="24"/>
          <w:szCs w:val="24"/>
        </w:rPr>
        <w:t xml:space="preserve"> minutes above accurately shows the average burden per response for </w:t>
      </w:r>
      <w:r w:rsidRPr="00AF2D0D">
        <w:rPr>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AF2D0D">
        <w:rPr>
          <w:noProof/>
          <w:sz w:val="24"/>
          <w:szCs w:val="24"/>
        </w:rPr>
        <w:t>.  Based on our current management information data, the current burden information we provided is accurate</w:t>
      </w:r>
      <w:r w:rsidRPr="00AF2D0D">
        <w:rPr>
          <w:sz w:val="24"/>
          <w:szCs w:val="24"/>
        </w:rPr>
        <w:t xml:space="preserve">.  The total burden for this ICR is </w:t>
      </w:r>
      <w:r>
        <w:rPr>
          <w:b/>
          <w:sz w:val="24"/>
          <w:szCs w:val="24"/>
        </w:rPr>
        <w:t>30,932</w:t>
      </w:r>
      <w:r w:rsidRPr="00AF2D0D">
        <w:rPr>
          <w:sz w:val="24"/>
          <w:szCs w:val="24"/>
        </w:rPr>
        <w:t xml:space="preserve"> burden hours (reflecting SSA management information data), which results in an associated theoretical (not actual) opportunity cost financial burden of </w:t>
      </w:r>
      <w:r>
        <w:rPr>
          <w:b/>
          <w:sz w:val="24"/>
          <w:szCs w:val="24"/>
        </w:rPr>
        <w:t>$6,873,265</w:t>
      </w:r>
      <w:r w:rsidRPr="00AF2D0D">
        <w:rPr>
          <w:sz w:val="24"/>
          <w:szCs w:val="24"/>
        </w:rPr>
        <w:t>.  SSA does not charge respondents to complete our applications</w:t>
      </w:r>
      <w:r w:rsidRPr="00AF2D0D">
        <w:rPr>
          <w:noProof/>
          <w:sz w:val="24"/>
          <w:szCs w:val="24"/>
        </w:rPr>
        <w:t xml:space="preserve">. </w:t>
      </w:r>
      <w:r w:rsidRPr="00AF2D0D">
        <w:rPr>
          <w:b/>
          <w:sz w:val="24"/>
          <w:szCs w:val="24"/>
        </w:rPr>
        <w:tab/>
      </w:r>
    </w:p>
    <w:p w:rsidR="00AF2D0D" w:rsidP="00DD6585" w14:paraId="0BEA8493" w14:textId="77777777">
      <w:pPr>
        <w:pStyle w:val="ListParagraph"/>
        <w:rPr>
          <w:color w:val="000000"/>
          <w:sz w:val="24"/>
          <w:szCs w:val="24"/>
        </w:rPr>
      </w:pPr>
    </w:p>
    <w:p w:rsidR="008E0947" w:rsidRPr="0060778C" w:rsidP="002148B7" w14:paraId="6AAAF6DA" w14:textId="77777777">
      <w:pPr>
        <w:pStyle w:val="ListParagraph"/>
        <w:numPr>
          <w:ilvl w:val="0"/>
          <w:numId w:val="21"/>
        </w:numPr>
        <w:tabs>
          <w:tab w:val="left" w:pos="-720"/>
          <w:tab w:val="left" w:pos="1440"/>
        </w:tabs>
        <w:suppressAutoHyphens/>
        <w:ind w:left="1440" w:hanging="630"/>
        <w:rPr>
          <w:b/>
          <w:sz w:val="24"/>
          <w:szCs w:val="24"/>
        </w:rPr>
      </w:pPr>
      <w:r w:rsidRPr="0060778C">
        <w:rPr>
          <w:b/>
          <w:sz w:val="24"/>
        </w:rPr>
        <w:t>Annual</w:t>
      </w:r>
      <w:r w:rsidRPr="0060778C">
        <w:rPr>
          <w:sz w:val="24"/>
        </w:rPr>
        <w:t xml:space="preserve"> </w:t>
      </w:r>
      <w:r w:rsidRPr="0060778C">
        <w:rPr>
          <w:b/>
          <w:sz w:val="24"/>
        </w:rPr>
        <w:t>Cost to the Respondents (Other)</w:t>
      </w:r>
    </w:p>
    <w:p w:rsidR="00487E40" w:rsidRPr="0060778C" w:rsidP="008E0947" w14:paraId="3BCD0653" w14:textId="1D6DCA1B">
      <w:pPr>
        <w:pStyle w:val="ListParagraph"/>
        <w:tabs>
          <w:tab w:val="left" w:pos="-720"/>
        </w:tabs>
        <w:suppressAutoHyphens/>
        <w:ind w:left="1080"/>
        <w:rPr>
          <w:b/>
          <w:sz w:val="24"/>
          <w:szCs w:val="24"/>
        </w:rPr>
      </w:pPr>
      <w:r>
        <w:rPr>
          <w:sz w:val="24"/>
          <w:szCs w:val="24"/>
        </w:rPr>
        <w:tab/>
      </w:r>
      <w:r w:rsidRPr="0060778C" w:rsidR="008E0947">
        <w:rPr>
          <w:sz w:val="24"/>
          <w:szCs w:val="24"/>
        </w:rPr>
        <w:t>This collection does not impose a known cost burden to the respondents.</w:t>
      </w:r>
    </w:p>
    <w:p w:rsidR="00C873D6" w:rsidRPr="0060778C" w:rsidP="008E0947" w14:paraId="43788507" w14:textId="77777777">
      <w:pPr>
        <w:pStyle w:val="ListParagraph"/>
        <w:tabs>
          <w:tab w:val="left" w:pos="-720"/>
        </w:tabs>
        <w:suppressAutoHyphens/>
        <w:ind w:left="1080"/>
        <w:rPr>
          <w:b/>
          <w:sz w:val="24"/>
          <w:szCs w:val="24"/>
        </w:rPr>
      </w:pPr>
    </w:p>
    <w:p w:rsidR="007C0678" w:rsidRPr="0060778C" w:rsidP="002148B7" w14:paraId="01944672" w14:textId="77777777">
      <w:pPr>
        <w:pStyle w:val="ListParagraph"/>
        <w:numPr>
          <w:ilvl w:val="0"/>
          <w:numId w:val="21"/>
        </w:numPr>
        <w:tabs>
          <w:tab w:val="left" w:pos="-720"/>
        </w:tabs>
        <w:suppressAutoHyphens/>
        <w:ind w:left="1440" w:hanging="630"/>
        <w:rPr>
          <w:b/>
          <w:sz w:val="24"/>
          <w:szCs w:val="24"/>
        </w:rPr>
      </w:pPr>
      <w:r w:rsidRPr="0060778C">
        <w:rPr>
          <w:b/>
          <w:sz w:val="24"/>
        </w:rPr>
        <w:t>Annual Cost To Federal Government</w:t>
      </w:r>
      <w:r w:rsidRPr="0060778C">
        <w:rPr>
          <w:sz w:val="32"/>
          <w:szCs w:val="24"/>
        </w:rPr>
        <w:t xml:space="preserve"> </w:t>
      </w:r>
    </w:p>
    <w:p w:rsidR="00473A69" w:rsidRPr="00473A69" w:rsidP="002148B7" w14:paraId="5F56A969" w14:textId="0EEA2723">
      <w:pPr>
        <w:pStyle w:val="ListParagraph"/>
        <w:ind w:left="1440"/>
        <w:rPr>
          <w:color w:val="000000"/>
          <w:sz w:val="24"/>
          <w:szCs w:val="24"/>
        </w:rPr>
      </w:pPr>
      <w:r w:rsidRPr="00473A69">
        <w:rPr>
          <w:color w:val="000000"/>
        </w:rPr>
        <w:t>T</w:t>
      </w:r>
      <w:r w:rsidRPr="00473A69">
        <w:rPr>
          <w:color w:val="000000"/>
          <w:sz w:val="24"/>
          <w:szCs w:val="24"/>
        </w:rPr>
        <w:t>he annual cost to the Federal Government is approximately $</w:t>
      </w:r>
      <w:r>
        <w:rPr>
          <w:color w:val="000000"/>
          <w:sz w:val="24"/>
          <w:szCs w:val="24"/>
        </w:rPr>
        <w:t>702,147</w:t>
      </w:r>
      <w:r w:rsidRPr="00473A69">
        <w:rPr>
          <w:color w:val="000000"/>
          <w:sz w:val="24"/>
          <w:szCs w:val="24"/>
        </w:rPr>
        <w:t>.  This estimate accounts for costs from the following areas:</w:t>
      </w:r>
    </w:p>
    <w:p w:rsidR="00F064E4" w:rsidRPr="0060778C" w:rsidP="007C0678" w14:paraId="711E248F" w14:textId="77777777">
      <w:pPr>
        <w:pStyle w:val="ListParagraph"/>
        <w:tabs>
          <w:tab w:val="left" w:pos="-720"/>
        </w:tabs>
        <w:suppressAutoHyphens/>
        <w:ind w:left="1080"/>
        <w:rPr>
          <w:sz w:val="24"/>
          <w:szCs w:val="24"/>
        </w:rPr>
      </w:pPr>
    </w:p>
    <w:tbl>
      <w:tblPr>
        <w:tblStyle w:val="TableGrid1"/>
        <w:tblW w:w="8640" w:type="dxa"/>
        <w:tblInd w:w="1165" w:type="dxa"/>
        <w:tblLook w:val="04A0"/>
      </w:tblPr>
      <w:tblGrid>
        <w:gridCol w:w="2558"/>
        <w:gridCol w:w="3117"/>
        <w:gridCol w:w="2965"/>
      </w:tblGrid>
      <w:tr w14:paraId="40F8592A" w14:textId="77777777" w:rsidTr="00AF2D0D">
        <w:tblPrEx>
          <w:tblW w:w="8640" w:type="dxa"/>
          <w:tblInd w:w="1165" w:type="dxa"/>
          <w:tblLook w:val="04A0"/>
        </w:tblPrEx>
        <w:trPr>
          <w:trHeight w:val="647"/>
        </w:trPr>
        <w:tc>
          <w:tcPr>
            <w:tcW w:w="2558" w:type="dxa"/>
          </w:tcPr>
          <w:p w:rsidR="00F064E4" w:rsidRPr="0060778C" w:rsidP="006D2EF8" w14:paraId="289B93A9" w14:textId="77777777">
            <w:pPr>
              <w:rPr>
                <w:rFonts w:ascii="Times New Roman" w:hAnsi="Times New Roman"/>
                <w:b/>
                <w:bCs/>
                <w:color w:val="000000"/>
                <w:sz w:val="24"/>
                <w:szCs w:val="24"/>
              </w:rPr>
            </w:pPr>
            <w:r w:rsidRPr="0060778C">
              <w:rPr>
                <w:rFonts w:ascii="Times New Roman" w:hAnsi="Times New Roman"/>
                <w:b/>
                <w:bCs/>
                <w:color w:val="000000"/>
                <w:sz w:val="24"/>
                <w:szCs w:val="24"/>
              </w:rPr>
              <w:t>Description of Cost Factor</w:t>
            </w:r>
          </w:p>
        </w:tc>
        <w:tc>
          <w:tcPr>
            <w:tcW w:w="3117" w:type="dxa"/>
          </w:tcPr>
          <w:p w:rsidR="00F064E4" w:rsidRPr="0060778C" w:rsidP="006D2EF8" w14:paraId="737C8F5C" w14:textId="77777777">
            <w:pPr>
              <w:rPr>
                <w:rFonts w:ascii="Times New Roman" w:hAnsi="Times New Roman"/>
                <w:b/>
                <w:bCs/>
                <w:color w:val="000000"/>
                <w:sz w:val="24"/>
                <w:szCs w:val="24"/>
              </w:rPr>
            </w:pPr>
            <w:r w:rsidRPr="0060778C">
              <w:rPr>
                <w:rFonts w:ascii="Times New Roman" w:hAnsi="Times New Roman"/>
                <w:b/>
                <w:bCs/>
                <w:color w:val="000000"/>
                <w:sz w:val="24"/>
                <w:szCs w:val="24"/>
              </w:rPr>
              <w:t>Methodology for Estimating Cost</w:t>
            </w:r>
          </w:p>
        </w:tc>
        <w:tc>
          <w:tcPr>
            <w:tcW w:w="2965" w:type="dxa"/>
          </w:tcPr>
          <w:p w:rsidR="00F064E4" w:rsidRPr="0060778C" w:rsidP="006D2EF8" w14:paraId="0C94BBE1" w14:textId="77777777">
            <w:pPr>
              <w:rPr>
                <w:rFonts w:ascii="Times New Roman" w:hAnsi="Times New Roman"/>
                <w:b/>
                <w:bCs/>
                <w:color w:val="000000"/>
                <w:sz w:val="24"/>
                <w:szCs w:val="24"/>
              </w:rPr>
            </w:pPr>
            <w:r w:rsidRPr="0060778C">
              <w:rPr>
                <w:rFonts w:ascii="Times New Roman" w:hAnsi="Times New Roman"/>
                <w:b/>
                <w:bCs/>
                <w:color w:val="000000"/>
                <w:sz w:val="24"/>
                <w:szCs w:val="24"/>
              </w:rPr>
              <w:t>Cost in Dollars*</w:t>
            </w:r>
          </w:p>
        </w:tc>
      </w:tr>
      <w:tr w14:paraId="44F64F6F" w14:textId="77777777" w:rsidTr="00AF2D0D">
        <w:tblPrEx>
          <w:tblW w:w="8640" w:type="dxa"/>
          <w:tblInd w:w="1165" w:type="dxa"/>
          <w:tblLook w:val="04A0"/>
        </w:tblPrEx>
        <w:tc>
          <w:tcPr>
            <w:tcW w:w="2558" w:type="dxa"/>
          </w:tcPr>
          <w:p w:rsidR="00F064E4" w:rsidRPr="0060778C" w:rsidP="006D2EF8" w14:paraId="12818377" w14:textId="77777777">
            <w:pPr>
              <w:rPr>
                <w:rFonts w:ascii="Times New Roman" w:hAnsi="Times New Roman"/>
                <w:color w:val="000000"/>
                <w:sz w:val="24"/>
                <w:szCs w:val="24"/>
              </w:rPr>
            </w:pPr>
            <w:r w:rsidRPr="0060778C">
              <w:rPr>
                <w:rFonts w:ascii="Times New Roman" w:hAnsi="Times New Roman"/>
                <w:color w:val="000000"/>
                <w:sz w:val="24"/>
                <w:szCs w:val="24"/>
              </w:rPr>
              <w:t>Designing and Printing the Form</w:t>
            </w:r>
          </w:p>
        </w:tc>
        <w:tc>
          <w:tcPr>
            <w:tcW w:w="3117" w:type="dxa"/>
          </w:tcPr>
          <w:p w:rsidR="00F064E4" w:rsidRPr="0060778C" w:rsidP="006D2EF8" w14:paraId="0D9D3297" w14:textId="77777777">
            <w:pPr>
              <w:rPr>
                <w:rFonts w:ascii="Times New Roman" w:hAnsi="Times New Roman"/>
                <w:color w:val="000000"/>
                <w:sz w:val="24"/>
                <w:szCs w:val="24"/>
              </w:rPr>
            </w:pPr>
            <w:r w:rsidRPr="0060778C">
              <w:rPr>
                <w:rFonts w:ascii="Times New Roman" w:hAnsi="Times New Roman"/>
                <w:color w:val="000000"/>
                <w:sz w:val="24"/>
                <w:szCs w:val="24"/>
              </w:rPr>
              <w:t>Design Cost + Printing Cost</w:t>
            </w:r>
          </w:p>
        </w:tc>
        <w:tc>
          <w:tcPr>
            <w:tcW w:w="2965" w:type="dxa"/>
          </w:tcPr>
          <w:p w:rsidR="00F064E4" w:rsidRPr="0060778C" w:rsidP="006D2EF8" w14:paraId="62AA93D5" w14:textId="527FF3F8">
            <w:pPr>
              <w:jc w:val="right"/>
              <w:rPr>
                <w:rFonts w:ascii="Times New Roman" w:hAnsi="Times New Roman"/>
                <w:color w:val="000000"/>
                <w:sz w:val="24"/>
                <w:szCs w:val="24"/>
              </w:rPr>
            </w:pPr>
            <w:r w:rsidRPr="00D81303">
              <w:rPr>
                <w:rFonts w:ascii="Times New Roman" w:hAnsi="Times New Roman"/>
                <w:color w:val="000000"/>
                <w:sz w:val="24"/>
                <w:szCs w:val="24"/>
              </w:rPr>
              <w:t>$</w:t>
            </w:r>
            <w:r w:rsidR="00D81303">
              <w:rPr>
                <w:rFonts w:ascii="Times New Roman" w:hAnsi="Times New Roman"/>
                <w:color w:val="000000"/>
                <w:sz w:val="24"/>
                <w:szCs w:val="24"/>
              </w:rPr>
              <w:t>975</w:t>
            </w:r>
          </w:p>
        </w:tc>
      </w:tr>
      <w:tr w14:paraId="076457D9" w14:textId="77777777" w:rsidTr="00AF2D0D">
        <w:tblPrEx>
          <w:tblW w:w="8640" w:type="dxa"/>
          <w:tblInd w:w="1165" w:type="dxa"/>
          <w:tblLook w:val="04A0"/>
        </w:tblPrEx>
        <w:tc>
          <w:tcPr>
            <w:tcW w:w="2558" w:type="dxa"/>
          </w:tcPr>
          <w:p w:rsidR="00F064E4" w:rsidRPr="0060778C" w:rsidP="006D2EF8" w14:paraId="3852353C" w14:textId="77777777">
            <w:pPr>
              <w:rPr>
                <w:rFonts w:ascii="Times New Roman" w:hAnsi="Times New Roman"/>
                <w:color w:val="000000"/>
                <w:sz w:val="24"/>
                <w:szCs w:val="24"/>
              </w:rPr>
            </w:pPr>
            <w:r w:rsidRPr="0060778C">
              <w:rPr>
                <w:rFonts w:ascii="Times New Roman" w:hAnsi="Times New Roman"/>
                <w:color w:val="000000"/>
                <w:sz w:val="24"/>
                <w:szCs w:val="24"/>
              </w:rPr>
              <w:t>Distributing, Shipping, and Material Costs for the Form</w:t>
            </w:r>
          </w:p>
        </w:tc>
        <w:tc>
          <w:tcPr>
            <w:tcW w:w="3117" w:type="dxa"/>
          </w:tcPr>
          <w:p w:rsidR="00F064E4" w:rsidRPr="0060778C" w:rsidP="006D2EF8" w14:paraId="44D10574" w14:textId="77777777">
            <w:pPr>
              <w:rPr>
                <w:rFonts w:ascii="Times New Roman" w:hAnsi="Times New Roman"/>
                <w:color w:val="000000"/>
                <w:sz w:val="24"/>
                <w:szCs w:val="24"/>
              </w:rPr>
            </w:pPr>
            <w:r w:rsidRPr="0060778C">
              <w:rPr>
                <w:rFonts w:ascii="Times New Roman" w:hAnsi="Times New Roman"/>
                <w:color w:val="000000"/>
                <w:sz w:val="24"/>
                <w:szCs w:val="24"/>
              </w:rPr>
              <w:t>Distribution + Shipping + Material Cost</w:t>
            </w:r>
          </w:p>
        </w:tc>
        <w:tc>
          <w:tcPr>
            <w:tcW w:w="2965" w:type="dxa"/>
          </w:tcPr>
          <w:p w:rsidR="00F064E4" w:rsidRPr="0060778C" w:rsidP="006D2EF8" w14:paraId="21CB17FF" w14:textId="7CFCB3C8">
            <w:pPr>
              <w:jc w:val="right"/>
              <w:rPr>
                <w:rFonts w:ascii="Times New Roman" w:hAnsi="Times New Roman"/>
                <w:color w:val="000000"/>
                <w:sz w:val="24"/>
                <w:szCs w:val="24"/>
              </w:rPr>
            </w:pPr>
            <w:r w:rsidRPr="00AF2D0D">
              <w:rPr>
                <w:rFonts w:ascii="Times New Roman" w:hAnsi="Times New Roman"/>
                <w:color w:val="000000"/>
                <w:sz w:val="24"/>
                <w:szCs w:val="24"/>
              </w:rPr>
              <w:t>$</w:t>
            </w:r>
            <w:r w:rsidRPr="00AF2D0D" w:rsidR="00D81303">
              <w:rPr>
                <w:rFonts w:ascii="Times New Roman" w:hAnsi="Times New Roman"/>
                <w:color w:val="000000"/>
                <w:sz w:val="24"/>
                <w:szCs w:val="24"/>
              </w:rPr>
              <w:t>85,900</w:t>
            </w:r>
          </w:p>
        </w:tc>
      </w:tr>
      <w:tr w14:paraId="6431B8C5" w14:textId="77777777" w:rsidTr="00AF2D0D">
        <w:tblPrEx>
          <w:tblW w:w="8640" w:type="dxa"/>
          <w:tblInd w:w="1165" w:type="dxa"/>
          <w:tblLook w:val="04A0"/>
        </w:tblPrEx>
        <w:tc>
          <w:tcPr>
            <w:tcW w:w="2558" w:type="dxa"/>
          </w:tcPr>
          <w:p w:rsidR="00F064E4" w:rsidRPr="0060778C" w:rsidP="006D2EF8" w14:paraId="2F8ADAE0" w14:textId="77777777">
            <w:pPr>
              <w:rPr>
                <w:rFonts w:ascii="Times New Roman" w:hAnsi="Times New Roman"/>
                <w:color w:val="000000"/>
                <w:sz w:val="24"/>
                <w:szCs w:val="24"/>
              </w:rPr>
            </w:pPr>
            <w:r w:rsidRPr="0060778C">
              <w:rPr>
                <w:rFonts w:ascii="Times New Roman" w:hAnsi="Times New Roman"/>
                <w:color w:val="000000"/>
                <w:sz w:val="24"/>
                <w:szCs w:val="24"/>
              </w:rPr>
              <w:t>SSA Employee (e.g., field office, 800 number, DDS staff) Information Collection and Processing Time</w:t>
            </w:r>
          </w:p>
        </w:tc>
        <w:tc>
          <w:tcPr>
            <w:tcW w:w="3117" w:type="dxa"/>
          </w:tcPr>
          <w:p w:rsidR="00F064E4" w:rsidRPr="0060778C" w:rsidP="006D2EF8" w14:paraId="7CFBA24E" w14:textId="5507BE3E">
            <w:pPr>
              <w:rPr>
                <w:rFonts w:ascii="Times New Roman" w:hAnsi="Times New Roman"/>
                <w:color w:val="000000"/>
                <w:sz w:val="24"/>
                <w:szCs w:val="24"/>
              </w:rPr>
            </w:pPr>
            <w:r w:rsidRPr="0060778C">
              <w:rPr>
                <w:rFonts w:ascii="Times New Roman" w:hAnsi="Times New Roman"/>
                <w:color w:val="000000"/>
                <w:sz w:val="24"/>
                <w:szCs w:val="24"/>
              </w:rPr>
              <w:t>GS-</w:t>
            </w:r>
            <w:r w:rsidR="00A204F7">
              <w:rPr>
                <w:rFonts w:ascii="Times New Roman" w:hAnsi="Times New Roman"/>
                <w:color w:val="000000"/>
                <w:sz w:val="24"/>
                <w:szCs w:val="24"/>
              </w:rPr>
              <w:t>7</w:t>
            </w:r>
            <w:r w:rsidRPr="0060778C">
              <w:rPr>
                <w:rFonts w:ascii="Times New Roman" w:hAnsi="Times New Roman"/>
                <w:color w:val="000000"/>
                <w:sz w:val="24"/>
                <w:szCs w:val="24"/>
              </w:rPr>
              <w:t xml:space="preserve"> employee x # of responses x </w:t>
            </w:r>
            <w:r w:rsidRPr="00AF2D0D">
              <w:rPr>
                <w:rFonts w:ascii="Times New Roman" w:hAnsi="Times New Roman"/>
                <w:color w:val="000000"/>
                <w:sz w:val="24"/>
                <w:szCs w:val="24"/>
              </w:rPr>
              <w:t>processing time</w:t>
            </w:r>
          </w:p>
        </w:tc>
        <w:tc>
          <w:tcPr>
            <w:tcW w:w="2965" w:type="dxa"/>
          </w:tcPr>
          <w:p w:rsidR="00F064E4" w:rsidRPr="00537B7B" w:rsidP="006D2EF8" w14:paraId="5C8E8FDB" w14:textId="7460D375">
            <w:pPr>
              <w:jc w:val="right"/>
              <w:rPr>
                <w:rFonts w:ascii="Times New Roman" w:hAnsi="Times New Roman"/>
                <w:color w:val="000000"/>
                <w:sz w:val="24"/>
                <w:szCs w:val="24"/>
              </w:rPr>
            </w:pPr>
            <w:r w:rsidRPr="00537B7B">
              <w:rPr>
                <w:rFonts w:ascii="Times New Roman" w:hAnsi="Times New Roman"/>
                <w:color w:val="000000"/>
                <w:sz w:val="24"/>
                <w:szCs w:val="24"/>
              </w:rPr>
              <w:t>$</w:t>
            </w:r>
            <w:r w:rsidR="007B4680">
              <w:rPr>
                <w:rFonts w:ascii="Times New Roman" w:hAnsi="Times New Roman"/>
                <w:color w:val="000000"/>
                <w:sz w:val="24"/>
                <w:szCs w:val="24"/>
              </w:rPr>
              <w:t>611</w:t>
            </w:r>
            <w:r w:rsidR="00046714">
              <w:rPr>
                <w:rFonts w:ascii="Times New Roman" w:hAnsi="Times New Roman"/>
                <w:color w:val="000000"/>
                <w:sz w:val="24"/>
                <w:szCs w:val="24"/>
              </w:rPr>
              <w:t>,852</w:t>
            </w:r>
          </w:p>
        </w:tc>
      </w:tr>
      <w:tr w14:paraId="1079CBDC" w14:textId="77777777" w:rsidTr="00AF2D0D">
        <w:tblPrEx>
          <w:tblW w:w="8640" w:type="dxa"/>
          <w:tblInd w:w="1165" w:type="dxa"/>
          <w:tblLook w:val="04A0"/>
        </w:tblPrEx>
        <w:tc>
          <w:tcPr>
            <w:tcW w:w="2558" w:type="dxa"/>
          </w:tcPr>
          <w:p w:rsidR="00F064E4" w:rsidRPr="0060778C" w:rsidP="006D2EF8" w14:paraId="628A5334" w14:textId="77777777">
            <w:pPr>
              <w:rPr>
                <w:rFonts w:ascii="Times New Roman" w:hAnsi="Times New Roman"/>
                <w:color w:val="000000"/>
                <w:sz w:val="24"/>
                <w:szCs w:val="24"/>
              </w:rPr>
            </w:pPr>
            <w:r w:rsidRPr="0060778C">
              <w:rPr>
                <w:rFonts w:ascii="Times New Roman" w:hAnsi="Times New Roman"/>
                <w:color w:val="000000"/>
                <w:sz w:val="24"/>
                <w:szCs w:val="24"/>
              </w:rPr>
              <w:t>Full-Time Equivalent Costs</w:t>
            </w:r>
          </w:p>
        </w:tc>
        <w:tc>
          <w:tcPr>
            <w:tcW w:w="3117" w:type="dxa"/>
          </w:tcPr>
          <w:p w:rsidR="00F064E4" w:rsidRPr="0060778C" w:rsidP="006D2EF8" w14:paraId="6FA6D278" w14:textId="77777777">
            <w:pPr>
              <w:rPr>
                <w:rFonts w:ascii="Times New Roman" w:hAnsi="Times New Roman"/>
                <w:color w:val="000000"/>
                <w:sz w:val="24"/>
                <w:szCs w:val="24"/>
              </w:rPr>
            </w:pPr>
            <w:r w:rsidRPr="0060778C">
              <w:rPr>
                <w:rFonts w:ascii="Times New Roman" w:hAnsi="Times New Roman"/>
                <w:color w:val="000000"/>
                <w:sz w:val="24"/>
                <w:szCs w:val="24"/>
              </w:rPr>
              <w:t>Out of pocket costs + Other expenses for providing this service</w:t>
            </w:r>
          </w:p>
        </w:tc>
        <w:tc>
          <w:tcPr>
            <w:tcW w:w="2965" w:type="dxa"/>
          </w:tcPr>
          <w:p w:rsidR="00F064E4" w:rsidRPr="0060778C" w:rsidP="006D2EF8" w14:paraId="6DE54AF7" w14:textId="77777777">
            <w:pPr>
              <w:jc w:val="right"/>
              <w:rPr>
                <w:rFonts w:ascii="Times New Roman" w:hAnsi="Times New Roman"/>
                <w:color w:val="000000"/>
                <w:sz w:val="24"/>
                <w:szCs w:val="24"/>
              </w:rPr>
            </w:pPr>
            <w:r w:rsidRPr="0060778C">
              <w:rPr>
                <w:rFonts w:ascii="Times New Roman" w:hAnsi="Times New Roman"/>
                <w:color w:val="000000"/>
                <w:sz w:val="24"/>
                <w:szCs w:val="24"/>
              </w:rPr>
              <w:t>$0*</w:t>
            </w:r>
          </w:p>
        </w:tc>
      </w:tr>
      <w:tr w14:paraId="3D63BB9D" w14:textId="77777777" w:rsidTr="00AF2D0D">
        <w:tblPrEx>
          <w:tblW w:w="8640" w:type="dxa"/>
          <w:tblInd w:w="1165" w:type="dxa"/>
          <w:tblLook w:val="04A0"/>
        </w:tblPrEx>
        <w:tc>
          <w:tcPr>
            <w:tcW w:w="2558" w:type="dxa"/>
          </w:tcPr>
          <w:p w:rsidR="00F064E4" w:rsidRPr="0060778C" w:rsidP="006D2EF8" w14:paraId="2B8E8094" w14:textId="77777777">
            <w:pPr>
              <w:rPr>
                <w:rFonts w:ascii="Times New Roman" w:hAnsi="Times New Roman"/>
                <w:color w:val="000000"/>
                <w:sz w:val="24"/>
                <w:szCs w:val="24"/>
              </w:rPr>
            </w:pPr>
            <w:r w:rsidRPr="0060778C">
              <w:rPr>
                <w:rFonts w:ascii="Times New Roman" w:hAnsi="Times New Roman"/>
                <w:color w:val="000000"/>
                <w:sz w:val="24"/>
                <w:szCs w:val="24"/>
              </w:rPr>
              <w:t>Systems Development, Updating, and Maintenance</w:t>
            </w:r>
          </w:p>
        </w:tc>
        <w:tc>
          <w:tcPr>
            <w:tcW w:w="3117" w:type="dxa"/>
          </w:tcPr>
          <w:p w:rsidR="00F064E4" w:rsidRPr="0060778C" w:rsidP="006D2EF8" w14:paraId="14E77673" w14:textId="77777777">
            <w:pPr>
              <w:rPr>
                <w:rFonts w:ascii="Times New Roman" w:hAnsi="Times New Roman"/>
                <w:color w:val="000000"/>
                <w:sz w:val="24"/>
                <w:szCs w:val="24"/>
              </w:rPr>
            </w:pPr>
            <w:r w:rsidRPr="0060778C">
              <w:rPr>
                <w:rFonts w:ascii="Times New Roman" w:hAnsi="Times New Roman"/>
                <w:color w:val="000000"/>
                <w:sz w:val="24"/>
                <w:szCs w:val="24"/>
              </w:rPr>
              <w:t>GS-9 employee x man hours for development, updating, maintenance</w:t>
            </w:r>
          </w:p>
        </w:tc>
        <w:tc>
          <w:tcPr>
            <w:tcW w:w="2965" w:type="dxa"/>
          </w:tcPr>
          <w:p w:rsidR="00F064E4" w:rsidRPr="0060778C" w:rsidP="006D2EF8" w14:paraId="0EB7D499" w14:textId="77777777">
            <w:pPr>
              <w:jc w:val="right"/>
              <w:rPr>
                <w:rFonts w:ascii="Times New Roman" w:hAnsi="Times New Roman"/>
                <w:color w:val="000000"/>
                <w:sz w:val="24"/>
                <w:szCs w:val="24"/>
              </w:rPr>
            </w:pPr>
            <w:r w:rsidRPr="0060778C">
              <w:rPr>
                <w:rFonts w:ascii="Times New Roman" w:hAnsi="Times New Roman"/>
                <w:color w:val="000000"/>
                <w:sz w:val="24"/>
                <w:szCs w:val="24"/>
              </w:rPr>
              <w:t>$3,420</w:t>
            </w:r>
          </w:p>
        </w:tc>
      </w:tr>
      <w:tr w14:paraId="32945303" w14:textId="77777777" w:rsidTr="00AF2D0D">
        <w:tblPrEx>
          <w:tblW w:w="8640" w:type="dxa"/>
          <w:tblInd w:w="1165" w:type="dxa"/>
          <w:tblLook w:val="04A0"/>
        </w:tblPrEx>
        <w:tc>
          <w:tcPr>
            <w:tcW w:w="2558" w:type="dxa"/>
          </w:tcPr>
          <w:p w:rsidR="00F064E4" w:rsidRPr="0060778C" w:rsidP="006D2EF8" w14:paraId="36213B32" w14:textId="77777777">
            <w:pPr>
              <w:rPr>
                <w:rFonts w:ascii="Times New Roman" w:hAnsi="Times New Roman"/>
                <w:color w:val="000000"/>
                <w:sz w:val="24"/>
                <w:szCs w:val="24"/>
              </w:rPr>
            </w:pPr>
            <w:r w:rsidRPr="0060778C">
              <w:rPr>
                <w:rFonts w:ascii="Times New Roman" w:hAnsi="Times New Roman"/>
                <w:color w:val="000000"/>
                <w:sz w:val="24"/>
                <w:szCs w:val="24"/>
              </w:rPr>
              <w:t>Quantifiable IT Costs</w:t>
            </w:r>
          </w:p>
        </w:tc>
        <w:tc>
          <w:tcPr>
            <w:tcW w:w="3117" w:type="dxa"/>
          </w:tcPr>
          <w:p w:rsidR="00F064E4" w:rsidRPr="0060778C" w:rsidP="006D2EF8" w14:paraId="33E8B9BE" w14:textId="77777777">
            <w:pPr>
              <w:rPr>
                <w:rFonts w:ascii="Times New Roman" w:hAnsi="Times New Roman"/>
                <w:color w:val="000000"/>
                <w:sz w:val="24"/>
                <w:szCs w:val="24"/>
              </w:rPr>
            </w:pPr>
            <w:r w:rsidRPr="0060778C">
              <w:rPr>
                <w:rFonts w:ascii="Times New Roman" w:hAnsi="Times New Roman"/>
                <w:color w:val="000000"/>
                <w:sz w:val="24"/>
                <w:szCs w:val="24"/>
              </w:rPr>
              <w:t>Any additional IT costs</w:t>
            </w:r>
          </w:p>
        </w:tc>
        <w:tc>
          <w:tcPr>
            <w:tcW w:w="2965" w:type="dxa"/>
          </w:tcPr>
          <w:p w:rsidR="00F064E4" w:rsidRPr="0060778C" w:rsidP="006D2EF8" w14:paraId="022A79EE" w14:textId="77777777">
            <w:pPr>
              <w:jc w:val="right"/>
              <w:rPr>
                <w:rFonts w:ascii="Times New Roman" w:hAnsi="Times New Roman"/>
                <w:color w:val="000000"/>
                <w:sz w:val="24"/>
                <w:szCs w:val="24"/>
              </w:rPr>
            </w:pPr>
            <w:r w:rsidRPr="0060778C">
              <w:rPr>
                <w:rFonts w:ascii="Times New Roman" w:hAnsi="Times New Roman"/>
                <w:color w:val="000000"/>
                <w:sz w:val="24"/>
                <w:szCs w:val="24"/>
              </w:rPr>
              <w:t>$0*</w:t>
            </w:r>
          </w:p>
        </w:tc>
      </w:tr>
      <w:tr w14:paraId="33DF484F" w14:textId="77777777" w:rsidTr="00AF2D0D">
        <w:tblPrEx>
          <w:tblW w:w="8640" w:type="dxa"/>
          <w:tblInd w:w="1165" w:type="dxa"/>
          <w:tblLook w:val="04A0"/>
        </w:tblPrEx>
        <w:tc>
          <w:tcPr>
            <w:tcW w:w="2558" w:type="dxa"/>
          </w:tcPr>
          <w:p w:rsidR="00F064E4" w:rsidRPr="0060778C" w:rsidP="006D2EF8" w14:paraId="7F4172BB" w14:textId="77777777">
            <w:pPr>
              <w:rPr>
                <w:rFonts w:ascii="Times New Roman" w:hAnsi="Times New Roman"/>
                <w:b/>
                <w:bCs/>
                <w:color w:val="000000"/>
                <w:sz w:val="24"/>
                <w:szCs w:val="24"/>
              </w:rPr>
            </w:pPr>
            <w:r w:rsidRPr="0060778C">
              <w:rPr>
                <w:rFonts w:ascii="Times New Roman" w:hAnsi="Times New Roman"/>
                <w:b/>
                <w:bCs/>
                <w:color w:val="000000"/>
                <w:sz w:val="24"/>
                <w:szCs w:val="24"/>
              </w:rPr>
              <w:t>Total</w:t>
            </w:r>
          </w:p>
        </w:tc>
        <w:tc>
          <w:tcPr>
            <w:tcW w:w="3117" w:type="dxa"/>
          </w:tcPr>
          <w:p w:rsidR="00F064E4" w:rsidRPr="0060778C" w:rsidP="006D2EF8" w14:paraId="0CDB5C35" w14:textId="77777777">
            <w:pPr>
              <w:rPr>
                <w:rFonts w:ascii="Times New Roman" w:hAnsi="Times New Roman"/>
                <w:b/>
                <w:bCs/>
                <w:color w:val="000000"/>
                <w:sz w:val="24"/>
                <w:szCs w:val="24"/>
              </w:rPr>
            </w:pPr>
          </w:p>
        </w:tc>
        <w:tc>
          <w:tcPr>
            <w:tcW w:w="2965" w:type="dxa"/>
          </w:tcPr>
          <w:p w:rsidR="00F064E4" w:rsidRPr="00640A14" w:rsidP="006D2EF8" w14:paraId="566D22DC" w14:textId="5CCB9F3A">
            <w:pPr>
              <w:jc w:val="right"/>
              <w:rPr>
                <w:rFonts w:ascii="Times New Roman" w:hAnsi="Times New Roman"/>
                <w:b/>
                <w:bCs/>
                <w:color w:val="000000"/>
                <w:sz w:val="24"/>
                <w:szCs w:val="24"/>
              </w:rPr>
            </w:pPr>
            <w:r w:rsidRPr="00640A14">
              <w:rPr>
                <w:rFonts w:ascii="Times New Roman" w:hAnsi="Times New Roman"/>
                <w:b/>
                <w:bCs/>
                <w:color w:val="000000"/>
                <w:sz w:val="24"/>
                <w:szCs w:val="24"/>
              </w:rPr>
              <w:t>$</w:t>
            </w:r>
            <w:r w:rsidRPr="00640A14" w:rsidR="00640A14">
              <w:rPr>
                <w:rFonts w:ascii="Times New Roman" w:hAnsi="Times New Roman"/>
                <w:b/>
                <w:bCs/>
                <w:color w:val="000000"/>
                <w:sz w:val="24"/>
                <w:szCs w:val="24"/>
              </w:rPr>
              <w:t>7</w:t>
            </w:r>
            <w:r w:rsidRPr="00640A14" w:rsidR="00046714">
              <w:rPr>
                <w:rFonts w:ascii="Times New Roman" w:hAnsi="Times New Roman"/>
                <w:b/>
                <w:bCs/>
                <w:color w:val="000000"/>
                <w:sz w:val="24"/>
                <w:szCs w:val="24"/>
              </w:rPr>
              <w:t>02,147</w:t>
            </w:r>
          </w:p>
        </w:tc>
      </w:tr>
    </w:tbl>
    <w:p w:rsidR="003B560A" w:rsidRPr="0060778C" w:rsidP="00E12480" w14:paraId="18C2CAA2" w14:textId="243DF2A5">
      <w:pPr>
        <w:tabs>
          <w:tab w:val="left" w:pos="-720"/>
        </w:tabs>
        <w:suppressAutoHyphens/>
        <w:ind w:left="1440"/>
        <w:rPr>
          <w:bCs/>
          <w:sz w:val="24"/>
          <w:szCs w:val="24"/>
        </w:rPr>
      </w:pPr>
      <w:r w:rsidRPr="0060778C">
        <w:rPr>
          <w:bCs/>
          <w:sz w:val="24"/>
          <w:szCs w:val="24"/>
        </w:rPr>
        <w:t>* We have inserted a $0 amount for cost factors that do not apply to this collection.</w:t>
      </w:r>
    </w:p>
    <w:p w:rsidR="00BB609B" w:rsidRPr="0060778C" w:rsidP="00E12480" w14:paraId="73DE33CF" w14:textId="77777777">
      <w:pPr>
        <w:tabs>
          <w:tab w:val="left" w:pos="-720"/>
        </w:tabs>
        <w:suppressAutoHyphens/>
        <w:ind w:left="1440"/>
        <w:rPr>
          <w:bCs/>
          <w:sz w:val="24"/>
          <w:szCs w:val="24"/>
        </w:rPr>
      </w:pPr>
    </w:p>
    <w:p w:rsidR="003B560A" w:rsidP="00E12480" w14:paraId="03E46300" w14:textId="2D7AB5F6">
      <w:pPr>
        <w:tabs>
          <w:tab w:val="left" w:pos="-720"/>
        </w:tabs>
        <w:suppressAutoHyphens/>
        <w:ind w:left="1440"/>
        <w:rPr>
          <w:bCs/>
          <w:sz w:val="24"/>
          <w:szCs w:val="24"/>
        </w:rPr>
      </w:pPr>
      <w:r w:rsidRPr="003B560A">
        <w:rPr>
          <w:bCs/>
          <w:sz w:val="24"/>
          <w:szCs w:val="24"/>
        </w:rPr>
        <w:t>SSA is unable to break down the costs to the Federal government further than we already have.</w:t>
      </w:r>
      <w:r w:rsidR="00AF2D0D">
        <w:rPr>
          <w:bCs/>
          <w:sz w:val="24"/>
          <w:szCs w:val="24"/>
        </w:rPr>
        <w:t xml:space="preserve">  </w:t>
      </w:r>
      <w:r w:rsidRPr="003B560A">
        <w:rPr>
          <w:bCs/>
          <w:sz w:val="24"/>
          <w:szCs w:val="24"/>
        </w:rPr>
        <w:t xml:space="preserve">It is difficult for us to break down the cost </w:t>
      </w:r>
      <w:r w:rsidR="009D2E13">
        <w:rPr>
          <w:bCs/>
          <w:sz w:val="24"/>
          <w:szCs w:val="24"/>
        </w:rPr>
        <w:t>to</w:t>
      </w:r>
      <w:r w:rsidRPr="003B560A">
        <w:rPr>
          <w:bCs/>
          <w:sz w:val="24"/>
          <w:szCs w:val="24"/>
        </w:rPr>
        <w:t xml:space="preserve"> process</w:t>
      </w:r>
      <w:r w:rsidR="009D2E13">
        <w:rPr>
          <w:bCs/>
          <w:sz w:val="24"/>
          <w:szCs w:val="24"/>
        </w:rPr>
        <w:t xml:space="preserve"> </w:t>
      </w:r>
      <w:r w:rsidRPr="003B560A">
        <w:rPr>
          <w:bCs/>
          <w:sz w:val="24"/>
          <w:szCs w:val="24"/>
        </w:rPr>
        <w:t>a single form</w:t>
      </w:r>
      <w:r w:rsidR="001D66E1">
        <w:rPr>
          <w:bCs/>
          <w:sz w:val="24"/>
          <w:szCs w:val="24"/>
        </w:rPr>
        <w:t xml:space="preserve">, and </w:t>
      </w:r>
      <w:r w:rsidRPr="003B560A">
        <w:rPr>
          <w:bCs/>
          <w:sz w:val="24"/>
          <w:szCs w:val="24"/>
        </w:rPr>
        <w:t xml:space="preserve">the time it takes to do so can vary greatly </w:t>
      </w:r>
      <w:r w:rsidR="001D66E1">
        <w:rPr>
          <w:bCs/>
          <w:sz w:val="24"/>
          <w:szCs w:val="24"/>
        </w:rPr>
        <w:t>based on the form’s responses</w:t>
      </w:r>
      <w:r w:rsidR="00111345">
        <w:rPr>
          <w:bCs/>
          <w:sz w:val="24"/>
          <w:szCs w:val="24"/>
        </w:rPr>
        <w:t>.</w:t>
      </w:r>
      <w:r w:rsidR="00AF2D0D">
        <w:rPr>
          <w:bCs/>
          <w:sz w:val="24"/>
          <w:szCs w:val="24"/>
        </w:rPr>
        <w:t xml:space="preserve">  </w:t>
      </w:r>
      <w:r w:rsidRPr="003B560A">
        <w:rPr>
          <w:bCs/>
          <w:sz w:val="24"/>
          <w:szCs w:val="24"/>
        </w:rPr>
        <w:t>However, we have calculated these costs as accurately as possible based on the information we collect for creating, updating, and maintaining these information collections.</w:t>
      </w:r>
    </w:p>
    <w:p w:rsidR="000F01C5" w:rsidRPr="0060778C" w:rsidP="008E0947" w14:paraId="34099C5C" w14:textId="77777777">
      <w:pPr>
        <w:tabs>
          <w:tab w:val="left" w:pos="-720"/>
        </w:tabs>
        <w:suppressAutoHyphens/>
        <w:rPr>
          <w:b/>
          <w:sz w:val="24"/>
          <w:szCs w:val="24"/>
        </w:rPr>
      </w:pPr>
    </w:p>
    <w:p w:rsidR="007C0678" w:rsidRPr="0060778C" w:rsidP="002148B7" w14:paraId="7E07E4C5" w14:textId="77777777">
      <w:pPr>
        <w:pStyle w:val="ListParagraph"/>
        <w:numPr>
          <w:ilvl w:val="0"/>
          <w:numId w:val="21"/>
        </w:numPr>
        <w:tabs>
          <w:tab w:val="left" w:pos="-720"/>
        </w:tabs>
        <w:suppressAutoHyphens/>
        <w:ind w:left="1440" w:hanging="630"/>
        <w:rPr>
          <w:b/>
          <w:sz w:val="24"/>
          <w:szCs w:val="24"/>
        </w:rPr>
      </w:pPr>
      <w:r w:rsidRPr="0060778C">
        <w:rPr>
          <w:b/>
          <w:sz w:val="24"/>
        </w:rPr>
        <w:t>Program Changes or Adjustments to the Information Collection Request</w:t>
      </w:r>
      <w:r w:rsidRPr="0060778C">
        <w:rPr>
          <w:sz w:val="24"/>
          <w:szCs w:val="24"/>
        </w:rPr>
        <w:t xml:space="preserve"> </w:t>
      </w:r>
    </w:p>
    <w:p w:rsidR="00487E40" w:rsidP="002148B7" w14:paraId="0FE04910" w14:textId="114E006B">
      <w:pPr>
        <w:pStyle w:val="ListParagraph"/>
        <w:tabs>
          <w:tab w:val="left" w:pos="-720"/>
        </w:tabs>
        <w:suppressAutoHyphens/>
        <w:ind w:left="1440"/>
        <w:rPr>
          <w:sz w:val="24"/>
          <w:szCs w:val="24"/>
        </w:rPr>
      </w:pPr>
      <w:r w:rsidRPr="0060778C">
        <w:rPr>
          <w:sz w:val="24"/>
          <w:szCs w:val="24"/>
        </w:rPr>
        <w:t xml:space="preserve">When we last cleared this IC in </w:t>
      </w:r>
      <w:r w:rsidRPr="0060778C" w:rsidR="00811B10">
        <w:rPr>
          <w:sz w:val="24"/>
          <w:szCs w:val="24"/>
        </w:rPr>
        <w:t>2023</w:t>
      </w:r>
      <w:r w:rsidRPr="0060778C">
        <w:rPr>
          <w:sz w:val="24"/>
          <w:szCs w:val="24"/>
        </w:rPr>
        <w:t xml:space="preserve">, the burden was </w:t>
      </w:r>
      <w:r w:rsidRPr="0060778C" w:rsidR="00811B10">
        <w:rPr>
          <w:sz w:val="24"/>
          <w:szCs w:val="24"/>
        </w:rPr>
        <w:t>46,116</w:t>
      </w:r>
      <w:r w:rsidRPr="0060778C">
        <w:rPr>
          <w:sz w:val="24"/>
          <w:szCs w:val="24"/>
        </w:rPr>
        <w:t xml:space="preserve">.  However, we are currently reporting a burden of </w:t>
      </w:r>
      <w:r w:rsidR="0023759A">
        <w:rPr>
          <w:bCs/>
          <w:sz w:val="24"/>
          <w:szCs w:val="24"/>
        </w:rPr>
        <w:t>30,932</w:t>
      </w:r>
      <w:r w:rsidRPr="0060778C">
        <w:rPr>
          <w:sz w:val="24"/>
          <w:szCs w:val="24"/>
        </w:rPr>
        <w:t xml:space="preserve">.  This change stems from </w:t>
      </w:r>
      <w:r w:rsidRPr="0060778C" w:rsidR="00C14F0C">
        <w:rPr>
          <w:sz w:val="24"/>
          <w:szCs w:val="24"/>
        </w:rPr>
        <w:t>a</w:t>
      </w:r>
      <w:r w:rsidR="0023759A">
        <w:rPr>
          <w:sz w:val="24"/>
          <w:szCs w:val="24"/>
        </w:rPr>
        <w:t xml:space="preserve"> decrease </w:t>
      </w:r>
      <w:r w:rsidR="000F01C5">
        <w:rPr>
          <w:sz w:val="24"/>
          <w:szCs w:val="24"/>
        </w:rPr>
        <w:t>e</w:t>
      </w:r>
      <w:r w:rsidRPr="0060778C">
        <w:rPr>
          <w:sz w:val="24"/>
          <w:szCs w:val="24"/>
        </w:rPr>
        <w:t xml:space="preserve"> in the number of responses from 468,762</w:t>
      </w:r>
      <w:r w:rsidRPr="0060778C" w:rsidR="00C14F0C">
        <w:rPr>
          <w:sz w:val="24"/>
          <w:szCs w:val="24"/>
        </w:rPr>
        <w:t xml:space="preserve"> to 359,033</w:t>
      </w:r>
      <w:r w:rsidRPr="0060778C">
        <w:rPr>
          <w:sz w:val="24"/>
          <w:szCs w:val="24"/>
        </w:rPr>
        <w:t>.  There is no change to the burde</w:t>
      </w:r>
      <w:r w:rsidRPr="0060778C" w:rsidR="0033373D">
        <w:rPr>
          <w:sz w:val="24"/>
          <w:szCs w:val="24"/>
        </w:rPr>
        <w:t xml:space="preserve">n time per response.  </w:t>
      </w:r>
      <w:r w:rsidRPr="0060778C">
        <w:rPr>
          <w:sz w:val="24"/>
          <w:szCs w:val="24"/>
        </w:rPr>
        <w:t xml:space="preserve">SSA did not take any actions to cause this change. </w:t>
      </w:r>
    </w:p>
    <w:p w:rsidR="001E2EDE" w:rsidP="007C0678" w14:paraId="7C99D115" w14:textId="77777777">
      <w:pPr>
        <w:pStyle w:val="ListParagraph"/>
        <w:tabs>
          <w:tab w:val="left" w:pos="-720"/>
        </w:tabs>
        <w:suppressAutoHyphens/>
        <w:ind w:left="1080"/>
        <w:rPr>
          <w:sz w:val="24"/>
          <w:szCs w:val="24"/>
        </w:rPr>
      </w:pPr>
    </w:p>
    <w:p w:rsidR="00B17FEB" w:rsidRPr="00495B43" w:rsidP="00B17FEB" w14:paraId="72B588E5" w14:textId="1FD8D09A">
      <w:pPr>
        <w:pStyle w:val="NoSpacing"/>
        <w:ind w:left="1440"/>
        <w:rPr>
          <w:b/>
          <w:bCs/>
          <w:iCs/>
        </w:rPr>
      </w:pPr>
      <w:r w:rsidRPr="00FD053C">
        <w:rPr>
          <w:b/>
          <w:bCs/>
          <w:color w:val="000000"/>
        </w:rPr>
        <w:t>* Note:</w:t>
      </w:r>
      <w:r>
        <w:rPr>
          <w:color w:val="000000"/>
        </w:rPr>
        <w:t xml:space="preserve"> The total burden reflected in ROCIS is </w:t>
      </w:r>
      <w:r w:rsidR="0058201E">
        <w:rPr>
          <w:b/>
          <w:bCs/>
          <w:color w:val="000000"/>
        </w:rPr>
        <w:t>527,595</w:t>
      </w:r>
      <w:r>
        <w:rPr>
          <w:color w:val="000000"/>
        </w:rPr>
        <w:t xml:space="preserve">, while the burden cited in #12 of the Supporting Statement is </w:t>
      </w:r>
      <w:r w:rsidRPr="0060778C">
        <w:rPr>
          <w:b/>
        </w:rPr>
        <w:t>30,932</w:t>
      </w:r>
      <w:r>
        <w:rPr>
          <w:color w:val="000000"/>
        </w:rPr>
        <w:t xml:space="preserve">.  </w:t>
      </w:r>
      <w:r>
        <w:rPr>
          <w:color w:val="000000"/>
        </w:rPr>
        <w:t>This discrepancy is because the ROCIS burden reflects the following components:</w:t>
      </w:r>
      <w:r>
        <w:rPr>
          <w:color w:val="000000"/>
        </w:rPr>
        <w:t xml:space="preserve">  teleservice center </w:t>
      </w:r>
      <w:r>
        <w:rPr>
          <w:color w:val="000000"/>
        </w:rPr>
        <w:t>waiting time + learning costs.  In contrast, the chart in #12 of the Supporting Statement reflects actual burden.</w:t>
      </w:r>
    </w:p>
    <w:p w:rsidR="007361CA" w:rsidRPr="00BC7F42" w:rsidP="007361CA" w14:paraId="0FE0F9E4" w14:textId="77777777"/>
    <w:p w:rsidR="007C0678" w:rsidRPr="0060778C" w:rsidP="002148B7" w14:paraId="32E63BEF" w14:textId="77777777">
      <w:pPr>
        <w:pStyle w:val="ListParagraph"/>
        <w:numPr>
          <w:ilvl w:val="0"/>
          <w:numId w:val="21"/>
        </w:numPr>
        <w:tabs>
          <w:tab w:val="left" w:pos="-720"/>
        </w:tabs>
        <w:suppressAutoHyphens/>
        <w:ind w:hanging="270"/>
        <w:rPr>
          <w:b/>
          <w:sz w:val="24"/>
          <w:szCs w:val="24"/>
        </w:rPr>
      </w:pPr>
      <w:r w:rsidRPr="0060778C">
        <w:rPr>
          <w:b/>
          <w:sz w:val="24"/>
        </w:rPr>
        <w:t>Plans for Publication Information Collection Results</w:t>
      </w:r>
      <w:r w:rsidRPr="0060778C">
        <w:rPr>
          <w:sz w:val="24"/>
          <w:szCs w:val="24"/>
        </w:rPr>
        <w:t xml:space="preserve"> </w:t>
      </w:r>
    </w:p>
    <w:p w:rsidR="00487E40" w:rsidRPr="0060778C" w:rsidP="007C0678" w14:paraId="4596073B" w14:textId="418A98CD">
      <w:pPr>
        <w:pStyle w:val="ListParagraph"/>
        <w:tabs>
          <w:tab w:val="left" w:pos="-720"/>
        </w:tabs>
        <w:suppressAutoHyphens/>
        <w:ind w:left="1080"/>
        <w:rPr>
          <w:b/>
          <w:sz w:val="24"/>
          <w:szCs w:val="24"/>
        </w:rPr>
      </w:pPr>
      <w:r>
        <w:rPr>
          <w:sz w:val="24"/>
          <w:szCs w:val="24"/>
        </w:rPr>
        <w:tab/>
      </w:r>
      <w:r w:rsidRPr="0060778C" w:rsidR="008E0947">
        <w:rPr>
          <w:sz w:val="24"/>
          <w:szCs w:val="24"/>
        </w:rPr>
        <w:t>SSA will not publish the results of the information collection.</w:t>
      </w:r>
    </w:p>
    <w:p w:rsidR="008E0947" w:rsidRPr="0060778C" w:rsidP="008E0947" w14:paraId="27A0403F" w14:textId="77777777">
      <w:pPr>
        <w:tabs>
          <w:tab w:val="left" w:pos="-720"/>
        </w:tabs>
        <w:suppressAutoHyphens/>
        <w:rPr>
          <w:b/>
          <w:sz w:val="24"/>
          <w:szCs w:val="24"/>
        </w:rPr>
      </w:pPr>
    </w:p>
    <w:p w:rsidR="00487E40" w:rsidRPr="0060778C" w:rsidP="002148B7" w14:paraId="49CD743F" w14:textId="77777777">
      <w:pPr>
        <w:pStyle w:val="ListParagraph"/>
        <w:numPr>
          <w:ilvl w:val="0"/>
          <w:numId w:val="21"/>
        </w:numPr>
        <w:tabs>
          <w:tab w:val="left" w:pos="-720"/>
        </w:tabs>
        <w:suppressAutoHyphens/>
        <w:ind w:hanging="270"/>
        <w:rPr>
          <w:b/>
          <w:sz w:val="24"/>
          <w:szCs w:val="24"/>
        </w:rPr>
      </w:pPr>
      <w:r w:rsidRPr="0060778C">
        <w:rPr>
          <w:b/>
          <w:sz w:val="24"/>
        </w:rPr>
        <w:t>Displaying the OMB Approval Expiration Date</w:t>
      </w:r>
    </w:p>
    <w:p w:rsidR="007C0678" w:rsidRPr="0060778C" w:rsidP="002148B7" w14:paraId="69F17A0A" w14:textId="315C60AE">
      <w:pPr>
        <w:pStyle w:val="ListParagraph"/>
        <w:tabs>
          <w:tab w:val="left" w:pos="-720"/>
        </w:tabs>
        <w:suppressAutoHyphens/>
        <w:ind w:left="1440"/>
        <w:rPr>
          <w:b/>
          <w:sz w:val="24"/>
        </w:rPr>
      </w:pPr>
      <w:r w:rsidRPr="0060778C">
        <w:rPr>
          <w:bCs/>
          <w:iCs/>
          <w:sz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7C0678" w:rsidRPr="0060778C" w:rsidP="007C0678" w14:paraId="6FE3B3B6" w14:textId="77777777">
      <w:pPr>
        <w:pStyle w:val="ListParagraph"/>
        <w:tabs>
          <w:tab w:val="left" w:pos="-720"/>
        </w:tabs>
        <w:suppressAutoHyphens/>
        <w:ind w:left="1080"/>
        <w:rPr>
          <w:b/>
          <w:sz w:val="24"/>
          <w:szCs w:val="24"/>
        </w:rPr>
      </w:pPr>
    </w:p>
    <w:p w:rsidR="00487E40" w:rsidRPr="0060778C" w:rsidP="002148B7" w14:paraId="0D724468" w14:textId="77777777">
      <w:pPr>
        <w:pStyle w:val="ListParagraph"/>
        <w:numPr>
          <w:ilvl w:val="0"/>
          <w:numId w:val="21"/>
        </w:numPr>
        <w:tabs>
          <w:tab w:val="left" w:pos="-720"/>
        </w:tabs>
        <w:suppressAutoHyphens/>
        <w:ind w:hanging="180"/>
        <w:rPr>
          <w:b/>
          <w:sz w:val="32"/>
          <w:szCs w:val="24"/>
        </w:rPr>
      </w:pPr>
      <w:r w:rsidRPr="0060778C">
        <w:rPr>
          <w:b/>
          <w:sz w:val="24"/>
        </w:rPr>
        <w:t>Exceptions to Certification Statement</w:t>
      </w:r>
    </w:p>
    <w:p w:rsidR="002148B7" w:rsidP="002148B7" w14:paraId="7A5E0BA1" w14:textId="77777777">
      <w:pPr>
        <w:pStyle w:val="ListParagraph"/>
        <w:tabs>
          <w:tab w:val="left" w:pos="-720"/>
        </w:tabs>
        <w:suppressAutoHyphens/>
        <w:ind w:left="1440"/>
        <w:rPr>
          <w:sz w:val="24"/>
        </w:rPr>
      </w:pPr>
      <w:r w:rsidRPr="0060778C">
        <w:rPr>
          <w:sz w:val="24"/>
        </w:rPr>
        <w:t xml:space="preserve">SSA is not requesting an exception to the certification requirements at </w:t>
      </w:r>
    </w:p>
    <w:p w:rsidR="007C0678" w:rsidRPr="0060778C" w:rsidP="002148B7" w14:paraId="73B703D9" w14:textId="6DB2AB2F">
      <w:pPr>
        <w:pStyle w:val="ListParagraph"/>
        <w:tabs>
          <w:tab w:val="left" w:pos="-720"/>
        </w:tabs>
        <w:suppressAutoHyphens/>
        <w:ind w:left="1440"/>
        <w:rPr>
          <w:b/>
          <w:sz w:val="32"/>
          <w:szCs w:val="24"/>
        </w:rPr>
      </w:pPr>
      <w:r w:rsidRPr="0060778C">
        <w:rPr>
          <w:i/>
          <w:sz w:val="24"/>
        </w:rPr>
        <w:t>5 CFR 1320.9</w:t>
      </w:r>
      <w:r w:rsidRPr="0060778C">
        <w:rPr>
          <w:sz w:val="24"/>
        </w:rPr>
        <w:t xml:space="preserve"> and related provisions at </w:t>
      </w:r>
      <w:r w:rsidRPr="0060778C">
        <w:rPr>
          <w:i/>
          <w:sz w:val="24"/>
        </w:rPr>
        <w:t>5 CFR 1320.8(b)(3)</w:t>
      </w:r>
      <w:r w:rsidRPr="0060778C">
        <w:rPr>
          <w:sz w:val="24"/>
        </w:rPr>
        <w:t>.</w:t>
      </w:r>
    </w:p>
    <w:p w:rsidR="00487E40" w:rsidRPr="0060778C" w:rsidP="00487E40" w14:paraId="4F1B9344" w14:textId="77777777">
      <w:pPr>
        <w:tabs>
          <w:tab w:val="left" w:pos="-720"/>
        </w:tabs>
        <w:suppressAutoHyphens/>
        <w:ind w:left="720"/>
        <w:rPr>
          <w:b/>
          <w:sz w:val="24"/>
          <w:szCs w:val="24"/>
        </w:rPr>
      </w:pPr>
    </w:p>
    <w:p w:rsidR="00487E40" w:rsidRPr="0060778C" w:rsidP="00487E40" w14:paraId="6FED8638" w14:textId="77777777">
      <w:pPr>
        <w:pStyle w:val="ListParagraph"/>
        <w:numPr>
          <w:ilvl w:val="0"/>
          <w:numId w:val="20"/>
        </w:numPr>
        <w:tabs>
          <w:tab w:val="left" w:pos="-720"/>
        </w:tabs>
        <w:suppressAutoHyphens/>
        <w:rPr>
          <w:b/>
          <w:sz w:val="24"/>
          <w:szCs w:val="24"/>
        </w:rPr>
      </w:pPr>
      <w:r w:rsidRPr="0060778C">
        <w:rPr>
          <w:b/>
          <w:sz w:val="24"/>
          <w:u w:val="single"/>
        </w:rPr>
        <w:t>Collections of Information Employing Statistical Methods</w:t>
      </w:r>
    </w:p>
    <w:p w:rsidR="007C0678" w:rsidRPr="0060778C" w:rsidP="007C0678" w14:paraId="06430F7A" w14:textId="77777777">
      <w:pPr>
        <w:pStyle w:val="ListParagraph"/>
        <w:tabs>
          <w:tab w:val="left" w:pos="-720"/>
        </w:tabs>
        <w:suppressAutoHyphens/>
        <w:rPr>
          <w:b/>
          <w:sz w:val="24"/>
          <w:u w:val="single"/>
        </w:rPr>
      </w:pPr>
    </w:p>
    <w:p w:rsidR="0084357A" w:rsidP="00B17FEB" w14:paraId="0AB1F3CE" w14:textId="4BBF7D4E">
      <w:pPr>
        <w:pStyle w:val="ListParagraph"/>
        <w:tabs>
          <w:tab w:val="left" w:pos="-720"/>
        </w:tabs>
        <w:suppressAutoHyphens/>
        <w:rPr>
          <w:sz w:val="24"/>
        </w:rPr>
      </w:pPr>
      <w:r>
        <w:rPr>
          <w:sz w:val="24"/>
        </w:rPr>
        <w:tab/>
      </w:r>
      <w:r w:rsidRPr="0060778C" w:rsidR="007C0678">
        <w:rPr>
          <w:sz w:val="24"/>
        </w:rPr>
        <w:t>SSA does not use statistical methods for this information collection.</w:t>
      </w:r>
    </w:p>
    <w:sectPr w:rsidSect="00DA5859">
      <w:footerReference w:type="even" r:id="rId6"/>
      <w:footerReference w:type="default" r:id="rId7"/>
      <w:pgSz w:w="12240" w:h="15840" w:code="1"/>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elio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D45" w14:paraId="113B12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4D45" w14:paraId="222E6A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D45" w14:paraId="0880F7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1830">
      <w:rPr>
        <w:rStyle w:val="PageNumber"/>
        <w:noProof/>
      </w:rPr>
      <w:t>2</w:t>
    </w:r>
    <w:r>
      <w:rPr>
        <w:rStyle w:val="PageNumber"/>
      </w:rPr>
      <w:fldChar w:fldCharType="end"/>
    </w:r>
  </w:p>
  <w:p w:rsidR="00464D45" w14:paraId="569BEA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749F6"/>
    <w:multiLevelType w:val="hybridMultilevel"/>
    <w:tmpl w:val="425E7B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5DC7D12"/>
    <w:multiLevelType w:val="hybridMultilevel"/>
    <w:tmpl w:val="BBD8FC4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0EC00198"/>
    <w:multiLevelType w:val="hybridMultilevel"/>
    <w:tmpl w:val="5D18DF92"/>
    <w:lvl w:ilvl="0">
      <w:start w:val="1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0AE1C97"/>
    <w:multiLevelType w:val="multilevel"/>
    <w:tmpl w:val="2CF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2B3C8C"/>
    <w:multiLevelType w:val="hybridMultilevel"/>
    <w:tmpl w:val="A1BE5E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3F3E86"/>
    <w:multiLevelType w:val="hybridMultilevel"/>
    <w:tmpl w:val="AE36DB3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18BF7E02"/>
    <w:multiLevelType w:val="singleLevel"/>
    <w:tmpl w:val="E274165C"/>
    <w:lvl w:ilvl="0">
      <w:start w:val="10"/>
      <w:numFmt w:val="decimal"/>
      <w:lvlText w:val="%1."/>
      <w:lvlJc w:val="left"/>
      <w:pPr>
        <w:tabs>
          <w:tab w:val="num" w:pos="1080"/>
        </w:tabs>
        <w:ind w:left="1080" w:hanging="360"/>
      </w:pPr>
      <w:rPr>
        <w:rFonts w:hint="default"/>
      </w:rPr>
    </w:lvl>
  </w:abstractNum>
  <w:abstractNum w:abstractNumId="7">
    <w:nsid w:val="1F5C31B2"/>
    <w:multiLevelType w:val="singleLevel"/>
    <w:tmpl w:val="73FE50F0"/>
    <w:lvl w:ilvl="0">
      <w:start w:val="17"/>
      <w:numFmt w:val="decimal"/>
      <w:lvlText w:val="%1."/>
      <w:lvlJc w:val="left"/>
      <w:pPr>
        <w:tabs>
          <w:tab w:val="num" w:pos="1170"/>
        </w:tabs>
        <w:ind w:left="1170" w:hanging="390"/>
      </w:pPr>
      <w:rPr>
        <w:rFonts w:hint="default"/>
      </w:rPr>
    </w:lvl>
  </w:abstractNum>
  <w:abstractNum w:abstractNumId="8">
    <w:nsid w:val="269E3DC9"/>
    <w:multiLevelType w:val="multilevel"/>
    <w:tmpl w:val="2F88CE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nsid w:val="27814BDF"/>
    <w:multiLevelType w:val="singleLevel"/>
    <w:tmpl w:val="FCC4A84A"/>
    <w:lvl w:ilvl="0">
      <w:start w:val="14"/>
      <w:numFmt w:val="decimal"/>
      <w:lvlText w:val="%1."/>
      <w:lvlJc w:val="left"/>
      <w:pPr>
        <w:tabs>
          <w:tab w:val="num" w:pos="1200"/>
        </w:tabs>
        <w:ind w:left="1200" w:hanging="420"/>
      </w:pPr>
      <w:rPr>
        <w:rFonts w:hint="default"/>
      </w:rPr>
    </w:lvl>
  </w:abstractNum>
  <w:abstractNum w:abstractNumId="10">
    <w:nsid w:val="2F06246D"/>
    <w:multiLevelType w:val="singleLevel"/>
    <w:tmpl w:val="523EA090"/>
    <w:lvl w:ilvl="0">
      <w:start w:val="5"/>
      <w:numFmt w:val="decimal"/>
      <w:lvlText w:val="%1."/>
      <w:lvlJc w:val="left"/>
      <w:pPr>
        <w:tabs>
          <w:tab w:val="num" w:pos="1140"/>
        </w:tabs>
        <w:ind w:left="1140" w:hanging="420"/>
      </w:pPr>
      <w:rPr>
        <w:rFonts w:hint="default"/>
      </w:rPr>
    </w:lvl>
  </w:abstractNum>
  <w:abstractNum w:abstractNumId="11">
    <w:nsid w:val="2F5175E9"/>
    <w:multiLevelType w:val="hybridMultilevel"/>
    <w:tmpl w:val="C1A8EB7A"/>
    <w:lvl w:ilvl="0">
      <w:start w:val="21"/>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1A36F27"/>
    <w:multiLevelType w:val="hybridMultilevel"/>
    <w:tmpl w:val="943EBA5A"/>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34892B82"/>
    <w:multiLevelType w:val="hybridMultilevel"/>
    <w:tmpl w:val="B412C6E6"/>
    <w:lvl w:ilvl="0">
      <w:start w:val="1"/>
      <w:numFmt w:val="decimal"/>
      <w:lvlText w:val="%1."/>
      <w:lvlJc w:val="left"/>
      <w:pPr>
        <w:ind w:left="1080" w:hanging="360"/>
      </w:pPr>
      <w:rPr>
        <w:rFonts w:hint="default"/>
        <w:sz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A1E61E0"/>
    <w:multiLevelType w:val="multilevel"/>
    <w:tmpl w:val="1774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3A83695"/>
    <w:multiLevelType w:val="hybridMultilevel"/>
    <w:tmpl w:val="816EF39C"/>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88D0198"/>
    <w:multiLevelType w:val="hybridMultilevel"/>
    <w:tmpl w:val="B65ECCE8"/>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427BBE"/>
    <w:multiLevelType w:val="hybridMultilevel"/>
    <w:tmpl w:val="EF0661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6E5090"/>
    <w:multiLevelType w:val="singleLevel"/>
    <w:tmpl w:val="AFFE10FE"/>
    <w:lvl w:ilvl="0">
      <w:start w:val="5"/>
      <w:numFmt w:val="decimal"/>
      <w:lvlText w:val="%1."/>
      <w:lvlJc w:val="left"/>
      <w:pPr>
        <w:tabs>
          <w:tab w:val="num" w:pos="1080"/>
        </w:tabs>
        <w:ind w:left="1080" w:hanging="360"/>
      </w:pPr>
      <w:rPr>
        <w:rFonts w:hint="default"/>
      </w:rPr>
    </w:lvl>
  </w:abstractNum>
  <w:abstractNum w:abstractNumId="20">
    <w:nsid w:val="53925881"/>
    <w:multiLevelType w:val="singleLevel"/>
    <w:tmpl w:val="2782031C"/>
    <w:lvl w:ilvl="0">
      <w:start w:val="10"/>
      <w:numFmt w:val="decimal"/>
      <w:lvlText w:val="%1."/>
      <w:lvlJc w:val="left"/>
      <w:pPr>
        <w:tabs>
          <w:tab w:val="num" w:pos="1200"/>
        </w:tabs>
        <w:ind w:left="1200" w:hanging="480"/>
      </w:pPr>
      <w:rPr>
        <w:rFonts w:hint="default"/>
      </w:rPr>
    </w:lvl>
  </w:abstractNum>
  <w:abstractNum w:abstractNumId="21">
    <w:nsid w:val="54BE424A"/>
    <w:multiLevelType w:val="singleLevel"/>
    <w:tmpl w:val="8D9E51FE"/>
    <w:lvl w:ilvl="0">
      <w:start w:val="5"/>
      <w:numFmt w:val="decimal"/>
      <w:lvlText w:val="%1."/>
      <w:lvlJc w:val="left"/>
      <w:pPr>
        <w:tabs>
          <w:tab w:val="num" w:pos="1440"/>
        </w:tabs>
        <w:ind w:left="1440" w:hanging="720"/>
      </w:pPr>
      <w:rPr>
        <w:rFonts w:hint="default"/>
      </w:rPr>
    </w:lvl>
  </w:abstractNum>
  <w:abstractNum w:abstractNumId="22">
    <w:nsid w:val="58337796"/>
    <w:multiLevelType w:val="hybridMultilevel"/>
    <w:tmpl w:val="5BE6EDB0"/>
    <w:lvl w:ilvl="0">
      <w:start w:val="17"/>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652F7990"/>
    <w:multiLevelType w:val="multilevel"/>
    <w:tmpl w:val="BAD2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740436">
    <w:abstractNumId w:val="10"/>
  </w:num>
  <w:num w:numId="2" w16cid:durableId="1100637714">
    <w:abstractNumId w:val="9"/>
  </w:num>
  <w:num w:numId="3" w16cid:durableId="173082397">
    <w:abstractNumId w:val="20"/>
  </w:num>
  <w:num w:numId="4" w16cid:durableId="264045151">
    <w:abstractNumId w:val="6"/>
  </w:num>
  <w:num w:numId="5" w16cid:durableId="1685787525">
    <w:abstractNumId w:val="7"/>
  </w:num>
  <w:num w:numId="6" w16cid:durableId="1004742268">
    <w:abstractNumId w:val="19"/>
  </w:num>
  <w:num w:numId="7" w16cid:durableId="1402486187">
    <w:abstractNumId w:val="12"/>
  </w:num>
  <w:num w:numId="8" w16cid:durableId="2020350161">
    <w:abstractNumId w:val="22"/>
  </w:num>
  <w:num w:numId="9" w16cid:durableId="1965193694">
    <w:abstractNumId w:val="2"/>
  </w:num>
  <w:num w:numId="10" w16cid:durableId="648365421">
    <w:abstractNumId w:val="21"/>
  </w:num>
  <w:num w:numId="11" w16cid:durableId="1665473542">
    <w:abstractNumId w:val="23"/>
  </w:num>
  <w:num w:numId="12" w16cid:durableId="992180758">
    <w:abstractNumId w:val="8"/>
  </w:num>
  <w:num w:numId="13" w16cid:durableId="1135028328">
    <w:abstractNumId w:val="14"/>
  </w:num>
  <w:num w:numId="14" w16cid:durableId="1152481797">
    <w:abstractNumId w:val="3"/>
  </w:num>
  <w:num w:numId="15" w16cid:durableId="1008942909">
    <w:abstractNumId w:val="1"/>
  </w:num>
  <w:num w:numId="16" w16cid:durableId="61030961">
    <w:abstractNumId w:val="5"/>
  </w:num>
  <w:num w:numId="17" w16cid:durableId="1599556993">
    <w:abstractNumId w:val="16"/>
  </w:num>
  <w:num w:numId="18" w16cid:durableId="1207449248">
    <w:abstractNumId w:val="17"/>
  </w:num>
  <w:num w:numId="19" w16cid:durableId="652031433">
    <w:abstractNumId w:val="4"/>
  </w:num>
  <w:num w:numId="20" w16cid:durableId="1804618098">
    <w:abstractNumId w:val="18"/>
  </w:num>
  <w:num w:numId="21" w16cid:durableId="1943685846">
    <w:abstractNumId w:val="13"/>
  </w:num>
  <w:num w:numId="22" w16cid:durableId="859586031">
    <w:abstractNumId w:val="0"/>
  </w:num>
  <w:num w:numId="23" w16cid:durableId="105463498">
    <w:abstractNumId w:val="11"/>
  </w:num>
  <w:num w:numId="24" w16cid:durableId="9497004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7A"/>
    <w:rsid w:val="0000067F"/>
    <w:rsid w:val="00000BFD"/>
    <w:rsid w:val="00004D79"/>
    <w:rsid w:val="00007A08"/>
    <w:rsid w:val="000101A6"/>
    <w:rsid w:val="00011D10"/>
    <w:rsid w:val="000129F7"/>
    <w:rsid w:val="00012B6C"/>
    <w:rsid w:val="00015804"/>
    <w:rsid w:val="0001637A"/>
    <w:rsid w:val="0001724E"/>
    <w:rsid w:val="00017E5A"/>
    <w:rsid w:val="00023F7C"/>
    <w:rsid w:val="00026147"/>
    <w:rsid w:val="00031F87"/>
    <w:rsid w:val="00032730"/>
    <w:rsid w:val="00037324"/>
    <w:rsid w:val="000419AD"/>
    <w:rsid w:val="000423F0"/>
    <w:rsid w:val="000426E7"/>
    <w:rsid w:val="0004358A"/>
    <w:rsid w:val="00046714"/>
    <w:rsid w:val="0005591F"/>
    <w:rsid w:val="000563B9"/>
    <w:rsid w:val="00057FAD"/>
    <w:rsid w:val="00061254"/>
    <w:rsid w:val="00066A3C"/>
    <w:rsid w:val="0006722B"/>
    <w:rsid w:val="000724CB"/>
    <w:rsid w:val="0007260C"/>
    <w:rsid w:val="000750EB"/>
    <w:rsid w:val="00077B28"/>
    <w:rsid w:val="000855C0"/>
    <w:rsid w:val="00085FFB"/>
    <w:rsid w:val="00092F62"/>
    <w:rsid w:val="000947D4"/>
    <w:rsid w:val="000975E4"/>
    <w:rsid w:val="000A1712"/>
    <w:rsid w:val="000A2748"/>
    <w:rsid w:val="000A28E9"/>
    <w:rsid w:val="000A2B1A"/>
    <w:rsid w:val="000A3614"/>
    <w:rsid w:val="000A7EB7"/>
    <w:rsid w:val="000C1841"/>
    <w:rsid w:val="000D0573"/>
    <w:rsid w:val="000D5762"/>
    <w:rsid w:val="000D7693"/>
    <w:rsid w:val="000E5ACE"/>
    <w:rsid w:val="000F01C5"/>
    <w:rsid w:val="000F1848"/>
    <w:rsid w:val="000F6921"/>
    <w:rsid w:val="000F79C3"/>
    <w:rsid w:val="00107498"/>
    <w:rsid w:val="00107F1B"/>
    <w:rsid w:val="00111345"/>
    <w:rsid w:val="00115E7A"/>
    <w:rsid w:val="00120DA9"/>
    <w:rsid w:val="00122E19"/>
    <w:rsid w:val="00135F84"/>
    <w:rsid w:val="00136298"/>
    <w:rsid w:val="001379AF"/>
    <w:rsid w:val="00146A69"/>
    <w:rsid w:val="00147951"/>
    <w:rsid w:val="0015063D"/>
    <w:rsid w:val="00152406"/>
    <w:rsid w:val="00153442"/>
    <w:rsid w:val="00157E22"/>
    <w:rsid w:val="00163335"/>
    <w:rsid w:val="001713CE"/>
    <w:rsid w:val="0018601A"/>
    <w:rsid w:val="00194DF5"/>
    <w:rsid w:val="00197F2F"/>
    <w:rsid w:val="001A6284"/>
    <w:rsid w:val="001B1B7D"/>
    <w:rsid w:val="001B23D9"/>
    <w:rsid w:val="001B293E"/>
    <w:rsid w:val="001B6142"/>
    <w:rsid w:val="001B689A"/>
    <w:rsid w:val="001C1CE0"/>
    <w:rsid w:val="001D0827"/>
    <w:rsid w:val="001D59AB"/>
    <w:rsid w:val="001D66E1"/>
    <w:rsid w:val="001D7013"/>
    <w:rsid w:val="001E1911"/>
    <w:rsid w:val="001E222D"/>
    <w:rsid w:val="001E2EDE"/>
    <w:rsid w:val="001E7EC2"/>
    <w:rsid w:val="001F0245"/>
    <w:rsid w:val="001F09F4"/>
    <w:rsid w:val="001F71F5"/>
    <w:rsid w:val="00202097"/>
    <w:rsid w:val="0020228D"/>
    <w:rsid w:val="00213CC4"/>
    <w:rsid w:val="002148B7"/>
    <w:rsid w:val="00215C36"/>
    <w:rsid w:val="00220ED8"/>
    <w:rsid w:val="00222B9A"/>
    <w:rsid w:val="0023121C"/>
    <w:rsid w:val="0023759A"/>
    <w:rsid w:val="002451A4"/>
    <w:rsid w:val="002506E8"/>
    <w:rsid w:val="00254212"/>
    <w:rsid w:val="0025498C"/>
    <w:rsid w:val="002624DC"/>
    <w:rsid w:val="00266014"/>
    <w:rsid w:val="002742CB"/>
    <w:rsid w:val="00277186"/>
    <w:rsid w:val="00277755"/>
    <w:rsid w:val="00277F27"/>
    <w:rsid w:val="00280539"/>
    <w:rsid w:val="002860A2"/>
    <w:rsid w:val="00290452"/>
    <w:rsid w:val="00290CD7"/>
    <w:rsid w:val="00293EFA"/>
    <w:rsid w:val="002946F7"/>
    <w:rsid w:val="00295B97"/>
    <w:rsid w:val="0029605C"/>
    <w:rsid w:val="002A130A"/>
    <w:rsid w:val="002A3FDF"/>
    <w:rsid w:val="002A41F3"/>
    <w:rsid w:val="002A63E3"/>
    <w:rsid w:val="002A699A"/>
    <w:rsid w:val="002C017B"/>
    <w:rsid w:val="002C4F0C"/>
    <w:rsid w:val="002C575D"/>
    <w:rsid w:val="002C6B14"/>
    <w:rsid w:val="002D0100"/>
    <w:rsid w:val="002D0B11"/>
    <w:rsid w:val="002D1B1F"/>
    <w:rsid w:val="002D1F4C"/>
    <w:rsid w:val="002D604E"/>
    <w:rsid w:val="002D605C"/>
    <w:rsid w:val="002E601A"/>
    <w:rsid w:val="002F005F"/>
    <w:rsid w:val="002F0875"/>
    <w:rsid w:val="002F0B03"/>
    <w:rsid w:val="002F43D6"/>
    <w:rsid w:val="002F65FF"/>
    <w:rsid w:val="002F791C"/>
    <w:rsid w:val="00301F0B"/>
    <w:rsid w:val="003032D5"/>
    <w:rsid w:val="00303E0C"/>
    <w:rsid w:val="00304CE5"/>
    <w:rsid w:val="00317183"/>
    <w:rsid w:val="003171CA"/>
    <w:rsid w:val="00326D35"/>
    <w:rsid w:val="00326ED3"/>
    <w:rsid w:val="00331837"/>
    <w:rsid w:val="0033373D"/>
    <w:rsid w:val="00333EAD"/>
    <w:rsid w:val="00335BF8"/>
    <w:rsid w:val="00336000"/>
    <w:rsid w:val="00336ABF"/>
    <w:rsid w:val="00337511"/>
    <w:rsid w:val="00351811"/>
    <w:rsid w:val="00351830"/>
    <w:rsid w:val="00351889"/>
    <w:rsid w:val="00352D66"/>
    <w:rsid w:val="00354E18"/>
    <w:rsid w:val="00356A20"/>
    <w:rsid w:val="003648F1"/>
    <w:rsid w:val="00366629"/>
    <w:rsid w:val="003764BC"/>
    <w:rsid w:val="00383054"/>
    <w:rsid w:val="003832C7"/>
    <w:rsid w:val="00384093"/>
    <w:rsid w:val="0038449E"/>
    <w:rsid w:val="003938F1"/>
    <w:rsid w:val="003A04D1"/>
    <w:rsid w:val="003A143D"/>
    <w:rsid w:val="003A1BF8"/>
    <w:rsid w:val="003A3876"/>
    <w:rsid w:val="003B0E1B"/>
    <w:rsid w:val="003B560A"/>
    <w:rsid w:val="003B5C78"/>
    <w:rsid w:val="003B65EE"/>
    <w:rsid w:val="003B6894"/>
    <w:rsid w:val="003C7E4F"/>
    <w:rsid w:val="003D150C"/>
    <w:rsid w:val="003D1938"/>
    <w:rsid w:val="003D3F7E"/>
    <w:rsid w:val="003D4ED9"/>
    <w:rsid w:val="003D6E4C"/>
    <w:rsid w:val="003D7E81"/>
    <w:rsid w:val="003E3DE8"/>
    <w:rsid w:val="003E42B9"/>
    <w:rsid w:val="003E63F7"/>
    <w:rsid w:val="003E6F13"/>
    <w:rsid w:val="003F1B5E"/>
    <w:rsid w:val="003F335B"/>
    <w:rsid w:val="003F36A7"/>
    <w:rsid w:val="003F4EEF"/>
    <w:rsid w:val="003F7218"/>
    <w:rsid w:val="00400DFB"/>
    <w:rsid w:val="00406069"/>
    <w:rsid w:val="004119CD"/>
    <w:rsid w:val="00412DC1"/>
    <w:rsid w:val="00416B7C"/>
    <w:rsid w:val="004207E8"/>
    <w:rsid w:val="0042390F"/>
    <w:rsid w:val="00424B49"/>
    <w:rsid w:val="00436CA8"/>
    <w:rsid w:val="00443359"/>
    <w:rsid w:val="0045446A"/>
    <w:rsid w:val="0045470C"/>
    <w:rsid w:val="00464D45"/>
    <w:rsid w:val="0046745A"/>
    <w:rsid w:val="00473A69"/>
    <w:rsid w:val="004750C7"/>
    <w:rsid w:val="00477C88"/>
    <w:rsid w:val="00487665"/>
    <w:rsid w:val="00487E40"/>
    <w:rsid w:val="0049225C"/>
    <w:rsid w:val="00493CE9"/>
    <w:rsid w:val="00495B43"/>
    <w:rsid w:val="004A5735"/>
    <w:rsid w:val="004A5EFA"/>
    <w:rsid w:val="004B01D3"/>
    <w:rsid w:val="004B104F"/>
    <w:rsid w:val="004B7583"/>
    <w:rsid w:val="004B7BCB"/>
    <w:rsid w:val="004C2D4F"/>
    <w:rsid w:val="004C680C"/>
    <w:rsid w:val="004D0387"/>
    <w:rsid w:val="004D2BEC"/>
    <w:rsid w:val="004D379A"/>
    <w:rsid w:val="004D4A7D"/>
    <w:rsid w:val="004D4C72"/>
    <w:rsid w:val="004D4CD7"/>
    <w:rsid w:val="004D7BCC"/>
    <w:rsid w:val="004E69A4"/>
    <w:rsid w:val="00501377"/>
    <w:rsid w:val="00501BE8"/>
    <w:rsid w:val="00504A3A"/>
    <w:rsid w:val="00510014"/>
    <w:rsid w:val="005158BE"/>
    <w:rsid w:val="00517853"/>
    <w:rsid w:val="005200F8"/>
    <w:rsid w:val="005201C1"/>
    <w:rsid w:val="0052075B"/>
    <w:rsid w:val="00522E17"/>
    <w:rsid w:val="00525787"/>
    <w:rsid w:val="00526E0B"/>
    <w:rsid w:val="00527DE5"/>
    <w:rsid w:val="0053088E"/>
    <w:rsid w:val="00533CD3"/>
    <w:rsid w:val="00533F99"/>
    <w:rsid w:val="00537B7B"/>
    <w:rsid w:val="00540D45"/>
    <w:rsid w:val="005413D4"/>
    <w:rsid w:val="005439A6"/>
    <w:rsid w:val="00545E0E"/>
    <w:rsid w:val="00546A2D"/>
    <w:rsid w:val="0055211A"/>
    <w:rsid w:val="00552167"/>
    <w:rsid w:val="00553680"/>
    <w:rsid w:val="00554F93"/>
    <w:rsid w:val="00562B4C"/>
    <w:rsid w:val="00563277"/>
    <w:rsid w:val="0056566B"/>
    <w:rsid w:val="005660E2"/>
    <w:rsid w:val="005663CD"/>
    <w:rsid w:val="0057190A"/>
    <w:rsid w:val="00572C3F"/>
    <w:rsid w:val="00574A3F"/>
    <w:rsid w:val="00577751"/>
    <w:rsid w:val="005809F1"/>
    <w:rsid w:val="0058201E"/>
    <w:rsid w:val="00583F50"/>
    <w:rsid w:val="00594604"/>
    <w:rsid w:val="005A1B0E"/>
    <w:rsid w:val="005A43A3"/>
    <w:rsid w:val="005A7CF3"/>
    <w:rsid w:val="005B4563"/>
    <w:rsid w:val="005B6DCB"/>
    <w:rsid w:val="005C4246"/>
    <w:rsid w:val="005C5A53"/>
    <w:rsid w:val="005C6FD9"/>
    <w:rsid w:val="005D0E33"/>
    <w:rsid w:val="005D4CD0"/>
    <w:rsid w:val="005F18D9"/>
    <w:rsid w:val="005F2D14"/>
    <w:rsid w:val="005F39A7"/>
    <w:rsid w:val="005F4069"/>
    <w:rsid w:val="005F6CE0"/>
    <w:rsid w:val="005F70C6"/>
    <w:rsid w:val="00601168"/>
    <w:rsid w:val="006014B9"/>
    <w:rsid w:val="00602AAC"/>
    <w:rsid w:val="00605E26"/>
    <w:rsid w:val="0060778C"/>
    <w:rsid w:val="00607DB0"/>
    <w:rsid w:val="00634A88"/>
    <w:rsid w:val="00636BBB"/>
    <w:rsid w:val="00640A14"/>
    <w:rsid w:val="00644003"/>
    <w:rsid w:val="0064536B"/>
    <w:rsid w:val="00650B9C"/>
    <w:rsid w:val="00655ADE"/>
    <w:rsid w:val="0066226E"/>
    <w:rsid w:val="00663B86"/>
    <w:rsid w:val="00665359"/>
    <w:rsid w:val="006730DB"/>
    <w:rsid w:val="00675107"/>
    <w:rsid w:val="00675EDA"/>
    <w:rsid w:val="00676B0A"/>
    <w:rsid w:val="006841A2"/>
    <w:rsid w:val="00686A09"/>
    <w:rsid w:val="006900C5"/>
    <w:rsid w:val="006906A6"/>
    <w:rsid w:val="00692820"/>
    <w:rsid w:val="00696ED7"/>
    <w:rsid w:val="006971A2"/>
    <w:rsid w:val="006A0B84"/>
    <w:rsid w:val="006A4830"/>
    <w:rsid w:val="006A6121"/>
    <w:rsid w:val="006B12CF"/>
    <w:rsid w:val="006B2180"/>
    <w:rsid w:val="006B66A4"/>
    <w:rsid w:val="006B69F0"/>
    <w:rsid w:val="006C3C4B"/>
    <w:rsid w:val="006C7A6B"/>
    <w:rsid w:val="006C7B69"/>
    <w:rsid w:val="006D2668"/>
    <w:rsid w:val="006D2EF8"/>
    <w:rsid w:val="006D3CC6"/>
    <w:rsid w:val="006D4C14"/>
    <w:rsid w:val="006D4D7D"/>
    <w:rsid w:val="006D6093"/>
    <w:rsid w:val="006D7529"/>
    <w:rsid w:val="006D7FD4"/>
    <w:rsid w:val="006E13BE"/>
    <w:rsid w:val="006F39A1"/>
    <w:rsid w:val="006F41C5"/>
    <w:rsid w:val="006F72EB"/>
    <w:rsid w:val="00701F9F"/>
    <w:rsid w:val="007027DE"/>
    <w:rsid w:val="0070377C"/>
    <w:rsid w:val="0071181E"/>
    <w:rsid w:val="007208C2"/>
    <w:rsid w:val="007209CA"/>
    <w:rsid w:val="00720D83"/>
    <w:rsid w:val="00722142"/>
    <w:rsid w:val="00722835"/>
    <w:rsid w:val="007232B8"/>
    <w:rsid w:val="007243F6"/>
    <w:rsid w:val="0072454C"/>
    <w:rsid w:val="0072614B"/>
    <w:rsid w:val="00727893"/>
    <w:rsid w:val="00731B55"/>
    <w:rsid w:val="007326DF"/>
    <w:rsid w:val="007361CA"/>
    <w:rsid w:val="00740616"/>
    <w:rsid w:val="00763589"/>
    <w:rsid w:val="00767553"/>
    <w:rsid w:val="00776A26"/>
    <w:rsid w:val="0078078A"/>
    <w:rsid w:val="00783073"/>
    <w:rsid w:val="0078709A"/>
    <w:rsid w:val="0079156E"/>
    <w:rsid w:val="00791767"/>
    <w:rsid w:val="0079184B"/>
    <w:rsid w:val="00793CD0"/>
    <w:rsid w:val="00794431"/>
    <w:rsid w:val="00796906"/>
    <w:rsid w:val="00797134"/>
    <w:rsid w:val="007A5D91"/>
    <w:rsid w:val="007A61B1"/>
    <w:rsid w:val="007B20AA"/>
    <w:rsid w:val="007B4680"/>
    <w:rsid w:val="007B5FF2"/>
    <w:rsid w:val="007C0678"/>
    <w:rsid w:val="007C23BB"/>
    <w:rsid w:val="007D0E8A"/>
    <w:rsid w:val="007D447B"/>
    <w:rsid w:val="007E6B84"/>
    <w:rsid w:val="007F0345"/>
    <w:rsid w:val="007F196B"/>
    <w:rsid w:val="007F4F10"/>
    <w:rsid w:val="007F51EC"/>
    <w:rsid w:val="007F6F28"/>
    <w:rsid w:val="00801D65"/>
    <w:rsid w:val="00806C3E"/>
    <w:rsid w:val="00811B10"/>
    <w:rsid w:val="008152DB"/>
    <w:rsid w:val="00817118"/>
    <w:rsid w:val="00822812"/>
    <w:rsid w:val="00840180"/>
    <w:rsid w:val="00840A60"/>
    <w:rsid w:val="00842220"/>
    <w:rsid w:val="0084357A"/>
    <w:rsid w:val="00853356"/>
    <w:rsid w:val="00860CAA"/>
    <w:rsid w:val="00861B52"/>
    <w:rsid w:val="00863E38"/>
    <w:rsid w:val="00871C88"/>
    <w:rsid w:val="00874C31"/>
    <w:rsid w:val="0087526B"/>
    <w:rsid w:val="0087624C"/>
    <w:rsid w:val="0088746E"/>
    <w:rsid w:val="00893F8D"/>
    <w:rsid w:val="008A5C5B"/>
    <w:rsid w:val="008B5505"/>
    <w:rsid w:val="008C1643"/>
    <w:rsid w:val="008C4220"/>
    <w:rsid w:val="008C49CD"/>
    <w:rsid w:val="008C519C"/>
    <w:rsid w:val="008D0108"/>
    <w:rsid w:val="008D61EA"/>
    <w:rsid w:val="008D78D3"/>
    <w:rsid w:val="008E0947"/>
    <w:rsid w:val="008E1A92"/>
    <w:rsid w:val="008E36FB"/>
    <w:rsid w:val="008E4FC6"/>
    <w:rsid w:val="008E6C93"/>
    <w:rsid w:val="008F15D0"/>
    <w:rsid w:val="008F519E"/>
    <w:rsid w:val="008F68E9"/>
    <w:rsid w:val="00902D36"/>
    <w:rsid w:val="0090439F"/>
    <w:rsid w:val="00911B3B"/>
    <w:rsid w:val="00913559"/>
    <w:rsid w:val="0091398C"/>
    <w:rsid w:val="00915A99"/>
    <w:rsid w:val="009173A1"/>
    <w:rsid w:val="009210AB"/>
    <w:rsid w:val="009227CC"/>
    <w:rsid w:val="009267B3"/>
    <w:rsid w:val="0093220B"/>
    <w:rsid w:val="0094154A"/>
    <w:rsid w:val="00943368"/>
    <w:rsid w:val="00943BF8"/>
    <w:rsid w:val="009449A7"/>
    <w:rsid w:val="00950014"/>
    <w:rsid w:val="00953AD5"/>
    <w:rsid w:val="009543D9"/>
    <w:rsid w:val="0096222B"/>
    <w:rsid w:val="009622B7"/>
    <w:rsid w:val="00970306"/>
    <w:rsid w:val="00976821"/>
    <w:rsid w:val="0098098A"/>
    <w:rsid w:val="00984698"/>
    <w:rsid w:val="009848F7"/>
    <w:rsid w:val="00984FEF"/>
    <w:rsid w:val="00994C2C"/>
    <w:rsid w:val="00995254"/>
    <w:rsid w:val="00995734"/>
    <w:rsid w:val="00995B9A"/>
    <w:rsid w:val="009961CE"/>
    <w:rsid w:val="009A6C8E"/>
    <w:rsid w:val="009D2E13"/>
    <w:rsid w:val="009D4101"/>
    <w:rsid w:val="009E0643"/>
    <w:rsid w:val="009E4449"/>
    <w:rsid w:val="009F2246"/>
    <w:rsid w:val="009F63A2"/>
    <w:rsid w:val="009F721A"/>
    <w:rsid w:val="009F76AB"/>
    <w:rsid w:val="00A0071F"/>
    <w:rsid w:val="00A00EFF"/>
    <w:rsid w:val="00A01DE0"/>
    <w:rsid w:val="00A01EA4"/>
    <w:rsid w:val="00A049E4"/>
    <w:rsid w:val="00A06409"/>
    <w:rsid w:val="00A06446"/>
    <w:rsid w:val="00A13318"/>
    <w:rsid w:val="00A17D7B"/>
    <w:rsid w:val="00A204F7"/>
    <w:rsid w:val="00A21EC3"/>
    <w:rsid w:val="00A22A02"/>
    <w:rsid w:val="00A271AD"/>
    <w:rsid w:val="00A5215A"/>
    <w:rsid w:val="00A52E52"/>
    <w:rsid w:val="00A53B31"/>
    <w:rsid w:val="00A54B94"/>
    <w:rsid w:val="00A55311"/>
    <w:rsid w:val="00A55348"/>
    <w:rsid w:val="00A55960"/>
    <w:rsid w:val="00A6082E"/>
    <w:rsid w:val="00A62FA1"/>
    <w:rsid w:val="00A6402B"/>
    <w:rsid w:val="00A650ED"/>
    <w:rsid w:val="00A67A3B"/>
    <w:rsid w:val="00A67E6D"/>
    <w:rsid w:val="00A75C26"/>
    <w:rsid w:val="00A765EC"/>
    <w:rsid w:val="00A81603"/>
    <w:rsid w:val="00A8584F"/>
    <w:rsid w:val="00A86B8D"/>
    <w:rsid w:val="00A9015A"/>
    <w:rsid w:val="00A912E5"/>
    <w:rsid w:val="00A932B4"/>
    <w:rsid w:val="00A9461C"/>
    <w:rsid w:val="00A954A0"/>
    <w:rsid w:val="00AA2DB8"/>
    <w:rsid w:val="00AA5A1D"/>
    <w:rsid w:val="00AA630F"/>
    <w:rsid w:val="00AB3F56"/>
    <w:rsid w:val="00AC242E"/>
    <w:rsid w:val="00AC2789"/>
    <w:rsid w:val="00AD2503"/>
    <w:rsid w:val="00AD6F9D"/>
    <w:rsid w:val="00AE4D15"/>
    <w:rsid w:val="00AE620D"/>
    <w:rsid w:val="00AE694B"/>
    <w:rsid w:val="00AF04B7"/>
    <w:rsid w:val="00AF2D0D"/>
    <w:rsid w:val="00AF4176"/>
    <w:rsid w:val="00AF497F"/>
    <w:rsid w:val="00AF52AD"/>
    <w:rsid w:val="00B032A3"/>
    <w:rsid w:val="00B05D8E"/>
    <w:rsid w:val="00B05F21"/>
    <w:rsid w:val="00B161F7"/>
    <w:rsid w:val="00B17E93"/>
    <w:rsid w:val="00B17FEB"/>
    <w:rsid w:val="00B22E4D"/>
    <w:rsid w:val="00B22F1A"/>
    <w:rsid w:val="00B31686"/>
    <w:rsid w:val="00B324EE"/>
    <w:rsid w:val="00B409FE"/>
    <w:rsid w:val="00B4303F"/>
    <w:rsid w:val="00B4401D"/>
    <w:rsid w:val="00B44629"/>
    <w:rsid w:val="00B5164E"/>
    <w:rsid w:val="00B5450F"/>
    <w:rsid w:val="00B62653"/>
    <w:rsid w:val="00B636C9"/>
    <w:rsid w:val="00B64D19"/>
    <w:rsid w:val="00B65E8E"/>
    <w:rsid w:val="00B7136F"/>
    <w:rsid w:val="00B74697"/>
    <w:rsid w:val="00B80492"/>
    <w:rsid w:val="00B92086"/>
    <w:rsid w:val="00B97F3D"/>
    <w:rsid w:val="00BA1189"/>
    <w:rsid w:val="00BA3794"/>
    <w:rsid w:val="00BA5F21"/>
    <w:rsid w:val="00BA7437"/>
    <w:rsid w:val="00BB065A"/>
    <w:rsid w:val="00BB127D"/>
    <w:rsid w:val="00BB3443"/>
    <w:rsid w:val="00BB4277"/>
    <w:rsid w:val="00BB609B"/>
    <w:rsid w:val="00BB795B"/>
    <w:rsid w:val="00BB7DA4"/>
    <w:rsid w:val="00BC17AB"/>
    <w:rsid w:val="00BC1915"/>
    <w:rsid w:val="00BC1982"/>
    <w:rsid w:val="00BC1ABC"/>
    <w:rsid w:val="00BC2167"/>
    <w:rsid w:val="00BC3286"/>
    <w:rsid w:val="00BC7D25"/>
    <w:rsid w:val="00BC7F42"/>
    <w:rsid w:val="00BD2F90"/>
    <w:rsid w:val="00BD525A"/>
    <w:rsid w:val="00BE6A73"/>
    <w:rsid w:val="00BF1D0E"/>
    <w:rsid w:val="00BF21DB"/>
    <w:rsid w:val="00BF56C6"/>
    <w:rsid w:val="00C00B2D"/>
    <w:rsid w:val="00C03D44"/>
    <w:rsid w:val="00C043BE"/>
    <w:rsid w:val="00C04BA8"/>
    <w:rsid w:val="00C06A19"/>
    <w:rsid w:val="00C10B22"/>
    <w:rsid w:val="00C1350C"/>
    <w:rsid w:val="00C14F0C"/>
    <w:rsid w:val="00C15B5F"/>
    <w:rsid w:val="00C210EC"/>
    <w:rsid w:val="00C22895"/>
    <w:rsid w:val="00C255F1"/>
    <w:rsid w:val="00C34A38"/>
    <w:rsid w:val="00C35C0C"/>
    <w:rsid w:val="00C37552"/>
    <w:rsid w:val="00C418AB"/>
    <w:rsid w:val="00C44451"/>
    <w:rsid w:val="00C50163"/>
    <w:rsid w:val="00C511FF"/>
    <w:rsid w:val="00C53590"/>
    <w:rsid w:val="00C61270"/>
    <w:rsid w:val="00C63B7B"/>
    <w:rsid w:val="00C7099F"/>
    <w:rsid w:val="00C7198E"/>
    <w:rsid w:val="00C745A8"/>
    <w:rsid w:val="00C8268E"/>
    <w:rsid w:val="00C828F6"/>
    <w:rsid w:val="00C83543"/>
    <w:rsid w:val="00C873D6"/>
    <w:rsid w:val="00C93D49"/>
    <w:rsid w:val="00C93F49"/>
    <w:rsid w:val="00CA1F1B"/>
    <w:rsid w:val="00CA25A2"/>
    <w:rsid w:val="00CA5F26"/>
    <w:rsid w:val="00CB29AA"/>
    <w:rsid w:val="00CC12CE"/>
    <w:rsid w:val="00CC1C6D"/>
    <w:rsid w:val="00CC3300"/>
    <w:rsid w:val="00CC3786"/>
    <w:rsid w:val="00CC45D5"/>
    <w:rsid w:val="00CC5BE2"/>
    <w:rsid w:val="00CC790F"/>
    <w:rsid w:val="00CD0DB8"/>
    <w:rsid w:val="00CD616A"/>
    <w:rsid w:val="00CD6941"/>
    <w:rsid w:val="00CE270C"/>
    <w:rsid w:val="00CE2AB1"/>
    <w:rsid w:val="00CE45E8"/>
    <w:rsid w:val="00CF0906"/>
    <w:rsid w:val="00CF40AA"/>
    <w:rsid w:val="00CF5C61"/>
    <w:rsid w:val="00CF71A8"/>
    <w:rsid w:val="00D008E4"/>
    <w:rsid w:val="00D02B23"/>
    <w:rsid w:val="00D0350F"/>
    <w:rsid w:val="00D06681"/>
    <w:rsid w:val="00D13417"/>
    <w:rsid w:val="00D165E4"/>
    <w:rsid w:val="00D2289A"/>
    <w:rsid w:val="00D22F58"/>
    <w:rsid w:val="00D2364F"/>
    <w:rsid w:val="00D24478"/>
    <w:rsid w:val="00D25B04"/>
    <w:rsid w:val="00D3097D"/>
    <w:rsid w:val="00D332B3"/>
    <w:rsid w:val="00D35487"/>
    <w:rsid w:val="00D36EE3"/>
    <w:rsid w:val="00D479EF"/>
    <w:rsid w:val="00D50A66"/>
    <w:rsid w:val="00D53870"/>
    <w:rsid w:val="00D60799"/>
    <w:rsid w:val="00D62C0B"/>
    <w:rsid w:val="00D662A2"/>
    <w:rsid w:val="00D70E43"/>
    <w:rsid w:val="00D710AC"/>
    <w:rsid w:val="00D71772"/>
    <w:rsid w:val="00D71F43"/>
    <w:rsid w:val="00D75C42"/>
    <w:rsid w:val="00D75E10"/>
    <w:rsid w:val="00D77868"/>
    <w:rsid w:val="00D81303"/>
    <w:rsid w:val="00D82FAA"/>
    <w:rsid w:val="00D863C1"/>
    <w:rsid w:val="00D9245C"/>
    <w:rsid w:val="00D94486"/>
    <w:rsid w:val="00D95589"/>
    <w:rsid w:val="00D96435"/>
    <w:rsid w:val="00DA247A"/>
    <w:rsid w:val="00DA2C49"/>
    <w:rsid w:val="00DA5859"/>
    <w:rsid w:val="00DB06D2"/>
    <w:rsid w:val="00DB0BC4"/>
    <w:rsid w:val="00DB1AD6"/>
    <w:rsid w:val="00DB5E41"/>
    <w:rsid w:val="00DB677D"/>
    <w:rsid w:val="00DB71FD"/>
    <w:rsid w:val="00DC19C4"/>
    <w:rsid w:val="00DC2887"/>
    <w:rsid w:val="00DC469B"/>
    <w:rsid w:val="00DC7B8F"/>
    <w:rsid w:val="00DD1C3F"/>
    <w:rsid w:val="00DD2F42"/>
    <w:rsid w:val="00DD5DE9"/>
    <w:rsid w:val="00DD6585"/>
    <w:rsid w:val="00DE3615"/>
    <w:rsid w:val="00DE7495"/>
    <w:rsid w:val="00DE79A7"/>
    <w:rsid w:val="00DF2B87"/>
    <w:rsid w:val="00DF3742"/>
    <w:rsid w:val="00DF3DE9"/>
    <w:rsid w:val="00DF587C"/>
    <w:rsid w:val="00E0623D"/>
    <w:rsid w:val="00E12480"/>
    <w:rsid w:val="00E1256C"/>
    <w:rsid w:val="00E1379E"/>
    <w:rsid w:val="00E15BFF"/>
    <w:rsid w:val="00E16B1B"/>
    <w:rsid w:val="00E247FD"/>
    <w:rsid w:val="00E31ACF"/>
    <w:rsid w:val="00E406F2"/>
    <w:rsid w:val="00E43938"/>
    <w:rsid w:val="00E43CF1"/>
    <w:rsid w:val="00E4415F"/>
    <w:rsid w:val="00E4461D"/>
    <w:rsid w:val="00E44948"/>
    <w:rsid w:val="00E44FD8"/>
    <w:rsid w:val="00E57CE4"/>
    <w:rsid w:val="00E633A8"/>
    <w:rsid w:val="00E63E4F"/>
    <w:rsid w:val="00E65567"/>
    <w:rsid w:val="00E65806"/>
    <w:rsid w:val="00E66DE0"/>
    <w:rsid w:val="00E66FA5"/>
    <w:rsid w:val="00E731DF"/>
    <w:rsid w:val="00E74780"/>
    <w:rsid w:val="00E77424"/>
    <w:rsid w:val="00E8723E"/>
    <w:rsid w:val="00E90518"/>
    <w:rsid w:val="00E94CE3"/>
    <w:rsid w:val="00E96E01"/>
    <w:rsid w:val="00EA0596"/>
    <w:rsid w:val="00EA499F"/>
    <w:rsid w:val="00EA7708"/>
    <w:rsid w:val="00EB571F"/>
    <w:rsid w:val="00EB6790"/>
    <w:rsid w:val="00ED0E62"/>
    <w:rsid w:val="00ED0F5F"/>
    <w:rsid w:val="00ED601E"/>
    <w:rsid w:val="00EE0A96"/>
    <w:rsid w:val="00EE0EA9"/>
    <w:rsid w:val="00EE1CE5"/>
    <w:rsid w:val="00EE34A4"/>
    <w:rsid w:val="00EE5276"/>
    <w:rsid w:val="00EF1377"/>
    <w:rsid w:val="00EF592E"/>
    <w:rsid w:val="00EF6DA0"/>
    <w:rsid w:val="00F0019D"/>
    <w:rsid w:val="00F030E3"/>
    <w:rsid w:val="00F059B6"/>
    <w:rsid w:val="00F05E08"/>
    <w:rsid w:val="00F064E4"/>
    <w:rsid w:val="00F075BA"/>
    <w:rsid w:val="00F13A13"/>
    <w:rsid w:val="00F14A91"/>
    <w:rsid w:val="00F1557F"/>
    <w:rsid w:val="00F314C3"/>
    <w:rsid w:val="00F34B50"/>
    <w:rsid w:val="00F40C5C"/>
    <w:rsid w:val="00F43771"/>
    <w:rsid w:val="00F50106"/>
    <w:rsid w:val="00F526C6"/>
    <w:rsid w:val="00F545B8"/>
    <w:rsid w:val="00F558F6"/>
    <w:rsid w:val="00F55D29"/>
    <w:rsid w:val="00F57AD2"/>
    <w:rsid w:val="00F613D3"/>
    <w:rsid w:val="00F64DCC"/>
    <w:rsid w:val="00F667F9"/>
    <w:rsid w:val="00F721DF"/>
    <w:rsid w:val="00F74911"/>
    <w:rsid w:val="00F749E5"/>
    <w:rsid w:val="00F76435"/>
    <w:rsid w:val="00F80693"/>
    <w:rsid w:val="00F81E90"/>
    <w:rsid w:val="00F82F4C"/>
    <w:rsid w:val="00F85A28"/>
    <w:rsid w:val="00F86152"/>
    <w:rsid w:val="00F8662A"/>
    <w:rsid w:val="00F87634"/>
    <w:rsid w:val="00F93A6B"/>
    <w:rsid w:val="00F94600"/>
    <w:rsid w:val="00F94D70"/>
    <w:rsid w:val="00FA212D"/>
    <w:rsid w:val="00FA3EB9"/>
    <w:rsid w:val="00FA5D11"/>
    <w:rsid w:val="00FB173D"/>
    <w:rsid w:val="00FC2A5D"/>
    <w:rsid w:val="00FC506C"/>
    <w:rsid w:val="00FC764C"/>
    <w:rsid w:val="00FC773F"/>
    <w:rsid w:val="00FD053C"/>
    <w:rsid w:val="00FD1452"/>
    <w:rsid w:val="00FD2791"/>
    <w:rsid w:val="00FD3CC6"/>
    <w:rsid w:val="00FD3DE5"/>
    <w:rsid w:val="00FD4350"/>
    <w:rsid w:val="00FD75B0"/>
    <w:rsid w:val="00FE1BF6"/>
    <w:rsid w:val="00FE3EA5"/>
    <w:rsid w:val="00FE52DF"/>
    <w:rsid w:val="00FE759E"/>
    <w:rsid w:val="00FF10B8"/>
    <w:rsid w:val="00FF1C25"/>
    <w:rsid w:val="00FF276F"/>
    <w:rsid w:val="00FF5724"/>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DEE2BD"/>
  <w15:docId w15:val="{7F318DF7-C4C6-436D-A90E-57A33366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suppressAutoHyphens/>
      <w:jc w:val="right"/>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iCs/>
      <w:snapToGrid w:val="0"/>
      <w:sz w:val="24"/>
      <w:szCs w:val="24"/>
      <w:lang w:eastAsia="en-US"/>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 w:val="24"/>
      <w:szCs w:val="24"/>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0"/>
        <w:tab w:val="left" w:pos="720"/>
        <w:tab w:val="left" w:pos="1170"/>
        <w:tab w:val="left" w:pos="2160"/>
      </w:tabs>
      <w:suppressAutoHyphens/>
      <w:ind w:left="1170" w:right="1170" w:hanging="1170"/>
    </w:pPr>
    <w:rPr>
      <w:sz w:val="24"/>
      <w:szCs w:val="24"/>
    </w:rPr>
  </w:style>
  <w:style w:type="paragraph" w:styleId="BodyTextIndent3">
    <w:name w:val="Body Text Indent 3"/>
    <w:basedOn w:val="Normal"/>
    <w:pPr>
      <w:widowControl w:val="0"/>
      <w:ind w:left="1440" w:hanging="720"/>
    </w:pPr>
    <w:rPr>
      <w:snapToGrid w:val="0"/>
      <w:sz w:val="24"/>
      <w:szCs w:val="24"/>
      <w:lang w:eastAsia="en-US"/>
    </w:rPr>
  </w:style>
  <w:style w:type="paragraph" w:styleId="BalloonText">
    <w:name w:val="Balloon Text"/>
    <w:basedOn w:val="Normal"/>
    <w:semiHidden/>
    <w:rsid w:val="001E7EC2"/>
    <w:rPr>
      <w:rFonts w:ascii="Tahoma" w:hAnsi="Tahoma" w:cs="Tahoma"/>
      <w:sz w:val="16"/>
      <w:szCs w:val="16"/>
    </w:rPr>
  </w:style>
  <w:style w:type="paragraph" w:styleId="HTMLPreformatted">
    <w:name w:val="HTML Preformatted"/>
    <w:basedOn w:val="Normal"/>
    <w:rsid w:val="00336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table" w:styleId="TableGrid">
    <w:name w:val="Table Grid"/>
    <w:basedOn w:val="TableNormal"/>
    <w:rsid w:val="00336AB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97134"/>
    <w:pPr>
      <w:shd w:val="clear" w:color="auto" w:fill="000080"/>
    </w:pPr>
    <w:rPr>
      <w:rFonts w:ascii="Tahoma" w:hAnsi="Tahoma" w:cs="Tahoma"/>
    </w:rPr>
  </w:style>
  <w:style w:type="paragraph" w:styleId="ListParagraph">
    <w:name w:val="List Paragraph"/>
    <w:basedOn w:val="Normal"/>
    <w:uiPriority w:val="34"/>
    <w:qFormat/>
    <w:rsid w:val="00487E40"/>
    <w:pPr>
      <w:ind w:left="720"/>
      <w:contextualSpacing/>
    </w:pPr>
  </w:style>
  <w:style w:type="character" w:styleId="CommentReference">
    <w:name w:val="annotation reference"/>
    <w:basedOn w:val="DefaultParagraphFont"/>
    <w:uiPriority w:val="99"/>
    <w:semiHidden/>
    <w:unhideWhenUsed/>
    <w:rsid w:val="007A5D91"/>
    <w:rPr>
      <w:sz w:val="16"/>
      <w:szCs w:val="16"/>
    </w:rPr>
  </w:style>
  <w:style w:type="paragraph" w:styleId="CommentText">
    <w:name w:val="annotation text"/>
    <w:basedOn w:val="Normal"/>
    <w:link w:val="CommentTextChar"/>
    <w:uiPriority w:val="99"/>
    <w:unhideWhenUsed/>
    <w:rsid w:val="007A5D91"/>
  </w:style>
  <w:style w:type="character" w:customStyle="1" w:styleId="CommentTextChar">
    <w:name w:val="Comment Text Char"/>
    <w:basedOn w:val="DefaultParagraphFont"/>
    <w:link w:val="CommentText"/>
    <w:uiPriority w:val="99"/>
    <w:rsid w:val="007A5D91"/>
    <w:rPr>
      <w:lang w:eastAsia="zh-CN"/>
    </w:rPr>
  </w:style>
  <w:style w:type="paragraph" w:styleId="Revision">
    <w:name w:val="Revision"/>
    <w:hidden/>
    <w:uiPriority w:val="99"/>
    <w:semiHidden/>
    <w:rsid w:val="006B69F0"/>
    <w:rPr>
      <w:lang w:eastAsia="zh-CN"/>
    </w:rPr>
  </w:style>
  <w:style w:type="paragraph" w:styleId="CommentSubject">
    <w:name w:val="annotation subject"/>
    <w:basedOn w:val="CommentText"/>
    <w:next w:val="CommentText"/>
    <w:link w:val="CommentSubjectChar"/>
    <w:semiHidden/>
    <w:unhideWhenUsed/>
    <w:rsid w:val="006B69F0"/>
    <w:rPr>
      <w:b/>
      <w:bCs/>
    </w:rPr>
  </w:style>
  <w:style w:type="character" w:customStyle="1" w:styleId="CommentSubjectChar">
    <w:name w:val="Comment Subject Char"/>
    <w:basedOn w:val="CommentTextChar"/>
    <w:link w:val="CommentSubject"/>
    <w:semiHidden/>
    <w:rsid w:val="006B69F0"/>
    <w:rPr>
      <w:b/>
      <w:bCs/>
      <w:lang w:eastAsia="zh-CN"/>
    </w:rPr>
  </w:style>
  <w:style w:type="table" w:customStyle="1" w:styleId="TableGrid1">
    <w:name w:val="Table Grid1"/>
    <w:basedOn w:val="TableNormal"/>
    <w:next w:val="TableGrid"/>
    <w:uiPriority w:val="39"/>
    <w:rsid w:val="00F064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361CA"/>
    <w:rPr>
      <w:sz w:val="24"/>
      <w:szCs w:val="24"/>
      <w:lang w:bidi="en-US"/>
    </w:rPr>
  </w:style>
  <w:style w:type="character" w:styleId="Hyperlink">
    <w:name w:val="Hyperlink"/>
    <w:rsid w:val="00FD053C"/>
    <w:rPr>
      <w:color w:val="0000FF"/>
      <w:u w:val="single"/>
    </w:rPr>
  </w:style>
  <w:style w:type="character" w:styleId="FollowedHyperlink">
    <w:name w:val="FollowedHyperlink"/>
    <w:basedOn w:val="DefaultParagraphFont"/>
    <w:semiHidden/>
    <w:unhideWhenUsed/>
    <w:rsid w:val="00FD0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ssa-performance"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E5F5-4FC1-4D7D-B0EB-63A55310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2738</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March 2003</vt:lpstr>
    </vt:vector>
  </TitlesOfParts>
  <Company>Social Security Administration</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104890</dc:creator>
  <cp:lastModifiedBy>SSA Response</cp:lastModifiedBy>
  <cp:revision>6</cp:revision>
  <cp:lastPrinted>2008-06-18T18:22:00Z</cp:lastPrinted>
  <dcterms:created xsi:type="dcterms:W3CDTF">2026-01-09T18:05:00Z</dcterms:created>
  <dcterms:modified xsi:type="dcterms:W3CDTF">2026-01-20T18:59:00Z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-246867000</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Ready for review 0960-0049</vt:lpwstr>
  </property>
  <property fmtid="{D5CDD505-2E9C-101B-9397-08002B2CF9AE}" pid="6" name="_NewReviewCycle">
    <vt:lpwstr/>
  </property>
  <property fmtid="{D5CDD505-2E9C-101B-9397-08002B2CF9AE}" pid="7" name="_PreviousAdHocReviewCycleID">
    <vt:i4>-539469578</vt:i4>
  </property>
</Properties>
</file>