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BE400E" w:rsidP="00BE400E" w14:paraId="7727C757" w14:textId="77777777">
      <w:pPr>
        <w:tabs>
          <w:tab w:val="center" w:pos="4860"/>
        </w:tabs>
        <w:suppressAutoHyphens/>
        <w:spacing w:after="0" w:line="240" w:lineRule="auto"/>
        <w:jc w:val="center"/>
        <w:rPr>
          <w:b/>
        </w:rPr>
      </w:pPr>
      <w:r>
        <w:rPr>
          <w:b/>
          <w:bCs/>
        </w:rPr>
        <w:t>Addendum</w:t>
      </w:r>
      <w:r>
        <w:rPr>
          <w:b/>
          <w:bCs/>
        </w:rPr>
        <w:t xml:space="preserve"> to S</w:t>
      </w:r>
      <w:r w:rsidRPr="00B97F3D">
        <w:rPr>
          <w:b/>
        </w:rPr>
        <w:t xml:space="preserve">upporting Statement for Forms SSA-7161-OCR-SM and </w:t>
      </w:r>
    </w:p>
    <w:p w:rsidR="00BE400E" w:rsidRPr="00B97F3D" w:rsidP="00BE400E" w14:paraId="7876750F" w14:textId="0B2720F3">
      <w:pPr>
        <w:tabs>
          <w:tab w:val="center" w:pos="4860"/>
        </w:tabs>
        <w:suppressAutoHyphens/>
        <w:spacing w:after="0" w:line="240" w:lineRule="auto"/>
        <w:jc w:val="center"/>
        <w:rPr>
          <w:b/>
        </w:rPr>
      </w:pPr>
      <w:r w:rsidRPr="00B97F3D">
        <w:rPr>
          <w:b/>
        </w:rPr>
        <w:t>SSA-7162-OCR</w:t>
      </w:r>
      <w:r>
        <w:rPr>
          <w:b/>
        </w:rPr>
        <w:t xml:space="preserve"> </w:t>
      </w:r>
      <w:r w:rsidRPr="00B97F3D">
        <w:rPr>
          <w:b/>
        </w:rPr>
        <w:t>SM</w:t>
      </w:r>
    </w:p>
    <w:p w:rsidR="00BE400E" w:rsidRPr="00B97F3D" w:rsidP="00BE400E" w14:paraId="7375B99B" w14:textId="77777777">
      <w:pPr>
        <w:tabs>
          <w:tab w:val="center" w:pos="4860"/>
        </w:tabs>
        <w:suppressAutoHyphens/>
        <w:spacing w:after="0" w:line="240" w:lineRule="auto"/>
        <w:jc w:val="center"/>
        <w:rPr>
          <w:b/>
        </w:rPr>
      </w:pPr>
      <w:r w:rsidRPr="00B97F3D">
        <w:rPr>
          <w:b/>
        </w:rPr>
        <w:t xml:space="preserve">Report to </w:t>
      </w:r>
      <w:smartTag w:uri="urn:schemas-microsoft-com:office:smarttags" w:element="place">
        <w:smartTag w:uri="urn:schemas-microsoft-com:office:smarttags" w:element="country-region">
          <w:r w:rsidRPr="00B97F3D">
            <w:rPr>
              <w:b/>
            </w:rPr>
            <w:t>United States</w:t>
          </w:r>
        </w:smartTag>
      </w:smartTag>
      <w:r w:rsidRPr="00B97F3D">
        <w:rPr>
          <w:b/>
        </w:rPr>
        <w:t xml:space="preserve"> Social Security Administration by Person </w:t>
      </w:r>
    </w:p>
    <w:p w:rsidR="00BE400E" w:rsidRPr="00B97F3D" w:rsidP="00BE400E" w14:paraId="065E6493" w14:textId="77777777">
      <w:pPr>
        <w:tabs>
          <w:tab w:val="center" w:pos="4860"/>
        </w:tabs>
        <w:suppressAutoHyphens/>
        <w:spacing w:after="0" w:line="240" w:lineRule="auto"/>
        <w:jc w:val="center"/>
        <w:rPr>
          <w:b/>
        </w:rPr>
      </w:pPr>
      <w:r w:rsidRPr="00B97F3D">
        <w:rPr>
          <w:b/>
        </w:rPr>
        <w:t xml:space="preserve">Receiving Benefits for a Child or for an Adult Unable to Handle Funds; </w:t>
      </w:r>
    </w:p>
    <w:p w:rsidR="00BE400E" w:rsidRPr="00B97F3D" w:rsidP="00BE400E" w14:paraId="6E451937" w14:textId="77777777">
      <w:pPr>
        <w:tabs>
          <w:tab w:val="center" w:pos="4860"/>
        </w:tabs>
        <w:suppressAutoHyphens/>
        <w:spacing w:after="0" w:line="240" w:lineRule="auto"/>
        <w:jc w:val="center"/>
        <w:rPr>
          <w:b/>
        </w:rPr>
      </w:pPr>
      <w:r w:rsidRPr="00B97F3D">
        <w:rPr>
          <w:b/>
        </w:rPr>
        <w:t xml:space="preserve">Report to </w:t>
      </w:r>
      <w:smartTag w:uri="urn:schemas-microsoft-com:office:smarttags" w:element="place">
        <w:smartTag w:uri="urn:schemas-microsoft-com:office:smarttags" w:element="country-region">
          <w:r w:rsidRPr="00B97F3D">
            <w:rPr>
              <w:b/>
            </w:rPr>
            <w:t>United States</w:t>
          </w:r>
        </w:smartTag>
      </w:smartTag>
      <w:r w:rsidRPr="00B97F3D">
        <w:rPr>
          <w:b/>
        </w:rPr>
        <w:t xml:space="preserve"> Social Security Administration</w:t>
      </w:r>
    </w:p>
    <w:p w:rsidR="00BE400E" w:rsidP="00BE400E" w14:paraId="6BE54D90" w14:textId="77777777">
      <w:pPr>
        <w:tabs>
          <w:tab w:val="left" w:pos="-720"/>
        </w:tabs>
        <w:suppressAutoHyphens/>
        <w:spacing w:after="0" w:line="240" w:lineRule="auto"/>
        <w:jc w:val="center"/>
        <w:rPr>
          <w:b/>
        </w:rPr>
      </w:pPr>
      <w:r w:rsidRPr="00B97F3D">
        <w:rPr>
          <w:b/>
        </w:rPr>
        <w:t>OMB No. 0960-0049</w:t>
      </w:r>
    </w:p>
    <w:p w:rsidR="00837716" w:rsidRPr="00837716" w:rsidP="00837716" w14:paraId="352B73DF" w14:textId="34A51877">
      <w:pPr>
        <w:jc w:val="center"/>
        <w:rPr>
          <w:b/>
          <w:bCs/>
        </w:rPr>
      </w:pPr>
    </w:p>
    <w:p w:rsidR="002E1433" w:rsidP="002E1433" w14:paraId="757C15DD" w14:textId="77777777">
      <w:pPr>
        <w:widowControl w:val="0"/>
        <w:snapToGrid w:val="0"/>
        <w:spacing w:after="0" w:line="240" w:lineRule="auto"/>
        <w:rPr>
          <w:rFonts w:eastAsia="Times New Roman"/>
          <w:b/>
          <w:bCs/>
          <w:u w:val="single"/>
        </w:rPr>
      </w:pPr>
      <w:r w:rsidRPr="008A071A">
        <w:rPr>
          <w:rFonts w:eastAsia="Times New Roman"/>
          <w:b/>
          <w:bCs/>
          <w:u w:val="single"/>
        </w:rPr>
        <w:t>Term Of Clearance</w:t>
      </w:r>
    </w:p>
    <w:p w:rsidR="005A7FFA" w:rsidP="005A7FFA" w14:paraId="752ED86D" w14:textId="77777777"/>
    <w:p w:rsidR="005A7FFA" w:rsidP="005A7FFA" w14:paraId="4EBB2411" w14:textId="416A7FAD">
      <w:r>
        <w:t xml:space="preserve">OMB placed the following Terms of Clearance on this Information Collection when they last approved it on </w:t>
      </w:r>
      <w:r>
        <w:rPr>
          <w:b/>
          <w:bCs/>
        </w:rPr>
        <w:t>2/16/23</w:t>
      </w:r>
      <w:r>
        <w:t>:</w:t>
      </w:r>
    </w:p>
    <w:p w:rsidR="005A7FFA" w:rsidP="002E1433" w14:paraId="0BA4DCE6" w14:textId="77777777">
      <w:pPr>
        <w:widowControl w:val="0"/>
        <w:snapToGrid w:val="0"/>
        <w:spacing w:after="0" w:line="240" w:lineRule="auto"/>
        <w:rPr>
          <w:rFonts w:eastAsia="Times New Roman"/>
          <w:b/>
          <w:bCs/>
        </w:rPr>
      </w:pPr>
    </w:p>
    <w:p w:rsidR="002E1433" w:rsidRPr="002E1433" w:rsidP="002E1433" w14:paraId="345FAF27" w14:textId="0E5C05A8">
      <w:pPr>
        <w:widowControl w:val="0"/>
        <w:snapToGrid w:val="0"/>
        <w:spacing w:after="0" w:line="240" w:lineRule="auto"/>
        <w:rPr>
          <w:rFonts w:eastAsia="Times New Roman"/>
          <w:b/>
          <w:bCs/>
        </w:rPr>
      </w:pPr>
      <w:r w:rsidRPr="002E1433">
        <w:rPr>
          <w:rFonts w:eastAsia="Times New Roman"/>
          <w:b/>
          <w:bCs/>
        </w:rPr>
        <w:t xml:space="preserve">The agency made major revisions to the supporting statement to better explain the information collection, limitations on the ability to electronically submit the information, and burden estimates, among other areas. </w:t>
      </w:r>
      <w:r>
        <w:rPr>
          <w:rFonts w:eastAsia="Times New Roman"/>
          <w:b/>
          <w:bCs/>
        </w:rPr>
        <w:t xml:space="preserve"> </w:t>
      </w:r>
      <w:r w:rsidRPr="002E1433">
        <w:rPr>
          <w:rFonts w:eastAsia="Times New Roman"/>
          <w:b/>
          <w:bCs/>
        </w:rPr>
        <w:t>No later than one year prior to re-submission, the agency will develop and submit a plan to OMB that allows for SSA to roll-out electronic submission of this information collection when SSA requests its triannual renewal.</w:t>
      </w:r>
      <w:r>
        <w:rPr>
          <w:rFonts w:eastAsia="Times New Roman"/>
          <w:b/>
          <w:bCs/>
        </w:rPr>
        <w:t xml:space="preserve"> </w:t>
      </w:r>
      <w:r w:rsidRPr="002E1433">
        <w:rPr>
          <w:rFonts w:eastAsia="Times New Roman"/>
          <w:b/>
          <w:bCs/>
        </w:rPr>
        <w:t xml:space="preserve"> In this proposal, SSA will prioritize leveraging any existing document submission platform to accommodate electronic submission. </w:t>
      </w:r>
      <w:r>
        <w:rPr>
          <w:rFonts w:eastAsia="Times New Roman"/>
          <w:b/>
          <w:bCs/>
        </w:rPr>
        <w:t xml:space="preserve"> </w:t>
      </w:r>
      <w:r w:rsidRPr="002E1433">
        <w:rPr>
          <w:rFonts w:eastAsia="Times New Roman"/>
          <w:b/>
          <w:bCs/>
        </w:rPr>
        <w:t>In developing a mechanism for submitting this collection electronically, the agency will presume that common types of evidence to support proof of address, including copies of prior-year tax return, a non-expired identification card, or recent bills provide an equivalent level of proof of address as its current, mail-based mechanisms.</w:t>
      </w:r>
    </w:p>
    <w:p w:rsidR="005A7FFA" w:rsidP="005A7FFA" w14:paraId="4FD44A44" w14:textId="77777777">
      <w:pPr>
        <w:ind w:left="720"/>
        <w:rPr>
          <w:b/>
          <w:bCs/>
          <w:color w:val="0000FF"/>
        </w:rPr>
      </w:pPr>
    </w:p>
    <w:p w:rsidR="005A7FFA" w:rsidRPr="005A7FFA" w:rsidP="005A7FFA" w14:paraId="789FA8DB" w14:textId="0C98752F">
      <w:pPr>
        <w:ind w:left="720"/>
        <w:rPr>
          <w:b/>
          <w:bCs/>
          <w:color w:val="0033CC"/>
        </w:rPr>
      </w:pPr>
      <w:r w:rsidRPr="005A7FFA">
        <w:rPr>
          <w:b/>
          <w:bCs/>
          <w:color w:val="0033CC"/>
        </w:rPr>
        <w:t>SSA Response:</w:t>
      </w:r>
    </w:p>
    <w:p w:rsidR="002E1433" w:rsidRPr="005A7FFA" w:rsidP="005A7FFA" w14:paraId="17A056E1" w14:textId="56F81516">
      <w:pPr>
        <w:pStyle w:val="ListParagraph"/>
        <w:widowControl w:val="0"/>
        <w:snapToGrid w:val="0"/>
        <w:spacing w:after="0" w:line="240" w:lineRule="auto"/>
        <w:rPr>
          <w:rFonts w:eastAsia="Times New Roman"/>
          <w:color w:val="0033CC"/>
        </w:rPr>
      </w:pPr>
      <w:r w:rsidRPr="005A7FFA">
        <w:rPr>
          <w:rFonts w:eastAsia="Times New Roman"/>
          <w:color w:val="0033CC"/>
        </w:rPr>
        <w:t>The agency encourages online submission of forms as a convenient and efficient way for individuals to access services.  However, since the beginning of 2025, a spotlight has been placed on the agency with a targeted focus on fraud to improve program integrity</w:t>
      </w:r>
      <w:r w:rsidRPr="005A7FFA" w:rsidR="00A80C6B">
        <w:rPr>
          <w:rFonts w:eastAsia="Times New Roman"/>
          <w:color w:val="0033CC"/>
        </w:rPr>
        <w:t xml:space="preserve">.  </w:t>
      </w:r>
      <w:r w:rsidRPr="005A7FFA">
        <w:rPr>
          <w:rFonts w:eastAsia="Times New Roman"/>
          <w:color w:val="0033CC"/>
        </w:rPr>
        <w:t xml:space="preserve">To accommodate online submission of forms SSA-7161-OCR-SM and </w:t>
      </w:r>
    </w:p>
    <w:p w:rsidR="002E1433" w:rsidRPr="005A7FFA" w:rsidP="002E1433" w14:paraId="55CF4C59" w14:textId="5B1C2CFB">
      <w:pPr>
        <w:pStyle w:val="ListParagraph"/>
        <w:widowControl w:val="0"/>
        <w:snapToGrid w:val="0"/>
        <w:spacing w:after="0" w:line="240" w:lineRule="auto"/>
        <w:rPr>
          <w:rFonts w:eastAsia="Times New Roman"/>
          <w:color w:val="0033CC"/>
        </w:rPr>
      </w:pPr>
      <w:r w:rsidRPr="005A7FFA">
        <w:rPr>
          <w:rFonts w:eastAsia="Times New Roman"/>
          <w:color w:val="0033CC"/>
        </w:rPr>
        <w:t>SSA-7162-OCR-SM, SSA must make precautions to ensure we consider fraud.</w:t>
      </w:r>
    </w:p>
    <w:p w:rsidR="002E1433" w:rsidRPr="005A7FFA" w:rsidP="002E1433" w14:paraId="0CB0E2BA" w14:textId="77777777">
      <w:pPr>
        <w:widowControl w:val="0"/>
        <w:snapToGrid w:val="0"/>
        <w:spacing w:after="0" w:line="240" w:lineRule="auto"/>
        <w:rPr>
          <w:rFonts w:eastAsia="Times New Roman"/>
          <w:color w:val="0033CC"/>
        </w:rPr>
      </w:pPr>
    </w:p>
    <w:p w:rsidR="00894A7A" w:rsidRPr="005A7FFA" w:rsidP="00894A7A" w14:paraId="1F612869" w14:textId="28714B8D">
      <w:pPr>
        <w:ind w:left="720"/>
        <w:rPr>
          <w:rFonts w:eastAsia="Times New Roman"/>
          <w:color w:val="0033CC"/>
        </w:rPr>
      </w:pPr>
      <w:r w:rsidRPr="005A7FFA">
        <w:rPr>
          <w:rFonts w:eastAsia="Times New Roman"/>
          <w:color w:val="0033CC"/>
        </w:rPr>
        <w:t xml:space="preserve">An important hurdle to overcome is how we identify the submitter.  Currently, </w:t>
      </w:r>
      <w:r w:rsidRPr="005A7FFA">
        <w:rPr>
          <w:rFonts w:eastAsia="Times New Roman"/>
          <w:color w:val="0033CC"/>
        </w:rPr>
        <w:t xml:space="preserve">SSA mails the </w:t>
      </w:r>
      <w:r w:rsidRPr="005A7FFA">
        <w:rPr>
          <w:rFonts w:eastAsia="Times New Roman"/>
          <w:color w:val="0033CC"/>
        </w:rPr>
        <w:t>FEQ forms with pre-printed identifying information which is how technicians identify the submitter and process the FEQ form to completion.  If</w:t>
      </w:r>
      <w:r w:rsidRPr="005A7FFA">
        <w:rPr>
          <w:rFonts w:eastAsia="Times New Roman"/>
          <w:color w:val="0033CC"/>
        </w:rPr>
        <w:t xml:space="preserve"> SSA accepts</w:t>
      </w:r>
      <w:r w:rsidRPr="005A7FFA">
        <w:rPr>
          <w:rFonts w:eastAsia="Times New Roman"/>
          <w:color w:val="0033CC"/>
        </w:rPr>
        <w:t xml:space="preserve"> electronic submissions </w:t>
      </w:r>
      <w:r w:rsidR="007A6715">
        <w:rPr>
          <w:rFonts w:eastAsia="Times New Roman"/>
          <w:color w:val="0033CC"/>
        </w:rPr>
        <w:t xml:space="preserve">at </w:t>
      </w:r>
      <w:r w:rsidRPr="005A7FFA">
        <w:rPr>
          <w:rFonts w:eastAsia="Times New Roman"/>
          <w:color w:val="0033CC"/>
        </w:rPr>
        <w:t xml:space="preserve">this stage, and forms are made available on the agency’s public-facing forms library, they would not include the preprinted identifying information needed for processing.  The processing component </w:t>
      </w:r>
      <w:r w:rsidRPr="005A7FFA" w:rsidR="00A80C6B">
        <w:rPr>
          <w:rFonts w:eastAsia="Times New Roman"/>
          <w:color w:val="0033CC"/>
        </w:rPr>
        <w:t>would therefore</w:t>
      </w:r>
      <w:r w:rsidRPr="005A7FFA">
        <w:rPr>
          <w:rFonts w:eastAsia="Times New Roman"/>
          <w:color w:val="0033CC"/>
        </w:rPr>
        <w:t xml:space="preserve"> need a new way to quickly identify who the submitter is when the</w:t>
      </w:r>
      <w:r w:rsidR="00A80C6B">
        <w:rPr>
          <w:rFonts w:eastAsia="Times New Roman"/>
          <w:color w:val="0033CC"/>
        </w:rPr>
        <w:t xml:space="preserve">y receive the form </w:t>
      </w:r>
      <w:r w:rsidRPr="005A7FFA">
        <w:rPr>
          <w:rFonts w:eastAsia="Times New Roman"/>
          <w:color w:val="0033CC"/>
        </w:rPr>
        <w:t>electronically.</w:t>
      </w:r>
    </w:p>
    <w:p w:rsidR="00894A7A" w:rsidRPr="005A7FFA" w:rsidP="00894A7A" w14:paraId="6458AE32" w14:textId="57B7D788">
      <w:pPr>
        <w:ind w:left="720"/>
        <w:rPr>
          <w:rFonts w:eastAsia="Times New Roman"/>
          <w:color w:val="0033CC"/>
        </w:rPr>
      </w:pPr>
      <w:r w:rsidRPr="005A7FFA">
        <w:rPr>
          <w:rFonts w:eastAsia="Times New Roman"/>
          <w:color w:val="0033CC"/>
        </w:rPr>
        <w:t>Another hurdle identified is functionality between systems</w:t>
      </w:r>
      <w:r w:rsidRPr="005A7FFA" w:rsidR="00A80C6B">
        <w:rPr>
          <w:rFonts w:eastAsia="Times New Roman"/>
          <w:color w:val="0033CC"/>
        </w:rPr>
        <w:t xml:space="preserve">.  </w:t>
      </w:r>
      <w:r w:rsidRPr="005A7FFA">
        <w:rPr>
          <w:rFonts w:eastAsia="Times New Roman"/>
          <w:color w:val="0033CC"/>
        </w:rPr>
        <w:t xml:space="preserve">Employees who receive, review, and process completed FEQ responses currently don’t have access to the main programs that interface with Upload Documents (Worktrack or TED). </w:t>
      </w:r>
    </w:p>
    <w:p w:rsidR="00894A7A" w:rsidRPr="005A7FFA" w:rsidP="00894A7A" w14:paraId="0F71562B" w14:textId="323F9B1B">
      <w:pPr>
        <w:ind w:left="720"/>
        <w:rPr>
          <w:rFonts w:eastAsia="Times New Roman"/>
          <w:color w:val="0033CC"/>
        </w:rPr>
      </w:pPr>
      <w:r w:rsidRPr="005A7FFA">
        <w:rPr>
          <w:rFonts w:eastAsia="Times New Roman"/>
          <w:color w:val="0033CC"/>
        </w:rPr>
        <w:t>There has not been a workaround to resolving either one these issues affecting identity verification and effective processing of completed FEQs through online submission</w:t>
      </w:r>
      <w:r w:rsidRPr="005A7FFA" w:rsidR="00A80C6B">
        <w:rPr>
          <w:rFonts w:eastAsia="Times New Roman"/>
          <w:color w:val="0033CC"/>
        </w:rPr>
        <w:t xml:space="preserve">.  </w:t>
      </w:r>
      <w:r w:rsidRPr="005A7FFA">
        <w:rPr>
          <w:rFonts w:eastAsia="Times New Roman"/>
          <w:color w:val="0033CC"/>
        </w:rPr>
        <w:t xml:space="preserve">However, </w:t>
      </w:r>
      <w:r w:rsidR="007A6715">
        <w:rPr>
          <w:rFonts w:eastAsia="Times New Roman"/>
          <w:color w:val="0033CC"/>
        </w:rPr>
        <w:t>SSA is working to</w:t>
      </w:r>
      <w:r w:rsidRPr="005A7FFA">
        <w:rPr>
          <w:rFonts w:eastAsia="Times New Roman"/>
          <w:color w:val="0033CC"/>
        </w:rPr>
        <w:t xml:space="preserve"> find solutions to accept electronic submission in the future</w:t>
      </w:r>
      <w:r w:rsidRPr="005A7FFA">
        <w:rPr>
          <w:rFonts w:eastAsia="Times New Roman"/>
          <w:color w:val="0033CC"/>
        </w:rPr>
        <w:t>.</w:t>
      </w:r>
      <w:r w:rsidR="007A6715">
        <w:rPr>
          <w:rFonts w:eastAsia="Times New Roman"/>
          <w:color w:val="0033CC"/>
        </w:rPr>
        <w:t xml:space="preserve"> </w:t>
      </w:r>
      <w:r w:rsidR="007A6715">
        <w:rPr>
          <w:rFonts w:eastAsia="Times New Roman"/>
          <w:color w:val="0033CC"/>
        </w:rPr>
        <w:t>We are hoping to resolve this over the next three years, as we implement newer fraud prevention tools.</w:t>
      </w:r>
    </w:p>
    <w:p w:rsidR="002E1433" w:rsidP="002E1433" w14:paraId="7E67F702" w14:textId="0A03796E">
      <w:pPr>
        <w:ind w:left="720"/>
        <w:rPr>
          <w:b/>
          <w:bCs/>
          <w:u w:val="single"/>
        </w:rPr>
      </w:pPr>
    </w:p>
    <w:p w:rsidR="005A7FFA" w:rsidRPr="005A7FFA" w:rsidP="005A7FFA" w14:paraId="69DA9DCE" w14:textId="2FE4E62B">
      <w:pPr>
        <w:rPr>
          <w:b/>
          <w:bCs/>
          <w:u w:val="single"/>
        </w:rPr>
      </w:pPr>
      <w:r w:rsidRPr="005A7FFA">
        <w:rPr>
          <w:b/>
          <w:bCs/>
          <w:u w:val="single"/>
        </w:rPr>
        <w:t>Minor Revisions to the Collection Instrument</w:t>
      </w:r>
    </w:p>
    <w:p w:rsidR="005A7FFA" w:rsidRPr="00ED5E9D" w:rsidP="005A7FFA" w14:paraId="02E4E259" w14:textId="77777777">
      <w:r w:rsidRPr="00ED5E9D">
        <w:t xml:space="preserve">SSA is making </w:t>
      </w:r>
      <w:r>
        <w:t>the following revisions</w:t>
      </w:r>
      <w:r w:rsidRPr="00ED5E9D">
        <w:t>:</w:t>
      </w:r>
    </w:p>
    <w:p w:rsidR="00BE400E" w:rsidP="002F3C09" w14:paraId="107FA577" w14:textId="77777777">
      <w:pPr>
        <w:rPr>
          <w:b/>
          <w:bCs/>
          <w:u w:val="single"/>
        </w:rPr>
      </w:pPr>
    </w:p>
    <w:p w:rsidR="00327C2B" w:rsidP="002F3C09" w14:paraId="0B6ED811" w14:textId="6DB33EDD">
      <w:pPr>
        <w:rPr>
          <w:b/>
          <w:bCs/>
          <w:u w:val="single"/>
        </w:rPr>
      </w:pPr>
      <w:r w:rsidRPr="000A2AC3">
        <w:rPr>
          <w:b/>
          <w:bCs/>
          <w:u w:val="single"/>
        </w:rPr>
        <w:t xml:space="preserve">Revisions to the </w:t>
      </w:r>
      <w:r w:rsidRPr="00AF0E39" w:rsidR="00AF0E39">
        <w:rPr>
          <w:b/>
          <w:bCs/>
          <w:u w:val="single"/>
        </w:rPr>
        <w:t>SSA-7161-OCR-SM</w:t>
      </w:r>
      <w:r w:rsidRPr="000A2AC3">
        <w:rPr>
          <w:b/>
          <w:bCs/>
          <w:u w:val="single"/>
        </w:rPr>
        <w:t>:</w:t>
      </w:r>
    </w:p>
    <w:p w:rsidR="00344C7C" w:rsidRPr="00D91983" w:rsidP="00FD11CF" w14:paraId="497B4752" w14:textId="1D51FDD9">
      <w:pPr>
        <w:pStyle w:val="ListParagraph"/>
        <w:numPr>
          <w:ilvl w:val="0"/>
          <w:numId w:val="6"/>
        </w:numPr>
        <w:spacing w:after="0" w:line="240" w:lineRule="auto"/>
        <w:rPr>
          <w:rFonts w:eastAsia="Times New Roman"/>
          <w:i/>
          <w:iCs/>
        </w:rPr>
      </w:pPr>
      <w:r w:rsidRPr="006811C7">
        <w:rPr>
          <w:rFonts w:eastAsia="Times New Roman"/>
          <w:b/>
          <w:bCs/>
          <w:u w:val="single"/>
        </w:rPr>
        <w:t>Change #</w:t>
      </w:r>
      <w:r w:rsidRPr="006811C7" w:rsidR="00B96388">
        <w:rPr>
          <w:rFonts w:eastAsia="Times New Roman"/>
          <w:b/>
          <w:bCs/>
          <w:u w:val="single"/>
        </w:rPr>
        <w:t>1</w:t>
      </w:r>
      <w:r w:rsidRPr="00D91983">
        <w:rPr>
          <w:rFonts w:eastAsia="Times New Roman"/>
          <w:b/>
          <w:bCs/>
        </w:rPr>
        <w:t>:</w:t>
      </w:r>
      <w:r w:rsidRPr="00D91983">
        <w:rPr>
          <w:rFonts w:eastAsia="Times New Roman"/>
        </w:rPr>
        <w:t xml:space="preserve"> </w:t>
      </w:r>
      <w:r w:rsidRPr="00D91983" w:rsidR="00B74E08">
        <w:rPr>
          <w:rFonts w:eastAsia="Times New Roman"/>
        </w:rPr>
        <w:t>On page 1</w:t>
      </w:r>
      <w:r w:rsidRPr="00D91983" w:rsidR="00CC7E53">
        <w:rPr>
          <w:rFonts w:eastAsia="Times New Roman"/>
        </w:rPr>
        <w:t xml:space="preserve"> b</w:t>
      </w:r>
      <w:r w:rsidRPr="00D91983" w:rsidR="00AC3E93">
        <w:rPr>
          <w:rFonts w:eastAsia="Times New Roman"/>
        </w:rPr>
        <w:t>etween question</w:t>
      </w:r>
      <w:r w:rsidR="00D91983">
        <w:rPr>
          <w:rFonts w:eastAsia="Times New Roman"/>
        </w:rPr>
        <w:t>s</w:t>
      </w:r>
      <w:r w:rsidRPr="00D91983" w:rsidR="00AC3E93">
        <w:rPr>
          <w:rFonts w:eastAsia="Times New Roman"/>
        </w:rPr>
        <w:t xml:space="preserve"> 7 and 8, </w:t>
      </w:r>
      <w:r w:rsidRPr="00D91983" w:rsidR="006335F7">
        <w:rPr>
          <w:rFonts w:eastAsia="Times New Roman"/>
        </w:rPr>
        <w:t>we are adding the following instruction</w:t>
      </w:r>
      <w:r w:rsidR="00D91983">
        <w:rPr>
          <w:rFonts w:eastAsia="Times New Roman"/>
        </w:rPr>
        <w:t>:</w:t>
      </w:r>
      <w:r w:rsidRPr="00D91983" w:rsidR="00AC3E93">
        <w:rPr>
          <w:rFonts w:eastAsia="Times New Roman"/>
        </w:rPr>
        <w:t xml:space="preserve"> </w:t>
      </w:r>
      <w:r w:rsidRPr="00D91983" w:rsidR="00AC3E93">
        <w:rPr>
          <w:rFonts w:eastAsia="Times New Roman"/>
          <w:i/>
          <w:iCs/>
        </w:rPr>
        <w:t>DO NOT COMPLETE ITEMS 8 THROUGH 10 IF YOU MEET THE CONDITIONS DESCRIBED IN THE INSTRUCTIONS PAGE.</w:t>
      </w:r>
    </w:p>
    <w:p w:rsidR="0031309A" w:rsidRPr="00D91983" w:rsidP="00344C7C" w14:paraId="0482F47E" w14:textId="77777777">
      <w:pPr>
        <w:spacing w:after="0" w:line="240" w:lineRule="auto"/>
        <w:rPr>
          <w:rFonts w:eastAsia="Times New Roman"/>
        </w:rPr>
      </w:pPr>
    </w:p>
    <w:p w:rsidR="00604147" w:rsidRPr="00D91983" w:rsidP="00FD11CF" w14:paraId="4C3D42FE" w14:textId="0BBDD967">
      <w:pPr>
        <w:pStyle w:val="ListParagraph"/>
        <w:spacing w:after="0" w:line="240" w:lineRule="auto"/>
        <w:rPr>
          <w:rFonts w:eastAsia="Times New Roman"/>
        </w:rPr>
      </w:pPr>
      <w:bookmarkStart w:id="0" w:name="_Hlk196984446"/>
      <w:r w:rsidRPr="006811C7">
        <w:rPr>
          <w:rFonts w:eastAsia="Times New Roman"/>
          <w:b/>
          <w:bCs/>
          <w:u w:val="single"/>
        </w:rPr>
        <w:t>Just</w:t>
      </w:r>
      <w:r w:rsidRPr="006811C7" w:rsidR="00413203">
        <w:rPr>
          <w:rFonts w:eastAsia="Times New Roman"/>
          <w:b/>
          <w:bCs/>
          <w:u w:val="single"/>
        </w:rPr>
        <w:t>ification #</w:t>
      </w:r>
      <w:r w:rsidRPr="006811C7" w:rsidR="00B96388">
        <w:rPr>
          <w:rFonts w:eastAsia="Times New Roman"/>
          <w:b/>
          <w:bCs/>
          <w:u w:val="single"/>
        </w:rPr>
        <w:t>1</w:t>
      </w:r>
      <w:r w:rsidRPr="00D91983" w:rsidR="00413203">
        <w:rPr>
          <w:rFonts w:eastAsia="Times New Roman"/>
          <w:b/>
          <w:bCs/>
        </w:rPr>
        <w:t>:</w:t>
      </w:r>
      <w:r w:rsidRPr="00D91983" w:rsidR="00835EB7">
        <w:rPr>
          <w:rFonts w:eastAsia="Times New Roman"/>
        </w:rPr>
        <w:t xml:space="preserve"> </w:t>
      </w:r>
      <w:r w:rsidR="00503D40">
        <w:rPr>
          <w:rFonts w:eastAsia="Times New Roman"/>
        </w:rPr>
        <w:t xml:space="preserve">We are </w:t>
      </w:r>
      <w:r w:rsidR="00A80C6B">
        <w:rPr>
          <w:rFonts w:eastAsia="Times New Roman"/>
        </w:rPr>
        <w:t>adding</w:t>
      </w:r>
      <w:r w:rsidR="00503D40">
        <w:rPr>
          <w:rFonts w:eastAsia="Times New Roman"/>
        </w:rPr>
        <w:t xml:space="preserve"> the language to </w:t>
      </w:r>
      <w:r w:rsidR="00A80C6B">
        <w:rPr>
          <w:rFonts w:eastAsia="Times New Roman"/>
        </w:rPr>
        <w:t>satisfy P.L.</w:t>
      </w:r>
      <w:r w:rsidR="00D91983">
        <w:rPr>
          <w:rFonts w:eastAsia="Times New Roman"/>
        </w:rPr>
        <w:t xml:space="preserve"> 115-165, which exempts certain representative payees from </w:t>
      </w:r>
      <w:r w:rsidRPr="00D91983" w:rsidR="0046734C">
        <w:rPr>
          <w:rFonts w:eastAsia="Times New Roman"/>
        </w:rPr>
        <w:t xml:space="preserve">the </w:t>
      </w:r>
      <w:r w:rsidR="00D91983">
        <w:rPr>
          <w:rFonts w:eastAsia="Times New Roman"/>
        </w:rPr>
        <w:t xml:space="preserve">annual </w:t>
      </w:r>
      <w:r w:rsidRPr="00D91983" w:rsidR="0046734C">
        <w:rPr>
          <w:rFonts w:eastAsia="Times New Roman"/>
        </w:rPr>
        <w:t xml:space="preserve">accounting </w:t>
      </w:r>
      <w:r w:rsidR="00D91983">
        <w:rPr>
          <w:rFonts w:eastAsia="Times New Roman"/>
        </w:rPr>
        <w:t>requirement</w:t>
      </w:r>
      <w:r w:rsidRPr="00D91983" w:rsidR="0046734C">
        <w:rPr>
          <w:rFonts w:eastAsia="Times New Roman"/>
        </w:rPr>
        <w:t>.</w:t>
      </w:r>
      <w:r w:rsidRPr="00D91983" w:rsidR="00382D83">
        <w:rPr>
          <w:rFonts w:eastAsia="Times New Roman"/>
        </w:rPr>
        <w:t xml:space="preserve"> </w:t>
      </w:r>
    </w:p>
    <w:bookmarkEnd w:id="0"/>
    <w:p w:rsidR="00F65054" w:rsidRPr="00D91983" w:rsidP="00FD11CF" w14:paraId="71DB3A5B" w14:textId="77777777">
      <w:pPr>
        <w:pStyle w:val="ListParagraph"/>
        <w:spacing w:after="0" w:line="240" w:lineRule="auto"/>
        <w:rPr>
          <w:rFonts w:eastAsia="Times New Roman"/>
        </w:rPr>
      </w:pPr>
    </w:p>
    <w:p w:rsidR="000A2AC3" w:rsidRPr="000A2AC3" w:rsidP="000A2AC3" w14:paraId="4E519D4A" w14:textId="1077B415">
      <w:pPr>
        <w:widowControl w:val="0"/>
        <w:numPr>
          <w:ilvl w:val="0"/>
          <w:numId w:val="7"/>
        </w:numPr>
        <w:snapToGrid w:val="0"/>
        <w:spacing w:after="0" w:line="240" w:lineRule="auto"/>
        <w:ind w:left="720"/>
        <w:rPr>
          <w:rFonts w:eastAsia="Times New Roman"/>
        </w:rPr>
      </w:pPr>
      <w:r w:rsidRPr="006811C7">
        <w:rPr>
          <w:rFonts w:eastAsia="Times New Roman"/>
          <w:b/>
          <w:bCs/>
          <w:u w:val="single"/>
        </w:rPr>
        <w:t>Change #</w:t>
      </w:r>
      <w:r w:rsidRPr="006811C7" w:rsidR="00B96388">
        <w:rPr>
          <w:rFonts w:eastAsia="Times New Roman"/>
          <w:b/>
          <w:bCs/>
          <w:u w:val="single"/>
        </w:rPr>
        <w:t>2</w:t>
      </w:r>
      <w:r w:rsidRPr="006811C7">
        <w:rPr>
          <w:rFonts w:eastAsia="Times New Roman"/>
          <w:b/>
          <w:bCs/>
          <w:u w:val="single"/>
        </w:rPr>
        <w:t>:</w:t>
      </w:r>
      <w:r w:rsidRPr="000A2AC3">
        <w:rPr>
          <w:rFonts w:eastAsia="Times New Roman"/>
        </w:rPr>
        <w:t xml:space="preserve">  We are revising the Privacy Act Statement on this form.</w:t>
      </w:r>
    </w:p>
    <w:p w:rsidR="000A2AC3" w:rsidRPr="000A2AC3" w:rsidP="000A2AC3" w14:paraId="2C0BEF29" w14:textId="77777777">
      <w:pPr>
        <w:widowControl w:val="0"/>
        <w:snapToGrid w:val="0"/>
        <w:spacing w:after="0" w:line="240" w:lineRule="auto"/>
        <w:ind w:left="720"/>
        <w:rPr>
          <w:rFonts w:eastAsia="Times New Roman"/>
        </w:rPr>
      </w:pPr>
    </w:p>
    <w:p w:rsidR="000A2AC3" w:rsidRPr="000A2AC3" w:rsidP="000A2AC3" w14:paraId="60E2B21D" w14:textId="6464A0EB">
      <w:pPr>
        <w:widowControl w:val="0"/>
        <w:snapToGrid w:val="0"/>
        <w:spacing w:after="0" w:line="240" w:lineRule="auto"/>
        <w:ind w:left="720"/>
        <w:rPr>
          <w:rFonts w:eastAsia="Times New Roman"/>
        </w:rPr>
      </w:pPr>
      <w:r w:rsidRPr="006811C7">
        <w:rPr>
          <w:rFonts w:eastAsia="Times New Roman"/>
          <w:b/>
          <w:bCs/>
          <w:u w:val="single"/>
        </w:rPr>
        <w:t>Justification #</w:t>
      </w:r>
      <w:r w:rsidRPr="006811C7" w:rsidR="00B96388">
        <w:rPr>
          <w:rFonts w:eastAsia="Times New Roman"/>
          <w:b/>
          <w:bCs/>
          <w:u w:val="single"/>
        </w:rPr>
        <w:t>2</w:t>
      </w:r>
      <w:r w:rsidRPr="000A2AC3">
        <w:rPr>
          <w:rFonts w:eastAsia="Times New Roman"/>
        </w:rPr>
        <w:t>:  SSA’s Office of the General Counsel is conducting a systematic review of SSA’s Privacy Act Statements on agency forms.  As a result, SSA is updating the Privacy Act Statement on the form.</w:t>
      </w:r>
    </w:p>
    <w:p w:rsidR="000177FE" w:rsidP="000177FE" w14:paraId="40ECE917" w14:textId="77777777">
      <w:pPr>
        <w:spacing w:after="0" w:line="240" w:lineRule="auto"/>
        <w:rPr>
          <w:rFonts w:eastAsia="Times New Roman"/>
        </w:rPr>
      </w:pPr>
    </w:p>
    <w:p w:rsidR="000177FE" w:rsidP="000177FE" w14:paraId="358957ED" w14:textId="7B5EC97F">
      <w:pPr>
        <w:rPr>
          <w:b/>
          <w:bCs/>
          <w:u w:val="single"/>
        </w:rPr>
      </w:pPr>
      <w:r w:rsidRPr="000A2AC3">
        <w:rPr>
          <w:b/>
          <w:bCs/>
          <w:u w:val="single"/>
        </w:rPr>
        <w:t>Revision to the SSA-7161-INST:</w:t>
      </w:r>
    </w:p>
    <w:p w:rsidR="00C318F7" w:rsidP="00576A44" w14:paraId="5FCD5D7B" w14:textId="6A412A9C">
      <w:pPr>
        <w:pStyle w:val="ListParagraph"/>
        <w:numPr>
          <w:ilvl w:val="0"/>
          <w:numId w:val="6"/>
        </w:numPr>
        <w:spacing w:after="0" w:line="240" w:lineRule="auto"/>
        <w:rPr>
          <w:rFonts w:eastAsia="Times New Roman"/>
        </w:rPr>
      </w:pPr>
      <w:r w:rsidRPr="006811C7">
        <w:rPr>
          <w:rFonts w:eastAsia="Times New Roman"/>
          <w:b/>
          <w:bCs/>
          <w:u w:val="single"/>
        </w:rPr>
        <w:t xml:space="preserve">Change </w:t>
      </w:r>
      <w:r w:rsidR="006811C7">
        <w:rPr>
          <w:rFonts w:eastAsia="Times New Roman"/>
          <w:b/>
          <w:bCs/>
          <w:u w:val="single"/>
        </w:rPr>
        <w:t>3</w:t>
      </w:r>
      <w:r w:rsidRPr="00503D40">
        <w:rPr>
          <w:rFonts w:eastAsia="Times New Roman"/>
        </w:rPr>
        <w:t xml:space="preserve">: </w:t>
      </w:r>
      <w:r w:rsidRPr="00503D40" w:rsidR="00503D40">
        <w:rPr>
          <w:rFonts w:eastAsia="Times New Roman"/>
        </w:rPr>
        <w:t xml:space="preserve"> We are adding the following language a</w:t>
      </w:r>
      <w:r w:rsidRPr="00503D40" w:rsidR="00E20D02">
        <w:rPr>
          <w:rFonts w:eastAsia="Times New Roman"/>
        </w:rPr>
        <w:t xml:space="preserve">t the </w:t>
      </w:r>
      <w:r w:rsidRPr="00503D40" w:rsidR="00EC18AA">
        <w:rPr>
          <w:rFonts w:eastAsia="Times New Roman"/>
        </w:rPr>
        <w:t>bottom of page 1, before Item 8</w:t>
      </w:r>
      <w:r w:rsidR="00503D40">
        <w:rPr>
          <w:rFonts w:eastAsia="Times New Roman"/>
        </w:rPr>
        <w:t>:</w:t>
      </w:r>
    </w:p>
    <w:p w:rsidR="00503D40" w:rsidRPr="00503D40" w:rsidP="00503D40" w14:paraId="4DB6891D" w14:textId="77777777">
      <w:pPr>
        <w:pStyle w:val="ListParagraph"/>
        <w:spacing w:after="0" w:line="240" w:lineRule="auto"/>
        <w:rPr>
          <w:rFonts w:eastAsia="Times New Roman"/>
        </w:rPr>
      </w:pPr>
    </w:p>
    <w:p w:rsidR="00CD1A58" w:rsidRPr="00503D40" w:rsidP="00CD1A58" w14:paraId="7DCB5356" w14:textId="55DAE1AE">
      <w:pPr>
        <w:spacing w:after="0" w:line="240" w:lineRule="auto"/>
        <w:ind w:left="720"/>
        <w:rPr>
          <w:rFonts w:eastAsia="Times New Roman"/>
        </w:rPr>
      </w:pPr>
      <w:r w:rsidRPr="00503D40">
        <w:rPr>
          <w:rFonts w:eastAsia="Times New Roman"/>
        </w:rPr>
        <w:t>Items 8 through 10: Certain representative payees are exempt from the annual accounting requirement and do not have to answer items 8 through 10</w:t>
      </w:r>
      <w:r w:rsidRPr="00503D40" w:rsidR="00A80C6B">
        <w:rPr>
          <w:rFonts w:eastAsia="Times New Roman"/>
        </w:rPr>
        <w:t xml:space="preserve">.  </w:t>
      </w:r>
      <w:r w:rsidRPr="00503D40">
        <w:rPr>
          <w:rFonts w:eastAsia="Times New Roman"/>
        </w:rPr>
        <w:t>Do not answer items 8 through 10 if you are:</w:t>
      </w:r>
    </w:p>
    <w:p w:rsidR="00CD1A58" w:rsidRPr="00503D40" w:rsidP="00CD1A58" w14:paraId="7C49183A" w14:textId="77777777">
      <w:pPr>
        <w:spacing w:after="0" w:line="240" w:lineRule="auto"/>
        <w:ind w:left="720"/>
        <w:rPr>
          <w:rFonts w:eastAsia="Times New Roman"/>
        </w:rPr>
      </w:pPr>
    </w:p>
    <w:p w:rsidR="00CD1A58" w:rsidRPr="00503D40" w:rsidP="00A02F51" w14:paraId="1B33715E" w14:textId="61E2D760">
      <w:pPr>
        <w:pStyle w:val="ListParagraph"/>
        <w:numPr>
          <w:ilvl w:val="1"/>
          <w:numId w:val="6"/>
        </w:numPr>
        <w:spacing w:after="0" w:line="240" w:lineRule="auto"/>
        <w:rPr>
          <w:rFonts w:eastAsia="Times New Roman"/>
        </w:rPr>
      </w:pPr>
      <w:r w:rsidRPr="00503D40">
        <w:rPr>
          <w:rFonts w:eastAsia="Times New Roman"/>
        </w:rPr>
        <w:t>A natural parent, adoptive parent, or legal guardian of a minor child entitled to benefits and you live in the same household as that minor child; or</w:t>
      </w:r>
    </w:p>
    <w:p w:rsidR="00CD1A58" w:rsidRPr="00503D40" w:rsidP="00A02F51" w14:paraId="1F90E636" w14:textId="1F015D2A">
      <w:pPr>
        <w:pStyle w:val="ListParagraph"/>
        <w:numPr>
          <w:ilvl w:val="1"/>
          <w:numId w:val="6"/>
        </w:numPr>
        <w:spacing w:after="0" w:line="240" w:lineRule="auto"/>
        <w:rPr>
          <w:rFonts w:eastAsia="Times New Roman"/>
        </w:rPr>
      </w:pPr>
      <w:r w:rsidRPr="00503D40">
        <w:rPr>
          <w:rFonts w:eastAsia="Times New Roman"/>
        </w:rPr>
        <w:t>a natural or adoptive parent of a disabled person entitled to benefits and you live in the same household as that disabled person; or</w:t>
      </w:r>
    </w:p>
    <w:p w:rsidR="00CD1A58" w:rsidRPr="00503D40" w:rsidP="00A02F51" w14:paraId="14DC6EE6" w14:textId="16028D83">
      <w:pPr>
        <w:pStyle w:val="ListParagraph"/>
        <w:numPr>
          <w:ilvl w:val="1"/>
          <w:numId w:val="6"/>
        </w:numPr>
        <w:spacing w:after="0" w:line="240" w:lineRule="auto"/>
        <w:rPr>
          <w:rFonts w:eastAsia="Times New Roman"/>
        </w:rPr>
      </w:pPr>
      <w:r w:rsidRPr="00503D40">
        <w:rPr>
          <w:rFonts w:eastAsia="Times New Roman"/>
        </w:rPr>
        <w:t>the spouse of a person entitled to benefits.</w:t>
      </w:r>
    </w:p>
    <w:p w:rsidR="00CD1A58" w:rsidRPr="00CD1A58" w:rsidP="00CD1A58" w14:paraId="3D006E69" w14:textId="77777777">
      <w:pPr>
        <w:spacing w:after="0" w:line="240" w:lineRule="auto"/>
        <w:ind w:left="720"/>
        <w:rPr>
          <w:rFonts w:eastAsia="Times New Roman"/>
        </w:rPr>
      </w:pPr>
    </w:p>
    <w:p w:rsidR="00503D40" w:rsidP="00D91983" w14:paraId="037D08D7" w14:textId="3C24C4CF">
      <w:pPr>
        <w:pStyle w:val="ListParagraph"/>
        <w:spacing w:after="0" w:line="240" w:lineRule="auto"/>
        <w:rPr>
          <w:rFonts w:eastAsia="Times New Roman"/>
        </w:rPr>
      </w:pPr>
      <w:r w:rsidRPr="006811C7">
        <w:rPr>
          <w:rFonts w:eastAsia="Times New Roman"/>
          <w:b/>
          <w:bCs/>
          <w:u w:val="single"/>
        </w:rPr>
        <w:t>Justification #</w:t>
      </w:r>
      <w:r w:rsidR="006811C7">
        <w:rPr>
          <w:rFonts w:eastAsia="Times New Roman"/>
          <w:b/>
          <w:bCs/>
          <w:u w:val="single"/>
        </w:rPr>
        <w:t>3</w:t>
      </w:r>
      <w:r w:rsidRPr="00D91983">
        <w:rPr>
          <w:rFonts w:eastAsia="Times New Roman"/>
          <w:b/>
          <w:bCs/>
        </w:rPr>
        <w:t>:</w:t>
      </w:r>
      <w:r w:rsidRPr="00D91983">
        <w:rPr>
          <w:rFonts w:eastAsia="Times New Roman"/>
        </w:rPr>
        <w:t xml:space="preserve"> </w:t>
      </w:r>
      <w:r>
        <w:rPr>
          <w:rFonts w:eastAsia="Times New Roman"/>
        </w:rPr>
        <w:t xml:space="preserve">We are adding the language, because </w:t>
      </w:r>
      <w:r>
        <w:rPr>
          <w:rFonts w:eastAsia="Times New Roman"/>
        </w:rPr>
        <w:t>it</w:t>
      </w:r>
      <w:r w:rsidR="00EC18AA">
        <w:rPr>
          <w:rFonts w:eastAsia="Times New Roman"/>
        </w:rPr>
        <w:t xml:space="preserve"> explanation about which representative payees do not have to complete items 8 through 10 on the </w:t>
      </w:r>
    </w:p>
    <w:p w:rsidR="00D91983" w:rsidRPr="00D91983" w:rsidP="00D91983" w14:paraId="7A988AA9" w14:textId="3D4B0EA1">
      <w:pPr>
        <w:pStyle w:val="ListParagraph"/>
        <w:spacing w:after="0" w:line="240" w:lineRule="auto"/>
        <w:rPr>
          <w:rFonts w:eastAsia="Times New Roman"/>
        </w:rPr>
      </w:pPr>
      <w:r>
        <w:rPr>
          <w:rFonts w:eastAsia="Times New Roman"/>
        </w:rPr>
        <w:t>SSA-7161-OCR-SM because they are exempt from the annual accounting requirement</w:t>
      </w:r>
      <w:r w:rsidR="00572825">
        <w:rPr>
          <w:rFonts w:eastAsia="Times New Roman"/>
        </w:rPr>
        <w:t xml:space="preserve"> (pursuant to P.L. 115-165)</w:t>
      </w:r>
      <w:r>
        <w:rPr>
          <w:rFonts w:eastAsia="Times New Roman"/>
        </w:rPr>
        <w:t>.</w:t>
      </w:r>
      <w:r w:rsidR="00572825">
        <w:rPr>
          <w:rFonts w:eastAsia="Times New Roman"/>
        </w:rPr>
        <w:t xml:space="preserve">  </w:t>
      </w:r>
    </w:p>
    <w:p w:rsidR="000177FE" w:rsidP="000177FE" w14:paraId="27C46CA9" w14:textId="77777777">
      <w:pPr>
        <w:spacing w:after="0" w:line="240" w:lineRule="auto"/>
        <w:rPr>
          <w:rFonts w:eastAsia="Times New Roman"/>
        </w:rPr>
      </w:pPr>
    </w:p>
    <w:p w:rsidR="006811C7" w:rsidP="00DA7A20" w14:paraId="13689DD0" w14:textId="77777777">
      <w:pPr>
        <w:rPr>
          <w:b/>
          <w:bCs/>
          <w:u w:val="single"/>
        </w:rPr>
      </w:pPr>
    </w:p>
    <w:p w:rsidR="00DA7A20" w:rsidP="00DA7A20" w14:paraId="1B7EC539" w14:textId="699EFD4F">
      <w:pPr>
        <w:rPr>
          <w:b/>
          <w:bCs/>
          <w:u w:val="single"/>
        </w:rPr>
      </w:pPr>
      <w:r w:rsidRPr="000A2AC3">
        <w:rPr>
          <w:b/>
          <w:bCs/>
          <w:u w:val="single"/>
        </w:rPr>
        <w:t xml:space="preserve">Revision to the </w:t>
      </w:r>
      <w:r w:rsidRPr="00AF0E39" w:rsidR="00AF0E39">
        <w:rPr>
          <w:b/>
          <w:bCs/>
          <w:u w:val="single"/>
        </w:rPr>
        <w:t>SSA-716</w:t>
      </w:r>
      <w:r w:rsidR="00AF0E39">
        <w:rPr>
          <w:b/>
          <w:bCs/>
          <w:u w:val="single"/>
        </w:rPr>
        <w:t>2</w:t>
      </w:r>
      <w:r w:rsidRPr="00AF0E39" w:rsidR="00AF0E39">
        <w:rPr>
          <w:b/>
          <w:bCs/>
          <w:u w:val="single"/>
        </w:rPr>
        <w:t>-OCR-SM</w:t>
      </w:r>
      <w:r w:rsidRPr="000A2AC3">
        <w:rPr>
          <w:b/>
          <w:bCs/>
          <w:u w:val="single"/>
        </w:rPr>
        <w:t>:</w:t>
      </w:r>
    </w:p>
    <w:p w:rsidR="00AF0E39" w:rsidRPr="000A2AC3" w:rsidP="00AF0E39" w14:paraId="58E3B9BE" w14:textId="19F38FFF">
      <w:pPr>
        <w:widowControl w:val="0"/>
        <w:numPr>
          <w:ilvl w:val="0"/>
          <w:numId w:val="7"/>
        </w:numPr>
        <w:snapToGrid w:val="0"/>
        <w:spacing w:after="0" w:line="240" w:lineRule="auto"/>
        <w:ind w:left="720"/>
        <w:rPr>
          <w:rFonts w:eastAsia="Times New Roman"/>
        </w:rPr>
      </w:pPr>
      <w:r w:rsidRPr="000A2AC3">
        <w:rPr>
          <w:rFonts w:eastAsia="Times New Roman"/>
          <w:b/>
          <w:bCs/>
        </w:rPr>
        <w:t>Change #</w:t>
      </w:r>
      <w:r w:rsidR="006811C7">
        <w:rPr>
          <w:rFonts w:eastAsia="Times New Roman"/>
          <w:b/>
          <w:bCs/>
        </w:rPr>
        <w:t>4</w:t>
      </w:r>
      <w:r w:rsidRPr="000A2AC3">
        <w:rPr>
          <w:rFonts w:eastAsia="Times New Roman"/>
          <w:b/>
          <w:bCs/>
        </w:rPr>
        <w:t>:</w:t>
      </w:r>
      <w:r w:rsidRPr="000A2AC3">
        <w:rPr>
          <w:rFonts w:eastAsia="Times New Roman"/>
        </w:rPr>
        <w:t xml:space="preserve">  We are revising the Privacy Act Statement on this form.</w:t>
      </w:r>
    </w:p>
    <w:p w:rsidR="00AF0E39" w:rsidRPr="000A2AC3" w:rsidP="00AF0E39" w14:paraId="33598E88" w14:textId="77777777">
      <w:pPr>
        <w:widowControl w:val="0"/>
        <w:snapToGrid w:val="0"/>
        <w:spacing w:after="0" w:line="240" w:lineRule="auto"/>
        <w:ind w:left="720"/>
        <w:rPr>
          <w:rFonts w:eastAsia="Times New Roman"/>
        </w:rPr>
      </w:pPr>
    </w:p>
    <w:p w:rsidR="00AF0E39" w:rsidP="00AF0E39" w14:paraId="0DBDCF73" w14:textId="6E902264">
      <w:pPr>
        <w:widowControl w:val="0"/>
        <w:snapToGrid w:val="0"/>
        <w:spacing w:after="0" w:line="240" w:lineRule="auto"/>
        <w:ind w:left="720"/>
        <w:rPr>
          <w:rFonts w:eastAsia="Times New Roman"/>
        </w:rPr>
      </w:pPr>
      <w:r w:rsidRPr="000A2AC3">
        <w:rPr>
          <w:rFonts w:eastAsia="Times New Roman"/>
          <w:b/>
          <w:bCs/>
        </w:rPr>
        <w:t>Justification #</w:t>
      </w:r>
      <w:r w:rsidR="006811C7">
        <w:rPr>
          <w:rFonts w:eastAsia="Times New Roman"/>
          <w:b/>
          <w:bCs/>
        </w:rPr>
        <w:t>4</w:t>
      </w:r>
      <w:r w:rsidRPr="000A2AC3">
        <w:rPr>
          <w:rFonts w:eastAsia="Times New Roman"/>
        </w:rPr>
        <w:t>:  SSA’s Office of the General Counsel is conducting a systematic review of SSA’s Privacy Act Statements on agency forms.  As a result, SSA is updating the Privacy Act Statement on the form.</w:t>
      </w:r>
    </w:p>
    <w:p w:rsidR="00D437A7" w:rsidP="00D437A7" w14:paraId="72D3CF28" w14:textId="77777777">
      <w:pPr>
        <w:widowControl w:val="0"/>
        <w:snapToGrid w:val="0"/>
        <w:spacing w:after="0" w:line="240" w:lineRule="auto"/>
        <w:rPr>
          <w:rFonts w:eastAsia="Times New Roman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7134A0C"/>
    <w:multiLevelType w:val="hybridMultilevel"/>
    <w:tmpl w:val="A1E0BFA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9B3F84"/>
    <w:multiLevelType w:val="hybridMultilevel"/>
    <w:tmpl w:val="7DDA96F8"/>
    <w:lvl w:ilvl="0">
      <w:start w:val="0"/>
      <w:numFmt w:val="bullet"/>
      <w:lvlText w:val=""/>
      <w:lvlJc w:val="left"/>
      <w:pPr>
        <w:ind w:left="720" w:hanging="360"/>
      </w:pPr>
      <w:rPr>
        <w:rFonts w:ascii="Symbol" w:hAnsi="Symbol" w:eastAsiaTheme="minorHAnsi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3D3D08"/>
    <w:multiLevelType w:val="hybridMultilevel"/>
    <w:tmpl w:val="1ADA5E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997D65"/>
    <w:multiLevelType w:val="hybridMultilevel"/>
    <w:tmpl w:val="B26C633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84E6267"/>
    <w:multiLevelType w:val="hybridMultilevel"/>
    <w:tmpl w:val="B53683A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87F4874"/>
    <w:multiLevelType w:val="hybridMultilevel"/>
    <w:tmpl w:val="B4525FE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75410183"/>
    <w:multiLevelType w:val="hybridMultilevel"/>
    <w:tmpl w:val="52C6D46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6338105">
    <w:abstractNumId w:val="2"/>
  </w:num>
  <w:num w:numId="2" w16cid:durableId="1698114679">
    <w:abstractNumId w:val="2"/>
  </w:num>
  <w:num w:numId="3" w16cid:durableId="1277447635">
    <w:abstractNumId w:val="4"/>
  </w:num>
  <w:num w:numId="4" w16cid:durableId="924991679">
    <w:abstractNumId w:val="1"/>
  </w:num>
  <w:num w:numId="5" w16cid:durableId="2029915238">
    <w:abstractNumId w:val="3"/>
  </w:num>
  <w:num w:numId="6" w16cid:durableId="1723754123">
    <w:abstractNumId w:val="0"/>
  </w:num>
  <w:num w:numId="7" w16cid:durableId="2074307903">
    <w:abstractNumId w:val="5"/>
  </w:num>
  <w:num w:numId="8" w16cid:durableId="190745394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716"/>
    <w:rsid w:val="0001243D"/>
    <w:rsid w:val="00012CE7"/>
    <w:rsid w:val="000177FE"/>
    <w:rsid w:val="00022C61"/>
    <w:rsid w:val="000230ED"/>
    <w:rsid w:val="00025D03"/>
    <w:rsid w:val="00026628"/>
    <w:rsid w:val="0003469F"/>
    <w:rsid w:val="00041CEB"/>
    <w:rsid w:val="0004693C"/>
    <w:rsid w:val="00047AA5"/>
    <w:rsid w:val="000554A2"/>
    <w:rsid w:val="000633B0"/>
    <w:rsid w:val="000658F0"/>
    <w:rsid w:val="000700FF"/>
    <w:rsid w:val="00077343"/>
    <w:rsid w:val="00081649"/>
    <w:rsid w:val="00096AE0"/>
    <w:rsid w:val="000A2AC3"/>
    <w:rsid w:val="000B3DE0"/>
    <w:rsid w:val="000B3FC4"/>
    <w:rsid w:val="000C1841"/>
    <w:rsid w:val="000D5126"/>
    <w:rsid w:val="000E0218"/>
    <w:rsid w:val="000E2B58"/>
    <w:rsid w:val="000E4A1E"/>
    <w:rsid w:val="000E5A8C"/>
    <w:rsid w:val="000F1E4F"/>
    <w:rsid w:val="000F3901"/>
    <w:rsid w:val="000F4791"/>
    <w:rsid w:val="000F4B59"/>
    <w:rsid w:val="001072A1"/>
    <w:rsid w:val="00114F84"/>
    <w:rsid w:val="00115E7A"/>
    <w:rsid w:val="0012389D"/>
    <w:rsid w:val="00124AE3"/>
    <w:rsid w:val="001367A0"/>
    <w:rsid w:val="00147DFE"/>
    <w:rsid w:val="00151F4C"/>
    <w:rsid w:val="00151F8B"/>
    <w:rsid w:val="00160311"/>
    <w:rsid w:val="00170C9F"/>
    <w:rsid w:val="00184269"/>
    <w:rsid w:val="0019469D"/>
    <w:rsid w:val="00195A61"/>
    <w:rsid w:val="001A7045"/>
    <w:rsid w:val="001B31A0"/>
    <w:rsid w:val="001C57DB"/>
    <w:rsid w:val="001D75A8"/>
    <w:rsid w:val="001E2A9F"/>
    <w:rsid w:val="001E652F"/>
    <w:rsid w:val="001F5FF5"/>
    <w:rsid w:val="0020047F"/>
    <w:rsid w:val="002143D6"/>
    <w:rsid w:val="0021564B"/>
    <w:rsid w:val="00222AC0"/>
    <w:rsid w:val="0022623E"/>
    <w:rsid w:val="00232C0F"/>
    <w:rsid w:val="00262557"/>
    <w:rsid w:val="002645CD"/>
    <w:rsid w:val="002709C2"/>
    <w:rsid w:val="002731DD"/>
    <w:rsid w:val="00274093"/>
    <w:rsid w:val="0027549A"/>
    <w:rsid w:val="0027639D"/>
    <w:rsid w:val="002804D4"/>
    <w:rsid w:val="00281F74"/>
    <w:rsid w:val="00294ABF"/>
    <w:rsid w:val="002A2732"/>
    <w:rsid w:val="002B473F"/>
    <w:rsid w:val="002B600C"/>
    <w:rsid w:val="002C2F75"/>
    <w:rsid w:val="002E1433"/>
    <w:rsid w:val="002E7157"/>
    <w:rsid w:val="002F3C09"/>
    <w:rsid w:val="002F78D1"/>
    <w:rsid w:val="00306E88"/>
    <w:rsid w:val="00307466"/>
    <w:rsid w:val="0031309A"/>
    <w:rsid w:val="00321584"/>
    <w:rsid w:val="00327C2B"/>
    <w:rsid w:val="00336256"/>
    <w:rsid w:val="00344C7C"/>
    <w:rsid w:val="003627F6"/>
    <w:rsid w:val="003632A1"/>
    <w:rsid w:val="00363401"/>
    <w:rsid w:val="00382D83"/>
    <w:rsid w:val="00383403"/>
    <w:rsid w:val="003A0D09"/>
    <w:rsid w:val="003A163E"/>
    <w:rsid w:val="003B748B"/>
    <w:rsid w:val="003C4226"/>
    <w:rsid w:val="003C4855"/>
    <w:rsid w:val="003C58EB"/>
    <w:rsid w:val="003C7E58"/>
    <w:rsid w:val="003D355F"/>
    <w:rsid w:val="003D364F"/>
    <w:rsid w:val="003D48C1"/>
    <w:rsid w:val="003D7524"/>
    <w:rsid w:val="003E032B"/>
    <w:rsid w:val="003E3F5E"/>
    <w:rsid w:val="003F3FDE"/>
    <w:rsid w:val="00413203"/>
    <w:rsid w:val="00415335"/>
    <w:rsid w:val="00415C9A"/>
    <w:rsid w:val="00422E3C"/>
    <w:rsid w:val="004308CB"/>
    <w:rsid w:val="00437604"/>
    <w:rsid w:val="00444D59"/>
    <w:rsid w:val="0045237A"/>
    <w:rsid w:val="00453704"/>
    <w:rsid w:val="00453EAB"/>
    <w:rsid w:val="0046734C"/>
    <w:rsid w:val="00467A93"/>
    <w:rsid w:val="004752F9"/>
    <w:rsid w:val="0047554B"/>
    <w:rsid w:val="0048531E"/>
    <w:rsid w:val="00491EED"/>
    <w:rsid w:val="004923C7"/>
    <w:rsid w:val="00494E38"/>
    <w:rsid w:val="00497F17"/>
    <w:rsid w:val="004A09AF"/>
    <w:rsid w:val="004A286D"/>
    <w:rsid w:val="004B202A"/>
    <w:rsid w:val="004B30CF"/>
    <w:rsid w:val="004C087F"/>
    <w:rsid w:val="004C09DA"/>
    <w:rsid w:val="004C19F8"/>
    <w:rsid w:val="004D30CD"/>
    <w:rsid w:val="004F2305"/>
    <w:rsid w:val="004F63A8"/>
    <w:rsid w:val="0050120C"/>
    <w:rsid w:val="005012B3"/>
    <w:rsid w:val="00503328"/>
    <w:rsid w:val="00503D40"/>
    <w:rsid w:val="00507B68"/>
    <w:rsid w:val="00513DD3"/>
    <w:rsid w:val="005168E1"/>
    <w:rsid w:val="00534243"/>
    <w:rsid w:val="005343D9"/>
    <w:rsid w:val="005408D1"/>
    <w:rsid w:val="00541B08"/>
    <w:rsid w:val="005435BE"/>
    <w:rsid w:val="00572825"/>
    <w:rsid w:val="00576A44"/>
    <w:rsid w:val="005A2E0F"/>
    <w:rsid w:val="005A683F"/>
    <w:rsid w:val="005A7FFA"/>
    <w:rsid w:val="005B35EF"/>
    <w:rsid w:val="005B5655"/>
    <w:rsid w:val="005B6F59"/>
    <w:rsid w:val="005C5A53"/>
    <w:rsid w:val="005D0B10"/>
    <w:rsid w:val="005D58DC"/>
    <w:rsid w:val="005D74F6"/>
    <w:rsid w:val="005F4232"/>
    <w:rsid w:val="005F6A0C"/>
    <w:rsid w:val="00603DF7"/>
    <w:rsid w:val="00604147"/>
    <w:rsid w:val="0061311E"/>
    <w:rsid w:val="006335F7"/>
    <w:rsid w:val="00635749"/>
    <w:rsid w:val="006446DE"/>
    <w:rsid w:val="00653949"/>
    <w:rsid w:val="00653B8B"/>
    <w:rsid w:val="006564F8"/>
    <w:rsid w:val="006637DB"/>
    <w:rsid w:val="00675B63"/>
    <w:rsid w:val="006811C7"/>
    <w:rsid w:val="00696FEB"/>
    <w:rsid w:val="006A33DB"/>
    <w:rsid w:val="006B1FA6"/>
    <w:rsid w:val="006C7A6A"/>
    <w:rsid w:val="006D3239"/>
    <w:rsid w:val="006D5A09"/>
    <w:rsid w:val="006E0578"/>
    <w:rsid w:val="006E2E92"/>
    <w:rsid w:val="00703D75"/>
    <w:rsid w:val="00735410"/>
    <w:rsid w:val="007361F8"/>
    <w:rsid w:val="00750605"/>
    <w:rsid w:val="007529F7"/>
    <w:rsid w:val="00776ECE"/>
    <w:rsid w:val="007866EF"/>
    <w:rsid w:val="00793F93"/>
    <w:rsid w:val="007957AE"/>
    <w:rsid w:val="007965BC"/>
    <w:rsid w:val="00796E83"/>
    <w:rsid w:val="007A35FB"/>
    <w:rsid w:val="007A5579"/>
    <w:rsid w:val="007A6715"/>
    <w:rsid w:val="007C3593"/>
    <w:rsid w:val="007C52AC"/>
    <w:rsid w:val="007D1752"/>
    <w:rsid w:val="007D209D"/>
    <w:rsid w:val="007E670B"/>
    <w:rsid w:val="007E7F8E"/>
    <w:rsid w:val="007F7DA4"/>
    <w:rsid w:val="008040E5"/>
    <w:rsid w:val="00813894"/>
    <w:rsid w:val="00823F78"/>
    <w:rsid w:val="00831D97"/>
    <w:rsid w:val="00835EB7"/>
    <w:rsid w:val="00837716"/>
    <w:rsid w:val="008442E6"/>
    <w:rsid w:val="00845AFC"/>
    <w:rsid w:val="00846348"/>
    <w:rsid w:val="008632D8"/>
    <w:rsid w:val="00871BB7"/>
    <w:rsid w:val="00877151"/>
    <w:rsid w:val="00894A7A"/>
    <w:rsid w:val="008A0221"/>
    <w:rsid w:val="008A071A"/>
    <w:rsid w:val="008A5131"/>
    <w:rsid w:val="008B5E3B"/>
    <w:rsid w:val="008D60FC"/>
    <w:rsid w:val="008E0E59"/>
    <w:rsid w:val="008F4C75"/>
    <w:rsid w:val="0090349B"/>
    <w:rsid w:val="00903504"/>
    <w:rsid w:val="00915D0E"/>
    <w:rsid w:val="00920BD8"/>
    <w:rsid w:val="00922BA4"/>
    <w:rsid w:val="0092428B"/>
    <w:rsid w:val="00946ADF"/>
    <w:rsid w:val="00965976"/>
    <w:rsid w:val="00974574"/>
    <w:rsid w:val="00980297"/>
    <w:rsid w:val="00982E64"/>
    <w:rsid w:val="00983048"/>
    <w:rsid w:val="0098728C"/>
    <w:rsid w:val="00993D6C"/>
    <w:rsid w:val="009A43B1"/>
    <w:rsid w:val="009B3172"/>
    <w:rsid w:val="009B65BD"/>
    <w:rsid w:val="009C3A86"/>
    <w:rsid w:val="009E3D7F"/>
    <w:rsid w:val="009F2AF8"/>
    <w:rsid w:val="00A02F51"/>
    <w:rsid w:val="00A03E99"/>
    <w:rsid w:val="00A07164"/>
    <w:rsid w:val="00A24CEE"/>
    <w:rsid w:val="00A30021"/>
    <w:rsid w:val="00A35037"/>
    <w:rsid w:val="00A50AFD"/>
    <w:rsid w:val="00A71F1E"/>
    <w:rsid w:val="00A80C6B"/>
    <w:rsid w:val="00A976E2"/>
    <w:rsid w:val="00A9790B"/>
    <w:rsid w:val="00AA615B"/>
    <w:rsid w:val="00AB0C46"/>
    <w:rsid w:val="00AB755C"/>
    <w:rsid w:val="00AC20A5"/>
    <w:rsid w:val="00AC2789"/>
    <w:rsid w:val="00AC3E93"/>
    <w:rsid w:val="00AC54FD"/>
    <w:rsid w:val="00AD112C"/>
    <w:rsid w:val="00AD1397"/>
    <w:rsid w:val="00AD4367"/>
    <w:rsid w:val="00AF0E39"/>
    <w:rsid w:val="00AF3668"/>
    <w:rsid w:val="00B21122"/>
    <w:rsid w:val="00B273A0"/>
    <w:rsid w:val="00B27C1B"/>
    <w:rsid w:val="00B32531"/>
    <w:rsid w:val="00B32DA9"/>
    <w:rsid w:val="00B3313E"/>
    <w:rsid w:val="00B3479E"/>
    <w:rsid w:val="00B45064"/>
    <w:rsid w:val="00B46F82"/>
    <w:rsid w:val="00B5239C"/>
    <w:rsid w:val="00B6186E"/>
    <w:rsid w:val="00B74E08"/>
    <w:rsid w:val="00B7755C"/>
    <w:rsid w:val="00B84E35"/>
    <w:rsid w:val="00B916C4"/>
    <w:rsid w:val="00B918AB"/>
    <w:rsid w:val="00B941C9"/>
    <w:rsid w:val="00B942C3"/>
    <w:rsid w:val="00B96388"/>
    <w:rsid w:val="00B97F3D"/>
    <w:rsid w:val="00BB30E6"/>
    <w:rsid w:val="00BC2606"/>
    <w:rsid w:val="00BD244C"/>
    <w:rsid w:val="00BE400E"/>
    <w:rsid w:val="00BF56F9"/>
    <w:rsid w:val="00C077EB"/>
    <w:rsid w:val="00C078F3"/>
    <w:rsid w:val="00C102A5"/>
    <w:rsid w:val="00C1198B"/>
    <w:rsid w:val="00C22608"/>
    <w:rsid w:val="00C3163D"/>
    <w:rsid w:val="00C318F7"/>
    <w:rsid w:val="00C337C5"/>
    <w:rsid w:val="00C3508A"/>
    <w:rsid w:val="00C56831"/>
    <w:rsid w:val="00C7256F"/>
    <w:rsid w:val="00C74B70"/>
    <w:rsid w:val="00C76C7C"/>
    <w:rsid w:val="00C77196"/>
    <w:rsid w:val="00C87DCD"/>
    <w:rsid w:val="00C91FDB"/>
    <w:rsid w:val="00CA05EE"/>
    <w:rsid w:val="00CA517F"/>
    <w:rsid w:val="00CA6FC0"/>
    <w:rsid w:val="00CC29F3"/>
    <w:rsid w:val="00CC705F"/>
    <w:rsid w:val="00CC7E53"/>
    <w:rsid w:val="00CD1A58"/>
    <w:rsid w:val="00CD2A2B"/>
    <w:rsid w:val="00CD4DDD"/>
    <w:rsid w:val="00CE6D3D"/>
    <w:rsid w:val="00D22E9C"/>
    <w:rsid w:val="00D23770"/>
    <w:rsid w:val="00D32604"/>
    <w:rsid w:val="00D36A4B"/>
    <w:rsid w:val="00D437A7"/>
    <w:rsid w:val="00D62718"/>
    <w:rsid w:val="00D65559"/>
    <w:rsid w:val="00D7158E"/>
    <w:rsid w:val="00D72E2E"/>
    <w:rsid w:val="00D82441"/>
    <w:rsid w:val="00D90CC8"/>
    <w:rsid w:val="00D91983"/>
    <w:rsid w:val="00D94353"/>
    <w:rsid w:val="00D946FC"/>
    <w:rsid w:val="00DA46C9"/>
    <w:rsid w:val="00DA7A20"/>
    <w:rsid w:val="00DB29E0"/>
    <w:rsid w:val="00DC101D"/>
    <w:rsid w:val="00DF5E4C"/>
    <w:rsid w:val="00E11E33"/>
    <w:rsid w:val="00E1351C"/>
    <w:rsid w:val="00E16B1B"/>
    <w:rsid w:val="00E20D02"/>
    <w:rsid w:val="00E22523"/>
    <w:rsid w:val="00E33074"/>
    <w:rsid w:val="00E33EC3"/>
    <w:rsid w:val="00E4400C"/>
    <w:rsid w:val="00E520C0"/>
    <w:rsid w:val="00E527F9"/>
    <w:rsid w:val="00E6600D"/>
    <w:rsid w:val="00E722BA"/>
    <w:rsid w:val="00E77356"/>
    <w:rsid w:val="00E77D2A"/>
    <w:rsid w:val="00EA0185"/>
    <w:rsid w:val="00EA494A"/>
    <w:rsid w:val="00EA541F"/>
    <w:rsid w:val="00EB2438"/>
    <w:rsid w:val="00EB4F50"/>
    <w:rsid w:val="00EC18AA"/>
    <w:rsid w:val="00EC44D7"/>
    <w:rsid w:val="00ED5E9D"/>
    <w:rsid w:val="00EE00E6"/>
    <w:rsid w:val="00EF7A6E"/>
    <w:rsid w:val="00F058EE"/>
    <w:rsid w:val="00F22882"/>
    <w:rsid w:val="00F24955"/>
    <w:rsid w:val="00F41E06"/>
    <w:rsid w:val="00F425CC"/>
    <w:rsid w:val="00F43F28"/>
    <w:rsid w:val="00F53067"/>
    <w:rsid w:val="00F53906"/>
    <w:rsid w:val="00F62823"/>
    <w:rsid w:val="00F65054"/>
    <w:rsid w:val="00F735EA"/>
    <w:rsid w:val="00F74D63"/>
    <w:rsid w:val="00F83552"/>
    <w:rsid w:val="00F84555"/>
    <w:rsid w:val="00FA7819"/>
    <w:rsid w:val="00FC0B7A"/>
    <w:rsid w:val="00FD11CF"/>
    <w:rsid w:val="00FD2235"/>
    <w:rsid w:val="00FD2EB3"/>
    <w:rsid w:val="00FD4238"/>
    <w:rsid w:val="00FD703A"/>
    <w:rsid w:val="00FE375A"/>
    <w:rsid w:val="00FE3E4A"/>
    <w:rsid w:val="00FF0E37"/>
    <w:rsid w:val="00FF5967"/>
    <w:rsid w:val="00FF5E3D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6F2F3B0"/>
  <w15:chartTrackingRefBased/>
  <w15:docId w15:val="{116DE22B-653E-4A32-8175-BE3158796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hAnsi="Times New Roman" w:eastAsiaTheme="minorHAnsi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377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77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771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771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771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771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771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771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771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771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771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7716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7716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7716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771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771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771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771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77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77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771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771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77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77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77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7716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771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7716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7716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5683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683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B748B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7A671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729</Words>
  <Characters>4160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Graham, Grace A.</dc:creator>
  <cp:lastModifiedBy>SSA Response</cp:lastModifiedBy>
  <cp:revision>2</cp:revision>
  <dcterms:created xsi:type="dcterms:W3CDTF">2026-01-20T19:02:00Z</dcterms:created>
  <dcterms:modified xsi:type="dcterms:W3CDTF">2026-01-20T19:02:00Z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-1590820327</vt:i4>
  </property>
  <property fmtid="{D5CDD505-2E9C-101B-9397-08002B2CF9AE}" pid="3" name="_AuthorEmail">
    <vt:lpwstr>Tasha.Harley@ssa.gov</vt:lpwstr>
  </property>
  <property fmtid="{D5CDD505-2E9C-101B-9397-08002B2CF9AE}" pid="4" name="_AuthorEmailDisplayName">
    <vt:lpwstr>Harley, Tasha   LP</vt:lpwstr>
  </property>
  <property fmtid="{D5CDD505-2E9C-101B-9397-08002B2CF9AE}" pid="5" name="_EmailSubject">
    <vt:lpwstr>Ready for review 0960-0049</vt:lpwstr>
  </property>
  <property fmtid="{D5CDD505-2E9C-101B-9397-08002B2CF9AE}" pid="6" name="_NewReviewCycle">
    <vt:lpwstr/>
  </property>
  <property fmtid="{D5CDD505-2E9C-101B-9397-08002B2CF9AE}" pid="7" name="_ReviewingToolsShownOnce">
    <vt:lpwstr/>
  </property>
</Properties>
</file>