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60C0F" w:rsidP="00F73654" w14:paraId="2A728958" w14:textId="77777777">
      <w:pPr>
        <w:rPr>
          <w:b/>
        </w:rPr>
      </w:pPr>
    </w:p>
    <w:p w:rsidR="00BB2E9A" w:rsidP="00F73654" w14:paraId="070BC226" w14:textId="77777777">
      <w:pPr>
        <w:rPr>
          <w:b/>
        </w:rPr>
      </w:pPr>
    </w:p>
    <w:p w:rsidR="00BB2E9A" w:rsidRPr="0053772A" w:rsidP="00F73654" w14:paraId="6923E2BA" w14:textId="77777777">
      <w:pPr>
        <w:rPr>
          <w:b/>
        </w:rPr>
      </w:pPr>
    </w:p>
    <w:p w:rsidR="00E60C0F" w:rsidRPr="0053772A" w:rsidP="00F73654" w14:paraId="20BDD8E2" w14:textId="3C6496FF">
      <w:pPr>
        <w:pStyle w:val="Title"/>
        <w:rPr>
          <w:sz w:val="24"/>
        </w:rPr>
      </w:pPr>
      <w:r w:rsidRPr="0053772A">
        <w:rPr>
          <w:sz w:val="24"/>
        </w:rPr>
        <w:t xml:space="preserve">CDC </w:t>
      </w:r>
      <w:r w:rsidRPr="0053772A" w:rsidR="008746E2">
        <w:rPr>
          <w:sz w:val="24"/>
        </w:rPr>
        <w:t>Fellowship Programs</w:t>
      </w:r>
      <w:r w:rsidRPr="0053772A" w:rsidR="004C335A">
        <w:rPr>
          <w:sz w:val="24"/>
        </w:rPr>
        <w:t xml:space="preserve"> Assessment</w:t>
      </w:r>
      <w:r w:rsidR="009B7ECA">
        <w:rPr>
          <w:sz w:val="24"/>
        </w:rPr>
        <w:t>s</w:t>
      </w:r>
    </w:p>
    <w:p w:rsidR="00E60C0F" w:rsidRPr="0053772A" w:rsidP="00F73654" w14:paraId="2E360B61" w14:textId="2EFB26BB">
      <w:pPr>
        <w:pStyle w:val="Subtitle"/>
        <w:rPr>
          <w:b/>
          <w:sz w:val="24"/>
        </w:rPr>
      </w:pPr>
      <w:r w:rsidRPr="0053772A">
        <w:rPr>
          <w:b/>
          <w:sz w:val="24"/>
        </w:rPr>
        <w:t xml:space="preserve">OMB Control No. </w:t>
      </w:r>
      <w:r w:rsidRPr="0053772A" w:rsidR="00C83F26">
        <w:rPr>
          <w:b/>
          <w:sz w:val="24"/>
        </w:rPr>
        <w:t>0920-</w:t>
      </w:r>
      <w:r w:rsidRPr="0053772A" w:rsidR="0053772A">
        <w:rPr>
          <w:b/>
          <w:sz w:val="24"/>
        </w:rPr>
        <w:t>1163 (Expiration: 0</w:t>
      </w:r>
      <w:r w:rsidR="00CE6A0D">
        <w:rPr>
          <w:b/>
          <w:sz w:val="24"/>
        </w:rPr>
        <w:t>2/28</w:t>
      </w:r>
      <w:r w:rsidR="00FA1D0B">
        <w:rPr>
          <w:b/>
          <w:sz w:val="24"/>
        </w:rPr>
        <w:t>/</w:t>
      </w:r>
      <w:r w:rsidR="00EF1ABF">
        <w:rPr>
          <w:b/>
          <w:sz w:val="24"/>
        </w:rPr>
        <w:t>2026</w:t>
      </w:r>
      <w:r w:rsidRPr="0053772A" w:rsidR="0053772A">
        <w:rPr>
          <w:b/>
          <w:sz w:val="24"/>
        </w:rPr>
        <w:t>)</w:t>
      </w:r>
    </w:p>
    <w:p w:rsidR="008531A4" w:rsidRPr="0053772A" w:rsidP="00F73654" w14:paraId="6A5F4155" w14:textId="77777777">
      <w:pPr>
        <w:pStyle w:val="Subtitle"/>
        <w:rPr>
          <w:sz w:val="24"/>
        </w:rPr>
      </w:pPr>
    </w:p>
    <w:p w:rsidR="00332BEE" w:rsidRPr="0053772A" w:rsidP="00F73654" w14:paraId="635A4373" w14:textId="77777777"/>
    <w:p w:rsidR="008531A4" w:rsidRPr="0053772A" w:rsidP="00F73654" w14:paraId="18DA905C" w14:textId="77777777">
      <w:pPr>
        <w:pStyle w:val="Subtitle"/>
        <w:rPr>
          <w:b/>
          <w:sz w:val="24"/>
        </w:rPr>
      </w:pPr>
      <w:r w:rsidRPr="0053772A">
        <w:rPr>
          <w:b/>
          <w:sz w:val="24"/>
        </w:rPr>
        <w:t>Supporting Statement A</w:t>
      </w:r>
    </w:p>
    <w:p w:rsidR="008531A4" w:rsidRPr="0053772A" w:rsidP="00F73654" w14:paraId="13E0DD63" w14:textId="77777777">
      <w:pPr>
        <w:pStyle w:val="Subtitle"/>
        <w:rPr>
          <w:sz w:val="24"/>
        </w:rPr>
      </w:pPr>
    </w:p>
    <w:p w:rsidR="0076347B" w:rsidRPr="0053772A" w:rsidP="00F73654" w14:paraId="3499C8C7" w14:textId="77777777"/>
    <w:p w:rsidR="0076347B" w:rsidRPr="0053772A" w:rsidP="00F73654" w14:paraId="0AB83B69" w14:textId="77777777"/>
    <w:p w:rsidR="003A11B1" w:rsidRPr="0053772A" w:rsidP="00F73654" w14:paraId="58CBD8B3" w14:textId="77777777">
      <w:pPr>
        <w:pStyle w:val="Subtitle"/>
        <w:rPr>
          <w:sz w:val="24"/>
        </w:rPr>
      </w:pPr>
    </w:p>
    <w:p w:rsidR="00E60C0F" w:rsidRPr="0053772A" w:rsidP="00F73654" w14:paraId="1F4535A7" w14:textId="77777777"/>
    <w:p w:rsidR="003A11B1" w:rsidRPr="0053772A" w:rsidP="00F73654" w14:paraId="3D280D5A" w14:textId="77777777">
      <w:pPr>
        <w:jc w:val="center"/>
        <w:rPr>
          <w:b/>
        </w:rPr>
      </w:pPr>
    </w:p>
    <w:p w:rsidR="003A11B1" w:rsidRPr="0053772A" w:rsidP="00F73654" w14:paraId="44950CB0" w14:textId="77777777">
      <w:pPr>
        <w:jc w:val="center"/>
        <w:rPr>
          <w:b/>
        </w:rPr>
      </w:pPr>
    </w:p>
    <w:p w:rsidR="00E60C0F" w:rsidRPr="0053772A" w:rsidP="00F73654" w14:paraId="2514915C" w14:textId="77777777">
      <w:pPr>
        <w:rPr>
          <w:b/>
        </w:rPr>
      </w:pPr>
    </w:p>
    <w:p w:rsidR="00E60C0F" w:rsidRPr="0053772A" w:rsidP="00F73654" w14:paraId="21192C99" w14:textId="7410B2EF">
      <w:pPr>
        <w:pStyle w:val="Subtitle"/>
        <w:rPr>
          <w:b/>
          <w:sz w:val="24"/>
        </w:rPr>
      </w:pPr>
      <w:r>
        <w:rPr>
          <w:b/>
          <w:sz w:val="24"/>
        </w:rPr>
        <w:t xml:space="preserve">Dr. </w:t>
      </w:r>
      <w:r w:rsidR="00D441C0">
        <w:rPr>
          <w:b/>
          <w:sz w:val="24"/>
        </w:rPr>
        <w:t>Marion</w:t>
      </w:r>
      <w:r>
        <w:rPr>
          <w:b/>
          <w:sz w:val="24"/>
        </w:rPr>
        <w:t xml:space="preserve"> W.</w:t>
      </w:r>
      <w:r w:rsidR="00D441C0">
        <w:rPr>
          <w:b/>
          <w:sz w:val="24"/>
        </w:rPr>
        <w:t xml:space="preserve"> Carter</w:t>
      </w:r>
    </w:p>
    <w:p w:rsidR="0053772A" w:rsidRPr="0053772A" w:rsidP="0053772A" w14:paraId="5DD0A992" w14:textId="030472FD">
      <w:pPr>
        <w:jc w:val="center"/>
        <w:rPr>
          <w:b/>
        </w:rPr>
      </w:pPr>
      <w:hyperlink r:id="rId10" w:history="1">
        <w:r w:rsidRPr="00757DA2">
          <w:rPr>
            <w:rStyle w:val="Hyperlink"/>
            <w:b/>
          </w:rPr>
          <w:t>acq0@cdc.gov</w:t>
        </w:r>
      </w:hyperlink>
    </w:p>
    <w:p w:rsidR="00393FFE" w:rsidRPr="0053772A" w:rsidP="00F73654" w14:paraId="29062486" w14:textId="0EB48229">
      <w:pPr>
        <w:pStyle w:val="Subtitle"/>
        <w:rPr>
          <w:b/>
          <w:sz w:val="24"/>
        </w:rPr>
      </w:pPr>
      <w:r>
        <w:rPr>
          <w:b/>
          <w:sz w:val="24"/>
        </w:rPr>
        <w:t>Deputy</w:t>
      </w:r>
      <w:r w:rsidRPr="0053772A" w:rsidR="00324406">
        <w:rPr>
          <w:b/>
          <w:sz w:val="24"/>
        </w:rPr>
        <w:t xml:space="preserve"> Director for Science</w:t>
      </w:r>
    </w:p>
    <w:p w:rsidR="0053772A" w:rsidRPr="0053772A" w:rsidP="0053772A" w14:paraId="6BB40464" w14:textId="77777777">
      <w:pPr>
        <w:rPr>
          <w:b/>
        </w:rPr>
      </w:pPr>
    </w:p>
    <w:p w:rsidR="0053772A" w:rsidRPr="0053772A" w:rsidP="0053772A" w14:paraId="741956C1" w14:textId="77777777">
      <w:pPr>
        <w:rPr>
          <w:b/>
        </w:rPr>
      </w:pPr>
    </w:p>
    <w:p w:rsidR="0053772A" w:rsidRPr="0053772A" w:rsidP="0053772A" w14:paraId="0B220FA5" w14:textId="77777777">
      <w:pPr>
        <w:rPr>
          <w:b/>
        </w:rPr>
      </w:pPr>
    </w:p>
    <w:p w:rsidR="00393FFE" w:rsidP="00F73654" w14:paraId="43D138E3" w14:textId="40FA5579">
      <w:pPr>
        <w:pStyle w:val="Subtitle"/>
        <w:rPr>
          <w:b/>
          <w:sz w:val="24"/>
        </w:rPr>
      </w:pPr>
      <w:r>
        <w:rPr>
          <w:b/>
          <w:sz w:val="24"/>
        </w:rPr>
        <w:t>Division of Workforce Development</w:t>
      </w:r>
    </w:p>
    <w:p w:rsidR="0004195A" w:rsidRPr="0004195A" w:rsidP="005C27ED" w14:paraId="7AB7A2E9" w14:textId="54027228">
      <w:pPr>
        <w:jc w:val="center"/>
        <w:rPr>
          <w:b/>
        </w:rPr>
      </w:pPr>
      <w:r w:rsidRPr="005C27ED">
        <w:rPr>
          <w:b/>
          <w:bCs/>
        </w:rPr>
        <w:t>National Center for State, Tribal, Local, and Territorial Public Health Infrastructure and Workforce (NCSTLTPHIW)</w:t>
      </w:r>
    </w:p>
    <w:p w:rsidR="00393FFE" w:rsidRPr="0053772A" w:rsidP="00F73654" w14:paraId="4C8042AB" w14:textId="77777777">
      <w:pPr>
        <w:pStyle w:val="Subtitle"/>
        <w:rPr>
          <w:b/>
          <w:sz w:val="24"/>
        </w:rPr>
      </w:pPr>
      <w:r w:rsidRPr="0053772A">
        <w:rPr>
          <w:b/>
          <w:sz w:val="24"/>
        </w:rPr>
        <w:t>Centers for Dise</w:t>
      </w:r>
      <w:r w:rsidRPr="0053772A" w:rsidR="003D05D2">
        <w:rPr>
          <w:b/>
          <w:sz w:val="24"/>
        </w:rPr>
        <w:t>ase Control and Prevention</w:t>
      </w:r>
    </w:p>
    <w:p w:rsidR="0053772A" w:rsidRPr="0053772A" w:rsidP="0053772A" w14:paraId="6F8A6AAB" w14:textId="15227EBC">
      <w:pPr>
        <w:jc w:val="center"/>
        <w:rPr>
          <w:b/>
        </w:rPr>
      </w:pPr>
      <w:r w:rsidRPr="0053772A">
        <w:rPr>
          <w:b/>
        </w:rPr>
        <w:t xml:space="preserve">1600 Clifton Road, NE, MS </w:t>
      </w:r>
      <w:r w:rsidRPr="447F69DE" w:rsidR="1DDCAE8F">
        <w:rPr>
          <w:b/>
          <w:bCs/>
        </w:rPr>
        <w:t>V24-5</w:t>
      </w:r>
    </w:p>
    <w:p w:rsidR="0053772A" w:rsidRPr="0053772A" w:rsidP="0053772A" w14:paraId="2C2B0614" w14:textId="77777777">
      <w:pPr>
        <w:jc w:val="center"/>
        <w:rPr>
          <w:b/>
        </w:rPr>
      </w:pPr>
      <w:r w:rsidRPr="0053772A">
        <w:rPr>
          <w:b/>
        </w:rPr>
        <w:t>Atlanta, GA 30333</w:t>
      </w:r>
    </w:p>
    <w:p w:rsidR="00393FFE" w:rsidRPr="0053772A" w:rsidP="00F73654" w14:paraId="0994ECBC" w14:textId="77777777">
      <w:pPr>
        <w:pStyle w:val="Subtitle"/>
        <w:rPr>
          <w:b/>
          <w:sz w:val="24"/>
        </w:rPr>
      </w:pPr>
      <w:r w:rsidRPr="0053772A">
        <w:rPr>
          <w:b/>
          <w:sz w:val="24"/>
        </w:rPr>
        <w:t>Phone:</w:t>
      </w:r>
      <w:r w:rsidRPr="0053772A" w:rsidR="005D4A96">
        <w:rPr>
          <w:b/>
          <w:sz w:val="24"/>
        </w:rPr>
        <w:t xml:space="preserve"> </w:t>
      </w:r>
      <w:r w:rsidRPr="0053772A">
        <w:rPr>
          <w:b/>
          <w:sz w:val="24"/>
        </w:rPr>
        <w:t>404-</w:t>
      </w:r>
      <w:r w:rsidRPr="0053772A" w:rsidR="00324406">
        <w:rPr>
          <w:b/>
          <w:sz w:val="24"/>
        </w:rPr>
        <w:t>498-</w:t>
      </w:r>
      <w:r w:rsidRPr="0053772A" w:rsidR="00D931AD">
        <w:rPr>
          <w:b/>
          <w:sz w:val="24"/>
        </w:rPr>
        <w:t>6551</w:t>
      </w:r>
    </w:p>
    <w:p w:rsidR="006D4AD1" w:rsidRPr="0053772A" w:rsidP="00F73654" w14:paraId="314A9601" w14:textId="77777777">
      <w:pPr>
        <w:pStyle w:val="Subtitle"/>
        <w:rPr>
          <w:b/>
          <w:sz w:val="24"/>
        </w:rPr>
      </w:pPr>
      <w:r w:rsidRPr="0053772A">
        <w:rPr>
          <w:b/>
          <w:sz w:val="24"/>
        </w:rPr>
        <w:t>Fax:</w:t>
      </w:r>
      <w:r w:rsidRPr="0053772A" w:rsidR="005D4A96">
        <w:rPr>
          <w:b/>
          <w:sz w:val="24"/>
        </w:rPr>
        <w:t xml:space="preserve"> </w:t>
      </w:r>
      <w:r w:rsidRPr="0053772A">
        <w:rPr>
          <w:b/>
          <w:sz w:val="24"/>
        </w:rPr>
        <w:t>404-</w:t>
      </w:r>
      <w:r w:rsidRPr="0053772A" w:rsidR="00D931AD">
        <w:rPr>
          <w:b/>
          <w:sz w:val="24"/>
        </w:rPr>
        <w:t>498-6085</w:t>
      </w:r>
    </w:p>
    <w:p w:rsidR="00E35AC2" w:rsidRPr="0053772A" w:rsidP="00F73654" w14:paraId="15697690" w14:textId="77777777">
      <w:pPr>
        <w:pStyle w:val="Subtitle"/>
        <w:rPr>
          <w:b/>
          <w:sz w:val="24"/>
        </w:rPr>
      </w:pPr>
    </w:p>
    <w:p w:rsidR="00E35AC2" w:rsidRPr="0053772A" w:rsidP="00F73654" w14:paraId="09F62FC2" w14:textId="77777777">
      <w:pPr>
        <w:rPr>
          <w:b/>
        </w:rPr>
      </w:pPr>
    </w:p>
    <w:p w:rsidR="00E35AC2" w:rsidRPr="0053772A" w:rsidP="00F73654" w14:paraId="4492D6DB" w14:textId="77777777">
      <w:pPr>
        <w:rPr>
          <w:b/>
        </w:rPr>
      </w:pPr>
    </w:p>
    <w:p w:rsidR="005A0B9C" w:rsidP="00F73654" w14:paraId="04EB5F41" w14:textId="652C7CFD">
      <w:pPr>
        <w:pStyle w:val="Subtitle"/>
        <w:rPr>
          <w:b/>
          <w:sz w:val="24"/>
        </w:rPr>
      </w:pPr>
    </w:p>
    <w:p w:rsidR="007D61BF" w:rsidRPr="005F3B66" w:rsidP="00F73654" w14:paraId="29A57384" w14:textId="35A9D655">
      <w:pPr>
        <w:pStyle w:val="Subtitle"/>
        <w:rPr>
          <w:b/>
        </w:rPr>
      </w:pPr>
      <w:r>
        <w:rPr>
          <w:b/>
          <w:sz w:val="24"/>
        </w:rPr>
        <w:t xml:space="preserve">January 9, </w:t>
      </w:r>
      <w:r>
        <w:rPr>
          <w:b/>
          <w:sz w:val="24"/>
        </w:rPr>
        <w:t>2026</w:t>
      </w:r>
      <w:r w:rsidR="005A0B9C">
        <w:rPr>
          <w:b/>
          <w:sz w:val="24"/>
        </w:rPr>
        <w:t xml:space="preserve"> </w:t>
      </w:r>
      <w:r w:rsidRPr="005F3B66">
        <w:rPr>
          <w:b/>
        </w:rPr>
        <w:br w:type="page"/>
      </w:r>
    </w:p>
    <w:sdt>
      <w:sdtPr>
        <w:rPr>
          <w:rFonts w:ascii="Times New Roman" w:eastAsia="Times New Roman" w:hAnsi="Times New Roman" w:cs="Times New Roman"/>
          <w:b/>
          <w:color w:val="auto"/>
          <w:sz w:val="24"/>
          <w:szCs w:val="24"/>
        </w:rPr>
        <w:id w:val="115793553"/>
        <w:docPartObj>
          <w:docPartGallery w:val="Table of Contents"/>
          <w:docPartUnique/>
        </w:docPartObj>
      </w:sdtPr>
      <w:sdtEndPr>
        <w:rPr>
          <w:b w:val="0"/>
          <w:noProof/>
        </w:rPr>
      </w:sdtEndPr>
      <w:sdtContent>
        <w:p w:rsidR="00D45165" w:rsidRPr="00C409E1" w:rsidP="00F73654" w14:paraId="4B4D52B0" w14:textId="77777777">
          <w:pPr>
            <w:pStyle w:val="TOCHeading"/>
            <w:spacing w:line="240" w:lineRule="auto"/>
            <w:rPr>
              <w:rFonts w:ascii="Times New Roman" w:hAnsi="Times New Roman" w:cs="Times New Roman"/>
              <w:b/>
              <w:color w:val="auto"/>
            </w:rPr>
          </w:pPr>
          <w:r w:rsidRPr="00C409E1">
            <w:rPr>
              <w:rFonts w:ascii="Times New Roman" w:hAnsi="Times New Roman" w:cs="Times New Roman"/>
              <w:b/>
              <w:color w:val="auto"/>
            </w:rPr>
            <w:t>Table of Contents</w:t>
          </w:r>
        </w:p>
        <w:p w:rsidR="00E97B83" w:rsidP="00F73654" w14:paraId="706A0B91" w14:textId="6AFF2C01">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52565351" w:history="1">
            <w:r w:rsidRPr="00EE4792">
              <w:rPr>
                <w:rStyle w:val="Hyperlink"/>
                <w:noProof/>
              </w:rPr>
              <w:t>PART A. JUSTIFICATION</w:t>
            </w:r>
            <w:r>
              <w:rPr>
                <w:noProof/>
                <w:webHidden/>
              </w:rPr>
              <w:tab/>
            </w:r>
            <w:r>
              <w:rPr>
                <w:noProof/>
                <w:webHidden/>
              </w:rPr>
              <w:fldChar w:fldCharType="begin"/>
            </w:r>
            <w:r>
              <w:rPr>
                <w:noProof/>
                <w:webHidden/>
              </w:rPr>
              <w:instrText xml:space="preserve"> PAGEREF _Toc452565351 \h </w:instrText>
            </w:r>
            <w:r>
              <w:rPr>
                <w:noProof/>
                <w:webHidden/>
              </w:rPr>
              <w:fldChar w:fldCharType="separate"/>
            </w:r>
            <w:r w:rsidR="00BC1D07">
              <w:rPr>
                <w:noProof/>
                <w:webHidden/>
              </w:rPr>
              <w:t>1</w:t>
            </w:r>
            <w:r>
              <w:rPr>
                <w:noProof/>
                <w:webHidden/>
              </w:rPr>
              <w:fldChar w:fldCharType="end"/>
            </w:r>
          </w:hyperlink>
        </w:p>
        <w:p w:rsidR="00E97B83" w:rsidP="00F73654" w14:paraId="2F4AAD84" w14:textId="1229515E">
          <w:pPr>
            <w:pStyle w:val="TOC1"/>
            <w:rPr>
              <w:rFonts w:asciiTheme="minorHAnsi" w:eastAsiaTheme="minorEastAsia" w:hAnsiTheme="minorHAnsi" w:cstheme="minorBidi"/>
              <w:noProof/>
              <w:sz w:val="22"/>
              <w:szCs w:val="22"/>
            </w:rPr>
          </w:pPr>
          <w:hyperlink w:anchor="_Toc452565352" w:history="1">
            <w:r w:rsidRPr="00EE4792">
              <w:rPr>
                <w:rStyle w:val="Hyperlink"/>
                <w:noProof/>
              </w:rPr>
              <w:t>A.1. Circumstances Making the Collection of Information Necessary</w:t>
            </w:r>
            <w:r>
              <w:rPr>
                <w:noProof/>
                <w:webHidden/>
              </w:rPr>
              <w:tab/>
            </w:r>
            <w:r>
              <w:rPr>
                <w:noProof/>
                <w:webHidden/>
              </w:rPr>
              <w:fldChar w:fldCharType="begin"/>
            </w:r>
            <w:r>
              <w:rPr>
                <w:noProof/>
                <w:webHidden/>
              </w:rPr>
              <w:instrText xml:space="preserve"> PAGEREF _Toc452565352 \h </w:instrText>
            </w:r>
            <w:r>
              <w:rPr>
                <w:noProof/>
                <w:webHidden/>
              </w:rPr>
              <w:fldChar w:fldCharType="separate"/>
            </w:r>
            <w:r w:rsidR="00BC1D07">
              <w:rPr>
                <w:noProof/>
                <w:webHidden/>
              </w:rPr>
              <w:t>1</w:t>
            </w:r>
            <w:r>
              <w:rPr>
                <w:noProof/>
                <w:webHidden/>
              </w:rPr>
              <w:fldChar w:fldCharType="end"/>
            </w:r>
          </w:hyperlink>
        </w:p>
        <w:p w:rsidR="00E97B83" w:rsidP="00F73654" w14:paraId="5EEF73E6" w14:textId="46BC0FFD">
          <w:pPr>
            <w:pStyle w:val="TOC1"/>
            <w:rPr>
              <w:rFonts w:asciiTheme="minorHAnsi" w:eastAsiaTheme="minorEastAsia" w:hAnsiTheme="minorHAnsi" w:cstheme="minorBidi"/>
              <w:noProof/>
              <w:sz w:val="22"/>
              <w:szCs w:val="22"/>
            </w:rPr>
          </w:pPr>
          <w:hyperlink w:anchor="_Toc452565353" w:history="1">
            <w:r w:rsidRPr="00EE4792">
              <w:rPr>
                <w:rStyle w:val="Hyperlink"/>
                <w:noProof/>
              </w:rPr>
              <w:t>A.2. Purpose and Use of Information Collection</w:t>
            </w:r>
            <w:r>
              <w:rPr>
                <w:noProof/>
                <w:webHidden/>
              </w:rPr>
              <w:tab/>
            </w:r>
            <w:r>
              <w:rPr>
                <w:noProof/>
                <w:webHidden/>
              </w:rPr>
              <w:fldChar w:fldCharType="begin"/>
            </w:r>
            <w:r>
              <w:rPr>
                <w:noProof/>
                <w:webHidden/>
              </w:rPr>
              <w:instrText xml:space="preserve"> PAGEREF _Toc452565353 \h </w:instrText>
            </w:r>
            <w:r>
              <w:rPr>
                <w:noProof/>
                <w:webHidden/>
              </w:rPr>
              <w:fldChar w:fldCharType="separate"/>
            </w:r>
            <w:r w:rsidR="00BC1D07">
              <w:rPr>
                <w:noProof/>
                <w:webHidden/>
              </w:rPr>
              <w:t>2</w:t>
            </w:r>
            <w:r>
              <w:rPr>
                <w:noProof/>
                <w:webHidden/>
              </w:rPr>
              <w:fldChar w:fldCharType="end"/>
            </w:r>
          </w:hyperlink>
        </w:p>
        <w:p w:rsidR="00E97B83" w:rsidP="00F73654" w14:paraId="233E1B51" w14:textId="1380343B">
          <w:pPr>
            <w:pStyle w:val="TOC1"/>
            <w:rPr>
              <w:rFonts w:asciiTheme="minorHAnsi" w:eastAsiaTheme="minorEastAsia" w:hAnsiTheme="minorHAnsi" w:cstheme="minorBidi"/>
              <w:noProof/>
              <w:sz w:val="22"/>
              <w:szCs w:val="22"/>
            </w:rPr>
          </w:pPr>
          <w:hyperlink w:anchor="_Toc452565354" w:history="1">
            <w:r w:rsidRPr="00EE4792">
              <w:rPr>
                <w:rStyle w:val="Hyperlink"/>
                <w:noProof/>
              </w:rPr>
              <w:t>A.3. Use of Improved Information Technology and Burden Reduction</w:t>
            </w:r>
            <w:r>
              <w:rPr>
                <w:noProof/>
                <w:webHidden/>
              </w:rPr>
              <w:tab/>
            </w:r>
            <w:r>
              <w:rPr>
                <w:noProof/>
                <w:webHidden/>
              </w:rPr>
              <w:fldChar w:fldCharType="begin"/>
            </w:r>
            <w:r>
              <w:rPr>
                <w:noProof/>
                <w:webHidden/>
              </w:rPr>
              <w:instrText xml:space="preserve"> PAGEREF _Toc452565354 \h </w:instrText>
            </w:r>
            <w:r>
              <w:rPr>
                <w:noProof/>
                <w:webHidden/>
              </w:rPr>
              <w:fldChar w:fldCharType="separate"/>
            </w:r>
            <w:r w:rsidR="00BC1D07">
              <w:rPr>
                <w:noProof/>
                <w:webHidden/>
              </w:rPr>
              <w:t>4</w:t>
            </w:r>
            <w:r>
              <w:rPr>
                <w:noProof/>
                <w:webHidden/>
              </w:rPr>
              <w:fldChar w:fldCharType="end"/>
            </w:r>
          </w:hyperlink>
        </w:p>
        <w:p w:rsidR="00E97B83" w:rsidP="00F73654" w14:paraId="20AAC752" w14:textId="0DAE859F">
          <w:pPr>
            <w:pStyle w:val="TOC1"/>
            <w:rPr>
              <w:rFonts w:asciiTheme="minorHAnsi" w:eastAsiaTheme="minorEastAsia" w:hAnsiTheme="minorHAnsi" w:cstheme="minorBidi"/>
              <w:noProof/>
              <w:sz w:val="22"/>
              <w:szCs w:val="22"/>
            </w:rPr>
          </w:pPr>
          <w:hyperlink w:anchor="_Toc452565355" w:history="1">
            <w:r w:rsidRPr="00EE4792">
              <w:rPr>
                <w:rStyle w:val="Hyperlink"/>
                <w:noProof/>
              </w:rPr>
              <w:t>A.4. Efforts to Identify Duplication and Use of Similar Information</w:t>
            </w:r>
            <w:r>
              <w:rPr>
                <w:noProof/>
                <w:webHidden/>
              </w:rPr>
              <w:tab/>
            </w:r>
            <w:r>
              <w:rPr>
                <w:noProof/>
                <w:webHidden/>
              </w:rPr>
              <w:fldChar w:fldCharType="begin"/>
            </w:r>
            <w:r>
              <w:rPr>
                <w:noProof/>
                <w:webHidden/>
              </w:rPr>
              <w:instrText xml:space="preserve"> PAGEREF _Toc452565355 \h </w:instrText>
            </w:r>
            <w:r>
              <w:rPr>
                <w:noProof/>
                <w:webHidden/>
              </w:rPr>
              <w:fldChar w:fldCharType="separate"/>
            </w:r>
            <w:r w:rsidR="00BC1D07">
              <w:rPr>
                <w:noProof/>
                <w:webHidden/>
              </w:rPr>
              <w:t>4</w:t>
            </w:r>
            <w:r>
              <w:rPr>
                <w:noProof/>
                <w:webHidden/>
              </w:rPr>
              <w:fldChar w:fldCharType="end"/>
            </w:r>
          </w:hyperlink>
        </w:p>
        <w:p w:rsidR="00E97B83" w:rsidP="00F73654" w14:paraId="52AD66E9" w14:textId="0A7C81C5">
          <w:pPr>
            <w:pStyle w:val="TOC1"/>
            <w:rPr>
              <w:rFonts w:asciiTheme="minorHAnsi" w:eastAsiaTheme="minorEastAsia" w:hAnsiTheme="minorHAnsi" w:cstheme="minorBidi"/>
              <w:noProof/>
              <w:sz w:val="22"/>
              <w:szCs w:val="22"/>
            </w:rPr>
          </w:pPr>
          <w:hyperlink w:anchor="_Toc452565356" w:history="1">
            <w:r w:rsidRPr="00EE4792">
              <w:rPr>
                <w:rStyle w:val="Hyperlink"/>
                <w:noProof/>
              </w:rPr>
              <w:t>A.5. Impact on Small Businesses or Other Small Entities</w:t>
            </w:r>
            <w:r>
              <w:rPr>
                <w:noProof/>
                <w:webHidden/>
              </w:rPr>
              <w:tab/>
            </w:r>
            <w:r>
              <w:rPr>
                <w:noProof/>
                <w:webHidden/>
              </w:rPr>
              <w:fldChar w:fldCharType="begin"/>
            </w:r>
            <w:r>
              <w:rPr>
                <w:noProof/>
                <w:webHidden/>
              </w:rPr>
              <w:instrText xml:space="preserve"> PAGEREF _Toc452565356 \h </w:instrText>
            </w:r>
            <w:r>
              <w:rPr>
                <w:noProof/>
                <w:webHidden/>
              </w:rPr>
              <w:fldChar w:fldCharType="separate"/>
            </w:r>
            <w:r w:rsidR="00BC1D07">
              <w:rPr>
                <w:noProof/>
                <w:webHidden/>
              </w:rPr>
              <w:t>5</w:t>
            </w:r>
            <w:r>
              <w:rPr>
                <w:noProof/>
                <w:webHidden/>
              </w:rPr>
              <w:fldChar w:fldCharType="end"/>
            </w:r>
          </w:hyperlink>
        </w:p>
        <w:p w:rsidR="00E97B83" w:rsidP="00F73654" w14:paraId="6151D57B" w14:textId="31DC1960">
          <w:pPr>
            <w:pStyle w:val="TOC1"/>
            <w:rPr>
              <w:rFonts w:asciiTheme="minorHAnsi" w:eastAsiaTheme="minorEastAsia" w:hAnsiTheme="minorHAnsi" w:cstheme="minorBidi"/>
              <w:noProof/>
              <w:sz w:val="22"/>
              <w:szCs w:val="22"/>
            </w:rPr>
          </w:pPr>
          <w:hyperlink w:anchor="_Toc452565357" w:history="1">
            <w:r w:rsidRPr="00EE4792">
              <w:rPr>
                <w:rStyle w:val="Hyperlink"/>
                <w:noProof/>
              </w:rPr>
              <w:t>A.6. Consequences of Collecting the Information Less Frequently</w:t>
            </w:r>
            <w:r>
              <w:rPr>
                <w:noProof/>
                <w:webHidden/>
              </w:rPr>
              <w:tab/>
            </w:r>
            <w:r>
              <w:rPr>
                <w:noProof/>
                <w:webHidden/>
              </w:rPr>
              <w:fldChar w:fldCharType="begin"/>
            </w:r>
            <w:r>
              <w:rPr>
                <w:noProof/>
                <w:webHidden/>
              </w:rPr>
              <w:instrText xml:space="preserve"> PAGEREF _Toc452565357 \h </w:instrText>
            </w:r>
            <w:r>
              <w:rPr>
                <w:noProof/>
                <w:webHidden/>
              </w:rPr>
              <w:fldChar w:fldCharType="separate"/>
            </w:r>
            <w:r w:rsidR="00BC1D07">
              <w:rPr>
                <w:noProof/>
                <w:webHidden/>
              </w:rPr>
              <w:t>6</w:t>
            </w:r>
            <w:r>
              <w:rPr>
                <w:noProof/>
                <w:webHidden/>
              </w:rPr>
              <w:fldChar w:fldCharType="end"/>
            </w:r>
          </w:hyperlink>
        </w:p>
        <w:p w:rsidR="00E97B83" w:rsidP="00F73654" w14:paraId="1B77AB8C" w14:textId="400616A5">
          <w:pPr>
            <w:pStyle w:val="TOC1"/>
            <w:rPr>
              <w:rFonts w:asciiTheme="minorHAnsi" w:eastAsiaTheme="minorEastAsia" w:hAnsiTheme="minorHAnsi" w:cstheme="minorBidi"/>
              <w:noProof/>
              <w:sz w:val="22"/>
              <w:szCs w:val="22"/>
            </w:rPr>
          </w:pPr>
          <w:hyperlink w:anchor="_Toc452565358" w:history="1">
            <w:r w:rsidRPr="00EE4792">
              <w:rPr>
                <w:rStyle w:val="Hyperlink"/>
                <w:noProof/>
              </w:rPr>
              <w:t>A.7. Special Circumstances Relating to the Guidelines of 5 CFR 1320.5</w:t>
            </w:r>
            <w:r>
              <w:rPr>
                <w:noProof/>
                <w:webHidden/>
              </w:rPr>
              <w:tab/>
            </w:r>
            <w:r>
              <w:rPr>
                <w:noProof/>
                <w:webHidden/>
              </w:rPr>
              <w:fldChar w:fldCharType="begin"/>
            </w:r>
            <w:r>
              <w:rPr>
                <w:noProof/>
                <w:webHidden/>
              </w:rPr>
              <w:instrText xml:space="preserve"> PAGEREF _Toc452565358 \h </w:instrText>
            </w:r>
            <w:r>
              <w:rPr>
                <w:noProof/>
                <w:webHidden/>
              </w:rPr>
              <w:fldChar w:fldCharType="separate"/>
            </w:r>
            <w:r w:rsidR="00BC1D07">
              <w:rPr>
                <w:noProof/>
                <w:webHidden/>
              </w:rPr>
              <w:t>6</w:t>
            </w:r>
            <w:r>
              <w:rPr>
                <w:noProof/>
                <w:webHidden/>
              </w:rPr>
              <w:fldChar w:fldCharType="end"/>
            </w:r>
          </w:hyperlink>
        </w:p>
        <w:p w:rsidR="00E97B83" w:rsidP="00F73654" w14:paraId="58FCE7DC" w14:textId="7EC206B7">
          <w:pPr>
            <w:pStyle w:val="TOC1"/>
            <w:rPr>
              <w:rFonts w:asciiTheme="minorHAnsi" w:eastAsiaTheme="minorEastAsia" w:hAnsiTheme="minorHAnsi" w:cstheme="minorBidi"/>
              <w:noProof/>
              <w:sz w:val="22"/>
              <w:szCs w:val="22"/>
            </w:rPr>
          </w:pPr>
          <w:hyperlink w:anchor="_Toc452565359" w:history="1">
            <w:r w:rsidRPr="00EE4792">
              <w:rPr>
                <w:rStyle w:val="Hyperlink"/>
                <w:noProof/>
              </w:rPr>
              <w:t>A.8. Comments in Response to the Federal Register Notice and Efforts to Consult Outside the Agency</w:t>
            </w:r>
            <w:r>
              <w:rPr>
                <w:noProof/>
                <w:webHidden/>
              </w:rPr>
              <w:tab/>
            </w:r>
            <w:r>
              <w:rPr>
                <w:noProof/>
                <w:webHidden/>
              </w:rPr>
              <w:fldChar w:fldCharType="begin"/>
            </w:r>
            <w:r>
              <w:rPr>
                <w:noProof/>
                <w:webHidden/>
              </w:rPr>
              <w:instrText xml:space="preserve"> PAGEREF _Toc452565359 \h </w:instrText>
            </w:r>
            <w:r>
              <w:rPr>
                <w:noProof/>
                <w:webHidden/>
              </w:rPr>
              <w:fldChar w:fldCharType="separate"/>
            </w:r>
            <w:r w:rsidR="00BC1D07">
              <w:rPr>
                <w:noProof/>
                <w:webHidden/>
              </w:rPr>
              <w:t>6</w:t>
            </w:r>
            <w:r>
              <w:rPr>
                <w:noProof/>
                <w:webHidden/>
              </w:rPr>
              <w:fldChar w:fldCharType="end"/>
            </w:r>
          </w:hyperlink>
        </w:p>
        <w:p w:rsidR="00E97B83" w:rsidP="00F73654" w14:paraId="7957C021" w14:textId="232335CE">
          <w:pPr>
            <w:pStyle w:val="TOC1"/>
            <w:rPr>
              <w:rFonts w:asciiTheme="minorHAnsi" w:eastAsiaTheme="minorEastAsia" w:hAnsiTheme="minorHAnsi" w:cstheme="minorBidi"/>
              <w:noProof/>
              <w:sz w:val="22"/>
              <w:szCs w:val="22"/>
            </w:rPr>
          </w:pPr>
          <w:hyperlink w:anchor="_Toc452565360" w:history="1">
            <w:r w:rsidRPr="00EE4792">
              <w:rPr>
                <w:rStyle w:val="Hyperlink"/>
                <w:noProof/>
              </w:rPr>
              <w:t>A.9. Explanation of Any Payment or Gift to Respondents</w:t>
            </w:r>
            <w:r>
              <w:rPr>
                <w:noProof/>
                <w:webHidden/>
              </w:rPr>
              <w:tab/>
            </w:r>
            <w:r>
              <w:rPr>
                <w:noProof/>
                <w:webHidden/>
              </w:rPr>
              <w:fldChar w:fldCharType="begin"/>
            </w:r>
            <w:r>
              <w:rPr>
                <w:noProof/>
                <w:webHidden/>
              </w:rPr>
              <w:instrText xml:space="preserve"> PAGEREF _Toc452565360 \h </w:instrText>
            </w:r>
            <w:r>
              <w:rPr>
                <w:noProof/>
                <w:webHidden/>
              </w:rPr>
              <w:fldChar w:fldCharType="separate"/>
            </w:r>
            <w:r w:rsidR="00BC1D07">
              <w:rPr>
                <w:noProof/>
                <w:webHidden/>
              </w:rPr>
              <w:t>6</w:t>
            </w:r>
            <w:r>
              <w:rPr>
                <w:noProof/>
                <w:webHidden/>
              </w:rPr>
              <w:fldChar w:fldCharType="end"/>
            </w:r>
          </w:hyperlink>
        </w:p>
        <w:p w:rsidR="00E97B83" w:rsidP="00F73654" w14:paraId="3672B0B1" w14:textId="75894725">
          <w:pPr>
            <w:pStyle w:val="TOC1"/>
            <w:rPr>
              <w:rFonts w:asciiTheme="minorHAnsi" w:eastAsiaTheme="minorEastAsia" w:hAnsiTheme="minorHAnsi" w:cstheme="minorBidi"/>
              <w:noProof/>
              <w:sz w:val="22"/>
              <w:szCs w:val="22"/>
            </w:rPr>
          </w:pPr>
          <w:hyperlink w:anchor="_Toc452565361" w:history="1">
            <w:r w:rsidRPr="00EE4792">
              <w:rPr>
                <w:rStyle w:val="Hyperlink"/>
                <w:noProof/>
              </w:rPr>
              <w:t>A.10. Assurance of Confidentiality Provided to Respondents</w:t>
            </w:r>
            <w:r>
              <w:rPr>
                <w:noProof/>
                <w:webHidden/>
              </w:rPr>
              <w:tab/>
            </w:r>
            <w:r>
              <w:rPr>
                <w:noProof/>
                <w:webHidden/>
              </w:rPr>
              <w:fldChar w:fldCharType="begin"/>
            </w:r>
            <w:r>
              <w:rPr>
                <w:noProof/>
                <w:webHidden/>
              </w:rPr>
              <w:instrText xml:space="preserve"> PAGEREF _Toc452565361 \h </w:instrText>
            </w:r>
            <w:r>
              <w:rPr>
                <w:noProof/>
                <w:webHidden/>
              </w:rPr>
              <w:fldChar w:fldCharType="separate"/>
            </w:r>
            <w:r w:rsidR="00BC1D07">
              <w:rPr>
                <w:noProof/>
                <w:webHidden/>
              </w:rPr>
              <w:t>6</w:t>
            </w:r>
            <w:r>
              <w:rPr>
                <w:noProof/>
                <w:webHidden/>
              </w:rPr>
              <w:fldChar w:fldCharType="end"/>
            </w:r>
          </w:hyperlink>
        </w:p>
        <w:p w:rsidR="00E97B83" w:rsidP="00F73654" w14:paraId="68F15622" w14:textId="50C7D08E">
          <w:pPr>
            <w:pStyle w:val="TOC1"/>
            <w:rPr>
              <w:rFonts w:asciiTheme="minorHAnsi" w:eastAsiaTheme="minorEastAsia" w:hAnsiTheme="minorHAnsi" w:cstheme="minorBidi"/>
              <w:noProof/>
              <w:sz w:val="22"/>
              <w:szCs w:val="22"/>
            </w:rPr>
          </w:pPr>
          <w:hyperlink w:anchor="_Toc452565362" w:history="1">
            <w:r w:rsidRPr="00EE4792">
              <w:rPr>
                <w:rStyle w:val="Hyperlink"/>
                <w:noProof/>
              </w:rPr>
              <w:t>A.11. Institutional Review Board (IRB) and Justification for Sensitive Questions</w:t>
            </w:r>
            <w:r>
              <w:rPr>
                <w:noProof/>
                <w:webHidden/>
              </w:rPr>
              <w:tab/>
            </w:r>
            <w:r>
              <w:rPr>
                <w:noProof/>
                <w:webHidden/>
              </w:rPr>
              <w:fldChar w:fldCharType="begin"/>
            </w:r>
            <w:r>
              <w:rPr>
                <w:noProof/>
                <w:webHidden/>
              </w:rPr>
              <w:instrText xml:space="preserve"> PAGEREF _Toc452565362 \h </w:instrText>
            </w:r>
            <w:r>
              <w:rPr>
                <w:noProof/>
                <w:webHidden/>
              </w:rPr>
              <w:fldChar w:fldCharType="separate"/>
            </w:r>
            <w:r w:rsidR="00BC1D07">
              <w:rPr>
                <w:noProof/>
                <w:webHidden/>
              </w:rPr>
              <w:t>7</w:t>
            </w:r>
            <w:r>
              <w:rPr>
                <w:noProof/>
                <w:webHidden/>
              </w:rPr>
              <w:fldChar w:fldCharType="end"/>
            </w:r>
          </w:hyperlink>
        </w:p>
        <w:p w:rsidR="00E97B83" w:rsidP="00F73654" w14:paraId="0D823C68" w14:textId="41C36554">
          <w:pPr>
            <w:pStyle w:val="TOC1"/>
            <w:rPr>
              <w:rFonts w:asciiTheme="minorHAnsi" w:eastAsiaTheme="minorEastAsia" w:hAnsiTheme="minorHAnsi" w:cstheme="minorBidi"/>
              <w:noProof/>
              <w:sz w:val="22"/>
              <w:szCs w:val="22"/>
            </w:rPr>
          </w:pPr>
          <w:hyperlink w:anchor="_Toc452565363" w:history="1">
            <w:r w:rsidRPr="00EE4792">
              <w:rPr>
                <w:rStyle w:val="Hyperlink"/>
                <w:noProof/>
              </w:rPr>
              <w:t>A.12. Estimates of Annualized Burden Hours and Costs</w:t>
            </w:r>
            <w:r>
              <w:rPr>
                <w:noProof/>
                <w:webHidden/>
              </w:rPr>
              <w:tab/>
            </w:r>
            <w:r>
              <w:rPr>
                <w:noProof/>
                <w:webHidden/>
              </w:rPr>
              <w:fldChar w:fldCharType="begin"/>
            </w:r>
            <w:r>
              <w:rPr>
                <w:noProof/>
                <w:webHidden/>
              </w:rPr>
              <w:instrText xml:space="preserve"> PAGEREF _Toc452565363 \h </w:instrText>
            </w:r>
            <w:r>
              <w:rPr>
                <w:noProof/>
                <w:webHidden/>
              </w:rPr>
              <w:fldChar w:fldCharType="separate"/>
            </w:r>
            <w:r w:rsidR="00BC1D07">
              <w:rPr>
                <w:noProof/>
                <w:webHidden/>
              </w:rPr>
              <w:t>8</w:t>
            </w:r>
            <w:r>
              <w:rPr>
                <w:noProof/>
                <w:webHidden/>
              </w:rPr>
              <w:fldChar w:fldCharType="end"/>
            </w:r>
          </w:hyperlink>
        </w:p>
        <w:p w:rsidR="00E97B83" w:rsidP="00F73654" w14:paraId="58542464" w14:textId="3969A2E9">
          <w:pPr>
            <w:pStyle w:val="TOC1"/>
            <w:rPr>
              <w:rFonts w:asciiTheme="minorHAnsi" w:eastAsiaTheme="minorEastAsia" w:hAnsiTheme="minorHAnsi" w:cstheme="minorBidi"/>
              <w:noProof/>
              <w:sz w:val="22"/>
              <w:szCs w:val="22"/>
            </w:rPr>
          </w:pPr>
          <w:hyperlink w:anchor="_Toc452565364" w:history="1">
            <w:r w:rsidRPr="00EE4792">
              <w:rPr>
                <w:rStyle w:val="Hyperlink"/>
                <w:noProof/>
              </w:rPr>
              <w:t>A.13. Estimates of Other Total Annual Cost Burden to Respondents or Record Keepers</w:t>
            </w:r>
            <w:r>
              <w:rPr>
                <w:noProof/>
                <w:webHidden/>
              </w:rPr>
              <w:tab/>
            </w:r>
            <w:r>
              <w:rPr>
                <w:noProof/>
                <w:webHidden/>
              </w:rPr>
              <w:fldChar w:fldCharType="begin"/>
            </w:r>
            <w:r>
              <w:rPr>
                <w:noProof/>
                <w:webHidden/>
              </w:rPr>
              <w:instrText xml:space="preserve"> PAGEREF _Toc452565364 \h </w:instrText>
            </w:r>
            <w:r>
              <w:rPr>
                <w:noProof/>
                <w:webHidden/>
              </w:rPr>
              <w:fldChar w:fldCharType="separate"/>
            </w:r>
            <w:r w:rsidR="00BC1D07">
              <w:rPr>
                <w:noProof/>
                <w:webHidden/>
              </w:rPr>
              <w:t>9</w:t>
            </w:r>
            <w:r>
              <w:rPr>
                <w:noProof/>
                <w:webHidden/>
              </w:rPr>
              <w:fldChar w:fldCharType="end"/>
            </w:r>
          </w:hyperlink>
        </w:p>
        <w:p w:rsidR="00E97B83" w:rsidP="00F73654" w14:paraId="2F04FC87" w14:textId="0F979421">
          <w:pPr>
            <w:pStyle w:val="TOC1"/>
            <w:rPr>
              <w:rFonts w:asciiTheme="minorHAnsi" w:eastAsiaTheme="minorEastAsia" w:hAnsiTheme="minorHAnsi" w:cstheme="minorBidi"/>
              <w:noProof/>
              <w:sz w:val="22"/>
              <w:szCs w:val="22"/>
            </w:rPr>
          </w:pPr>
          <w:hyperlink w:anchor="_Toc452565365" w:history="1">
            <w:r w:rsidRPr="00EE4792">
              <w:rPr>
                <w:rStyle w:val="Hyperlink"/>
                <w:noProof/>
              </w:rPr>
              <w:t>A.14. Annualized Cost to the Government</w:t>
            </w:r>
            <w:r>
              <w:rPr>
                <w:noProof/>
                <w:webHidden/>
              </w:rPr>
              <w:tab/>
            </w:r>
            <w:r>
              <w:rPr>
                <w:noProof/>
                <w:webHidden/>
              </w:rPr>
              <w:fldChar w:fldCharType="begin"/>
            </w:r>
            <w:r>
              <w:rPr>
                <w:noProof/>
                <w:webHidden/>
              </w:rPr>
              <w:instrText xml:space="preserve"> PAGEREF _Toc452565365 \h </w:instrText>
            </w:r>
            <w:r>
              <w:rPr>
                <w:noProof/>
                <w:webHidden/>
              </w:rPr>
              <w:fldChar w:fldCharType="separate"/>
            </w:r>
            <w:r w:rsidR="00BC1D07">
              <w:rPr>
                <w:noProof/>
                <w:webHidden/>
              </w:rPr>
              <w:t>9</w:t>
            </w:r>
            <w:r>
              <w:rPr>
                <w:noProof/>
                <w:webHidden/>
              </w:rPr>
              <w:fldChar w:fldCharType="end"/>
            </w:r>
          </w:hyperlink>
        </w:p>
        <w:p w:rsidR="00E97B83" w:rsidP="00F73654" w14:paraId="6D58859B" w14:textId="7D3FE4FC">
          <w:pPr>
            <w:pStyle w:val="TOC1"/>
            <w:rPr>
              <w:rFonts w:asciiTheme="minorHAnsi" w:eastAsiaTheme="minorEastAsia" w:hAnsiTheme="minorHAnsi" w:cstheme="minorBidi"/>
              <w:noProof/>
              <w:sz w:val="22"/>
              <w:szCs w:val="22"/>
            </w:rPr>
          </w:pPr>
          <w:hyperlink w:anchor="_Toc452565366" w:history="1">
            <w:r w:rsidRPr="00EE4792">
              <w:rPr>
                <w:rStyle w:val="Hyperlink"/>
                <w:noProof/>
              </w:rPr>
              <w:t>A.15. Explanation for Program Changes or Adjustments</w:t>
            </w:r>
            <w:r>
              <w:rPr>
                <w:noProof/>
                <w:webHidden/>
              </w:rPr>
              <w:tab/>
            </w:r>
            <w:r>
              <w:rPr>
                <w:noProof/>
                <w:webHidden/>
              </w:rPr>
              <w:fldChar w:fldCharType="begin"/>
            </w:r>
            <w:r>
              <w:rPr>
                <w:noProof/>
                <w:webHidden/>
              </w:rPr>
              <w:instrText xml:space="preserve"> PAGEREF _Toc452565366 \h </w:instrText>
            </w:r>
            <w:r>
              <w:rPr>
                <w:noProof/>
                <w:webHidden/>
              </w:rPr>
              <w:fldChar w:fldCharType="separate"/>
            </w:r>
            <w:r w:rsidR="00BC1D07">
              <w:rPr>
                <w:noProof/>
                <w:webHidden/>
              </w:rPr>
              <w:t>10</w:t>
            </w:r>
            <w:r>
              <w:rPr>
                <w:noProof/>
                <w:webHidden/>
              </w:rPr>
              <w:fldChar w:fldCharType="end"/>
            </w:r>
          </w:hyperlink>
        </w:p>
        <w:p w:rsidR="00E97B83" w:rsidP="00F73654" w14:paraId="780A7ED8" w14:textId="26B67224">
          <w:pPr>
            <w:pStyle w:val="TOC1"/>
            <w:rPr>
              <w:rFonts w:asciiTheme="minorHAnsi" w:eastAsiaTheme="minorEastAsia" w:hAnsiTheme="minorHAnsi" w:cstheme="minorBidi"/>
              <w:noProof/>
              <w:sz w:val="22"/>
              <w:szCs w:val="22"/>
            </w:rPr>
          </w:pPr>
          <w:hyperlink w:anchor="_Toc452565367" w:history="1">
            <w:r w:rsidRPr="00EE4792">
              <w:rPr>
                <w:rStyle w:val="Hyperlink"/>
                <w:noProof/>
              </w:rPr>
              <w:t>A.16. Plans for Tabulation and Publication and Project Time Schedule</w:t>
            </w:r>
            <w:r>
              <w:rPr>
                <w:noProof/>
                <w:webHidden/>
              </w:rPr>
              <w:tab/>
            </w:r>
            <w:r>
              <w:rPr>
                <w:noProof/>
                <w:webHidden/>
              </w:rPr>
              <w:fldChar w:fldCharType="begin"/>
            </w:r>
            <w:r>
              <w:rPr>
                <w:noProof/>
                <w:webHidden/>
              </w:rPr>
              <w:instrText xml:space="preserve"> PAGEREF _Toc452565367 \h </w:instrText>
            </w:r>
            <w:r>
              <w:rPr>
                <w:noProof/>
                <w:webHidden/>
              </w:rPr>
              <w:fldChar w:fldCharType="separate"/>
            </w:r>
            <w:r w:rsidR="00BC1D07">
              <w:rPr>
                <w:noProof/>
                <w:webHidden/>
              </w:rPr>
              <w:t>11</w:t>
            </w:r>
            <w:r>
              <w:rPr>
                <w:noProof/>
                <w:webHidden/>
              </w:rPr>
              <w:fldChar w:fldCharType="end"/>
            </w:r>
          </w:hyperlink>
        </w:p>
        <w:p w:rsidR="00E97B83" w:rsidP="00F73654" w14:paraId="45B12845" w14:textId="76C29401">
          <w:pPr>
            <w:pStyle w:val="TOC1"/>
            <w:rPr>
              <w:rFonts w:asciiTheme="minorHAnsi" w:eastAsiaTheme="minorEastAsia" w:hAnsiTheme="minorHAnsi" w:cstheme="minorBidi"/>
              <w:noProof/>
              <w:sz w:val="22"/>
              <w:szCs w:val="22"/>
            </w:rPr>
          </w:pPr>
          <w:hyperlink w:anchor="_Toc452565368" w:history="1">
            <w:r w:rsidRPr="00EE4792">
              <w:rPr>
                <w:rStyle w:val="Hyperlink"/>
                <w:noProof/>
              </w:rPr>
              <w:t>A.17. Reason(s) Display of OMB Expiration Date is Inappropriate</w:t>
            </w:r>
            <w:r>
              <w:rPr>
                <w:noProof/>
                <w:webHidden/>
              </w:rPr>
              <w:tab/>
            </w:r>
            <w:r>
              <w:rPr>
                <w:noProof/>
                <w:webHidden/>
              </w:rPr>
              <w:fldChar w:fldCharType="begin"/>
            </w:r>
            <w:r>
              <w:rPr>
                <w:noProof/>
                <w:webHidden/>
              </w:rPr>
              <w:instrText xml:space="preserve"> PAGEREF _Toc452565368 \h </w:instrText>
            </w:r>
            <w:r>
              <w:rPr>
                <w:noProof/>
                <w:webHidden/>
              </w:rPr>
              <w:fldChar w:fldCharType="separate"/>
            </w:r>
            <w:r w:rsidR="00BC1D07">
              <w:rPr>
                <w:noProof/>
                <w:webHidden/>
              </w:rPr>
              <w:t>12</w:t>
            </w:r>
            <w:r>
              <w:rPr>
                <w:noProof/>
                <w:webHidden/>
              </w:rPr>
              <w:fldChar w:fldCharType="end"/>
            </w:r>
          </w:hyperlink>
        </w:p>
        <w:p w:rsidR="00E97B83" w:rsidP="00F73654" w14:paraId="3862A606" w14:textId="67576377">
          <w:pPr>
            <w:pStyle w:val="TOC1"/>
            <w:rPr>
              <w:rFonts w:asciiTheme="minorHAnsi" w:eastAsiaTheme="minorEastAsia" w:hAnsiTheme="minorHAnsi" w:cstheme="minorBidi"/>
              <w:noProof/>
              <w:sz w:val="22"/>
              <w:szCs w:val="22"/>
            </w:rPr>
          </w:pPr>
          <w:hyperlink w:anchor="_Toc452565369" w:history="1">
            <w:r w:rsidRPr="00EE4792">
              <w:rPr>
                <w:rStyle w:val="Hyperlink"/>
                <w:noProof/>
              </w:rPr>
              <w:t>A.18. Exceptions to Certification for Paperwork Reduction Act Submissions</w:t>
            </w:r>
            <w:r>
              <w:rPr>
                <w:noProof/>
                <w:webHidden/>
              </w:rPr>
              <w:tab/>
            </w:r>
            <w:r>
              <w:rPr>
                <w:noProof/>
                <w:webHidden/>
              </w:rPr>
              <w:fldChar w:fldCharType="begin"/>
            </w:r>
            <w:r>
              <w:rPr>
                <w:noProof/>
                <w:webHidden/>
              </w:rPr>
              <w:instrText xml:space="preserve"> PAGEREF _Toc452565369 \h </w:instrText>
            </w:r>
            <w:r>
              <w:rPr>
                <w:noProof/>
                <w:webHidden/>
              </w:rPr>
              <w:fldChar w:fldCharType="separate"/>
            </w:r>
            <w:r w:rsidR="00BC1D07">
              <w:rPr>
                <w:noProof/>
                <w:webHidden/>
              </w:rPr>
              <w:t>12</w:t>
            </w:r>
            <w:r>
              <w:rPr>
                <w:noProof/>
                <w:webHidden/>
              </w:rPr>
              <w:fldChar w:fldCharType="end"/>
            </w:r>
          </w:hyperlink>
        </w:p>
        <w:p w:rsidR="00D45165" w:rsidP="00F73654" w14:paraId="3B880E8B" w14:textId="77777777">
          <w:pPr>
            <w:pStyle w:val="TOC1"/>
            <w:ind w:left="0" w:firstLine="0"/>
          </w:pPr>
          <w:r>
            <w:rPr>
              <w:noProof/>
            </w:rPr>
            <w:fldChar w:fldCharType="end"/>
          </w:r>
        </w:p>
      </w:sdtContent>
    </w:sdt>
    <w:p w:rsidR="00C409E1" w:rsidP="00F73654" w14:paraId="6DA2C695" w14:textId="77777777">
      <w:pPr>
        <w:rPr>
          <w:b/>
        </w:rPr>
      </w:pPr>
    </w:p>
    <w:p w:rsidR="009D055D" w:rsidP="00F73654" w14:paraId="18A92509" w14:textId="77777777">
      <w:pPr>
        <w:rPr>
          <w:b/>
        </w:rPr>
      </w:pPr>
      <w:r>
        <w:rPr>
          <w:b/>
        </w:rPr>
        <w:t>List of Attachments</w:t>
      </w:r>
    </w:p>
    <w:p w:rsidR="00C409E1" w:rsidP="00F73654" w14:paraId="2BFE9B1E" w14:textId="77777777">
      <w:pPr>
        <w:rPr>
          <w:b/>
        </w:rPr>
      </w:pPr>
    </w:p>
    <w:p w:rsidR="00B8562C" w:rsidP="00C62AA9" w14:paraId="46A7629D" w14:textId="0D495CB4">
      <w:pPr>
        <w:spacing w:after="120"/>
      </w:pPr>
      <w:r>
        <w:t>Attachment 1</w:t>
      </w:r>
      <w:r w:rsidR="007B08D7">
        <w:t xml:space="preserve"> &amp; 1a</w:t>
      </w:r>
      <w:r>
        <w:t xml:space="preserve">—Authorizing </w:t>
      </w:r>
      <w:r w:rsidRPr="00DF2EA8">
        <w:t>Legislation</w:t>
      </w:r>
      <w:r w:rsidR="00541702">
        <w:t xml:space="preserve"> </w:t>
      </w:r>
    </w:p>
    <w:p w:rsidR="009D055D" w:rsidP="00F73654" w14:paraId="29AAB7D1" w14:textId="57ACCDCD">
      <w:pPr>
        <w:spacing w:after="120"/>
        <w:rPr>
          <w:bCs/>
        </w:rPr>
      </w:pPr>
      <w:r>
        <w:t xml:space="preserve">Attachment </w:t>
      </w:r>
      <w:r w:rsidR="0012472D">
        <w:t>2</w:t>
      </w:r>
      <w:r>
        <w:t>—</w:t>
      </w:r>
      <w:r w:rsidR="00A7051A">
        <w:t>Template for Generic Information Collection</w:t>
      </w:r>
      <w:r w:rsidR="00D931AD">
        <w:t xml:space="preserve"> (</w:t>
      </w:r>
      <w:r w:rsidR="00D931AD">
        <w:t>genIC</w:t>
      </w:r>
      <w:r w:rsidR="00D931AD">
        <w:t>)</w:t>
      </w:r>
      <w:r w:rsidR="00A7051A">
        <w:t xml:space="preserve"> S</w:t>
      </w:r>
      <w:r w:rsidR="00BE7A42">
        <w:t>ubmissions</w:t>
      </w:r>
      <w:r w:rsidR="00E00A7E">
        <w:t xml:space="preserve">: </w:t>
      </w:r>
      <w:r w:rsidRPr="008B555D" w:rsidR="00E00A7E">
        <w:rPr>
          <w:bCs/>
        </w:rPr>
        <w:t xml:space="preserve">Request for Approval Under Generic Clearance for CDC Fellowship Programs </w:t>
      </w:r>
      <w:r w:rsidR="004C335A">
        <w:rPr>
          <w:bCs/>
        </w:rPr>
        <w:t xml:space="preserve">Assessment </w:t>
      </w:r>
      <w:r w:rsidRPr="008B555D" w:rsidR="00E00A7E">
        <w:rPr>
          <w:bCs/>
        </w:rPr>
        <w:t>(OMB Control Number: 0920-</w:t>
      </w:r>
      <w:r w:rsidR="0053772A">
        <w:rPr>
          <w:bCs/>
        </w:rPr>
        <w:t>1163</w:t>
      </w:r>
      <w:r w:rsidRPr="008B555D" w:rsidR="00E00A7E">
        <w:rPr>
          <w:bCs/>
        </w:rPr>
        <w:t>)</w:t>
      </w:r>
    </w:p>
    <w:p w:rsidR="00301F1C" w:rsidP="4E6E681B" w14:paraId="155A9948" w14:textId="1D30AD45">
      <w:pPr>
        <w:spacing w:after="120"/>
        <w:rPr>
          <w:rFonts w:eastAsia="Arial Unicode MS"/>
        </w:rPr>
      </w:pPr>
      <w:r>
        <w:t xml:space="preserve">Attachment </w:t>
      </w:r>
      <w:r w:rsidR="0012472D">
        <w:t>3</w:t>
      </w:r>
      <w:r>
        <w:t xml:space="preserve">—60-Day </w:t>
      </w:r>
      <w:r w:rsidRPr="4E6E681B">
        <w:rPr>
          <w:rFonts w:eastAsia="Arial Unicode MS"/>
        </w:rPr>
        <w:t>Federal Register Notice</w:t>
      </w:r>
    </w:p>
    <w:p w:rsidR="00067EE5" w:rsidP="4E6E681B" w14:paraId="5B243E98" w14:textId="081D4D91">
      <w:pPr>
        <w:spacing w:after="120"/>
        <w:rPr>
          <w:rFonts w:eastAsia="Arial Unicode MS"/>
        </w:rPr>
      </w:pPr>
      <w:r>
        <w:rPr>
          <w:rFonts w:eastAsia="Arial Unicode MS"/>
        </w:rPr>
        <w:t>Attachment 3a</w:t>
      </w:r>
      <w:r w:rsidR="00BB76AA">
        <w:t>—</w:t>
      </w:r>
      <w:r w:rsidR="00BC7C17">
        <w:rPr>
          <w:rFonts w:eastAsia="Arial Unicode MS"/>
        </w:rPr>
        <w:t>P</w:t>
      </w:r>
      <w:r w:rsidR="00BB76AA">
        <w:rPr>
          <w:rFonts w:eastAsia="Arial Unicode MS"/>
        </w:rPr>
        <w:t>ublic</w:t>
      </w:r>
      <w:r>
        <w:rPr>
          <w:rFonts w:eastAsia="Arial Unicode MS"/>
        </w:rPr>
        <w:t xml:space="preserve"> comment </w:t>
      </w:r>
      <w:r w:rsidR="00C12211">
        <w:rPr>
          <w:rFonts w:eastAsia="Arial Unicode MS"/>
        </w:rPr>
        <w:t>1</w:t>
      </w:r>
    </w:p>
    <w:p w:rsidR="00BB76AA" w:rsidP="4E6E681B" w14:paraId="5B9AF98D" w14:textId="085582BD">
      <w:pPr>
        <w:spacing w:after="120"/>
      </w:pPr>
      <w:r>
        <w:rPr>
          <w:rFonts w:eastAsia="Arial Unicode MS"/>
        </w:rPr>
        <w:t>Attachment 3b</w:t>
      </w:r>
      <w:r>
        <w:t xml:space="preserve">— </w:t>
      </w:r>
      <w:r w:rsidR="00C12211">
        <w:t>P</w:t>
      </w:r>
      <w:r>
        <w:t xml:space="preserve">ublic comment </w:t>
      </w:r>
      <w:r w:rsidR="004A2D04">
        <w:t>2 and CDC response</w:t>
      </w:r>
    </w:p>
    <w:p w:rsidR="00BB76AA" w:rsidRPr="00301F1C" w:rsidP="4E6E681B" w14:paraId="133AE79E" w14:textId="53853E30">
      <w:pPr>
        <w:spacing w:after="120"/>
        <w:rPr>
          <w:rFonts w:eastAsia="Arial Unicode MS"/>
        </w:rPr>
      </w:pPr>
      <w:r>
        <w:t xml:space="preserve">Attachment 3c— Public comment </w:t>
      </w:r>
      <w:r w:rsidR="004A2D04">
        <w:t>3</w:t>
      </w:r>
    </w:p>
    <w:p w:rsidR="00E01113" w:rsidRPr="00332BEE" w:rsidP="00F73654" w14:paraId="09B9F2E6" w14:textId="16028C18">
      <w:pPr>
        <w:spacing w:after="120"/>
      </w:pPr>
      <w:r>
        <w:t xml:space="preserve">Attachment </w:t>
      </w:r>
      <w:r w:rsidR="0012472D">
        <w:t>4</w:t>
      </w:r>
      <w:r>
        <w:t xml:space="preserve">— System </w:t>
      </w:r>
      <w:r w:rsidR="00A7051A">
        <w:t>of Records Notice</w:t>
      </w:r>
      <w:r w:rsidR="004A3162">
        <w:t xml:space="preserve"> 09-20-0161</w:t>
      </w:r>
      <w:r w:rsidR="00E00A7E">
        <w:t xml:space="preserve">: </w:t>
      </w:r>
      <w:r w:rsidR="004A3162">
        <w:t>Records of Health Professionals in Disease Prevention and Control Training Programs</w:t>
      </w:r>
    </w:p>
    <w:p w:rsidR="00E01113" w:rsidRPr="00332BEE" w:rsidP="4E6E681B" w14:paraId="4FB71627" w14:textId="79902D79">
      <w:pPr>
        <w:spacing w:after="120"/>
        <w:sectPr>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bookmarkStart w:id="0" w:name="_Toc299967993"/>
      <w:r>
        <w:br w:type="page"/>
      </w:r>
    </w:p>
    <w:p w:rsidR="00D931AD" w:rsidP="00F73654" w14:paraId="3DD9BC72" w14:textId="22E3EE2D">
      <w:pPr>
        <w:jc w:val="center"/>
        <w:rPr>
          <w:b/>
          <w:sz w:val="28"/>
          <w:szCs w:val="28"/>
        </w:rPr>
      </w:pPr>
      <w:r w:rsidRPr="00D3642C">
        <w:rPr>
          <w:b/>
          <w:sz w:val="28"/>
          <w:szCs w:val="28"/>
        </w:rPr>
        <w:t>CDC Fellowship</w:t>
      </w:r>
      <w:r>
        <w:rPr>
          <w:b/>
          <w:sz w:val="28"/>
          <w:szCs w:val="28"/>
        </w:rPr>
        <w:t xml:space="preserve"> Program</w:t>
      </w:r>
      <w:r w:rsidRPr="00D3642C">
        <w:rPr>
          <w:b/>
          <w:sz w:val="28"/>
          <w:szCs w:val="28"/>
        </w:rPr>
        <w:t>s</w:t>
      </w:r>
      <w:r w:rsidR="0087195B">
        <w:rPr>
          <w:b/>
          <w:sz w:val="28"/>
          <w:szCs w:val="28"/>
        </w:rPr>
        <w:t xml:space="preserve"> Assessment</w:t>
      </w:r>
      <w:r w:rsidRPr="00D3642C">
        <w:rPr>
          <w:b/>
          <w:sz w:val="28"/>
          <w:szCs w:val="28"/>
        </w:rPr>
        <w:t xml:space="preserve"> (</w:t>
      </w:r>
      <w:r w:rsidR="00C83F26">
        <w:rPr>
          <w:b/>
          <w:sz w:val="28"/>
          <w:szCs w:val="28"/>
        </w:rPr>
        <w:t>0920-</w:t>
      </w:r>
      <w:r w:rsidRPr="447F69DE" w:rsidR="00C83F26">
        <w:rPr>
          <w:b/>
          <w:bCs/>
          <w:sz w:val="28"/>
          <w:szCs w:val="28"/>
        </w:rPr>
        <w:t>1</w:t>
      </w:r>
      <w:r w:rsidRPr="447F69DE" w:rsidR="45329FFC">
        <w:rPr>
          <w:b/>
          <w:bCs/>
          <w:sz w:val="28"/>
          <w:szCs w:val="28"/>
        </w:rPr>
        <w:t>163</w:t>
      </w:r>
      <w:r w:rsidRPr="00D3642C">
        <w:rPr>
          <w:b/>
          <w:sz w:val="28"/>
          <w:szCs w:val="28"/>
        </w:rPr>
        <w:t>)</w:t>
      </w:r>
    </w:p>
    <w:p w:rsidR="00D3642C" w:rsidRPr="00D3642C" w:rsidP="00F73654" w14:paraId="651F38EE" w14:textId="77777777">
      <w:pPr>
        <w:jc w:val="center"/>
        <w:rPr>
          <w:b/>
          <w:sz w:val="28"/>
          <w:szCs w:val="28"/>
        </w:rPr>
      </w:pPr>
    </w:p>
    <w:p w:rsidR="00E01113" w:rsidRPr="00B06A90" w:rsidP="00F73654" w14:paraId="79D7E24B" w14:textId="5A53EF95">
      <w:pPr>
        <w:jc w:val="center"/>
        <w:rPr>
          <w:b/>
        </w:rPr>
      </w:pPr>
      <w:r w:rsidRPr="00B06A90">
        <w:rPr>
          <w:b/>
        </w:rPr>
        <w:t>R</w:t>
      </w:r>
      <w:r w:rsidRPr="2033F4FA" w:rsidR="3E30B53F">
        <w:rPr>
          <w:b/>
          <w:bCs/>
        </w:rPr>
        <w:t>evision of a</w:t>
      </w:r>
      <w:r w:rsidRPr="00B06A90">
        <w:rPr>
          <w:b/>
        </w:rPr>
        <w:t xml:space="preserve"> </w:t>
      </w:r>
      <w:r w:rsidRPr="00B06A90" w:rsidR="002B2C54">
        <w:rPr>
          <w:b/>
        </w:rPr>
        <w:t>g</w:t>
      </w:r>
      <w:r w:rsidRPr="00B06A90">
        <w:rPr>
          <w:b/>
        </w:rPr>
        <w:t xml:space="preserve">eneric </w:t>
      </w:r>
      <w:r w:rsidRPr="00B06A90" w:rsidR="00BB4FAB">
        <w:rPr>
          <w:b/>
        </w:rPr>
        <w:t>information collection request</w:t>
      </w:r>
    </w:p>
    <w:p w:rsidR="00E01113" w:rsidP="00F73654" w14:paraId="6A113D4C" w14:textId="77777777"/>
    <w:p w:rsidR="00E01113" w:rsidRPr="005F3B66" w:rsidP="00F73654" w14:paraId="326975BC" w14:textId="77777777">
      <w:pPr>
        <w:jc w:val="center"/>
        <w:rPr>
          <w:b/>
        </w:rPr>
      </w:pPr>
    </w:p>
    <w:p w:rsidR="0053772A" w:rsidP="0053772A" w14:paraId="12D68112" w14:textId="7B0FA2B5">
      <w:pPr>
        <w:pBdr>
          <w:top w:val="single" w:sz="4" w:space="1" w:color="auto"/>
          <w:left w:val="single" w:sz="4" w:space="4" w:color="auto"/>
          <w:bottom w:val="single" w:sz="4" w:space="1" w:color="auto"/>
          <w:right w:val="single" w:sz="4" w:space="4" w:color="auto"/>
        </w:pBdr>
      </w:pPr>
      <w:r w:rsidRPr="0053772A">
        <w:rPr>
          <w:b/>
        </w:rPr>
        <w:t>Goal of the study:</w:t>
      </w:r>
      <w:r w:rsidRPr="00D24293">
        <w:t xml:space="preserve"> </w:t>
      </w:r>
      <w:r w:rsidRPr="005F3B66" w:rsidR="00E01113">
        <w:t xml:space="preserve">The goal is to </w:t>
      </w:r>
      <w:r w:rsidR="00BB4FAB">
        <w:t>provide data about</w:t>
      </w:r>
      <w:r w:rsidRPr="005F3B66" w:rsidR="00E01113">
        <w:t xml:space="preserve"> CDC </w:t>
      </w:r>
      <w:r w:rsidR="00F9023F">
        <w:t>fellowship</w:t>
      </w:r>
      <w:r w:rsidR="00A47566">
        <w:t xml:space="preserve"> programs’</w:t>
      </w:r>
      <w:r w:rsidR="00A64A2B">
        <w:t xml:space="preserve"> </w:t>
      </w:r>
      <w:r w:rsidR="00E01113">
        <w:t>activities</w:t>
      </w:r>
      <w:r w:rsidR="00A47566">
        <w:t xml:space="preserve"> </w:t>
      </w:r>
      <w:r w:rsidR="00E01113">
        <w:t>and services</w:t>
      </w:r>
      <w:r w:rsidR="00113AF4">
        <w:t>.</w:t>
      </w:r>
    </w:p>
    <w:p w:rsidR="0053772A" w:rsidP="0053772A" w14:paraId="4A2245DD" w14:textId="77777777">
      <w:pPr>
        <w:pBdr>
          <w:top w:val="single" w:sz="4" w:space="1" w:color="auto"/>
          <w:left w:val="single" w:sz="4" w:space="4" w:color="auto"/>
          <w:bottom w:val="single" w:sz="4" w:space="1" w:color="auto"/>
          <w:right w:val="single" w:sz="4" w:space="4" w:color="auto"/>
        </w:pBdr>
      </w:pPr>
    </w:p>
    <w:p w:rsidR="00E01113" w:rsidP="0053772A" w14:paraId="1FDEFD36" w14:textId="65CD0218">
      <w:pPr>
        <w:pBdr>
          <w:top w:val="single" w:sz="4" w:space="1" w:color="auto"/>
          <w:left w:val="single" w:sz="4" w:space="4" w:color="auto"/>
          <w:bottom w:val="single" w:sz="4" w:space="1" w:color="auto"/>
          <w:right w:val="single" w:sz="4" w:space="4" w:color="auto"/>
        </w:pBdr>
      </w:pPr>
      <w:r w:rsidRPr="0053772A">
        <w:rPr>
          <w:b/>
        </w:rPr>
        <w:t>Intended use:</w:t>
      </w:r>
      <w:r w:rsidRPr="00D24293">
        <w:t xml:space="preserve"> </w:t>
      </w:r>
      <w:r w:rsidR="00113AF4">
        <w:t xml:space="preserve">The intended use </w:t>
      </w:r>
      <w:r w:rsidR="00946E8C">
        <w:t>is</w:t>
      </w:r>
      <w:r w:rsidR="00113AF4">
        <w:t xml:space="preserve"> </w:t>
      </w:r>
      <w:r w:rsidR="009D67E9">
        <w:t xml:space="preserve">to </w:t>
      </w:r>
      <w:r w:rsidR="008574E9">
        <w:t xml:space="preserve">guide </w:t>
      </w:r>
      <w:r w:rsidR="009D67E9">
        <w:t xml:space="preserve">planning, implementation, and continuous quality improvement of </w:t>
      </w:r>
      <w:r w:rsidR="002E076C">
        <w:t xml:space="preserve">CDC fellowship </w:t>
      </w:r>
      <w:r w:rsidR="00B8562C">
        <w:t>programs’</w:t>
      </w:r>
      <w:r w:rsidR="002E076C">
        <w:t xml:space="preserve"> </w:t>
      </w:r>
      <w:r w:rsidR="009D67E9">
        <w:t>activities</w:t>
      </w:r>
      <w:r w:rsidR="00F9023F">
        <w:t>, programs,</w:t>
      </w:r>
      <w:r w:rsidR="009D67E9">
        <w:t xml:space="preserve"> and services</w:t>
      </w:r>
      <w:r w:rsidR="002E076C">
        <w:t>.</w:t>
      </w:r>
    </w:p>
    <w:p w:rsidR="0053772A" w:rsidRPr="005F3B66" w:rsidP="0053772A" w14:paraId="48A4D6DC" w14:textId="77777777">
      <w:pPr>
        <w:pBdr>
          <w:top w:val="single" w:sz="4" w:space="1" w:color="auto"/>
          <w:left w:val="single" w:sz="4" w:space="4" w:color="auto"/>
          <w:bottom w:val="single" w:sz="4" w:space="1" w:color="auto"/>
          <w:right w:val="single" w:sz="4" w:space="4" w:color="auto"/>
        </w:pBdr>
      </w:pPr>
    </w:p>
    <w:p w:rsidR="00E01113" w:rsidP="0053772A" w14:paraId="76D39261" w14:textId="391841B8">
      <w:pPr>
        <w:pBdr>
          <w:top w:val="single" w:sz="4" w:space="1" w:color="auto"/>
          <w:left w:val="single" w:sz="4" w:space="4" w:color="auto"/>
          <w:bottom w:val="single" w:sz="4" w:space="1" w:color="auto"/>
          <w:right w:val="single" w:sz="4" w:space="4" w:color="auto"/>
        </w:pBdr>
      </w:pPr>
      <w:r w:rsidRPr="0053772A">
        <w:rPr>
          <w:b/>
        </w:rPr>
        <w:t>Methods to be used to collect:</w:t>
      </w:r>
      <w:r w:rsidRPr="00D24293">
        <w:t xml:space="preserve"> </w:t>
      </w:r>
      <w:r w:rsidR="00946E8C">
        <w:t xml:space="preserve">Data collection </w:t>
      </w:r>
      <w:r w:rsidRPr="005F3B66">
        <w:t>methods include focus groups, interviews</w:t>
      </w:r>
      <w:r w:rsidR="00113AF4">
        <w:t>, surveys, and pre/post-tests, using b</w:t>
      </w:r>
      <w:r w:rsidRPr="005F3B66">
        <w:t>oth purp</w:t>
      </w:r>
      <w:r w:rsidR="00113AF4">
        <w:t>osive and probabilistic samples.</w:t>
      </w:r>
      <w:r w:rsidR="00A81B84">
        <w:t xml:space="preserve"> Method and sampling approach depend </w:t>
      </w:r>
      <w:r w:rsidR="00C77763">
        <w:t>on data collection purpose and respondent group.</w:t>
      </w:r>
    </w:p>
    <w:p w:rsidR="0053772A" w:rsidRPr="005F3B66" w:rsidP="0053772A" w14:paraId="2DA398FD" w14:textId="77777777">
      <w:pPr>
        <w:pBdr>
          <w:top w:val="single" w:sz="4" w:space="1" w:color="auto"/>
          <w:left w:val="single" w:sz="4" w:space="4" w:color="auto"/>
          <w:bottom w:val="single" w:sz="4" w:space="1" w:color="auto"/>
          <w:right w:val="single" w:sz="4" w:space="4" w:color="auto"/>
        </w:pBdr>
      </w:pPr>
    </w:p>
    <w:p w:rsidR="00E01113" w:rsidP="0053772A" w14:paraId="7830DE39" w14:textId="229E2047">
      <w:pPr>
        <w:pBdr>
          <w:top w:val="single" w:sz="4" w:space="1" w:color="auto"/>
          <w:left w:val="single" w:sz="4" w:space="4" w:color="auto"/>
          <w:bottom w:val="single" w:sz="4" w:space="1" w:color="auto"/>
          <w:right w:val="single" w:sz="4" w:space="4" w:color="auto"/>
        </w:pBdr>
      </w:pPr>
      <w:r w:rsidRPr="4E6E681B">
        <w:rPr>
          <w:b/>
          <w:bCs/>
        </w:rPr>
        <w:t>Subpopulation:</w:t>
      </w:r>
      <w:r>
        <w:t xml:space="preserve"> </w:t>
      </w:r>
      <w:r>
        <w:t xml:space="preserve">The </w:t>
      </w:r>
      <w:r w:rsidR="001769E0">
        <w:t xml:space="preserve">respondent </w:t>
      </w:r>
      <w:r>
        <w:t xml:space="preserve">populations </w:t>
      </w:r>
      <w:r w:rsidR="0003572E">
        <w:t xml:space="preserve">include </w:t>
      </w:r>
      <w:r w:rsidR="00736DE2">
        <w:t xml:space="preserve">CDC </w:t>
      </w:r>
      <w:r w:rsidR="0A492E4A">
        <w:t>f</w:t>
      </w:r>
      <w:r w:rsidR="00736DE2">
        <w:t>ellowship</w:t>
      </w:r>
      <w:r w:rsidR="008574E9">
        <w:t xml:space="preserve"> program</w:t>
      </w:r>
      <w:r w:rsidR="00CC2579">
        <w:t>s’</w:t>
      </w:r>
      <w:r w:rsidR="00736DE2">
        <w:t xml:space="preserve"> </w:t>
      </w:r>
      <w:r w:rsidR="00B85497">
        <w:t xml:space="preserve">applicants, </w:t>
      </w:r>
      <w:r w:rsidR="0077373F">
        <w:t xml:space="preserve">and </w:t>
      </w:r>
      <w:r w:rsidR="00B85497">
        <w:t>fellows</w:t>
      </w:r>
      <w:r w:rsidR="0077373F">
        <w:t>;</w:t>
      </w:r>
      <w:r>
        <w:t xml:space="preserve"> </w:t>
      </w:r>
      <w:r w:rsidR="00B85497">
        <w:t>supervisors</w:t>
      </w:r>
      <w:r w:rsidR="0077373F">
        <w:t xml:space="preserve">, </w:t>
      </w:r>
      <w:r w:rsidR="004B4D95">
        <w:t xml:space="preserve">mentors, </w:t>
      </w:r>
      <w:r w:rsidR="0077373F">
        <w:t xml:space="preserve">and employers; and </w:t>
      </w:r>
      <w:r w:rsidR="0003572E">
        <w:t xml:space="preserve">employers hiring </w:t>
      </w:r>
      <w:r w:rsidR="005425BF">
        <w:t>alumni</w:t>
      </w:r>
      <w:r w:rsidR="004B4D95">
        <w:t>.</w:t>
      </w:r>
      <w:r w:rsidR="00B06D9C">
        <w:t xml:space="preserve"> </w:t>
      </w:r>
    </w:p>
    <w:p w:rsidR="0053772A" w:rsidRPr="005F3B66" w:rsidP="0053772A" w14:paraId="05CA3961" w14:textId="77777777">
      <w:pPr>
        <w:pBdr>
          <w:top w:val="single" w:sz="4" w:space="1" w:color="auto"/>
          <w:left w:val="single" w:sz="4" w:space="4" w:color="auto"/>
          <w:bottom w:val="single" w:sz="4" w:space="1" w:color="auto"/>
          <w:right w:val="single" w:sz="4" w:space="4" w:color="auto"/>
        </w:pBdr>
      </w:pPr>
    </w:p>
    <w:p w:rsidR="00D931AD" w:rsidRPr="0053772A" w:rsidP="0053772A" w14:paraId="3A07FDB4" w14:textId="77777777">
      <w:pPr>
        <w:pBdr>
          <w:top w:val="single" w:sz="4" w:space="1" w:color="auto"/>
          <w:left w:val="single" w:sz="4" w:space="4" w:color="auto"/>
          <w:bottom w:val="single" w:sz="4" w:space="1" w:color="auto"/>
          <w:right w:val="single" w:sz="4" w:space="4" w:color="auto"/>
        </w:pBdr>
        <w:rPr>
          <w:rFonts w:eastAsiaTheme="majorEastAsia"/>
          <w:b/>
          <w:bCs/>
          <w:color w:val="000000" w:themeColor="text1"/>
        </w:rPr>
      </w:pPr>
      <w:r w:rsidRPr="00D24293">
        <w:rPr>
          <w:b/>
        </w:rPr>
        <w:t>How data will be analyzed:</w:t>
      </w:r>
      <w:r w:rsidRPr="00D24293">
        <w:t xml:space="preserve"> </w:t>
      </w:r>
      <w:r w:rsidRPr="005F3B66">
        <w:t>D</w:t>
      </w:r>
      <w:r w:rsidR="00F55DC2">
        <w:t xml:space="preserve">ata will be analyzed </w:t>
      </w:r>
      <w:r w:rsidR="003C7CC9">
        <w:t>relative to</w:t>
      </w:r>
      <w:r w:rsidR="00383960">
        <w:t xml:space="preserve"> the data collection and purpose</w:t>
      </w:r>
      <w:r>
        <w:t>.</w:t>
      </w:r>
      <w:r w:rsidRPr="005F3B66">
        <w:t xml:space="preserve"> </w:t>
      </w:r>
    </w:p>
    <w:p w:rsidR="0053772A" w:rsidP="00F73654" w14:paraId="5F9CB675" w14:textId="77777777">
      <w:pPr>
        <w:spacing w:after="160"/>
      </w:pPr>
    </w:p>
    <w:p w:rsidR="00D3642C" w:rsidP="00F73654" w14:paraId="1A109F11" w14:textId="77777777">
      <w:pPr>
        <w:pStyle w:val="Heading1"/>
        <w:rPr>
          <w:rStyle w:val="BookTitle"/>
        </w:rPr>
      </w:pPr>
      <w:bookmarkStart w:id="1" w:name="_Toc430001614"/>
      <w:bookmarkStart w:id="2" w:name="_Toc430001734"/>
      <w:bookmarkStart w:id="3" w:name="_Toc452565351"/>
      <w:r w:rsidRPr="004947DE">
        <w:rPr>
          <w:rStyle w:val="BookTitle"/>
        </w:rPr>
        <w:t>PART A. JUSTIFICATION</w:t>
      </w:r>
      <w:bookmarkEnd w:id="1"/>
      <w:bookmarkEnd w:id="2"/>
      <w:bookmarkEnd w:id="3"/>
    </w:p>
    <w:p w:rsidR="00D3642C" w:rsidP="00F73654" w14:paraId="0AB30C9F" w14:textId="77777777">
      <w:pPr>
        <w:pStyle w:val="Heading1"/>
      </w:pPr>
    </w:p>
    <w:p w:rsidR="007D61BF" w:rsidRPr="004947DE" w:rsidP="00F73654" w14:paraId="11F7E125" w14:textId="6CB954E9">
      <w:pPr>
        <w:pStyle w:val="Heading1"/>
      </w:pPr>
      <w:bookmarkStart w:id="4" w:name="_Toc452565352"/>
      <w:r>
        <w:t>A.</w:t>
      </w:r>
      <w:r w:rsidRPr="004947DE">
        <w:t>1</w:t>
      </w:r>
      <w:r w:rsidR="00332BEE">
        <w:t xml:space="preserve">. </w:t>
      </w:r>
      <w:r w:rsidRPr="004947DE">
        <w:t>Circumstances Making the Collection of Information Necessary</w:t>
      </w:r>
      <w:bookmarkEnd w:id="0"/>
      <w:bookmarkEnd w:id="4"/>
    </w:p>
    <w:p w:rsidR="001725BA" w:rsidRPr="004A6E53" w:rsidP="00F73654" w14:paraId="6D84F073" w14:textId="77777777">
      <w:pPr>
        <w:autoSpaceDE w:val="0"/>
        <w:autoSpaceDN w:val="0"/>
        <w:adjustRightInd w:val="0"/>
        <w:rPr>
          <w:b/>
        </w:rPr>
      </w:pPr>
    </w:p>
    <w:p w:rsidR="006E46BF" w:rsidP="006E46BF" w14:paraId="20096BD5" w14:textId="6A841C09">
      <w:pPr>
        <w:pStyle w:val="ListParagraph"/>
        <w:ind w:left="0"/>
      </w:pPr>
      <w:r>
        <w:t xml:space="preserve">The Centers for Disease Control and Prevention (CDC) is requesting Office of Management and Budget (OMB) approval for a 3-year period, for </w:t>
      </w:r>
      <w:r w:rsidR="008953F0">
        <w:t>revision</w:t>
      </w:r>
      <w:r>
        <w:t xml:space="preserve"> of an approved Generic Information Collection (OMB control number 0920-1163) for data collection associated with quality improvement of CDC fellowship programs</w:t>
      </w:r>
      <w:r w:rsidR="00C77763">
        <w:t>. C</w:t>
      </w:r>
      <w:r>
        <w:t xml:space="preserve">ollectively, these programs </w:t>
      </w:r>
      <w:r w:rsidR="00C95A74">
        <w:t>support</w:t>
      </w:r>
      <w:r>
        <w:t xml:space="preserve"> the foundation for development of the current</w:t>
      </w:r>
      <w:r w:rsidR="00C77763">
        <w:t xml:space="preserve"> </w:t>
      </w:r>
      <w:r>
        <w:t>and future public health workforce. The CDC Fellowship Programs Assessment generic clearance facilitates the assessment of CDC fellowship programs as related to public health workforce development and provides a mechanism for CDC to respond to new and unique assessment needs of fellowship programs.</w:t>
      </w:r>
      <w:r>
        <w:t xml:space="preserve"> This data collection is authorized by the</w:t>
      </w:r>
      <w:r w:rsidRPr="6FA05B23">
        <w:rPr>
          <w:lang w:val="en"/>
        </w:rPr>
        <w:t xml:space="preserve"> Public Health Service Act §301, Title 42 U.S.C. §241(a):</w:t>
      </w:r>
      <w:r>
        <w:t xml:space="preserve"> Research and Investigations Generally (</w:t>
      </w:r>
      <w:r w:rsidRPr="0002181C">
        <w:t>Attachment 1</w:t>
      </w:r>
      <w:r>
        <w:t>).</w:t>
      </w:r>
      <w:r w:rsidR="00275BF5">
        <w:t xml:space="preserve"> CDC’s management of fellowship and training programs is authorized by Public Health Scientific Services, Fellowship and Training Programs, PHSA Title III, §317G, 42 USC 247b-8, PL 105-115, 1997 (</w:t>
      </w:r>
      <w:r w:rsidRPr="0002181C" w:rsidR="00275BF5">
        <w:t>Attachment 1a</w:t>
      </w:r>
      <w:r w:rsidR="00275BF5">
        <w:t>).</w:t>
      </w:r>
    </w:p>
    <w:p w:rsidR="0053772A" w:rsidP="00F73654" w14:paraId="247A8E31" w14:textId="77777777">
      <w:pPr>
        <w:tabs>
          <w:tab w:val="left" w:pos="3920"/>
        </w:tabs>
      </w:pPr>
    </w:p>
    <w:p w:rsidR="00D931AD" w:rsidP="00F73654" w14:paraId="0CADB00A" w14:textId="72767710">
      <w:pPr>
        <w:pStyle w:val="ListParagraph"/>
        <w:ind w:left="0"/>
      </w:pPr>
      <w:r>
        <w:t xml:space="preserve">The mission of CDC is to </w:t>
      </w:r>
      <w:r w:rsidRPr="00016241">
        <w:t xml:space="preserve">protect America from health, safety and security threats, both foreign and </w:t>
      </w:r>
      <w:r w:rsidR="00E43E70">
        <w:t>domestic</w:t>
      </w:r>
      <w:r w:rsidR="00C7182E">
        <w:t xml:space="preserve">. </w:t>
      </w:r>
      <w:r w:rsidR="00E43E70">
        <w:t xml:space="preserve">Under this mission, </w:t>
      </w:r>
      <w:r w:rsidR="00C7182E">
        <w:t>CDC</w:t>
      </w:r>
      <w:r w:rsidR="00E43E70">
        <w:t xml:space="preserve"> plays a leading role in public health workforce development. </w:t>
      </w:r>
      <w:r w:rsidR="00C7182E">
        <w:t xml:space="preserve"> </w:t>
      </w:r>
      <w:r w:rsidR="00E43E70">
        <w:t xml:space="preserve">One key mechanism for workforce development is the </w:t>
      </w:r>
      <w:r w:rsidR="00B127FD">
        <w:t>management of</w:t>
      </w:r>
      <w:r w:rsidR="00C7182E">
        <w:t xml:space="preserve"> </w:t>
      </w:r>
      <w:r w:rsidR="009D0E88">
        <w:t xml:space="preserve">fellowship programs </w:t>
      </w:r>
      <w:r w:rsidR="00C7182E">
        <w:t xml:space="preserve">to ensure </w:t>
      </w:r>
      <w:r w:rsidR="0051306B">
        <w:t xml:space="preserve">the public health workforce has </w:t>
      </w:r>
      <w:r w:rsidR="00C7182E">
        <w:t xml:space="preserve">foundational </w:t>
      </w:r>
      <w:r w:rsidR="006D09E7">
        <w:t xml:space="preserve">and contemporary </w:t>
      </w:r>
      <w:r w:rsidR="00C7182E">
        <w:t>public health skills (e.g., epidemiology</w:t>
      </w:r>
      <w:r w:rsidR="009F05DD">
        <w:t xml:space="preserve">, </w:t>
      </w:r>
      <w:r w:rsidR="00C7182E">
        <w:t>surveillance</w:t>
      </w:r>
      <w:r w:rsidR="009F05DD">
        <w:t xml:space="preserve">, </w:t>
      </w:r>
      <w:r w:rsidR="00C7182E">
        <w:t>informatics</w:t>
      </w:r>
      <w:r w:rsidR="00A27F28">
        <w:t>, management, leadership</w:t>
      </w:r>
      <w:r w:rsidR="00C7182E">
        <w:t xml:space="preserve">) to practice in a changing environment. </w:t>
      </w:r>
      <w:r w:rsidR="009D0E88">
        <w:t xml:space="preserve">A </w:t>
      </w:r>
      <w:r w:rsidRPr="4E6E681B" w:rsidR="009D0E88">
        <w:rPr>
          <w:i/>
          <w:iCs/>
        </w:rPr>
        <w:t>fellowship</w:t>
      </w:r>
      <w:r w:rsidR="009D0E88">
        <w:t xml:space="preserve"> is defined as a training or work experience lasting at least </w:t>
      </w:r>
      <w:r w:rsidR="00FF17AA">
        <w:t xml:space="preserve">1 </w:t>
      </w:r>
      <w:r w:rsidR="009D0E88">
        <w:t xml:space="preserve">month and consisting of primarily experiential (i.e., on-the-job) learning, in which the trainee has a designated mentor or supervisor. </w:t>
      </w:r>
      <w:r w:rsidR="00C7182E">
        <w:t>CDC</w:t>
      </w:r>
      <w:r w:rsidR="0051306B">
        <w:t xml:space="preserve"> manages </w:t>
      </w:r>
      <w:r w:rsidR="008534F7">
        <w:t xml:space="preserve">or sponsors </w:t>
      </w:r>
      <w:r w:rsidR="0051306B">
        <w:t>numerous</w:t>
      </w:r>
      <w:r w:rsidR="00C7182E">
        <w:t xml:space="preserve"> </w:t>
      </w:r>
      <w:r w:rsidR="00B70F8B">
        <w:t>fellowship</w:t>
      </w:r>
      <w:r w:rsidR="005B418E">
        <w:t xml:space="preserve"> </w:t>
      </w:r>
      <w:r w:rsidR="00C7182E">
        <w:t>programs</w:t>
      </w:r>
      <w:r w:rsidR="006619C3">
        <w:t xml:space="preserve"> </w:t>
      </w:r>
      <w:r w:rsidR="0051306B">
        <w:t xml:space="preserve">that </w:t>
      </w:r>
      <w:r w:rsidR="00C7182E">
        <w:t>provide experiential tra</w:t>
      </w:r>
      <w:r w:rsidR="00B70F8B">
        <w:t xml:space="preserve">ining and education </w:t>
      </w:r>
      <w:r w:rsidR="00250CD1">
        <w:t xml:space="preserve">across a </w:t>
      </w:r>
      <w:r w:rsidR="00084EFF">
        <w:t xml:space="preserve">wide </w:t>
      </w:r>
      <w:r w:rsidR="00250CD1">
        <w:t>range of disciplines</w:t>
      </w:r>
      <w:r w:rsidR="00134882">
        <w:t xml:space="preserve"> an</w:t>
      </w:r>
      <w:r w:rsidR="00084EFF">
        <w:t>d</w:t>
      </w:r>
      <w:r w:rsidR="00250CD1">
        <w:t xml:space="preserve"> </w:t>
      </w:r>
      <w:r w:rsidR="00134882">
        <w:t>levels of education and experience</w:t>
      </w:r>
      <w:r w:rsidR="00BB36F3">
        <w:t>.</w:t>
      </w:r>
      <w:r w:rsidR="006822DC">
        <w:t xml:space="preserve"> </w:t>
      </w:r>
      <w:r w:rsidR="00145A18">
        <w:t xml:space="preserve">CDC’s </w:t>
      </w:r>
      <w:r w:rsidR="007447AB">
        <w:t xml:space="preserve">Division of </w:t>
      </w:r>
      <w:r w:rsidR="0051306B">
        <w:t xml:space="preserve">Workforce Development </w:t>
      </w:r>
      <w:r w:rsidR="00384B29">
        <w:t>hosts this clearance</w:t>
      </w:r>
      <w:r w:rsidR="0051306B">
        <w:t xml:space="preserve"> </w:t>
      </w:r>
      <w:r w:rsidR="00145A18">
        <w:t xml:space="preserve">because </w:t>
      </w:r>
      <w:r w:rsidR="00E01DBC">
        <w:t xml:space="preserve">it </w:t>
      </w:r>
      <w:r w:rsidR="00A05356">
        <w:t xml:space="preserve">either oversees or directly </w:t>
      </w:r>
      <w:r w:rsidR="00E01DBC">
        <w:t xml:space="preserve">manages </w:t>
      </w:r>
      <w:r w:rsidR="007447AB">
        <w:t xml:space="preserve">the largest </w:t>
      </w:r>
      <w:r w:rsidR="003D4320">
        <w:t xml:space="preserve">group of </w:t>
      </w:r>
      <w:r>
        <w:t xml:space="preserve">fellowships </w:t>
      </w:r>
      <w:r w:rsidR="003C7CC9">
        <w:t xml:space="preserve">for </w:t>
      </w:r>
      <w:r>
        <w:t>the agency.</w:t>
      </w:r>
    </w:p>
    <w:p w:rsidR="008630E0" w:rsidP="00F73654" w14:paraId="7E4738FC" w14:textId="77777777">
      <w:pPr>
        <w:pStyle w:val="ListParagraph"/>
        <w:ind w:left="0"/>
      </w:pPr>
    </w:p>
    <w:p w:rsidR="00F3733A" w:rsidP="00F3733A" w14:paraId="235F52B9" w14:textId="04F8B6D2">
      <w:pPr>
        <w:pStyle w:val="ListParagraph"/>
        <w:ind w:left="0"/>
      </w:pPr>
      <w:r>
        <w:t xml:space="preserve">The CDC Fellowship Programs Assessment generic facilitates expeditious and appropriate data collections for assessments of fast-evolving CDC fellowships. </w:t>
      </w:r>
      <w:r w:rsidR="002A5682">
        <w:t xml:space="preserve">To be effective, </w:t>
      </w:r>
      <w:r w:rsidR="006A3DDF">
        <w:t xml:space="preserve">CDC </w:t>
      </w:r>
      <w:r w:rsidR="00B70F8B">
        <w:t>fellowship</w:t>
      </w:r>
      <w:r w:rsidR="00F9667D">
        <w:t xml:space="preserve"> </w:t>
      </w:r>
      <w:r w:rsidR="00ED00E6">
        <w:t xml:space="preserve">programs </w:t>
      </w:r>
      <w:r w:rsidR="003C14B7">
        <w:t xml:space="preserve">must </w:t>
      </w:r>
      <w:r w:rsidR="002A5682">
        <w:t xml:space="preserve">be </w:t>
      </w:r>
      <w:r w:rsidR="003C14B7">
        <w:t xml:space="preserve">adaptive and </w:t>
      </w:r>
      <w:r w:rsidR="002A5682">
        <w:t xml:space="preserve">responsive </w:t>
      </w:r>
      <w:r w:rsidRPr="002F2366" w:rsidR="00117FA7">
        <w:t>in new contexts (e.g., emerging collaborations between public health and health care</w:t>
      </w:r>
      <w:r w:rsidR="00DA4319">
        <w:t>, new technology</w:t>
      </w:r>
      <w:r w:rsidR="001A0783">
        <w:t>)</w:t>
      </w:r>
      <w:r w:rsidRPr="002F2366" w:rsidR="00117FA7">
        <w:t xml:space="preserve">. </w:t>
      </w:r>
      <w:r w:rsidR="005C7D60">
        <w:t>T</w:t>
      </w:r>
      <w:r w:rsidR="00C756EF">
        <w:t xml:space="preserve">imely </w:t>
      </w:r>
      <w:r w:rsidR="005C7D60">
        <w:t xml:space="preserve">data </w:t>
      </w:r>
      <w:r w:rsidR="00E01DBC">
        <w:t xml:space="preserve">collection </w:t>
      </w:r>
      <w:r w:rsidR="00422F5D">
        <w:t xml:space="preserve">from fellowship program participants </w:t>
      </w:r>
      <w:r w:rsidR="00212D50">
        <w:t>and beneficiaries</w:t>
      </w:r>
      <w:r w:rsidR="00767197">
        <w:t xml:space="preserve"> (e.g., alumni, host agencies, employers)</w:t>
      </w:r>
      <w:r w:rsidR="00E01DBC">
        <w:t xml:space="preserve"> is ne</w:t>
      </w:r>
      <w:r w:rsidR="003D2819">
        <w:t xml:space="preserve">eded to </w:t>
      </w:r>
      <w:r w:rsidR="00FC04E0">
        <w:t xml:space="preserve">monitor </w:t>
      </w:r>
      <w:r w:rsidR="003D2819">
        <w:t xml:space="preserve">program </w:t>
      </w:r>
      <w:r w:rsidR="00FC04E0">
        <w:t>outcomes</w:t>
      </w:r>
      <w:r w:rsidR="003D2819">
        <w:t xml:space="preserve">, </w:t>
      </w:r>
      <w:r w:rsidR="00FC04E0">
        <w:t>activities</w:t>
      </w:r>
      <w:r w:rsidR="003D2819">
        <w:t xml:space="preserve">, and efficiency in support of </w:t>
      </w:r>
      <w:r w:rsidR="0088276E">
        <w:t>overall continuous improvement.</w:t>
      </w:r>
      <w:r>
        <w:t xml:space="preserve"> Information collections will vary, but might include training needs assessments, competencies gap analysis, program monitoring, and others. These information collections will address knowledge gaps and facilitate program improvements. </w:t>
      </w:r>
    </w:p>
    <w:p w:rsidR="00BC4979" w:rsidP="00F73654" w14:paraId="6F21BAEE" w14:textId="4A9D74F8">
      <w:pPr>
        <w:pStyle w:val="ListParagraph"/>
        <w:ind w:left="0"/>
      </w:pPr>
    </w:p>
    <w:p w:rsidR="00BC4979" w:rsidP="00F73654" w14:paraId="33924CA0" w14:textId="5130E036">
      <w:pPr>
        <w:pStyle w:val="ListParagraph"/>
        <w:ind w:left="0"/>
      </w:pPr>
      <w:r>
        <w:t xml:space="preserve">CDC requests a 3-year </w:t>
      </w:r>
      <w:r w:rsidR="001509C0">
        <w:t xml:space="preserve">approval for this revision.  </w:t>
      </w:r>
      <w:r>
        <w:t xml:space="preserve">Proposed changes </w:t>
      </w:r>
      <w:r w:rsidR="007D36AB">
        <w:t xml:space="preserve">in this revision only include a reduction in burden hours, driven by a reduction in </w:t>
      </w:r>
      <w:r w:rsidR="00FB45FC">
        <w:t>estimated respondents</w:t>
      </w:r>
      <w:r w:rsidR="00523AE0">
        <w:t xml:space="preserve"> and a reduction in </w:t>
      </w:r>
      <w:r w:rsidR="00A67D2A">
        <w:t>burden per response for one portion of the respondent base</w:t>
      </w:r>
      <w:r w:rsidR="00FB45FC">
        <w:t xml:space="preserve">. </w:t>
      </w:r>
      <w:r w:rsidR="00356D5D">
        <w:t xml:space="preserve">No other changes are requested. </w:t>
      </w:r>
    </w:p>
    <w:p w:rsidR="00813D6A" w:rsidP="00F73654" w14:paraId="1744F704" w14:textId="77777777"/>
    <w:p w:rsidR="00BB011C" w:rsidRPr="005F3B66" w:rsidP="00F73654" w14:paraId="4BC511D2" w14:textId="77777777"/>
    <w:p w:rsidR="007D61BF" w:rsidRPr="003D7C75" w:rsidP="00F73654" w14:paraId="6249760F" w14:textId="77777777">
      <w:pPr>
        <w:pStyle w:val="Heading1"/>
      </w:pPr>
      <w:bookmarkStart w:id="5" w:name="_Toc299967994"/>
      <w:bookmarkStart w:id="6" w:name="_Toc452565353"/>
      <w:r>
        <w:t xml:space="preserve">A.2. </w:t>
      </w:r>
      <w:r w:rsidRPr="007A27F3">
        <w:t>Purpose and Use of Information Collection</w:t>
      </w:r>
      <w:bookmarkEnd w:id="5"/>
      <w:bookmarkEnd w:id="6"/>
    </w:p>
    <w:p w:rsidR="0079615B" w:rsidP="00F73654" w14:paraId="3743164F" w14:textId="410B9584">
      <w:r>
        <w:t>We expect CDC f</w:t>
      </w:r>
      <w:r w:rsidR="00277DC2">
        <w:t xml:space="preserve">ellowship </w:t>
      </w:r>
      <w:r w:rsidR="00A85132">
        <w:t xml:space="preserve">programs </w:t>
      </w:r>
      <w:r w:rsidR="00C14906">
        <w:t xml:space="preserve">assessing </w:t>
      </w:r>
      <w:r w:rsidR="00FC04E0">
        <w:t xml:space="preserve">or monitoring </w:t>
      </w:r>
      <w:r w:rsidR="00277DC2">
        <w:t xml:space="preserve">their workforce development </w:t>
      </w:r>
      <w:r>
        <w:t xml:space="preserve">activities </w:t>
      </w:r>
      <w:r w:rsidR="00C14906">
        <w:t xml:space="preserve">to submit </w:t>
      </w:r>
      <w:r w:rsidR="00604530">
        <w:t>genICs</w:t>
      </w:r>
      <w:r w:rsidR="00A10B4B">
        <w:t xml:space="preserve"> </w:t>
      </w:r>
      <w:r>
        <w:t>under this g</w:t>
      </w:r>
      <w:r w:rsidR="00277DC2">
        <w:t xml:space="preserve">eneric </w:t>
      </w:r>
      <w:r w:rsidR="00604530">
        <w:t>information collection request</w:t>
      </w:r>
      <w:r w:rsidR="00277DC2">
        <w:t xml:space="preserve">. </w:t>
      </w:r>
      <w:r w:rsidR="00A85132">
        <w:t>Across the agency, f</w:t>
      </w:r>
      <w:r w:rsidR="006E5908">
        <w:t>ellowship program</w:t>
      </w:r>
      <w:r w:rsidR="00604530">
        <w:t xml:space="preserve">s </w:t>
      </w:r>
      <w:r w:rsidR="00A85132">
        <w:t xml:space="preserve">differ </w:t>
      </w:r>
      <w:r w:rsidR="006E5908">
        <w:t>in various aspects, such as length of assignment</w:t>
      </w:r>
      <w:r w:rsidR="00A80E8A">
        <w:t>s</w:t>
      </w:r>
      <w:r w:rsidR="006E5908">
        <w:t>, placement site</w:t>
      </w:r>
      <w:r w:rsidR="00A85132">
        <w:t>s</w:t>
      </w:r>
      <w:r w:rsidR="006E5908">
        <w:t xml:space="preserve">, educational requirements, and disciplines. </w:t>
      </w:r>
      <w:r>
        <w:t xml:space="preserve">CDC fellowship programs </w:t>
      </w:r>
      <w:r w:rsidR="00A85132">
        <w:t xml:space="preserve">encompassed by </w:t>
      </w:r>
      <w:r>
        <w:t xml:space="preserve">this generic will </w:t>
      </w:r>
      <w:r w:rsidR="00A85132">
        <w:t xml:space="preserve">align with one of </w:t>
      </w:r>
      <w:r>
        <w:t>the following two categories:</w:t>
      </w:r>
    </w:p>
    <w:p w:rsidR="008C52A1" w:rsidRPr="00943E03" w:rsidP="00F73654" w14:paraId="2B596F30" w14:textId="77777777"/>
    <w:p w:rsidR="0079615B" w:rsidRPr="00943E03" w:rsidP="00F73654" w14:paraId="23BBAE04" w14:textId="740E11DA">
      <w:pPr>
        <w:pStyle w:val="ListParagraph"/>
        <w:numPr>
          <w:ilvl w:val="0"/>
          <w:numId w:val="25"/>
        </w:numPr>
      </w:pPr>
      <w:r w:rsidRPr="00943E03">
        <w:t>Ca</w:t>
      </w:r>
      <w:r w:rsidR="00741FCF">
        <w:t>reer fellowships</w:t>
      </w:r>
      <w:r w:rsidR="00A85132">
        <w:t xml:space="preserve"> </w:t>
      </w:r>
      <w:r w:rsidR="00F615E5">
        <w:t xml:space="preserve">that are </w:t>
      </w:r>
      <w:r w:rsidR="00741FCF">
        <w:t xml:space="preserve">at least </w:t>
      </w:r>
      <w:r w:rsidR="00A85132">
        <w:t xml:space="preserve">1 </w:t>
      </w:r>
      <w:r w:rsidR="00741FCF">
        <w:t>year in duration</w:t>
      </w:r>
      <w:r w:rsidR="001B46B0">
        <w:t>; these</w:t>
      </w:r>
      <w:r w:rsidR="00741FCF">
        <w:t xml:space="preserve"> usually </w:t>
      </w:r>
      <w:r w:rsidR="005E41A3">
        <w:t xml:space="preserve">recruit </w:t>
      </w:r>
      <w:r w:rsidR="00741FCF">
        <w:t>p</w:t>
      </w:r>
      <w:r w:rsidR="00AD5885">
        <w:t xml:space="preserve">ost-graduate degree </w:t>
      </w:r>
      <w:r w:rsidR="00F0129D">
        <w:t xml:space="preserve">professionals </w:t>
      </w:r>
      <w:r w:rsidR="001B46B0">
        <w:t xml:space="preserve">who are </w:t>
      </w:r>
      <w:r w:rsidR="00AD5885">
        <w:t xml:space="preserve">establishing their </w:t>
      </w:r>
      <w:r w:rsidR="00A85132">
        <w:t xml:space="preserve">public health </w:t>
      </w:r>
      <w:r w:rsidR="00AD5885">
        <w:t>careers</w:t>
      </w:r>
      <w:r w:rsidR="00F34A6A">
        <w:t>, and</w:t>
      </w:r>
    </w:p>
    <w:p w:rsidR="0079615B" w:rsidRPr="00604530" w:rsidP="4E6E681B" w14:paraId="720F96B5" w14:textId="6C58B1FB">
      <w:pPr>
        <w:pStyle w:val="ListParagraph"/>
        <w:numPr>
          <w:ilvl w:val="0"/>
          <w:numId w:val="25"/>
        </w:numPr>
        <w:rPr>
          <w:b/>
          <w:bCs/>
        </w:rPr>
      </w:pPr>
      <w:r>
        <w:t>Short-term fellowship</w:t>
      </w:r>
      <w:r w:rsidR="003947B2">
        <w:t xml:space="preserve">s </w:t>
      </w:r>
      <w:r w:rsidR="00F615E5">
        <w:t xml:space="preserve">that </w:t>
      </w:r>
      <w:r w:rsidR="00741FCF">
        <w:t xml:space="preserve">range from </w:t>
      </w:r>
      <w:r w:rsidR="00F615E5">
        <w:t xml:space="preserve">1–12 </w:t>
      </w:r>
      <w:r w:rsidR="00741FCF">
        <w:t>month</w:t>
      </w:r>
      <w:r w:rsidR="00F615E5">
        <w:t>s</w:t>
      </w:r>
      <w:r w:rsidR="00741FCF">
        <w:t xml:space="preserve"> </w:t>
      </w:r>
      <w:r w:rsidR="000570D7">
        <w:t xml:space="preserve">and may be </w:t>
      </w:r>
      <w:r w:rsidR="00FF6B53">
        <w:t>part-time</w:t>
      </w:r>
      <w:r w:rsidR="0066134F">
        <w:t>.</w:t>
      </w:r>
    </w:p>
    <w:p w:rsidR="006822AE" w:rsidP="00F73654" w14:paraId="5B1593FD" w14:textId="77777777"/>
    <w:p w:rsidR="00E62E35" w:rsidP="00F73654" w14:paraId="2ABF2828" w14:textId="2C7CC4A8">
      <w:r>
        <w:t xml:space="preserve">Eligible fellowship programs </w:t>
      </w:r>
      <w:r w:rsidR="00F71DFF">
        <w:t xml:space="preserve">will </w:t>
      </w:r>
      <w:r w:rsidR="006358AA">
        <w:t xml:space="preserve">be in one of the two categories above, be managed or </w:t>
      </w:r>
      <w:r w:rsidR="0054225A">
        <w:t xml:space="preserve">funded by CDC, </w:t>
      </w:r>
      <w:r w:rsidR="00655DB8">
        <w:t xml:space="preserve">and can </w:t>
      </w:r>
      <w:r w:rsidR="007E1728">
        <w:t xml:space="preserve">be domestic or </w:t>
      </w:r>
      <w:r w:rsidR="00655DB8">
        <w:t xml:space="preserve">internationally focused. </w:t>
      </w:r>
      <w:r w:rsidR="00065110">
        <w:t xml:space="preserve"> </w:t>
      </w:r>
    </w:p>
    <w:p w:rsidR="000A24EA" w:rsidP="00F73654" w14:paraId="4B45E782" w14:textId="77777777"/>
    <w:p w:rsidR="000A24EA" w:rsidP="00F73654" w14:paraId="1154417A" w14:textId="1618C79C">
      <w:r>
        <w:t xml:space="preserve">The specific number of eligible CDC fellowship programs </w:t>
      </w:r>
      <w:r w:rsidR="0034202E">
        <w:t xml:space="preserve">at any one time </w:t>
      </w:r>
      <w:r>
        <w:t>varies with funding and organizational changes</w:t>
      </w:r>
      <w:r w:rsidR="0034202E">
        <w:t xml:space="preserve">.  However, that number is </w:t>
      </w:r>
      <w:r w:rsidR="000C5321">
        <w:t xml:space="preserve">high, and in DWD alone, approximately </w:t>
      </w:r>
      <w:r w:rsidR="00473AA9">
        <w:t>15 different fellowship programs would be eligible to use this generic, using the criteria above.</w:t>
      </w:r>
    </w:p>
    <w:p w:rsidR="00C639EE" w:rsidP="00F73654" w14:paraId="27A72F86" w14:textId="77777777">
      <w:pPr>
        <w:contextualSpacing/>
        <w:rPr>
          <w:b/>
        </w:rPr>
      </w:pPr>
    </w:p>
    <w:p w:rsidR="000E13CA" w:rsidP="00F73654" w14:paraId="53D6E233" w14:textId="77777777">
      <w:pPr>
        <w:contextualSpacing/>
      </w:pPr>
      <w:r>
        <w:t xml:space="preserve">Each </w:t>
      </w:r>
      <w:r>
        <w:t>genIC</w:t>
      </w:r>
      <w:r w:rsidR="00736DE2">
        <w:t xml:space="preserve"> submitted </w:t>
      </w:r>
      <w:r>
        <w:t xml:space="preserve">will specify </w:t>
      </w:r>
      <w:r w:rsidR="00736DE2">
        <w:t xml:space="preserve">the </w:t>
      </w:r>
      <w:r>
        <w:t xml:space="preserve">data collection methods, respondent populations, and intended use of resulting information. Examples of likely </w:t>
      </w:r>
      <w:r w:rsidR="00C72C74">
        <w:t>elements follow.</w:t>
      </w:r>
    </w:p>
    <w:p w:rsidR="00F73654" w:rsidP="00F73654" w14:paraId="75B0930B" w14:textId="77777777">
      <w:pPr>
        <w:contextualSpacing/>
      </w:pPr>
    </w:p>
    <w:p w:rsidR="00977867" w:rsidRPr="00604530" w:rsidP="00977867" w14:paraId="29D6DF7D" w14:textId="5C793DEF">
      <w:pPr>
        <w:pStyle w:val="ListParagraph"/>
        <w:numPr>
          <w:ilvl w:val="0"/>
          <w:numId w:val="26"/>
        </w:numPr>
        <w:rPr>
          <w:color w:val="000000"/>
        </w:rPr>
      </w:pPr>
      <w:r>
        <w:rPr>
          <w:color w:val="000000"/>
        </w:rPr>
        <w:t xml:space="preserve">Description of </w:t>
      </w:r>
      <w:r w:rsidRPr="00604530">
        <w:rPr>
          <w:color w:val="000000"/>
        </w:rPr>
        <w:t>Respondents:</w:t>
      </w:r>
    </w:p>
    <w:p w:rsidR="00977867" w:rsidP="00977867" w14:paraId="33487782" w14:textId="77777777">
      <w:pPr>
        <w:pStyle w:val="ListParagraph"/>
        <w:numPr>
          <w:ilvl w:val="0"/>
          <w:numId w:val="20"/>
        </w:numPr>
        <w:rPr>
          <w:color w:val="000000"/>
        </w:rPr>
      </w:pPr>
      <w:r>
        <w:rPr>
          <w:color w:val="000000"/>
        </w:rPr>
        <w:t>Potential fellowship applicants</w:t>
      </w:r>
    </w:p>
    <w:p w:rsidR="00977867" w:rsidP="00977867" w14:paraId="7E1D796F" w14:textId="77777777">
      <w:pPr>
        <w:pStyle w:val="ListParagraph"/>
        <w:numPr>
          <w:ilvl w:val="0"/>
          <w:numId w:val="20"/>
        </w:numPr>
        <w:rPr>
          <w:color w:val="000000"/>
        </w:rPr>
      </w:pPr>
      <w:r>
        <w:rPr>
          <w:color w:val="000000"/>
        </w:rPr>
        <w:t xml:space="preserve">Fellowship applicants </w:t>
      </w:r>
    </w:p>
    <w:p w:rsidR="00977867" w:rsidP="00977867" w14:paraId="4BC894E7" w14:textId="77777777">
      <w:pPr>
        <w:pStyle w:val="ListParagraph"/>
        <w:numPr>
          <w:ilvl w:val="0"/>
          <w:numId w:val="20"/>
        </w:numPr>
        <w:rPr>
          <w:color w:val="000000"/>
        </w:rPr>
      </w:pPr>
      <w:r>
        <w:rPr>
          <w:color w:val="000000"/>
        </w:rPr>
        <w:t>Current fellows</w:t>
      </w:r>
    </w:p>
    <w:p w:rsidR="00977867" w:rsidP="00977867" w14:paraId="69054C3D" w14:textId="77777777">
      <w:pPr>
        <w:pStyle w:val="ListParagraph"/>
        <w:numPr>
          <w:ilvl w:val="0"/>
          <w:numId w:val="20"/>
        </w:numPr>
        <w:rPr>
          <w:color w:val="000000"/>
        </w:rPr>
      </w:pPr>
      <w:r>
        <w:rPr>
          <w:color w:val="000000"/>
        </w:rPr>
        <w:t>Fellowship alumni</w:t>
      </w:r>
    </w:p>
    <w:p w:rsidR="00977867" w:rsidP="00977867" w14:paraId="0B4AB6B3" w14:textId="77777777">
      <w:pPr>
        <w:pStyle w:val="ListParagraph"/>
        <w:numPr>
          <w:ilvl w:val="0"/>
          <w:numId w:val="20"/>
        </w:numPr>
        <w:rPr>
          <w:color w:val="000000"/>
        </w:rPr>
      </w:pPr>
      <w:r>
        <w:rPr>
          <w:color w:val="000000"/>
        </w:rPr>
        <w:t>Supervisors and mentors</w:t>
      </w:r>
    </w:p>
    <w:p w:rsidR="00977867" w:rsidP="00977867" w14:paraId="4C4FB224" w14:textId="77777777">
      <w:pPr>
        <w:pStyle w:val="ListParagraph"/>
        <w:numPr>
          <w:ilvl w:val="0"/>
          <w:numId w:val="20"/>
        </w:numPr>
        <w:rPr>
          <w:color w:val="000000"/>
        </w:rPr>
      </w:pPr>
      <w:r>
        <w:rPr>
          <w:color w:val="000000"/>
        </w:rPr>
        <w:t>Employers hiring alumni</w:t>
      </w:r>
    </w:p>
    <w:p w:rsidR="00A74F67" w:rsidRPr="00C63F90" w:rsidP="00E2755F" w14:paraId="1BD5B8DB" w14:textId="77777777">
      <w:pPr>
        <w:pStyle w:val="ListParagraph"/>
        <w:ind w:left="1080"/>
        <w:rPr>
          <w:color w:val="000000"/>
        </w:rPr>
      </w:pPr>
    </w:p>
    <w:p w:rsidR="00977867" w:rsidP="00F73654" w14:paraId="699414CA" w14:textId="2896C82C">
      <w:pPr>
        <w:pStyle w:val="ListParagraph"/>
        <w:numPr>
          <w:ilvl w:val="0"/>
          <w:numId w:val="26"/>
        </w:numPr>
      </w:pPr>
      <w:r>
        <w:t>Type of Collection</w:t>
      </w:r>
    </w:p>
    <w:p w:rsidR="00C45F7B" w:rsidP="00E2755F" w14:paraId="373D4BC9" w14:textId="1256F19C">
      <w:pPr>
        <w:pStyle w:val="ListParagraph"/>
        <w:numPr>
          <w:ilvl w:val="1"/>
          <w:numId w:val="29"/>
        </w:numPr>
      </w:pPr>
      <w:r>
        <w:t>Focus group</w:t>
      </w:r>
    </w:p>
    <w:p w:rsidR="00C45F7B" w:rsidP="00E2755F" w14:paraId="4591298C" w14:textId="6AFDE6B4">
      <w:pPr>
        <w:pStyle w:val="ListParagraph"/>
        <w:numPr>
          <w:ilvl w:val="1"/>
          <w:numId w:val="29"/>
        </w:numPr>
      </w:pPr>
      <w:r>
        <w:t xml:space="preserve">Face-to-face interview </w:t>
      </w:r>
    </w:p>
    <w:p w:rsidR="00C45F7B" w:rsidP="00E2755F" w14:paraId="6CF3BD4B" w14:textId="331A29EB">
      <w:pPr>
        <w:pStyle w:val="ListParagraph"/>
        <w:numPr>
          <w:ilvl w:val="1"/>
          <w:numId w:val="29"/>
        </w:numPr>
      </w:pPr>
      <w:r>
        <w:t xml:space="preserve">Telephone interview </w:t>
      </w:r>
    </w:p>
    <w:p w:rsidR="00C45F7B" w:rsidP="00E2755F" w14:paraId="5DB1D37D" w14:textId="0B989057">
      <w:pPr>
        <w:pStyle w:val="ListParagraph"/>
        <w:numPr>
          <w:ilvl w:val="1"/>
          <w:numId w:val="29"/>
        </w:numPr>
      </w:pPr>
      <w:r>
        <w:t xml:space="preserve">Self-administered hard copy questionnaire </w:t>
      </w:r>
    </w:p>
    <w:p w:rsidR="00C45F7B" w:rsidP="00E2755F" w14:paraId="0A0B5C52" w14:textId="6CB8EC6E">
      <w:pPr>
        <w:pStyle w:val="ListParagraph"/>
        <w:numPr>
          <w:ilvl w:val="1"/>
          <w:numId w:val="29"/>
        </w:numPr>
      </w:pPr>
      <w:r>
        <w:t xml:space="preserve">Self-administered Internet questionnaire </w:t>
      </w:r>
    </w:p>
    <w:p w:rsidR="00C45F7B" w:rsidP="00E2755F" w14:paraId="70E17D91" w14:textId="57379C42">
      <w:pPr>
        <w:pStyle w:val="ListParagraph"/>
        <w:numPr>
          <w:ilvl w:val="1"/>
          <w:numId w:val="29"/>
        </w:numPr>
      </w:pPr>
      <w:r>
        <w:t>Self-administered electronic questionnaire (e.g., fillable form)</w:t>
      </w:r>
    </w:p>
    <w:p w:rsidR="00F33F42" w:rsidP="00F33F42" w14:paraId="58E1559B" w14:textId="77777777">
      <w:pPr>
        <w:pStyle w:val="ListParagraph"/>
      </w:pPr>
    </w:p>
    <w:p w:rsidR="000E13CA" w:rsidRPr="0079615B" w:rsidP="00F73654" w14:paraId="12060901" w14:textId="536EB34C">
      <w:pPr>
        <w:pStyle w:val="ListParagraph"/>
        <w:numPr>
          <w:ilvl w:val="0"/>
          <w:numId w:val="26"/>
        </w:numPr>
      </w:pPr>
      <w:r>
        <w:t>Methods:</w:t>
      </w:r>
    </w:p>
    <w:p w:rsidR="0079615B" w:rsidRPr="0079615B" w:rsidP="00F73654" w14:paraId="0C943685" w14:textId="77777777">
      <w:pPr>
        <w:pStyle w:val="ListParagraph"/>
        <w:numPr>
          <w:ilvl w:val="0"/>
          <w:numId w:val="20"/>
        </w:numPr>
      </w:pPr>
      <w:r w:rsidRPr="0079615B">
        <w:t>Respondent surveys</w:t>
      </w:r>
    </w:p>
    <w:p w:rsidR="0079615B" w:rsidRPr="0079615B" w:rsidP="00F73654" w14:paraId="2CFC46E9" w14:textId="77777777">
      <w:pPr>
        <w:pStyle w:val="ListParagraph"/>
        <w:numPr>
          <w:ilvl w:val="0"/>
          <w:numId w:val="20"/>
        </w:numPr>
      </w:pPr>
      <w:r>
        <w:t>Q</w:t>
      </w:r>
      <w:r w:rsidRPr="0079615B">
        <w:t>ualitative data collection</w:t>
      </w:r>
      <w:r>
        <w:t xml:space="preserve">s </w:t>
      </w:r>
      <w:r w:rsidRPr="0079615B">
        <w:t>(</w:t>
      </w:r>
      <w:r>
        <w:t>e.g</w:t>
      </w:r>
      <w:r w:rsidRPr="0079615B">
        <w:t>., focus groups, interviews)</w:t>
      </w:r>
    </w:p>
    <w:p w:rsidR="0079615B" w:rsidRPr="0079615B" w:rsidP="00F73654" w14:paraId="65393421" w14:textId="77777777">
      <w:pPr>
        <w:pStyle w:val="ListParagraph"/>
        <w:numPr>
          <w:ilvl w:val="0"/>
          <w:numId w:val="20"/>
        </w:numPr>
      </w:pPr>
      <w:r>
        <w:t>Q</w:t>
      </w:r>
      <w:r w:rsidRPr="0079615B">
        <w:t>ualitative analyses (e.</w:t>
      </w:r>
      <w:r>
        <w:t>g.</w:t>
      </w:r>
      <w:r w:rsidRPr="0079615B">
        <w:t>, descriptive and interpretative content analysis, narrative analysis, discourse analysis, framework analysis)</w:t>
      </w:r>
    </w:p>
    <w:p w:rsidR="0079615B" w:rsidRPr="00E2755F" w:rsidP="00E2755F" w14:paraId="1A93D5D5" w14:textId="35390996">
      <w:pPr>
        <w:pStyle w:val="ListParagraph"/>
        <w:numPr>
          <w:ilvl w:val="0"/>
          <w:numId w:val="20"/>
        </w:numPr>
        <w:rPr>
          <w:b/>
        </w:rPr>
      </w:pPr>
      <w:r>
        <w:t>D</w:t>
      </w:r>
      <w:r w:rsidRPr="0079615B">
        <w:t xml:space="preserve">escriptive statistics </w:t>
      </w:r>
      <w:r>
        <w:t xml:space="preserve">(for </w:t>
      </w:r>
      <w:r w:rsidRPr="0079615B">
        <w:t>quantitative data</w:t>
      </w:r>
      <w:r>
        <w:t>)</w:t>
      </w:r>
    </w:p>
    <w:p w:rsidR="0079615B" w:rsidP="00F73654" w14:paraId="280E59D6" w14:textId="77777777">
      <w:pPr>
        <w:contextualSpacing/>
        <w:rPr>
          <w:b/>
        </w:rPr>
      </w:pPr>
    </w:p>
    <w:p w:rsidR="0079615B" w:rsidP="00F73654" w14:paraId="49992741" w14:textId="77777777">
      <w:pPr>
        <w:pStyle w:val="ListParagraph"/>
        <w:numPr>
          <w:ilvl w:val="0"/>
          <w:numId w:val="26"/>
        </w:numPr>
      </w:pPr>
      <w:r w:rsidRPr="006B251B">
        <w:t>Intended use</w:t>
      </w:r>
      <w:r>
        <w:t xml:space="preserve"> of the resulting information</w:t>
      </w:r>
      <w:r w:rsidR="006822AE">
        <w:t>:</w:t>
      </w:r>
    </w:p>
    <w:p w:rsidR="0079615B" w:rsidP="00F73654" w14:paraId="1383D184" w14:textId="77777777">
      <w:pPr>
        <w:pStyle w:val="ListParagraph"/>
        <w:numPr>
          <w:ilvl w:val="0"/>
          <w:numId w:val="22"/>
        </w:numPr>
      </w:pPr>
      <w:r>
        <w:t xml:space="preserve">Inform planning, implementation, and continuous quality improvement of </w:t>
      </w:r>
      <w:r w:rsidRPr="00576B88">
        <w:t>fellowship</w:t>
      </w:r>
      <w:r>
        <w:t xml:space="preserve"> activities and services</w:t>
      </w:r>
    </w:p>
    <w:p w:rsidR="0079615B" w:rsidP="00F73654" w14:paraId="430973D1" w14:textId="77777777">
      <w:pPr>
        <w:pStyle w:val="ListParagraph"/>
        <w:numPr>
          <w:ilvl w:val="0"/>
          <w:numId w:val="22"/>
        </w:numPr>
      </w:pPr>
      <w:r w:rsidRPr="00CC2486">
        <w:t>Improve efficiencies in the delivery of fellowship activities and services</w:t>
      </w:r>
    </w:p>
    <w:p w:rsidR="0079615B" w:rsidP="00F73654" w14:paraId="5CAD01F9" w14:textId="77777777">
      <w:pPr>
        <w:pStyle w:val="ListParagraph"/>
        <w:numPr>
          <w:ilvl w:val="0"/>
          <w:numId w:val="22"/>
        </w:numPr>
      </w:pPr>
      <w:r>
        <w:t xml:space="preserve">Determine to what extent the </w:t>
      </w:r>
      <w:r w:rsidRPr="00576B88">
        <w:t xml:space="preserve">fellowship </w:t>
      </w:r>
      <w:r>
        <w:t>activities and service</w:t>
      </w:r>
      <w:r w:rsidR="00943E03">
        <w:t>s achiev</w:t>
      </w:r>
      <w:r w:rsidR="00C72C77">
        <w:t>e</w:t>
      </w:r>
      <w:r w:rsidR="00943E03">
        <w:t xml:space="preserve"> their goals</w:t>
      </w:r>
    </w:p>
    <w:p w:rsidR="0079615B" w:rsidP="00F73654" w14:paraId="7431A09E" w14:textId="77777777"/>
    <w:p w:rsidR="00232136" w:rsidP="00F73654" w14:paraId="2EEBD492" w14:textId="4260CC4B">
      <w:r>
        <w:t xml:space="preserve">CDC does not expect these collections to yield generalizable data. </w:t>
      </w:r>
      <w:r w:rsidR="00454861">
        <w:t>Rather</w:t>
      </w:r>
      <w:r w:rsidR="007D733A">
        <w:t>, r</w:t>
      </w:r>
      <w:r w:rsidR="00745929">
        <w:t xml:space="preserve">esults </w:t>
      </w:r>
      <w:r w:rsidR="00454861">
        <w:t xml:space="preserve">should </w:t>
      </w:r>
      <w:r>
        <w:t xml:space="preserve">provide </w:t>
      </w:r>
      <w:r w:rsidR="0019742A">
        <w:t>insight into</w:t>
      </w:r>
      <w:r>
        <w:t xml:space="preserve"> </w:t>
      </w:r>
      <w:r w:rsidR="00745929">
        <w:t xml:space="preserve">factors </w:t>
      </w:r>
      <w:r>
        <w:t>that affect the public health workforce and infrastructure</w:t>
      </w:r>
      <w:r w:rsidR="00376900">
        <w:t xml:space="preserve">, and </w:t>
      </w:r>
      <w:r w:rsidR="007D2786">
        <w:t xml:space="preserve">help </w:t>
      </w:r>
      <w:r w:rsidR="00454861">
        <w:t xml:space="preserve">guide </w:t>
      </w:r>
      <w:r w:rsidR="00736DE2">
        <w:t xml:space="preserve">internal </w:t>
      </w:r>
      <w:r w:rsidR="0019742A">
        <w:t>fellowship</w:t>
      </w:r>
      <w:r>
        <w:t xml:space="preserve"> program decisions, management, and </w:t>
      </w:r>
      <w:r w:rsidR="009B4145">
        <w:t>services</w:t>
      </w:r>
      <w:r>
        <w:t>.</w:t>
      </w:r>
    </w:p>
    <w:p w:rsidR="00422F5D" w:rsidP="00F73654" w14:paraId="2846B297" w14:textId="77777777"/>
    <w:p w:rsidR="002E076C" w:rsidP="00F73654" w14:paraId="3B3E249F" w14:textId="0801ED4B">
      <w:r>
        <w:t xml:space="preserve">To obtain approval for a </w:t>
      </w:r>
      <w:r w:rsidR="007D733A">
        <w:t xml:space="preserve">generic information </w:t>
      </w:r>
      <w:r>
        <w:t xml:space="preserve">collection </w:t>
      </w:r>
      <w:r w:rsidR="0004562D">
        <w:t>(</w:t>
      </w:r>
      <w:r w:rsidR="0004562D">
        <w:t>genIC</w:t>
      </w:r>
      <w:r w:rsidR="0004562D">
        <w:t xml:space="preserve">) </w:t>
      </w:r>
      <w:r>
        <w:t xml:space="preserve">that meets the conditions of this generic clearance, </w:t>
      </w:r>
      <w:r w:rsidR="00455CC4">
        <w:t xml:space="preserve">CDC will submit </w:t>
      </w:r>
      <w:r w:rsidR="00027542">
        <w:t>a completed template that describes</w:t>
      </w:r>
      <w:r w:rsidR="005F0B5D">
        <w:t xml:space="preserve"> the project</w:t>
      </w:r>
      <w:r w:rsidR="007D2786">
        <w:t xml:space="preserve"> </w:t>
      </w:r>
      <w:r>
        <w:t xml:space="preserve">along with accompanying documentation (e.g., consent, recruitment letters, instruments, questionnaires). </w:t>
      </w:r>
      <w:r w:rsidR="008A08AE">
        <w:t xml:space="preserve">The CFPA </w:t>
      </w:r>
      <w:r w:rsidR="008A08AE">
        <w:t>genIC</w:t>
      </w:r>
      <w:r w:rsidR="008A08AE">
        <w:t xml:space="preserve"> template (s</w:t>
      </w:r>
      <w:r w:rsidR="005873D2">
        <w:t xml:space="preserve">ee </w:t>
      </w:r>
      <w:r w:rsidR="00F33E8C">
        <w:t xml:space="preserve">Attachment </w:t>
      </w:r>
      <w:r w:rsidR="0012472D">
        <w:t>2</w:t>
      </w:r>
      <w:r w:rsidR="00F33E8C">
        <w:t xml:space="preserve">, </w:t>
      </w:r>
      <w:r w:rsidR="005873D2">
        <w:t>Request for Approval Under Generic Clearance for CDC Fellow</w:t>
      </w:r>
      <w:r w:rsidR="00391DB2">
        <w:t>s</w:t>
      </w:r>
      <w:r w:rsidR="005873D2">
        <w:t>hip Programs Assessments)</w:t>
      </w:r>
      <w:r w:rsidR="00FD4A09">
        <w:t xml:space="preserve"> serves as an abbreviated Supporting Statement and has been used successfully in prior clearance periods. </w:t>
      </w:r>
      <w:r w:rsidR="00776554">
        <w:t>CDC</w:t>
      </w:r>
      <w:r>
        <w:t xml:space="preserve"> will submit a collection for approval under this generic clearance </w:t>
      </w:r>
      <w:r w:rsidR="007D2786">
        <w:t xml:space="preserve">only when </w:t>
      </w:r>
      <w:r>
        <w:t>it meets the following conditions:</w:t>
      </w:r>
    </w:p>
    <w:p w:rsidR="00F73654" w:rsidP="00F73654" w14:paraId="5A0FB277" w14:textId="77777777"/>
    <w:p w:rsidR="002E076C" w:rsidP="00F73654" w14:paraId="273E5CBE" w14:textId="77777777">
      <w:pPr>
        <w:pStyle w:val="ListParagraph"/>
        <w:numPr>
          <w:ilvl w:val="0"/>
          <w:numId w:val="17"/>
        </w:numPr>
      </w:pPr>
      <w:r>
        <w:t xml:space="preserve">Information gathered </w:t>
      </w:r>
      <w:r w:rsidR="009360D3">
        <w:t>is intended</w:t>
      </w:r>
      <w:r>
        <w:t xml:space="preserve"> for CDC fellowship service improvement and program management purposes </w:t>
      </w:r>
      <w:r w:rsidR="00021BD4">
        <w:t xml:space="preserve">and is not </w:t>
      </w:r>
      <w:r w:rsidR="00931104">
        <w:t xml:space="preserve">generally </w:t>
      </w:r>
      <w:r w:rsidR="00021BD4">
        <w:t>intended for release outside the agency</w:t>
      </w:r>
      <w:r w:rsidR="00D50E97">
        <w:t>. H</w:t>
      </w:r>
      <w:r w:rsidR="00931104">
        <w:t xml:space="preserve">owever, </w:t>
      </w:r>
      <w:r w:rsidR="00021BD4">
        <w:t>if released, procedures outlined in Section A.16 of this document will be followed</w:t>
      </w:r>
      <w:r w:rsidR="00D50E97">
        <w:t>;</w:t>
      </w:r>
    </w:p>
    <w:p w:rsidR="00D477AD" w:rsidP="00D477AD" w14:paraId="2D93048F" w14:textId="77777777">
      <w:pPr>
        <w:pStyle w:val="ListParagraph"/>
        <w:numPr>
          <w:ilvl w:val="0"/>
          <w:numId w:val="17"/>
        </w:numPr>
      </w:pPr>
      <w:r>
        <w:t>Data collection will be completed in 90 days or less from the start of the collection</w:t>
      </w:r>
    </w:p>
    <w:p w:rsidR="00D477AD" w:rsidP="00D477AD" w14:paraId="1C6F87AF" w14:textId="77777777">
      <w:pPr>
        <w:pStyle w:val="ListParagraph"/>
        <w:numPr>
          <w:ilvl w:val="0"/>
          <w:numId w:val="17"/>
        </w:numPr>
      </w:pPr>
      <w:r>
        <w:t>Information gathered will not be used for the purpose of substantially informing influential policy decisions</w:t>
      </w:r>
      <w:r>
        <w:rPr>
          <w:rStyle w:val="FootnoteReference"/>
        </w:rPr>
        <w:footnoteReference w:id="3"/>
      </w:r>
      <w:r>
        <w:t>;</w:t>
      </w:r>
    </w:p>
    <w:p w:rsidR="00D477AD" w:rsidP="00D477AD" w14:paraId="15B5CF4D" w14:textId="2E2BFE5D">
      <w:pPr>
        <w:pStyle w:val="ListParagraph"/>
        <w:numPr>
          <w:ilvl w:val="0"/>
          <w:numId w:val="17"/>
        </w:numPr>
      </w:pPr>
      <w:r>
        <w:t>No incentive (e.g., money, reimbursement of expenses, token of appreciation) will be provided to participants.</w:t>
      </w:r>
    </w:p>
    <w:p w:rsidR="008E7059" w:rsidP="008E7059" w14:paraId="7D26746F" w14:textId="77777777">
      <w:pPr>
        <w:pStyle w:val="ListParagraph"/>
        <w:numPr>
          <w:ilvl w:val="0"/>
          <w:numId w:val="17"/>
        </w:numPr>
      </w:pPr>
      <w:r>
        <w:t>The collection is voluntary.</w:t>
      </w:r>
      <w:r w:rsidRPr="00C14CC4">
        <w:t xml:space="preserve"> </w:t>
      </w:r>
    </w:p>
    <w:p w:rsidR="008E7059" w:rsidP="008E7059" w14:paraId="474DC195" w14:textId="77777777">
      <w:pPr>
        <w:pStyle w:val="ListParagraph"/>
        <w:numPr>
          <w:ilvl w:val="0"/>
          <w:numId w:val="17"/>
        </w:numPr>
      </w:pPr>
      <w:r>
        <w:t>The collection is low burden for respondents and low cost for the Federal Government.</w:t>
      </w:r>
    </w:p>
    <w:p w:rsidR="008E7059" w:rsidRPr="00893DEF" w:rsidP="008E7059" w14:paraId="0D084354" w14:textId="77777777">
      <w:pPr>
        <w:pStyle w:val="ListParagraph"/>
        <w:numPr>
          <w:ilvl w:val="0"/>
          <w:numId w:val="17"/>
        </w:numPr>
      </w:pPr>
      <w:r>
        <w:t>The</w:t>
      </w:r>
      <w:r w:rsidRPr="00C14CC4">
        <w:t xml:space="preserve"> collection </w:t>
      </w:r>
      <w:r>
        <w:t>is</w:t>
      </w:r>
      <w:r w:rsidRPr="00C14CC4">
        <w:t xml:space="preserve"> noncontroversial and do</w:t>
      </w:r>
      <w:r>
        <w:t>es</w:t>
      </w:r>
      <w:r w:rsidRPr="00C14CC4">
        <w:t xml:space="preserve"> </w:t>
      </w:r>
      <w:r w:rsidRPr="00893DEF">
        <w:t xml:space="preserve">not raise issues of concern to other </w:t>
      </w:r>
      <w:r>
        <w:t>F</w:t>
      </w:r>
      <w:r w:rsidRPr="00893DEF">
        <w:t>ederal agencies.</w:t>
      </w:r>
    </w:p>
    <w:p w:rsidR="008E7059" w:rsidRPr="00893DEF" w:rsidP="008E7059" w14:paraId="110BAAF6" w14:textId="77777777">
      <w:pPr>
        <w:pStyle w:val="ListParagraph"/>
        <w:numPr>
          <w:ilvl w:val="0"/>
          <w:numId w:val="17"/>
        </w:numPr>
      </w:pPr>
      <w:r w:rsidRPr="00893DEF">
        <w:t xml:space="preserve">Information gathered will be used primarily to inform programs of efficiency and effectiveness of fellowship programs and will not be used for the purpose of substantially informing influential policy decisions. </w:t>
      </w:r>
    </w:p>
    <w:p w:rsidR="008E7059" w:rsidP="008E7059" w14:paraId="07AA50C0" w14:textId="77777777">
      <w:pPr>
        <w:pStyle w:val="ListParagraph"/>
        <w:numPr>
          <w:ilvl w:val="0"/>
          <w:numId w:val="17"/>
        </w:numPr>
      </w:pPr>
      <w:r>
        <w:t>The collection is targeted to the solicitation of opinions from respondents who have experience with the program or may have experience with the program in the future.</w:t>
      </w:r>
    </w:p>
    <w:p w:rsidR="008E7059" w:rsidP="008E7059" w14:paraId="2BE87DC3" w14:textId="77777777">
      <w:pPr>
        <w:pStyle w:val="ListParagraph"/>
        <w:numPr>
          <w:ilvl w:val="0"/>
          <w:numId w:val="17"/>
        </w:numPr>
      </w:pPr>
      <w:r w:rsidRPr="002E0D86">
        <w:t xml:space="preserve">With the exception of information needed to </w:t>
      </w:r>
      <w:r>
        <w:t>contact</w:t>
      </w:r>
      <w:r w:rsidRPr="002E0D86">
        <w:t xml:space="preserve"> participants, personally identifiable information (PII) is collected only to the extent necessary and is not retained.</w:t>
      </w:r>
    </w:p>
    <w:p w:rsidR="008E7059" w:rsidRPr="00A23B50" w:rsidP="008E7059" w14:paraId="112D7B88" w14:textId="1CEF7457">
      <w:pPr>
        <w:pStyle w:val="ListParagraph"/>
        <w:numPr>
          <w:ilvl w:val="0"/>
          <w:numId w:val="17"/>
        </w:numPr>
      </w:pPr>
      <w:r>
        <w:rPr>
          <w:color w:val="000000"/>
        </w:rPr>
        <w:t xml:space="preserve">If this </w:t>
      </w:r>
      <w:r>
        <w:rPr>
          <w:color w:val="000000"/>
        </w:rPr>
        <w:t>genIC</w:t>
      </w:r>
      <w:r w:rsidRPr="00A23B50">
        <w:rPr>
          <w:color w:val="000000"/>
        </w:rPr>
        <w:t xml:space="preserve"> requires collect</w:t>
      </w:r>
      <w:r>
        <w:rPr>
          <w:color w:val="000000"/>
        </w:rPr>
        <w:t xml:space="preserve">ions of race and ethnicity or sex data, </w:t>
      </w:r>
      <w:r w:rsidRPr="00A23B50">
        <w:rPr>
          <w:color w:val="000000"/>
        </w:rPr>
        <w:t xml:space="preserve">the questions </w:t>
      </w:r>
      <w:r>
        <w:rPr>
          <w:color w:val="000000"/>
        </w:rPr>
        <w:t xml:space="preserve">are </w:t>
      </w:r>
      <w:r w:rsidRPr="00A23B50">
        <w:rPr>
          <w:color w:val="000000"/>
        </w:rPr>
        <w:t>consistent with HHS policy and standard OMB classifications.</w:t>
      </w:r>
    </w:p>
    <w:p w:rsidR="008E7059" w:rsidP="008E7059" w14:paraId="68F3AA59" w14:textId="77777777">
      <w:pPr>
        <w:ind w:left="360"/>
      </w:pPr>
    </w:p>
    <w:p w:rsidR="00CB3AB1" w:rsidP="00F73654" w14:paraId="0677B495" w14:textId="77777777"/>
    <w:p w:rsidR="00422F5D" w:rsidP="00F73654" w14:paraId="3957798B" w14:textId="77777777">
      <w:r>
        <w:t xml:space="preserve">If these conditions are not met, </w:t>
      </w:r>
      <w:r w:rsidR="00776554">
        <w:t>CDC</w:t>
      </w:r>
      <w:r>
        <w:t xml:space="preserve"> will submit an </w:t>
      </w:r>
      <w:r w:rsidR="00A10B4B">
        <w:t xml:space="preserve">ICR for </w:t>
      </w:r>
      <w:r>
        <w:t xml:space="preserve">OMB approval through the normal PRA process. </w:t>
      </w:r>
    </w:p>
    <w:p w:rsidR="000B33FE" w:rsidP="00F73654" w14:paraId="6BDE92EC" w14:textId="77777777"/>
    <w:p w:rsidR="00AA023E" w:rsidP="00F73654" w14:paraId="36BDDFBF" w14:textId="42F6B92D">
      <w:pPr>
        <w:rPr>
          <w:color w:val="000000"/>
        </w:rPr>
      </w:pPr>
      <w:r>
        <w:t xml:space="preserve">CDC </w:t>
      </w:r>
      <w:r w:rsidR="00422F5D">
        <w:t>has established a manager</w:t>
      </w:r>
      <w:r w:rsidR="00445702">
        <w:t xml:space="preserve"> or </w:t>
      </w:r>
      <w:r w:rsidR="00422F5D">
        <w:t xml:space="preserve">managing entity </w:t>
      </w:r>
      <w:r w:rsidR="00A10B4B">
        <w:t xml:space="preserve">responsible </w:t>
      </w:r>
      <w:r w:rsidR="00422F5D">
        <w:t>for this generic clearance</w:t>
      </w:r>
      <w:r w:rsidR="00A10B4B">
        <w:t>.</w:t>
      </w:r>
      <w:r w:rsidR="00422F5D">
        <w:t xml:space="preserve"> </w:t>
      </w:r>
      <w:r w:rsidR="00A10B4B">
        <w:t xml:space="preserve">Prior to submitting each </w:t>
      </w:r>
      <w:r w:rsidR="00445702">
        <w:t>genIC</w:t>
      </w:r>
      <w:r w:rsidR="00445702">
        <w:t xml:space="preserve"> request</w:t>
      </w:r>
      <w:r w:rsidR="00A10B4B">
        <w:t xml:space="preserve"> to OMB, </w:t>
      </w:r>
      <w:r>
        <w:t xml:space="preserve">CDC </w:t>
      </w:r>
      <w:r w:rsidR="00422F5D">
        <w:t>will conduct an independent review of each information collection to ensure compliance with terms of this clearance.</w:t>
      </w:r>
      <w:r w:rsidR="00B52CF6">
        <w:t xml:space="preserve"> </w:t>
      </w:r>
      <w:r w:rsidR="00B52CF6">
        <w:rPr>
          <w:color w:val="000000"/>
        </w:rPr>
        <w:t xml:space="preserve">For </w:t>
      </w:r>
      <w:r w:rsidR="00B52CF6">
        <w:t>e</w:t>
      </w:r>
      <w:r w:rsidRPr="005F3B66" w:rsidR="00B52CF6">
        <w:t xml:space="preserve">ach </w:t>
      </w:r>
      <w:r w:rsidR="00B52CF6">
        <w:t>genIC</w:t>
      </w:r>
      <w:r w:rsidR="00B52CF6">
        <w:t>, the</w:t>
      </w:r>
      <w:r w:rsidR="00B52CF6">
        <w:rPr>
          <w:color w:val="000000"/>
        </w:rPr>
        <w:t xml:space="preserve"> respective </w:t>
      </w:r>
      <w:r w:rsidRPr="005F3B66" w:rsidR="00B52CF6">
        <w:t xml:space="preserve">project </w:t>
      </w:r>
      <w:r w:rsidR="00B52CF6">
        <w:t xml:space="preserve">team </w:t>
      </w:r>
      <w:r w:rsidRPr="005F3B66" w:rsidR="00B52CF6">
        <w:rPr>
          <w:color w:val="000000"/>
        </w:rPr>
        <w:t xml:space="preserve">will submit </w:t>
      </w:r>
      <w:r w:rsidR="00B52CF6">
        <w:rPr>
          <w:color w:val="000000"/>
        </w:rPr>
        <w:t>information collection</w:t>
      </w:r>
      <w:r w:rsidRPr="005F3B66" w:rsidR="00B52CF6">
        <w:rPr>
          <w:color w:val="000000"/>
        </w:rPr>
        <w:t xml:space="preserve"> tools </w:t>
      </w:r>
      <w:r w:rsidR="00B52CF6">
        <w:rPr>
          <w:color w:val="000000"/>
        </w:rPr>
        <w:t xml:space="preserve">and screenshots (when relevant), for review. </w:t>
      </w:r>
    </w:p>
    <w:p w:rsidR="00BB011C" w:rsidP="00F73654" w14:paraId="2D3D6DFE" w14:textId="77777777">
      <w:pPr>
        <w:rPr>
          <w:color w:val="000000"/>
        </w:rPr>
      </w:pPr>
    </w:p>
    <w:p w:rsidR="00B3192E" w:rsidRPr="00B3192E" w:rsidP="00F73654" w14:paraId="28B16751" w14:textId="77777777">
      <w:pPr>
        <w:pStyle w:val="Heading1"/>
      </w:pPr>
      <w:bookmarkStart w:id="7" w:name="_Toc299967995"/>
      <w:bookmarkStart w:id="8" w:name="_Toc452565354"/>
      <w:r>
        <w:t xml:space="preserve">A.3. </w:t>
      </w:r>
      <w:r w:rsidRPr="005F3B66" w:rsidR="007D61BF">
        <w:t>Use of Improved Information Technology and Burden Reduction</w:t>
      </w:r>
      <w:bookmarkEnd w:id="7"/>
      <w:bookmarkEnd w:id="8"/>
    </w:p>
    <w:p w:rsidR="007D61BF" w:rsidP="00F73654" w14:paraId="38D55130" w14:textId="0BB594F8">
      <w:pPr>
        <w:rPr>
          <w:color w:val="000000"/>
        </w:rPr>
      </w:pPr>
      <w:r>
        <w:rPr>
          <w:color w:val="000000"/>
        </w:rPr>
        <w:t>T</w:t>
      </w:r>
      <w:r w:rsidRPr="005F3B66">
        <w:rPr>
          <w:color w:val="000000"/>
        </w:rPr>
        <w:t>o reduce respondent burden</w:t>
      </w:r>
      <w:r>
        <w:rPr>
          <w:color w:val="000000"/>
        </w:rPr>
        <w:t xml:space="preserve"> </w:t>
      </w:r>
      <w:r w:rsidRPr="005F3B66">
        <w:rPr>
          <w:color w:val="000000"/>
        </w:rPr>
        <w:t xml:space="preserve">and </w:t>
      </w:r>
      <w:r>
        <w:rPr>
          <w:color w:val="000000"/>
        </w:rPr>
        <w:t xml:space="preserve">improve </w:t>
      </w:r>
      <w:r w:rsidRPr="005F3B66">
        <w:rPr>
          <w:color w:val="000000"/>
        </w:rPr>
        <w:t>data processing and reporting efficiency</w:t>
      </w:r>
      <w:r w:rsidRPr="005F3B66">
        <w:rPr>
          <w:color w:val="000000"/>
        </w:rPr>
        <w:t xml:space="preserve">, </w:t>
      </w:r>
      <w:r w:rsidR="00DC1B91">
        <w:rPr>
          <w:color w:val="000000"/>
        </w:rPr>
        <w:t xml:space="preserve">CDC programs will employ </w:t>
      </w:r>
      <w:r w:rsidRPr="005F3B66">
        <w:rPr>
          <w:color w:val="000000"/>
        </w:rPr>
        <w:t>electronic technology to collect and process data</w:t>
      </w:r>
      <w:r>
        <w:rPr>
          <w:color w:val="000000"/>
        </w:rPr>
        <w:t xml:space="preserve"> w</w:t>
      </w:r>
      <w:r w:rsidRPr="005F3B66">
        <w:rPr>
          <w:color w:val="000000"/>
        </w:rPr>
        <w:t>henever possible</w:t>
      </w:r>
      <w:r>
        <w:rPr>
          <w:color w:val="000000"/>
        </w:rPr>
        <w:t>.</w:t>
      </w:r>
      <w:r w:rsidRPr="005F3B66">
        <w:rPr>
          <w:color w:val="000000"/>
        </w:rPr>
        <w:t xml:space="preserve"> </w:t>
      </w:r>
      <w:r w:rsidR="00192ED3">
        <w:rPr>
          <w:color w:val="000000"/>
        </w:rPr>
        <w:t xml:space="preserve">Data collection </w:t>
      </w:r>
      <w:r>
        <w:rPr>
          <w:color w:val="000000"/>
        </w:rPr>
        <w:t xml:space="preserve">methods will incorporate </w:t>
      </w:r>
      <w:r w:rsidR="00192ED3">
        <w:rPr>
          <w:color w:val="000000"/>
        </w:rPr>
        <w:t xml:space="preserve">use </w:t>
      </w:r>
      <w:r>
        <w:rPr>
          <w:color w:val="000000"/>
        </w:rPr>
        <w:t xml:space="preserve">of </w:t>
      </w:r>
      <w:r w:rsidR="00192ED3">
        <w:rPr>
          <w:color w:val="000000"/>
        </w:rPr>
        <w:t>current modes</w:t>
      </w:r>
      <w:r w:rsidRPr="00192ED3" w:rsidR="00192ED3">
        <w:rPr>
          <w:color w:val="000000"/>
        </w:rPr>
        <w:t xml:space="preserve"> </w:t>
      </w:r>
      <w:r w:rsidR="00DF077E">
        <w:rPr>
          <w:color w:val="000000"/>
        </w:rPr>
        <w:t>(e.g.</w:t>
      </w:r>
      <w:r w:rsidR="00615B85">
        <w:rPr>
          <w:color w:val="000000"/>
        </w:rPr>
        <w:t xml:space="preserve">, </w:t>
      </w:r>
      <w:r w:rsidRPr="005F3B66" w:rsidR="00615B85">
        <w:rPr>
          <w:color w:val="000000"/>
        </w:rPr>
        <w:t>computer</w:t>
      </w:r>
      <w:r w:rsidRPr="005F3B66" w:rsidR="00192ED3">
        <w:rPr>
          <w:color w:val="000000"/>
        </w:rPr>
        <w:t>-assisted, web-based</w:t>
      </w:r>
      <w:r w:rsidR="006150BC">
        <w:rPr>
          <w:color w:val="000000"/>
        </w:rPr>
        <w:t>,</w:t>
      </w:r>
      <w:r w:rsidRPr="005F3B66" w:rsidR="00192ED3">
        <w:rPr>
          <w:color w:val="000000"/>
        </w:rPr>
        <w:t xml:space="preserve"> </w:t>
      </w:r>
      <w:r w:rsidR="00903B95">
        <w:rPr>
          <w:color w:val="000000"/>
        </w:rPr>
        <w:t>virtual video platforms</w:t>
      </w:r>
      <w:r w:rsidR="006150BC">
        <w:rPr>
          <w:color w:val="000000"/>
        </w:rPr>
        <w:t>)</w:t>
      </w:r>
      <w:r w:rsidRPr="005F3B66" w:rsidR="00192ED3">
        <w:rPr>
          <w:color w:val="000000"/>
        </w:rPr>
        <w:t xml:space="preserve"> </w:t>
      </w:r>
      <w:r w:rsidR="00192ED3">
        <w:rPr>
          <w:color w:val="000000"/>
        </w:rPr>
        <w:t xml:space="preserve">to minimize the burden on the intended audience while maintaining privacy, confidentiality, </w:t>
      </w:r>
      <w:r w:rsidR="00A22E88">
        <w:rPr>
          <w:color w:val="000000"/>
        </w:rPr>
        <w:t xml:space="preserve">and </w:t>
      </w:r>
      <w:r w:rsidR="00192ED3">
        <w:rPr>
          <w:color w:val="000000"/>
        </w:rPr>
        <w:t>sensitivity considerations.</w:t>
      </w:r>
      <w:r w:rsidR="00C84FC1">
        <w:rPr>
          <w:color w:val="000000"/>
        </w:rPr>
        <w:t xml:space="preserve"> </w:t>
      </w:r>
      <w:r w:rsidR="00F77F36">
        <w:rPr>
          <w:color w:val="000000"/>
        </w:rPr>
        <w:t xml:space="preserve">Skip patterns </w:t>
      </w:r>
      <w:r w:rsidR="006E772D">
        <w:rPr>
          <w:color w:val="000000"/>
        </w:rPr>
        <w:t xml:space="preserve">will </w:t>
      </w:r>
      <w:r w:rsidR="00F77F36">
        <w:rPr>
          <w:color w:val="000000"/>
        </w:rPr>
        <w:t xml:space="preserve">be employed, when appropriate, to increase efficiency and minimize burden to </w:t>
      </w:r>
      <w:r w:rsidR="006733B2">
        <w:rPr>
          <w:color w:val="000000"/>
        </w:rPr>
        <w:t xml:space="preserve">each </w:t>
      </w:r>
      <w:r w:rsidR="00F77F36">
        <w:rPr>
          <w:color w:val="000000"/>
        </w:rPr>
        <w:t>respondent.</w:t>
      </w:r>
    </w:p>
    <w:p w:rsidR="002B3D52" w:rsidP="00F73654" w14:paraId="6A987234" w14:textId="77777777">
      <w:pPr>
        <w:rPr>
          <w:color w:val="000000"/>
        </w:rPr>
      </w:pPr>
    </w:p>
    <w:p w:rsidR="00F61770" w:rsidP="00F73654" w14:paraId="63BE4776" w14:textId="6353C997">
      <w:pPr>
        <w:rPr>
          <w:color w:val="000000"/>
        </w:rPr>
      </w:pPr>
      <w:r w:rsidRPr="00404B1E">
        <w:rPr>
          <w:color w:val="000000"/>
        </w:rPr>
        <w:t>P</w:t>
      </w:r>
      <w:r w:rsidRPr="00404B1E" w:rsidR="002B3D52">
        <w:rPr>
          <w:color w:val="000000"/>
        </w:rPr>
        <w:t>aper-based data collection</w:t>
      </w:r>
      <w:r w:rsidRPr="005F3B66" w:rsidR="002B3D52">
        <w:rPr>
          <w:color w:val="000000"/>
        </w:rPr>
        <w:t xml:space="preserve"> </w:t>
      </w:r>
      <w:r w:rsidR="006733B2">
        <w:rPr>
          <w:color w:val="000000"/>
        </w:rPr>
        <w:t>may</w:t>
      </w:r>
      <w:r w:rsidRPr="005F3B66" w:rsidR="006733B2">
        <w:rPr>
          <w:color w:val="000000"/>
        </w:rPr>
        <w:t xml:space="preserve"> </w:t>
      </w:r>
      <w:r w:rsidRPr="005F3B66" w:rsidR="002B3D52">
        <w:rPr>
          <w:color w:val="000000"/>
        </w:rPr>
        <w:t xml:space="preserve">be implemented </w:t>
      </w:r>
      <w:r w:rsidR="002B3D52">
        <w:rPr>
          <w:color w:val="000000"/>
        </w:rPr>
        <w:t>in</w:t>
      </w:r>
      <w:r w:rsidRPr="005F3B66" w:rsidR="002B3D52">
        <w:rPr>
          <w:color w:val="000000"/>
        </w:rPr>
        <w:t xml:space="preserve"> cases when respondents do not have access to electronic means of communication</w:t>
      </w:r>
      <w:r w:rsidR="002B3D52">
        <w:rPr>
          <w:color w:val="000000"/>
        </w:rPr>
        <w:t xml:space="preserve"> or when accessing online data collection is more burdensome than </w:t>
      </w:r>
      <w:r w:rsidR="00DF42E7">
        <w:rPr>
          <w:color w:val="000000"/>
        </w:rPr>
        <w:t xml:space="preserve">a </w:t>
      </w:r>
      <w:r w:rsidR="002B3D52">
        <w:rPr>
          <w:color w:val="000000"/>
        </w:rPr>
        <w:t>paper-based method</w:t>
      </w:r>
      <w:r w:rsidRPr="005F3B66" w:rsidR="002B3D52">
        <w:rPr>
          <w:color w:val="000000"/>
        </w:rPr>
        <w:t>.</w:t>
      </w:r>
      <w:r w:rsidR="002B3D52">
        <w:rPr>
          <w:color w:val="000000"/>
        </w:rPr>
        <w:t xml:space="preserve"> </w:t>
      </w:r>
      <w:r w:rsidR="006733B2">
        <w:rPr>
          <w:color w:val="000000"/>
        </w:rPr>
        <w:t>CDC expects such instances to be rare.</w:t>
      </w:r>
      <w:r w:rsidR="00B52CF6">
        <w:rPr>
          <w:color w:val="000000"/>
        </w:rPr>
        <w:t xml:space="preserve">  </w:t>
      </w:r>
      <w:r w:rsidR="00066F95">
        <w:rPr>
          <w:color w:val="000000"/>
        </w:rPr>
        <w:t>Alt</w:t>
      </w:r>
      <w:r w:rsidRPr="005D5E0A" w:rsidR="00745520">
        <w:rPr>
          <w:color w:val="000000"/>
        </w:rPr>
        <w:t xml:space="preserve">hough </w:t>
      </w:r>
      <w:r w:rsidR="00AF2236">
        <w:rPr>
          <w:color w:val="000000"/>
        </w:rPr>
        <w:t>online survey</w:t>
      </w:r>
      <w:r w:rsidR="00066F95">
        <w:rPr>
          <w:color w:val="000000"/>
        </w:rPr>
        <w:t xml:space="preserve"> </w:t>
      </w:r>
      <w:r w:rsidRPr="005D5E0A" w:rsidR="00745520">
        <w:rPr>
          <w:color w:val="000000"/>
        </w:rPr>
        <w:t xml:space="preserve">technologies will </w:t>
      </w:r>
      <w:r w:rsidR="00066F95">
        <w:rPr>
          <w:color w:val="000000"/>
        </w:rPr>
        <w:t xml:space="preserve">likely </w:t>
      </w:r>
      <w:r w:rsidRPr="005D5E0A" w:rsidR="00745520">
        <w:rPr>
          <w:color w:val="000000"/>
        </w:rPr>
        <w:t xml:space="preserve">be used by </w:t>
      </w:r>
      <w:r w:rsidR="00066F95">
        <w:rPr>
          <w:color w:val="000000"/>
        </w:rPr>
        <w:t xml:space="preserve">a majority </w:t>
      </w:r>
      <w:r w:rsidRPr="005D5E0A" w:rsidR="00745520">
        <w:rPr>
          <w:color w:val="000000"/>
        </w:rPr>
        <w:t xml:space="preserve">of the individual projects </w:t>
      </w:r>
      <w:r w:rsidR="00021BD4">
        <w:rPr>
          <w:color w:val="000000"/>
        </w:rPr>
        <w:t>(</w:t>
      </w:r>
      <w:r w:rsidR="00021BD4">
        <w:rPr>
          <w:color w:val="000000"/>
        </w:rPr>
        <w:t>genICs</w:t>
      </w:r>
      <w:r w:rsidR="00021BD4">
        <w:rPr>
          <w:color w:val="000000"/>
        </w:rPr>
        <w:t xml:space="preserve">) </w:t>
      </w:r>
      <w:r w:rsidRPr="005D5E0A" w:rsidR="00021BD4">
        <w:rPr>
          <w:color w:val="000000"/>
        </w:rPr>
        <w:t xml:space="preserve">in this </w:t>
      </w:r>
      <w:r w:rsidR="00021BD4">
        <w:rPr>
          <w:color w:val="000000"/>
        </w:rPr>
        <w:t xml:space="preserve">generic </w:t>
      </w:r>
      <w:r w:rsidR="00BE4A7B">
        <w:rPr>
          <w:color w:val="000000"/>
        </w:rPr>
        <w:t>ICR</w:t>
      </w:r>
      <w:r w:rsidRPr="005D5E0A" w:rsidR="00021BD4">
        <w:rPr>
          <w:color w:val="000000"/>
        </w:rPr>
        <w:t xml:space="preserve">, </w:t>
      </w:r>
      <w:r w:rsidRPr="005D5E0A" w:rsidR="00745520">
        <w:rPr>
          <w:color w:val="000000"/>
        </w:rPr>
        <w:t xml:space="preserve">the nature of </w:t>
      </w:r>
      <w:r w:rsidR="00066F95">
        <w:rPr>
          <w:color w:val="000000"/>
        </w:rPr>
        <w:t xml:space="preserve">certain </w:t>
      </w:r>
      <w:r w:rsidRPr="005D5E0A" w:rsidR="00745520">
        <w:rPr>
          <w:color w:val="000000"/>
        </w:rPr>
        <w:t xml:space="preserve">proposed activities </w:t>
      </w:r>
      <w:r w:rsidR="003D1A0A">
        <w:rPr>
          <w:color w:val="000000"/>
        </w:rPr>
        <w:t>may</w:t>
      </w:r>
      <w:r w:rsidRPr="005D5E0A" w:rsidR="00745520">
        <w:rPr>
          <w:color w:val="000000"/>
        </w:rPr>
        <w:t xml:space="preserve"> require direct interaction between respondents and project staff, especially in the case of qualitative interviewing and cognitive testing</w:t>
      </w:r>
      <w:r w:rsidR="003D1A0A">
        <w:rPr>
          <w:color w:val="000000"/>
        </w:rPr>
        <w:t>, to provide open-ended feedback</w:t>
      </w:r>
      <w:r w:rsidRPr="005D5E0A" w:rsidR="00745520">
        <w:rPr>
          <w:color w:val="000000"/>
        </w:rPr>
        <w:t>.</w:t>
      </w:r>
      <w:r w:rsidR="00B52CF6">
        <w:rPr>
          <w:color w:val="000000"/>
        </w:rPr>
        <w:t xml:space="preserve">  </w:t>
      </w:r>
      <w:r w:rsidR="00192ED3">
        <w:rPr>
          <w:color w:val="000000"/>
        </w:rPr>
        <w:t xml:space="preserve">All </w:t>
      </w:r>
      <w:r w:rsidR="00021BD4">
        <w:rPr>
          <w:color w:val="000000"/>
        </w:rPr>
        <w:t>genIC</w:t>
      </w:r>
      <w:r w:rsidR="00021BD4">
        <w:rPr>
          <w:color w:val="000000"/>
        </w:rPr>
        <w:t xml:space="preserve"> </w:t>
      </w:r>
      <w:r w:rsidR="00192ED3">
        <w:rPr>
          <w:color w:val="000000"/>
        </w:rPr>
        <w:t xml:space="preserve">data collections will be designed to minimize respondent </w:t>
      </w:r>
      <w:r w:rsidR="00D4270C">
        <w:rPr>
          <w:color w:val="000000"/>
        </w:rPr>
        <w:t xml:space="preserve">burden and will ask the minimum number of questions required to elicit necessary </w:t>
      </w:r>
      <w:r w:rsidR="00BE4A7B">
        <w:rPr>
          <w:color w:val="000000"/>
        </w:rPr>
        <w:t>information</w:t>
      </w:r>
      <w:r w:rsidR="00D4270C">
        <w:rPr>
          <w:color w:val="000000"/>
        </w:rPr>
        <w:t xml:space="preserve">. </w:t>
      </w:r>
    </w:p>
    <w:p w:rsidR="00382D0B" w:rsidP="00F73654" w14:paraId="15C86A6A" w14:textId="77777777">
      <w:pPr>
        <w:rPr>
          <w:color w:val="000000"/>
        </w:rPr>
      </w:pPr>
    </w:p>
    <w:p w:rsidR="00E97B83" w:rsidP="00F73654" w14:paraId="44A7113D" w14:textId="77777777">
      <w:pPr>
        <w:pStyle w:val="Heading1"/>
      </w:pPr>
      <w:bookmarkStart w:id="9" w:name="_Toc299967996"/>
      <w:bookmarkStart w:id="10" w:name="_Toc452565355"/>
      <w:r>
        <w:t xml:space="preserve">A.4. </w:t>
      </w:r>
      <w:r w:rsidRPr="005F3B66">
        <w:t>Efforts to Identify Duplication and Use of Similar Information</w:t>
      </w:r>
      <w:bookmarkEnd w:id="9"/>
      <w:bookmarkEnd w:id="10"/>
      <w:r w:rsidRPr="005F3B66">
        <w:t xml:space="preserve"> </w:t>
      </w:r>
    </w:p>
    <w:p w:rsidR="00F73654" w:rsidRPr="00014A03" w:rsidP="00F73654" w14:paraId="584D3BDB" w14:textId="772D3639">
      <w:pPr>
        <w:rPr>
          <w:rFonts w:eastAsia="SimSun"/>
          <w:lang w:eastAsia="zh-CN"/>
        </w:rPr>
      </w:pPr>
      <w:r>
        <w:t>DWD</w:t>
      </w:r>
      <w:r w:rsidRPr="4E6E681B">
        <w:rPr>
          <w:b/>
          <w:bCs/>
        </w:rPr>
        <w:t xml:space="preserve"> </w:t>
      </w:r>
      <w:r w:rsidR="00E62837">
        <w:t>conducted a</w:t>
      </w:r>
      <w:r w:rsidR="00AA5AB3">
        <w:t xml:space="preserve"> </w:t>
      </w:r>
      <w:r w:rsidR="00E62837">
        <w:t xml:space="preserve">scan of </w:t>
      </w:r>
      <w:r w:rsidR="0094420C">
        <w:t>R</w:t>
      </w:r>
      <w:r w:rsidR="00DF42E7">
        <w:t xml:space="preserve">eginfo.gov for </w:t>
      </w:r>
      <w:r w:rsidR="00E62837">
        <w:t xml:space="preserve">data collection activities </w:t>
      </w:r>
      <w:r w:rsidR="00A22E88">
        <w:t xml:space="preserve">conducted by CDC </w:t>
      </w:r>
      <w:r w:rsidR="00E62837">
        <w:t xml:space="preserve">related to </w:t>
      </w:r>
      <w:r w:rsidR="00611419">
        <w:t>assessing fellowship activities</w:t>
      </w:r>
      <w:r w:rsidR="002F605D">
        <w:t xml:space="preserve">; this scan was performed </w:t>
      </w:r>
      <w:r w:rsidR="00321101">
        <w:t xml:space="preserve">to ensure that information collected under this proposed generic </w:t>
      </w:r>
      <w:r w:rsidR="005D2C67">
        <w:t>ICR</w:t>
      </w:r>
      <w:r w:rsidR="00321101">
        <w:t xml:space="preserve"> is not duplicative or already in the possession of the </w:t>
      </w:r>
      <w:r w:rsidR="002F605D">
        <w:t>F</w:t>
      </w:r>
      <w:r w:rsidR="00321101">
        <w:t xml:space="preserve">ederal </w:t>
      </w:r>
      <w:r w:rsidR="002F605D">
        <w:t>G</w:t>
      </w:r>
      <w:r w:rsidR="00321101">
        <w:t xml:space="preserve">overnment. </w:t>
      </w:r>
      <w:r w:rsidR="00DA543F">
        <w:t xml:space="preserve">DWD </w:t>
      </w:r>
      <w:r w:rsidR="002F605D">
        <w:t xml:space="preserve">identified the following </w:t>
      </w:r>
      <w:r w:rsidR="00321101">
        <w:t xml:space="preserve">generic package that </w:t>
      </w:r>
      <w:r w:rsidR="00DF42E7">
        <w:t>app</w:t>
      </w:r>
      <w:r w:rsidR="00445702">
        <w:t>ear</w:t>
      </w:r>
      <w:r w:rsidR="000149FB">
        <w:t>s</w:t>
      </w:r>
      <w:r w:rsidR="00321101">
        <w:t xml:space="preserve"> similar in scope:</w:t>
      </w:r>
    </w:p>
    <w:p w:rsidR="003D77C3" w:rsidRPr="00872E6F" w:rsidP="003D77C3" w14:paraId="1014BB1B" w14:textId="77777777">
      <w:pPr>
        <w:pStyle w:val="ListParagraph"/>
        <w:numPr>
          <w:ilvl w:val="0"/>
          <w:numId w:val="6"/>
        </w:numPr>
        <w:rPr>
          <w:rFonts w:eastAsia="SimSun"/>
          <w:lang w:eastAsia="zh-CN"/>
        </w:rPr>
      </w:pPr>
      <w:r w:rsidRPr="00872E6F">
        <w:t>[NCSTLTPHIW] Information Collections to Advance State, Tribal, Local and Territorial (STLT) Governmental Agency System Performance, Capacity, and Program Delivery</w:t>
      </w:r>
      <w:r>
        <w:t xml:space="preserve"> (OMB Control No. 0920-0879)</w:t>
      </w:r>
    </w:p>
    <w:p w:rsidR="00E21A12" w:rsidP="00E21A12" w14:paraId="1572D05F" w14:textId="5C66BD25">
      <w:pPr>
        <w:pStyle w:val="ListParagraph"/>
        <w:numPr>
          <w:ilvl w:val="0"/>
          <w:numId w:val="6"/>
        </w:numPr>
        <w:rPr>
          <w:rFonts w:eastAsia="SimSun"/>
          <w:lang w:eastAsia="zh-CN"/>
        </w:rPr>
      </w:pPr>
      <w:r>
        <w:rPr>
          <w:rFonts w:eastAsia="SimSun"/>
          <w:lang w:eastAsia="zh-CN"/>
        </w:rPr>
        <w:t xml:space="preserve">CDC </w:t>
      </w:r>
      <w:r w:rsidR="003D7A8A">
        <w:rPr>
          <w:rFonts w:eastAsia="SimSun"/>
          <w:lang w:eastAsia="zh-CN"/>
        </w:rPr>
        <w:t>Generic Clearance for the Collection of Qualitative Feedback on Agency Service Delivery</w:t>
      </w:r>
      <w:r w:rsidR="00533A9D">
        <w:rPr>
          <w:rFonts w:eastAsia="SimSun"/>
          <w:lang w:eastAsia="zh-CN"/>
        </w:rPr>
        <w:t xml:space="preserve"> (OMB Control No. 0920-1050)</w:t>
      </w:r>
    </w:p>
    <w:p w:rsidR="00E21A12" w14:paraId="105E2C4D" w14:textId="59CEB3E8">
      <w:pPr>
        <w:pStyle w:val="ListParagraph"/>
        <w:numPr>
          <w:ilvl w:val="0"/>
          <w:numId w:val="6"/>
        </w:numPr>
        <w:rPr>
          <w:rFonts w:eastAsia="SimSun"/>
          <w:lang w:eastAsia="zh-CN"/>
        </w:rPr>
      </w:pPr>
      <w:r w:rsidRPr="0029711C">
        <w:rPr>
          <w:rFonts w:eastAsia="SimSun"/>
          <w:lang w:eastAsia="zh-CN"/>
        </w:rPr>
        <w:t xml:space="preserve">DWD </w:t>
      </w:r>
      <w:r w:rsidRPr="0029711C" w:rsidR="0029711C">
        <w:rPr>
          <w:rFonts w:eastAsia="SimSun"/>
          <w:lang w:eastAsia="zh-CN"/>
        </w:rPr>
        <w:t xml:space="preserve">Fellowship </w:t>
      </w:r>
      <w:r w:rsidRPr="0029711C">
        <w:rPr>
          <w:rFonts w:eastAsia="SimSun"/>
          <w:lang w:eastAsia="zh-CN"/>
        </w:rPr>
        <w:t xml:space="preserve">Alumni </w:t>
      </w:r>
      <w:r w:rsidRPr="0029711C" w:rsidR="0029711C">
        <w:rPr>
          <w:rFonts w:eastAsia="SimSun"/>
          <w:lang w:eastAsia="zh-CN"/>
        </w:rPr>
        <w:t>Assessment</w:t>
      </w:r>
      <w:r w:rsidRPr="0029711C" w:rsidR="003C30D0">
        <w:rPr>
          <w:rFonts w:eastAsia="SimSun"/>
          <w:lang w:eastAsia="zh-CN"/>
        </w:rPr>
        <w:t xml:space="preserve"> </w:t>
      </w:r>
      <w:r w:rsidR="001954A7">
        <w:rPr>
          <w:rFonts w:eastAsia="SimSun"/>
          <w:lang w:eastAsia="zh-CN"/>
        </w:rPr>
        <w:t>(</w:t>
      </w:r>
      <w:r w:rsidR="00240135">
        <w:rPr>
          <w:rFonts w:eastAsia="SimSun"/>
          <w:lang w:eastAsia="zh-CN"/>
        </w:rPr>
        <w:t xml:space="preserve">OMB Control No. </w:t>
      </w:r>
      <w:r w:rsidRPr="0029711C" w:rsidR="0029711C">
        <w:rPr>
          <w:rFonts w:eastAsia="SimSun"/>
          <w:lang w:eastAsia="zh-CN"/>
        </w:rPr>
        <w:t>0920-</w:t>
      </w:r>
      <w:r w:rsidRPr="0029711C" w:rsidR="003C30D0">
        <w:rPr>
          <w:rFonts w:eastAsia="SimSun"/>
          <w:lang w:eastAsia="zh-CN"/>
        </w:rPr>
        <w:t>1078</w:t>
      </w:r>
      <w:r w:rsidR="001954A7">
        <w:rPr>
          <w:rFonts w:eastAsia="SimSun"/>
          <w:lang w:eastAsia="zh-CN"/>
        </w:rPr>
        <w:t>)</w:t>
      </w:r>
    </w:p>
    <w:p w:rsidR="00F73654" w:rsidP="0029711C" w14:paraId="30599039" w14:textId="01FF77A3">
      <w:pPr>
        <w:pStyle w:val="ListParagraph"/>
        <w:numPr>
          <w:ilvl w:val="0"/>
          <w:numId w:val="6"/>
        </w:numPr>
      </w:pPr>
      <w:r w:rsidRPr="0029711C">
        <w:rPr>
          <w:color w:val="000000"/>
        </w:rPr>
        <w:t>CDC Fellowship Management System (</w:t>
      </w:r>
      <w:r>
        <w:t>FMS) (OMB Control No. 0920-0765</w:t>
      </w:r>
      <w:r w:rsidRPr="0029711C">
        <w:rPr>
          <w:color w:val="000000"/>
        </w:rPr>
        <w:t>).</w:t>
      </w:r>
    </w:p>
    <w:p w:rsidR="0074361D" w:rsidP="00F73654" w14:paraId="60C08EED" w14:textId="77777777"/>
    <w:p w:rsidR="00F73654" w:rsidP="00F73654" w14:paraId="76FEB3B8" w14:textId="462841D3">
      <w:r>
        <w:t>However, t</w:t>
      </w:r>
      <w:r w:rsidR="002942E1">
        <w:t>h</w:t>
      </w:r>
      <w:r w:rsidR="008244D4">
        <w:t>ese</w:t>
      </w:r>
      <w:r w:rsidR="002942E1">
        <w:t xml:space="preserve"> </w:t>
      </w:r>
      <w:r w:rsidR="00DB6BDA">
        <w:t>collections</w:t>
      </w:r>
      <w:r w:rsidR="00A15A38">
        <w:t xml:space="preserve"> </w:t>
      </w:r>
      <w:r w:rsidR="008244D4">
        <w:t xml:space="preserve">are </w:t>
      </w:r>
      <w:r w:rsidR="002942E1">
        <w:t xml:space="preserve">not duplicative of </w:t>
      </w:r>
      <w:r w:rsidR="00E21A12">
        <w:t>0920-1163</w:t>
      </w:r>
      <w:r w:rsidR="003B2EB5">
        <w:t xml:space="preserve"> </w:t>
      </w:r>
      <w:r w:rsidR="002942E1">
        <w:t>generic clearance</w:t>
      </w:r>
      <w:r w:rsidR="00A15A38">
        <w:t xml:space="preserve"> mechanisms for the following reason</w:t>
      </w:r>
      <w:r w:rsidR="00F77F36">
        <w:t>s</w:t>
      </w:r>
      <w:r w:rsidR="00A15A38">
        <w:t>:</w:t>
      </w:r>
    </w:p>
    <w:p w:rsidR="00A37E11" w:rsidRPr="006C31D7" w:rsidP="00F73654" w14:paraId="02891E14" w14:textId="0A2C2AA2">
      <w:pPr>
        <w:pStyle w:val="ListParagraph"/>
        <w:numPr>
          <w:ilvl w:val="0"/>
          <w:numId w:val="6"/>
        </w:numPr>
        <w:rPr>
          <w:rFonts w:eastAsia="SimSun"/>
          <w:lang w:eastAsia="zh-CN"/>
        </w:rPr>
      </w:pPr>
      <w:r>
        <w:rPr>
          <w:rFonts w:eastAsia="SimSun"/>
          <w:lang w:eastAsia="zh-CN"/>
        </w:rPr>
        <w:t xml:space="preserve">The respondent universe for the </w:t>
      </w:r>
      <w:r w:rsidR="00240135">
        <w:rPr>
          <w:rFonts w:eastAsia="SimSun"/>
          <w:lang w:eastAsia="zh-CN"/>
        </w:rPr>
        <w:t xml:space="preserve">STLT </w:t>
      </w:r>
      <w:r w:rsidR="008E43E7">
        <w:rPr>
          <w:rFonts w:eastAsia="SimSun"/>
          <w:lang w:eastAsia="zh-CN"/>
        </w:rPr>
        <w:t xml:space="preserve">generic clearance </w:t>
      </w:r>
      <w:r>
        <w:rPr>
          <w:rFonts w:eastAsia="SimSun"/>
          <w:lang w:eastAsia="zh-CN"/>
        </w:rPr>
        <w:t xml:space="preserve">is outlined </w:t>
      </w:r>
      <w:r w:rsidR="008E43E7">
        <w:rPr>
          <w:rFonts w:eastAsia="SimSun"/>
          <w:lang w:eastAsia="zh-CN"/>
        </w:rPr>
        <w:t xml:space="preserve">as </w:t>
      </w:r>
      <w:r w:rsidRPr="0032790C" w:rsidR="008E43E7">
        <w:rPr>
          <w:rFonts w:eastAsia="SimSun"/>
          <w:lang w:eastAsia="zh-CN"/>
        </w:rPr>
        <w:t>state, tribal, local, and territorial (STLT) agencies</w:t>
      </w:r>
      <w:r w:rsidR="008E43E7">
        <w:rPr>
          <w:rFonts w:eastAsia="SimSun"/>
          <w:lang w:eastAsia="zh-CN"/>
        </w:rPr>
        <w:t xml:space="preserve">. </w:t>
      </w:r>
      <w:r w:rsidR="003729DB">
        <w:rPr>
          <w:rFonts w:eastAsia="SimSun"/>
          <w:lang w:eastAsia="zh-CN"/>
        </w:rPr>
        <w:t xml:space="preserve">Although </w:t>
      </w:r>
      <w:r w:rsidR="00E84B35">
        <w:rPr>
          <w:rFonts w:eastAsia="SimSun"/>
          <w:lang w:eastAsia="zh-CN"/>
        </w:rPr>
        <w:t xml:space="preserve">project teams </w:t>
      </w:r>
      <w:r w:rsidR="003729DB">
        <w:rPr>
          <w:rFonts w:eastAsia="SimSun"/>
          <w:lang w:eastAsia="zh-CN"/>
        </w:rPr>
        <w:t xml:space="preserve">under this proposed generic </w:t>
      </w:r>
      <w:r w:rsidR="00E84B35">
        <w:rPr>
          <w:rFonts w:eastAsia="SimSun"/>
          <w:lang w:eastAsia="zh-CN"/>
        </w:rPr>
        <w:t>may collect information</w:t>
      </w:r>
      <w:r w:rsidRPr="0032790C" w:rsidR="00A15A38">
        <w:rPr>
          <w:rFonts w:eastAsia="SimSun"/>
          <w:lang w:eastAsia="zh-CN"/>
        </w:rPr>
        <w:t xml:space="preserve"> from representatives of </w:t>
      </w:r>
      <w:r>
        <w:rPr>
          <w:rFonts w:eastAsia="SimSun"/>
          <w:lang w:eastAsia="zh-CN"/>
        </w:rPr>
        <w:t xml:space="preserve">these </w:t>
      </w:r>
      <w:r w:rsidRPr="0032790C" w:rsidR="00A15A38">
        <w:rPr>
          <w:rFonts w:eastAsia="SimSun"/>
          <w:lang w:eastAsia="zh-CN"/>
        </w:rPr>
        <w:t xml:space="preserve">agencies, </w:t>
      </w:r>
      <w:r w:rsidR="00FD6638">
        <w:t>CDC offices</w:t>
      </w:r>
      <w:r w:rsidR="00E84B35">
        <w:t xml:space="preserve"> </w:t>
      </w:r>
      <w:r>
        <w:t xml:space="preserve">will collaborate </w:t>
      </w:r>
      <w:r w:rsidR="00E84B35">
        <w:t>to prevent duplication of efforts in assessing fellowship activities at STLT agencies.</w:t>
      </w:r>
    </w:p>
    <w:p w:rsidR="008244D4" w:rsidP="00F73654" w14:paraId="556B4F14" w14:textId="46A59D45">
      <w:pPr>
        <w:pStyle w:val="ListParagraph"/>
        <w:numPr>
          <w:ilvl w:val="0"/>
          <w:numId w:val="6"/>
        </w:numPr>
        <w:rPr>
          <w:rFonts w:eastAsia="SimSun"/>
          <w:lang w:eastAsia="zh-CN"/>
        </w:rPr>
      </w:pPr>
      <w:r>
        <w:rPr>
          <w:rFonts w:eastAsia="SimSun"/>
          <w:lang w:eastAsia="zh-CN"/>
        </w:rPr>
        <w:t xml:space="preserve">The </w:t>
      </w:r>
      <w:r w:rsidR="006C31D7">
        <w:rPr>
          <w:rFonts w:eastAsia="SimSun"/>
          <w:lang w:eastAsia="zh-CN"/>
        </w:rPr>
        <w:t xml:space="preserve">scope of projects allowed under the 0920-1050 customer feedback Generic ICR is much narrower </w:t>
      </w:r>
      <w:r w:rsidR="00871DE7">
        <w:rPr>
          <w:rFonts w:eastAsia="SimSun"/>
          <w:lang w:eastAsia="zh-CN"/>
        </w:rPr>
        <w:t xml:space="preserve">than </w:t>
      </w:r>
      <w:r w:rsidR="00170E2B">
        <w:rPr>
          <w:rFonts w:eastAsia="SimSun"/>
          <w:lang w:eastAsia="zh-CN"/>
        </w:rPr>
        <w:t xml:space="preserve">that offered by the CDC Fellowship Programs Assessment </w:t>
      </w:r>
      <w:r w:rsidR="00274FE2">
        <w:rPr>
          <w:rFonts w:eastAsia="SimSun"/>
          <w:lang w:eastAsia="zh-CN"/>
        </w:rPr>
        <w:t xml:space="preserve"> </w:t>
      </w:r>
      <w:r w:rsidR="00170E2B">
        <w:rPr>
          <w:rFonts w:eastAsia="SimSun"/>
          <w:lang w:eastAsia="zh-CN"/>
        </w:rPr>
        <w:t xml:space="preserve">Generic. </w:t>
      </w:r>
      <w:r w:rsidR="006968BA">
        <w:rPr>
          <w:rFonts w:eastAsia="SimSun"/>
          <w:lang w:eastAsia="zh-CN"/>
        </w:rPr>
        <w:t xml:space="preserve">While the respondent audiences </w:t>
      </w:r>
      <w:r w:rsidR="004C7DBA">
        <w:rPr>
          <w:rFonts w:eastAsia="SimSun"/>
          <w:lang w:eastAsia="zh-CN"/>
        </w:rPr>
        <w:t>and focus areas (e.g., satisfaction with services provided)</w:t>
      </w:r>
      <w:r w:rsidR="006968BA">
        <w:rPr>
          <w:rFonts w:eastAsia="SimSun"/>
          <w:lang w:eastAsia="zh-CN"/>
        </w:rPr>
        <w:t xml:space="preserve"> may at times overlap, the </w:t>
      </w:r>
      <w:r w:rsidR="0075484D">
        <w:rPr>
          <w:rFonts w:eastAsia="SimSun"/>
          <w:lang w:eastAsia="zh-CN"/>
        </w:rPr>
        <w:t>CDC Fellowship Programs Assessment</w:t>
      </w:r>
      <w:r w:rsidR="0075484D">
        <w:rPr>
          <w:rFonts w:eastAsia="SimSun"/>
          <w:lang w:eastAsia="zh-CN"/>
        </w:rPr>
        <w:t xml:space="preserve"> </w:t>
      </w:r>
      <w:r w:rsidR="006968BA">
        <w:rPr>
          <w:rFonts w:eastAsia="SimSun"/>
          <w:lang w:eastAsia="zh-CN"/>
        </w:rPr>
        <w:t xml:space="preserve">allows for more varied and </w:t>
      </w:r>
      <w:r w:rsidR="00713B79">
        <w:rPr>
          <w:rFonts w:eastAsia="SimSun"/>
          <w:lang w:eastAsia="zh-CN"/>
        </w:rPr>
        <w:t xml:space="preserve">complex assessments of </w:t>
      </w:r>
      <w:r w:rsidR="00C47818">
        <w:rPr>
          <w:rFonts w:eastAsia="SimSun"/>
          <w:lang w:eastAsia="zh-CN"/>
        </w:rPr>
        <w:t>program services</w:t>
      </w:r>
      <w:r w:rsidR="00713B79">
        <w:rPr>
          <w:rFonts w:eastAsia="SimSun"/>
          <w:lang w:eastAsia="zh-CN"/>
        </w:rPr>
        <w:t>.</w:t>
      </w:r>
    </w:p>
    <w:p w:rsidR="00E21A12" w:rsidP="00E21A12" w14:paraId="0C0F86C8" w14:textId="59405008">
      <w:pPr>
        <w:pStyle w:val="ListParagraph"/>
        <w:numPr>
          <w:ilvl w:val="0"/>
          <w:numId w:val="6"/>
        </w:numPr>
        <w:rPr>
          <w:rFonts w:eastAsia="SimSun"/>
          <w:lang w:eastAsia="zh-CN"/>
        </w:rPr>
      </w:pPr>
      <w:r>
        <w:rPr>
          <w:rFonts w:eastAsia="SimSun"/>
          <w:lang w:eastAsia="zh-CN"/>
        </w:rPr>
        <w:t xml:space="preserve">The DWD Fellowship </w:t>
      </w:r>
      <w:r w:rsidR="0043357D">
        <w:rPr>
          <w:rFonts w:eastAsia="SimSun"/>
          <w:lang w:eastAsia="zh-CN"/>
        </w:rPr>
        <w:t>Alumni</w:t>
      </w:r>
      <w:r>
        <w:rPr>
          <w:rFonts w:eastAsia="SimSun"/>
          <w:lang w:eastAsia="zh-CN"/>
        </w:rPr>
        <w:t xml:space="preserve"> Assessment</w:t>
      </w:r>
      <w:r w:rsidR="0043357D">
        <w:rPr>
          <w:rFonts w:eastAsia="SimSun"/>
          <w:lang w:eastAsia="zh-CN"/>
        </w:rPr>
        <w:t xml:space="preserve"> </w:t>
      </w:r>
      <w:r w:rsidR="00DA53CF">
        <w:rPr>
          <w:rFonts w:eastAsia="SimSun"/>
          <w:lang w:eastAsia="zh-CN"/>
        </w:rPr>
        <w:t>allows for repeated assessments</w:t>
      </w:r>
      <w:r w:rsidR="00316821">
        <w:rPr>
          <w:rFonts w:eastAsia="SimSun"/>
          <w:lang w:eastAsia="zh-CN"/>
        </w:rPr>
        <w:t xml:space="preserve"> of alumni</w:t>
      </w:r>
      <w:r w:rsidR="00CC54F6">
        <w:rPr>
          <w:rFonts w:eastAsia="SimSun"/>
          <w:lang w:eastAsia="zh-CN"/>
        </w:rPr>
        <w:t xml:space="preserve"> using a standard form across fellowships</w:t>
      </w:r>
      <w:r w:rsidR="00316821">
        <w:rPr>
          <w:rFonts w:eastAsia="SimSun"/>
          <w:lang w:eastAsia="zh-CN"/>
        </w:rPr>
        <w:t>,</w:t>
      </w:r>
      <w:r>
        <w:rPr>
          <w:rFonts w:eastAsia="SimSun"/>
          <w:lang w:eastAsia="zh-CN"/>
        </w:rPr>
        <w:t xml:space="preserve"> which is</w:t>
      </w:r>
      <w:r w:rsidR="00316821">
        <w:rPr>
          <w:rFonts w:eastAsia="SimSun"/>
          <w:lang w:eastAsia="zh-CN"/>
        </w:rPr>
        <w:t xml:space="preserve"> not </w:t>
      </w:r>
      <w:r>
        <w:rPr>
          <w:rFonts w:eastAsia="SimSun"/>
          <w:lang w:eastAsia="zh-CN"/>
        </w:rPr>
        <w:t xml:space="preserve">the </w:t>
      </w:r>
      <w:r w:rsidR="00316821">
        <w:rPr>
          <w:rFonts w:eastAsia="SimSun"/>
          <w:lang w:eastAsia="zh-CN"/>
        </w:rPr>
        <w:t xml:space="preserve">intent of </w:t>
      </w:r>
      <w:r w:rsidR="0075484D">
        <w:rPr>
          <w:rFonts w:eastAsia="SimSun"/>
          <w:lang w:eastAsia="zh-CN"/>
        </w:rPr>
        <w:t>CDC Fellowship Programs Assessment</w:t>
      </w:r>
      <w:r>
        <w:rPr>
          <w:rFonts w:eastAsia="SimSun"/>
          <w:lang w:eastAsia="zh-CN"/>
        </w:rPr>
        <w:t>.</w:t>
      </w:r>
    </w:p>
    <w:p w:rsidR="00E21A12" w:rsidRPr="006E33EC" w:rsidP="006E33EC" w14:paraId="7CA42AE8" w14:textId="134FB31B">
      <w:pPr>
        <w:pStyle w:val="ListParagraph"/>
        <w:numPr>
          <w:ilvl w:val="0"/>
          <w:numId w:val="6"/>
        </w:numPr>
        <w:rPr>
          <w:rFonts w:eastAsia="SimSun"/>
          <w:lang w:eastAsia="zh-CN"/>
        </w:rPr>
      </w:pPr>
      <w:r w:rsidRPr="00E21A12">
        <w:rPr>
          <w:rFonts w:eastAsia="SimSun"/>
          <w:lang w:eastAsia="zh-CN"/>
        </w:rPr>
        <w:t xml:space="preserve">FMS - </w:t>
      </w:r>
      <w:r>
        <w:t>This system collects administrative data via online fellowship program applications and tracks individual progress of participants, from applicant stage to alumni level, in one integrated database. However, this data collection mechanism alone is limited. FMS was designed as an administrative tool and the administrative data alone are not sufficient for fellowship evaluation activities. Moreover, many CDC fellowship programs do not use FMS.</w:t>
      </w:r>
    </w:p>
    <w:p w:rsidR="00316821" w:rsidRPr="00E21A12" w:rsidP="006E33EC" w14:paraId="07F9A11E" w14:textId="410F04FC">
      <w:pPr>
        <w:rPr>
          <w:rFonts w:eastAsia="SimSun"/>
          <w:lang w:eastAsia="zh-CN"/>
        </w:rPr>
      </w:pPr>
    </w:p>
    <w:p w:rsidR="00CE30E9" w:rsidRPr="00CA33CC" w:rsidP="00F73654" w14:paraId="3FF98CFD" w14:textId="77777777"/>
    <w:p w:rsidR="00016983" w:rsidRPr="005F3B66" w:rsidP="00F73654" w14:paraId="63A2A54B" w14:textId="095CFDF3">
      <w:r>
        <w:t>The CDC Fellowship Programs Assessment generic will</w:t>
      </w:r>
      <w:r>
        <w:t xml:space="preserve"> allow CDC to improve its ability to develop, refine</w:t>
      </w:r>
      <w:r w:rsidR="00DA418F">
        <w:t>,</w:t>
      </w:r>
      <w:r>
        <w:t xml:space="preserve"> and </w:t>
      </w:r>
      <w:r w:rsidR="00003A60">
        <w:t>improve</w:t>
      </w:r>
      <w:r>
        <w:t xml:space="preserve"> </w:t>
      </w:r>
      <w:r w:rsidRPr="4E6E681B" w:rsidR="00086BBE">
        <w:rPr>
          <w:color w:val="000000" w:themeColor="text1"/>
        </w:rPr>
        <w:t>fellowship</w:t>
      </w:r>
      <w:r w:rsidRPr="4E6E681B">
        <w:rPr>
          <w:color w:val="000000" w:themeColor="text1"/>
        </w:rPr>
        <w:t xml:space="preserve"> activities</w:t>
      </w:r>
      <w:r w:rsidRPr="4E6E681B" w:rsidR="00367349">
        <w:rPr>
          <w:color w:val="000000" w:themeColor="text1"/>
        </w:rPr>
        <w:t xml:space="preserve"> to meet changing public health needs</w:t>
      </w:r>
      <w:r w:rsidRPr="4E6E681B">
        <w:rPr>
          <w:color w:val="000000" w:themeColor="text1"/>
        </w:rPr>
        <w:t xml:space="preserve">. </w:t>
      </w:r>
      <w:r w:rsidRPr="4E6E681B" w:rsidR="00C42B0C">
        <w:rPr>
          <w:color w:val="000000" w:themeColor="text1"/>
        </w:rPr>
        <w:t>Currently</w:t>
      </w:r>
      <w:r w:rsidRPr="4E6E681B" w:rsidR="00DA418F">
        <w:rPr>
          <w:color w:val="000000" w:themeColor="text1"/>
        </w:rPr>
        <w:t>,</w:t>
      </w:r>
      <w:r w:rsidRPr="4E6E681B" w:rsidR="00C42B0C">
        <w:rPr>
          <w:color w:val="000000" w:themeColor="text1"/>
        </w:rPr>
        <w:t xml:space="preserve"> no other </w:t>
      </w:r>
      <w:r w:rsidRPr="4E6E681B" w:rsidR="00BB011C">
        <w:rPr>
          <w:color w:val="000000" w:themeColor="text1"/>
        </w:rPr>
        <w:t xml:space="preserve">generic </w:t>
      </w:r>
      <w:r w:rsidRPr="4E6E681B" w:rsidR="00C42B0C">
        <w:rPr>
          <w:color w:val="000000" w:themeColor="text1"/>
        </w:rPr>
        <w:t xml:space="preserve">mechanism exists at CDC to </w:t>
      </w:r>
      <w:r w:rsidRPr="4E6E681B" w:rsidR="00BB011C">
        <w:rPr>
          <w:color w:val="000000" w:themeColor="text1"/>
        </w:rPr>
        <w:t>assess fellowship activities</w:t>
      </w:r>
      <w:r w:rsidRPr="4E6E681B" w:rsidR="00C42B0C">
        <w:rPr>
          <w:color w:val="000000" w:themeColor="text1"/>
        </w:rPr>
        <w:t xml:space="preserve">. </w:t>
      </w:r>
      <w:r w:rsidRPr="4E6E681B">
        <w:rPr>
          <w:color w:val="000000" w:themeColor="text1"/>
        </w:rPr>
        <w:t>The results</w:t>
      </w:r>
      <w:r w:rsidRPr="4E6E681B" w:rsidR="00C42B0C">
        <w:rPr>
          <w:color w:val="000000" w:themeColor="text1"/>
        </w:rPr>
        <w:t>, lessons learned,</w:t>
      </w:r>
      <w:r w:rsidRPr="4E6E681B">
        <w:rPr>
          <w:color w:val="000000" w:themeColor="text1"/>
        </w:rPr>
        <w:t xml:space="preserve"> and final products from these </w:t>
      </w:r>
      <w:r w:rsidR="00702B7E">
        <w:t xml:space="preserve">information collections </w:t>
      </w:r>
      <w:r>
        <w:t xml:space="preserve">may </w:t>
      </w:r>
      <w:r w:rsidR="00702B7E">
        <w:t>serve as resources for</w:t>
      </w:r>
      <w:r>
        <w:t xml:space="preserve"> multiple government and nongovernmental organizations.</w:t>
      </w:r>
    </w:p>
    <w:p w:rsidR="00CD5ABA" w:rsidP="00F73654" w14:paraId="71AC10D9" w14:textId="77777777">
      <w:pPr>
        <w:rPr>
          <w:b/>
          <w:bCs/>
        </w:rPr>
      </w:pPr>
    </w:p>
    <w:p w:rsidR="00F77F36" w:rsidP="00F73654" w14:paraId="710F5688" w14:textId="77777777">
      <w:pPr>
        <w:pStyle w:val="Heading1"/>
      </w:pPr>
      <w:bookmarkStart w:id="11" w:name="_Toc299967997"/>
      <w:bookmarkStart w:id="12" w:name="_Toc452565356"/>
      <w:r>
        <w:t xml:space="preserve">A.5. </w:t>
      </w:r>
      <w:r w:rsidRPr="005F3B66" w:rsidR="007D61BF">
        <w:t>Impact on Small Businesses or Other Small Entities</w:t>
      </w:r>
      <w:bookmarkEnd w:id="11"/>
      <w:bookmarkEnd w:id="12"/>
    </w:p>
    <w:p w:rsidR="009433B5" w:rsidRPr="005F3B66" w:rsidP="00F73654" w14:paraId="7477896D" w14:textId="76B55548">
      <w:pPr>
        <w:rPr>
          <w:color w:val="000000"/>
        </w:rPr>
      </w:pPr>
      <w:r w:rsidRPr="4E6E681B">
        <w:rPr>
          <w:color w:val="000000" w:themeColor="text1"/>
        </w:rPr>
        <w:t xml:space="preserve">Under this generic clearance, </w:t>
      </w:r>
      <w:r w:rsidRPr="4E6E681B">
        <w:rPr>
          <w:color w:val="000000" w:themeColor="text1"/>
        </w:rPr>
        <w:t xml:space="preserve">respondents </w:t>
      </w:r>
      <w:r w:rsidRPr="4E6E681B">
        <w:rPr>
          <w:color w:val="000000" w:themeColor="text1"/>
        </w:rPr>
        <w:t>might include persons from nonprofits, nongovernmental organizations, and small government jurisdictions affiliated with certain CDC fellowship programs</w:t>
      </w:r>
      <w:r w:rsidR="00505B82">
        <w:rPr>
          <w:color w:val="000000" w:themeColor="text1"/>
        </w:rPr>
        <w:t xml:space="preserve"> or </w:t>
      </w:r>
      <w:r w:rsidR="0068271C">
        <w:rPr>
          <w:color w:val="000000" w:themeColor="text1"/>
        </w:rPr>
        <w:t>alumni</w:t>
      </w:r>
      <w:r w:rsidRPr="4E6E681B">
        <w:rPr>
          <w:color w:val="000000" w:themeColor="text1"/>
        </w:rPr>
        <w:t xml:space="preserve">. </w:t>
      </w:r>
      <w:r w:rsidRPr="4E6E681B" w:rsidR="00AD2458">
        <w:rPr>
          <w:color w:val="000000" w:themeColor="text1"/>
        </w:rPr>
        <w:t xml:space="preserve">Any </w:t>
      </w:r>
      <w:r w:rsidRPr="4E6E681B" w:rsidR="00E063B3">
        <w:rPr>
          <w:color w:val="000000" w:themeColor="text1"/>
        </w:rPr>
        <w:t xml:space="preserve">program submitting a </w:t>
      </w:r>
      <w:r w:rsidRPr="4E6E681B" w:rsidR="00E063B3">
        <w:rPr>
          <w:color w:val="000000" w:themeColor="text1"/>
        </w:rPr>
        <w:t>genIC</w:t>
      </w:r>
      <w:r w:rsidRPr="4E6E681B" w:rsidR="00E063B3">
        <w:rPr>
          <w:color w:val="000000" w:themeColor="text1"/>
        </w:rPr>
        <w:t xml:space="preserve"> </w:t>
      </w:r>
      <w:r w:rsidRPr="4E6E681B" w:rsidR="00231356">
        <w:rPr>
          <w:color w:val="000000" w:themeColor="text1"/>
        </w:rPr>
        <w:t>under</w:t>
      </w:r>
      <w:r w:rsidRPr="4E6E681B" w:rsidR="00E063B3">
        <w:rPr>
          <w:color w:val="000000" w:themeColor="text1"/>
        </w:rPr>
        <w:t xml:space="preserve"> this </w:t>
      </w:r>
      <w:r w:rsidRPr="4E6E681B" w:rsidR="00776ED5">
        <w:rPr>
          <w:color w:val="000000" w:themeColor="text1"/>
        </w:rPr>
        <w:t>generic clearance</w:t>
      </w:r>
      <w:r w:rsidRPr="4E6E681B" w:rsidR="00E063B3">
        <w:rPr>
          <w:color w:val="000000" w:themeColor="text1"/>
        </w:rPr>
        <w:t xml:space="preserve"> </w:t>
      </w:r>
      <w:r w:rsidRPr="4E6E681B" w:rsidR="00515C77">
        <w:rPr>
          <w:color w:val="000000" w:themeColor="text1"/>
        </w:rPr>
        <w:t xml:space="preserve">will carefully plan the </w:t>
      </w:r>
      <w:r w:rsidRPr="4E6E681B" w:rsidR="001C29AB">
        <w:rPr>
          <w:color w:val="000000" w:themeColor="text1"/>
        </w:rPr>
        <w:t>data collection</w:t>
      </w:r>
      <w:r w:rsidRPr="4E6E681B" w:rsidR="00515C77">
        <w:rPr>
          <w:color w:val="000000" w:themeColor="text1"/>
        </w:rPr>
        <w:t xml:space="preserve"> and demonstrate efforts to minimize the burden on small </w:t>
      </w:r>
      <w:r w:rsidRPr="4E6E681B" w:rsidR="00515C77">
        <w:rPr>
          <w:color w:val="000000" w:themeColor="text1"/>
        </w:rPr>
        <w:t xml:space="preserve">entities. </w:t>
      </w:r>
      <w:r w:rsidRPr="4E6E681B" w:rsidR="009932B3">
        <w:rPr>
          <w:color w:val="000000" w:themeColor="text1"/>
        </w:rPr>
        <w:t xml:space="preserve">Questions will be </w:t>
      </w:r>
      <w:r w:rsidRPr="4E6E681B" w:rsidR="00AD2458">
        <w:rPr>
          <w:color w:val="000000" w:themeColor="text1"/>
        </w:rPr>
        <w:t xml:space="preserve">limited </w:t>
      </w:r>
      <w:r w:rsidRPr="4E6E681B" w:rsidR="009932B3">
        <w:rPr>
          <w:color w:val="000000" w:themeColor="text1"/>
        </w:rPr>
        <w:t xml:space="preserve">to the absolute minimum required for intended use of the data. </w:t>
      </w:r>
      <w:r w:rsidRPr="4E6E681B" w:rsidR="004128A4">
        <w:rPr>
          <w:color w:val="000000" w:themeColor="text1"/>
        </w:rPr>
        <w:t>R</w:t>
      </w:r>
      <w:r w:rsidRPr="4E6E681B">
        <w:rPr>
          <w:color w:val="000000" w:themeColor="text1"/>
        </w:rPr>
        <w:t xml:space="preserve">esponding to the data collection </w:t>
      </w:r>
      <w:r w:rsidRPr="4E6E681B" w:rsidR="007741FA">
        <w:rPr>
          <w:color w:val="000000" w:themeColor="text1"/>
        </w:rPr>
        <w:t xml:space="preserve">will </w:t>
      </w:r>
      <w:r w:rsidRPr="4E6E681B" w:rsidR="005A1F3E">
        <w:rPr>
          <w:color w:val="000000" w:themeColor="text1"/>
        </w:rPr>
        <w:t xml:space="preserve">always </w:t>
      </w:r>
      <w:r w:rsidRPr="4E6E681B" w:rsidR="007741FA">
        <w:rPr>
          <w:color w:val="000000" w:themeColor="text1"/>
        </w:rPr>
        <w:t>be</w:t>
      </w:r>
      <w:r w:rsidRPr="4E6E681B">
        <w:rPr>
          <w:color w:val="000000" w:themeColor="text1"/>
        </w:rPr>
        <w:t xml:space="preserve"> completely voluntary</w:t>
      </w:r>
      <w:r w:rsidR="00E21A12">
        <w:rPr>
          <w:color w:val="000000" w:themeColor="text1"/>
        </w:rPr>
        <w:t>,</w:t>
      </w:r>
      <w:r w:rsidRPr="4E6E681B" w:rsidR="005A1F3E">
        <w:rPr>
          <w:color w:val="000000" w:themeColor="text1"/>
        </w:rPr>
        <w:t xml:space="preserve"> and</w:t>
      </w:r>
      <w:r w:rsidRPr="4E6E681B" w:rsidR="00515C77">
        <w:rPr>
          <w:color w:val="000000" w:themeColor="text1"/>
        </w:rPr>
        <w:t xml:space="preserve"> r</w:t>
      </w:r>
      <w:r w:rsidRPr="4E6E681B">
        <w:rPr>
          <w:color w:val="000000" w:themeColor="text1"/>
        </w:rPr>
        <w:t xml:space="preserve">espondents </w:t>
      </w:r>
      <w:r w:rsidRPr="4E6E681B" w:rsidR="00AD2458">
        <w:rPr>
          <w:color w:val="000000" w:themeColor="text1"/>
        </w:rPr>
        <w:t xml:space="preserve">can </w:t>
      </w:r>
      <w:r w:rsidRPr="4E6E681B">
        <w:rPr>
          <w:color w:val="000000" w:themeColor="text1"/>
        </w:rPr>
        <w:t xml:space="preserve">opt </w:t>
      </w:r>
      <w:r w:rsidRPr="4E6E681B" w:rsidR="00AD2458">
        <w:rPr>
          <w:color w:val="000000" w:themeColor="text1"/>
        </w:rPr>
        <w:t xml:space="preserve">out partially or completely </w:t>
      </w:r>
      <w:r w:rsidRPr="4E6E681B">
        <w:rPr>
          <w:color w:val="000000" w:themeColor="text1"/>
        </w:rPr>
        <w:t xml:space="preserve">if they </w:t>
      </w:r>
      <w:r w:rsidRPr="4E6E681B" w:rsidR="002F605D">
        <w:rPr>
          <w:color w:val="000000" w:themeColor="text1"/>
        </w:rPr>
        <w:t xml:space="preserve">consider </w:t>
      </w:r>
      <w:r w:rsidRPr="4E6E681B">
        <w:rPr>
          <w:color w:val="000000" w:themeColor="text1"/>
        </w:rPr>
        <w:t>it burdensome.</w:t>
      </w:r>
    </w:p>
    <w:p w:rsidR="00CD5ABA" w:rsidP="00F73654" w14:paraId="28E01BB3" w14:textId="77777777"/>
    <w:p w:rsidR="001836E4" w:rsidP="00F73654" w14:paraId="38937AAB" w14:textId="77777777">
      <w:pPr>
        <w:pStyle w:val="Heading1"/>
        <w:keepNext/>
      </w:pPr>
      <w:bookmarkStart w:id="13" w:name="_Toc299967998"/>
      <w:bookmarkStart w:id="14" w:name="_Toc452565357"/>
      <w:r>
        <w:t xml:space="preserve">A.6. </w:t>
      </w:r>
      <w:r w:rsidRPr="00C22F33" w:rsidR="007D61BF">
        <w:t>Consequences of Collecting the Information Less Frequently</w:t>
      </w:r>
      <w:bookmarkEnd w:id="13"/>
      <w:bookmarkEnd w:id="14"/>
    </w:p>
    <w:p w:rsidR="00054C84" w:rsidRPr="00D96F7F" w:rsidP="006E33EC" w14:paraId="0CD5C765" w14:textId="77777777">
      <w:pPr>
        <w:pStyle w:val="CM89"/>
        <w:ind w:right="97"/>
        <w:rPr>
          <w:rFonts w:ascii="Times New Roman" w:hAnsi="Times New Roman" w:cs="Times New Roman"/>
        </w:rPr>
      </w:pPr>
      <w:r>
        <w:rPr>
          <w:rFonts w:ascii="Times New Roman" w:hAnsi="Times New Roman" w:cs="Times New Roman"/>
          <w:bCs/>
        </w:rPr>
        <w:t xml:space="preserve">The </w:t>
      </w:r>
      <w:r w:rsidR="00C91557">
        <w:rPr>
          <w:rFonts w:ascii="Times New Roman" w:hAnsi="Times New Roman" w:cs="Times New Roman"/>
          <w:bCs/>
        </w:rPr>
        <w:t>c</w:t>
      </w:r>
      <w:r w:rsidR="00F53A56">
        <w:rPr>
          <w:rFonts w:ascii="Times New Roman" w:hAnsi="Times New Roman" w:cs="Times New Roman"/>
          <w:bCs/>
        </w:rPr>
        <w:t xml:space="preserve">onsequence of collecting the information less frequently </w:t>
      </w:r>
      <w:r>
        <w:rPr>
          <w:rFonts w:ascii="Times New Roman" w:hAnsi="Times New Roman" w:cs="Times New Roman"/>
          <w:bCs/>
        </w:rPr>
        <w:t xml:space="preserve">is the </w:t>
      </w:r>
      <w:r>
        <w:rPr>
          <w:rFonts w:ascii="Times New Roman" w:hAnsi="Times New Roman" w:cs="Times New Roman"/>
        </w:rPr>
        <w:t>i</w:t>
      </w:r>
      <w:r w:rsidR="00D96F7F">
        <w:rPr>
          <w:rFonts w:ascii="Times New Roman" w:hAnsi="Times New Roman" w:cs="Times New Roman"/>
        </w:rPr>
        <w:t xml:space="preserve">nability to </w:t>
      </w:r>
      <w:r w:rsidRPr="00D96F7F">
        <w:rPr>
          <w:rFonts w:ascii="Times New Roman" w:hAnsi="Times New Roman" w:cs="Times New Roman"/>
        </w:rPr>
        <w:t>make timely</w:t>
      </w:r>
      <w:r w:rsidR="00217136">
        <w:rPr>
          <w:rFonts w:ascii="Times New Roman" w:hAnsi="Times New Roman" w:cs="Times New Roman"/>
        </w:rPr>
        <w:t xml:space="preserve"> evidence-based and</w:t>
      </w:r>
      <w:r w:rsidR="00FC380C">
        <w:rPr>
          <w:rFonts w:ascii="Times New Roman" w:hAnsi="Times New Roman" w:cs="Times New Roman"/>
        </w:rPr>
        <w:t xml:space="preserve"> data-driven decisions and</w:t>
      </w:r>
      <w:r w:rsidRPr="00D96F7F">
        <w:rPr>
          <w:rFonts w:ascii="Times New Roman" w:hAnsi="Times New Roman" w:cs="Times New Roman"/>
        </w:rPr>
        <w:t xml:space="preserve"> changes to </w:t>
      </w:r>
      <w:r w:rsidR="00A25FE4">
        <w:rPr>
          <w:rFonts w:ascii="Times New Roman" w:hAnsi="Times New Roman" w:cs="Times New Roman"/>
        </w:rPr>
        <w:t xml:space="preserve">CDC </w:t>
      </w:r>
      <w:r w:rsidR="00F53A56">
        <w:rPr>
          <w:rFonts w:ascii="Times New Roman" w:hAnsi="Times New Roman" w:cs="Times New Roman"/>
        </w:rPr>
        <w:t>fellowship</w:t>
      </w:r>
      <w:r w:rsidRPr="00D96F7F">
        <w:rPr>
          <w:rFonts w:ascii="Times New Roman" w:hAnsi="Times New Roman" w:cs="Times New Roman"/>
        </w:rPr>
        <w:t xml:space="preserve"> programs</w:t>
      </w:r>
      <w:r>
        <w:rPr>
          <w:rFonts w:ascii="Times New Roman" w:hAnsi="Times New Roman" w:cs="Times New Roman"/>
        </w:rPr>
        <w:t xml:space="preserve">. </w:t>
      </w:r>
    </w:p>
    <w:p w:rsidR="007D61BF" w:rsidP="00F73654" w14:paraId="004F15EF" w14:textId="77777777"/>
    <w:p w:rsidR="00AE38AB" w:rsidP="00F73654" w14:paraId="750913B0" w14:textId="6E746353">
      <w:r>
        <w:t xml:space="preserve">CDC expects that </w:t>
      </w:r>
      <w:r w:rsidR="00C37FB7">
        <w:t xml:space="preserve">all </w:t>
      </w:r>
      <w:r>
        <w:t xml:space="preserve">respondents will </w:t>
      </w:r>
      <w:r w:rsidR="0085425D">
        <w:t xml:space="preserve">be asked for information </w:t>
      </w:r>
      <w:r w:rsidR="009355AC">
        <w:t xml:space="preserve">only once, </w:t>
      </w:r>
      <w:r w:rsidR="00F3554B">
        <w:t xml:space="preserve">within </w:t>
      </w:r>
      <w:r w:rsidR="009355AC">
        <w:t>a specific GenIC’s purpose and scope</w:t>
      </w:r>
      <w:r>
        <w:t xml:space="preserve">. </w:t>
      </w:r>
      <w:r w:rsidR="009355AC">
        <w:t xml:space="preserve">The intent of this </w:t>
      </w:r>
      <w:r w:rsidR="006D6DCE">
        <w:t>generic clearance is to</w:t>
      </w:r>
      <w:r w:rsidR="00CE7F69">
        <w:t xml:space="preserve"> keep the information collection frequency as </w:t>
      </w:r>
      <w:r w:rsidR="00F3554B">
        <w:t>low as possible, while meeting programs’ needs for information.</w:t>
      </w:r>
    </w:p>
    <w:p w:rsidR="00C91557" w:rsidP="00F73654" w14:paraId="78454B09" w14:textId="77777777"/>
    <w:p w:rsidR="00A75293" w:rsidRPr="005F3B66" w:rsidP="00F73654" w14:paraId="155C897D" w14:textId="77777777">
      <w:r w:rsidRPr="005F3B66">
        <w:t>There are no legal obstacles to reducing the burden.</w:t>
      </w:r>
    </w:p>
    <w:p w:rsidR="00F53A56" w:rsidRPr="005F3B66" w:rsidP="00F73654" w14:paraId="1A134592" w14:textId="77777777"/>
    <w:p w:rsidR="007D61BF" w:rsidRPr="005F3B66" w:rsidP="00F73654" w14:paraId="7060BE9D" w14:textId="77777777">
      <w:pPr>
        <w:pStyle w:val="Heading1"/>
      </w:pPr>
      <w:bookmarkStart w:id="15" w:name="_Toc299967999"/>
      <w:bookmarkStart w:id="16" w:name="_Toc452565358"/>
      <w:r>
        <w:t xml:space="preserve">A.7. </w:t>
      </w:r>
      <w:r w:rsidRPr="005F3B66">
        <w:t>Special Circumstances Relating to the Guidelines of 5 CFR 1320.5</w:t>
      </w:r>
      <w:bookmarkEnd w:id="15"/>
      <w:bookmarkEnd w:id="16"/>
    </w:p>
    <w:p w:rsidR="007D61BF" w:rsidP="00F73654" w14:paraId="4A7D7F4D" w14:textId="77777777">
      <w:bookmarkStart w:id="17" w:name="_Toc295817055"/>
      <w:bookmarkStart w:id="18" w:name="_Toc295817590"/>
      <w:bookmarkStart w:id="19" w:name="_Toc295818071"/>
      <w:bookmarkStart w:id="20" w:name="_Toc295819844"/>
      <w:r w:rsidRPr="005F3B66">
        <w:rPr>
          <w:color w:val="000000"/>
        </w:rPr>
        <w:t xml:space="preserve">This request fully complies with the regulation 5 </w:t>
      </w:r>
      <w:smartTag w:uri="urn:schemas-microsoft-com:office:smarttags" w:element="stockticker">
        <w:r w:rsidRPr="005F3B66">
          <w:rPr>
            <w:color w:val="000000"/>
          </w:rPr>
          <w:t>CFR</w:t>
        </w:r>
      </w:smartTag>
      <w:r w:rsidRPr="005F3B66">
        <w:rPr>
          <w:color w:val="000000"/>
        </w:rPr>
        <w:t xml:space="preserve"> 1320.5.</w:t>
      </w:r>
      <w:bookmarkEnd w:id="17"/>
      <w:bookmarkEnd w:id="18"/>
      <w:bookmarkEnd w:id="19"/>
      <w:bookmarkEnd w:id="20"/>
    </w:p>
    <w:p w:rsidR="00AE38AB" w:rsidRPr="005F3B66" w:rsidP="00F73654" w14:paraId="4B8986F6" w14:textId="77777777"/>
    <w:p w:rsidR="007D61BF" w:rsidP="00F73654" w14:paraId="760B6AF9" w14:textId="77777777">
      <w:pPr>
        <w:pStyle w:val="Heading1"/>
      </w:pPr>
      <w:bookmarkStart w:id="21" w:name="_Toc299968000"/>
      <w:bookmarkStart w:id="22" w:name="_Toc452565359"/>
      <w:r>
        <w:t xml:space="preserve">A.8. </w:t>
      </w:r>
      <w:r w:rsidRPr="005F3B66">
        <w:t>Comments in Response to the Federal Register Notice and Efforts to Consult Outside the Agency</w:t>
      </w:r>
      <w:bookmarkEnd w:id="21"/>
      <w:bookmarkEnd w:id="22"/>
    </w:p>
    <w:p w:rsidR="009D3E9A" w:rsidRPr="009D3E9A" w:rsidP="4E6E681B" w14:paraId="2F13C9F8" w14:textId="338EAFAC">
      <w:pPr>
        <w:pStyle w:val="ListParagraph"/>
        <w:numPr>
          <w:ilvl w:val="0"/>
          <w:numId w:val="5"/>
        </w:numPr>
        <w:autoSpaceDE w:val="0"/>
        <w:autoSpaceDN w:val="0"/>
        <w:adjustRightInd w:val="0"/>
        <w:ind w:right="720"/>
      </w:pPr>
      <w:r w:rsidRPr="00923A83">
        <w:t xml:space="preserve">A 60-day Notice was published in the </w:t>
      </w:r>
      <w:r w:rsidRPr="00923A83">
        <w:rPr>
          <w:i/>
          <w:iCs/>
        </w:rPr>
        <w:t>Federal Register</w:t>
      </w:r>
      <w:r w:rsidRPr="00923A83">
        <w:t xml:space="preserve"> on</w:t>
      </w:r>
      <w:r w:rsidRPr="00923A83" w:rsidR="00F3483A">
        <w:t xml:space="preserve"> </w:t>
      </w:r>
      <w:r w:rsidR="002663E7">
        <w:t>October 2, 2025</w:t>
      </w:r>
      <w:r w:rsidR="00F3483A">
        <w:t xml:space="preserve"> (</w:t>
      </w:r>
      <w:r w:rsidR="00511298">
        <w:t>V</w:t>
      </w:r>
      <w:r w:rsidR="003A6CFF">
        <w:t xml:space="preserve">ol. </w:t>
      </w:r>
      <w:r w:rsidR="00923A83">
        <w:t>90</w:t>
      </w:r>
      <w:r w:rsidR="003A6CFF">
        <w:t xml:space="preserve"> No. </w:t>
      </w:r>
      <w:r w:rsidR="00923A83">
        <w:t>189</w:t>
      </w:r>
      <w:r w:rsidR="00F3483A">
        <w:t>, pp</w:t>
      </w:r>
      <w:r w:rsidR="007453F3">
        <w:t>.</w:t>
      </w:r>
      <w:r w:rsidR="003A6CFF">
        <w:t xml:space="preserve"> </w:t>
      </w:r>
      <w:r w:rsidR="00923A83">
        <w:t>47753</w:t>
      </w:r>
      <w:r w:rsidR="003A6CFF">
        <w:t>–</w:t>
      </w:r>
      <w:r w:rsidR="00923A83">
        <w:t>47754</w:t>
      </w:r>
      <w:r w:rsidR="00F3483A">
        <w:t xml:space="preserve">) </w:t>
      </w:r>
      <w:r w:rsidR="006E33EC">
        <w:t xml:space="preserve">(Attachment </w:t>
      </w:r>
      <w:r w:rsidR="0012472D">
        <w:t>3</w:t>
      </w:r>
      <w:r w:rsidR="006E33EC">
        <w:t>)</w:t>
      </w:r>
      <w:r w:rsidR="007B08D7">
        <w:t>.</w:t>
      </w:r>
      <w:r w:rsidR="00EB4D23">
        <w:t xml:space="preserve"> </w:t>
      </w:r>
      <w:r w:rsidR="00511298">
        <w:t>Three</w:t>
      </w:r>
      <w:r w:rsidR="00EB4D23">
        <w:t xml:space="preserve"> comments were received</w:t>
      </w:r>
      <w:r w:rsidR="0030210B">
        <w:t xml:space="preserve"> during the 60-day </w:t>
      </w:r>
      <w:r w:rsidR="009A64FE">
        <w:t xml:space="preserve">comment </w:t>
      </w:r>
      <w:r w:rsidR="0030210B">
        <w:t>period</w:t>
      </w:r>
      <w:r w:rsidR="009374DF">
        <w:t xml:space="preserve"> (</w:t>
      </w:r>
      <w:r w:rsidR="009A64FE">
        <w:t xml:space="preserve">see </w:t>
      </w:r>
      <w:r w:rsidR="009374DF">
        <w:t>Att</w:t>
      </w:r>
      <w:r w:rsidR="009A64FE">
        <w:t xml:space="preserve">achments </w:t>
      </w:r>
      <w:r w:rsidR="009374DF">
        <w:t>3a</w:t>
      </w:r>
      <w:r w:rsidR="0030210B">
        <w:t>,</w:t>
      </w:r>
      <w:r w:rsidR="009374DF">
        <w:t xml:space="preserve"> 3b, </w:t>
      </w:r>
      <w:r w:rsidR="009A64FE">
        <w:t xml:space="preserve">and </w:t>
      </w:r>
      <w:r w:rsidR="009374DF">
        <w:t>3c)</w:t>
      </w:r>
      <w:r w:rsidR="002E063F">
        <w:t xml:space="preserve">.  Two commenters did not provide </w:t>
      </w:r>
      <w:r w:rsidR="00B75FC3">
        <w:t xml:space="preserve">contact information.  One commenter provided contact information and </w:t>
      </w:r>
      <w:r w:rsidR="00484A85">
        <w:t>received</w:t>
      </w:r>
      <w:r w:rsidR="009374DF">
        <w:t xml:space="preserve"> a customized response</w:t>
      </w:r>
      <w:r w:rsidR="00D259AD">
        <w:t xml:space="preserve"> (Att</w:t>
      </w:r>
      <w:r w:rsidR="009A64FE">
        <w:t xml:space="preserve">achment </w:t>
      </w:r>
      <w:r w:rsidR="00D259AD">
        <w:t>3</w:t>
      </w:r>
      <w:r w:rsidR="009A64FE">
        <w:t>b</w:t>
      </w:r>
      <w:r w:rsidR="00D259AD">
        <w:t>)</w:t>
      </w:r>
      <w:r w:rsidR="009374DF">
        <w:t>.</w:t>
      </w:r>
      <w:r w:rsidR="0030210B">
        <w:t xml:space="preserve"> </w:t>
      </w:r>
    </w:p>
    <w:p w:rsidR="00F3483A" w:rsidP="00F73654" w14:paraId="2537FE25" w14:textId="77777777">
      <w:pPr>
        <w:ind w:left="360"/>
      </w:pPr>
    </w:p>
    <w:p w:rsidR="00F3483A" w:rsidRPr="00C75473" w:rsidP="00F73654" w14:paraId="701D9D1E" w14:textId="176466C8">
      <w:pPr>
        <w:pStyle w:val="ListParagraph"/>
        <w:numPr>
          <w:ilvl w:val="0"/>
          <w:numId w:val="5"/>
        </w:numPr>
        <w:rPr>
          <w:rFonts w:eastAsia="SimSun"/>
          <w:lang w:eastAsia="zh-CN"/>
        </w:rPr>
      </w:pPr>
      <w:r>
        <w:t xml:space="preserve">In preparing </w:t>
      </w:r>
      <w:r w:rsidR="004967B6">
        <w:t xml:space="preserve">this generic ICR, consultations outside CDC did not occur. </w:t>
      </w:r>
      <w:r w:rsidR="0014339F">
        <w:t xml:space="preserve">Each </w:t>
      </w:r>
      <w:r w:rsidR="004967B6">
        <w:t>genIC</w:t>
      </w:r>
      <w:r w:rsidR="0014339F">
        <w:t xml:space="preserve"> submission </w:t>
      </w:r>
      <w:r w:rsidR="004967B6">
        <w:t>(</w:t>
      </w:r>
      <w:r w:rsidR="00301F1C">
        <w:t xml:space="preserve">Attachment </w:t>
      </w:r>
      <w:r w:rsidR="0012472D">
        <w:t>2</w:t>
      </w:r>
      <w:r w:rsidR="004967B6">
        <w:t xml:space="preserve">) </w:t>
      </w:r>
      <w:r w:rsidR="0014339F">
        <w:t xml:space="preserve">will </w:t>
      </w:r>
      <w:r w:rsidR="004967B6">
        <w:t xml:space="preserve">document consultation with representatives from </w:t>
      </w:r>
      <w:r w:rsidR="00AE04EF">
        <w:t xml:space="preserve">outside agencies, partners, </w:t>
      </w:r>
      <w:r w:rsidR="001046B4">
        <w:t xml:space="preserve">or </w:t>
      </w:r>
      <w:r w:rsidRPr="004B461E" w:rsidR="004B461E">
        <w:t xml:space="preserve">organizations </w:t>
      </w:r>
      <w:r w:rsidR="0014339F">
        <w:t>who have</w:t>
      </w:r>
      <w:r w:rsidRPr="004B461E" w:rsidR="0014339F">
        <w:t xml:space="preserve"> </w:t>
      </w:r>
      <w:r w:rsidRPr="004B461E" w:rsidR="004B461E">
        <w:t xml:space="preserve">been updated and consulted on the need for data collection </w:t>
      </w:r>
      <w:r w:rsidR="009F4A58">
        <w:t xml:space="preserve">from </w:t>
      </w:r>
      <w:r w:rsidRPr="004B461E" w:rsidR="004B461E">
        <w:t xml:space="preserve">the </w:t>
      </w:r>
      <w:r w:rsidRPr="004B461E" w:rsidR="004B461E">
        <w:t>audiences</w:t>
      </w:r>
      <w:r w:rsidR="009F4A58">
        <w:t xml:space="preserve"> </w:t>
      </w:r>
      <w:r w:rsidRPr="004B461E" w:rsidR="004B461E">
        <w:t xml:space="preserve">and </w:t>
      </w:r>
      <w:r w:rsidR="009F4A58">
        <w:t xml:space="preserve">for </w:t>
      </w:r>
      <w:r w:rsidRPr="004B461E" w:rsidR="004B461E">
        <w:t>purposes described in this generic clearance package</w:t>
      </w:r>
      <w:r w:rsidR="00063F36">
        <w:t>.</w:t>
      </w:r>
    </w:p>
    <w:p w:rsidR="001D6A8E" w:rsidRPr="005F3B66" w:rsidP="00F73654" w14:paraId="3B217345" w14:textId="77777777"/>
    <w:p w:rsidR="007D61BF" w:rsidP="00F73654" w14:paraId="0D500326" w14:textId="77777777">
      <w:pPr>
        <w:pStyle w:val="Heading1"/>
      </w:pPr>
      <w:bookmarkStart w:id="23" w:name="_Toc452565360"/>
      <w:r>
        <w:t>A.9</w:t>
      </w:r>
      <w:r w:rsidR="00332BEE">
        <w:t xml:space="preserve">. </w:t>
      </w:r>
      <w:r>
        <w:t>Explanation of Any Payment or Gift to Respondents</w:t>
      </w:r>
      <w:bookmarkEnd w:id="23"/>
    </w:p>
    <w:p w:rsidR="006C3ADC" w:rsidP="00F73654" w14:paraId="51957D8E" w14:textId="77777777">
      <w:pPr>
        <w:rPr>
          <w:color w:val="000000"/>
        </w:rPr>
      </w:pPr>
      <w:r>
        <w:rPr>
          <w:color w:val="000000"/>
        </w:rPr>
        <w:t xml:space="preserve">No </w:t>
      </w:r>
      <w:r w:rsidR="00597E64">
        <w:rPr>
          <w:color w:val="000000"/>
        </w:rPr>
        <w:t xml:space="preserve">incentives will be </w:t>
      </w:r>
      <w:r w:rsidR="009F4A58">
        <w:rPr>
          <w:color w:val="000000"/>
        </w:rPr>
        <w:t xml:space="preserve">offered </w:t>
      </w:r>
      <w:r>
        <w:rPr>
          <w:color w:val="000000"/>
        </w:rPr>
        <w:t xml:space="preserve">for information collections </w:t>
      </w:r>
      <w:r w:rsidR="008264F1">
        <w:rPr>
          <w:color w:val="000000"/>
        </w:rPr>
        <w:t xml:space="preserve">administered </w:t>
      </w:r>
      <w:r>
        <w:rPr>
          <w:color w:val="000000"/>
        </w:rPr>
        <w:t>under this generic clearance.</w:t>
      </w:r>
    </w:p>
    <w:p w:rsidR="001D7D7A" w:rsidP="00F73654" w14:paraId="6EFE85A1" w14:textId="77777777">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p>
    <w:p w:rsidR="006C3ADC" w:rsidRPr="0092182A" w:rsidP="00F73654" w14:paraId="3559518C" w14:textId="77777777">
      <w:pPr>
        <w:pStyle w:val="Heading1"/>
      </w:pPr>
      <w:bookmarkStart w:id="24" w:name="_Toc299968002"/>
      <w:bookmarkStart w:id="25" w:name="_Toc452565361"/>
      <w:r>
        <w:t xml:space="preserve">A.10. </w:t>
      </w:r>
      <w:r w:rsidR="00D45165">
        <w:t>A</w:t>
      </w:r>
      <w:r w:rsidRPr="0092182A">
        <w:t>ssurance of Confidentiality Provided to Respondents</w:t>
      </w:r>
      <w:bookmarkEnd w:id="24"/>
      <w:bookmarkEnd w:id="25"/>
    </w:p>
    <w:p w:rsidR="006412ED" w:rsidRPr="00775208" w:rsidP="00F73654" w14:paraId="3E9A3C9B" w14:textId="5DAB24BE">
      <w:pPr>
        <w:rPr>
          <w:color w:val="000000"/>
        </w:rPr>
      </w:pPr>
      <w:r>
        <w:rPr>
          <w:color w:val="000000" w:themeColor="text1"/>
        </w:rPr>
        <w:t xml:space="preserve">CDC </w:t>
      </w:r>
      <w:r w:rsidRPr="00CE0D55" w:rsidR="006C3ADC">
        <w:rPr>
          <w:color w:val="000000" w:themeColor="text1"/>
        </w:rPr>
        <w:t xml:space="preserve">reviewed </w:t>
      </w:r>
      <w:r w:rsidR="00667AB7">
        <w:rPr>
          <w:color w:val="000000" w:themeColor="text1"/>
        </w:rPr>
        <w:t xml:space="preserve">this submission </w:t>
      </w:r>
      <w:r w:rsidRPr="00CE0D55" w:rsidR="006C3ADC">
        <w:rPr>
          <w:color w:val="000000" w:themeColor="text1"/>
        </w:rPr>
        <w:t xml:space="preserve">and </w:t>
      </w:r>
      <w:r w:rsidRPr="002F565F" w:rsidR="002F565F">
        <w:rPr>
          <w:color w:val="000000" w:themeColor="text1"/>
        </w:rPr>
        <w:t xml:space="preserve">determined that the Privacy Act </w:t>
      </w:r>
      <w:r w:rsidR="00A12663">
        <w:rPr>
          <w:color w:val="000000" w:themeColor="text1"/>
        </w:rPr>
        <w:t>applies</w:t>
      </w:r>
      <w:r w:rsidRPr="002F565F" w:rsidR="002F565F">
        <w:rPr>
          <w:color w:val="000000" w:themeColor="text1"/>
        </w:rPr>
        <w:t xml:space="preserve"> </w:t>
      </w:r>
      <w:r w:rsidRPr="002F565F" w:rsidR="002F565F">
        <w:rPr>
          <w:color w:val="000000" w:themeColor="text1"/>
        </w:rPr>
        <w:t>for</w:t>
      </w:r>
      <w:r w:rsidRPr="002F565F" w:rsidR="002F565F">
        <w:rPr>
          <w:color w:val="000000" w:themeColor="text1"/>
        </w:rPr>
        <w:t xml:space="preserve"> those collections in which information in identifiable form (IIF) are obtained or when CDC can retriev</w:t>
      </w:r>
      <w:r w:rsidR="002F565F">
        <w:rPr>
          <w:color w:val="000000" w:themeColor="text1"/>
        </w:rPr>
        <w:t>e the data by IIF data elements</w:t>
      </w:r>
      <w:r w:rsidRPr="00CE0D55" w:rsidR="006C3ADC">
        <w:rPr>
          <w:color w:val="000000" w:themeColor="text1"/>
        </w:rPr>
        <w:t xml:space="preserve">. </w:t>
      </w:r>
      <w:r w:rsidR="00B1012D">
        <w:t xml:space="preserve">When the Privacy Act applies to proposed </w:t>
      </w:r>
      <w:r w:rsidR="00B1012D">
        <w:t>genIC</w:t>
      </w:r>
      <w:r w:rsidR="00B1012D">
        <w:t xml:space="preserve"> projects under this generic clearance, t</w:t>
      </w:r>
      <w:r w:rsidRPr="00CE50EC" w:rsidR="00B1012D">
        <w:t xml:space="preserve">he existing applicable </w:t>
      </w:r>
      <w:r w:rsidR="00FC2767">
        <w:t>System of Records Notice (SORN)</w:t>
      </w:r>
      <w:r w:rsidR="00B1012D">
        <w:t xml:space="preserve"> </w:t>
      </w:r>
      <w:r w:rsidRPr="00CE50EC" w:rsidR="00B1012D">
        <w:t xml:space="preserve">for this information collection is </w:t>
      </w:r>
      <w:r w:rsidRPr="006F3898" w:rsidR="00B1012D">
        <w:t>SORN 09-20-0161, “Records of Health Professionals in Disease Prevention and Control Training Programs</w:t>
      </w:r>
      <w:r w:rsidR="00110D94">
        <w:t xml:space="preserve"> </w:t>
      </w:r>
      <w:r w:rsidRPr="00110D94" w:rsidR="00110D94">
        <w:t>HHS/CDC/NCPS</w:t>
      </w:r>
      <w:r w:rsidRPr="006F3898" w:rsidR="00B1012D">
        <w:t>”</w:t>
      </w:r>
      <w:r w:rsidR="004A3162">
        <w:t xml:space="preserve"> </w:t>
      </w:r>
      <w:r w:rsidR="00CC7D2D">
        <w:t>(</w:t>
      </w:r>
      <w:r w:rsidR="00C91557">
        <w:t xml:space="preserve">Attachment </w:t>
      </w:r>
      <w:r w:rsidR="0012472D">
        <w:t>4</w:t>
      </w:r>
      <w:r w:rsidR="00CC7D2D">
        <w:t xml:space="preserve">). </w:t>
      </w:r>
      <w:r w:rsidRPr="003701B1" w:rsidR="00B1012D">
        <w:rPr>
          <w:color w:val="000000"/>
        </w:rPr>
        <w:t xml:space="preserve">Each project </w:t>
      </w:r>
      <w:r w:rsidR="00B1012D">
        <w:rPr>
          <w:color w:val="000000"/>
        </w:rPr>
        <w:t xml:space="preserve">team </w:t>
      </w:r>
      <w:r w:rsidRPr="003701B1" w:rsidR="00B1012D">
        <w:rPr>
          <w:color w:val="000000"/>
        </w:rPr>
        <w:t>will submit</w:t>
      </w:r>
      <w:r w:rsidRPr="00AA5973" w:rsidR="00B1012D">
        <w:rPr>
          <w:color w:val="000000"/>
        </w:rPr>
        <w:t xml:space="preserve"> </w:t>
      </w:r>
      <w:r w:rsidR="00B1012D">
        <w:rPr>
          <w:color w:val="000000"/>
        </w:rPr>
        <w:t xml:space="preserve">information about </w:t>
      </w:r>
      <w:r>
        <w:rPr>
          <w:color w:val="000000"/>
        </w:rPr>
        <w:t xml:space="preserve">planned </w:t>
      </w:r>
      <w:r w:rsidR="00B1012D">
        <w:rPr>
          <w:color w:val="000000"/>
        </w:rPr>
        <w:t xml:space="preserve">data collection mechanisms and safeguards, record systems, and any demographic information </w:t>
      </w:r>
      <w:r>
        <w:rPr>
          <w:color w:val="000000"/>
        </w:rPr>
        <w:t xml:space="preserve">to be </w:t>
      </w:r>
      <w:r w:rsidR="00B1012D">
        <w:rPr>
          <w:color w:val="000000"/>
        </w:rPr>
        <w:t>retained for purposes of analysis.</w:t>
      </w:r>
    </w:p>
    <w:p w:rsidR="00B1012D" w:rsidP="00F73654" w14:paraId="3E13CA7E" w14:textId="77777777"/>
    <w:p w:rsidR="001B0140" w:rsidRPr="00CE50EC" w:rsidP="00F73654" w14:paraId="184C28DB" w14:textId="553D5655">
      <w:r w:rsidRPr="0000457F">
        <w:t>The proposed data collection</w:t>
      </w:r>
      <w:r w:rsidR="00B1012D">
        <w:t>s</w:t>
      </w:r>
      <w:r w:rsidRPr="0000457F">
        <w:t xml:space="preserve"> will have little or no eff</w:t>
      </w:r>
      <w:r>
        <w:t xml:space="preserve">ect on respondent privacy. All project staff will follow procedures for </w:t>
      </w:r>
      <w:r w:rsidR="00B1012D">
        <w:t>keeping data secure</w:t>
      </w:r>
      <w:r>
        <w:t xml:space="preserve"> during all stages of data collection</w:t>
      </w:r>
      <w:r w:rsidR="00164479">
        <w:t xml:space="preserve"> and analysis</w:t>
      </w:r>
      <w:r>
        <w:t xml:space="preserve">. </w:t>
      </w:r>
      <w:r w:rsidR="00B1012D">
        <w:t xml:space="preserve">For example, electronic </w:t>
      </w:r>
      <w:r>
        <w:rPr>
          <w:color w:val="000000"/>
        </w:rPr>
        <w:t>data will be stored in se</w:t>
      </w:r>
      <w:r w:rsidR="009F327C">
        <w:rPr>
          <w:color w:val="000000"/>
        </w:rPr>
        <w:t xml:space="preserve">cured electronic files on CDC servers </w:t>
      </w:r>
      <w:r>
        <w:rPr>
          <w:color w:val="000000"/>
        </w:rPr>
        <w:t>and will be accessible only to staff directly involved in the project</w:t>
      </w:r>
      <w:r>
        <w:t xml:space="preserve">. Hard copies will be stored in locked file cabinets in </w:t>
      </w:r>
      <w:r w:rsidR="001E537E">
        <w:t xml:space="preserve">secured </w:t>
      </w:r>
      <w:r>
        <w:t xml:space="preserve">CDC office buildings. </w:t>
      </w:r>
      <w:r w:rsidR="005C40E9">
        <w:t>CDC</w:t>
      </w:r>
      <w:r w:rsidR="00FF5F34">
        <w:t xml:space="preserve"> staff supporting this generic clearance</w:t>
      </w:r>
      <w:r w:rsidR="005C40E9">
        <w:t xml:space="preserve"> </w:t>
      </w:r>
      <w:r w:rsidR="009F327C">
        <w:t xml:space="preserve">will encourage project teams to </w:t>
      </w:r>
      <w:r w:rsidRPr="00CE50EC" w:rsidR="00015233">
        <w:t xml:space="preserve">limit the linkage of ID numbers and </w:t>
      </w:r>
      <w:r w:rsidR="00C0652F">
        <w:rPr>
          <w:color w:val="000000" w:themeColor="text1"/>
        </w:rPr>
        <w:t>IIF</w:t>
      </w:r>
      <w:r w:rsidR="00015233">
        <w:t xml:space="preserve">. </w:t>
      </w:r>
      <w:r w:rsidR="00FF5F34">
        <w:t xml:space="preserve">Various information technology solutions exist today to accomplish this securely. </w:t>
      </w:r>
      <w:r w:rsidRPr="004470D3">
        <w:rPr>
          <w:color w:val="000000"/>
        </w:rPr>
        <w:t xml:space="preserve">Data files will be retained </w:t>
      </w:r>
      <w:r w:rsidR="00EF3CB4">
        <w:rPr>
          <w:color w:val="000000"/>
        </w:rPr>
        <w:t xml:space="preserve">and </w:t>
      </w:r>
      <w:r w:rsidRPr="004470D3">
        <w:rPr>
          <w:color w:val="000000"/>
        </w:rPr>
        <w:t>destroyed</w:t>
      </w:r>
      <w:r w:rsidR="00EF3CB4">
        <w:rPr>
          <w:color w:val="000000"/>
        </w:rPr>
        <w:t xml:space="preserve"> in accordance with the CDC Records Management policy</w:t>
      </w:r>
      <w:r w:rsidRPr="004470D3">
        <w:rPr>
          <w:color w:val="000000"/>
        </w:rPr>
        <w:t>.</w:t>
      </w:r>
    </w:p>
    <w:p w:rsidR="001B0140" w:rsidP="00F73654" w14:paraId="3CC80E4F" w14:textId="77777777">
      <w:pPr>
        <w:rPr>
          <w:color w:val="000000" w:themeColor="text1"/>
        </w:rPr>
      </w:pPr>
    </w:p>
    <w:p w:rsidR="00713176" w:rsidP="00F73654" w14:paraId="61D9C1BE" w14:textId="77777777">
      <w:r>
        <w:rPr>
          <w:color w:val="000000"/>
        </w:rPr>
        <w:t xml:space="preserve">Before </w:t>
      </w:r>
      <w:r w:rsidRPr="00E96FE7" w:rsidR="006412ED">
        <w:rPr>
          <w:color w:val="000000"/>
        </w:rPr>
        <w:t>participation</w:t>
      </w:r>
      <w:r w:rsidR="006412ED">
        <w:rPr>
          <w:color w:val="000000"/>
        </w:rPr>
        <w:t>, r</w:t>
      </w:r>
      <w:r w:rsidR="00B1012D">
        <w:rPr>
          <w:color w:val="000000"/>
        </w:rPr>
        <w:t xml:space="preserve">espondents </w:t>
      </w:r>
      <w:r w:rsidRPr="00E96FE7" w:rsidR="00B1012D">
        <w:rPr>
          <w:color w:val="000000"/>
        </w:rPr>
        <w:t xml:space="preserve">will be informed </w:t>
      </w:r>
      <w:r w:rsidR="00B1012D">
        <w:rPr>
          <w:color w:val="000000"/>
        </w:rPr>
        <w:t xml:space="preserve">that </w:t>
      </w:r>
      <w:r w:rsidRPr="0053216A" w:rsidR="00B1012D">
        <w:rPr>
          <w:color w:val="000000"/>
        </w:rPr>
        <w:t xml:space="preserve">CDC will treat </w:t>
      </w:r>
      <w:r w:rsidR="00FC2767">
        <w:rPr>
          <w:color w:val="000000"/>
        </w:rPr>
        <w:t xml:space="preserve">responses (i.e., </w:t>
      </w:r>
      <w:r w:rsidRPr="0053216A" w:rsidR="00B1012D">
        <w:rPr>
          <w:color w:val="000000"/>
        </w:rPr>
        <w:t>d</w:t>
      </w:r>
      <w:r w:rsidR="00C91557">
        <w:rPr>
          <w:color w:val="000000"/>
        </w:rPr>
        <w:t xml:space="preserve">ata or </w:t>
      </w:r>
      <w:r w:rsidRPr="0053216A" w:rsidR="00B1012D">
        <w:rPr>
          <w:color w:val="000000"/>
        </w:rPr>
        <w:t>information</w:t>
      </w:r>
      <w:r w:rsidR="00FC2767">
        <w:rPr>
          <w:color w:val="000000"/>
        </w:rPr>
        <w:t>)</w:t>
      </w:r>
      <w:r w:rsidRPr="0053216A" w:rsidR="00B1012D">
        <w:rPr>
          <w:color w:val="000000"/>
        </w:rPr>
        <w:t xml:space="preserve"> in a secure manner and will not disclose, unless otherwise compelled by law</w:t>
      </w:r>
      <w:r w:rsidR="00B1012D">
        <w:rPr>
          <w:color w:val="000000"/>
        </w:rPr>
        <w:t xml:space="preserve">. </w:t>
      </w:r>
      <w:r w:rsidR="00DA3AFB">
        <w:rPr>
          <w:color w:val="000000"/>
        </w:rPr>
        <w:t xml:space="preserve">In advance of any data collection, </w:t>
      </w:r>
      <w:r w:rsidR="00A46E01">
        <w:rPr>
          <w:color w:val="000000"/>
        </w:rPr>
        <w:t xml:space="preserve">the </w:t>
      </w:r>
      <w:r w:rsidR="00DA3AFB">
        <w:rPr>
          <w:color w:val="000000"/>
        </w:rPr>
        <w:t xml:space="preserve">following </w:t>
      </w:r>
      <w:r w:rsidR="00A46E01">
        <w:rPr>
          <w:color w:val="000000"/>
        </w:rPr>
        <w:t>statement</w:t>
      </w:r>
      <w:r w:rsidR="00DA3AFB">
        <w:rPr>
          <w:color w:val="000000"/>
        </w:rPr>
        <w:t xml:space="preserve"> will be provided directly to the participant (e.g., </w:t>
      </w:r>
      <w:r w:rsidR="00D22B26">
        <w:rPr>
          <w:color w:val="000000"/>
        </w:rPr>
        <w:t xml:space="preserve">displayed </w:t>
      </w:r>
      <w:r w:rsidR="00DA3AFB">
        <w:rPr>
          <w:color w:val="000000"/>
        </w:rPr>
        <w:t>on a survey tool</w:t>
      </w:r>
      <w:r w:rsidR="00A61DF9">
        <w:rPr>
          <w:color w:val="000000"/>
        </w:rPr>
        <w:t>, preced</w:t>
      </w:r>
      <w:r w:rsidR="006412ED">
        <w:rPr>
          <w:color w:val="000000"/>
        </w:rPr>
        <w:t>ing</w:t>
      </w:r>
      <w:r w:rsidR="00DA3AFB">
        <w:rPr>
          <w:color w:val="000000"/>
        </w:rPr>
        <w:t xml:space="preserve"> </w:t>
      </w:r>
      <w:r w:rsidR="006412ED">
        <w:rPr>
          <w:color w:val="000000"/>
        </w:rPr>
        <w:t xml:space="preserve">a </w:t>
      </w:r>
      <w:r w:rsidR="00DA3AFB">
        <w:rPr>
          <w:color w:val="000000"/>
        </w:rPr>
        <w:t>questionnaire):</w:t>
      </w:r>
      <w:r w:rsidR="00A46E01">
        <w:rPr>
          <w:color w:val="000000"/>
        </w:rPr>
        <w:t xml:space="preserve"> “</w:t>
      </w:r>
      <w:r w:rsidR="002E6EF0">
        <w:rPr>
          <w:color w:val="000000"/>
        </w:rPr>
        <w:t xml:space="preserve">The Privacy Act </w:t>
      </w:r>
      <w:r w:rsidR="00A75293">
        <w:rPr>
          <w:color w:val="000000"/>
        </w:rPr>
        <w:t xml:space="preserve">of 1974, </w:t>
      </w:r>
      <w:r w:rsidRPr="001A24BD" w:rsidR="00A75293">
        <w:t>5 U.S.C. § 552a,</w:t>
      </w:r>
      <w:r w:rsidR="00A75293">
        <w:t xml:space="preserve"> </w:t>
      </w:r>
      <w:r w:rsidR="002E6EF0">
        <w:rPr>
          <w:color w:val="000000"/>
        </w:rPr>
        <w:t xml:space="preserve">applies to this information collection. The requested information is used </w:t>
      </w:r>
      <w:r w:rsidR="00DA3AFB">
        <w:rPr>
          <w:color w:val="000000"/>
        </w:rPr>
        <w:t>toward assessment and continuous quality improvement of CDC</w:t>
      </w:r>
      <w:r w:rsidR="002E6EF0">
        <w:rPr>
          <w:color w:val="000000"/>
        </w:rPr>
        <w:t xml:space="preserve"> fellowship activities and services. </w:t>
      </w:r>
      <w:r w:rsidRPr="0053216A" w:rsidR="00A46E01">
        <w:rPr>
          <w:color w:val="000000"/>
        </w:rPr>
        <w:t>C</w:t>
      </w:r>
      <w:r w:rsidR="00C91557">
        <w:rPr>
          <w:color w:val="000000"/>
        </w:rPr>
        <w:t xml:space="preserve">DC will treat data or </w:t>
      </w:r>
      <w:r w:rsidRPr="0053216A" w:rsidR="00A46E01">
        <w:rPr>
          <w:color w:val="000000"/>
        </w:rPr>
        <w:t>information in a secure manner and will not disclose</w:t>
      </w:r>
      <w:r w:rsidR="00C72C74">
        <w:rPr>
          <w:color w:val="000000"/>
        </w:rPr>
        <w:t xml:space="preserve"> </w:t>
      </w:r>
      <w:r w:rsidRPr="0053216A" w:rsidR="00A46E01">
        <w:rPr>
          <w:color w:val="000000"/>
        </w:rPr>
        <w:t xml:space="preserve">unless otherwise compelled by </w:t>
      </w:r>
      <w:r w:rsidRPr="0053216A" w:rsidR="00A46E01">
        <w:rPr>
          <w:color w:val="000000"/>
        </w:rPr>
        <w:t>law</w:t>
      </w:r>
      <w:r w:rsidR="00A46E01">
        <w:rPr>
          <w:color w:val="000000"/>
        </w:rPr>
        <w:t>.</w:t>
      </w:r>
      <w:r w:rsidR="00DA3AFB">
        <w:rPr>
          <w:color w:val="000000"/>
        </w:rPr>
        <w:t>”</w:t>
      </w:r>
    </w:p>
    <w:p w:rsidR="00F3528E" w:rsidP="00F73654" w14:paraId="79EA7614" w14:textId="77777777"/>
    <w:p w:rsidR="006C3ADC" w:rsidRPr="00C91557" w:rsidP="00F73654" w14:paraId="32C0D839" w14:textId="54824F19">
      <w:r>
        <w:t>When</w:t>
      </w:r>
      <w:r w:rsidR="00DB2DBD">
        <w:t xml:space="preserve"> </w:t>
      </w:r>
      <w:r w:rsidR="00A33235">
        <w:t xml:space="preserve">collection of IIF is required, </w:t>
      </w:r>
      <w:r w:rsidR="00E259F2">
        <w:t xml:space="preserve">the </w:t>
      </w:r>
      <w:r w:rsidR="009B35D2">
        <w:t xml:space="preserve">project team submitting a </w:t>
      </w:r>
      <w:r w:rsidR="00E259F2">
        <w:t>genIC</w:t>
      </w:r>
      <w:r w:rsidR="00E259F2">
        <w:t xml:space="preserve"> must justify the need to use this </w:t>
      </w:r>
      <w:r w:rsidR="000F4C35">
        <w:t xml:space="preserve">generic clearance </w:t>
      </w:r>
      <w:r w:rsidR="00E259F2">
        <w:t xml:space="preserve">to collect </w:t>
      </w:r>
      <w:r w:rsidR="00E259F2">
        <w:t>IIF, and</w:t>
      </w:r>
      <w:r w:rsidR="00E259F2">
        <w:t xml:space="preserve"> describe efforts to </w:t>
      </w:r>
      <w:r w:rsidR="009B35D2">
        <w:t xml:space="preserve">use </w:t>
      </w:r>
      <w:r w:rsidR="00D22B26">
        <w:t>existing</w:t>
      </w:r>
      <w:r w:rsidR="00A61DF9">
        <w:t xml:space="preserve"> </w:t>
      </w:r>
      <w:r w:rsidR="009B35D2">
        <w:t>information in</w:t>
      </w:r>
      <w:r w:rsidR="00E259F2">
        <w:t xml:space="preserve"> OMB</w:t>
      </w:r>
      <w:r>
        <w:t xml:space="preserve">-approved mechanisms such as CDC’s </w:t>
      </w:r>
      <w:r w:rsidR="00407927">
        <w:t>FMS</w:t>
      </w:r>
      <w:r w:rsidR="00CC7D2D">
        <w:t xml:space="preserve">. </w:t>
      </w:r>
      <w:r w:rsidRPr="002F605D" w:rsidR="000F4C35">
        <w:t xml:space="preserve">This minimizes collection of IIF in the </w:t>
      </w:r>
      <w:r w:rsidR="002F605D">
        <w:t xml:space="preserve">primary </w:t>
      </w:r>
      <w:r w:rsidRPr="002F605D" w:rsidR="000F4C35">
        <w:t>data collection mechanism for proposed projects</w:t>
      </w:r>
      <w:r w:rsidR="000F4C35">
        <w:t>.</w:t>
      </w:r>
      <w:r w:rsidR="000F4C35">
        <w:t xml:space="preserve"> </w:t>
      </w:r>
    </w:p>
    <w:p w:rsidR="006C3ADC" w:rsidP="00F73654" w14:paraId="2B33DF65" w14:textId="77777777">
      <w:pPr>
        <w:autoSpaceDE w:val="0"/>
        <w:autoSpaceDN w:val="0"/>
        <w:adjustRightInd w:val="0"/>
        <w:rPr>
          <w:color w:val="000000"/>
        </w:rPr>
      </w:pPr>
    </w:p>
    <w:p w:rsidR="006C3ADC" w:rsidP="00F73654" w14:paraId="000DF39F" w14:textId="77777777">
      <w:pPr>
        <w:autoSpaceDE w:val="0"/>
        <w:autoSpaceDN w:val="0"/>
        <w:adjustRightInd w:val="0"/>
        <w:rPr>
          <w:color w:val="000000"/>
        </w:rPr>
      </w:pPr>
      <w:r>
        <w:rPr>
          <w:color w:val="000000"/>
        </w:rPr>
        <w:t>CDC</w:t>
      </w:r>
      <w:r w:rsidRPr="003D5400">
        <w:rPr>
          <w:color w:val="000000"/>
        </w:rPr>
        <w:t xml:space="preserve"> will </w:t>
      </w:r>
      <w:r>
        <w:rPr>
          <w:color w:val="000000"/>
        </w:rPr>
        <w:t xml:space="preserve">inform prospective respondents </w:t>
      </w:r>
      <w:r w:rsidR="00A61DF9">
        <w:rPr>
          <w:color w:val="000000"/>
        </w:rPr>
        <w:t>about the</w:t>
      </w:r>
      <w:r w:rsidRPr="003D5400">
        <w:rPr>
          <w:color w:val="000000"/>
        </w:rPr>
        <w:t xml:space="preserve"> </w:t>
      </w:r>
      <w:r w:rsidR="00625B84">
        <w:rPr>
          <w:color w:val="000000"/>
        </w:rPr>
        <w:t>data collection</w:t>
      </w:r>
      <w:r w:rsidRPr="003D5400">
        <w:rPr>
          <w:color w:val="000000"/>
        </w:rPr>
        <w:t xml:space="preserve"> activity, the length of time it will require, that participation is purely voluntary</w:t>
      </w:r>
      <w:r w:rsidR="00A61DF9">
        <w:rPr>
          <w:color w:val="000000"/>
        </w:rPr>
        <w:t>, and that they can</w:t>
      </w:r>
      <w:r w:rsidR="00DD0AC4">
        <w:rPr>
          <w:color w:val="000000"/>
        </w:rPr>
        <w:t xml:space="preserve"> refuse to answer any questions or </w:t>
      </w:r>
      <w:r w:rsidR="00EA352C">
        <w:rPr>
          <w:color w:val="000000"/>
        </w:rPr>
        <w:t xml:space="preserve">refuse to </w:t>
      </w:r>
      <w:r w:rsidR="00DD0AC4">
        <w:rPr>
          <w:color w:val="000000"/>
        </w:rPr>
        <w:t>disclose any information</w:t>
      </w:r>
      <w:r w:rsidR="00C710D7">
        <w:rPr>
          <w:color w:val="000000"/>
        </w:rPr>
        <w:t xml:space="preserve"> if so desired</w:t>
      </w:r>
      <w:r w:rsidR="0038181D">
        <w:rPr>
          <w:color w:val="000000"/>
        </w:rPr>
        <w:t>.</w:t>
      </w:r>
      <w:r w:rsidR="00DD0AC4">
        <w:rPr>
          <w:color w:val="000000"/>
        </w:rPr>
        <w:t xml:space="preserve"> </w:t>
      </w:r>
      <w:r w:rsidRPr="003D5400">
        <w:rPr>
          <w:color w:val="000000"/>
        </w:rPr>
        <w:t>These procedures conform to ethical practices for collecting data from human participants.</w:t>
      </w:r>
      <w:r w:rsidR="001F3FED">
        <w:rPr>
          <w:color w:val="000000"/>
        </w:rPr>
        <w:t xml:space="preserve"> </w:t>
      </w:r>
      <w:r w:rsidR="00C710D7">
        <w:rPr>
          <w:color w:val="000000"/>
        </w:rPr>
        <w:t xml:space="preserve">Before </w:t>
      </w:r>
      <w:r w:rsidR="00EB2F3C">
        <w:rPr>
          <w:color w:val="000000"/>
        </w:rPr>
        <w:t xml:space="preserve">each data collection, </w:t>
      </w:r>
      <w:r w:rsidR="003F4A0C">
        <w:rPr>
          <w:color w:val="000000"/>
        </w:rPr>
        <w:t xml:space="preserve">prospective respondents </w:t>
      </w:r>
      <w:r w:rsidR="00EB2F3C">
        <w:rPr>
          <w:color w:val="000000"/>
        </w:rPr>
        <w:t xml:space="preserve">will be </w:t>
      </w:r>
      <w:r w:rsidR="00EB2F3C">
        <w:rPr>
          <w:color w:val="000000"/>
        </w:rPr>
        <w:t>provided</w:t>
      </w:r>
      <w:r w:rsidR="00EB2F3C">
        <w:rPr>
          <w:color w:val="000000"/>
        </w:rPr>
        <w:t xml:space="preserve"> information on the intent of the project and will be given an opportunity to consent </w:t>
      </w:r>
      <w:r w:rsidR="003F4A0C">
        <w:rPr>
          <w:color w:val="000000"/>
        </w:rPr>
        <w:t>to information disclosure possibilities</w:t>
      </w:r>
      <w:r w:rsidR="00EB2F3C">
        <w:rPr>
          <w:color w:val="000000"/>
        </w:rPr>
        <w:t>.</w:t>
      </w:r>
      <w:r w:rsidR="003F4A0C">
        <w:rPr>
          <w:color w:val="000000"/>
        </w:rPr>
        <w:t xml:space="preserve"> </w:t>
      </w:r>
      <w:r w:rsidR="00666070">
        <w:rPr>
          <w:color w:val="000000"/>
        </w:rPr>
        <w:t xml:space="preserve">CDC will share </w:t>
      </w:r>
      <w:r w:rsidRPr="00CF18CE" w:rsidR="00666070">
        <w:t>information collect</w:t>
      </w:r>
      <w:r w:rsidR="00666070">
        <w:t>ed in aggregate</w:t>
      </w:r>
      <w:r w:rsidRPr="00C710D7" w:rsidR="00C710D7">
        <w:t xml:space="preserve"> </w:t>
      </w:r>
      <w:r w:rsidR="00C710D7">
        <w:t>only</w:t>
      </w:r>
      <w:r w:rsidR="00666070">
        <w:t xml:space="preserve">; all </w:t>
      </w:r>
      <w:r w:rsidRPr="00CF18CE" w:rsidR="00666070">
        <w:t xml:space="preserve">personal identifiers </w:t>
      </w:r>
      <w:r w:rsidR="00666070">
        <w:t xml:space="preserve">will be </w:t>
      </w:r>
      <w:r w:rsidRPr="00CF18CE" w:rsidR="00666070">
        <w:t>removed.</w:t>
      </w:r>
    </w:p>
    <w:p w:rsidR="001374A6" w:rsidRPr="004470D3" w:rsidP="00F73654" w14:paraId="36C7B6A8" w14:textId="77777777">
      <w:pPr>
        <w:tabs>
          <w:tab w:val="left" w:pos="6987"/>
        </w:tabs>
        <w:autoSpaceDE w:val="0"/>
        <w:autoSpaceDN w:val="0"/>
        <w:adjustRightInd w:val="0"/>
        <w:rPr>
          <w:color w:val="000000"/>
        </w:rPr>
      </w:pPr>
    </w:p>
    <w:p w:rsidR="00185585" w:rsidP="00F73654" w14:paraId="26B70986" w14:textId="77777777">
      <w:pPr>
        <w:pStyle w:val="Heading1"/>
      </w:pPr>
      <w:bookmarkStart w:id="26" w:name="_Toc299968003"/>
      <w:bookmarkStart w:id="27" w:name="_Toc452565362"/>
      <w:r>
        <w:t xml:space="preserve">A.11. </w:t>
      </w:r>
      <w:r w:rsidR="00C37F9B">
        <w:t xml:space="preserve">Institutional Review Board (IRB) and </w:t>
      </w:r>
      <w:r w:rsidRPr="0092182A" w:rsidR="006C3ADC">
        <w:t>Justification for Sensitive Questions</w:t>
      </w:r>
      <w:bookmarkEnd w:id="26"/>
      <w:bookmarkEnd w:id="27"/>
    </w:p>
    <w:p w:rsidR="00765E43" w:rsidP="00F73654" w14:paraId="4CA74B7E" w14:textId="77777777">
      <w:pPr>
        <w:rPr>
          <w:b/>
        </w:rPr>
      </w:pPr>
    </w:p>
    <w:p w:rsidR="00EF3CB4" w:rsidRPr="00D22B26" w:rsidP="00F73654" w14:paraId="56F51FE3" w14:textId="082348AA">
      <w:pPr>
        <w:rPr>
          <w:b/>
        </w:rPr>
      </w:pPr>
      <w:r>
        <w:rPr>
          <w:b/>
        </w:rPr>
        <w:t>Research determination and IRB oversight</w:t>
      </w:r>
    </w:p>
    <w:p w:rsidR="00990859" w:rsidP="00F73654" w14:paraId="508DD1F2" w14:textId="2F7649F9">
      <w:r>
        <w:rPr>
          <w:color w:val="000000" w:themeColor="text1"/>
        </w:rPr>
        <w:t>Each p</w:t>
      </w:r>
      <w:r w:rsidRPr="006B3C2C">
        <w:rPr>
          <w:color w:val="000000" w:themeColor="text1"/>
        </w:rPr>
        <w:t>roject</w:t>
      </w:r>
      <w:r>
        <w:rPr>
          <w:color w:val="000000" w:themeColor="text1"/>
        </w:rPr>
        <w:t xml:space="preserve"> submitted</w:t>
      </w:r>
      <w:r w:rsidRPr="006B3C2C">
        <w:rPr>
          <w:color w:val="000000" w:themeColor="text1"/>
        </w:rPr>
        <w:t xml:space="preserve"> under this </w:t>
      </w:r>
      <w:r>
        <w:rPr>
          <w:color w:val="000000" w:themeColor="text1"/>
        </w:rPr>
        <w:t xml:space="preserve">clearance </w:t>
      </w:r>
      <w:r w:rsidRPr="006B3C2C">
        <w:rPr>
          <w:color w:val="000000" w:themeColor="text1"/>
        </w:rPr>
        <w:t xml:space="preserve">must be reviewed </w:t>
      </w:r>
      <w:r>
        <w:rPr>
          <w:color w:val="000000" w:themeColor="text1"/>
        </w:rPr>
        <w:t>to obtain formal r</w:t>
      </w:r>
      <w:r w:rsidRPr="006B3C2C">
        <w:rPr>
          <w:color w:val="000000" w:themeColor="text1"/>
        </w:rPr>
        <w:t>esearch determination using CDC’s STARS system</w:t>
      </w:r>
      <w:r>
        <w:rPr>
          <w:color w:val="000000" w:themeColor="text1"/>
        </w:rPr>
        <w:t>. All</w:t>
      </w:r>
      <w:r w:rsidRPr="006B3C2C">
        <w:rPr>
          <w:color w:val="000000" w:themeColor="text1"/>
        </w:rPr>
        <w:t xml:space="preserve"> relevant protections and procedures will apply, depending on that determination. Given the express intent of this generic clearance is not to conduct research, it is unlikely that full IRB approval will be needed for any projects.  However, CDC’s systems are in place to assess that</w:t>
      </w:r>
      <w:r>
        <w:rPr>
          <w:color w:val="000000" w:themeColor="text1"/>
        </w:rPr>
        <w:t xml:space="preserve"> need</w:t>
      </w:r>
      <w:r w:rsidRPr="006B3C2C">
        <w:rPr>
          <w:color w:val="000000" w:themeColor="text1"/>
        </w:rPr>
        <w:t xml:space="preserve"> for each </w:t>
      </w:r>
      <w:r>
        <w:rPr>
          <w:color w:val="000000" w:themeColor="text1"/>
        </w:rPr>
        <w:t xml:space="preserve">proposed activity </w:t>
      </w:r>
      <w:r w:rsidRPr="006B3C2C">
        <w:rPr>
          <w:color w:val="000000" w:themeColor="text1"/>
        </w:rPr>
        <w:t>and provide related documentation.</w:t>
      </w:r>
      <w:r>
        <w:rPr>
          <w:color w:val="000000" w:themeColor="text1"/>
        </w:rPr>
        <w:t xml:space="preserve"> Documentation of research determination and</w:t>
      </w:r>
      <w:r w:rsidR="003460EF">
        <w:rPr>
          <w:color w:val="000000" w:themeColor="text1"/>
        </w:rPr>
        <w:t xml:space="preserve"> (when relevant)</w:t>
      </w:r>
      <w:r>
        <w:rPr>
          <w:color w:val="000000" w:themeColor="text1"/>
        </w:rPr>
        <w:t xml:space="preserve"> related human subjects review documents</w:t>
      </w:r>
      <w:r w:rsidR="003460EF">
        <w:rPr>
          <w:color w:val="000000" w:themeColor="text1"/>
        </w:rPr>
        <w:t xml:space="preserve"> will be included with each GenIC submission. </w:t>
      </w:r>
      <w:r>
        <w:rPr>
          <w:color w:val="000000" w:themeColor="text1"/>
        </w:rPr>
        <w:t xml:space="preserve"> </w:t>
      </w:r>
    </w:p>
    <w:p w:rsidR="00D362C3" w:rsidP="00F73654" w14:paraId="1018947B" w14:textId="77777777">
      <w:pPr>
        <w:rPr>
          <w:b/>
        </w:rPr>
      </w:pPr>
    </w:p>
    <w:p w:rsidR="00D93972" w:rsidRPr="00D22B26" w:rsidP="00F73654" w14:paraId="6BBC1012" w14:textId="0BEFF863">
      <w:pPr>
        <w:rPr>
          <w:b/>
        </w:rPr>
      </w:pPr>
      <w:r w:rsidRPr="00D22B26">
        <w:rPr>
          <w:b/>
        </w:rPr>
        <w:t>Sensitive Questions</w:t>
      </w:r>
    </w:p>
    <w:p w:rsidR="006C3ADC" w:rsidP="00F73654" w14:paraId="28C1769B" w14:textId="3C5B6043">
      <w:pPr>
        <w:rPr>
          <w:color w:val="000000"/>
        </w:rPr>
      </w:pPr>
      <w:r w:rsidRPr="00314F90">
        <w:rPr>
          <w:color w:val="000000"/>
        </w:rPr>
        <w:t>The majority of</w:t>
      </w:r>
      <w:r w:rsidRPr="00314F90">
        <w:rPr>
          <w:color w:val="000000"/>
        </w:rPr>
        <w:t xml:space="preserve"> questions asked will not be of a sensitive nature. </w:t>
      </w:r>
      <w:r w:rsidR="00A52782">
        <w:rPr>
          <w:color w:val="000000"/>
        </w:rPr>
        <w:t xml:space="preserve">For sensitive questions, the project team will provide justification and specific use. </w:t>
      </w:r>
      <w:r w:rsidR="00DD4DE6">
        <w:rPr>
          <w:color w:val="000000"/>
        </w:rPr>
        <w:t>S</w:t>
      </w:r>
      <w:r w:rsidR="00945E2F">
        <w:rPr>
          <w:color w:val="000000"/>
        </w:rPr>
        <w:t xml:space="preserve">ensitive </w:t>
      </w:r>
      <w:r w:rsidR="00314F90">
        <w:rPr>
          <w:color w:val="000000"/>
        </w:rPr>
        <w:t xml:space="preserve">questions </w:t>
      </w:r>
      <w:r w:rsidR="00945E2F">
        <w:rPr>
          <w:color w:val="000000"/>
        </w:rPr>
        <w:t xml:space="preserve">may include items on </w:t>
      </w:r>
      <w:r w:rsidRPr="00314F90">
        <w:rPr>
          <w:color w:val="000000"/>
        </w:rPr>
        <w:t>demographic characteristics</w:t>
      </w:r>
      <w:r w:rsidR="00945E2F">
        <w:rPr>
          <w:color w:val="000000"/>
        </w:rPr>
        <w:t>.</w:t>
      </w:r>
      <w:r w:rsidR="00314F90">
        <w:rPr>
          <w:color w:val="000000"/>
        </w:rPr>
        <w:t xml:space="preserve"> </w:t>
      </w:r>
      <w:r w:rsidR="00D2270D">
        <w:rPr>
          <w:color w:val="000000"/>
        </w:rPr>
        <w:t xml:space="preserve">Any </w:t>
      </w:r>
      <w:r w:rsidR="00D2270D">
        <w:rPr>
          <w:color w:val="000000"/>
        </w:rPr>
        <w:t>genIC</w:t>
      </w:r>
      <w:r w:rsidR="00D2270D">
        <w:rPr>
          <w:color w:val="000000"/>
        </w:rPr>
        <w:t xml:space="preserve"> that require</w:t>
      </w:r>
      <w:r w:rsidR="00CA7079">
        <w:rPr>
          <w:color w:val="000000"/>
        </w:rPr>
        <w:t>s</w:t>
      </w:r>
      <w:r w:rsidR="00D2270D">
        <w:rPr>
          <w:color w:val="000000"/>
        </w:rPr>
        <w:t xml:space="preserve"> collections of </w:t>
      </w:r>
      <w:r w:rsidR="00C8568C">
        <w:rPr>
          <w:color w:val="000000"/>
        </w:rPr>
        <w:t>demographic</w:t>
      </w:r>
      <w:r w:rsidRPr="00314F90">
        <w:rPr>
          <w:color w:val="000000"/>
        </w:rPr>
        <w:t xml:space="preserve"> data </w:t>
      </w:r>
      <w:r w:rsidR="00D2270D">
        <w:rPr>
          <w:color w:val="000000"/>
        </w:rPr>
        <w:t xml:space="preserve">will ask </w:t>
      </w:r>
      <w:r w:rsidR="00D2270D">
        <w:rPr>
          <w:color w:val="000000"/>
        </w:rPr>
        <w:t>the questions</w:t>
      </w:r>
      <w:r w:rsidR="00D2270D">
        <w:rPr>
          <w:color w:val="000000"/>
        </w:rPr>
        <w:t xml:space="preserve"> </w:t>
      </w:r>
      <w:r w:rsidRPr="00314F90">
        <w:rPr>
          <w:color w:val="000000"/>
        </w:rPr>
        <w:t>consistent with HHS policy and standard OMB classifications.</w:t>
      </w:r>
    </w:p>
    <w:p w:rsidR="00700C19" w:rsidP="00F73654" w14:paraId="20EFD9B9" w14:textId="77777777">
      <w:pPr>
        <w:rPr>
          <w:color w:val="000000"/>
        </w:rPr>
      </w:pPr>
    </w:p>
    <w:p w:rsidR="0091369D" w:rsidP="00F73654" w14:paraId="2C8057A3" w14:textId="3FE9E8A0">
      <w:pPr>
        <w:rPr>
          <w:color w:val="000000"/>
        </w:rPr>
      </w:pPr>
      <w:r>
        <w:rPr>
          <w:color w:val="000000"/>
        </w:rPr>
        <w:t xml:space="preserve">Other questions may </w:t>
      </w:r>
      <w:r w:rsidR="00DD4DE6">
        <w:rPr>
          <w:color w:val="000000"/>
        </w:rPr>
        <w:t xml:space="preserve">address </w:t>
      </w:r>
      <w:r>
        <w:rPr>
          <w:color w:val="000000"/>
        </w:rPr>
        <w:t xml:space="preserve">individual experiences with and perceptions about the </w:t>
      </w:r>
      <w:r w:rsidR="00945E2F">
        <w:rPr>
          <w:color w:val="000000"/>
        </w:rPr>
        <w:t>fellowship</w:t>
      </w:r>
      <w:r>
        <w:rPr>
          <w:color w:val="000000"/>
        </w:rPr>
        <w:t xml:space="preserve"> programs</w:t>
      </w:r>
      <w:r w:rsidR="00637424">
        <w:rPr>
          <w:color w:val="000000"/>
        </w:rPr>
        <w:t xml:space="preserve">, </w:t>
      </w:r>
      <w:r w:rsidR="00945E2F">
        <w:rPr>
          <w:color w:val="000000"/>
        </w:rPr>
        <w:t xml:space="preserve">related </w:t>
      </w:r>
      <w:r w:rsidR="00637424">
        <w:rPr>
          <w:color w:val="000000"/>
        </w:rPr>
        <w:t>expectations, or career goals</w:t>
      </w:r>
      <w:r>
        <w:rPr>
          <w:color w:val="000000"/>
        </w:rPr>
        <w:t xml:space="preserve">. </w:t>
      </w:r>
      <w:r w:rsidR="00B848A9">
        <w:rPr>
          <w:color w:val="000000"/>
        </w:rPr>
        <w:t xml:space="preserve">For some respondents, such questions could be </w:t>
      </w:r>
      <w:r w:rsidR="002138F3">
        <w:rPr>
          <w:color w:val="000000"/>
        </w:rPr>
        <w:t>perceived</w:t>
      </w:r>
      <w:r w:rsidR="00B848A9">
        <w:rPr>
          <w:color w:val="000000"/>
        </w:rPr>
        <w:t xml:space="preserve"> as sensitive. </w:t>
      </w:r>
      <w:r w:rsidR="00D21626">
        <w:rPr>
          <w:color w:val="000000"/>
        </w:rPr>
        <w:t xml:space="preserve">Such questions </w:t>
      </w:r>
      <w:r w:rsidR="002053CE">
        <w:rPr>
          <w:color w:val="000000"/>
        </w:rPr>
        <w:t>are often</w:t>
      </w:r>
      <w:r w:rsidR="00D21626">
        <w:rPr>
          <w:color w:val="000000"/>
        </w:rPr>
        <w:t xml:space="preserve"> necessary to assess </w:t>
      </w:r>
      <w:r w:rsidR="00D21626">
        <w:rPr>
          <w:color w:val="000000"/>
        </w:rPr>
        <w:t>program</w:t>
      </w:r>
      <w:r w:rsidR="00D21626">
        <w:rPr>
          <w:color w:val="000000"/>
        </w:rPr>
        <w:t xml:space="preserve"> outcomes and areas for improvement. </w:t>
      </w:r>
      <w:r>
        <w:rPr>
          <w:color w:val="000000"/>
        </w:rPr>
        <w:t xml:space="preserve">Respondents </w:t>
      </w:r>
      <w:r w:rsidR="00EA352C">
        <w:rPr>
          <w:color w:val="000000"/>
        </w:rPr>
        <w:t xml:space="preserve">can opt to </w:t>
      </w:r>
      <w:r>
        <w:rPr>
          <w:color w:val="000000"/>
        </w:rPr>
        <w:t>refus</w:t>
      </w:r>
      <w:r w:rsidR="00EA352C">
        <w:rPr>
          <w:color w:val="000000"/>
        </w:rPr>
        <w:t>e</w:t>
      </w:r>
      <w:r>
        <w:rPr>
          <w:color w:val="000000"/>
        </w:rPr>
        <w:t xml:space="preserve"> </w:t>
      </w:r>
      <w:r>
        <w:rPr>
          <w:color w:val="000000"/>
        </w:rPr>
        <w:t>answer</w:t>
      </w:r>
      <w:r w:rsidR="00EA352C">
        <w:rPr>
          <w:color w:val="000000"/>
        </w:rPr>
        <w:t>ing</w:t>
      </w:r>
      <w:r>
        <w:rPr>
          <w:color w:val="000000"/>
        </w:rPr>
        <w:t xml:space="preserve"> any questions </w:t>
      </w:r>
      <w:r w:rsidR="00EA352C">
        <w:rPr>
          <w:color w:val="000000"/>
        </w:rPr>
        <w:t xml:space="preserve">and </w:t>
      </w:r>
      <w:r>
        <w:rPr>
          <w:color w:val="000000"/>
        </w:rPr>
        <w:t>stop participating at any time.</w:t>
      </w:r>
    </w:p>
    <w:p w:rsidR="006C3ADC" w:rsidRPr="00E96FE7" w:rsidP="00F73654" w14:paraId="52AEE25A" w14:textId="77777777">
      <w:pPr>
        <w:rPr>
          <w:color w:val="000000"/>
        </w:rPr>
      </w:pPr>
    </w:p>
    <w:p w:rsidR="00C91BF3" w:rsidP="00F73654" w14:paraId="1A2E843E" w14:textId="3A90688C">
      <w:pPr>
        <w:pStyle w:val="Heading1"/>
        <w:rPr>
          <w:rFonts w:eastAsiaTheme="minorHAnsi"/>
        </w:rPr>
      </w:pPr>
      <w:bookmarkStart w:id="28" w:name="_Toc299968004"/>
      <w:bookmarkStart w:id="29" w:name="_Toc452565363"/>
      <w:r>
        <w:t xml:space="preserve">A.12. </w:t>
      </w:r>
      <w:r w:rsidRPr="0092182A" w:rsidR="006C3ADC">
        <w:t>Estimates of Annualized Burden Hours and Costs</w:t>
      </w:r>
      <w:bookmarkEnd w:id="28"/>
      <w:bookmarkEnd w:id="29"/>
    </w:p>
    <w:p w:rsidR="008959EE" w:rsidP="00F73654" w14:paraId="52F05AF3" w14:textId="2A400052">
      <w:pPr>
        <w:rPr>
          <w:snapToGrid w:val="0"/>
        </w:rPr>
      </w:pPr>
      <w:r w:rsidRPr="00F2760A">
        <w:rPr>
          <w:snapToGrid w:val="0"/>
        </w:rPr>
        <w:t xml:space="preserve">The annualized response burden </w:t>
      </w:r>
      <w:r w:rsidR="00F109B1">
        <w:rPr>
          <w:snapToGrid w:val="0"/>
        </w:rPr>
        <w:t>requested for this revision</w:t>
      </w:r>
      <w:r w:rsidRPr="00F2760A" w:rsidR="00F109B1">
        <w:rPr>
          <w:snapToGrid w:val="0"/>
        </w:rPr>
        <w:t xml:space="preserve"> </w:t>
      </w:r>
      <w:r w:rsidR="00F109B1">
        <w:rPr>
          <w:snapToGrid w:val="0"/>
        </w:rPr>
        <w:t>is</w:t>
      </w:r>
      <w:r w:rsidRPr="00F2760A">
        <w:rPr>
          <w:snapToGrid w:val="0"/>
        </w:rPr>
        <w:t xml:space="preserve"> </w:t>
      </w:r>
      <w:r w:rsidR="0006012C">
        <w:rPr>
          <w:color w:val="000000"/>
        </w:rPr>
        <w:t xml:space="preserve">550 </w:t>
      </w:r>
      <w:r w:rsidRPr="00F2760A">
        <w:rPr>
          <w:snapToGrid w:val="0"/>
        </w:rPr>
        <w:t>hours</w:t>
      </w:r>
      <w:r w:rsidR="00F109B1">
        <w:rPr>
          <w:snapToGrid w:val="0"/>
        </w:rPr>
        <w:t xml:space="preserve">, </w:t>
      </w:r>
      <w:r w:rsidR="0043776A">
        <w:rPr>
          <w:snapToGrid w:val="0"/>
        </w:rPr>
        <w:t xml:space="preserve">a decrease of </w:t>
      </w:r>
      <w:r w:rsidR="00E06A2B">
        <w:rPr>
          <w:snapToGrid w:val="0"/>
        </w:rPr>
        <w:t xml:space="preserve">996 hours </w:t>
      </w:r>
      <w:r w:rsidR="00F109B1">
        <w:rPr>
          <w:snapToGrid w:val="0"/>
        </w:rPr>
        <w:t>from the previously approved 1546 hours</w:t>
      </w:r>
      <w:r w:rsidRPr="00F2760A">
        <w:rPr>
          <w:snapToGrid w:val="0"/>
        </w:rPr>
        <w:t>.</w:t>
      </w:r>
      <w:r w:rsidR="0006012C">
        <w:rPr>
          <w:snapToGrid w:val="0"/>
        </w:rPr>
        <w:t xml:space="preserve"> The </w:t>
      </w:r>
      <w:r w:rsidR="0043776A">
        <w:rPr>
          <w:snapToGrid w:val="0"/>
        </w:rPr>
        <w:t>decrease in estimated burden</w:t>
      </w:r>
      <w:r w:rsidR="00E06A2B">
        <w:rPr>
          <w:snapToGrid w:val="0"/>
        </w:rPr>
        <w:t xml:space="preserve"> is the result of reorganization </w:t>
      </w:r>
      <w:r w:rsidR="00A54587">
        <w:rPr>
          <w:snapToGrid w:val="0"/>
        </w:rPr>
        <w:t xml:space="preserve">within the CDC and </w:t>
      </w:r>
      <w:r w:rsidR="00134615">
        <w:rPr>
          <w:snapToGrid w:val="0"/>
        </w:rPr>
        <w:t>decreased fellowship numbers and activity</w:t>
      </w:r>
      <w:r w:rsidR="009D5C53">
        <w:rPr>
          <w:snapToGrid w:val="0"/>
        </w:rPr>
        <w:t xml:space="preserve"> (see Section A.15 for more information)</w:t>
      </w:r>
      <w:r w:rsidR="00134615">
        <w:rPr>
          <w:snapToGrid w:val="0"/>
        </w:rPr>
        <w:t>.</w:t>
      </w:r>
      <w:r w:rsidR="00E06A2B">
        <w:rPr>
          <w:snapToGrid w:val="0"/>
        </w:rPr>
        <w:t xml:space="preserve"> </w:t>
      </w:r>
      <w:r w:rsidRPr="00FD53D8" w:rsidR="00FC2C8D">
        <w:rPr>
          <w:snapToGrid w:val="0"/>
        </w:rPr>
        <w:t>The estimated annualized number of responses is 1,225 and the estimated annualized burden hours are 550.  Over the proposed three-year period of this generic, the total estimated number of responses is 3,675 and the total estimated burden hours are 1,650.</w:t>
      </w:r>
      <w:r w:rsidRPr="00FC2C8D" w:rsidR="00FC2C8D">
        <w:rPr>
          <w:snapToGrid w:val="0"/>
        </w:rPr>
        <w:t>  </w:t>
      </w:r>
    </w:p>
    <w:p w:rsidR="009B0190" w:rsidRPr="00301AD0" w:rsidP="00301AD0" w14:paraId="5C2B7C3B" w14:textId="77777777">
      <w:pPr>
        <w:rPr>
          <w:rFonts w:eastAsiaTheme="minorHAnsi"/>
        </w:rPr>
      </w:pPr>
    </w:p>
    <w:p w:rsidR="00B10501" w:rsidP="00F73654" w14:paraId="0B49BE40" w14:textId="48E36257">
      <w:pPr>
        <w:rPr>
          <w:rFonts w:eastAsiaTheme="minorHAnsi"/>
        </w:rPr>
      </w:pPr>
      <w:r>
        <w:rPr>
          <w:rFonts w:eastAsiaTheme="minorHAnsi"/>
        </w:rPr>
        <w:t xml:space="preserve">CDC estimates </w:t>
      </w:r>
      <w:r w:rsidR="0058286C">
        <w:rPr>
          <w:rFonts w:eastAsiaTheme="minorHAnsi"/>
        </w:rPr>
        <w:t>the average burden per response</w:t>
      </w:r>
      <w:r w:rsidR="00F33AFB">
        <w:rPr>
          <w:rFonts w:eastAsiaTheme="minorHAnsi"/>
        </w:rPr>
        <w:t xml:space="preserve"> </w:t>
      </w:r>
      <w:r>
        <w:rPr>
          <w:rFonts w:eastAsiaTheme="minorHAnsi"/>
        </w:rPr>
        <w:t xml:space="preserve">to be </w:t>
      </w:r>
      <w:r w:rsidR="004225B8">
        <w:rPr>
          <w:rFonts w:eastAsiaTheme="minorHAnsi"/>
        </w:rPr>
        <w:t xml:space="preserve">between twenty minutes and </w:t>
      </w:r>
      <w:r w:rsidR="0002488E">
        <w:rPr>
          <w:rFonts w:eastAsiaTheme="minorHAnsi"/>
        </w:rPr>
        <w:t>one-half</w:t>
      </w:r>
      <w:r w:rsidR="00C72C74">
        <w:rPr>
          <w:rFonts w:eastAsiaTheme="minorHAnsi"/>
        </w:rPr>
        <w:t xml:space="preserve"> </w:t>
      </w:r>
      <w:r w:rsidR="00B12F08">
        <w:rPr>
          <w:rFonts w:eastAsiaTheme="minorHAnsi"/>
        </w:rPr>
        <w:t>hour</w:t>
      </w:r>
      <w:r w:rsidR="00B12F08">
        <w:rPr>
          <w:rFonts w:eastAsiaTheme="minorHAnsi"/>
        </w:rPr>
        <w:t xml:space="preserve"> (i.e., 30 minutes)</w:t>
      </w:r>
      <w:r w:rsidR="0058286C">
        <w:rPr>
          <w:rFonts w:eastAsiaTheme="minorHAnsi"/>
        </w:rPr>
        <w:t xml:space="preserve">; however, the actual burden may </w:t>
      </w:r>
      <w:r w:rsidR="00CC6C53">
        <w:rPr>
          <w:rFonts w:eastAsiaTheme="minorHAnsi"/>
        </w:rPr>
        <w:t xml:space="preserve">be </w:t>
      </w:r>
      <w:r w:rsidR="00843AC1">
        <w:rPr>
          <w:rFonts w:eastAsiaTheme="minorHAnsi"/>
        </w:rPr>
        <w:t>more or less than one-</w:t>
      </w:r>
      <w:r w:rsidR="00B12F08">
        <w:rPr>
          <w:rFonts w:eastAsiaTheme="minorHAnsi"/>
        </w:rPr>
        <w:t>half hour</w:t>
      </w:r>
      <w:r w:rsidR="0058286C">
        <w:rPr>
          <w:rFonts w:eastAsiaTheme="minorHAnsi"/>
        </w:rPr>
        <w:t xml:space="preserve">, depending on the </w:t>
      </w:r>
      <w:r w:rsidR="00A27E97">
        <w:rPr>
          <w:rFonts w:eastAsiaTheme="minorHAnsi"/>
        </w:rPr>
        <w:t xml:space="preserve">specific </w:t>
      </w:r>
      <w:r w:rsidR="0058286C">
        <w:rPr>
          <w:rFonts w:eastAsiaTheme="minorHAnsi"/>
        </w:rPr>
        <w:t>genIC</w:t>
      </w:r>
      <w:r w:rsidR="0058286C">
        <w:rPr>
          <w:rFonts w:eastAsiaTheme="minorHAnsi"/>
        </w:rPr>
        <w:t xml:space="preserve">. </w:t>
      </w:r>
      <w:r w:rsidR="00B11B4F">
        <w:rPr>
          <w:rFonts w:eastAsiaTheme="minorHAnsi"/>
        </w:rPr>
        <w:t>Th</w:t>
      </w:r>
      <w:r w:rsidR="00EE2B9A">
        <w:rPr>
          <w:rFonts w:eastAsiaTheme="minorHAnsi"/>
        </w:rPr>
        <w:t>is</w:t>
      </w:r>
      <w:r w:rsidR="00B11B4F">
        <w:rPr>
          <w:rFonts w:eastAsiaTheme="minorHAnsi"/>
        </w:rPr>
        <w:t xml:space="preserve"> estimate include</w:t>
      </w:r>
      <w:r w:rsidR="00EE2B9A">
        <w:rPr>
          <w:rFonts w:eastAsiaTheme="minorHAnsi"/>
        </w:rPr>
        <w:t>s</w:t>
      </w:r>
      <w:r w:rsidR="00B11B4F">
        <w:rPr>
          <w:rFonts w:eastAsiaTheme="minorHAnsi"/>
        </w:rPr>
        <w:t xml:space="preserve"> time for reviewing instructions, searching existing data or information sources, gathering and maintaining the information needed, and completing and reviewing the collection of information. </w:t>
      </w:r>
      <w:r>
        <w:rPr>
          <w:rFonts w:eastAsia="Arial Unicode MS"/>
          <w:color w:val="000000"/>
          <w:u w:color="000000"/>
        </w:rPr>
        <w:t xml:space="preserve">The actual number of respondents in each information collection </w:t>
      </w:r>
      <w:r w:rsidR="009B0190">
        <w:rPr>
          <w:rFonts w:eastAsia="Arial Unicode MS"/>
          <w:color w:val="000000"/>
          <w:u w:color="000000"/>
        </w:rPr>
        <w:t>will also vary</w:t>
      </w:r>
      <w:r>
        <w:rPr>
          <w:rFonts w:eastAsia="Arial Unicode MS"/>
          <w:color w:val="000000"/>
          <w:u w:color="000000"/>
        </w:rPr>
        <w:t xml:space="preserve"> depending on the purpose of each individual </w:t>
      </w:r>
      <w:r>
        <w:rPr>
          <w:rFonts w:eastAsia="Arial Unicode MS"/>
          <w:color w:val="000000"/>
          <w:u w:color="000000"/>
        </w:rPr>
        <w:t>genIC</w:t>
      </w:r>
      <w:r>
        <w:rPr>
          <w:rFonts w:eastAsia="Arial Unicode MS"/>
          <w:color w:val="000000"/>
          <w:u w:color="000000"/>
        </w:rPr>
        <w:t>.</w:t>
      </w:r>
    </w:p>
    <w:p w:rsidR="00C91BF3" w:rsidP="00F73654" w14:paraId="2714566C" w14:textId="77777777">
      <w:pPr>
        <w:rPr>
          <w:rFonts w:eastAsiaTheme="minorHAnsi"/>
        </w:rPr>
      </w:pPr>
    </w:p>
    <w:p w:rsidR="00A555C8" w:rsidRPr="00DA3ED4" w:rsidP="00F73654" w14:paraId="5244376A" w14:textId="77777777">
      <w:pPr>
        <w:keepNext/>
        <w:rPr>
          <w:rFonts w:eastAsiaTheme="minorHAnsi"/>
          <w:b/>
        </w:rPr>
      </w:pPr>
      <w:r w:rsidRPr="00DA3ED4">
        <w:rPr>
          <w:rFonts w:eastAsiaTheme="minorHAnsi"/>
          <w:b/>
        </w:rPr>
        <w:t>Table A.12</w:t>
      </w:r>
      <w:r w:rsidRPr="00DA3ED4" w:rsidR="00DA22D0">
        <w:rPr>
          <w:rFonts w:eastAsiaTheme="minorHAnsi"/>
          <w:b/>
        </w:rPr>
        <w:t>-A.</w:t>
      </w:r>
      <w:r w:rsidRPr="00DA3ED4">
        <w:rPr>
          <w:rFonts w:eastAsiaTheme="minorHAnsi"/>
          <w:b/>
        </w:rPr>
        <w:t xml:space="preserve"> Estimated Annualized Burden </w:t>
      </w:r>
      <w:r w:rsidRPr="00DA3ED4" w:rsidR="00A4392C">
        <w:rPr>
          <w:rFonts w:eastAsiaTheme="minorHAnsi"/>
          <w:b/>
        </w:rPr>
        <w:t>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19"/>
        <w:gridCol w:w="1836"/>
        <w:gridCol w:w="1530"/>
        <w:gridCol w:w="1350"/>
        <w:gridCol w:w="1350"/>
        <w:gridCol w:w="1165"/>
      </w:tblGrid>
      <w:tr w14:paraId="782CB208" w14:textId="77777777" w:rsidTr="00D75E6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1012"/>
        </w:trPr>
        <w:tc>
          <w:tcPr>
            <w:tcW w:w="2119" w:type="dxa"/>
          </w:tcPr>
          <w:p w:rsidR="00A4392C" w:rsidRPr="00D75E69" w:rsidP="00F73654" w14:paraId="1E0EB09B" w14:textId="77777777">
            <w:pPr>
              <w:jc w:val="center"/>
              <w:rPr>
                <w:b/>
                <w:sz w:val="22"/>
                <w:szCs w:val="22"/>
              </w:rPr>
            </w:pPr>
            <w:r w:rsidRPr="00D75E69">
              <w:rPr>
                <w:b/>
                <w:sz w:val="22"/>
                <w:szCs w:val="22"/>
              </w:rPr>
              <w:t>Type of Respondent</w:t>
            </w:r>
          </w:p>
        </w:tc>
        <w:tc>
          <w:tcPr>
            <w:tcW w:w="1836" w:type="dxa"/>
          </w:tcPr>
          <w:p w:rsidR="00A4392C" w:rsidRPr="00D75E69" w:rsidP="00F73654" w14:paraId="3499EEA5" w14:textId="77777777">
            <w:pPr>
              <w:rPr>
                <w:b/>
                <w:sz w:val="22"/>
                <w:szCs w:val="22"/>
              </w:rPr>
            </w:pPr>
            <w:r w:rsidRPr="00D75E69">
              <w:rPr>
                <w:b/>
                <w:sz w:val="22"/>
                <w:szCs w:val="22"/>
              </w:rPr>
              <w:t>Form Name</w:t>
            </w:r>
          </w:p>
        </w:tc>
        <w:tc>
          <w:tcPr>
            <w:tcW w:w="1530" w:type="dxa"/>
          </w:tcPr>
          <w:p w:rsidR="00A4392C" w:rsidRPr="00D75E69" w:rsidP="00F73654" w14:paraId="1064FC99" w14:textId="77777777">
            <w:pPr>
              <w:rPr>
                <w:b/>
                <w:sz w:val="22"/>
                <w:szCs w:val="22"/>
              </w:rPr>
            </w:pPr>
            <w:r w:rsidRPr="00D75E69">
              <w:rPr>
                <w:b/>
                <w:sz w:val="22"/>
                <w:szCs w:val="22"/>
              </w:rPr>
              <w:t>No.</w:t>
            </w:r>
            <w:r w:rsidRPr="00D75E69">
              <w:rPr>
                <w:b/>
                <w:sz w:val="22"/>
                <w:szCs w:val="22"/>
              </w:rPr>
              <w:t xml:space="preserve"> of </w:t>
            </w:r>
            <w:r w:rsidRPr="00D75E69" w:rsidR="0058286C">
              <w:rPr>
                <w:b/>
                <w:sz w:val="22"/>
                <w:szCs w:val="22"/>
              </w:rPr>
              <w:t>R</w:t>
            </w:r>
            <w:r w:rsidRPr="00D75E69">
              <w:rPr>
                <w:b/>
                <w:sz w:val="22"/>
                <w:szCs w:val="22"/>
              </w:rPr>
              <w:t>espondents</w:t>
            </w:r>
          </w:p>
        </w:tc>
        <w:tc>
          <w:tcPr>
            <w:tcW w:w="1350" w:type="dxa"/>
          </w:tcPr>
          <w:p w:rsidR="00A4392C" w:rsidRPr="00D75E69" w:rsidP="00F73654" w14:paraId="0D3B2618" w14:textId="77777777">
            <w:pPr>
              <w:rPr>
                <w:b/>
                <w:sz w:val="22"/>
                <w:szCs w:val="22"/>
              </w:rPr>
            </w:pPr>
            <w:r w:rsidRPr="00D75E69">
              <w:rPr>
                <w:b/>
                <w:sz w:val="22"/>
                <w:szCs w:val="22"/>
              </w:rPr>
              <w:t xml:space="preserve">No. of </w:t>
            </w:r>
            <w:r w:rsidRPr="00D75E69" w:rsidR="0044593B">
              <w:rPr>
                <w:b/>
                <w:sz w:val="22"/>
                <w:szCs w:val="22"/>
              </w:rPr>
              <w:t>Responses</w:t>
            </w:r>
            <w:r w:rsidRPr="00D75E69">
              <w:rPr>
                <w:b/>
                <w:sz w:val="22"/>
                <w:szCs w:val="22"/>
              </w:rPr>
              <w:t xml:space="preserve"> per Respondent </w:t>
            </w:r>
          </w:p>
        </w:tc>
        <w:tc>
          <w:tcPr>
            <w:tcW w:w="1350" w:type="dxa"/>
          </w:tcPr>
          <w:p w:rsidR="00A4392C" w:rsidRPr="00D75E69" w:rsidP="00F73654" w14:paraId="31311626" w14:textId="77777777">
            <w:pPr>
              <w:rPr>
                <w:b/>
                <w:sz w:val="22"/>
                <w:szCs w:val="22"/>
              </w:rPr>
            </w:pPr>
            <w:r w:rsidRPr="00D75E69">
              <w:rPr>
                <w:b/>
                <w:sz w:val="22"/>
                <w:szCs w:val="22"/>
              </w:rPr>
              <w:t>Average Burden per Respondent (in hours)</w:t>
            </w:r>
          </w:p>
        </w:tc>
        <w:tc>
          <w:tcPr>
            <w:tcW w:w="1165" w:type="dxa"/>
          </w:tcPr>
          <w:p w:rsidR="00A4392C" w:rsidRPr="00D75E69" w:rsidP="00F73654" w14:paraId="432B88D2" w14:textId="77777777">
            <w:pPr>
              <w:rPr>
                <w:b/>
                <w:sz w:val="22"/>
                <w:szCs w:val="22"/>
              </w:rPr>
            </w:pPr>
            <w:r w:rsidRPr="00D75E69">
              <w:rPr>
                <w:b/>
                <w:sz w:val="22"/>
                <w:szCs w:val="22"/>
              </w:rPr>
              <w:t>Total Burden Hours (</w:t>
            </w:r>
            <w:r w:rsidR="002842F0">
              <w:rPr>
                <w:b/>
                <w:sz w:val="22"/>
                <w:szCs w:val="22"/>
              </w:rPr>
              <w:t>a</w:t>
            </w:r>
            <w:r w:rsidRPr="00D75E69">
              <w:rPr>
                <w:b/>
                <w:sz w:val="22"/>
                <w:szCs w:val="22"/>
              </w:rPr>
              <w:t>nnual)</w:t>
            </w:r>
          </w:p>
        </w:tc>
      </w:tr>
      <w:tr w14:paraId="42BB333B" w14:textId="77777777" w:rsidTr="00D75E69">
        <w:tblPrEx>
          <w:tblW w:w="0" w:type="auto"/>
          <w:tblLayout w:type="fixed"/>
          <w:tblLook w:val="01E0"/>
        </w:tblPrEx>
        <w:trPr>
          <w:trHeight w:val="1012"/>
        </w:trPr>
        <w:tc>
          <w:tcPr>
            <w:tcW w:w="2119" w:type="dxa"/>
          </w:tcPr>
          <w:p w:rsidR="00EE2B9A" w:rsidRPr="00D02A75" w:rsidP="00F73654" w14:paraId="65B6E3A0" w14:textId="77777777">
            <w:pPr>
              <w:rPr>
                <w:highlight w:val="yellow"/>
              </w:rPr>
            </w:pPr>
            <w:r>
              <w:t>Applicant or fellow</w:t>
            </w:r>
          </w:p>
        </w:tc>
        <w:tc>
          <w:tcPr>
            <w:tcW w:w="1836" w:type="dxa"/>
          </w:tcPr>
          <w:p w:rsidR="00EE2B9A" w:rsidRPr="00CA7079" w:rsidP="00F73654" w14:paraId="344761BE" w14:textId="77777777">
            <w:r>
              <w:t>Fellowship Data Collection Instrument</w:t>
            </w:r>
          </w:p>
        </w:tc>
        <w:tc>
          <w:tcPr>
            <w:tcW w:w="1530" w:type="dxa"/>
            <w:vAlign w:val="center"/>
          </w:tcPr>
          <w:p w:rsidR="00EE2B9A" w:rsidRPr="00CA7079" w:rsidP="00F73654" w14:paraId="317D9017" w14:textId="2E2BDB34">
            <w:r>
              <w:rPr>
                <w:color w:val="000000"/>
              </w:rPr>
              <w:t>750</w:t>
            </w:r>
          </w:p>
        </w:tc>
        <w:tc>
          <w:tcPr>
            <w:tcW w:w="1350" w:type="dxa"/>
            <w:vAlign w:val="center"/>
          </w:tcPr>
          <w:p w:rsidR="00EE2B9A" w:rsidRPr="00CA7079" w:rsidP="00F73654" w14:paraId="390D8292" w14:textId="77777777">
            <w:r>
              <w:rPr>
                <w:color w:val="000000"/>
              </w:rPr>
              <w:t>1</w:t>
            </w:r>
          </w:p>
        </w:tc>
        <w:tc>
          <w:tcPr>
            <w:tcW w:w="1350" w:type="dxa"/>
            <w:vAlign w:val="center"/>
          </w:tcPr>
          <w:p w:rsidR="00EE2B9A" w:rsidRPr="00CA7079" w:rsidP="00F73654" w14:paraId="5656E810" w14:textId="77777777">
            <w:r>
              <w:rPr>
                <w:color w:val="000000"/>
              </w:rPr>
              <w:t>30/60</w:t>
            </w:r>
          </w:p>
        </w:tc>
        <w:tc>
          <w:tcPr>
            <w:tcW w:w="1165" w:type="dxa"/>
            <w:vAlign w:val="center"/>
          </w:tcPr>
          <w:p w:rsidR="00EE2B9A" w:rsidRPr="00CA7079" w:rsidP="00F73654" w14:paraId="5F11A386" w14:textId="267BE2A4">
            <w:pPr>
              <w:rPr>
                <w:color w:val="000000"/>
              </w:rPr>
            </w:pPr>
            <w:r>
              <w:rPr>
                <w:color w:val="000000"/>
              </w:rPr>
              <w:t>375</w:t>
            </w:r>
          </w:p>
        </w:tc>
      </w:tr>
      <w:tr w14:paraId="4B92E93E" w14:textId="77777777" w:rsidTr="00D75E69">
        <w:tblPrEx>
          <w:tblW w:w="0" w:type="auto"/>
          <w:tblLayout w:type="fixed"/>
          <w:tblLook w:val="01E0"/>
        </w:tblPrEx>
        <w:trPr>
          <w:trHeight w:val="1012"/>
        </w:trPr>
        <w:tc>
          <w:tcPr>
            <w:tcW w:w="2119" w:type="dxa"/>
          </w:tcPr>
          <w:p w:rsidR="00EE2B9A" w:rsidRPr="00D02A75" w:rsidP="00F73654" w14:paraId="22A93953" w14:textId="77777777">
            <w:pPr>
              <w:rPr>
                <w:highlight w:val="yellow"/>
              </w:rPr>
            </w:pPr>
            <w:r>
              <w:t>Mentor, supervisor, or employer</w:t>
            </w:r>
          </w:p>
        </w:tc>
        <w:tc>
          <w:tcPr>
            <w:tcW w:w="1836" w:type="dxa"/>
          </w:tcPr>
          <w:p w:rsidR="00EE2B9A" w:rsidRPr="00CA7079" w:rsidP="00F73654" w14:paraId="5108E54A" w14:textId="77777777">
            <w:r w:rsidRPr="00FD2506">
              <w:t>Fellowship Data Collection Instrument</w:t>
            </w:r>
          </w:p>
        </w:tc>
        <w:tc>
          <w:tcPr>
            <w:tcW w:w="1530" w:type="dxa"/>
            <w:vAlign w:val="center"/>
          </w:tcPr>
          <w:p w:rsidR="00EE2B9A" w:rsidRPr="00F2760A" w:rsidP="00F73654" w14:paraId="5D51344D" w14:textId="036BA039">
            <w:r>
              <w:rPr>
                <w:color w:val="000000"/>
              </w:rPr>
              <w:t>100</w:t>
            </w:r>
          </w:p>
        </w:tc>
        <w:tc>
          <w:tcPr>
            <w:tcW w:w="1350" w:type="dxa"/>
            <w:vAlign w:val="center"/>
          </w:tcPr>
          <w:p w:rsidR="00EE2B9A" w:rsidRPr="00F2760A" w:rsidP="00F73654" w14:paraId="0F5067CF" w14:textId="77777777">
            <w:r w:rsidRPr="00F2760A">
              <w:rPr>
                <w:color w:val="000000"/>
              </w:rPr>
              <w:t>1</w:t>
            </w:r>
          </w:p>
        </w:tc>
        <w:tc>
          <w:tcPr>
            <w:tcW w:w="1350" w:type="dxa"/>
            <w:vAlign w:val="center"/>
          </w:tcPr>
          <w:p w:rsidR="00EE2B9A" w:rsidRPr="00F2760A" w:rsidP="00F73654" w14:paraId="1AAB3104" w14:textId="77777777">
            <w:r w:rsidRPr="00F2760A">
              <w:rPr>
                <w:color w:val="000000"/>
              </w:rPr>
              <w:t>30/60</w:t>
            </w:r>
          </w:p>
        </w:tc>
        <w:tc>
          <w:tcPr>
            <w:tcW w:w="1165" w:type="dxa"/>
            <w:vAlign w:val="center"/>
          </w:tcPr>
          <w:p w:rsidR="00EE2B9A" w:rsidRPr="00F2760A" w:rsidP="00F73654" w14:paraId="34841E80" w14:textId="3D697B26">
            <w:r>
              <w:rPr>
                <w:color w:val="000000"/>
              </w:rPr>
              <w:t>50</w:t>
            </w:r>
          </w:p>
        </w:tc>
      </w:tr>
      <w:tr w14:paraId="0EE0A4C6" w14:textId="77777777" w:rsidTr="00D75E69">
        <w:tblPrEx>
          <w:tblW w:w="0" w:type="auto"/>
          <w:tblLayout w:type="fixed"/>
          <w:tblLook w:val="01E0"/>
        </w:tblPrEx>
        <w:trPr>
          <w:trHeight w:val="1012"/>
        </w:trPr>
        <w:tc>
          <w:tcPr>
            <w:tcW w:w="2119" w:type="dxa"/>
          </w:tcPr>
          <w:p w:rsidR="00EE2B9A" w:rsidP="00F73654" w14:paraId="5E0ADA12" w14:textId="77777777">
            <w:r>
              <w:t>Alumni</w:t>
            </w:r>
          </w:p>
        </w:tc>
        <w:tc>
          <w:tcPr>
            <w:tcW w:w="1836" w:type="dxa"/>
          </w:tcPr>
          <w:p w:rsidR="00EE2B9A" w:rsidRPr="00CA7079" w:rsidP="00F73654" w14:paraId="615CC99E" w14:textId="77777777">
            <w:r w:rsidRPr="00FD2506">
              <w:t>Fellowship Data Collection Instrument</w:t>
            </w:r>
          </w:p>
        </w:tc>
        <w:tc>
          <w:tcPr>
            <w:tcW w:w="1530" w:type="dxa"/>
            <w:vAlign w:val="center"/>
          </w:tcPr>
          <w:p w:rsidR="00EE2B9A" w:rsidRPr="00F2760A" w:rsidP="00F73654" w14:paraId="3FAF8D83" w14:textId="0F953257">
            <w:r>
              <w:rPr>
                <w:color w:val="000000"/>
              </w:rPr>
              <w:t>375</w:t>
            </w:r>
          </w:p>
        </w:tc>
        <w:tc>
          <w:tcPr>
            <w:tcW w:w="1350" w:type="dxa"/>
            <w:vAlign w:val="center"/>
          </w:tcPr>
          <w:p w:rsidR="00EE2B9A" w:rsidRPr="00F2760A" w:rsidP="00F73654" w14:paraId="4CD4AFA2" w14:textId="77777777">
            <w:r w:rsidRPr="00F2760A">
              <w:rPr>
                <w:color w:val="000000"/>
              </w:rPr>
              <w:t>1</w:t>
            </w:r>
          </w:p>
        </w:tc>
        <w:tc>
          <w:tcPr>
            <w:tcW w:w="1350" w:type="dxa"/>
            <w:vAlign w:val="center"/>
          </w:tcPr>
          <w:p w:rsidR="00EE2B9A" w:rsidRPr="00F2760A" w:rsidP="00F73654" w14:paraId="1662B9EA" w14:textId="3855EC59">
            <w:r>
              <w:rPr>
                <w:color w:val="000000"/>
              </w:rPr>
              <w:t>2</w:t>
            </w:r>
            <w:r w:rsidRPr="00F2760A">
              <w:rPr>
                <w:color w:val="000000"/>
              </w:rPr>
              <w:t>0/60</w:t>
            </w:r>
          </w:p>
        </w:tc>
        <w:tc>
          <w:tcPr>
            <w:tcW w:w="1165" w:type="dxa"/>
            <w:vAlign w:val="center"/>
          </w:tcPr>
          <w:p w:rsidR="00EE2B9A" w:rsidRPr="00F2760A" w:rsidP="00F73654" w14:paraId="6482F43D" w14:textId="62CB7EA8">
            <w:r>
              <w:rPr>
                <w:color w:val="000000"/>
              </w:rPr>
              <w:t>125</w:t>
            </w:r>
          </w:p>
        </w:tc>
      </w:tr>
      <w:tr w14:paraId="3D9F7590" w14:textId="77777777" w:rsidTr="00D75E69">
        <w:tblPrEx>
          <w:tblW w:w="0" w:type="auto"/>
          <w:tblLayout w:type="fixed"/>
          <w:tblLook w:val="01E0"/>
        </w:tblPrEx>
        <w:trPr>
          <w:trHeight w:val="467"/>
        </w:trPr>
        <w:tc>
          <w:tcPr>
            <w:tcW w:w="2119" w:type="dxa"/>
          </w:tcPr>
          <w:p w:rsidR="00EE2B9A" w:rsidRPr="00293237" w:rsidP="00F73654" w14:paraId="5B1E06E3" w14:textId="77777777">
            <w:pPr>
              <w:rPr>
                <w:b/>
              </w:rPr>
            </w:pPr>
            <w:r w:rsidRPr="00293237">
              <w:rPr>
                <w:b/>
              </w:rPr>
              <w:t>Total</w:t>
            </w:r>
          </w:p>
        </w:tc>
        <w:tc>
          <w:tcPr>
            <w:tcW w:w="1836" w:type="dxa"/>
          </w:tcPr>
          <w:p w:rsidR="00EE2B9A" w:rsidRPr="00CA7079" w:rsidP="00F73654" w14:paraId="29FB0CD4" w14:textId="77777777">
            <w:pPr>
              <w:jc w:val="center"/>
            </w:pPr>
          </w:p>
        </w:tc>
        <w:tc>
          <w:tcPr>
            <w:tcW w:w="1530" w:type="dxa"/>
            <w:vAlign w:val="center"/>
          </w:tcPr>
          <w:p w:rsidR="00EE2B9A" w:rsidRPr="00F2760A" w:rsidP="00F73654" w14:paraId="1F27FD1B" w14:textId="1C2320E4">
            <w:pPr>
              <w:jc w:val="center"/>
            </w:pPr>
            <w:r>
              <w:rPr>
                <w:color w:val="000000"/>
              </w:rPr>
              <w:t>1225</w:t>
            </w:r>
            <w:r w:rsidRPr="00F2760A">
              <w:rPr>
                <w:color w:val="000000"/>
              </w:rPr>
              <w:t> </w:t>
            </w:r>
          </w:p>
        </w:tc>
        <w:tc>
          <w:tcPr>
            <w:tcW w:w="1350" w:type="dxa"/>
            <w:vAlign w:val="center"/>
          </w:tcPr>
          <w:p w:rsidR="00EE2B9A" w:rsidRPr="00F2760A" w:rsidP="00F73654" w14:paraId="5C25B159" w14:textId="77777777">
            <w:pPr>
              <w:jc w:val="center"/>
            </w:pPr>
            <w:r w:rsidRPr="00F2760A">
              <w:rPr>
                <w:color w:val="000000"/>
              </w:rPr>
              <w:t> </w:t>
            </w:r>
          </w:p>
        </w:tc>
        <w:tc>
          <w:tcPr>
            <w:tcW w:w="1350" w:type="dxa"/>
            <w:vAlign w:val="center"/>
          </w:tcPr>
          <w:p w:rsidR="00EE2B9A" w:rsidRPr="00F2760A" w:rsidP="00F73654" w14:paraId="2D119A8B" w14:textId="77777777">
            <w:pPr>
              <w:jc w:val="center"/>
            </w:pPr>
            <w:r w:rsidRPr="00F2760A">
              <w:rPr>
                <w:color w:val="000000"/>
              </w:rPr>
              <w:t> </w:t>
            </w:r>
          </w:p>
        </w:tc>
        <w:tc>
          <w:tcPr>
            <w:tcW w:w="1165" w:type="dxa"/>
            <w:vAlign w:val="center"/>
          </w:tcPr>
          <w:p w:rsidR="00EE2B9A" w:rsidRPr="00EE2B9A" w:rsidP="00F73654" w14:paraId="17629FF7" w14:textId="417912C3">
            <w:pPr>
              <w:rPr>
                <w:b/>
                <w:color w:val="000000"/>
              </w:rPr>
            </w:pPr>
            <w:r>
              <w:rPr>
                <w:b/>
                <w:color w:val="000000"/>
              </w:rPr>
              <w:t>550</w:t>
            </w:r>
          </w:p>
        </w:tc>
      </w:tr>
    </w:tbl>
    <w:p w:rsidR="00A555C8" w:rsidP="00F73654" w14:paraId="296DDCF2" w14:textId="77777777">
      <w:pPr>
        <w:rPr>
          <w:color w:val="000000"/>
        </w:rPr>
      </w:pPr>
    </w:p>
    <w:p w:rsidR="008334EC" w:rsidP="00F73654" w14:paraId="76C1FC43" w14:textId="77777777">
      <w:r>
        <w:t xml:space="preserve">Table </w:t>
      </w:r>
      <w:r w:rsidR="00714191">
        <w:t xml:space="preserve">A.12-B </w:t>
      </w:r>
      <w:r w:rsidR="000E3EED">
        <w:t>provides</w:t>
      </w:r>
      <w:r w:rsidR="00714191">
        <w:t xml:space="preserve"> estimates for the annualized burden costs to respondents</w:t>
      </w:r>
      <w:r>
        <w:t xml:space="preserve"> and an explanation for each respondent type follows.</w:t>
      </w:r>
    </w:p>
    <w:p w:rsidR="008334EC" w:rsidP="00F73654" w14:paraId="0AF79A11" w14:textId="45826363">
      <w:pPr>
        <w:pStyle w:val="ListParagraph"/>
        <w:numPr>
          <w:ilvl w:val="0"/>
          <w:numId w:val="27"/>
        </w:numPr>
      </w:pPr>
      <w:r>
        <w:rPr>
          <w:b/>
        </w:rPr>
        <w:t xml:space="preserve">For fellowship applicants </w:t>
      </w:r>
      <w:r w:rsidR="00C91557">
        <w:rPr>
          <w:b/>
        </w:rPr>
        <w:t>or</w:t>
      </w:r>
      <w:r>
        <w:rPr>
          <w:b/>
        </w:rPr>
        <w:t xml:space="preserve"> </w:t>
      </w:r>
      <w:r w:rsidR="008B0829">
        <w:rPr>
          <w:b/>
        </w:rPr>
        <w:t>fellows</w:t>
      </w:r>
      <w:r w:rsidR="000B59BD">
        <w:t xml:space="preserve">, </w:t>
      </w:r>
      <w:r w:rsidR="008B0829">
        <w:t xml:space="preserve">the </w:t>
      </w:r>
      <w:r w:rsidRPr="005C4FD7" w:rsidR="000B59BD">
        <w:t xml:space="preserve">estimate of annualized cost burden was </w:t>
      </w:r>
      <w:r w:rsidR="00923A28">
        <w:t>informed by</w:t>
      </w:r>
      <w:r w:rsidR="00D16EA7">
        <w:t xml:space="preserve"> previous approval periods’</w:t>
      </w:r>
      <w:r w:rsidR="00923A28">
        <w:t xml:space="preserve"> usage</w:t>
      </w:r>
      <w:r w:rsidR="00996625">
        <w:t>,</w:t>
      </w:r>
      <w:r w:rsidR="00923A28">
        <w:t xml:space="preserve"> along with </w:t>
      </w:r>
      <w:r w:rsidR="00996625">
        <w:t>BLS and OPM pay scale data for wages</w:t>
      </w:r>
      <w:r w:rsidR="000B59BD">
        <w:t>.</w:t>
      </w:r>
    </w:p>
    <w:p w:rsidR="008334EC" w:rsidP="00F73654" w14:paraId="57DE3E3D" w14:textId="3097C7AE">
      <w:pPr>
        <w:pStyle w:val="ListParagraph"/>
        <w:numPr>
          <w:ilvl w:val="0"/>
          <w:numId w:val="27"/>
        </w:numPr>
      </w:pPr>
      <w:r>
        <w:rPr>
          <w:b/>
        </w:rPr>
        <w:t xml:space="preserve">Alumni, mentors, supervisors, and employers </w:t>
      </w:r>
      <w:r w:rsidRPr="00F82630" w:rsidR="002B3D4F">
        <w:rPr>
          <w:bCs/>
        </w:rPr>
        <w:t>all</w:t>
      </w:r>
      <w:r w:rsidR="00BF76C6">
        <w:rPr>
          <w:bCs/>
        </w:rPr>
        <w:t xml:space="preserve"> fall</w:t>
      </w:r>
      <w:r w:rsidRPr="00F82630" w:rsidR="002B3D4F">
        <w:rPr>
          <w:bCs/>
        </w:rPr>
        <w:t xml:space="preserve"> under the same pay category</w:t>
      </w:r>
      <w:r w:rsidR="00ED589E">
        <w:t>. A</w:t>
      </w:r>
      <w:r w:rsidR="002B3D4F">
        <w:t>ppropriate wage estimates were identified</w:t>
      </w:r>
      <w:r w:rsidR="00FD39F8">
        <w:t xml:space="preserve"> </w:t>
      </w:r>
      <w:r w:rsidR="009733BB">
        <w:t>using BLS and OPM pay scale data</w:t>
      </w:r>
    </w:p>
    <w:p w:rsidR="00F73654" w:rsidP="00F73654" w14:paraId="0AC051A1" w14:textId="77777777"/>
    <w:p w:rsidR="000B59BD" w:rsidP="00F73654" w14:paraId="0F084DEE" w14:textId="34F4B49A">
      <w:r>
        <w:t>The total anticipated annual cost to participants for collections of information for all study type</w:t>
      </w:r>
      <w:r w:rsidR="00475D2E">
        <w:t>s</w:t>
      </w:r>
      <w:r w:rsidR="00B92EB8">
        <w:t xml:space="preserve"> is </w:t>
      </w:r>
      <w:r w:rsidRPr="00F2760A">
        <w:t>$</w:t>
      </w:r>
      <w:r w:rsidR="009733BB">
        <w:rPr>
          <w:color w:val="000000"/>
        </w:rPr>
        <w:t>28,43</w:t>
      </w:r>
      <w:r w:rsidR="00D92535">
        <w:rPr>
          <w:color w:val="000000"/>
        </w:rPr>
        <w:t>8</w:t>
      </w:r>
    </w:p>
    <w:p w:rsidR="000B59BD" w:rsidP="00F73654" w14:paraId="4CA25F07" w14:textId="77777777"/>
    <w:p w:rsidR="00F82630" w:rsidRPr="005C4FD7" w:rsidP="00F73654" w14:paraId="6F35B2C2" w14:textId="7A1A68BC">
      <w:r w:rsidRPr="005C4FD7">
        <w:t>The following source w</w:t>
      </w:r>
      <w:r w:rsidR="00047F0E">
        <w:t xml:space="preserve">as </w:t>
      </w:r>
      <w:r w:rsidRPr="005C4FD7">
        <w:t xml:space="preserve">used to determine </w:t>
      </w:r>
      <w:r>
        <w:t xml:space="preserve">average </w:t>
      </w:r>
      <w:r w:rsidRPr="005C4FD7">
        <w:t xml:space="preserve">salaries of </w:t>
      </w:r>
      <w:r w:rsidR="00990D84">
        <w:t>all respondent groups</w:t>
      </w:r>
      <w:r>
        <w:t>:</w:t>
      </w:r>
    </w:p>
    <w:p w:rsidR="00E65200" w:rsidP="00E65200" w14:paraId="466E94A1" w14:textId="0376774A">
      <w:pPr>
        <w:pStyle w:val="ListParagraph"/>
        <w:numPr>
          <w:ilvl w:val="0"/>
          <w:numId w:val="28"/>
        </w:numPr>
      </w:pPr>
      <w:r>
        <w:t xml:space="preserve">Salary Table GS, 2025 </w:t>
      </w:r>
      <w:hyperlink r:id="rId17" w:history="1">
        <w:r>
          <w:rPr>
            <w:rStyle w:val="Hyperlink"/>
          </w:rPr>
          <w:t>OPM GS Pay Scale 2025</w:t>
        </w:r>
      </w:hyperlink>
    </w:p>
    <w:p w:rsidR="00F379A8" w:rsidP="00F379A8" w14:paraId="0CA3BE0B" w14:textId="42CA7B53">
      <w:pPr>
        <w:pStyle w:val="ListParagraph"/>
        <w:numPr>
          <w:ilvl w:val="1"/>
          <w:numId w:val="28"/>
        </w:numPr>
      </w:pPr>
      <w:r>
        <w:t>GS 11 Step 5 used for Applicant/Fellow</w:t>
      </w:r>
    </w:p>
    <w:p w:rsidR="00256898" w:rsidP="00047F0E" w14:paraId="0DCBB542" w14:textId="63AEE5A5">
      <w:pPr>
        <w:pStyle w:val="ListParagraph"/>
        <w:numPr>
          <w:ilvl w:val="1"/>
          <w:numId w:val="28"/>
        </w:numPr>
      </w:pPr>
      <w:r>
        <w:t>GS 14 step 5 used for both Mentor/supervisor/employer and Alumni Categories</w:t>
      </w:r>
    </w:p>
    <w:p w:rsidR="00E65200" w:rsidP="00047F0E" w14:paraId="1B48C4EC" w14:textId="7D68FE7D">
      <w:pPr>
        <w:rPr>
          <w:rStyle w:val="Hyperlink"/>
        </w:rPr>
      </w:pPr>
    </w:p>
    <w:p w:rsidR="00DA3ED4" w:rsidP="00F73654" w14:paraId="23B2B47D" w14:textId="77777777">
      <w:pPr>
        <w:rPr>
          <w:color w:val="000000"/>
        </w:rPr>
      </w:pPr>
    </w:p>
    <w:p w:rsidR="00DA22D0" w:rsidRPr="00ED67EF" w:rsidP="00F73654" w14:paraId="19C2EB2A" w14:textId="77777777">
      <w:pPr>
        <w:keepNext/>
        <w:rPr>
          <w:rFonts w:eastAsiaTheme="minorHAnsi"/>
          <w:b/>
        </w:rPr>
      </w:pPr>
      <w:r w:rsidRPr="00ED67EF">
        <w:rPr>
          <w:rFonts w:eastAsiaTheme="minorHAnsi"/>
          <w:b/>
        </w:rPr>
        <w:t>Table A.12-B. Estimated Annualized Burden Costs to Respondents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2"/>
        <w:gridCol w:w="2027"/>
        <w:gridCol w:w="1829"/>
        <w:gridCol w:w="1851"/>
        <w:gridCol w:w="1431"/>
      </w:tblGrid>
      <w:tr w14:paraId="35644275" w14:textId="77777777" w:rsidTr="00C9155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28"/>
        </w:trPr>
        <w:tc>
          <w:tcPr>
            <w:tcW w:w="1183" w:type="pct"/>
          </w:tcPr>
          <w:p w:rsidR="00DA22D0" w:rsidRPr="00D75E69" w:rsidP="00F73654" w14:paraId="65C4763C" w14:textId="77777777">
            <w:pPr>
              <w:rPr>
                <w:b/>
              </w:rPr>
            </w:pPr>
            <w:r w:rsidRPr="00D75E69">
              <w:rPr>
                <w:b/>
              </w:rPr>
              <w:t>Type of Respondent</w:t>
            </w:r>
          </w:p>
        </w:tc>
        <w:tc>
          <w:tcPr>
            <w:tcW w:w="1084" w:type="pct"/>
          </w:tcPr>
          <w:p w:rsidR="00DA22D0" w:rsidRPr="00D75E69" w:rsidP="00F73654" w14:paraId="3CF8BCAE" w14:textId="77777777">
            <w:pPr>
              <w:rPr>
                <w:b/>
              </w:rPr>
            </w:pPr>
            <w:r w:rsidRPr="00D75E69">
              <w:rPr>
                <w:b/>
              </w:rPr>
              <w:t>Form Name</w:t>
            </w:r>
          </w:p>
        </w:tc>
        <w:tc>
          <w:tcPr>
            <w:tcW w:w="978" w:type="pct"/>
          </w:tcPr>
          <w:p w:rsidR="00DA22D0" w:rsidRPr="00D75E69" w:rsidP="00F73654" w14:paraId="2D6B33BB" w14:textId="77777777">
            <w:pPr>
              <w:rPr>
                <w:b/>
              </w:rPr>
            </w:pPr>
            <w:r w:rsidRPr="00D75E69">
              <w:rPr>
                <w:b/>
              </w:rPr>
              <w:t>Total</w:t>
            </w:r>
            <w:r w:rsidRPr="00D75E69">
              <w:rPr>
                <w:b/>
              </w:rPr>
              <w:t xml:space="preserve"> Burden Hours </w:t>
            </w:r>
            <w:r w:rsidRPr="00D75E69">
              <w:rPr>
                <w:b/>
              </w:rPr>
              <w:t>(</w:t>
            </w:r>
            <w:r w:rsidR="008F73E2">
              <w:rPr>
                <w:b/>
              </w:rPr>
              <w:t>a</w:t>
            </w:r>
            <w:r w:rsidRPr="00D75E69">
              <w:rPr>
                <w:b/>
              </w:rPr>
              <w:t>nnual)</w:t>
            </w:r>
          </w:p>
        </w:tc>
        <w:tc>
          <w:tcPr>
            <w:tcW w:w="990" w:type="pct"/>
          </w:tcPr>
          <w:p w:rsidR="00DA22D0" w:rsidRPr="00D75E69" w:rsidP="00F73654" w14:paraId="04AC6295" w14:textId="77777777">
            <w:pPr>
              <w:rPr>
                <w:b/>
              </w:rPr>
            </w:pPr>
            <w:r w:rsidRPr="00D75E69">
              <w:rPr>
                <w:b/>
              </w:rPr>
              <w:t>Hourly Wage Rate</w:t>
            </w:r>
          </w:p>
        </w:tc>
        <w:tc>
          <w:tcPr>
            <w:tcW w:w="765" w:type="pct"/>
          </w:tcPr>
          <w:p w:rsidR="00DA22D0" w:rsidRPr="00D75E69" w:rsidP="00F73654" w14:paraId="644E92D8" w14:textId="77777777">
            <w:pPr>
              <w:rPr>
                <w:b/>
              </w:rPr>
            </w:pPr>
            <w:r w:rsidRPr="00D75E69">
              <w:rPr>
                <w:b/>
              </w:rPr>
              <w:t>Total Respondent Cost</w:t>
            </w:r>
          </w:p>
        </w:tc>
      </w:tr>
      <w:tr w14:paraId="103F58BC" w14:textId="77777777" w:rsidTr="00CB10F6">
        <w:tblPrEx>
          <w:tblW w:w="5000" w:type="pct"/>
          <w:tblLook w:val="01E0"/>
        </w:tblPrEx>
        <w:trPr>
          <w:trHeight w:val="828"/>
        </w:trPr>
        <w:tc>
          <w:tcPr>
            <w:tcW w:w="1183" w:type="pct"/>
          </w:tcPr>
          <w:p w:rsidR="00CB10F6" w:rsidRPr="00F2760A" w:rsidP="00CB10F6" w14:paraId="6256621C" w14:textId="77777777">
            <w:r>
              <w:t>Applicant or fellow</w:t>
            </w:r>
          </w:p>
        </w:tc>
        <w:tc>
          <w:tcPr>
            <w:tcW w:w="1084" w:type="pct"/>
          </w:tcPr>
          <w:p w:rsidR="00CB10F6" w:rsidRPr="00F2760A" w:rsidP="00CB10F6" w14:paraId="26FEC3AF" w14:textId="77777777">
            <w:r w:rsidRPr="00F2760A">
              <w:t>Fellow</w:t>
            </w:r>
            <w:r>
              <w:t>ship Data Collection Instrument</w:t>
            </w:r>
          </w:p>
        </w:tc>
        <w:tc>
          <w:tcPr>
            <w:tcW w:w="978" w:type="pct"/>
            <w:vAlign w:val="center"/>
          </w:tcPr>
          <w:p w:rsidR="00CB10F6" w:rsidRPr="00F2760A" w:rsidP="00CB10F6" w14:paraId="16A5DF8D" w14:textId="6E879CF0">
            <w:r>
              <w:rPr>
                <w:color w:val="000000"/>
              </w:rPr>
              <w:t>375</w:t>
            </w:r>
          </w:p>
        </w:tc>
        <w:tc>
          <w:tcPr>
            <w:tcW w:w="990" w:type="pct"/>
            <w:vAlign w:val="center"/>
          </w:tcPr>
          <w:p w:rsidR="00CB10F6" w:rsidRPr="00F2760A" w:rsidP="00CB10F6" w14:paraId="747DE8EE" w14:textId="64B674F5">
            <w:r w:rsidRPr="00F2760A">
              <w:rPr>
                <w:color w:val="000000"/>
              </w:rPr>
              <w:t>$</w:t>
            </w:r>
            <w:r w:rsidR="00410570">
              <w:rPr>
                <w:color w:val="000000"/>
              </w:rPr>
              <w:t>42.46</w:t>
            </w:r>
            <w:r w:rsidRPr="00F2760A">
              <w:rPr>
                <w:color w:val="000000"/>
              </w:rPr>
              <w:t xml:space="preserve"> </w:t>
            </w:r>
          </w:p>
        </w:tc>
        <w:tc>
          <w:tcPr>
            <w:tcW w:w="765" w:type="pct"/>
          </w:tcPr>
          <w:p w:rsidR="007538BC" w:rsidP="00CB10F6" w14:paraId="1D5DE1F5" w14:textId="77777777"/>
          <w:p w:rsidR="00CB10F6" w:rsidRPr="0052151B" w:rsidP="00CB10F6" w14:paraId="35B23245" w14:textId="7B8B48DB">
            <w:r w:rsidRPr="0052151B">
              <w:t>$</w:t>
            </w:r>
            <w:r w:rsidR="002A73A6">
              <w:t>15,92</w:t>
            </w:r>
            <w:r w:rsidR="00ED3505">
              <w:t>3</w:t>
            </w:r>
          </w:p>
        </w:tc>
      </w:tr>
      <w:tr w14:paraId="5769A3AA" w14:textId="77777777" w:rsidTr="00CB10F6">
        <w:tblPrEx>
          <w:tblW w:w="5000" w:type="pct"/>
          <w:tblLook w:val="01E0"/>
        </w:tblPrEx>
        <w:trPr>
          <w:trHeight w:val="828"/>
        </w:trPr>
        <w:tc>
          <w:tcPr>
            <w:tcW w:w="1183" w:type="pct"/>
          </w:tcPr>
          <w:p w:rsidR="00CB10F6" w:rsidRPr="00F2760A" w:rsidP="00CB10F6" w14:paraId="693BEBB4" w14:textId="77777777">
            <w:pPr>
              <w:rPr>
                <w:color w:val="000000"/>
              </w:rPr>
            </w:pPr>
            <w:r>
              <w:t>Mentor, supervisor, or employer</w:t>
            </w:r>
          </w:p>
        </w:tc>
        <w:tc>
          <w:tcPr>
            <w:tcW w:w="1084" w:type="pct"/>
          </w:tcPr>
          <w:p w:rsidR="00CB10F6" w:rsidRPr="00F2760A" w:rsidP="00CB10F6" w14:paraId="3ACE3634" w14:textId="77777777">
            <w:pPr>
              <w:rPr>
                <w:color w:val="000000"/>
              </w:rPr>
            </w:pPr>
            <w:r w:rsidRPr="00F2760A">
              <w:t>Fellow</w:t>
            </w:r>
            <w:r>
              <w:t>ship Data Collection Instrument</w:t>
            </w:r>
          </w:p>
        </w:tc>
        <w:tc>
          <w:tcPr>
            <w:tcW w:w="978" w:type="pct"/>
            <w:vAlign w:val="center"/>
          </w:tcPr>
          <w:p w:rsidR="00CB10F6" w:rsidRPr="00F2760A" w:rsidP="00CB10F6" w14:paraId="14022C41" w14:textId="0A03D9FA">
            <w:pPr>
              <w:rPr>
                <w:color w:val="000000"/>
              </w:rPr>
            </w:pPr>
            <w:r>
              <w:rPr>
                <w:color w:val="000000"/>
              </w:rPr>
              <w:t>50</w:t>
            </w:r>
          </w:p>
        </w:tc>
        <w:tc>
          <w:tcPr>
            <w:tcW w:w="990" w:type="pct"/>
            <w:vAlign w:val="center"/>
          </w:tcPr>
          <w:p w:rsidR="00CB10F6" w:rsidRPr="00F2760A" w:rsidP="00CB10F6" w14:paraId="32687868" w14:textId="301EB0E7">
            <w:pPr>
              <w:rPr>
                <w:color w:val="000000"/>
              </w:rPr>
            </w:pPr>
            <w:r w:rsidRPr="00F2760A">
              <w:rPr>
                <w:color w:val="000000"/>
              </w:rPr>
              <w:t>$</w:t>
            </w:r>
            <w:r w:rsidR="00410570">
              <w:rPr>
                <w:color w:val="000000"/>
              </w:rPr>
              <w:t>71.51</w:t>
            </w:r>
          </w:p>
        </w:tc>
        <w:tc>
          <w:tcPr>
            <w:tcW w:w="765" w:type="pct"/>
          </w:tcPr>
          <w:p w:rsidR="007538BC" w:rsidP="00CB10F6" w14:paraId="6CDFE97F" w14:textId="77777777"/>
          <w:p w:rsidR="00CB10F6" w:rsidRPr="0052151B" w:rsidP="00CB10F6" w14:paraId="650DA46C" w14:textId="1211FA98">
            <w:r w:rsidRPr="0052151B">
              <w:t>$</w:t>
            </w:r>
            <w:r w:rsidR="002A73A6">
              <w:t>3,576</w:t>
            </w:r>
            <w:r w:rsidRPr="0052151B">
              <w:t xml:space="preserve"> </w:t>
            </w:r>
          </w:p>
        </w:tc>
      </w:tr>
      <w:tr w14:paraId="7EF65E32" w14:textId="77777777" w:rsidTr="00CB10F6">
        <w:tblPrEx>
          <w:tblW w:w="5000" w:type="pct"/>
          <w:tblLook w:val="01E0"/>
        </w:tblPrEx>
        <w:trPr>
          <w:trHeight w:val="828"/>
        </w:trPr>
        <w:tc>
          <w:tcPr>
            <w:tcW w:w="1183" w:type="pct"/>
          </w:tcPr>
          <w:p w:rsidR="00CB10F6" w:rsidRPr="00F2760A" w:rsidP="00CB10F6" w14:paraId="0AB8A832" w14:textId="77777777">
            <w:r>
              <w:t>Alumni</w:t>
            </w:r>
          </w:p>
        </w:tc>
        <w:tc>
          <w:tcPr>
            <w:tcW w:w="1084" w:type="pct"/>
          </w:tcPr>
          <w:p w:rsidR="00CB10F6" w:rsidRPr="00F2760A" w:rsidP="00CB10F6" w14:paraId="69194E2B" w14:textId="77777777">
            <w:r w:rsidRPr="00F2760A">
              <w:t>Fellow</w:t>
            </w:r>
            <w:r>
              <w:t>ship Data Collection Instrument</w:t>
            </w:r>
          </w:p>
        </w:tc>
        <w:tc>
          <w:tcPr>
            <w:tcW w:w="978" w:type="pct"/>
            <w:vAlign w:val="center"/>
          </w:tcPr>
          <w:p w:rsidR="00CB10F6" w:rsidRPr="00F2760A" w:rsidP="00CB10F6" w14:paraId="0AD8B6D1" w14:textId="4259D5EB">
            <w:r>
              <w:rPr>
                <w:color w:val="000000"/>
              </w:rPr>
              <w:t>125</w:t>
            </w:r>
          </w:p>
        </w:tc>
        <w:tc>
          <w:tcPr>
            <w:tcW w:w="990" w:type="pct"/>
            <w:vAlign w:val="center"/>
          </w:tcPr>
          <w:p w:rsidR="00CB10F6" w:rsidRPr="00F2760A" w:rsidP="00CB10F6" w14:paraId="36EA38AF" w14:textId="7FD87F8C">
            <w:r w:rsidRPr="00F2760A">
              <w:rPr>
                <w:color w:val="000000"/>
              </w:rPr>
              <w:t>$</w:t>
            </w:r>
            <w:r w:rsidR="00410570">
              <w:rPr>
                <w:color w:val="000000"/>
              </w:rPr>
              <w:t>71.51</w:t>
            </w:r>
          </w:p>
        </w:tc>
        <w:tc>
          <w:tcPr>
            <w:tcW w:w="765" w:type="pct"/>
          </w:tcPr>
          <w:p w:rsidR="007538BC" w:rsidP="00CB10F6" w14:paraId="528D535C" w14:textId="77777777"/>
          <w:p w:rsidR="00CB10F6" w:rsidRPr="0052151B" w:rsidP="00CB10F6" w14:paraId="12C3DCB2" w14:textId="38A55F21">
            <w:r w:rsidRPr="0052151B">
              <w:t>$</w:t>
            </w:r>
            <w:r w:rsidR="00AC426E">
              <w:t>8,939</w:t>
            </w:r>
          </w:p>
        </w:tc>
      </w:tr>
      <w:tr w14:paraId="539B745B" w14:textId="77777777" w:rsidTr="00CB10F6">
        <w:tblPrEx>
          <w:tblW w:w="5000" w:type="pct"/>
          <w:tblLook w:val="01E0"/>
        </w:tblPrEx>
        <w:trPr>
          <w:trHeight w:val="413"/>
        </w:trPr>
        <w:tc>
          <w:tcPr>
            <w:tcW w:w="1183" w:type="pct"/>
          </w:tcPr>
          <w:p w:rsidR="00CB10F6" w:rsidRPr="00F2760A" w:rsidP="00CB10F6" w14:paraId="4C889395" w14:textId="77777777">
            <w:pPr>
              <w:rPr>
                <w:b/>
              </w:rPr>
            </w:pPr>
            <w:r w:rsidRPr="00F2760A">
              <w:rPr>
                <w:b/>
              </w:rPr>
              <w:t>Total</w:t>
            </w:r>
          </w:p>
        </w:tc>
        <w:tc>
          <w:tcPr>
            <w:tcW w:w="1084" w:type="pct"/>
          </w:tcPr>
          <w:p w:rsidR="00CB10F6" w:rsidRPr="00F2760A" w:rsidP="00CB10F6" w14:paraId="2E9298DE" w14:textId="77777777">
            <w:pPr>
              <w:jc w:val="center"/>
            </w:pPr>
          </w:p>
        </w:tc>
        <w:tc>
          <w:tcPr>
            <w:tcW w:w="978" w:type="pct"/>
            <w:vAlign w:val="center"/>
          </w:tcPr>
          <w:p w:rsidR="00CB10F6" w:rsidRPr="00F2760A" w:rsidP="00CB10F6" w14:paraId="48FF390A" w14:textId="77777777">
            <w:r w:rsidRPr="00F2760A">
              <w:rPr>
                <w:color w:val="000000"/>
              </w:rPr>
              <w:t> </w:t>
            </w:r>
          </w:p>
        </w:tc>
        <w:tc>
          <w:tcPr>
            <w:tcW w:w="990" w:type="pct"/>
            <w:vAlign w:val="center"/>
          </w:tcPr>
          <w:p w:rsidR="00CB10F6" w:rsidRPr="00F2760A" w:rsidP="00CB10F6" w14:paraId="023C1DE9" w14:textId="77777777">
            <w:pPr>
              <w:rPr>
                <w:color w:val="000000"/>
              </w:rPr>
            </w:pPr>
            <w:r w:rsidRPr="00F2760A">
              <w:rPr>
                <w:color w:val="000000"/>
              </w:rPr>
              <w:t> </w:t>
            </w:r>
          </w:p>
        </w:tc>
        <w:tc>
          <w:tcPr>
            <w:tcW w:w="765" w:type="pct"/>
          </w:tcPr>
          <w:p w:rsidR="00CB10F6" w:rsidP="00CB10F6" w14:paraId="57542EFD" w14:textId="0C1AB032">
            <w:r w:rsidRPr="00CB10F6">
              <w:rPr>
                <w:b/>
              </w:rPr>
              <w:t>$</w:t>
            </w:r>
            <w:r w:rsidR="000A14F1">
              <w:rPr>
                <w:b/>
              </w:rPr>
              <w:t>28,43</w:t>
            </w:r>
            <w:r w:rsidR="001078AF">
              <w:rPr>
                <w:b/>
              </w:rPr>
              <w:t>8</w:t>
            </w:r>
          </w:p>
        </w:tc>
      </w:tr>
    </w:tbl>
    <w:p w:rsidR="00316A92" w:rsidP="00F73654" w14:paraId="0DCBACBD" w14:textId="77777777">
      <w:pPr>
        <w:rPr>
          <w:color w:val="000000"/>
        </w:rPr>
      </w:pPr>
    </w:p>
    <w:p w:rsidR="006C3ADC" w:rsidRPr="00E96FE7" w:rsidP="00F73654" w14:paraId="59AE94CB" w14:textId="77777777">
      <w:pPr>
        <w:pStyle w:val="Heading1"/>
      </w:pPr>
      <w:bookmarkStart w:id="30" w:name="_Toc68687809"/>
      <w:bookmarkStart w:id="31" w:name="_Toc299968007"/>
      <w:bookmarkStart w:id="32" w:name="_Toc452565364"/>
      <w:r>
        <w:t>A.13</w:t>
      </w:r>
      <w:r w:rsidR="00332BEE">
        <w:t>.</w:t>
      </w:r>
      <w:r w:rsidRPr="0092182A">
        <w:t xml:space="preserve"> Estimates of Other Total Annual Cost Burden to Respondents or Record Keepers</w:t>
      </w:r>
      <w:bookmarkEnd w:id="30"/>
      <w:bookmarkEnd w:id="31"/>
      <w:bookmarkEnd w:id="32"/>
    </w:p>
    <w:p w:rsidR="009F7549" w:rsidP="00F73654" w14:paraId="198F0A30" w14:textId="77777777">
      <w:bookmarkStart w:id="33" w:name="_Toc295817065"/>
      <w:bookmarkStart w:id="34" w:name="_Toc295817600"/>
      <w:bookmarkStart w:id="35" w:name="_Toc295818081"/>
      <w:bookmarkStart w:id="36" w:name="_Toc295819854"/>
      <w:r>
        <w:t>There are no other annual total cost burdens to</w:t>
      </w:r>
      <w:r w:rsidR="00843AC1">
        <w:t xml:space="preserve"> respondents or record keepers.</w:t>
      </w:r>
    </w:p>
    <w:bookmarkEnd w:id="33"/>
    <w:bookmarkEnd w:id="34"/>
    <w:bookmarkEnd w:id="35"/>
    <w:bookmarkEnd w:id="36"/>
    <w:p w:rsidR="008934CC" w:rsidP="00F73654" w14:paraId="1F869022" w14:textId="77777777">
      <w:pPr>
        <w:rPr>
          <w:color w:val="000000"/>
        </w:rPr>
      </w:pPr>
    </w:p>
    <w:p w:rsidR="006314F8" w:rsidP="00F73654" w14:paraId="085420C7" w14:textId="77777777">
      <w:pPr>
        <w:pStyle w:val="Heading1"/>
        <w:rPr>
          <w:rFonts w:eastAsiaTheme="minorHAnsi"/>
        </w:rPr>
      </w:pPr>
      <w:bookmarkStart w:id="37" w:name="_Toc68687810"/>
      <w:bookmarkStart w:id="38" w:name="_Toc299968008"/>
      <w:bookmarkStart w:id="39" w:name="OLE_LINK1"/>
      <w:bookmarkStart w:id="40" w:name="_Toc452565365"/>
      <w:r>
        <w:t>A.14</w:t>
      </w:r>
      <w:r w:rsidR="00332BEE">
        <w:t xml:space="preserve">. </w:t>
      </w:r>
      <w:r w:rsidRPr="0092182A" w:rsidR="006C3ADC">
        <w:t>Annualized Cost to the Government</w:t>
      </w:r>
      <w:bookmarkEnd w:id="37"/>
      <w:bookmarkEnd w:id="38"/>
      <w:bookmarkEnd w:id="39"/>
      <w:bookmarkEnd w:id="40"/>
    </w:p>
    <w:p w:rsidR="00E163DD" w:rsidP="00F73654" w14:paraId="1E7A1D28" w14:textId="0C88BA2B">
      <w:pPr>
        <w:rPr>
          <w:color w:val="000000"/>
        </w:rPr>
      </w:pPr>
      <w:r w:rsidRPr="00453F6C">
        <w:rPr>
          <w:color w:val="000000"/>
        </w:rPr>
        <w:t>The estima</w:t>
      </w:r>
      <w:r>
        <w:rPr>
          <w:color w:val="000000"/>
        </w:rPr>
        <w:t xml:space="preserve">ted average annual cost to the </w:t>
      </w:r>
      <w:r w:rsidR="008D6F80">
        <w:rPr>
          <w:color w:val="000000"/>
        </w:rPr>
        <w:t>F</w:t>
      </w:r>
      <w:r w:rsidRPr="00453F6C">
        <w:rPr>
          <w:color w:val="000000"/>
        </w:rPr>
        <w:t xml:space="preserve">ederal </w:t>
      </w:r>
      <w:r w:rsidR="008D6F80">
        <w:rPr>
          <w:color w:val="000000"/>
        </w:rPr>
        <w:t>G</w:t>
      </w:r>
      <w:r w:rsidRPr="00453F6C">
        <w:rPr>
          <w:color w:val="000000"/>
        </w:rPr>
        <w:t xml:space="preserve">overnment for the proposed </w:t>
      </w:r>
      <w:r w:rsidR="00625B84">
        <w:rPr>
          <w:color w:val="000000"/>
        </w:rPr>
        <w:t>data collection</w:t>
      </w:r>
      <w:r>
        <w:rPr>
          <w:color w:val="000000"/>
        </w:rPr>
        <w:t xml:space="preserve"> activities</w:t>
      </w:r>
      <w:r w:rsidRPr="00453F6C">
        <w:rPr>
          <w:color w:val="000000"/>
        </w:rPr>
        <w:t xml:space="preserve"> </w:t>
      </w:r>
      <w:r w:rsidRPr="00F2760A">
        <w:rPr>
          <w:color w:val="000000"/>
        </w:rPr>
        <w:t xml:space="preserve">is </w:t>
      </w:r>
      <w:r w:rsidRPr="004D2C14" w:rsidR="00D93E14">
        <w:t>$</w:t>
      </w:r>
      <w:r w:rsidR="00847F66">
        <w:t>7</w:t>
      </w:r>
      <w:r w:rsidR="00F7775C">
        <w:t>9</w:t>
      </w:r>
      <w:r w:rsidR="00847F66">
        <w:t>,</w:t>
      </w:r>
      <w:r w:rsidR="00F7775C">
        <w:t>833</w:t>
      </w:r>
      <w:r w:rsidR="0075317B">
        <w:t>.</w:t>
      </w:r>
      <w:r w:rsidRPr="004D2C14" w:rsidR="00D93E14">
        <w:t xml:space="preserve"> </w:t>
      </w:r>
      <w:r w:rsidRPr="00F2760A">
        <w:rPr>
          <w:color w:val="000000"/>
        </w:rPr>
        <w:t xml:space="preserve">This cost encompasses </w:t>
      </w:r>
      <w:r w:rsidRPr="00F2760A" w:rsidR="00215789">
        <w:rPr>
          <w:color w:val="000000"/>
        </w:rPr>
        <w:t>65 hours</w:t>
      </w:r>
      <w:r w:rsidRPr="00F2760A">
        <w:rPr>
          <w:color w:val="000000"/>
        </w:rPr>
        <w:t xml:space="preserve"> </w:t>
      </w:r>
      <w:r w:rsidRPr="00F2760A" w:rsidR="00215789">
        <w:rPr>
          <w:color w:val="000000"/>
        </w:rPr>
        <w:t>across</w:t>
      </w:r>
      <w:r w:rsidRPr="00F2760A" w:rsidR="00215789">
        <w:rPr>
          <w:color w:val="000000"/>
        </w:rPr>
        <w:t xml:space="preserve"> </w:t>
      </w:r>
      <w:r w:rsidRPr="00F2760A">
        <w:rPr>
          <w:color w:val="000000"/>
        </w:rPr>
        <w:t xml:space="preserve">two GS-13 employees and </w:t>
      </w:r>
      <w:r w:rsidRPr="00F2760A" w:rsidR="00215789">
        <w:rPr>
          <w:color w:val="000000"/>
        </w:rPr>
        <w:t>a contractor</w:t>
      </w:r>
      <w:r w:rsidR="0064361A">
        <w:rPr>
          <w:color w:val="000000"/>
        </w:rPr>
        <w:t xml:space="preserve"> equivalent</w:t>
      </w:r>
      <w:r w:rsidRPr="00F2760A">
        <w:rPr>
          <w:color w:val="000000"/>
        </w:rPr>
        <w:t xml:space="preserve">. The hourly rate was obtained from the Office of Personnel Management’s </w:t>
      </w:r>
      <w:hyperlink r:id="rId17" w:history="1">
        <w:r w:rsidRPr="008757A1" w:rsidR="008757A1">
          <w:rPr>
            <w:rStyle w:val="Hyperlink"/>
          </w:rPr>
          <w:t>2025 salary table</w:t>
        </w:r>
      </w:hyperlink>
      <w:r w:rsidR="008757A1">
        <w:rPr>
          <w:color w:val="000000"/>
        </w:rPr>
        <w:t>.</w:t>
      </w:r>
    </w:p>
    <w:p w:rsidR="009F7549" w:rsidP="00F73654" w14:paraId="07EEB3D3" w14:textId="77777777">
      <w:pPr>
        <w:autoSpaceDE w:val="0"/>
        <w:autoSpaceDN w:val="0"/>
        <w:adjustRightInd w:val="0"/>
        <w:rPr>
          <w:color w:val="000000"/>
        </w:rPr>
      </w:pPr>
    </w:p>
    <w:p w:rsidR="00415E18" w:rsidP="00F73654" w14:paraId="6B754EDC" w14:textId="5CBB7286">
      <w:pPr>
        <w:autoSpaceDE w:val="0"/>
        <w:autoSpaceDN w:val="0"/>
        <w:adjustRightInd w:val="0"/>
        <w:rPr>
          <w:color w:val="000000"/>
        </w:rPr>
      </w:pPr>
      <w:r>
        <w:rPr>
          <w:color w:val="000000"/>
        </w:rPr>
        <w:t>Designated s</w:t>
      </w:r>
      <w:r w:rsidR="008746E2">
        <w:rPr>
          <w:color w:val="000000"/>
        </w:rPr>
        <w:t>taff</w:t>
      </w:r>
      <w:r w:rsidR="00F4655A">
        <w:rPr>
          <w:color w:val="000000"/>
        </w:rPr>
        <w:t xml:space="preserve"> within </w:t>
      </w:r>
      <w:r w:rsidR="00E1664A">
        <w:rPr>
          <w:color w:val="000000"/>
        </w:rPr>
        <w:t xml:space="preserve">CDC </w:t>
      </w:r>
      <w:r w:rsidR="008746E2">
        <w:rPr>
          <w:color w:val="000000"/>
        </w:rPr>
        <w:t>will</w:t>
      </w:r>
      <w:r w:rsidRPr="00E5330D" w:rsidR="00E5330D">
        <w:rPr>
          <w:color w:val="000000"/>
        </w:rPr>
        <w:t xml:space="preserve"> </w:t>
      </w:r>
      <w:r w:rsidR="00145A88">
        <w:rPr>
          <w:color w:val="000000"/>
        </w:rPr>
        <w:t>coordinate</w:t>
      </w:r>
      <w:r w:rsidRPr="00E5330D" w:rsidR="00E5330D">
        <w:rPr>
          <w:color w:val="000000"/>
        </w:rPr>
        <w:t xml:space="preserve"> </w:t>
      </w:r>
      <w:r w:rsidR="005B72AA">
        <w:rPr>
          <w:color w:val="000000"/>
        </w:rPr>
        <w:t>with and support program staff submitting</w:t>
      </w:r>
      <w:r w:rsidRPr="00E5330D" w:rsidR="00E5330D">
        <w:rPr>
          <w:color w:val="000000"/>
        </w:rPr>
        <w:t xml:space="preserve"> </w:t>
      </w:r>
      <w:r w:rsidR="005B72AA">
        <w:rPr>
          <w:color w:val="000000"/>
        </w:rPr>
        <w:t>genICs</w:t>
      </w:r>
      <w:r w:rsidR="005B72AA">
        <w:rPr>
          <w:color w:val="000000"/>
        </w:rPr>
        <w:t xml:space="preserve"> under</w:t>
      </w:r>
      <w:r w:rsidR="00F4655A">
        <w:rPr>
          <w:color w:val="000000"/>
        </w:rPr>
        <w:t xml:space="preserve"> this </w:t>
      </w:r>
      <w:r w:rsidR="008746E2">
        <w:rPr>
          <w:color w:val="000000"/>
        </w:rPr>
        <w:t>proposed generic clearance</w:t>
      </w:r>
      <w:r w:rsidRPr="00E5330D" w:rsidR="00E5330D">
        <w:rPr>
          <w:color w:val="000000"/>
        </w:rPr>
        <w:t xml:space="preserve">. </w:t>
      </w:r>
      <w:r w:rsidR="00AC0A69">
        <w:rPr>
          <w:color w:val="000000"/>
        </w:rPr>
        <w:t>D</w:t>
      </w:r>
      <w:r>
        <w:rPr>
          <w:color w:val="000000"/>
        </w:rPr>
        <w:t xml:space="preserve">esignated </w:t>
      </w:r>
      <w:r w:rsidR="00E1664A">
        <w:rPr>
          <w:color w:val="000000"/>
        </w:rPr>
        <w:t xml:space="preserve">CDC </w:t>
      </w:r>
      <w:r>
        <w:rPr>
          <w:color w:val="000000"/>
        </w:rPr>
        <w:t>staff</w:t>
      </w:r>
      <w:r w:rsidR="00AC0A69">
        <w:rPr>
          <w:color w:val="000000"/>
        </w:rPr>
        <w:t xml:space="preserve"> will closely review each </w:t>
      </w:r>
      <w:r w:rsidR="00AC0A69">
        <w:rPr>
          <w:color w:val="000000"/>
        </w:rPr>
        <w:t>genIC</w:t>
      </w:r>
      <w:r w:rsidR="00AC0A69">
        <w:rPr>
          <w:color w:val="000000"/>
        </w:rPr>
        <w:t xml:space="preserve"> request</w:t>
      </w:r>
      <w:r>
        <w:rPr>
          <w:color w:val="000000"/>
        </w:rPr>
        <w:t xml:space="preserve"> </w:t>
      </w:r>
      <w:r w:rsidRPr="00E5330D" w:rsidR="00E5330D">
        <w:rPr>
          <w:color w:val="000000"/>
        </w:rPr>
        <w:t xml:space="preserve">based </w:t>
      </w:r>
      <w:r>
        <w:rPr>
          <w:color w:val="000000"/>
        </w:rPr>
        <w:t xml:space="preserve">on a predefined set of criteria, which </w:t>
      </w:r>
      <w:r w:rsidRPr="00E5330D" w:rsidR="00E5330D">
        <w:rPr>
          <w:color w:val="000000"/>
        </w:rPr>
        <w:t xml:space="preserve">include but </w:t>
      </w:r>
      <w:r w:rsidR="00E65805">
        <w:rPr>
          <w:color w:val="000000"/>
        </w:rPr>
        <w:t>are</w:t>
      </w:r>
      <w:r w:rsidRPr="00E5330D" w:rsidR="00E5330D">
        <w:rPr>
          <w:color w:val="000000"/>
        </w:rPr>
        <w:t xml:space="preserve"> not limited to</w:t>
      </w:r>
    </w:p>
    <w:p w:rsidR="00415E18" w:rsidP="00F73654" w14:paraId="0E5F4A62" w14:textId="77777777">
      <w:pPr>
        <w:pStyle w:val="ListParagraph"/>
        <w:numPr>
          <w:ilvl w:val="0"/>
          <w:numId w:val="6"/>
        </w:numPr>
        <w:autoSpaceDE w:val="0"/>
        <w:autoSpaceDN w:val="0"/>
        <w:adjustRightInd w:val="0"/>
        <w:rPr>
          <w:color w:val="000000"/>
        </w:rPr>
      </w:pPr>
      <w:r>
        <w:rPr>
          <w:color w:val="000000"/>
        </w:rPr>
        <w:t>s</w:t>
      </w:r>
      <w:r w:rsidR="007706D3">
        <w:rPr>
          <w:color w:val="000000"/>
        </w:rPr>
        <w:t xml:space="preserve">cope of the </w:t>
      </w:r>
      <w:r w:rsidR="007706D3">
        <w:rPr>
          <w:color w:val="000000"/>
        </w:rPr>
        <w:t>g</w:t>
      </w:r>
      <w:r>
        <w:rPr>
          <w:color w:val="000000"/>
        </w:rPr>
        <w:t>enIC</w:t>
      </w:r>
      <w:r>
        <w:rPr>
          <w:color w:val="000000"/>
        </w:rPr>
        <w:t xml:space="preserve"> </w:t>
      </w:r>
      <w:r>
        <w:rPr>
          <w:color w:val="000000"/>
        </w:rPr>
        <w:t>request</w:t>
      </w:r>
      <w:r>
        <w:rPr>
          <w:color w:val="000000"/>
        </w:rPr>
        <w:t>;</w:t>
      </w:r>
    </w:p>
    <w:p w:rsidR="00415E18" w:rsidP="00F73654" w14:paraId="78B539D6" w14:textId="77777777">
      <w:pPr>
        <w:pStyle w:val="ListParagraph"/>
        <w:numPr>
          <w:ilvl w:val="0"/>
          <w:numId w:val="6"/>
        </w:numPr>
        <w:autoSpaceDE w:val="0"/>
        <w:autoSpaceDN w:val="0"/>
        <w:adjustRightInd w:val="0"/>
        <w:rPr>
          <w:color w:val="000000"/>
        </w:rPr>
      </w:pPr>
      <w:r>
        <w:rPr>
          <w:color w:val="000000"/>
        </w:rPr>
        <w:t>p</w:t>
      </w:r>
      <w:r>
        <w:rPr>
          <w:color w:val="000000"/>
        </w:rPr>
        <w:t xml:space="preserve">urpose and use of data </w:t>
      </w:r>
      <w:r>
        <w:rPr>
          <w:color w:val="000000"/>
        </w:rPr>
        <w:t>collection</w:t>
      </w:r>
      <w:r>
        <w:rPr>
          <w:color w:val="000000"/>
        </w:rPr>
        <w:t>;</w:t>
      </w:r>
    </w:p>
    <w:p w:rsidR="00415E18" w:rsidP="00F73654" w14:paraId="5B78B556" w14:textId="56DE0650">
      <w:pPr>
        <w:pStyle w:val="ListParagraph"/>
        <w:numPr>
          <w:ilvl w:val="0"/>
          <w:numId w:val="6"/>
        </w:numPr>
        <w:autoSpaceDE w:val="0"/>
        <w:autoSpaceDN w:val="0"/>
        <w:adjustRightInd w:val="0"/>
        <w:rPr>
          <w:color w:val="000000"/>
        </w:rPr>
      </w:pPr>
      <w:r>
        <w:rPr>
          <w:color w:val="000000"/>
        </w:rPr>
        <w:t>s</w:t>
      </w:r>
      <w:r>
        <w:rPr>
          <w:color w:val="000000"/>
        </w:rPr>
        <w:t>ampling methods</w:t>
      </w:r>
      <w:r w:rsidR="00FD53D8">
        <w:rPr>
          <w:color w:val="000000"/>
        </w:rPr>
        <w:t xml:space="preserve"> (if any)</w:t>
      </w:r>
      <w:r>
        <w:rPr>
          <w:color w:val="000000"/>
        </w:rPr>
        <w:t xml:space="preserve"> and description of </w:t>
      </w:r>
      <w:r w:rsidR="004C0E5E">
        <w:rPr>
          <w:color w:val="000000"/>
        </w:rPr>
        <w:t xml:space="preserve">target </w:t>
      </w:r>
      <w:r w:rsidR="004C0E5E">
        <w:rPr>
          <w:color w:val="000000"/>
        </w:rPr>
        <w:t>respondents</w:t>
      </w:r>
      <w:r>
        <w:rPr>
          <w:color w:val="000000"/>
        </w:rPr>
        <w:t>;</w:t>
      </w:r>
    </w:p>
    <w:p w:rsidR="00415E18" w:rsidP="00F73654" w14:paraId="40D181FA" w14:textId="77777777">
      <w:pPr>
        <w:pStyle w:val="ListParagraph"/>
        <w:numPr>
          <w:ilvl w:val="0"/>
          <w:numId w:val="6"/>
        </w:numPr>
        <w:autoSpaceDE w:val="0"/>
        <w:autoSpaceDN w:val="0"/>
        <w:adjustRightInd w:val="0"/>
        <w:rPr>
          <w:color w:val="000000"/>
        </w:rPr>
      </w:pPr>
      <w:r>
        <w:rPr>
          <w:color w:val="000000"/>
        </w:rPr>
        <w:t>s</w:t>
      </w:r>
      <w:r>
        <w:rPr>
          <w:color w:val="000000"/>
        </w:rPr>
        <w:t xml:space="preserve">tudy </w:t>
      </w:r>
      <w:r>
        <w:rPr>
          <w:color w:val="000000"/>
        </w:rPr>
        <w:t>design</w:t>
      </w:r>
      <w:r>
        <w:rPr>
          <w:color w:val="000000"/>
        </w:rPr>
        <w:t>;</w:t>
      </w:r>
    </w:p>
    <w:p w:rsidR="004C0E5E" w:rsidP="00F73654" w14:paraId="40743693" w14:textId="77777777">
      <w:pPr>
        <w:pStyle w:val="ListParagraph"/>
        <w:numPr>
          <w:ilvl w:val="0"/>
          <w:numId w:val="6"/>
        </w:numPr>
        <w:autoSpaceDE w:val="0"/>
        <w:autoSpaceDN w:val="0"/>
        <w:adjustRightInd w:val="0"/>
        <w:rPr>
          <w:color w:val="000000"/>
        </w:rPr>
      </w:pPr>
      <w:r>
        <w:rPr>
          <w:color w:val="000000"/>
        </w:rPr>
        <w:t>d</w:t>
      </w:r>
      <w:r>
        <w:rPr>
          <w:color w:val="000000"/>
        </w:rPr>
        <w:t xml:space="preserve">ata collection instruments and </w:t>
      </w:r>
      <w:r>
        <w:rPr>
          <w:color w:val="000000"/>
        </w:rPr>
        <w:t>methods</w:t>
      </w:r>
      <w:r w:rsidR="00432782">
        <w:rPr>
          <w:color w:val="000000"/>
        </w:rPr>
        <w:t>;</w:t>
      </w:r>
    </w:p>
    <w:p w:rsidR="004C0E5E" w:rsidP="00F73654" w14:paraId="455E8EAD" w14:textId="77777777">
      <w:pPr>
        <w:pStyle w:val="ListParagraph"/>
        <w:numPr>
          <w:ilvl w:val="0"/>
          <w:numId w:val="6"/>
        </w:numPr>
        <w:autoSpaceDE w:val="0"/>
        <w:autoSpaceDN w:val="0"/>
        <w:adjustRightInd w:val="0"/>
        <w:rPr>
          <w:color w:val="000000"/>
        </w:rPr>
      </w:pPr>
      <w:r>
        <w:rPr>
          <w:color w:val="000000"/>
        </w:rPr>
        <w:t>r</w:t>
      </w:r>
      <w:r>
        <w:rPr>
          <w:color w:val="000000"/>
        </w:rPr>
        <w:t xml:space="preserve">esponse </w:t>
      </w:r>
      <w:r>
        <w:rPr>
          <w:color w:val="000000"/>
        </w:rPr>
        <w:t>burden</w:t>
      </w:r>
      <w:r>
        <w:rPr>
          <w:color w:val="000000"/>
        </w:rPr>
        <w:t>;</w:t>
      </w:r>
    </w:p>
    <w:p w:rsidR="00415E18" w:rsidP="00F73654" w14:paraId="5794648E" w14:textId="77777777">
      <w:pPr>
        <w:pStyle w:val="ListParagraph"/>
        <w:numPr>
          <w:ilvl w:val="0"/>
          <w:numId w:val="6"/>
        </w:numPr>
        <w:autoSpaceDE w:val="0"/>
        <w:autoSpaceDN w:val="0"/>
        <w:adjustRightInd w:val="0"/>
        <w:rPr>
          <w:color w:val="000000"/>
        </w:rPr>
      </w:pPr>
      <w:r>
        <w:rPr>
          <w:color w:val="000000"/>
        </w:rPr>
        <w:t>d</w:t>
      </w:r>
      <w:r>
        <w:rPr>
          <w:color w:val="000000"/>
        </w:rPr>
        <w:t xml:space="preserve">ata analysis </w:t>
      </w:r>
      <w:r w:rsidR="004C0E5E">
        <w:rPr>
          <w:color w:val="000000"/>
        </w:rPr>
        <w:t>methods</w:t>
      </w:r>
      <w:r>
        <w:rPr>
          <w:color w:val="000000"/>
        </w:rPr>
        <w:t xml:space="preserve">; </w:t>
      </w:r>
      <w:r w:rsidR="00E65805">
        <w:rPr>
          <w:color w:val="000000"/>
        </w:rPr>
        <w:t>and</w:t>
      </w:r>
    </w:p>
    <w:p w:rsidR="00415E18" w:rsidRPr="00415E18" w:rsidP="00F73654" w14:paraId="72E27007" w14:textId="77777777">
      <w:pPr>
        <w:pStyle w:val="ListParagraph"/>
        <w:numPr>
          <w:ilvl w:val="0"/>
          <w:numId w:val="6"/>
        </w:numPr>
        <w:autoSpaceDE w:val="0"/>
        <w:autoSpaceDN w:val="0"/>
        <w:adjustRightInd w:val="0"/>
        <w:rPr>
          <w:color w:val="000000"/>
        </w:rPr>
      </w:pPr>
      <w:r>
        <w:rPr>
          <w:color w:val="000000"/>
        </w:rPr>
        <w:t>r</w:t>
      </w:r>
      <w:r w:rsidR="001B269B">
        <w:rPr>
          <w:color w:val="000000"/>
        </w:rPr>
        <w:t>eporting, dissemination, and use of finding</w:t>
      </w:r>
      <w:r w:rsidR="00EA29D5">
        <w:rPr>
          <w:color w:val="000000"/>
        </w:rPr>
        <w:t>s</w:t>
      </w:r>
      <w:r w:rsidR="00E65805">
        <w:rPr>
          <w:color w:val="000000"/>
        </w:rPr>
        <w:t>.</w:t>
      </w:r>
    </w:p>
    <w:p w:rsidR="00145A88" w:rsidP="00F73654" w14:paraId="73F0B194" w14:textId="77777777">
      <w:pPr>
        <w:autoSpaceDE w:val="0"/>
        <w:autoSpaceDN w:val="0"/>
        <w:adjustRightInd w:val="0"/>
        <w:rPr>
          <w:color w:val="000000"/>
        </w:rPr>
      </w:pPr>
    </w:p>
    <w:p w:rsidR="00B050D8" w:rsidP="00F73654" w14:paraId="73D9707A" w14:textId="7AF76719">
      <w:pPr>
        <w:autoSpaceDE w:val="0"/>
        <w:autoSpaceDN w:val="0"/>
        <w:adjustRightInd w:val="0"/>
        <w:rPr>
          <w:color w:val="000000"/>
        </w:rPr>
      </w:pPr>
      <w:r>
        <w:rPr>
          <w:color w:val="000000"/>
        </w:rPr>
        <w:t xml:space="preserve">Review will ensure no duplication of information collected </w:t>
      </w:r>
      <w:r>
        <w:rPr>
          <w:color w:val="000000"/>
        </w:rPr>
        <w:t>elsewhere, and</w:t>
      </w:r>
      <w:r>
        <w:rPr>
          <w:color w:val="000000"/>
        </w:rPr>
        <w:t xml:space="preserve"> facilitate integration with other data systems </w:t>
      </w:r>
      <w:r>
        <w:rPr>
          <w:color w:val="000000"/>
        </w:rPr>
        <w:t>as</w:t>
      </w:r>
      <w:r>
        <w:rPr>
          <w:color w:val="000000"/>
        </w:rPr>
        <w:t xml:space="preserve"> necessary.</w:t>
      </w:r>
    </w:p>
    <w:p w:rsidR="00194DF7" w:rsidP="00F73654" w14:paraId="54D0EE1B" w14:textId="77777777">
      <w:pPr>
        <w:autoSpaceDE w:val="0"/>
        <w:autoSpaceDN w:val="0"/>
        <w:adjustRightInd w:val="0"/>
        <w:rPr>
          <w:color w:val="000000"/>
        </w:rPr>
      </w:pPr>
    </w:p>
    <w:p w:rsidR="00194DF7" w:rsidP="00F73654" w14:paraId="11B719D2" w14:textId="3BEA2D0A">
      <w:pPr>
        <w:autoSpaceDE w:val="0"/>
        <w:autoSpaceDN w:val="0"/>
        <w:adjustRightInd w:val="0"/>
        <w:rPr>
          <w:color w:val="000000"/>
        </w:rPr>
      </w:pPr>
      <w:r>
        <w:rPr>
          <w:color w:val="000000"/>
        </w:rPr>
        <w:t xml:space="preserve">Roles and </w:t>
      </w:r>
      <w:r w:rsidR="0075317B">
        <w:rPr>
          <w:color w:val="000000"/>
        </w:rPr>
        <w:t xml:space="preserve">annual </w:t>
      </w:r>
      <w:r>
        <w:rPr>
          <w:color w:val="000000"/>
        </w:rPr>
        <w:t>costs associated with each are as follows:</w:t>
      </w:r>
    </w:p>
    <w:p w:rsidR="009B639B" w:rsidP="00F73654" w14:paraId="39388776" w14:textId="5537075A">
      <w:pPr>
        <w:autoSpaceDE w:val="0"/>
        <w:autoSpaceDN w:val="0"/>
        <w:adjustRightInd w:val="0"/>
        <w:rPr>
          <w:color w:val="000000"/>
        </w:rPr>
      </w:pPr>
    </w:p>
    <w:tbl>
      <w:tblPr>
        <w:tblStyle w:val="TableGrid"/>
        <w:tblW w:w="0" w:type="auto"/>
        <w:tblLook w:val="04A0"/>
      </w:tblPr>
      <w:tblGrid>
        <w:gridCol w:w="3955"/>
        <w:gridCol w:w="1440"/>
        <w:gridCol w:w="1617"/>
        <w:gridCol w:w="2338"/>
      </w:tblGrid>
      <w:tr w14:paraId="4C0BD9E2" w14:textId="77777777" w:rsidTr="00B30D82">
        <w:tblPrEx>
          <w:tblW w:w="0" w:type="auto"/>
          <w:tblLook w:val="04A0"/>
        </w:tblPrEx>
        <w:tc>
          <w:tcPr>
            <w:tcW w:w="3955" w:type="dxa"/>
          </w:tcPr>
          <w:p w:rsidR="009B639B" w:rsidP="009B639B" w14:paraId="574F1813" w14:textId="77777777">
            <w:pPr>
              <w:autoSpaceDE w:val="0"/>
              <w:autoSpaceDN w:val="0"/>
              <w:adjustRightInd w:val="0"/>
              <w:rPr>
                <w:color w:val="000000"/>
              </w:rPr>
            </w:pPr>
            <w:r>
              <w:rPr>
                <w:color w:val="000000"/>
              </w:rPr>
              <w:t>Staff or Contractor:</w:t>
            </w:r>
          </w:p>
          <w:p w:rsidR="009B639B" w:rsidP="00F73654" w14:paraId="37039C16" w14:textId="77777777">
            <w:pPr>
              <w:autoSpaceDE w:val="0"/>
              <w:autoSpaceDN w:val="0"/>
              <w:adjustRightInd w:val="0"/>
              <w:rPr>
                <w:color w:val="000000"/>
              </w:rPr>
            </w:pPr>
          </w:p>
        </w:tc>
        <w:tc>
          <w:tcPr>
            <w:tcW w:w="1440" w:type="dxa"/>
          </w:tcPr>
          <w:p w:rsidR="009B639B" w:rsidP="00F73654" w14:paraId="2087C4F2" w14:textId="746FA46D">
            <w:pPr>
              <w:autoSpaceDE w:val="0"/>
              <w:autoSpaceDN w:val="0"/>
              <w:adjustRightInd w:val="0"/>
              <w:rPr>
                <w:color w:val="000000"/>
              </w:rPr>
            </w:pPr>
            <w:r>
              <w:rPr>
                <w:color w:val="000000"/>
              </w:rPr>
              <w:t>Average Hours per Year</w:t>
            </w:r>
          </w:p>
        </w:tc>
        <w:tc>
          <w:tcPr>
            <w:tcW w:w="1617" w:type="dxa"/>
          </w:tcPr>
          <w:p w:rsidR="009B639B" w:rsidP="00F73654" w14:paraId="139B404C" w14:textId="73D46B28">
            <w:pPr>
              <w:autoSpaceDE w:val="0"/>
              <w:autoSpaceDN w:val="0"/>
              <w:adjustRightInd w:val="0"/>
              <w:rPr>
                <w:color w:val="000000"/>
              </w:rPr>
            </w:pPr>
            <w:r>
              <w:rPr>
                <w:color w:val="000000"/>
              </w:rPr>
              <w:t>Average Hourly Rate</w:t>
            </w:r>
          </w:p>
        </w:tc>
        <w:tc>
          <w:tcPr>
            <w:tcW w:w="2338" w:type="dxa"/>
          </w:tcPr>
          <w:p w:rsidR="009B639B" w:rsidP="00F73654" w14:paraId="45FE68EB" w14:textId="2399EB80">
            <w:pPr>
              <w:autoSpaceDE w:val="0"/>
              <w:autoSpaceDN w:val="0"/>
              <w:adjustRightInd w:val="0"/>
              <w:rPr>
                <w:color w:val="000000"/>
              </w:rPr>
            </w:pPr>
            <w:r>
              <w:rPr>
                <w:color w:val="000000"/>
              </w:rPr>
              <w:t>Total Annualized Cost</w:t>
            </w:r>
          </w:p>
        </w:tc>
      </w:tr>
      <w:tr w14:paraId="38B0E1F0" w14:textId="77777777" w:rsidTr="00B30D82">
        <w:tblPrEx>
          <w:tblW w:w="0" w:type="auto"/>
          <w:tblLook w:val="04A0"/>
        </w:tblPrEx>
        <w:tc>
          <w:tcPr>
            <w:tcW w:w="3955" w:type="dxa"/>
          </w:tcPr>
          <w:p w:rsidR="009B639B" w:rsidP="00F73654" w14:paraId="7DB29D1F" w14:textId="0D1DA280">
            <w:pPr>
              <w:autoSpaceDE w:val="0"/>
              <w:autoSpaceDN w:val="0"/>
              <w:adjustRightInd w:val="0"/>
              <w:rPr>
                <w:color w:val="000000"/>
              </w:rPr>
            </w:pPr>
            <w:r w:rsidRPr="006B251B">
              <w:t>FTE: Generic ICR Coordinator (G</w:t>
            </w:r>
            <w:r>
              <w:t>S-</w:t>
            </w:r>
            <w:r w:rsidRPr="006B251B">
              <w:t>13</w:t>
            </w:r>
            <w:r>
              <w:t>, Step 1</w:t>
            </w:r>
            <w:r w:rsidRPr="006B251B">
              <w:t>)</w:t>
            </w:r>
          </w:p>
        </w:tc>
        <w:tc>
          <w:tcPr>
            <w:tcW w:w="1440" w:type="dxa"/>
          </w:tcPr>
          <w:p w:rsidR="009B639B" w:rsidP="00F73654" w14:paraId="4842AF4A" w14:textId="387C84D3">
            <w:pPr>
              <w:autoSpaceDE w:val="0"/>
              <w:autoSpaceDN w:val="0"/>
              <w:adjustRightInd w:val="0"/>
              <w:rPr>
                <w:color w:val="000000"/>
              </w:rPr>
            </w:pPr>
            <w:r>
              <w:rPr>
                <w:color w:val="000000"/>
              </w:rPr>
              <w:t>115</w:t>
            </w:r>
          </w:p>
        </w:tc>
        <w:tc>
          <w:tcPr>
            <w:tcW w:w="1617" w:type="dxa"/>
          </w:tcPr>
          <w:p w:rsidR="009B639B" w:rsidP="00F73654" w14:paraId="414B7BA1" w14:textId="520E20C2">
            <w:pPr>
              <w:autoSpaceDE w:val="0"/>
              <w:autoSpaceDN w:val="0"/>
              <w:adjustRightInd w:val="0"/>
              <w:rPr>
                <w:color w:val="000000"/>
              </w:rPr>
            </w:pPr>
            <w:r>
              <w:rPr>
                <w:color w:val="000000"/>
              </w:rPr>
              <w:t>$53.40</w:t>
            </w:r>
          </w:p>
        </w:tc>
        <w:tc>
          <w:tcPr>
            <w:tcW w:w="2338" w:type="dxa"/>
          </w:tcPr>
          <w:p w:rsidR="009B639B" w:rsidP="00F73654" w14:paraId="07D2AFDA" w14:textId="279F750D">
            <w:pPr>
              <w:autoSpaceDE w:val="0"/>
              <w:autoSpaceDN w:val="0"/>
              <w:adjustRightInd w:val="0"/>
              <w:rPr>
                <w:color w:val="000000"/>
              </w:rPr>
            </w:pPr>
            <w:r>
              <w:rPr>
                <w:color w:val="000000"/>
              </w:rPr>
              <w:t>$6,141</w:t>
            </w:r>
          </w:p>
        </w:tc>
      </w:tr>
      <w:tr w14:paraId="43F188C7" w14:textId="77777777" w:rsidTr="00B30D82">
        <w:tblPrEx>
          <w:tblW w:w="0" w:type="auto"/>
          <w:tblLook w:val="04A0"/>
        </w:tblPrEx>
        <w:tc>
          <w:tcPr>
            <w:tcW w:w="3955" w:type="dxa"/>
          </w:tcPr>
          <w:p w:rsidR="009B639B" w:rsidP="00F73654" w14:paraId="74D88050" w14:textId="278E9D3F">
            <w:pPr>
              <w:autoSpaceDE w:val="0"/>
              <w:autoSpaceDN w:val="0"/>
              <w:adjustRightInd w:val="0"/>
              <w:rPr>
                <w:color w:val="000000"/>
              </w:rPr>
            </w:pPr>
            <w:r w:rsidRPr="006B251B">
              <w:t>Contractor: Instrument Development, Data Collection, Data Analysis, and Reporting (GS-13</w:t>
            </w:r>
            <w:r>
              <w:t>, Step 1 equivalent</w:t>
            </w:r>
            <w:r w:rsidRPr="006B251B">
              <w:t>)</w:t>
            </w:r>
          </w:p>
        </w:tc>
        <w:tc>
          <w:tcPr>
            <w:tcW w:w="1440" w:type="dxa"/>
          </w:tcPr>
          <w:p w:rsidR="009B639B" w:rsidP="00F73654" w14:paraId="30BF6BE2" w14:textId="7774400D">
            <w:pPr>
              <w:autoSpaceDE w:val="0"/>
              <w:autoSpaceDN w:val="0"/>
              <w:adjustRightInd w:val="0"/>
              <w:rPr>
                <w:color w:val="000000"/>
              </w:rPr>
            </w:pPr>
            <w:r>
              <w:rPr>
                <w:color w:val="000000"/>
              </w:rPr>
              <w:t>920</w:t>
            </w:r>
          </w:p>
        </w:tc>
        <w:tc>
          <w:tcPr>
            <w:tcW w:w="1617" w:type="dxa"/>
          </w:tcPr>
          <w:p w:rsidR="009B639B" w:rsidP="00F73654" w14:paraId="3A9A8974" w14:textId="1AC35AD1">
            <w:pPr>
              <w:autoSpaceDE w:val="0"/>
              <w:autoSpaceDN w:val="0"/>
              <w:adjustRightInd w:val="0"/>
              <w:rPr>
                <w:color w:val="000000"/>
              </w:rPr>
            </w:pPr>
            <w:r>
              <w:rPr>
                <w:color w:val="000000"/>
              </w:rPr>
              <w:t>$53.40</w:t>
            </w:r>
          </w:p>
        </w:tc>
        <w:tc>
          <w:tcPr>
            <w:tcW w:w="2338" w:type="dxa"/>
          </w:tcPr>
          <w:p w:rsidR="009B639B" w:rsidP="00F73654" w14:paraId="55980480" w14:textId="61FDFAFF">
            <w:pPr>
              <w:autoSpaceDE w:val="0"/>
              <w:autoSpaceDN w:val="0"/>
              <w:adjustRightInd w:val="0"/>
              <w:rPr>
                <w:color w:val="000000"/>
              </w:rPr>
            </w:pPr>
            <w:r>
              <w:rPr>
                <w:color w:val="000000"/>
              </w:rPr>
              <w:t>$49,128</w:t>
            </w:r>
          </w:p>
        </w:tc>
      </w:tr>
      <w:tr w14:paraId="27B317C3" w14:textId="77777777" w:rsidTr="00B30D82">
        <w:tblPrEx>
          <w:tblW w:w="0" w:type="auto"/>
          <w:tblLook w:val="04A0"/>
        </w:tblPrEx>
        <w:tc>
          <w:tcPr>
            <w:tcW w:w="3955" w:type="dxa"/>
          </w:tcPr>
          <w:p w:rsidR="009B639B" w:rsidP="00F73654" w14:paraId="241911D0" w14:textId="1891AA0F">
            <w:pPr>
              <w:autoSpaceDE w:val="0"/>
              <w:autoSpaceDN w:val="0"/>
              <w:adjustRightInd w:val="0"/>
              <w:rPr>
                <w:color w:val="000000"/>
              </w:rPr>
            </w:pPr>
            <w:r w:rsidRPr="006B251B">
              <w:t>FTE: Instrument Development, Implementation, Analysis, and Reporting (GS-13</w:t>
            </w:r>
            <w:r>
              <w:t>, Step 1</w:t>
            </w:r>
            <w:r w:rsidRPr="006B251B">
              <w:t>)</w:t>
            </w:r>
          </w:p>
        </w:tc>
        <w:tc>
          <w:tcPr>
            <w:tcW w:w="1440" w:type="dxa"/>
          </w:tcPr>
          <w:p w:rsidR="009B639B" w:rsidP="00F73654" w14:paraId="70CD1208" w14:textId="191BC3E6">
            <w:pPr>
              <w:autoSpaceDE w:val="0"/>
              <w:autoSpaceDN w:val="0"/>
              <w:adjustRightInd w:val="0"/>
              <w:rPr>
                <w:color w:val="000000"/>
              </w:rPr>
            </w:pPr>
            <w:r>
              <w:rPr>
                <w:color w:val="000000"/>
              </w:rPr>
              <w:t>460</w:t>
            </w:r>
          </w:p>
        </w:tc>
        <w:tc>
          <w:tcPr>
            <w:tcW w:w="1617" w:type="dxa"/>
          </w:tcPr>
          <w:p w:rsidR="009B639B" w:rsidP="00F73654" w14:paraId="0639A2F6" w14:textId="016BB57D">
            <w:pPr>
              <w:autoSpaceDE w:val="0"/>
              <w:autoSpaceDN w:val="0"/>
              <w:adjustRightInd w:val="0"/>
              <w:rPr>
                <w:color w:val="000000"/>
              </w:rPr>
            </w:pPr>
            <w:r>
              <w:rPr>
                <w:color w:val="000000"/>
              </w:rPr>
              <w:t>$53.40</w:t>
            </w:r>
          </w:p>
        </w:tc>
        <w:tc>
          <w:tcPr>
            <w:tcW w:w="2338" w:type="dxa"/>
          </w:tcPr>
          <w:p w:rsidR="009B639B" w:rsidP="00F73654" w14:paraId="6C2D7A20" w14:textId="6C46E7E8">
            <w:pPr>
              <w:autoSpaceDE w:val="0"/>
              <w:autoSpaceDN w:val="0"/>
              <w:adjustRightInd w:val="0"/>
              <w:rPr>
                <w:color w:val="000000"/>
              </w:rPr>
            </w:pPr>
            <w:r>
              <w:rPr>
                <w:color w:val="000000"/>
              </w:rPr>
              <w:t>$24,564</w:t>
            </w:r>
          </w:p>
        </w:tc>
      </w:tr>
      <w:tr w14:paraId="6714C596" w14:textId="77777777" w:rsidTr="00B30D82">
        <w:tblPrEx>
          <w:tblW w:w="0" w:type="auto"/>
          <w:tblLook w:val="04A0"/>
        </w:tblPrEx>
        <w:tc>
          <w:tcPr>
            <w:tcW w:w="3955" w:type="dxa"/>
          </w:tcPr>
          <w:p w:rsidR="009B639B" w:rsidP="00281A3E" w14:paraId="1CA34A51" w14:textId="20109C47">
            <w:pPr>
              <w:autoSpaceDE w:val="0"/>
              <w:autoSpaceDN w:val="0"/>
              <w:adjustRightInd w:val="0"/>
              <w:jc w:val="right"/>
              <w:rPr>
                <w:color w:val="000000"/>
              </w:rPr>
            </w:pPr>
            <w:r>
              <w:rPr>
                <w:color w:val="000000"/>
              </w:rPr>
              <w:t>TOTAL</w:t>
            </w:r>
          </w:p>
        </w:tc>
        <w:tc>
          <w:tcPr>
            <w:tcW w:w="1440" w:type="dxa"/>
          </w:tcPr>
          <w:p w:rsidR="009B639B" w:rsidP="00F73654" w14:paraId="3F66BAED" w14:textId="77777777">
            <w:pPr>
              <w:autoSpaceDE w:val="0"/>
              <w:autoSpaceDN w:val="0"/>
              <w:adjustRightInd w:val="0"/>
              <w:rPr>
                <w:color w:val="000000"/>
              </w:rPr>
            </w:pPr>
          </w:p>
        </w:tc>
        <w:tc>
          <w:tcPr>
            <w:tcW w:w="1617" w:type="dxa"/>
          </w:tcPr>
          <w:p w:rsidR="009B639B" w:rsidP="00F73654" w14:paraId="631DE419" w14:textId="77777777">
            <w:pPr>
              <w:autoSpaceDE w:val="0"/>
              <w:autoSpaceDN w:val="0"/>
              <w:adjustRightInd w:val="0"/>
              <w:rPr>
                <w:color w:val="000000"/>
              </w:rPr>
            </w:pPr>
          </w:p>
        </w:tc>
        <w:tc>
          <w:tcPr>
            <w:tcW w:w="2338" w:type="dxa"/>
          </w:tcPr>
          <w:p w:rsidR="009B639B" w:rsidP="00F73654" w14:paraId="0CC4704C" w14:textId="70C6A74A">
            <w:pPr>
              <w:autoSpaceDE w:val="0"/>
              <w:autoSpaceDN w:val="0"/>
              <w:adjustRightInd w:val="0"/>
              <w:rPr>
                <w:color w:val="000000"/>
              </w:rPr>
            </w:pPr>
            <w:r>
              <w:rPr>
                <w:color w:val="000000"/>
              </w:rPr>
              <w:t>$79,833</w:t>
            </w:r>
          </w:p>
        </w:tc>
      </w:tr>
    </w:tbl>
    <w:p w:rsidR="009B639B" w:rsidP="00F73654" w14:paraId="53EE7118" w14:textId="77777777">
      <w:pPr>
        <w:autoSpaceDE w:val="0"/>
        <w:autoSpaceDN w:val="0"/>
        <w:adjustRightInd w:val="0"/>
        <w:rPr>
          <w:color w:val="000000"/>
        </w:rPr>
      </w:pPr>
    </w:p>
    <w:p w:rsidR="00194DF7" w:rsidP="00F73654" w14:paraId="61CE24F0" w14:textId="7A1E0F5F">
      <w:pPr>
        <w:autoSpaceDE w:val="0"/>
        <w:autoSpaceDN w:val="0"/>
        <w:adjustRightInd w:val="0"/>
        <w:rPr>
          <w:color w:val="000000"/>
        </w:rPr>
      </w:pPr>
    </w:p>
    <w:p w:rsidR="008934CC" w:rsidP="00F73654" w14:paraId="77BCDFF1" w14:textId="77777777">
      <w:pPr>
        <w:autoSpaceDE w:val="0"/>
        <w:autoSpaceDN w:val="0"/>
        <w:adjustRightInd w:val="0"/>
        <w:rPr>
          <w:color w:val="000000"/>
        </w:rPr>
      </w:pPr>
    </w:p>
    <w:p w:rsidR="006C3ADC" w:rsidP="00F73654" w14:paraId="23E828D9" w14:textId="77777777">
      <w:pPr>
        <w:pStyle w:val="Heading1"/>
      </w:pPr>
      <w:bookmarkStart w:id="41" w:name="_Toc299968010"/>
      <w:bookmarkStart w:id="42" w:name="_Toc452565366"/>
      <w:r w:rsidRPr="00603EE4">
        <w:rPr>
          <w:rStyle w:val="Heading1Char"/>
          <w:b/>
        </w:rPr>
        <w:t>A.1</w:t>
      </w:r>
      <w:r>
        <w:rPr>
          <w:rStyle w:val="Heading1Char"/>
          <w:b/>
        </w:rPr>
        <w:t>5</w:t>
      </w:r>
      <w:r w:rsidR="00332BEE">
        <w:t xml:space="preserve">. </w:t>
      </w:r>
      <w:r w:rsidRPr="0092182A">
        <w:t>Explanation for Program Changes or Adjustments</w:t>
      </w:r>
      <w:bookmarkEnd w:id="41"/>
      <w:bookmarkEnd w:id="42"/>
    </w:p>
    <w:p w:rsidR="007E3568" w:rsidP="007C6126" w14:paraId="6FAE65BC" w14:textId="77777777">
      <w:pPr>
        <w:rPr>
          <w:rFonts w:eastAsia="Arial Unicode MS"/>
          <w:u w:color="000000"/>
        </w:rPr>
      </w:pPr>
    </w:p>
    <w:p w:rsidR="008B47DC" w:rsidP="007C6126" w14:paraId="204A3101" w14:textId="25004C27">
      <w:pPr>
        <w:rPr>
          <w:rFonts w:eastAsia="Arial Unicode MS"/>
          <w:u w:color="000000"/>
        </w:rPr>
      </w:pPr>
      <w:r>
        <w:rPr>
          <w:rFonts w:eastAsia="Arial Unicode MS"/>
          <w:u w:color="000000"/>
        </w:rPr>
        <w:t>The changes proposed in this revision are</w:t>
      </w:r>
      <w:r w:rsidR="002A4A66">
        <w:rPr>
          <w:rFonts w:eastAsia="Arial Unicode MS"/>
          <w:u w:color="000000"/>
        </w:rPr>
        <w:t xml:space="preserve"> </w:t>
      </w:r>
      <w:r>
        <w:rPr>
          <w:rFonts w:eastAsia="Arial Unicode MS"/>
          <w:u w:color="000000"/>
        </w:rPr>
        <w:t xml:space="preserve">a </w:t>
      </w:r>
      <w:r w:rsidR="002A4A66">
        <w:rPr>
          <w:rFonts w:eastAsia="Arial Unicode MS"/>
          <w:u w:color="000000"/>
        </w:rPr>
        <w:t>reduction in anticipated</w:t>
      </w:r>
      <w:r w:rsidR="00E3005D">
        <w:rPr>
          <w:rFonts w:eastAsia="Arial Unicode MS"/>
          <w:u w:color="000000"/>
        </w:rPr>
        <w:t xml:space="preserve"> number of</w:t>
      </w:r>
      <w:r w:rsidR="002A4A66">
        <w:rPr>
          <w:rFonts w:eastAsia="Arial Unicode MS"/>
          <w:u w:color="000000"/>
        </w:rPr>
        <w:t xml:space="preserve"> respondents</w:t>
      </w:r>
      <w:r w:rsidR="00E3005D">
        <w:rPr>
          <w:rFonts w:eastAsia="Arial Unicode MS"/>
          <w:u w:color="000000"/>
        </w:rPr>
        <w:t xml:space="preserve"> for all categories</w:t>
      </w:r>
      <w:r>
        <w:rPr>
          <w:rFonts w:eastAsia="Arial Unicode MS"/>
          <w:u w:color="000000"/>
        </w:rPr>
        <w:t>,</w:t>
      </w:r>
      <w:r w:rsidR="002A4A66">
        <w:rPr>
          <w:rFonts w:eastAsia="Arial Unicode MS"/>
          <w:u w:color="000000"/>
        </w:rPr>
        <w:t xml:space="preserve"> </w:t>
      </w:r>
      <w:r w:rsidR="00E803C5">
        <w:rPr>
          <w:rFonts w:eastAsia="Arial Unicode MS"/>
          <w:u w:color="000000"/>
        </w:rPr>
        <w:t>a decrease in time per response for</w:t>
      </w:r>
      <w:r w:rsidR="00E3005D">
        <w:rPr>
          <w:rFonts w:eastAsia="Arial Unicode MS"/>
          <w:u w:color="000000"/>
        </w:rPr>
        <w:t xml:space="preserve"> the</w:t>
      </w:r>
      <w:r w:rsidR="00E803C5">
        <w:rPr>
          <w:rFonts w:eastAsia="Arial Unicode MS"/>
          <w:u w:color="000000"/>
        </w:rPr>
        <w:t xml:space="preserve"> alumni</w:t>
      </w:r>
      <w:r w:rsidR="00E3005D">
        <w:rPr>
          <w:rFonts w:eastAsia="Arial Unicode MS"/>
          <w:u w:color="000000"/>
        </w:rPr>
        <w:t xml:space="preserve"> category specifically</w:t>
      </w:r>
      <w:r w:rsidR="004D3CCB">
        <w:rPr>
          <w:rFonts w:eastAsia="Arial Unicode MS"/>
          <w:u w:color="000000"/>
        </w:rPr>
        <w:t>, and a reduction</w:t>
      </w:r>
      <w:r w:rsidR="002A4A66">
        <w:rPr>
          <w:rFonts w:eastAsia="Arial Unicode MS"/>
          <w:u w:color="000000"/>
        </w:rPr>
        <w:t xml:space="preserve"> </w:t>
      </w:r>
      <w:r w:rsidR="004D3CCB">
        <w:rPr>
          <w:rFonts w:eastAsia="Arial Unicode MS"/>
          <w:u w:color="000000"/>
        </w:rPr>
        <w:t xml:space="preserve">in </w:t>
      </w:r>
      <w:r w:rsidR="002A4A66">
        <w:rPr>
          <w:rFonts w:eastAsia="Arial Unicode MS"/>
          <w:u w:color="000000"/>
        </w:rPr>
        <w:t xml:space="preserve">total burden.  </w:t>
      </w:r>
    </w:p>
    <w:p w:rsidR="008B47DC" w:rsidP="008B47DC" w14:paraId="643948CE" w14:textId="77777777">
      <w:pPr>
        <w:rPr>
          <w:b/>
          <w:snapToGrid w:val="0"/>
        </w:rPr>
      </w:pPr>
    </w:p>
    <w:p w:rsidR="009D5C53" w:rsidP="009D5C53" w14:paraId="1DBDF791" w14:textId="77777777">
      <w:pPr>
        <w:rPr>
          <w:snapToGrid w:val="0"/>
        </w:rPr>
      </w:pPr>
      <w:r>
        <w:rPr>
          <w:rFonts w:eastAsiaTheme="minorHAnsi"/>
        </w:rPr>
        <w:t>CDC estimates that each respondent group (applicant or fellow; mentor, supervisor, or employer; and alumni) will be contacted once every 3 years for information collection</w:t>
      </w:r>
      <w:r>
        <w:rPr>
          <w:bCs/>
          <w:snapToGrid w:val="0"/>
        </w:rPr>
        <w:t xml:space="preserve">. </w:t>
      </w:r>
      <w:r w:rsidRPr="00F2760A">
        <w:rPr>
          <w:bCs/>
          <w:snapToGrid w:val="0"/>
        </w:rPr>
        <w:t>Exhibit A.12-A</w:t>
      </w:r>
      <w:r w:rsidRPr="00F2760A">
        <w:rPr>
          <w:b/>
          <w:bCs/>
          <w:snapToGrid w:val="0"/>
        </w:rPr>
        <w:t xml:space="preserve"> </w:t>
      </w:r>
      <w:r w:rsidRPr="00F2760A">
        <w:rPr>
          <w:snapToGrid w:val="0"/>
        </w:rPr>
        <w:t>details how this estimate was calculated</w:t>
      </w:r>
      <w:r>
        <w:rPr>
          <w:snapToGrid w:val="0"/>
        </w:rPr>
        <w:t xml:space="preserve"> and an explanation for each respondent type follows.</w:t>
      </w:r>
    </w:p>
    <w:p w:rsidR="009D5C53" w:rsidRPr="002F1882" w:rsidP="009D5C53" w14:paraId="1BCF3777" w14:textId="77777777">
      <w:pPr>
        <w:pStyle w:val="ListParagraph"/>
        <w:numPr>
          <w:ilvl w:val="0"/>
          <w:numId w:val="27"/>
        </w:numPr>
        <w:rPr>
          <w:b/>
          <w:snapToGrid w:val="0"/>
        </w:rPr>
      </w:pPr>
      <w:r w:rsidRPr="001A24BD">
        <w:rPr>
          <w:b/>
          <w:snapToGrid w:val="0"/>
        </w:rPr>
        <w:t>Applicant</w:t>
      </w:r>
      <w:r>
        <w:rPr>
          <w:b/>
          <w:snapToGrid w:val="0"/>
        </w:rPr>
        <w:t xml:space="preserve"> or fellow: </w:t>
      </w:r>
      <w:r w:rsidRPr="00D12254">
        <w:rPr>
          <w:bCs/>
          <w:snapToGrid w:val="0"/>
        </w:rPr>
        <w:t>There is no change to the average estimated time burden</w:t>
      </w:r>
      <w:r>
        <w:rPr>
          <w:bCs/>
          <w:snapToGrid w:val="0"/>
        </w:rPr>
        <w:t xml:space="preserve"> per response</w:t>
      </w:r>
      <w:r w:rsidRPr="00D12254">
        <w:rPr>
          <w:bCs/>
          <w:snapToGrid w:val="0"/>
        </w:rPr>
        <w:t xml:space="preserve"> for</w:t>
      </w:r>
      <w:r>
        <w:rPr>
          <w:bCs/>
          <w:snapToGrid w:val="0"/>
        </w:rPr>
        <w:t xml:space="preserve"> applicants or fellows in</w:t>
      </w:r>
      <w:r w:rsidRPr="00D12254">
        <w:rPr>
          <w:bCs/>
          <w:snapToGrid w:val="0"/>
        </w:rPr>
        <w:t xml:space="preserve"> this revision.</w:t>
      </w:r>
      <w:r>
        <w:rPr>
          <w:b/>
          <w:snapToGrid w:val="0"/>
        </w:rPr>
        <w:t xml:space="preserve"> </w:t>
      </w:r>
      <w:r w:rsidRPr="00D12254">
        <w:rPr>
          <w:bCs/>
          <w:snapToGrid w:val="0"/>
        </w:rPr>
        <w:t>Th</w:t>
      </w:r>
      <w:r>
        <w:rPr>
          <w:bCs/>
          <w:snapToGrid w:val="0"/>
        </w:rPr>
        <w:t>is</w:t>
      </w:r>
      <w:r w:rsidRPr="00D12254">
        <w:rPr>
          <w:bCs/>
          <w:snapToGrid w:val="0"/>
        </w:rPr>
        <w:t xml:space="preserve"> </w:t>
      </w:r>
      <w:r>
        <w:rPr>
          <w:bCs/>
          <w:snapToGrid w:val="0"/>
        </w:rPr>
        <w:t xml:space="preserve">revision requests a </w:t>
      </w:r>
      <w:r w:rsidRPr="00D12254">
        <w:rPr>
          <w:bCs/>
          <w:snapToGrid w:val="0"/>
        </w:rPr>
        <w:t>decrease in annual estimated respondents</w:t>
      </w:r>
      <w:r>
        <w:rPr>
          <w:bCs/>
          <w:snapToGrid w:val="0"/>
        </w:rPr>
        <w:t xml:space="preserve"> from 966 to 750, which is attributed to CDC reorganization and changing expectations for </w:t>
      </w:r>
      <w:r>
        <w:rPr>
          <w:rFonts w:eastAsia="SimSun"/>
          <w:lang w:eastAsia="zh-CN"/>
        </w:rPr>
        <w:t>CDC Fellowship Programs Assessment</w:t>
      </w:r>
      <w:r>
        <w:rPr>
          <w:rFonts w:eastAsia="SimSun"/>
          <w:lang w:eastAsia="zh-CN"/>
        </w:rPr>
        <w:t xml:space="preserve"> </w:t>
      </w:r>
      <w:r>
        <w:rPr>
          <w:bCs/>
          <w:snapToGrid w:val="0"/>
        </w:rPr>
        <w:t>usage. However, applicants and fellows are still the primary audience for this collection, so the decrease in annual respondents is smaller than for the other two respondent categories.</w:t>
      </w:r>
    </w:p>
    <w:p w:rsidR="009D5C53" w:rsidP="009D5C53" w14:paraId="778F9623" w14:textId="77777777">
      <w:pPr>
        <w:pStyle w:val="ListParagraph"/>
        <w:numPr>
          <w:ilvl w:val="0"/>
          <w:numId w:val="27"/>
        </w:numPr>
        <w:rPr>
          <w:snapToGrid w:val="0"/>
        </w:rPr>
      </w:pPr>
      <w:r w:rsidRPr="002F1882">
        <w:rPr>
          <w:b/>
          <w:snapToGrid w:val="0"/>
        </w:rPr>
        <w:t>M</w:t>
      </w:r>
      <w:r>
        <w:rPr>
          <w:b/>
          <w:snapToGrid w:val="0"/>
        </w:rPr>
        <w:t xml:space="preserve">entor, supervisor, or </w:t>
      </w:r>
      <w:r w:rsidRPr="00AF6A50">
        <w:rPr>
          <w:b/>
          <w:snapToGrid w:val="0"/>
        </w:rPr>
        <w:t>e</w:t>
      </w:r>
      <w:r w:rsidRPr="002F1882">
        <w:rPr>
          <w:b/>
          <w:snapToGrid w:val="0"/>
        </w:rPr>
        <w:t>mpl</w:t>
      </w:r>
      <w:r w:rsidRPr="00AF6A50">
        <w:rPr>
          <w:b/>
          <w:snapToGrid w:val="0"/>
        </w:rPr>
        <w:t>oyer:</w:t>
      </w:r>
      <w:r>
        <w:rPr>
          <w:b/>
          <w:snapToGrid w:val="0"/>
        </w:rPr>
        <w:t xml:space="preserve"> </w:t>
      </w:r>
      <w:r w:rsidRPr="00D12254">
        <w:rPr>
          <w:bCs/>
          <w:snapToGrid w:val="0"/>
        </w:rPr>
        <w:t xml:space="preserve">There is no change to the average estimated time burden per response for mentors, supervisors, or employers </w:t>
      </w:r>
      <w:r>
        <w:rPr>
          <w:bCs/>
          <w:snapToGrid w:val="0"/>
        </w:rPr>
        <w:t>in</w:t>
      </w:r>
      <w:r w:rsidRPr="00D12254">
        <w:rPr>
          <w:bCs/>
          <w:snapToGrid w:val="0"/>
        </w:rPr>
        <w:t xml:space="preserve"> this revision.</w:t>
      </w:r>
      <w:r>
        <w:rPr>
          <w:b/>
          <w:snapToGrid w:val="0"/>
        </w:rPr>
        <w:t xml:space="preserve"> </w:t>
      </w:r>
      <w:r w:rsidRPr="00C273AF">
        <w:rPr>
          <w:bCs/>
          <w:snapToGrid w:val="0"/>
        </w:rPr>
        <w:t xml:space="preserve">This revision requests a decrease in annual estimated respondents from 193 to 100. </w:t>
      </w:r>
      <w:r>
        <w:rPr>
          <w:bCs/>
          <w:snapToGrid w:val="0"/>
        </w:rPr>
        <w:t xml:space="preserve">The reduction in </w:t>
      </w:r>
      <w:r>
        <w:rPr>
          <w:bCs/>
          <w:snapToGrid w:val="0"/>
        </w:rPr>
        <w:t xml:space="preserve">number of respondents for this group reflects the overall usage from the most recent approval period and the effects of reorganization on programming. </w:t>
      </w:r>
    </w:p>
    <w:p w:rsidR="009D5C53" w:rsidRPr="001A24BD" w:rsidP="009D5C53" w14:paraId="5A7FA89C" w14:textId="77777777">
      <w:pPr>
        <w:pStyle w:val="ListParagraph"/>
        <w:numPr>
          <w:ilvl w:val="0"/>
          <w:numId w:val="27"/>
        </w:numPr>
        <w:rPr>
          <w:b/>
          <w:snapToGrid w:val="0"/>
        </w:rPr>
      </w:pPr>
      <w:r w:rsidRPr="00AF6A50">
        <w:rPr>
          <w:b/>
          <w:snapToGrid w:val="0"/>
        </w:rPr>
        <w:t xml:space="preserve">Alumni: </w:t>
      </w:r>
      <w:r w:rsidRPr="00D12254">
        <w:rPr>
          <w:bCs/>
          <w:snapToGrid w:val="0"/>
        </w:rPr>
        <w:t xml:space="preserve">The </w:t>
      </w:r>
      <w:r>
        <w:rPr>
          <w:bCs/>
          <w:snapToGrid w:val="0"/>
        </w:rPr>
        <w:t xml:space="preserve">estimated </w:t>
      </w:r>
      <w:r w:rsidRPr="00D12254">
        <w:rPr>
          <w:bCs/>
          <w:snapToGrid w:val="0"/>
        </w:rPr>
        <w:t>average</w:t>
      </w:r>
      <w:r>
        <w:rPr>
          <w:snapToGrid w:val="0"/>
        </w:rPr>
        <w:t xml:space="preserve"> burden per response for alumni is reduced in this revision 20 minutes per response. This reduction is based on analysis of alumni-specific collections from the previous approval period. This revision requests a decrease in annual estimated respondents from 1932 to 375. </w:t>
      </w:r>
    </w:p>
    <w:p w:rsidR="007E3568" w:rsidP="007C6126" w14:paraId="76E756EE" w14:textId="6CF0BA97"/>
    <w:p w:rsidR="00E3005D" w:rsidRPr="0072690B" w:rsidP="007C6126" w14:paraId="53F5A8B4" w14:textId="5F917BED">
      <w:r w:rsidRPr="002201A0">
        <w:rPr>
          <w:snapToGrid w:val="0"/>
        </w:rPr>
        <w:t>The total estimated annualized number of responses is 1,225</w:t>
      </w:r>
      <w:r w:rsidR="005A089C">
        <w:rPr>
          <w:snapToGrid w:val="0"/>
        </w:rPr>
        <w:t xml:space="preserve"> (a reduction of </w:t>
      </w:r>
      <w:r w:rsidR="009F0726">
        <w:rPr>
          <w:snapToGrid w:val="0"/>
        </w:rPr>
        <w:t>1866 responses)</w:t>
      </w:r>
      <w:r w:rsidRPr="002201A0">
        <w:rPr>
          <w:snapToGrid w:val="0"/>
        </w:rPr>
        <w:t xml:space="preserve"> and the total estimated annualized burden hours are 550</w:t>
      </w:r>
      <w:r>
        <w:rPr>
          <w:snapToGrid w:val="0"/>
        </w:rPr>
        <w:t xml:space="preserve"> (a reduction of 99</w:t>
      </w:r>
      <w:r w:rsidR="008D6847">
        <w:rPr>
          <w:snapToGrid w:val="0"/>
        </w:rPr>
        <w:t>6</w:t>
      </w:r>
      <w:r>
        <w:rPr>
          <w:snapToGrid w:val="0"/>
        </w:rPr>
        <w:t xml:space="preserve"> hours)</w:t>
      </w:r>
      <w:r w:rsidRPr="002201A0">
        <w:rPr>
          <w:snapToGrid w:val="0"/>
        </w:rPr>
        <w:t>. Over the proposed three-year period of this generic, the total estimated number of responses is 3,675 and the total estimated burden hours are 1,650.</w:t>
      </w:r>
      <w:r w:rsidRPr="00FC2C8D">
        <w:rPr>
          <w:snapToGrid w:val="0"/>
        </w:rPr>
        <w:t>  </w:t>
      </w:r>
    </w:p>
    <w:p w:rsidR="00B021AB" w:rsidP="00F73654" w14:paraId="21FB4D79" w14:textId="77777777">
      <w:pPr>
        <w:rPr>
          <w:rFonts w:eastAsia="Arial Unicode MS"/>
          <w:u w:color="000000"/>
        </w:rPr>
      </w:pPr>
    </w:p>
    <w:p w:rsidR="00E1664A" w:rsidRPr="005F3B66" w:rsidP="00F73654" w14:paraId="1770DD26" w14:textId="77777777">
      <w:pPr>
        <w:rPr>
          <w:color w:val="000000"/>
        </w:rPr>
      </w:pPr>
    </w:p>
    <w:p w:rsidR="00676995" w:rsidP="00F73654" w14:paraId="40D7E729" w14:textId="77777777">
      <w:pPr>
        <w:pStyle w:val="Heading1"/>
      </w:pPr>
      <w:bookmarkStart w:id="43" w:name="_Toc299968011"/>
      <w:bookmarkStart w:id="44" w:name="_Toc452565367"/>
      <w:r w:rsidRPr="00603EE4">
        <w:rPr>
          <w:rStyle w:val="Heading1Char"/>
          <w:b/>
        </w:rPr>
        <w:t>A.16</w:t>
      </w:r>
      <w:r w:rsidR="00332BEE">
        <w:rPr>
          <w:rStyle w:val="Heading1Char"/>
          <w:b/>
        </w:rPr>
        <w:t xml:space="preserve">. </w:t>
      </w:r>
      <w:r w:rsidRPr="005F3B66" w:rsidR="007D61BF">
        <w:t>Plans for Tabulation and Publication and Project Time Schedule</w:t>
      </w:r>
      <w:bookmarkEnd w:id="43"/>
      <w:bookmarkEnd w:id="44"/>
    </w:p>
    <w:p w:rsidR="00AF7236" w:rsidP="00F73654" w14:paraId="35CBDF52" w14:textId="70242ED9">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intended use of </w:t>
      </w:r>
      <w:r w:rsidRPr="005F3B66" w:rsidR="00C665E6">
        <w:t xml:space="preserve">results of </w:t>
      </w:r>
      <w:r>
        <w:t xml:space="preserve">the </w:t>
      </w:r>
      <w:r w:rsidR="00625B84">
        <w:t>data collect</w:t>
      </w:r>
      <w:r w:rsidR="003F3250">
        <w:t>ed under this generic ICR</w:t>
      </w:r>
      <w:r w:rsidRPr="005F3B66" w:rsidR="00C665E6">
        <w:t xml:space="preserve"> </w:t>
      </w:r>
      <w:r w:rsidR="00E65805">
        <w:t>is</w:t>
      </w:r>
      <w:r w:rsidR="0090037B">
        <w:t xml:space="preserve"> </w:t>
      </w:r>
      <w:r w:rsidRPr="005F3B66" w:rsidR="00C665E6">
        <w:t xml:space="preserve">to </w:t>
      </w:r>
      <w:r w:rsidR="00E1664A">
        <w:t>guide</w:t>
      </w:r>
      <w:r w:rsidRPr="005F3B66" w:rsidR="00E1664A">
        <w:t xml:space="preserve"> </w:t>
      </w:r>
      <w:r w:rsidR="00C665E6">
        <w:t>improvements, strategies development</w:t>
      </w:r>
      <w:r w:rsidR="00432782">
        <w:t>,</w:t>
      </w:r>
      <w:r w:rsidR="00C665E6">
        <w:t xml:space="preserve"> and decision making for program planning, recruitment, training, education, and communication activities</w:t>
      </w:r>
      <w:r w:rsidRPr="005F3B66" w:rsidR="00C665E6">
        <w:t xml:space="preserve">. In </w:t>
      </w:r>
      <w:r w:rsidR="004605CF">
        <w:t>some</w:t>
      </w:r>
      <w:r w:rsidRPr="005F3B66" w:rsidR="004605CF">
        <w:t xml:space="preserve"> </w:t>
      </w:r>
      <w:r w:rsidRPr="005F3B66" w:rsidR="00C665E6">
        <w:t xml:space="preserve">cases, results </w:t>
      </w:r>
      <w:r>
        <w:t>may be</w:t>
      </w:r>
      <w:r w:rsidRPr="005F3B66" w:rsidR="00C665E6">
        <w:t xml:space="preserve"> presented at professional conferences and</w:t>
      </w:r>
      <w:r w:rsidR="003E7010">
        <w:t xml:space="preserve"> </w:t>
      </w:r>
      <w:r w:rsidR="005B72AA">
        <w:t>considered</w:t>
      </w:r>
      <w:r w:rsidR="003E7010">
        <w:t xml:space="preserve"> for </w:t>
      </w:r>
      <w:r w:rsidR="005B72AA">
        <w:t>publication</w:t>
      </w:r>
      <w:r w:rsidRPr="005F3B66" w:rsidR="00C665E6">
        <w:t xml:space="preserve"> in peer-reviewed journals. </w:t>
      </w:r>
      <w:r>
        <w:t xml:space="preserve">In cases where </w:t>
      </w:r>
      <w:r w:rsidR="00432782">
        <w:t xml:space="preserve">collection results </w:t>
      </w:r>
      <w:r>
        <w:t>under this generic mechanism are disseminated via publication or other forms of communication, the authors will clearly describe scope of the collection, types of respondents sampled, and lack of direct generalizability to groups outside the specified fellowship program.</w:t>
      </w:r>
    </w:p>
    <w:p w:rsidR="00D41175" w:rsidP="00F73654" w14:paraId="694314F1"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89620E" w:rsidP="00F73654" w14:paraId="4D875EAE"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F3B66">
        <w:t>Project timelines will var</w:t>
      </w:r>
      <w:r w:rsidR="00432782">
        <w:t xml:space="preserve">y as a function of specific </w:t>
      </w:r>
      <w:r w:rsidRPr="005F3B66">
        <w:t>program requirements</w:t>
      </w:r>
      <w:r w:rsidR="00432782">
        <w:t>,</w:t>
      </w:r>
      <w:r w:rsidRPr="005F3B66">
        <w:t xml:space="preserve"> </w:t>
      </w:r>
      <w:r w:rsidR="00432782">
        <w:t xml:space="preserve">associated </w:t>
      </w:r>
      <w:r w:rsidRPr="005F3B66">
        <w:t>activity</w:t>
      </w:r>
      <w:r w:rsidR="00432782">
        <w:t>, and nature of the collection.</w:t>
      </w:r>
      <w:r w:rsidRPr="005F3B66">
        <w:t xml:space="preserve"> </w:t>
      </w:r>
      <w:r w:rsidR="009000B8">
        <w:t xml:space="preserve">Table A.16 </w:t>
      </w:r>
      <w:r w:rsidR="00432782">
        <w:t xml:space="preserve">depicts </w:t>
      </w:r>
      <w:r w:rsidR="00AE2D52">
        <w:t xml:space="preserve">an estimated timeline for each project. </w:t>
      </w:r>
      <w:r w:rsidR="00FE3D4F">
        <w:t xml:space="preserve">Each </w:t>
      </w:r>
      <w:r w:rsidR="00FE3D4F">
        <w:t>genIC</w:t>
      </w:r>
      <w:r w:rsidR="00FE3D4F">
        <w:t xml:space="preserve"> </w:t>
      </w:r>
      <w:r w:rsidR="00432782">
        <w:t xml:space="preserve">project team </w:t>
      </w:r>
      <w:r w:rsidR="00FE3D4F">
        <w:t>must</w:t>
      </w:r>
      <w:r w:rsidR="00E756CF">
        <w:t xml:space="preserve"> include an estimated </w:t>
      </w:r>
      <w:r w:rsidR="00FE3D4F">
        <w:t xml:space="preserve">schedule </w:t>
      </w:r>
      <w:r w:rsidR="00432782">
        <w:t xml:space="preserve">of start </w:t>
      </w:r>
      <w:r w:rsidR="005E66DA">
        <w:t>dates</w:t>
      </w:r>
      <w:r w:rsidR="003C660A">
        <w:t xml:space="preserve"> for defined </w:t>
      </w:r>
      <w:r w:rsidR="00D75E69">
        <w:t>activities</w:t>
      </w:r>
      <w:r w:rsidR="0090037B">
        <w:t>, allowing sufficient</w:t>
      </w:r>
      <w:r w:rsidR="00FE3D4F">
        <w:t xml:space="preserve"> time for delays</w:t>
      </w:r>
      <w:r w:rsidR="00432782">
        <w:t xml:space="preserve">, </w:t>
      </w:r>
      <w:r w:rsidR="00FE3D4F">
        <w:t>unforeseen circumstances</w:t>
      </w:r>
      <w:r w:rsidR="0090037B">
        <w:t>,</w:t>
      </w:r>
      <w:r w:rsidR="005E66DA">
        <w:t xml:space="preserve"> </w:t>
      </w:r>
      <w:r w:rsidR="0090037B">
        <w:t xml:space="preserve">and </w:t>
      </w:r>
      <w:r w:rsidR="00432782">
        <w:t xml:space="preserve">the following efforts: </w:t>
      </w:r>
    </w:p>
    <w:p w:rsidR="0032394E" w:rsidP="00F73654" w14:paraId="5D482016" w14:textId="77777777">
      <w:pPr>
        <w:pStyle w:val="ListParagraph"/>
        <w:numPr>
          <w:ilvl w:val="0"/>
          <w:numId w:val="6"/>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Sampling or </w:t>
      </w:r>
      <w:r w:rsidR="00CA138D">
        <w:t>r</w:t>
      </w:r>
      <w:r>
        <w:t>ecruitment of participants</w:t>
      </w:r>
    </w:p>
    <w:p w:rsidR="00C665E6" w:rsidP="00F73654" w14:paraId="3303D4E5" w14:textId="77777777">
      <w:pPr>
        <w:pStyle w:val="ListParagraph"/>
        <w:numPr>
          <w:ilvl w:val="0"/>
          <w:numId w:val="6"/>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Each </w:t>
      </w:r>
      <w:r w:rsidR="00CA138D">
        <w:t>i</w:t>
      </w:r>
      <w:r>
        <w:t>nf</w:t>
      </w:r>
      <w:r w:rsidR="00C91557">
        <w:t xml:space="preserve">ormation or </w:t>
      </w:r>
      <w:r w:rsidR="00CA138D">
        <w:t>d</w:t>
      </w:r>
      <w:r>
        <w:t xml:space="preserve">ata </w:t>
      </w:r>
      <w:r w:rsidR="00FA4A32">
        <w:t>c</w:t>
      </w:r>
      <w:r>
        <w:t>ollection</w:t>
      </w:r>
    </w:p>
    <w:p w:rsidR="0032394E" w:rsidP="00F73654" w14:paraId="350B140F" w14:textId="77777777">
      <w:pPr>
        <w:pStyle w:val="ListParagraph"/>
        <w:numPr>
          <w:ilvl w:val="0"/>
          <w:numId w:val="6"/>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Quality </w:t>
      </w:r>
      <w:r w:rsidR="00CA138D">
        <w:t>c</w:t>
      </w:r>
      <w:r>
        <w:t>ontrol of data and coding</w:t>
      </w:r>
    </w:p>
    <w:p w:rsidR="00F21E28" w:rsidP="00F73654" w14:paraId="050D4624" w14:textId="77777777">
      <w:pPr>
        <w:pStyle w:val="ListParagraph"/>
        <w:numPr>
          <w:ilvl w:val="0"/>
          <w:numId w:val="6"/>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Validation of data (e.g., </w:t>
      </w:r>
      <w:r w:rsidR="00432782">
        <w:t xml:space="preserve">respondent </w:t>
      </w:r>
      <w:r>
        <w:t>follow</w:t>
      </w:r>
      <w:r w:rsidR="00432782">
        <w:t>-</w:t>
      </w:r>
      <w:r>
        <w:t>up)</w:t>
      </w:r>
    </w:p>
    <w:p w:rsidR="0032394E" w:rsidP="00F73654" w14:paraId="69487984" w14:textId="77777777">
      <w:pPr>
        <w:pStyle w:val="ListParagraph"/>
        <w:numPr>
          <w:ilvl w:val="0"/>
          <w:numId w:val="6"/>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Analyses</w:t>
      </w:r>
    </w:p>
    <w:p w:rsidR="003267C2" w:rsidP="00F73654" w14:paraId="1C6A9DC3" w14:textId="77777777">
      <w:pPr>
        <w:pStyle w:val="ListParagraph"/>
        <w:numPr>
          <w:ilvl w:val="0"/>
          <w:numId w:val="6"/>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Reports</w:t>
      </w:r>
      <w:r w:rsidR="00CA138D">
        <w:t>, presentations, or p</w:t>
      </w:r>
      <w:r w:rsidR="0032394E">
        <w:t>ublications</w:t>
      </w:r>
    </w:p>
    <w:p w:rsidR="00CA3DFD" w:rsidP="00F73654" w14:paraId="41330F64" w14:textId="77777777">
      <w:pPr>
        <w:pStyle w:val="ListParagraph"/>
        <w:numPr>
          <w:ilvl w:val="0"/>
          <w:numId w:val="6"/>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Other </w:t>
      </w:r>
      <w:r w:rsidR="009F1AEC">
        <w:t>a</w:t>
      </w:r>
      <w:r>
        <w:t>ctions</w:t>
      </w:r>
    </w:p>
    <w:p w:rsidR="007D61BF" w:rsidRPr="005F3B66" w:rsidP="00F73654" w14:paraId="5EE24917" w14:textId="77777777">
      <w:pPr>
        <w:rPr>
          <w:color w:val="000000"/>
        </w:rPr>
      </w:pPr>
    </w:p>
    <w:p w:rsidR="007D61BF" w:rsidRPr="00882F44" w:rsidP="00F73654" w14:paraId="2A1AE86D" w14:textId="152306CE">
      <w:pPr>
        <w:keepNext/>
        <w:rPr>
          <w:b/>
        </w:rPr>
      </w:pPr>
      <w:bookmarkStart w:id="45" w:name="_Toc295817070"/>
      <w:bookmarkStart w:id="46" w:name="_Toc295817605"/>
      <w:bookmarkStart w:id="47" w:name="_Toc295818086"/>
      <w:bookmarkStart w:id="48" w:name="_Toc295819859"/>
      <w:r w:rsidRPr="00882F44">
        <w:rPr>
          <w:b/>
        </w:rPr>
        <w:t>Table A.16</w:t>
      </w:r>
      <w:bookmarkEnd w:id="45"/>
      <w:bookmarkEnd w:id="46"/>
      <w:bookmarkEnd w:id="47"/>
      <w:bookmarkEnd w:id="48"/>
      <w:r w:rsidR="009000B8">
        <w:rPr>
          <w:b/>
        </w:rPr>
        <w:t>: Estimated Project Timeline</w:t>
      </w:r>
      <w:r w:rsidR="00EB25C6">
        <w:rPr>
          <w:b/>
        </w:rPr>
        <w:t xml:space="preserve"> for </w:t>
      </w:r>
      <w:r w:rsidR="00EB25C6">
        <w:rPr>
          <w:b/>
        </w:rPr>
        <w:t>GenICs</w:t>
      </w:r>
    </w:p>
    <w:tbl>
      <w:tblPr>
        <w:tblStyle w:val="TableGrid"/>
        <w:tblW w:w="5000" w:type="pct"/>
        <w:tblLook w:val="04A0"/>
      </w:tblPr>
      <w:tblGrid>
        <w:gridCol w:w="4314"/>
        <w:gridCol w:w="5036"/>
      </w:tblGrid>
      <w:tr w14:paraId="48E6F13D" w14:textId="77777777" w:rsidTr="00ED589E">
        <w:tblPrEx>
          <w:tblW w:w="5000" w:type="pct"/>
          <w:tblLook w:val="04A0"/>
        </w:tblPrEx>
        <w:trPr>
          <w:cantSplit/>
          <w:trHeight w:val="341"/>
        </w:trPr>
        <w:tc>
          <w:tcPr>
            <w:tcW w:w="5000" w:type="pct"/>
            <w:gridSpan w:val="2"/>
          </w:tcPr>
          <w:p w:rsidR="001251E8" w:rsidRPr="00293B96" w:rsidP="00F73654" w14:paraId="655354BE" w14:textId="77777777">
            <w:pPr>
              <w:keepNext/>
              <w:jc w:val="center"/>
              <w:rPr>
                <w:b/>
              </w:rPr>
            </w:pPr>
            <w:r>
              <w:rPr>
                <w:b/>
              </w:rPr>
              <w:t>Project Time Schedule</w:t>
            </w:r>
          </w:p>
        </w:tc>
      </w:tr>
      <w:tr w14:paraId="17A15D4B" w14:textId="77777777" w:rsidTr="00ED589E">
        <w:tblPrEx>
          <w:tblW w:w="5000" w:type="pct"/>
          <w:tblLook w:val="04A0"/>
        </w:tblPrEx>
        <w:trPr>
          <w:cantSplit/>
          <w:trHeight w:val="332"/>
        </w:trPr>
        <w:tc>
          <w:tcPr>
            <w:tcW w:w="2307" w:type="pct"/>
          </w:tcPr>
          <w:p w:rsidR="001251E8" w:rsidRPr="00293B96" w:rsidP="00F73654" w14:paraId="5EC1806F" w14:textId="77777777">
            <w:pPr>
              <w:rPr>
                <w:b/>
              </w:rPr>
            </w:pPr>
            <w:r>
              <w:rPr>
                <w:b/>
              </w:rPr>
              <w:t>Activity</w:t>
            </w:r>
          </w:p>
        </w:tc>
        <w:tc>
          <w:tcPr>
            <w:tcW w:w="2693" w:type="pct"/>
          </w:tcPr>
          <w:p w:rsidR="001251E8" w:rsidRPr="00293B96" w:rsidP="00F73654" w14:paraId="406902E8" w14:textId="77777777">
            <w:pPr>
              <w:rPr>
                <w:b/>
              </w:rPr>
            </w:pPr>
            <w:r>
              <w:rPr>
                <w:b/>
              </w:rPr>
              <w:t>Time Schedule</w:t>
            </w:r>
          </w:p>
        </w:tc>
      </w:tr>
      <w:tr w14:paraId="3AE09DEE" w14:textId="77777777" w:rsidTr="009E3CFB">
        <w:tblPrEx>
          <w:tblW w:w="5000" w:type="pct"/>
          <w:tblLook w:val="04A0"/>
        </w:tblPrEx>
        <w:trPr>
          <w:cantSplit/>
          <w:trHeight w:val="720"/>
        </w:trPr>
        <w:tc>
          <w:tcPr>
            <w:tcW w:w="2307" w:type="pct"/>
          </w:tcPr>
          <w:p w:rsidR="001251E8" w:rsidRPr="000E3671" w:rsidP="00F73654" w14:paraId="1A3BC578" w14:textId="0C949C85">
            <w:r>
              <w:t>Design methods and data collection instruments</w:t>
            </w:r>
            <w:r w:rsidR="00DA1E99">
              <w:t xml:space="preserve">, including </w:t>
            </w:r>
            <w:r w:rsidR="00847454">
              <w:t>collection of IFF</w:t>
            </w:r>
          </w:p>
        </w:tc>
        <w:tc>
          <w:tcPr>
            <w:tcW w:w="2693" w:type="pct"/>
          </w:tcPr>
          <w:p w:rsidR="001251E8" w:rsidP="00F73654" w14:paraId="02135641" w14:textId="77777777">
            <w:pPr>
              <w:rPr>
                <w:u w:val="single"/>
              </w:rPr>
            </w:pPr>
            <w:r>
              <w:t>At least 5 months prior to data collection</w:t>
            </w:r>
          </w:p>
        </w:tc>
      </w:tr>
      <w:tr w14:paraId="797E58E9" w14:textId="77777777" w:rsidTr="009E3CFB">
        <w:tblPrEx>
          <w:tblW w:w="5000" w:type="pct"/>
          <w:tblLook w:val="04A0"/>
        </w:tblPrEx>
        <w:trPr>
          <w:cantSplit/>
          <w:trHeight w:val="720"/>
        </w:trPr>
        <w:tc>
          <w:tcPr>
            <w:tcW w:w="2307" w:type="pct"/>
          </w:tcPr>
          <w:p w:rsidR="00AE3725" w:rsidP="00F73654" w14:paraId="561794A5" w14:textId="5DB69AE9">
            <w:r>
              <w:t xml:space="preserve">Research </w:t>
            </w:r>
            <w:r>
              <w:t>determination</w:t>
            </w:r>
          </w:p>
        </w:tc>
        <w:tc>
          <w:tcPr>
            <w:tcW w:w="2693" w:type="pct"/>
          </w:tcPr>
          <w:p w:rsidR="00AE3725" w:rsidP="00F73654" w14:paraId="61AE5EF9" w14:textId="77777777">
            <w:r>
              <w:t>At least 4-5 months prior to data collection</w:t>
            </w:r>
          </w:p>
        </w:tc>
      </w:tr>
      <w:tr w14:paraId="46221900" w14:textId="77777777" w:rsidTr="009E3CFB">
        <w:tblPrEx>
          <w:tblW w:w="5000" w:type="pct"/>
          <w:tblLook w:val="04A0"/>
        </w:tblPrEx>
        <w:trPr>
          <w:cantSplit/>
          <w:trHeight w:val="720"/>
        </w:trPr>
        <w:tc>
          <w:tcPr>
            <w:tcW w:w="2307" w:type="pct"/>
          </w:tcPr>
          <w:p w:rsidR="001251E8" w:rsidRPr="000E3671" w:rsidP="00F73654" w14:paraId="5ACC79F0" w14:textId="77777777">
            <w:pPr>
              <w:tabs>
                <w:tab w:val="left" w:pos="3173"/>
              </w:tabs>
            </w:pPr>
            <w:r>
              <w:t xml:space="preserve">Develop </w:t>
            </w:r>
            <w:r>
              <w:t>genIC</w:t>
            </w:r>
            <w:r>
              <w:t xml:space="preserve"> request</w:t>
            </w:r>
          </w:p>
        </w:tc>
        <w:tc>
          <w:tcPr>
            <w:tcW w:w="2693" w:type="pct"/>
          </w:tcPr>
          <w:p w:rsidR="001251E8" w:rsidRPr="002841E4" w:rsidP="00F73654" w14:paraId="716EE3B2" w14:textId="77777777">
            <w:r>
              <w:t>At least 3-4 months prior to data collection</w:t>
            </w:r>
          </w:p>
        </w:tc>
      </w:tr>
      <w:tr w14:paraId="572AC551" w14:textId="77777777" w:rsidTr="009E3CFB">
        <w:tblPrEx>
          <w:tblW w:w="5000" w:type="pct"/>
          <w:tblLook w:val="04A0"/>
        </w:tblPrEx>
        <w:trPr>
          <w:cantSplit/>
          <w:trHeight w:val="720"/>
        </w:trPr>
        <w:tc>
          <w:tcPr>
            <w:tcW w:w="2307" w:type="pct"/>
          </w:tcPr>
          <w:p w:rsidR="001251E8" w:rsidP="00F73654" w14:paraId="25260039" w14:textId="77777777">
            <w:pPr>
              <w:tabs>
                <w:tab w:val="left" w:pos="3173"/>
              </w:tabs>
            </w:pPr>
            <w:r>
              <w:t xml:space="preserve">Submit </w:t>
            </w:r>
            <w:r>
              <w:t>genIC</w:t>
            </w:r>
            <w:r>
              <w:t xml:space="preserve"> to ICRO (then ICRO into ROCIS)</w:t>
            </w:r>
          </w:p>
        </w:tc>
        <w:tc>
          <w:tcPr>
            <w:tcW w:w="2693" w:type="pct"/>
          </w:tcPr>
          <w:p w:rsidR="001251E8" w:rsidP="00F73654" w14:paraId="3DE361C6" w14:textId="77777777">
            <w:r>
              <w:t>3 months prior to data collection</w:t>
            </w:r>
          </w:p>
        </w:tc>
      </w:tr>
      <w:tr w14:paraId="26AE9858" w14:textId="77777777" w:rsidTr="009E3CFB">
        <w:tblPrEx>
          <w:tblW w:w="5000" w:type="pct"/>
          <w:tblLook w:val="04A0"/>
        </w:tblPrEx>
        <w:trPr>
          <w:cantSplit/>
          <w:trHeight w:val="720"/>
        </w:trPr>
        <w:tc>
          <w:tcPr>
            <w:tcW w:w="2307" w:type="pct"/>
          </w:tcPr>
          <w:p w:rsidR="001251E8" w:rsidP="00F73654" w14:paraId="1EE08CD8" w14:textId="77777777">
            <w:r>
              <w:t xml:space="preserve">Receive OMB approval for </w:t>
            </w:r>
            <w:r>
              <w:t>genIC</w:t>
            </w:r>
          </w:p>
        </w:tc>
        <w:tc>
          <w:tcPr>
            <w:tcW w:w="2693" w:type="pct"/>
          </w:tcPr>
          <w:p w:rsidR="001251E8" w:rsidRPr="002841E4" w:rsidP="00F73654" w14:paraId="2787FAD5" w14:textId="77777777">
            <w:r>
              <w:t>At least 1 month prior to data collection</w:t>
            </w:r>
          </w:p>
        </w:tc>
      </w:tr>
      <w:tr w14:paraId="725AA2BC" w14:textId="77777777" w:rsidTr="009E3CFB">
        <w:tblPrEx>
          <w:tblW w:w="5000" w:type="pct"/>
          <w:tblLook w:val="04A0"/>
        </w:tblPrEx>
        <w:trPr>
          <w:cantSplit/>
          <w:trHeight w:val="720"/>
        </w:trPr>
        <w:tc>
          <w:tcPr>
            <w:tcW w:w="2307" w:type="pct"/>
          </w:tcPr>
          <w:p w:rsidR="001251E8" w:rsidP="00F73654" w14:paraId="13172F14" w14:textId="77777777">
            <w:r>
              <w:t>Implement data recruitment and collection</w:t>
            </w:r>
          </w:p>
        </w:tc>
        <w:tc>
          <w:tcPr>
            <w:tcW w:w="2693" w:type="pct"/>
          </w:tcPr>
          <w:p w:rsidR="001251E8" w:rsidRPr="00555A66" w:rsidP="00F73654" w14:paraId="7B75D433" w14:textId="77777777">
            <w:r>
              <w:t xml:space="preserve">As soon as </w:t>
            </w:r>
            <w:r>
              <w:t>genIC</w:t>
            </w:r>
            <w:r>
              <w:t xml:space="preserve"> is approved or as indicated by the </w:t>
            </w:r>
            <w:r>
              <w:t>genIC</w:t>
            </w:r>
            <w:r>
              <w:t xml:space="preserve"> data collection plan</w:t>
            </w:r>
          </w:p>
        </w:tc>
      </w:tr>
      <w:tr w14:paraId="2255D8CB" w14:textId="77777777" w:rsidTr="009E3CFB">
        <w:tblPrEx>
          <w:tblW w:w="5000" w:type="pct"/>
          <w:tblLook w:val="04A0"/>
        </w:tblPrEx>
        <w:trPr>
          <w:cantSplit/>
          <w:trHeight w:val="720"/>
        </w:trPr>
        <w:tc>
          <w:tcPr>
            <w:tcW w:w="2307" w:type="pct"/>
          </w:tcPr>
          <w:p w:rsidR="001251E8" w:rsidP="00F73654" w14:paraId="1A21EA07" w14:textId="77777777">
            <w:r>
              <w:t>Analyze data as planned</w:t>
            </w:r>
          </w:p>
        </w:tc>
        <w:tc>
          <w:tcPr>
            <w:tcW w:w="2693" w:type="pct"/>
          </w:tcPr>
          <w:p w:rsidR="001251E8" w:rsidP="00F73654" w14:paraId="221BDF65" w14:textId="77777777">
            <w:r>
              <w:t>Approximately within 3 months of close of data collection</w:t>
            </w:r>
          </w:p>
        </w:tc>
      </w:tr>
      <w:tr w14:paraId="0577806E" w14:textId="77777777" w:rsidTr="009E3CFB">
        <w:tblPrEx>
          <w:tblW w:w="5000" w:type="pct"/>
          <w:tblLook w:val="04A0"/>
        </w:tblPrEx>
        <w:trPr>
          <w:cantSplit/>
          <w:trHeight w:val="720"/>
        </w:trPr>
        <w:tc>
          <w:tcPr>
            <w:tcW w:w="2307" w:type="pct"/>
          </w:tcPr>
          <w:p w:rsidR="001251E8" w:rsidRPr="000C7351" w:rsidP="00F73654" w14:paraId="526AB8F0" w14:textId="3AC28109">
            <w:r>
              <w:t>Disseminate findings</w:t>
            </w:r>
          </w:p>
        </w:tc>
        <w:tc>
          <w:tcPr>
            <w:tcW w:w="2693" w:type="pct"/>
          </w:tcPr>
          <w:p w:rsidR="001251E8" w:rsidP="00F73654" w14:paraId="6345BD2E" w14:textId="5D7F2935">
            <w:r>
              <w:t xml:space="preserve">Approximately within 6 months of close of data collection: communicate to leadership, program, or </w:t>
            </w:r>
            <w:r w:rsidR="00795C56">
              <w:t xml:space="preserve">interest holder </w:t>
            </w:r>
            <w:r>
              <w:t>about results and recommendations for improvement or actions</w:t>
            </w:r>
          </w:p>
        </w:tc>
      </w:tr>
    </w:tbl>
    <w:p w:rsidR="009000B8" w:rsidRPr="005F3B66" w:rsidP="00F73654" w14:paraId="2A30E252" w14:textId="77777777">
      <w:pPr>
        <w:rPr>
          <w:color w:val="000000"/>
        </w:rPr>
      </w:pPr>
    </w:p>
    <w:p w:rsidR="007D61BF" w:rsidRPr="005F3B66" w:rsidP="00F73654" w14:paraId="3067238E" w14:textId="77777777">
      <w:pPr>
        <w:pStyle w:val="Heading1"/>
      </w:pPr>
      <w:bookmarkStart w:id="49" w:name="_Toc299968012"/>
      <w:bookmarkStart w:id="50" w:name="_Toc452565368"/>
      <w:r w:rsidRPr="005F3B66">
        <w:t>A.17</w:t>
      </w:r>
      <w:r w:rsidR="00332BEE">
        <w:rPr>
          <w:b w:val="0"/>
        </w:rPr>
        <w:t xml:space="preserve">. </w:t>
      </w:r>
      <w:r w:rsidRPr="005F3B66">
        <w:t>Reason(s) Display of OMB Expiration Date is Inappropriate</w:t>
      </w:r>
      <w:bookmarkEnd w:id="49"/>
      <w:bookmarkEnd w:id="50"/>
    </w:p>
    <w:p w:rsidR="009000B8" w:rsidP="00F73654" w14:paraId="7FCBC829" w14:textId="77777777">
      <w:r w:rsidRPr="005F3B66">
        <w:t>The display of the OMB expiration date is not inappropriate.</w:t>
      </w:r>
    </w:p>
    <w:p w:rsidR="00C31893" w:rsidRPr="005F3B66" w:rsidP="00F73654" w14:paraId="47CADB55" w14:textId="77777777">
      <w:pPr>
        <w:rPr>
          <w:color w:val="000000"/>
        </w:rPr>
      </w:pPr>
    </w:p>
    <w:p w:rsidR="00A20172" w:rsidP="00F73654" w14:paraId="4C4D3142" w14:textId="77777777">
      <w:pPr>
        <w:pStyle w:val="Heading1"/>
      </w:pPr>
      <w:bookmarkStart w:id="51" w:name="_Toc299968013"/>
      <w:bookmarkStart w:id="52" w:name="_Toc452565369"/>
      <w:r w:rsidRPr="005F3B66">
        <w:t>A.18</w:t>
      </w:r>
      <w:r w:rsidR="00332BEE">
        <w:t xml:space="preserve">. </w:t>
      </w:r>
      <w:r w:rsidRPr="005F3B66">
        <w:t>Exceptions to Certification for Paperwork Reduction Act Submissions</w:t>
      </w:r>
      <w:bookmarkStart w:id="53" w:name="_Toc295817074"/>
      <w:bookmarkStart w:id="54" w:name="_Toc295817609"/>
      <w:bookmarkStart w:id="55" w:name="_Toc295818090"/>
      <w:bookmarkStart w:id="56" w:name="_Toc295819863"/>
      <w:bookmarkEnd w:id="51"/>
      <w:bookmarkEnd w:id="52"/>
    </w:p>
    <w:p w:rsidR="007D61BF" w:rsidRPr="005F3B66" w:rsidP="00F73654" w14:paraId="48678199" w14:textId="77777777">
      <w:r>
        <w:t>There are no</w:t>
      </w:r>
      <w:r w:rsidRPr="005F3B66">
        <w:t xml:space="preserve"> </w:t>
      </w:r>
      <w:r w:rsidR="003773FD">
        <w:t>exceptions to the certification</w:t>
      </w:r>
      <w:r w:rsidRPr="005F3B66">
        <w:t>.</w:t>
      </w:r>
      <w:bookmarkEnd w:id="53"/>
      <w:bookmarkEnd w:id="54"/>
      <w:bookmarkEnd w:id="55"/>
      <w:bookmarkEnd w:id="56"/>
    </w:p>
    <w:sectPr w:rsidSect="00E01113">
      <w:footerReference w:type="default" r:id="rId18"/>
      <w:type w:val="continuous"/>
      <w:pgSz w:w="12240" w:h="15840" w:code="1"/>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10cpi">
    <w:altName w:val="Courier New"/>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5A5F" w14:paraId="5825157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10F6" w:rsidP="00E01113" w14:paraId="6538F640" w14:textId="7777777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5A5F" w14:paraId="6AFE1307"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94986049"/>
      <w:docPartObj>
        <w:docPartGallery w:val="Page Numbers (Bottom of Page)"/>
        <w:docPartUnique/>
      </w:docPartObj>
    </w:sdtPr>
    <w:sdtEndPr>
      <w:rPr>
        <w:noProof/>
      </w:rPr>
    </w:sdtEndPr>
    <w:sdtContent>
      <w:p w:rsidR="00CB10F6" w:rsidP="00E01113" w14:paraId="59EF8488" w14:textId="77777777">
        <w:pPr>
          <w:pStyle w:val="Footer"/>
          <w:jc w:val="right"/>
        </w:pPr>
        <w:r>
          <w:fldChar w:fldCharType="begin"/>
        </w:r>
        <w:r>
          <w:instrText xml:space="preserve"> PAGE   \* MERGEFORMAT </w:instrText>
        </w:r>
        <w:r>
          <w:fldChar w:fldCharType="separate"/>
        </w:r>
        <w:r w:rsidR="00350871">
          <w:rPr>
            <w:noProof/>
          </w:rPr>
          <w:t>13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109EE" w:rsidP="00E01113" w14:paraId="3393D4A3" w14:textId="77777777">
      <w:r>
        <w:separator/>
      </w:r>
    </w:p>
  </w:footnote>
  <w:footnote w:type="continuationSeparator" w:id="1">
    <w:p w:rsidR="004109EE" w:rsidP="00E01113" w14:paraId="4DB39587" w14:textId="77777777">
      <w:r>
        <w:continuationSeparator/>
      </w:r>
    </w:p>
  </w:footnote>
  <w:footnote w:type="continuationNotice" w:id="2">
    <w:p w:rsidR="004109EE" w14:paraId="1FD0206D" w14:textId="77777777"/>
  </w:footnote>
  <w:footnote w:id="3">
    <w:p w:rsidR="00D477AD" w:rsidRPr="00865024" w:rsidP="00D477AD" w14:paraId="7DB50648" w14:textId="77777777">
      <w:pPr>
        <w:pStyle w:val="FootnoteText"/>
        <w:rPr>
          <w:rFonts w:ascii="Times New Roman" w:hAnsi="Times New Roman"/>
        </w:rPr>
      </w:pPr>
      <w:r w:rsidRPr="00865024">
        <w:rPr>
          <w:rStyle w:val="FootnoteReference"/>
          <w:rFonts w:ascii="Times New Roman" w:hAnsi="Times New Roman"/>
        </w:rPr>
        <w:footnoteRef/>
      </w:r>
      <w:r w:rsidRPr="00865024">
        <w:rPr>
          <w:rFonts w:ascii="Times New Roman" w:hAnsi="Times New Roman"/>
        </w:rP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5A5F" w14:paraId="2E7ED6D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5A5F" w14:paraId="6DEE9B3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5A5F" w14:paraId="434F19E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1E589B"/>
    <w:multiLevelType w:val="hybridMultilevel"/>
    <w:tmpl w:val="F828BDF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836575"/>
    <w:multiLevelType w:val="hybridMultilevel"/>
    <w:tmpl w:val="C9F66B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C127E8"/>
    <w:multiLevelType w:val="hybridMultilevel"/>
    <w:tmpl w:val="66C648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F3339D9"/>
    <w:multiLevelType w:val="hybridMultilevel"/>
    <w:tmpl w:val="E52A0E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31549E9"/>
    <w:multiLevelType w:val="hybridMultilevel"/>
    <w:tmpl w:val="76B6C2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58F403F"/>
    <w:multiLevelType w:val="hybridMultilevel"/>
    <w:tmpl w:val="F02EBA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C912079"/>
    <w:multiLevelType w:val="hybridMultilevel"/>
    <w:tmpl w:val="EBC2E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32C110B"/>
    <w:multiLevelType w:val="hybridMultilevel"/>
    <w:tmpl w:val="E9143316"/>
    <w:lvl w:ilvl="0">
      <w:start w:val="1"/>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EAF3879"/>
    <w:multiLevelType w:val="hybridMultilevel"/>
    <w:tmpl w:val="FC6ECA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nsid w:val="30793D42"/>
    <w:multiLevelType w:val="hybridMultilevel"/>
    <w:tmpl w:val="E452CB9E"/>
    <w:lvl w:ilvl="0">
      <w:start w:val="1"/>
      <w:numFmt w:val="bullet"/>
      <w:lvlText w:val=""/>
      <w:lvlJc w:val="left"/>
      <w:pPr>
        <w:ind w:left="771" w:hanging="360"/>
      </w:pPr>
      <w:rPr>
        <w:rFonts w:ascii="Symbol" w:hAnsi="Symbol" w:hint="default"/>
      </w:rPr>
    </w:lvl>
    <w:lvl w:ilvl="1">
      <w:start w:val="1"/>
      <w:numFmt w:val="bullet"/>
      <w:lvlText w:val="o"/>
      <w:lvlJc w:val="left"/>
      <w:pPr>
        <w:ind w:left="1491" w:hanging="360"/>
      </w:pPr>
      <w:rPr>
        <w:rFonts w:ascii="Courier New" w:hAnsi="Courier New" w:cs="Courier New" w:hint="default"/>
      </w:rPr>
    </w:lvl>
    <w:lvl w:ilvl="2">
      <w:start w:val="1"/>
      <w:numFmt w:val="bullet"/>
      <w:lvlText w:val=""/>
      <w:lvlJc w:val="left"/>
      <w:pPr>
        <w:ind w:left="2211" w:hanging="360"/>
      </w:pPr>
      <w:rPr>
        <w:rFonts w:ascii="Wingdings" w:hAnsi="Wingdings" w:hint="default"/>
      </w:rPr>
    </w:lvl>
    <w:lvl w:ilvl="3">
      <w:start w:val="1"/>
      <w:numFmt w:val="bullet"/>
      <w:lvlText w:val=""/>
      <w:lvlJc w:val="left"/>
      <w:pPr>
        <w:ind w:left="2931" w:hanging="360"/>
      </w:pPr>
      <w:rPr>
        <w:rFonts w:ascii="Symbol" w:hAnsi="Symbol" w:hint="default"/>
      </w:rPr>
    </w:lvl>
    <w:lvl w:ilvl="4">
      <w:start w:val="1"/>
      <w:numFmt w:val="bullet"/>
      <w:lvlText w:val="o"/>
      <w:lvlJc w:val="left"/>
      <w:pPr>
        <w:ind w:left="3651" w:hanging="360"/>
      </w:pPr>
      <w:rPr>
        <w:rFonts w:ascii="Courier New" w:hAnsi="Courier New" w:cs="Courier New" w:hint="default"/>
      </w:rPr>
    </w:lvl>
    <w:lvl w:ilvl="5">
      <w:start w:val="1"/>
      <w:numFmt w:val="bullet"/>
      <w:lvlText w:val=""/>
      <w:lvlJc w:val="left"/>
      <w:pPr>
        <w:ind w:left="4371" w:hanging="360"/>
      </w:pPr>
      <w:rPr>
        <w:rFonts w:ascii="Wingdings" w:hAnsi="Wingdings" w:hint="default"/>
      </w:rPr>
    </w:lvl>
    <w:lvl w:ilvl="6">
      <w:start w:val="1"/>
      <w:numFmt w:val="bullet"/>
      <w:lvlText w:val=""/>
      <w:lvlJc w:val="left"/>
      <w:pPr>
        <w:ind w:left="5091" w:hanging="360"/>
      </w:pPr>
      <w:rPr>
        <w:rFonts w:ascii="Symbol" w:hAnsi="Symbol" w:hint="default"/>
      </w:rPr>
    </w:lvl>
    <w:lvl w:ilvl="7">
      <w:start w:val="1"/>
      <w:numFmt w:val="bullet"/>
      <w:lvlText w:val="o"/>
      <w:lvlJc w:val="left"/>
      <w:pPr>
        <w:ind w:left="5811" w:hanging="360"/>
      </w:pPr>
      <w:rPr>
        <w:rFonts w:ascii="Courier New" w:hAnsi="Courier New" w:cs="Courier New" w:hint="default"/>
      </w:rPr>
    </w:lvl>
    <w:lvl w:ilvl="8">
      <w:start w:val="1"/>
      <w:numFmt w:val="bullet"/>
      <w:lvlText w:val=""/>
      <w:lvlJc w:val="left"/>
      <w:pPr>
        <w:ind w:left="6531" w:hanging="360"/>
      </w:pPr>
      <w:rPr>
        <w:rFonts w:ascii="Wingdings" w:hAnsi="Wingdings" w:hint="default"/>
      </w:rPr>
    </w:lvl>
  </w:abstractNum>
  <w:abstractNum w:abstractNumId="12">
    <w:nsid w:val="36BB736A"/>
    <w:multiLevelType w:val="hybridMultilevel"/>
    <w:tmpl w:val="0666BF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EA172B4"/>
    <w:multiLevelType w:val="hybridMultilevel"/>
    <w:tmpl w:val="FB6C0708"/>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Times New Roman" w:eastAsia="Times New Roman" w:hAnsi="Times New Roman"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19F311C"/>
    <w:multiLevelType w:val="hybridMultilevel"/>
    <w:tmpl w:val="5E44CF7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5">
    <w:nsid w:val="4CA4732E"/>
    <w:multiLevelType w:val="hybridMultilevel"/>
    <w:tmpl w:val="F216CF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1114C2B"/>
    <w:multiLevelType w:val="hybridMultilevel"/>
    <w:tmpl w:val="A2DA0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2280B53"/>
    <w:multiLevelType w:val="hybridMultilevel"/>
    <w:tmpl w:val="D7324EB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977716B"/>
    <w:multiLevelType w:val="hybridMultilevel"/>
    <w:tmpl w:val="C4B865D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5D584807"/>
    <w:multiLevelType w:val="hybridMultilevel"/>
    <w:tmpl w:val="0A4C52D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69774951"/>
    <w:multiLevelType w:val="hybridMultilevel"/>
    <w:tmpl w:val="B674F4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ADE0A54"/>
    <w:multiLevelType w:val="hybridMultilevel"/>
    <w:tmpl w:val="507E4174"/>
    <w:lvl w:ilvl="0">
      <w:start w:val="1"/>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6DBE5455"/>
    <w:multiLevelType w:val="hybridMultilevel"/>
    <w:tmpl w:val="267A7AC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22C4E5D"/>
    <w:multiLevelType w:val="hybridMultilevel"/>
    <w:tmpl w:val="C4C2BD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46221AE"/>
    <w:multiLevelType w:val="hybridMultilevel"/>
    <w:tmpl w:val="9FA4EFC0"/>
    <w:lvl w:ilvl="0">
      <w:start w:val="1"/>
      <w:numFmt w:val="decimal"/>
      <w:lvlText w:val="%1."/>
      <w:lvlJc w:val="left"/>
      <w:pPr>
        <w:ind w:left="720" w:hanging="360"/>
      </w:pPr>
      <w:rPr>
        <w:rFonts w:cs="Times New Roman"/>
      </w:rPr>
    </w:lvl>
    <w:lvl w:ilvl="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26">
    <w:nsid w:val="79BA2AA7"/>
    <w:multiLevelType w:val="hybridMultilevel"/>
    <w:tmpl w:val="F384A5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D3E136F"/>
    <w:multiLevelType w:val="hybridMultilevel"/>
    <w:tmpl w:val="A02AD5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01886381">
    <w:abstractNumId w:val="20"/>
  </w:num>
  <w:num w:numId="2" w16cid:durableId="1035081497">
    <w:abstractNumId w:val="10"/>
  </w:num>
  <w:num w:numId="3" w16cid:durableId="1828401041">
    <w:abstractNumId w:val="14"/>
  </w:num>
  <w:num w:numId="4" w16cid:durableId="1768236465">
    <w:abstractNumId w:val="24"/>
  </w:num>
  <w:num w:numId="5" w16cid:durableId="1749692899">
    <w:abstractNumId w:val="23"/>
  </w:num>
  <w:num w:numId="6" w16cid:durableId="1270238491">
    <w:abstractNumId w:val="17"/>
  </w:num>
  <w:num w:numId="7" w16cid:durableId="166602347">
    <w:abstractNumId w:val="21"/>
  </w:num>
  <w:num w:numId="8" w16cid:durableId="357506445">
    <w:abstractNumId w:val="7"/>
  </w:num>
  <w:num w:numId="9" w16cid:durableId="1008143861">
    <w:abstractNumId w:val="11"/>
  </w:num>
  <w:num w:numId="10" w16cid:durableId="1882860383">
    <w:abstractNumId w:val="26"/>
  </w:num>
  <w:num w:numId="11" w16cid:durableId="705329640">
    <w:abstractNumId w:val="7"/>
  </w:num>
  <w:num w:numId="12" w16cid:durableId="1419525978">
    <w:abstractNumId w:val="11"/>
  </w:num>
  <w:num w:numId="13" w16cid:durableId="1416247500">
    <w:abstractNumId w:val="27"/>
  </w:num>
  <w:num w:numId="14" w16cid:durableId="1643923672">
    <w:abstractNumId w:val="12"/>
  </w:num>
  <w:num w:numId="15" w16cid:durableId="1641958089">
    <w:abstractNumId w:val="19"/>
  </w:num>
  <w:num w:numId="16" w16cid:durableId="1900433114">
    <w:abstractNumId w:val="18"/>
  </w:num>
  <w:num w:numId="17" w16cid:durableId="980813500">
    <w:abstractNumId w:val="2"/>
  </w:num>
  <w:num w:numId="18" w16cid:durableId="409738823">
    <w:abstractNumId w:val="9"/>
  </w:num>
  <w:num w:numId="19" w16cid:durableId="652486378">
    <w:abstractNumId w:val="3"/>
  </w:num>
  <w:num w:numId="20" w16cid:durableId="55861054">
    <w:abstractNumId w:val="22"/>
  </w:num>
  <w:num w:numId="21" w16cid:durableId="1291519526">
    <w:abstractNumId w:val="0"/>
  </w:num>
  <w:num w:numId="22" w16cid:durableId="55594077">
    <w:abstractNumId w:val="8"/>
  </w:num>
  <w:num w:numId="23" w16cid:durableId="1841894808">
    <w:abstractNumId w:val="15"/>
  </w:num>
  <w:num w:numId="24" w16cid:durableId="677997940">
    <w:abstractNumId w:val="6"/>
  </w:num>
  <w:num w:numId="25" w16cid:durableId="292907553">
    <w:abstractNumId w:val="4"/>
  </w:num>
  <w:num w:numId="26" w16cid:durableId="1934313484">
    <w:abstractNumId w:val="16"/>
  </w:num>
  <w:num w:numId="27" w16cid:durableId="1193424607">
    <w:abstractNumId w:val="5"/>
  </w:num>
  <w:num w:numId="28" w16cid:durableId="351807479">
    <w:abstractNumId w:val="1"/>
  </w:num>
  <w:num w:numId="29" w16cid:durableId="650794633">
    <w:abstractNumId w:val="13"/>
  </w:num>
  <w:num w:numId="30" w16cid:durableId="7696608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D54"/>
    <w:rsid w:val="00000096"/>
    <w:rsid w:val="00000396"/>
    <w:rsid w:val="000011E6"/>
    <w:rsid w:val="00003148"/>
    <w:rsid w:val="00003A60"/>
    <w:rsid w:val="0000457F"/>
    <w:rsid w:val="000054D9"/>
    <w:rsid w:val="00006A95"/>
    <w:rsid w:val="00010B50"/>
    <w:rsid w:val="0001194D"/>
    <w:rsid w:val="00011A14"/>
    <w:rsid w:val="00011AC5"/>
    <w:rsid w:val="00012538"/>
    <w:rsid w:val="000130F7"/>
    <w:rsid w:val="0001333E"/>
    <w:rsid w:val="00014034"/>
    <w:rsid w:val="00014570"/>
    <w:rsid w:val="0001481C"/>
    <w:rsid w:val="000149FB"/>
    <w:rsid w:val="00014A03"/>
    <w:rsid w:val="00015233"/>
    <w:rsid w:val="00016241"/>
    <w:rsid w:val="00016983"/>
    <w:rsid w:val="00016B54"/>
    <w:rsid w:val="00017E81"/>
    <w:rsid w:val="000209FF"/>
    <w:rsid w:val="00021607"/>
    <w:rsid w:val="0002181C"/>
    <w:rsid w:val="00021B5C"/>
    <w:rsid w:val="00021BD4"/>
    <w:rsid w:val="00022079"/>
    <w:rsid w:val="00024013"/>
    <w:rsid w:val="00024673"/>
    <w:rsid w:val="0002488E"/>
    <w:rsid w:val="00025129"/>
    <w:rsid w:val="00025A82"/>
    <w:rsid w:val="00027542"/>
    <w:rsid w:val="00027D8D"/>
    <w:rsid w:val="000308A8"/>
    <w:rsid w:val="000309BA"/>
    <w:rsid w:val="000316A0"/>
    <w:rsid w:val="00032EB8"/>
    <w:rsid w:val="00034AE9"/>
    <w:rsid w:val="00035255"/>
    <w:rsid w:val="0003572E"/>
    <w:rsid w:val="00035A69"/>
    <w:rsid w:val="00040D74"/>
    <w:rsid w:val="00041739"/>
    <w:rsid w:val="0004195A"/>
    <w:rsid w:val="000419A6"/>
    <w:rsid w:val="00042A10"/>
    <w:rsid w:val="00044D09"/>
    <w:rsid w:val="0004562D"/>
    <w:rsid w:val="00045BD0"/>
    <w:rsid w:val="00046E48"/>
    <w:rsid w:val="0004704F"/>
    <w:rsid w:val="00047839"/>
    <w:rsid w:val="00047F0E"/>
    <w:rsid w:val="000507A7"/>
    <w:rsid w:val="00051805"/>
    <w:rsid w:val="000518D7"/>
    <w:rsid w:val="0005261A"/>
    <w:rsid w:val="00053717"/>
    <w:rsid w:val="00053AA4"/>
    <w:rsid w:val="00053D64"/>
    <w:rsid w:val="00054C84"/>
    <w:rsid w:val="00054DD3"/>
    <w:rsid w:val="000551E3"/>
    <w:rsid w:val="000555D2"/>
    <w:rsid w:val="00055869"/>
    <w:rsid w:val="000570D7"/>
    <w:rsid w:val="00057232"/>
    <w:rsid w:val="00057E63"/>
    <w:rsid w:val="0006012C"/>
    <w:rsid w:val="00061501"/>
    <w:rsid w:val="00063830"/>
    <w:rsid w:val="00063F36"/>
    <w:rsid w:val="000643E3"/>
    <w:rsid w:val="00065110"/>
    <w:rsid w:val="00065F73"/>
    <w:rsid w:val="0006628B"/>
    <w:rsid w:val="00066F95"/>
    <w:rsid w:val="00067EE5"/>
    <w:rsid w:val="00070967"/>
    <w:rsid w:val="00070B5E"/>
    <w:rsid w:val="00073873"/>
    <w:rsid w:val="00074383"/>
    <w:rsid w:val="00074793"/>
    <w:rsid w:val="00074D4A"/>
    <w:rsid w:val="00075CD3"/>
    <w:rsid w:val="00076AB2"/>
    <w:rsid w:val="00077373"/>
    <w:rsid w:val="00077EB3"/>
    <w:rsid w:val="000807A3"/>
    <w:rsid w:val="000827ED"/>
    <w:rsid w:val="00082A4B"/>
    <w:rsid w:val="00083681"/>
    <w:rsid w:val="00083F94"/>
    <w:rsid w:val="00084729"/>
    <w:rsid w:val="00084EFF"/>
    <w:rsid w:val="00086BBE"/>
    <w:rsid w:val="00086F4A"/>
    <w:rsid w:val="00087DAE"/>
    <w:rsid w:val="00087E02"/>
    <w:rsid w:val="00091D3E"/>
    <w:rsid w:val="000925BD"/>
    <w:rsid w:val="000944DA"/>
    <w:rsid w:val="00095655"/>
    <w:rsid w:val="000A03B4"/>
    <w:rsid w:val="000A06D1"/>
    <w:rsid w:val="000A14F1"/>
    <w:rsid w:val="000A24EA"/>
    <w:rsid w:val="000A2833"/>
    <w:rsid w:val="000A3613"/>
    <w:rsid w:val="000A3869"/>
    <w:rsid w:val="000A3B77"/>
    <w:rsid w:val="000A68D7"/>
    <w:rsid w:val="000A6961"/>
    <w:rsid w:val="000A715E"/>
    <w:rsid w:val="000A7BC0"/>
    <w:rsid w:val="000A7F60"/>
    <w:rsid w:val="000B08D4"/>
    <w:rsid w:val="000B13B1"/>
    <w:rsid w:val="000B33FE"/>
    <w:rsid w:val="000B410C"/>
    <w:rsid w:val="000B59BD"/>
    <w:rsid w:val="000B664C"/>
    <w:rsid w:val="000C221A"/>
    <w:rsid w:val="000C4CFB"/>
    <w:rsid w:val="000C5321"/>
    <w:rsid w:val="000C6F9D"/>
    <w:rsid w:val="000C72C2"/>
    <w:rsid w:val="000C7351"/>
    <w:rsid w:val="000C790E"/>
    <w:rsid w:val="000D0113"/>
    <w:rsid w:val="000D208D"/>
    <w:rsid w:val="000D279F"/>
    <w:rsid w:val="000D2D8E"/>
    <w:rsid w:val="000D36AA"/>
    <w:rsid w:val="000D433E"/>
    <w:rsid w:val="000D5978"/>
    <w:rsid w:val="000D60C1"/>
    <w:rsid w:val="000D6D39"/>
    <w:rsid w:val="000D75BB"/>
    <w:rsid w:val="000D7E50"/>
    <w:rsid w:val="000E062A"/>
    <w:rsid w:val="000E0C8B"/>
    <w:rsid w:val="000E13CA"/>
    <w:rsid w:val="000E3671"/>
    <w:rsid w:val="000E3819"/>
    <w:rsid w:val="000E3EED"/>
    <w:rsid w:val="000E6286"/>
    <w:rsid w:val="000E6E16"/>
    <w:rsid w:val="000E7217"/>
    <w:rsid w:val="000E7353"/>
    <w:rsid w:val="000F15A2"/>
    <w:rsid w:val="000F350C"/>
    <w:rsid w:val="000F4B22"/>
    <w:rsid w:val="000F4C35"/>
    <w:rsid w:val="000F4DBC"/>
    <w:rsid w:val="000F6471"/>
    <w:rsid w:val="000F6AA5"/>
    <w:rsid w:val="000F774B"/>
    <w:rsid w:val="00101A67"/>
    <w:rsid w:val="00102EE7"/>
    <w:rsid w:val="001046B4"/>
    <w:rsid w:val="00105031"/>
    <w:rsid w:val="00106E45"/>
    <w:rsid w:val="001078AF"/>
    <w:rsid w:val="00110D94"/>
    <w:rsid w:val="0011117B"/>
    <w:rsid w:val="00113AF4"/>
    <w:rsid w:val="00113DC2"/>
    <w:rsid w:val="0011465B"/>
    <w:rsid w:val="00115B3B"/>
    <w:rsid w:val="00117FA7"/>
    <w:rsid w:val="0012250B"/>
    <w:rsid w:val="00122563"/>
    <w:rsid w:val="0012389F"/>
    <w:rsid w:val="0012472D"/>
    <w:rsid w:val="001248D2"/>
    <w:rsid w:val="00125043"/>
    <w:rsid w:val="001251E8"/>
    <w:rsid w:val="001262C4"/>
    <w:rsid w:val="00127BBE"/>
    <w:rsid w:val="0013055E"/>
    <w:rsid w:val="00130629"/>
    <w:rsid w:val="00132F9E"/>
    <w:rsid w:val="00134615"/>
    <w:rsid w:val="00134882"/>
    <w:rsid w:val="001371CE"/>
    <w:rsid w:val="001374A6"/>
    <w:rsid w:val="00137EA2"/>
    <w:rsid w:val="00142779"/>
    <w:rsid w:val="0014339F"/>
    <w:rsid w:val="001434FC"/>
    <w:rsid w:val="00144254"/>
    <w:rsid w:val="00145A18"/>
    <w:rsid w:val="00145A88"/>
    <w:rsid w:val="00147AA5"/>
    <w:rsid w:val="001509C0"/>
    <w:rsid w:val="0015344D"/>
    <w:rsid w:val="001565A8"/>
    <w:rsid w:val="00156C5C"/>
    <w:rsid w:val="001571E9"/>
    <w:rsid w:val="001638A7"/>
    <w:rsid w:val="00163CA8"/>
    <w:rsid w:val="00164479"/>
    <w:rsid w:val="0016460C"/>
    <w:rsid w:val="00165378"/>
    <w:rsid w:val="00166B2B"/>
    <w:rsid w:val="00170E2B"/>
    <w:rsid w:val="00171722"/>
    <w:rsid w:val="00171F0B"/>
    <w:rsid w:val="001725BA"/>
    <w:rsid w:val="00172B0D"/>
    <w:rsid w:val="00172EDC"/>
    <w:rsid w:val="0017378C"/>
    <w:rsid w:val="00173D94"/>
    <w:rsid w:val="00174B65"/>
    <w:rsid w:val="00176148"/>
    <w:rsid w:val="001769E0"/>
    <w:rsid w:val="001772D1"/>
    <w:rsid w:val="00181ED3"/>
    <w:rsid w:val="001836E4"/>
    <w:rsid w:val="00183E26"/>
    <w:rsid w:val="001845B9"/>
    <w:rsid w:val="00184793"/>
    <w:rsid w:val="00185585"/>
    <w:rsid w:val="001903DF"/>
    <w:rsid w:val="00190666"/>
    <w:rsid w:val="001928B3"/>
    <w:rsid w:val="00192ED3"/>
    <w:rsid w:val="00193854"/>
    <w:rsid w:val="00193DF2"/>
    <w:rsid w:val="00194DF7"/>
    <w:rsid w:val="001954A7"/>
    <w:rsid w:val="00196CCE"/>
    <w:rsid w:val="0019742A"/>
    <w:rsid w:val="00197996"/>
    <w:rsid w:val="001A0783"/>
    <w:rsid w:val="001A0EC4"/>
    <w:rsid w:val="001A12D7"/>
    <w:rsid w:val="001A1919"/>
    <w:rsid w:val="001A24BD"/>
    <w:rsid w:val="001A5A0A"/>
    <w:rsid w:val="001A6884"/>
    <w:rsid w:val="001A6CF0"/>
    <w:rsid w:val="001A7AFE"/>
    <w:rsid w:val="001A7E92"/>
    <w:rsid w:val="001B0140"/>
    <w:rsid w:val="001B269B"/>
    <w:rsid w:val="001B2F54"/>
    <w:rsid w:val="001B3BDC"/>
    <w:rsid w:val="001B3D46"/>
    <w:rsid w:val="001B4495"/>
    <w:rsid w:val="001B46B0"/>
    <w:rsid w:val="001B6426"/>
    <w:rsid w:val="001B681B"/>
    <w:rsid w:val="001B6ABE"/>
    <w:rsid w:val="001C0220"/>
    <w:rsid w:val="001C1C0D"/>
    <w:rsid w:val="001C2049"/>
    <w:rsid w:val="001C29AB"/>
    <w:rsid w:val="001C2FB0"/>
    <w:rsid w:val="001C37F1"/>
    <w:rsid w:val="001C4C54"/>
    <w:rsid w:val="001D0D60"/>
    <w:rsid w:val="001D0F7A"/>
    <w:rsid w:val="001D14A0"/>
    <w:rsid w:val="001D24B7"/>
    <w:rsid w:val="001D27C8"/>
    <w:rsid w:val="001D293A"/>
    <w:rsid w:val="001D3CBD"/>
    <w:rsid w:val="001D4530"/>
    <w:rsid w:val="001D6A8E"/>
    <w:rsid w:val="001D7D7A"/>
    <w:rsid w:val="001E0D41"/>
    <w:rsid w:val="001E2A2F"/>
    <w:rsid w:val="001E2DEB"/>
    <w:rsid w:val="001E3767"/>
    <w:rsid w:val="001E4794"/>
    <w:rsid w:val="001E4C1F"/>
    <w:rsid w:val="001E537E"/>
    <w:rsid w:val="001E752B"/>
    <w:rsid w:val="001E7753"/>
    <w:rsid w:val="001F04C7"/>
    <w:rsid w:val="001F1308"/>
    <w:rsid w:val="001F1E6B"/>
    <w:rsid w:val="001F2D96"/>
    <w:rsid w:val="001F30E9"/>
    <w:rsid w:val="001F3FED"/>
    <w:rsid w:val="001F48C6"/>
    <w:rsid w:val="001F5410"/>
    <w:rsid w:val="001F673E"/>
    <w:rsid w:val="001F6E1A"/>
    <w:rsid w:val="001F7458"/>
    <w:rsid w:val="00200DE6"/>
    <w:rsid w:val="002017BD"/>
    <w:rsid w:val="00201CA5"/>
    <w:rsid w:val="002031BB"/>
    <w:rsid w:val="0020324A"/>
    <w:rsid w:val="00203867"/>
    <w:rsid w:val="00204F41"/>
    <w:rsid w:val="002050F7"/>
    <w:rsid w:val="002053CE"/>
    <w:rsid w:val="00205F24"/>
    <w:rsid w:val="00210E7D"/>
    <w:rsid w:val="00210EF5"/>
    <w:rsid w:val="0021139A"/>
    <w:rsid w:val="00211B89"/>
    <w:rsid w:val="00212D50"/>
    <w:rsid w:val="002138F3"/>
    <w:rsid w:val="00213A42"/>
    <w:rsid w:val="00215789"/>
    <w:rsid w:val="00217136"/>
    <w:rsid w:val="002179DD"/>
    <w:rsid w:val="002201A0"/>
    <w:rsid w:val="002210D9"/>
    <w:rsid w:val="002250DD"/>
    <w:rsid w:val="00225F0B"/>
    <w:rsid w:val="00227AC5"/>
    <w:rsid w:val="00227D3E"/>
    <w:rsid w:val="00231356"/>
    <w:rsid w:val="00232136"/>
    <w:rsid w:val="00232646"/>
    <w:rsid w:val="00232B71"/>
    <w:rsid w:val="00232C74"/>
    <w:rsid w:val="00235993"/>
    <w:rsid w:val="0023679B"/>
    <w:rsid w:val="00236D42"/>
    <w:rsid w:val="00240135"/>
    <w:rsid w:val="00240818"/>
    <w:rsid w:val="00240F38"/>
    <w:rsid w:val="002413F3"/>
    <w:rsid w:val="00243613"/>
    <w:rsid w:val="0024383A"/>
    <w:rsid w:val="00246C40"/>
    <w:rsid w:val="00246CFB"/>
    <w:rsid w:val="00247264"/>
    <w:rsid w:val="002474C2"/>
    <w:rsid w:val="00250CD1"/>
    <w:rsid w:val="00251895"/>
    <w:rsid w:val="00256898"/>
    <w:rsid w:val="00256B57"/>
    <w:rsid w:val="00257176"/>
    <w:rsid w:val="002602E5"/>
    <w:rsid w:val="00263367"/>
    <w:rsid w:val="002637CF"/>
    <w:rsid w:val="00265754"/>
    <w:rsid w:val="002663E7"/>
    <w:rsid w:val="00266DD1"/>
    <w:rsid w:val="0026783D"/>
    <w:rsid w:val="002715A1"/>
    <w:rsid w:val="00271983"/>
    <w:rsid w:val="0027280D"/>
    <w:rsid w:val="00274AC8"/>
    <w:rsid w:val="00274FE2"/>
    <w:rsid w:val="002752DF"/>
    <w:rsid w:val="00275BF5"/>
    <w:rsid w:val="002774D1"/>
    <w:rsid w:val="00277803"/>
    <w:rsid w:val="00277DC2"/>
    <w:rsid w:val="002804D6"/>
    <w:rsid w:val="00281A3E"/>
    <w:rsid w:val="00281D5B"/>
    <w:rsid w:val="00283172"/>
    <w:rsid w:val="002841E4"/>
    <w:rsid w:val="002842F0"/>
    <w:rsid w:val="00284DCC"/>
    <w:rsid w:val="002853BA"/>
    <w:rsid w:val="00285A5F"/>
    <w:rsid w:val="00286083"/>
    <w:rsid w:val="0028762D"/>
    <w:rsid w:val="002906FB"/>
    <w:rsid w:val="002916CB"/>
    <w:rsid w:val="00291720"/>
    <w:rsid w:val="00293237"/>
    <w:rsid w:val="00293B96"/>
    <w:rsid w:val="00293DBC"/>
    <w:rsid w:val="002942E1"/>
    <w:rsid w:val="0029587B"/>
    <w:rsid w:val="0029594D"/>
    <w:rsid w:val="0029711C"/>
    <w:rsid w:val="002A19CC"/>
    <w:rsid w:val="002A3B7E"/>
    <w:rsid w:val="002A4A66"/>
    <w:rsid w:val="002A560B"/>
    <w:rsid w:val="002A5682"/>
    <w:rsid w:val="002A638C"/>
    <w:rsid w:val="002A73A6"/>
    <w:rsid w:val="002A7A9E"/>
    <w:rsid w:val="002B115D"/>
    <w:rsid w:val="002B11C1"/>
    <w:rsid w:val="002B2C54"/>
    <w:rsid w:val="002B352D"/>
    <w:rsid w:val="002B38A0"/>
    <w:rsid w:val="002B3D4F"/>
    <w:rsid w:val="002B3D52"/>
    <w:rsid w:val="002B4CE6"/>
    <w:rsid w:val="002B5453"/>
    <w:rsid w:val="002B7E8C"/>
    <w:rsid w:val="002C2E33"/>
    <w:rsid w:val="002C4372"/>
    <w:rsid w:val="002C63EC"/>
    <w:rsid w:val="002C6713"/>
    <w:rsid w:val="002C6E51"/>
    <w:rsid w:val="002D1BF3"/>
    <w:rsid w:val="002D2265"/>
    <w:rsid w:val="002D22EC"/>
    <w:rsid w:val="002D2542"/>
    <w:rsid w:val="002D3383"/>
    <w:rsid w:val="002D3618"/>
    <w:rsid w:val="002D3934"/>
    <w:rsid w:val="002D3E59"/>
    <w:rsid w:val="002D510E"/>
    <w:rsid w:val="002D77DD"/>
    <w:rsid w:val="002E0414"/>
    <w:rsid w:val="002E0605"/>
    <w:rsid w:val="002E063F"/>
    <w:rsid w:val="002E076C"/>
    <w:rsid w:val="002E076F"/>
    <w:rsid w:val="002E0D86"/>
    <w:rsid w:val="002E123B"/>
    <w:rsid w:val="002E67F7"/>
    <w:rsid w:val="002E6EF0"/>
    <w:rsid w:val="002E7847"/>
    <w:rsid w:val="002F1604"/>
    <w:rsid w:val="002F1882"/>
    <w:rsid w:val="002F1EE5"/>
    <w:rsid w:val="002F2366"/>
    <w:rsid w:val="002F24A2"/>
    <w:rsid w:val="002F2682"/>
    <w:rsid w:val="002F3787"/>
    <w:rsid w:val="002F384F"/>
    <w:rsid w:val="002F44A6"/>
    <w:rsid w:val="002F4602"/>
    <w:rsid w:val="002F554F"/>
    <w:rsid w:val="002F565F"/>
    <w:rsid w:val="002F605D"/>
    <w:rsid w:val="002F6334"/>
    <w:rsid w:val="002F757F"/>
    <w:rsid w:val="002F7780"/>
    <w:rsid w:val="00301AD0"/>
    <w:rsid w:val="00301F1C"/>
    <w:rsid w:val="0030210B"/>
    <w:rsid w:val="00302676"/>
    <w:rsid w:val="003037F8"/>
    <w:rsid w:val="003068ED"/>
    <w:rsid w:val="00311351"/>
    <w:rsid w:val="00314567"/>
    <w:rsid w:val="00314F90"/>
    <w:rsid w:val="003153F7"/>
    <w:rsid w:val="00315C2C"/>
    <w:rsid w:val="00316821"/>
    <w:rsid w:val="00316A92"/>
    <w:rsid w:val="0031725D"/>
    <w:rsid w:val="00317EE9"/>
    <w:rsid w:val="00321101"/>
    <w:rsid w:val="0032394E"/>
    <w:rsid w:val="00324406"/>
    <w:rsid w:val="00324B6A"/>
    <w:rsid w:val="00325CCE"/>
    <w:rsid w:val="003267C2"/>
    <w:rsid w:val="0032790C"/>
    <w:rsid w:val="0032796E"/>
    <w:rsid w:val="00330708"/>
    <w:rsid w:val="00332BEE"/>
    <w:rsid w:val="00332CC8"/>
    <w:rsid w:val="00334FD9"/>
    <w:rsid w:val="00335117"/>
    <w:rsid w:val="0033594E"/>
    <w:rsid w:val="003363DE"/>
    <w:rsid w:val="0033695B"/>
    <w:rsid w:val="003407DF"/>
    <w:rsid w:val="003409B1"/>
    <w:rsid w:val="00341637"/>
    <w:rsid w:val="0034202E"/>
    <w:rsid w:val="00343C14"/>
    <w:rsid w:val="00343D1A"/>
    <w:rsid w:val="003449CD"/>
    <w:rsid w:val="00345B20"/>
    <w:rsid w:val="003460EF"/>
    <w:rsid w:val="003469C3"/>
    <w:rsid w:val="00350871"/>
    <w:rsid w:val="00350D07"/>
    <w:rsid w:val="00350E95"/>
    <w:rsid w:val="00351DBD"/>
    <w:rsid w:val="00353FAD"/>
    <w:rsid w:val="003542C9"/>
    <w:rsid w:val="00356D5D"/>
    <w:rsid w:val="0035796B"/>
    <w:rsid w:val="00357BAE"/>
    <w:rsid w:val="00360245"/>
    <w:rsid w:val="00360DDD"/>
    <w:rsid w:val="00362D4A"/>
    <w:rsid w:val="00366EE8"/>
    <w:rsid w:val="00367349"/>
    <w:rsid w:val="003673F7"/>
    <w:rsid w:val="003677F8"/>
    <w:rsid w:val="003701B1"/>
    <w:rsid w:val="003729DB"/>
    <w:rsid w:val="00372EF2"/>
    <w:rsid w:val="0037374A"/>
    <w:rsid w:val="00374D54"/>
    <w:rsid w:val="003751DB"/>
    <w:rsid w:val="00376900"/>
    <w:rsid w:val="00376E30"/>
    <w:rsid w:val="0037705B"/>
    <w:rsid w:val="003773FD"/>
    <w:rsid w:val="0037774F"/>
    <w:rsid w:val="00377BFC"/>
    <w:rsid w:val="00377DDB"/>
    <w:rsid w:val="00381066"/>
    <w:rsid w:val="0038124E"/>
    <w:rsid w:val="0038181D"/>
    <w:rsid w:val="00382688"/>
    <w:rsid w:val="00382A5A"/>
    <w:rsid w:val="00382D0B"/>
    <w:rsid w:val="00383960"/>
    <w:rsid w:val="00384051"/>
    <w:rsid w:val="00384147"/>
    <w:rsid w:val="0038497B"/>
    <w:rsid w:val="00384B29"/>
    <w:rsid w:val="003853E2"/>
    <w:rsid w:val="00386B59"/>
    <w:rsid w:val="00386CAE"/>
    <w:rsid w:val="00387503"/>
    <w:rsid w:val="00391DB2"/>
    <w:rsid w:val="00392C0A"/>
    <w:rsid w:val="0039308B"/>
    <w:rsid w:val="00393FFE"/>
    <w:rsid w:val="003947B2"/>
    <w:rsid w:val="003951B4"/>
    <w:rsid w:val="003978C1"/>
    <w:rsid w:val="003A11B1"/>
    <w:rsid w:val="003A3BB3"/>
    <w:rsid w:val="003A6CFF"/>
    <w:rsid w:val="003A7B20"/>
    <w:rsid w:val="003B019E"/>
    <w:rsid w:val="003B0594"/>
    <w:rsid w:val="003B08C5"/>
    <w:rsid w:val="003B2843"/>
    <w:rsid w:val="003B2EB5"/>
    <w:rsid w:val="003B37A6"/>
    <w:rsid w:val="003B3AE9"/>
    <w:rsid w:val="003B42EC"/>
    <w:rsid w:val="003B680E"/>
    <w:rsid w:val="003B6F2F"/>
    <w:rsid w:val="003C14B7"/>
    <w:rsid w:val="003C1EA5"/>
    <w:rsid w:val="003C224F"/>
    <w:rsid w:val="003C30D0"/>
    <w:rsid w:val="003C5921"/>
    <w:rsid w:val="003C632C"/>
    <w:rsid w:val="003C660A"/>
    <w:rsid w:val="003C6CD5"/>
    <w:rsid w:val="003C7CC9"/>
    <w:rsid w:val="003D05D2"/>
    <w:rsid w:val="003D1A0A"/>
    <w:rsid w:val="003D2819"/>
    <w:rsid w:val="003D305D"/>
    <w:rsid w:val="003D30E2"/>
    <w:rsid w:val="003D3297"/>
    <w:rsid w:val="003D4127"/>
    <w:rsid w:val="003D41C1"/>
    <w:rsid w:val="003D4320"/>
    <w:rsid w:val="003D5400"/>
    <w:rsid w:val="003D5EAB"/>
    <w:rsid w:val="003D64BF"/>
    <w:rsid w:val="003D77C3"/>
    <w:rsid w:val="003D7A8A"/>
    <w:rsid w:val="003D7C75"/>
    <w:rsid w:val="003D7EF3"/>
    <w:rsid w:val="003E2FA1"/>
    <w:rsid w:val="003E3146"/>
    <w:rsid w:val="003E39E8"/>
    <w:rsid w:val="003E5D84"/>
    <w:rsid w:val="003E6BFB"/>
    <w:rsid w:val="003E6EF6"/>
    <w:rsid w:val="003E7010"/>
    <w:rsid w:val="003E7F3A"/>
    <w:rsid w:val="003F089F"/>
    <w:rsid w:val="003F1107"/>
    <w:rsid w:val="003F2F23"/>
    <w:rsid w:val="003F3250"/>
    <w:rsid w:val="003F38C6"/>
    <w:rsid w:val="003F4A0C"/>
    <w:rsid w:val="003F4F70"/>
    <w:rsid w:val="003F5B00"/>
    <w:rsid w:val="003F61BF"/>
    <w:rsid w:val="003F7ACD"/>
    <w:rsid w:val="003F7F78"/>
    <w:rsid w:val="0040210C"/>
    <w:rsid w:val="004040B8"/>
    <w:rsid w:val="00404B1E"/>
    <w:rsid w:val="00405F1F"/>
    <w:rsid w:val="0040684B"/>
    <w:rsid w:val="00406D63"/>
    <w:rsid w:val="00407927"/>
    <w:rsid w:val="00410570"/>
    <w:rsid w:val="004109EE"/>
    <w:rsid w:val="00411775"/>
    <w:rsid w:val="00411B9A"/>
    <w:rsid w:val="00412518"/>
    <w:rsid w:val="004128A4"/>
    <w:rsid w:val="004129A3"/>
    <w:rsid w:val="00413438"/>
    <w:rsid w:val="00414158"/>
    <w:rsid w:val="00415E18"/>
    <w:rsid w:val="00415E29"/>
    <w:rsid w:val="0041695E"/>
    <w:rsid w:val="0042052E"/>
    <w:rsid w:val="004225B8"/>
    <w:rsid w:val="0042295B"/>
    <w:rsid w:val="004229D7"/>
    <w:rsid w:val="00422F5D"/>
    <w:rsid w:val="004235EF"/>
    <w:rsid w:val="00425A6D"/>
    <w:rsid w:val="004268D8"/>
    <w:rsid w:val="00426996"/>
    <w:rsid w:val="00426D2D"/>
    <w:rsid w:val="004278F1"/>
    <w:rsid w:val="00430AAC"/>
    <w:rsid w:val="00430D56"/>
    <w:rsid w:val="004310FE"/>
    <w:rsid w:val="00431127"/>
    <w:rsid w:val="00431917"/>
    <w:rsid w:val="004323F4"/>
    <w:rsid w:val="00432782"/>
    <w:rsid w:val="004330AD"/>
    <w:rsid w:val="0043357D"/>
    <w:rsid w:val="00434D69"/>
    <w:rsid w:val="00435BA6"/>
    <w:rsid w:val="00435EB9"/>
    <w:rsid w:val="0043610C"/>
    <w:rsid w:val="00436BC8"/>
    <w:rsid w:val="0043776A"/>
    <w:rsid w:val="00440082"/>
    <w:rsid w:val="00440EEA"/>
    <w:rsid w:val="0044128F"/>
    <w:rsid w:val="004423BB"/>
    <w:rsid w:val="0044351F"/>
    <w:rsid w:val="00443626"/>
    <w:rsid w:val="004452C9"/>
    <w:rsid w:val="00445702"/>
    <w:rsid w:val="004457A5"/>
    <w:rsid w:val="0044593B"/>
    <w:rsid w:val="00446155"/>
    <w:rsid w:val="0044656F"/>
    <w:rsid w:val="00446CAE"/>
    <w:rsid w:val="004470D3"/>
    <w:rsid w:val="0045030D"/>
    <w:rsid w:val="00450311"/>
    <w:rsid w:val="00450E40"/>
    <w:rsid w:val="00451435"/>
    <w:rsid w:val="004515A4"/>
    <w:rsid w:val="00451DCD"/>
    <w:rsid w:val="004526A9"/>
    <w:rsid w:val="00453F6C"/>
    <w:rsid w:val="00454861"/>
    <w:rsid w:val="00454CB8"/>
    <w:rsid w:val="00455082"/>
    <w:rsid w:val="00455573"/>
    <w:rsid w:val="00455CC4"/>
    <w:rsid w:val="004562AA"/>
    <w:rsid w:val="004605CF"/>
    <w:rsid w:val="00461F7A"/>
    <w:rsid w:val="004623A9"/>
    <w:rsid w:val="00463D45"/>
    <w:rsid w:val="00464565"/>
    <w:rsid w:val="00470203"/>
    <w:rsid w:val="00472908"/>
    <w:rsid w:val="00472FB4"/>
    <w:rsid w:val="004738E8"/>
    <w:rsid w:val="00473AA9"/>
    <w:rsid w:val="00475D2E"/>
    <w:rsid w:val="00476789"/>
    <w:rsid w:val="00476A3C"/>
    <w:rsid w:val="00477200"/>
    <w:rsid w:val="00480EFC"/>
    <w:rsid w:val="0048118E"/>
    <w:rsid w:val="004821B9"/>
    <w:rsid w:val="0048258F"/>
    <w:rsid w:val="00484936"/>
    <w:rsid w:val="00484A85"/>
    <w:rsid w:val="00484B4B"/>
    <w:rsid w:val="00490241"/>
    <w:rsid w:val="004918F2"/>
    <w:rsid w:val="0049211E"/>
    <w:rsid w:val="004947DE"/>
    <w:rsid w:val="00496575"/>
    <w:rsid w:val="004967B6"/>
    <w:rsid w:val="00496A96"/>
    <w:rsid w:val="0049717A"/>
    <w:rsid w:val="00497B49"/>
    <w:rsid w:val="00497FC8"/>
    <w:rsid w:val="004A0746"/>
    <w:rsid w:val="004A1A33"/>
    <w:rsid w:val="004A2D04"/>
    <w:rsid w:val="004A3044"/>
    <w:rsid w:val="004A3162"/>
    <w:rsid w:val="004A6E53"/>
    <w:rsid w:val="004A7546"/>
    <w:rsid w:val="004B1584"/>
    <w:rsid w:val="004B434B"/>
    <w:rsid w:val="004B461E"/>
    <w:rsid w:val="004B4D95"/>
    <w:rsid w:val="004B5CFE"/>
    <w:rsid w:val="004B672E"/>
    <w:rsid w:val="004B7050"/>
    <w:rsid w:val="004C059E"/>
    <w:rsid w:val="004C079B"/>
    <w:rsid w:val="004C0E5E"/>
    <w:rsid w:val="004C1973"/>
    <w:rsid w:val="004C335A"/>
    <w:rsid w:val="004C3A05"/>
    <w:rsid w:val="004C4075"/>
    <w:rsid w:val="004C497F"/>
    <w:rsid w:val="004C5C93"/>
    <w:rsid w:val="004C601B"/>
    <w:rsid w:val="004C6AC8"/>
    <w:rsid w:val="004C6BA0"/>
    <w:rsid w:val="004C6E9A"/>
    <w:rsid w:val="004C7901"/>
    <w:rsid w:val="004C7DBA"/>
    <w:rsid w:val="004D1A5D"/>
    <w:rsid w:val="004D2C14"/>
    <w:rsid w:val="004D2DE0"/>
    <w:rsid w:val="004D340F"/>
    <w:rsid w:val="004D3885"/>
    <w:rsid w:val="004D3CCB"/>
    <w:rsid w:val="004D6304"/>
    <w:rsid w:val="004D6524"/>
    <w:rsid w:val="004E028C"/>
    <w:rsid w:val="004E0A9C"/>
    <w:rsid w:val="004E3559"/>
    <w:rsid w:val="004E3728"/>
    <w:rsid w:val="004E3914"/>
    <w:rsid w:val="004E5319"/>
    <w:rsid w:val="004E5A70"/>
    <w:rsid w:val="004E60A3"/>
    <w:rsid w:val="004E6C47"/>
    <w:rsid w:val="004E78D1"/>
    <w:rsid w:val="004E7B17"/>
    <w:rsid w:val="004E7D77"/>
    <w:rsid w:val="004E7F8A"/>
    <w:rsid w:val="004F245F"/>
    <w:rsid w:val="004F3F2B"/>
    <w:rsid w:val="005031F5"/>
    <w:rsid w:val="00505047"/>
    <w:rsid w:val="00505B82"/>
    <w:rsid w:val="00506200"/>
    <w:rsid w:val="005067FA"/>
    <w:rsid w:val="00506803"/>
    <w:rsid w:val="005071F9"/>
    <w:rsid w:val="0050755D"/>
    <w:rsid w:val="00507C42"/>
    <w:rsid w:val="00511298"/>
    <w:rsid w:val="00512720"/>
    <w:rsid w:val="00512FC7"/>
    <w:rsid w:val="0051306B"/>
    <w:rsid w:val="00513192"/>
    <w:rsid w:val="005132A9"/>
    <w:rsid w:val="00514931"/>
    <w:rsid w:val="00514F2E"/>
    <w:rsid w:val="00515402"/>
    <w:rsid w:val="00515C77"/>
    <w:rsid w:val="0051642C"/>
    <w:rsid w:val="0051721F"/>
    <w:rsid w:val="005176FE"/>
    <w:rsid w:val="0051789F"/>
    <w:rsid w:val="0052151B"/>
    <w:rsid w:val="005227BD"/>
    <w:rsid w:val="00523AE0"/>
    <w:rsid w:val="005246AD"/>
    <w:rsid w:val="005249AE"/>
    <w:rsid w:val="005251F4"/>
    <w:rsid w:val="005256BD"/>
    <w:rsid w:val="00526B80"/>
    <w:rsid w:val="00527062"/>
    <w:rsid w:val="00527443"/>
    <w:rsid w:val="00532049"/>
    <w:rsid w:val="0053216A"/>
    <w:rsid w:val="00532F39"/>
    <w:rsid w:val="005334D8"/>
    <w:rsid w:val="00533A9D"/>
    <w:rsid w:val="00534975"/>
    <w:rsid w:val="00534DEA"/>
    <w:rsid w:val="00534ED3"/>
    <w:rsid w:val="005367CE"/>
    <w:rsid w:val="0053772A"/>
    <w:rsid w:val="00541545"/>
    <w:rsid w:val="00541702"/>
    <w:rsid w:val="0054225A"/>
    <w:rsid w:val="005425BF"/>
    <w:rsid w:val="005437D4"/>
    <w:rsid w:val="00543C37"/>
    <w:rsid w:val="00545030"/>
    <w:rsid w:val="005453B3"/>
    <w:rsid w:val="00546627"/>
    <w:rsid w:val="005537D7"/>
    <w:rsid w:val="005555E2"/>
    <w:rsid w:val="0055594D"/>
    <w:rsid w:val="00555A66"/>
    <w:rsid w:val="005560A2"/>
    <w:rsid w:val="005571D2"/>
    <w:rsid w:val="00557312"/>
    <w:rsid w:val="00557A1A"/>
    <w:rsid w:val="00557EA7"/>
    <w:rsid w:val="00560210"/>
    <w:rsid w:val="00560C40"/>
    <w:rsid w:val="00563297"/>
    <w:rsid w:val="0056329D"/>
    <w:rsid w:val="00564132"/>
    <w:rsid w:val="00564D6E"/>
    <w:rsid w:val="005653F6"/>
    <w:rsid w:val="00570C6C"/>
    <w:rsid w:val="00574465"/>
    <w:rsid w:val="00574B31"/>
    <w:rsid w:val="005750AD"/>
    <w:rsid w:val="00575F60"/>
    <w:rsid w:val="00576B88"/>
    <w:rsid w:val="00576FE5"/>
    <w:rsid w:val="0058286C"/>
    <w:rsid w:val="00583DEA"/>
    <w:rsid w:val="00584BB0"/>
    <w:rsid w:val="0058637C"/>
    <w:rsid w:val="005873D2"/>
    <w:rsid w:val="0058798B"/>
    <w:rsid w:val="00590D14"/>
    <w:rsid w:val="00590EEC"/>
    <w:rsid w:val="005916E3"/>
    <w:rsid w:val="00591822"/>
    <w:rsid w:val="00591C3B"/>
    <w:rsid w:val="00592506"/>
    <w:rsid w:val="00593F49"/>
    <w:rsid w:val="00593F89"/>
    <w:rsid w:val="00597B1E"/>
    <w:rsid w:val="00597E64"/>
    <w:rsid w:val="005A089C"/>
    <w:rsid w:val="005A0949"/>
    <w:rsid w:val="005A0B9C"/>
    <w:rsid w:val="005A1F3E"/>
    <w:rsid w:val="005A73D7"/>
    <w:rsid w:val="005A78E5"/>
    <w:rsid w:val="005B0121"/>
    <w:rsid w:val="005B217B"/>
    <w:rsid w:val="005B26ED"/>
    <w:rsid w:val="005B418E"/>
    <w:rsid w:val="005B6C56"/>
    <w:rsid w:val="005B72AA"/>
    <w:rsid w:val="005C0C35"/>
    <w:rsid w:val="005C1A2B"/>
    <w:rsid w:val="005C1D3C"/>
    <w:rsid w:val="005C27ED"/>
    <w:rsid w:val="005C3422"/>
    <w:rsid w:val="005C40E9"/>
    <w:rsid w:val="005C49A2"/>
    <w:rsid w:val="005C4FD7"/>
    <w:rsid w:val="005C5813"/>
    <w:rsid w:val="005C5950"/>
    <w:rsid w:val="005C5BED"/>
    <w:rsid w:val="005C61AF"/>
    <w:rsid w:val="005C7D60"/>
    <w:rsid w:val="005D0F65"/>
    <w:rsid w:val="005D21E8"/>
    <w:rsid w:val="005D286D"/>
    <w:rsid w:val="005D2C67"/>
    <w:rsid w:val="005D45C7"/>
    <w:rsid w:val="005D4A96"/>
    <w:rsid w:val="005D4E41"/>
    <w:rsid w:val="005D575E"/>
    <w:rsid w:val="005D5E0A"/>
    <w:rsid w:val="005D66FD"/>
    <w:rsid w:val="005E0DC6"/>
    <w:rsid w:val="005E2155"/>
    <w:rsid w:val="005E2828"/>
    <w:rsid w:val="005E35C6"/>
    <w:rsid w:val="005E41A3"/>
    <w:rsid w:val="005E4CF6"/>
    <w:rsid w:val="005E612B"/>
    <w:rsid w:val="005E66DA"/>
    <w:rsid w:val="005E6925"/>
    <w:rsid w:val="005E7165"/>
    <w:rsid w:val="005F05F7"/>
    <w:rsid w:val="005F061F"/>
    <w:rsid w:val="005F0A5E"/>
    <w:rsid w:val="005F0ADD"/>
    <w:rsid w:val="005F0B5D"/>
    <w:rsid w:val="005F1182"/>
    <w:rsid w:val="005F13FC"/>
    <w:rsid w:val="005F2788"/>
    <w:rsid w:val="005F3839"/>
    <w:rsid w:val="005F3B66"/>
    <w:rsid w:val="005F3BCA"/>
    <w:rsid w:val="005F43EE"/>
    <w:rsid w:val="005F4760"/>
    <w:rsid w:val="006005F5"/>
    <w:rsid w:val="00603EE4"/>
    <w:rsid w:val="00604530"/>
    <w:rsid w:val="00610779"/>
    <w:rsid w:val="00611419"/>
    <w:rsid w:val="0061149B"/>
    <w:rsid w:val="00612387"/>
    <w:rsid w:val="006150BC"/>
    <w:rsid w:val="006150FF"/>
    <w:rsid w:val="0061543A"/>
    <w:rsid w:val="00615667"/>
    <w:rsid w:val="00615B85"/>
    <w:rsid w:val="00621310"/>
    <w:rsid w:val="00622A44"/>
    <w:rsid w:val="006242C8"/>
    <w:rsid w:val="00624FE0"/>
    <w:rsid w:val="00625036"/>
    <w:rsid w:val="00625B84"/>
    <w:rsid w:val="00627680"/>
    <w:rsid w:val="00627B1E"/>
    <w:rsid w:val="0063065F"/>
    <w:rsid w:val="00631085"/>
    <w:rsid w:val="006314F8"/>
    <w:rsid w:val="00634624"/>
    <w:rsid w:val="006358AA"/>
    <w:rsid w:val="006365E7"/>
    <w:rsid w:val="00637256"/>
    <w:rsid w:val="00637424"/>
    <w:rsid w:val="006412ED"/>
    <w:rsid w:val="00642E1A"/>
    <w:rsid w:val="0064361A"/>
    <w:rsid w:val="00645117"/>
    <w:rsid w:val="00645990"/>
    <w:rsid w:val="00646045"/>
    <w:rsid w:val="00646EBC"/>
    <w:rsid w:val="0065077E"/>
    <w:rsid w:val="00650CC0"/>
    <w:rsid w:val="00651993"/>
    <w:rsid w:val="00652056"/>
    <w:rsid w:val="00652BC1"/>
    <w:rsid w:val="006530D5"/>
    <w:rsid w:val="0065420D"/>
    <w:rsid w:val="00654750"/>
    <w:rsid w:val="00654BE7"/>
    <w:rsid w:val="00655DB8"/>
    <w:rsid w:val="006601DF"/>
    <w:rsid w:val="00660A9B"/>
    <w:rsid w:val="0066134F"/>
    <w:rsid w:val="006615FC"/>
    <w:rsid w:val="006619C3"/>
    <w:rsid w:val="00662ED5"/>
    <w:rsid w:val="00663585"/>
    <w:rsid w:val="00663941"/>
    <w:rsid w:val="00664966"/>
    <w:rsid w:val="00664B1B"/>
    <w:rsid w:val="00666070"/>
    <w:rsid w:val="006663A1"/>
    <w:rsid w:val="006673AA"/>
    <w:rsid w:val="00667AB7"/>
    <w:rsid w:val="00667B92"/>
    <w:rsid w:val="00670683"/>
    <w:rsid w:val="00670BEC"/>
    <w:rsid w:val="006716F4"/>
    <w:rsid w:val="0067187B"/>
    <w:rsid w:val="006733B2"/>
    <w:rsid w:val="00676018"/>
    <w:rsid w:val="00676995"/>
    <w:rsid w:val="00676A96"/>
    <w:rsid w:val="00677D4C"/>
    <w:rsid w:val="00680913"/>
    <w:rsid w:val="006822AE"/>
    <w:rsid w:val="006822DC"/>
    <w:rsid w:val="0068271C"/>
    <w:rsid w:val="00682770"/>
    <w:rsid w:val="00683541"/>
    <w:rsid w:val="006847A0"/>
    <w:rsid w:val="0068720B"/>
    <w:rsid w:val="00687AAA"/>
    <w:rsid w:val="00687ADD"/>
    <w:rsid w:val="00687FFC"/>
    <w:rsid w:val="0069105C"/>
    <w:rsid w:val="006922B2"/>
    <w:rsid w:val="006951E5"/>
    <w:rsid w:val="006968BA"/>
    <w:rsid w:val="00696F14"/>
    <w:rsid w:val="00697C8B"/>
    <w:rsid w:val="006A1C95"/>
    <w:rsid w:val="006A332E"/>
    <w:rsid w:val="006A3616"/>
    <w:rsid w:val="006A3D60"/>
    <w:rsid w:val="006A3DDF"/>
    <w:rsid w:val="006A4C40"/>
    <w:rsid w:val="006A5A95"/>
    <w:rsid w:val="006A5E84"/>
    <w:rsid w:val="006B251B"/>
    <w:rsid w:val="006B35E3"/>
    <w:rsid w:val="006B3C2C"/>
    <w:rsid w:val="006B3F29"/>
    <w:rsid w:val="006B42A8"/>
    <w:rsid w:val="006B4B92"/>
    <w:rsid w:val="006B5712"/>
    <w:rsid w:val="006B5C89"/>
    <w:rsid w:val="006B70BF"/>
    <w:rsid w:val="006C31D7"/>
    <w:rsid w:val="006C3ADC"/>
    <w:rsid w:val="006C480D"/>
    <w:rsid w:val="006C4F94"/>
    <w:rsid w:val="006D09E7"/>
    <w:rsid w:val="006D0B61"/>
    <w:rsid w:val="006D1A6A"/>
    <w:rsid w:val="006D2B89"/>
    <w:rsid w:val="006D2BA2"/>
    <w:rsid w:val="006D3939"/>
    <w:rsid w:val="006D3951"/>
    <w:rsid w:val="006D4726"/>
    <w:rsid w:val="006D4AA1"/>
    <w:rsid w:val="006D4AD1"/>
    <w:rsid w:val="006D4B07"/>
    <w:rsid w:val="006D6213"/>
    <w:rsid w:val="006D6945"/>
    <w:rsid w:val="006D6DCE"/>
    <w:rsid w:val="006E31CE"/>
    <w:rsid w:val="006E33EC"/>
    <w:rsid w:val="006E46BF"/>
    <w:rsid w:val="006E4ED8"/>
    <w:rsid w:val="006E5908"/>
    <w:rsid w:val="006E6075"/>
    <w:rsid w:val="006E76D5"/>
    <w:rsid w:val="006E772D"/>
    <w:rsid w:val="006E79D8"/>
    <w:rsid w:val="006F02A6"/>
    <w:rsid w:val="006F2760"/>
    <w:rsid w:val="006F33D2"/>
    <w:rsid w:val="006F3898"/>
    <w:rsid w:val="006F40F9"/>
    <w:rsid w:val="006F4846"/>
    <w:rsid w:val="006F5A19"/>
    <w:rsid w:val="006F5E01"/>
    <w:rsid w:val="006F7BB9"/>
    <w:rsid w:val="00700213"/>
    <w:rsid w:val="00700C19"/>
    <w:rsid w:val="00700C65"/>
    <w:rsid w:val="007023ED"/>
    <w:rsid w:val="00702B7E"/>
    <w:rsid w:val="007032AD"/>
    <w:rsid w:val="007041BB"/>
    <w:rsid w:val="007043EE"/>
    <w:rsid w:val="0070730A"/>
    <w:rsid w:val="0071134C"/>
    <w:rsid w:val="007118E1"/>
    <w:rsid w:val="0071258C"/>
    <w:rsid w:val="007130CD"/>
    <w:rsid w:val="00713176"/>
    <w:rsid w:val="00713337"/>
    <w:rsid w:val="007133CA"/>
    <w:rsid w:val="00713B79"/>
    <w:rsid w:val="00714191"/>
    <w:rsid w:val="007157EA"/>
    <w:rsid w:val="00715A32"/>
    <w:rsid w:val="00716089"/>
    <w:rsid w:val="00716540"/>
    <w:rsid w:val="00720A96"/>
    <w:rsid w:val="00720E2F"/>
    <w:rsid w:val="00721829"/>
    <w:rsid w:val="00722BB1"/>
    <w:rsid w:val="00722D63"/>
    <w:rsid w:val="0072302B"/>
    <w:rsid w:val="00723255"/>
    <w:rsid w:val="00724209"/>
    <w:rsid w:val="0072471D"/>
    <w:rsid w:val="00725F7C"/>
    <w:rsid w:val="00726288"/>
    <w:rsid w:val="0072690B"/>
    <w:rsid w:val="00726E7E"/>
    <w:rsid w:val="00727839"/>
    <w:rsid w:val="00731EFE"/>
    <w:rsid w:val="007320E7"/>
    <w:rsid w:val="00735CFC"/>
    <w:rsid w:val="00736DE2"/>
    <w:rsid w:val="00741546"/>
    <w:rsid w:val="00741FBA"/>
    <w:rsid w:val="00741FCF"/>
    <w:rsid w:val="00742AA4"/>
    <w:rsid w:val="00742F1F"/>
    <w:rsid w:val="007430F5"/>
    <w:rsid w:val="00743315"/>
    <w:rsid w:val="0074361D"/>
    <w:rsid w:val="00743C8A"/>
    <w:rsid w:val="00743FA2"/>
    <w:rsid w:val="007447AB"/>
    <w:rsid w:val="007450BE"/>
    <w:rsid w:val="007453F3"/>
    <w:rsid w:val="00745520"/>
    <w:rsid w:val="00745929"/>
    <w:rsid w:val="00745ECA"/>
    <w:rsid w:val="00746726"/>
    <w:rsid w:val="00747A1B"/>
    <w:rsid w:val="00750071"/>
    <w:rsid w:val="0075088F"/>
    <w:rsid w:val="007515A7"/>
    <w:rsid w:val="00752783"/>
    <w:rsid w:val="0075317B"/>
    <w:rsid w:val="007538BC"/>
    <w:rsid w:val="0075484D"/>
    <w:rsid w:val="00754F3B"/>
    <w:rsid w:val="00755083"/>
    <w:rsid w:val="007555C8"/>
    <w:rsid w:val="00757AED"/>
    <w:rsid w:val="00757DA2"/>
    <w:rsid w:val="00760766"/>
    <w:rsid w:val="00762B2F"/>
    <w:rsid w:val="0076347B"/>
    <w:rsid w:val="00764A34"/>
    <w:rsid w:val="00765696"/>
    <w:rsid w:val="00765E43"/>
    <w:rsid w:val="007663C4"/>
    <w:rsid w:val="00767197"/>
    <w:rsid w:val="007703AB"/>
    <w:rsid w:val="007706D3"/>
    <w:rsid w:val="007711D3"/>
    <w:rsid w:val="00771C85"/>
    <w:rsid w:val="0077373F"/>
    <w:rsid w:val="007739FF"/>
    <w:rsid w:val="00773CCA"/>
    <w:rsid w:val="007741FA"/>
    <w:rsid w:val="00774689"/>
    <w:rsid w:val="00775208"/>
    <w:rsid w:val="00776554"/>
    <w:rsid w:val="00776BE0"/>
    <w:rsid w:val="00776ED5"/>
    <w:rsid w:val="00777036"/>
    <w:rsid w:val="007830C0"/>
    <w:rsid w:val="00783D2D"/>
    <w:rsid w:val="00783EEE"/>
    <w:rsid w:val="00785D28"/>
    <w:rsid w:val="00786CE6"/>
    <w:rsid w:val="00790ADD"/>
    <w:rsid w:val="007932FE"/>
    <w:rsid w:val="007934BC"/>
    <w:rsid w:val="00795BC7"/>
    <w:rsid w:val="00795C56"/>
    <w:rsid w:val="00795EB3"/>
    <w:rsid w:val="0079615B"/>
    <w:rsid w:val="00797CE3"/>
    <w:rsid w:val="007A05A2"/>
    <w:rsid w:val="007A1215"/>
    <w:rsid w:val="007A27F3"/>
    <w:rsid w:val="007A2F27"/>
    <w:rsid w:val="007A497F"/>
    <w:rsid w:val="007B08D7"/>
    <w:rsid w:val="007B0B13"/>
    <w:rsid w:val="007B167F"/>
    <w:rsid w:val="007B27F9"/>
    <w:rsid w:val="007B2C8F"/>
    <w:rsid w:val="007B58C6"/>
    <w:rsid w:val="007B720B"/>
    <w:rsid w:val="007B7D5C"/>
    <w:rsid w:val="007B7E3F"/>
    <w:rsid w:val="007C03DF"/>
    <w:rsid w:val="007C185E"/>
    <w:rsid w:val="007C1D58"/>
    <w:rsid w:val="007C2342"/>
    <w:rsid w:val="007C2F3D"/>
    <w:rsid w:val="007C3388"/>
    <w:rsid w:val="007C6126"/>
    <w:rsid w:val="007C7D40"/>
    <w:rsid w:val="007D2786"/>
    <w:rsid w:val="007D36AB"/>
    <w:rsid w:val="007D61BF"/>
    <w:rsid w:val="007D733A"/>
    <w:rsid w:val="007D798B"/>
    <w:rsid w:val="007D7ABD"/>
    <w:rsid w:val="007D7FF3"/>
    <w:rsid w:val="007E0A52"/>
    <w:rsid w:val="007E161D"/>
    <w:rsid w:val="007E1728"/>
    <w:rsid w:val="007E3568"/>
    <w:rsid w:val="007E3BA8"/>
    <w:rsid w:val="007E483A"/>
    <w:rsid w:val="007E5D9B"/>
    <w:rsid w:val="007E6C58"/>
    <w:rsid w:val="007F033E"/>
    <w:rsid w:val="007F0D55"/>
    <w:rsid w:val="007F14EE"/>
    <w:rsid w:val="007F2E5A"/>
    <w:rsid w:val="007F3510"/>
    <w:rsid w:val="007F35E5"/>
    <w:rsid w:val="007F4938"/>
    <w:rsid w:val="007F4A67"/>
    <w:rsid w:val="007F5CEB"/>
    <w:rsid w:val="007F5F0A"/>
    <w:rsid w:val="007F605B"/>
    <w:rsid w:val="007F61A0"/>
    <w:rsid w:val="007F64EC"/>
    <w:rsid w:val="007F668B"/>
    <w:rsid w:val="00800881"/>
    <w:rsid w:val="008062D7"/>
    <w:rsid w:val="0080632B"/>
    <w:rsid w:val="00807B96"/>
    <w:rsid w:val="00811385"/>
    <w:rsid w:val="008116FA"/>
    <w:rsid w:val="00811A01"/>
    <w:rsid w:val="00811C71"/>
    <w:rsid w:val="008131B2"/>
    <w:rsid w:val="00813C03"/>
    <w:rsid w:val="00813D6A"/>
    <w:rsid w:val="0081605A"/>
    <w:rsid w:val="00816940"/>
    <w:rsid w:val="00817207"/>
    <w:rsid w:val="00820257"/>
    <w:rsid w:val="00820B33"/>
    <w:rsid w:val="0082286B"/>
    <w:rsid w:val="00823F11"/>
    <w:rsid w:val="00823F37"/>
    <w:rsid w:val="008244D4"/>
    <w:rsid w:val="00824581"/>
    <w:rsid w:val="008264F1"/>
    <w:rsid w:val="0082706B"/>
    <w:rsid w:val="00827EB1"/>
    <w:rsid w:val="008310D9"/>
    <w:rsid w:val="00832F5C"/>
    <w:rsid w:val="00833184"/>
    <w:rsid w:val="008334EC"/>
    <w:rsid w:val="008379EF"/>
    <w:rsid w:val="00840FCA"/>
    <w:rsid w:val="00842B4A"/>
    <w:rsid w:val="00843AC1"/>
    <w:rsid w:val="008454C2"/>
    <w:rsid w:val="00845CB0"/>
    <w:rsid w:val="00847454"/>
    <w:rsid w:val="00847B7D"/>
    <w:rsid w:val="00847F66"/>
    <w:rsid w:val="0085157B"/>
    <w:rsid w:val="008519C3"/>
    <w:rsid w:val="008531A4"/>
    <w:rsid w:val="008534F7"/>
    <w:rsid w:val="00853BB3"/>
    <w:rsid w:val="0085425D"/>
    <w:rsid w:val="00855D43"/>
    <w:rsid w:val="0085606F"/>
    <w:rsid w:val="008574E9"/>
    <w:rsid w:val="008630E0"/>
    <w:rsid w:val="00863F2B"/>
    <w:rsid w:val="00864427"/>
    <w:rsid w:val="00865024"/>
    <w:rsid w:val="00865886"/>
    <w:rsid w:val="00866163"/>
    <w:rsid w:val="00866D31"/>
    <w:rsid w:val="00866ED7"/>
    <w:rsid w:val="008677E3"/>
    <w:rsid w:val="00867B73"/>
    <w:rsid w:val="0087195B"/>
    <w:rsid w:val="00871BF7"/>
    <w:rsid w:val="00871DE7"/>
    <w:rsid w:val="0087213F"/>
    <w:rsid w:val="00872E6F"/>
    <w:rsid w:val="00873111"/>
    <w:rsid w:val="0087311F"/>
    <w:rsid w:val="008746E2"/>
    <w:rsid w:val="0087542E"/>
    <w:rsid w:val="008757A1"/>
    <w:rsid w:val="00877E37"/>
    <w:rsid w:val="00880929"/>
    <w:rsid w:val="00881103"/>
    <w:rsid w:val="00881DE8"/>
    <w:rsid w:val="008823EF"/>
    <w:rsid w:val="0088276E"/>
    <w:rsid w:val="00882D92"/>
    <w:rsid w:val="00882F44"/>
    <w:rsid w:val="0088321B"/>
    <w:rsid w:val="00884000"/>
    <w:rsid w:val="008906C5"/>
    <w:rsid w:val="00890ABB"/>
    <w:rsid w:val="00891479"/>
    <w:rsid w:val="0089237E"/>
    <w:rsid w:val="008934CC"/>
    <w:rsid w:val="00893874"/>
    <w:rsid w:val="008939AF"/>
    <w:rsid w:val="00893DEF"/>
    <w:rsid w:val="008946F9"/>
    <w:rsid w:val="008953F0"/>
    <w:rsid w:val="008959EE"/>
    <w:rsid w:val="0089620E"/>
    <w:rsid w:val="008975A7"/>
    <w:rsid w:val="008A047A"/>
    <w:rsid w:val="008A08AE"/>
    <w:rsid w:val="008A299D"/>
    <w:rsid w:val="008A2F9F"/>
    <w:rsid w:val="008A51F1"/>
    <w:rsid w:val="008A5CDD"/>
    <w:rsid w:val="008A6C71"/>
    <w:rsid w:val="008A6C9C"/>
    <w:rsid w:val="008A744C"/>
    <w:rsid w:val="008B0829"/>
    <w:rsid w:val="008B3227"/>
    <w:rsid w:val="008B328A"/>
    <w:rsid w:val="008B36CB"/>
    <w:rsid w:val="008B47DC"/>
    <w:rsid w:val="008B555D"/>
    <w:rsid w:val="008B7510"/>
    <w:rsid w:val="008C025A"/>
    <w:rsid w:val="008C0876"/>
    <w:rsid w:val="008C0CA1"/>
    <w:rsid w:val="008C19EE"/>
    <w:rsid w:val="008C222E"/>
    <w:rsid w:val="008C24B0"/>
    <w:rsid w:val="008C3CDA"/>
    <w:rsid w:val="008C44EE"/>
    <w:rsid w:val="008C4ADB"/>
    <w:rsid w:val="008C52A1"/>
    <w:rsid w:val="008C5733"/>
    <w:rsid w:val="008D175F"/>
    <w:rsid w:val="008D25B8"/>
    <w:rsid w:val="008D2A8D"/>
    <w:rsid w:val="008D2A90"/>
    <w:rsid w:val="008D439C"/>
    <w:rsid w:val="008D5141"/>
    <w:rsid w:val="008D64CB"/>
    <w:rsid w:val="008D6847"/>
    <w:rsid w:val="008D6888"/>
    <w:rsid w:val="008D6F80"/>
    <w:rsid w:val="008D7324"/>
    <w:rsid w:val="008D79F1"/>
    <w:rsid w:val="008E0C54"/>
    <w:rsid w:val="008E2EDD"/>
    <w:rsid w:val="008E2FDB"/>
    <w:rsid w:val="008E43E7"/>
    <w:rsid w:val="008E539D"/>
    <w:rsid w:val="008E5714"/>
    <w:rsid w:val="008E6347"/>
    <w:rsid w:val="008E7059"/>
    <w:rsid w:val="008F304F"/>
    <w:rsid w:val="008F4E8A"/>
    <w:rsid w:val="008F531E"/>
    <w:rsid w:val="008F5582"/>
    <w:rsid w:val="008F5C8A"/>
    <w:rsid w:val="008F6AAA"/>
    <w:rsid w:val="008F73E2"/>
    <w:rsid w:val="008F7E26"/>
    <w:rsid w:val="009000B8"/>
    <w:rsid w:val="00900363"/>
    <w:rsid w:val="0090037B"/>
    <w:rsid w:val="0090063E"/>
    <w:rsid w:val="0090113A"/>
    <w:rsid w:val="00901E3B"/>
    <w:rsid w:val="00902505"/>
    <w:rsid w:val="009025CC"/>
    <w:rsid w:val="0090358A"/>
    <w:rsid w:val="0090382D"/>
    <w:rsid w:val="00903964"/>
    <w:rsid w:val="00903B95"/>
    <w:rsid w:val="00903C2E"/>
    <w:rsid w:val="00911180"/>
    <w:rsid w:val="009116B8"/>
    <w:rsid w:val="0091369D"/>
    <w:rsid w:val="00913895"/>
    <w:rsid w:val="00913DF6"/>
    <w:rsid w:val="00915F09"/>
    <w:rsid w:val="00917A77"/>
    <w:rsid w:val="00920FA8"/>
    <w:rsid w:val="009210B2"/>
    <w:rsid w:val="00921387"/>
    <w:rsid w:val="0092182A"/>
    <w:rsid w:val="00923A28"/>
    <w:rsid w:val="00923A83"/>
    <w:rsid w:val="00923FE8"/>
    <w:rsid w:val="00924382"/>
    <w:rsid w:val="0093009C"/>
    <w:rsid w:val="00930480"/>
    <w:rsid w:val="00931064"/>
    <w:rsid w:val="00931104"/>
    <w:rsid w:val="00931A77"/>
    <w:rsid w:val="0093210F"/>
    <w:rsid w:val="009355AC"/>
    <w:rsid w:val="009360D3"/>
    <w:rsid w:val="00936946"/>
    <w:rsid w:val="009374DF"/>
    <w:rsid w:val="00940BF1"/>
    <w:rsid w:val="009419F1"/>
    <w:rsid w:val="009433B5"/>
    <w:rsid w:val="009434CA"/>
    <w:rsid w:val="00943ADD"/>
    <w:rsid w:val="00943E03"/>
    <w:rsid w:val="0094420C"/>
    <w:rsid w:val="00944527"/>
    <w:rsid w:val="009448A3"/>
    <w:rsid w:val="0094581C"/>
    <w:rsid w:val="009458B5"/>
    <w:rsid w:val="00945E2F"/>
    <w:rsid w:val="00945EB9"/>
    <w:rsid w:val="0094617B"/>
    <w:rsid w:val="009462D4"/>
    <w:rsid w:val="00946E8C"/>
    <w:rsid w:val="0094746D"/>
    <w:rsid w:val="009502A9"/>
    <w:rsid w:val="00951933"/>
    <w:rsid w:val="009533EB"/>
    <w:rsid w:val="00953429"/>
    <w:rsid w:val="00956142"/>
    <w:rsid w:val="00960E05"/>
    <w:rsid w:val="0096136C"/>
    <w:rsid w:val="00961926"/>
    <w:rsid w:val="00963315"/>
    <w:rsid w:val="00963CA6"/>
    <w:rsid w:val="009657E1"/>
    <w:rsid w:val="00966E1B"/>
    <w:rsid w:val="00966E7A"/>
    <w:rsid w:val="00967AFA"/>
    <w:rsid w:val="0097023C"/>
    <w:rsid w:val="00970556"/>
    <w:rsid w:val="0097092C"/>
    <w:rsid w:val="00972B03"/>
    <w:rsid w:val="009733BB"/>
    <w:rsid w:val="00973DC5"/>
    <w:rsid w:val="0097483B"/>
    <w:rsid w:val="0097522D"/>
    <w:rsid w:val="00975606"/>
    <w:rsid w:val="009757FD"/>
    <w:rsid w:val="00976926"/>
    <w:rsid w:val="00977131"/>
    <w:rsid w:val="0097780D"/>
    <w:rsid w:val="00977867"/>
    <w:rsid w:val="00977BBA"/>
    <w:rsid w:val="00977DE8"/>
    <w:rsid w:val="00980B4C"/>
    <w:rsid w:val="009815FE"/>
    <w:rsid w:val="009823B7"/>
    <w:rsid w:val="00982801"/>
    <w:rsid w:val="00982F96"/>
    <w:rsid w:val="009834E3"/>
    <w:rsid w:val="00984362"/>
    <w:rsid w:val="00986783"/>
    <w:rsid w:val="00986C56"/>
    <w:rsid w:val="00987057"/>
    <w:rsid w:val="00990386"/>
    <w:rsid w:val="00990859"/>
    <w:rsid w:val="00990A4E"/>
    <w:rsid w:val="00990D84"/>
    <w:rsid w:val="00991490"/>
    <w:rsid w:val="009932B3"/>
    <w:rsid w:val="00994D29"/>
    <w:rsid w:val="00996625"/>
    <w:rsid w:val="009A0A4A"/>
    <w:rsid w:val="009A166D"/>
    <w:rsid w:val="009A3BBF"/>
    <w:rsid w:val="009A424B"/>
    <w:rsid w:val="009A613E"/>
    <w:rsid w:val="009A64FE"/>
    <w:rsid w:val="009A6D7B"/>
    <w:rsid w:val="009B0190"/>
    <w:rsid w:val="009B03E0"/>
    <w:rsid w:val="009B1BB8"/>
    <w:rsid w:val="009B35D2"/>
    <w:rsid w:val="009B4145"/>
    <w:rsid w:val="009B46B2"/>
    <w:rsid w:val="009B51FE"/>
    <w:rsid w:val="009B639B"/>
    <w:rsid w:val="009B6F30"/>
    <w:rsid w:val="009B78D1"/>
    <w:rsid w:val="009B7ECA"/>
    <w:rsid w:val="009C046A"/>
    <w:rsid w:val="009C181D"/>
    <w:rsid w:val="009C3795"/>
    <w:rsid w:val="009C4F9E"/>
    <w:rsid w:val="009D055D"/>
    <w:rsid w:val="009D0E88"/>
    <w:rsid w:val="009D1734"/>
    <w:rsid w:val="009D23DA"/>
    <w:rsid w:val="009D24D8"/>
    <w:rsid w:val="009D2F19"/>
    <w:rsid w:val="009D3CEF"/>
    <w:rsid w:val="009D3E9A"/>
    <w:rsid w:val="009D4D1E"/>
    <w:rsid w:val="009D5036"/>
    <w:rsid w:val="009D5C53"/>
    <w:rsid w:val="009D6637"/>
    <w:rsid w:val="009D67E9"/>
    <w:rsid w:val="009E02D1"/>
    <w:rsid w:val="009E116D"/>
    <w:rsid w:val="009E3CFB"/>
    <w:rsid w:val="009E3FC2"/>
    <w:rsid w:val="009E4528"/>
    <w:rsid w:val="009E5524"/>
    <w:rsid w:val="009E5B58"/>
    <w:rsid w:val="009F05DD"/>
    <w:rsid w:val="009F0726"/>
    <w:rsid w:val="009F1AEC"/>
    <w:rsid w:val="009F20DE"/>
    <w:rsid w:val="009F26C6"/>
    <w:rsid w:val="009F2849"/>
    <w:rsid w:val="009F327C"/>
    <w:rsid w:val="009F3282"/>
    <w:rsid w:val="009F32D1"/>
    <w:rsid w:val="009F42D0"/>
    <w:rsid w:val="009F4A58"/>
    <w:rsid w:val="009F4C42"/>
    <w:rsid w:val="009F726E"/>
    <w:rsid w:val="009F7549"/>
    <w:rsid w:val="009F77C1"/>
    <w:rsid w:val="009F7FB5"/>
    <w:rsid w:val="00A007E7"/>
    <w:rsid w:val="00A02106"/>
    <w:rsid w:val="00A02226"/>
    <w:rsid w:val="00A024C4"/>
    <w:rsid w:val="00A05356"/>
    <w:rsid w:val="00A07633"/>
    <w:rsid w:val="00A07CDD"/>
    <w:rsid w:val="00A10966"/>
    <w:rsid w:val="00A10B4B"/>
    <w:rsid w:val="00A1233C"/>
    <w:rsid w:val="00A12663"/>
    <w:rsid w:val="00A12B5D"/>
    <w:rsid w:val="00A150B2"/>
    <w:rsid w:val="00A15828"/>
    <w:rsid w:val="00A15A38"/>
    <w:rsid w:val="00A16B5D"/>
    <w:rsid w:val="00A16D7A"/>
    <w:rsid w:val="00A178C2"/>
    <w:rsid w:val="00A17907"/>
    <w:rsid w:val="00A17BB0"/>
    <w:rsid w:val="00A20172"/>
    <w:rsid w:val="00A22E88"/>
    <w:rsid w:val="00A23B50"/>
    <w:rsid w:val="00A23C86"/>
    <w:rsid w:val="00A25399"/>
    <w:rsid w:val="00A25B80"/>
    <w:rsid w:val="00A25D70"/>
    <w:rsid w:val="00A25E56"/>
    <w:rsid w:val="00A25FE4"/>
    <w:rsid w:val="00A2676C"/>
    <w:rsid w:val="00A2767D"/>
    <w:rsid w:val="00A27E97"/>
    <w:rsid w:val="00A27F28"/>
    <w:rsid w:val="00A302FB"/>
    <w:rsid w:val="00A30620"/>
    <w:rsid w:val="00A33235"/>
    <w:rsid w:val="00A33A62"/>
    <w:rsid w:val="00A34AA2"/>
    <w:rsid w:val="00A34DA5"/>
    <w:rsid w:val="00A37088"/>
    <w:rsid w:val="00A37E11"/>
    <w:rsid w:val="00A40AC4"/>
    <w:rsid w:val="00A40E23"/>
    <w:rsid w:val="00A41284"/>
    <w:rsid w:val="00A42EF7"/>
    <w:rsid w:val="00A433EE"/>
    <w:rsid w:val="00A4392C"/>
    <w:rsid w:val="00A4435E"/>
    <w:rsid w:val="00A444C8"/>
    <w:rsid w:val="00A44988"/>
    <w:rsid w:val="00A465E7"/>
    <w:rsid w:val="00A46C91"/>
    <w:rsid w:val="00A46E01"/>
    <w:rsid w:val="00A4702F"/>
    <w:rsid w:val="00A47566"/>
    <w:rsid w:val="00A47AF4"/>
    <w:rsid w:val="00A5044D"/>
    <w:rsid w:val="00A52782"/>
    <w:rsid w:val="00A52EA9"/>
    <w:rsid w:val="00A53544"/>
    <w:rsid w:val="00A54587"/>
    <w:rsid w:val="00A548BA"/>
    <w:rsid w:val="00A555C8"/>
    <w:rsid w:val="00A56308"/>
    <w:rsid w:val="00A56766"/>
    <w:rsid w:val="00A6020C"/>
    <w:rsid w:val="00A6026D"/>
    <w:rsid w:val="00A61958"/>
    <w:rsid w:val="00A61DF9"/>
    <w:rsid w:val="00A63217"/>
    <w:rsid w:val="00A63462"/>
    <w:rsid w:val="00A64A2B"/>
    <w:rsid w:val="00A65374"/>
    <w:rsid w:val="00A653FE"/>
    <w:rsid w:val="00A666C9"/>
    <w:rsid w:val="00A67586"/>
    <w:rsid w:val="00A67D2A"/>
    <w:rsid w:val="00A7051A"/>
    <w:rsid w:val="00A71609"/>
    <w:rsid w:val="00A71CE6"/>
    <w:rsid w:val="00A7254A"/>
    <w:rsid w:val="00A73700"/>
    <w:rsid w:val="00A74DBF"/>
    <w:rsid w:val="00A74F67"/>
    <w:rsid w:val="00A75293"/>
    <w:rsid w:val="00A76374"/>
    <w:rsid w:val="00A77822"/>
    <w:rsid w:val="00A77A21"/>
    <w:rsid w:val="00A80E8A"/>
    <w:rsid w:val="00A81B84"/>
    <w:rsid w:val="00A82464"/>
    <w:rsid w:val="00A845BA"/>
    <w:rsid w:val="00A85132"/>
    <w:rsid w:val="00A85BF3"/>
    <w:rsid w:val="00A8719A"/>
    <w:rsid w:val="00A8779C"/>
    <w:rsid w:val="00A907C4"/>
    <w:rsid w:val="00A9295C"/>
    <w:rsid w:val="00A92E1E"/>
    <w:rsid w:val="00A93571"/>
    <w:rsid w:val="00A95DB1"/>
    <w:rsid w:val="00A9736B"/>
    <w:rsid w:val="00A97E86"/>
    <w:rsid w:val="00A97FB8"/>
    <w:rsid w:val="00AA002B"/>
    <w:rsid w:val="00AA011A"/>
    <w:rsid w:val="00AA023E"/>
    <w:rsid w:val="00AA05EF"/>
    <w:rsid w:val="00AA1A2A"/>
    <w:rsid w:val="00AA1A8F"/>
    <w:rsid w:val="00AA22A6"/>
    <w:rsid w:val="00AA33E0"/>
    <w:rsid w:val="00AA35EA"/>
    <w:rsid w:val="00AA5973"/>
    <w:rsid w:val="00AA5AB3"/>
    <w:rsid w:val="00AA63D2"/>
    <w:rsid w:val="00AA74CE"/>
    <w:rsid w:val="00AB15BA"/>
    <w:rsid w:val="00AB1C55"/>
    <w:rsid w:val="00AB2326"/>
    <w:rsid w:val="00AB5D34"/>
    <w:rsid w:val="00AB65C5"/>
    <w:rsid w:val="00AB74E3"/>
    <w:rsid w:val="00AB78B0"/>
    <w:rsid w:val="00AC069C"/>
    <w:rsid w:val="00AC0A69"/>
    <w:rsid w:val="00AC1558"/>
    <w:rsid w:val="00AC2408"/>
    <w:rsid w:val="00AC31A6"/>
    <w:rsid w:val="00AC426E"/>
    <w:rsid w:val="00AC47A0"/>
    <w:rsid w:val="00AC4BC1"/>
    <w:rsid w:val="00AC6DA7"/>
    <w:rsid w:val="00AC773B"/>
    <w:rsid w:val="00AC7883"/>
    <w:rsid w:val="00AC79FE"/>
    <w:rsid w:val="00AC7CA5"/>
    <w:rsid w:val="00AC7F41"/>
    <w:rsid w:val="00AD10CD"/>
    <w:rsid w:val="00AD21DE"/>
    <w:rsid w:val="00AD2458"/>
    <w:rsid w:val="00AD5885"/>
    <w:rsid w:val="00AD6101"/>
    <w:rsid w:val="00AD6EC0"/>
    <w:rsid w:val="00AD7735"/>
    <w:rsid w:val="00AE04EF"/>
    <w:rsid w:val="00AE2D52"/>
    <w:rsid w:val="00AE3725"/>
    <w:rsid w:val="00AE38AB"/>
    <w:rsid w:val="00AE3919"/>
    <w:rsid w:val="00AE3EC8"/>
    <w:rsid w:val="00AE5561"/>
    <w:rsid w:val="00AE6B4F"/>
    <w:rsid w:val="00AF00B7"/>
    <w:rsid w:val="00AF0DC4"/>
    <w:rsid w:val="00AF2236"/>
    <w:rsid w:val="00AF3557"/>
    <w:rsid w:val="00AF46E4"/>
    <w:rsid w:val="00AF4DC8"/>
    <w:rsid w:val="00AF5EB8"/>
    <w:rsid w:val="00AF6120"/>
    <w:rsid w:val="00AF6A50"/>
    <w:rsid w:val="00AF7236"/>
    <w:rsid w:val="00B017CF"/>
    <w:rsid w:val="00B021AB"/>
    <w:rsid w:val="00B050D8"/>
    <w:rsid w:val="00B06A90"/>
    <w:rsid w:val="00B06D9C"/>
    <w:rsid w:val="00B07D09"/>
    <w:rsid w:val="00B1012D"/>
    <w:rsid w:val="00B10501"/>
    <w:rsid w:val="00B10504"/>
    <w:rsid w:val="00B11B4F"/>
    <w:rsid w:val="00B12608"/>
    <w:rsid w:val="00B127FD"/>
    <w:rsid w:val="00B1283C"/>
    <w:rsid w:val="00B12F08"/>
    <w:rsid w:val="00B135EA"/>
    <w:rsid w:val="00B14B48"/>
    <w:rsid w:val="00B2081F"/>
    <w:rsid w:val="00B229BA"/>
    <w:rsid w:val="00B230EE"/>
    <w:rsid w:val="00B2372B"/>
    <w:rsid w:val="00B246D9"/>
    <w:rsid w:val="00B2500F"/>
    <w:rsid w:val="00B27402"/>
    <w:rsid w:val="00B27828"/>
    <w:rsid w:val="00B27AEA"/>
    <w:rsid w:val="00B30D82"/>
    <w:rsid w:val="00B30F15"/>
    <w:rsid w:val="00B3192E"/>
    <w:rsid w:val="00B31F3C"/>
    <w:rsid w:val="00B32EC4"/>
    <w:rsid w:val="00B33C5C"/>
    <w:rsid w:val="00B340E4"/>
    <w:rsid w:val="00B3522C"/>
    <w:rsid w:val="00B35274"/>
    <w:rsid w:val="00B353E7"/>
    <w:rsid w:val="00B368FF"/>
    <w:rsid w:val="00B36CFC"/>
    <w:rsid w:val="00B42523"/>
    <w:rsid w:val="00B43C82"/>
    <w:rsid w:val="00B443AA"/>
    <w:rsid w:val="00B45E92"/>
    <w:rsid w:val="00B45FB5"/>
    <w:rsid w:val="00B520AB"/>
    <w:rsid w:val="00B52CF6"/>
    <w:rsid w:val="00B53B11"/>
    <w:rsid w:val="00B53BA9"/>
    <w:rsid w:val="00B53E10"/>
    <w:rsid w:val="00B541BB"/>
    <w:rsid w:val="00B54842"/>
    <w:rsid w:val="00B54903"/>
    <w:rsid w:val="00B549FD"/>
    <w:rsid w:val="00B55DD1"/>
    <w:rsid w:val="00B56F09"/>
    <w:rsid w:val="00B5742C"/>
    <w:rsid w:val="00B60361"/>
    <w:rsid w:val="00B60DF0"/>
    <w:rsid w:val="00B61073"/>
    <w:rsid w:val="00B6175A"/>
    <w:rsid w:val="00B619DF"/>
    <w:rsid w:val="00B61DED"/>
    <w:rsid w:val="00B64569"/>
    <w:rsid w:val="00B659F8"/>
    <w:rsid w:val="00B66510"/>
    <w:rsid w:val="00B70540"/>
    <w:rsid w:val="00B70F8B"/>
    <w:rsid w:val="00B75090"/>
    <w:rsid w:val="00B7509D"/>
    <w:rsid w:val="00B754A1"/>
    <w:rsid w:val="00B75FC3"/>
    <w:rsid w:val="00B77601"/>
    <w:rsid w:val="00B817C4"/>
    <w:rsid w:val="00B82812"/>
    <w:rsid w:val="00B848A9"/>
    <w:rsid w:val="00B85497"/>
    <w:rsid w:val="00B8562C"/>
    <w:rsid w:val="00B86002"/>
    <w:rsid w:val="00B8656B"/>
    <w:rsid w:val="00B87A0B"/>
    <w:rsid w:val="00B87D23"/>
    <w:rsid w:val="00B90052"/>
    <w:rsid w:val="00B904C7"/>
    <w:rsid w:val="00B92727"/>
    <w:rsid w:val="00B92EB8"/>
    <w:rsid w:val="00B955B3"/>
    <w:rsid w:val="00B9560A"/>
    <w:rsid w:val="00B96E48"/>
    <w:rsid w:val="00BA19AE"/>
    <w:rsid w:val="00BA20A9"/>
    <w:rsid w:val="00BA4372"/>
    <w:rsid w:val="00BA4CEA"/>
    <w:rsid w:val="00BA5C15"/>
    <w:rsid w:val="00BA6080"/>
    <w:rsid w:val="00BA6138"/>
    <w:rsid w:val="00BA69EC"/>
    <w:rsid w:val="00BB011C"/>
    <w:rsid w:val="00BB064E"/>
    <w:rsid w:val="00BB2B5B"/>
    <w:rsid w:val="00BB2E9A"/>
    <w:rsid w:val="00BB36F3"/>
    <w:rsid w:val="00BB3817"/>
    <w:rsid w:val="00BB467F"/>
    <w:rsid w:val="00BB4FAB"/>
    <w:rsid w:val="00BB5189"/>
    <w:rsid w:val="00BB630B"/>
    <w:rsid w:val="00BB6E45"/>
    <w:rsid w:val="00BB71FE"/>
    <w:rsid w:val="00BB76AA"/>
    <w:rsid w:val="00BC1D07"/>
    <w:rsid w:val="00BC3151"/>
    <w:rsid w:val="00BC40C5"/>
    <w:rsid w:val="00BC4979"/>
    <w:rsid w:val="00BC52D0"/>
    <w:rsid w:val="00BC5ED8"/>
    <w:rsid w:val="00BC781B"/>
    <w:rsid w:val="00BC7B21"/>
    <w:rsid w:val="00BC7C17"/>
    <w:rsid w:val="00BD0A5A"/>
    <w:rsid w:val="00BD2834"/>
    <w:rsid w:val="00BD2D6C"/>
    <w:rsid w:val="00BD5869"/>
    <w:rsid w:val="00BD779F"/>
    <w:rsid w:val="00BE042D"/>
    <w:rsid w:val="00BE0C77"/>
    <w:rsid w:val="00BE2A28"/>
    <w:rsid w:val="00BE38C2"/>
    <w:rsid w:val="00BE4A7B"/>
    <w:rsid w:val="00BE7A42"/>
    <w:rsid w:val="00BF004E"/>
    <w:rsid w:val="00BF0D74"/>
    <w:rsid w:val="00BF2963"/>
    <w:rsid w:val="00BF39C5"/>
    <w:rsid w:val="00BF4CE6"/>
    <w:rsid w:val="00BF54C7"/>
    <w:rsid w:val="00BF6868"/>
    <w:rsid w:val="00BF76C6"/>
    <w:rsid w:val="00C030F2"/>
    <w:rsid w:val="00C03E88"/>
    <w:rsid w:val="00C0501B"/>
    <w:rsid w:val="00C05216"/>
    <w:rsid w:val="00C06352"/>
    <w:rsid w:val="00C0652F"/>
    <w:rsid w:val="00C06800"/>
    <w:rsid w:val="00C07785"/>
    <w:rsid w:val="00C11A27"/>
    <w:rsid w:val="00C12211"/>
    <w:rsid w:val="00C12BE5"/>
    <w:rsid w:val="00C12F38"/>
    <w:rsid w:val="00C13453"/>
    <w:rsid w:val="00C14906"/>
    <w:rsid w:val="00C14CC4"/>
    <w:rsid w:val="00C15C92"/>
    <w:rsid w:val="00C16E5B"/>
    <w:rsid w:val="00C17697"/>
    <w:rsid w:val="00C206A6"/>
    <w:rsid w:val="00C20D12"/>
    <w:rsid w:val="00C21837"/>
    <w:rsid w:val="00C21C6F"/>
    <w:rsid w:val="00C22DA7"/>
    <w:rsid w:val="00C22F33"/>
    <w:rsid w:val="00C23ADA"/>
    <w:rsid w:val="00C24D97"/>
    <w:rsid w:val="00C25C0E"/>
    <w:rsid w:val="00C273AF"/>
    <w:rsid w:val="00C27CB8"/>
    <w:rsid w:val="00C306A6"/>
    <w:rsid w:val="00C31893"/>
    <w:rsid w:val="00C31B12"/>
    <w:rsid w:val="00C31FD6"/>
    <w:rsid w:val="00C332DD"/>
    <w:rsid w:val="00C338D7"/>
    <w:rsid w:val="00C35CE5"/>
    <w:rsid w:val="00C37F9B"/>
    <w:rsid w:val="00C37FAE"/>
    <w:rsid w:val="00C37FB7"/>
    <w:rsid w:val="00C4098B"/>
    <w:rsid w:val="00C409E1"/>
    <w:rsid w:val="00C42B0C"/>
    <w:rsid w:val="00C4323A"/>
    <w:rsid w:val="00C43892"/>
    <w:rsid w:val="00C439CC"/>
    <w:rsid w:val="00C45F7B"/>
    <w:rsid w:val="00C47818"/>
    <w:rsid w:val="00C51DBB"/>
    <w:rsid w:val="00C539EE"/>
    <w:rsid w:val="00C53DBF"/>
    <w:rsid w:val="00C540A0"/>
    <w:rsid w:val="00C60FAB"/>
    <w:rsid w:val="00C61110"/>
    <w:rsid w:val="00C61DC3"/>
    <w:rsid w:val="00C6224E"/>
    <w:rsid w:val="00C62AA9"/>
    <w:rsid w:val="00C639EE"/>
    <w:rsid w:val="00C63A02"/>
    <w:rsid w:val="00C63B70"/>
    <w:rsid w:val="00C63D85"/>
    <w:rsid w:val="00C63F90"/>
    <w:rsid w:val="00C6467B"/>
    <w:rsid w:val="00C64DC1"/>
    <w:rsid w:val="00C650D5"/>
    <w:rsid w:val="00C65E55"/>
    <w:rsid w:val="00C66202"/>
    <w:rsid w:val="00C665E6"/>
    <w:rsid w:val="00C710D7"/>
    <w:rsid w:val="00C7182E"/>
    <w:rsid w:val="00C71888"/>
    <w:rsid w:val="00C72C74"/>
    <w:rsid w:val="00C72C77"/>
    <w:rsid w:val="00C72DF0"/>
    <w:rsid w:val="00C75473"/>
    <w:rsid w:val="00C756EF"/>
    <w:rsid w:val="00C76E5F"/>
    <w:rsid w:val="00C7766A"/>
    <w:rsid w:val="00C77763"/>
    <w:rsid w:val="00C8134D"/>
    <w:rsid w:val="00C827A0"/>
    <w:rsid w:val="00C83C2D"/>
    <w:rsid w:val="00C83F26"/>
    <w:rsid w:val="00C84FC1"/>
    <w:rsid w:val="00C8568C"/>
    <w:rsid w:val="00C8580C"/>
    <w:rsid w:val="00C85C3B"/>
    <w:rsid w:val="00C87D91"/>
    <w:rsid w:val="00C90005"/>
    <w:rsid w:val="00C91557"/>
    <w:rsid w:val="00C91BF3"/>
    <w:rsid w:val="00C94562"/>
    <w:rsid w:val="00C954B6"/>
    <w:rsid w:val="00C95A74"/>
    <w:rsid w:val="00C96E30"/>
    <w:rsid w:val="00C97595"/>
    <w:rsid w:val="00CA0970"/>
    <w:rsid w:val="00CA138D"/>
    <w:rsid w:val="00CA199C"/>
    <w:rsid w:val="00CA33CC"/>
    <w:rsid w:val="00CA387A"/>
    <w:rsid w:val="00CA3DFD"/>
    <w:rsid w:val="00CA4FEB"/>
    <w:rsid w:val="00CA5604"/>
    <w:rsid w:val="00CA7079"/>
    <w:rsid w:val="00CB10F6"/>
    <w:rsid w:val="00CB3AB1"/>
    <w:rsid w:val="00CB62A6"/>
    <w:rsid w:val="00CC0A15"/>
    <w:rsid w:val="00CC19E6"/>
    <w:rsid w:val="00CC2486"/>
    <w:rsid w:val="00CC2579"/>
    <w:rsid w:val="00CC29C7"/>
    <w:rsid w:val="00CC2BCD"/>
    <w:rsid w:val="00CC4AD9"/>
    <w:rsid w:val="00CC54F6"/>
    <w:rsid w:val="00CC56F5"/>
    <w:rsid w:val="00CC6C53"/>
    <w:rsid w:val="00CC706F"/>
    <w:rsid w:val="00CC7D2D"/>
    <w:rsid w:val="00CD16BA"/>
    <w:rsid w:val="00CD1845"/>
    <w:rsid w:val="00CD1F38"/>
    <w:rsid w:val="00CD34E2"/>
    <w:rsid w:val="00CD463D"/>
    <w:rsid w:val="00CD5735"/>
    <w:rsid w:val="00CD5ABA"/>
    <w:rsid w:val="00CD7940"/>
    <w:rsid w:val="00CE03D9"/>
    <w:rsid w:val="00CE0D55"/>
    <w:rsid w:val="00CE2F39"/>
    <w:rsid w:val="00CE30E9"/>
    <w:rsid w:val="00CE3BA1"/>
    <w:rsid w:val="00CE3BD7"/>
    <w:rsid w:val="00CE50EC"/>
    <w:rsid w:val="00CE56DC"/>
    <w:rsid w:val="00CE6928"/>
    <w:rsid w:val="00CE69AF"/>
    <w:rsid w:val="00CE6A0D"/>
    <w:rsid w:val="00CE724C"/>
    <w:rsid w:val="00CE74A7"/>
    <w:rsid w:val="00CE7F69"/>
    <w:rsid w:val="00CF0AAB"/>
    <w:rsid w:val="00CF18CE"/>
    <w:rsid w:val="00CF1A90"/>
    <w:rsid w:val="00CF278C"/>
    <w:rsid w:val="00CF413E"/>
    <w:rsid w:val="00CF41AC"/>
    <w:rsid w:val="00CF69A3"/>
    <w:rsid w:val="00D00B35"/>
    <w:rsid w:val="00D01105"/>
    <w:rsid w:val="00D02A75"/>
    <w:rsid w:val="00D03B89"/>
    <w:rsid w:val="00D04643"/>
    <w:rsid w:val="00D05156"/>
    <w:rsid w:val="00D07F1E"/>
    <w:rsid w:val="00D118E0"/>
    <w:rsid w:val="00D1191E"/>
    <w:rsid w:val="00D11C72"/>
    <w:rsid w:val="00D12254"/>
    <w:rsid w:val="00D12528"/>
    <w:rsid w:val="00D12F5D"/>
    <w:rsid w:val="00D13520"/>
    <w:rsid w:val="00D13FA6"/>
    <w:rsid w:val="00D144AE"/>
    <w:rsid w:val="00D14B8C"/>
    <w:rsid w:val="00D14E1B"/>
    <w:rsid w:val="00D155CF"/>
    <w:rsid w:val="00D16EA7"/>
    <w:rsid w:val="00D1773A"/>
    <w:rsid w:val="00D17DAA"/>
    <w:rsid w:val="00D2110C"/>
    <w:rsid w:val="00D21626"/>
    <w:rsid w:val="00D22672"/>
    <w:rsid w:val="00D2270D"/>
    <w:rsid w:val="00D22B26"/>
    <w:rsid w:val="00D2388B"/>
    <w:rsid w:val="00D24293"/>
    <w:rsid w:val="00D259AD"/>
    <w:rsid w:val="00D27227"/>
    <w:rsid w:val="00D27285"/>
    <w:rsid w:val="00D31ACA"/>
    <w:rsid w:val="00D324F6"/>
    <w:rsid w:val="00D32D53"/>
    <w:rsid w:val="00D33651"/>
    <w:rsid w:val="00D35904"/>
    <w:rsid w:val="00D362C3"/>
    <w:rsid w:val="00D3642C"/>
    <w:rsid w:val="00D37EA5"/>
    <w:rsid w:val="00D41175"/>
    <w:rsid w:val="00D4270C"/>
    <w:rsid w:val="00D43373"/>
    <w:rsid w:val="00D441C0"/>
    <w:rsid w:val="00D45165"/>
    <w:rsid w:val="00D45F08"/>
    <w:rsid w:val="00D477AD"/>
    <w:rsid w:val="00D47F1C"/>
    <w:rsid w:val="00D50E97"/>
    <w:rsid w:val="00D5108A"/>
    <w:rsid w:val="00D52476"/>
    <w:rsid w:val="00D53226"/>
    <w:rsid w:val="00D55D5D"/>
    <w:rsid w:val="00D56719"/>
    <w:rsid w:val="00D6008E"/>
    <w:rsid w:val="00D608D9"/>
    <w:rsid w:val="00D6279D"/>
    <w:rsid w:val="00D632C8"/>
    <w:rsid w:val="00D63B9A"/>
    <w:rsid w:val="00D64765"/>
    <w:rsid w:val="00D65FAD"/>
    <w:rsid w:val="00D66B23"/>
    <w:rsid w:val="00D701CF"/>
    <w:rsid w:val="00D7528D"/>
    <w:rsid w:val="00D75DAA"/>
    <w:rsid w:val="00D75E69"/>
    <w:rsid w:val="00D7600B"/>
    <w:rsid w:val="00D77AE9"/>
    <w:rsid w:val="00D807F8"/>
    <w:rsid w:val="00D8084F"/>
    <w:rsid w:val="00D81537"/>
    <w:rsid w:val="00D815F0"/>
    <w:rsid w:val="00D82614"/>
    <w:rsid w:val="00D826A5"/>
    <w:rsid w:val="00D82B1E"/>
    <w:rsid w:val="00D86756"/>
    <w:rsid w:val="00D87C2A"/>
    <w:rsid w:val="00D9025F"/>
    <w:rsid w:val="00D91120"/>
    <w:rsid w:val="00D91167"/>
    <w:rsid w:val="00D91A35"/>
    <w:rsid w:val="00D91BF0"/>
    <w:rsid w:val="00D91DDD"/>
    <w:rsid w:val="00D92535"/>
    <w:rsid w:val="00D92730"/>
    <w:rsid w:val="00D930D9"/>
    <w:rsid w:val="00D931AD"/>
    <w:rsid w:val="00D93972"/>
    <w:rsid w:val="00D93BB4"/>
    <w:rsid w:val="00D93E14"/>
    <w:rsid w:val="00D94254"/>
    <w:rsid w:val="00D94C5F"/>
    <w:rsid w:val="00D95F53"/>
    <w:rsid w:val="00D9644A"/>
    <w:rsid w:val="00D96F7F"/>
    <w:rsid w:val="00D97C3A"/>
    <w:rsid w:val="00DA1E99"/>
    <w:rsid w:val="00DA1EC1"/>
    <w:rsid w:val="00DA22D0"/>
    <w:rsid w:val="00DA3AFB"/>
    <w:rsid w:val="00DA3ED4"/>
    <w:rsid w:val="00DA418F"/>
    <w:rsid w:val="00DA4319"/>
    <w:rsid w:val="00DA46AD"/>
    <w:rsid w:val="00DA53CF"/>
    <w:rsid w:val="00DA543F"/>
    <w:rsid w:val="00DA5DC5"/>
    <w:rsid w:val="00DA66FC"/>
    <w:rsid w:val="00DA7432"/>
    <w:rsid w:val="00DA744F"/>
    <w:rsid w:val="00DB09BB"/>
    <w:rsid w:val="00DB14E7"/>
    <w:rsid w:val="00DB2000"/>
    <w:rsid w:val="00DB2C53"/>
    <w:rsid w:val="00DB2DBD"/>
    <w:rsid w:val="00DB37C4"/>
    <w:rsid w:val="00DB476F"/>
    <w:rsid w:val="00DB55DE"/>
    <w:rsid w:val="00DB5757"/>
    <w:rsid w:val="00DB6BDA"/>
    <w:rsid w:val="00DB7131"/>
    <w:rsid w:val="00DC05E2"/>
    <w:rsid w:val="00DC1223"/>
    <w:rsid w:val="00DC18D9"/>
    <w:rsid w:val="00DC1B91"/>
    <w:rsid w:val="00DC3079"/>
    <w:rsid w:val="00DC4446"/>
    <w:rsid w:val="00DC53A3"/>
    <w:rsid w:val="00DC7232"/>
    <w:rsid w:val="00DD0132"/>
    <w:rsid w:val="00DD0AC4"/>
    <w:rsid w:val="00DD1817"/>
    <w:rsid w:val="00DD1B97"/>
    <w:rsid w:val="00DD2868"/>
    <w:rsid w:val="00DD4DE6"/>
    <w:rsid w:val="00DE09C3"/>
    <w:rsid w:val="00DE22C7"/>
    <w:rsid w:val="00DE2D73"/>
    <w:rsid w:val="00DE4118"/>
    <w:rsid w:val="00DE4E76"/>
    <w:rsid w:val="00DF04D6"/>
    <w:rsid w:val="00DF077E"/>
    <w:rsid w:val="00DF0840"/>
    <w:rsid w:val="00DF14F5"/>
    <w:rsid w:val="00DF15B9"/>
    <w:rsid w:val="00DF22CB"/>
    <w:rsid w:val="00DF2EA8"/>
    <w:rsid w:val="00DF340D"/>
    <w:rsid w:val="00DF399B"/>
    <w:rsid w:val="00DF4230"/>
    <w:rsid w:val="00DF42E7"/>
    <w:rsid w:val="00DF4649"/>
    <w:rsid w:val="00DF74EE"/>
    <w:rsid w:val="00DF7C1E"/>
    <w:rsid w:val="00E0064F"/>
    <w:rsid w:val="00E00A7E"/>
    <w:rsid w:val="00E01113"/>
    <w:rsid w:val="00E01DBC"/>
    <w:rsid w:val="00E041C7"/>
    <w:rsid w:val="00E063B3"/>
    <w:rsid w:val="00E06A2B"/>
    <w:rsid w:val="00E0781A"/>
    <w:rsid w:val="00E12840"/>
    <w:rsid w:val="00E1311A"/>
    <w:rsid w:val="00E139D6"/>
    <w:rsid w:val="00E154A5"/>
    <w:rsid w:val="00E163DD"/>
    <w:rsid w:val="00E163E0"/>
    <w:rsid w:val="00E1664A"/>
    <w:rsid w:val="00E17B30"/>
    <w:rsid w:val="00E17E83"/>
    <w:rsid w:val="00E20169"/>
    <w:rsid w:val="00E20AB2"/>
    <w:rsid w:val="00E21A12"/>
    <w:rsid w:val="00E23792"/>
    <w:rsid w:val="00E2411A"/>
    <w:rsid w:val="00E2412F"/>
    <w:rsid w:val="00E244F9"/>
    <w:rsid w:val="00E2534F"/>
    <w:rsid w:val="00E258B9"/>
    <w:rsid w:val="00E259F2"/>
    <w:rsid w:val="00E2755F"/>
    <w:rsid w:val="00E3005D"/>
    <w:rsid w:val="00E31663"/>
    <w:rsid w:val="00E32310"/>
    <w:rsid w:val="00E3249B"/>
    <w:rsid w:val="00E33FD7"/>
    <w:rsid w:val="00E34915"/>
    <w:rsid w:val="00E35AC2"/>
    <w:rsid w:val="00E402D1"/>
    <w:rsid w:val="00E42803"/>
    <w:rsid w:val="00E42E52"/>
    <w:rsid w:val="00E42EC5"/>
    <w:rsid w:val="00E43E70"/>
    <w:rsid w:val="00E44770"/>
    <w:rsid w:val="00E45F90"/>
    <w:rsid w:val="00E46AB5"/>
    <w:rsid w:val="00E505F1"/>
    <w:rsid w:val="00E51836"/>
    <w:rsid w:val="00E53135"/>
    <w:rsid w:val="00E5330D"/>
    <w:rsid w:val="00E5339F"/>
    <w:rsid w:val="00E54479"/>
    <w:rsid w:val="00E5467E"/>
    <w:rsid w:val="00E547B1"/>
    <w:rsid w:val="00E54B49"/>
    <w:rsid w:val="00E56523"/>
    <w:rsid w:val="00E56EE1"/>
    <w:rsid w:val="00E56F95"/>
    <w:rsid w:val="00E607C4"/>
    <w:rsid w:val="00E60C0F"/>
    <w:rsid w:val="00E61B09"/>
    <w:rsid w:val="00E62837"/>
    <w:rsid w:val="00E62E35"/>
    <w:rsid w:val="00E635F7"/>
    <w:rsid w:val="00E6449E"/>
    <w:rsid w:val="00E64D3D"/>
    <w:rsid w:val="00E65200"/>
    <w:rsid w:val="00E65805"/>
    <w:rsid w:val="00E701FF"/>
    <w:rsid w:val="00E71823"/>
    <w:rsid w:val="00E72D61"/>
    <w:rsid w:val="00E756CF"/>
    <w:rsid w:val="00E75A3C"/>
    <w:rsid w:val="00E76155"/>
    <w:rsid w:val="00E7642F"/>
    <w:rsid w:val="00E76976"/>
    <w:rsid w:val="00E77BFF"/>
    <w:rsid w:val="00E80318"/>
    <w:rsid w:val="00E803C5"/>
    <w:rsid w:val="00E8044B"/>
    <w:rsid w:val="00E80736"/>
    <w:rsid w:val="00E84B35"/>
    <w:rsid w:val="00E84C4D"/>
    <w:rsid w:val="00E91605"/>
    <w:rsid w:val="00E92FB4"/>
    <w:rsid w:val="00E952AD"/>
    <w:rsid w:val="00E9661E"/>
    <w:rsid w:val="00E96FE7"/>
    <w:rsid w:val="00E97B83"/>
    <w:rsid w:val="00EA012A"/>
    <w:rsid w:val="00EA0918"/>
    <w:rsid w:val="00EA0E51"/>
    <w:rsid w:val="00EA2146"/>
    <w:rsid w:val="00EA29D5"/>
    <w:rsid w:val="00EA3514"/>
    <w:rsid w:val="00EA352C"/>
    <w:rsid w:val="00EA4686"/>
    <w:rsid w:val="00EA4AA7"/>
    <w:rsid w:val="00EA57A4"/>
    <w:rsid w:val="00EA6C34"/>
    <w:rsid w:val="00EA6E6C"/>
    <w:rsid w:val="00EA72B8"/>
    <w:rsid w:val="00EA7696"/>
    <w:rsid w:val="00EB209E"/>
    <w:rsid w:val="00EB25C6"/>
    <w:rsid w:val="00EB2C28"/>
    <w:rsid w:val="00EB2F3C"/>
    <w:rsid w:val="00EB3032"/>
    <w:rsid w:val="00EB34FD"/>
    <w:rsid w:val="00EB40AB"/>
    <w:rsid w:val="00EB43BF"/>
    <w:rsid w:val="00EB4D23"/>
    <w:rsid w:val="00EB5D3E"/>
    <w:rsid w:val="00EC07D9"/>
    <w:rsid w:val="00EC08C3"/>
    <w:rsid w:val="00EC0C44"/>
    <w:rsid w:val="00EC1BB8"/>
    <w:rsid w:val="00EC2A72"/>
    <w:rsid w:val="00EC48D7"/>
    <w:rsid w:val="00EC4EE7"/>
    <w:rsid w:val="00EC50CD"/>
    <w:rsid w:val="00EC6310"/>
    <w:rsid w:val="00EC6723"/>
    <w:rsid w:val="00EC681B"/>
    <w:rsid w:val="00EC7EFC"/>
    <w:rsid w:val="00ED00E6"/>
    <w:rsid w:val="00ED05A1"/>
    <w:rsid w:val="00ED23E1"/>
    <w:rsid w:val="00ED2F0F"/>
    <w:rsid w:val="00ED3505"/>
    <w:rsid w:val="00ED589E"/>
    <w:rsid w:val="00ED5DBA"/>
    <w:rsid w:val="00ED5DE5"/>
    <w:rsid w:val="00ED5E9F"/>
    <w:rsid w:val="00ED67EF"/>
    <w:rsid w:val="00EE0853"/>
    <w:rsid w:val="00EE1F03"/>
    <w:rsid w:val="00EE2B9A"/>
    <w:rsid w:val="00EE3E22"/>
    <w:rsid w:val="00EE417E"/>
    <w:rsid w:val="00EE4792"/>
    <w:rsid w:val="00EE4E41"/>
    <w:rsid w:val="00EF069B"/>
    <w:rsid w:val="00EF0A8D"/>
    <w:rsid w:val="00EF1ABF"/>
    <w:rsid w:val="00EF1C27"/>
    <w:rsid w:val="00EF30EB"/>
    <w:rsid w:val="00EF36A5"/>
    <w:rsid w:val="00EF3CB4"/>
    <w:rsid w:val="00EF64E6"/>
    <w:rsid w:val="00EF7376"/>
    <w:rsid w:val="00EF77E4"/>
    <w:rsid w:val="00EF785D"/>
    <w:rsid w:val="00EF7BD4"/>
    <w:rsid w:val="00F00051"/>
    <w:rsid w:val="00F0129D"/>
    <w:rsid w:val="00F01966"/>
    <w:rsid w:val="00F019A3"/>
    <w:rsid w:val="00F01F9E"/>
    <w:rsid w:val="00F02B96"/>
    <w:rsid w:val="00F04151"/>
    <w:rsid w:val="00F06025"/>
    <w:rsid w:val="00F06B72"/>
    <w:rsid w:val="00F06C91"/>
    <w:rsid w:val="00F073AE"/>
    <w:rsid w:val="00F07942"/>
    <w:rsid w:val="00F109B1"/>
    <w:rsid w:val="00F116A3"/>
    <w:rsid w:val="00F11E01"/>
    <w:rsid w:val="00F15BBF"/>
    <w:rsid w:val="00F15CFE"/>
    <w:rsid w:val="00F17831"/>
    <w:rsid w:val="00F2133B"/>
    <w:rsid w:val="00F213CE"/>
    <w:rsid w:val="00F2143F"/>
    <w:rsid w:val="00F21E28"/>
    <w:rsid w:val="00F22A61"/>
    <w:rsid w:val="00F24109"/>
    <w:rsid w:val="00F24A28"/>
    <w:rsid w:val="00F25584"/>
    <w:rsid w:val="00F259C3"/>
    <w:rsid w:val="00F2706F"/>
    <w:rsid w:val="00F270B7"/>
    <w:rsid w:val="00F2760A"/>
    <w:rsid w:val="00F30AA1"/>
    <w:rsid w:val="00F32473"/>
    <w:rsid w:val="00F33161"/>
    <w:rsid w:val="00F33AFB"/>
    <w:rsid w:val="00F33E8C"/>
    <w:rsid w:val="00F33F42"/>
    <w:rsid w:val="00F3483A"/>
    <w:rsid w:val="00F34A6A"/>
    <w:rsid w:val="00F3528E"/>
    <w:rsid w:val="00F3554B"/>
    <w:rsid w:val="00F37294"/>
    <w:rsid w:val="00F3733A"/>
    <w:rsid w:val="00F379A8"/>
    <w:rsid w:val="00F37E87"/>
    <w:rsid w:val="00F40568"/>
    <w:rsid w:val="00F4069C"/>
    <w:rsid w:val="00F4135D"/>
    <w:rsid w:val="00F45135"/>
    <w:rsid w:val="00F4655A"/>
    <w:rsid w:val="00F5223A"/>
    <w:rsid w:val="00F53A56"/>
    <w:rsid w:val="00F55166"/>
    <w:rsid w:val="00F55CD2"/>
    <w:rsid w:val="00F55DC2"/>
    <w:rsid w:val="00F61265"/>
    <w:rsid w:val="00F615E5"/>
    <w:rsid w:val="00F61770"/>
    <w:rsid w:val="00F624FE"/>
    <w:rsid w:val="00F640C7"/>
    <w:rsid w:val="00F642BE"/>
    <w:rsid w:val="00F65947"/>
    <w:rsid w:val="00F6667D"/>
    <w:rsid w:val="00F66DAE"/>
    <w:rsid w:val="00F67370"/>
    <w:rsid w:val="00F70207"/>
    <w:rsid w:val="00F71A30"/>
    <w:rsid w:val="00F71DFF"/>
    <w:rsid w:val="00F730EC"/>
    <w:rsid w:val="00F73654"/>
    <w:rsid w:val="00F73986"/>
    <w:rsid w:val="00F739AF"/>
    <w:rsid w:val="00F73DA5"/>
    <w:rsid w:val="00F760C1"/>
    <w:rsid w:val="00F76C54"/>
    <w:rsid w:val="00F76CC9"/>
    <w:rsid w:val="00F7775C"/>
    <w:rsid w:val="00F77F36"/>
    <w:rsid w:val="00F81EF0"/>
    <w:rsid w:val="00F82630"/>
    <w:rsid w:val="00F83A1A"/>
    <w:rsid w:val="00F83CA9"/>
    <w:rsid w:val="00F8474A"/>
    <w:rsid w:val="00F85202"/>
    <w:rsid w:val="00F86AC6"/>
    <w:rsid w:val="00F86C93"/>
    <w:rsid w:val="00F873A8"/>
    <w:rsid w:val="00F87F75"/>
    <w:rsid w:val="00F9023F"/>
    <w:rsid w:val="00F907C2"/>
    <w:rsid w:val="00F93833"/>
    <w:rsid w:val="00F94935"/>
    <w:rsid w:val="00F9667D"/>
    <w:rsid w:val="00FA0BD8"/>
    <w:rsid w:val="00FA1210"/>
    <w:rsid w:val="00FA1D0B"/>
    <w:rsid w:val="00FA23BA"/>
    <w:rsid w:val="00FA27AD"/>
    <w:rsid w:val="00FA29F7"/>
    <w:rsid w:val="00FA2D0E"/>
    <w:rsid w:val="00FA4202"/>
    <w:rsid w:val="00FA4A32"/>
    <w:rsid w:val="00FA6737"/>
    <w:rsid w:val="00FA7BE6"/>
    <w:rsid w:val="00FB08C2"/>
    <w:rsid w:val="00FB45FC"/>
    <w:rsid w:val="00FB4F08"/>
    <w:rsid w:val="00FB647D"/>
    <w:rsid w:val="00FB6B5A"/>
    <w:rsid w:val="00FC04E0"/>
    <w:rsid w:val="00FC2767"/>
    <w:rsid w:val="00FC2B8E"/>
    <w:rsid w:val="00FC2C8D"/>
    <w:rsid w:val="00FC380C"/>
    <w:rsid w:val="00FC4A6E"/>
    <w:rsid w:val="00FC4EFA"/>
    <w:rsid w:val="00FC5710"/>
    <w:rsid w:val="00FC5F0F"/>
    <w:rsid w:val="00FC72AC"/>
    <w:rsid w:val="00FD0E51"/>
    <w:rsid w:val="00FD11AB"/>
    <w:rsid w:val="00FD17D5"/>
    <w:rsid w:val="00FD18E2"/>
    <w:rsid w:val="00FD1B2F"/>
    <w:rsid w:val="00FD2506"/>
    <w:rsid w:val="00FD28D7"/>
    <w:rsid w:val="00FD39F8"/>
    <w:rsid w:val="00FD4A09"/>
    <w:rsid w:val="00FD53D8"/>
    <w:rsid w:val="00FD6638"/>
    <w:rsid w:val="00FE32BA"/>
    <w:rsid w:val="00FE3D4F"/>
    <w:rsid w:val="00FE4EA1"/>
    <w:rsid w:val="00FE554A"/>
    <w:rsid w:val="00FE55BD"/>
    <w:rsid w:val="00FE6582"/>
    <w:rsid w:val="00FE6C59"/>
    <w:rsid w:val="00FF17AA"/>
    <w:rsid w:val="00FF3178"/>
    <w:rsid w:val="00FF3FD6"/>
    <w:rsid w:val="00FF5F34"/>
    <w:rsid w:val="00FF6B53"/>
    <w:rsid w:val="00FF7486"/>
    <w:rsid w:val="0172A358"/>
    <w:rsid w:val="01DF26EB"/>
    <w:rsid w:val="06176F59"/>
    <w:rsid w:val="06375628"/>
    <w:rsid w:val="065B3758"/>
    <w:rsid w:val="0A492E4A"/>
    <w:rsid w:val="0EB986A6"/>
    <w:rsid w:val="141C0828"/>
    <w:rsid w:val="169A8778"/>
    <w:rsid w:val="1B4991A2"/>
    <w:rsid w:val="1C56EE4F"/>
    <w:rsid w:val="1DDCAE8F"/>
    <w:rsid w:val="2033F4FA"/>
    <w:rsid w:val="2112FA79"/>
    <w:rsid w:val="28121476"/>
    <w:rsid w:val="2E9F43B4"/>
    <w:rsid w:val="311060C1"/>
    <w:rsid w:val="3283F7CF"/>
    <w:rsid w:val="356E426C"/>
    <w:rsid w:val="37B935CA"/>
    <w:rsid w:val="37BE632B"/>
    <w:rsid w:val="38872673"/>
    <w:rsid w:val="39F01E61"/>
    <w:rsid w:val="3BA8665E"/>
    <w:rsid w:val="3C69D377"/>
    <w:rsid w:val="3E30B53F"/>
    <w:rsid w:val="3EE00720"/>
    <w:rsid w:val="40E096E8"/>
    <w:rsid w:val="42FEEAC3"/>
    <w:rsid w:val="4438E7A4"/>
    <w:rsid w:val="447F69DE"/>
    <w:rsid w:val="4483BDD6"/>
    <w:rsid w:val="45329FFC"/>
    <w:rsid w:val="46820E39"/>
    <w:rsid w:val="476491A7"/>
    <w:rsid w:val="4E6E681B"/>
    <w:rsid w:val="4E95A4D2"/>
    <w:rsid w:val="5C11B856"/>
    <w:rsid w:val="5C60E2AD"/>
    <w:rsid w:val="60DAAC3D"/>
    <w:rsid w:val="64A48D0A"/>
    <w:rsid w:val="65B5FF3A"/>
    <w:rsid w:val="679832FC"/>
    <w:rsid w:val="6DA076F9"/>
    <w:rsid w:val="6FA05B23"/>
    <w:rsid w:val="75124DF8"/>
    <w:rsid w:val="7AF9FF7E"/>
    <w:rsid w:val="7D193378"/>
    <w:rsid w:val="7F4B7049"/>
    <w:rsid w:val="7FB6D8F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651DB4B"/>
  <w15:chartTrackingRefBased/>
  <w15:docId w15:val="{6C0CD1EC-F7E2-4BA4-8514-1BB137E35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3D6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947DE"/>
    <w:pPr>
      <w:outlineLvl w:val="0"/>
    </w:pPr>
    <w:rPr>
      <w:b/>
      <w:color w:val="000000"/>
      <w:sz w:val="28"/>
    </w:rPr>
  </w:style>
  <w:style w:type="paragraph" w:styleId="Heading2">
    <w:name w:val="heading 2"/>
    <w:basedOn w:val="Normal"/>
    <w:next w:val="Normal"/>
    <w:link w:val="Heading2Char"/>
    <w:uiPriority w:val="9"/>
    <w:unhideWhenUsed/>
    <w:qFormat/>
    <w:rsid w:val="00C72DF0"/>
    <w:pPr>
      <w:outlineLvl w:val="1"/>
    </w:pPr>
    <w:rPr>
      <w:b/>
      <w:u w:val="single"/>
    </w:rPr>
  </w:style>
  <w:style w:type="paragraph" w:styleId="Heading3">
    <w:name w:val="heading 3"/>
    <w:basedOn w:val="Normal"/>
    <w:next w:val="Normal"/>
    <w:link w:val="Heading3Char"/>
    <w:uiPriority w:val="9"/>
    <w:unhideWhenUsed/>
    <w:qFormat/>
    <w:rsid w:val="00C72DF0"/>
    <w:pPr>
      <w:outlineLvl w:val="2"/>
    </w:pPr>
    <w:rPr>
      <w:b/>
      <w:color w:val="000000"/>
    </w:rPr>
  </w:style>
  <w:style w:type="paragraph" w:styleId="Heading4">
    <w:name w:val="heading 4"/>
    <w:basedOn w:val="Normal"/>
    <w:next w:val="Normal"/>
    <w:link w:val="Heading4Char"/>
    <w:uiPriority w:val="9"/>
    <w:semiHidden/>
    <w:unhideWhenUsed/>
    <w:qFormat/>
    <w:rsid w:val="00CE56D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7DE"/>
    <w:rPr>
      <w:rFonts w:ascii="Times New Roman" w:eastAsia="Times New Roman" w:hAnsi="Times New Roman" w:cs="Times New Roman"/>
      <w:b/>
      <w:color w:val="000000"/>
      <w:sz w:val="28"/>
      <w:szCs w:val="24"/>
    </w:rPr>
  </w:style>
  <w:style w:type="paragraph" w:styleId="ListParagraph">
    <w:name w:val="List Paragraph"/>
    <w:basedOn w:val="Normal"/>
    <w:uiPriority w:val="34"/>
    <w:qFormat/>
    <w:rsid w:val="007D61BF"/>
    <w:pPr>
      <w:ind w:left="720"/>
      <w:contextualSpacing/>
    </w:pPr>
  </w:style>
  <w:style w:type="paragraph" w:styleId="CommentText">
    <w:name w:val="annotation text"/>
    <w:basedOn w:val="Normal"/>
    <w:link w:val="CommentTextChar"/>
    <w:uiPriority w:val="99"/>
    <w:unhideWhenUsed/>
    <w:rsid w:val="007D61BF"/>
    <w:rPr>
      <w:sz w:val="20"/>
      <w:szCs w:val="20"/>
    </w:rPr>
  </w:style>
  <w:style w:type="character" w:customStyle="1" w:styleId="CommentTextChar">
    <w:name w:val="Comment Text Char"/>
    <w:basedOn w:val="DefaultParagraphFont"/>
    <w:link w:val="CommentText"/>
    <w:uiPriority w:val="99"/>
    <w:rsid w:val="007D61BF"/>
    <w:rPr>
      <w:rFonts w:ascii="Times New Roman" w:eastAsia="Times New Roman" w:hAnsi="Times New Roman" w:cs="Times New Roman"/>
      <w:sz w:val="20"/>
      <w:szCs w:val="20"/>
    </w:rPr>
  </w:style>
  <w:style w:type="paragraph" w:customStyle="1" w:styleId="Level1">
    <w:name w:val="Level 1"/>
    <w:rsid w:val="007D61BF"/>
    <w:pPr>
      <w:autoSpaceDE w:val="0"/>
      <w:autoSpaceDN w:val="0"/>
      <w:adjustRightInd w:val="0"/>
      <w:spacing w:after="0" w:line="240" w:lineRule="auto"/>
      <w:ind w:left="720"/>
    </w:pPr>
    <w:rPr>
      <w:rFonts w:ascii="Courier 10cpi" w:eastAsia="Times New Roman" w:hAnsi="Courier 10cpi" w:cs="Times New Roman"/>
      <w:sz w:val="24"/>
      <w:szCs w:val="24"/>
    </w:rPr>
  </w:style>
  <w:style w:type="paragraph" w:customStyle="1" w:styleId="H4">
    <w:name w:val="H4"/>
    <w:basedOn w:val="Normal"/>
    <w:uiPriority w:val="99"/>
    <w:rsid w:val="007D61BF"/>
    <w:pPr>
      <w:widowControl w:val="0"/>
      <w:overflowPunct w:val="0"/>
      <w:autoSpaceDE w:val="0"/>
      <w:autoSpaceDN w:val="0"/>
      <w:adjustRightInd w:val="0"/>
      <w:textAlignment w:val="baseline"/>
    </w:pPr>
    <w:rPr>
      <w:b/>
      <w:szCs w:val="20"/>
    </w:rPr>
  </w:style>
  <w:style w:type="character" w:styleId="BookTitle">
    <w:name w:val="Book Title"/>
    <w:uiPriority w:val="33"/>
    <w:qFormat/>
    <w:rsid w:val="0032796E"/>
  </w:style>
  <w:style w:type="paragraph" w:styleId="Title">
    <w:name w:val="Title"/>
    <w:basedOn w:val="Normal"/>
    <w:next w:val="Normal"/>
    <w:link w:val="TitleChar"/>
    <w:uiPriority w:val="10"/>
    <w:qFormat/>
    <w:rsid w:val="0032796E"/>
    <w:pPr>
      <w:jc w:val="center"/>
    </w:pPr>
    <w:rPr>
      <w:b/>
      <w:bCs/>
      <w:color w:val="000000"/>
      <w:sz w:val="32"/>
    </w:rPr>
  </w:style>
  <w:style w:type="character" w:customStyle="1" w:styleId="TitleChar">
    <w:name w:val="Title Char"/>
    <w:basedOn w:val="DefaultParagraphFont"/>
    <w:link w:val="Title"/>
    <w:uiPriority w:val="10"/>
    <w:rsid w:val="0032796E"/>
    <w:rPr>
      <w:rFonts w:ascii="Times New Roman" w:eastAsia="Times New Roman" w:hAnsi="Times New Roman" w:cs="Times New Roman"/>
      <w:b/>
      <w:bCs/>
      <w:color w:val="000000"/>
      <w:sz w:val="32"/>
      <w:szCs w:val="24"/>
    </w:rPr>
  </w:style>
  <w:style w:type="paragraph" w:styleId="Subtitle">
    <w:name w:val="Subtitle"/>
    <w:basedOn w:val="Title"/>
    <w:next w:val="Normal"/>
    <w:link w:val="SubtitleChar"/>
    <w:uiPriority w:val="11"/>
    <w:qFormat/>
    <w:rsid w:val="0032796E"/>
    <w:rPr>
      <w:b w:val="0"/>
      <w:sz w:val="28"/>
    </w:rPr>
  </w:style>
  <w:style w:type="character" w:customStyle="1" w:styleId="SubtitleChar">
    <w:name w:val="Subtitle Char"/>
    <w:basedOn w:val="DefaultParagraphFont"/>
    <w:link w:val="Subtitle"/>
    <w:uiPriority w:val="11"/>
    <w:rsid w:val="0032796E"/>
    <w:rPr>
      <w:rFonts w:ascii="Times New Roman" w:eastAsia="Times New Roman" w:hAnsi="Times New Roman" w:cs="Times New Roman"/>
      <w:bCs/>
      <w:color w:val="000000"/>
      <w:sz w:val="28"/>
      <w:szCs w:val="24"/>
    </w:rPr>
  </w:style>
  <w:style w:type="paragraph" w:styleId="PlainText">
    <w:name w:val="Plain Text"/>
    <w:basedOn w:val="Normal"/>
    <w:link w:val="PlainTextChar"/>
    <w:rsid w:val="006C3ADC"/>
    <w:pPr>
      <w:widowControl w:val="0"/>
    </w:pPr>
    <w:rPr>
      <w:rFonts w:ascii="Courier New" w:hAnsi="Courier New"/>
      <w:snapToGrid w:val="0"/>
      <w:sz w:val="20"/>
      <w:szCs w:val="20"/>
    </w:rPr>
  </w:style>
  <w:style w:type="character" w:customStyle="1" w:styleId="PlainTextChar">
    <w:name w:val="Plain Text Char"/>
    <w:basedOn w:val="DefaultParagraphFont"/>
    <w:link w:val="PlainText"/>
    <w:rsid w:val="006C3ADC"/>
    <w:rPr>
      <w:rFonts w:ascii="Courier New" w:eastAsia="Times New Roman" w:hAnsi="Courier New" w:cs="Times New Roman"/>
      <w:snapToGrid w:val="0"/>
      <w:sz w:val="20"/>
      <w:szCs w:val="20"/>
    </w:rPr>
  </w:style>
  <w:style w:type="character" w:styleId="Hyperlink">
    <w:name w:val="Hyperlink"/>
    <w:basedOn w:val="DefaultParagraphFont"/>
    <w:uiPriority w:val="99"/>
    <w:rsid w:val="006C3ADC"/>
    <w:rPr>
      <w:color w:val="0000FF"/>
      <w:u w:val="single"/>
    </w:rPr>
  </w:style>
  <w:style w:type="character" w:customStyle="1" w:styleId="Heading2Char">
    <w:name w:val="Heading 2 Char"/>
    <w:basedOn w:val="DefaultParagraphFont"/>
    <w:link w:val="Heading2"/>
    <w:uiPriority w:val="9"/>
    <w:rsid w:val="00C72DF0"/>
    <w:rPr>
      <w:rFonts w:ascii="Times New Roman" w:eastAsia="Times New Roman" w:hAnsi="Times New Roman" w:cs="Times New Roman"/>
      <w:b/>
      <w:sz w:val="24"/>
      <w:szCs w:val="24"/>
      <w:u w:val="single"/>
    </w:rPr>
  </w:style>
  <w:style w:type="character" w:customStyle="1" w:styleId="Heading3Char">
    <w:name w:val="Heading 3 Char"/>
    <w:basedOn w:val="DefaultParagraphFont"/>
    <w:link w:val="Heading3"/>
    <w:uiPriority w:val="9"/>
    <w:rsid w:val="00C72DF0"/>
    <w:rPr>
      <w:rFonts w:ascii="Times New Roman" w:eastAsia="Times New Roman" w:hAnsi="Times New Roman" w:cs="Times New Roman"/>
      <w:b/>
      <w:color w:val="000000"/>
      <w:sz w:val="24"/>
      <w:szCs w:val="24"/>
    </w:rPr>
  </w:style>
  <w:style w:type="paragraph" w:styleId="Header">
    <w:name w:val="header"/>
    <w:basedOn w:val="Normal"/>
    <w:link w:val="HeaderChar"/>
    <w:uiPriority w:val="99"/>
    <w:unhideWhenUsed/>
    <w:rsid w:val="00E01113"/>
    <w:pPr>
      <w:tabs>
        <w:tab w:val="center" w:pos="4680"/>
        <w:tab w:val="right" w:pos="9360"/>
      </w:tabs>
    </w:pPr>
  </w:style>
  <w:style w:type="character" w:customStyle="1" w:styleId="HeaderChar">
    <w:name w:val="Header Char"/>
    <w:basedOn w:val="DefaultParagraphFont"/>
    <w:link w:val="Header"/>
    <w:uiPriority w:val="99"/>
    <w:rsid w:val="00E0111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01113"/>
    <w:pPr>
      <w:tabs>
        <w:tab w:val="center" w:pos="4680"/>
        <w:tab w:val="right" w:pos="9360"/>
      </w:tabs>
    </w:pPr>
  </w:style>
  <w:style w:type="character" w:customStyle="1" w:styleId="FooterChar">
    <w:name w:val="Footer Char"/>
    <w:basedOn w:val="DefaultParagraphFont"/>
    <w:link w:val="Footer"/>
    <w:uiPriority w:val="99"/>
    <w:rsid w:val="00E01113"/>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D45165"/>
    <w:pPr>
      <w:keepNext/>
      <w:keepLines/>
      <w:spacing w:before="240" w:line="259" w:lineRule="auto"/>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unhideWhenUsed/>
    <w:rsid w:val="00687ADD"/>
    <w:pPr>
      <w:tabs>
        <w:tab w:val="right" w:leader="dot" w:pos="9350"/>
      </w:tabs>
      <w:spacing w:after="100"/>
      <w:ind w:left="630" w:hanging="630"/>
    </w:pPr>
  </w:style>
  <w:style w:type="paragraph" w:styleId="TOC2">
    <w:name w:val="toc 2"/>
    <w:basedOn w:val="Normal"/>
    <w:next w:val="Normal"/>
    <w:autoRedefine/>
    <w:uiPriority w:val="39"/>
    <w:unhideWhenUsed/>
    <w:rsid w:val="00726E7E"/>
    <w:pPr>
      <w:tabs>
        <w:tab w:val="right" w:leader="dot" w:pos="9350"/>
      </w:tabs>
      <w:spacing w:after="100"/>
      <w:ind w:left="240"/>
    </w:pPr>
  </w:style>
  <w:style w:type="paragraph" w:styleId="TOC3">
    <w:name w:val="toc 3"/>
    <w:basedOn w:val="Normal"/>
    <w:next w:val="Normal"/>
    <w:autoRedefine/>
    <w:uiPriority w:val="39"/>
    <w:unhideWhenUsed/>
    <w:rsid w:val="00726E7E"/>
    <w:pPr>
      <w:tabs>
        <w:tab w:val="right" w:leader="dot" w:pos="9350"/>
      </w:tabs>
      <w:spacing w:after="100"/>
      <w:ind w:left="900" w:hanging="330"/>
    </w:pPr>
  </w:style>
  <w:style w:type="character" w:customStyle="1" w:styleId="Heading4Char">
    <w:name w:val="Heading 4 Char"/>
    <w:basedOn w:val="DefaultParagraphFont"/>
    <w:link w:val="Heading4"/>
    <w:uiPriority w:val="9"/>
    <w:semiHidden/>
    <w:rsid w:val="00CE56DC"/>
    <w:rPr>
      <w:rFonts w:asciiTheme="majorHAnsi" w:eastAsiaTheme="majorEastAsia" w:hAnsiTheme="majorHAnsi" w:cstheme="majorBidi"/>
      <w:i/>
      <w:iCs/>
      <w:color w:val="2E74B5" w:themeColor="accent1" w:themeShade="BF"/>
      <w:sz w:val="24"/>
      <w:szCs w:val="24"/>
    </w:rPr>
  </w:style>
  <w:style w:type="table" w:styleId="TableGrid">
    <w:name w:val="Table Grid"/>
    <w:basedOn w:val="TableNormal"/>
    <w:uiPriority w:val="39"/>
    <w:rsid w:val="007218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5E0A"/>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5D5E0A"/>
    <w:rPr>
      <w:color w:val="auto"/>
    </w:rPr>
  </w:style>
  <w:style w:type="paragraph" w:styleId="NoSpacing">
    <w:name w:val="No Spacing"/>
    <w:uiPriority w:val="1"/>
    <w:qFormat/>
    <w:rsid w:val="00117FA7"/>
    <w:pPr>
      <w:spacing w:after="0" w:line="240" w:lineRule="auto"/>
    </w:pPr>
    <w:rPr>
      <w:rFonts w:ascii="Arial" w:hAnsi="Arial"/>
    </w:rPr>
  </w:style>
  <w:style w:type="character" w:styleId="CommentReference">
    <w:name w:val="annotation reference"/>
    <w:basedOn w:val="DefaultParagraphFont"/>
    <w:uiPriority w:val="99"/>
    <w:unhideWhenUsed/>
    <w:rsid w:val="005246AD"/>
    <w:rPr>
      <w:sz w:val="16"/>
      <w:szCs w:val="16"/>
    </w:rPr>
  </w:style>
  <w:style w:type="paragraph" w:styleId="CommentSubject">
    <w:name w:val="annotation subject"/>
    <w:basedOn w:val="CommentText"/>
    <w:next w:val="CommentText"/>
    <w:link w:val="CommentSubjectChar"/>
    <w:uiPriority w:val="99"/>
    <w:semiHidden/>
    <w:unhideWhenUsed/>
    <w:rsid w:val="005246AD"/>
    <w:rPr>
      <w:b/>
      <w:bCs/>
    </w:rPr>
  </w:style>
  <w:style w:type="character" w:customStyle="1" w:styleId="CommentSubjectChar">
    <w:name w:val="Comment Subject Char"/>
    <w:basedOn w:val="CommentTextChar"/>
    <w:link w:val="CommentSubject"/>
    <w:uiPriority w:val="99"/>
    <w:semiHidden/>
    <w:rsid w:val="005246A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246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6AD"/>
    <w:rPr>
      <w:rFonts w:ascii="Segoe UI" w:eastAsia="Times New Roman" w:hAnsi="Segoe UI" w:cs="Segoe UI"/>
      <w:sz w:val="18"/>
      <w:szCs w:val="18"/>
    </w:rPr>
  </w:style>
  <w:style w:type="table" w:customStyle="1" w:styleId="TableGrid2">
    <w:name w:val="Table Grid2"/>
    <w:basedOn w:val="TableNormal"/>
    <w:next w:val="TableGrid"/>
    <w:uiPriority w:val="59"/>
    <w:rsid w:val="00A555C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1926"/>
    <w:rPr>
      <w:color w:val="954F72" w:themeColor="followedHyperlink"/>
      <w:u w:val="single"/>
    </w:rPr>
  </w:style>
  <w:style w:type="paragraph" w:styleId="FootnoteText">
    <w:name w:val="footnote text"/>
    <w:basedOn w:val="Normal"/>
    <w:link w:val="FootnoteTextChar"/>
    <w:uiPriority w:val="99"/>
    <w:semiHidden/>
    <w:rsid w:val="002E076C"/>
    <w:rPr>
      <w:rFonts w:ascii="Calibri" w:hAnsi="Calibri"/>
      <w:sz w:val="20"/>
      <w:szCs w:val="20"/>
    </w:rPr>
  </w:style>
  <w:style w:type="character" w:customStyle="1" w:styleId="FootnoteTextChar">
    <w:name w:val="Footnote Text Char"/>
    <w:basedOn w:val="DefaultParagraphFont"/>
    <w:link w:val="FootnoteText"/>
    <w:uiPriority w:val="99"/>
    <w:semiHidden/>
    <w:rsid w:val="002E076C"/>
    <w:rPr>
      <w:rFonts w:ascii="Calibri" w:eastAsia="Times New Roman" w:hAnsi="Calibri" w:cs="Times New Roman"/>
      <w:sz w:val="20"/>
      <w:szCs w:val="20"/>
    </w:rPr>
  </w:style>
  <w:style w:type="character" w:styleId="FootnoteReference">
    <w:name w:val="footnote reference"/>
    <w:basedOn w:val="DefaultParagraphFont"/>
    <w:uiPriority w:val="99"/>
    <w:semiHidden/>
    <w:rsid w:val="002E076C"/>
    <w:rPr>
      <w:rFonts w:cs="Times New Roman"/>
      <w:vertAlign w:val="superscript"/>
    </w:rPr>
  </w:style>
  <w:style w:type="paragraph" w:styleId="Revision">
    <w:name w:val="Revision"/>
    <w:hidden/>
    <w:uiPriority w:val="99"/>
    <w:semiHidden/>
    <w:rsid w:val="00943E03"/>
    <w:pPr>
      <w:spacing w:after="0" w:line="240" w:lineRule="auto"/>
    </w:pPr>
    <w:rPr>
      <w:rFonts w:ascii="Times New Roman" w:eastAsia="Times New Roman" w:hAnsi="Times New Roman" w:cs="Times New Roman"/>
      <w:sz w:val="24"/>
      <w:szCs w:val="24"/>
    </w:rPr>
  </w:style>
  <w:style w:type="paragraph" w:styleId="HTMLTopofForm">
    <w:name w:val="HTML Top of Form"/>
    <w:basedOn w:val="Normal"/>
    <w:next w:val="Normal"/>
    <w:link w:val="z-TopofFormChar"/>
    <w:hidden/>
    <w:uiPriority w:val="99"/>
    <w:semiHidden/>
    <w:unhideWhenUsed/>
    <w:rsid w:val="0021578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HTMLTopofForm"/>
    <w:uiPriority w:val="99"/>
    <w:semiHidden/>
    <w:rsid w:val="00215789"/>
    <w:rPr>
      <w:rFonts w:ascii="Arial" w:eastAsia="Times New Roman" w:hAnsi="Arial" w:cs="Arial"/>
      <w:vanish/>
      <w:sz w:val="16"/>
      <w:szCs w:val="16"/>
    </w:rPr>
  </w:style>
  <w:style w:type="character" w:styleId="UnresolvedMention">
    <w:name w:val="Unresolved Mention"/>
    <w:basedOn w:val="DefaultParagraphFont"/>
    <w:uiPriority w:val="99"/>
    <w:semiHidden/>
    <w:unhideWhenUsed/>
    <w:rsid w:val="00D87C2A"/>
    <w:rPr>
      <w:color w:val="605E5C"/>
      <w:shd w:val="clear" w:color="auto" w:fill="E1DFDD"/>
    </w:rPr>
  </w:style>
  <w:style w:type="character" w:styleId="Mention">
    <w:name w:val="Mention"/>
    <w:basedOn w:val="DefaultParagraphFont"/>
    <w:uiPriority w:val="99"/>
    <w:unhideWhenUsed/>
    <w:rsid w:val="00225F0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acq0@cdc.gov"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hyperlink" Target="https://www.opm.gov/policy-data-oversight/pay-leave/salaries-wages/salary-tables/25Tables/html/ATL_h.aspx" TargetMode="External" /><Relationship Id="rId18" Type="http://schemas.openxmlformats.org/officeDocument/2006/relationships/footer" Target="footer4.xm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0724e717-bbe7-4e48-ae6a-faff532bb476">CSELS-1226495553-1700</_dlc_DocId>
    <_dlc_DocIdUrl xmlns="0724e717-bbe7-4e48-ae6a-faff532bb476">
      <Url>https://cdc.sharepoint.com/sites/CSELS/DSEPD/science/_layouts/15/DocIdRedir.aspx?ID=CSELS-1226495553-1700</Url>
      <Description>CSELS-1226495553-1700</Description>
    </_dlc_DocIdUrl>
    <TaxCatchAll xmlns="0724e717-bbe7-4e48-ae6a-faff532bb476" xsi:nil="true"/>
    <lcf76f155ced4ddcb4097134ff3c332f xmlns="ba2732ca-9a65-407c-93a8-b0464f2417d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68FF8B73E8D14E95E943C81F49183B" ma:contentTypeVersion="1311" ma:contentTypeDescription="Create a new document." ma:contentTypeScope="" ma:versionID="d0b28046fca2319ddd5f92ffd9d3f933">
  <xsd:schema xmlns:xsd="http://www.w3.org/2001/XMLSchema" xmlns:xs="http://www.w3.org/2001/XMLSchema" xmlns:p="http://schemas.microsoft.com/office/2006/metadata/properties" xmlns:ns2="0724e717-bbe7-4e48-ae6a-faff532bb476" xmlns:ns3="ba2732ca-9a65-407c-93a8-b0464f2417d7" xmlns:ns4="1b80bbf5-5b9d-4bef-a028-a57713d79aeb" targetNamespace="http://schemas.microsoft.com/office/2006/metadata/properties" ma:root="true" ma:fieldsID="1f86be9b63ea195dfba9b99b49e547fd" ns2:_="" ns3:_="" ns4:_="">
    <xsd:import namespace="0724e717-bbe7-4e48-ae6a-faff532bb476"/>
    <xsd:import namespace="ba2732ca-9a65-407c-93a8-b0464f2417d7"/>
    <xsd:import namespace="1b80bbf5-5b9d-4bef-a028-a57713d79ae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hidden="true" ma:list="{dcbfa1dc-7cb6-48b7-9934-8ecf856eb30f}" ma:internalName="TaxCatchAll" ma:showField="CatchAllData" ma:web="0724e717-bbe7-4e48-ae6a-faff532bb4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2732ca-9a65-407c-93a8-b0464f2417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bbf5-5b9d-4bef-a028-a57713d79ae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64CCE7-9F0F-4A8E-8D12-B4333F8369F5}">
  <ds:schemaRefs>
    <ds:schemaRef ds:uri="http://schemas.openxmlformats.org/officeDocument/2006/bibliography"/>
  </ds:schemaRefs>
</ds:datastoreItem>
</file>

<file path=customXml/itemProps2.xml><?xml version="1.0" encoding="utf-8"?>
<ds:datastoreItem xmlns:ds="http://schemas.openxmlformats.org/officeDocument/2006/customXml" ds:itemID="{B45FE5E1-CBF7-47E2-A3F7-31B1FDD5F5F1}">
  <ds:schemaRefs>
    <ds:schemaRef ds:uri="http://schemas.microsoft.com/office/2006/metadata/properties"/>
    <ds:schemaRef ds:uri="http://schemas.microsoft.com/office/infopath/2007/PartnerControls"/>
    <ds:schemaRef ds:uri="0724e717-bbe7-4e48-ae6a-faff532bb476"/>
    <ds:schemaRef ds:uri="ba2732ca-9a65-407c-93a8-b0464f2417d7"/>
  </ds:schemaRefs>
</ds:datastoreItem>
</file>

<file path=customXml/itemProps3.xml><?xml version="1.0" encoding="utf-8"?>
<ds:datastoreItem xmlns:ds="http://schemas.openxmlformats.org/officeDocument/2006/customXml" ds:itemID="{6C0579C1-373F-4F6D-B45C-8FEA40A0B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4e717-bbe7-4e48-ae6a-faff532bb476"/>
    <ds:schemaRef ds:uri="ba2732ca-9a65-407c-93a8-b0464f2417d7"/>
    <ds:schemaRef ds:uri="1b80bbf5-5b9d-4bef-a028-a57713d79a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232E9B-F757-499A-9844-BAF8B934C00C}">
  <ds:schemaRefs>
    <ds:schemaRef ds:uri="http://schemas.microsoft.com/sharepoint/events"/>
  </ds:schemaRefs>
</ds:datastoreItem>
</file>

<file path=customXml/itemProps5.xml><?xml version="1.0" encoding="utf-8"?>
<ds:datastoreItem xmlns:ds="http://schemas.openxmlformats.org/officeDocument/2006/customXml" ds:itemID="{205A7D18-2966-43EA-A90B-3A563C3098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14</Pages>
  <Words>4829</Words>
  <Characters>28594</Characters>
  <Application>Microsoft Office Word</Application>
  <DocSecurity>0</DocSecurity>
  <Lines>714</Lines>
  <Paragraphs>337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Joyce, Kevin J. (CDC/OD/OS)</cp:lastModifiedBy>
  <cp:revision>3</cp:revision>
  <cp:lastPrinted>2016-05-23T16:20:00Z</cp:lastPrinted>
  <dcterms:created xsi:type="dcterms:W3CDTF">2026-02-04T12:00:00Z</dcterms:created>
  <dcterms:modified xsi:type="dcterms:W3CDTF">2026-02-04T12:24:00Z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0x010100F568FF8B73E8D14E95E943C81F49183B</vt:lpwstr>
  </property>
  <property fmtid="{D5CDD505-2E9C-101B-9397-08002B2CF9AE}" pid="3" name="MediaServiceImageTags">
    <vt:lpwstr/>
  </property>
  <property fmtid="{D5CDD505-2E9C-101B-9397-08002B2CF9AE}" pid="4" name="MSIP_Label_7b94a7b8-f06c-4dfe-bdcc-9b548fd58c31_ActionId">
    <vt:lpwstr>3b83871a-798e-4717-9e94-cf47c6bcc2a0</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2022-08-03T15:07:36Z</vt:lpwstr>
  </property>
  <property fmtid="{D5CDD505-2E9C-101B-9397-08002B2CF9AE}" pid="10" name="MSIP_Label_7b94a7b8-f06c-4dfe-bdcc-9b548fd58c31_SiteId">
    <vt:lpwstr>9ce70869-60db-44fd-abe8-d2767077fc8f</vt:lpwstr>
  </property>
  <property fmtid="{D5CDD505-2E9C-101B-9397-08002B2CF9AE}" pid="11" name="_dlc_DocIdItemGuid">
    <vt:lpwstr>ca25bf70-f89b-4365-9a10-a65807bb3110</vt:lpwstr>
  </property>
</Properties>
</file>