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7A3B" w:rsidP="00B56752" w14:paraId="69937FBA" w14:textId="747E60B6">
      <w:pPr>
        <w:pBdr>
          <w:bottom w:val="single" w:sz="12" w:space="1" w:color="auto"/>
        </w:pBdr>
        <w:autoSpaceDE w:val="0"/>
        <w:autoSpaceDN w:val="0"/>
        <w:adjustRightInd w:val="0"/>
        <w:rPr>
          <w:rFonts w:asciiTheme="minorHAnsi" w:hAnsiTheme="minorHAnsi"/>
          <w:b/>
          <w:bCs/>
          <w:color w:val="FF0000"/>
          <w:sz w:val="22"/>
          <w:szCs w:val="22"/>
        </w:rPr>
      </w:pPr>
      <w:r>
        <w:rPr>
          <w:rStyle w:val="eop"/>
          <w:rFonts w:ascii="Calibri" w:hAnsi="Calibri" w:cs="Calibri"/>
          <w:color w:val="FF0000"/>
          <w:sz w:val="22"/>
          <w:szCs w:val="22"/>
          <w:shd w:val="clear" w:color="auto" w:fill="FFFFFF"/>
        </w:rPr>
        <w:tab/>
      </w:r>
      <w:r>
        <w:rPr>
          <w:rStyle w:val="eop"/>
          <w:rFonts w:ascii="Calibri" w:hAnsi="Calibri" w:cs="Calibri"/>
          <w:color w:val="FF0000"/>
          <w:sz w:val="22"/>
          <w:szCs w:val="22"/>
          <w:shd w:val="clear" w:color="auto" w:fill="FFFFFF"/>
        </w:rPr>
        <w:tab/>
      </w:r>
      <w:r>
        <w:rPr>
          <w:rStyle w:val="eop"/>
          <w:rFonts w:ascii="Calibri" w:hAnsi="Calibri" w:cs="Calibri"/>
          <w:color w:val="FF0000"/>
          <w:sz w:val="22"/>
          <w:szCs w:val="22"/>
          <w:shd w:val="clear" w:color="auto" w:fill="FFFFFF"/>
        </w:rPr>
        <w:tab/>
      </w:r>
      <w:r>
        <w:rPr>
          <w:rStyle w:val="eop"/>
          <w:rFonts w:ascii="Calibri" w:hAnsi="Calibri" w:cs="Calibri"/>
          <w:color w:val="FF0000"/>
          <w:sz w:val="22"/>
          <w:szCs w:val="22"/>
          <w:shd w:val="clear" w:color="auto" w:fill="FFFFFF"/>
        </w:rPr>
        <w:tab/>
      </w:r>
      <w:r>
        <w:rPr>
          <w:rStyle w:val="eop"/>
          <w:rFonts w:ascii="Calibri" w:hAnsi="Calibri" w:cs="Calibri"/>
          <w:color w:val="FF0000"/>
          <w:sz w:val="22"/>
          <w:szCs w:val="22"/>
          <w:shd w:val="clear" w:color="auto" w:fill="FFFFFF"/>
        </w:rPr>
        <w:tab/>
      </w:r>
      <w:r>
        <w:rPr>
          <w:rStyle w:val="eop"/>
          <w:rFonts w:ascii="Calibri" w:hAnsi="Calibri" w:cs="Calibri"/>
          <w:color w:val="FF0000"/>
          <w:sz w:val="22"/>
          <w:szCs w:val="22"/>
          <w:shd w:val="clear" w:color="auto" w:fill="FFFFFF"/>
        </w:rPr>
        <w:tab/>
      </w:r>
      <w:r>
        <w:rPr>
          <w:rStyle w:val="eop"/>
          <w:rFonts w:ascii="Calibri" w:hAnsi="Calibri" w:cs="Calibri"/>
          <w:color w:val="FF0000"/>
          <w:sz w:val="22"/>
          <w:szCs w:val="22"/>
          <w:shd w:val="clear" w:color="auto" w:fill="FFFFFF"/>
        </w:rPr>
        <w:tab/>
      </w:r>
      <w:r>
        <w:rPr>
          <w:rStyle w:val="eop"/>
          <w:rFonts w:ascii="Calibri" w:hAnsi="Calibri" w:cs="Calibri"/>
          <w:color w:val="FF0000"/>
          <w:sz w:val="22"/>
          <w:szCs w:val="22"/>
          <w:shd w:val="clear" w:color="auto" w:fill="FFFFFF"/>
        </w:rPr>
        <w:tab/>
      </w:r>
      <w:r>
        <w:rPr>
          <w:rStyle w:val="eop"/>
          <w:rFonts w:ascii="Calibri" w:hAnsi="Calibri" w:cs="Calibri"/>
          <w:color w:val="FF0000"/>
          <w:sz w:val="22"/>
          <w:szCs w:val="22"/>
          <w:shd w:val="clear" w:color="auto" w:fill="FFFFFF"/>
        </w:rPr>
        <w:tab/>
      </w:r>
    </w:p>
    <w:p w:rsidR="00081BDB" w:rsidP="00B56752" w14:paraId="5A97FECD" w14:textId="77777777">
      <w:pPr>
        <w:autoSpaceDE w:val="0"/>
        <w:autoSpaceDN w:val="0"/>
        <w:adjustRightInd w:val="0"/>
        <w:rPr>
          <w:rFonts w:asciiTheme="minorHAnsi" w:hAnsiTheme="minorHAnsi"/>
          <w:b/>
          <w:bCs/>
          <w:color w:val="FF0000"/>
          <w:sz w:val="22"/>
          <w:szCs w:val="22"/>
        </w:rPr>
      </w:pPr>
    </w:p>
    <w:p w:rsidR="00913EDB" w:rsidRPr="00913EDB" w:rsidP="00FB432B" w14:paraId="1416DE75" w14:textId="77777777">
      <w:pPr>
        <w:autoSpaceDE w:val="0"/>
        <w:autoSpaceDN w:val="0"/>
        <w:adjustRightInd w:val="0"/>
        <w:jc w:val="center"/>
        <w:rPr>
          <w:rFonts w:asciiTheme="minorHAnsi" w:hAnsiTheme="minorHAnsi"/>
          <w:b/>
          <w:bCs/>
          <w:color w:val="FF0000"/>
          <w:sz w:val="22"/>
          <w:szCs w:val="22"/>
        </w:rPr>
      </w:pPr>
    </w:p>
    <w:p w:rsidR="00211558" w:rsidRPr="00691454" w:rsidP="00FB432B" w14:paraId="4C60FC21" w14:textId="77777777">
      <w:pPr>
        <w:autoSpaceDE w:val="0"/>
        <w:autoSpaceDN w:val="0"/>
        <w:adjustRightInd w:val="0"/>
        <w:ind w:left="720"/>
        <w:jc w:val="center"/>
        <w:rPr>
          <w:b/>
          <w:bCs/>
        </w:rPr>
      </w:pPr>
    </w:p>
    <w:p w:rsidR="00384074" w:rsidP="00384074" w14:paraId="3FB55EB9" w14:textId="77777777">
      <w:pPr>
        <w:keepNext/>
        <w:keepLines/>
        <w:jc w:val="center"/>
        <w:outlineLvl w:val="6"/>
        <w:rPr>
          <w:rFonts w:asciiTheme="majorHAnsi" w:eastAsiaTheme="majorEastAsia" w:hAnsiTheme="majorHAnsi" w:cstheme="majorBidi"/>
          <w:i/>
          <w:iCs/>
          <w:color w:val="404040" w:themeColor="text1" w:themeTint="BF"/>
          <w:sz w:val="28"/>
          <w:szCs w:val="28"/>
        </w:rPr>
      </w:pPr>
      <w:r w:rsidRPr="5BE5C628">
        <w:rPr>
          <w:rFonts w:eastAsiaTheme="majorEastAsia"/>
          <w:b/>
          <w:bCs/>
          <w:i/>
          <w:iCs/>
          <w:color w:val="404040" w:themeColor="text1" w:themeTint="BF"/>
          <w:sz w:val="28"/>
          <w:szCs w:val="28"/>
        </w:rPr>
        <w:t xml:space="preserve">SUPPORTING STATEMENT:  </w:t>
      </w:r>
      <w:r w:rsidRPr="5BE5C628">
        <w:rPr>
          <w:rFonts w:asciiTheme="majorHAnsi" w:eastAsiaTheme="majorEastAsia" w:hAnsiTheme="majorHAnsi" w:cstheme="majorBidi"/>
          <w:i/>
          <w:iCs/>
          <w:color w:val="404040" w:themeColor="text1" w:themeTint="BF"/>
          <w:sz w:val="28"/>
          <w:szCs w:val="28"/>
        </w:rPr>
        <w:t>PART A</w:t>
      </w:r>
    </w:p>
    <w:p w:rsidR="5BE5C628" w:rsidP="5BE5C628" w14:paraId="667520A6" w14:textId="11DCD01A">
      <w:pPr>
        <w:keepNext/>
        <w:keepLines/>
        <w:tabs>
          <w:tab w:val="left" w:pos="1310"/>
        </w:tabs>
        <w:outlineLvl w:val="6"/>
        <w:rPr>
          <w:b/>
          <w:bCs/>
        </w:rPr>
      </w:pPr>
    </w:p>
    <w:p w:rsidR="5BE5C628" w:rsidP="5BE5C628" w14:paraId="5C05B142" w14:textId="47788693">
      <w:pPr>
        <w:keepNext/>
        <w:keepLines/>
        <w:tabs>
          <w:tab w:val="left" w:pos="1310"/>
        </w:tabs>
        <w:outlineLvl w:val="6"/>
        <w:rPr>
          <w:b/>
          <w:bCs/>
        </w:rPr>
      </w:pPr>
    </w:p>
    <w:p w:rsidR="0092047B" w:rsidRPr="00691454" w:rsidP="277F5081" w14:paraId="618CF2B8" w14:textId="6B18EBA5">
      <w:pPr>
        <w:keepNext/>
        <w:keepLines/>
        <w:tabs>
          <w:tab w:val="left" w:pos="1310"/>
        </w:tabs>
        <w:autoSpaceDE w:val="0"/>
        <w:autoSpaceDN w:val="0"/>
        <w:adjustRightInd w:val="0"/>
        <w:ind w:left="1440" w:firstLine="720"/>
        <w:outlineLvl w:val="6"/>
        <w:rPr>
          <w:b/>
          <w:bCs/>
        </w:rPr>
      </w:pPr>
      <w:r w:rsidRPr="277F5081">
        <w:rPr>
          <w:b/>
          <w:bCs/>
        </w:rPr>
        <w:t>Overdose Response Strategy</w:t>
      </w:r>
      <w:r w:rsidRPr="277F5081" w:rsidR="50E0D6C4">
        <w:rPr>
          <w:b/>
          <w:bCs/>
        </w:rPr>
        <w:t xml:space="preserve"> Data Collection </w:t>
      </w:r>
    </w:p>
    <w:p w:rsidR="00972DEF" w:rsidRPr="00691454" w:rsidP="00FB432B" w14:paraId="77487626" w14:textId="77777777">
      <w:pPr>
        <w:autoSpaceDE w:val="0"/>
        <w:autoSpaceDN w:val="0"/>
        <w:adjustRightInd w:val="0"/>
        <w:jc w:val="center"/>
        <w:rPr>
          <w:b/>
          <w:bCs/>
        </w:rPr>
      </w:pPr>
    </w:p>
    <w:p w:rsidR="00972DEF" w:rsidP="5BE5C628" w14:paraId="31E992EE" w14:textId="4AF2CB85">
      <w:pPr>
        <w:jc w:val="center"/>
        <w:rPr>
          <w:b/>
          <w:bCs/>
        </w:rPr>
      </w:pPr>
      <w:r w:rsidRPr="5BE5C628">
        <w:rPr>
          <w:b/>
          <w:bCs/>
        </w:rPr>
        <w:t>OMB# 0920-</w:t>
      </w:r>
      <w:r w:rsidRPr="00A71821" w:rsidR="00AB288F">
        <w:t>146</w:t>
      </w:r>
      <w:r w:rsidR="008C0DE2">
        <w:t>1</w:t>
      </w:r>
    </w:p>
    <w:p w:rsidR="0092047B" w:rsidRPr="00691454" w:rsidP="00FB432B" w14:paraId="68B68981" w14:textId="77777777">
      <w:pPr>
        <w:jc w:val="center"/>
        <w:rPr>
          <w:b/>
        </w:rPr>
      </w:pPr>
    </w:p>
    <w:p w:rsidR="00972DEF" w:rsidRPr="00691454" w:rsidP="00FB432B" w14:paraId="3DC5F9EC" w14:textId="77777777">
      <w:pPr>
        <w:jc w:val="center"/>
      </w:pPr>
    </w:p>
    <w:p w:rsidR="009901D4" w:rsidP="5BE5C628" w14:paraId="6F11A753" w14:textId="256AA818">
      <w:pPr>
        <w:jc w:val="center"/>
        <w:rPr>
          <w:b/>
          <w:bCs/>
        </w:rPr>
      </w:pPr>
      <w:r w:rsidRPr="5BE5C628">
        <w:rPr>
          <w:b/>
          <w:bCs/>
        </w:rPr>
        <w:t>Date</w:t>
      </w:r>
      <w:r w:rsidR="0002107B">
        <w:rPr>
          <w:b/>
          <w:bCs/>
        </w:rPr>
        <w:t>:</w:t>
      </w:r>
      <w:r w:rsidRPr="5BE5C628">
        <w:rPr>
          <w:b/>
          <w:bCs/>
        </w:rPr>
        <w:t xml:space="preserve"> </w:t>
      </w:r>
      <w:r w:rsidR="003F0CE0">
        <w:rPr>
          <w:b/>
          <w:bCs/>
        </w:rPr>
        <w:t xml:space="preserve">December 18, 2025 </w:t>
      </w:r>
    </w:p>
    <w:p w:rsidR="00E2294D" w:rsidRPr="00691454" w:rsidP="00FB432B" w14:paraId="134D1E21" w14:textId="77777777">
      <w:pPr>
        <w:jc w:val="center"/>
        <w:rPr>
          <w:b/>
        </w:rPr>
      </w:pPr>
    </w:p>
    <w:p w:rsidR="009901D4" w:rsidRPr="00691454" w:rsidP="00FB432B" w14:paraId="10899EF3" w14:textId="77777777">
      <w:pPr>
        <w:jc w:val="center"/>
      </w:pPr>
    </w:p>
    <w:p w:rsidR="009901D4" w:rsidRPr="00691454" w:rsidP="00FB432B" w14:paraId="0AA38448" w14:textId="77777777">
      <w:pPr>
        <w:jc w:val="center"/>
      </w:pPr>
    </w:p>
    <w:p w:rsidR="00972DEF" w:rsidP="00FB432B" w14:paraId="3E1673E1" w14:textId="77777777">
      <w:pPr>
        <w:jc w:val="center"/>
      </w:pPr>
    </w:p>
    <w:p w:rsidR="00910AFF" w:rsidP="00FB432B" w14:paraId="7E6861A4" w14:textId="77777777">
      <w:pPr>
        <w:jc w:val="center"/>
      </w:pPr>
    </w:p>
    <w:p w:rsidR="5BE5C628" w:rsidP="5BE5C628" w14:paraId="236BB1E7" w14:textId="5FC78E3C">
      <w:pPr>
        <w:jc w:val="center"/>
      </w:pPr>
    </w:p>
    <w:p w:rsidR="00910AFF" w:rsidRPr="00691454" w:rsidP="00FB432B" w14:paraId="547B5EE5" w14:textId="77777777">
      <w:pPr>
        <w:jc w:val="center"/>
      </w:pPr>
    </w:p>
    <w:p w:rsidR="00972DEF" w:rsidRPr="00691454" w:rsidP="00FB432B" w14:paraId="1BF46111" w14:textId="77777777">
      <w:pPr>
        <w:jc w:val="center"/>
      </w:pPr>
    </w:p>
    <w:p w:rsidR="00972DEF" w:rsidRPr="00691454" w:rsidP="00FB432B" w14:paraId="093C95E8" w14:textId="77777777">
      <w:pPr>
        <w:jc w:val="center"/>
      </w:pPr>
    </w:p>
    <w:p w:rsidR="00972DEF" w:rsidRPr="00691454" w:rsidP="00FB432B" w14:paraId="744F98C1" w14:textId="438E1671">
      <w:pPr>
        <w:jc w:val="center"/>
      </w:pPr>
      <w:r>
        <w:t>Point of Contact</w:t>
      </w:r>
      <w:r>
        <w:t>:</w:t>
      </w:r>
    </w:p>
    <w:p w:rsidR="1258A00B" w:rsidP="5BE5C628" w14:paraId="71834181" w14:textId="3905CB4C">
      <w:pPr>
        <w:spacing w:line="259" w:lineRule="auto"/>
        <w:jc w:val="center"/>
      </w:pPr>
      <w:r>
        <w:t>Stephanie Rubel</w:t>
      </w:r>
      <w:r>
        <w:t>, MPH</w:t>
      </w:r>
    </w:p>
    <w:p w:rsidR="00972DEF" w:rsidRPr="00691454" w:rsidP="00FB432B" w14:paraId="4AFE8721" w14:textId="77777777">
      <w:pPr>
        <w:pStyle w:val="E-mailSignature"/>
        <w:jc w:val="center"/>
        <w:rPr>
          <w:noProof/>
        </w:rPr>
      </w:pPr>
      <w:bookmarkStart w:id="0" w:name="_MailAutoSig"/>
      <w:r w:rsidRPr="00691454">
        <w:rPr>
          <w:noProof/>
        </w:rPr>
        <w:t>Centers for Disease Control and Prevention</w:t>
      </w:r>
    </w:p>
    <w:p w:rsidR="00972DEF" w:rsidRPr="00691454" w:rsidP="00FB432B" w14:paraId="2192E6DD" w14:textId="77777777">
      <w:pPr>
        <w:pStyle w:val="E-mailSignature"/>
        <w:jc w:val="center"/>
        <w:rPr>
          <w:noProof/>
        </w:rPr>
      </w:pPr>
      <w:r w:rsidRPr="00691454">
        <w:rPr>
          <w:noProof/>
        </w:rPr>
        <w:t>National Center for Injury Prevention and Control</w:t>
      </w:r>
    </w:p>
    <w:bookmarkEnd w:id="0"/>
    <w:p w:rsidR="00972DEF" w:rsidP="00972DEF" w14:paraId="3135C3E0" w14:textId="50BE49EB">
      <w:pPr>
        <w:jc w:val="center"/>
      </w:pPr>
    </w:p>
    <w:p w:rsidR="00E2294D" w:rsidP="00972DEF" w14:paraId="76A8303A" w14:textId="77777777">
      <w:pPr>
        <w:jc w:val="center"/>
      </w:pPr>
    </w:p>
    <w:p w:rsidR="00E2294D" w:rsidP="00972DEF" w14:paraId="2D4F28B1" w14:textId="77777777">
      <w:pPr>
        <w:jc w:val="center"/>
      </w:pPr>
    </w:p>
    <w:p w:rsidR="00910AFF" w:rsidP="00972DEF" w14:paraId="50D8DF73" w14:textId="77777777">
      <w:pPr>
        <w:jc w:val="center"/>
      </w:pPr>
    </w:p>
    <w:p w:rsidR="00F90B0B" w:rsidP="00972DEF" w14:paraId="1980D0D7" w14:textId="77777777">
      <w:pPr>
        <w:jc w:val="center"/>
      </w:pPr>
    </w:p>
    <w:p w:rsidR="00910AFF" w:rsidP="00972DEF" w14:paraId="2B010DC1" w14:textId="77777777">
      <w:pPr>
        <w:jc w:val="center"/>
      </w:pPr>
    </w:p>
    <w:p w:rsidR="5BE5C628" w:rsidP="5BE5C628" w14:paraId="2B5561FA" w14:textId="6B1606CA">
      <w:pPr>
        <w:jc w:val="center"/>
      </w:pPr>
    </w:p>
    <w:p w:rsidR="00EA1E20" w:rsidP="5BE5C628" w14:paraId="312BD8AF" w14:textId="77777777">
      <w:pPr>
        <w:jc w:val="center"/>
      </w:pPr>
    </w:p>
    <w:p w:rsidR="00EA1E20" w:rsidP="5BE5C628" w14:paraId="6652FB32" w14:textId="77777777">
      <w:pPr>
        <w:jc w:val="center"/>
      </w:pPr>
    </w:p>
    <w:p w:rsidR="00EA1E20" w:rsidP="5BE5C628" w14:paraId="59B15819" w14:textId="77777777">
      <w:pPr>
        <w:jc w:val="center"/>
      </w:pPr>
    </w:p>
    <w:p w:rsidR="00EA1E20" w:rsidP="5BE5C628" w14:paraId="6ADAA9F0" w14:textId="77777777">
      <w:pPr>
        <w:jc w:val="center"/>
      </w:pPr>
    </w:p>
    <w:p w:rsidR="00EA1E20" w:rsidP="5BE5C628" w14:paraId="272971F2" w14:textId="77777777">
      <w:pPr>
        <w:jc w:val="center"/>
      </w:pPr>
    </w:p>
    <w:p w:rsidR="00EA1E20" w:rsidP="5BE5C628" w14:paraId="6AD63BD9" w14:textId="77777777">
      <w:pPr>
        <w:jc w:val="center"/>
      </w:pPr>
    </w:p>
    <w:p w:rsidR="5BE5C628" w:rsidP="5BE5C628" w14:paraId="1E1AE4B4" w14:textId="7F3F9ECD">
      <w:pPr>
        <w:jc w:val="center"/>
      </w:pPr>
    </w:p>
    <w:p w:rsidR="5BE5C628" w:rsidP="5BE5C628" w14:paraId="432DE534" w14:textId="7DB7DAC5">
      <w:pPr>
        <w:jc w:val="center"/>
      </w:pPr>
    </w:p>
    <w:p w:rsidR="5BE5C628" w:rsidP="5BE5C628" w14:paraId="72D480D6" w14:textId="654AFAF5">
      <w:pPr>
        <w:jc w:val="center"/>
      </w:pPr>
    </w:p>
    <w:p w:rsidR="00910AFF" w:rsidP="00972DEF" w14:paraId="627969D2" w14:textId="77777777">
      <w:pPr>
        <w:jc w:val="center"/>
      </w:pPr>
    </w:p>
    <w:p w:rsidR="00910AFF" w:rsidP="00972DEF" w14:paraId="66DD8CC8" w14:textId="77777777">
      <w:pPr>
        <w:jc w:val="center"/>
      </w:pPr>
    </w:p>
    <w:p w:rsidR="00910AFF" w:rsidP="00972DEF" w14:paraId="5C6EB949" w14:textId="77777777">
      <w:pPr>
        <w:jc w:val="center"/>
      </w:pPr>
    </w:p>
    <w:p w:rsidR="00910AFF" w:rsidP="00972DEF" w14:paraId="1EC6FD30" w14:textId="77777777">
      <w:pPr>
        <w:jc w:val="center"/>
      </w:pPr>
    </w:p>
    <w:p w:rsidR="00972DEF" w:rsidRPr="00691454" w:rsidP="00F63E8B" w14:paraId="52EBE1D8" w14:textId="77777777">
      <w:pPr>
        <w:ind w:firstLine="720"/>
        <w:jc w:val="center"/>
        <w:rPr>
          <w:b/>
          <w:bCs/>
          <w:noProof/>
        </w:rPr>
      </w:pPr>
      <w:r w:rsidRPr="00691454">
        <w:rPr>
          <w:b/>
          <w:bCs/>
        </w:rPr>
        <w:t>CONTE</w:t>
      </w:r>
      <w:r w:rsidRPr="00691454">
        <w:rPr>
          <w:b/>
          <w:bCs/>
          <w:noProof/>
        </w:rPr>
        <w:t>NT</w:t>
      </w:r>
      <w:r w:rsidR="00910AFF">
        <w:rPr>
          <w:b/>
          <w:bCs/>
          <w:noProof/>
        </w:rPr>
        <w:t>S</w:t>
      </w:r>
    </w:p>
    <w:p w:rsidR="00972DEF" w:rsidRPr="00691454" w:rsidP="00972DEF" w14:paraId="3E43F948" w14:textId="77777777">
      <w:pPr>
        <w:pStyle w:val="T0-ChapPgHd"/>
        <w:jc w:val="left"/>
        <w:rPr>
          <w:noProof/>
        </w:rPr>
      </w:pPr>
      <w:r w:rsidRPr="277F5081">
        <w:rPr>
          <w:noProof/>
        </w:rPr>
        <w:t>Section</w:t>
      </w:r>
      <w:r>
        <w:tab/>
      </w:r>
      <w:r w:rsidRPr="277F5081">
        <w:rPr>
          <w:noProof/>
        </w:rPr>
        <w:t>Page</w:t>
      </w:r>
    </w:p>
    <w:p w:rsidR="00972DEF" w:rsidRPr="00691454" w:rsidP="00972DEF" w14:paraId="50BF0284" w14:textId="77777777">
      <w:pPr>
        <w:pStyle w:val="T0-ChapPgHd"/>
        <w:jc w:val="left"/>
        <w:rPr>
          <w:noProof/>
        </w:rPr>
      </w:pPr>
    </w:p>
    <w:p w:rsidR="00541D30" w:rsidRPr="00691454" w:rsidP="00541D30" w14:paraId="4AD0671B" w14:textId="4913BD51">
      <w:pPr>
        <w:pStyle w:val="TOC1"/>
        <w:rPr>
          <w:noProof/>
        </w:rPr>
      </w:pPr>
      <w:r w:rsidRPr="00691454">
        <w:rPr>
          <w:noProof/>
        </w:rPr>
        <w:t>A.</w:t>
      </w:r>
      <w:r w:rsidRPr="00691454">
        <w:rPr>
          <w:noProof/>
        </w:rPr>
        <w:tab/>
      </w:r>
      <w:r>
        <w:rPr>
          <w:noProof/>
        </w:rPr>
        <w:t>Summary table</w:t>
      </w:r>
      <w:r w:rsidRPr="00691454">
        <w:rPr>
          <w:noProof/>
        </w:rPr>
        <w:tab/>
      </w:r>
      <w:r w:rsidRPr="00691454">
        <w:rPr>
          <w:noProof/>
        </w:rPr>
        <w:tab/>
      </w:r>
      <w:r w:rsidR="00EA1E20">
        <w:rPr>
          <w:noProof/>
        </w:rPr>
        <w:t>4</w:t>
      </w:r>
    </w:p>
    <w:p w:rsidR="00541D30" w:rsidP="00972DEF" w14:paraId="381058E4" w14:textId="77777777">
      <w:pPr>
        <w:pStyle w:val="TOC1"/>
        <w:rPr>
          <w:noProof/>
        </w:rPr>
      </w:pPr>
    </w:p>
    <w:p w:rsidR="00972DEF" w:rsidRPr="00691454" w:rsidP="00541D30" w14:paraId="662EF3C0" w14:textId="1C9C4914">
      <w:pPr>
        <w:pStyle w:val="TOC1"/>
        <w:rPr>
          <w:noProof/>
        </w:rPr>
      </w:pPr>
      <w:r>
        <w:rPr>
          <w:noProof/>
        </w:rPr>
        <w:tab/>
      </w:r>
      <w:r w:rsidRPr="00691454">
        <w:rPr>
          <w:noProof/>
        </w:rPr>
        <w:t>Justification</w:t>
      </w:r>
      <w:r w:rsidRPr="00691454">
        <w:rPr>
          <w:noProof/>
        </w:rPr>
        <w:tab/>
      </w:r>
      <w:r w:rsidRPr="00691454">
        <w:rPr>
          <w:noProof/>
        </w:rPr>
        <w:tab/>
      </w:r>
      <w:r w:rsidR="00EA1E20">
        <w:rPr>
          <w:noProof/>
        </w:rPr>
        <w:t>4</w:t>
      </w:r>
    </w:p>
    <w:p w:rsidR="00972DEF" w:rsidRPr="00691454" w:rsidP="00972DEF" w14:paraId="3249ED2F" w14:textId="77777777">
      <w:pPr>
        <w:pStyle w:val="TOC1"/>
        <w:rPr>
          <w:noProof/>
        </w:rPr>
      </w:pPr>
    </w:p>
    <w:p w:rsidR="00541D30" w:rsidP="00541D30" w14:paraId="591CF525" w14:textId="16CBC434">
      <w:pPr>
        <w:pStyle w:val="TOC2"/>
        <w:rPr>
          <w:noProof/>
        </w:rPr>
      </w:pPr>
      <w:r w:rsidRPr="00691454">
        <w:rPr>
          <w:noProof/>
        </w:rPr>
        <w:t>A.1.</w:t>
      </w:r>
      <w:r w:rsidRPr="00691454">
        <w:rPr>
          <w:noProof/>
        </w:rPr>
        <w:tab/>
        <w:t>Circumstances Making the Collection of Information Necessary</w:t>
      </w:r>
      <w:r w:rsidRPr="00691454">
        <w:rPr>
          <w:noProof/>
        </w:rPr>
        <w:tab/>
      </w:r>
      <w:r w:rsidR="00EA1E20">
        <w:rPr>
          <w:noProof/>
        </w:rPr>
        <w:t>4</w:t>
      </w:r>
    </w:p>
    <w:p w:rsidR="00972DEF" w:rsidRPr="00691454" w:rsidP="00541D30" w14:paraId="46F57AD0" w14:textId="0EE5E6D5">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sidR="00EA1E20">
        <w:rPr>
          <w:noProof/>
        </w:rPr>
        <w:t>6</w:t>
      </w:r>
    </w:p>
    <w:p w:rsidR="00972DEF" w:rsidRPr="00691454" w:rsidP="00541D30" w14:paraId="52754664" w14:textId="2054C8AC">
      <w:pPr>
        <w:pStyle w:val="TOC2"/>
        <w:rPr>
          <w:noProof/>
        </w:rPr>
      </w:pPr>
      <w:r w:rsidRPr="00691454">
        <w:rPr>
          <w:noProof/>
        </w:rPr>
        <w:t>A.3.</w:t>
      </w:r>
      <w:r w:rsidRPr="00691454">
        <w:rPr>
          <w:noProof/>
        </w:rPr>
        <w:tab/>
        <w:t>Use of Improved Information Technology and Burden Reduction</w:t>
      </w:r>
      <w:r w:rsidRPr="00691454">
        <w:rPr>
          <w:noProof/>
        </w:rPr>
        <w:tab/>
      </w:r>
      <w:r w:rsidR="00316352">
        <w:rPr>
          <w:noProof/>
        </w:rPr>
        <w:t>1</w:t>
      </w:r>
      <w:r w:rsidR="00EA1E20">
        <w:rPr>
          <w:noProof/>
        </w:rPr>
        <w:t>2</w:t>
      </w:r>
    </w:p>
    <w:p w:rsidR="00972DEF" w:rsidRPr="00691454" w:rsidP="00541D30" w14:paraId="781A5972" w14:textId="65205513">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sidR="00316352">
        <w:rPr>
          <w:noProof/>
        </w:rPr>
        <w:t>1</w:t>
      </w:r>
      <w:r w:rsidR="00EA1E20">
        <w:rPr>
          <w:noProof/>
        </w:rPr>
        <w:t>4</w:t>
      </w:r>
    </w:p>
    <w:p w:rsidR="00972DEF" w:rsidRPr="00691454" w:rsidP="00541D30" w14:paraId="25E65291" w14:textId="765B1B73">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sidR="00316352">
        <w:rPr>
          <w:noProof/>
        </w:rPr>
        <w:t>1</w:t>
      </w:r>
      <w:r w:rsidR="00EA1E20">
        <w:rPr>
          <w:noProof/>
        </w:rPr>
        <w:t>4</w:t>
      </w:r>
    </w:p>
    <w:p w:rsidR="00972DEF" w:rsidRPr="00691454" w:rsidP="00541D30" w14:paraId="0FFA4ABD" w14:textId="44987143">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sidR="00316352">
        <w:rPr>
          <w:noProof/>
        </w:rPr>
        <w:t>1</w:t>
      </w:r>
      <w:r w:rsidR="00EA1E20">
        <w:rPr>
          <w:noProof/>
        </w:rPr>
        <w:t>4</w:t>
      </w:r>
    </w:p>
    <w:p w:rsidR="00972DEF" w:rsidRPr="00691454" w:rsidP="00972DEF" w14:paraId="1011E1C5" w14:textId="77777777">
      <w:pPr>
        <w:pStyle w:val="TOC2"/>
        <w:rPr>
          <w:noProof/>
        </w:rPr>
      </w:pPr>
      <w:r w:rsidRPr="00691454">
        <w:rPr>
          <w:noProof/>
        </w:rPr>
        <w:t>A.7.</w:t>
      </w:r>
      <w:r w:rsidRPr="00691454">
        <w:rPr>
          <w:noProof/>
        </w:rPr>
        <w:tab/>
        <w:t xml:space="preserve">Special Circumstances Relating to the Guidelines of </w:t>
      </w:r>
    </w:p>
    <w:p w:rsidR="00972DEF" w:rsidRPr="00691454" w:rsidP="00541D30" w14:paraId="190F0362" w14:textId="0E7FA1B4">
      <w:pPr>
        <w:pStyle w:val="TOC2"/>
        <w:rPr>
          <w:noProof/>
        </w:rPr>
      </w:pPr>
      <w:r w:rsidRPr="00691454">
        <w:rPr>
          <w:noProof/>
        </w:rPr>
        <w:tab/>
        <w:t>5 CFR 1320.5(d)2</w:t>
      </w:r>
      <w:r w:rsidRPr="00691454">
        <w:rPr>
          <w:noProof/>
        </w:rPr>
        <w:tab/>
      </w:r>
      <w:r w:rsidRPr="00691454">
        <w:rPr>
          <w:noProof/>
        </w:rPr>
        <w:tab/>
      </w:r>
      <w:r w:rsidR="00316352">
        <w:rPr>
          <w:noProof/>
        </w:rPr>
        <w:t>1</w:t>
      </w:r>
      <w:r w:rsidR="00EA1E20">
        <w:rPr>
          <w:noProof/>
        </w:rPr>
        <w:t>5</w:t>
      </w:r>
    </w:p>
    <w:p w:rsidR="00972DEF" w:rsidRPr="00691454" w:rsidP="00972DEF" w14:paraId="70017EA5" w14:textId="77777777">
      <w:pPr>
        <w:pStyle w:val="TOC2"/>
        <w:rPr>
          <w:noProof/>
        </w:rPr>
      </w:pPr>
      <w:r w:rsidRPr="00691454">
        <w:rPr>
          <w:noProof/>
        </w:rPr>
        <w:t>A.8.</w:t>
      </w:r>
      <w:r w:rsidRPr="00691454">
        <w:rPr>
          <w:noProof/>
        </w:rPr>
        <w:tab/>
        <w:t xml:space="preserve">Comments in Response to the Federal Register Notice and </w:t>
      </w:r>
    </w:p>
    <w:p w:rsidR="00972DEF" w:rsidRPr="00691454" w:rsidP="00541D30" w14:paraId="04647B0D" w14:textId="1A98F423">
      <w:pPr>
        <w:pStyle w:val="TOC2"/>
        <w:rPr>
          <w:noProof/>
        </w:rPr>
      </w:pPr>
      <w:r w:rsidRPr="00691454">
        <w:rPr>
          <w:noProof/>
        </w:rPr>
        <w:tab/>
        <w:t>Efforts to Consult Outside the Agency</w:t>
      </w:r>
      <w:r w:rsidRPr="00691454">
        <w:rPr>
          <w:noProof/>
        </w:rPr>
        <w:tab/>
      </w:r>
      <w:r w:rsidRPr="00691454">
        <w:rPr>
          <w:noProof/>
        </w:rPr>
        <w:tab/>
      </w:r>
      <w:r w:rsidR="00316352">
        <w:rPr>
          <w:noProof/>
        </w:rPr>
        <w:t>1</w:t>
      </w:r>
      <w:r w:rsidR="00EA1E20">
        <w:rPr>
          <w:noProof/>
        </w:rPr>
        <w:t>5</w:t>
      </w:r>
    </w:p>
    <w:p w:rsidR="00972DEF" w:rsidRPr="00691454" w:rsidP="00541D30" w14:paraId="1DD165FC" w14:textId="77476A5F">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sidR="00316352">
        <w:rPr>
          <w:noProof/>
        </w:rPr>
        <w:t>1</w:t>
      </w:r>
      <w:r w:rsidR="00EA1E20">
        <w:rPr>
          <w:noProof/>
        </w:rPr>
        <w:t>5</w:t>
      </w:r>
    </w:p>
    <w:p w:rsidR="00972DEF" w:rsidRPr="00691454" w:rsidP="00541D30" w14:paraId="05423A3C" w14:textId="7440D01F">
      <w:pPr>
        <w:pStyle w:val="TOC2"/>
        <w:rPr>
          <w:noProof/>
        </w:rPr>
      </w:pPr>
      <w:r w:rsidRPr="00691454">
        <w:rPr>
          <w:noProof/>
        </w:rPr>
        <w:t>A.10.</w:t>
      </w:r>
      <w:r w:rsidRPr="00691454">
        <w:rPr>
          <w:noProof/>
        </w:rPr>
        <w:tab/>
      </w:r>
      <w:r w:rsidR="00253F44">
        <w:rPr>
          <w:noProof/>
        </w:rPr>
        <w:t xml:space="preserve">Protection of the   Privacy  and Confidentiality of </w:t>
      </w:r>
      <w:r w:rsidRPr="00253F44" w:rsidR="00253F44">
        <w:rPr>
          <w:noProof/>
        </w:rPr>
        <w:t xml:space="preserve">Information </w:t>
      </w:r>
      <w:r w:rsidR="00253F44">
        <w:rPr>
          <w:noProof/>
        </w:rPr>
        <w:t xml:space="preserve">      Provided </w:t>
      </w:r>
      <w:r w:rsidRPr="00253F44" w:rsidR="00253F44">
        <w:rPr>
          <w:noProof/>
        </w:rPr>
        <w:t xml:space="preserve"> by  Respondents</w:t>
      </w:r>
      <w:r w:rsidRPr="00691454">
        <w:rPr>
          <w:noProof/>
        </w:rPr>
        <w:tab/>
      </w:r>
      <w:r w:rsidRPr="00691454">
        <w:rPr>
          <w:noProof/>
        </w:rPr>
        <w:tab/>
      </w:r>
      <w:r w:rsidR="00316352">
        <w:rPr>
          <w:noProof/>
        </w:rPr>
        <w:t>1</w:t>
      </w:r>
      <w:r w:rsidR="00EA1E20">
        <w:rPr>
          <w:noProof/>
        </w:rPr>
        <w:t>5</w:t>
      </w:r>
    </w:p>
    <w:p w:rsidR="00972DEF" w:rsidRPr="00691454" w:rsidP="00541D30" w14:paraId="58C0C06D" w14:textId="5FC6848F">
      <w:pPr>
        <w:pStyle w:val="TOC2"/>
        <w:rPr>
          <w:noProof/>
        </w:rPr>
      </w:pPr>
      <w:r w:rsidRPr="00691454">
        <w:rPr>
          <w:noProof/>
        </w:rPr>
        <w:t>A.11.</w:t>
      </w:r>
      <w:r w:rsidRPr="00691454">
        <w:rPr>
          <w:noProof/>
        </w:rPr>
        <w:tab/>
      </w:r>
      <w:r w:rsidRPr="009C1939" w:rsidR="009C1939">
        <w:rPr>
          <w:noProof/>
        </w:rPr>
        <w:t xml:space="preserve">Institutional Review Board (IRB) and </w:t>
      </w:r>
      <w:r w:rsidR="009C1939">
        <w:rPr>
          <w:noProof/>
        </w:rPr>
        <w:t xml:space="preserve"> </w:t>
      </w:r>
      <w:r w:rsidRPr="009C1939" w:rsidR="009C1939">
        <w:rPr>
          <w:noProof/>
        </w:rPr>
        <w:t>Justification for Sensitive Questions</w:t>
      </w:r>
      <w:r w:rsidRPr="00691454" w:rsidR="008E78B9">
        <w:rPr>
          <w:noProof/>
        </w:rPr>
        <w:tab/>
      </w:r>
      <w:r w:rsidRPr="00691454" w:rsidR="008E78B9">
        <w:rPr>
          <w:noProof/>
        </w:rPr>
        <w:tab/>
      </w:r>
      <w:r w:rsidR="00316352">
        <w:rPr>
          <w:noProof/>
        </w:rPr>
        <w:t>1</w:t>
      </w:r>
      <w:r w:rsidR="00EA1E20">
        <w:rPr>
          <w:noProof/>
        </w:rPr>
        <w:t>6</w:t>
      </w:r>
    </w:p>
    <w:p w:rsidR="00972DEF" w:rsidRPr="00691454" w:rsidP="00541D30" w14:paraId="75A2EB03" w14:textId="4E15680D">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sidR="00316352">
        <w:rPr>
          <w:noProof/>
        </w:rPr>
        <w:t>1</w:t>
      </w:r>
      <w:r w:rsidR="00EA1E20">
        <w:rPr>
          <w:noProof/>
        </w:rPr>
        <w:t>6</w:t>
      </w:r>
    </w:p>
    <w:p w:rsidR="00972DEF" w:rsidRPr="00691454" w:rsidP="00972DEF" w14:paraId="061ED4FE" w14:textId="77777777">
      <w:pPr>
        <w:pStyle w:val="TOC2"/>
        <w:rPr>
          <w:noProof/>
        </w:rPr>
      </w:pPr>
      <w:r w:rsidRPr="00691454">
        <w:rPr>
          <w:noProof/>
        </w:rPr>
        <w:t>A.13.</w:t>
      </w:r>
      <w:r w:rsidRPr="00691454">
        <w:rPr>
          <w:noProof/>
        </w:rPr>
        <w:tab/>
        <w:t xml:space="preserve">Estimates of Other Total Annual Cost Burden to Respondents </w:t>
      </w:r>
    </w:p>
    <w:p w:rsidR="00972DEF" w:rsidRPr="00691454" w:rsidP="00541D30" w14:paraId="67DDD456" w14:textId="56C2E596">
      <w:pPr>
        <w:pStyle w:val="TOC2"/>
        <w:rPr>
          <w:noProof/>
        </w:rPr>
      </w:pPr>
      <w:r w:rsidRPr="00691454">
        <w:rPr>
          <w:noProof/>
        </w:rPr>
        <w:tab/>
        <w:t>or Record Keepers</w:t>
      </w:r>
      <w:r w:rsidRPr="00691454">
        <w:rPr>
          <w:noProof/>
        </w:rPr>
        <w:tab/>
      </w:r>
      <w:r w:rsidRPr="00691454">
        <w:rPr>
          <w:noProof/>
        </w:rPr>
        <w:tab/>
      </w:r>
      <w:r w:rsidR="00316352">
        <w:rPr>
          <w:noProof/>
        </w:rPr>
        <w:t>1</w:t>
      </w:r>
      <w:r w:rsidR="00EA1E20">
        <w:rPr>
          <w:noProof/>
        </w:rPr>
        <w:t>9</w:t>
      </w:r>
    </w:p>
    <w:p w:rsidR="00972DEF" w:rsidRPr="00691454" w:rsidP="00541D30" w14:paraId="4427CCB2" w14:textId="146C494F">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sidR="00316352">
        <w:rPr>
          <w:noProof/>
        </w:rPr>
        <w:t>1</w:t>
      </w:r>
      <w:r w:rsidR="00EA1E20">
        <w:rPr>
          <w:noProof/>
        </w:rPr>
        <w:t>9</w:t>
      </w:r>
    </w:p>
    <w:p w:rsidR="00972DEF" w:rsidRPr="00691454" w:rsidP="00541D30" w14:paraId="45E4A041" w14:textId="0C552124">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sidR="00316352">
        <w:rPr>
          <w:noProof/>
        </w:rPr>
        <w:t>1</w:t>
      </w:r>
      <w:r w:rsidR="00EA1E20">
        <w:rPr>
          <w:noProof/>
        </w:rPr>
        <w:t>9</w:t>
      </w:r>
    </w:p>
    <w:p w:rsidR="00972DEF" w:rsidRPr="00691454" w:rsidP="00541D30" w14:paraId="6EE4C46A" w14:textId="078D381E">
      <w:pPr>
        <w:pStyle w:val="TOC2"/>
        <w:rPr>
          <w:noProof/>
        </w:rPr>
      </w:pPr>
      <w:r w:rsidRPr="00691454">
        <w:rPr>
          <w:noProof/>
        </w:rPr>
        <w:t>A.16.</w:t>
      </w:r>
      <w:r w:rsidRPr="00691454">
        <w:rPr>
          <w:noProof/>
        </w:rPr>
        <w:tab/>
        <w:t>Plans for Tabulation</w:t>
      </w:r>
      <w:r w:rsidRPr="00691454" w:rsidR="00203955">
        <w:rPr>
          <w:noProof/>
        </w:rPr>
        <w:t xml:space="preserve"> and </w:t>
      </w:r>
      <w:r w:rsidRPr="00691454">
        <w:rPr>
          <w:noProof/>
        </w:rPr>
        <w:t>Publication and Project Time Schedule</w:t>
      </w:r>
      <w:r w:rsidRPr="00691454" w:rsidR="008E78B9">
        <w:rPr>
          <w:noProof/>
        </w:rPr>
        <w:tab/>
      </w:r>
      <w:r w:rsidR="00EA1E20">
        <w:rPr>
          <w:noProof/>
        </w:rPr>
        <w:t>20</w:t>
      </w:r>
    </w:p>
    <w:p w:rsidR="00972DEF" w:rsidRPr="00691454" w:rsidP="00541D30" w14:paraId="594FF870" w14:textId="7583BC1B">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sidR="00316352">
        <w:rPr>
          <w:noProof/>
        </w:rPr>
        <w:t>2</w:t>
      </w:r>
      <w:r w:rsidR="00EA1E20">
        <w:rPr>
          <w:noProof/>
        </w:rPr>
        <w:t>1</w:t>
      </w:r>
    </w:p>
    <w:p w:rsidR="00972DEF" w:rsidRPr="00691454" w:rsidP="00972DEF" w14:paraId="6BFACA1C" w14:textId="77777777">
      <w:pPr>
        <w:pStyle w:val="TOC2"/>
        <w:rPr>
          <w:noProof/>
        </w:rPr>
      </w:pPr>
      <w:r w:rsidRPr="00691454">
        <w:rPr>
          <w:noProof/>
        </w:rPr>
        <w:t>A.18.</w:t>
      </w:r>
      <w:r w:rsidRPr="00691454">
        <w:rPr>
          <w:noProof/>
        </w:rPr>
        <w:tab/>
        <w:t xml:space="preserve">Exceptions to Certification for Paperwork Reducation Act </w:t>
      </w:r>
    </w:p>
    <w:p w:rsidR="00972DEF" w:rsidRPr="00691454" w:rsidP="00541D30" w14:paraId="0F2883D1" w14:textId="3FFF76E8">
      <w:pPr>
        <w:pStyle w:val="TOC2"/>
        <w:rPr>
          <w:noProof/>
        </w:rPr>
      </w:pPr>
      <w:r w:rsidRPr="00691454">
        <w:rPr>
          <w:noProof/>
        </w:rPr>
        <w:tab/>
        <w:t>Submissions</w:t>
      </w:r>
      <w:r w:rsidRPr="00691454">
        <w:rPr>
          <w:noProof/>
        </w:rPr>
        <w:tab/>
      </w:r>
      <w:r w:rsidRPr="00691454">
        <w:rPr>
          <w:noProof/>
        </w:rPr>
        <w:tab/>
      </w:r>
      <w:r w:rsidR="00316352">
        <w:rPr>
          <w:noProof/>
        </w:rPr>
        <w:t>2</w:t>
      </w:r>
      <w:r w:rsidR="00EA1E20">
        <w:rPr>
          <w:noProof/>
        </w:rPr>
        <w:t>1</w:t>
      </w:r>
    </w:p>
    <w:p w:rsidR="00972DEF" w:rsidRPr="00691454" w:rsidP="00972DEF" w14:paraId="2055B548" w14:textId="77777777">
      <w:pPr>
        <w:pStyle w:val="TOC1"/>
        <w:rPr>
          <w:noProof/>
        </w:rPr>
      </w:pPr>
    </w:p>
    <w:p w:rsidR="00233FB1" w:rsidRPr="00691454" w:rsidP="277F5081" w14:paraId="5DE6C4EE" w14:textId="77777777">
      <w:pPr>
        <w:pStyle w:val="C2-CtrSglSp"/>
        <w:spacing w:after="100" w:afterAutospacing="1"/>
        <w:jc w:val="left"/>
      </w:pPr>
      <w:r>
        <w:t>Attachments</w:t>
      </w:r>
    </w:p>
    <w:p w:rsidR="00D80044" w:rsidRPr="00691454" w:rsidP="00D80044" w14:paraId="791DBE4B" w14:textId="77777777">
      <w:pPr>
        <w:ind w:firstLine="720"/>
      </w:pPr>
      <w:r w:rsidRPr="00691454">
        <w:t>A</w:t>
      </w:r>
      <w:r w:rsidRPr="00691454">
        <w:tab/>
        <w:t>Authorizing Legislation</w:t>
      </w:r>
      <w:r w:rsidRPr="00691454">
        <w:t>: Public Health Service Act</w:t>
      </w:r>
    </w:p>
    <w:p w:rsidR="00D80044" w:rsidP="00691454" w14:paraId="051A294D" w14:textId="24E0B454">
      <w:pPr>
        <w:ind w:firstLine="720"/>
      </w:pPr>
      <w:r w:rsidRPr="00691454">
        <w:t>B</w:t>
      </w:r>
      <w:r w:rsidRPr="00691454">
        <w:tab/>
      </w:r>
      <w:r w:rsidRPr="00691454" w:rsidR="00813278">
        <w:t xml:space="preserve">Published 60-Day </w:t>
      </w:r>
      <w:r w:rsidRPr="00691454">
        <w:t>Federal Register Notice</w:t>
      </w:r>
    </w:p>
    <w:p w:rsidR="00A25715" w:rsidRPr="00691454" w:rsidP="00691454" w14:paraId="50E28EA5" w14:textId="6C4FBF53">
      <w:pPr>
        <w:ind w:firstLine="720"/>
      </w:pPr>
      <w:r>
        <w:t>B</w:t>
      </w:r>
      <w:r w:rsidR="00022B31">
        <w:t>1</w:t>
      </w:r>
      <w:r>
        <w:tab/>
        <w:t>Public Comment</w:t>
      </w:r>
      <w:r w:rsidR="00B66B3C">
        <w:t>s/Responses</w:t>
      </w:r>
      <w:r>
        <w:t xml:space="preserve"> to 60-day Federal Register Notice</w:t>
      </w:r>
    </w:p>
    <w:p w:rsidR="00D80044" w:rsidRPr="00691454" w:rsidP="700036C5" w14:paraId="57AF31BC" w14:textId="6EA5D116">
      <w:pPr>
        <w:spacing w:line="259" w:lineRule="auto"/>
      </w:pPr>
      <w:r>
        <w:t xml:space="preserve">      </w:t>
      </w:r>
      <w:r>
        <w:tab/>
      </w:r>
      <w:r w:rsidR="00691454">
        <w:t>C</w:t>
      </w:r>
      <w:r>
        <w:tab/>
      </w:r>
      <w:r w:rsidR="40C86430">
        <w:t xml:space="preserve">Privacy Impact Assessment </w:t>
      </w:r>
      <w:r>
        <w:tab/>
      </w:r>
    </w:p>
    <w:p w:rsidR="00D80044" w:rsidP="00D80044" w14:paraId="7713CD10" w14:textId="6413B38F">
      <w:r>
        <w:t xml:space="preserve">      </w:t>
      </w:r>
      <w:r>
        <w:tab/>
      </w:r>
      <w:r w:rsidR="00FB1045">
        <w:t>D</w:t>
      </w:r>
      <w:r>
        <w:tab/>
      </w:r>
      <w:r w:rsidR="00650E32">
        <w:t>ORS Annual Evaluation Survey-Public Health Analyst</w:t>
      </w:r>
    </w:p>
    <w:p w:rsidR="00650E32" w:rsidP="00D80044" w14:paraId="12CE3107" w14:textId="4ABD46DB">
      <w:r>
        <w:tab/>
        <w:t>E</w:t>
      </w:r>
      <w:r>
        <w:tab/>
        <w:t>ORS Annual Evaluation Survey-Drug Intelligence Officer</w:t>
      </w:r>
    </w:p>
    <w:p w:rsidR="00650E32" w:rsidP="00D80044" w14:paraId="4F95983A" w14:textId="7B664924">
      <w:r>
        <w:tab/>
        <w:t>F</w:t>
      </w:r>
      <w:r>
        <w:tab/>
        <w:t>ORS Annual Evaluation Survey-Public Health Partner</w:t>
      </w:r>
    </w:p>
    <w:p w:rsidR="00650E32" w:rsidP="00D80044" w14:paraId="318F3883" w14:textId="543FA77C">
      <w:r>
        <w:tab/>
        <w:t>G</w:t>
      </w:r>
      <w:r>
        <w:tab/>
        <w:t>ORS Annual Evaluation Survey-Public Safety Partner</w:t>
      </w:r>
    </w:p>
    <w:p w:rsidR="00650E32" w:rsidP="00D80044" w14:paraId="4DC39774" w14:textId="330DB4FD">
      <w:r>
        <w:tab/>
        <w:t>H</w:t>
      </w:r>
      <w:r>
        <w:tab/>
        <w:t>ORS Annual Evaluation Survey-ORS Management/Coordination Team</w:t>
      </w:r>
    </w:p>
    <w:p w:rsidR="00650E32" w:rsidRPr="00691454" w:rsidP="00D80044" w14:paraId="7CC039A3" w14:textId="02988840">
      <w:r>
        <w:tab/>
        <w:t>I</w:t>
      </w:r>
      <w:r>
        <w:tab/>
        <w:t>ORS Quarterly Reporting Template</w:t>
      </w:r>
    </w:p>
    <w:p w:rsidR="04788CFF" w:rsidP="700036C5" w14:paraId="24787BBD" w14:textId="040F9BA7">
      <w:r>
        <w:t xml:space="preserve">            </w:t>
      </w:r>
      <w:r w:rsidR="004C7943">
        <w:t>J</w:t>
      </w:r>
      <w:r>
        <w:t xml:space="preserve">        </w:t>
      </w:r>
      <w:r w:rsidR="00835657">
        <w:t xml:space="preserve">ORS </w:t>
      </w:r>
      <w:r>
        <w:t xml:space="preserve">Logic Model </w:t>
      </w:r>
    </w:p>
    <w:p w:rsidR="00213E23" w:rsidP="00316352" w14:paraId="434D3151" w14:textId="74DB4701">
      <w:pPr>
        <w:ind w:firstLine="720"/>
      </w:pPr>
      <w:r>
        <w:t>K</w:t>
      </w:r>
      <w:r>
        <w:tab/>
        <w:t>Research Determination</w:t>
      </w:r>
      <w:r w:rsidR="00C75B8B">
        <w:t xml:space="preserve"> </w:t>
      </w:r>
    </w:p>
    <w:p w:rsidR="700036C5" w:rsidP="700036C5" w14:paraId="45DC53EE" w14:textId="1F5A3BAA">
      <w:r>
        <w:tab/>
        <w:t>L</w:t>
      </w:r>
      <w:r>
        <w:tab/>
      </w:r>
      <w:r w:rsidR="00274D5D">
        <w:t xml:space="preserve">ORS Annual Evaluation </w:t>
      </w:r>
      <w:r>
        <w:t xml:space="preserve">Survey </w:t>
      </w:r>
      <w:r w:rsidR="00274D5D">
        <w:t>Invitation</w:t>
      </w:r>
      <w:r>
        <w:t xml:space="preserve"> Email</w:t>
      </w:r>
    </w:p>
    <w:p w:rsidR="00274D5D" w:rsidP="700036C5" w14:paraId="1093AE4E" w14:textId="4C9E5BFF">
      <w:r>
        <w:tab/>
        <w:t>M</w:t>
      </w:r>
      <w:r>
        <w:tab/>
        <w:t>ORS Annual Evaluation Survey Reminder Email</w:t>
      </w:r>
    </w:p>
    <w:p w:rsidR="00EC6258" w:rsidRPr="00691454" w:rsidP="00D80044" w14:paraId="4DAEE1DD" w14:textId="77777777">
      <w:pPr>
        <w:ind w:firstLine="720"/>
      </w:pPr>
    </w:p>
    <w:p w:rsidR="000523C9" w:rsidP="00812EDE" w14:paraId="491BA949" w14:textId="77777777">
      <w:r>
        <w:br w:type="page"/>
      </w:r>
    </w:p>
    <w:p w:rsidR="00FB1045" w:rsidP="277F5081" w14:paraId="453A32BB" w14:textId="6D3916E0"/>
    <w:p w:rsidR="00FB1045" w:rsidP="00812EDE" w14:paraId="13BA0D9F" w14:textId="77777777">
      <w:pPr>
        <w:rPr>
          <w:b/>
          <w:b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9165"/>
      </w:tblGrid>
      <w:tr w14:paraId="4DEFDF9E" w14:textId="77777777" w:rsidTr="54A55804">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9165" w:type="dxa"/>
            <w:tcBorders>
              <w:bottom w:val="nil"/>
            </w:tcBorders>
            <w:tcMar>
              <w:top w:w="60" w:type="dxa"/>
              <w:left w:w="105" w:type="dxa"/>
              <w:bottom w:w="60" w:type="dxa"/>
              <w:right w:w="105" w:type="dxa"/>
            </w:tcMar>
          </w:tcPr>
          <w:p w:rsidR="277F5081" w:rsidP="277F5081" w14:paraId="676D5476" w14:textId="5E5A60AE">
            <w:pPr>
              <w:spacing w:before="240"/>
            </w:pPr>
            <w:r w:rsidRPr="54A55804">
              <w:rPr>
                <w:b/>
                <w:bCs/>
                <w:color w:val="000000" w:themeColor="text1"/>
              </w:rPr>
              <w:t>Goal of the project</w:t>
            </w:r>
            <w:r w:rsidRPr="54A55804">
              <w:rPr>
                <w:color w:val="000000" w:themeColor="text1"/>
              </w:rPr>
              <w:t xml:space="preserve">: </w:t>
            </w:r>
            <w:r w:rsidR="007418EE">
              <w:rPr>
                <w:color w:val="000000" w:themeColor="text1"/>
              </w:rPr>
              <w:t xml:space="preserve">The goal of the new information collection request (ICR) is </w:t>
            </w:r>
            <w:r w:rsidRPr="277F5081" w:rsidR="008A7EB1">
              <w:rPr>
                <w:color w:val="000000" w:themeColor="text1"/>
              </w:rPr>
              <w:t xml:space="preserve">to conduct regular program assessments of the Overdose Response Strategy (ORS). The ORS is a national public health and public safety program created to help local communities reduce drug overdose and save lives. </w:t>
            </w:r>
          </w:p>
        </w:tc>
      </w:tr>
      <w:tr w14:paraId="01EAC59F" w14:textId="77777777" w:rsidTr="54A55804">
        <w:tblPrEx>
          <w:tblW w:w="0" w:type="auto"/>
          <w:tblLayout w:type="fixed"/>
          <w:tblLook w:val="04A0"/>
        </w:tblPrEx>
        <w:trPr>
          <w:trHeight w:val="300"/>
        </w:trPr>
        <w:tc>
          <w:tcPr>
            <w:tcW w:w="9165" w:type="dxa"/>
            <w:tcBorders>
              <w:top w:val="nil"/>
              <w:bottom w:val="nil"/>
            </w:tcBorders>
            <w:tcMar>
              <w:top w:w="60" w:type="dxa"/>
              <w:left w:w="105" w:type="dxa"/>
              <w:bottom w:w="60" w:type="dxa"/>
              <w:right w:w="105" w:type="dxa"/>
            </w:tcMar>
          </w:tcPr>
          <w:p w:rsidR="277F5081" w:rsidP="277F5081" w14:paraId="7E109EF4" w14:textId="6071F30A">
            <w:pPr>
              <w:rPr>
                <w:color w:val="000000" w:themeColor="text1"/>
              </w:rPr>
            </w:pPr>
            <w:r w:rsidRPr="277F5081">
              <w:rPr>
                <w:b/>
                <w:bCs/>
                <w:color w:val="000000" w:themeColor="text1"/>
              </w:rPr>
              <w:t>Intended use of the resulting data</w:t>
            </w:r>
            <w:r w:rsidRPr="277F5081">
              <w:rPr>
                <w:color w:val="000000" w:themeColor="text1"/>
              </w:rPr>
              <w:t xml:space="preserve">: Information collected will provide crucial data for program performance monitoring, </w:t>
            </w:r>
            <w:r w:rsidRPr="277F5081" w:rsidR="633048E6">
              <w:rPr>
                <w:color w:val="000000" w:themeColor="text1"/>
              </w:rPr>
              <w:t>reporting and</w:t>
            </w:r>
            <w:r w:rsidRPr="277F5081">
              <w:rPr>
                <w:color w:val="000000" w:themeColor="text1"/>
              </w:rPr>
              <w:t xml:space="preserve"> where applicable, program success. The information will also inform technical assistance and guidance documents.</w:t>
            </w:r>
          </w:p>
        </w:tc>
      </w:tr>
      <w:tr w14:paraId="5903CB2A" w14:textId="77777777" w:rsidTr="54A55804">
        <w:tblPrEx>
          <w:tblW w:w="0" w:type="auto"/>
          <w:tblLayout w:type="fixed"/>
          <w:tblLook w:val="04A0"/>
        </w:tblPrEx>
        <w:trPr>
          <w:trHeight w:val="300"/>
        </w:trPr>
        <w:tc>
          <w:tcPr>
            <w:tcW w:w="9165" w:type="dxa"/>
            <w:tcBorders>
              <w:top w:val="nil"/>
              <w:bottom w:val="nil"/>
            </w:tcBorders>
            <w:tcMar>
              <w:top w:w="60" w:type="dxa"/>
              <w:left w:w="105" w:type="dxa"/>
              <w:bottom w:w="60" w:type="dxa"/>
              <w:right w:w="105" w:type="dxa"/>
            </w:tcMar>
          </w:tcPr>
          <w:p w:rsidR="277F5081" w:rsidP="277F5081" w14:paraId="42222D0A" w14:textId="6E710D7B">
            <w:pPr>
              <w:widowControl w:val="0"/>
              <w:rPr>
                <w:color w:val="000000" w:themeColor="text1"/>
              </w:rPr>
            </w:pPr>
            <w:r w:rsidRPr="277F5081">
              <w:rPr>
                <w:b/>
                <w:bCs/>
                <w:color w:val="000000" w:themeColor="text1"/>
              </w:rPr>
              <w:t>Methods to be used to collect</w:t>
            </w:r>
            <w:r w:rsidRPr="277F5081">
              <w:rPr>
                <w:color w:val="000000" w:themeColor="text1"/>
              </w:rPr>
              <w:t xml:space="preserve">: </w:t>
            </w:r>
            <w:r w:rsidRPr="277F5081" w:rsidR="16A3ED73">
              <w:rPr>
                <w:color w:val="000000" w:themeColor="text1"/>
              </w:rPr>
              <w:t>A survey will be disseminated annually to public health and public safety partners and to ORS teams. Additionally, all ORS teams</w:t>
            </w:r>
            <w:r w:rsidRPr="277F5081">
              <w:rPr>
                <w:color w:val="000000" w:themeColor="text1"/>
              </w:rPr>
              <w:t xml:space="preserve"> will report activity progress and capacity and workplan updates using web-based tools.</w:t>
            </w:r>
          </w:p>
        </w:tc>
      </w:tr>
      <w:tr w14:paraId="52794015" w14:textId="77777777" w:rsidTr="54A55804">
        <w:tblPrEx>
          <w:tblW w:w="0" w:type="auto"/>
          <w:tblLayout w:type="fixed"/>
          <w:tblLook w:val="04A0"/>
        </w:tblPrEx>
        <w:trPr>
          <w:trHeight w:val="300"/>
        </w:trPr>
        <w:tc>
          <w:tcPr>
            <w:tcW w:w="9165" w:type="dxa"/>
            <w:tcBorders>
              <w:top w:val="nil"/>
              <w:bottom w:val="nil"/>
            </w:tcBorders>
            <w:tcMar>
              <w:top w:w="60" w:type="dxa"/>
              <w:left w:w="105" w:type="dxa"/>
              <w:bottom w:w="60" w:type="dxa"/>
              <w:right w:w="105" w:type="dxa"/>
            </w:tcMar>
          </w:tcPr>
          <w:p w:rsidR="277F5081" w:rsidP="277F5081" w14:paraId="5B72D75E" w14:textId="05744BD5">
            <w:pPr>
              <w:widowControl w:val="0"/>
              <w:rPr>
                <w:color w:val="000000" w:themeColor="text1"/>
              </w:rPr>
            </w:pPr>
            <w:r w:rsidRPr="277F5081">
              <w:rPr>
                <w:b/>
                <w:bCs/>
                <w:color w:val="000000" w:themeColor="text1"/>
              </w:rPr>
              <w:t>The subpopulation to be studied</w:t>
            </w:r>
            <w:r w:rsidRPr="277F5081">
              <w:rPr>
                <w:color w:val="000000" w:themeColor="text1"/>
              </w:rPr>
              <w:t xml:space="preserve">: </w:t>
            </w:r>
            <w:r w:rsidRPr="277F5081" w:rsidR="641515F6">
              <w:rPr>
                <w:color w:val="000000" w:themeColor="text1"/>
              </w:rPr>
              <w:t>Respondents include public health and public safety professionals and ORS teams.</w:t>
            </w:r>
            <w:r w:rsidRPr="277F5081">
              <w:rPr>
                <w:color w:val="000000" w:themeColor="text1"/>
              </w:rPr>
              <w:t xml:space="preserve"> No subpopulations are being studied.</w:t>
            </w:r>
          </w:p>
        </w:tc>
      </w:tr>
      <w:tr w14:paraId="6BAD56C1" w14:textId="77777777" w:rsidTr="54A55804">
        <w:tblPrEx>
          <w:tblW w:w="0" w:type="auto"/>
          <w:tblLayout w:type="fixed"/>
          <w:tblLook w:val="04A0"/>
        </w:tblPrEx>
        <w:trPr>
          <w:trHeight w:val="300"/>
        </w:trPr>
        <w:tc>
          <w:tcPr>
            <w:tcW w:w="9165" w:type="dxa"/>
            <w:tcBorders>
              <w:top w:val="nil"/>
            </w:tcBorders>
            <w:tcMar>
              <w:top w:w="60" w:type="dxa"/>
              <w:left w:w="105" w:type="dxa"/>
              <w:bottom w:w="60" w:type="dxa"/>
              <w:right w:w="105" w:type="dxa"/>
            </w:tcMar>
          </w:tcPr>
          <w:p w:rsidR="277F5081" w:rsidP="277F5081" w14:paraId="4694FFC6" w14:textId="4C3BE540">
            <w:pPr>
              <w:spacing w:after="240"/>
              <w:rPr>
                <w:color w:val="000000" w:themeColor="text1"/>
              </w:rPr>
            </w:pPr>
            <w:r w:rsidRPr="277F5081">
              <w:rPr>
                <w:b/>
                <w:bCs/>
                <w:color w:val="000000" w:themeColor="text1"/>
              </w:rPr>
              <w:t>How the data will be analyzed</w:t>
            </w:r>
            <w:r w:rsidRPr="277F5081">
              <w:rPr>
                <w:color w:val="000000" w:themeColor="text1"/>
              </w:rPr>
              <w:t>: The data will be analyzed using descriptive and summary statistics, and qualitative summaries.</w:t>
            </w:r>
          </w:p>
        </w:tc>
      </w:tr>
    </w:tbl>
    <w:p w:rsidR="00FB1045" w:rsidP="277F5081" w14:paraId="771E210C" w14:textId="31783717">
      <w:pPr>
        <w:rPr>
          <w:b/>
          <w:bCs/>
        </w:rPr>
      </w:pPr>
    </w:p>
    <w:p w:rsidR="00FB1045" w:rsidP="00812EDE" w14:paraId="59E6B87A" w14:textId="77777777">
      <w:pPr>
        <w:rPr>
          <w:b/>
          <w:bCs/>
        </w:rPr>
      </w:pPr>
    </w:p>
    <w:p w:rsidR="00D629FE" w:rsidP="00812EDE" w14:paraId="0340088D" w14:textId="77777777">
      <w:pPr>
        <w:rPr>
          <w:b/>
          <w:bCs/>
        </w:rPr>
      </w:pPr>
    </w:p>
    <w:p w:rsidR="00972DEF" w:rsidRPr="00691454" w:rsidP="00812EDE" w14:paraId="4A94AFBC" w14:textId="77777777">
      <w:pPr>
        <w:rPr>
          <w:b/>
          <w:bCs/>
        </w:rPr>
      </w:pPr>
      <w:r w:rsidRPr="00691454">
        <w:rPr>
          <w:b/>
          <w:bCs/>
        </w:rPr>
        <w:t xml:space="preserve">A.  JUSTIFICATION </w:t>
      </w:r>
    </w:p>
    <w:p w:rsidR="00660ED8" w:rsidRPr="00691454" w:rsidP="00972DEF" w14:paraId="4526A713" w14:textId="77777777">
      <w:pPr>
        <w:autoSpaceDE w:val="0"/>
        <w:autoSpaceDN w:val="0"/>
        <w:adjustRightInd w:val="0"/>
        <w:rPr>
          <w:b/>
          <w:bCs/>
        </w:rPr>
      </w:pPr>
    </w:p>
    <w:p w:rsidR="00972DEF" w:rsidP="00972DEF" w14:paraId="76E46455" w14:textId="77777777">
      <w:pPr>
        <w:tabs>
          <w:tab w:val="left" w:pos="360"/>
        </w:tabs>
        <w:autoSpaceDE w:val="0"/>
        <w:autoSpaceDN w:val="0"/>
        <w:adjustRightInd w:val="0"/>
        <w:rPr>
          <w:b/>
          <w:bCs/>
        </w:rPr>
      </w:pPr>
      <w:r w:rsidRPr="277F5081">
        <w:rPr>
          <w:b/>
          <w:bCs/>
        </w:rPr>
        <w:t xml:space="preserve">A.1. </w:t>
      </w:r>
      <w:r>
        <w:tab/>
      </w:r>
      <w:r w:rsidRPr="277F5081">
        <w:rPr>
          <w:b/>
          <w:bCs/>
        </w:rPr>
        <w:t>Circumstances Making the Collection of Information Necessary</w:t>
      </w:r>
    </w:p>
    <w:p w:rsidR="00DC0622" w:rsidP="00972DEF" w14:paraId="676A720F" w14:textId="77777777">
      <w:pPr>
        <w:tabs>
          <w:tab w:val="left" w:pos="360"/>
        </w:tabs>
        <w:autoSpaceDE w:val="0"/>
        <w:autoSpaceDN w:val="0"/>
        <w:adjustRightInd w:val="0"/>
        <w:rPr>
          <w:b/>
          <w:bCs/>
        </w:rPr>
      </w:pPr>
    </w:p>
    <w:p w:rsidR="00DC0622" w:rsidRPr="00691454" w:rsidP="6D1DFE42" w14:paraId="09C73D58" w14:textId="30D6B3A0">
      <w:pPr>
        <w:tabs>
          <w:tab w:val="left" w:pos="360"/>
        </w:tabs>
        <w:rPr>
          <w:color w:val="000000" w:themeColor="text1"/>
        </w:rPr>
      </w:pPr>
      <w:r w:rsidRPr="277F5081">
        <w:rPr>
          <w:color w:val="000000" w:themeColor="text1"/>
        </w:rPr>
        <w:t>The Centers for Disease Control and Prevention (CDC) National Center for Injury Prevention and Control (NCIPC) seeks OMB approval for this</w:t>
      </w:r>
      <w:r w:rsidR="000A4A7E">
        <w:rPr>
          <w:color w:val="000000" w:themeColor="text1"/>
        </w:rPr>
        <w:t xml:space="preserve"> new</w:t>
      </w:r>
      <w:r w:rsidRPr="277F5081">
        <w:rPr>
          <w:color w:val="000000" w:themeColor="text1"/>
        </w:rPr>
        <w:t xml:space="preserve"> information collection </w:t>
      </w:r>
      <w:r w:rsidRPr="277F5081" w:rsidR="6139EA8D">
        <w:rPr>
          <w:color w:val="000000" w:themeColor="text1"/>
        </w:rPr>
        <w:t xml:space="preserve">request </w:t>
      </w:r>
      <w:r w:rsidRPr="277F5081">
        <w:rPr>
          <w:color w:val="000000" w:themeColor="text1"/>
        </w:rPr>
        <w:t>(IC</w:t>
      </w:r>
      <w:r w:rsidRPr="277F5081" w:rsidR="049B29E1">
        <w:rPr>
          <w:color w:val="000000" w:themeColor="text1"/>
        </w:rPr>
        <w:t>R</w:t>
      </w:r>
      <w:r w:rsidRPr="277F5081">
        <w:rPr>
          <w:color w:val="000000" w:themeColor="text1"/>
        </w:rPr>
        <w:t>) for a 3-year period to conduct</w:t>
      </w:r>
      <w:r w:rsidRPr="277F5081" w:rsidR="45585ACD">
        <w:rPr>
          <w:color w:val="000000" w:themeColor="text1"/>
        </w:rPr>
        <w:t xml:space="preserve"> </w:t>
      </w:r>
      <w:r w:rsidRPr="277F5081" w:rsidR="504563E1">
        <w:rPr>
          <w:color w:val="000000" w:themeColor="text1"/>
        </w:rPr>
        <w:t xml:space="preserve">regular </w:t>
      </w:r>
      <w:r w:rsidRPr="277F5081" w:rsidR="30CBFC2A">
        <w:rPr>
          <w:color w:val="000000" w:themeColor="text1"/>
        </w:rPr>
        <w:t xml:space="preserve">program </w:t>
      </w:r>
      <w:r w:rsidRPr="277F5081" w:rsidR="255DAF9E">
        <w:rPr>
          <w:color w:val="000000" w:themeColor="text1"/>
        </w:rPr>
        <w:t>assessments of</w:t>
      </w:r>
      <w:r w:rsidRPr="277F5081" w:rsidR="504563E1">
        <w:rPr>
          <w:color w:val="000000" w:themeColor="text1"/>
        </w:rPr>
        <w:t xml:space="preserve"> the </w:t>
      </w:r>
      <w:r w:rsidRPr="277F5081" w:rsidR="0BFB76BC">
        <w:rPr>
          <w:color w:val="000000" w:themeColor="text1"/>
        </w:rPr>
        <w:t xml:space="preserve">Overdose Response Strategy (ORS). The ORS is </w:t>
      </w:r>
      <w:r w:rsidRPr="277F5081" w:rsidR="3343A5E4">
        <w:rPr>
          <w:color w:val="000000" w:themeColor="text1"/>
        </w:rPr>
        <w:t>a national public hea</w:t>
      </w:r>
      <w:r w:rsidRPr="277F5081" w:rsidR="31DDE32B">
        <w:rPr>
          <w:color w:val="000000" w:themeColor="text1"/>
        </w:rPr>
        <w:t>lth and public safety program created to help local communities reduce drug overdose and save lives. The ORS is co-funded by CDC and the Office of National Drug Control Policy (ONDCP</w:t>
      </w:r>
      <w:r w:rsidRPr="277F5081" w:rsidR="0D46B59A">
        <w:rPr>
          <w:color w:val="000000" w:themeColor="text1"/>
        </w:rPr>
        <w:t>) and</w:t>
      </w:r>
      <w:r w:rsidRPr="277F5081" w:rsidR="31DDE32B">
        <w:rPr>
          <w:color w:val="000000" w:themeColor="text1"/>
        </w:rPr>
        <w:t xml:space="preserve"> implemented through partnerships with the </w:t>
      </w:r>
      <w:r w:rsidRPr="277F5081" w:rsidR="43FE6472">
        <w:rPr>
          <w:color w:val="000000" w:themeColor="text1"/>
        </w:rPr>
        <w:t xml:space="preserve">National Foundation for the Centers for Disease Control and Prevention (CDCF) and the High Intensity Drug Trafficking Areas (HIDTA) program. </w:t>
      </w:r>
      <w:r w:rsidRPr="277F5081" w:rsidR="5D2F7883">
        <w:rPr>
          <w:color w:val="000000" w:themeColor="text1"/>
        </w:rPr>
        <w:t>The ORS is implemented by teams of Drug Intelligence Officers (DIOs) and Public Health Analysts (PHAs)</w:t>
      </w:r>
      <w:r w:rsidRPr="277F5081" w:rsidR="521BAB52">
        <w:rPr>
          <w:color w:val="000000" w:themeColor="text1"/>
        </w:rPr>
        <w:t xml:space="preserve"> who work together on drug overdose issues within and across sectors and jurisdictions. </w:t>
      </w:r>
    </w:p>
    <w:p w:rsidR="277F5081" w:rsidP="277F5081" w14:paraId="15876873" w14:textId="617819BD">
      <w:pPr>
        <w:tabs>
          <w:tab w:val="left" w:pos="360"/>
        </w:tabs>
        <w:rPr>
          <w:color w:val="000000" w:themeColor="text1"/>
        </w:rPr>
      </w:pPr>
    </w:p>
    <w:p w:rsidR="277F5081" w:rsidP="277F5081" w14:paraId="6DAD3474" w14:textId="7422BA39">
      <w:pPr>
        <w:tabs>
          <w:tab w:val="left" w:pos="360"/>
        </w:tabs>
        <w:rPr>
          <w:color w:val="000000" w:themeColor="text1"/>
        </w:rPr>
      </w:pPr>
    </w:p>
    <w:p w:rsidR="6D1DFE42" w:rsidP="6D1DFE42" w14:paraId="7DD3D84E" w14:textId="4B888A99">
      <w:pPr>
        <w:tabs>
          <w:tab w:val="left" w:pos="360"/>
        </w:tabs>
        <w:rPr>
          <w:color w:val="000000" w:themeColor="text1"/>
        </w:rPr>
      </w:pPr>
    </w:p>
    <w:p w:rsidR="3A84A345" w:rsidP="6D1DFE42" w14:paraId="1132C665" w14:textId="1B23409A">
      <w:pPr>
        <w:tabs>
          <w:tab w:val="left" w:pos="360"/>
        </w:tabs>
        <w:spacing w:line="259" w:lineRule="auto"/>
        <w:rPr>
          <w:color w:val="000000" w:themeColor="text1"/>
        </w:rPr>
      </w:pPr>
      <w:r w:rsidRPr="277F5081">
        <w:rPr>
          <w:color w:val="000000" w:themeColor="text1"/>
        </w:rPr>
        <w:t xml:space="preserve">The goal of the information collection </w:t>
      </w:r>
      <w:r w:rsidRPr="277F5081" w:rsidR="003EA2C4">
        <w:rPr>
          <w:color w:val="000000" w:themeColor="text1"/>
        </w:rPr>
        <w:t>is</w:t>
      </w:r>
      <w:r w:rsidRPr="277F5081" w:rsidR="20A1C940">
        <w:rPr>
          <w:color w:val="000000" w:themeColor="text1"/>
        </w:rPr>
        <w:t xml:space="preserve"> </w:t>
      </w:r>
      <w:r w:rsidRPr="277F5081" w:rsidR="541709DD">
        <w:rPr>
          <w:color w:val="000000" w:themeColor="text1"/>
        </w:rPr>
        <w:t xml:space="preserve">answer the following </w:t>
      </w:r>
      <w:r w:rsidRPr="277F5081" w:rsidR="775F4040">
        <w:rPr>
          <w:color w:val="000000" w:themeColor="text1"/>
        </w:rPr>
        <w:t xml:space="preserve">program </w:t>
      </w:r>
      <w:r w:rsidRPr="277F5081" w:rsidR="541709DD">
        <w:rPr>
          <w:color w:val="000000" w:themeColor="text1"/>
        </w:rPr>
        <w:t>evaluation quest</w:t>
      </w:r>
      <w:r w:rsidRPr="277F5081" w:rsidR="65EB5758">
        <w:rPr>
          <w:color w:val="000000" w:themeColor="text1"/>
        </w:rPr>
        <w:t xml:space="preserve">ions: </w:t>
      </w:r>
    </w:p>
    <w:p w:rsidR="6D1DFE42" w:rsidP="00F252DA" w14:paraId="57B1F9FA" w14:textId="5D56D79A">
      <w:pPr>
        <w:pStyle w:val="ListParagraph"/>
        <w:numPr>
          <w:ilvl w:val="0"/>
          <w:numId w:val="6"/>
        </w:numPr>
        <w:rPr>
          <w:color w:val="000000" w:themeColor="text1"/>
        </w:rPr>
      </w:pPr>
      <w:r w:rsidRPr="277F5081">
        <w:rPr>
          <w:color w:val="000000" w:themeColor="text1"/>
        </w:rPr>
        <w:t xml:space="preserve">How does the ORS program build and strengthen public health/public safety collaboration and communication within and across sectors and jurisdictions? </w:t>
      </w:r>
    </w:p>
    <w:p w:rsidR="6D1DFE42" w:rsidP="00F252DA" w14:paraId="2016964B" w14:textId="1B97AFDD">
      <w:pPr>
        <w:pStyle w:val="ListParagraph"/>
        <w:numPr>
          <w:ilvl w:val="0"/>
          <w:numId w:val="6"/>
        </w:numPr>
        <w:rPr>
          <w:color w:val="000000" w:themeColor="text1"/>
          <w:lang w:val="en"/>
        </w:rPr>
      </w:pPr>
      <w:r w:rsidRPr="277F5081">
        <w:rPr>
          <w:color w:val="000000" w:themeColor="text1"/>
          <w:lang w:val="en"/>
        </w:rPr>
        <w:t xml:space="preserve">To what extent is the ORS program carrying out its </w:t>
      </w:r>
      <w:r w:rsidR="009F0F5F">
        <w:rPr>
          <w:color w:val="000000" w:themeColor="text1"/>
          <w:lang w:val="en"/>
        </w:rPr>
        <w:t>strategies and activities</w:t>
      </w:r>
      <w:r w:rsidRPr="277F5081">
        <w:rPr>
          <w:color w:val="000000" w:themeColor="text1"/>
          <w:lang w:val="en"/>
        </w:rPr>
        <w:t>?</w:t>
      </w:r>
    </w:p>
    <w:p w:rsidR="6D1DFE42" w:rsidP="00F252DA" w14:paraId="49CE1A01" w14:textId="2C7F2C4D">
      <w:pPr>
        <w:pStyle w:val="ListParagraph"/>
        <w:numPr>
          <w:ilvl w:val="0"/>
          <w:numId w:val="6"/>
        </w:numPr>
        <w:rPr>
          <w:color w:val="000000" w:themeColor="text1"/>
          <w:lang w:val="en"/>
        </w:rPr>
      </w:pPr>
      <w:r w:rsidRPr="277F5081">
        <w:rPr>
          <w:color w:val="000000" w:themeColor="text1"/>
          <w:lang w:val="en"/>
        </w:rPr>
        <w:t>To what extent and in what ways does the ORS program tap into the strengths and assets of public health and public safety partners?</w:t>
      </w:r>
    </w:p>
    <w:p w:rsidR="6D1DFE42" w:rsidP="00F252DA" w14:paraId="09054C2F" w14:textId="450928B8">
      <w:pPr>
        <w:pStyle w:val="ListParagraph"/>
        <w:numPr>
          <w:ilvl w:val="0"/>
          <w:numId w:val="6"/>
        </w:numPr>
        <w:rPr>
          <w:color w:val="000000" w:themeColor="text1"/>
        </w:rPr>
      </w:pPr>
      <w:r w:rsidRPr="277F5081">
        <w:rPr>
          <w:color w:val="000000" w:themeColor="text1"/>
        </w:rPr>
        <w:t xml:space="preserve">To what extent are </w:t>
      </w:r>
      <w:r w:rsidRPr="277F5081" w:rsidR="0D0AE716">
        <w:rPr>
          <w:color w:val="000000" w:themeColor="text1"/>
        </w:rPr>
        <w:t>public health and public safety partners in the field implementing evidence-based overdose prevention and response programs based on their engagement wit</w:t>
      </w:r>
      <w:r w:rsidRPr="277F5081" w:rsidR="0BB9B722">
        <w:rPr>
          <w:color w:val="000000" w:themeColor="text1"/>
        </w:rPr>
        <w:t>h ORS teams?</w:t>
      </w:r>
      <w:r w:rsidRPr="277F5081" w:rsidR="0D0AE716">
        <w:rPr>
          <w:color w:val="000000" w:themeColor="text1"/>
        </w:rPr>
        <w:t xml:space="preserve"> </w:t>
      </w:r>
      <w:r w:rsidRPr="277F5081">
        <w:rPr>
          <w:color w:val="000000" w:themeColor="text1"/>
        </w:rPr>
        <w:t xml:space="preserve"> </w:t>
      </w:r>
    </w:p>
    <w:p w:rsidR="6D1DFE42" w:rsidP="00F252DA" w14:paraId="234E9D1A" w14:textId="44B6D05B">
      <w:pPr>
        <w:pStyle w:val="ListParagraph"/>
        <w:numPr>
          <w:ilvl w:val="0"/>
          <w:numId w:val="6"/>
        </w:numPr>
        <w:rPr>
          <w:color w:val="000000" w:themeColor="text1"/>
          <w:lang w:val="en"/>
        </w:rPr>
      </w:pPr>
      <w:r w:rsidRPr="277F5081">
        <w:rPr>
          <w:color w:val="000000" w:themeColor="text1"/>
          <w:lang w:val="en"/>
        </w:rPr>
        <w:t>To what extent does the ORS contribute to reducing non-fatal and fatal overdoses and saving lives through public health-public safety partnership?</w:t>
      </w:r>
    </w:p>
    <w:p w:rsidR="6D1DFE42" w:rsidP="277F5081" w14:paraId="074B0970" w14:textId="217F575F">
      <w:pPr>
        <w:tabs>
          <w:tab w:val="left" w:pos="360"/>
        </w:tabs>
        <w:spacing w:line="259" w:lineRule="auto"/>
        <w:rPr>
          <w:color w:val="000000" w:themeColor="text1"/>
        </w:rPr>
      </w:pPr>
    </w:p>
    <w:p w:rsidR="3A84A345" w:rsidP="6D1DFE42" w14:paraId="39BA01BB" w14:textId="29314F41">
      <w:pPr>
        <w:tabs>
          <w:tab w:val="left" w:pos="360"/>
        </w:tabs>
        <w:rPr>
          <w:color w:val="000000" w:themeColor="text1"/>
        </w:rPr>
      </w:pPr>
      <w:r w:rsidRPr="54A55804">
        <w:rPr>
          <w:color w:val="000000" w:themeColor="text1"/>
        </w:rPr>
        <w:t>The data collected will be used to</w:t>
      </w:r>
      <w:r w:rsidRPr="54A55804" w:rsidR="3685D64B">
        <w:rPr>
          <w:color w:val="000000" w:themeColor="text1"/>
        </w:rPr>
        <w:t xml:space="preserve"> inform </w:t>
      </w:r>
      <w:r w:rsidRPr="54A55804" w:rsidR="1CB5FCDE">
        <w:rPr>
          <w:color w:val="000000" w:themeColor="text1"/>
        </w:rPr>
        <w:t>program enhancements and improvements</w:t>
      </w:r>
      <w:r w:rsidRPr="54A55804" w:rsidR="270E75E2">
        <w:rPr>
          <w:color w:val="000000" w:themeColor="text1"/>
        </w:rPr>
        <w:t xml:space="preserve"> </w:t>
      </w:r>
      <w:r w:rsidRPr="54A55804" w:rsidR="1CB5FCDE">
        <w:rPr>
          <w:color w:val="000000" w:themeColor="text1"/>
        </w:rPr>
        <w:t xml:space="preserve">and describe program successes. </w:t>
      </w:r>
      <w:r w:rsidRPr="54A55804">
        <w:rPr>
          <w:color w:val="000000" w:themeColor="text1"/>
        </w:rPr>
        <w:t xml:space="preserve">By collecting this data, </w:t>
      </w:r>
      <w:r w:rsidRPr="54A55804" w:rsidR="55C368C3">
        <w:rPr>
          <w:color w:val="000000" w:themeColor="text1"/>
        </w:rPr>
        <w:t xml:space="preserve">CDC will be able to </w:t>
      </w:r>
      <w:r w:rsidRPr="54A55804" w:rsidR="28DD737B">
        <w:rPr>
          <w:color w:val="000000" w:themeColor="text1"/>
        </w:rPr>
        <w:t>monitor ORS program implementation, ensure fidelity to ORS goals and strategies,</w:t>
      </w:r>
      <w:r w:rsidRPr="54A55804" w:rsidR="007568E4">
        <w:rPr>
          <w:color w:val="000000" w:themeColor="text1"/>
        </w:rPr>
        <w:t xml:space="preserve"> inform the creation of technical assistance tools and resources,</w:t>
      </w:r>
      <w:r w:rsidRPr="54A55804" w:rsidR="28DD737B">
        <w:rPr>
          <w:color w:val="000000" w:themeColor="text1"/>
        </w:rPr>
        <w:t xml:space="preserve"> and highlight ORS succ</w:t>
      </w:r>
      <w:r w:rsidRPr="54A55804" w:rsidR="6B5946AB">
        <w:rPr>
          <w:color w:val="000000" w:themeColor="text1"/>
        </w:rPr>
        <w:t xml:space="preserve">esses to support program sustainability and continued funding. </w:t>
      </w:r>
      <w:r w:rsidRPr="54A55804" w:rsidR="063A922E">
        <w:rPr>
          <w:color w:val="000000" w:themeColor="text1"/>
        </w:rPr>
        <w:t>It will also provide CDC with the capacity to respond in a timely manner to requests for information about the program from the Department of Health and Human Services (HHS), the White House, Congress</w:t>
      </w:r>
      <w:r w:rsidRPr="54A55804" w:rsidR="00464EE3">
        <w:rPr>
          <w:color w:val="000000" w:themeColor="text1"/>
        </w:rPr>
        <w:t>,</w:t>
      </w:r>
      <w:r w:rsidRPr="54A55804" w:rsidR="063A922E">
        <w:rPr>
          <w:color w:val="000000" w:themeColor="text1"/>
        </w:rPr>
        <w:t xml:space="preserve"> and other sources. </w:t>
      </w:r>
    </w:p>
    <w:p w:rsidR="6D1DFE42" w:rsidP="6D1DFE42" w14:paraId="0FEBB5E9" w14:textId="1C65B9A7"/>
    <w:p w:rsidR="00BD7C4E" w:rsidRPr="00691454" w:rsidP="00BD7C4E" w14:paraId="574DD395" w14:textId="77777777">
      <w:pPr>
        <w:spacing w:after="120"/>
        <w:rPr>
          <w:rFonts w:eastAsia="SimSun"/>
        </w:rPr>
      </w:pPr>
      <w:r w:rsidRPr="6D1DFE42">
        <w:rPr>
          <w:rFonts w:eastAsia="SimSun"/>
          <w:u w:val="single"/>
        </w:rPr>
        <w:t xml:space="preserve">Background </w:t>
      </w:r>
    </w:p>
    <w:p w:rsidR="71EA5BBC" w:rsidP="6D1DFE42" w14:paraId="6EA32019" w14:textId="7A9936D5">
      <w:pPr>
        <w:rPr>
          <w:color w:val="000000" w:themeColor="text1"/>
        </w:rPr>
      </w:pPr>
      <w:r w:rsidRPr="54A55804">
        <w:rPr>
          <w:color w:val="000000" w:themeColor="text1"/>
        </w:rPr>
        <w:t xml:space="preserve">Drug overdoses remain the leading cause of injury-related death in the United States.[1] CDC </w:t>
      </w:r>
      <w:r w:rsidRPr="54A55804" w:rsidR="00FD3C82">
        <w:rPr>
          <w:color w:val="000000" w:themeColor="text1"/>
        </w:rPr>
        <w:t>predicts</w:t>
      </w:r>
      <w:r w:rsidRPr="54A55804">
        <w:rPr>
          <w:color w:val="000000" w:themeColor="text1"/>
        </w:rPr>
        <w:t xml:space="preserve"> that </w:t>
      </w:r>
      <w:r w:rsidRPr="54A55804" w:rsidR="001C2DBA">
        <w:rPr>
          <w:color w:val="000000" w:themeColor="text1"/>
        </w:rPr>
        <w:t>around</w:t>
      </w:r>
      <w:r w:rsidRPr="54A55804">
        <w:rPr>
          <w:color w:val="000000" w:themeColor="text1"/>
        </w:rPr>
        <w:t xml:space="preserve"> 10</w:t>
      </w:r>
      <w:r w:rsidRPr="54A55804" w:rsidR="0286CBDB">
        <w:rPr>
          <w:color w:val="000000" w:themeColor="text1"/>
        </w:rPr>
        <w:t>8</w:t>
      </w:r>
      <w:r w:rsidRPr="54A55804">
        <w:rPr>
          <w:color w:val="000000" w:themeColor="text1"/>
        </w:rPr>
        <w:t>,000 Americans died from a drug overdose in the 12-month period ending December 2023 [2]. Recently, overdose deaths ha</w:t>
      </w:r>
      <w:r w:rsidRPr="54A55804" w:rsidR="00D601B2">
        <w:rPr>
          <w:color w:val="000000" w:themeColor="text1"/>
        </w:rPr>
        <w:t>ve</w:t>
      </w:r>
      <w:r w:rsidRPr="54A55804">
        <w:rPr>
          <w:color w:val="000000" w:themeColor="text1"/>
        </w:rPr>
        <w:t xml:space="preserve"> been linked to the rapid increase in synthetic opioids,[3] including illicitly manufactured fentanyl (IMF), and a resurgence of stimulants,[4] particularly methamphetamine, into the </w:t>
      </w:r>
      <w:r w:rsidRPr="54A55804" w:rsidR="008F475D">
        <w:rPr>
          <w:color w:val="000000" w:themeColor="text1"/>
        </w:rPr>
        <w:t>illegal</w:t>
      </w:r>
      <w:r w:rsidRPr="54A55804">
        <w:rPr>
          <w:color w:val="000000" w:themeColor="text1"/>
        </w:rPr>
        <w:t xml:space="preserve"> drug supply.  </w:t>
      </w:r>
    </w:p>
    <w:p w:rsidR="6D1DFE42" w:rsidP="6D1DFE42" w14:paraId="7DE24B31" w14:textId="24660A8E">
      <w:pPr>
        <w:rPr>
          <w:color w:val="000000" w:themeColor="text1"/>
        </w:rPr>
      </w:pPr>
    </w:p>
    <w:p w:rsidR="5D8B5536" w:rsidP="277F5081" w14:paraId="5E9501AE" w14:textId="29A6D872">
      <w:pPr>
        <w:rPr>
          <w:color w:val="000000" w:themeColor="text1"/>
        </w:rPr>
      </w:pPr>
      <w:r w:rsidRPr="54A55804">
        <w:rPr>
          <w:color w:val="000000" w:themeColor="text1"/>
        </w:rPr>
        <w:t xml:space="preserve">Multisector collaboration is critical to </w:t>
      </w:r>
      <w:r w:rsidRPr="54A55804" w:rsidR="00085BB6">
        <w:rPr>
          <w:color w:val="000000" w:themeColor="text1"/>
        </w:rPr>
        <w:t xml:space="preserve">preventing overdoses and </w:t>
      </w:r>
      <w:r w:rsidRPr="54A55804">
        <w:rPr>
          <w:color w:val="000000" w:themeColor="text1"/>
        </w:rPr>
        <w:t>saving lives</w:t>
      </w:r>
      <w:r w:rsidRPr="54A55804" w:rsidR="5347647A">
        <w:rPr>
          <w:color w:val="000000" w:themeColor="text1"/>
        </w:rPr>
        <w:t xml:space="preserve"> </w:t>
      </w:r>
      <w:r w:rsidRPr="54A55804" w:rsidR="1B8D882E">
        <w:rPr>
          <w:color w:val="000000" w:themeColor="text1"/>
        </w:rPr>
        <w:t>[5]</w:t>
      </w:r>
      <w:r w:rsidRPr="54A55804">
        <w:rPr>
          <w:color w:val="000000" w:themeColor="text1"/>
        </w:rPr>
        <w:t xml:space="preserve">. Two key sectors in this response are public health and public safety, as they are both on the front lines and both tasked with improving community safety and well-being. CDC demonstrates strong commitment to </w:t>
      </w:r>
      <w:r w:rsidRPr="54A55804" w:rsidR="1A95616D">
        <w:rPr>
          <w:color w:val="000000" w:themeColor="text1"/>
        </w:rPr>
        <w:t>public health/public safety</w:t>
      </w:r>
      <w:r w:rsidRPr="54A55804">
        <w:rPr>
          <w:color w:val="000000" w:themeColor="text1"/>
        </w:rPr>
        <w:t xml:space="preserve"> partnerships through implementation of several national programs, including the ORS.</w:t>
      </w:r>
    </w:p>
    <w:p w:rsidR="6D1DFE42" w:rsidP="6D1DFE42" w14:paraId="0FA0DBF8" w14:textId="35D0F1BC">
      <w:pPr>
        <w:rPr>
          <w:rFonts w:ascii="Calibri" w:eastAsia="Calibri" w:hAnsi="Calibri" w:cs="Calibri"/>
          <w:color w:val="000000" w:themeColor="text1"/>
          <w:sz w:val="22"/>
          <w:szCs w:val="22"/>
        </w:rPr>
      </w:pPr>
    </w:p>
    <w:p w:rsidR="6F480829" w:rsidP="6D1DFE42" w14:paraId="561CE32D" w14:textId="6E977F90">
      <w:pPr>
        <w:rPr>
          <w:color w:val="000000" w:themeColor="text1"/>
        </w:rPr>
      </w:pPr>
      <w:r w:rsidRPr="54A55804">
        <w:rPr>
          <w:color w:val="000000" w:themeColor="text1"/>
        </w:rPr>
        <w:t>The ORS is a unique collaboration between public health and public safety agencies designed to help local communities reduce drug overdoses and save lives by sharing timely data, pertinent intelligence, and evidence-based and innovative strategies. The ORS is co-funded by CDC and the Office of National Drug Control Strategy (ONDCP) and currently implemented by 61 teams of Drug Intelligence Officers (DIOs) and Public Health Analysts (PHAs) serving in all 50 states, the District of Colombia (D.C.), Puerto Rico</w:t>
      </w:r>
      <w:r w:rsidRPr="54A55804" w:rsidR="00217572">
        <w:rPr>
          <w:color w:val="000000" w:themeColor="text1"/>
        </w:rPr>
        <w:t>,</w:t>
      </w:r>
      <w:r w:rsidRPr="54A55804">
        <w:rPr>
          <w:color w:val="000000" w:themeColor="text1"/>
        </w:rPr>
        <w:t xml:space="preserve"> and the U.S. Virgin Islands. </w:t>
      </w:r>
    </w:p>
    <w:p w:rsidR="6D1DFE42" w:rsidP="6D1DFE42" w14:paraId="75E6A418" w14:textId="437EFEB2">
      <w:pPr>
        <w:rPr>
          <w:rFonts w:ascii="Calibri" w:eastAsia="Calibri" w:hAnsi="Calibri" w:cs="Calibri"/>
          <w:color w:val="000000" w:themeColor="text1"/>
          <w:sz w:val="22"/>
          <w:szCs w:val="22"/>
        </w:rPr>
      </w:pPr>
    </w:p>
    <w:p w:rsidR="6F480829" w:rsidP="6D1DFE42" w14:paraId="4ACDA3A4" w14:textId="5A46813C">
      <w:pPr>
        <w:rPr>
          <w:color w:val="000000" w:themeColor="text1"/>
        </w:rPr>
      </w:pPr>
      <w:r w:rsidRPr="6D1DFE42">
        <w:rPr>
          <w:color w:val="000000" w:themeColor="text1"/>
        </w:rPr>
        <w:t>ORS teams support public health and public safety entities in their jurisdictions by:</w:t>
      </w:r>
    </w:p>
    <w:p w:rsidR="6F480829" w:rsidP="00F252DA" w14:paraId="45EDEDDD" w14:textId="29443C02">
      <w:pPr>
        <w:pStyle w:val="ListParagraph"/>
        <w:numPr>
          <w:ilvl w:val="0"/>
          <w:numId w:val="10"/>
        </w:numPr>
        <w:rPr>
          <w:color w:val="000000" w:themeColor="text1"/>
        </w:rPr>
      </w:pPr>
      <w:r w:rsidRPr="6D1DFE42">
        <w:rPr>
          <w:color w:val="000000" w:themeColor="text1"/>
        </w:rPr>
        <w:t>Sharing data systems to inform rapid and effective community overdose prevention efforts.</w:t>
      </w:r>
    </w:p>
    <w:p w:rsidR="6F480829" w:rsidP="00F252DA" w14:paraId="025E6622" w14:textId="13196E39">
      <w:pPr>
        <w:pStyle w:val="ListParagraph"/>
        <w:numPr>
          <w:ilvl w:val="0"/>
          <w:numId w:val="10"/>
        </w:numPr>
        <w:rPr>
          <w:color w:val="000000" w:themeColor="text1"/>
        </w:rPr>
      </w:pPr>
      <w:r w:rsidRPr="6D1DFE42">
        <w:rPr>
          <w:color w:val="000000" w:themeColor="text1"/>
        </w:rPr>
        <w:t>Supporting immediate, evidence-based response efforts that can directly reduce overdose deaths.</w:t>
      </w:r>
    </w:p>
    <w:p w:rsidR="6F480829" w:rsidP="00F252DA" w14:paraId="02D165F9" w14:textId="5DD9BFEC">
      <w:pPr>
        <w:pStyle w:val="ListParagraph"/>
        <w:numPr>
          <w:ilvl w:val="0"/>
          <w:numId w:val="10"/>
        </w:numPr>
        <w:rPr>
          <w:color w:val="000000" w:themeColor="text1"/>
        </w:rPr>
      </w:pPr>
      <w:r w:rsidRPr="6D1DFE42">
        <w:rPr>
          <w:color w:val="000000" w:themeColor="text1"/>
        </w:rPr>
        <w:t>Designing and using promising strategies at the intersection of public health and public safety.</w:t>
      </w:r>
    </w:p>
    <w:p w:rsidR="6F480829" w:rsidP="00F252DA" w14:paraId="29B2C4AF" w14:textId="00EC3678">
      <w:pPr>
        <w:pStyle w:val="ListParagraph"/>
        <w:numPr>
          <w:ilvl w:val="0"/>
          <w:numId w:val="10"/>
        </w:numPr>
        <w:rPr>
          <w:color w:val="000000" w:themeColor="text1"/>
        </w:rPr>
      </w:pPr>
      <w:r w:rsidRPr="6D1DFE42">
        <w:rPr>
          <w:color w:val="000000" w:themeColor="text1"/>
        </w:rPr>
        <w:t>Disseminating information to support the implementation of evidence-informed overdose prevention strategies.</w:t>
      </w:r>
    </w:p>
    <w:p w:rsidR="6D1DFE42" w:rsidP="6D1DFE42" w14:paraId="7DD47F93" w14:textId="4C50FE7D"/>
    <w:p w:rsidR="56078722" w:rsidP="6D1DFE42" w14:paraId="2E7556E5" w14:textId="1CB4B19B">
      <w:r w:rsidRPr="700036C5">
        <w:rPr>
          <w:color w:val="000000" w:themeColor="text1"/>
        </w:rPr>
        <w:t xml:space="preserve">As the ORS is </w:t>
      </w:r>
      <w:r w:rsidRPr="700036C5" w:rsidR="1BD13F3A">
        <w:rPr>
          <w:color w:val="000000" w:themeColor="text1"/>
        </w:rPr>
        <w:t>one of CDC’s</w:t>
      </w:r>
      <w:r w:rsidRPr="700036C5">
        <w:rPr>
          <w:color w:val="000000" w:themeColor="text1"/>
        </w:rPr>
        <w:t xml:space="preserve"> flagship overdose prevention program</w:t>
      </w:r>
      <w:r w:rsidRPr="700036C5" w:rsidR="6FA583C1">
        <w:rPr>
          <w:color w:val="000000" w:themeColor="text1"/>
        </w:rPr>
        <w:t>s,</w:t>
      </w:r>
      <w:r w:rsidRPr="700036C5">
        <w:rPr>
          <w:color w:val="000000" w:themeColor="text1"/>
        </w:rPr>
        <w:t xml:space="preserve"> and partnering with public safety is one of CDC’s key overdose prevention strategies, a greater understanding of </w:t>
      </w:r>
      <w:r w:rsidRPr="700036C5" w:rsidR="7F09916C">
        <w:rPr>
          <w:color w:val="000000" w:themeColor="text1"/>
        </w:rPr>
        <w:t xml:space="preserve">the impact </w:t>
      </w:r>
      <w:r w:rsidRPr="700036C5" w:rsidR="7F09916C">
        <w:rPr>
          <w:color w:val="000000" w:themeColor="text1"/>
        </w:rPr>
        <w:t xml:space="preserve">and effectiveness of the ORS is needed to inform program enhancements and improvements. </w:t>
      </w:r>
      <w:r w:rsidRPr="700036C5" w:rsidR="4375522F">
        <w:rPr>
          <w:color w:val="000000" w:themeColor="text1"/>
        </w:rPr>
        <w:t xml:space="preserve">CDC is authorized to collect information for public health purposes by Section 301(a) of the Public Health Service Act </w:t>
      </w:r>
      <w:r w:rsidRPr="00554FAC" w:rsidR="4375522F">
        <w:rPr>
          <w:color w:val="000000" w:themeColor="text1"/>
        </w:rPr>
        <w:t xml:space="preserve">(Attachment </w:t>
      </w:r>
      <w:r w:rsidRPr="00554FAC" w:rsidR="06AE169F">
        <w:rPr>
          <w:color w:val="000000" w:themeColor="text1"/>
        </w:rPr>
        <w:t>A</w:t>
      </w:r>
      <w:r w:rsidRPr="00554FAC" w:rsidR="4375522F">
        <w:rPr>
          <w:color w:val="000000" w:themeColor="text1"/>
        </w:rPr>
        <w:t>).</w:t>
      </w:r>
    </w:p>
    <w:p w:rsidR="6D1DFE42" w:rsidP="6D1DFE42" w14:paraId="5E3D87FF" w14:textId="4A67A750">
      <w:pPr>
        <w:rPr>
          <w:color w:val="000000" w:themeColor="text1"/>
        </w:rPr>
      </w:pPr>
    </w:p>
    <w:p w:rsidR="00FB1045" w:rsidP="00972DEF" w14:paraId="5FBAD1E5"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2DEF" w:rsidRPr="00691454" w:rsidP="00F64FA1" w14:paraId="1D132512" w14:textId="77777777">
      <w:pPr>
        <w:tabs>
          <w:tab w:val="left" w:pos="360"/>
        </w:tabs>
        <w:autoSpaceDE w:val="0"/>
        <w:autoSpaceDN w:val="0"/>
        <w:adjustRightInd w:val="0"/>
      </w:pPr>
      <w:r w:rsidRPr="6D1DFE42">
        <w:rPr>
          <w:b/>
          <w:bCs/>
        </w:rPr>
        <w:t xml:space="preserve">A.2. </w:t>
      </w:r>
      <w:r w:rsidRPr="6D1DFE42" w:rsidR="00F64FA1">
        <w:rPr>
          <w:b/>
          <w:bCs/>
        </w:rPr>
        <w:t xml:space="preserve">    </w:t>
      </w:r>
      <w:r w:rsidRPr="6D1DFE42">
        <w:rPr>
          <w:b/>
          <w:bCs/>
        </w:rPr>
        <w:t xml:space="preserve">Purpose and Use of Information Collection </w:t>
      </w:r>
    </w:p>
    <w:p w:rsidR="6D1DFE42" w:rsidP="6D1DFE42" w14:paraId="0B2B8C62" w14:textId="4F0F739C">
      <w:pPr>
        <w:tabs>
          <w:tab w:val="left" w:pos="360"/>
        </w:tabs>
        <w:spacing w:line="259" w:lineRule="auto"/>
      </w:pPr>
    </w:p>
    <w:p w:rsidR="6D1DFE42" w:rsidP="277F5081" w14:paraId="5E41F5E4" w14:textId="572D2876">
      <w:pPr>
        <w:tabs>
          <w:tab w:val="left" w:pos="360"/>
        </w:tabs>
        <w:spacing w:line="259" w:lineRule="auto"/>
        <w:rPr>
          <w:color w:val="000000" w:themeColor="text1"/>
        </w:rPr>
      </w:pPr>
      <w:r>
        <w:t>The</w:t>
      </w:r>
      <w:r w:rsidR="51C17173">
        <w:t xml:space="preserve"> purpose</w:t>
      </w:r>
      <w:r>
        <w:t xml:space="preserve"> of this information</w:t>
      </w:r>
      <w:r w:rsidR="63CEA26B">
        <w:t xml:space="preserve"> collection</w:t>
      </w:r>
      <w:r w:rsidR="0A2CB036">
        <w:t xml:space="preserve"> request</w:t>
      </w:r>
      <w:r w:rsidR="5AD35AE9">
        <w:t xml:space="preserve"> (IC</w:t>
      </w:r>
      <w:r w:rsidR="6C8CFBB9">
        <w:t>R</w:t>
      </w:r>
      <w:r w:rsidR="5AD35AE9">
        <w:t>)</w:t>
      </w:r>
      <w:r w:rsidR="21CC7CC6">
        <w:t xml:space="preserve"> </w:t>
      </w:r>
      <w:r w:rsidR="6E30F074">
        <w:t>is to</w:t>
      </w:r>
      <w:r w:rsidRPr="277F5081" w:rsidR="618E89B6">
        <w:rPr>
          <w:color w:val="000000" w:themeColor="text1"/>
        </w:rPr>
        <w:t xml:space="preserve"> </w:t>
      </w:r>
      <w:r w:rsidRPr="277F5081" w:rsidR="5B14DB73">
        <w:rPr>
          <w:color w:val="000000" w:themeColor="text1"/>
        </w:rPr>
        <w:t xml:space="preserve">answer the following evaluation questions: </w:t>
      </w:r>
    </w:p>
    <w:p w:rsidR="6D1DFE42" w:rsidP="00F252DA" w14:paraId="08C61E05" w14:textId="094D185B">
      <w:pPr>
        <w:pStyle w:val="ListParagraph"/>
        <w:numPr>
          <w:ilvl w:val="0"/>
          <w:numId w:val="5"/>
        </w:numPr>
        <w:rPr>
          <w:color w:val="000000" w:themeColor="text1"/>
        </w:rPr>
      </w:pPr>
      <w:r w:rsidRPr="277F5081">
        <w:rPr>
          <w:color w:val="000000" w:themeColor="text1"/>
        </w:rPr>
        <w:t xml:space="preserve">How does the ORS program build and strengthen public health/public safety collaboration and communication within and across sectors and jurisdictions? </w:t>
      </w:r>
    </w:p>
    <w:p w:rsidR="6D1DFE42" w:rsidP="00F252DA" w14:paraId="0D0D020A" w14:textId="56006BB9">
      <w:pPr>
        <w:pStyle w:val="ListParagraph"/>
        <w:numPr>
          <w:ilvl w:val="0"/>
          <w:numId w:val="5"/>
        </w:numPr>
        <w:rPr>
          <w:color w:val="000000" w:themeColor="text1"/>
          <w:lang w:val="en"/>
        </w:rPr>
      </w:pPr>
      <w:r w:rsidRPr="277F5081">
        <w:rPr>
          <w:color w:val="000000" w:themeColor="text1"/>
          <w:lang w:val="en"/>
        </w:rPr>
        <w:t>To what extent is the ORS program carrying out its goals and strategies?</w:t>
      </w:r>
    </w:p>
    <w:p w:rsidR="6D1DFE42" w:rsidP="00F252DA" w14:paraId="203A1059" w14:textId="2FD05968">
      <w:pPr>
        <w:pStyle w:val="ListParagraph"/>
        <w:numPr>
          <w:ilvl w:val="0"/>
          <w:numId w:val="5"/>
        </w:numPr>
        <w:rPr>
          <w:color w:val="000000" w:themeColor="text1"/>
          <w:lang w:val="en"/>
        </w:rPr>
      </w:pPr>
      <w:r w:rsidRPr="277F5081">
        <w:rPr>
          <w:color w:val="000000" w:themeColor="text1"/>
          <w:lang w:val="en"/>
        </w:rPr>
        <w:t>To what extent and in what ways does the ORS program tap into the strengths and assets of public health and public safety partners?</w:t>
      </w:r>
    </w:p>
    <w:p w:rsidR="6D1DFE42" w:rsidP="00F252DA" w14:paraId="03A41F0C" w14:textId="34DC9334">
      <w:pPr>
        <w:pStyle w:val="ListParagraph"/>
        <w:numPr>
          <w:ilvl w:val="0"/>
          <w:numId w:val="5"/>
        </w:numPr>
        <w:rPr>
          <w:color w:val="000000" w:themeColor="text1"/>
        </w:rPr>
      </w:pPr>
      <w:r w:rsidRPr="277F5081">
        <w:rPr>
          <w:color w:val="000000" w:themeColor="text1"/>
        </w:rPr>
        <w:t xml:space="preserve">To what extent are public health and public safety partners in the field implementing evidence-based overdose prevention and response programs based on their engagement with ORS teams?  </w:t>
      </w:r>
    </w:p>
    <w:p w:rsidR="6D1DFE42" w:rsidP="00F252DA" w14:paraId="06BBE68C" w14:textId="6011C237">
      <w:pPr>
        <w:pStyle w:val="ListParagraph"/>
        <w:numPr>
          <w:ilvl w:val="0"/>
          <w:numId w:val="5"/>
        </w:numPr>
        <w:rPr>
          <w:color w:val="000000" w:themeColor="text1"/>
          <w:lang w:val="en"/>
        </w:rPr>
      </w:pPr>
      <w:r w:rsidRPr="277F5081">
        <w:rPr>
          <w:color w:val="000000" w:themeColor="text1"/>
          <w:lang w:val="en"/>
        </w:rPr>
        <w:t>To what extent does the ORS contribute to reducing non-fatal and fatal overdoses and saving lives through public health-public safety partnership?</w:t>
      </w:r>
    </w:p>
    <w:p w:rsidR="6D1DFE42" w:rsidP="277F5081" w14:paraId="77092DF5" w14:textId="76E83DAC">
      <w:pPr>
        <w:tabs>
          <w:tab w:val="left" w:pos="360"/>
        </w:tabs>
        <w:spacing w:line="259" w:lineRule="auto"/>
        <w:rPr>
          <w:color w:val="000000" w:themeColor="text1"/>
        </w:rPr>
      </w:pPr>
    </w:p>
    <w:p w:rsidR="277F5081" w:rsidP="54A55804" w14:paraId="37F7043C" w14:textId="5852DB06">
      <w:pPr>
        <w:tabs>
          <w:tab w:val="left" w:pos="360"/>
        </w:tabs>
        <w:rPr>
          <w:color w:val="000000" w:themeColor="text1"/>
        </w:rPr>
      </w:pPr>
    </w:p>
    <w:p w:rsidR="28EB7869" w:rsidP="6D1DFE42" w14:paraId="347F712C" w14:textId="15E81049">
      <w:pPr>
        <w:tabs>
          <w:tab w:val="left" w:pos="360"/>
        </w:tabs>
        <w:rPr>
          <w:color w:val="000000" w:themeColor="text1"/>
        </w:rPr>
      </w:pPr>
      <w:r w:rsidRPr="54A55804">
        <w:rPr>
          <w:color w:val="000000" w:themeColor="text1"/>
        </w:rPr>
        <w:t>State and local agencies are responsible for tracking and controlling local overdose epidemics by implementing prevention and response strategies that increasingly include both public health and public safety sectors. ORS teams support agencies in those cross-sector efforts; however, there is currently no mechanism to collect information on activities implemented by ORS teams, the extent to which ORS teams are helping state, local</w:t>
      </w:r>
      <w:r w:rsidRPr="54A55804" w:rsidR="00BD4154">
        <w:rPr>
          <w:color w:val="000000" w:themeColor="text1"/>
        </w:rPr>
        <w:t>,</w:t>
      </w:r>
      <w:r w:rsidRPr="54A55804">
        <w:rPr>
          <w:color w:val="000000" w:themeColor="text1"/>
        </w:rPr>
        <w:t xml:space="preserve"> and territorial partners build cross-sector partnerships, the impact and effectiveness of those partnerships, and elements or attributes that support the successful implementation of public health and public safety partnerships to reduce drug overdose. </w:t>
      </w:r>
    </w:p>
    <w:p w:rsidR="6D1DFE42" w:rsidP="6D1DFE42" w14:paraId="163906BF" w14:textId="04B7C495">
      <w:pPr>
        <w:tabs>
          <w:tab w:val="left" w:pos="360"/>
        </w:tabs>
        <w:rPr>
          <w:color w:val="000000" w:themeColor="text1"/>
        </w:rPr>
      </w:pPr>
    </w:p>
    <w:p w:rsidR="03F02BB3" w:rsidP="6D1DFE42" w14:paraId="3EF39DD7" w14:textId="29ED2089">
      <w:pPr>
        <w:rPr>
          <w:color w:val="000000" w:themeColor="text1"/>
        </w:rPr>
      </w:pPr>
      <w:r w:rsidRPr="277F5081">
        <w:rPr>
          <w:color w:val="000000" w:themeColor="text1"/>
        </w:rPr>
        <w:t xml:space="preserve">This ICR focuses on </w:t>
      </w:r>
      <w:r w:rsidRPr="277F5081" w:rsidR="04A71A15">
        <w:rPr>
          <w:color w:val="000000" w:themeColor="text1"/>
        </w:rPr>
        <w:t xml:space="preserve">a </w:t>
      </w:r>
      <w:r w:rsidRPr="277F5081">
        <w:rPr>
          <w:color w:val="000000" w:themeColor="text1"/>
        </w:rPr>
        <w:t xml:space="preserve">survey and </w:t>
      </w:r>
      <w:r w:rsidRPr="277F5081" w:rsidR="20E44FF5">
        <w:rPr>
          <w:color w:val="000000" w:themeColor="text1"/>
        </w:rPr>
        <w:t xml:space="preserve">a </w:t>
      </w:r>
      <w:r w:rsidRPr="277F5081" w:rsidR="322B1F4D">
        <w:rPr>
          <w:color w:val="000000" w:themeColor="text1"/>
        </w:rPr>
        <w:t xml:space="preserve">reporting </w:t>
      </w:r>
      <w:r w:rsidRPr="277F5081">
        <w:rPr>
          <w:color w:val="000000" w:themeColor="text1"/>
        </w:rPr>
        <w:t>tool that ORS teams and their partners will complete to provide critical data to CDC</w:t>
      </w:r>
      <w:r w:rsidRPr="277F5081" w:rsidR="5A64A3FA">
        <w:rPr>
          <w:color w:val="000000" w:themeColor="text1"/>
        </w:rPr>
        <w:t xml:space="preserve"> on a quarterly and annual</w:t>
      </w:r>
      <w:r w:rsidRPr="277F5081">
        <w:rPr>
          <w:color w:val="000000" w:themeColor="text1"/>
        </w:rPr>
        <w:t xml:space="preserve"> </w:t>
      </w:r>
      <w:r w:rsidRPr="277F5081" w:rsidR="0889527E">
        <w:rPr>
          <w:color w:val="000000" w:themeColor="text1"/>
        </w:rPr>
        <w:t xml:space="preserve">basis </w:t>
      </w:r>
      <w:r w:rsidRPr="277F5081">
        <w:rPr>
          <w:color w:val="000000" w:themeColor="text1"/>
        </w:rPr>
        <w:t xml:space="preserve">for program monitoring, to </w:t>
      </w:r>
      <w:r w:rsidRPr="277F5081" w:rsidR="0759FD8C">
        <w:rPr>
          <w:color w:val="000000" w:themeColor="text1"/>
        </w:rPr>
        <w:t xml:space="preserve">inform technical assistance and guidance documents produced by CDC or other partners, and to assess the extent to which </w:t>
      </w:r>
      <w:r w:rsidRPr="277F5081" w:rsidR="7A1208A2">
        <w:rPr>
          <w:color w:val="000000" w:themeColor="text1"/>
        </w:rPr>
        <w:t>the ORS program is achieving the goal of supporting public health and public safety partnerships to reduce drug overdose.</w:t>
      </w:r>
      <w:r w:rsidRPr="277F5081" w:rsidR="0E7BDCB3">
        <w:rPr>
          <w:color w:val="000000" w:themeColor="text1"/>
        </w:rPr>
        <w:t xml:space="preserve"> It will also provide CDC with the capacity to respond in a timely manner to requests for information about the program from the Department of Health and Human Services (HHS), the White House, Congress, and other sources.</w:t>
      </w:r>
    </w:p>
    <w:p w:rsidR="6D1DFE42" w:rsidP="6D1DFE42" w14:paraId="0F2BE283" w14:textId="5186124E">
      <w:pPr>
        <w:tabs>
          <w:tab w:val="left" w:pos="360"/>
        </w:tabs>
        <w:rPr>
          <w:color w:val="000000" w:themeColor="text1"/>
        </w:rPr>
      </w:pPr>
    </w:p>
    <w:p w:rsidR="01E87042" w:rsidP="6D1DFE42" w14:paraId="2D158860" w14:textId="3E99971A">
      <w:pPr>
        <w:tabs>
          <w:tab w:val="left" w:pos="360"/>
        </w:tabs>
        <w:spacing w:line="259" w:lineRule="auto"/>
        <w:rPr>
          <w:color w:val="000000" w:themeColor="text1"/>
        </w:rPr>
      </w:pPr>
      <w:r w:rsidRPr="6D1DFE42">
        <w:rPr>
          <w:color w:val="000000" w:themeColor="text1"/>
        </w:rPr>
        <w:t xml:space="preserve">This ICR is needed to gather information about how the ORS has contributed to shared, collective efforts to reduce drug overdoses and save lives. It will also allow for the collection of summaries of activities implemented by ORS teams, challenges encountered, success stories, and progress updates. </w:t>
      </w:r>
    </w:p>
    <w:p w:rsidR="6D1DFE42" w:rsidP="6D1DFE42" w14:paraId="5E25C5FC" w14:textId="723B7E9B">
      <w:pPr>
        <w:tabs>
          <w:tab w:val="left" w:pos="360"/>
        </w:tabs>
      </w:pPr>
    </w:p>
    <w:p w:rsidR="25CA489B" w:rsidRPr="00A834D1" w:rsidP="6D1DFE42" w14:paraId="40467C47" w14:textId="5F6630A2">
      <w:pPr>
        <w:rPr>
          <w:color w:val="000000" w:themeColor="text1"/>
        </w:rPr>
      </w:pPr>
      <w:r w:rsidRPr="700036C5">
        <w:rPr>
          <w:color w:val="000000" w:themeColor="text1"/>
        </w:rPr>
        <w:t>The following data collection instruments are part of this ICR</w:t>
      </w:r>
      <w:r w:rsidRPr="700036C5" w:rsidR="3FFEC10C">
        <w:rPr>
          <w:color w:val="000000" w:themeColor="text1"/>
        </w:rPr>
        <w:t xml:space="preserve">. All instruments can be found in </w:t>
      </w:r>
      <w:r w:rsidRPr="00554FAC" w:rsidR="004C7943">
        <w:rPr>
          <w:color w:val="000000" w:themeColor="text1"/>
        </w:rPr>
        <w:t>The following attachments</w:t>
      </w:r>
      <w:r w:rsidRPr="00554FAC">
        <w:rPr>
          <w:color w:val="000000" w:themeColor="text1"/>
        </w:rPr>
        <w:t>:</w:t>
      </w:r>
    </w:p>
    <w:p w:rsidR="0443CC7F" w:rsidRPr="00554FAC" w:rsidP="00F252DA" w14:paraId="597CC477" w14:textId="5EF87B93">
      <w:pPr>
        <w:pStyle w:val="ListParagraph"/>
        <w:numPr>
          <w:ilvl w:val="0"/>
          <w:numId w:val="9"/>
        </w:numPr>
        <w:tabs>
          <w:tab w:val="left" w:pos="360"/>
        </w:tabs>
      </w:pPr>
      <w:r w:rsidRPr="00A834D1">
        <w:t xml:space="preserve"> Attachment</w:t>
      </w:r>
      <w:r w:rsidRPr="00A834D1" w:rsidR="004C7943">
        <w:t xml:space="preserve"> D:</w:t>
      </w:r>
      <w:r w:rsidRPr="00A834D1">
        <w:t xml:space="preserve"> </w:t>
      </w:r>
      <w:r w:rsidRPr="00A834D1">
        <w:t>ORS Annual Evaluation Survey-PHA</w:t>
      </w:r>
      <w:r w:rsidRPr="00A834D1" w:rsidR="20E9DD8F">
        <w:t xml:space="preserve"> </w:t>
      </w:r>
    </w:p>
    <w:p w:rsidR="0443CC7F" w:rsidRPr="00554FAC" w:rsidP="00F252DA" w14:paraId="54EE6362" w14:textId="70829228">
      <w:pPr>
        <w:pStyle w:val="ListParagraph"/>
        <w:numPr>
          <w:ilvl w:val="0"/>
          <w:numId w:val="9"/>
        </w:numPr>
        <w:tabs>
          <w:tab w:val="left" w:pos="360"/>
        </w:tabs>
      </w:pPr>
      <w:r w:rsidRPr="00A834D1">
        <w:t xml:space="preserve">Attachment E: </w:t>
      </w:r>
      <w:r w:rsidRPr="00A834D1">
        <w:t>ORS Annual Evaluation Survey-DIO</w:t>
      </w:r>
      <w:r w:rsidRPr="00A834D1" w:rsidR="7422F1B7">
        <w:t xml:space="preserve"> </w:t>
      </w:r>
    </w:p>
    <w:p w:rsidR="0443CC7F" w:rsidRPr="00554FAC" w:rsidP="00F252DA" w14:paraId="25512566" w14:textId="2F47441E">
      <w:pPr>
        <w:pStyle w:val="ListParagraph"/>
        <w:numPr>
          <w:ilvl w:val="0"/>
          <w:numId w:val="9"/>
        </w:numPr>
        <w:tabs>
          <w:tab w:val="left" w:pos="360"/>
        </w:tabs>
      </w:pPr>
      <w:r w:rsidRPr="00A834D1">
        <w:t xml:space="preserve">Attachment F: </w:t>
      </w:r>
      <w:r w:rsidRPr="00A834D1">
        <w:t>ORS Annual Evaluation Survey-Public Health Partner</w:t>
      </w:r>
      <w:r w:rsidRPr="00A834D1" w:rsidR="3E26CB2C">
        <w:t xml:space="preserve"> </w:t>
      </w:r>
    </w:p>
    <w:p w:rsidR="0443CC7F" w:rsidRPr="00554FAC" w:rsidP="00F252DA" w14:paraId="2563399B" w14:textId="0B5D8FB0">
      <w:pPr>
        <w:pStyle w:val="ListParagraph"/>
        <w:numPr>
          <w:ilvl w:val="0"/>
          <w:numId w:val="9"/>
        </w:numPr>
        <w:tabs>
          <w:tab w:val="left" w:pos="360"/>
        </w:tabs>
      </w:pPr>
      <w:r w:rsidRPr="00A834D1">
        <w:t xml:space="preserve">Attachment G: </w:t>
      </w:r>
      <w:r w:rsidRPr="00A834D1">
        <w:t xml:space="preserve">ORS Annual Evaluation Survey-Public Safety Partner </w:t>
      </w:r>
    </w:p>
    <w:p w:rsidR="7CB8AC04" w:rsidRPr="00554FAC" w:rsidP="00F252DA" w14:paraId="0B9DCE73" w14:textId="0B6B9F64">
      <w:pPr>
        <w:pStyle w:val="ListParagraph"/>
        <w:numPr>
          <w:ilvl w:val="0"/>
          <w:numId w:val="9"/>
        </w:numPr>
        <w:tabs>
          <w:tab w:val="left" w:pos="360"/>
        </w:tabs>
      </w:pPr>
      <w:r w:rsidRPr="00A834D1">
        <w:t xml:space="preserve">Attachment H: </w:t>
      </w:r>
      <w:r w:rsidRPr="00A834D1">
        <w:t>ORS Annual Evaluation Survey-ORS Management/Coordination Team</w:t>
      </w:r>
      <w:r w:rsidRPr="00A834D1" w:rsidR="28B962A1">
        <w:t xml:space="preserve"> </w:t>
      </w:r>
    </w:p>
    <w:p w:rsidR="00A834D1" w:rsidP="00CF5131" w14:paraId="4FA56FC7" w14:textId="7AE23A5E">
      <w:pPr>
        <w:pStyle w:val="ListParagraph"/>
        <w:numPr>
          <w:ilvl w:val="0"/>
          <w:numId w:val="9"/>
        </w:numPr>
        <w:tabs>
          <w:tab w:val="left" w:pos="360"/>
        </w:tabs>
      </w:pPr>
      <w:r w:rsidRPr="008C0DE2">
        <w:t xml:space="preserve">Attachment I: </w:t>
      </w:r>
      <w:r w:rsidRPr="008C0DE2" w:rsidR="1A55EFBE">
        <w:t>ORS Quarterly Reporting Template</w:t>
      </w:r>
      <w:r w:rsidRPr="00A834D1" w:rsidR="1A55EFBE">
        <w:t xml:space="preserve"> </w:t>
      </w:r>
    </w:p>
    <w:p w:rsidR="007101CC" w:rsidP="00CF5131" w14:paraId="72823C6B" w14:textId="08A0AEA9">
      <w:pPr>
        <w:pStyle w:val="ListParagraph"/>
        <w:numPr>
          <w:ilvl w:val="0"/>
          <w:numId w:val="9"/>
        </w:numPr>
        <w:tabs>
          <w:tab w:val="left" w:pos="360"/>
        </w:tabs>
      </w:pPr>
      <w:r>
        <w:t xml:space="preserve">Attachment L: </w:t>
      </w:r>
      <w:r w:rsidR="001973A2">
        <w:t>ORS Annual Evaluation Invitation E</w:t>
      </w:r>
      <w:r>
        <w:t>mail</w:t>
      </w:r>
    </w:p>
    <w:p w:rsidR="001973A2" w:rsidRPr="00554FAC" w:rsidP="00CF5131" w14:paraId="071F2FB6" w14:textId="2F4FDBDF">
      <w:pPr>
        <w:pStyle w:val="ListParagraph"/>
        <w:numPr>
          <w:ilvl w:val="0"/>
          <w:numId w:val="9"/>
        </w:numPr>
        <w:tabs>
          <w:tab w:val="left" w:pos="360"/>
        </w:tabs>
      </w:pPr>
      <w:r>
        <w:t>Attachment M: ORS Annual Evaluation Reminder Email</w:t>
      </w:r>
    </w:p>
    <w:p w:rsidR="6D1DFE42" w:rsidP="6D1DFE42" w14:paraId="05DD0A54" w14:textId="400CE179">
      <w:pPr>
        <w:tabs>
          <w:tab w:val="left" w:pos="360"/>
        </w:tabs>
      </w:pPr>
    </w:p>
    <w:p w:rsidR="523B187A" w:rsidP="6D1DFE42" w14:paraId="49305646" w14:textId="2E3DD1AD">
      <w:pPr>
        <w:tabs>
          <w:tab w:val="left" w:pos="360"/>
        </w:tabs>
        <w:rPr>
          <w:b/>
          <w:bCs/>
          <w:u w:val="single"/>
        </w:rPr>
      </w:pPr>
      <w:r w:rsidRPr="6D1DFE42">
        <w:rPr>
          <w:b/>
          <w:bCs/>
          <w:u w:val="single"/>
        </w:rPr>
        <w:t>ORS Annual Survey</w:t>
      </w:r>
    </w:p>
    <w:p w:rsidR="2C2ABA4A" w:rsidP="6D1DFE42" w14:paraId="46509B33" w14:textId="6E64A24C">
      <w:pPr>
        <w:tabs>
          <w:tab w:val="left" w:pos="360"/>
        </w:tabs>
      </w:pPr>
      <w:r w:rsidRPr="6D1DFE42">
        <w:t>The ORS Annual Evaluation Survey wil</w:t>
      </w:r>
      <w:r w:rsidRPr="6D1DFE42" w:rsidR="57150668">
        <w:t xml:space="preserve">l be disseminated each year for up to 3 years to solicit feedback on how the ORS program operated in the previous year (e.g., the survey disseminated in 2026 will ask respondents to reflect on their experiences with the program in 2025). </w:t>
      </w:r>
      <w:r w:rsidRPr="6D1DFE42" w:rsidR="1C5C537C">
        <w:t xml:space="preserve">The survey will be administered through SmartSheet, an online data collection platform, to each of the 5 key respondent groups: Drug Intelligence Officers (n=61), Public Health Analysts (n=61), </w:t>
      </w:r>
      <w:r w:rsidRPr="6D1DFE42" w:rsidR="5B6C0E3D">
        <w:t>public health partners in each ORS jurisdiction (n=</w:t>
      </w:r>
      <w:r w:rsidRPr="6D1DFE42" w:rsidR="0DF61972">
        <w:t>70</w:t>
      </w:r>
      <w:r w:rsidRPr="6D1DFE42" w:rsidR="5B6C0E3D">
        <w:t>), public safety partners in each ORS jurisdiction (n=</w:t>
      </w:r>
      <w:r w:rsidRPr="6D1DFE42" w:rsidR="324A4908">
        <w:t>70</w:t>
      </w:r>
      <w:r w:rsidRPr="6D1DFE42" w:rsidR="5B6C0E3D">
        <w:t>), and the national ORS management and coordination tea</w:t>
      </w:r>
      <w:r w:rsidRPr="6D1DFE42" w:rsidR="181B331F">
        <w:t>m (</w:t>
      </w:r>
      <w:r w:rsidRPr="6D1DFE42" w:rsidR="4F7AF90C">
        <w:t xml:space="preserve">n=25). </w:t>
      </w:r>
      <w:r w:rsidRPr="6D1DFE42" w:rsidR="6F1603FE">
        <w:t xml:space="preserve">Public health and public safety partners in each jurisdiction will be individuals who serve as designated site leads for ORS teams. In some cases, a </w:t>
      </w:r>
      <w:r w:rsidRPr="6D1DFE42" w:rsidR="0F0A1000">
        <w:t xml:space="preserve">jurisdiction may have multiple site leads or multiple jurisdictions may share a site lead. </w:t>
      </w:r>
    </w:p>
    <w:p w:rsidR="6D1DFE42" w:rsidP="6D1DFE42" w14:paraId="018C33D9" w14:textId="5B694BAD">
      <w:pPr>
        <w:tabs>
          <w:tab w:val="left" w:pos="360"/>
        </w:tabs>
      </w:pPr>
    </w:p>
    <w:p w:rsidR="4F7AF90C" w:rsidP="6D1DFE42" w14:paraId="30F974BB" w14:textId="2AE718AA">
      <w:pPr>
        <w:tabs>
          <w:tab w:val="left" w:pos="360"/>
        </w:tabs>
      </w:pPr>
      <w:r w:rsidRPr="6D1DFE42">
        <w:t>The survey includes five sections:</w:t>
      </w:r>
    </w:p>
    <w:p w:rsidR="68CB6157" w:rsidP="00F252DA" w14:paraId="69B5B99B" w14:textId="1BD04D65">
      <w:pPr>
        <w:pStyle w:val="ListParagraph"/>
        <w:numPr>
          <w:ilvl w:val="0"/>
          <w:numId w:val="8"/>
        </w:numPr>
        <w:tabs>
          <w:tab w:val="left" w:pos="360"/>
        </w:tabs>
      </w:pPr>
      <w:r w:rsidRPr="6D1DFE42">
        <w:t>“</w:t>
      </w:r>
      <w:r w:rsidRPr="6D1DFE42" w:rsidR="4F7AF90C">
        <w:t>Backbone” support for the ORS program at the national level</w:t>
      </w:r>
    </w:p>
    <w:p w:rsidR="4F7AF90C" w:rsidP="00F252DA" w14:paraId="52C8A110" w14:textId="75E2CCCD">
      <w:pPr>
        <w:pStyle w:val="ListParagraph"/>
        <w:numPr>
          <w:ilvl w:val="0"/>
          <w:numId w:val="8"/>
        </w:numPr>
        <w:tabs>
          <w:tab w:val="left" w:pos="360"/>
        </w:tabs>
      </w:pPr>
      <w:r w:rsidRPr="6D1DFE42">
        <w:t>Partner relationships/attributes</w:t>
      </w:r>
    </w:p>
    <w:p w:rsidR="4F7AF90C" w:rsidP="00F252DA" w14:paraId="56AEADB6" w14:textId="79D30984">
      <w:pPr>
        <w:pStyle w:val="ListParagraph"/>
        <w:numPr>
          <w:ilvl w:val="0"/>
          <w:numId w:val="8"/>
        </w:numPr>
        <w:tabs>
          <w:tab w:val="left" w:pos="360"/>
        </w:tabs>
      </w:pPr>
      <w:r w:rsidRPr="6D1DFE42">
        <w:t>Local implementation of the ORS partnership model</w:t>
      </w:r>
    </w:p>
    <w:p w:rsidR="4F7AF90C" w:rsidP="00F252DA" w14:paraId="7B84FA04" w14:textId="654680D6">
      <w:pPr>
        <w:pStyle w:val="ListParagraph"/>
        <w:numPr>
          <w:ilvl w:val="0"/>
          <w:numId w:val="8"/>
        </w:numPr>
        <w:tabs>
          <w:tab w:val="left" w:pos="360"/>
        </w:tabs>
      </w:pPr>
      <w:r w:rsidRPr="6D1DFE42">
        <w:t>Doing the work through jurisdictional action plans</w:t>
      </w:r>
    </w:p>
    <w:p w:rsidR="4F7AF90C" w:rsidP="00F252DA" w14:paraId="74C9F112" w14:textId="5B6E084F">
      <w:pPr>
        <w:pStyle w:val="ListParagraph"/>
        <w:numPr>
          <w:ilvl w:val="0"/>
          <w:numId w:val="8"/>
        </w:numPr>
        <w:tabs>
          <w:tab w:val="left" w:pos="360"/>
        </w:tabs>
      </w:pPr>
      <w:r w:rsidRPr="6D1DFE42">
        <w:t>Impact of partnership</w:t>
      </w:r>
      <w:r w:rsidRPr="6D1DFE42" w:rsidR="0DC25277">
        <w:t>s</w:t>
      </w:r>
    </w:p>
    <w:p w:rsidR="5BE5C628" w:rsidP="5BE5C628" w14:paraId="0C1F6BBE" w14:textId="0402F277">
      <w:pPr>
        <w:tabs>
          <w:tab w:val="left" w:pos="360"/>
        </w:tabs>
        <w:rPr>
          <w:b/>
          <w:bCs/>
        </w:rPr>
      </w:pPr>
    </w:p>
    <w:p w:rsidR="5BE5C628" w:rsidP="5BE5C628" w14:paraId="150370BF" w14:textId="4F3274F6">
      <w:pPr>
        <w:tabs>
          <w:tab w:val="left" w:pos="360"/>
        </w:tabs>
      </w:pPr>
      <w:r>
        <w:t>Each respondent group will receive a survey version tailored to their respective group, with 4</w:t>
      </w:r>
      <w:r w:rsidR="063910EA">
        <w:t>5</w:t>
      </w:r>
      <w:r>
        <w:t xml:space="preserve"> questions for PHAs and DIOs, 3</w:t>
      </w:r>
      <w:r w:rsidR="6EC5A94A">
        <w:t>8</w:t>
      </w:r>
      <w:r>
        <w:t xml:space="preserve"> questions for partners, and 18 questions for the ORS national management and coordination t</w:t>
      </w:r>
      <w:r w:rsidR="7CDAC0AC">
        <w:t>eam.</w:t>
      </w:r>
      <w:r w:rsidR="0A3703D0">
        <w:t xml:space="preserve"> </w:t>
      </w:r>
    </w:p>
    <w:p w:rsidR="5BE5C628" w:rsidP="6D1DFE42" w14:paraId="0285D549" w14:textId="28AF1D08">
      <w:pPr>
        <w:tabs>
          <w:tab w:val="left" w:pos="360"/>
        </w:tabs>
      </w:pPr>
      <w:r>
        <w:br/>
      </w:r>
      <w:r w:rsidR="7CDAC0AC">
        <w:t xml:space="preserve">For close-ended questions, respondents will be asked to use a Likert scale (strongly agree, agree, disagree, strongly disagree, I don’t know) to indicate the degree to which they agree with statements in each of the five sections. The survey will include an option for ORS teams and partners to provide examples of the impact of ORS partnerships following each of the five close-ended questions. All respondents will be asked five additional open-ended questions to describe challenges, </w:t>
      </w:r>
      <w:r w:rsidR="00E86AA6">
        <w:t>suggestions,</w:t>
      </w:r>
      <w:r w:rsidR="7CDAC0AC">
        <w:t xml:space="preserve"> and visions for the future of the program. The survey will be open for two weeks and two reminder emails will be </w:t>
      </w:r>
      <w:r w:rsidR="2C3AE917">
        <w:t>sent</w:t>
      </w:r>
      <w:r w:rsidR="7CDAC0AC">
        <w:t>. Responses</w:t>
      </w:r>
      <w:r w:rsidR="675A1FD2">
        <w:t xml:space="preserve"> will be</w:t>
      </w:r>
      <w:r w:rsidR="7CDAC0AC">
        <w:t xml:space="preserve"> anonymous</w:t>
      </w:r>
      <w:r w:rsidR="115EE11D">
        <w:t>.</w:t>
      </w:r>
    </w:p>
    <w:p w:rsidR="5BE5C628" w:rsidP="6D1DFE42" w14:paraId="47F224CE" w14:textId="7272ADF7">
      <w:pPr>
        <w:tabs>
          <w:tab w:val="left" w:pos="360"/>
        </w:tabs>
      </w:pPr>
    </w:p>
    <w:p w:rsidR="51DE1A95" w:rsidP="277F5081" w14:paraId="34B86B8C" w14:textId="25B32995">
      <w:pPr>
        <w:tabs>
          <w:tab w:val="left" w:pos="360"/>
        </w:tabs>
      </w:pPr>
      <w:r w:rsidRPr="00327922">
        <w:t>T</w:t>
      </w:r>
      <w:r w:rsidRPr="00327922" w:rsidR="372E137C">
        <w:t xml:space="preserve">able </w:t>
      </w:r>
      <w:r w:rsidRPr="00327922" w:rsidR="0FB131D6">
        <w:t>1</w:t>
      </w:r>
      <w:r w:rsidRPr="00327922">
        <w:t xml:space="preserve"> below</w:t>
      </w:r>
      <w:r>
        <w:t xml:space="preserve"> provides a crosswalk showing the relation between the </w:t>
      </w:r>
      <w:r w:rsidR="24BE2B93">
        <w:t xml:space="preserve">ORS program evaluation questions, logic model outcome and indicators measured by the annual </w:t>
      </w:r>
      <w:r>
        <w:t xml:space="preserve">survey. The ORS logic model is provided in </w:t>
      </w:r>
      <w:r w:rsidRPr="00327922">
        <w:t xml:space="preserve">Attachment </w:t>
      </w:r>
      <w:r w:rsidRPr="00327922" w:rsidR="00A834D1">
        <w:t>J</w:t>
      </w:r>
      <w:r w:rsidRPr="00327922">
        <w:t>.</w:t>
      </w:r>
    </w:p>
    <w:p w:rsidR="5BE5C628" w:rsidP="1C972B50" w14:paraId="036922A0" w14:textId="60E9B347">
      <w:pPr>
        <w:tabs>
          <w:tab w:val="left" w:pos="360"/>
        </w:tabs>
      </w:pPr>
    </w:p>
    <w:p w:rsidR="5BE5C628" w:rsidP="1C972B50" w14:paraId="22B81B46" w14:textId="5B162BE2">
      <w:pPr>
        <w:tabs>
          <w:tab w:val="left" w:pos="360"/>
        </w:tabs>
      </w:pPr>
      <w:bookmarkStart w:id="1" w:name="_Hlk216967725"/>
      <w:r>
        <w:t xml:space="preserve">Table </w:t>
      </w:r>
      <w:r w:rsidR="0B890F1C">
        <w:t>1</w:t>
      </w:r>
    </w:p>
    <w:tbl>
      <w:tblPr>
        <w:tblW w:w="0" w:type="auto"/>
        <w:tblLayout w:type="fixed"/>
        <w:tblLook w:val="0600"/>
      </w:tblPr>
      <w:tblGrid>
        <w:gridCol w:w="1744"/>
        <w:gridCol w:w="1584"/>
        <w:gridCol w:w="6032"/>
      </w:tblGrid>
      <w:tr w14:paraId="29A3D501" w14:textId="77777777" w:rsidTr="54A55804">
        <w:tblPrEx>
          <w:tblW w:w="0" w:type="auto"/>
          <w:tblLayout w:type="fixed"/>
          <w:tblLook w:val="0600"/>
        </w:tblPrEx>
        <w:trPr>
          <w:trHeight w:val="300"/>
        </w:trPr>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700036C5" w:rsidP="700036C5" w14:paraId="5F561925" w14:textId="6A0F40BB">
            <w:r w:rsidRPr="700036C5">
              <w:rPr>
                <w:rFonts w:ascii="Arial" w:eastAsia="Arial" w:hAnsi="Arial" w:cs="Arial"/>
                <w:b/>
                <w:bCs/>
                <w:sz w:val="22"/>
                <w:szCs w:val="22"/>
                <w:lang w:val="en"/>
              </w:rPr>
              <w:t>Evaluation Questions</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700036C5" w:rsidP="700036C5" w14:paraId="72D5F896" w14:textId="0FFF6FBF">
            <w:r w:rsidRPr="700036C5">
              <w:rPr>
                <w:rFonts w:ascii="Arial" w:eastAsia="Arial" w:hAnsi="Arial" w:cs="Arial"/>
                <w:b/>
                <w:bCs/>
                <w:sz w:val="22"/>
                <w:szCs w:val="22"/>
                <w:lang w:val="en"/>
              </w:rPr>
              <w:t>Logic Model Outcomes</w:t>
            </w:r>
          </w:p>
        </w:tc>
        <w:tc>
          <w:tcPr>
            <w:tcW w:w="6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700036C5" w:rsidP="700036C5" w14:paraId="4B7A2AD8" w14:textId="0FB2E726">
            <w:r w:rsidRPr="700036C5">
              <w:rPr>
                <w:rFonts w:ascii="Arial" w:eastAsia="Arial" w:hAnsi="Arial" w:cs="Arial"/>
                <w:b/>
                <w:bCs/>
                <w:sz w:val="22"/>
                <w:szCs w:val="22"/>
                <w:lang w:val="en"/>
              </w:rPr>
              <w:t>Indicators</w:t>
            </w:r>
          </w:p>
        </w:tc>
      </w:tr>
      <w:tr w14:paraId="1D6F94B5" w14:textId="77777777" w:rsidTr="54A55804">
        <w:tblPrEx>
          <w:tblW w:w="0" w:type="auto"/>
          <w:tblLayout w:type="fixed"/>
          <w:tblLook w:val="0600"/>
        </w:tblPrEx>
        <w:trPr>
          <w:trHeight w:val="300"/>
        </w:trPr>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700036C5" w:rsidP="700036C5" w14:paraId="7270C86D" w14:textId="4AC7C369">
            <w:r w:rsidRPr="700036C5">
              <w:rPr>
                <w:rFonts w:ascii="Arial" w:eastAsia="Arial" w:hAnsi="Arial" w:cs="Arial"/>
                <w:sz w:val="22"/>
                <w:szCs w:val="22"/>
              </w:rPr>
              <w:t>How does the ORS program build and strengthen public health/public safety collaboration and communication within and across sectors and jurisdictions?</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700036C5" w:rsidP="700036C5" w14:paraId="1B489BC2" w14:textId="102C072A">
            <w:r w:rsidRPr="700036C5">
              <w:rPr>
                <w:rFonts w:ascii="Arial" w:eastAsia="Arial" w:hAnsi="Arial" w:cs="Arial"/>
                <w:sz w:val="22"/>
                <w:szCs w:val="22"/>
                <w:lang w:val="en"/>
              </w:rPr>
              <w:t>ORS teams support increased collaboration and communication between cross-sector partners.</w:t>
            </w:r>
          </w:p>
        </w:tc>
        <w:tc>
          <w:tcPr>
            <w:tcW w:w="6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700036C5" w:rsidP="700036C5" w14:paraId="06F077B1" w14:textId="09F6D9C6">
            <w:pPr>
              <w:spacing w:line="276" w:lineRule="auto"/>
            </w:pPr>
            <w:r w:rsidRPr="700036C5">
              <w:rPr>
                <w:rFonts w:ascii="Arial" w:eastAsia="Arial" w:hAnsi="Arial" w:cs="Arial"/>
                <w:sz w:val="22"/>
                <w:szCs w:val="22"/>
                <w:lang w:val="en"/>
              </w:rPr>
              <w:t>Backbone support</w:t>
            </w:r>
          </w:p>
          <w:p w:rsidR="700036C5" w:rsidP="00780FA0" w14:paraId="1F630ECB" w14:textId="5546D070">
            <w:pPr>
              <w:pStyle w:val="ListParagraph"/>
              <w:numPr>
                <w:ilvl w:val="0"/>
                <w:numId w:val="16"/>
              </w:numPr>
              <w:spacing w:line="276" w:lineRule="auto"/>
              <w:rPr>
                <w:rFonts w:ascii="Arial" w:eastAsia="Arial" w:hAnsi="Arial" w:cs="Arial"/>
                <w:color w:val="1F1F1F"/>
                <w:sz w:val="22"/>
                <w:szCs w:val="22"/>
              </w:rPr>
            </w:pPr>
            <w:r w:rsidRPr="700036C5">
              <w:rPr>
                <w:rFonts w:ascii="Arial" w:eastAsia="Arial" w:hAnsi="Arial" w:cs="Arial"/>
                <w:color w:val="1F1F1F"/>
                <w:sz w:val="22"/>
                <w:szCs w:val="22"/>
              </w:rPr>
              <w:t>The ORS program builds a common understanding of the problem that needs to be addressed.</w:t>
            </w:r>
          </w:p>
          <w:p w:rsidR="700036C5" w:rsidP="00780FA0" w14:paraId="1409C522" w14:textId="7E17C7A8">
            <w:pPr>
              <w:pStyle w:val="ListParagraph"/>
              <w:numPr>
                <w:ilvl w:val="0"/>
                <w:numId w:val="16"/>
              </w:numPr>
              <w:spacing w:line="276" w:lineRule="auto"/>
              <w:rPr>
                <w:rFonts w:ascii="Arial" w:eastAsia="Arial" w:hAnsi="Arial" w:cs="Arial"/>
                <w:color w:val="1F1F1F"/>
                <w:sz w:val="22"/>
                <w:szCs w:val="22"/>
              </w:rPr>
            </w:pPr>
            <w:r w:rsidRPr="700036C5">
              <w:rPr>
                <w:rFonts w:ascii="Arial" w:eastAsia="Arial" w:hAnsi="Arial" w:cs="Arial"/>
                <w:color w:val="1F1F1F"/>
                <w:sz w:val="22"/>
                <w:szCs w:val="22"/>
              </w:rPr>
              <w:t>The ORS program builds and maintains motivation among key stakeholders to achieve the program's goals.</w:t>
            </w:r>
          </w:p>
          <w:p w:rsidR="700036C5" w:rsidP="00780FA0" w14:paraId="68B6B0D9" w14:textId="143991FB">
            <w:pPr>
              <w:pStyle w:val="ListParagraph"/>
              <w:numPr>
                <w:ilvl w:val="0"/>
                <w:numId w:val="16"/>
              </w:numPr>
              <w:spacing w:line="276" w:lineRule="auto"/>
              <w:rPr>
                <w:rFonts w:ascii="Arial" w:eastAsia="Arial" w:hAnsi="Arial" w:cs="Arial"/>
                <w:color w:val="1F1F1F"/>
                <w:sz w:val="22"/>
                <w:szCs w:val="22"/>
              </w:rPr>
            </w:pPr>
            <w:r w:rsidRPr="54A55804">
              <w:rPr>
                <w:rFonts w:ascii="Arial" w:eastAsia="Arial" w:hAnsi="Arial" w:cs="Arial"/>
                <w:color w:val="1F1F1F"/>
                <w:sz w:val="22"/>
                <w:szCs w:val="22"/>
              </w:rPr>
              <w:t xml:space="preserve">The ORS program provides support toward identified goals and </w:t>
            </w:r>
            <w:r w:rsidRPr="54A55804" w:rsidR="0AADF491">
              <w:rPr>
                <w:rFonts w:ascii="Arial" w:eastAsia="Arial" w:hAnsi="Arial" w:cs="Arial"/>
                <w:color w:val="1F1F1F"/>
                <w:sz w:val="22"/>
                <w:szCs w:val="22"/>
              </w:rPr>
              <w:t>opportunities and</w:t>
            </w:r>
            <w:r w:rsidRPr="54A55804">
              <w:rPr>
                <w:rFonts w:ascii="Arial" w:eastAsia="Arial" w:hAnsi="Arial" w:cs="Arial"/>
                <w:color w:val="1F1F1F"/>
                <w:sz w:val="22"/>
                <w:szCs w:val="22"/>
              </w:rPr>
              <w:t xml:space="preserve"> identifies challenges and gaps.</w:t>
            </w:r>
          </w:p>
          <w:p w:rsidR="700036C5" w:rsidP="00780FA0" w14:paraId="74A9AEC5" w14:textId="6422635F">
            <w:pPr>
              <w:pStyle w:val="ListParagraph"/>
              <w:numPr>
                <w:ilvl w:val="0"/>
                <w:numId w:val="16"/>
              </w:numPr>
              <w:spacing w:line="276" w:lineRule="auto"/>
              <w:rPr>
                <w:rFonts w:ascii="Arial" w:eastAsia="Arial" w:hAnsi="Arial" w:cs="Arial"/>
                <w:color w:val="1F1F1F"/>
                <w:sz w:val="22"/>
                <w:szCs w:val="22"/>
                <w:lang w:val="en"/>
              </w:rPr>
            </w:pPr>
            <w:r w:rsidRPr="700036C5">
              <w:rPr>
                <w:rFonts w:ascii="Arial" w:eastAsia="Arial" w:hAnsi="Arial" w:cs="Arial"/>
                <w:color w:val="1F1F1F"/>
                <w:sz w:val="22"/>
                <w:szCs w:val="22"/>
                <w:lang w:val="en"/>
              </w:rPr>
              <w:t>The ORS program is committed to and actively involved in achieving our state/jurisdictional goals.</w:t>
            </w:r>
          </w:p>
          <w:p w:rsidR="700036C5" w:rsidP="00780FA0" w14:paraId="6C031C4A" w14:textId="7C372097">
            <w:pPr>
              <w:pStyle w:val="ListParagraph"/>
              <w:numPr>
                <w:ilvl w:val="0"/>
                <w:numId w:val="16"/>
              </w:numPr>
              <w:spacing w:line="276" w:lineRule="auto"/>
              <w:rPr>
                <w:rFonts w:ascii="Arial" w:eastAsia="Arial" w:hAnsi="Arial" w:cs="Arial"/>
                <w:color w:val="1F1F1F"/>
                <w:sz w:val="22"/>
                <w:szCs w:val="22"/>
              </w:rPr>
            </w:pPr>
            <w:r w:rsidRPr="700036C5">
              <w:rPr>
                <w:rFonts w:ascii="Arial" w:eastAsia="Arial" w:hAnsi="Arial" w:cs="Arial"/>
                <w:color w:val="1F1F1F"/>
                <w:sz w:val="22"/>
                <w:szCs w:val="22"/>
              </w:rPr>
              <w:t>As a result of our involvement with the ORS program, public health/public safety collaboration and communication in my jurisdiction is stronger.</w:t>
            </w:r>
          </w:p>
          <w:p w:rsidR="700036C5" w:rsidP="700036C5" w14:paraId="06D9DB1D" w14:textId="772C58A1">
            <w:pPr>
              <w:spacing w:line="276" w:lineRule="auto"/>
            </w:pPr>
            <w:r w:rsidRPr="700036C5">
              <w:rPr>
                <w:rFonts w:ascii="Arial" w:eastAsia="Arial" w:hAnsi="Arial" w:cs="Arial"/>
                <w:sz w:val="22"/>
                <w:szCs w:val="22"/>
                <w:lang w:val="en"/>
              </w:rPr>
              <w:t>Partner relationships/attributes</w:t>
            </w:r>
          </w:p>
          <w:p w:rsidR="700036C5" w:rsidP="00780FA0" w14:paraId="22DD16C5" w14:textId="5B9E6E57">
            <w:pPr>
              <w:pStyle w:val="ListParagraph"/>
              <w:numPr>
                <w:ilvl w:val="0"/>
                <w:numId w:val="16"/>
              </w:numPr>
              <w:spacing w:line="276" w:lineRule="auto"/>
              <w:rPr>
                <w:rFonts w:ascii="Arial" w:eastAsia="Arial" w:hAnsi="Arial" w:cs="Arial"/>
                <w:color w:val="1F1F1F"/>
                <w:sz w:val="22"/>
                <w:szCs w:val="22"/>
                <w:lang w:val="en"/>
              </w:rPr>
            </w:pPr>
            <w:r w:rsidRPr="700036C5">
              <w:rPr>
                <w:rFonts w:ascii="Arial" w:eastAsia="Arial" w:hAnsi="Arial" w:cs="Arial"/>
                <w:color w:val="1F1F1F"/>
                <w:sz w:val="22"/>
                <w:szCs w:val="22"/>
                <w:lang w:val="en"/>
              </w:rPr>
              <w:t>ORS public health/safety partner has clear approaches/goals for our contribution to the ORS program.</w:t>
            </w:r>
          </w:p>
          <w:p w:rsidR="700036C5" w:rsidP="00780FA0" w14:paraId="2D96C113" w14:textId="02291503">
            <w:pPr>
              <w:pStyle w:val="ListParagraph"/>
              <w:numPr>
                <w:ilvl w:val="0"/>
                <w:numId w:val="16"/>
              </w:numPr>
              <w:spacing w:line="276" w:lineRule="auto"/>
              <w:rPr>
                <w:rFonts w:ascii="Arial" w:eastAsia="Arial" w:hAnsi="Arial" w:cs="Arial"/>
                <w:color w:val="1F1F1F"/>
                <w:sz w:val="22"/>
                <w:szCs w:val="22"/>
              </w:rPr>
            </w:pPr>
            <w:r w:rsidRPr="700036C5">
              <w:rPr>
                <w:rFonts w:ascii="Arial" w:eastAsia="Arial" w:hAnsi="Arial" w:cs="Arial"/>
                <w:color w:val="1F1F1F"/>
                <w:sz w:val="22"/>
                <w:szCs w:val="22"/>
              </w:rPr>
              <w:t>ORS public health/safety partner understands the work of other ORS partners in state/jurisdiction and how they support the common goals of the ORS program.</w:t>
            </w:r>
          </w:p>
          <w:p w:rsidR="700036C5" w:rsidP="00780FA0" w14:paraId="0AD3C5F3" w14:textId="5C2693AE">
            <w:pPr>
              <w:pStyle w:val="ListParagraph"/>
              <w:numPr>
                <w:ilvl w:val="0"/>
                <w:numId w:val="16"/>
              </w:numPr>
              <w:spacing w:line="276" w:lineRule="auto"/>
              <w:rPr>
                <w:rFonts w:ascii="Arial" w:eastAsia="Arial" w:hAnsi="Arial" w:cs="Arial"/>
                <w:color w:val="1F1F1F"/>
                <w:sz w:val="22"/>
                <w:szCs w:val="22"/>
              </w:rPr>
            </w:pPr>
            <w:r w:rsidRPr="700036C5">
              <w:rPr>
                <w:rFonts w:ascii="Arial" w:eastAsia="Arial" w:hAnsi="Arial" w:cs="Arial"/>
                <w:color w:val="1F1F1F"/>
                <w:sz w:val="22"/>
                <w:szCs w:val="22"/>
              </w:rPr>
              <w:t xml:space="preserve">ORS public health/safety partner works collaboratively to identify and implement strategies.  </w:t>
            </w:r>
          </w:p>
          <w:p w:rsidR="700036C5" w:rsidP="00780FA0" w14:paraId="5EE8D7A2" w14:textId="73F90C97">
            <w:pPr>
              <w:pStyle w:val="ListParagraph"/>
              <w:numPr>
                <w:ilvl w:val="0"/>
                <w:numId w:val="16"/>
              </w:numPr>
              <w:spacing w:line="276" w:lineRule="auto"/>
              <w:rPr>
                <w:rFonts w:ascii="Arial" w:eastAsia="Arial" w:hAnsi="Arial" w:cs="Arial"/>
                <w:color w:val="1F1F1F"/>
                <w:sz w:val="22"/>
                <w:szCs w:val="22"/>
                <w:lang w:val="en"/>
              </w:rPr>
            </w:pPr>
            <w:r w:rsidRPr="700036C5">
              <w:rPr>
                <w:rFonts w:ascii="Arial" w:eastAsia="Arial" w:hAnsi="Arial" w:cs="Arial"/>
                <w:color w:val="1F1F1F"/>
                <w:sz w:val="22"/>
                <w:szCs w:val="22"/>
                <w:lang w:val="en"/>
              </w:rPr>
              <w:t>ORS public health/safety partner takes part in activities to build trust and connection across sectors.</w:t>
            </w:r>
          </w:p>
          <w:p w:rsidR="700036C5" w:rsidP="00780FA0" w14:paraId="5948119F" w14:textId="41663C98">
            <w:pPr>
              <w:pStyle w:val="ListParagraph"/>
              <w:numPr>
                <w:ilvl w:val="0"/>
                <w:numId w:val="16"/>
              </w:numPr>
              <w:spacing w:line="276" w:lineRule="auto"/>
              <w:rPr>
                <w:rFonts w:ascii="Arial" w:eastAsia="Arial" w:hAnsi="Arial" w:cs="Arial"/>
                <w:color w:val="1F1F1F"/>
                <w:sz w:val="22"/>
                <w:szCs w:val="22"/>
                <w:lang w:val="en"/>
              </w:rPr>
            </w:pPr>
            <w:r w:rsidRPr="700036C5">
              <w:rPr>
                <w:rFonts w:ascii="Arial" w:eastAsia="Arial" w:hAnsi="Arial" w:cs="Arial"/>
                <w:color w:val="1F1F1F"/>
                <w:sz w:val="22"/>
                <w:szCs w:val="22"/>
                <w:lang w:val="en"/>
              </w:rPr>
              <w:t>ORS public health/safety partner engages in frank, open and respectful discussion specifically about each other’s needs and/or priorities as it relates to the ORS.</w:t>
            </w:r>
          </w:p>
          <w:p w:rsidR="700036C5" w:rsidP="00780FA0" w14:paraId="244ACB4F" w14:textId="5E3B1F58">
            <w:pPr>
              <w:pStyle w:val="ListParagraph"/>
              <w:numPr>
                <w:ilvl w:val="0"/>
                <w:numId w:val="16"/>
              </w:numPr>
              <w:spacing w:line="276" w:lineRule="auto"/>
              <w:rPr>
                <w:rFonts w:ascii="Arial" w:eastAsia="Arial" w:hAnsi="Arial" w:cs="Arial"/>
                <w:color w:val="1F1F1F"/>
                <w:sz w:val="22"/>
                <w:szCs w:val="22"/>
                <w:lang w:val="en"/>
              </w:rPr>
            </w:pPr>
            <w:r w:rsidRPr="700036C5">
              <w:rPr>
                <w:rFonts w:ascii="Arial" w:eastAsia="Arial" w:hAnsi="Arial" w:cs="Arial"/>
                <w:color w:val="1F1F1F"/>
                <w:sz w:val="22"/>
                <w:szCs w:val="22"/>
                <w:lang w:val="en"/>
              </w:rPr>
              <w:t>ORS public health/safety partner is committed to and actively involved in achieving our state/jurisdictional ORS program goals.</w:t>
            </w:r>
          </w:p>
          <w:p w:rsidR="700036C5" w:rsidP="00780FA0" w14:paraId="5BA26900" w14:textId="4C3A2BB5">
            <w:pPr>
              <w:pStyle w:val="ListParagraph"/>
              <w:numPr>
                <w:ilvl w:val="0"/>
                <w:numId w:val="16"/>
              </w:numPr>
              <w:spacing w:line="276" w:lineRule="auto"/>
              <w:rPr>
                <w:rFonts w:ascii="Arial" w:eastAsia="Arial" w:hAnsi="Arial" w:cs="Arial"/>
                <w:sz w:val="22"/>
                <w:szCs w:val="22"/>
                <w:lang w:val="en"/>
              </w:rPr>
            </w:pPr>
            <w:r w:rsidRPr="700036C5">
              <w:rPr>
                <w:rFonts w:ascii="Arial" w:eastAsia="Arial" w:hAnsi="Arial" w:cs="Arial"/>
                <w:sz w:val="22"/>
                <w:szCs w:val="22"/>
                <w:lang w:val="en"/>
              </w:rPr>
              <w:t>Indicate the best fit for the current level of involvement with your formal ORS public health/public safety partner from your perspective.</w:t>
            </w:r>
          </w:p>
          <w:p w:rsidR="700036C5" w:rsidP="00780FA0" w14:paraId="588882C7" w14:textId="3A3D53A1">
            <w:pPr>
              <w:pStyle w:val="ListParagraph"/>
              <w:numPr>
                <w:ilvl w:val="0"/>
                <w:numId w:val="16"/>
              </w:numPr>
              <w:spacing w:line="276" w:lineRule="auto"/>
              <w:rPr>
                <w:rFonts w:ascii="Arial" w:eastAsia="Arial" w:hAnsi="Arial" w:cs="Arial"/>
                <w:sz w:val="22"/>
                <w:szCs w:val="22"/>
              </w:rPr>
            </w:pPr>
            <w:r w:rsidRPr="700036C5">
              <w:rPr>
                <w:rFonts w:ascii="Arial" w:eastAsia="Arial" w:hAnsi="Arial" w:cs="Arial"/>
                <w:sz w:val="22"/>
                <w:szCs w:val="22"/>
              </w:rPr>
              <w:t>Identify your desired level of involvement with this partner.</w:t>
            </w:r>
          </w:p>
          <w:p w:rsidR="700036C5" w:rsidP="00780FA0" w14:paraId="5F8217D7" w14:textId="5A6DA8CE">
            <w:pPr>
              <w:pStyle w:val="ListParagraph"/>
              <w:numPr>
                <w:ilvl w:val="0"/>
                <w:numId w:val="16"/>
              </w:numPr>
              <w:spacing w:line="276" w:lineRule="auto"/>
              <w:rPr>
                <w:rFonts w:ascii="Arial" w:eastAsia="Arial" w:hAnsi="Arial" w:cs="Arial"/>
                <w:sz w:val="22"/>
                <w:szCs w:val="22"/>
                <w:lang w:val="en"/>
              </w:rPr>
            </w:pPr>
            <w:r w:rsidRPr="700036C5">
              <w:rPr>
                <w:rFonts w:ascii="Arial" w:eastAsia="Arial" w:hAnsi="Arial" w:cs="Arial"/>
                <w:sz w:val="22"/>
                <w:szCs w:val="22"/>
                <w:lang w:val="en"/>
              </w:rPr>
              <w:t>If you are not at your desired level of collaboration, what characteristics would need to change to reach it?</w:t>
            </w:r>
          </w:p>
          <w:p w:rsidR="700036C5" w:rsidP="00780FA0" w14:paraId="7B155047" w14:textId="7037DD7A">
            <w:pPr>
              <w:pStyle w:val="ListParagraph"/>
              <w:numPr>
                <w:ilvl w:val="0"/>
                <w:numId w:val="16"/>
              </w:numPr>
              <w:spacing w:line="276" w:lineRule="auto"/>
              <w:rPr>
                <w:rFonts w:ascii="Arial" w:eastAsia="Arial" w:hAnsi="Arial" w:cs="Arial"/>
                <w:color w:val="1F1F1F"/>
                <w:sz w:val="22"/>
                <w:szCs w:val="22"/>
                <w:lang w:val="en"/>
              </w:rPr>
            </w:pPr>
            <w:r w:rsidRPr="700036C5">
              <w:rPr>
                <w:rFonts w:ascii="Arial" w:eastAsia="Arial" w:hAnsi="Arial" w:cs="Arial"/>
                <w:color w:val="1F1F1F"/>
                <w:sz w:val="22"/>
                <w:szCs w:val="22"/>
                <w:lang w:val="en"/>
              </w:rPr>
              <w:t>Our involvement with public safety/public health partner has improved my organization’s approach to addressing overdoses.</w:t>
            </w:r>
          </w:p>
        </w:tc>
      </w:tr>
      <w:tr w14:paraId="37AD8F07" w14:textId="77777777" w:rsidTr="54A55804">
        <w:tblPrEx>
          <w:tblW w:w="0" w:type="auto"/>
          <w:tblLayout w:type="fixed"/>
          <w:tblLook w:val="0600"/>
        </w:tblPrEx>
        <w:trPr>
          <w:trHeight w:val="300"/>
        </w:trPr>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700036C5" w:rsidRPr="00A3274E" w:rsidP="700036C5" w14:paraId="44C63B67" w14:textId="54006CF1">
            <w:r w:rsidRPr="700036C5">
              <w:rPr>
                <w:rFonts w:ascii="Arial" w:eastAsia="Arial" w:hAnsi="Arial" w:cs="Arial"/>
                <w:sz w:val="22"/>
                <w:szCs w:val="22"/>
                <w:lang w:val="en"/>
              </w:rPr>
              <w:t xml:space="preserve">To what extent is the ORS program carrying out its goals and </w:t>
            </w:r>
            <w:r w:rsidRPr="00A3274E">
              <w:rPr>
                <w:rFonts w:ascii="Arial" w:eastAsia="Arial" w:hAnsi="Arial" w:cs="Arial"/>
                <w:sz w:val="22"/>
                <w:szCs w:val="22"/>
                <w:lang w:val="en"/>
              </w:rPr>
              <w:t>strategies?</w:t>
            </w:r>
          </w:p>
          <w:p w:rsidR="700036C5" w:rsidP="700036C5" w14:paraId="7F3712D9" w14:textId="396BA61E">
            <w:pPr>
              <w:ind w:left="720"/>
              <w:rPr>
                <w:rFonts w:ascii="Arial" w:eastAsia="Arial" w:hAnsi="Arial" w:cs="Arial"/>
                <w:sz w:val="22"/>
                <w:szCs w:val="22"/>
                <w:lang w:val="en"/>
              </w:rPr>
            </w:pPr>
            <w:r w:rsidRPr="00A3274E">
              <w:rPr>
                <w:rFonts w:ascii="Arial" w:eastAsia="Arial" w:hAnsi="Arial" w:cs="Arial"/>
                <w:sz w:val="22"/>
                <w:szCs w:val="22"/>
                <w:lang w:val="en"/>
              </w:rPr>
              <w:t xml:space="preserve">In what ways do these activities </w:t>
            </w:r>
            <w:r w:rsidR="00A3274E">
              <w:rPr>
                <w:rFonts w:ascii="Arial" w:eastAsia="Arial" w:hAnsi="Arial" w:cs="Arial"/>
                <w:sz w:val="22"/>
                <w:szCs w:val="22"/>
                <w:lang w:val="en"/>
              </w:rPr>
              <w:t>address populations disproportionately at risk of overdose</w:t>
            </w:r>
            <w:r w:rsidRPr="0A3D41C7" w:rsidR="3F08319E">
              <w:rPr>
                <w:rFonts w:ascii="Arial" w:eastAsia="Arial" w:hAnsi="Arial" w:cs="Arial"/>
                <w:sz w:val="22"/>
                <w:szCs w:val="22"/>
                <w:lang w:val="en"/>
              </w:rPr>
              <w:t>?</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700036C5" w:rsidP="700036C5" w14:paraId="103B32D2" w14:textId="215A336D">
            <w:r w:rsidRPr="700036C5">
              <w:rPr>
                <w:rFonts w:ascii="Arial" w:eastAsia="Arial" w:hAnsi="Arial" w:cs="Arial"/>
                <w:sz w:val="22"/>
                <w:szCs w:val="22"/>
                <w:lang w:val="en"/>
              </w:rPr>
              <w:t>ORS teams collaborate with partners to adopt data-informed, evidence-based strategies.</w:t>
            </w:r>
          </w:p>
        </w:tc>
        <w:tc>
          <w:tcPr>
            <w:tcW w:w="6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700036C5" w:rsidP="700036C5" w14:paraId="1F7A0993" w14:textId="62F74FD9">
            <w:pPr>
              <w:spacing w:line="276" w:lineRule="auto"/>
            </w:pPr>
            <w:r w:rsidRPr="700036C5">
              <w:rPr>
                <w:rFonts w:ascii="Arial" w:eastAsia="Arial" w:hAnsi="Arial" w:cs="Arial"/>
                <w:sz w:val="22"/>
                <w:szCs w:val="22"/>
                <w:lang w:val="en"/>
              </w:rPr>
              <w:t>Local Implementation of the ORS Model</w:t>
            </w:r>
          </w:p>
          <w:p w:rsidR="700036C5" w:rsidP="00780FA0" w14:paraId="3BFCC607" w14:textId="27EFDBA0">
            <w:pPr>
              <w:pStyle w:val="ListParagraph"/>
              <w:numPr>
                <w:ilvl w:val="0"/>
                <w:numId w:val="16"/>
              </w:numPr>
              <w:spacing w:line="276" w:lineRule="auto"/>
              <w:rPr>
                <w:rFonts w:ascii="Arial" w:eastAsia="Arial" w:hAnsi="Arial" w:cs="Arial"/>
                <w:sz w:val="22"/>
                <w:szCs w:val="22"/>
                <w:lang w:val="en"/>
              </w:rPr>
            </w:pPr>
            <w:r w:rsidRPr="700036C5">
              <w:rPr>
                <w:rFonts w:ascii="Arial" w:eastAsia="Arial" w:hAnsi="Arial" w:cs="Arial"/>
                <w:sz w:val="22"/>
                <w:szCs w:val="22"/>
                <w:lang w:val="en"/>
              </w:rPr>
              <w:t>Together, my public health and public safety partners regularly share data, insights, and trends we are seeing related to drug overdose in our communities.</w:t>
            </w:r>
          </w:p>
          <w:p w:rsidR="700036C5" w:rsidP="00F252DA" w14:paraId="1511163F" w14:textId="6A669379">
            <w:pPr>
              <w:pStyle w:val="ListParagraph"/>
              <w:numPr>
                <w:ilvl w:val="1"/>
                <w:numId w:val="2"/>
              </w:numPr>
              <w:spacing w:line="276" w:lineRule="auto"/>
              <w:rPr>
                <w:rFonts w:ascii="Arial" w:eastAsia="Arial" w:hAnsi="Arial" w:cs="Arial"/>
                <w:sz w:val="22"/>
                <w:szCs w:val="22"/>
              </w:rPr>
            </w:pPr>
            <w:r w:rsidRPr="700036C5">
              <w:rPr>
                <w:rFonts w:ascii="Arial" w:eastAsia="Arial" w:hAnsi="Arial" w:cs="Arial"/>
                <w:sz w:val="22"/>
                <w:szCs w:val="22"/>
              </w:rPr>
              <w:t>Agree: please provide specific examples in your jurisdiction from 2023.</w:t>
            </w:r>
          </w:p>
          <w:p w:rsidR="700036C5" w:rsidP="00F252DA" w14:paraId="227D263F" w14:textId="170C74D2">
            <w:pPr>
              <w:pStyle w:val="ListParagraph"/>
              <w:numPr>
                <w:ilvl w:val="1"/>
                <w:numId w:val="2"/>
              </w:numPr>
              <w:spacing w:line="276" w:lineRule="auto"/>
              <w:rPr>
                <w:rFonts w:ascii="Arial" w:eastAsia="Arial" w:hAnsi="Arial" w:cs="Arial"/>
                <w:sz w:val="22"/>
                <w:szCs w:val="22"/>
              </w:rPr>
            </w:pPr>
            <w:r w:rsidRPr="700036C5">
              <w:rPr>
                <w:rFonts w:ascii="Arial" w:eastAsia="Arial" w:hAnsi="Arial" w:cs="Arial"/>
                <w:sz w:val="22"/>
                <w:szCs w:val="22"/>
              </w:rPr>
              <w:t xml:space="preserve">Disagree: Optional: Please elaborate on your selection. </w:t>
            </w:r>
          </w:p>
          <w:p w:rsidR="700036C5" w:rsidP="00780FA0" w14:paraId="7762F7E3" w14:textId="5316DBD6">
            <w:pPr>
              <w:pStyle w:val="ListParagraph"/>
              <w:numPr>
                <w:ilvl w:val="0"/>
                <w:numId w:val="16"/>
              </w:numPr>
              <w:spacing w:line="276" w:lineRule="auto"/>
              <w:rPr>
                <w:rFonts w:ascii="Arial" w:eastAsia="Arial" w:hAnsi="Arial" w:cs="Arial"/>
                <w:sz w:val="22"/>
                <w:szCs w:val="22"/>
                <w:lang w:val="en"/>
              </w:rPr>
            </w:pPr>
            <w:r w:rsidRPr="700036C5">
              <w:rPr>
                <w:rFonts w:ascii="Arial" w:eastAsia="Arial" w:hAnsi="Arial" w:cs="Arial"/>
                <w:sz w:val="22"/>
                <w:szCs w:val="22"/>
                <w:lang w:val="en"/>
              </w:rPr>
              <w:t>Together, my public health and public safety partners inform and help local communities develop local solutions to reduce overdoses and save lives.</w:t>
            </w:r>
          </w:p>
          <w:p w:rsidR="700036C5" w:rsidP="00F252DA" w14:paraId="0E996AD7" w14:textId="6CD6E658">
            <w:pPr>
              <w:pStyle w:val="ListParagraph"/>
              <w:numPr>
                <w:ilvl w:val="1"/>
                <w:numId w:val="2"/>
              </w:numPr>
              <w:spacing w:line="276" w:lineRule="auto"/>
              <w:rPr>
                <w:rFonts w:ascii="Arial" w:eastAsia="Arial" w:hAnsi="Arial" w:cs="Arial"/>
                <w:sz w:val="22"/>
                <w:szCs w:val="22"/>
              </w:rPr>
            </w:pPr>
            <w:r w:rsidRPr="700036C5">
              <w:rPr>
                <w:rFonts w:ascii="Arial" w:eastAsia="Arial" w:hAnsi="Arial" w:cs="Arial"/>
                <w:sz w:val="22"/>
                <w:szCs w:val="22"/>
              </w:rPr>
              <w:t>Agree: please provide specific examples in your jurisdiction from 2023.</w:t>
            </w:r>
          </w:p>
          <w:p w:rsidR="700036C5" w:rsidP="00F252DA" w14:paraId="42A3FE37" w14:textId="64774801">
            <w:pPr>
              <w:pStyle w:val="ListParagraph"/>
              <w:numPr>
                <w:ilvl w:val="1"/>
                <w:numId w:val="2"/>
              </w:numPr>
              <w:spacing w:line="276" w:lineRule="auto"/>
              <w:rPr>
                <w:rFonts w:ascii="Arial" w:eastAsia="Arial" w:hAnsi="Arial" w:cs="Arial"/>
                <w:sz w:val="22"/>
                <w:szCs w:val="22"/>
              </w:rPr>
            </w:pPr>
            <w:r w:rsidRPr="700036C5">
              <w:rPr>
                <w:rFonts w:ascii="Arial" w:eastAsia="Arial" w:hAnsi="Arial" w:cs="Arial"/>
                <w:sz w:val="22"/>
                <w:szCs w:val="22"/>
              </w:rPr>
              <w:t xml:space="preserve">Disagree: Optional: Please elaborate on your selection. </w:t>
            </w:r>
          </w:p>
          <w:p w:rsidR="700036C5" w:rsidP="00780FA0" w14:paraId="53B148B8" w14:textId="7EACA527">
            <w:pPr>
              <w:pStyle w:val="ListParagraph"/>
              <w:numPr>
                <w:ilvl w:val="0"/>
                <w:numId w:val="16"/>
              </w:numPr>
              <w:spacing w:line="276" w:lineRule="auto"/>
              <w:rPr>
                <w:rFonts w:ascii="Arial" w:eastAsia="Arial" w:hAnsi="Arial" w:cs="Arial"/>
                <w:sz w:val="22"/>
                <w:szCs w:val="22"/>
                <w:lang w:val="en"/>
              </w:rPr>
            </w:pPr>
            <w:r w:rsidRPr="700036C5">
              <w:rPr>
                <w:rFonts w:ascii="Arial" w:eastAsia="Arial" w:hAnsi="Arial" w:cs="Arial"/>
                <w:sz w:val="22"/>
                <w:szCs w:val="22"/>
                <w:lang w:val="en"/>
              </w:rPr>
              <w:t>Together, my public health and public safety partners implement evidence-based response efforts that can directly reduce overdose deaths.</w:t>
            </w:r>
          </w:p>
          <w:p w:rsidR="700036C5" w:rsidP="00F252DA" w14:paraId="3DF49425" w14:textId="573B5D29">
            <w:pPr>
              <w:pStyle w:val="ListParagraph"/>
              <w:numPr>
                <w:ilvl w:val="1"/>
                <w:numId w:val="2"/>
              </w:numPr>
              <w:spacing w:line="276" w:lineRule="auto"/>
              <w:rPr>
                <w:rFonts w:ascii="Arial" w:eastAsia="Arial" w:hAnsi="Arial" w:cs="Arial"/>
                <w:sz w:val="22"/>
                <w:szCs w:val="22"/>
              </w:rPr>
            </w:pPr>
            <w:r w:rsidRPr="700036C5">
              <w:rPr>
                <w:rFonts w:ascii="Arial" w:eastAsia="Arial" w:hAnsi="Arial" w:cs="Arial"/>
                <w:sz w:val="22"/>
                <w:szCs w:val="22"/>
              </w:rPr>
              <w:t>Agree: please provide specific examples in your jurisdiction from 2023.</w:t>
            </w:r>
          </w:p>
          <w:p w:rsidR="700036C5" w:rsidP="00F252DA" w14:paraId="64ED47AD" w14:textId="737AA68F">
            <w:pPr>
              <w:pStyle w:val="ListParagraph"/>
              <w:numPr>
                <w:ilvl w:val="1"/>
                <w:numId w:val="2"/>
              </w:numPr>
              <w:spacing w:line="276" w:lineRule="auto"/>
              <w:rPr>
                <w:rFonts w:ascii="Arial" w:eastAsia="Arial" w:hAnsi="Arial" w:cs="Arial"/>
                <w:sz w:val="22"/>
                <w:szCs w:val="22"/>
              </w:rPr>
            </w:pPr>
            <w:r w:rsidRPr="700036C5">
              <w:rPr>
                <w:rFonts w:ascii="Arial" w:eastAsia="Arial" w:hAnsi="Arial" w:cs="Arial"/>
                <w:sz w:val="22"/>
                <w:szCs w:val="22"/>
              </w:rPr>
              <w:t xml:space="preserve">Disagree: Optional: Please elaborate on your selection. </w:t>
            </w:r>
          </w:p>
          <w:p w:rsidR="700036C5" w:rsidP="00780FA0" w14:paraId="394ECC17" w14:textId="2B9FB505">
            <w:pPr>
              <w:pStyle w:val="ListParagraph"/>
              <w:numPr>
                <w:ilvl w:val="0"/>
                <w:numId w:val="16"/>
              </w:numPr>
              <w:spacing w:line="276" w:lineRule="auto"/>
              <w:rPr>
                <w:rFonts w:ascii="Arial" w:eastAsia="Arial" w:hAnsi="Arial" w:cs="Arial"/>
                <w:sz w:val="22"/>
                <w:szCs w:val="22"/>
                <w:lang w:val="en"/>
              </w:rPr>
            </w:pPr>
            <w:r w:rsidRPr="700036C5">
              <w:rPr>
                <w:rFonts w:ascii="Arial" w:eastAsia="Arial" w:hAnsi="Arial" w:cs="Arial"/>
                <w:sz w:val="22"/>
                <w:szCs w:val="22"/>
                <w:lang w:val="en"/>
              </w:rPr>
              <w:t>Together, my public health and public safety partners design and use promising strategies at the intersection of public health and public safety.</w:t>
            </w:r>
          </w:p>
          <w:p w:rsidR="700036C5" w:rsidP="00F252DA" w14:paraId="29ECF55E" w14:textId="704D780D">
            <w:pPr>
              <w:pStyle w:val="ListParagraph"/>
              <w:numPr>
                <w:ilvl w:val="1"/>
                <w:numId w:val="2"/>
              </w:numPr>
              <w:spacing w:line="276" w:lineRule="auto"/>
              <w:rPr>
                <w:rFonts w:ascii="Arial" w:eastAsia="Arial" w:hAnsi="Arial" w:cs="Arial"/>
                <w:sz w:val="22"/>
                <w:szCs w:val="22"/>
              </w:rPr>
            </w:pPr>
            <w:r w:rsidRPr="700036C5">
              <w:rPr>
                <w:rFonts w:ascii="Arial" w:eastAsia="Arial" w:hAnsi="Arial" w:cs="Arial"/>
                <w:sz w:val="22"/>
                <w:szCs w:val="22"/>
              </w:rPr>
              <w:t>Agree: please provide specific examples in your jurisdiction from 2023.</w:t>
            </w:r>
          </w:p>
          <w:p w:rsidR="700036C5" w:rsidP="00F252DA" w14:paraId="2C40599D" w14:textId="7902EC66">
            <w:pPr>
              <w:pStyle w:val="ListParagraph"/>
              <w:numPr>
                <w:ilvl w:val="1"/>
                <w:numId w:val="2"/>
              </w:numPr>
              <w:spacing w:line="276" w:lineRule="auto"/>
              <w:rPr>
                <w:rFonts w:ascii="Arial" w:eastAsia="Arial" w:hAnsi="Arial" w:cs="Arial"/>
                <w:sz w:val="22"/>
                <w:szCs w:val="22"/>
              </w:rPr>
            </w:pPr>
            <w:r w:rsidRPr="700036C5">
              <w:rPr>
                <w:rFonts w:ascii="Arial" w:eastAsia="Arial" w:hAnsi="Arial" w:cs="Arial"/>
                <w:sz w:val="22"/>
                <w:szCs w:val="22"/>
              </w:rPr>
              <w:t xml:space="preserve">Disagree: Optional: Please elaborate on your selection. </w:t>
            </w:r>
          </w:p>
          <w:p w:rsidR="700036C5" w:rsidP="00780FA0" w14:paraId="445FCCD2" w14:textId="51B04B44">
            <w:pPr>
              <w:pStyle w:val="ListParagraph"/>
              <w:numPr>
                <w:ilvl w:val="0"/>
                <w:numId w:val="16"/>
              </w:numPr>
              <w:spacing w:line="276" w:lineRule="auto"/>
              <w:rPr>
                <w:rFonts w:ascii="Arial" w:eastAsia="Arial" w:hAnsi="Arial" w:cs="Arial"/>
                <w:sz w:val="22"/>
                <w:szCs w:val="22"/>
                <w:lang w:val="en"/>
              </w:rPr>
            </w:pPr>
            <w:r w:rsidRPr="700036C5">
              <w:rPr>
                <w:rFonts w:ascii="Arial" w:eastAsia="Arial" w:hAnsi="Arial" w:cs="Arial"/>
                <w:sz w:val="22"/>
                <w:szCs w:val="22"/>
                <w:lang w:val="en"/>
              </w:rPr>
              <w:t>Together, my public health and public safety partners implement evidence-informed prevention strategies that can reduce substance use and overdose.</w:t>
            </w:r>
          </w:p>
          <w:p w:rsidR="700036C5" w:rsidP="00F252DA" w14:paraId="7F844746" w14:textId="187CB7B4">
            <w:pPr>
              <w:pStyle w:val="ListParagraph"/>
              <w:numPr>
                <w:ilvl w:val="1"/>
                <w:numId w:val="2"/>
              </w:numPr>
              <w:spacing w:line="276" w:lineRule="auto"/>
              <w:rPr>
                <w:rFonts w:ascii="Arial" w:eastAsia="Arial" w:hAnsi="Arial" w:cs="Arial"/>
                <w:sz w:val="22"/>
                <w:szCs w:val="22"/>
              </w:rPr>
            </w:pPr>
            <w:r w:rsidRPr="700036C5">
              <w:rPr>
                <w:rFonts w:ascii="Arial" w:eastAsia="Arial" w:hAnsi="Arial" w:cs="Arial"/>
                <w:sz w:val="22"/>
                <w:szCs w:val="22"/>
              </w:rPr>
              <w:t>Agree: please provide specific examples in your jurisdiction from 2023.</w:t>
            </w:r>
          </w:p>
          <w:p w:rsidR="700036C5" w:rsidP="00F252DA" w14:paraId="69FEB964" w14:textId="71967A8B">
            <w:pPr>
              <w:pStyle w:val="ListParagraph"/>
              <w:numPr>
                <w:ilvl w:val="1"/>
                <w:numId w:val="2"/>
              </w:numPr>
              <w:spacing w:line="276" w:lineRule="auto"/>
              <w:rPr>
                <w:rFonts w:ascii="Arial" w:eastAsia="Arial" w:hAnsi="Arial" w:cs="Arial"/>
                <w:sz w:val="22"/>
                <w:szCs w:val="22"/>
              </w:rPr>
            </w:pPr>
            <w:r w:rsidRPr="700036C5">
              <w:rPr>
                <w:rFonts w:ascii="Arial" w:eastAsia="Arial" w:hAnsi="Arial" w:cs="Arial"/>
                <w:sz w:val="22"/>
                <w:szCs w:val="22"/>
              </w:rPr>
              <w:t xml:space="preserve">Disagree: Optional: Please elaborate on your selection. </w:t>
            </w:r>
          </w:p>
          <w:p w:rsidR="700036C5" w:rsidRPr="00A3274E" w:rsidP="00780FA0" w14:paraId="57378FD5" w14:textId="6DB325A8">
            <w:pPr>
              <w:pStyle w:val="ListParagraph"/>
              <w:numPr>
                <w:ilvl w:val="0"/>
                <w:numId w:val="16"/>
              </w:numPr>
              <w:spacing w:line="276" w:lineRule="auto"/>
              <w:rPr>
                <w:rFonts w:ascii="Arial" w:eastAsia="Arial" w:hAnsi="Arial" w:cs="Arial"/>
                <w:color w:val="1F1F1F"/>
                <w:sz w:val="22"/>
                <w:szCs w:val="22"/>
              </w:rPr>
            </w:pPr>
            <w:r w:rsidRPr="00A3274E">
              <w:rPr>
                <w:rFonts w:ascii="Arial" w:eastAsia="Arial" w:hAnsi="Arial" w:cs="Arial"/>
                <w:color w:val="1F1F1F"/>
                <w:sz w:val="22"/>
                <w:szCs w:val="22"/>
              </w:rPr>
              <w:t xml:space="preserve">What </w:t>
            </w:r>
            <w:r w:rsidR="00A3274E">
              <w:rPr>
                <w:rFonts w:ascii="Arial" w:eastAsia="Arial" w:hAnsi="Arial" w:cs="Arial"/>
                <w:color w:val="1F1F1F"/>
                <w:sz w:val="22"/>
                <w:szCs w:val="22"/>
              </w:rPr>
              <w:t xml:space="preserve">populations are disproportionately at risk of overdose </w:t>
            </w:r>
            <w:r w:rsidRPr="00A3274E">
              <w:rPr>
                <w:rFonts w:ascii="Arial" w:eastAsia="Arial" w:hAnsi="Arial" w:cs="Arial"/>
                <w:color w:val="1F1F1F"/>
                <w:sz w:val="22"/>
                <w:szCs w:val="22"/>
              </w:rPr>
              <w:t xml:space="preserve">in your jurisdiction, and how has your ORS partnership worked to reduce </w:t>
            </w:r>
            <w:r w:rsidR="00A3274E">
              <w:rPr>
                <w:rFonts w:ascii="Arial" w:eastAsia="Arial" w:hAnsi="Arial" w:cs="Arial"/>
                <w:color w:val="1F1F1F"/>
                <w:sz w:val="22"/>
                <w:szCs w:val="22"/>
              </w:rPr>
              <w:t>risk among these populations</w:t>
            </w:r>
            <w:r w:rsidRPr="00A3274E">
              <w:rPr>
                <w:rFonts w:ascii="Arial" w:eastAsia="Arial" w:hAnsi="Arial" w:cs="Arial"/>
                <w:color w:val="1F1F1F"/>
                <w:sz w:val="22"/>
                <w:szCs w:val="22"/>
              </w:rPr>
              <w:t>?</w:t>
            </w:r>
          </w:p>
          <w:p w:rsidR="700036C5" w:rsidP="00780FA0" w14:paraId="0547704B" w14:textId="0CB8898F">
            <w:pPr>
              <w:pStyle w:val="ListParagraph"/>
              <w:numPr>
                <w:ilvl w:val="0"/>
                <w:numId w:val="16"/>
              </w:numPr>
              <w:spacing w:line="276" w:lineRule="auto"/>
              <w:rPr>
                <w:rFonts w:ascii="Arial" w:eastAsia="Arial" w:hAnsi="Arial" w:cs="Arial"/>
                <w:color w:val="1F1F1F"/>
                <w:sz w:val="22"/>
                <w:szCs w:val="22"/>
              </w:rPr>
            </w:pPr>
          </w:p>
        </w:tc>
      </w:tr>
      <w:tr w14:paraId="6D74E18F" w14:textId="77777777" w:rsidTr="54A55804">
        <w:tblPrEx>
          <w:tblW w:w="0" w:type="auto"/>
          <w:tblLayout w:type="fixed"/>
          <w:tblLook w:val="0600"/>
        </w:tblPrEx>
        <w:trPr>
          <w:trHeight w:val="300"/>
        </w:trPr>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700036C5" w:rsidP="700036C5" w14:paraId="0712252F" w14:textId="035B24FD">
            <w:r w:rsidRPr="700036C5">
              <w:rPr>
                <w:rFonts w:ascii="Arial" w:eastAsia="Arial" w:hAnsi="Arial" w:cs="Arial"/>
                <w:sz w:val="22"/>
                <w:szCs w:val="22"/>
                <w:lang w:val="en"/>
              </w:rPr>
              <w:t>To what extent and in what ways does the ORS program tap into the strengths and assets of public health and public safety partners?</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700036C5" w:rsidP="700036C5" w14:paraId="61F16BB1" w14:textId="7299F7B8">
            <w:r w:rsidRPr="700036C5">
              <w:rPr>
                <w:rFonts w:ascii="Arial" w:eastAsia="Arial" w:hAnsi="Arial" w:cs="Arial"/>
                <w:sz w:val="22"/>
                <w:szCs w:val="22"/>
              </w:rPr>
              <w:t>ORS teams collaborate with partners to leverage the strengths and assets of public health and public safety to reduce fatal and non-fatal overdoses.</w:t>
            </w:r>
          </w:p>
        </w:tc>
        <w:tc>
          <w:tcPr>
            <w:tcW w:w="6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700036C5" w:rsidP="700036C5" w14:paraId="1CFC7A41" w14:textId="4EF3A4D0">
            <w:pPr>
              <w:spacing w:line="276" w:lineRule="auto"/>
            </w:pPr>
            <w:r w:rsidRPr="700036C5">
              <w:rPr>
                <w:rFonts w:ascii="Arial" w:eastAsia="Arial" w:hAnsi="Arial" w:cs="Arial"/>
                <w:sz w:val="22"/>
                <w:szCs w:val="22"/>
                <w:lang w:val="en"/>
              </w:rPr>
              <w:t>Local Implementation of the ORS Model</w:t>
            </w:r>
          </w:p>
          <w:p w:rsidR="700036C5" w:rsidP="00780FA0" w14:paraId="50235C28" w14:textId="3B9A075C">
            <w:pPr>
              <w:pStyle w:val="ListParagraph"/>
              <w:numPr>
                <w:ilvl w:val="0"/>
                <w:numId w:val="16"/>
              </w:numPr>
              <w:spacing w:line="276" w:lineRule="auto"/>
              <w:rPr>
                <w:rFonts w:ascii="Arial" w:eastAsia="Arial" w:hAnsi="Arial" w:cs="Arial"/>
                <w:color w:val="1F1F1F"/>
                <w:sz w:val="22"/>
                <w:szCs w:val="22"/>
              </w:rPr>
            </w:pPr>
            <w:r w:rsidRPr="700036C5">
              <w:rPr>
                <w:rFonts w:ascii="Arial" w:eastAsia="Arial" w:hAnsi="Arial" w:cs="Arial"/>
                <w:color w:val="1F1F1F"/>
                <w:sz w:val="22"/>
                <w:szCs w:val="22"/>
              </w:rPr>
              <w:t>The ORS partners in my state/jurisdiction are doing a good job leveraging the strengths and assets of public health to reduce fatal and non-fatal overdoses.</w:t>
            </w:r>
          </w:p>
          <w:p w:rsidR="700036C5" w:rsidP="00780FA0" w14:paraId="2543B5E4" w14:textId="3053EAF4">
            <w:pPr>
              <w:pStyle w:val="ListParagraph"/>
              <w:numPr>
                <w:ilvl w:val="0"/>
                <w:numId w:val="16"/>
              </w:numPr>
              <w:spacing w:line="276" w:lineRule="auto"/>
              <w:rPr>
                <w:rFonts w:ascii="Arial" w:eastAsia="Arial" w:hAnsi="Arial" w:cs="Arial"/>
                <w:color w:val="1F1F1F"/>
                <w:sz w:val="22"/>
                <w:szCs w:val="22"/>
                <w:lang w:val="en"/>
              </w:rPr>
            </w:pPr>
            <w:r w:rsidRPr="700036C5">
              <w:rPr>
                <w:rFonts w:ascii="Arial" w:eastAsia="Arial" w:hAnsi="Arial" w:cs="Arial"/>
                <w:color w:val="1F1F1F"/>
                <w:sz w:val="22"/>
                <w:szCs w:val="22"/>
                <w:lang w:val="en"/>
              </w:rPr>
              <w:t>Please describe specific strengths and assets used.</w:t>
            </w:r>
          </w:p>
        </w:tc>
      </w:tr>
      <w:tr w14:paraId="368ADBD9" w14:textId="77777777" w:rsidTr="54A55804">
        <w:tblPrEx>
          <w:tblW w:w="0" w:type="auto"/>
          <w:tblLayout w:type="fixed"/>
          <w:tblLook w:val="0600"/>
        </w:tblPrEx>
        <w:trPr>
          <w:trHeight w:val="300"/>
        </w:trPr>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700036C5" w:rsidP="700036C5" w14:paraId="4FF6E401" w14:textId="20F081B9">
            <w:r w:rsidRPr="700036C5">
              <w:rPr>
                <w:rFonts w:ascii="Arial" w:eastAsia="Arial" w:hAnsi="Arial" w:cs="Arial"/>
                <w:sz w:val="22"/>
                <w:szCs w:val="22"/>
                <w:lang w:val="en"/>
              </w:rPr>
              <w:t>To what extent and in what ways are the public health and public safety sectors making different decisions about policies or programs, and the use of resources because of and as they relate to the goals of the ORS program?</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700036C5" w:rsidP="700036C5" w14:paraId="5BACC49A" w14:textId="6A51A04F">
            <w:r w:rsidRPr="700036C5">
              <w:rPr>
                <w:rFonts w:ascii="Arial" w:eastAsia="Arial" w:hAnsi="Arial" w:cs="Arial"/>
                <w:sz w:val="22"/>
                <w:szCs w:val="22"/>
                <w:lang w:val="en"/>
              </w:rPr>
              <w:t>ORS teams collaborate with partners to make improved decisions about policies or programs and the use of resources to reduce fatal and non-fatal overdoses.</w:t>
            </w:r>
          </w:p>
        </w:tc>
        <w:tc>
          <w:tcPr>
            <w:tcW w:w="6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700036C5" w:rsidP="700036C5" w14:paraId="42177388" w14:textId="4808F1B7">
            <w:r w:rsidRPr="700036C5">
              <w:rPr>
                <w:rFonts w:ascii="Arial" w:eastAsia="Arial" w:hAnsi="Arial" w:cs="Arial"/>
                <w:sz w:val="22"/>
                <w:szCs w:val="22"/>
                <w:lang w:val="en"/>
              </w:rPr>
              <w:t>Local Implementation of the ORS Model</w:t>
            </w:r>
          </w:p>
          <w:p w:rsidR="700036C5" w:rsidP="00F252DA" w14:paraId="0A77499F" w14:textId="7B42E6E7">
            <w:pPr>
              <w:pStyle w:val="ListParagraph"/>
              <w:numPr>
                <w:ilvl w:val="0"/>
                <w:numId w:val="1"/>
              </w:numPr>
              <w:spacing w:line="276" w:lineRule="auto"/>
              <w:rPr>
                <w:rFonts w:ascii="Roboto" w:eastAsia="Roboto" w:hAnsi="Roboto" w:cs="Roboto"/>
                <w:color w:val="1F1F1F"/>
                <w:sz w:val="18"/>
                <w:szCs w:val="18"/>
                <w:lang w:val="en"/>
              </w:rPr>
            </w:pPr>
            <w:r w:rsidRPr="700036C5">
              <w:rPr>
                <w:rFonts w:ascii="Arial" w:eastAsia="Arial" w:hAnsi="Arial" w:cs="Arial"/>
                <w:color w:val="1F1F1F"/>
                <w:sz w:val="22"/>
                <w:szCs w:val="22"/>
                <w:lang w:val="en"/>
              </w:rPr>
              <w:t>Since partnering with the ORS program, public health/public safety partner is making improved decisions about policies or programs, and the use of resources to reduce fatal and non-fatal overdoses</w:t>
            </w:r>
            <w:r w:rsidRPr="700036C5">
              <w:rPr>
                <w:rFonts w:ascii="Roboto" w:eastAsia="Roboto" w:hAnsi="Roboto" w:cs="Roboto"/>
                <w:color w:val="1F1F1F"/>
                <w:sz w:val="18"/>
                <w:szCs w:val="18"/>
                <w:lang w:val="en"/>
              </w:rPr>
              <w:t>.</w:t>
            </w:r>
          </w:p>
          <w:p w:rsidR="700036C5" w:rsidP="00F252DA" w14:paraId="54D29670" w14:textId="46A982C1">
            <w:pPr>
              <w:pStyle w:val="ListParagraph"/>
              <w:numPr>
                <w:ilvl w:val="0"/>
                <w:numId w:val="1"/>
              </w:numPr>
              <w:spacing w:line="276" w:lineRule="auto"/>
              <w:rPr>
                <w:rFonts w:ascii="Arial" w:eastAsia="Arial" w:hAnsi="Arial" w:cs="Arial"/>
                <w:color w:val="1F1F1F"/>
                <w:sz w:val="22"/>
                <w:szCs w:val="22"/>
                <w:lang w:val="en"/>
              </w:rPr>
            </w:pPr>
            <w:r w:rsidRPr="700036C5">
              <w:rPr>
                <w:rFonts w:ascii="Arial" w:eastAsia="Arial" w:hAnsi="Arial" w:cs="Arial"/>
                <w:color w:val="1F1F1F"/>
                <w:sz w:val="22"/>
                <w:szCs w:val="22"/>
                <w:lang w:val="en"/>
              </w:rPr>
              <w:t>Please describe specific decisions made about policies and programs or use of resources.</w:t>
            </w:r>
          </w:p>
        </w:tc>
      </w:tr>
      <w:tr w14:paraId="231712F2" w14:textId="77777777" w:rsidTr="54A55804">
        <w:tblPrEx>
          <w:tblW w:w="0" w:type="auto"/>
          <w:tblLayout w:type="fixed"/>
          <w:tblLook w:val="0600"/>
        </w:tblPrEx>
        <w:trPr>
          <w:trHeight w:val="300"/>
        </w:trPr>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700036C5" w:rsidP="700036C5" w14:paraId="1C0B3CF2" w14:textId="394D8AE9">
            <w:r w:rsidRPr="700036C5">
              <w:rPr>
                <w:rFonts w:ascii="Arial" w:eastAsia="Arial" w:hAnsi="Arial" w:cs="Arial"/>
                <w:sz w:val="22"/>
                <w:szCs w:val="22"/>
                <w:lang w:val="en"/>
              </w:rPr>
              <w:t xml:space="preserve">To what extent does the ORS contribute to reducing non-fatal and fatal overdoses and saving lives through public health-public </w:t>
            </w:r>
            <w:r w:rsidRPr="700036C5">
              <w:rPr>
                <w:rFonts w:ascii="Arial" w:eastAsia="Arial" w:hAnsi="Arial" w:cs="Arial"/>
                <w:sz w:val="22"/>
                <w:szCs w:val="22"/>
                <w:lang w:val="en"/>
              </w:rPr>
              <w:t>safety partnership?</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700036C5" w:rsidP="700036C5" w14:paraId="2306AAA5" w14:textId="2484C93D">
            <w:r w:rsidRPr="700036C5">
              <w:rPr>
                <w:rFonts w:ascii="Arial" w:eastAsia="Arial" w:hAnsi="Arial" w:cs="Arial"/>
                <w:sz w:val="22"/>
                <w:szCs w:val="22"/>
                <w:lang w:val="en"/>
              </w:rPr>
              <w:t xml:space="preserve">Cross-sector partners reduce non-fatal and fatal overdoses in communities through public health-public </w:t>
            </w:r>
            <w:r w:rsidRPr="700036C5">
              <w:rPr>
                <w:rFonts w:ascii="Arial" w:eastAsia="Arial" w:hAnsi="Arial" w:cs="Arial"/>
                <w:sz w:val="22"/>
                <w:szCs w:val="22"/>
                <w:lang w:val="en"/>
              </w:rPr>
              <w:t>safety partnership.</w:t>
            </w:r>
          </w:p>
        </w:tc>
        <w:tc>
          <w:tcPr>
            <w:tcW w:w="6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700036C5" w:rsidP="700036C5" w14:paraId="488466DC" w14:textId="6D2CF1C9">
            <w:pPr>
              <w:spacing w:line="276" w:lineRule="auto"/>
            </w:pPr>
            <w:r w:rsidRPr="700036C5">
              <w:rPr>
                <w:rFonts w:ascii="Arial" w:eastAsia="Arial" w:hAnsi="Arial" w:cs="Arial"/>
                <w:sz w:val="22"/>
                <w:szCs w:val="22"/>
                <w:lang w:val="en"/>
              </w:rPr>
              <w:t>Impact of Partnership</w:t>
            </w:r>
          </w:p>
          <w:p w:rsidR="700036C5" w:rsidP="00780FA0" w14:paraId="2535C07F" w14:textId="297F3236">
            <w:pPr>
              <w:pStyle w:val="ListParagraph"/>
              <w:numPr>
                <w:ilvl w:val="0"/>
                <w:numId w:val="16"/>
              </w:numPr>
              <w:spacing w:line="276" w:lineRule="auto"/>
              <w:rPr>
                <w:rFonts w:ascii="Arial" w:eastAsia="Arial" w:hAnsi="Arial" w:cs="Arial"/>
                <w:color w:val="1F1F1F"/>
                <w:sz w:val="22"/>
                <w:szCs w:val="22"/>
              </w:rPr>
            </w:pPr>
            <w:r w:rsidRPr="700036C5">
              <w:rPr>
                <w:rFonts w:ascii="Arial" w:eastAsia="Arial" w:hAnsi="Arial" w:cs="Arial"/>
                <w:color w:val="1F1F1F"/>
                <w:sz w:val="22"/>
                <w:szCs w:val="22"/>
              </w:rPr>
              <w:t xml:space="preserve">Looking back at the last year, what do you think was the most significant change in collaboration across public health and public safety in your jurisdiction as a result of your participation in the ORS? </w:t>
            </w:r>
          </w:p>
          <w:p w:rsidR="700036C5" w:rsidP="00780FA0" w14:paraId="45E32AB3" w14:textId="559EB152">
            <w:pPr>
              <w:pStyle w:val="ListParagraph"/>
              <w:numPr>
                <w:ilvl w:val="0"/>
                <w:numId w:val="16"/>
              </w:numPr>
              <w:spacing w:line="276" w:lineRule="auto"/>
              <w:rPr>
                <w:rFonts w:ascii="Arial" w:eastAsia="Arial" w:hAnsi="Arial" w:cs="Arial"/>
                <w:color w:val="1F1F1F"/>
                <w:sz w:val="22"/>
                <w:szCs w:val="22"/>
                <w:lang w:val="en"/>
              </w:rPr>
            </w:pPr>
            <w:r w:rsidRPr="700036C5">
              <w:rPr>
                <w:rFonts w:ascii="Arial" w:eastAsia="Arial" w:hAnsi="Arial" w:cs="Arial"/>
                <w:color w:val="1F1F1F"/>
                <w:sz w:val="22"/>
                <w:szCs w:val="22"/>
                <w:lang w:val="en"/>
              </w:rPr>
              <w:t>What about the ORS has been the most impactful on public health partner's ability to contribute to the reduction of fatal and non-fatal overdoses?</w:t>
            </w:r>
          </w:p>
          <w:p w:rsidR="700036C5" w:rsidP="00780FA0" w14:paraId="516E561B" w14:textId="6758488D">
            <w:pPr>
              <w:pStyle w:val="ListParagraph"/>
              <w:numPr>
                <w:ilvl w:val="0"/>
                <w:numId w:val="16"/>
              </w:numPr>
              <w:spacing w:line="276" w:lineRule="auto"/>
              <w:rPr>
                <w:rFonts w:ascii="Arial" w:eastAsia="Arial" w:hAnsi="Arial" w:cs="Arial"/>
                <w:color w:val="1F1F1F"/>
                <w:sz w:val="22"/>
                <w:szCs w:val="22"/>
                <w:lang w:val="en"/>
              </w:rPr>
            </w:pPr>
            <w:r w:rsidRPr="700036C5">
              <w:rPr>
                <w:rFonts w:ascii="Arial" w:eastAsia="Arial" w:hAnsi="Arial" w:cs="Arial"/>
                <w:color w:val="1F1F1F"/>
                <w:sz w:val="22"/>
                <w:szCs w:val="22"/>
                <w:lang w:val="en"/>
              </w:rPr>
              <w:t>What about the ORS has been the most impactful on public safety partner's ability to contribute to the reduction of fatal and non-fatal overdoses?</w:t>
            </w:r>
          </w:p>
          <w:p w:rsidR="700036C5" w:rsidP="00780FA0" w14:paraId="322E604B" w14:textId="7977B10A">
            <w:pPr>
              <w:pStyle w:val="ListParagraph"/>
              <w:numPr>
                <w:ilvl w:val="0"/>
                <w:numId w:val="16"/>
              </w:numPr>
              <w:spacing w:line="276" w:lineRule="auto"/>
              <w:rPr>
                <w:rFonts w:ascii="Arial" w:eastAsia="Arial" w:hAnsi="Arial" w:cs="Arial"/>
                <w:color w:val="1F1F1F"/>
                <w:sz w:val="22"/>
                <w:szCs w:val="22"/>
                <w:lang w:val="en"/>
              </w:rPr>
            </w:pPr>
            <w:r w:rsidRPr="700036C5">
              <w:rPr>
                <w:rFonts w:ascii="Arial" w:eastAsia="Arial" w:hAnsi="Arial" w:cs="Arial"/>
                <w:color w:val="1F1F1F"/>
                <w:sz w:val="22"/>
                <w:szCs w:val="22"/>
                <w:lang w:val="en"/>
              </w:rPr>
              <w:t>As a result of the involvement with the ORS program, our state/jurisdictional efforts can better address overdoses.</w:t>
            </w:r>
          </w:p>
          <w:p w:rsidR="700036C5" w:rsidP="00780FA0" w14:paraId="740F168D" w14:textId="259FED28">
            <w:pPr>
              <w:pStyle w:val="ListParagraph"/>
              <w:numPr>
                <w:ilvl w:val="0"/>
                <w:numId w:val="16"/>
              </w:numPr>
              <w:spacing w:line="276" w:lineRule="auto"/>
              <w:rPr>
                <w:rFonts w:ascii="Arial" w:eastAsia="Arial" w:hAnsi="Arial" w:cs="Arial"/>
                <w:color w:val="1F1F1F"/>
                <w:sz w:val="22"/>
                <w:szCs w:val="22"/>
              </w:rPr>
            </w:pPr>
            <w:r w:rsidRPr="700036C5">
              <w:rPr>
                <w:rFonts w:ascii="Arial" w:eastAsia="Arial" w:hAnsi="Arial" w:cs="Arial"/>
                <w:color w:val="1F1F1F"/>
                <w:sz w:val="22"/>
                <w:szCs w:val="22"/>
              </w:rPr>
              <w:t>In what ways have overdose and related trends changed in the last year, if at all, as a result of public health-public safety partnership in your jurisdiction?</w:t>
            </w:r>
          </w:p>
        </w:tc>
      </w:tr>
    </w:tbl>
    <w:p w:rsidR="5BE5C628" w:rsidP="1C972B50" w14:paraId="5AA88ACF" w14:textId="44ACAEC3">
      <w:pPr>
        <w:tabs>
          <w:tab w:val="left" w:pos="360"/>
        </w:tabs>
      </w:pPr>
    </w:p>
    <w:bookmarkEnd w:id="1"/>
    <w:p w:rsidR="5BE5C628" w:rsidP="6D1DFE42" w14:paraId="523466D4" w14:textId="4AA807FA">
      <w:pPr>
        <w:tabs>
          <w:tab w:val="left" w:pos="360"/>
        </w:tabs>
      </w:pPr>
    </w:p>
    <w:p w:rsidR="5BE5C628" w:rsidP="6D1DFE42" w14:paraId="3ECA2B79" w14:textId="6CD04356">
      <w:pPr>
        <w:tabs>
          <w:tab w:val="left" w:pos="360"/>
        </w:tabs>
        <w:rPr>
          <w:b/>
          <w:bCs/>
          <w:u w:val="single"/>
        </w:rPr>
      </w:pPr>
      <w:r w:rsidRPr="277F5081">
        <w:rPr>
          <w:b/>
          <w:bCs/>
          <w:u w:val="single"/>
        </w:rPr>
        <w:t>ORS Quarterly Reporting Template</w:t>
      </w:r>
    </w:p>
    <w:p w:rsidR="1B2B6340" w:rsidP="700036C5" w14:paraId="3742A398" w14:textId="2421D694">
      <w:pPr>
        <w:spacing w:line="259" w:lineRule="auto"/>
        <w:rPr>
          <w:color w:val="000000" w:themeColor="text1"/>
        </w:rPr>
      </w:pPr>
      <w:r>
        <w:t>ORS teams will be required to</w:t>
      </w:r>
      <w:r w:rsidR="0421FD4E">
        <w:t xml:space="preserve"> provide summaries of implemented activities and challenges encountered, detailed descriptions of sub activities and their dates of completion, success stories, progress updates, and implementation plans within each sub activity on a quarterly basis. The O</w:t>
      </w:r>
      <w:r w:rsidR="4FBEB386">
        <w:t>verdose Response Strategy Team Reporting System (ORSTRS) is a web-based platform used for all reporting. Data will be analyzed by CDC and CDCF and recommendations will be provided to ORS teams to strengthen their activities and partnerships. Success stories and program</w:t>
      </w:r>
      <w:r w:rsidR="6F87F015">
        <w:t xml:space="preserve"> achievements will also be collected, shared internally, and a selection will be used to report to Congress and share with the public. Furthermore, CDC and CDCF staff will use the successful implementation examples to help recommend program improvements and strategies to other ORS teams. </w:t>
      </w:r>
      <w:r w:rsidRPr="700036C5" w:rsidR="4DBF832E">
        <w:rPr>
          <w:color w:val="000000" w:themeColor="text1"/>
        </w:rPr>
        <w:t xml:space="preserve">Please see </w:t>
      </w:r>
      <w:r w:rsidRPr="00554FAC" w:rsidR="4DBF832E">
        <w:rPr>
          <w:color w:val="000000" w:themeColor="text1"/>
        </w:rPr>
        <w:t xml:space="preserve">Attachment </w:t>
      </w:r>
      <w:r w:rsidRPr="00CF5131" w:rsidR="00A834D1">
        <w:rPr>
          <w:color w:val="000000" w:themeColor="text1"/>
        </w:rPr>
        <w:t>I</w:t>
      </w:r>
      <w:r w:rsidRPr="00CF5131" w:rsidR="4DBF832E">
        <w:rPr>
          <w:color w:val="000000" w:themeColor="text1"/>
        </w:rPr>
        <w:t xml:space="preserve"> for the </w:t>
      </w:r>
      <w:r w:rsidRPr="00554FAC" w:rsidR="00CF5131">
        <w:rPr>
          <w:color w:val="000000" w:themeColor="text1"/>
        </w:rPr>
        <w:t>ORS Quarterly Reporting T</w:t>
      </w:r>
      <w:r w:rsidR="00CF5131">
        <w:rPr>
          <w:color w:val="000000" w:themeColor="text1"/>
        </w:rPr>
        <w:t>emplate</w:t>
      </w:r>
      <w:r w:rsidRPr="00CF5131" w:rsidR="4DBF832E">
        <w:rPr>
          <w:color w:val="000000" w:themeColor="text1"/>
        </w:rPr>
        <w:t xml:space="preserve"> which provides</w:t>
      </w:r>
      <w:r w:rsidRPr="700036C5" w:rsidR="4DBF832E">
        <w:rPr>
          <w:color w:val="000000" w:themeColor="text1"/>
        </w:rPr>
        <w:t xml:space="preserve"> information on all fields collected in the system.</w:t>
      </w:r>
    </w:p>
    <w:p w:rsidR="1C972B50" w:rsidP="1C972B50" w14:paraId="664A0381" w14:textId="49501AA4">
      <w:pPr>
        <w:tabs>
          <w:tab w:val="left" w:pos="360"/>
        </w:tabs>
      </w:pPr>
    </w:p>
    <w:p w:rsidR="7B2CC079" w:rsidP="1C972B50" w14:paraId="40EBA705" w14:textId="75E6CE39">
      <w:pPr>
        <w:tabs>
          <w:tab w:val="left" w:pos="360"/>
        </w:tabs>
      </w:pPr>
      <w:r>
        <w:t xml:space="preserve">The main purpose of ORSTRS is to track and monitor ORS teams’ activities across the ORS network to improve program monitoring, evaluation and reporting to partners, like ONDCP and CDC. </w:t>
      </w:r>
      <w:r w:rsidRPr="277F5081">
        <w:t>Data collection includes adding projects, tracking projects through updates, and reviewing projects with commentary. Users add projects and project updates that national reviewers can track and review with commentary. Project updates include documents, presentations, and success stories. Users also add data on external partners,</w:t>
      </w:r>
      <w:r w:rsidRPr="277F5081" w:rsidR="504FFBA6">
        <w:t xml:space="preserve"> such as the</w:t>
      </w:r>
      <w:r w:rsidRPr="277F5081">
        <w:t xml:space="preserve"> organizations and the key contacts they partner with.</w:t>
      </w:r>
    </w:p>
    <w:p w:rsidR="1C972B50" w:rsidP="1C972B50" w14:paraId="6CA3EB41" w14:textId="42864733">
      <w:pPr>
        <w:tabs>
          <w:tab w:val="left" w:pos="360"/>
        </w:tabs>
      </w:pPr>
    </w:p>
    <w:p w:rsidR="06631C52" w:rsidP="1C972B50" w14:paraId="2B60D58D" w14:textId="6C2B75E4">
      <w:pPr>
        <w:tabs>
          <w:tab w:val="left" w:pos="360"/>
        </w:tabs>
      </w:pPr>
      <w:r w:rsidRPr="1C972B50">
        <w:t xml:space="preserve">Categories and subcategories are standardized throughout the system for ease of use, reporting, and analysis. </w:t>
      </w:r>
    </w:p>
    <w:p w:rsidR="1C972B50" w:rsidP="1C972B50" w14:paraId="16961D8C" w14:textId="5D39A5A0">
      <w:pPr>
        <w:tabs>
          <w:tab w:val="left" w:pos="360"/>
        </w:tabs>
      </w:pPr>
    </w:p>
    <w:p w:rsidR="06631C52" w:rsidP="1C972B50" w14:paraId="5242D0A5" w14:textId="695D2982">
      <w:pPr>
        <w:tabs>
          <w:tab w:val="left" w:pos="360"/>
        </w:tabs>
      </w:pPr>
      <w:r w:rsidRPr="1C972B50">
        <w:t>The ORS Team Reporting System is also a collaborative tool. Users can use the project directory to search for projects led by other ORS teams in other parts of the country, as well as search for other ORS staff to foster cross-state and jurisdictional collaboration in the staff directory. This feature allows ORS teams to better leverage the ORS Network by having access to projects that have completed internal review and approval in other states/jurisdictions, as well as contact information for the respective ORS Teams for direct outreach and learning.</w:t>
      </w:r>
    </w:p>
    <w:p w:rsidR="1C972B50" w:rsidP="1C972B50" w14:paraId="6AD2DB7A" w14:textId="611C96BD">
      <w:pPr>
        <w:tabs>
          <w:tab w:val="left" w:pos="360"/>
        </w:tabs>
      </w:pPr>
    </w:p>
    <w:p w:rsidR="104FDAC3" w:rsidP="1C972B50" w14:paraId="2AAEE09F" w14:textId="73746F18">
      <w:r w:rsidRPr="1C972B50">
        <w:t xml:space="preserve">PHAs and DIOs are expected to report project activities on a quarterly basis. Reports are due 15 days after the quarter ends or the following business day, if the 15th falls on the weekend or a holiday. Quarterly periods and submission due dates are as follows: </w:t>
      </w:r>
    </w:p>
    <w:p w:rsidR="1C972B50" w:rsidP="1C972B50" w14:paraId="65876922" w14:textId="592BA8DC"/>
    <w:p w:rsidR="104FDAC3" w:rsidP="1C972B50" w14:paraId="69613CC1" w14:textId="1E917CD9">
      <w:r w:rsidRPr="1C972B50">
        <w:t xml:space="preserve">• First Quarter (Q1): January 1 – March 31 </w:t>
      </w:r>
    </w:p>
    <w:p w:rsidR="104FDAC3" w:rsidP="1C972B50" w14:paraId="4855FFDE" w14:textId="00CA2678">
      <w:pPr>
        <w:ind w:firstLine="720"/>
      </w:pPr>
      <w:r w:rsidRPr="1C972B50">
        <w:t xml:space="preserve">• Submission due: April 15 </w:t>
      </w:r>
    </w:p>
    <w:p w:rsidR="104FDAC3" w:rsidP="1C972B50" w14:paraId="0F3BE416" w14:textId="28BE91DD">
      <w:pPr>
        <w:ind w:left="720"/>
      </w:pPr>
      <w:r w:rsidRPr="1C972B50">
        <w:t xml:space="preserve">• All reviewer feedback resolved and projects approved: May 15 </w:t>
      </w:r>
    </w:p>
    <w:p w:rsidR="104FDAC3" w:rsidP="1C972B50" w14:paraId="287C9B0C" w14:textId="2EF66DA2">
      <w:r w:rsidRPr="1C972B50">
        <w:t xml:space="preserve">• Second Quarter (Q2): April 1 – June 30 </w:t>
      </w:r>
    </w:p>
    <w:p w:rsidR="104FDAC3" w:rsidP="1C972B50" w14:paraId="21DB46FC" w14:textId="6B35FF72">
      <w:pPr>
        <w:ind w:firstLine="720"/>
      </w:pPr>
      <w:r w:rsidRPr="1C972B50">
        <w:t>• Submission due: July 15</w:t>
      </w:r>
    </w:p>
    <w:p w:rsidR="104FDAC3" w:rsidP="1C972B50" w14:paraId="7AFF2EE9" w14:textId="49B22C81">
      <w:pPr>
        <w:ind w:firstLine="720"/>
      </w:pPr>
      <w:r w:rsidRPr="1C972B50">
        <w:t xml:space="preserve"> • All reviewer feedback resolved and projects approved: August 14 </w:t>
      </w:r>
    </w:p>
    <w:p w:rsidR="104FDAC3" w:rsidP="1C972B50" w14:paraId="0E1FEBFA" w14:textId="1B873670">
      <w:r w:rsidRPr="1C972B50">
        <w:t xml:space="preserve">• Third Quarter (Q3): July 1 – September 30 </w:t>
      </w:r>
    </w:p>
    <w:p w:rsidR="104FDAC3" w:rsidP="1C972B50" w14:paraId="0E46C285" w14:textId="30C81F9B">
      <w:pPr>
        <w:ind w:firstLine="720"/>
      </w:pPr>
      <w:r w:rsidRPr="1C972B50">
        <w:t xml:space="preserve">• Submission due: October 15 </w:t>
      </w:r>
    </w:p>
    <w:p w:rsidR="104FDAC3" w:rsidP="1C972B50" w14:paraId="3EC288BC" w14:textId="6FE7CAFA">
      <w:pPr>
        <w:ind w:firstLine="720"/>
      </w:pPr>
      <w:r w:rsidRPr="1C972B50">
        <w:t>• All reviewer feedback resolved and projects approved: November 14</w:t>
      </w:r>
    </w:p>
    <w:p w:rsidR="104FDAC3" w:rsidP="1C972B50" w14:paraId="41E3155B" w14:textId="4558BCE6">
      <w:r w:rsidRPr="1C972B50">
        <w:t xml:space="preserve"> • Fourth Quarter (Q4): October 1 – December 31</w:t>
      </w:r>
    </w:p>
    <w:p w:rsidR="104FDAC3" w:rsidP="1C972B50" w14:paraId="387BBE84" w14:textId="2F5359E2">
      <w:pPr>
        <w:ind w:firstLine="720"/>
      </w:pPr>
      <w:r w:rsidRPr="1C972B50">
        <w:t xml:space="preserve"> • Submission due: January 15</w:t>
      </w:r>
    </w:p>
    <w:p w:rsidR="104FDAC3" w:rsidP="1C972B50" w14:paraId="785E72B7" w14:textId="52009ACA">
      <w:pPr>
        <w:ind w:firstLine="720"/>
      </w:pPr>
      <w:r w:rsidRPr="1C972B50">
        <w:t xml:space="preserve"> • All reviewer feedback resolved and projects approved: February 14</w:t>
      </w:r>
    </w:p>
    <w:p w:rsidR="1C972B50" w:rsidP="1C972B50" w14:paraId="7A5CE526" w14:textId="29269ABC">
      <w:pPr>
        <w:ind w:firstLine="720"/>
      </w:pPr>
    </w:p>
    <w:p w:rsidR="5BE5C628" w:rsidP="6D1DFE42" w14:paraId="4736502E" w14:textId="1BB111BD">
      <w:pPr>
        <w:rPr>
          <w:color w:val="000000" w:themeColor="text1"/>
        </w:rPr>
      </w:pPr>
    </w:p>
    <w:p w:rsidR="1C972B50" w:rsidP="1C972B50" w14:paraId="371AB54C" w14:textId="27691ABE">
      <w:pPr>
        <w:rPr>
          <w:color w:val="000000" w:themeColor="text1"/>
        </w:rPr>
      </w:pPr>
    </w:p>
    <w:p w:rsidR="54A55804" w:rsidP="54A55804" w14:paraId="556C7D5D" w14:textId="086FE198">
      <w:pPr>
        <w:rPr>
          <w:color w:val="000000" w:themeColor="text1"/>
        </w:rPr>
      </w:pPr>
    </w:p>
    <w:p w:rsidR="54A55804" w:rsidP="54A55804" w14:paraId="144A7012" w14:textId="40CCBBC0">
      <w:pPr>
        <w:rPr>
          <w:color w:val="000000" w:themeColor="text1"/>
        </w:rPr>
      </w:pPr>
    </w:p>
    <w:p w:rsidR="54A55804" w:rsidP="54A55804" w14:paraId="13A1D668" w14:textId="4E450E20">
      <w:pPr>
        <w:rPr>
          <w:color w:val="000000" w:themeColor="text1"/>
        </w:rPr>
      </w:pPr>
    </w:p>
    <w:p w:rsidR="54A55804" w:rsidP="54A55804" w14:paraId="6D3BF412" w14:textId="49919E3C">
      <w:pPr>
        <w:rPr>
          <w:color w:val="000000" w:themeColor="text1"/>
        </w:rPr>
      </w:pPr>
    </w:p>
    <w:p w:rsidR="54A55804" w:rsidP="54A55804" w14:paraId="092BAFAA" w14:textId="7509D9B2">
      <w:pPr>
        <w:rPr>
          <w:color w:val="000000" w:themeColor="text1"/>
        </w:rPr>
      </w:pPr>
    </w:p>
    <w:p w:rsidR="5BE5C628" w:rsidP="6D1DFE42" w14:paraId="0E9AAE11" w14:textId="61E26014">
      <w:pPr>
        <w:rPr>
          <w:color w:val="000000" w:themeColor="text1"/>
        </w:rPr>
      </w:pPr>
      <w:r w:rsidRPr="6D1DFE42">
        <w:rPr>
          <w:b/>
          <w:bCs/>
          <w:color w:val="000000" w:themeColor="text1"/>
        </w:rPr>
        <w:t xml:space="preserve">Proposed Data Use </w:t>
      </w:r>
    </w:p>
    <w:p w:rsidR="1C972B50" w:rsidP="1C972B50" w14:paraId="56A2B4A2" w14:textId="230C5392">
      <w:pPr>
        <w:keepNext/>
        <w:keepLines/>
        <w:tabs>
          <w:tab w:val="left" w:pos="1310"/>
        </w:tabs>
      </w:pPr>
    </w:p>
    <w:p w:rsidR="5BE5C628" w:rsidP="6D1DFE42" w14:paraId="65D82487" w14:textId="4A8114E6">
      <w:pPr>
        <w:tabs>
          <w:tab w:val="left" w:pos="720"/>
        </w:tabs>
      </w:pPr>
      <w:r>
        <w:t xml:space="preserve">Aggregate-level information collected from the </w:t>
      </w:r>
      <w:r w:rsidR="3B8243BE">
        <w:t>Annual S</w:t>
      </w:r>
      <w:r>
        <w:t>urvey will be disseminated to</w:t>
      </w:r>
      <w:r w:rsidR="39504B8B">
        <w:t xml:space="preserve"> ORS teams and to</w:t>
      </w:r>
      <w:r>
        <w:t xml:space="preserve"> the public via an annual Program Evaluation Report</w:t>
      </w:r>
      <w:r w:rsidR="12279593">
        <w:t xml:space="preserve"> </w:t>
      </w:r>
      <w:r w:rsidR="57E941C5">
        <w:t xml:space="preserve">within 3 months of </w:t>
      </w:r>
      <w:r w:rsidR="4B809105">
        <w:t>closing the survey</w:t>
      </w:r>
      <w:r>
        <w:t>.</w:t>
      </w:r>
      <w:r w:rsidR="09F05E22">
        <w:t xml:space="preserve"> Information collected through the </w:t>
      </w:r>
      <w:r w:rsidR="00554FAC">
        <w:t xml:space="preserve">ORS </w:t>
      </w:r>
      <w:r w:rsidR="1F36CAE0">
        <w:t>Quarterly Reporting Template in ORSTRS will be disseminated to ORS teams and to the public via the ORS Annual Report.</w:t>
      </w:r>
      <w:r>
        <w:t xml:space="preserve"> </w:t>
      </w:r>
      <w:r w:rsidRPr="54A55804" w:rsidR="4D552297">
        <w:rPr>
          <w:color w:val="000000" w:themeColor="text1"/>
        </w:rPr>
        <w:t xml:space="preserve">Data from both the Annual Survey and the </w:t>
      </w:r>
      <w:r w:rsidR="00554FAC">
        <w:rPr>
          <w:color w:val="000000" w:themeColor="text1"/>
        </w:rPr>
        <w:t xml:space="preserve">ORS </w:t>
      </w:r>
      <w:r w:rsidRPr="54A55804" w:rsidR="4D552297">
        <w:rPr>
          <w:color w:val="000000" w:themeColor="text1"/>
        </w:rPr>
        <w:t>Quarterly Reporting Template</w:t>
      </w:r>
      <w:r w:rsidRPr="54A55804">
        <w:rPr>
          <w:color w:val="000000" w:themeColor="text1"/>
        </w:rPr>
        <w:t xml:space="preserve"> will largely be used to develop programmatic reports, tools, and implementation guides for the purposes of program improvement. </w:t>
      </w:r>
      <w:r w:rsidRPr="54A55804" w:rsidR="00D4438A">
        <w:rPr>
          <w:color w:val="000000" w:themeColor="text1"/>
        </w:rPr>
        <w:t>In</w:t>
      </w:r>
      <w:r w:rsidRPr="54A55804" w:rsidR="246D3FD4">
        <w:rPr>
          <w:color w:val="000000" w:themeColor="text1"/>
        </w:rPr>
        <w:t xml:space="preserve"> </w:t>
      </w:r>
      <w:r w:rsidRPr="54A55804">
        <w:rPr>
          <w:color w:val="000000" w:themeColor="text1"/>
        </w:rPr>
        <w:t xml:space="preserve">collaboration with </w:t>
      </w:r>
      <w:r w:rsidRPr="54A55804" w:rsidR="4F1F66A6">
        <w:rPr>
          <w:color w:val="000000" w:themeColor="text1"/>
        </w:rPr>
        <w:t>ORS teams</w:t>
      </w:r>
      <w:r w:rsidRPr="54A55804">
        <w:rPr>
          <w:color w:val="000000" w:themeColor="text1"/>
        </w:rPr>
        <w:t>, other dissemination tools such as webinar, abstracts, presentations, and manuscripts may be developed.</w:t>
      </w:r>
    </w:p>
    <w:p w:rsidR="5BE5C628" w:rsidP="6D1DFE42" w14:paraId="2E98E2D0" w14:textId="0C841EFD">
      <w:pPr>
        <w:tabs>
          <w:tab w:val="left" w:pos="360"/>
        </w:tabs>
      </w:pPr>
    </w:p>
    <w:p w:rsidR="5BE5C628" w:rsidP="5BE5C628" w14:paraId="7CF5EDE1" w14:textId="7FAD308D">
      <w:pPr>
        <w:tabs>
          <w:tab w:val="left" w:pos="360"/>
        </w:tabs>
        <w:rPr>
          <w:b/>
          <w:bCs/>
        </w:rPr>
      </w:pPr>
    </w:p>
    <w:p w:rsidR="00972DEF" w:rsidRPr="00691454" w:rsidP="00972DEF" w14:paraId="0281E614" w14:textId="77777777">
      <w:pPr>
        <w:autoSpaceDE w:val="0"/>
        <w:autoSpaceDN w:val="0"/>
        <w:adjustRightInd w:val="0"/>
      </w:pPr>
    </w:p>
    <w:p w:rsidR="00972DEF" w:rsidRPr="00691454" w:rsidP="00972DEF" w14:paraId="4C644C21" w14:textId="77777777">
      <w:pPr>
        <w:autoSpaceDE w:val="0"/>
        <w:autoSpaceDN w:val="0"/>
        <w:adjustRightInd w:val="0"/>
        <w:rPr>
          <w:b/>
          <w:bCs/>
        </w:rPr>
      </w:pPr>
      <w:r w:rsidRPr="6D1DFE42">
        <w:rPr>
          <w:b/>
          <w:bCs/>
        </w:rPr>
        <w:t xml:space="preserve">A.3. </w:t>
      </w:r>
      <w:r>
        <w:tab/>
      </w:r>
      <w:r w:rsidRPr="6D1DFE42">
        <w:rPr>
          <w:b/>
          <w:bCs/>
        </w:rPr>
        <w:t>Use of Improved Information Technology and Burden Reduction</w:t>
      </w:r>
    </w:p>
    <w:p w:rsidR="6D1DFE42" w:rsidP="6D1DFE42" w14:paraId="3D7CEBBC" w14:textId="1F0E9E3C">
      <w:pPr>
        <w:rPr>
          <w:b/>
          <w:bCs/>
        </w:rPr>
      </w:pPr>
    </w:p>
    <w:p w:rsidR="6287D7C9" w:rsidP="6D1DFE42" w14:paraId="44487069" w14:textId="18218CF2">
      <w:r>
        <w:t xml:space="preserve">The ORS Annual Survey will be collected via Smartsheet, an online </w:t>
      </w:r>
      <w:r w:rsidR="4B086E87">
        <w:t xml:space="preserve">data collection platform. Smartsheet was selected </w:t>
      </w:r>
      <w:r w:rsidR="60294F33">
        <w:t>because it provides a</w:t>
      </w:r>
      <w:r w:rsidR="3DED2CA4">
        <w:t xml:space="preserve"> secure,</w:t>
      </w:r>
      <w:r w:rsidR="60294F33">
        <w:t xml:space="preserve"> cost-effective way to </w:t>
      </w:r>
      <w:r w:rsidR="3583F426">
        <w:t xml:space="preserve">create the survey, disseminate it via email, track responses, and </w:t>
      </w:r>
      <w:r w:rsidR="0FC1CC7C">
        <w:t xml:space="preserve">conduct initial data analysis and visualizations of responses. </w:t>
      </w:r>
      <w:r w:rsidR="1D448161">
        <w:t>Responses can also be exported to Excel or other software for further analysis. Smartsheet is also an acce</w:t>
      </w:r>
      <w:r w:rsidR="6259E054">
        <w:t xml:space="preserve">ssible platform for all ORS partners, including public safety partners who may be restricted in platforms they can access. </w:t>
      </w:r>
    </w:p>
    <w:p w:rsidR="6D1DFE42" w:rsidP="6D1DFE42" w14:paraId="1ED545E8" w14:textId="7A788799"/>
    <w:p w:rsidR="190EA387" w:rsidP="6D1DFE42" w14:paraId="66BE58F9" w14:textId="117B9930">
      <w:r>
        <w:t xml:space="preserve">CDC and CDCF developed the aforementioned ORSTRS web-based platform that will be used to collect the quarterly updates outlined in this ICR. The data entry interface of ORSTRS was developed </w:t>
      </w:r>
      <w:r w:rsidR="21D7F266">
        <w:t>through a subcontract with</w:t>
      </w:r>
      <w:r w:rsidR="65EBEE9B">
        <w:t xml:space="preserve"> </w:t>
      </w:r>
      <w:r w:rsidR="4E574225">
        <w:t>Mathematica</w:t>
      </w:r>
      <w:r w:rsidR="6005F03B">
        <w:t>, a research and data analytics consultancy.</w:t>
      </w:r>
    </w:p>
    <w:p w:rsidR="6D1DFE42" w:rsidP="6D1DFE42" w14:paraId="3E0D5248" w14:textId="1D59FB34"/>
    <w:p w:rsidR="1C972B50" w:rsidP="1C972B50" w14:paraId="2C28FD1F" w14:textId="514385CC"/>
    <w:p w:rsidR="4E574225" w:rsidP="6D1DFE42" w14:paraId="537C4CF3" w14:textId="6C64A578">
      <w:r>
        <w:t>The use of ORSTRS provides several advantages:</w:t>
      </w:r>
    </w:p>
    <w:p w:rsidR="4E574225" w:rsidP="00F252DA" w14:paraId="30F14C61" w14:textId="02B32A32">
      <w:pPr>
        <w:pStyle w:val="ListParagraph"/>
        <w:numPr>
          <w:ilvl w:val="0"/>
          <w:numId w:val="7"/>
        </w:numPr>
      </w:pPr>
      <w:r w:rsidRPr="6D1DFE42">
        <w:t>This user-friendly online interface requires little training and is easy and intuitive for ORS teams to use to enter data for the information collection.</w:t>
      </w:r>
    </w:p>
    <w:p w:rsidR="4E574225" w:rsidP="00F252DA" w14:paraId="4EE65622" w14:textId="304EA249">
      <w:pPr>
        <w:pStyle w:val="ListParagraph"/>
        <w:numPr>
          <w:ilvl w:val="0"/>
          <w:numId w:val="7"/>
        </w:numPr>
      </w:pPr>
      <w:r w:rsidRPr="6D1DFE42">
        <w:t>Standard data elements, definitions, and specifications at all levels improve the quality and comparability of information that ORS teams submit and enhance the consistency of reports to examine information across ORS teams.</w:t>
      </w:r>
    </w:p>
    <w:p w:rsidR="4E574225" w:rsidP="00F252DA" w14:paraId="59B25F8B" w14:textId="1137D3B9">
      <w:pPr>
        <w:pStyle w:val="ListParagraph"/>
        <w:numPr>
          <w:ilvl w:val="0"/>
          <w:numId w:val="7"/>
        </w:numPr>
      </w:pPr>
      <w:r w:rsidRPr="6D1DFE42">
        <w:rPr>
          <w:color w:val="000000" w:themeColor="text1"/>
        </w:rPr>
        <w:t xml:space="preserve">The structure of the data collection in ORSTRS is flexible such that different ORS teams are still able to capture and report information relevant to their program context and structure. </w:t>
      </w:r>
      <w:r w:rsidRPr="6D1DFE42">
        <w:t xml:space="preserve"> </w:t>
      </w:r>
    </w:p>
    <w:p w:rsidR="4E574225" w:rsidP="00F252DA" w14:paraId="66336D0A" w14:textId="2C626B85">
      <w:pPr>
        <w:pStyle w:val="ListParagraph"/>
        <w:numPr>
          <w:ilvl w:val="0"/>
          <w:numId w:val="7"/>
        </w:numPr>
      </w:pPr>
      <w:r w:rsidRPr="6D1DFE42">
        <w:rPr>
          <w:color w:val="000000" w:themeColor="text1"/>
        </w:rPr>
        <w:t>The ability to carry information and populate from one reporting period to the next increases the efficiency of data entry, reduces errors and redundancies, and therefore increases the quality and reliability of information that ORS teams submit each quarter.</w:t>
      </w:r>
    </w:p>
    <w:p w:rsidR="6D1DFE42" w:rsidP="6D1DFE42" w14:paraId="2B626231" w14:textId="1389711D"/>
    <w:p w:rsidR="58E8CDB3" w:rsidP="6D1DFE42" w14:paraId="1C09E387" w14:textId="07EE3547">
      <w:pPr>
        <w:tabs>
          <w:tab w:val="num" w:pos="720"/>
        </w:tabs>
        <w:spacing w:line="259" w:lineRule="auto"/>
        <w:rPr>
          <w:color w:val="000000" w:themeColor="text1"/>
        </w:rPr>
      </w:pPr>
      <w:r w:rsidRPr="6D1DFE42">
        <w:rPr>
          <w:color w:val="000000" w:themeColor="text1"/>
        </w:rPr>
        <w:t>The ORSTRS tool</w:t>
      </w:r>
      <w:r w:rsidRPr="6D1DFE42" w:rsidR="4E574225">
        <w:rPr>
          <w:color w:val="000000" w:themeColor="text1"/>
        </w:rPr>
        <w:t xml:space="preserve"> improve</w:t>
      </w:r>
      <w:r w:rsidRPr="6D1DFE42" w:rsidR="777B7372">
        <w:rPr>
          <w:color w:val="000000" w:themeColor="text1"/>
        </w:rPr>
        <w:t>s</w:t>
      </w:r>
      <w:r w:rsidRPr="6D1DFE42" w:rsidR="4E574225">
        <w:rPr>
          <w:color w:val="000000" w:themeColor="text1"/>
        </w:rPr>
        <w:t xml:space="preserve"> information quality by minimizing errors and redundancy. Having information consistently collected from all </w:t>
      </w:r>
      <w:r w:rsidRPr="6D1DFE42" w:rsidR="5C2A4C62">
        <w:rPr>
          <w:color w:val="000000" w:themeColor="text1"/>
        </w:rPr>
        <w:t>ORS teams</w:t>
      </w:r>
      <w:r w:rsidRPr="6D1DFE42" w:rsidR="4E574225">
        <w:rPr>
          <w:color w:val="000000" w:themeColor="text1"/>
        </w:rPr>
        <w:t xml:space="preserve"> in the same manner year-over-year reduces the level of burden attributable to redundancy and reduces the workload to enter and maintain the data. Additionally</w:t>
      </w:r>
      <w:r w:rsidRPr="6D1DFE42" w:rsidR="4EDFDB13">
        <w:rPr>
          <w:color w:val="000000" w:themeColor="text1"/>
        </w:rPr>
        <w:t xml:space="preserve">, </w:t>
      </w:r>
      <w:r w:rsidRPr="6D1DFE42" w:rsidR="164E74F4">
        <w:rPr>
          <w:color w:val="000000" w:themeColor="text1"/>
        </w:rPr>
        <w:t>ORS teams</w:t>
      </w:r>
      <w:r w:rsidRPr="6D1DFE42" w:rsidR="6207C3E5">
        <w:rPr>
          <w:color w:val="000000" w:themeColor="text1"/>
        </w:rPr>
        <w:t xml:space="preserve"> </w:t>
      </w:r>
      <w:r w:rsidRPr="6D1DFE42" w:rsidR="4E574225">
        <w:rPr>
          <w:color w:val="000000" w:themeColor="text1"/>
        </w:rPr>
        <w:t xml:space="preserve">will have data self-populated from one </w:t>
      </w:r>
      <w:r w:rsidRPr="6D1DFE42" w:rsidR="0DB2F9DC">
        <w:rPr>
          <w:color w:val="000000" w:themeColor="text1"/>
        </w:rPr>
        <w:t>quarter</w:t>
      </w:r>
      <w:r w:rsidRPr="6D1DFE42" w:rsidR="4E574225">
        <w:rPr>
          <w:color w:val="000000" w:themeColor="text1"/>
        </w:rPr>
        <w:t xml:space="preserve"> to another, which minimizes data re-entry, burden, and potential errors. Finally, by providing </w:t>
      </w:r>
      <w:r w:rsidRPr="6D1DFE42" w:rsidR="16AAAA99">
        <w:rPr>
          <w:color w:val="000000" w:themeColor="text1"/>
        </w:rPr>
        <w:t xml:space="preserve">one, centralized </w:t>
      </w:r>
      <w:r w:rsidRPr="6D1DFE42" w:rsidR="4E574225">
        <w:rPr>
          <w:color w:val="000000" w:themeColor="text1"/>
        </w:rPr>
        <w:t xml:space="preserve">data collection tool, </w:t>
      </w:r>
      <w:r w:rsidRPr="6D1DFE42" w:rsidR="5A472A44">
        <w:rPr>
          <w:color w:val="000000" w:themeColor="text1"/>
        </w:rPr>
        <w:t>ORS teams</w:t>
      </w:r>
      <w:r w:rsidRPr="6D1DFE42" w:rsidR="4E574225">
        <w:rPr>
          <w:color w:val="000000" w:themeColor="text1"/>
        </w:rPr>
        <w:t xml:space="preserve"> will experience less burden because each </w:t>
      </w:r>
      <w:r w:rsidRPr="6D1DFE42" w:rsidR="4F26544E">
        <w:rPr>
          <w:color w:val="000000" w:themeColor="text1"/>
        </w:rPr>
        <w:t xml:space="preserve">team </w:t>
      </w:r>
      <w:r w:rsidRPr="6D1DFE42" w:rsidR="4E574225">
        <w:rPr>
          <w:color w:val="000000" w:themeColor="text1"/>
        </w:rPr>
        <w:t xml:space="preserve">will not need to figure out how to collect data on their own. </w:t>
      </w:r>
    </w:p>
    <w:p w:rsidR="6D1DFE42" w:rsidP="6D1DFE42" w14:paraId="44E5D52A" w14:textId="1D94DE6E">
      <w:pPr>
        <w:tabs>
          <w:tab w:val="num" w:pos="720"/>
        </w:tabs>
        <w:rPr>
          <w:color w:val="000000" w:themeColor="text1"/>
        </w:rPr>
      </w:pPr>
    </w:p>
    <w:p w:rsidR="4E574225" w:rsidP="6D1DFE42" w14:paraId="50D118E1" w14:textId="6B5C3710">
      <w:pPr>
        <w:rPr>
          <w:color w:val="000000" w:themeColor="text1"/>
        </w:rPr>
      </w:pPr>
      <w:r w:rsidRPr="1C972B50">
        <w:rPr>
          <w:color w:val="000000" w:themeColor="text1"/>
        </w:rPr>
        <w:t xml:space="preserve">Further, standardization enhances the consistency of information collected, thereby enabling examination of cross-program strategies. The report generation capabilities of the web-based tool </w:t>
      </w:r>
      <w:r w:rsidRPr="1C972B50" w:rsidR="21EF2CC7">
        <w:rPr>
          <w:color w:val="000000" w:themeColor="text1"/>
        </w:rPr>
        <w:t>reduce</w:t>
      </w:r>
      <w:r w:rsidRPr="1C972B50">
        <w:rPr>
          <w:color w:val="000000" w:themeColor="text1"/>
        </w:rPr>
        <w:t xml:space="preserve"> the respondent burden associated with paper-based reports. Without the reporting tools and the integrated approach to information collection and reporting, </w:t>
      </w:r>
      <w:r w:rsidRPr="1C972B50" w:rsidR="2EFC1793">
        <w:rPr>
          <w:color w:val="000000" w:themeColor="text1"/>
        </w:rPr>
        <w:t>ORS teams</w:t>
      </w:r>
      <w:r w:rsidRPr="1C972B50">
        <w:rPr>
          <w:color w:val="000000" w:themeColor="text1"/>
        </w:rPr>
        <w:t xml:space="preserve"> and CDC would need to continue to use time consuming and labor-intensive procedures for information collection and reporting.</w:t>
      </w:r>
    </w:p>
    <w:p w:rsidR="1C972B50" w:rsidP="1C972B50" w14:paraId="6C0E1A6F" w14:textId="6C67DDFD">
      <w:pPr>
        <w:rPr>
          <w:color w:val="000000" w:themeColor="text1"/>
        </w:rPr>
      </w:pPr>
    </w:p>
    <w:p w:rsidR="36CC59F6" w:rsidP="1C972B50" w14:paraId="2518107F" w14:textId="46CB01C0">
      <w:r w:rsidRPr="1C972B50">
        <w:t>ORSTRS is also a collaborative tool. Users can use the project directory to search for projects led by other ORS teams in other parts of the country, as well as search for other ORS staff to foster cross-state and jurisdictional collaboration in the staff directory. This feature allows ORS teams to better leverage the ORS Network by having access to projects that have completed internal review and approval in other states/jurisdictions, as well as contact information for the respective ORS Teams for direct outreach and learning.</w:t>
      </w:r>
    </w:p>
    <w:p w:rsidR="1C972B50" w:rsidP="1C972B50" w14:paraId="507061CC" w14:textId="4BFA4196">
      <w:pPr>
        <w:ind w:firstLine="720"/>
      </w:pPr>
    </w:p>
    <w:p w:rsidR="0F6628A2" w:rsidP="1C972B50" w14:paraId="091CAD70" w14:textId="1C523DF7">
      <w:r w:rsidRPr="1C972B50">
        <w:t xml:space="preserve">Project updates can be saved without submitting, allowing users to input data throughout the quarter and submit for reviewer approval at the end of the quarter. For projects with a status of ‘In Progress’ or ‘On Hold’, data in the project overview, , </w:t>
      </w:r>
      <w:r w:rsidR="003E3E4A">
        <w:t xml:space="preserve">project team, </w:t>
      </w:r>
      <w:r w:rsidRPr="1C972B50">
        <w:t xml:space="preserve">, and project focus sections can be copied over to the next quarter once reviewed and approved by the National ORS Team, and the data in these sections can be updated as needed to reflect the current quarter. Sections for </w:t>
      </w:r>
      <w:r w:rsidR="003E3E4A">
        <w:t xml:space="preserve">outcomes in progress and outcomes completed </w:t>
      </w:r>
      <w:r w:rsidRPr="1C972B50">
        <w:t xml:space="preserve">are blank in any new or copied </w:t>
      </w:r>
      <w:r w:rsidRPr="1C972B50">
        <w:t>project entry and can be completed with applicable information reflecting activities in the quarter.</w:t>
      </w:r>
    </w:p>
    <w:p w:rsidR="1C972B50" w:rsidP="1C972B50" w14:paraId="50B237FD" w14:textId="1C1C3219"/>
    <w:p w:rsidR="0F6628A2" w:rsidP="1C972B50" w14:paraId="2562E5AB" w14:textId="2B7AFDCC">
      <w:r w:rsidRPr="1C972B50">
        <w:t xml:space="preserve">Users will also be asked to set up multi-factor authentication (MFA) when they activate their accounts. MFA is an authentication method that requires the user to provide two or more verification methods to gain access to a resource such as an application, online account, or a Virtual Private Network (VPN). MFA is a core component of a strong identity and access management (IAM) policy. Rather than just asking for a username and password, MFA requires one or more additional verification factors for security, like a verification code sent via text message to a mobile number. </w:t>
      </w:r>
    </w:p>
    <w:p w:rsidR="00972DEF" w:rsidRPr="00691454" w:rsidP="1C972B50" w14:paraId="3EC9770A" w14:textId="40056125">
      <w:pPr>
        <w:rPr>
          <w:color w:val="000000" w:themeColor="text1"/>
        </w:rPr>
      </w:pPr>
    </w:p>
    <w:p w:rsidR="00972DEF" w:rsidRPr="00691454" w:rsidP="00972DEF" w14:paraId="51E89E70" w14:textId="77777777">
      <w:pPr>
        <w:autoSpaceDE w:val="0"/>
        <w:autoSpaceDN w:val="0"/>
        <w:adjustRightInd w:val="0"/>
        <w:rPr>
          <w:b/>
          <w:bCs/>
        </w:rPr>
      </w:pPr>
      <w:r w:rsidRPr="6D1DFE42">
        <w:rPr>
          <w:b/>
          <w:bCs/>
        </w:rPr>
        <w:t xml:space="preserve">A.4. </w:t>
      </w:r>
      <w:r>
        <w:tab/>
      </w:r>
      <w:r w:rsidRPr="6D1DFE42">
        <w:rPr>
          <w:b/>
          <w:bCs/>
        </w:rPr>
        <w:t>Efforts to Identify Duplication and Use of Similar Information</w:t>
      </w:r>
    </w:p>
    <w:p w:rsidR="6D1DFE42" w:rsidP="6D1DFE42" w14:paraId="4980FE74" w14:textId="478279A5">
      <w:pPr>
        <w:rPr>
          <w:b/>
          <w:bCs/>
        </w:rPr>
      </w:pPr>
    </w:p>
    <w:p w:rsidR="2170578C" w:rsidP="6D1DFE42" w14:paraId="57905175" w14:textId="772D05F3">
      <w:pPr>
        <w:spacing w:line="259" w:lineRule="auto"/>
        <w:rPr>
          <w:color w:val="000000" w:themeColor="text1"/>
        </w:rPr>
      </w:pPr>
      <w:r w:rsidRPr="54A55804">
        <w:rPr>
          <w:color w:val="000000" w:themeColor="text1"/>
        </w:rPr>
        <w:t xml:space="preserve">NCIPC has confirmed with other Centers within CDC that they have not already collected the type of information covered by this data collection. </w:t>
      </w:r>
      <w:r w:rsidRPr="54A55804" w:rsidR="2E2A3B3A">
        <w:rPr>
          <w:color w:val="000000" w:themeColor="text1"/>
        </w:rPr>
        <w:t xml:space="preserve">Although the ORS is co-funded by another federal agency, ONDCP, NCIPC has confirmed that this data collection is not duplicative of any ONDCP </w:t>
      </w:r>
      <w:r w:rsidRPr="54A55804" w:rsidR="770C41D4">
        <w:rPr>
          <w:color w:val="000000" w:themeColor="text1"/>
        </w:rPr>
        <w:t xml:space="preserve">data collection </w:t>
      </w:r>
      <w:r w:rsidRPr="54A55804" w:rsidR="2E2A3B3A">
        <w:rPr>
          <w:color w:val="000000" w:themeColor="text1"/>
        </w:rPr>
        <w:t>efforts as it relates to the ORS.</w:t>
      </w:r>
      <w:r w:rsidR="00316352">
        <w:rPr>
          <w:color w:val="000000" w:themeColor="text1"/>
        </w:rPr>
        <w:t xml:space="preserve"> These discussions were held on August 23, 2024, with the deputy director of ONDCP’s High Intensity Drug Trafficking Areas (HIDTA) program. From the discussion, it was concluded that CDC should move forward with obtaining OMB approval and that this data collection would not be redundant of any ONDCP data collection efforts related to the ORS.</w:t>
      </w:r>
      <w:r w:rsidRPr="54A55804" w:rsidR="2E2A3B3A">
        <w:rPr>
          <w:color w:val="000000" w:themeColor="text1"/>
        </w:rPr>
        <w:t xml:space="preserve"> N</w:t>
      </w:r>
      <w:r w:rsidRPr="54A55804" w:rsidR="7A899040">
        <w:rPr>
          <w:color w:val="000000" w:themeColor="text1"/>
        </w:rPr>
        <w:t>CIPC will share information from this data collection in aggregate form with partners at ONDCP.</w:t>
      </w:r>
      <w:r w:rsidRPr="54A55804">
        <w:rPr>
          <w:color w:val="000000" w:themeColor="text1"/>
        </w:rPr>
        <w:t xml:space="preserve"> </w:t>
      </w:r>
    </w:p>
    <w:p w:rsidR="6D1DFE42" w:rsidP="6D1DFE42" w14:paraId="1E522C09" w14:textId="65A9BE5F">
      <w:pPr>
        <w:spacing w:line="259" w:lineRule="auto"/>
        <w:rPr>
          <w:color w:val="000000" w:themeColor="text1"/>
        </w:rPr>
      </w:pPr>
    </w:p>
    <w:p w:rsidR="6D1DFE42" w:rsidP="6D1DFE42" w14:paraId="3BF7718F" w14:textId="0B595B57">
      <w:pPr>
        <w:rPr>
          <w:color w:val="000000" w:themeColor="text1"/>
        </w:rPr>
      </w:pPr>
      <w:r w:rsidRPr="6D1DFE42">
        <w:rPr>
          <w:color w:val="000000" w:themeColor="text1"/>
        </w:rPr>
        <w:t xml:space="preserve">No ICR currently exists that would allow for the collection of this information. This ICR serves a practical and necessary purpose of collecting information that will identify and inform any needed ORS program enhancements or improvements. The collection of this information is essential to ensure that this national, multi-million-dollar program co-funded by two federal agencies continues to achieve its mission and goals. </w:t>
      </w:r>
    </w:p>
    <w:p w:rsidR="00972DEF" w:rsidRPr="00691454" w:rsidP="00972DEF" w14:paraId="6413066D" w14:textId="77777777">
      <w:pPr>
        <w:autoSpaceDE w:val="0"/>
        <w:autoSpaceDN w:val="0"/>
        <w:adjustRightInd w:val="0"/>
      </w:pPr>
    </w:p>
    <w:p w:rsidR="00972DEF" w:rsidRPr="00691454" w:rsidP="00972DEF" w14:paraId="48EA7856" w14:textId="77777777">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rsidR="00972DEF" w:rsidRPr="00691454" w:rsidP="00972DEF" w14:paraId="661754EE" w14:textId="77777777">
      <w:pPr>
        <w:autoSpaceDE w:val="0"/>
        <w:autoSpaceDN w:val="0"/>
        <w:adjustRightInd w:val="0"/>
        <w:rPr>
          <w:b/>
          <w:bCs/>
        </w:rPr>
      </w:pPr>
    </w:p>
    <w:p w:rsidR="0027700E" w:rsidRPr="00691454" w:rsidP="5BE5C628" w14:paraId="28221890" w14:textId="223E6D3A">
      <w:pPr>
        <w:autoSpaceDE w:val="0"/>
        <w:autoSpaceDN w:val="0"/>
        <w:adjustRightInd w:val="0"/>
      </w:pPr>
      <w:r w:rsidRPr="6D1DFE42">
        <w:rPr>
          <w:color w:val="000000" w:themeColor="text1"/>
        </w:rPr>
        <w:t>Every effort will be made to minimize the burden on all respondents during t</w:t>
      </w:r>
      <w:r w:rsidRPr="6D1DFE42" w:rsidR="6805592A">
        <w:rPr>
          <w:color w:val="000000" w:themeColor="text1"/>
        </w:rPr>
        <w:t>his collection of information</w:t>
      </w:r>
      <w:r w:rsidRPr="6D1DFE42">
        <w:rPr>
          <w:color w:val="000000" w:themeColor="text1"/>
        </w:rPr>
        <w:t>. Information collected is held to the absolute minimum required to identify new actions or improving existing ones to control the overdose crisis to ease impact on small businesses or entities.</w:t>
      </w:r>
      <w:r w:rsidRPr="6D1DFE42">
        <w:t xml:space="preserve"> </w:t>
      </w:r>
      <w:r>
        <w:t>No small businesses will be involved in this data collection.</w:t>
      </w:r>
    </w:p>
    <w:p w:rsidR="00972DEF" w:rsidRPr="00691454" w:rsidP="00972DEF" w14:paraId="3F150795" w14:textId="77777777">
      <w:pPr>
        <w:autoSpaceDE w:val="0"/>
        <w:autoSpaceDN w:val="0"/>
        <w:adjustRightInd w:val="0"/>
        <w:rPr>
          <w:i/>
          <w:iCs/>
        </w:rPr>
      </w:pPr>
    </w:p>
    <w:p w:rsidR="00972DEF" w:rsidRPr="00691454" w:rsidP="00972DEF" w14:paraId="24D0AC9B" w14:textId="77777777">
      <w:pPr>
        <w:autoSpaceDE w:val="0"/>
        <w:autoSpaceDN w:val="0"/>
        <w:adjustRightInd w:val="0"/>
        <w:rPr>
          <w:b/>
          <w:bCs/>
        </w:rPr>
      </w:pPr>
      <w:r w:rsidRPr="6D1DFE42">
        <w:rPr>
          <w:b/>
          <w:bCs/>
        </w:rPr>
        <w:t xml:space="preserve">A.6. </w:t>
      </w:r>
      <w:r>
        <w:tab/>
      </w:r>
      <w:r w:rsidRPr="6D1DFE42">
        <w:rPr>
          <w:b/>
          <w:bCs/>
        </w:rPr>
        <w:t xml:space="preserve">Consequences of Collecting the Information Less Frequently </w:t>
      </w:r>
    </w:p>
    <w:p w:rsidR="6D1DFE42" w:rsidP="6D1DFE42" w14:paraId="7181A781" w14:textId="55817A8F">
      <w:pPr>
        <w:rPr>
          <w:b/>
          <w:bCs/>
        </w:rPr>
      </w:pPr>
    </w:p>
    <w:p w:rsidR="7A37D287" w:rsidP="54A55804" w14:paraId="0EB7E051" w14:textId="0C5E4A8D">
      <w:pPr>
        <w:rPr>
          <w:color w:val="000000" w:themeColor="text1"/>
        </w:rPr>
      </w:pPr>
      <w:r w:rsidRPr="54A55804">
        <w:rPr>
          <w:color w:val="000000" w:themeColor="text1"/>
        </w:rPr>
        <w:t>Less frequent reporting would undermine accountability efforts at all levels and negatively affect monitoring recipient progress. The annual</w:t>
      </w:r>
      <w:r w:rsidRPr="54A55804" w:rsidR="53BD1D12">
        <w:rPr>
          <w:color w:val="000000" w:themeColor="text1"/>
        </w:rPr>
        <w:t xml:space="preserve"> and quarterly</w:t>
      </w:r>
      <w:r w:rsidRPr="54A55804">
        <w:rPr>
          <w:color w:val="000000" w:themeColor="text1"/>
        </w:rPr>
        <w:t xml:space="preserve"> reporting schedule ensures that CDC responses to inquiries from HHS, the White House, Congress, and other stakeholders are based on timely and up-to-date information.</w:t>
      </w:r>
      <w:r w:rsidRPr="54A55804" w:rsidR="2B301764">
        <w:rPr>
          <w:color w:val="000000" w:themeColor="text1"/>
        </w:rPr>
        <w:t xml:space="preserve"> This information is key for program accountability and ORS implementation.</w:t>
      </w:r>
    </w:p>
    <w:p w:rsidR="6D1DFE42" w:rsidP="6D1DFE42" w14:paraId="0E09451E" w14:textId="3028DD76">
      <w:pPr>
        <w:rPr>
          <w:b/>
          <w:bCs/>
        </w:rPr>
      </w:pPr>
    </w:p>
    <w:p w:rsidR="00972DEF" w:rsidRPr="00691454" w:rsidP="00972DEF" w14:paraId="747A891A" w14:textId="77777777">
      <w:pPr>
        <w:autoSpaceDE w:val="0"/>
        <w:autoSpaceDN w:val="0"/>
        <w:adjustRightInd w:val="0"/>
      </w:pPr>
    </w:p>
    <w:p w:rsidR="00972DEF" w:rsidRPr="00691454" w:rsidP="00972DEF" w14:paraId="1BEA9FA3" w14:textId="77777777">
      <w:pPr>
        <w:autoSpaceDE w:val="0"/>
        <w:autoSpaceDN w:val="0"/>
        <w:adjustRightInd w:val="0"/>
      </w:pPr>
      <w:r w:rsidRPr="00691454">
        <w:rPr>
          <w:b/>
          <w:bCs/>
        </w:rPr>
        <w:t xml:space="preserve">A.7. </w:t>
      </w:r>
      <w:r w:rsidRPr="00691454">
        <w:rPr>
          <w:b/>
          <w:bCs/>
        </w:rPr>
        <w:tab/>
        <w:t>Special Circumstances Relating to the Guidelines of 5 CFR 1320.5</w:t>
      </w:r>
    </w:p>
    <w:p w:rsidR="00972DEF" w:rsidRPr="00691454" w:rsidP="00972DEF" w14:paraId="12FAE6FE" w14:textId="77777777">
      <w:pPr>
        <w:autoSpaceDE w:val="0"/>
        <w:autoSpaceDN w:val="0"/>
        <w:adjustRightInd w:val="0"/>
      </w:pPr>
    </w:p>
    <w:p w:rsidR="00972DEF" w:rsidRPr="00691454" w:rsidP="00972DEF" w14:paraId="3E7C4948" w14:textId="77777777">
      <w:pPr>
        <w:pStyle w:val="SL-FlLftSgl"/>
      </w:pPr>
      <w:r w:rsidRPr="00691454">
        <w:t xml:space="preserve">The request fully complies with the regulation 5 CFR 1320.5. </w:t>
      </w:r>
    </w:p>
    <w:p w:rsidR="00972DEF" w:rsidRPr="00691454" w:rsidP="00972DEF" w14:paraId="41143309" w14:textId="77777777">
      <w:pPr>
        <w:autoSpaceDE w:val="0"/>
        <w:autoSpaceDN w:val="0"/>
        <w:adjustRightInd w:val="0"/>
      </w:pPr>
    </w:p>
    <w:p w:rsidR="00972DEF" w:rsidRPr="00691454" w:rsidP="00972DEF" w14:paraId="3EF6BEFB" w14:textId="77777777">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rsidR="00972DEF" w:rsidRPr="00691454" w:rsidP="00972DEF" w14:paraId="1B096D71" w14:textId="77777777">
      <w:pPr>
        <w:autoSpaceDE w:val="0"/>
        <w:autoSpaceDN w:val="0"/>
        <w:adjustRightInd w:val="0"/>
      </w:pPr>
    </w:p>
    <w:p w:rsidR="00405CC1" w:rsidP="00972DEF" w14:paraId="53B83BC0" w14:textId="77777777">
      <w:pPr>
        <w:rPr>
          <w:b/>
          <w:bCs/>
          <w:noProof/>
        </w:rPr>
      </w:pPr>
      <w:r w:rsidRPr="00691454">
        <w:rPr>
          <w:b/>
        </w:rPr>
        <w:t>A.8.a)</w:t>
      </w:r>
      <w:r w:rsidRPr="00691454">
        <w:tab/>
      </w:r>
      <w:r w:rsidRPr="009F5D2B" w:rsidR="0049057C">
        <w:rPr>
          <w:b/>
          <w:bCs/>
          <w:noProof/>
        </w:rPr>
        <w:t>Federal Register Notice</w:t>
      </w:r>
    </w:p>
    <w:p w:rsidR="00DD7766" w:rsidRPr="009F5D2B" w:rsidP="00972DEF" w14:paraId="4AB463D1" w14:textId="77777777">
      <w:pPr>
        <w:rPr>
          <w:noProof/>
        </w:rPr>
      </w:pPr>
    </w:p>
    <w:p w:rsidR="00FB1045" w:rsidRPr="00616D20" w:rsidP="00FB1045" w14:paraId="5DD91B53" w14:textId="365A1B9B">
      <w:r w:rsidRPr="00B66B3C">
        <w:t xml:space="preserve">A 60-day Federal Register Notice was published in the Federal Register on </w:t>
      </w:r>
      <w:r w:rsidRPr="00B66B3C" w:rsidR="003D56FB">
        <w:t xml:space="preserve">October 21, 2024, vol. 89, No. 203, pp. 84148-84149 </w:t>
      </w:r>
      <w:r w:rsidRPr="00B66B3C">
        <w:t>(Attachment B</w:t>
      </w:r>
      <w:r w:rsidRPr="00B66B3C" w:rsidR="00A25715">
        <w:t>.1</w:t>
      </w:r>
      <w:r w:rsidRPr="00B66B3C">
        <w:t xml:space="preserve">). </w:t>
      </w:r>
      <w:r w:rsidRPr="00B66B3C" w:rsidR="00A25715">
        <w:t xml:space="preserve">There was </w:t>
      </w:r>
      <w:r w:rsidR="00BA75BC">
        <w:t>3</w:t>
      </w:r>
      <w:r w:rsidRPr="00B66B3C" w:rsidR="00A25715">
        <w:t xml:space="preserve"> non-substantive public comment</w:t>
      </w:r>
      <w:r w:rsidR="00BA75BC">
        <w:t>s</w:t>
      </w:r>
      <w:r w:rsidRPr="00B66B3C" w:rsidR="00554FAC">
        <w:t xml:space="preserve"> </w:t>
      </w:r>
      <w:r w:rsidRPr="00B66B3C">
        <w:t xml:space="preserve">to the </w:t>
      </w:r>
      <w:r w:rsidRPr="00B66B3C" w:rsidR="003F647A">
        <w:t>60-day Federal Register Notice</w:t>
      </w:r>
      <w:r w:rsidRPr="00B66B3C" w:rsidR="00A25715">
        <w:t>, the standard CDC response was sent (Attachment B</w:t>
      </w:r>
      <w:r w:rsidR="00A66805">
        <w:t>1</w:t>
      </w:r>
      <w:r w:rsidRPr="00B66B3C" w:rsidR="00A25715">
        <w:t>)</w:t>
      </w:r>
      <w:r w:rsidR="00A66805">
        <w:t>.</w:t>
      </w:r>
    </w:p>
    <w:p w:rsidR="00405CC1" w:rsidRPr="00691454" w:rsidP="00972DEF" w14:paraId="6CFA328A" w14:textId="77777777"/>
    <w:p w:rsidR="00972DEF" w:rsidRPr="00691454" w:rsidP="00972DEF" w14:paraId="5571CDD8" w14:textId="77777777">
      <w:r w:rsidRPr="6D1DFE42">
        <w:rPr>
          <w:b/>
          <w:bCs/>
        </w:rPr>
        <w:t>A.8.b)</w:t>
      </w:r>
      <w:r>
        <w:t xml:space="preserve"> </w:t>
      </w:r>
      <w:r w:rsidRPr="009F5D2B" w:rsidR="0049057C">
        <w:rPr>
          <w:b/>
          <w:bCs/>
          <w:noProof/>
        </w:rPr>
        <w:t>Efforts to Consult Outside the Agency</w:t>
      </w:r>
    </w:p>
    <w:p w:rsidR="00FE41B7" w:rsidP="6D1DFE42" w14:paraId="423D66DA" w14:textId="391F805C">
      <w:pPr>
        <w:rPr>
          <w:noProof/>
        </w:rPr>
      </w:pPr>
    </w:p>
    <w:p w:rsidR="00FE41B7" w:rsidP="6D1DFE42" w14:paraId="09F2BF19" w14:textId="46C8614A">
      <w:pPr>
        <w:rPr>
          <w:noProof/>
          <w:color w:val="000000" w:themeColor="text1"/>
        </w:rPr>
      </w:pPr>
      <w:r w:rsidRPr="6D1DFE42">
        <w:rPr>
          <w:noProof/>
          <w:color w:val="000000" w:themeColor="text1"/>
        </w:rPr>
        <w:t>The data collection instruments were designed collaboratively by CDC</w:t>
      </w:r>
      <w:r w:rsidRPr="6D1DFE42" w:rsidR="736570CA">
        <w:rPr>
          <w:noProof/>
          <w:color w:val="000000" w:themeColor="text1"/>
        </w:rPr>
        <w:t>, CDCF and ONDCP</w:t>
      </w:r>
      <w:r w:rsidRPr="6D1DFE42" w:rsidR="643DD4ED">
        <w:rPr>
          <w:noProof/>
          <w:color w:val="000000" w:themeColor="text1"/>
        </w:rPr>
        <w:t>/HIDTA</w:t>
      </w:r>
      <w:r w:rsidRPr="6D1DFE42" w:rsidR="736570CA">
        <w:rPr>
          <w:noProof/>
          <w:color w:val="000000" w:themeColor="text1"/>
        </w:rPr>
        <w:t xml:space="preserve"> staff.</w:t>
      </w:r>
      <w:r w:rsidRPr="6D1DFE42">
        <w:rPr>
          <w:noProof/>
          <w:color w:val="000000" w:themeColor="text1"/>
        </w:rPr>
        <w:t xml:space="preserve"> </w:t>
      </w:r>
      <w:r w:rsidRPr="6D1DFE42" w:rsidR="275C5FB7">
        <w:rPr>
          <w:noProof/>
          <w:color w:val="000000" w:themeColor="text1"/>
        </w:rPr>
        <w:t xml:space="preserve">There were no major problems that could not be resolved during the consultation. </w:t>
      </w:r>
      <w:r w:rsidRPr="6D1DFE42">
        <w:rPr>
          <w:noProof/>
          <w:color w:val="000000" w:themeColor="text1"/>
        </w:rPr>
        <w:t xml:space="preserve">Consultation will continue throughout the implementation process. </w:t>
      </w:r>
    </w:p>
    <w:p w:rsidR="6D1DFE42" w:rsidP="6D1DFE42" w14:paraId="59A67CEE" w14:textId="4B9E34ED">
      <w:pPr>
        <w:rPr>
          <w:noProof/>
          <w:color w:val="000000" w:themeColor="text1"/>
        </w:rPr>
      </w:pPr>
    </w:p>
    <w:p w:rsidR="303DFF1F" w:rsidP="6D1DFE42" w14:paraId="40D6BB9F" w14:textId="2A7D0072">
      <w:pPr>
        <w:rPr>
          <w:noProof/>
          <w:color w:val="000000" w:themeColor="text1"/>
        </w:rPr>
      </w:pPr>
      <w:r w:rsidRPr="6D1DFE42">
        <w:rPr>
          <w:b/>
          <w:bCs/>
          <w:noProof/>
          <w:color w:val="000000" w:themeColor="text1"/>
        </w:rPr>
        <w:t xml:space="preserve">Name: </w:t>
      </w:r>
      <w:r w:rsidRPr="6D1DFE42">
        <w:rPr>
          <w:noProof/>
          <w:color w:val="000000" w:themeColor="text1"/>
        </w:rPr>
        <w:t xml:space="preserve">Audi Ritchie </w:t>
      </w:r>
    </w:p>
    <w:p w:rsidR="303DFF1F" w:rsidP="6D1DFE42" w14:paraId="2ECABAC4" w14:textId="3C0BE19C">
      <w:pPr>
        <w:rPr>
          <w:noProof/>
          <w:color w:val="000000" w:themeColor="text1"/>
        </w:rPr>
      </w:pPr>
      <w:r w:rsidRPr="6D1DFE42">
        <w:rPr>
          <w:b/>
          <w:bCs/>
          <w:noProof/>
          <w:color w:val="000000" w:themeColor="text1"/>
        </w:rPr>
        <w:t xml:space="preserve">Title: </w:t>
      </w:r>
      <w:r w:rsidRPr="6D1DFE42" w:rsidR="7F0B3E8A">
        <w:rPr>
          <w:noProof/>
          <w:color w:val="000000" w:themeColor="text1"/>
        </w:rPr>
        <w:t xml:space="preserve">Senior Program Officer, CDC Foundation </w:t>
      </w:r>
    </w:p>
    <w:p w:rsidR="6D1DFE42" w:rsidP="6D1DFE42" w14:paraId="7140F10A" w14:textId="01138F9C">
      <w:pPr>
        <w:rPr>
          <w:b/>
          <w:bCs/>
          <w:noProof/>
          <w:color w:val="000000" w:themeColor="text1"/>
        </w:rPr>
      </w:pPr>
    </w:p>
    <w:p w:rsidR="303DFF1F" w:rsidP="6D1DFE42" w14:paraId="3AFF2B4D" w14:textId="6667E4AB">
      <w:pPr>
        <w:rPr>
          <w:noProof/>
          <w:color w:val="000000" w:themeColor="text1"/>
        </w:rPr>
      </w:pPr>
      <w:r w:rsidRPr="6D1DFE42">
        <w:rPr>
          <w:b/>
          <w:bCs/>
          <w:noProof/>
          <w:color w:val="000000" w:themeColor="text1"/>
        </w:rPr>
        <w:t xml:space="preserve">Name: </w:t>
      </w:r>
      <w:r w:rsidRPr="6D1DFE42">
        <w:rPr>
          <w:noProof/>
          <w:color w:val="000000" w:themeColor="text1"/>
        </w:rPr>
        <w:t xml:space="preserve">Kiersten Nicholson </w:t>
      </w:r>
    </w:p>
    <w:p w:rsidR="303DFF1F" w:rsidP="6D1DFE42" w14:paraId="0057DB6E" w14:textId="157FC6E8">
      <w:pPr>
        <w:rPr>
          <w:noProof/>
          <w:color w:val="000000" w:themeColor="text1"/>
        </w:rPr>
      </w:pPr>
      <w:r w:rsidRPr="6D1DFE42">
        <w:rPr>
          <w:b/>
          <w:bCs/>
          <w:noProof/>
          <w:color w:val="000000" w:themeColor="text1"/>
        </w:rPr>
        <w:t xml:space="preserve">Title: </w:t>
      </w:r>
      <w:r w:rsidRPr="6D1DFE42" w:rsidR="16185FFC">
        <w:rPr>
          <w:noProof/>
          <w:color w:val="000000" w:themeColor="text1"/>
        </w:rPr>
        <w:t xml:space="preserve">Senior Program Officer, CDC Foundation </w:t>
      </w:r>
    </w:p>
    <w:p w:rsidR="6D1DFE42" w:rsidP="6D1DFE42" w14:paraId="75FDDFC2" w14:textId="5174D1F8">
      <w:pPr>
        <w:rPr>
          <w:b/>
          <w:bCs/>
          <w:noProof/>
          <w:color w:val="000000" w:themeColor="text1"/>
        </w:rPr>
      </w:pPr>
    </w:p>
    <w:p w:rsidR="303DFF1F" w:rsidP="6D1DFE42" w14:paraId="71388614" w14:textId="1D62A38F">
      <w:pPr>
        <w:rPr>
          <w:noProof/>
          <w:color w:val="000000" w:themeColor="text1"/>
        </w:rPr>
      </w:pPr>
      <w:r w:rsidRPr="6D1DFE42">
        <w:rPr>
          <w:b/>
          <w:bCs/>
          <w:noProof/>
          <w:color w:val="000000" w:themeColor="text1"/>
        </w:rPr>
        <w:t xml:space="preserve">Name: </w:t>
      </w:r>
      <w:r w:rsidRPr="6D1DFE42">
        <w:rPr>
          <w:noProof/>
          <w:color w:val="000000" w:themeColor="text1"/>
        </w:rPr>
        <w:t>Jim Cormier</w:t>
      </w:r>
    </w:p>
    <w:p w:rsidR="303DFF1F" w:rsidP="6D1DFE42" w14:paraId="1D673EF2" w14:textId="05734E4C">
      <w:pPr>
        <w:rPr>
          <w:noProof/>
          <w:color w:val="000000" w:themeColor="text1"/>
        </w:rPr>
      </w:pPr>
      <w:r w:rsidRPr="6D1DFE42">
        <w:rPr>
          <w:b/>
          <w:bCs/>
          <w:noProof/>
          <w:color w:val="000000" w:themeColor="text1"/>
        </w:rPr>
        <w:t xml:space="preserve">Title: </w:t>
      </w:r>
      <w:r w:rsidRPr="6D1DFE42">
        <w:rPr>
          <w:noProof/>
          <w:color w:val="000000" w:themeColor="text1"/>
        </w:rPr>
        <w:t xml:space="preserve">HIDTA ORS National Coordinator </w:t>
      </w:r>
    </w:p>
    <w:p w:rsidR="6D1DFE42" w:rsidP="6D1DFE42" w14:paraId="1CC45A15" w14:textId="22009318">
      <w:pPr>
        <w:rPr>
          <w:b/>
          <w:bCs/>
          <w:noProof/>
          <w:color w:val="000000" w:themeColor="text1"/>
        </w:rPr>
      </w:pPr>
    </w:p>
    <w:p w:rsidR="6D1DFE42" w:rsidP="6D1DFE42" w14:paraId="3654DE87" w14:textId="7ED872FF">
      <w:pPr>
        <w:rPr>
          <w:noProof/>
          <w:color w:val="000000" w:themeColor="text1"/>
        </w:rPr>
      </w:pPr>
    </w:p>
    <w:p w:rsidR="00972DEF" w:rsidRPr="00691454" w:rsidP="00C45252" w14:paraId="4099DD93" w14:textId="77777777">
      <w:pPr>
        <w:rPr>
          <w:b/>
          <w:bCs/>
        </w:rPr>
      </w:pPr>
      <w:r w:rsidRPr="00691454">
        <w:rPr>
          <w:b/>
          <w:bCs/>
        </w:rPr>
        <w:t xml:space="preserve">A.9. </w:t>
      </w:r>
      <w:r w:rsidRPr="00691454">
        <w:rPr>
          <w:b/>
          <w:bCs/>
        </w:rPr>
        <w:tab/>
        <w:t xml:space="preserve">Explanation of Any Payment or Gift to Respondents </w:t>
      </w:r>
    </w:p>
    <w:p w:rsidR="00972DEF" w:rsidRPr="00691454" w:rsidP="00972DEF" w14:paraId="69D632C8" w14:textId="77777777">
      <w:pPr>
        <w:autoSpaceDE w:val="0"/>
        <w:autoSpaceDN w:val="0"/>
        <w:adjustRightInd w:val="0"/>
        <w:rPr>
          <w:b/>
          <w:bCs/>
        </w:rPr>
      </w:pPr>
    </w:p>
    <w:p w:rsidR="74DE4276" w:rsidP="5BE5C628" w14:paraId="7090304D" w14:textId="372692A1">
      <w:r w:rsidRPr="5BE5C628">
        <w:rPr>
          <w:color w:val="000000" w:themeColor="text1"/>
        </w:rPr>
        <w:t>Respondents receive no gift or payment for their participation in any information collections.</w:t>
      </w:r>
    </w:p>
    <w:p w:rsidR="5BE5C628" w:rsidP="5BE5C628" w14:paraId="7D3EEFBB" w14:textId="3E0A5367">
      <w:pPr>
        <w:rPr>
          <w:b/>
          <w:bCs/>
        </w:rPr>
      </w:pPr>
    </w:p>
    <w:p w:rsidR="00F7286B" w:rsidP="00972DEF" w14:paraId="59670F73" w14:textId="77777777"/>
    <w:p w:rsidR="008A1A86" w:rsidRPr="00691454" w:rsidP="1C972B50" w14:paraId="61C8A516" w14:textId="77777777">
      <w:pPr>
        <w:autoSpaceDE w:val="0"/>
        <w:autoSpaceDN w:val="0"/>
        <w:adjustRightInd w:val="0"/>
        <w:rPr>
          <w:b/>
          <w:bCs/>
        </w:rPr>
      </w:pPr>
      <w:r w:rsidRPr="277F5081">
        <w:rPr>
          <w:b/>
          <w:bCs/>
        </w:rPr>
        <w:t xml:space="preserve">A.10. </w:t>
      </w:r>
      <w:r>
        <w:tab/>
      </w:r>
      <w:r w:rsidRPr="277F5081" w:rsidR="00053C31">
        <w:rPr>
          <w:b/>
          <w:bCs/>
        </w:rPr>
        <w:t>Protection of the   Privacy    and   Confidentiality   of   Information   Provided    by  Respondents</w:t>
      </w:r>
    </w:p>
    <w:p w:rsidR="00972DEF" w:rsidP="6D1DFE42" w14:paraId="697235ED" w14:textId="77777777">
      <w:pPr>
        <w:rPr>
          <w:highlight w:val="yellow"/>
        </w:rPr>
      </w:pPr>
    </w:p>
    <w:p w:rsidR="37224C91" w:rsidP="700036C5" w14:paraId="567D25F6" w14:textId="09980E7F">
      <w:pPr>
        <w:pStyle w:val="BodyTextIndent2"/>
        <w:spacing w:line="240" w:lineRule="auto"/>
        <w:ind w:left="0"/>
        <w:rPr>
          <w:color w:val="000000" w:themeColor="text1"/>
        </w:rPr>
      </w:pPr>
      <w:r w:rsidRPr="700036C5">
        <w:rPr>
          <w:color w:val="000000" w:themeColor="text1"/>
        </w:rPr>
        <w:t xml:space="preserve">The Office of the Chief Information Officer at CDC has determined that the Privacy Act does not apply to this information collection request. The Privacy Impact Assessment (PIA) for </w:t>
      </w:r>
      <w:r w:rsidRPr="700036C5" w:rsidR="64BC4AE3">
        <w:rPr>
          <w:color w:val="000000" w:themeColor="text1"/>
        </w:rPr>
        <w:t xml:space="preserve">the ORS </w:t>
      </w:r>
      <w:r w:rsidRPr="700036C5" w:rsidR="7103D22C">
        <w:rPr>
          <w:color w:val="000000" w:themeColor="text1"/>
        </w:rPr>
        <w:t xml:space="preserve">Annual Survey and the </w:t>
      </w:r>
      <w:r w:rsidR="00CF5131">
        <w:rPr>
          <w:color w:val="000000" w:themeColor="text1"/>
        </w:rPr>
        <w:t xml:space="preserve">ORS </w:t>
      </w:r>
      <w:r w:rsidRPr="700036C5" w:rsidR="7103D22C">
        <w:rPr>
          <w:color w:val="000000" w:themeColor="text1"/>
        </w:rPr>
        <w:t>Quarterly Reporting Template</w:t>
      </w:r>
      <w:r w:rsidRPr="700036C5">
        <w:rPr>
          <w:color w:val="000000" w:themeColor="text1"/>
        </w:rPr>
        <w:t xml:space="preserve"> </w:t>
      </w:r>
      <w:r w:rsidR="00327922">
        <w:rPr>
          <w:color w:val="000000" w:themeColor="text1"/>
        </w:rPr>
        <w:t>is</w:t>
      </w:r>
      <w:r w:rsidRPr="700036C5">
        <w:rPr>
          <w:color w:val="000000" w:themeColor="text1"/>
        </w:rPr>
        <w:t xml:space="preserve"> </w:t>
      </w:r>
      <w:r w:rsidRPr="00327922">
        <w:rPr>
          <w:color w:val="000000" w:themeColor="text1"/>
        </w:rPr>
        <w:t xml:space="preserve">attached (Attachment </w:t>
      </w:r>
      <w:r w:rsidRPr="00327922" w:rsidR="00327922">
        <w:rPr>
          <w:color w:val="000000" w:themeColor="text1"/>
        </w:rPr>
        <w:t>C).</w:t>
      </w:r>
      <w:r w:rsidRPr="700036C5">
        <w:rPr>
          <w:color w:val="000000" w:themeColor="text1"/>
        </w:rPr>
        <w:t xml:space="preserve"> </w:t>
      </w:r>
    </w:p>
    <w:p w:rsidR="37224C91" w:rsidP="277F5081" w14:paraId="2DD094EF" w14:textId="2E5219A2">
      <w:pPr>
        <w:rPr>
          <w:color w:val="000000" w:themeColor="text1"/>
        </w:rPr>
      </w:pPr>
      <w:r w:rsidRPr="277F5081">
        <w:rPr>
          <w:color w:val="000000" w:themeColor="text1"/>
        </w:rPr>
        <w:t>No sensitive information or personal contact information will be collected</w:t>
      </w:r>
      <w:r w:rsidRPr="277F5081" w:rsidR="3B9DABFE">
        <w:rPr>
          <w:color w:val="000000" w:themeColor="text1"/>
        </w:rPr>
        <w:t xml:space="preserve"> in either the Annual Survey or the </w:t>
      </w:r>
      <w:r w:rsidR="00554FAC">
        <w:rPr>
          <w:color w:val="000000" w:themeColor="text1"/>
        </w:rPr>
        <w:t xml:space="preserve">ORS </w:t>
      </w:r>
      <w:r w:rsidRPr="277F5081" w:rsidR="3B9DABFE">
        <w:rPr>
          <w:color w:val="000000" w:themeColor="text1"/>
        </w:rPr>
        <w:t>Quarterly Reporting Template</w:t>
      </w:r>
      <w:r w:rsidRPr="277F5081">
        <w:rPr>
          <w:color w:val="000000" w:themeColor="text1"/>
        </w:rPr>
        <w:t xml:space="preserve">. All data will be reported in aggregate form, with no identifying information included. Because data are maintained in a secure, password-protected system, and information will be reported in aggregate form, there is no impact on respondent privacy. Key program staff will provide information related to programmatic improvement and they will be notified that their responses on the electronic information system </w:t>
      </w:r>
      <w:r w:rsidRPr="277F5081">
        <w:rPr>
          <w:color w:val="000000" w:themeColor="text1"/>
        </w:rPr>
        <w:t xml:space="preserve">will be treated in a secure manner. Staff identifiers will not be used in any performance reports. The information collection does not require consent from individuals. All procedures have been developed, in accordance with federal, state, and local guidelines, to ensure that the rights and privacy of </w:t>
      </w:r>
      <w:r w:rsidRPr="277F5081" w:rsidR="00213E23">
        <w:rPr>
          <w:color w:val="000000" w:themeColor="text1"/>
        </w:rPr>
        <w:t>key program</w:t>
      </w:r>
      <w:r w:rsidRPr="277F5081">
        <w:rPr>
          <w:color w:val="000000" w:themeColor="text1"/>
        </w:rPr>
        <w:t xml:space="preserve"> staff will be protected and maintained. </w:t>
      </w:r>
    </w:p>
    <w:p w:rsidR="277F5081" w:rsidP="277F5081" w14:paraId="4AB50216" w14:textId="4262419E">
      <w:pPr>
        <w:rPr>
          <w:color w:val="000000" w:themeColor="text1"/>
        </w:rPr>
      </w:pPr>
    </w:p>
    <w:p w:rsidR="37224C91" w:rsidP="277F5081" w14:paraId="01DEFE36" w14:textId="551E95E5">
      <w:pPr>
        <w:tabs>
          <w:tab w:val="left" w:pos="810"/>
        </w:tabs>
        <w:rPr>
          <w:color w:val="000000" w:themeColor="text1"/>
        </w:rPr>
      </w:pPr>
      <w:r w:rsidRPr="277F5081">
        <w:rPr>
          <w:color w:val="000000" w:themeColor="text1"/>
        </w:rPr>
        <w:t xml:space="preserve">While consent is not required to report aggregate data, </w:t>
      </w:r>
      <w:r w:rsidRPr="277F5081" w:rsidR="580AD08E">
        <w:rPr>
          <w:color w:val="000000" w:themeColor="text1"/>
        </w:rPr>
        <w:t>ORS teams’</w:t>
      </w:r>
      <w:r w:rsidRPr="277F5081">
        <w:rPr>
          <w:color w:val="000000" w:themeColor="text1"/>
        </w:rPr>
        <w:t xml:space="preserve"> approval will be obtained if </w:t>
      </w:r>
      <w:r w:rsidRPr="277F5081" w:rsidR="36215FA8">
        <w:rPr>
          <w:color w:val="000000" w:themeColor="text1"/>
        </w:rPr>
        <w:t>team</w:t>
      </w:r>
      <w:r w:rsidRPr="277F5081">
        <w:rPr>
          <w:color w:val="000000" w:themeColor="text1"/>
        </w:rPr>
        <w:t xml:space="preserve">-specific data are used for publications, reports, or other publicly disseminated information. No system of records will be created under the Privacy Act. Submission and access to </w:t>
      </w:r>
      <w:r w:rsidRPr="277F5081" w:rsidR="482A5A63">
        <w:rPr>
          <w:color w:val="000000" w:themeColor="text1"/>
        </w:rPr>
        <w:t>ORS teams'</w:t>
      </w:r>
      <w:r w:rsidRPr="277F5081">
        <w:rPr>
          <w:color w:val="000000" w:themeColor="text1"/>
        </w:rPr>
        <w:t xml:space="preserve"> data will be controlled by a password-protected login site. Access levels vary from read-only to read-write, based on the user’s role and needs. CDC </w:t>
      </w:r>
      <w:r w:rsidRPr="277F5081" w:rsidR="3038AF36">
        <w:rPr>
          <w:color w:val="000000" w:themeColor="text1"/>
        </w:rPr>
        <w:t>and CDCF staff</w:t>
      </w:r>
      <w:r w:rsidRPr="277F5081">
        <w:rPr>
          <w:color w:val="000000" w:themeColor="text1"/>
        </w:rPr>
        <w:t xml:space="preserve"> will have varying levels of access to the system with role-appropriate security training, based on the requirements of their position(s). Aggregated information will be stored on an internal CDC Access server subject to CDC’s information security guidelines.  </w:t>
      </w:r>
    </w:p>
    <w:p w:rsidR="277F5081" w:rsidP="277F5081" w14:paraId="5C053FA7" w14:textId="18DD3AA7">
      <w:pPr>
        <w:rPr>
          <w:highlight w:val="yellow"/>
        </w:rPr>
      </w:pPr>
    </w:p>
    <w:p w:rsidR="007503A7" w:rsidRPr="00691454" w:rsidP="6D1DFE42" w14:paraId="5D8BA561" w14:textId="6250FACC"/>
    <w:p w:rsidR="00972DEF" w:rsidP="00972DEF" w14:paraId="515463BD" w14:textId="77777777">
      <w:pPr>
        <w:rPr>
          <w:b/>
          <w:bCs/>
        </w:rPr>
      </w:pPr>
      <w:r w:rsidRPr="5BE5C628">
        <w:rPr>
          <w:b/>
          <w:bCs/>
        </w:rPr>
        <w:t>A.11.</w:t>
      </w:r>
      <w:r>
        <w:tab/>
      </w:r>
      <w:r w:rsidRPr="5BE5C628" w:rsidR="00CA5DC1">
        <w:rPr>
          <w:b/>
          <w:bCs/>
        </w:rPr>
        <w:t xml:space="preserve">Institutional Review Board (IRB) </w:t>
      </w:r>
      <w:r w:rsidRPr="5BE5C628" w:rsidR="00EE7A3B">
        <w:rPr>
          <w:b/>
          <w:bCs/>
        </w:rPr>
        <w:t>and Justification</w:t>
      </w:r>
      <w:r w:rsidRPr="5BE5C628" w:rsidR="00CA5DC1">
        <w:rPr>
          <w:b/>
          <w:bCs/>
        </w:rPr>
        <w:t xml:space="preserve"> for Sensitive Questions</w:t>
      </w:r>
      <w:r>
        <w:tab/>
      </w:r>
    </w:p>
    <w:p w:rsidR="5BE5C628" w:rsidP="5BE5C628" w14:paraId="3B8C5044" w14:textId="0C1B180C">
      <w:pPr>
        <w:rPr>
          <w:b/>
          <w:bCs/>
        </w:rPr>
      </w:pPr>
    </w:p>
    <w:p w:rsidR="0073187D" w:rsidP="00972DEF" w14:paraId="2D8319E9" w14:textId="77777777">
      <w:pPr>
        <w:rPr>
          <w:b/>
          <w:bCs/>
        </w:rPr>
      </w:pPr>
    </w:p>
    <w:p w:rsidR="0073187D" w:rsidRPr="00691454" w:rsidP="1C972B50" w14:paraId="1985C7BA" w14:textId="77777777">
      <w:pPr>
        <w:rPr>
          <w:b/>
          <w:bCs/>
        </w:rPr>
      </w:pPr>
      <w:r w:rsidRPr="1C972B50">
        <w:rPr>
          <w:b/>
          <w:bCs/>
        </w:rPr>
        <w:t>IRB Approval</w:t>
      </w:r>
    </w:p>
    <w:p w:rsidR="6D1DFE42" w:rsidP="6D1DFE42" w14:paraId="086A2DE4" w14:textId="20FE4606"/>
    <w:p w:rsidR="2BCC17B2" w:rsidP="277F5081" w14:paraId="3489A25F" w14:textId="31EBEA18">
      <w:r w:rsidRPr="700036C5">
        <w:rPr>
          <w:color w:val="000000" w:themeColor="text1"/>
        </w:rPr>
        <w:t>The CDC National Center for Injury Prevention and Control’s OMB and human subject’s liaison has determined that this information is non-research and therefore, IRB approval is not needed.  The information collection does not involve the collection of personal information or the participation of human subjects in research</w:t>
      </w:r>
      <w:r w:rsidRPr="00327922">
        <w:rPr>
          <w:color w:val="000000" w:themeColor="text1"/>
        </w:rPr>
        <w:t xml:space="preserve">. (Attachment </w:t>
      </w:r>
      <w:r w:rsidRPr="00327922" w:rsidR="00213E23">
        <w:rPr>
          <w:color w:val="000000" w:themeColor="text1"/>
        </w:rPr>
        <w:t>K</w:t>
      </w:r>
      <w:r w:rsidRPr="00327922">
        <w:rPr>
          <w:color w:val="000000" w:themeColor="text1"/>
        </w:rPr>
        <w:t>).</w:t>
      </w:r>
    </w:p>
    <w:p w:rsidR="277F5081" w:rsidP="277F5081" w14:paraId="001AD163" w14:textId="015E2503"/>
    <w:p w:rsidR="0073187D" w:rsidRPr="00691454" w:rsidP="5BE5C628" w14:paraId="3C4BFA5F" w14:textId="7BDB4783">
      <w:pPr>
        <w:rPr>
          <w:b/>
          <w:bCs/>
        </w:rPr>
      </w:pPr>
    </w:p>
    <w:p w:rsidR="00972DEF" w:rsidP="00972DEF" w14:paraId="49D0D325" w14:textId="03706B95">
      <w:pPr>
        <w:rPr>
          <w:b/>
          <w:bCs/>
        </w:rPr>
      </w:pPr>
      <w:r w:rsidRPr="6D1DFE42">
        <w:rPr>
          <w:b/>
          <w:bCs/>
        </w:rPr>
        <w:t xml:space="preserve">Justification for </w:t>
      </w:r>
      <w:r w:rsidRPr="6D1DFE42" w:rsidR="00CA5DC1">
        <w:rPr>
          <w:b/>
          <w:bCs/>
        </w:rPr>
        <w:t>Sensitive Questions</w:t>
      </w:r>
    </w:p>
    <w:p w:rsidR="00CA5DC1" w:rsidRPr="00691454" w:rsidP="6D1DFE42" w14:paraId="09659FB5" w14:textId="6C45EDB5">
      <w:pPr>
        <w:pStyle w:val="Body1"/>
        <w:tabs>
          <w:tab w:val="num" w:pos="720"/>
          <w:tab w:val="left" w:pos="1800"/>
        </w:tabs>
        <w:rPr>
          <w:rFonts w:eastAsia="Times New Roman"/>
        </w:rPr>
      </w:pPr>
    </w:p>
    <w:p w:rsidR="00CA5DC1" w:rsidRPr="00691454" w:rsidP="6D1DFE42" w14:paraId="3DED9708" w14:textId="75988CCC">
      <w:r w:rsidRPr="6D1DFE42">
        <w:rPr>
          <w:color w:val="000000" w:themeColor="text1"/>
        </w:rPr>
        <w:t xml:space="preserve">The proposed </w:t>
      </w:r>
      <w:r w:rsidRPr="6D1DFE42" w:rsidR="4EAA6507">
        <w:rPr>
          <w:color w:val="000000" w:themeColor="text1"/>
        </w:rPr>
        <w:t>data collection instruments</w:t>
      </w:r>
      <w:r w:rsidRPr="6D1DFE42">
        <w:rPr>
          <w:color w:val="000000" w:themeColor="text1"/>
        </w:rPr>
        <w:t xml:space="preserve"> do not collect sensitive information. </w:t>
      </w:r>
      <w:r w:rsidRPr="6D1DFE42">
        <w:t xml:space="preserve"> </w:t>
      </w:r>
    </w:p>
    <w:p w:rsidR="00CA5DC1" w:rsidRPr="00691454" w:rsidP="6D1DFE42" w14:paraId="72F48BFB" w14:textId="160E218A">
      <w:pPr>
        <w:pStyle w:val="Body1"/>
        <w:tabs>
          <w:tab w:val="num" w:pos="720"/>
          <w:tab w:val="left" w:pos="1800"/>
        </w:tabs>
        <w:rPr>
          <w:rFonts w:eastAsia="Times New Roman"/>
        </w:rPr>
      </w:pPr>
    </w:p>
    <w:p w:rsidR="00CA5DC1" w:rsidRPr="00691454" w:rsidP="6D1DFE42" w14:paraId="6B411AF7" w14:textId="2DACB6AA">
      <w:pPr>
        <w:tabs>
          <w:tab w:val="num" w:pos="720"/>
          <w:tab w:val="left" w:pos="1800"/>
        </w:tabs>
        <w:rPr>
          <w:color w:val="000000" w:themeColor="text1"/>
        </w:rPr>
      </w:pPr>
    </w:p>
    <w:p w:rsidR="00972DEF" w:rsidRPr="00691454" w:rsidP="00972DEF" w14:paraId="3BB45E7B" w14:textId="77777777">
      <w:pPr>
        <w:autoSpaceDE w:val="0"/>
        <w:autoSpaceDN w:val="0"/>
        <w:adjustRightInd w:val="0"/>
      </w:pPr>
      <w:r w:rsidRPr="00691454">
        <w:rPr>
          <w:b/>
          <w:bCs/>
        </w:rPr>
        <w:t xml:space="preserve">A.12. </w:t>
      </w:r>
      <w:r w:rsidRPr="00691454">
        <w:rPr>
          <w:b/>
          <w:bCs/>
        </w:rPr>
        <w:tab/>
        <w:t xml:space="preserve">Estimates of Annualized Burden Hours and Costs </w:t>
      </w:r>
    </w:p>
    <w:p w:rsidR="004D7884" w:rsidRPr="00691454" w:rsidP="277F5081" w14:paraId="11996C21" w14:textId="77777777">
      <w:pPr>
        <w:pStyle w:val="a"/>
        <w:ind w:left="0" w:firstLine="0"/>
      </w:pPr>
    </w:p>
    <w:p w:rsidR="00AD19C0" w:rsidP="54A55804" w14:paraId="6C5ABACA" w14:textId="0FAF2414">
      <w:pPr>
        <w:pStyle w:val="a"/>
        <w:spacing w:line="259" w:lineRule="auto"/>
        <w:ind w:left="0" w:firstLine="0"/>
        <w:rPr>
          <w:b/>
          <w:bCs/>
        </w:rPr>
      </w:pPr>
      <w:bookmarkStart w:id="2" w:name="_Hlk184907312"/>
      <w:r w:rsidRPr="54A55804">
        <w:rPr>
          <w:b/>
          <w:bCs/>
        </w:rPr>
        <w:t>ORS Annual Evaluation Survey</w:t>
      </w:r>
      <w:r w:rsidR="00676A45">
        <w:rPr>
          <w:b/>
          <w:bCs/>
        </w:rPr>
        <w:t xml:space="preserve"> (Attachments D, E, F, G, &amp; H)</w:t>
      </w:r>
      <w:r w:rsidRPr="54A55804" w:rsidR="00B83E51">
        <w:rPr>
          <w:b/>
          <w:bCs/>
        </w:rPr>
        <w:t xml:space="preserve"> </w:t>
      </w:r>
      <w:bookmarkEnd w:id="2"/>
      <w:r w:rsidR="00B83E51">
        <w:t>r</w:t>
      </w:r>
      <w:r w:rsidR="60A0DA70">
        <w:t xml:space="preserve">espondents </w:t>
      </w:r>
      <w:r w:rsidR="0B621592">
        <w:t xml:space="preserve">will be </w:t>
      </w:r>
      <w:r w:rsidR="160966A5">
        <w:t xml:space="preserve">the ORS </w:t>
      </w:r>
      <w:r w:rsidR="0DD6F92B">
        <w:t>PHAs</w:t>
      </w:r>
      <w:r w:rsidR="160966A5">
        <w:t xml:space="preserve">, ORS </w:t>
      </w:r>
      <w:r w:rsidR="75C53C67">
        <w:t>DIOs</w:t>
      </w:r>
      <w:r w:rsidR="160966A5">
        <w:t xml:space="preserve">, ORS </w:t>
      </w:r>
      <w:r w:rsidR="6D714A10">
        <w:t xml:space="preserve">National Team staff </w:t>
      </w:r>
      <w:r w:rsidR="160966A5">
        <w:t xml:space="preserve">from CDCF, and public health and public safety personnel </w:t>
      </w:r>
      <w:r w:rsidR="67B3C447">
        <w:t>across 50 states, DC, US Virgin Islands</w:t>
      </w:r>
      <w:r w:rsidR="00086BFC">
        <w:t>,</w:t>
      </w:r>
      <w:r w:rsidR="67B3C447">
        <w:t xml:space="preserve"> and Puerto Rico. The estimated burden for each instrument includes time for reviewing instructions, searching sources, data collection, and completion of the instruments. The ORS Annual Evaluation Survey has an estimated burden of </w:t>
      </w:r>
      <w:r w:rsidR="00676A45">
        <w:t>30 minutes</w:t>
      </w:r>
      <w:r w:rsidR="67B3C447">
        <w:t xml:space="preserve"> per respondent annually. The burden is based on previous </w:t>
      </w:r>
      <w:r w:rsidR="6B1410DE">
        <w:t>versions of the survey completed by each respondent type</w:t>
      </w:r>
      <w:r w:rsidR="0BFA1BF2">
        <w:t xml:space="preserve"> under a previous funding opportunity</w:t>
      </w:r>
      <w:r w:rsidR="6B1410DE">
        <w:t xml:space="preserve">. </w:t>
      </w:r>
    </w:p>
    <w:p w:rsidR="0089131D" w:rsidP="277F5081" w14:paraId="3E4C089F" w14:textId="77777777">
      <w:pPr>
        <w:pStyle w:val="a"/>
        <w:ind w:left="0" w:firstLine="0"/>
      </w:pPr>
    </w:p>
    <w:p w:rsidR="007101CC" w:rsidP="277F5081" w14:paraId="056CFA1A" w14:textId="56DA4427">
      <w:pPr>
        <w:pStyle w:val="a"/>
        <w:ind w:left="0" w:firstLine="0"/>
      </w:pPr>
      <w:r>
        <w:rPr>
          <w:b/>
          <w:bCs/>
        </w:rPr>
        <w:t xml:space="preserve"> </w:t>
      </w:r>
      <w:r w:rsidR="001973A2">
        <w:rPr>
          <w:b/>
          <w:bCs/>
        </w:rPr>
        <w:t xml:space="preserve">Invitation and </w:t>
      </w:r>
      <w:r>
        <w:rPr>
          <w:b/>
          <w:bCs/>
        </w:rPr>
        <w:t>Reminder email</w:t>
      </w:r>
      <w:r w:rsidR="001973A2">
        <w:rPr>
          <w:b/>
          <w:bCs/>
        </w:rPr>
        <w:t>s</w:t>
      </w:r>
      <w:r>
        <w:rPr>
          <w:b/>
          <w:bCs/>
        </w:rPr>
        <w:t xml:space="preserve"> for </w:t>
      </w:r>
      <w:r w:rsidRPr="54A55804">
        <w:rPr>
          <w:b/>
          <w:bCs/>
        </w:rPr>
        <w:t>ORS Annual Evaluation Survey</w:t>
      </w:r>
      <w:r w:rsidR="00676A45">
        <w:rPr>
          <w:b/>
          <w:bCs/>
        </w:rPr>
        <w:t xml:space="preserve"> (Attachments L &amp; M)</w:t>
      </w:r>
      <w:r>
        <w:rPr>
          <w:b/>
          <w:bCs/>
        </w:rPr>
        <w:t xml:space="preserve"> </w:t>
      </w:r>
      <w:r>
        <w:t xml:space="preserve">respondents will be the ORS PHAs, ORS DIOs, ORS National Team staff from CDCF, and public health and public safety personnel across 50 states, DC, US Virgin Islands, and Puerto Rico. The </w:t>
      </w:r>
      <w:r w:rsidR="00FB5FA8">
        <w:t xml:space="preserve">invitation </w:t>
      </w:r>
      <w:r>
        <w:t>email</w:t>
      </w:r>
      <w:r w:rsidR="00FB5FA8">
        <w:t xml:space="preserve"> and the reminder email </w:t>
      </w:r>
      <w:r>
        <w:t>will</w:t>
      </w:r>
      <w:r w:rsidR="00FB5FA8">
        <w:t xml:space="preserve"> each</w:t>
      </w:r>
      <w:r>
        <w:t xml:space="preserve"> have an estimated burden of 2 minutes per respondent annually</w:t>
      </w:r>
      <w:r w:rsidR="00466E7A">
        <w:t>, based on prior experiences</w:t>
      </w:r>
      <w:r>
        <w:t>.</w:t>
      </w:r>
    </w:p>
    <w:p w:rsidR="007101CC" w:rsidP="277F5081" w14:paraId="507AB58C" w14:textId="77777777">
      <w:pPr>
        <w:pStyle w:val="a"/>
        <w:ind w:left="0" w:firstLine="0"/>
      </w:pPr>
    </w:p>
    <w:p w:rsidR="67B3C447" w:rsidP="277F5081" w14:paraId="3A5AE3C2" w14:textId="7D483EAC">
      <w:pPr>
        <w:pStyle w:val="a"/>
        <w:ind w:left="0" w:firstLine="0"/>
      </w:pPr>
      <w:r w:rsidRPr="54A55804">
        <w:rPr>
          <w:b/>
          <w:bCs/>
        </w:rPr>
        <w:t>ORS Quarterly Reporting Template</w:t>
      </w:r>
      <w:r w:rsidR="00676A45">
        <w:rPr>
          <w:b/>
          <w:bCs/>
        </w:rPr>
        <w:t xml:space="preserve"> (Attachment I)</w:t>
      </w:r>
      <w:r>
        <w:t xml:space="preserve"> is a web-based tool. Based on feedback from </w:t>
      </w:r>
      <w:r w:rsidR="3C0AFFC8">
        <w:t>PHAs</w:t>
      </w:r>
      <w:r w:rsidR="00554FAC">
        <w:t xml:space="preserve"> </w:t>
      </w:r>
      <w:r w:rsidR="3C0AFFC8">
        <w:t xml:space="preserve">and DIOs who completed the template under a previous funding opportunity, the burden is estimated to be </w:t>
      </w:r>
      <w:r w:rsidR="00676A45">
        <w:t>60 minutes</w:t>
      </w:r>
      <w:r w:rsidR="3C0AFFC8">
        <w:t xml:space="preserve"> quarterly</w:t>
      </w:r>
      <w:r w:rsidR="6EF65938">
        <w:t xml:space="preserve"> for both PHAs and DIOs. </w:t>
      </w:r>
    </w:p>
    <w:p w:rsidR="277F5081" w:rsidP="277F5081" w14:paraId="6B2F0950" w14:textId="1395E2BD">
      <w:pPr>
        <w:pStyle w:val="a"/>
        <w:ind w:left="0" w:firstLine="0"/>
        <w:rPr>
          <w:highlight w:val="yellow"/>
        </w:rPr>
      </w:pPr>
    </w:p>
    <w:p w:rsidR="00203779" w:rsidRPr="00691454" w:rsidP="277F5081" w14:paraId="45D5E07D" w14:textId="4470654F">
      <w:pPr>
        <w:pStyle w:val="a"/>
        <w:ind w:left="0" w:firstLine="0"/>
      </w:pPr>
      <w:r w:rsidRPr="00327922">
        <w:t xml:space="preserve">Table </w:t>
      </w:r>
      <w:r w:rsidRPr="00327922" w:rsidR="3FEF90D1">
        <w:t>2</w:t>
      </w:r>
      <w:r w:rsidRPr="00327922">
        <w:t>.</w:t>
      </w:r>
      <w:r>
        <w:t xml:space="preserve">  Estimate</w:t>
      </w:r>
      <w:r w:rsidR="00F820FE">
        <w:t>d</w:t>
      </w:r>
      <w:r>
        <w:t xml:space="preserve"> </w:t>
      </w:r>
      <w:r w:rsidR="0057192D">
        <w:t>Annual</w:t>
      </w:r>
      <w:r w:rsidR="003F77E5">
        <w:t xml:space="preserve">ized </w:t>
      </w:r>
      <w:r w:rsidR="0057192D">
        <w:t>Burden</w:t>
      </w:r>
      <w:r w:rsidR="003F77E5">
        <w:t xml:space="preserve"> Hours </w:t>
      </w:r>
    </w:p>
    <w:p w:rsidR="00144640" w:rsidRPr="00691454" w:rsidP="004D7884" w14:paraId="39120596" w14:textId="77777777">
      <w:pPr>
        <w:pStyle w:val="a"/>
        <w:tabs>
          <w:tab w:val="left" w:pos="-1440"/>
        </w:tabs>
        <w:ind w:left="0" w:firstLine="0"/>
      </w:pPr>
    </w:p>
    <w:tbl>
      <w:tblPr>
        <w:tblW w:w="95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8"/>
        <w:gridCol w:w="1799"/>
        <w:gridCol w:w="1777"/>
        <w:gridCol w:w="1620"/>
        <w:gridCol w:w="1710"/>
        <w:gridCol w:w="9"/>
        <w:gridCol w:w="1161"/>
        <w:gridCol w:w="9"/>
      </w:tblGrid>
      <w:tr w14:paraId="7F0E0BEE" w14:textId="18A39B25" w:rsidTr="479AC987">
        <w:tblPrEx>
          <w:tblW w:w="95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9" w:type="dxa"/>
          <w:trHeight w:val="1070"/>
        </w:trPr>
        <w:tc>
          <w:tcPr>
            <w:tcW w:w="1508" w:type="dxa"/>
            <w:vAlign w:val="center"/>
          </w:tcPr>
          <w:p w:rsidR="00122751" w:rsidRPr="00691454" w:rsidP="00C55DD2" w14:paraId="036D0DBC" w14:textId="3988D97A">
            <w:r w:rsidRPr="00691454">
              <w:t>Type of Respondents</w:t>
            </w:r>
          </w:p>
        </w:tc>
        <w:tc>
          <w:tcPr>
            <w:tcW w:w="1799" w:type="dxa"/>
          </w:tcPr>
          <w:p w:rsidR="00C55DD2" w:rsidRPr="00691454" w:rsidP="00C55DD2" w14:paraId="09B4884B" w14:textId="520BEE78"/>
          <w:p w:rsidR="00122751" w:rsidRPr="00691454" w:rsidP="00C55DD2" w14:paraId="6DDD520D" w14:textId="5361E5BF">
            <w:r w:rsidRPr="00691454">
              <w:t>Form Name</w:t>
            </w:r>
          </w:p>
        </w:tc>
        <w:tc>
          <w:tcPr>
            <w:tcW w:w="1777" w:type="dxa"/>
            <w:vAlign w:val="center"/>
          </w:tcPr>
          <w:p w:rsidR="00122751" w:rsidRPr="00691454" w:rsidP="00C55DD2" w14:paraId="5EA1AE63" w14:textId="3D48FF5E">
            <w:r w:rsidRPr="00691454">
              <w:t>Number of Respondents</w:t>
            </w:r>
          </w:p>
        </w:tc>
        <w:tc>
          <w:tcPr>
            <w:tcW w:w="1620" w:type="dxa"/>
            <w:vAlign w:val="center"/>
          </w:tcPr>
          <w:p w:rsidR="00122751" w:rsidRPr="00691454" w:rsidP="00C55DD2" w14:paraId="7BABFAEE" w14:textId="36B84934">
            <w:r w:rsidRPr="00691454">
              <w:t>Number of Responses per Respondent</w:t>
            </w:r>
          </w:p>
        </w:tc>
        <w:tc>
          <w:tcPr>
            <w:tcW w:w="1710" w:type="dxa"/>
            <w:vAlign w:val="center"/>
          </w:tcPr>
          <w:p w:rsidR="00122751" w:rsidRPr="00691454" w:rsidP="00C55DD2" w14:paraId="0FC67D0B" w14:textId="7D90FCDC">
            <w:r w:rsidRPr="00691454">
              <w:t>Average Burden per Response</w:t>
            </w:r>
          </w:p>
          <w:p w:rsidR="00122751" w:rsidRPr="00691454" w:rsidP="00C55DD2" w14:paraId="4CB7B6C8" w14:textId="73A183EB">
            <w:r w:rsidRPr="00691454">
              <w:t>(in hours)</w:t>
            </w:r>
          </w:p>
        </w:tc>
        <w:tc>
          <w:tcPr>
            <w:tcW w:w="1170" w:type="dxa"/>
            <w:gridSpan w:val="2"/>
            <w:vAlign w:val="center"/>
          </w:tcPr>
          <w:p w:rsidR="00122751" w:rsidRPr="00691454" w:rsidP="00C55DD2" w14:paraId="3EEC01CE" w14:textId="6854CF5A">
            <w:r w:rsidRPr="00691454">
              <w:t>Total Burden (in hours)</w:t>
            </w:r>
          </w:p>
        </w:tc>
      </w:tr>
      <w:tr w14:paraId="62CA3369" w14:textId="77777777" w:rsidTr="479AC987">
        <w:tblPrEx>
          <w:tblW w:w="9593" w:type="dxa"/>
          <w:tblInd w:w="-72" w:type="dxa"/>
          <w:tblLayout w:type="fixed"/>
          <w:tblLook w:val="01E0"/>
        </w:tblPrEx>
        <w:trPr>
          <w:gridAfter w:val="1"/>
          <w:wAfter w:w="9" w:type="dxa"/>
          <w:trHeight w:val="1070"/>
        </w:trPr>
        <w:tc>
          <w:tcPr>
            <w:tcW w:w="1508" w:type="dxa"/>
            <w:vAlign w:val="center"/>
          </w:tcPr>
          <w:p w:rsidR="00DD0A13" w:rsidRPr="00691454" w:rsidP="00C55DD2" w14:paraId="145D3067" w14:textId="38F222AF">
            <w:r>
              <w:t>ORS Respondents</w:t>
            </w:r>
          </w:p>
        </w:tc>
        <w:tc>
          <w:tcPr>
            <w:tcW w:w="1799" w:type="dxa"/>
          </w:tcPr>
          <w:p w:rsidR="00DD0A13" w:rsidP="009F5D2B" w14:paraId="7DF85C0C" w14:textId="77777777"/>
          <w:p w:rsidR="00DD0A13" w:rsidRPr="00691454" w:rsidP="00FB5FA8" w14:paraId="561691C5" w14:textId="0A6CCA63">
            <w:r>
              <w:t>Invitation email</w:t>
            </w:r>
            <w:r w:rsidR="00FB5FA8">
              <w:t xml:space="preserve"> (Att. L)</w:t>
            </w:r>
          </w:p>
        </w:tc>
        <w:tc>
          <w:tcPr>
            <w:tcW w:w="1777" w:type="dxa"/>
            <w:vAlign w:val="center"/>
          </w:tcPr>
          <w:p w:rsidR="00DD0A13" w:rsidRPr="00691454" w:rsidP="009F5D2B" w14:paraId="3AE30ECE" w14:textId="30D96AEC">
            <w:pPr>
              <w:jc w:val="right"/>
            </w:pPr>
            <w:r>
              <w:t>287</w:t>
            </w:r>
          </w:p>
        </w:tc>
        <w:tc>
          <w:tcPr>
            <w:tcW w:w="1620" w:type="dxa"/>
            <w:vAlign w:val="center"/>
          </w:tcPr>
          <w:p w:rsidR="00DD0A13" w:rsidRPr="00691454" w:rsidP="009F5D2B" w14:paraId="33BBBF51" w14:textId="5493BFA6">
            <w:pPr>
              <w:jc w:val="right"/>
            </w:pPr>
            <w:r>
              <w:t>1</w:t>
            </w:r>
          </w:p>
        </w:tc>
        <w:tc>
          <w:tcPr>
            <w:tcW w:w="1710" w:type="dxa"/>
            <w:vAlign w:val="center"/>
          </w:tcPr>
          <w:p w:rsidR="00DD0A13" w:rsidRPr="00691454" w:rsidP="009F5D2B" w14:paraId="44A74F08" w14:textId="683A0A3C">
            <w:pPr>
              <w:jc w:val="right"/>
            </w:pPr>
            <w:r>
              <w:t>2/60</w:t>
            </w:r>
          </w:p>
        </w:tc>
        <w:tc>
          <w:tcPr>
            <w:tcW w:w="1170" w:type="dxa"/>
            <w:gridSpan w:val="2"/>
            <w:vAlign w:val="center"/>
          </w:tcPr>
          <w:p w:rsidR="00DD0A13" w:rsidRPr="00691454" w:rsidP="009F5D2B" w14:paraId="618FC01E" w14:textId="6AC71C3A">
            <w:pPr>
              <w:jc w:val="right"/>
            </w:pPr>
            <w:r>
              <w:t>10</w:t>
            </w:r>
          </w:p>
        </w:tc>
      </w:tr>
      <w:tr w14:paraId="6874C43F" w14:textId="77777777" w:rsidTr="479AC987">
        <w:tblPrEx>
          <w:tblW w:w="9593" w:type="dxa"/>
          <w:tblInd w:w="-72" w:type="dxa"/>
          <w:tblLayout w:type="fixed"/>
          <w:tblLook w:val="01E0"/>
        </w:tblPrEx>
        <w:trPr>
          <w:gridAfter w:val="1"/>
          <w:wAfter w:w="9" w:type="dxa"/>
          <w:trHeight w:val="1070"/>
        </w:trPr>
        <w:tc>
          <w:tcPr>
            <w:tcW w:w="1508" w:type="dxa"/>
            <w:vAlign w:val="center"/>
          </w:tcPr>
          <w:p w:rsidR="00DD0A13" w:rsidP="00C55DD2" w14:paraId="5FA56862" w14:textId="57A4A704">
            <w:r>
              <w:t>ORS Respondents</w:t>
            </w:r>
          </w:p>
        </w:tc>
        <w:tc>
          <w:tcPr>
            <w:tcW w:w="1799" w:type="dxa"/>
          </w:tcPr>
          <w:p w:rsidR="00DD0A13" w:rsidP="009F5D2B" w14:paraId="4265AFF8" w14:textId="77777777"/>
          <w:p w:rsidR="00DD0A13" w:rsidP="00FB5FA8" w14:paraId="67A26B5D" w14:textId="6CC70D44">
            <w:r>
              <w:t>Reminder email</w:t>
            </w:r>
            <w:r w:rsidR="00FB5FA8">
              <w:t xml:space="preserve"> (Att. M)</w:t>
            </w:r>
          </w:p>
        </w:tc>
        <w:tc>
          <w:tcPr>
            <w:tcW w:w="1777" w:type="dxa"/>
            <w:vAlign w:val="center"/>
          </w:tcPr>
          <w:p w:rsidR="00DD0A13" w:rsidP="009F5D2B" w14:paraId="5CFDC0F9" w14:textId="3EE7765A">
            <w:pPr>
              <w:jc w:val="right"/>
            </w:pPr>
            <w:r>
              <w:t>287</w:t>
            </w:r>
          </w:p>
        </w:tc>
        <w:tc>
          <w:tcPr>
            <w:tcW w:w="1620" w:type="dxa"/>
            <w:vAlign w:val="center"/>
          </w:tcPr>
          <w:p w:rsidR="00DD0A13" w:rsidP="009F5D2B" w14:paraId="0DE109C5" w14:textId="5BD1F4FB">
            <w:pPr>
              <w:jc w:val="right"/>
            </w:pPr>
            <w:r>
              <w:t>1</w:t>
            </w:r>
          </w:p>
        </w:tc>
        <w:tc>
          <w:tcPr>
            <w:tcW w:w="1710" w:type="dxa"/>
            <w:vAlign w:val="center"/>
          </w:tcPr>
          <w:p w:rsidR="00DD0A13" w:rsidP="009F5D2B" w14:paraId="0D4080F8" w14:textId="0854C731">
            <w:pPr>
              <w:jc w:val="right"/>
            </w:pPr>
            <w:r>
              <w:t>2/60</w:t>
            </w:r>
          </w:p>
        </w:tc>
        <w:tc>
          <w:tcPr>
            <w:tcW w:w="1170" w:type="dxa"/>
            <w:gridSpan w:val="2"/>
            <w:vAlign w:val="center"/>
          </w:tcPr>
          <w:p w:rsidR="00DD0A13" w:rsidP="009F5D2B" w14:paraId="7EA0589F" w14:textId="1CB34C80">
            <w:pPr>
              <w:jc w:val="right"/>
            </w:pPr>
            <w:r>
              <w:t>10</w:t>
            </w:r>
          </w:p>
        </w:tc>
      </w:tr>
      <w:tr w14:paraId="0C528799" w14:textId="38D1580D" w:rsidTr="479AC987">
        <w:tblPrEx>
          <w:tblW w:w="9593" w:type="dxa"/>
          <w:tblInd w:w="-72" w:type="dxa"/>
          <w:tblLayout w:type="fixed"/>
          <w:tblLook w:val="01E0"/>
        </w:tblPrEx>
        <w:trPr>
          <w:gridAfter w:val="1"/>
          <w:wAfter w:w="9" w:type="dxa"/>
          <w:trHeight w:val="1035"/>
        </w:trPr>
        <w:tc>
          <w:tcPr>
            <w:tcW w:w="1508" w:type="dxa"/>
            <w:vMerge w:val="restart"/>
          </w:tcPr>
          <w:p w:rsidR="00A41442" w:rsidRPr="00691454" w:rsidP="00C7327F" w14:paraId="2D863D08" w14:textId="6F9FE2BE">
            <w:r>
              <w:t xml:space="preserve">ORS Public Health Analysts </w:t>
            </w:r>
          </w:p>
          <w:p w:rsidR="00A41442" w:rsidRPr="00691454" w:rsidP="00A41442" w14:paraId="58ECB055" w14:textId="63CA92ED"/>
        </w:tc>
        <w:tc>
          <w:tcPr>
            <w:tcW w:w="1799" w:type="dxa"/>
          </w:tcPr>
          <w:p w:rsidR="00A41442" w:rsidRPr="00691454" w:rsidP="1C972B50" w14:paraId="0B3584EC" w14:textId="7FC32FB8">
            <w:pPr>
              <w:tabs>
                <w:tab w:val="left" w:pos="360"/>
              </w:tabs>
              <w:rPr>
                <w:highlight w:val="yellow"/>
              </w:rPr>
            </w:pPr>
            <w:r>
              <w:t>ORS Annual Evaluation Survey-PHA (Att. D)</w:t>
            </w:r>
          </w:p>
        </w:tc>
        <w:tc>
          <w:tcPr>
            <w:tcW w:w="1777" w:type="dxa"/>
          </w:tcPr>
          <w:p w:rsidR="00A41442" w:rsidRPr="00691454" w:rsidP="003A6381" w14:paraId="1F39159F" w14:textId="77018997">
            <w:pPr>
              <w:jc w:val="right"/>
            </w:pPr>
            <w:r>
              <w:t>61</w:t>
            </w:r>
          </w:p>
        </w:tc>
        <w:tc>
          <w:tcPr>
            <w:tcW w:w="1620" w:type="dxa"/>
          </w:tcPr>
          <w:p w:rsidR="00A41442" w:rsidRPr="00691454" w:rsidP="1C972B50" w14:paraId="6BFF3DF7" w14:textId="0851B572">
            <w:pPr>
              <w:spacing w:line="259" w:lineRule="auto"/>
              <w:jc w:val="right"/>
            </w:pPr>
            <w:r>
              <w:t>1</w:t>
            </w:r>
          </w:p>
        </w:tc>
        <w:tc>
          <w:tcPr>
            <w:tcW w:w="1710" w:type="dxa"/>
          </w:tcPr>
          <w:p w:rsidR="00A41442" w:rsidRPr="00691454" w:rsidP="700036C5" w14:paraId="39F91854" w14:textId="447078E8">
            <w:pPr>
              <w:spacing w:line="259" w:lineRule="auto"/>
              <w:jc w:val="right"/>
            </w:pPr>
            <w:r>
              <w:t>30/60</w:t>
            </w:r>
          </w:p>
        </w:tc>
        <w:tc>
          <w:tcPr>
            <w:tcW w:w="1170" w:type="dxa"/>
            <w:gridSpan w:val="2"/>
          </w:tcPr>
          <w:p w:rsidR="00A41442" w:rsidRPr="00691454" w:rsidP="700036C5" w14:paraId="24272210" w14:textId="5C33585A">
            <w:pPr>
              <w:spacing w:line="259" w:lineRule="auto"/>
              <w:jc w:val="right"/>
            </w:pPr>
            <w:r>
              <w:t>31</w:t>
            </w:r>
          </w:p>
        </w:tc>
      </w:tr>
      <w:tr w14:paraId="3D29E4B8" w14:textId="36D51ADD" w:rsidTr="479AC987">
        <w:tblPrEx>
          <w:tblW w:w="9593" w:type="dxa"/>
          <w:tblInd w:w="-72" w:type="dxa"/>
          <w:tblLayout w:type="fixed"/>
          <w:tblLook w:val="01E0"/>
        </w:tblPrEx>
        <w:trPr>
          <w:gridAfter w:val="1"/>
          <w:wAfter w:w="9" w:type="dxa"/>
          <w:trHeight w:val="890"/>
        </w:trPr>
        <w:tc>
          <w:tcPr>
            <w:tcW w:w="1508" w:type="dxa"/>
            <w:vMerge/>
          </w:tcPr>
          <w:p w:rsidR="00A41442" w:rsidP="00A41442" w14:paraId="7726BC66" w14:textId="0FF0BED3"/>
        </w:tc>
        <w:tc>
          <w:tcPr>
            <w:tcW w:w="1799" w:type="dxa"/>
          </w:tcPr>
          <w:p w:rsidR="00A41442" w:rsidP="00A41442" w14:paraId="277F80C2" w14:textId="40B1E5C4">
            <w:pPr>
              <w:rPr>
                <w:highlight w:val="yellow"/>
              </w:rPr>
            </w:pPr>
            <w:r>
              <w:t>ORS Quarterly Reporting Template (Att</w:t>
            </w:r>
            <w:r w:rsidR="00676A45">
              <w:t xml:space="preserve">. </w:t>
            </w:r>
            <w:r>
              <w:t>I)</w:t>
            </w:r>
          </w:p>
          <w:p w:rsidR="00A41442" w:rsidP="00A41442" w14:paraId="24167B55" w14:textId="48B0122E">
            <w:pPr>
              <w:tabs>
                <w:tab w:val="left" w:pos="360"/>
              </w:tabs>
            </w:pPr>
          </w:p>
        </w:tc>
        <w:tc>
          <w:tcPr>
            <w:tcW w:w="1777" w:type="dxa"/>
          </w:tcPr>
          <w:p w:rsidR="00A41442" w:rsidP="00A41442" w14:paraId="0D864379" w14:textId="5E464CAB">
            <w:pPr>
              <w:jc w:val="right"/>
            </w:pPr>
            <w:r>
              <w:t>61</w:t>
            </w:r>
          </w:p>
        </w:tc>
        <w:tc>
          <w:tcPr>
            <w:tcW w:w="1620" w:type="dxa"/>
          </w:tcPr>
          <w:p w:rsidR="00A41442" w:rsidP="00A41442" w14:paraId="72D73965" w14:textId="4E6C44A8">
            <w:pPr>
              <w:spacing w:line="259" w:lineRule="auto"/>
              <w:jc w:val="right"/>
            </w:pPr>
            <w:r>
              <w:t>4</w:t>
            </w:r>
          </w:p>
        </w:tc>
        <w:tc>
          <w:tcPr>
            <w:tcW w:w="1710" w:type="dxa"/>
          </w:tcPr>
          <w:p w:rsidR="00A41442" w:rsidP="00A41442" w14:paraId="45C1B99F" w14:textId="1E81D93D">
            <w:pPr>
              <w:spacing w:line="259" w:lineRule="auto"/>
              <w:jc w:val="right"/>
            </w:pPr>
            <w:r>
              <w:t>45/60</w:t>
            </w:r>
          </w:p>
        </w:tc>
        <w:tc>
          <w:tcPr>
            <w:tcW w:w="1170" w:type="dxa"/>
            <w:gridSpan w:val="2"/>
          </w:tcPr>
          <w:p w:rsidR="00A41442" w:rsidP="00A41442" w14:paraId="33FAF230" w14:textId="7677CC07">
            <w:pPr>
              <w:spacing w:line="259" w:lineRule="auto"/>
              <w:jc w:val="right"/>
            </w:pPr>
            <w:r>
              <w:t>183</w:t>
            </w:r>
          </w:p>
        </w:tc>
      </w:tr>
      <w:tr w14:paraId="06880F2B" w14:textId="4EE65054" w:rsidTr="479AC987">
        <w:tblPrEx>
          <w:tblW w:w="9593" w:type="dxa"/>
          <w:tblInd w:w="-72" w:type="dxa"/>
          <w:tblLayout w:type="fixed"/>
          <w:tblLook w:val="01E0"/>
        </w:tblPrEx>
        <w:trPr>
          <w:gridAfter w:val="1"/>
          <w:wAfter w:w="9" w:type="dxa"/>
          <w:trHeight w:val="1133"/>
        </w:trPr>
        <w:tc>
          <w:tcPr>
            <w:tcW w:w="1508" w:type="dxa"/>
            <w:vMerge w:val="restart"/>
          </w:tcPr>
          <w:p w:rsidR="00A41442" w:rsidP="00A41442" w14:paraId="56258389" w14:textId="120D2259">
            <w:r>
              <w:t xml:space="preserve">ORS Drug Intelligence Officers </w:t>
            </w:r>
          </w:p>
          <w:p w:rsidR="00A41442" w:rsidP="00A41442" w14:paraId="09CF1F0E" w14:textId="1CEB67A2"/>
        </w:tc>
        <w:tc>
          <w:tcPr>
            <w:tcW w:w="1799" w:type="dxa"/>
          </w:tcPr>
          <w:p w:rsidR="00A41442" w:rsidP="00A41442" w14:paraId="0AD7E284" w14:textId="2517F5A6">
            <w:r>
              <w:t>ORS Annual Evaluation Survey-DIO (Att. E)</w:t>
            </w:r>
          </w:p>
        </w:tc>
        <w:tc>
          <w:tcPr>
            <w:tcW w:w="1777" w:type="dxa"/>
          </w:tcPr>
          <w:p w:rsidR="00A41442" w:rsidP="00A41442" w14:paraId="2BD703ED" w14:textId="52A4B405">
            <w:pPr>
              <w:jc w:val="right"/>
            </w:pPr>
            <w:r>
              <w:t>61</w:t>
            </w:r>
          </w:p>
        </w:tc>
        <w:tc>
          <w:tcPr>
            <w:tcW w:w="1620" w:type="dxa"/>
          </w:tcPr>
          <w:p w:rsidR="00A41442" w:rsidP="00A41442" w14:paraId="07E84FF7" w14:textId="3C38853F">
            <w:pPr>
              <w:spacing w:line="259" w:lineRule="auto"/>
              <w:jc w:val="right"/>
            </w:pPr>
            <w:r>
              <w:t>1</w:t>
            </w:r>
          </w:p>
        </w:tc>
        <w:tc>
          <w:tcPr>
            <w:tcW w:w="1710" w:type="dxa"/>
          </w:tcPr>
          <w:p w:rsidR="00A41442" w:rsidP="00A41442" w14:paraId="1BD56481" w14:textId="7E8163BB">
            <w:pPr>
              <w:spacing w:line="259" w:lineRule="auto"/>
              <w:jc w:val="right"/>
            </w:pPr>
            <w:r>
              <w:t>30/60</w:t>
            </w:r>
          </w:p>
        </w:tc>
        <w:tc>
          <w:tcPr>
            <w:tcW w:w="1170" w:type="dxa"/>
            <w:gridSpan w:val="2"/>
          </w:tcPr>
          <w:p w:rsidR="00A41442" w:rsidP="00A41442" w14:paraId="31CA5526" w14:textId="45E720E8">
            <w:pPr>
              <w:spacing w:line="259" w:lineRule="auto"/>
              <w:jc w:val="right"/>
            </w:pPr>
            <w:r>
              <w:t>31</w:t>
            </w:r>
          </w:p>
        </w:tc>
      </w:tr>
      <w:tr w14:paraId="34E4718E" w14:textId="75172AED" w:rsidTr="479AC987">
        <w:tblPrEx>
          <w:tblW w:w="9593" w:type="dxa"/>
          <w:tblInd w:w="-72" w:type="dxa"/>
          <w:tblLayout w:type="fixed"/>
          <w:tblLook w:val="01E0"/>
        </w:tblPrEx>
        <w:trPr>
          <w:gridAfter w:val="1"/>
          <w:wAfter w:w="9" w:type="dxa"/>
          <w:trHeight w:val="890"/>
        </w:trPr>
        <w:tc>
          <w:tcPr>
            <w:tcW w:w="1508" w:type="dxa"/>
            <w:vMerge/>
          </w:tcPr>
          <w:p w:rsidR="00A41442" w:rsidP="00A41442" w14:paraId="30E8174A" w14:textId="1CA52957"/>
        </w:tc>
        <w:tc>
          <w:tcPr>
            <w:tcW w:w="1799" w:type="dxa"/>
          </w:tcPr>
          <w:p w:rsidR="00A41442" w:rsidP="009F5D2B" w14:paraId="176547A1" w14:textId="452B909A">
            <w:pPr>
              <w:ind w:right="-105"/>
              <w:rPr>
                <w:highlight w:val="yellow"/>
              </w:rPr>
            </w:pPr>
            <w:r>
              <w:t>ORS Quarterly Reporting Template (Att. I)</w:t>
            </w:r>
          </w:p>
          <w:p w:rsidR="00A41442" w:rsidP="00A41442" w14:paraId="52D23EAF" w14:textId="0124DF73">
            <w:pPr>
              <w:tabs>
                <w:tab w:val="left" w:pos="360"/>
              </w:tabs>
            </w:pPr>
          </w:p>
        </w:tc>
        <w:tc>
          <w:tcPr>
            <w:tcW w:w="1777" w:type="dxa"/>
          </w:tcPr>
          <w:p w:rsidR="00A41442" w:rsidP="009F5D2B" w14:paraId="66BBA061" w14:textId="683F9FAD">
            <w:pPr>
              <w:ind w:left="211"/>
              <w:jc w:val="right"/>
            </w:pPr>
            <w:r>
              <w:t>61</w:t>
            </w:r>
          </w:p>
        </w:tc>
        <w:tc>
          <w:tcPr>
            <w:tcW w:w="1620" w:type="dxa"/>
          </w:tcPr>
          <w:p w:rsidR="00A41442" w:rsidP="00A41442" w14:paraId="47049D27" w14:textId="32D4731A">
            <w:pPr>
              <w:spacing w:line="259" w:lineRule="auto"/>
              <w:jc w:val="right"/>
            </w:pPr>
            <w:r>
              <w:t>4</w:t>
            </w:r>
          </w:p>
        </w:tc>
        <w:tc>
          <w:tcPr>
            <w:tcW w:w="1710" w:type="dxa"/>
          </w:tcPr>
          <w:p w:rsidR="00A41442" w:rsidP="00A41442" w14:paraId="170DBAEF" w14:textId="6CDB24B2">
            <w:pPr>
              <w:spacing w:line="259" w:lineRule="auto"/>
              <w:jc w:val="right"/>
            </w:pPr>
            <w:r>
              <w:t>45/60</w:t>
            </w:r>
          </w:p>
        </w:tc>
        <w:tc>
          <w:tcPr>
            <w:tcW w:w="1170" w:type="dxa"/>
            <w:gridSpan w:val="2"/>
          </w:tcPr>
          <w:p w:rsidR="00A41442" w:rsidP="00A41442" w14:paraId="04C92D88" w14:textId="2E1BC01E">
            <w:pPr>
              <w:spacing w:line="259" w:lineRule="auto"/>
              <w:jc w:val="right"/>
            </w:pPr>
            <w:r>
              <w:t>183</w:t>
            </w:r>
          </w:p>
        </w:tc>
      </w:tr>
      <w:tr w14:paraId="2C060979" w14:textId="28373EB8" w:rsidTr="479AC987">
        <w:tblPrEx>
          <w:tblW w:w="9593" w:type="dxa"/>
          <w:tblInd w:w="-72" w:type="dxa"/>
          <w:tblLayout w:type="fixed"/>
          <w:tblLook w:val="01E0"/>
        </w:tblPrEx>
        <w:trPr>
          <w:gridAfter w:val="1"/>
          <w:wAfter w:w="9" w:type="dxa"/>
          <w:trHeight w:val="710"/>
        </w:trPr>
        <w:tc>
          <w:tcPr>
            <w:tcW w:w="1508" w:type="dxa"/>
          </w:tcPr>
          <w:p w:rsidR="00A051C1" w:rsidP="00A41442" w14:paraId="02C2D3E5" w14:textId="666DB704">
            <w:r>
              <w:t xml:space="preserve">State, territory, county and city health department staff </w:t>
            </w:r>
          </w:p>
        </w:tc>
        <w:tc>
          <w:tcPr>
            <w:tcW w:w="1799" w:type="dxa"/>
          </w:tcPr>
          <w:p w:rsidR="00A051C1" w:rsidP="00A41442" w14:paraId="17790402" w14:textId="65A829C2">
            <w:pPr>
              <w:tabs>
                <w:tab w:val="left" w:pos="360"/>
              </w:tabs>
              <w:rPr>
                <w:highlight w:val="yellow"/>
              </w:rPr>
            </w:pPr>
            <w:r>
              <w:t xml:space="preserve">ORS Annual Evaluation Survey-Public Health Partner (Att. F) </w:t>
            </w:r>
          </w:p>
        </w:tc>
        <w:tc>
          <w:tcPr>
            <w:tcW w:w="1777" w:type="dxa"/>
          </w:tcPr>
          <w:p w:rsidR="00A051C1" w:rsidP="00A41442" w14:paraId="5384E368" w14:textId="432145A5">
            <w:pPr>
              <w:jc w:val="right"/>
            </w:pPr>
            <w:r>
              <w:t>70</w:t>
            </w:r>
          </w:p>
        </w:tc>
        <w:tc>
          <w:tcPr>
            <w:tcW w:w="1620" w:type="dxa"/>
          </w:tcPr>
          <w:p w:rsidR="00A051C1" w:rsidP="00A41442" w14:paraId="44F51734" w14:textId="4DC44688">
            <w:pPr>
              <w:jc w:val="right"/>
            </w:pPr>
            <w:r>
              <w:t>1</w:t>
            </w:r>
          </w:p>
        </w:tc>
        <w:tc>
          <w:tcPr>
            <w:tcW w:w="1710" w:type="dxa"/>
          </w:tcPr>
          <w:p w:rsidR="00A051C1" w:rsidP="00A41442" w14:paraId="47FB6420" w14:textId="1701188F">
            <w:pPr>
              <w:jc w:val="right"/>
            </w:pPr>
            <w:r>
              <w:t>30/60</w:t>
            </w:r>
          </w:p>
        </w:tc>
        <w:tc>
          <w:tcPr>
            <w:tcW w:w="1170" w:type="dxa"/>
            <w:gridSpan w:val="2"/>
          </w:tcPr>
          <w:p w:rsidR="00A051C1" w:rsidP="00A41442" w14:paraId="211B7564" w14:textId="510AD918">
            <w:pPr>
              <w:spacing w:line="259" w:lineRule="auto"/>
              <w:jc w:val="right"/>
            </w:pPr>
            <w:r>
              <w:t>35</w:t>
            </w:r>
          </w:p>
        </w:tc>
      </w:tr>
      <w:tr w14:paraId="6855B787" w14:textId="68434869" w:rsidTr="479AC987">
        <w:tblPrEx>
          <w:tblW w:w="9593" w:type="dxa"/>
          <w:tblInd w:w="-72" w:type="dxa"/>
          <w:tblLayout w:type="fixed"/>
          <w:tblLook w:val="01E0"/>
        </w:tblPrEx>
        <w:trPr>
          <w:gridAfter w:val="1"/>
          <w:wAfter w:w="9" w:type="dxa"/>
          <w:trHeight w:val="1345"/>
        </w:trPr>
        <w:tc>
          <w:tcPr>
            <w:tcW w:w="1508" w:type="dxa"/>
          </w:tcPr>
          <w:p w:rsidR="00274D5D" w:rsidP="00A41442" w14:paraId="1595445D" w14:textId="134C800E">
            <w:r>
              <w:t>HIDTA staff</w:t>
            </w:r>
          </w:p>
        </w:tc>
        <w:tc>
          <w:tcPr>
            <w:tcW w:w="1799" w:type="dxa"/>
          </w:tcPr>
          <w:p w:rsidR="00274D5D" w:rsidP="00A41442" w14:paraId="3BD6BE9A" w14:textId="467CFDE7">
            <w:pPr>
              <w:rPr>
                <w:highlight w:val="yellow"/>
              </w:rPr>
            </w:pPr>
            <w:r>
              <w:t>ORS Annual Evaluation Survey-Public Safety Partner (Att. G)</w:t>
            </w:r>
          </w:p>
        </w:tc>
        <w:tc>
          <w:tcPr>
            <w:tcW w:w="1777" w:type="dxa"/>
          </w:tcPr>
          <w:p w:rsidR="00274D5D" w:rsidP="00A41442" w14:paraId="26B3E190" w14:textId="691A82DA">
            <w:pPr>
              <w:jc w:val="right"/>
            </w:pPr>
            <w:r>
              <w:t>70</w:t>
            </w:r>
          </w:p>
        </w:tc>
        <w:tc>
          <w:tcPr>
            <w:tcW w:w="1620" w:type="dxa"/>
          </w:tcPr>
          <w:p w:rsidR="00274D5D" w:rsidP="00A41442" w14:paraId="5A3A1F6A" w14:textId="5760D16A">
            <w:pPr>
              <w:jc w:val="right"/>
            </w:pPr>
            <w:r>
              <w:t>1</w:t>
            </w:r>
          </w:p>
        </w:tc>
        <w:tc>
          <w:tcPr>
            <w:tcW w:w="1710" w:type="dxa"/>
          </w:tcPr>
          <w:p w:rsidR="00274D5D" w:rsidP="00A41442" w14:paraId="11287BAB" w14:textId="40DF9DAC">
            <w:pPr>
              <w:jc w:val="right"/>
            </w:pPr>
            <w:r>
              <w:t>30/60</w:t>
            </w:r>
          </w:p>
        </w:tc>
        <w:tc>
          <w:tcPr>
            <w:tcW w:w="1170" w:type="dxa"/>
            <w:gridSpan w:val="2"/>
          </w:tcPr>
          <w:p w:rsidR="00274D5D" w:rsidP="00A41442" w14:paraId="354B88DE" w14:textId="5B79BC8D">
            <w:pPr>
              <w:spacing w:line="259" w:lineRule="auto"/>
              <w:jc w:val="right"/>
            </w:pPr>
            <w:r>
              <w:t>35</w:t>
            </w:r>
          </w:p>
        </w:tc>
      </w:tr>
      <w:tr w14:paraId="55320A4F" w14:textId="1B540ADB" w:rsidTr="479AC987">
        <w:tblPrEx>
          <w:tblW w:w="9593" w:type="dxa"/>
          <w:tblInd w:w="-72" w:type="dxa"/>
          <w:tblLayout w:type="fixed"/>
          <w:tblLook w:val="01E0"/>
        </w:tblPrEx>
        <w:trPr>
          <w:gridAfter w:val="1"/>
          <w:wAfter w:w="9" w:type="dxa"/>
          <w:trHeight w:val="1345"/>
        </w:trPr>
        <w:tc>
          <w:tcPr>
            <w:tcW w:w="1508" w:type="dxa"/>
          </w:tcPr>
          <w:p w:rsidR="00274D5D" w:rsidP="00A41442" w14:paraId="233FDDCE" w14:textId="74019A77">
            <w:r>
              <w:t xml:space="preserve">CDCF ORS National Team Staff </w:t>
            </w:r>
          </w:p>
        </w:tc>
        <w:tc>
          <w:tcPr>
            <w:tcW w:w="1799" w:type="dxa"/>
          </w:tcPr>
          <w:p w:rsidR="00274D5D" w:rsidP="00A41442" w14:paraId="51D798DD" w14:textId="2E2E7CF9">
            <w:pPr>
              <w:rPr>
                <w:highlight w:val="yellow"/>
              </w:rPr>
            </w:pPr>
            <w:r>
              <w:t>ORS Annual Evaluation Survey-ORS Management/Coordination Team (Att. H)</w:t>
            </w:r>
          </w:p>
        </w:tc>
        <w:tc>
          <w:tcPr>
            <w:tcW w:w="1777" w:type="dxa"/>
          </w:tcPr>
          <w:p w:rsidR="00274D5D" w:rsidP="00A41442" w14:paraId="2F1DE7F5" w14:textId="01B0ABCD">
            <w:pPr>
              <w:jc w:val="right"/>
            </w:pPr>
            <w:r>
              <w:t>25</w:t>
            </w:r>
          </w:p>
        </w:tc>
        <w:tc>
          <w:tcPr>
            <w:tcW w:w="1620" w:type="dxa"/>
          </w:tcPr>
          <w:p w:rsidR="00274D5D" w:rsidP="00A41442" w14:paraId="161A49BD" w14:textId="4269C27A">
            <w:pPr>
              <w:jc w:val="right"/>
            </w:pPr>
            <w:r>
              <w:t>1</w:t>
            </w:r>
          </w:p>
        </w:tc>
        <w:tc>
          <w:tcPr>
            <w:tcW w:w="1710" w:type="dxa"/>
          </w:tcPr>
          <w:p w:rsidR="00274D5D" w:rsidP="00A41442" w14:paraId="3F791B43" w14:textId="0DB14B8D">
            <w:pPr>
              <w:jc w:val="right"/>
            </w:pPr>
            <w:r>
              <w:t>30/60</w:t>
            </w:r>
          </w:p>
        </w:tc>
        <w:tc>
          <w:tcPr>
            <w:tcW w:w="1170" w:type="dxa"/>
            <w:gridSpan w:val="2"/>
          </w:tcPr>
          <w:p w:rsidR="00274D5D" w:rsidP="00A41442" w14:paraId="67FC9742" w14:textId="14B9147F">
            <w:pPr>
              <w:spacing w:line="259" w:lineRule="auto"/>
              <w:jc w:val="right"/>
            </w:pPr>
            <w:r>
              <w:t>13</w:t>
            </w:r>
          </w:p>
        </w:tc>
      </w:tr>
      <w:tr w14:paraId="79A232FE" w14:textId="62EA919D" w:rsidTr="479AC987">
        <w:tblPrEx>
          <w:tblW w:w="9593" w:type="dxa"/>
          <w:tblInd w:w="-72" w:type="dxa"/>
          <w:tblLayout w:type="fixed"/>
          <w:tblLook w:val="01E0"/>
        </w:tblPrEx>
        <w:trPr>
          <w:trHeight w:val="276"/>
        </w:trPr>
        <w:tc>
          <w:tcPr>
            <w:tcW w:w="8423" w:type="dxa"/>
            <w:gridSpan w:val="6"/>
          </w:tcPr>
          <w:p w:rsidR="00A41442" w:rsidRPr="00691454" w:rsidP="00A41442" w14:paraId="5528AC82" w14:textId="32E433BE">
            <w:pPr>
              <w:jc w:val="right"/>
              <w:rPr>
                <w:b/>
              </w:rPr>
            </w:pPr>
            <w:r w:rsidRPr="00691454">
              <w:rPr>
                <w:b/>
              </w:rPr>
              <w:t>Total</w:t>
            </w:r>
          </w:p>
        </w:tc>
        <w:tc>
          <w:tcPr>
            <w:tcW w:w="1170" w:type="dxa"/>
            <w:gridSpan w:val="2"/>
          </w:tcPr>
          <w:p w:rsidR="00A41442" w:rsidRPr="00691454" w:rsidP="00A41442" w14:paraId="146ECC59" w14:textId="73E79E24">
            <w:pPr>
              <w:spacing w:line="259" w:lineRule="auto"/>
              <w:jc w:val="right"/>
            </w:pPr>
            <w:r>
              <w:t>531</w:t>
            </w:r>
          </w:p>
        </w:tc>
      </w:tr>
    </w:tbl>
    <w:p w:rsidR="00855014" w:rsidP="00203779" w14:paraId="5E8B311C" w14:textId="77777777">
      <w:pPr>
        <w:pStyle w:val="Bulleted"/>
        <w:numPr>
          <w:ilvl w:val="0"/>
          <w:numId w:val="0"/>
        </w:numPr>
      </w:pPr>
    </w:p>
    <w:p w:rsidR="004A4436" w:rsidRPr="00691454" w:rsidP="00026C55" w14:paraId="1CE7DC4F" w14:textId="77777777">
      <w:pPr>
        <w:pStyle w:val="Bulleted"/>
        <w:numPr>
          <w:ilvl w:val="0"/>
          <w:numId w:val="0"/>
        </w:numPr>
      </w:pPr>
      <w:r w:rsidRPr="00691454">
        <w:t>A.12.b)</w:t>
      </w:r>
      <w:r w:rsidRPr="00691454" w:rsidR="00063B71">
        <w:t xml:space="preserve"> </w:t>
      </w:r>
      <w:r w:rsidRPr="00380E1B" w:rsidR="00760067">
        <w:t>A</w:t>
      </w:r>
      <w:r w:rsidRPr="00691454" w:rsidR="00760067">
        <w:t>nnual</w:t>
      </w:r>
      <w:r w:rsidRPr="00691454" w:rsidR="00A818C7">
        <w:t xml:space="preserve"> burden </w:t>
      </w:r>
      <w:r w:rsidRPr="00691454" w:rsidR="008429DD">
        <w:t xml:space="preserve">cost </w:t>
      </w:r>
    </w:p>
    <w:p w:rsidR="00144640" w:rsidRPr="00691454" w:rsidP="00144640" w14:paraId="05FB9413" w14:textId="77777777">
      <w:pPr>
        <w:pStyle w:val="SL-FlLftSgl"/>
      </w:pPr>
    </w:p>
    <w:p w:rsidR="1E91CC8B" w:rsidP="277F5081" w14:paraId="603C5494" w14:textId="338AD5B2">
      <w:pPr>
        <w:pStyle w:val="SL-FlLftSgl"/>
        <w:rPr>
          <w:color w:val="000000" w:themeColor="text1"/>
        </w:rPr>
      </w:pPr>
      <w:r>
        <w:t xml:space="preserve">Respondents will be ORS PHAs, DIOs, public health and public safety </w:t>
      </w:r>
      <w:r w:rsidR="009B42AC">
        <w:t>partners</w:t>
      </w:r>
      <w:r>
        <w:t xml:space="preserve">, and ORS National Team staff from CDCF. </w:t>
      </w:r>
      <w:r w:rsidR="4C5DD2E4">
        <w:t>The average hourly wage rate for PHAs</w:t>
      </w:r>
      <w:r w:rsidR="6E158621">
        <w:t xml:space="preserve">, DIOs, and CDCF National Team staff </w:t>
      </w:r>
      <w:r w:rsidR="4C5DD2E4">
        <w:t xml:space="preserve">was calculated using their average yearly salaries. </w:t>
      </w:r>
      <w:r w:rsidR="009F5D2B">
        <w:t>For invitation and reminder emails the average of all ORS respondents was used.</w:t>
      </w:r>
    </w:p>
    <w:p w:rsidR="277F5081" w:rsidP="277F5081" w14:paraId="26F84C0A" w14:textId="60D002E0">
      <w:pPr>
        <w:pStyle w:val="SL-FlLftSgl"/>
      </w:pPr>
    </w:p>
    <w:p w:rsidR="4C5DD2E4" w:rsidP="277F5081" w14:paraId="109AB319" w14:textId="11C94A23">
      <w:pPr>
        <w:pStyle w:val="SL-FlLftSgl"/>
        <w:rPr>
          <w:color w:val="000000" w:themeColor="text1"/>
        </w:rPr>
      </w:pPr>
      <w:r>
        <w:t>Because the type of public health staff responding to the Annual Survey will vary substantially</w:t>
      </w:r>
      <w:r w:rsidR="1B205458">
        <w:t xml:space="preserve"> across jurisdictions, </w:t>
      </w:r>
      <w:r w:rsidRPr="277F5081" w:rsidR="1B205458">
        <w:rPr>
          <w:color w:val="000000" w:themeColor="text1"/>
        </w:rPr>
        <w:t>the mean hourly wage of federal, state, and local government employees ($30.85) as estimated by the Bureau of Labor Statistics (</w:t>
      </w:r>
      <w:hyperlink r:id="rId8" w:anchor="00-0000">
        <w:r w:rsidRPr="277F5081" w:rsidR="1B205458">
          <w:rPr>
            <w:rStyle w:val="Hyperlink"/>
          </w:rPr>
          <w:t>https://www.bls.gov/oes/current/999001.htm#00-0000</w:t>
        </w:r>
      </w:hyperlink>
      <w:r w:rsidRPr="277F5081" w:rsidR="1B205458">
        <w:rPr>
          <w:color w:val="000000" w:themeColor="text1"/>
        </w:rPr>
        <w:t xml:space="preserve">, accessed on September 15, 2024) was used to estimate burden costs. </w:t>
      </w:r>
    </w:p>
    <w:p w:rsidR="277F5081" w:rsidP="277F5081" w14:paraId="5D6190B1" w14:textId="6BF38CF1">
      <w:pPr>
        <w:pStyle w:val="SL-FlLftSgl"/>
        <w:rPr>
          <w:color w:val="000000" w:themeColor="text1"/>
        </w:rPr>
      </w:pPr>
    </w:p>
    <w:p w:rsidR="1B205458" w:rsidP="277F5081" w14:paraId="61C9AEDF" w14:textId="370488BE">
      <w:pPr>
        <w:pStyle w:val="SL-FlLftSgl"/>
        <w:rPr>
          <w:color w:val="000000" w:themeColor="text1"/>
        </w:rPr>
      </w:pPr>
      <w:r w:rsidRPr="277F5081">
        <w:rPr>
          <w:color w:val="000000" w:themeColor="text1"/>
        </w:rPr>
        <w:t xml:space="preserve">Because the </w:t>
      </w:r>
      <w:r w:rsidRPr="277F5081" w:rsidR="2C5BD6FE">
        <w:rPr>
          <w:color w:val="000000" w:themeColor="text1"/>
        </w:rPr>
        <w:t>type of HIDTA staff responding to the Annual Survey will also vary substantially across jurisdictions, the mean hourly wage of top executives</w:t>
      </w:r>
      <w:r w:rsidRPr="277F5081" w:rsidR="7EAC3064">
        <w:rPr>
          <w:color w:val="000000" w:themeColor="text1"/>
        </w:rPr>
        <w:t xml:space="preserve"> ($61.82) of federal, state, and local government as estimated by the Bureau of Labor Statistics ((</w:t>
      </w:r>
      <w:hyperlink r:id="rId8" w:anchor="00-0000">
        <w:r w:rsidRPr="277F5081" w:rsidR="7EAC3064">
          <w:rPr>
            <w:rStyle w:val="Hyperlink"/>
          </w:rPr>
          <w:t>https://www.bls.gov/oes/current/999001.htm#00-0000</w:t>
        </w:r>
      </w:hyperlink>
      <w:r w:rsidRPr="277F5081" w:rsidR="7EAC3064">
        <w:rPr>
          <w:color w:val="000000" w:themeColor="text1"/>
        </w:rPr>
        <w:t>, accessed on September 15, 2024</w:t>
      </w:r>
      <w:r w:rsidRPr="277F5081" w:rsidR="36F19991">
        <w:rPr>
          <w:color w:val="000000" w:themeColor="text1"/>
        </w:rPr>
        <w:t xml:space="preserve">) was used to estimate burden costs. </w:t>
      </w:r>
    </w:p>
    <w:p w:rsidR="277F5081" w:rsidP="277F5081" w14:paraId="1C6B4D7E" w14:textId="3B0231E5">
      <w:pPr>
        <w:pStyle w:val="SL-FlLftSgl"/>
      </w:pPr>
    </w:p>
    <w:p w:rsidR="005A53E2" w14:paraId="251CAAC0" w14:textId="4F3A79AF">
      <w:r w:rsidRPr="00327922">
        <w:t>Tabl</w:t>
      </w:r>
      <w:r w:rsidRPr="00327922" w:rsidR="6F81A5FB">
        <w:t xml:space="preserve">e </w:t>
      </w:r>
      <w:r w:rsidRPr="00327922" w:rsidR="6A66CD02">
        <w:t>3</w:t>
      </w:r>
      <w:r w:rsidRPr="00327922">
        <w:t>.</w:t>
      </w:r>
      <w:r>
        <w:t xml:space="preserve"> Estimated Annual</w:t>
      </w:r>
      <w:r w:rsidR="003F77E5">
        <w:t xml:space="preserve">ized Burden </w:t>
      </w:r>
      <w:r>
        <w:t>Cost</w:t>
      </w:r>
      <w:r w:rsidR="003F77E5">
        <w:t>s</w:t>
      </w:r>
      <w:r>
        <w:t xml:space="preserve"> </w:t>
      </w:r>
    </w:p>
    <w:tbl>
      <w:tblPr>
        <w:tblpPr w:leftFromText="180" w:rightFromText="180" w:vertAnchor="text" w:horzAnchor="margin" w:tblpXSpec="center" w:tblpY="349"/>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8"/>
        <w:gridCol w:w="2940"/>
        <w:gridCol w:w="960"/>
        <w:gridCol w:w="1800"/>
        <w:gridCol w:w="2308"/>
      </w:tblGrid>
      <w:tr w14:paraId="25D4EC72" w14:textId="77777777" w:rsidTr="479AC987">
        <w:tblPrEx>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0"/>
        </w:trPr>
        <w:tc>
          <w:tcPr>
            <w:tcW w:w="1458" w:type="dxa"/>
          </w:tcPr>
          <w:p w:rsidR="00EF2F61" w:rsidRPr="00691454" w:rsidP="00EF2F61" w14:paraId="1AD59995" w14:textId="77777777">
            <w:pPr>
              <w:spacing w:line="276" w:lineRule="auto"/>
              <w:rPr>
                <w:rFonts w:eastAsia="Batang"/>
              </w:rPr>
            </w:pPr>
          </w:p>
          <w:p w:rsidR="00EF2F61" w:rsidRPr="00691454" w:rsidP="00EF2F61" w14:paraId="0F71B363" w14:textId="77777777">
            <w:pPr>
              <w:spacing w:line="276" w:lineRule="auto"/>
              <w:jc w:val="center"/>
              <w:rPr>
                <w:rFonts w:eastAsia="Batang"/>
              </w:rPr>
            </w:pPr>
            <w:r w:rsidRPr="00691454">
              <w:rPr>
                <w:rFonts w:eastAsia="Batang"/>
              </w:rPr>
              <w:t>Type of Respondent</w:t>
            </w:r>
          </w:p>
        </w:tc>
        <w:tc>
          <w:tcPr>
            <w:tcW w:w="2940" w:type="dxa"/>
          </w:tcPr>
          <w:p w:rsidR="00C55DD2" w:rsidRPr="00691454" w:rsidP="00EF2F61" w14:paraId="17FB90AB" w14:textId="77777777">
            <w:pPr>
              <w:spacing w:line="276" w:lineRule="auto"/>
              <w:rPr>
                <w:rFonts w:eastAsia="Batang"/>
              </w:rPr>
            </w:pPr>
          </w:p>
          <w:p w:rsidR="00EF2F61" w:rsidRPr="00691454" w:rsidP="00EF2F61" w14:paraId="28E9B056" w14:textId="77777777">
            <w:pPr>
              <w:spacing w:line="276" w:lineRule="auto"/>
              <w:rPr>
                <w:rFonts w:eastAsia="Batang"/>
              </w:rPr>
            </w:pPr>
            <w:r w:rsidRPr="00691454">
              <w:rPr>
                <w:rFonts w:eastAsia="Batang"/>
              </w:rPr>
              <w:t>Form Name</w:t>
            </w:r>
          </w:p>
        </w:tc>
        <w:tc>
          <w:tcPr>
            <w:tcW w:w="960" w:type="dxa"/>
            <w:vAlign w:val="center"/>
          </w:tcPr>
          <w:p w:rsidR="02D77B09" w:rsidP="1C972B50" w14:paraId="266788DB" w14:textId="3A330D87">
            <w:pPr>
              <w:spacing w:line="276" w:lineRule="auto"/>
              <w:jc w:val="center"/>
              <w:rPr>
                <w:rFonts w:eastAsia="Batang"/>
              </w:rPr>
            </w:pPr>
            <w:r w:rsidRPr="1C972B50">
              <w:rPr>
                <w:rFonts w:eastAsia="Batang"/>
              </w:rPr>
              <w:t>Total Burden Hours</w:t>
            </w:r>
          </w:p>
        </w:tc>
        <w:tc>
          <w:tcPr>
            <w:tcW w:w="1800" w:type="dxa"/>
            <w:vAlign w:val="center"/>
          </w:tcPr>
          <w:p w:rsidR="00EF2F61" w:rsidRPr="00691454" w:rsidP="00EF2F61" w14:paraId="06547257" w14:textId="77777777">
            <w:pPr>
              <w:spacing w:line="276" w:lineRule="auto"/>
              <w:jc w:val="center"/>
              <w:rPr>
                <w:rFonts w:eastAsia="Batang"/>
              </w:rPr>
            </w:pPr>
            <w:r w:rsidRPr="00691454">
              <w:rPr>
                <w:rFonts w:eastAsia="Batang"/>
              </w:rPr>
              <w:t>Average Hourly Wage Rate (in dollars)</w:t>
            </w:r>
          </w:p>
        </w:tc>
        <w:tc>
          <w:tcPr>
            <w:tcW w:w="2308" w:type="dxa"/>
            <w:vAlign w:val="center"/>
          </w:tcPr>
          <w:p w:rsidR="00EF2F61" w:rsidRPr="00691454" w:rsidP="00EF2F61" w14:paraId="70B333BE" w14:textId="2D01CD49">
            <w:pPr>
              <w:spacing w:line="276" w:lineRule="auto"/>
              <w:jc w:val="center"/>
              <w:rPr>
                <w:rFonts w:eastAsia="Batang"/>
              </w:rPr>
            </w:pPr>
            <w:r w:rsidRPr="1C972B50">
              <w:rPr>
                <w:rFonts w:eastAsia="Batang"/>
              </w:rPr>
              <w:t>Total C</w:t>
            </w:r>
            <w:r w:rsidRPr="1C972B50" w:rsidR="2477B39D">
              <w:rPr>
                <w:rFonts w:eastAsia="Batang"/>
              </w:rPr>
              <w:t>o</w:t>
            </w:r>
            <w:r w:rsidRPr="1C972B50">
              <w:rPr>
                <w:rFonts w:eastAsia="Batang"/>
              </w:rPr>
              <w:t>st</w:t>
            </w:r>
            <w:r w:rsidRPr="1C972B50" w:rsidR="20FAEE28">
              <w:rPr>
                <w:rFonts w:eastAsia="Batang"/>
              </w:rPr>
              <w:t>s</w:t>
            </w:r>
          </w:p>
        </w:tc>
      </w:tr>
      <w:tr w14:paraId="63CAD17E" w14:textId="77777777" w:rsidTr="479AC987">
        <w:tblPrEx>
          <w:tblW w:w="9466" w:type="dxa"/>
          <w:tblLayout w:type="fixed"/>
          <w:tblLook w:val="01E0"/>
        </w:tblPrEx>
        <w:trPr>
          <w:trHeight w:val="300"/>
        </w:trPr>
        <w:tc>
          <w:tcPr>
            <w:tcW w:w="1458" w:type="dxa"/>
          </w:tcPr>
          <w:p w:rsidR="00DD0A13" w:rsidRPr="00691454" w:rsidP="00EF2F61" w14:paraId="2CBC684C" w14:textId="13198E57">
            <w:pPr>
              <w:spacing w:line="276" w:lineRule="auto"/>
              <w:rPr>
                <w:rFonts w:eastAsia="Batang"/>
              </w:rPr>
            </w:pPr>
            <w:r>
              <w:rPr>
                <w:rFonts w:eastAsia="Batang"/>
              </w:rPr>
              <w:t>ORS Respondents</w:t>
            </w:r>
          </w:p>
        </w:tc>
        <w:tc>
          <w:tcPr>
            <w:tcW w:w="2940" w:type="dxa"/>
          </w:tcPr>
          <w:p w:rsidR="00DD0A13" w:rsidP="00EF2F61" w14:paraId="316544A7" w14:textId="77777777">
            <w:pPr>
              <w:spacing w:line="276" w:lineRule="auto"/>
              <w:rPr>
                <w:rFonts w:eastAsia="Batang"/>
              </w:rPr>
            </w:pPr>
          </w:p>
          <w:p w:rsidR="00DD0A13" w:rsidRPr="00691454" w:rsidP="00EF2F61" w14:paraId="52FA005A" w14:textId="2177DFEA">
            <w:pPr>
              <w:spacing w:line="276" w:lineRule="auto"/>
              <w:rPr>
                <w:rFonts w:eastAsia="Batang"/>
              </w:rPr>
            </w:pPr>
            <w:r>
              <w:rPr>
                <w:rFonts w:eastAsia="Batang"/>
              </w:rPr>
              <w:t>Invitation Email</w:t>
            </w:r>
            <w:r w:rsidR="00FB5FA8">
              <w:rPr>
                <w:rFonts w:eastAsia="Batang"/>
              </w:rPr>
              <w:t xml:space="preserve"> (Att. L)</w:t>
            </w:r>
          </w:p>
        </w:tc>
        <w:tc>
          <w:tcPr>
            <w:tcW w:w="960" w:type="dxa"/>
            <w:vAlign w:val="center"/>
          </w:tcPr>
          <w:p w:rsidR="00DD0A13" w:rsidRPr="1C972B50" w:rsidP="1C972B50" w14:paraId="5BEC673E" w14:textId="757F1B11">
            <w:pPr>
              <w:spacing w:line="276" w:lineRule="auto"/>
              <w:jc w:val="center"/>
              <w:rPr>
                <w:rFonts w:eastAsia="Batang"/>
              </w:rPr>
            </w:pPr>
            <w:r>
              <w:rPr>
                <w:rFonts w:eastAsia="Batang"/>
              </w:rPr>
              <w:t>10</w:t>
            </w:r>
          </w:p>
        </w:tc>
        <w:tc>
          <w:tcPr>
            <w:tcW w:w="1800" w:type="dxa"/>
            <w:vAlign w:val="center"/>
          </w:tcPr>
          <w:p w:rsidR="00DD0A13" w:rsidRPr="00691454" w:rsidP="00EF2F61" w14:paraId="17419A9B" w14:textId="7D11E2E0">
            <w:pPr>
              <w:spacing w:line="276" w:lineRule="auto"/>
              <w:jc w:val="center"/>
              <w:rPr>
                <w:rFonts w:eastAsia="Batang"/>
              </w:rPr>
            </w:pPr>
            <w:r>
              <w:rPr>
                <w:rFonts w:eastAsia="Batang"/>
              </w:rPr>
              <w:t>$44.27</w:t>
            </w:r>
          </w:p>
        </w:tc>
        <w:tc>
          <w:tcPr>
            <w:tcW w:w="2308" w:type="dxa"/>
            <w:vAlign w:val="center"/>
          </w:tcPr>
          <w:p w:rsidR="00DD0A13" w:rsidRPr="1C972B50" w:rsidP="00EF2F61" w14:paraId="4AD4E10F" w14:textId="2FE0F5E4">
            <w:pPr>
              <w:spacing w:line="276" w:lineRule="auto"/>
              <w:jc w:val="center"/>
              <w:rPr>
                <w:rFonts w:eastAsia="Batang"/>
              </w:rPr>
            </w:pPr>
            <w:r>
              <w:rPr>
                <w:rFonts w:eastAsia="Batang"/>
              </w:rPr>
              <w:t>$443</w:t>
            </w:r>
          </w:p>
        </w:tc>
      </w:tr>
      <w:tr w14:paraId="7D436BFD" w14:textId="77777777" w:rsidTr="479AC987">
        <w:tblPrEx>
          <w:tblW w:w="9466" w:type="dxa"/>
          <w:tblLayout w:type="fixed"/>
          <w:tblLook w:val="01E0"/>
        </w:tblPrEx>
        <w:trPr>
          <w:trHeight w:val="300"/>
        </w:trPr>
        <w:tc>
          <w:tcPr>
            <w:tcW w:w="1458" w:type="dxa"/>
          </w:tcPr>
          <w:p w:rsidR="00DD0A13" w:rsidRPr="00691454" w:rsidP="00EF2F61" w14:paraId="35388130" w14:textId="040E649D">
            <w:pPr>
              <w:spacing w:line="276" w:lineRule="auto"/>
              <w:rPr>
                <w:rFonts w:eastAsia="Batang"/>
              </w:rPr>
            </w:pPr>
            <w:r>
              <w:rPr>
                <w:rFonts w:eastAsia="Batang"/>
              </w:rPr>
              <w:t>ORS Respondents</w:t>
            </w:r>
          </w:p>
        </w:tc>
        <w:tc>
          <w:tcPr>
            <w:tcW w:w="2940" w:type="dxa"/>
          </w:tcPr>
          <w:p w:rsidR="00DD0A13" w:rsidP="00EF2F61" w14:paraId="4F83D776" w14:textId="77777777">
            <w:pPr>
              <w:spacing w:line="276" w:lineRule="auto"/>
              <w:rPr>
                <w:rFonts w:eastAsia="Batang"/>
              </w:rPr>
            </w:pPr>
          </w:p>
          <w:p w:rsidR="00DD0A13" w:rsidRPr="00691454" w:rsidP="00EF2F61" w14:paraId="53C0CE5A" w14:textId="79EDF9F4">
            <w:pPr>
              <w:spacing w:line="276" w:lineRule="auto"/>
              <w:rPr>
                <w:rFonts w:eastAsia="Batang"/>
              </w:rPr>
            </w:pPr>
            <w:r>
              <w:rPr>
                <w:rFonts w:eastAsia="Batang"/>
              </w:rPr>
              <w:t>Reminder Email</w:t>
            </w:r>
            <w:r w:rsidR="00FB5FA8">
              <w:rPr>
                <w:rFonts w:eastAsia="Batang"/>
              </w:rPr>
              <w:t xml:space="preserve"> (Att. M)</w:t>
            </w:r>
          </w:p>
        </w:tc>
        <w:tc>
          <w:tcPr>
            <w:tcW w:w="960" w:type="dxa"/>
            <w:vAlign w:val="center"/>
          </w:tcPr>
          <w:p w:rsidR="00DD0A13" w:rsidRPr="1C972B50" w:rsidP="1C972B50" w14:paraId="26B92A37" w14:textId="39029379">
            <w:pPr>
              <w:spacing w:line="276" w:lineRule="auto"/>
              <w:jc w:val="center"/>
              <w:rPr>
                <w:rFonts w:eastAsia="Batang"/>
              </w:rPr>
            </w:pPr>
            <w:r>
              <w:rPr>
                <w:rFonts w:eastAsia="Batang"/>
              </w:rPr>
              <w:t>10</w:t>
            </w:r>
          </w:p>
        </w:tc>
        <w:tc>
          <w:tcPr>
            <w:tcW w:w="1800" w:type="dxa"/>
            <w:vAlign w:val="center"/>
          </w:tcPr>
          <w:p w:rsidR="00DD0A13" w:rsidRPr="00691454" w:rsidP="00EF2F61" w14:paraId="28953974" w14:textId="774C9EA0">
            <w:pPr>
              <w:spacing w:line="276" w:lineRule="auto"/>
              <w:jc w:val="center"/>
              <w:rPr>
                <w:rFonts w:eastAsia="Batang"/>
              </w:rPr>
            </w:pPr>
            <w:r>
              <w:rPr>
                <w:rFonts w:eastAsia="Batang"/>
              </w:rPr>
              <w:t>$44.27</w:t>
            </w:r>
          </w:p>
        </w:tc>
        <w:tc>
          <w:tcPr>
            <w:tcW w:w="2308" w:type="dxa"/>
            <w:vAlign w:val="center"/>
          </w:tcPr>
          <w:p w:rsidR="00DD0A13" w:rsidRPr="1C972B50" w:rsidP="00EF2F61" w14:paraId="7FC9D6D3" w14:textId="55786FBD">
            <w:pPr>
              <w:spacing w:line="276" w:lineRule="auto"/>
              <w:jc w:val="center"/>
              <w:rPr>
                <w:rFonts w:eastAsia="Batang"/>
              </w:rPr>
            </w:pPr>
            <w:r>
              <w:rPr>
                <w:rFonts w:eastAsia="Batang"/>
              </w:rPr>
              <w:t>$443</w:t>
            </w:r>
          </w:p>
        </w:tc>
      </w:tr>
      <w:tr w14:paraId="76C09DF3" w14:textId="77777777" w:rsidTr="479AC987">
        <w:tblPrEx>
          <w:tblW w:w="9466" w:type="dxa"/>
          <w:tblLayout w:type="fixed"/>
          <w:tblLook w:val="01E0"/>
        </w:tblPrEx>
        <w:trPr>
          <w:trHeight w:val="300"/>
        </w:trPr>
        <w:tc>
          <w:tcPr>
            <w:tcW w:w="1458" w:type="dxa"/>
            <w:vMerge w:val="restart"/>
          </w:tcPr>
          <w:p w:rsidR="00835657" w14:paraId="7ABAD78B" w14:textId="77777777">
            <w:r>
              <w:t xml:space="preserve">ORS Public Health Analysts </w:t>
            </w:r>
          </w:p>
          <w:p w:rsidR="00835657" w:rsidP="00EA1E20" w14:paraId="4B9275F4" w14:textId="09866514"/>
        </w:tc>
        <w:tc>
          <w:tcPr>
            <w:tcW w:w="2940" w:type="dxa"/>
          </w:tcPr>
          <w:p w:rsidR="00835657" w:rsidP="1C972B50" w14:paraId="3F385E7E" w14:textId="2A28C8E1">
            <w:pPr>
              <w:tabs>
                <w:tab w:val="left" w:pos="360"/>
              </w:tabs>
              <w:rPr>
                <w:highlight w:val="yellow"/>
              </w:rPr>
            </w:pPr>
            <w:r>
              <w:t>ORS Annual Evaluation Survey-PHA (Att. D)</w:t>
            </w:r>
          </w:p>
        </w:tc>
        <w:tc>
          <w:tcPr>
            <w:tcW w:w="960" w:type="dxa"/>
          </w:tcPr>
          <w:p w:rsidR="00835657" w:rsidP="54A55804" w14:paraId="709014BC" w14:textId="0B7BFFAA">
            <w:pPr>
              <w:spacing w:line="276" w:lineRule="auto"/>
              <w:jc w:val="center"/>
              <w:rPr>
                <w:rFonts w:eastAsia="Batang"/>
              </w:rPr>
            </w:pPr>
            <w:r w:rsidRPr="54A55804">
              <w:rPr>
                <w:rFonts w:eastAsia="Batang"/>
              </w:rPr>
              <w:t>31</w:t>
            </w:r>
          </w:p>
        </w:tc>
        <w:tc>
          <w:tcPr>
            <w:tcW w:w="1800" w:type="dxa"/>
          </w:tcPr>
          <w:p w:rsidR="00835657" w:rsidRPr="00691454" w:rsidP="00EF2F61" w14:paraId="49EFD26D" w14:textId="196DB2D3">
            <w:pPr>
              <w:spacing w:line="276" w:lineRule="auto"/>
              <w:jc w:val="center"/>
              <w:rPr>
                <w:rFonts w:eastAsia="Batang"/>
              </w:rPr>
            </w:pPr>
            <w:r w:rsidRPr="1C972B50">
              <w:rPr>
                <w:rFonts w:eastAsia="Batang"/>
              </w:rPr>
              <w:t>$42.12</w:t>
            </w:r>
          </w:p>
        </w:tc>
        <w:tc>
          <w:tcPr>
            <w:tcW w:w="2308" w:type="dxa"/>
          </w:tcPr>
          <w:p w:rsidR="00835657" w:rsidRPr="00691454" w:rsidP="00462A10" w14:paraId="13386D2A" w14:textId="706EF65A">
            <w:pPr>
              <w:spacing w:line="276" w:lineRule="auto"/>
              <w:jc w:val="center"/>
              <w:rPr>
                <w:rFonts w:eastAsia="Batang"/>
              </w:rPr>
            </w:pPr>
            <w:r w:rsidRPr="54A55804">
              <w:rPr>
                <w:rFonts w:eastAsia="Batang"/>
              </w:rPr>
              <w:t>$1,306</w:t>
            </w:r>
          </w:p>
        </w:tc>
      </w:tr>
      <w:tr w14:paraId="61EA39E5" w14:textId="77777777" w:rsidTr="479AC987">
        <w:tblPrEx>
          <w:tblW w:w="9466" w:type="dxa"/>
          <w:tblLayout w:type="fixed"/>
          <w:tblLook w:val="01E0"/>
        </w:tblPrEx>
        <w:trPr>
          <w:trHeight w:val="300"/>
        </w:trPr>
        <w:tc>
          <w:tcPr>
            <w:tcW w:w="1458" w:type="dxa"/>
            <w:vMerge/>
          </w:tcPr>
          <w:p w:rsidR="00835657" w:rsidP="00835657" w14:paraId="032524A1" w14:textId="0B5FF15B"/>
        </w:tc>
        <w:tc>
          <w:tcPr>
            <w:tcW w:w="2940" w:type="dxa"/>
          </w:tcPr>
          <w:p w:rsidR="00835657" w:rsidP="00835657" w14:paraId="0A305533" w14:textId="7AAF4D0C">
            <w:pPr>
              <w:rPr>
                <w:highlight w:val="yellow"/>
              </w:rPr>
            </w:pPr>
            <w:r>
              <w:t>ORS Quarterly Reporting Template (Att. I)</w:t>
            </w:r>
          </w:p>
          <w:p w:rsidR="00835657" w:rsidP="00835657" w14:paraId="42FAEFE8" w14:textId="77777777">
            <w:pPr>
              <w:tabs>
                <w:tab w:val="left" w:pos="360"/>
              </w:tabs>
            </w:pPr>
          </w:p>
        </w:tc>
        <w:tc>
          <w:tcPr>
            <w:tcW w:w="960" w:type="dxa"/>
          </w:tcPr>
          <w:p w:rsidR="00835657" w:rsidRPr="54A55804" w:rsidP="00835657" w14:paraId="2FD272B3" w14:textId="17AAB7CD">
            <w:pPr>
              <w:spacing w:line="276" w:lineRule="auto"/>
              <w:jc w:val="center"/>
              <w:rPr>
                <w:rFonts w:eastAsia="Batang"/>
              </w:rPr>
            </w:pPr>
            <w:r w:rsidRPr="479AC987">
              <w:rPr>
                <w:rFonts w:eastAsia="Batang"/>
              </w:rPr>
              <w:t>183</w:t>
            </w:r>
          </w:p>
        </w:tc>
        <w:tc>
          <w:tcPr>
            <w:tcW w:w="1800" w:type="dxa"/>
          </w:tcPr>
          <w:p w:rsidR="00835657" w:rsidRPr="00691454" w:rsidP="00835657" w14:paraId="3786F839" w14:textId="10FDEF7D">
            <w:pPr>
              <w:spacing w:line="276" w:lineRule="auto"/>
              <w:jc w:val="center"/>
              <w:rPr>
                <w:rFonts w:eastAsia="Batang"/>
              </w:rPr>
            </w:pPr>
            <w:r w:rsidRPr="277F5081">
              <w:rPr>
                <w:rFonts w:eastAsia="Batang"/>
              </w:rPr>
              <w:t>$42.12</w:t>
            </w:r>
          </w:p>
        </w:tc>
        <w:tc>
          <w:tcPr>
            <w:tcW w:w="2308" w:type="dxa"/>
          </w:tcPr>
          <w:p w:rsidR="00835657" w:rsidRPr="00691454" w:rsidP="00835657" w14:paraId="4FED6937" w14:textId="0B59FC88">
            <w:pPr>
              <w:spacing w:line="276" w:lineRule="auto"/>
              <w:jc w:val="center"/>
              <w:rPr>
                <w:rFonts w:eastAsia="Batang"/>
              </w:rPr>
            </w:pPr>
            <w:r w:rsidRPr="479AC987">
              <w:rPr>
                <w:rFonts w:eastAsia="Batang"/>
              </w:rPr>
              <w:t>$</w:t>
            </w:r>
            <w:r w:rsidRPr="479AC987" w:rsidR="4BF8D20D">
              <w:rPr>
                <w:rFonts w:eastAsia="Batang"/>
              </w:rPr>
              <w:t>7,708</w:t>
            </w:r>
          </w:p>
        </w:tc>
      </w:tr>
      <w:tr w14:paraId="433188FE" w14:textId="77777777" w:rsidTr="479AC987">
        <w:tblPrEx>
          <w:tblW w:w="9466" w:type="dxa"/>
          <w:tblLayout w:type="fixed"/>
          <w:tblLook w:val="01E0"/>
        </w:tblPrEx>
        <w:trPr>
          <w:trHeight w:val="300"/>
        </w:trPr>
        <w:tc>
          <w:tcPr>
            <w:tcW w:w="1458" w:type="dxa"/>
            <w:vMerge w:val="restart"/>
          </w:tcPr>
          <w:p w:rsidR="00835657" w:rsidP="00835657" w14:paraId="33B00767" w14:textId="77777777">
            <w:r>
              <w:t xml:space="preserve">ORS Drug Intelligence Officers </w:t>
            </w:r>
          </w:p>
          <w:p w:rsidR="00835657" w:rsidP="00EA1E20" w14:paraId="5C046014" w14:textId="186BB442"/>
        </w:tc>
        <w:tc>
          <w:tcPr>
            <w:tcW w:w="2940" w:type="dxa"/>
          </w:tcPr>
          <w:p w:rsidR="00835657" w:rsidP="00835657" w14:paraId="24766E3D" w14:textId="7D6785EC">
            <w:pPr>
              <w:tabs>
                <w:tab w:val="left" w:pos="360"/>
              </w:tabs>
              <w:rPr>
                <w:highlight w:val="yellow"/>
              </w:rPr>
            </w:pPr>
            <w:r>
              <w:t>ORS Annual Evaluation Survey-DIO (Att. E)</w:t>
            </w:r>
          </w:p>
          <w:p w:rsidR="00835657" w:rsidP="00835657" w14:paraId="2425A929" w14:textId="617A2A53"/>
        </w:tc>
        <w:tc>
          <w:tcPr>
            <w:tcW w:w="960" w:type="dxa"/>
          </w:tcPr>
          <w:p w:rsidR="00835657" w:rsidP="00835657" w14:paraId="3DB319B8" w14:textId="62F5A9AD">
            <w:pPr>
              <w:spacing w:line="276" w:lineRule="auto"/>
              <w:jc w:val="center"/>
              <w:rPr>
                <w:rFonts w:eastAsia="Batang"/>
              </w:rPr>
            </w:pPr>
            <w:r w:rsidRPr="54A55804">
              <w:rPr>
                <w:rFonts w:eastAsia="Batang"/>
              </w:rPr>
              <w:t>31</w:t>
            </w:r>
          </w:p>
        </w:tc>
        <w:tc>
          <w:tcPr>
            <w:tcW w:w="1800" w:type="dxa"/>
          </w:tcPr>
          <w:p w:rsidR="00835657" w:rsidP="00835657" w14:paraId="7FDD2512" w14:textId="5E11F038">
            <w:pPr>
              <w:spacing w:line="276" w:lineRule="auto"/>
              <w:jc w:val="center"/>
              <w:rPr>
                <w:rFonts w:eastAsia="Batang"/>
              </w:rPr>
            </w:pPr>
            <w:r w:rsidRPr="277F5081">
              <w:rPr>
                <w:rFonts w:eastAsia="Batang"/>
              </w:rPr>
              <w:t>$38.46</w:t>
            </w:r>
          </w:p>
          <w:p w:rsidR="00835657" w:rsidP="00835657" w14:paraId="48108EFE" w14:textId="6F5C58C9">
            <w:pPr>
              <w:spacing w:line="276" w:lineRule="auto"/>
              <w:jc w:val="center"/>
              <w:rPr>
                <w:rFonts w:eastAsia="Batang"/>
              </w:rPr>
            </w:pPr>
          </w:p>
        </w:tc>
        <w:tc>
          <w:tcPr>
            <w:tcW w:w="2308" w:type="dxa"/>
          </w:tcPr>
          <w:p w:rsidR="00835657" w:rsidP="00835657" w14:paraId="13E2CA25" w14:textId="3AB349E0">
            <w:pPr>
              <w:spacing w:line="276" w:lineRule="auto"/>
              <w:jc w:val="center"/>
              <w:rPr>
                <w:rFonts w:eastAsia="Batang"/>
              </w:rPr>
            </w:pPr>
            <w:r w:rsidRPr="54A55804">
              <w:rPr>
                <w:rFonts w:eastAsia="Batang"/>
              </w:rPr>
              <w:t>$1,192</w:t>
            </w:r>
          </w:p>
        </w:tc>
      </w:tr>
      <w:tr w14:paraId="65E23CBB" w14:textId="77777777" w:rsidTr="479AC987">
        <w:tblPrEx>
          <w:tblW w:w="9466" w:type="dxa"/>
          <w:tblLayout w:type="fixed"/>
          <w:tblLook w:val="01E0"/>
        </w:tblPrEx>
        <w:trPr>
          <w:trHeight w:val="300"/>
        </w:trPr>
        <w:tc>
          <w:tcPr>
            <w:tcW w:w="1458" w:type="dxa"/>
            <w:vMerge/>
          </w:tcPr>
          <w:p w:rsidR="00835657" w:rsidP="00835657" w14:paraId="1F84323E" w14:textId="041EFBD7"/>
        </w:tc>
        <w:tc>
          <w:tcPr>
            <w:tcW w:w="2940" w:type="dxa"/>
          </w:tcPr>
          <w:p w:rsidR="00835657" w:rsidP="00835657" w14:paraId="0F87D68B" w14:textId="5CEE716B">
            <w:pPr>
              <w:rPr>
                <w:highlight w:val="yellow"/>
              </w:rPr>
            </w:pPr>
            <w:r>
              <w:t>ORS Quarterly Reporting Template (Att. I)</w:t>
            </w:r>
          </w:p>
          <w:p w:rsidR="00835657" w:rsidP="00835657" w14:paraId="2D883A48" w14:textId="77777777">
            <w:pPr>
              <w:tabs>
                <w:tab w:val="left" w:pos="360"/>
              </w:tabs>
            </w:pPr>
          </w:p>
        </w:tc>
        <w:tc>
          <w:tcPr>
            <w:tcW w:w="960" w:type="dxa"/>
          </w:tcPr>
          <w:p w:rsidR="00835657" w:rsidRPr="54A55804" w:rsidP="00835657" w14:paraId="5E30BA1D" w14:textId="1639A4B5">
            <w:pPr>
              <w:spacing w:line="276" w:lineRule="auto"/>
              <w:jc w:val="center"/>
              <w:rPr>
                <w:rFonts w:eastAsia="Batang"/>
              </w:rPr>
            </w:pPr>
            <w:r w:rsidRPr="479AC987">
              <w:rPr>
                <w:rFonts w:eastAsia="Batang"/>
              </w:rPr>
              <w:t>183</w:t>
            </w:r>
          </w:p>
        </w:tc>
        <w:tc>
          <w:tcPr>
            <w:tcW w:w="1800" w:type="dxa"/>
          </w:tcPr>
          <w:p w:rsidR="00835657" w:rsidRPr="277F5081" w:rsidP="00835657" w14:paraId="0E60E233" w14:textId="183CAE88">
            <w:pPr>
              <w:spacing w:line="276" w:lineRule="auto"/>
              <w:jc w:val="center"/>
              <w:rPr>
                <w:rFonts w:eastAsia="Batang"/>
              </w:rPr>
            </w:pPr>
            <w:r w:rsidRPr="277F5081">
              <w:rPr>
                <w:rFonts w:eastAsia="Batang"/>
              </w:rPr>
              <w:t>$38.46</w:t>
            </w:r>
          </w:p>
        </w:tc>
        <w:tc>
          <w:tcPr>
            <w:tcW w:w="2308" w:type="dxa"/>
          </w:tcPr>
          <w:p w:rsidR="00835657" w:rsidRPr="54A55804" w:rsidP="00835657" w14:paraId="35D27513" w14:textId="3C70692E">
            <w:pPr>
              <w:spacing w:line="276" w:lineRule="auto"/>
              <w:jc w:val="center"/>
              <w:rPr>
                <w:rFonts w:eastAsia="Batang"/>
              </w:rPr>
            </w:pPr>
            <w:r w:rsidRPr="479AC987">
              <w:rPr>
                <w:rFonts w:eastAsia="Batang"/>
              </w:rPr>
              <w:t>$</w:t>
            </w:r>
            <w:r w:rsidRPr="479AC987" w:rsidR="3ED6B543">
              <w:rPr>
                <w:rFonts w:eastAsia="Batang"/>
              </w:rPr>
              <w:t>7,038</w:t>
            </w:r>
          </w:p>
        </w:tc>
      </w:tr>
      <w:tr w14:paraId="31AB1B28" w14:textId="77777777" w:rsidTr="479AC987">
        <w:tblPrEx>
          <w:tblW w:w="9466" w:type="dxa"/>
          <w:tblLayout w:type="fixed"/>
          <w:tblLook w:val="01E0"/>
        </w:tblPrEx>
        <w:trPr>
          <w:trHeight w:val="300"/>
        </w:trPr>
        <w:tc>
          <w:tcPr>
            <w:tcW w:w="1458" w:type="dxa"/>
          </w:tcPr>
          <w:p w:rsidR="00A051C1" w:rsidP="00835657" w14:paraId="61B62F9E" w14:textId="05A5326F">
            <w:r>
              <w:t xml:space="preserve">State, territory, county and city health department staff </w:t>
            </w:r>
          </w:p>
        </w:tc>
        <w:tc>
          <w:tcPr>
            <w:tcW w:w="2940" w:type="dxa"/>
          </w:tcPr>
          <w:p w:rsidR="00A051C1" w:rsidP="00835657" w14:paraId="0597B898" w14:textId="03C24C55">
            <w:pPr>
              <w:tabs>
                <w:tab w:val="left" w:pos="360"/>
              </w:tabs>
              <w:rPr>
                <w:highlight w:val="yellow"/>
              </w:rPr>
            </w:pPr>
            <w:r>
              <w:t>ORS Annual Evaluation Survey-Public Health Partner (Att. F)</w:t>
            </w:r>
          </w:p>
        </w:tc>
        <w:tc>
          <w:tcPr>
            <w:tcW w:w="960" w:type="dxa"/>
          </w:tcPr>
          <w:p w:rsidR="00A051C1" w:rsidP="00835657" w14:paraId="0DFF6978" w14:textId="68DF7DC9">
            <w:pPr>
              <w:spacing w:line="276" w:lineRule="auto"/>
              <w:jc w:val="center"/>
            </w:pPr>
            <w:r w:rsidRPr="700036C5">
              <w:rPr>
                <w:rFonts w:eastAsia="Batang"/>
              </w:rPr>
              <w:t>35</w:t>
            </w:r>
          </w:p>
        </w:tc>
        <w:tc>
          <w:tcPr>
            <w:tcW w:w="1800" w:type="dxa"/>
          </w:tcPr>
          <w:p w:rsidR="00A051C1" w:rsidP="00835657" w14:paraId="05E72541" w14:textId="44EB7EB3">
            <w:pPr>
              <w:spacing w:line="276" w:lineRule="auto"/>
              <w:jc w:val="center"/>
              <w:rPr>
                <w:rFonts w:eastAsia="Batang"/>
              </w:rPr>
            </w:pPr>
            <w:r w:rsidRPr="1C972B50">
              <w:rPr>
                <w:rFonts w:eastAsia="Batang"/>
              </w:rPr>
              <w:t>$30.85</w:t>
            </w:r>
          </w:p>
        </w:tc>
        <w:tc>
          <w:tcPr>
            <w:tcW w:w="2308" w:type="dxa"/>
          </w:tcPr>
          <w:p w:rsidR="00A051C1" w:rsidP="00835657" w14:paraId="0F39FDE7" w14:textId="64D106A4">
            <w:pPr>
              <w:spacing w:line="276" w:lineRule="auto"/>
              <w:jc w:val="center"/>
              <w:rPr>
                <w:rFonts w:eastAsia="Batang"/>
              </w:rPr>
            </w:pPr>
            <w:r w:rsidRPr="54A55804">
              <w:rPr>
                <w:rFonts w:eastAsia="Batang"/>
              </w:rPr>
              <w:t>$1,080</w:t>
            </w:r>
          </w:p>
        </w:tc>
      </w:tr>
      <w:tr w14:paraId="4D3CAE83" w14:textId="77777777" w:rsidTr="479AC987">
        <w:tblPrEx>
          <w:tblW w:w="9466" w:type="dxa"/>
          <w:tblLayout w:type="fixed"/>
          <w:tblLook w:val="01E0"/>
        </w:tblPrEx>
        <w:trPr>
          <w:trHeight w:val="300"/>
        </w:trPr>
        <w:tc>
          <w:tcPr>
            <w:tcW w:w="1458" w:type="dxa"/>
          </w:tcPr>
          <w:p w:rsidR="00A051C1" w:rsidP="00835657" w14:paraId="4FFFFB5F" w14:textId="11B380C2">
            <w:r>
              <w:t>HIDTA staff</w:t>
            </w:r>
          </w:p>
        </w:tc>
        <w:tc>
          <w:tcPr>
            <w:tcW w:w="2940" w:type="dxa"/>
          </w:tcPr>
          <w:p w:rsidR="00A051C1" w:rsidP="00835657" w14:paraId="6719096A" w14:textId="3F25EE00">
            <w:pPr>
              <w:rPr>
                <w:highlight w:val="yellow"/>
              </w:rPr>
            </w:pPr>
            <w:r>
              <w:t>ORS Annual Evaluation Survey-Public Safety Partner (Att. G)</w:t>
            </w:r>
          </w:p>
        </w:tc>
        <w:tc>
          <w:tcPr>
            <w:tcW w:w="960" w:type="dxa"/>
          </w:tcPr>
          <w:p w:rsidR="00A051C1" w:rsidP="00835657" w14:paraId="6CCBE7CC" w14:textId="6D942AB7">
            <w:pPr>
              <w:spacing w:line="276" w:lineRule="auto"/>
              <w:jc w:val="center"/>
            </w:pPr>
            <w:r w:rsidRPr="700036C5">
              <w:rPr>
                <w:rFonts w:eastAsia="Batang"/>
              </w:rPr>
              <w:t>35</w:t>
            </w:r>
          </w:p>
        </w:tc>
        <w:tc>
          <w:tcPr>
            <w:tcW w:w="1800" w:type="dxa"/>
          </w:tcPr>
          <w:p w:rsidR="00A051C1" w:rsidP="00835657" w14:paraId="5A40D255" w14:textId="528427C4">
            <w:pPr>
              <w:spacing w:line="276" w:lineRule="auto"/>
              <w:jc w:val="center"/>
              <w:rPr>
                <w:rFonts w:eastAsia="Batang"/>
              </w:rPr>
            </w:pPr>
            <w:r w:rsidRPr="1C972B50">
              <w:rPr>
                <w:rFonts w:eastAsia="Batang"/>
              </w:rPr>
              <w:t>$61.82</w:t>
            </w:r>
          </w:p>
        </w:tc>
        <w:tc>
          <w:tcPr>
            <w:tcW w:w="2308" w:type="dxa"/>
          </w:tcPr>
          <w:p w:rsidR="00A051C1" w:rsidP="00835657" w14:paraId="1B0EA145" w14:textId="3EEBF4EC">
            <w:pPr>
              <w:spacing w:line="276" w:lineRule="auto"/>
              <w:jc w:val="center"/>
              <w:rPr>
                <w:rFonts w:eastAsia="Batang"/>
              </w:rPr>
            </w:pPr>
            <w:r w:rsidRPr="54A55804">
              <w:rPr>
                <w:rFonts w:eastAsia="Batang"/>
              </w:rPr>
              <w:t>$2,164</w:t>
            </w:r>
          </w:p>
        </w:tc>
      </w:tr>
      <w:tr w14:paraId="41E79623" w14:textId="77777777" w:rsidTr="479AC987">
        <w:tblPrEx>
          <w:tblW w:w="9466" w:type="dxa"/>
          <w:tblLayout w:type="fixed"/>
          <w:tblLook w:val="01E0"/>
        </w:tblPrEx>
        <w:trPr>
          <w:trHeight w:val="962"/>
        </w:trPr>
        <w:tc>
          <w:tcPr>
            <w:tcW w:w="1458" w:type="dxa"/>
          </w:tcPr>
          <w:p w:rsidR="00DB7602" w:rsidP="00835657" w14:paraId="29B5D5E8" w14:textId="30DF15DC">
            <w:pPr>
              <w:rPr>
                <w:rFonts w:eastAsia="Batang"/>
              </w:rPr>
            </w:pPr>
            <w:r w:rsidRPr="1C972B50">
              <w:rPr>
                <w:rFonts w:eastAsia="Batang"/>
              </w:rPr>
              <w:t>CDCF ORS National Team Staff</w:t>
            </w:r>
          </w:p>
        </w:tc>
        <w:tc>
          <w:tcPr>
            <w:tcW w:w="2940" w:type="dxa"/>
          </w:tcPr>
          <w:p w:rsidR="00DB7602" w:rsidP="00835657" w14:paraId="3C9345C2" w14:textId="49CE23C9">
            <w:pPr>
              <w:rPr>
                <w:highlight w:val="yellow"/>
              </w:rPr>
            </w:pPr>
            <w:r>
              <w:t>ORS Annual Evaluation Survey-ORS Management/Coordination Team (Att. H)</w:t>
            </w:r>
          </w:p>
          <w:p w:rsidR="00DB7602" w:rsidP="00835657" w14:paraId="57A1C6C9" w14:textId="152E236F"/>
          <w:p w:rsidR="00DB7602" w:rsidP="00835657" w14:paraId="715FE491" w14:textId="52AC0BEE">
            <w:pPr>
              <w:jc w:val="center"/>
              <w:rPr>
                <w:rFonts w:eastAsia="Batang"/>
              </w:rPr>
            </w:pPr>
          </w:p>
        </w:tc>
        <w:tc>
          <w:tcPr>
            <w:tcW w:w="960" w:type="dxa"/>
          </w:tcPr>
          <w:p w:rsidR="00DB7602" w:rsidP="00835657" w14:paraId="631183A9" w14:textId="6E913DFF">
            <w:pPr>
              <w:spacing w:line="276" w:lineRule="auto"/>
              <w:jc w:val="center"/>
              <w:rPr>
                <w:rFonts w:eastAsia="Batang"/>
              </w:rPr>
            </w:pPr>
            <w:r w:rsidRPr="54A55804">
              <w:rPr>
                <w:rFonts w:eastAsia="Batang"/>
              </w:rPr>
              <w:t>13</w:t>
            </w:r>
          </w:p>
        </w:tc>
        <w:tc>
          <w:tcPr>
            <w:tcW w:w="1800" w:type="dxa"/>
          </w:tcPr>
          <w:p w:rsidR="00DB7602" w:rsidP="00835657" w14:paraId="1FF3B40E" w14:textId="40485018">
            <w:pPr>
              <w:spacing w:line="276" w:lineRule="auto"/>
              <w:jc w:val="center"/>
              <w:rPr>
                <w:rFonts w:eastAsia="Batang"/>
              </w:rPr>
            </w:pPr>
            <w:r w:rsidRPr="1C972B50">
              <w:rPr>
                <w:rFonts w:eastAsia="Batang"/>
              </w:rPr>
              <w:t>$48.08</w:t>
            </w:r>
          </w:p>
        </w:tc>
        <w:tc>
          <w:tcPr>
            <w:tcW w:w="2308" w:type="dxa"/>
          </w:tcPr>
          <w:p w:rsidR="00DB7602" w:rsidP="00835657" w14:paraId="56A6EE81" w14:textId="60B7FDAB">
            <w:pPr>
              <w:spacing w:line="276" w:lineRule="auto"/>
              <w:jc w:val="center"/>
              <w:rPr>
                <w:rFonts w:eastAsia="Batang"/>
              </w:rPr>
            </w:pPr>
            <w:r w:rsidRPr="54A55804">
              <w:rPr>
                <w:rFonts w:eastAsia="Batang"/>
              </w:rPr>
              <w:t>$625</w:t>
            </w:r>
          </w:p>
        </w:tc>
      </w:tr>
      <w:tr w14:paraId="102FF2FA" w14:textId="77777777" w:rsidTr="479AC987">
        <w:tblPrEx>
          <w:tblW w:w="9466" w:type="dxa"/>
          <w:tblLayout w:type="fixed"/>
          <w:tblLook w:val="01E0"/>
        </w:tblPrEx>
        <w:trPr>
          <w:trHeight w:val="300"/>
        </w:trPr>
        <w:tc>
          <w:tcPr>
            <w:tcW w:w="7158" w:type="dxa"/>
            <w:gridSpan w:val="4"/>
          </w:tcPr>
          <w:p w:rsidR="00835657" w:rsidP="00835657" w14:paraId="62CD67FC" w14:textId="6FB4E165">
            <w:pPr>
              <w:jc w:val="both"/>
              <w:rPr>
                <w:b/>
                <w:bCs/>
              </w:rPr>
            </w:pPr>
            <w:r w:rsidRPr="277F5081">
              <w:rPr>
                <w:b/>
                <w:bCs/>
              </w:rPr>
              <w:t xml:space="preserve">                                                                                                        Total</w:t>
            </w:r>
          </w:p>
        </w:tc>
        <w:tc>
          <w:tcPr>
            <w:tcW w:w="2308" w:type="dxa"/>
          </w:tcPr>
          <w:p w:rsidR="00835657" w:rsidRPr="00691454" w:rsidP="479AC987" w14:paraId="3ED38201" w14:textId="2577EA5B">
            <w:pPr>
              <w:spacing w:line="276" w:lineRule="auto"/>
              <w:jc w:val="center"/>
              <w:rPr>
                <w:rFonts w:eastAsia="Batang"/>
              </w:rPr>
            </w:pPr>
            <w:r w:rsidRPr="479AC987">
              <w:rPr>
                <w:rFonts w:eastAsia="Batang"/>
              </w:rPr>
              <w:t xml:space="preserve"> $14,746</w:t>
            </w:r>
          </w:p>
          <w:p w:rsidR="00835657" w:rsidRPr="00691454" w:rsidP="479AC987" w14:paraId="6529D07B" w14:textId="22BDA3AE">
            <w:pPr>
              <w:spacing w:line="276" w:lineRule="auto"/>
              <w:jc w:val="center"/>
              <w:rPr>
                <w:rFonts w:eastAsia="Batang"/>
              </w:rPr>
            </w:pPr>
          </w:p>
        </w:tc>
      </w:tr>
    </w:tbl>
    <w:p w:rsidR="00D7593E" w:rsidRPr="00691454" w:rsidP="00E704DE" w14:paraId="1A8910B4" w14:textId="77777777">
      <w:pPr>
        <w:rPr>
          <w:b/>
        </w:rPr>
      </w:pPr>
    </w:p>
    <w:p w:rsidR="00C55DD2" w:rsidRPr="00691454" w:rsidP="00E704DE" w14:paraId="17527F7E" w14:textId="77777777">
      <w:pPr>
        <w:rPr>
          <w:b/>
        </w:rPr>
      </w:pPr>
    </w:p>
    <w:p w:rsidR="00972DEF" w:rsidRPr="00691454" w:rsidP="00E704DE" w14:paraId="52F1BDCB" w14:textId="77777777">
      <w:pPr>
        <w:rPr>
          <w:b/>
        </w:rPr>
      </w:pPr>
      <w:r w:rsidRPr="6D1DFE42">
        <w:rPr>
          <w:b/>
          <w:bCs/>
        </w:rPr>
        <w:t xml:space="preserve">A.13. </w:t>
      </w:r>
      <w:r>
        <w:tab/>
      </w:r>
      <w:r w:rsidRPr="6D1DFE42">
        <w:rPr>
          <w:b/>
          <w:bCs/>
        </w:rPr>
        <w:t>Estimates of Other Total Annual Cost Burden to Respondents or Record Keepers</w:t>
      </w:r>
    </w:p>
    <w:p w:rsidR="6242BB5C" w:rsidP="6D1DFE42" w14:paraId="46F6FA42" w14:textId="4526A250">
      <w:r w:rsidRPr="6D1DFE42">
        <w:rPr>
          <w:color w:val="000000" w:themeColor="text1"/>
        </w:rPr>
        <w:t>No capital or maintenance costs are expected.  Additionally, there are no start-up, hardware, or software costs.</w:t>
      </w:r>
    </w:p>
    <w:p w:rsidR="6D1DFE42" w:rsidP="6D1DFE42" w14:paraId="06327EA6" w14:textId="13E57E1C">
      <w:pPr>
        <w:rPr>
          <w:color w:val="000000" w:themeColor="text1"/>
        </w:rPr>
      </w:pPr>
    </w:p>
    <w:p w:rsidR="5BE5C628" w:rsidP="5BE5C628" w14:paraId="3C4084AB" w14:textId="1433E94D">
      <w:pPr>
        <w:rPr>
          <w:b/>
          <w:bCs/>
        </w:rPr>
      </w:pPr>
    </w:p>
    <w:p w:rsidR="00E704DE" w:rsidRPr="00691454" w:rsidP="00E704DE" w14:paraId="1F0AF75B" w14:textId="77777777">
      <w:pPr>
        <w:rPr>
          <w:b/>
        </w:rPr>
      </w:pPr>
    </w:p>
    <w:p w:rsidR="00972DEF" w:rsidRPr="00691454" w:rsidP="00972DEF" w14:paraId="02C01309" w14:textId="77777777">
      <w:pPr>
        <w:autoSpaceDE w:val="0"/>
        <w:autoSpaceDN w:val="0"/>
        <w:adjustRightInd w:val="0"/>
      </w:pPr>
      <w:r w:rsidRPr="277F5081">
        <w:rPr>
          <w:b/>
          <w:bCs/>
        </w:rPr>
        <w:t xml:space="preserve">A.14. </w:t>
      </w:r>
      <w:r>
        <w:tab/>
      </w:r>
      <w:r w:rsidRPr="277F5081">
        <w:rPr>
          <w:b/>
          <w:bCs/>
        </w:rPr>
        <w:t xml:space="preserve">Annualized Cost to the Government </w:t>
      </w:r>
    </w:p>
    <w:p w:rsidR="277F5081" w:rsidP="277F5081" w14:paraId="30735D78" w14:textId="3905159A">
      <w:pPr>
        <w:rPr>
          <w:b/>
          <w:bCs/>
        </w:rPr>
      </w:pPr>
    </w:p>
    <w:p w:rsidR="04B6BE5A" w:rsidP="277F5081" w14:paraId="19A31C0D" w14:textId="7E97EB1B">
      <w:pPr>
        <w:rPr>
          <w:b/>
          <w:bCs/>
        </w:rPr>
      </w:pPr>
      <w:r>
        <w:t>The average annualized cost to the federal government is</w:t>
      </w:r>
      <w:r w:rsidR="349A92BA">
        <w:t xml:space="preserve"> </w:t>
      </w:r>
      <w:r w:rsidR="18B5EF25">
        <w:t>$162,896</w:t>
      </w:r>
      <w:r>
        <w:t xml:space="preserve">, as summarized </w:t>
      </w:r>
      <w:r w:rsidRPr="00327922">
        <w:t xml:space="preserve">in Table </w:t>
      </w:r>
      <w:r w:rsidRPr="00327922" w:rsidR="62B14042">
        <w:t>4</w:t>
      </w:r>
      <w:r w:rsidRPr="00327922">
        <w:t>.</w:t>
      </w:r>
    </w:p>
    <w:p w:rsidR="0012575C" w:rsidRPr="00691454" w:rsidP="00013F0A" w14:paraId="1DA703DB" w14:textId="77777777">
      <w:pPr>
        <w:pStyle w:val="SL-FlLftSgl"/>
      </w:pPr>
    </w:p>
    <w:p w:rsidR="00144640" w:rsidRPr="00691454" w:rsidP="005D4291" w14:paraId="2B4BBC42" w14:textId="529874DE">
      <w:pPr>
        <w:pStyle w:val="SL-FlLftSgl"/>
      </w:pPr>
      <w:r w:rsidRPr="00327922">
        <w:t xml:space="preserve">Table </w:t>
      </w:r>
      <w:r w:rsidRPr="00327922" w:rsidR="2F12FF7E">
        <w:t>4</w:t>
      </w:r>
      <w:r w:rsidRPr="00327922">
        <w:t>.</w:t>
      </w:r>
      <w:r>
        <w:t xml:space="preserve">  Estimated Annual</w:t>
      </w:r>
      <w:r w:rsidR="001B43C7">
        <w:t>ized</w:t>
      </w:r>
      <w:r>
        <w:t xml:space="preserve"> Cost</w:t>
      </w:r>
      <w:r w:rsidR="001B43C7">
        <w:t xml:space="preserve"> to the Government</w:t>
      </w:r>
    </w:p>
    <w:p w:rsidR="00144640" w:rsidRPr="00691454" w:rsidP="005D4291" w14:paraId="1381F656" w14:textId="77777777">
      <w:pPr>
        <w:pStyle w:val="SL-FlLftSgl"/>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5"/>
        <w:gridCol w:w="7380"/>
        <w:gridCol w:w="1440"/>
      </w:tblGrid>
      <w:tr w14:paraId="5EB98D42" w14:textId="77777777" w:rsidTr="54A55804">
        <w:tblPrEx>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15" w:type="dxa"/>
          </w:tcPr>
          <w:p w:rsidR="00013F0A" w:rsidRPr="00691454" w:rsidP="00013F0A" w14:paraId="7BD40A38" w14:textId="77777777">
            <w:r w:rsidRPr="00691454">
              <w:t>Type of Cost</w:t>
            </w:r>
          </w:p>
        </w:tc>
        <w:tc>
          <w:tcPr>
            <w:tcW w:w="7380" w:type="dxa"/>
          </w:tcPr>
          <w:p w:rsidR="00013F0A" w:rsidRPr="00691454" w:rsidP="00013F0A" w14:paraId="10990367" w14:textId="77777777">
            <w:r w:rsidRPr="00691454">
              <w:t>Description of Services</w:t>
            </w:r>
          </w:p>
        </w:tc>
        <w:tc>
          <w:tcPr>
            <w:tcW w:w="1440" w:type="dxa"/>
          </w:tcPr>
          <w:p w:rsidR="00013F0A" w:rsidRPr="00691454" w:rsidP="00013F0A" w14:paraId="59244009" w14:textId="77777777">
            <w:r w:rsidRPr="00691454">
              <w:t>Annual Cost</w:t>
            </w:r>
          </w:p>
        </w:tc>
      </w:tr>
      <w:tr w14:paraId="2DD12857" w14:textId="77777777" w:rsidTr="54A55804">
        <w:tblPrEx>
          <w:tblW w:w="10035" w:type="dxa"/>
          <w:tblLook w:val="01E0"/>
        </w:tblPrEx>
        <w:tc>
          <w:tcPr>
            <w:tcW w:w="1215" w:type="dxa"/>
          </w:tcPr>
          <w:p w:rsidR="00013F0A" w:rsidRPr="00691454" w:rsidP="00013F0A" w14:paraId="0F6CFDB6" w14:textId="523EC4DF">
            <w:pPr>
              <w:rPr>
                <w:vertAlign w:val="superscript"/>
              </w:rPr>
            </w:pPr>
            <w:r w:rsidRPr="277F5081">
              <w:rPr>
                <w:vertAlign w:val="superscript"/>
              </w:rPr>
              <w:t xml:space="preserve">CDC Personnel </w:t>
            </w:r>
          </w:p>
        </w:tc>
        <w:tc>
          <w:tcPr>
            <w:tcW w:w="7380" w:type="dxa"/>
          </w:tcPr>
          <w:p w:rsidR="00013F0A" w:rsidRPr="00691454" w:rsidP="00F252DA" w14:paraId="502B1400" w14:textId="74609FB5">
            <w:pPr>
              <w:pStyle w:val="ListParagraph"/>
              <w:numPr>
                <w:ilvl w:val="0"/>
                <w:numId w:val="4"/>
              </w:numPr>
            </w:pPr>
            <w:r w:rsidRPr="277F5081">
              <w:t>25% GS-13 @ $99,595/year = $24,898.75</w:t>
            </w:r>
          </w:p>
          <w:p w:rsidR="00013F0A" w:rsidRPr="00691454" w:rsidP="00F252DA" w14:paraId="3CC47912" w14:textId="11DCAED2">
            <w:pPr>
              <w:pStyle w:val="ListParagraph"/>
              <w:numPr>
                <w:ilvl w:val="0"/>
                <w:numId w:val="4"/>
              </w:numPr>
            </w:pPr>
            <w:r w:rsidRPr="277F5081">
              <w:t>25% GS-14 @ $154,962/year = $</w:t>
            </w:r>
            <w:r w:rsidRPr="277F5081" w:rsidR="6FB5EB4C">
              <w:t>38,740.50</w:t>
            </w:r>
          </w:p>
          <w:p w:rsidR="00013F0A" w:rsidRPr="00691454" w:rsidP="277F5081" w14:paraId="634DF5B3" w14:textId="6525CBE2">
            <w:pPr>
              <w:pStyle w:val="ListParagraph"/>
              <w:ind w:left="1440"/>
            </w:pPr>
            <w:r w:rsidRPr="277F5081">
              <w:t xml:space="preserve">                            </w:t>
            </w:r>
            <w:r w:rsidRPr="277F5081" w:rsidR="090BDA31">
              <w:t xml:space="preserve">                        </w:t>
            </w:r>
            <w:r w:rsidRPr="277F5081">
              <w:t>Subtotal, CDC Personnel</w:t>
            </w:r>
          </w:p>
        </w:tc>
        <w:tc>
          <w:tcPr>
            <w:tcW w:w="1440" w:type="dxa"/>
            <w:vAlign w:val="center"/>
          </w:tcPr>
          <w:p w:rsidR="00013F0A" w:rsidRPr="00691454" w:rsidP="001F3081" w14:paraId="40D7B1EA" w14:textId="7F19655A">
            <w:pPr>
              <w:jc w:val="right"/>
            </w:pPr>
            <w:r>
              <w:t>$63,639</w:t>
            </w:r>
          </w:p>
        </w:tc>
      </w:tr>
      <w:tr w14:paraId="38D6DD4C" w14:textId="77777777" w:rsidTr="54A55804">
        <w:tblPrEx>
          <w:tblW w:w="10035" w:type="dxa"/>
          <w:tblLook w:val="01E0"/>
        </w:tblPrEx>
        <w:trPr>
          <w:trHeight w:val="300"/>
        </w:trPr>
        <w:tc>
          <w:tcPr>
            <w:tcW w:w="1215" w:type="dxa"/>
          </w:tcPr>
          <w:p w:rsidR="6FB5EB4C" w:rsidP="277F5081" w14:paraId="53347C41" w14:textId="6807F944">
            <w:pPr>
              <w:rPr>
                <w:vertAlign w:val="superscript"/>
              </w:rPr>
            </w:pPr>
            <w:r w:rsidRPr="277F5081">
              <w:rPr>
                <w:vertAlign w:val="superscript"/>
              </w:rPr>
              <w:t xml:space="preserve">CDCF Personnel </w:t>
            </w:r>
          </w:p>
        </w:tc>
        <w:tc>
          <w:tcPr>
            <w:tcW w:w="7380" w:type="dxa"/>
          </w:tcPr>
          <w:p w:rsidR="6FB5EB4C" w:rsidP="00F252DA" w14:paraId="13456D24" w14:textId="10C25762">
            <w:pPr>
              <w:pStyle w:val="ListParagraph"/>
              <w:numPr>
                <w:ilvl w:val="0"/>
                <w:numId w:val="4"/>
              </w:numPr>
            </w:pPr>
            <w:r w:rsidRPr="277F5081">
              <w:t xml:space="preserve">50% </w:t>
            </w:r>
            <w:r w:rsidRPr="277F5081" w:rsidR="31C68BCA">
              <w:t>Performance</w:t>
            </w:r>
            <w:r w:rsidRPr="277F5081">
              <w:t xml:space="preserve"> Lead @</w:t>
            </w:r>
            <w:r w:rsidRPr="277F5081" w:rsidR="31EAB9AB">
              <w:t xml:space="preserve"> $</w:t>
            </w:r>
            <w:r w:rsidRPr="277F5081" w:rsidR="6769617B">
              <w:t>104,914/year</w:t>
            </w:r>
            <w:r w:rsidRPr="277F5081" w:rsidR="7724D3E3">
              <w:t xml:space="preserve"> = $52,457</w:t>
            </w:r>
          </w:p>
          <w:p w:rsidR="6769617B" w:rsidP="00F252DA" w14:paraId="4175DE6A" w14:textId="6FF5D439">
            <w:pPr>
              <w:pStyle w:val="ListParagraph"/>
              <w:numPr>
                <w:ilvl w:val="0"/>
                <w:numId w:val="4"/>
              </w:numPr>
            </w:pPr>
            <w:r w:rsidRPr="277F5081">
              <w:t xml:space="preserve">50% Performance </w:t>
            </w:r>
            <w:r w:rsidRPr="277F5081" w:rsidR="268C7E5F">
              <w:t>Technical Advisor @</w:t>
            </w:r>
            <w:r w:rsidRPr="277F5081" w:rsidR="31C73447">
              <w:t xml:space="preserve"> </w:t>
            </w:r>
            <w:r w:rsidRPr="277F5081" w:rsidR="268C7E5F">
              <w:t>$93,600/year</w:t>
            </w:r>
            <w:r w:rsidRPr="277F5081" w:rsidR="4238748D">
              <w:t xml:space="preserve"> = $46,800</w:t>
            </w:r>
          </w:p>
          <w:p w:rsidR="0526AC2A" w:rsidP="277F5081" w14:paraId="7657497C" w14:textId="0CA70130">
            <w:pPr>
              <w:pStyle w:val="ListParagraph"/>
              <w:ind w:left="1440"/>
            </w:pPr>
            <w:r w:rsidRPr="277F5081">
              <w:t xml:space="preserve">                                                   Subtotal, CDCF Personnel</w:t>
            </w:r>
          </w:p>
        </w:tc>
        <w:tc>
          <w:tcPr>
            <w:tcW w:w="1440" w:type="dxa"/>
            <w:vAlign w:val="center"/>
          </w:tcPr>
          <w:p w:rsidR="4238748D" w:rsidP="277F5081" w14:paraId="1893D5BF" w14:textId="05124895">
            <w:pPr>
              <w:spacing w:line="259" w:lineRule="auto"/>
              <w:jc w:val="right"/>
            </w:pPr>
            <w:r>
              <w:t>$99,257</w:t>
            </w:r>
          </w:p>
        </w:tc>
      </w:tr>
      <w:tr w14:paraId="380B00DE" w14:textId="77777777" w:rsidTr="54A55804">
        <w:tblPrEx>
          <w:tblW w:w="10035" w:type="dxa"/>
          <w:tblLook w:val="01E0"/>
        </w:tblPrEx>
        <w:tc>
          <w:tcPr>
            <w:tcW w:w="8595" w:type="dxa"/>
            <w:gridSpan w:val="2"/>
          </w:tcPr>
          <w:p w:rsidR="00013F0A" w:rsidRPr="00691454" w:rsidP="00013F0A" w14:paraId="4C054C46" w14:textId="77777777">
            <w:pPr>
              <w:jc w:val="right"/>
              <w:rPr>
                <w:bCs/>
              </w:rPr>
            </w:pPr>
            <w:r w:rsidRPr="00691454">
              <w:rPr>
                <w:bCs/>
              </w:rPr>
              <w:t>Total Annual Estimated Costs</w:t>
            </w:r>
          </w:p>
        </w:tc>
        <w:tc>
          <w:tcPr>
            <w:tcW w:w="1440" w:type="dxa"/>
          </w:tcPr>
          <w:p w:rsidR="00013F0A" w:rsidRPr="00691454" w:rsidP="006340BB" w14:paraId="024BFBE4" w14:textId="46BCCA7A">
            <w:pPr>
              <w:jc w:val="right"/>
              <w:rPr>
                <w:b/>
                <w:bCs/>
              </w:rPr>
            </w:pPr>
            <w:r w:rsidRPr="54A55804">
              <w:rPr>
                <w:b/>
                <w:bCs/>
              </w:rPr>
              <w:t>$162,896</w:t>
            </w:r>
          </w:p>
        </w:tc>
      </w:tr>
    </w:tbl>
    <w:p w:rsidR="0069469E" w:rsidRPr="00691454" w:rsidP="00BE2065" w14:paraId="192D107B" w14:textId="77777777">
      <w:pPr>
        <w:autoSpaceDE w:val="0"/>
        <w:autoSpaceDN w:val="0"/>
        <w:adjustRightInd w:val="0"/>
        <w:rPr>
          <w:rFonts w:ascii="TimesNewRomanPSMT" w:hAnsi="TimesNewRomanPSMT" w:cs="TimesNewRomanPSMT"/>
        </w:rPr>
      </w:pPr>
    </w:p>
    <w:p w:rsidR="00972DEF" w:rsidRPr="00691454" w:rsidP="00972DEF" w14:paraId="70DE0244" w14:textId="77777777">
      <w:pPr>
        <w:autoSpaceDE w:val="0"/>
        <w:autoSpaceDN w:val="0"/>
        <w:adjustRightInd w:val="0"/>
        <w:rPr>
          <w:b/>
          <w:bCs/>
        </w:rPr>
      </w:pPr>
      <w:r w:rsidRPr="6D1DFE42">
        <w:rPr>
          <w:b/>
          <w:bCs/>
        </w:rPr>
        <w:t xml:space="preserve">A.15. </w:t>
      </w:r>
      <w:r>
        <w:tab/>
      </w:r>
      <w:r w:rsidRPr="6D1DFE42">
        <w:rPr>
          <w:b/>
          <w:bCs/>
        </w:rPr>
        <w:t xml:space="preserve">Explanation for Program Changes or Adjustments </w:t>
      </w:r>
    </w:p>
    <w:p w:rsidR="6D1DFE42" w:rsidP="6D1DFE42" w14:paraId="4523DA78" w14:textId="630AF365">
      <w:pPr>
        <w:rPr>
          <w:b/>
          <w:bCs/>
        </w:rPr>
      </w:pPr>
    </w:p>
    <w:p w:rsidR="7C9F2012" w:rsidP="6D1DFE42" w14:paraId="170E713D" w14:textId="0E85CC18">
      <w:pPr>
        <w:pStyle w:val="Body1"/>
        <w:spacing w:line="259" w:lineRule="auto"/>
        <w:rPr>
          <w:rFonts w:eastAsia="Times New Roman"/>
        </w:rPr>
      </w:pPr>
      <w:r w:rsidRPr="6D1DFE42">
        <w:rPr>
          <w:rFonts w:eastAsia="Times New Roman"/>
        </w:rPr>
        <w:t xml:space="preserve">This is a new </w:t>
      </w:r>
      <w:r w:rsidRPr="6D1DFE42" w:rsidR="75A71882">
        <w:rPr>
          <w:rFonts w:eastAsia="Times New Roman"/>
        </w:rPr>
        <w:t>ICR.</w:t>
      </w:r>
    </w:p>
    <w:p w:rsidR="5BE5C628" w:rsidP="5BE5C628" w14:paraId="336E1E9F" w14:textId="77617171">
      <w:pPr>
        <w:rPr>
          <w:b/>
          <w:bCs/>
        </w:rPr>
      </w:pPr>
    </w:p>
    <w:p w:rsidR="00C55DD2" w:rsidRPr="00691454" w:rsidP="00972DEF" w14:paraId="1009E4C4" w14:textId="77777777">
      <w:pPr>
        <w:autoSpaceDE w:val="0"/>
        <w:autoSpaceDN w:val="0"/>
        <w:adjustRightInd w:val="0"/>
        <w:rPr>
          <w:b/>
          <w:bCs/>
        </w:rPr>
      </w:pPr>
    </w:p>
    <w:p w:rsidR="00972DEF" w:rsidRPr="00691454" w:rsidP="00972DEF" w14:paraId="6699E2A1" w14:textId="77777777">
      <w:pPr>
        <w:autoSpaceDE w:val="0"/>
        <w:autoSpaceDN w:val="0"/>
        <w:adjustRightInd w:val="0"/>
      </w:pPr>
      <w:r w:rsidRPr="6D1DFE42">
        <w:rPr>
          <w:b/>
          <w:bCs/>
        </w:rPr>
        <w:t>A.16. Plans for Tabulation</w:t>
      </w:r>
      <w:r w:rsidRPr="6D1DFE42" w:rsidR="00203955">
        <w:rPr>
          <w:b/>
          <w:bCs/>
        </w:rPr>
        <w:t xml:space="preserve"> and </w:t>
      </w:r>
      <w:r w:rsidRPr="6D1DFE42">
        <w:rPr>
          <w:b/>
          <w:bCs/>
        </w:rPr>
        <w:t>Publication, and Project Time Schedule</w:t>
      </w:r>
      <w:r>
        <w:t xml:space="preserve"> </w:t>
      </w:r>
    </w:p>
    <w:p w:rsidR="6D1DFE42" w:rsidP="6D1DFE42" w14:paraId="179A222A" w14:textId="40678468">
      <w:pPr>
        <w:rPr>
          <w:highlight w:val="yellow"/>
        </w:rPr>
      </w:pPr>
    </w:p>
    <w:p w:rsidR="286EB3E1" w:rsidP="277F5081" w14:paraId="4006A00B" w14:textId="070ABCC2">
      <w:pPr>
        <w:rPr>
          <w:color w:val="000000" w:themeColor="text1"/>
        </w:rPr>
      </w:pPr>
      <w:r w:rsidRPr="277F5081">
        <w:rPr>
          <w:color w:val="000000" w:themeColor="text1"/>
        </w:rPr>
        <w:t xml:space="preserve">A. </w:t>
      </w:r>
      <w:r w:rsidRPr="277F5081">
        <w:rPr>
          <w:color w:val="000000" w:themeColor="text1"/>
          <w:u w:val="single"/>
        </w:rPr>
        <w:t>Time schedule for the entire project</w:t>
      </w:r>
    </w:p>
    <w:p w:rsidR="286EB3E1" w:rsidP="277F5081" w14:paraId="0ABD2BA3" w14:textId="39394007">
      <w:pPr>
        <w:rPr>
          <w:color w:val="000000" w:themeColor="text1"/>
        </w:rPr>
      </w:pPr>
      <w:r w:rsidRPr="277F5081">
        <w:rPr>
          <w:color w:val="000000" w:themeColor="text1"/>
        </w:rPr>
        <w:t xml:space="preserve">OMB approval of this ICR is being requested for three years. </w:t>
      </w:r>
      <w:r w:rsidRPr="277F5081" w:rsidR="23F5A225">
        <w:rPr>
          <w:color w:val="000000" w:themeColor="text1"/>
        </w:rPr>
        <w:t xml:space="preserve">The Annual Survey will be administered immediately upon OMB approval and annually thereafter. ORS teams will report into ORSTRS using the </w:t>
      </w:r>
      <w:r w:rsidR="00CF5131">
        <w:rPr>
          <w:color w:val="000000" w:themeColor="text1"/>
        </w:rPr>
        <w:t xml:space="preserve">ORS </w:t>
      </w:r>
      <w:r w:rsidRPr="277F5081" w:rsidR="23F5A225">
        <w:rPr>
          <w:color w:val="000000" w:themeColor="text1"/>
        </w:rPr>
        <w:t xml:space="preserve">Quarterly Reporting Template </w:t>
      </w:r>
      <w:r w:rsidR="003B59A8">
        <w:rPr>
          <w:color w:val="000000" w:themeColor="text1"/>
        </w:rPr>
        <w:t xml:space="preserve">(Attachment I) </w:t>
      </w:r>
      <w:r w:rsidRPr="277F5081" w:rsidR="23F5A225">
        <w:rPr>
          <w:color w:val="000000" w:themeColor="text1"/>
        </w:rPr>
        <w:t>a</w:t>
      </w:r>
      <w:r w:rsidRPr="277F5081" w:rsidR="0D7814C5">
        <w:rPr>
          <w:color w:val="000000" w:themeColor="text1"/>
        </w:rPr>
        <w:t>ccording to the following schedule:</w:t>
      </w:r>
    </w:p>
    <w:p w:rsidR="286EB3E1" w:rsidP="277F5081" w14:paraId="06282FAD" w14:textId="592BA8DC"/>
    <w:p w:rsidR="286EB3E1" w:rsidP="277F5081" w14:paraId="3FE65BC4" w14:textId="1E917CD9">
      <w:r w:rsidRPr="277F5081">
        <w:t xml:space="preserve">• First Quarter (Q1): January 1 – March 31 </w:t>
      </w:r>
    </w:p>
    <w:p w:rsidR="286EB3E1" w:rsidP="277F5081" w14:paraId="570B516C" w14:textId="00CA2678">
      <w:pPr>
        <w:ind w:firstLine="720"/>
      </w:pPr>
      <w:r w:rsidRPr="277F5081">
        <w:t xml:space="preserve">• Submission due: April 15 </w:t>
      </w:r>
    </w:p>
    <w:p w:rsidR="286EB3E1" w:rsidP="277F5081" w14:paraId="1ACA190B" w14:textId="28BE91DD">
      <w:pPr>
        <w:ind w:left="720"/>
      </w:pPr>
      <w:r w:rsidRPr="277F5081">
        <w:t xml:space="preserve">• All reviewer feedback resolved and projects approved: May 15 </w:t>
      </w:r>
    </w:p>
    <w:p w:rsidR="286EB3E1" w:rsidP="277F5081" w14:paraId="5EEAEDE3" w14:textId="2EF66DA2">
      <w:r w:rsidRPr="277F5081">
        <w:t xml:space="preserve">• Second Quarter (Q2): April 1 – June 30 </w:t>
      </w:r>
    </w:p>
    <w:p w:rsidR="286EB3E1" w:rsidP="277F5081" w14:paraId="3EDEB589" w14:textId="6B35FF72">
      <w:pPr>
        <w:ind w:firstLine="720"/>
      </w:pPr>
      <w:r w:rsidRPr="277F5081">
        <w:t>• Submission due: July 15</w:t>
      </w:r>
    </w:p>
    <w:p w:rsidR="286EB3E1" w:rsidP="277F5081" w14:paraId="0D9B08D4" w14:textId="49B22C81">
      <w:pPr>
        <w:ind w:firstLine="720"/>
      </w:pPr>
      <w:r w:rsidRPr="277F5081">
        <w:t xml:space="preserve"> • All reviewer feedback resolved and projects approved: August 14 </w:t>
      </w:r>
    </w:p>
    <w:p w:rsidR="286EB3E1" w:rsidP="277F5081" w14:paraId="774DCF12" w14:textId="1B873670">
      <w:r w:rsidRPr="277F5081">
        <w:t xml:space="preserve">• Third Quarter (Q3): July 1 – September 30 </w:t>
      </w:r>
    </w:p>
    <w:p w:rsidR="286EB3E1" w:rsidP="277F5081" w14:paraId="4FE07FF0" w14:textId="30C81F9B">
      <w:pPr>
        <w:ind w:firstLine="720"/>
      </w:pPr>
      <w:r w:rsidRPr="277F5081">
        <w:t xml:space="preserve">• Submission due: October 15 </w:t>
      </w:r>
    </w:p>
    <w:p w:rsidR="286EB3E1" w:rsidP="277F5081" w14:paraId="115B2F10" w14:textId="6FE7CAFA">
      <w:pPr>
        <w:ind w:firstLine="720"/>
      </w:pPr>
      <w:r w:rsidRPr="277F5081">
        <w:t>• All reviewer feedback resolved and projects approved: November 14</w:t>
      </w:r>
    </w:p>
    <w:p w:rsidR="286EB3E1" w:rsidP="277F5081" w14:paraId="2F48882E" w14:textId="4558BCE6">
      <w:r w:rsidRPr="277F5081">
        <w:t xml:space="preserve"> • Fourth Quarter (Q4): October 1 – December 31</w:t>
      </w:r>
    </w:p>
    <w:p w:rsidR="286EB3E1" w:rsidP="277F5081" w14:paraId="257A3438" w14:textId="2F5359E2">
      <w:pPr>
        <w:ind w:firstLine="720"/>
      </w:pPr>
      <w:r w:rsidRPr="277F5081">
        <w:t xml:space="preserve"> • Submission due: January 15</w:t>
      </w:r>
    </w:p>
    <w:p w:rsidR="286EB3E1" w:rsidP="277F5081" w14:paraId="6A5BC326" w14:textId="52009ACA">
      <w:pPr>
        <w:ind w:firstLine="720"/>
      </w:pPr>
      <w:r w:rsidRPr="277F5081">
        <w:t xml:space="preserve"> • All reviewer feedback resolved and projects approved: February 14</w:t>
      </w:r>
    </w:p>
    <w:p w:rsidR="286EB3E1" w:rsidP="277F5081" w14:paraId="6E6B8926" w14:textId="02B04308">
      <w:pPr>
        <w:rPr>
          <w:color w:val="000000" w:themeColor="text1"/>
          <w:highlight w:val="yellow"/>
        </w:rPr>
      </w:pPr>
    </w:p>
    <w:p w:rsidR="286EB3E1" w:rsidP="277F5081" w14:paraId="288FCF41" w14:textId="49D434B0">
      <w:pPr>
        <w:rPr>
          <w:color w:val="000000" w:themeColor="text1"/>
          <w:highlight w:val="yellow"/>
        </w:rPr>
      </w:pPr>
    </w:p>
    <w:p w:rsidR="286EB3E1" w:rsidP="277F5081" w14:paraId="0B711372" w14:textId="13703EEB">
      <w:pPr>
        <w:rPr>
          <w:color w:val="000000" w:themeColor="text1"/>
        </w:rPr>
      </w:pPr>
      <w:r w:rsidRPr="277F5081">
        <w:rPr>
          <w:color w:val="000000" w:themeColor="text1"/>
        </w:rPr>
        <w:t xml:space="preserve">CDC </w:t>
      </w:r>
      <w:r w:rsidRPr="277F5081" w:rsidR="69E2D65F">
        <w:rPr>
          <w:color w:val="000000" w:themeColor="text1"/>
        </w:rPr>
        <w:t xml:space="preserve">and CDCF </w:t>
      </w:r>
      <w:r w:rsidRPr="277F5081">
        <w:rPr>
          <w:color w:val="000000" w:themeColor="text1"/>
        </w:rPr>
        <w:t>will conduct analysis, visualization, and reporting</w:t>
      </w:r>
      <w:r w:rsidRPr="277F5081" w:rsidR="535E4EC0">
        <w:rPr>
          <w:color w:val="000000" w:themeColor="text1"/>
        </w:rPr>
        <w:t xml:space="preserve"> of Annual Survey data within 3 months after data are submitted and finalized. </w:t>
      </w:r>
    </w:p>
    <w:p w:rsidR="286EB3E1" w:rsidP="277F5081" w14:paraId="6A5777FC" w14:textId="733ACE48">
      <w:pPr>
        <w:rPr>
          <w:color w:val="000000" w:themeColor="text1"/>
        </w:rPr>
      </w:pPr>
    </w:p>
    <w:p w:rsidR="535E4EC0" w:rsidP="54A55804" w14:paraId="27501A7A" w14:textId="6FDD3A24">
      <w:pPr>
        <w:spacing w:line="259" w:lineRule="auto"/>
        <w:rPr>
          <w:color w:val="000000" w:themeColor="text1"/>
        </w:rPr>
      </w:pPr>
      <w:r w:rsidRPr="54A55804">
        <w:rPr>
          <w:color w:val="000000" w:themeColor="text1"/>
        </w:rPr>
        <w:t>CDC and CDCF will conduct analysis, summary and reporting of data entered into ORSTRS</w:t>
      </w:r>
      <w:r w:rsidR="00554FAC">
        <w:rPr>
          <w:color w:val="000000" w:themeColor="text1"/>
        </w:rPr>
        <w:t xml:space="preserve"> through the ORS Quarterly Reporting Template</w:t>
      </w:r>
      <w:r w:rsidRPr="54A55804">
        <w:rPr>
          <w:color w:val="000000" w:themeColor="text1"/>
        </w:rPr>
        <w:t xml:space="preserve"> </w:t>
      </w:r>
      <w:r w:rsidRPr="54A55804" w:rsidR="7325125C">
        <w:rPr>
          <w:color w:val="000000" w:themeColor="text1"/>
        </w:rPr>
        <w:t xml:space="preserve">on a quarterly basis for program management purposes. The data will be summarized and reported annually. </w:t>
      </w:r>
    </w:p>
    <w:p w:rsidR="6D1DFE42" w:rsidP="6D1DFE42" w14:paraId="3F8EFF07" w14:textId="55FABC9C">
      <w:pPr>
        <w:rPr>
          <w:color w:val="000000" w:themeColor="text1"/>
          <w:highlight w:val="yellow"/>
        </w:rPr>
      </w:pPr>
    </w:p>
    <w:p w:rsidR="286EB3E1" w:rsidP="277F5081" w14:paraId="0EEB7C4D" w14:textId="1D17ED45">
      <w:pPr>
        <w:rPr>
          <w:color w:val="000000" w:themeColor="text1"/>
        </w:rPr>
      </w:pPr>
      <w:r w:rsidRPr="277F5081">
        <w:rPr>
          <w:color w:val="000000" w:themeColor="text1"/>
        </w:rPr>
        <w:t xml:space="preserve">B. </w:t>
      </w:r>
      <w:r w:rsidRPr="277F5081">
        <w:rPr>
          <w:color w:val="000000" w:themeColor="text1"/>
          <w:u w:val="single"/>
        </w:rPr>
        <w:t>Publication plan</w:t>
      </w:r>
    </w:p>
    <w:p w:rsidR="4615728C" w:rsidP="277F5081" w14:paraId="7EAB7D6B" w14:textId="070A0869">
      <w:pPr>
        <w:tabs>
          <w:tab w:val="left" w:pos="720"/>
        </w:tabs>
      </w:pPr>
      <w:r w:rsidRPr="277F5081">
        <w:rPr>
          <w:color w:val="000000" w:themeColor="text1"/>
        </w:rPr>
        <w:t xml:space="preserve">Data from both the Annual Survey and the </w:t>
      </w:r>
      <w:r w:rsidR="00554FAC">
        <w:rPr>
          <w:color w:val="000000" w:themeColor="text1"/>
        </w:rPr>
        <w:t xml:space="preserve">ORS </w:t>
      </w:r>
      <w:r w:rsidRPr="277F5081">
        <w:rPr>
          <w:color w:val="000000" w:themeColor="text1"/>
        </w:rPr>
        <w:t>Quarterly Reporting Template will largely be used to develop programmatic reports, tools, and implementation guides for the purposes of program improvement. The information collected will not be used to make generalizable statements about the population of interest. However, in collaboration with ORS teams, other dissemination tools such as webinar, abstracts, presentations, and manuscripts may be developed.</w:t>
      </w:r>
    </w:p>
    <w:p w:rsidR="277F5081" w:rsidP="277F5081" w14:paraId="5CFD8B55" w14:textId="33E6E86C">
      <w:pPr>
        <w:rPr>
          <w:color w:val="000000" w:themeColor="text1"/>
          <w:highlight w:val="yellow"/>
        </w:rPr>
      </w:pPr>
    </w:p>
    <w:p w:rsidR="6D1DFE42" w:rsidP="6D1DFE42" w14:paraId="7A26B6E0" w14:textId="454F0104">
      <w:pPr>
        <w:rPr>
          <w:color w:val="000000" w:themeColor="text1"/>
          <w:highlight w:val="yellow"/>
        </w:rPr>
      </w:pPr>
    </w:p>
    <w:p w:rsidR="277F5081" w:rsidP="277F5081" w14:paraId="7ED5E1C6" w14:textId="3793AE88">
      <w:pPr>
        <w:rPr>
          <w:color w:val="000000" w:themeColor="text1"/>
          <w:highlight w:val="yellow"/>
        </w:rPr>
      </w:pPr>
    </w:p>
    <w:p w:rsidR="286EB3E1" w:rsidP="277F5081" w14:paraId="30117E00" w14:textId="47BBDC8F">
      <w:pPr>
        <w:rPr>
          <w:color w:val="000000" w:themeColor="text1"/>
        </w:rPr>
      </w:pPr>
      <w:r w:rsidRPr="277F5081">
        <w:rPr>
          <w:color w:val="000000" w:themeColor="text1"/>
        </w:rPr>
        <w:t xml:space="preserve">C. </w:t>
      </w:r>
      <w:r w:rsidRPr="277F5081">
        <w:rPr>
          <w:color w:val="000000" w:themeColor="text1"/>
          <w:u w:val="single"/>
        </w:rPr>
        <w:t>Analysis plan</w:t>
      </w:r>
    </w:p>
    <w:p w:rsidR="286EB3E1" w:rsidP="277F5081" w14:paraId="1EFAD6F7" w14:textId="2A8BBEFD">
      <w:pPr>
        <w:rPr>
          <w:color w:val="000000" w:themeColor="text1"/>
        </w:rPr>
      </w:pPr>
      <w:r w:rsidRPr="277F5081">
        <w:rPr>
          <w:color w:val="000000" w:themeColor="text1"/>
        </w:rPr>
        <w:t>CDC will not use complex statistical methods for analyzing information. Summary statistics (e.g., counts) will be used to summarize the collected information.</w:t>
      </w:r>
    </w:p>
    <w:p w:rsidR="6D1DFE42" w:rsidP="277F5081" w14:paraId="6D8482EC" w14:textId="3C1AE64A">
      <w:pPr>
        <w:rPr>
          <w:color w:val="000000" w:themeColor="text1"/>
          <w:highlight w:val="yellow"/>
        </w:rPr>
      </w:pPr>
    </w:p>
    <w:p w:rsidR="6D1DFE42" w:rsidP="277F5081" w14:paraId="39CB12F5" w14:textId="1B226DAE">
      <w:pPr>
        <w:rPr>
          <w:color w:val="000000" w:themeColor="text1"/>
          <w:highlight w:val="yellow"/>
        </w:rPr>
      </w:pPr>
    </w:p>
    <w:p w:rsidR="700036C5" w:rsidP="700036C5" w14:paraId="42055967" w14:textId="4117A1A2">
      <w:pPr>
        <w:rPr>
          <w:color w:val="000000" w:themeColor="text1"/>
          <w:highlight w:val="yellow"/>
        </w:rPr>
      </w:pPr>
    </w:p>
    <w:p w:rsidR="286EB3E1" w:rsidP="277F5081" w14:paraId="5F980230" w14:textId="3ED289FC">
      <w:pPr>
        <w:rPr>
          <w:color w:val="000000" w:themeColor="text1"/>
        </w:rPr>
      </w:pPr>
      <w:r w:rsidRPr="700036C5">
        <w:rPr>
          <w:color w:val="000000" w:themeColor="text1"/>
        </w:rPr>
        <w:t>T</w:t>
      </w:r>
      <w:r w:rsidRPr="00327922">
        <w:rPr>
          <w:color w:val="000000" w:themeColor="text1"/>
        </w:rPr>
        <w:t xml:space="preserve">able </w:t>
      </w:r>
      <w:r w:rsidRPr="00327922" w:rsidR="25BB6C70">
        <w:rPr>
          <w:color w:val="000000" w:themeColor="text1"/>
        </w:rPr>
        <w:t>5</w:t>
      </w:r>
      <w:r w:rsidRPr="700036C5">
        <w:rPr>
          <w:color w:val="000000" w:themeColor="text1"/>
        </w:rPr>
        <w:t xml:space="preserve"> Project Time Schedule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4605"/>
        <w:gridCol w:w="4605"/>
      </w:tblGrid>
      <w:tr w14:paraId="7D70DF49" w14:textId="77777777" w:rsidTr="277F5081">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4605" w:type="dxa"/>
            <w:tcMar>
              <w:left w:w="105" w:type="dxa"/>
              <w:right w:w="105" w:type="dxa"/>
            </w:tcMar>
          </w:tcPr>
          <w:p w:rsidR="6D1DFE42" w:rsidP="277F5081" w14:paraId="0F14A0B2" w14:textId="2963B504">
            <w:r w:rsidRPr="277F5081">
              <w:rPr>
                <w:b/>
                <w:bCs/>
              </w:rPr>
              <w:t>Activity Time Schedule</w:t>
            </w:r>
          </w:p>
        </w:tc>
        <w:tc>
          <w:tcPr>
            <w:tcW w:w="4605" w:type="dxa"/>
            <w:tcMar>
              <w:left w:w="105" w:type="dxa"/>
              <w:right w:w="105" w:type="dxa"/>
            </w:tcMar>
          </w:tcPr>
          <w:p w:rsidR="6D1DFE42" w:rsidP="277F5081" w14:paraId="02CC9B86" w14:textId="24EE0A73">
            <w:r w:rsidRPr="277F5081">
              <w:rPr>
                <w:b/>
                <w:bCs/>
              </w:rPr>
              <w:t xml:space="preserve">Timeline </w:t>
            </w:r>
          </w:p>
        </w:tc>
      </w:tr>
      <w:tr w14:paraId="73D8B5BF" w14:textId="77777777" w:rsidTr="277F5081">
        <w:tblPrEx>
          <w:tblW w:w="0" w:type="auto"/>
          <w:tblLayout w:type="fixed"/>
          <w:tblLook w:val="04A0"/>
        </w:tblPrEx>
        <w:trPr>
          <w:trHeight w:val="300"/>
        </w:trPr>
        <w:tc>
          <w:tcPr>
            <w:tcW w:w="4605" w:type="dxa"/>
            <w:tcMar>
              <w:left w:w="105" w:type="dxa"/>
              <w:right w:w="105" w:type="dxa"/>
            </w:tcMar>
          </w:tcPr>
          <w:p w:rsidR="6D1DFE42" w:rsidP="277F5081" w14:paraId="2E614621" w14:textId="0292FA23">
            <w:pPr>
              <w:spacing w:line="259" w:lineRule="auto"/>
            </w:pPr>
            <w:r>
              <w:t>Dissemination of Annual Survey</w:t>
            </w:r>
          </w:p>
        </w:tc>
        <w:tc>
          <w:tcPr>
            <w:tcW w:w="4605" w:type="dxa"/>
            <w:tcMar>
              <w:left w:w="105" w:type="dxa"/>
              <w:right w:w="105" w:type="dxa"/>
            </w:tcMar>
          </w:tcPr>
          <w:p w:rsidR="6D1DFE42" w:rsidP="277F5081" w14:paraId="411A02E3" w14:textId="680ACB0A">
            <w:r>
              <w:t>Immediately upon OMB approval</w:t>
            </w:r>
            <w:r w:rsidR="66133AC6">
              <w:t xml:space="preserve">, then continuing annually </w:t>
            </w:r>
          </w:p>
        </w:tc>
      </w:tr>
      <w:tr w14:paraId="0F0B5A04" w14:textId="77777777" w:rsidTr="277F5081">
        <w:tblPrEx>
          <w:tblW w:w="0" w:type="auto"/>
          <w:tblLayout w:type="fixed"/>
          <w:tblLook w:val="04A0"/>
        </w:tblPrEx>
        <w:trPr>
          <w:trHeight w:val="300"/>
        </w:trPr>
        <w:tc>
          <w:tcPr>
            <w:tcW w:w="4605" w:type="dxa"/>
            <w:tcMar>
              <w:left w:w="105" w:type="dxa"/>
              <w:right w:w="105" w:type="dxa"/>
            </w:tcMar>
          </w:tcPr>
          <w:p w:rsidR="6D1DFE42" w:rsidP="277F5081" w14:paraId="1F0E4C97" w14:textId="197704F7">
            <w:pPr>
              <w:spacing w:line="259" w:lineRule="auto"/>
            </w:pPr>
            <w:r>
              <w:t>Populating Quarterly Reporting Template</w:t>
            </w:r>
          </w:p>
        </w:tc>
        <w:tc>
          <w:tcPr>
            <w:tcW w:w="4605" w:type="dxa"/>
            <w:tcMar>
              <w:left w:w="105" w:type="dxa"/>
              <w:right w:w="105" w:type="dxa"/>
            </w:tcMar>
          </w:tcPr>
          <w:p w:rsidR="6D1DFE42" w:rsidP="277F5081" w14:paraId="4A9278C6" w14:textId="298FACCE">
            <w:r>
              <w:t xml:space="preserve">Immediately upon OMB approval, then </w:t>
            </w:r>
            <w:r w:rsidR="7A468BA7">
              <w:t>quarterly</w:t>
            </w:r>
            <w:r>
              <w:t xml:space="preserve"> through the period of performance</w:t>
            </w:r>
          </w:p>
        </w:tc>
      </w:tr>
      <w:tr w14:paraId="553BB73D" w14:textId="77777777" w:rsidTr="277F5081">
        <w:tblPrEx>
          <w:tblW w:w="0" w:type="auto"/>
          <w:tblLayout w:type="fixed"/>
          <w:tblLook w:val="04A0"/>
        </w:tblPrEx>
        <w:trPr>
          <w:trHeight w:val="300"/>
        </w:trPr>
        <w:tc>
          <w:tcPr>
            <w:tcW w:w="4605" w:type="dxa"/>
            <w:tcMar>
              <w:left w:w="105" w:type="dxa"/>
              <w:right w:w="105" w:type="dxa"/>
            </w:tcMar>
          </w:tcPr>
          <w:p w:rsidR="6D1DFE42" w:rsidP="277F5081" w14:paraId="3DD13DBF" w14:textId="697A66B9">
            <w:r>
              <w:t>Data Analysis</w:t>
            </w:r>
          </w:p>
        </w:tc>
        <w:tc>
          <w:tcPr>
            <w:tcW w:w="4605" w:type="dxa"/>
            <w:tcMar>
              <w:left w:w="105" w:type="dxa"/>
              <w:right w:w="105" w:type="dxa"/>
            </w:tcMar>
          </w:tcPr>
          <w:p w:rsidR="6D1DFE42" w:rsidP="277F5081" w14:paraId="3B2F5F40" w14:textId="21AD41CC">
            <w:pPr>
              <w:spacing w:line="259" w:lineRule="auto"/>
            </w:pPr>
            <w:r>
              <w:t>Annually</w:t>
            </w:r>
          </w:p>
        </w:tc>
      </w:tr>
    </w:tbl>
    <w:p w:rsidR="6D1DFE42" w:rsidP="6D1DFE42" w14:paraId="6965415D" w14:textId="0138EAD6"/>
    <w:p w:rsidR="00760067" w:rsidP="00972DEF" w14:paraId="389839DE" w14:textId="77777777">
      <w:pPr>
        <w:autoSpaceDE w:val="0"/>
        <w:autoSpaceDN w:val="0"/>
        <w:adjustRightInd w:val="0"/>
        <w:rPr>
          <w:bCs/>
        </w:rPr>
      </w:pPr>
    </w:p>
    <w:p w:rsidR="00972DEF" w:rsidRPr="00691454" w:rsidP="00972DEF" w14:paraId="42F0CB65" w14:textId="77777777">
      <w:pPr>
        <w:autoSpaceDE w:val="0"/>
        <w:autoSpaceDN w:val="0"/>
        <w:adjustRightInd w:val="0"/>
        <w:rPr>
          <w:b/>
          <w:bCs/>
        </w:rPr>
      </w:pPr>
      <w:r w:rsidRPr="00691454">
        <w:rPr>
          <w:b/>
          <w:bCs/>
        </w:rPr>
        <w:t xml:space="preserve">A.17. Reason(s) Display of OMB Expiration Date is Inappropriate </w:t>
      </w:r>
    </w:p>
    <w:p w:rsidR="00972DEF" w:rsidRPr="00691454" w:rsidP="00972DEF" w14:paraId="2AB7C20D" w14:textId="77777777">
      <w:pPr>
        <w:autoSpaceDE w:val="0"/>
        <w:autoSpaceDN w:val="0"/>
        <w:adjustRightInd w:val="0"/>
        <w:rPr>
          <w:b/>
          <w:bCs/>
        </w:rPr>
      </w:pPr>
    </w:p>
    <w:p w:rsidR="00972DEF" w:rsidRPr="00691454" w:rsidP="00972DEF" w14:paraId="669C36D3" w14:textId="77777777">
      <w:pPr>
        <w:autoSpaceDE w:val="0"/>
        <w:autoSpaceDN w:val="0"/>
        <w:adjustRightInd w:val="0"/>
      </w:pPr>
      <w:r w:rsidRPr="00691454">
        <w:t>The display of the OMB expiration date is not inappropriate</w:t>
      </w:r>
      <w:r w:rsidRPr="00691454" w:rsidR="00D11EEB">
        <w:t>.</w:t>
      </w:r>
    </w:p>
    <w:p w:rsidR="00972DEF" w:rsidRPr="00691454" w:rsidP="00972DEF" w14:paraId="11F02F25" w14:textId="77777777">
      <w:pPr>
        <w:autoSpaceDE w:val="0"/>
        <w:autoSpaceDN w:val="0"/>
        <w:adjustRightInd w:val="0"/>
      </w:pPr>
    </w:p>
    <w:p w:rsidR="00972DEF" w:rsidRPr="00691454" w:rsidP="00972DEF" w14:paraId="464D66E6" w14:textId="77777777">
      <w:pPr>
        <w:autoSpaceDE w:val="0"/>
        <w:autoSpaceDN w:val="0"/>
        <w:adjustRightInd w:val="0"/>
        <w:rPr>
          <w:b/>
          <w:bCs/>
        </w:rPr>
      </w:pPr>
      <w:r w:rsidRPr="00691454">
        <w:rPr>
          <w:b/>
          <w:bCs/>
        </w:rPr>
        <w:t xml:space="preserve">A.18. Exceptions to Certification for Paperwork Reduction Act Submissions </w:t>
      </w:r>
    </w:p>
    <w:p w:rsidR="00972DEF" w:rsidRPr="00691454" w:rsidP="00972DEF" w14:paraId="227151D5" w14:textId="77777777">
      <w:pPr>
        <w:autoSpaceDE w:val="0"/>
        <w:autoSpaceDN w:val="0"/>
        <w:adjustRightInd w:val="0"/>
        <w:rPr>
          <w:b/>
          <w:bCs/>
        </w:rPr>
      </w:pPr>
    </w:p>
    <w:p w:rsidR="00972DEF" w:rsidRPr="00691454" w:rsidP="00972DEF" w14:paraId="705D2EC5" w14:textId="77777777">
      <w:pPr>
        <w:autoSpaceDE w:val="0"/>
        <w:autoSpaceDN w:val="0"/>
        <w:adjustRightInd w:val="0"/>
      </w:pPr>
      <w:r w:rsidRPr="00691454">
        <w:t>There are no exceptions to the certification.</w:t>
      </w:r>
    </w:p>
    <w:p w:rsidR="00972DEF" w:rsidRPr="00691454" w:rsidP="00420226" w14:paraId="41D825F7" w14:textId="77777777">
      <w:pPr>
        <w:autoSpaceDE w:val="0"/>
        <w:autoSpaceDN w:val="0"/>
        <w:adjustRightInd w:val="0"/>
      </w:pPr>
      <w:r w:rsidRPr="00691454">
        <w:t xml:space="preserve"> </w:t>
      </w:r>
    </w:p>
    <w:p w:rsidR="00E14B37" w:rsidRPr="00691454" w:rsidP="00420226" w14:paraId="1C354BE0" w14:textId="77777777">
      <w:pPr>
        <w:autoSpaceDE w:val="0"/>
        <w:autoSpaceDN w:val="0"/>
        <w:adjustRightInd w:val="0"/>
      </w:pPr>
    </w:p>
    <w:p w:rsidR="277F5081" w:rsidP="277F5081" w14:paraId="67ABD46B" w14:textId="2F5F32C7"/>
    <w:p w:rsidR="277F5081" w:rsidP="277F5081" w14:paraId="501BFFCA" w14:textId="73C5FAFE"/>
    <w:p w:rsidR="277F5081" w:rsidP="277F5081" w14:paraId="6E263854" w14:textId="420951E8"/>
    <w:p w:rsidR="277F5081" w:rsidP="277F5081" w14:paraId="18EC71C3" w14:textId="46F6A7AA"/>
    <w:p w:rsidR="277F5081" w:rsidP="277F5081" w14:paraId="0D7388E5" w14:textId="64F2AF7B"/>
    <w:p w:rsidR="277F5081" w:rsidP="277F5081" w14:paraId="15405D95" w14:textId="3FB1DDDD"/>
    <w:p w:rsidR="277F5081" w:rsidP="277F5081" w14:paraId="012CE197" w14:textId="4E6D80E7"/>
    <w:p w:rsidR="277F5081" w:rsidP="277F5081" w14:paraId="382129F5" w14:textId="53B04B14"/>
    <w:p w:rsidR="277F5081" w:rsidP="277F5081" w14:paraId="5841F834" w14:textId="1C332322"/>
    <w:p w:rsidR="277F5081" w:rsidP="277F5081" w14:paraId="088EADD2" w14:textId="633AF142"/>
    <w:p w:rsidR="277F5081" w:rsidP="277F5081" w14:paraId="4078E422" w14:textId="0D6B82EA"/>
    <w:p w:rsidR="277F5081" w:rsidP="277F5081" w14:paraId="2B1230CC" w14:textId="084E3639"/>
    <w:p w:rsidR="277F5081" w:rsidP="277F5081" w14:paraId="5EFBB936" w14:textId="5CBD39CC"/>
    <w:p w:rsidR="277F5081" w:rsidP="277F5081" w14:paraId="7A4A6282" w14:textId="349A0AD1"/>
    <w:p w:rsidR="277F5081" w:rsidP="277F5081" w14:paraId="7CAB1938" w14:textId="4FE95A79"/>
    <w:p w:rsidR="277F5081" w:rsidP="277F5081" w14:paraId="63DF1D41" w14:textId="418B4414"/>
    <w:p w:rsidR="277F5081" w:rsidP="277F5081" w14:paraId="667A7A46" w14:textId="5154736B"/>
    <w:p w:rsidR="277F5081" w:rsidP="277F5081" w14:paraId="78281E44" w14:textId="4E3F5291"/>
    <w:p w:rsidR="277F5081" w:rsidP="277F5081" w14:paraId="4E0D0D59" w14:textId="1A178D4D"/>
    <w:p w:rsidR="277F5081" w:rsidP="277F5081" w14:paraId="37BE6985" w14:textId="058385A3"/>
    <w:p w:rsidR="277F5081" w:rsidP="277F5081" w14:paraId="7E12AD48" w14:textId="09B80165"/>
    <w:p w:rsidR="277F5081" w:rsidP="277F5081" w14:paraId="6E89483C" w14:textId="73649191"/>
    <w:p w:rsidR="277F5081" w:rsidP="277F5081" w14:paraId="0286BAE0" w14:textId="3FFEDD3C"/>
    <w:p w:rsidR="277F5081" w:rsidP="277F5081" w14:paraId="7B7B6C41" w14:textId="528CEA09"/>
    <w:p w:rsidR="277F5081" w:rsidP="277F5081" w14:paraId="485E85C3" w14:textId="144B2DCB"/>
    <w:p w:rsidR="277F5081" w:rsidP="277F5081" w14:paraId="4C085705" w14:textId="1AD5BB07"/>
    <w:p w:rsidR="277F5081" w:rsidP="277F5081" w14:paraId="1466BF1E" w14:textId="15D75ABA"/>
    <w:p w:rsidR="277F5081" w:rsidP="277F5081" w14:paraId="272E7AD8" w14:textId="578A3FC0"/>
    <w:p w:rsidR="277F5081" w:rsidP="277F5081" w14:paraId="761016A0" w14:textId="77B77B17"/>
    <w:p w:rsidR="00742897" w:rsidRPr="00760067" w:rsidP="00742897" w14:paraId="43AC8D5E" w14:textId="77777777">
      <w:pPr>
        <w:rPr>
          <w:b/>
          <w:bCs/>
        </w:rPr>
      </w:pPr>
      <w:r>
        <w:t xml:space="preserve"> </w:t>
      </w:r>
      <w:r w:rsidRPr="277F5081">
        <w:rPr>
          <w:b/>
          <w:bCs/>
        </w:rPr>
        <w:t>REFERENCES</w:t>
      </w:r>
    </w:p>
    <w:p w:rsidR="277F5081" w:rsidP="277F5081" w14:paraId="1BB3230D" w14:textId="669692D9">
      <w:pPr>
        <w:rPr>
          <w:b/>
          <w:bCs/>
        </w:rPr>
      </w:pPr>
    </w:p>
    <w:p w:rsidR="6D47D9AA" w:rsidP="00F252DA" w14:paraId="768908AB" w14:textId="682A9B64">
      <w:pPr>
        <w:pStyle w:val="ListParagraph"/>
        <w:numPr>
          <w:ilvl w:val="0"/>
          <w:numId w:val="3"/>
        </w:numPr>
        <w:rPr>
          <w:rFonts w:ascii="Calibri" w:eastAsia="Calibri" w:hAnsi="Calibri" w:cs="Calibri"/>
          <w:color w:val="000000" w:themeColor="text1"/>
          <w:sz w:val="20"/>
          <w:szCs w:val="20"/>
        </w:rPr>
      </w:pPr>
      <w:r w:rsidRPr="277F5081">
        <w:rPr>
          <w:rFonts w:ascii="Calibri" w:eastAsia="Calibri" w:hAnsi="Calibri" w:cs="Calibri"/>
          <w:color w:val="000000" w:themeColor="text1"/>
          <w:sz w:val="20"/>
          <w:szCs w:val="20"/>
        </w:rPr>
        <w:t xml:space="preserve">Centers for Disease Control and Prevention (CDC), National Center for Health Statistics. (2024, July 17). Provisional Drug Overdose Death Counts. Retrieved from </w:t>
      </w:r>
      <w:hyperlink r:id="rId9">
        <w:r w:rsidRPr="277F5081">
          <w:rPr>
            <w:rFonts w:ascii="Calibri" w:eastAsia="Calibri" w:hAnsi="Calibri" w:cs="Calibri"/>
            <w:color w:val="000000" w:themeColor="text1"/>
            <w:sz w:val="20"/>
            <w:szCs w:val="20"/>
          </w:rPr>
          <w:t>Products - Vital Statistics Rapid Release - Provisional Drug Overdose Data (cdc.gov)</w:t>
        </w:r>
      </w:hyperlink>
    </w:p>
    <w:p w:rsidR="6D47D9AA" w:rsidP="00F252DA" w14:paraId="0A2D0239" w14:textId="7C19CEC7">
      <w:pPr>
        <w:pStyle w:val="ListParagraph"/>
        <w:numPr>
          <w:ilvl w:val="0"/>
          <w:numId w:val="3"/>
        </w:numPr>
        <w:rPr>
          <w:rFonts w:ascii="Calibri" w:eastAsia="Calibri" w:hAnsi="Calibri" w:cs="Calibri"/>
          <w:color w:val="000000" w:themeColor="text1"/>
          <w:sz w:val="20"/>
          <w:szCs w:val="20"/>
        </w:rPr>
      </w:pPr>
      <w:r w:rsidRPr="277F5081">
        <w:rPr>
          <w:rFonts w:ascii="Calibri" w:eastAsia="Calibri" w:hAnsi="Calibri" w:cs="Calibri"/>
          <w:color w:val="000000" w:themeColor="text1"/>
          <w:sz w:val="20"/>
          <w:szCs w:val="20"/>
        </w:rPr>
        <w:t xml:space="preserve">Centers for Disease Control and Prevention (CDC), National Center for Health Statistics. (2024, July 17). Provisional Drug Overdose Death Counts. Retrieved from </w:t>
      </w:r>
      <w:hyperlink r:id="rId9">
        <w:r w:rsidRPr="277F5081">
          <w:rPr>
            <w:rFonts w:ascii="Calibri" w:eastAsia="Calibri" w:hAnsi="Calibri" w:cs="Calibri"/>
            <w:color w:val="000000" w:themeColor="text1"/>
            <w:sz w:val="20"/>
            <w:szCs w:val="20"/>
          </w:rPr>
          <w:t>Products - Vital Statistics Rapid Release - Provisional Drug Overdose Data (cdc.gov)</w:t>
        </w:r>
      </w:hyperlink>
    </w:p>
    <w:p w:rsidR="2ABF0CA6" w:rsidP="00F252DA" w14:paraId="0AED4EC1" w14:textId="48C96CF2">
      <w:pPr>
        <w:pStyle w:val="ListParagraph"/>
        <w:numPr>
          <w:ilvl w:val="0"/>
          <w:numId w:val="3"/>
        </w:numPr>
        <w:rPr>
          <w:rFonts w:ascii="Calibri" w:eastAsia="Calibri" w:hAnsi="Calibri" w:cs="Calibri"/>
          <w:color w:val="000000" w:themeColor="text1"/>
          <w:sz w:val="20"/>
          <w:szCs w:val="20"/>
        </w:rPr>
      </w:pPr>
      <w:r w:rsidRPr="277F5081">
        <w:rPr>
          <w:rFonts w:ascii="Calibri" w:eastAsia="Calibri" w:hAnsi="Calibri" w:cs="Calibri"/>
          <w:color w:val="000000" w:themeColor="text1"/>
          <w:sz w:val="20"/>
          <w:szCs w:val="20"/>
        </w:rPr>
        <w:t xml:space="preserve">Centers for Disease Control and Prevention (CDC), National Center for Injury Prevention and Control. (2024). Fentanyl Overdose Prevention. Retrieved from </w:t>
      </w:r>
      <w:hyperlink r:id="rId10">
        <w:r w:rsidRPr="277F5081">
          <w:rPr>
            <w:rFonts w:ascii="Calibri" w:eastAsia="Calibri" w:hAnsi="Calibri" w:cs="Calibri"/>
            <w:color w:val="000000" w:themeColor="text1"/>
            <w:sz w:val="20"/>
            <w:szCs w:val="20"/>
          </w:rPr>
          <w:t>Fentanyl | Overdose Prevention | CDC</w:t>
        </w:r>
      </w:hyperlink>
    </w:p>
    <w:p w:rsidR="2ABF0CA6" w:rsidP="00F252DA" w14:paraId="478AB18D" w14:textId="7A80E3C3">
      <w:pPr>
        <w:pStyle w:val="ListParagraph"/>
        <w:numPr>
          <w:ilvl w:val="0"/>
          <w:numId w:val="3"/>
        </w:numPr>
        <w:rPr>
          <w:rFonts w:ascii="Calibri" w:eastAsia="Calibri" w:hAnsi="Calibri" w:cs="Calibri"/>
          <w:color w:val="000000" w:themeColor="text1"/>
          <w:sz w:val="20"/>
          <w:szCs w:val="20"/>
        </w:rPr>
      </w:pPr>
      <w:r w:rsidRPr="277F5081">
        <w:rPr>
          <w:rFonts w:ascii="Calibri" w:eastAsia="Calibri" w:hAnsi="Calibri" w:cs="Calibri"/>
          <w:color w:val="000000" w:themeColor="text1"/>
          <w:sz w:val="20"/>
          <w:szCs w:val="20"/>
        </w:rPr>
        <w:t xml:space="preserve">Centers for Disease Control and Prevention (CDC), National Center for Injury Prevention and Control. (2024). Stimulant Overdose. Retrieved from </w:t>
      </w:r>
      <w:hyperlink r:id="rId11">
        <w:r w:rsidRPr="277F5081">
          <w:rPr>
            <w:rFonts w:ascii="Calibri" w:eastAsia="Calibri" w:hAnsi="Calibri" w:cs="Calibri"/>
            <w:color w:val="000000" w:themeColor="text1"/>
            <w:sz w:val="20"/>
            <w:szCs w:val="20"/>
          </w:rPr>
          <w:t>Stimulant Overdose | Overdose Prevention | CDC</w:t>
        </w:r>
      </w:hyperlink>
    </w:p>
    <w:p w:rsidR="2ABF0CA6" w:rsidP="00F252DA" w14:paraId="6F7A4C54" w14:textId="3B2D8F6A">
      <w:pPr>
        <w:pStyle w:val="ListParagraph"/>
        <w:numPr>
          <w:ilvl w:val="0"/>
          <w:numId w:val="3"/>
        </w:numPr>
        <w:rPr>
          <w:rFonts w:ascii="Calibri" w:eastAsia="Calibri" w:hAnsi="Calibri" w:cs="Calibri"/>
          <w:color w:val="000000" w:themeColor="text1"/>
          <w:sz w:val="20"/>
          <w:szCs w:val="20"/>
        </w:rPr>
      </w:pPr>
      <w:r w:rsidRPr="277F5081">
        <w:rPr>
          <w:rFonts w:ascii="Calibri" w:eastAsia="Calibri" w:hAnsi="Calibri" w:cs="Calibri"/>
          <w:color w:val="000000" w:themeColor="text1"/>
          <w:sz w:val="20"/>
          <w:szCs w:val="20"/>
        </w:rPr>
        <w:t>Centers for Disease Control and Prevention. Partnerships between public health and public safety. Accessed 202</w:t>
      </w:r>
      <w:r w:rsidRPr="277F5081" w:rsidR="6EB4510E">
        <w:rPr>
          <w:rFonts w:ascii="Calibri" w:eastAsia="Calibri" w:hAnsi="Calibri" w:cs="Calibri"/>
          <w:color w:val="000000" w:themeColor="text1"/>
          <w:sz w:val="20"/>
          <w:szCs w:val="20"/>
        </w:rPr>
        <w:t>4</w:t>
      </w:r>
      <w:r w:rsidRPr="277F5081">
        <w:rPr>
          <w:rFonts w:ascii="Calibri" w:eastAsia="Calibri" w:hAnsi="Calibri" w:cs="Calibri"/>
          <w:color w:val="000000" w:themeColor="text1"/>
          <w:sz w:val="20"/>
          <w:szCs w:val="20"/>
        </w:rPr>
        <w:t xml:space="preserve">, </w:t>
      </w:r>
      <w:r w:rsidRPr="277F5081" w:rsidR="3FD20DFC">
        <w:rPr>
          <w:rFonts w:ascii="Calibri" w:eastAsia="Calibri" w:hAnsi="Calibri" w:cs="Calibri"/>
          <w:color w:val="000000" w:themeColor="text1"/>
          <w:sz w:val="20"/>
          <w:szCs w:val="20"/>
        </w:rPr>
        <w:t>September 15</w:t>
      </w:r>
      <w:r w:rsidRPr="277F5081">
        <w:rPr>
          <w:rFonts w:ascii="Calibri" w:eastAsia="Calibri" w:hAnsi="Calibri" w:cs="Calibri"/>
          <w:color w:val="000000" w:themeColor="text1"/>
          <w:sz w:val="20"/>
          <w:szCs w:val="20"/>
        </w:rPr>
        <w:t xml:space="preserve">. </w:t>
      </w:r>
      <w:hyperlink r:id="rId12">
        <w:r w:rsidRPr="277F5081">
          <w:rPr>
            <w:rFonts w:ascii="Calibri" w:eastAsia="Calibri" w:hAnsi="Calibri" w:cs="Calibri"/>
            <w:color w:val="000000" w:themeColor="text1"/>
            <w:sz w:val="20"/>
            <w:szCs w:val="20"/>
          </w:rPr>
          <w:t>https://www.cdc.gov/drugoverdose/strategies/public-safety.html</w:t>
        </w:r>
      </w:hyperlink>
    </w:p>
    <w:p w:rsidR="4F1E738D" w:rsidP="00F252DA" w14:paraId="54B7DB76" w14:textId="59CEC498">
      <w:pPr>
        <w:pStyle w:val="ListParagraph"/>
        <w:numPr>
          <w:ilvl w:val="0"/>
          <w:numId w:val="3"/>
        </w:numPr>
        <w:rPr>
          <w:rFonts w:ascii="Calibri" w:eastAsia="Calibri" w:hAnsi="Calibri" w:cs="Calibri"/>
          <w:color w:val="000000" w:themeColor="text1"/>
          <w:sz w:val="20"/>
          <w:szCs w:val="20"/>
        </w:rPr>
      </w:pPr>
      <w:r w:rsidRPr="277F5081">
        <w:rPr>
          <w:rFonts w:ascii="Calibri" w:eastAsia="Calibri" w:hAnsi="Calibri" w:cs="Calibri"/>
          <w:color w:val="000000" w:themeColor="text1"/>
          <w:sz w:val="20"/>
          <w:szCs w:val="20"/>
        </w:rPr>
        <w:t xml:space="preserve">Centers for Disease Control and Prevention (CDC), National Center for Health Statistics. (2024, July 17). Provisional Drug Overdose Death Counts. Retrieved from </w:t>
      </w:r>
      <w:hyperlink r:id="rId9">
        <w:r w:rsidRPr="277F5081">
          <w:rPr>
            <w:rFonts w:ascii="Calibri" w:eastAsia="Calibri" w:hAnsi="Calibri" w:cs="Calibri"/>
            <w:color w:val="000000" w:themeColor="text1"/>
            <w:sz w:val="20"/>
            <w:szCs w:val="20"/>
          </w:rPr>
          <w:t>Products - Vital Statistics Rapid Release - Provisional Drug Overdose Data (cdc.gov)</w:t>
        </w:r>
      </w:hyperlink>
    </w:p>
    <w:p w:rsidR="19182943" w:rsidP="00F252DA" w14:paraId="0ABE7C90" w14:textId="4F2C9740">
      <w:pPr>
        <w:pStyle w:val="ListParagraph"/>
        <w:numPr>
          <w:ilvl w:val="0"/>
          <w:numId w:val="3"/>
        </w:numPr>
        <w:rPr>
          <w:rFonts w:ascii="Calibri" w:eastAsia="Calibri" w:hAnsi="Calibri" w:cs="Calibri"/>
          <w:color w:val="000000" w:themeColor="text1"/>
          <w:sz w:val="20"/>
          <w:szCs w:val="20"/>
        </w:rPr>
      </w:pPr>
      <w:r w:rsidRPr="277F5081">
        <w:rPr>
          <w:rFonts w:ascii="Calibri" w:eastAsia="Calibri" w:hAnsi="Calibri" w:cs="Calibri"/>
          <w:color w:val="000000" w:themeColor="text1"/>
          <w:sz w:val="20"/>
          <w:szCs w:val="20"/>
        </w:rPr>
        <w:t xml:space="preserve">Centers for Disease Control and Prevention (CDC), National Center for Injury Prevention and Control. (2024). Stimulant Overdose. Retrieved from </w:t>
      </w:r>
      <w:hyperlink r:id="rId11">
        <w:r w:rsidRPr="277F5081">
          <w:rPr>
            <w:rFonts w:ascii="Calibri" w:eastAsia="Calibri" w:hAnsi="Calibri" w:cs="Calibri"/>
            <w:color w:val="000000" w:themeColor="text1"/>
            <w:sz w:val="20"/>
            <w:szCs w:val="20"/>
          </w:rPr>
          <w:t>Stimulant Overdose | Overdose Prevention | CDC</w:t>
        </w:r>
      </w:hyperlink>
    </w:p>
    <w:p w:rsidR="03131EF0" w:rsidP="277F5081" w14:paraId="6CFBA7D1" w14:textId="5D0E5204">
      <w:pPr>
        <w:pStyle w:val="ListParagraph"/>
        <w:rPr>
          <w:rFonts w:ascii="Calibri" w:eastAsia="Calibri" w:hAnsi="Calibri" w:cs="Calibri"/>
          <w:color w:val="000000" w:themeColor="text1"/>
          <w:sz w:val="20"/>
          <w:szCs w:val="20"/>
        </w:rPr>
      </w:pPr>
      <w:r w:rsidRPr="277F5081">
        <w:rPr>
          <w:rFonts w:ascii="Calibri" w:eastAsia="Calibri" w:hAnsi="Calibri" w:cs="Calibri"/>
          <w:color w:val="000000" w:themeColor="text1"/>
          <w:sz w:val="20"/>
          <w:szCs w:val="20"/>
        </w:rPr>
        <w:t xml:space="preserve">Drug Enforcement Administration (DEA), </w:t>
      </w:r>
      <w:r w:rsidRPr="277F5081" w:rsidR="54C4DAEB">
        <w:rPr>
          <w:rFonts w:ascii="Calibri" w:eastAsia="Calibri" w:hAnsi="Calibri" w:cs="Calibri"/>
          <w:color w:val="000000" w:themeColor="text1"/>
          <w:sz w:val="20"/>
          <w:szCs w:val="20"/>
        </w:rPr>
        <w:t xml:space="preserve">DEA fentanyl seizures in 2024. Accessed </w:t>
      </w:r>
      <w:r w:rsidRPr="277F5081" w:rsidR="6FF761AC">
        <w:rPr>
          <w:rFonts w:ascii="Calibri" w:eastAsia="Calibri" w:hAnsi="Calibri" w:cs="Calibri"/>
          <w:color w:val="000000" w:themeColor="text1"/>
          <w:sz w:val="20"/>
          <w:szCs w:val="20"/>
        </w:rPr>
        <w:t xml:space="preserve">2024, September 15. </w:t>
      </w:r>
      <w:hyperlink r:id="rId13">
        <w:r w:rsidRPr="277F5081" w:rsidR="1382E77B">
          <w:rPr>
            <w:rStyle w:val="Hyperlink"/>
            <w:rFonts w:ascii="Calibri" w:eastAsia="Calibri" w:hAnsi="Calibri" w:cs="Calibri"/>
            <w:sz w:val="20"/>
            <w:szCs w:val="20"/>
          </w:rPr>
          <w:t>www.dea.gov/onepill</w:t>
        </w:r>
      </w:hyperlink>
    </w:p>
    <w:p w:rsidR="277F5081" w:rsidP="277F5081" w14:paraId="13B962DC" w14:textId="275C9A40">
      <w:pPr>
        <w:pStyle w:val="ListParagraph"/>
      </w:pPr>
    </w:p>
    <w:sectPr w:rsidSect="001A0A8C">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4D"/>
    <w:family w:val="roman"/>
    <w:notTrueType/>
    <w:pitch w:val="default"/>
    <w:sig w:usb0="03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87D" w:rsidP="001A0A8C" w14:paraId="48F8F41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7A3B">
      <w:rPr>
        <w:rStyle w:val="PageNumber"/>
        <w:noProof/>
      </w:rPr>
      <w:t>2</w:t>
    </w:r>
    <w:r>
      <w:rPr>
        <w:rStyle w:val="PageNumber"/>
      </w:rPr>
      <w:fldChar w:fldCharType="end"/>
    </w:r>
  </w:p>
  <w:p w:rsidR="0073187D" w:rsidP="001A0A8C" w14:paraId="11B99BC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87D" w:rsidP="001A0A8C" w14:paraId="6A8B47B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90A">
      <w:rPr>
        <w:rStyle w:val="PageNumber"/>
        <w:noProof/>
      </w:rPr>
      <w:t>5</w:t>
    </w:r>
    <w:r>
      <w:rPr>
        <w:rStyle w:val="PageNumber"/>
      </w:rPr>
      <w:fldChar w:fldCharType="end"/>
    </w:r>
  </w:p>
  <w:p w:rsidR="0073187D" w:rsidRPr="00BB4559" w:rsidP="00144640" w14:paraId="7C4C6CE9"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7A3B" w:rsidRPr="00EE7A3B" w14:paraId="2CB58B1F" w14:textId="77777777">
    <w:pPr>
      <w:pStyle w:val="Footer"/>
      <w:rPr>
        <w:sz w:val="18"/>
        <w:szCs w:val="18"/>
      </w:rPr>
    </w:pPr>
    <w:r>
      <w:tab/>
    </w:r>
    <w:r>
      <w:tab/>
    </w:r>
  </w:p>
  <w:p w:rsidR="00EE7A3B" w14:paraId="4BA6DEB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C08DB97" w14:textId="77777777" w:rsidTr="277F5081">
      <w:tblPrEx>
        <w:tblW w:w="0" w:type="auto"/>
        <w:tblLayout w:type="fixed"/>
        <w:tblLook w:val="06A0"/>
      </w:tblPrEx>
      <w:trPr>
        <w:trHeight w:val="300"/>
      </w:trPr>
      <w:tc>
        <w:tcPr>
          <w:tcW w:w="3120" w:type="dxa"/>
        </w:tcPr>
        <w:p w:rsidR="277F5081" w:rsidP="277F5081" w14:paraId="1053CC0B" w14:textId="1339578D">
          <w:pPr>
            <w:pStyle w:val="Header"/>
            <w:ind w:left="-115"/>
          </w:pPr>
        </w:p>
      </w:tc>
      <w:tc>
        <w:tcPr>
          <w:tcW w:w="3120" w:type="dxa"/>
        </w:tcPr>
        <w:p w:rsidR="277F5081" w:rsidP="277F5081" w14:paraId="28E37053" w14:textId="401726BD">
          <w:pPr>
            <w:pStyle w:val="Header"/>
            <w:jc w:val="center"/>
          </w:pPr>
        </w:p>
      </w:tc>
      <w:tc>
        <w:tcPr>
          <w:tcW w:w="3120" w:type="dxa"/>
        </w:tcPr>
        <w:p w:rsidR="277F5081" w:rsidP="277F5081" w14:paraId="5EA1FB26" w14:textId="78096855">
          <w:pPr>
            <w:pStyle w:val="Header"/>
            <w:ind w:right="-115"/>
            <w:jc w:val="right"/>
          </w:pPr>
        </w:p>
      </w:tc>
    </w:tr>
  </w:tbl>
  <w:p w:rsidR="277F5081" w:rsidP="277F5081" w14:paraId="57EC321B" w14:textId="587A0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E10FFDD" w14:textId="77777777" w:rsidTr="277F5081">
      <w:tblPrEx>
        <w:tblW w:w="0" w:type="auto"/>
        <w:tblLayout w:type="fixed"/>
        <w:tblLook w:val="06A0"/>
      </w:tblPrEx>
      <w:trPr>
        <w:trHeight w:val="300"/>
      </w:trPr>
      <w:tc>
        <w:tcPr>
          <w:tcW w:w="3120" w:type="dxa"/>
        </w:tcPr>
        <w:p w:rsidR="277F5081" w:rsidP="277F5081" w14:paraId="401C3EEE" w14:textId="02F614DA">
          <w:pPr>
            <w:pStyle w:val="Header"/>
            <w:ind w:left="-115"/>
          </w:pPr>
        </w:p>
      </w:tc>
      <w:tc>
        <w:tcPr>
          <w:tcW w:w="3120" w:type="dxa"/>
        </w:tcPr>
        <w:p w:rsidR="277F5081" w:rsidP="277F5081" w14:paraId="0424DEA6" w14:textId="7EAAA35D">
          <w:pPr>
            <w:pStyle w:val="Header"/>
            <w:jc w:val="center"/>
          </w:pPr>
        </w:p>
      </w:tc>
      <w:tc>
        <w:tcPr>
          <w:tcW w:w="3120" w:type="dxa"/>
        </w:tcPr>
        <w:p w:rsidR="277F5081" w:rsidP="277F5081" w14:paraId="05796D3D" w14:textId="63C92506">
          <w:pPr>
            <w:pStyle w:val="Header"/>
            <w:ind w:right="-115"/>
            <w:jc w:val="right"/>
          </w:pPr>
        </w:p>
      </w:tc>
    </w:tr>
  </w:tbl>
  <w:p w:rsidR="277F5081" w:rsidP="277F5081" w14:paraId="3542FF93" w14:textId="22BA7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2308C"/>
    <w:multiLevelType w:val="hybridMultilevel"/>
    <w:tmpl w:val="3120E2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D4006B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317FD3"/>
    <w:multiLevelType w:val="hybridMultilevel"/>
    <w:tmpl w:val="D8A48E9C"/>
    <w:lvl w:ilvl="0">
      <w:start w:val="1"/>
      <w:numFmt w:val="bullet"/>
      <w:pStyle w:val="Bulleted"/>
      <w:lvlText w:val=""/>
      <w:lvlJc w:val="left"/>
      <w:pPr>
        <w:tabs>
          <w:tab w:val="num" w:pos="504"/>
        </w:tabs>
        <w:ind w:left="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5">
    <w:nsid w:val="1F4987AB"/>
    <w:multiLevelType w:val="hybridMultilevel"/>
    <w:tmpl w:val="7DD4C2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7">
    <w:nsid w:val="3619EFDB"/>
    <w:multiLevelType w:val="hybridMultilevel"/>
    <w:tmpl w:val="3120E2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69A6CC9"/>
    <w:multiLevelType w:val="hybridMultilevel"/>
    <w:tmpl w:val="395A8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84669E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8634D80"/>
    <w:multiLevelType w:val="hybridMultilevel"/>
    <w:tmpl w:val="E5A6A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AE6FD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54D8778"/>
    <w:multiLevelType w:val="hybridMultilevel"/>
    <w:tmpl w:val="80B8B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6196A5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79EAE86"/>
    <w:multiLevelType w:val="hybridMultilevel"/>
    <w:tmpl w:val="6186C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num w:numId="1" w16cid:durableId="1510100603">
    <w:abstractNumId w:val="5"/>
  </w:num>
  <w:num w:numId="2" w16cid:durableId="1943297276">
    <w:abstractNumId w:val="14"/>
  </w:num>
  <w:num w:numId="3" w16cid:durableId="815607747">
    <w:abstractNumId w:val="12"/>
  </w:num>
  <w:num w:numId="4" w16cid:durableId="497843714">
    <w:abstractNumId w:val="8"/>
  </w:num>
  <w:num w:numId="5" w16cid:durableId="1681201077">
    <w:abstractNumId w:val="10"/>
  </w:num>
  <w:num w:numId="6" w16cid:durableId="1725644100">
    <w:abstractNumId w:val="7"/>
  </w:num>
  <w:num w:numId="7" w16cid:durableId="2037735026">
    <w:abstractNumId w:val="11"/>
  </w:num>
  <w:num w:numId="8" w16cid:durableId="1453865589">
    <w:abstractNumId w:val="2"/>
  </w:num>
  <w:num w:numId="9" w16cid:durableId="1538737125">
    <w:abstractNumId w:val="9"/>
  </w:num>
  <w:num w:numId="10" w16cid:durableId="695272145">
    <w:abstractNumId w:val="13"/>
  </w:num>
  <w:num w:numId="11" w16cid:durableId="1229918279">
    <w:abstractNumId w:val="1"/>
  </w:num>
  <w:num w:numId="12" w16cid:durableId="229777646">
    <w:abstractNumId w:val="15"/>
  </w:num>
  <w:num w:numId="13" w16cid:durableId="1112213564">
    <w:abstractNumId w:val="3"/>
  </w:num>
  <w:num w:numId="14" w16cid:durableId="566458641">
    <w:abstractNumId w:val="4"/>
  </w:num>
  <w:num w:numId="15" w16cid:durableId="1338314623">
    <w:abstractNumId w:val="6"/>
  </w:num>
  <w:num w:numId="16" w16cid:durableId="90217494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EF"/>
    <w:rsid w:val="00002669"/>
    <w:rsid w:val="00002CB2"/>
    <w:rsid w:val="00003D0C"/>
    <w:rsid w:val="000068D5"/>
    <w:rsid w:val="00006CD4"/>
    <w:rsid w:val="00012596"/>
    <w:rsid w:val="00013F0A"/>
    <w:rsid w:val="00014066"/>
    <w:rsid w:val="0001452F"/>
    <w:rsid w:val="00014C5D"/>
    <w:rsid w:val="000151A9"/>
    <w:rsid w:val="0002107B"/>
    <w:rsid w:val="00022B31"/>
    <w:rsid w:val="000236D9"/>
    <w:rsid w:val="00024097"/>
    <w:rsid w:val="00026673"/>
    <w:rsid w:val="00026C55"/>
    <w:rsid w:val="00030B06"/>
    <w:rsid w:val="00032EAB"/>
    <w:rsid w:val="00033A2B"/>
    <w:rsid w:val="00034D66"/>
    <w:rsid w:val="00037139"/>
    <w:rsid w:val="00040551"/>
    <w:rsid w:val="00043C49"/>
    <w:rsid w:val="000462CE"/>
    <w:rsid w:val="00046631"/>
    <w:rsid w:val="00046D69"/>
    <w:rsid w:val="00047243"/>
    <w:rsid w:val="00047A3B"/>
    <w:rsid w:val="000523C9"/>
    <w:rsid w:val="0005319C"/>
    <w:rsid w:val="00053C31"/>
    <w:rsid w:val="00054F7E"/>
    <w:rsid w:val="0005567A"/>
    <w:rsid w:val="000630F3"/>
    <w:rsid w:val="00063B71"/>
    <w:rsid w:val="00063EA6"/>
    <w:rsid w:val="000642F2"/>
    <w:rsid w:val="000663CC"/>
    <w:rsid w:val="000711CD"/>
    <w:rsid w:val="00081BDB"/>
    <w:rsid w:val="00082FB9"/>
    <w:rsid w:val="000847B7"/>
    <w:rsid w:val="00084F1E"/>
    <w:rsid w:val="00085277"/>
    <w:rsid w:val="000858FA"/>
    <w:rsid w:val="00085BB6"/>
    <w:rsid w:val="00086BFC"/>
    <w:rsid w:val="0009080F"/>
    <w:rsid w:val="000925D2"/>
    <w:rsid w:val="00093851"/>
    <w:rsid w:val="000941F0"/>
    <w:rsid w:val="00094BF2"/>
    <w:rsid w:val="00095AF9"/>
    <w:rsid w:val="00096849"/>
    <w:rsid w:val="000A0F71"/>
    <w:rsid w:val="000A4A7E"/>
    <w:rsid w:val="000B7303"/>
    <w:rsid w:val="000C274B"/>
    <w:rsid w:val="000C2EFC"/>
    <w:rsid w:val="000C3B79"/>
    <w:rsid w:val="000C4150"/>
    <w:rsid w:val="000C4CAF"/>
    <w:rsid w:val="000C7216"/>
    <w:rsid w:val="000D05A0"/>
    <w:rsid w:val="000D0892"/>
    <w:rsid w:val="000D31C0"/>
    <w:rsid w:val="000D4D34"/>
    <w:rsid w:val="000E3608"/>
    <w:rsid w:val="000E3BC9"/>
    <w:rsid w:val="000E70F7"/>
    <w:rsid w:val="000F0EE6"/>
    <w:rsid w:val="000F1766"/>
    <w:rsid w:val="000F19A7"/>
    <w:rsid w:val="000F50B9"/>
    <w:rsid w:val="000F55B5"/>
    <w:rsid w:val="00100D30"/>
    <w:rsid w:val="00102734"/>
    <w:rsid w:val="00103D59"/>
    <w:rsid w:val="001134E9"/>
    <w:rsid w:val="00115D62"/>
    <w:rsid w:val="00117092"/>
    <w:rsid w:val="001216F9"/>
    <w:rsid w:val="00122751"/>
    <w:rsid w:val="001245D1"/>
    <w:rsid w:val="00124EB1"/>
    <w:rsid w:val="00124F7A"/>
    <w:rsid w:val="0012575C"/>
    <w:rsid w:val="00125D25"/>
    <w:rsid w:val="00126D30"/>
    <w:rsid w:val="0013185D"/>
    <w:rsid w:val="00133154"/>
    <w:rsid w:val="00133289"/>
    <w:rsid w:val="0013355F"/>
    <w:rsid w:val="001355B4"/>
    <w:rsid w:val="00135823"/>
    <w:rsid w:val="00140AD2"/>
    <w:rsid w:val="00141F78"/>
    <w:rsid w:val="00143326"/>
    <w:rsid w:val="00143A97"/>
    <w:rsid w:val="00143BF1"/>
    <w:rsid w:val="001440C5"/>
    <w:rsid w:val="00144640"/>
    <w:rsid w:val="00147660"/>
    <w:rsid w:val="00147F0D"/>
    <w:rsid w:val="00152324"/>
    <w:rsid w:val="001528DE"/>
    <w:rsid w:val="00153B43"/>
    <w:rsid w:val="001543AF"/>
    <w:rsid w:val="001553BF"/>
    <w:rsid w:val="00162CE1"/>
    <w:rsid w:val="0016565B"/>
    <w:rsid w:val="00166105"/>
    <w:rsid w:val="001668C4"/>
    <w:rsid w:val="0018364C"/>
    <w:rsid w:val="00183655"/>
    <w:rsid w:val="001838E3"/>
    <w:rsid w:val="00190B66"/>
    <w:rsid w:val="00190E6C"/>
    <w:rsid w:val="00191682"/>
    <w:rsid w:val="0019427F"/>
    <w:rsid w:val="00195C2D"/>
    <w:rsid w:val="0019616B"/>
    <w:rsid w:val="001973A2"/>
    <w:rsid w:val="001A05F9"/>
    <w:rsid w:val="001A0A8C"/>
    <w:rsid w:val="001A25A8"/>
    <w:rsid w:val="001A4E71"/>
    <w:rsid w:val="001A569A"/>
    <w:rsid w:val="001A5E9F"/>
    <w:rsid w:val="001A6157"/>
    <w:rsid w:val="001A77D0"/>
    <w:rsid w:val="001A7C5C"/>
    <w:rsid w:val="001B024C"/>
    <w:rsid w:val="001B218A"/>
    <w:rsid w:val="001B2979"/>
    <w:rsid w:val="001B43C7"/>
    <w:rsid w:val="001B495A"/>
    <w:rsid w:val="001B6A91"/>
    <w:rsid w:val="001C03CC"/>
    <w:rsid w:val="001C0E4A"/>
    <w:rsid w:val="001C2DBA"/>
    <w:rsid w:val="001C4949"/>
    <w:rsid w:val="001C4D29"/>
    <w:rsid w:val="001C7212"/>
    <w:rsid w:val="001C7245"/>
    <w:rsid w:val="001C79EF"/>
    <w:rsid w:val="001D230B"/>
    <w:rsid w:val="001D3733"/>
    <w:rsid w:val="001D3CE3"/>
    <w:rsid w:val="001D47CF"/>
    <w:rsid w:val="001D55A6"/>
    <w:rsid w:val="001E07EB"/>
    <w:rsid w:val="001E1A5D"/>
    <w:rsid w:val="001E7051"/>
    <w:rsid w:val="001F1FDA"/>
    <w:rsid w:val="001F2730"/>
    <w:rsid w:val="001F2E0D"/>
    <w:rsid w:val="001F3081"/>
    <w:rsid w:val="001F4E47"/>
    <w:rsid w:val="001F6EB7"/>
    <w:rsid w:val="00200EF9"/>
    <w:rsid w:val="0020133D"/>
    <w:rsid w:val="0020149B"/>
    <w:rsid w:val="00202616"/>
    <w:rsid w:val="00203779"/>
    <w:rsid w:val="00203955"/>
    <w:rsid w:val="00205D79"/>
    <w:rsid w:val="00211543"/>
    <w:rsid w:val="00211558"/>
    <w:rsid w:val="002121A0"/>
    <w:rsid w:val="00212621"/>
    <w:rsid w:val="00212983"/>
    <w:rsid w:val="00213E23"/>
    <w:rsid w:val="00215ED9"/>
    <w:rsid w:val="002174E2"/>
    <w:rsid w:val="00217572"/>
    <w:rsid w:val="0022042C"/>
    <w:rsid w:val="00220898"/>
    <w:rsid w:val="00222B5F"/>
    <w:rsid w:val="00222E65"/>
    <w:rsid w:val="002254E6"/>
    <w:rsid w:val="00227662"/>
    <w:rsid w:val="00233FB1"/>
    <w:rsid w:val="00234AED"/>
    <w:rsid w:val="00234FD5"/>
    <w:rsid w:val="00236E15"/>
    <w:rsid w:val="00237911"/>
    <w:rsid w:val="00240EE0"/>
    <w:rsid w:val="002420E6"/>
    <w:rsid w:val="00242B38"/>
    <w:rsid w:val="00253F44"/>
    <w:rsid w:val="0025574D"/>
    <w:rsid w:val="00263928"/>
    <w:rsid w:val="0026518B"/>
    <w:rsid w:val="00265796"/>
    <w:rsid w:val="00267068"/>
    <w:rsid w:val="00267102"/>
    <w:rsid w:val="0027160A"/>
    <w:rsid w:val="00271E8F"/>
    <w:rsid w:val="00274D5D"/>
    <w:rsid w:val="00274D73"/>
    <w:rsid w:val="0027700E"/>
    <w:rsid w:val="0027701C"/>
    <w:rsid w:val="00277131"/>
    <w:rsid w:val="00282CDC"/>
    <w:rsid w:val="00282E91"/>
    <w:rsid w:val="002868D1"/>
    <w:rsid w:val="00286B9B"/>
    <w:rsid w:val="00287302"/>
    <w:rsid w:val="0028778D"/>
    <w:rsid w:val="00287B54"/>
    <w:rsid w:val="00293622"/>
    <w:rsid w:val="00295BB7"/>
    <w:rsid w:val="002963A8"/>
    <w:rsid w:val="0029651F"/>
    <w:rsid w:val="002A25C6"/>
    <w:rsid w:val="002A5025"/>
    <w:rsid w:val="002A71C6"/>
    <w:rsid w:val="002A7BE0"/>
    <w:rsid w:val="002B1295"/>
    <w:rsid w:val="002B1F00"/>
    <w:rsid w:val="002B1FD3"/>
    <w:rsid w:val="002B4943"/>
    <w:rsid w:val="002B686F"/>
    <w:rsid w:val="002B7441"/>
    <w:rsid w:val="002B7F79"/>
    <w:rsid w:val="002C0813"/>
    <w:rsid w:val="002C3BEA"/>
    <w:rsid w:val="002C5DEA"/>
    <w:rsid w:val="002D1314"/>
    <w:rsid w:val="002D1936"/>
    <w:rsid w:val="002D5113"/>
    <w:rsid w:val="002D626B"/>
    <w:rsid w:val="002E2B98"/>
    <w:rsid w:val="002E3A2A"/>
    <w:rsid w:val="002E447A"/>
    <w:rsid w:val="002E45B2"/>
    <w:rsid w:val="002F0D3D"/>
    <w:rsid w:val="002F55BA"/>
    <w:rsid w:val="002F658C"/>
    <w:rsid w:val="002F6CC2"/>
    <w:rsid w:val="002F7686"/>
    <w:rsid w:val="0030062F"/>
    <w:rsid w:val="00300922"/>
    <w:rsid w:val="0030186F"/>
    <w:rsid w:val="00303D69"/>
    <w:rsid w:val="00305166"/>
    <w:rsid w:val="003056EB"/>
    <w:rsid w:val="00305748"/>
    <w:rsid w:val="00305806"/>
    <w:rsid w:val="00306580"/>
    <w:rsid w:val="00307CE5"/>
    <w:rsid w:val="00307DC2"/>
    <w:rsid w:val="00313246"/>
    <w:rsid w:val="0031374F"/>
    <w:rsid w:val="00313C77"/>
    <w:rsid w:val="00316352"/>
    <w:rsid w:val="00317A2B"/>
    <w:rsid w:val="00317FF8"/>
    <w:rsid w:val="00321103"/>
    <w:rsid w:val="003213FB"/>
    <w:rsid w:val="0032281D"/>
    <w:rsid w:val="00322A75"/>
    <w:rsid w:val="0032357F"/>
    <w:rsid w:val="003245AD"/>
    <w:rsid w:val="00327922"/>
    <w:rsid w:val="00330867"/>
    <w:rsid w:val="00330C43"/>
    <w:rsid w:val="00334B07"/>
    <w:rsid w:val="00335D3D"/>
    <w:rsid w:val="00336388"/>
    <w:rsid w:val="003369F1"/>
    <w:rsid w:val="003379A2"/>
    <w:rsid w:val="00337C4A"/>
    <w:rsid w:val="00337E44"/>
    <w:rsid w:val="00337FCD"/>
    <w:rsid w:val="003467B9"/>
    <w:rsid w:val="003474F1"/>
    <w:rsid w:val="00351B4A"/>
    <w:rsid w:val="00352DA4"/>
    <w:rsid w:val="003544B9"/>
    <w:rsid w:val="00360C3E"/>
    <w:rsid w:val="00360F81"/>
    <w:rsid w:val="00361659"/>
    <w:rsid w:val="00362CAD"/>
    <w:rsid w:val="00367989"/>
    <w:rsid w:val="0037022F"/>
    <w:rsid w:val="00373237"/>
    <w:rsid w:val="003775A0"/>
    <w:rsid w:val="00377B8E"/>
    <w:rsid w:val="00380E1B"/>
    <w:rsid w:val="0038124B"/>
    <w:rsid w:val="00382642"/>
    <w:rsid w:val="0038374C"/>
    <w:rsid w:val="00384074"/>
    <w:rsid w:val="00386D2B"/>
    <w:rsid w:val="00386DC7"/>
    <w:rsid w:val="003901C4"/>
    <w:rsid w:val="00390B26"/>
    <w:rsid w:val="00390B3E"/>
    <w:rsid w:val="0039296A"/>
    <w:rsid w:val="00392A36"/>
    <w:rsid w:val="00393820"/>
    <w:rsid w:val="00395139"/>
    <w:rsid w:val="0039709E"/>
    <w:rsid w:val="003A236F"/>
    <w:rsid w:val="003A517B"/>
    <w:rsid w:val="003A5968"/>
    <w:rsid w:val="003A6381"/>
    <w:rsid w:val="003B1062"/>
    <w:rsid w:val="003B14A4"/>
    <w:rsid w:val="003B1FC1"/>
    <w:rsid w:val="003B3C8F"/>
    <w:rsid w:val="003B4D2D"/>
    <w:rsid w:val="003B54A2"/>
    <w:rsid w:val="003B59A8"/>
    <w:rsid w:val="003B62E6"/>
    <w:rsid w:val="003B6AB5"/>
    <w:rsid w:val="003B6E8E"/>
    <w:rsid w:val="003C2F65"/>
    <w:rsid w:val="003C5105"/>
    <w:rsid w:val="003C52EB"/>
    <w:rsid w:val="003C6134"/>
    <w:rsid w:val="003C61ED"/>
    <w:rsid w:val="003C657F"/>
    <w:rsid w:val="003D01BA"/>
    <w:rsid w:val="003D0E3E"/>
    <w:rsid w:val="003D29AA"/>
    <w:rsid w:val="003D56FB"/>
    <w:rsid w:val="003D5B10"/>
    <w:rsid w:val="003E1523"/>
    <w:rsid w:val="003E3E4A"/>
    <w:rsid w:val="003EA2C4"/>
    <w:rsid w:val="003F0CE0"/>
    <w:rsid w:val="003F2103"/>
    <w:rsid w:val="003F24FB"/>
    <w:rsid w:val="003F2567"/>
    <w:rsid w:val="003F39D3"/>
    <w:rsid w:val="003F4612"/>
    <w:rsid w:val="003F4EDC"/>
    <w:rsid w:val="003F647A"/>
    <w:rsid w:val="003F77E5"/>
    <w:rsid w:val="004016E1"/>
    <w:rsid w:val="00401926"/>
    <w:rsid w:val="0040417C"/>
    <w:rsid w:val="004050C7"/>
    <w:rsid w:val="004055ED"/>
    <w:rsid w:val="00405CC1"/>
    <w:rsid w:val="00407CD6"/>
    <w:rsid w:val="00410DE1"/>
    <w:rsid w:val="00413799"/>
    <w:rsid w:val="00414129"/>
    <w:rsid w:val="00414F4D"/>
    <w:rsid w:val="00417846"/>
    <w:rsid w:val="00420226"/>
    <w:rsid w:val="004270FA"/>
    <w:rsid w:val="004308C9"/>
    <w:rsid w:val="0043129A"/>
    <w:rsid w:val="0043245D"/>
    <w:rsid w:val="00434AC6"/>
    <w:rsid w:val="00435F41"/>
    <w:rsid w:val="00440CAA"/>
    <w:rsid w:val="00444062"/>
    <w:rsid w:val="00445869"/>
    <w:rsid w:val="004463FB"/>
    <w:rsid w:val="004467D7"/>
    <w:rsid w:val="00447B2A"/>
    <w:rsid w:val="0045133E"/>
    <w:rsid w:val="0045156A"/>
    <w:rsid w:val="00452D20"/>
    <w:rsid w:val="00453059"/>
    <w:rsid w:val="004557D8"/>
    <w:rsid w:val="00457A05"/>
    <w:rsid w:val="004629C8"/>
    <w:rsid w:val="00462A10"/>
    <w:rsid w:val="00462C2C"/>
    <w:rsid w:val="00463909"/>
    <w:rsid w:val="0046461B"/>
    <w:rsid w:val="00464EE3"/>
    <w:rsid w:val="004652C6"/>
    <w:rsid w:val="00465E5A"/>
    <w:rsid w:val="00466B57"/>
    <w:rsid w:val="00466E7A"/>
    <w:rsid w:val="00467698"/>
    <w:rsid w:val="00467DF4"/>
    <w:rsid w:val="004711E7"/>
    <w:rsid w:val="004712A2"/>
    <w:rsid w:val="0047487F"/>
    <w:rsid w:val="0047522A"/>
    <w:rsid w:val="0047702E"/>
    <w:rsid w:val="00477041"/>
    <w:rsid w:val="00480944"/>
    <w:rsid w:val="00483754"/>
    <w:rsid w:val="00483ACE"/>
    <w:rsid w:val="00486B82"/>
    <w:rsid w:val="00486BF8"/>
    <w:rsid w:val="0049057C"/>
    <w:rsid w:val="00490F99"/>
    <w:rsid w:val="004930E9"/>
    <w:rsid w:val="004941DD"/>
    <w:rsid w:val="00495DF8"/>
    <w:rsid w:val="004964BB"/>
    <w:rsid w:val="004966A9"/>
    <w:rsid w:val="004970E0"/>
    <w:rsid w:val="004A0F44"/>
    <w:rsid w:val="004A33B3"/>
    <w:rsid w:val="004A3A24"/>
    <w:rsid w:val="004A4436"/>
    <w:rsid w:val="004A5382"/>
    <w:rsid w:val="004B1AD2"/>
    <w:rsid w:val="004B43E5"/>
    <w:rsid w:val="004B65A1"/>
    <w:rsid w:val="004B7C26"/>
    <w:rsid w:val="004C382C"/>
    <w:rsid w:val="004C3842"/>
    <w:rsid w:val="004C4BBD"/>
    <w:rsid w:val="004C7230"/>
    <w:rsid w:val="004C7943"/>
    <w:rsid w:val="004D01B3"/>
    <w:rsid w:val="004D0582"/>
    <w:rsid w:val="004D098F"/>
    <w:rsid w:val="004D15BB"/>
    <w:rsid w:val="004D3458"/>
    <w:rsid w:val="004D5948"/>
    <w:rsid w:val="004D6211"/>
    <w:rsid w:val="004D6379"/>
    <w:rsid w:val="004D6F75"/>
    <w:rsid w:val="004D709D"/>
    <w:rsid w:val="004D7884"/>
    <w:rsid w:val="004E35BD"/>
    <w:rsid w:val="004E3D74"/>
    <w:rsid w:val="004E4A64"/>
    <w:rsid w:val="004F0F79"/>
    <w:rsid w:val="004F1B4B"/>
    <w:rsid w:val="004F2F1A"/>
    <w:rsid w:val="004F39CA"/>
    <w:rsid w:val="004F5AAA"/>
    <w:rsid w:val="004F6438"/>
    <w:rsid w:val="004F7D4D"/>
    <w:rsid w:val="004F7F01"/>
    <w:rsid w:val="00501904"/>
    <w:rsid w:val="00502A59"/>
    <w:rsid w:val="005031BF"/>
    <w:rsid w:val="005040E3"/>
    <w:rsid w:val="00506507"/>
    <w:rsid w:val="005068B0"/>
    <w:rsid w:val="00510566"/>
    <w:rsid w:val="00511650"/>
    <w:rsid w:val="00514E0A"/>
    <w:rsid w:val="00516C4D"/>
    <w:rsid w:val="005170B6"/>
    <w:rsid w:val="005228D2"/>
    <w:rsid w:val="00527146"/>
    <w:rsid w:val="0052776C"/>
    <w:rsid w:val="00530866"/>
    <w:rsid w:val="00530A86"/>
    <w:rsid w:val="00530EF5"/>
    <w:rsid w:val="00532988"/>
    <w:rsid w:val="00532DEA"/>
    <w:rsid w:val="005330CB"/>
    <w:rsid w:val="00534D79"/>
    <w:rsid w:val="00537652"/>
    <w:rsid w:val="00537F19"/>
    <w:rsid w:val="00541B70"/>
    <w:rsid w:val="00541D30"/>
    <w:rsid w:val="00543913"/>
    <w:rsid w:val="005441D4"/>
    <w:rsid w:val="00546310"/>
    <w:rsid w:val="00546EDE"/>
    <w:rsid w:val="00550417"/>
    <w:rsid w:val="00551816"/>
    <w:rsid w:val="0055218E"/>
    <w:rsid w:val="00552AC6"/>
    <w:rsid w:val="00553C3C"/>
    <w:rsid w:val="00554FAC"/>
    <w:rsid w:val="00557028"/>
    <w:rsid w:val="00557A74"/>
    <w:rsid w:val="00560DD5"/>
    <w:rsid w:val="0056138E"/>
    <w:rsid w:val="00562428"/>
    <w:rsid w:val="00562BC1"/>
    <w:rsid w:val="005657B2"/>
    <w:rsid w:val="00570637"/>
    <w:rsid w:val="0057192D"/>
    <w:rsid w:val="00571B88"/>
    <w:rsid w:val="00572127"/>
    <w:rsid w:val="00572D0A"/>
    <w:rsid w:val="005745B3"/>
    <w:rsid w:val="00575DCB"/>
    <w:rsid w:val="0057E7A9"/>
    <w:rsid w:val="005826C4"/>
    <w:rsid w:val="00584D31"/>
    <w:rsid w:val="00586B27"/>
    <w:rsid w:val="005901DE"/>
    <w:rsid w:val="00590795"/>
    <w:rsid w:val="00590EAA"/>
    <w:rsid w:val="005937DA"/>
    <w:rsid w:val="0059448A"/>
    <w:rsid w:val="00595BDF"/>
    <w:rsid w:val="00596733"/>
    <w:rsid w:val="00597261"/>
    <w:rsid w:val="005A3C8C"/>
    <w:rsid w:val="005A406C"/>
    <w:rsid w:val="005A4E67"/>
    <w:rsid w:val="005A53E2"/>
    <w:rsid w:val="005A58AE"/>
    <w:rsid w:val="005B1431"/>
    <w:rsid w:val="005B23E0"/>
    <w:rsid w:val="005C0B15"/>
    <w:rsid w:val="005C20AE"/>
    <w:rsid w:val="005C420B"/>
    <w:rsid w:val="005C53C4"/>
    <w:rsid w:val="005C5B05"/>
    <w:rsid w:val="005C6A4D"/>
    <w:rsid w:val="005D017B"/>
    <w:rsid w:val="005D4291"/>
    <w:rsid w:val="005D4786"/>
    <w:rsid w:val="005D5E45"/>
    <w:rsid w:val="005E012C"/>
    <w:rsid w:val="005E0216"/>
    <w:rsid w:val="005E4C8D"/>
    <w:rsid w:val="005E72AB"/>
    <w:rsid w:val="005F3F4E"/>
    <w:rsid w:val="005F4116"/>
    <w:rsid w:val="006045B1"/>
    <w:rsid w:val="00606950"/>
    <w:rsid w:val="00615F2A"/>
    <w:rsid w:val="006164A2"/>
    <w:rsid w:val="006167A0"/>
    <w:rsid w:val="00616D20"/>
    <w:rsid w:val="0062245E"/>
    <w:rsid w:val="006260B2"/>
    <w:rsid w:val="006274BE"/>
    <w:rsid w:val="006304DB"/>
    <w:rsid w:val="0063081F"/>
    <w:rsid w:val="00631B18"/>
    <w:rsid w:val="00631F91"/>
    <w:rsid w:val="00633591"/>
    <w:rsid w:val="006340BB"/>
    <w:rsid w:val="00635389"/>
    <w:rsid w:val="00637802"/>
    <w:rsid w:val="00637B29"/>
    <w:rsid w:val="00637FBE"/>
    <w:rsid w:val="00650E32"/>
    <w:rsid w:val="00651F6F"/>
    <w:rsid w:val="006536FC"/>
    <w:rsid w:val="00656407"/>
    <w:rsid w:val="006604C6"/>
    <w:rsid w:val="00660600"/>
    <w:rsid w:val="00660ED8"/>
    <w:rsid w:val="00661B1D"/>
    <w:rsid w:val="00664077"/>
    <w:rsid w:val="0066680A"/>
    <w:rsid w:val="006700B5"/>
    <w:rsid w:val="00671B94"/>
    <w:rsid w:val="00671EA1"/>
    <w:rsid w:val="00674F65"/>
    <w:rsid w:val="00676A45"/>
    <w:rsid w:val="00677BBC"/>
    <w:rsid w:val="00680642"/>
    <w:rsid w:val="006846BF"/>
    <w:rsid w:val="00686CCB"/>
    <w:rsid w:val="00690CAD"/>
    <w:rsid w:val="00691454"/>
    <w:rsid w:val="0069204F"/>
    <w:rsid w:val="0069426C"/>
    <w:rsid w:val="0069469E"/>
    <w:rsid w:val="00694A0F"/>
    <w:rsid w:val="00694C3F"/>
    <w:rsid w:val="006A10F2"/>
    <w:rsid w:val="006A3D91"/>
    <w:rsid w:val="006A43AB"/>
    <w:rsid w:val="006A4D7F"/>
    <w:rsid w:val="006A4DC2"/>
    <w:rsid w:val="006A52E7"/>
    <w:rsid w:val="006A7A53"/>
    <w:rsid w:val="006B1164"/>
    <w:rsid w:val="006B204A"/>
    <w:rsid w:val="006B3C55"/>
    <w:rsid w:val="006B54AF"/>
    <w:rsid w:val="006B6BC3"/>
    <w:rsid w:val="006B71C5"/>
    <w:rsid w:val="006C1464"/>
    <w:rsid w:val="006C279D"/>
    <w:rsid w:val="006C3F8B"/>
    <w:rsid w:val="006C41DB"/>
    <w:rsid w:val="006C6E10"/>
    <w:rsid w:val="006D375D"/>
    <w:rsid w:val="006D5759"/>
    <w:rsid w:val="006D7764"/>
    <w:rsid w:val="006D7A23"/>
    <w:rsid w:val="006D7CBF"/>
    <w:rsid w:val="006E22AC"/>
    <w:rsid w:val="006E52A2"/>
    <w:rsid w:val="006E54B7"/>
    <w:rsid w:val="006F0679"/>
    <w:rsid w:val="006F1DA6"/>
    <w:rsid w:val="006F20DA"/>
    <w:rsid w:val="006F49BF"/>
    <w:rsid w:val="006F66A9"/>
    <w:rsid w:val="006F6C70"/>
    <w:rsid w:val="007018C5"/>
    <w:rsid w:val="00703113"/>
    <w:rsid w:val="00704C1A"/>
    <w:rsid w:val="00704CC1"/>
    <w:rsid w:val="007101CC"/>
    <w:rsid w:val="00713376"/>
    <w:rsid w:val="00714750"/>
    <w:rsid w:val="007228FC"/>
    <w:rsid w:val="00723EE4"/>
    <w:rsid w:val="007245ED"/>
    <w:rsid w:val="00726CE9"/>
    <w:rsid w:val="007274B4"/>
    <w:rsid w:val="00727F68"/>
    <w:rsid w:val="007306D6"/>
    <w:rsid w:val="007310C0"/>
    <w:rsid w:val="0073187D"/>
    <w:rsid w:val="007346CC"/>
    <w:rsid w:val="00734D2F"/>
    <w:rsid w:val="00735E11"/>
    <w:rsid w:val="00736BB3"/>
    <w:rsid w:val="0074187A"/>
    <w:rsid w:val="007418EE"/>
    <w:rsid w:val="00742897"/>
    <w:rsid w:val="00743E43"/>
    <w:rsid w:val="00745DE6"/>
    <w:rsid w:val="00747468"/>
    <w:rsid w:val="007475AC"/>
    <w:rsid w:val="007478DD"/>
    <w:rsid w:val="00747954"/>
    <w:rsid w:val="007479AD"/>
    <w:rsid w:val="0074EA35"/>
    <w:rsid w:val="007503A7"/>
    <w:rsid w:val="00753C4E"/>
    <w:rsid w:val="00754B26"/>
    <w:rsid w:val="00756792"/>
    <w:rsid w:val="007568E4"/>
    <w:rsid w:val="00760067"/>
    <w:rsid w:val="00760946"/>
    <w:rsid w:val="00760CBB"/>
    <w:rsid w:val="00762A56"/>
    <w:rsid w:val="00764618"/>
    <w:rsid w:val="00765642"/>
    <w:rsid w:val="00765EEB"/>
    <w:rsid w:val="00770A7D"/>
    <w:rsid w:val="00771B3A"/>
    <w:rsid w:val="007733AE"/>
    <w:rsid w:val="007740B4"/>
    <w:rsid w:val="00774741"/>
    <w:rsid w:val="007779A1"/>
    <w:rsid w:val="007800FF"/>
    <w:rsid w:val="00780FA0"/>
    <w:rsid w:val="007813F5"/>
    <w:rsid w:val="00781D75"/>
    <w:rsid w:val="0079212E"/>
    <w:rsid w:val="007932AC"/>
    <w:rsid w:val="0079357C"/>
    <w:rsid w:val="0079382B"/>
    <w:rsid w:val="0079760C"/>
    <w:rsid w:val="007A1B80"/>
    <w:rsid w:val="007A2C77"/>
    <w:rsid w:val="007A7113"/>
    <w:rsid w:val="007B046D"/>
    <w:rsid w:val="007B0D9F"/>
    <w:rsid w:val="007B2E53"/>
    <w:rsid w:val="007B2F29"/>
    <w:rsid w:val="007B3A6F"/>
    <w:rsid w:val="007B5F29"/>
    <w:rsid w:val="007B6550"/>
    <w:rsid w:val="007B6DE7"/>
    <w:rsid w:val="007B6FF1"/>
    <w:rsid w:val="007C2C1C"/>
    <w:rsid w:val="007C5FF4"/>
    <w:rsid w:val="007C742D"/>
    <w:rsid w:val="007D2420"/>
    <w:rsid w:val="007D5AE0"/>
    <w:rsid w:val="007D65EF"/>
    <w:rsid w:val="007E077E"/>
    <w:rsid w:val="007E1F3E"/>
    <w:rsid w:val="007E4E6B"/>
    <w:rsid w:val="007E5D14"/>
    <w:rsid w:val="007E73B7"/>
    <w:rsid w:val="007E749D"/>
    <w:rsid w:val="007E7C28"/>
    <w:rsid w:val="007E7ECC"/>
    <w:rsid w:val="007F327B"/>
    <w:rsid w:val="007F5BED"/>
    <w:rsid w:val="0080270A"/>
    <w:rsid w:val="008050C2"/>
    <w:rsid w:val="00805B7C"/>
    <w:rsid w:val="00807160"/>
    <w:rsid w:val="00807B32"/>
    <w:rsid w:val="00810DF9"/>
    <w:rsid w:val="00812EDE"/>
    <w:rsid w:val="00813278"/>
    <w:rsid w:val="00815F1F"/>
    <w:rsid w:val="0081AB5E"/>
    <w:rsid w:val="008211F0"/>
    <w:rsid w:val="00822164"/>
    <w:rsid w:val="008228DF"/>
    <w:rsid w:val="00823DD1"/>
    <w:rsid w:val="0082457E"/>
    <w:rsid w:val="008245FB"/>
    <w:rsid w:val="008256F6"/>
    <w:rsid w:val="008309D9"/>
    <w:rsid w:val="0083236C"/>
    <w:rsid w:val="00832EEF"/>
    <w:rsid w:val="00833CB3"/>
    <w:rsid w:val="00834F55"/>
    <w:rsid w:val="00835657"/>
    <w:rsid w:val="00840566"/>
    <w:rsid w:val="008429DD"/>
    <w:rsid w:val="00843107"/>
    <w:rsid w:val="00843F9D"/>
    <w:rsid w:val="0084469A"/>
    <w:rsid w:val="008478B1"/>
    <w:rsid w:val="00850889"/>
    <w:rsid w:val="00854468"/>
    <w:rsid w:val="00855014"/>
    <w:rsid w:val="00855324"/>
    <w:rsid w:val="0086059F"/>
    <w:rsid w:val="00860D56"/>
    <w:rsid w:val="008615EB"/>
    <w:rsid w:val="00865E81"/>
    <w:rsid w:val="008660D4"/>
    <w:rsid w:val="0086721B"/>
    <w:rsid w:val="00867F51"/>
    <w:rsid w:val="00870F16"/>
    <w:rsid w:val="0087371B"/>
    <w:rsid w:val="00873CA2"/>
    <w:rsid w:val="00875095"/>
    <w:rsid w:val="00877201"/>
    <w:rsid w:val="00885A4B"/>
    <w:rsid w:val="0089131D"/>
    <w:rsid w:val="00895DB5"/>
    <w:rsid w:val="008A02C8"/>
    <w:rsid w:val="008A1866"/>
    <w:rsid w:val="008A1A86"/>
    <w:rsid w:val="008A1E86"/>
    <w:rsid w:val="008A663C"/>
    <w:rsid w:val="008A7362"/>
    <w:rsid w:val="008A7EB1"/>
    <w:rsid w:val="008B0908"/>
    <w:rsid w:val="008B6133"/>
    <w:rsid w:val="008B6E27"/>
    <w:rsid w:val="008C0DE2"/>
    <w:rsid w:val="008C26EC"/>
    <w:rsid w:val="008C4045"/>
    <w:rsid w:val="008C54DC"/>
    <w:rsid w:val="008D0AF1"/>
    <w:rsid w:val="008D0B72"/>
    <w:rsid w:val="008D1EBA"/>
    <w:rsid w:val="008D2085"/>
    <w:rsid w:val="008D2CE4"/>
    <w:rsid w:val="008D2E86"/>
    <w:rsid w:val="008D48F1"/>
    <w:rsid w:val="008E0680"/>
    <w:rsid w:val="008E3293"/>
    <w:rsid w:val="008E402E"/>
    <w:rsid w:val="008E4BC7"/>
    <w:rsid w:val="008E4D36"/>
    <w:rsid w:val="008E50D4"/>
    <w:rsid w:val="008E556D"/>
    <w:rsid w:val="008E6E95"/>
    <w:rsid w:val="008E75D8"/>
    <w:rsid w:val="008E766D"/>
    <w:rsid w:val="008E78B9"/>
    <w:rsid w:val="008E7B62"/>
    <w:rsid w:val="008F0DC6"/>
    <w:rsid w:val="008F25C5"/>
    <w:rsid w:val="008F2E8D"/>
    <w:rsid w:val="008F4441"/>
    <w:rsid w:val="008F475D"/>
    <w:rsid w:val="00900B33"/>
    <w:rsid w:val="00902C24"/>
    <w:rsid w:val="00904484"/>
    <w:rsid w:val="00905AEB"/>
    <w:rsid w:val="00907E75"/>
    <w:rsid w:val="00910583"/>
    <w:rsid w:val="00910AFF"/>
    <w:rsid w:val="00913EDB"/>
    <w:rsid w:val="00913F8A"/>
    <w:rsid w:val="00915AD4"/>
    <w:rsid w:val="0091648D"/>
    <w:rsid w:val="0092047B"/>
    <w:rsid w:val="0092167B"/>
    <w:rsid w:val="009253F9"/>
    <w:rsid w:val="009259B3"/>
    <w:rsid w:val="00926756"/>
    <w:rsid w:val="0092793E"/>
    <w:rsid w:val="00931CA6"/>
    <w:rsid w:val="00932573"/>
    <w:rsid w:val="00932DFA"/>
    <w:rsid w:val="00934709"/>
    <w:rsid w:val="0093547E"/>
    <w:rsid w:val="0093739D"/>
    <w:rsid w:val="00945F58"/>
    <w:rsid w:val="00946BB2"/>
    <w:rsid w:val="00953BD9"/>
    <w:rsid w:val="00953D4F"/>
    <w:rsid w:val="009559E8"/>
    <w:rsid w:val="00956D43"/>
    <w:rsid w:val="00957059"/>
    <w:rsid w:val="009622A8"/>
    <w:rsid w:val="009704AE"/>
    <w:rsid w:val="00971282"/>
    <w:rsid w:val="009721F9"/>
    <w:rsid w:val="00972DEF"/>
    <w:rsid w:val="009743C5"/>
    <w:rsid w:val="00974FB7"/>
    <w:rsid w:val="0097678A"/>
    <w:rsid w:val="00976FEE"/>
    <w:rsid w:val="00977034"/>
    <w:rsid w:val="00981F16"/>
    <w:rsid w:val="00985407"/>
    <w:rsid w:val="009854E8"/>
    <w:rsid w:val="0098565D"/>
    <w:rsid w:val="00985817"/>
    <w:rsid w:val="009901D4"/>
    <w:rsid w:val="009911A6"/>
    <w:rsid w:val="009926F2"/>
    <w:rsid w:val="009942F1"/>
    <w:rsid w:val="009971A3"/>
    <w:rsid w:val="009A1445"/>
    <w:rsid w:val="009A1588"/>
    <w:rsid w:val="009A275B"/>
    <w:rsid w:val="009A2D3C"/>
    <w:rsid w:val="009A3A64"/>
    <w:rsid w:val="009A41BA"/>
    <w:rsid w:val="009A48D5"/>
    <w:rsid w:val="009A71AB"/>
    <w:rsid w:val="009B1429"/>
    <w:rsid w:val="009B42AC"/>
    <w:rsid w:val="009B4439"/>
    <w:rsid w:val="009B4AA0"/>
    <w:rsid w:val="009B6981"/>
    <w:rsid w:val="009C0C82"/>
    <w:rsid w:val="009C1939"/>
    <w:rsid w:val="009C5363"/>
    <w:rsid w:val="009C68CB"/>
    <w:rsid w:val="009D2C2C"/>
    <w:rsid w:val="009D47A8"/>
    <w:rsid w:val="009D76EF"/>
    <w:rsid w:val="009E4871"/>
    <w:rsid w:val="009E5E02"/>
    <w:rsid w:val="009E631C"/>
    <w:rsid w:val="009F0B8B"/>
    <w:rsid w:val="009F0B98"/>
    <w:rsid w:val="009F0F5F"/>
    <w:rsid w:val="009F22FB"/>
    <w:rsid w:val="009F418D"/>
    <w:rsid w:val="009F5D2B"/>
    <w:rsid w:val="00A01353"/>
    <w:rsid w:val="00A02695"/>
    <w:rsid w:val="00A051C1"/>
    <w:rsid w:val="00A1201A"/>
    <w:rsid w:val="00A1346B"/>
    <w:rsid w:val="00A1379C"/>
    <w:rsid w:val="00A13FC9"/>
    <w:rsid w:val="00A14032"/>
    <w:rsid w:val="00A160CB"/>
    <w:rsid w:val="00A17697"/>
    <w:rsid w:val="00A203A1"/>
    <w:rsid w:val="00A21B94"/>
    <w:rsid w:val="00A21E6D"/>
    <w:rsid w:val="00A23022"/>
    <w:rsid w:val="00A25715"/>
    <w:rsid w:val="00A257E4"/>
    <w:rsid w:val="00A26B90"/>
    <w:rsid w:val="00A2748B"/>
    <w:rsid w:val="00A27CC9"/>
    <w:rsid w:val="00A318DF"/>
    <w:rsid w:val="00A324BA"/>
    <w:rsid w:val="00A3274E"/>
    <w:rsid w:val="00A33DC6"/>
    <w:rsid w:val="00A34DE3"/>
    <w:rsid w:val="00A35D85"/>
    <w:rsid w:val="00A365A1"/>
    <w:rsid w:val="00A37553"/>
    <w:rsid w:val="00A40C98"/>
    <w:rsid w:val="00A41442"/>
    <w:rsid w:val="00A42F11"/>
    <w:rsid w:val="00A43960"/>
    <w:rsid w:val="00A4439E"/>
    <w:rsid w:val="00A4616C"/>
    <w:rsid w:val="00A50E9E"/>
    <w:rsid w:val="00A539ED"/>
    <w:rsid w:val="00A570C8"/>
    <w:rsid w:val="00A5757E"/>
    <w:rsid w:val="00A6099B"/>
    <w:rsid w:val="00A6200C"/>
    <w:rsid w:val="00A62F9F"/>
    <w:rsid w:val="00A65CA1"/>
    <w:rsid w:val="00A66805"/>
    <w:rsid w:val="00A707DC"/>
    <w:rsid w:val="00A70A4E"/>
    <w:rsid w:val="00A71821"/>
    <w:rsid w:val="00A72024"/>
    <w:rsid w:val="00A733E7"/>
    <w:rsid w:val="00A753EB"/>
    <w:rsid w:val="00A779A2"/>
    <w:rsid w:val="00A8069C"/>
    <w:rsid w:val="00A80F16"/>
    <w:rsid w:val="00A818BC"/>
    <w:rsid w:val="00A818C7"/>
    <w:rsid w:val="00A82C8B"/>
    <w:rsid w:val="00A834D1"/>
    <w:rsid w:val="00A834FD"/>
    <w:rsid w:val="00A90D95"/>
    <w:rsid w:val="00A90E1C"/>
    <w:rsid w:val="00A92A25"/>
    <w:rsid w:val="00A954B6"/>
    <w:rsid w:val="00A959DF"/>
    <w:rsid w:val="00AA0FEF"/>
    <w:rsid w:val="00AA22EF"/>
    <w:rsid w:val="00AA56AA"/>
    <w:rsid w:val="00AA5E12"/>
    <w:rsid w:val="00AB0B57"/>
    <w:rsid w:val="00AB288F"/>
    <w:rsid w:val="00AB2A94"/>
    <w:rsid w:val="00AB4552"/>
    <w:rsid w:val="00AB466D"/>
    <w:rsid w:val="00AB4CD3"/>
    <w:rsid w:val="00AB5AB4"/>
    <w:rsid w:val="00AC0910"/>
    <w:rsid w:val="00AC1D1F"/>
    <w:rsid w:val="00AC33DF"/>
    <w:rsid w:val="00AC4434"/>
    <w:rsid w:val="00AC448C"/>
    <w:rsid w:val="00AC513E"/>
    <w:rsid w:val="00AC6B44"/>
    <w:rsid w:val="00AC6FA8"/>
    <w:rsid w:val="00AD0BB8"/>
    <w:rsid w:val="00AD19C0"/>
    <w:rsid w:val="00AE00DD"/>
    <w:rsid w:val="00AE3644"/>
    <w:rsid w:val="00AE4DB7"/>
    <w:rsid w:val="00AF0404"/>
    <w:rsid w:val="00AF1D25"/>
    <w:rsid w:val="00AF2AE4"/>
    <w:rsid w:val="00AF39E7"/>
    <w:rsid w:val="00AF3DA4"/>
    <w:rsid w:val="00AF63D0"/>
    <w:rsid w:val="00B016AC"/>
    <w:rsid w:val="00B02772"/>
    <w:rsid w:val="00B027F4"/>
    <w:rsid w:val="00B05574"/>
    <w:rsid w:val="00B062EC"/>
    <w:rsid w:val="00B12635"/>
    <w:rsid w:val="00B17729"/>
    <w:rsid w:val="00B216C1"/>
    <w:rsid w:val="00B22BB7"/>
    <w:rsid w:val="00B24E98"/>
    <w:rsid w:val="00B2733B"/>
    <w:rsid w:val="00B27D1D"/>
    <w:rsid w:val="00B3035E"/>
    <w:rsid w:val="00B33817"/>
    <w:rsid w:val="00B34526"/>
    <w:rsid w:val="00B35F0D"/>
    <w:rsid w:val="00B371D2"/>
    <w:rsid w:val="00B37E63"/>
    <w:rsid w:val="00B42744"/>
    <w:rsid w:val="00B43061"/>
    <w:rsid w:val="00B45969"/>
    <w:rsid w:val="00B46423"/>
    <w:rsid w:val="00B50D20"/>
    <w:rsid w:val="00B51CB3"/>
    <w:rsid w:val="00B54182"/>
    <w:rsid w:val="00B566C6"/>
    <w:rsid w:val="00B56752"/>
    <w:rsid w:val="00B6005C"/>
    <w:rsid w:val="00B6065C"/>
    <w:rsid w:val="00B63808"/>
    <w:rsid w:val="00B65413"/>
    <w:rsid w:val="00B661C6"/>
    <w:rsid w:val="00B66B3C"/>
    <w:rsid w:val="00B70FA9"/>
    <w:rsid w:val="00B7145E"/>
    <w:rsid w:val="00B71834"/>
    <w:rsid w:val="00B75865"/>
    <w:rsid w:val="00B75A46"/>
    <w:rsid w:val="00B81688"/>
    <w:rsid w:val="00B8190C"/>
    <w:rsid w:val="00B81C3E"/>
    <w:rsid w:val="00B820F5"/>
    <w:rsid w:val="00B823F2"/>
    <w:rsid w:val="00B83935"/>
    <w:rsid w:val="00B83E51"/>
    <w:rsid w:val="00B87B74"/>
    <w:rsid w:val="00B91F61"/>
    <w:rsid w:val="00B93FC0"/>
    <w:rsid w:val="00B944AE"/>
    <w:rsid w:val="00B95FE7"/>
    <w:rsid w:val="00B9616A"/>
    <w:rsid w:val="00BA0A8C"/>
    <w:rsid w:val="00BA0A94"/>
    <w:rsid w:val="00BA234F"/>
    <w:rsid w:val="00BA4EDA"/>
    <w:rsid w:val="00BA6705"/>
    <w:rsid w:val="00BA751C"/>
    <w:rsid w:val="00BA75BC"/>
    <w:rsid w:val="00BB127E"/>
    <w:rsid w:val="00BB1F82"/>
    <w:rsid w:val="00BB22CD"/>
    <w:rsid w:val="00BB25A1"/>
    <w:rsid w:val="00BB2C8D"/>
    <w:rsid w:val="00BB3299"/>
    <w:rsid w:val="00BB32A6"/>
    <w:rsid w:val="00BB4559"/>
    <w:rsid w:val="00BB56F8"/>
    <w:rsid w:val="00BB7388"/>
    <w:rsid w:val="00BC04D3"/>
    <w:rsid w:val="00BC08D2"/>
    <w:rsid w:val="00BC140B"/>
    <w:rsid w:val="00BC1721"/>
    <w:rsid w:val="00BC1D56"/>
    <w:rsid w:val="00BC3B20"/>
    <w:rsid w:val="00BD0D8B"/>
    <w:rsid w:val="00BD1896"/>
    <w:rsid w:val="00BD1BC5"/>
    <w:rsid w:val="00BD2281"/>
    <w:rsid w:val="00BD267E"/>
    <w:rsid w:val="00BD2970"/>
    <w:rsid w:val="00BD395D"/>
    <w:rsid w:val="00BD4154"/>
    <w:rsid w:val="00BD42F2"/>
    <w:rsid w:val="00BD599B"/>
    <w:rsid w:val="00BD65BE"/>
    <w:rsid w:val="00BD7C4E"/>
    <w:rsid w:val="00BE0C32"/>
    <w:rsid w:val="00BE1D00"/>
    <w:rsid w:val="00BE2065"/>
    <w:rsid w:val="00BE2319"/>
    <w:rsid w:val="00BE49E1"/>
    <w:rsid w:val="00BF069C"/>
    <w:rsid w:val="00BF189E"/>
    <w:rsid w:val="00BF18F4"/>
    <w:rsid w:val="00BF6F40"/>
    <w:rsid w:val="00BF7F53"/>
    <w:rsid w:val="00C00E0A"/>
    <w:rsid w:val="00C019B7"/>
    <w:rsid w:val="00C057BC"/>
    <w:rsid w:val="00C06097"/>
    <w:rsid w:val="00C159CF"/>
    <w:rsid w:val="00C1738D"/>
    <w:rsid w:val="00C174AE"/>
    <w:rsid w:val="00C23DD0"/>
    <w:rsid w:val="00C26746"/>
    <w:rsid w:val="00C278D1"/>
    <w:rsid w:val="00C322EF"/>
    <w:rsid w:val="00C32CEA"/>
    <w:rsid w:val="00C3389F"/>
    <w:rsid w:val="00C35C82"/>
    <w:rsid w:val="00C361DF"/>
    <w:rsid w:val="00C37846"/>
    <w:rsid w:val="00C43FE6"/>
    <w:rsid w:val="00C45252"/>
    <w:rsid w:val="00C45646"/>
    <w:rsid w:val="00C50317"/>
    <w:rsid w:val="00C50992"/>
    <w:rsid w:val="00C533F9"/>
    <w:rsid w:val="00C55DD2"/>
    <w:rsid w:val="00C57CF8"/>
    <w:rsid w:val="00C60005"/>
    <w:rsid w:val="00C621FB"/>
    <w:rsid w:val="00C6270C"/>
    <w:rsid w:val="00C63172"/>
    <w:rsid w:val="00C6606D"/>
    <w:rsid w:val="00C6649E"/>
    <w:rsid w:val="00C668E8"/>
    <w:rsid w:val="00C67DE9"/>
    <w:rsid w:val="00C719E2"/>
    <w:rsid w:val="00C722B8"/>
    <w:rsid w:val="00C7327F"/>
    <w:rsid w:val="00C73634"/>
    <w:rsid w:val="00C73F1A"/>
    <w:rsid w:val="00C751CD"/>
    <w:rsid w:val="00C75B8B"/>
    <w:rsid w:val="00C778EC"/>
    <w:rsid w:val="00C816F0"/>
    <w:rsid w:val="00C81ECE"/>
    <w:rsid w:val="00C831F1"/>
    <w:rsid w:val="00C86206"/>
    <w:rsid w:val="00C870A2"/>
    <w:rsid w:val="00C90187"/>
    <w:rsid w:val="00C90B6C"/>
    <w:rsid w:val="00C91433"/>
    <w:rsid w:val="00C94885"/>
    <w:rsid w:val="00C9591D"/>
    <w:rsid w:val="00C95B1E"/>
    <w:rsid w:val="00C963F0"/>
    <w:rsid w:val="00C96496"/>
    <w:rsid w:val="00C97AAA"/>
    <w:rsid w:val="00C97B6C"/>
    <w:rsid w:val="00C97E8B"/>
    <w:rsid w:val="00CA0176"/>
    <w:rsid w:val="00CA1CEB"/>
    <w:rsid w:val="00CA3F4B"/>
    <w:rsid w:val="00CA462A"/>
    <w:rsid w:val="00CA46DB"/>
    <w:rsid w:val="00CA5A00"/>
    <w:rsid w:val="00CA5DC1"/>
    <w:rsid w:val="00CA6C66"/>
    <w:rsid w:val="00CA7A60"/>
    <w:rsid w:val="00CB41C1"/>
    <w:rsid w:val="00CB545E"/>
    <w:rsid w:val="00CC0E79"/>
    <w:rsid w:val="00CC2A7D"/>
    <w:rsid w:val="00CC4ED4"/>
    <w:rsid w:val="00CC6BD5"/>
    <w:rsid w:val="00CC6BDA"/>
    <w:rsid w:val="00CC6CB6"/>
    <w:rsid w:val="00CC785B"/>
    <w:rsid w:val="00CD0ED5"/>
    <w:rsid w:val="00CD395F"/>
    <w:rsid w:val="00CD425C"/>
    <w:rsid w:val="00CD722B"/>
    <w:rsid w:val="00CE0733"/>
    <w:rsid w:val="00CE08B4"/>
    <w:rsid w:val="00CE3C7B"/>
    <w:rsid w:val="00CE3DC4"/>
    <w:rsid w:val="00CE71A2"/>
    <w:rsid w:val="00CF1009"/>
    <w:rsid w:val="00CF14B9"/>
    <w:rsid w:val="00CF18B0"/>
    <w:rsid w:val="00CF324A"/>
    <w:rsid w:val="00CF4520"/>
    <w:rsid w:val="00CF50F0"/>
    <w:rsid w:val="00CF5131"/>
    <w:rsid w:val="00CF5B9B"/>
    <w:rsid w:val="00CF5CE4"/>
    <w:rsid w:val="00CF780C"/>
    <w:rsid w:val="00D02481"/>
    <w:rsid w:val="00D02902"/>
    <w:rsid w:val="00D041FC"/>
    <w:rsid w:val="00D07554"/>
    <w:rsid w:val="00D07A64"/>
    <w:rsid w:val="00D11EEB"/>
    <w:rsid w:val="00D14840"/>
    <w:rsid w:val="00D14990"/>
    <w:rsid w:val="00D16005"/>
    <w:rsid w:val="00D16D40"/>
    <w:rsid w:val="00D20F53"/>
    <w:rsid w:val="00D2504B"/>
    <w:rsid w:val="00D265DD"/>
    <w:rsid w:val="00D323FA"/>
    <w:rsid w:val="00D33B5D"/>
    <w:rsid w:val="00D343C7"/>
    <w:rsid w:val="00D36B60"/>
    <w:rsid w:val="00D4438A"/>
    <w:rsid w:val="00D44442"/>
    <w:rsid w:val="00D44A75"/>
    <w:rsid w:val="00D44EB9"/>
    <w:rsid w:val="00D4728E"/>
    <w:rsid w:val="00D505A4"/>
    <w:rsid w:val="00D51DE7"/>
    <w:rsid w:val="00D5287D"/>
    <w:rsid w:val="00D54862"/>
    <w:rsid w:val="00D601B2"/>
    <w:rsid w:val="00D629FE"/>
    <w:rsid w:val="00D641FA"/>
    <w:rsid w:val="00D672EB"/>
    <w:rsid w:val="00D701BA"/>
    <w:rsid w:val="00D7593E"/>
    <w:rsid w:val="00D80044"/>
    <w:rsid w:val="00D80137"/>
    <w:rsid w:val="00D81867"/>
    <w:rsid w:val="00D821F4"/>
    <w:rsid w:val="00D82ACE"/>
    <w:rsid w:val="00D83D56"/>
    <w:rsid w:val="00D86D58"/>
    <w:rsid w:val="00D87C3E"/>
    <w:rsid w:val="00D9326F"/>
    <w:rsid w:val="00D9465E"/>
    <w:rsid w:val="00D95286"/>
    <w:rsid w:val="00D968E6"/>
    <w:rsid w:val="00DA3C59"/>
    <w:rsid w:val="00DA4076"/>
    <w:rsid w:val="00DA5359"/>
    <w:rsid w:val="00DB30B3"/>
    <w:rsid w:val="00DB434F"/>
    <w:rsid w:val="00DB678B"/>
    <w:rsid w:val="00DB7602"/>
    <w:rsid w:val="00DC0622"/>
    <w:rsid w:val="00DC283E"/>
    <w:rsid w:val="00DC34EE"/>
    <w:rsid w:val="00DC3BBA"/>
    <w:rsid w:val="00DC3C0C"/>
    <w:rsid w:val="00DC47D3"/>
    <w:rsid w:val="00DC5094"/>
    <w:rsid w:val="00DD0A13"/>
    <w:rsid w:val="00DD163C"/>
    <w:rsid w:val="00DD1855"/>
    <w:rsid w:val="00DD7766"/>
    <w:rsid w:val="00DE0088"/>
    <w:rsid w:val="00DE2126"/>
    <w:rsid w:val="00DE521C"/>
    <w:rsid w:val="00DE59A9"/>
    <w:rsid w:val="00DE6B0F"/>
    <w:rsid w:val="00DE7CB0"/>
    <w:rsid w:val="00DE7DF3"/>
    <w:rsid w:val="00DF16CB"/>
    <w:rsid w:val="00DF1B64"/>
    <w:rsid w:val="00DF1C5E"/>
    <w:rsid w:val="00DF41A2"/>
    <w:rsid w:val="00DF42AA"/>
    <w:rsid w:val="00DF6608"/>
    <w:rsid w:val="00DF676A"/>
    <w:rsid w:val="00DF73BE"/>
    <w:rsid w:val="00E00033"/>
    <w:rsid w:val="00E046DE"/>
    <w:rsid w:val="00E04BF4"/>
    <w:rsid w:val="00E13469"/>
    <w:rsid w:val="00E14B37"/>
    <w:rsid w:val="00E15081"/>
    <w:rsid w:val="00E150BD"/>
    <w:rsid w:val="00E159DF"/>
    <w:rsid w:val="00E20963"/>
    <w:rsid w:val="00E21D29"/>
    <w:rsid w:val="00E22065"/>
    <w:rsid w:val="00E2294D"/>
    <w:rsid w:val="00E254B8"/>
    <w:rsid w:val="00E272BA"/>
    <w:rsid w:val="00E275FE"/>
    <w:rsid w:val="00E27E98"/>
    <w:rsid w:val="00E27F7B"/>
    <w:rsid w:val="00E305D2"/>
    <w:rsid w:val="00E3090A"/>
    <w:rsid w:val="00E44D17"/>
    <w:rsid w:val="00E52AA2"/>
    <w:rsid w:val="00E5312C"/>
    <w:rsid w:val="00E54EC7"/>
    <w:rsid w:val="00E61901"/>
    <w:rsid w:val="00E62DE5"/>
    <w:rsid w:val="00E63E38"/>
    <w:rsid w:val="00E64996"/>
    <w:rsid w:val="00E64F39"/>
    <w:rsid w:val="00E65825"/>
    <w:rsid w:val="00E6740E"/>
    <w:rsid w:val="00E704DE"/>
    <w:rsid w:val="00E70823"/>
    <w:rsid w:val="00E727D2"/>
    <w:rsid w:val="00E72800"/>
    <w:rsid w:val="00E73253"/>
    <w:rsid w:val="00E73B77"/>
    <w:rsid w:val="00E75EC8"/>
    <w:rsid w:val="00E769A5"/>
    <w:rsid w:val="00E7712D"/>
    <w:rsid w:val="00E81E34"/>
    <w:rsid w:val="00E821B0"/>
    <w:rsid w:val="00E82828"/>
    <w:rsid w:val="00E829BC"/>
    <w:rsid w:val="00E82DA0"/>
    <w:rsid w:val="00E86AA6"/>
    <w:rsid w:val="00E903BC"/>
    <w:rsid w:val="00E90D02"/>
    <w:rsid w:val="00E929DE"/>
    <w:rsid w:val="00E94F7E"/>
    <w:rsid w:val="00EA04B8"/>
    <w:rsid w:val="00EA05DC"/>
    <w:rsid w:val="00EA1845"/>
    <w:rsid w:val="00EA1E20"/>
    <w:rsid w:val="00EA204C"/>
    <w:rsid w:val="00EA2681"/>
    <w:rsid w:val="00EA3700"/>
    <w:rsid w:val="00EA3B42"/>
    <w:rsid w:val="00EA43FA"/>
    <w:rsid w:val="00EB00D9"/>
    <w:rsid w:val="00EB2D85"/>
    <w:rsid w:val="00EB356F"/>
    <w:rsid w:val="00EB39C1"/>
    <w:rsid w:val="00EB4376"/>
    <w:rsid w:val="00EB48CA"/>
    <w:rsid w:val="00EB6736"/>
    <w:rsid w:val="00EB7ED6"/>
    <w:rsid w:val="00EC18B4"/>
    <w:rsid w:val="00EC214B"/>
    <w:rsid w:val="00EC6258"/>
    <w:rsid w:val="00EC736B"/>
    <w:rsid w:val="00EC7FC5"/>
    <w:rsid w:val="00ED01D9"/>
    <w:rsid w:val="00EE3987"/>
    <w:rsid w:val="00EE40C4"/>
    <w:rsid w:val="00EE5316"/>
    <w:rsid w:val="00EE57D6"/>
    <w:rsid w:val="00EE5C86"/>
    <w:rsid w:val="00EE7A3B"/>
    <w:rsid w:val="00EF15FE"/>
    <w:rsid w:val="00EF2F61"/>
    <w:rsid w:val="00EF579A"/>
    <w:rsid w:val="00EF6CD8"/>
    <w:rsid w:val="00F009FC"/>
    <w:rsid w:val="00F02D91"/>
    <w:rsid w:val="00F0302E"/>
    <w:rsid w:val="00F04959"/>
    <w:rsid w:val="00F05BBF"/>
    <w:rsid w:val="00F077CB"/>
    <w:rsid w:val="00F14D34"/>
    <w:rsid w:val="00F16BBB"/>
    <w:rsid w:val="00F16E29"/>
    <w:rsid w:val="00F16F32"/>
    <w:rsid w:val="00F20EAE"/>
    <w:rsid w:val="00F217BD"/>
    <w:rsid w:val="00F217F5"/>
    <w:rsid w:val="00F21DFA"/>
    <w:rsid w:val="00F220DE"/>
    <w:rsid w:val="00F235C3"/>
    <w:rsid w:val="00F23EE2"/>
    <w:rsid w:val="00F2484F"/>
    <w:rsid w:val="00F24B5D"/>
    <w:rsid w:val="00F252DA"/>
    <w:rsid w:val="00F30D8D"/>
    <w:rsid w:val="00F31437"/>
    <w:rsid w:val="00F31B74"/>
    <w:rsid w:val="00F33489"/>
    <w:rsid w:val="00F344AA"/>
    <w:rsid w:val="00F34F02"/>
    <w:rsid w:val="00F35BE5"/>
    <w:rsid w:val="00F365B6"/>
    <w:rsid w:val="00F42619"/>
    <w:rsid w:val="00F429D1"/>
    <w:rsid w:val="00F42AB1"/>
    <w:rsid w:val="00F438C4"/>
    <w:rsid w:val="00F43D9A"/>
    <w:rsid w:val="00F446D8"/>
    <w:rsid w:val="00F45522"/>
    <w:rsid w:val="00F535D8"/>
    <w:rsid w:val="00F54F16"/>
    <w:rsid w:val="00F574C1"/>
    <w:rsid w:val="00F6243C"/>
    <w:rsid w:val="00F6319C"/>
    <w:rsid w:val="00F63E8B"/>
    <w:rsid w:val="00F64FA1"/>
    <w:rsid w:val="00F66B81"/>
    <w:rsid w:val="00F67B03"/>
    <w:rsid w:val="00F7286B"/>
    <w:rsid w:val="00F736C8"/>
    <w:rsid w:val="00F76502"/>
    <w:rsid w:val="00F816E7"/>
    <w:rsid w:val="00F817F8"/>
    <w:rsid w:val="00F819F3"/>
    <w:rsid w:val="00F81B3E"/>
    <w:rsid w:val="00F820FE"/>
    <w:rsid w:val="00F823D6"/>
    <w:rsid w:val="00F83514"/>
    <w:rsid w:val="00F84BA7"/>
    <w:rsid w:val="00F860BF"/>
    <w:rsid w:val="00F87933"/>
    <w:rsid w:val="00F90B0B"/>
    <w:rsid w:val="00F90C18"/>
    <w:rsid w:val="00F91F55"/>
    <w:rsid w:val="00F97375"/>
    <w:rsid w:val="00F97935"/>
    <w:rsid w:val="00FA5530"/>
    <w:rsid w:val="00FA6AC2"/>
    <w:rsid w:val="00FA7664"/>
    <w:rsid w:val="00FB0DC0"/>
    <w:rsid w:val="00FB1045"/>
    <w:rsid w:val="00FB17A6"/>
    <w:rsid w:val="00FB37C8"/>
    <w:rsid w:val="00FB39D9"/>
    <w:rsid w:val="00FB39F3"/>
    <w:rsid w:val="00FB432B"/>
    <w:rsid w:val="00FB4D21"/>
    <w:rsid w:val="00FB5FA8"/>
    <w:rsid w:val="00FB6EE8"/>
    <w:rsid w:val="00FC16D4"/>
    <w:rsid w:val="00FC41C9"/>
    <w:rsid w:val="00FD3B17"/>
    <w:rsid w:val="00FD3C82"/>
    <w:rsid w:val="00FD40C5"/>
    <w:rsid w:val="00FE41B7"/>
    <w:rsid w:val="00FE5E19"/>
    <w:rsid w:val="00FE7535"/>
    <w:rsid w:val="00FF33CE"/>
    <w:rsid w:val="00FF383C"/>
    <w:rsid w:val="00FF555B"/>
    <w:rsid w:val="00FF68DA"/>
    <w:rsid w:val="0106104F"/>
    <w:rsid w:val="01587BFA"/>
    <w:rsid w:val="017ECC29"/>
    <w:rsid w:val="01A848C1"/>
    <w:rsid w:val="01B23AD6"/>
    <w:rsid w:val="01D8A78A"/>
    <w:rsid w:val="01E87042"/>
    <w:rsid w:val="01EF2D0D"/>
    <w:rsid w:val="02183452"/>
    <w:rsid w:val="02491B9E"/>
    <w:rsid w:val="0286CBDB"/>
    <w:rsid w:val="02AB33E7"/>
    <w:rsid w:val="02C95E60"/>
    <w:rsid w:val="02D77B09"/>
    <w:rsid w:val="03131EF0"/>
    <w:rsid w:val="039E9A5E"/>
    <w:rsid w:val="03F02BB3"/>
    <w:rsid w:val="0421FD4E"/>
    <w:rsid w:val="0443CC7F"/>
    <w:rsid w:val="044C8BE1"/>
    <w:rsid w:val="04557990"/>
    <w:rsid w:val="04788CFF"/>
    <w:rsid w:val="047D3E0E"/>
    <w:rsid w:val="049A3798"/>
    <w:rsid w:val="049B29E1"/>
    <w:rsid w:val="04A71A15"/>
    <w:rsid w:val="04A7C4EA"/>
    <w:rsid w:val="04B6BE5A"/>
    <w:rsid w:val="04EA1386"/>
    <w:rsid w:val="0526AC2A"/>
    <w:rsid w:val="0586A3A5"/>
    <w:rsid w:val="0587914A"/>
    <w:rsid w:val="060074A4"/>
    <w:rsid w:val="0607D56F"/>
    <w:rsid w:val="063910EA"/>
    <w:rsid w:val="063A922E"/>
    <w:rsid w:val="06473F9C"/>
    <w:rsid w:val="065937CF"/>
    <w:rsid w:val="06631C52"/>
    <w:rsid w:val="06AE169F"/>
    <w:rsid w:val="06C82D88"/>
    <w:rsid w:val="06E6EEAD"/>
    <w:rsid w:val="06EF83A3"/>
    <w:rsid w:val="06F812AE"/>
    <w:rsid w:val="070AC18C"/>
    <w:rsid w:val="0759FD8C"/>
    <w:rsid w:val="0837E751"/>
    <w:rsid w:val="08753D48"/>
    <w:rsid w:val="0889527E"/>
    <w:rsid w:val="08A92609"/>
    <w:rsid w:val="08BB5946"/>
    <w:rsid w:val="090BDA31"/>
    <w:rsid w:val="091A89B3"/>
    <w:rsid w:val="094C2E72"/>
    <w:rsid w:val="09DC0C50"/>
    <w:rsid w:val="09DEDDB0"/>
    <w:rsid w:val="09F05E22"/>
    <w:rsid w:val="09FB1BF5"/>
    <w:rsid w:val="0A020306"/>
    <w:rsid w:val="0A06B673"/>
    <w:rsid w:val="0A20E553"/>
    <w:rsid w:val="0A2CB036"/>
    <w:rsid w:val="0A3703D0"/>
    <w:rsid w:val="0A3D41C7"/>
    <w:rsid w:val="0A8B066C"/>
    <w:rsid w:val="0AADF491"/>
    <w:rsid w:val="0AAEB218"/>
    <w:rsid w:val="0AB83B7E"/>
    <w:rsid w:val="0ABE625E"/>
    <w:rsid w:val="0B24F21C"/>
    <w:rsid w:val="0B251270"/>
    <w:rsid w:val="0B5F4DB6"/>
    <w:rsid w:val="0B621592"/>
    <w:rsid w:val="0B890F1C"/>
    <w:rsid w:val="0BA141EF"/>
    <w:rsid w:val="0BB9B722"/>
    <w:rsid w:val="0BD77890"/>
    <w:rsid w:val="0BFA1BF2"/>
    <w:rsid w:val="0BFB76BC"/>
    <w:rsid w:val="0C02242C"/>
    <w:rsid w:val="0C0DBD13"/>
    <w:rsid w:val="0C18FD49"/>
    <w:rsid w:val="0C381EE9"/>
    <w:rsid w:val="0C3B6BE8"/>
    <w:rsid w:val="0C55ACF1"/>
    <w:rsid w:val="0C852706"/>
    <w:rsid w:val="0CA8EBAA"/>
    <w:rsid w:val="0CDDCF9B"/>
    <w:rsid w:val="0CDE2033"/>
    <w:rsid w:val="0CE43404"/>
    <w:rsid w:val="0CEC654D"/>
    <w:rsid w:val="0D0AE716"/>
    <w:rsid w:val="0D121914"/>
    <w:rsid w:val="0D46B59A"/>
    <w:rsid w:val="0D7814C5"/>
    <w:rsid w:val="0DB2F9DC"/>
    <w:rsid w:val="0DC25277"/>
    <w:rsid w:val="0DD6F92B"/>
    <w:rsid w:val="0DDF8CCE"/>
    <w:rsid w:val="0DE68C86"/>
    <w:rsid w:val="0DF61972"/>
    <w:rsid w:val="0DF987C0"/>
    <w:rsid w:val="0E072FDF"/>
    <w:rsid w:val="0E3A5922"/>
    <w:rsid w:val="0E5B292B"/>
    <w:rsid w:val="0E7716DD"/>
    <w:rsid w:val="0E7BDCB3"/>
    <w:rsid w:val="0EACE033"/>
    <w:rsid w:val="0EC299BB"/>
    <w:rsid w:val="0EC5401F"/>
    <w:rsid w:val="0EDD631C"/>
    <w:rsid w:val="0EFAFD9A"/>
    <w:rsid w:val="0F0A1000"/>
    <w:rsid w:val="0F2BE1C2"/>
    <w:rsid w:val="0F510858"/>
    <w:rsid w:val="0F6628A2"/>
    <w:rsid w:val="0F6B2E54"/>
    <w:rsid w:val="0F748370"/>
    <w:rsid w:val="0FB131D6"/>
    <w:rsid w:val="0FC1CC7C"/>
    <w:rsid w:val="0FC948BC"/>
    <w:rsid w:val="0FF9686F"/>
    <w:rsid w:val="101B22EC"/>
    <w:rsid w:val="1026CA8C"/>
    <w:rsid w:val="104FDAC3"/>
    <w:rsid w:val="108DA416"/>
    <w:rsid w:val="109C6A2A"/>
    <w:rsid w:val="10F0B70F"/>
    <w:rsid w:val="111C707E"/>
    <w:rsid w:val="115EE11D"/>
    <w:rsid w:val="12279593"/>
    <w:rsid w:val="1258A00B"/>
    <w:rsid w:val="12C533F0"/>
    <w:rsid w:val="12CEEEA8"/>
    <w:rsid w:val="1312D9B9"/>
    <w:rsid w:val="1382E77B"/>
    <w:rsid w:val="139BBAD5"/>
    <w:rsid w:val="13B264E3"/>
    <w:rsid w:val="13B41F7E"/>
    <w:rsid w:val="13DE72E9"/>
    <w:rsid w:val="13DF188C"/>
    <w:rsid w:val="13F7338C"/>
    <w:rsid w:val="1405C4DA"/>
    <w:rsid w:val="142E71F8"/>
    <w:rsid w:val="1454B15B"/>
    <w:rsid w:val="145D2B41"/>
    <w:rsid w:val="14B6C516"/>
    <w:rsid w:val="15618444"/>
    <w:rsid w:val="15966F51"/>
    <w:rsid w:val="159FC29B"/>
    <w:rsid w:val="15DDEE58"/>
    <w:rsid w:val="160966A5"/>
    <w:rsid w:val="16185FFC"/>
    <w:rsid w:val="161D1172"/>
    <w:rsid w:val="164E74F4"/>
    <w:rsid w:val="168BF0EA"/>
    <w:rsid w:val="16A3ED73"/>
    <w:rsid w:val="16AAAA99"/>
    <w:rsid w:val="16AE677C"/>
    <w:rsid w:val="16DAA43B"/>
    <w:rsid w:val="1702371D"/>
    <w:rsid w:val="1739F075"/>
    <w:rsid w:val="1746BFC0"/>
    <w:rsid w:val="175C21D6"/>
    <w:rsid w:val="17658D3B"/>
    <w:rsid w:val="176AE4CC"/>
    <w:rsid w:val="176B645D"/>
    <w:rsid w:val="17D91745"/>
    <w:rsid w:val="181B331F"/>
    <w:rsid w:val="18913B57"/>
    <w:rsid w:val="18B5EF25"/>
    <w:rsid w:val="18DF7A2D"/>
    <w:rsid w:val="190EA387"/>
    <w:rsid w:val="19182943"/>
    <w:rsid w:val="19190E2F"/>
    <w:rsid w:val="19394EF0"/>
    <w:rsid w:val="194087B1"/>
    <w:rsid w:val="1995CF38"/>
    <w:rsid w:val="1A289CC8"/>
    <w:rsid w:val="1A55EFBE"/>
    <w:rsid w:val="1A95616D"/>
    <w:rsid w:val="1AB9DAE8"/>
    <w:rsid w:val="1ABA729F"/>
    <w:rsid w:val="1AD61E1B"/>
    <w:rsid w:val="1B205458"/>
    <w:rsid w:val="1B2B6340"/>
    <w:rsid w:val="1B5379F9"/>
    <w:rsid w:val="1B5AC616"/>
    <w:rsid w:val="1B8C9A02"/>
    <w:rsid w:val="1B8D882E"/>
    <w:rsid w:val="1BD13F3A"/>
    <w:rsid w:val="1C2FF3DC"/>
    <w:rsid w:val="1C5C537C"/>
    <w:rsid w:val="1C972B50"/>
    <w:rsid w:val="1CB5FCDE"/>
    <w:rsid w:val="1CC687B7"/>
    <w:rsid w:val="1CDB7087"/>
    <w:rsid w:val="1D36FF1C"/>
    <w:rsid w:val="1D448161"/>
    <w:rsid w:val="1D460A25"/>
    <w:rsid w:val="1D4B2A1B"/>
    <w:rsid w:val="1D7764FA"/>
    <w:rsid w:val="1DA67C0C"/>
    <w:rsid w:val="1DB83095"/>
    <w:rsid w:val="1DF416FC"/>
    <w:rsid w:val="1E1F8F0E"/>
    <w:rsid w:val="1E6FF682"/>
    <w:rsid w:val="1E91A9A8"/>
    <w:rsid w:val="1E91CC8B"/>
    <w:rsid w:val="1EB0B4C8"/>
    <w:rsid w:val="1ECAE4B7"/>
    <w:rsid w:val="1ECF9DB1"/>
    <w:rsid w:val="1ED31759"/>
    <w:rsid w:val="1EFCBF37"/>
    <w:rsid w:val="1F0FAC54"/>
    <w:rsid w:val="1F131E22"/>
    <w:rsid w:val="1F1F8733"/>
    <w:rsid w:val="1F326D34"/>
    <w:rsid w:val="1F36CAE0"/>
    <w:rsid w:val="1F87ECED"/>
    <w:rsid w:val="1FAA1B3D"/>
    <w:rsid w:val="1FABAA21"/>
    <w:rsid w:val="1FE1C46F"/>
    <w:rsid w:val="20730EC7"/>
    <w:rsid w:val="20986B28"/>
    <w:rsid w:val="20A1C940"/>
    <w:rsid w:val="20ABB3E4"/>
    <w:rsid w:val="20D9F27B"/>
    <w:rsid w:val="20E084FE"/>
    <w:rsid w:val="20E44FF5"/>
    <w:rsid w:val="20E7C3E3"/>
    <w:rsid w:val="20E9DD8F"/>
    <w:rsid w:val="20FAEE28"/>
    <w:rsid w:val="21131A6E"/>
    <w:rsid w:val="2122B8BB"/>
    <w:rsid w:val="212725EF"/>
    <w:rsid w:val="215C2470"/>
    <w:rsid w:val="2167A03C"/>
    <w:rsid w:val="2170578C"/>
    <w:rsid w:val="21B26ECB"/>
    <w:rsid w:val="21CC7CC6"/>
    <w:rsid w:val="21D7F266"/>
    <w:rsid w:val="21E686AC"/>
    <w:rsid w:val="21EC69F2"/>
    <w:rsid w:val="21EF2CC7"/>
    <w:rsid w:val="21EF82B9"/>
    <w:rsid w:val="21FBFB61"/>
    <w:rsid w:val="2231B4B1"/>
    <w:rsid w:val="22414F63"/>
    <w:rsid w:val="2255555A"/>
    <w:rsid w:val="2264E643"/>
    <w:rsid w:val="2274186E"/>
    <w:rsid w:val="227892E4"/>
    <w:rsid w:val="2296B112"/>
    <w:rsid w:val="22AD07DB"/>
    <w:rsid w:val="232F9647"/>
    <w:rsid w:val="237A2E78"/>
    <w:rsid w:val="23F5A225"/>
    <w:rsid w:val="246D3FD4"/>
    <w:rsid w:val="2477B39D"/>
    <w:rsid w:val="24BE2B93"/>
    <w:rsid w:val="24E86883"/>
    <w:rsid w:val="24F461DA"/>
    <w:rsid w:val="250F8625"/>
    <w:rsid w:val="252D01B1"/>
    <w:rsid w:val="255DAF9E"/>
    <w:rsid w:val="25887BDA"/>
    <w:rsid w:val="25BB6C70"/>
    <w:rsid w:val="25CA489B"/>
    <w:rsid w:val="25CF3087"/>
    <w:rsid w:val="25F6430A"/>
    <w:rsid w:val="2601FEE5"/>
    <w:rsid w:val="260C26B2"/>
    <w:rsid w:val="26129AA5"/>
    <w:rsid w:val="2676517A"/>
    <w:rsid w:val="268C7E5F"/>
    <w:rsid w:val="26A5A223"/>
    <w:rsid w:val="270E75E2"/>
    <w:rsid w:val="2741C01A"/>
    <w:rsid w:val="275C5FB7"/>
    <w:rsid w:val="2771869D"/>
    <w:rsid w:val="277CC447"/>
    <w:rsid w:val="277F5081"/>
    <w:rsid w:val="27868D7B"/>
    <w:rsid w:val="27C9CC05"/>
    <w:rsid w:val="27DB55DC"/>
    <w:rsid w:val="28055130"/>
    <w:rsid w:val="2814E4EC"/>
    <w:rsid w:val="2814F991"/>
    <w:rsid w:val="281CFA0E"/>
    <w:rsid w:val="285C8D89"/>
    <w:rsid w:val="286EB3E1"/>
    <w:rsid w:val="28B962A1"/>
    <w:rsid w:val="28C45C6E"/>
    <w:rsid w:val="28C9BFC2"/>
    <w:rsid w:val="28DD737B"/>
    <w:rsid w:val="28EB7869"/>
    <w:rsid w:val="2992CB1D"/>
    <w:rsid w:val="29AA3F2D"/>
    <w:rsid w:val="29B40619"/>
    <w:rsid w:val="29E022EA"/>
    <w:rsid w:val="2A0FE412"/>
    <w:rsid w:val="2A3B7CB5"/>
    <w:rsid w:val="2A4EECCF"/>
    <w:rsid w:val="2A695FE2"/>
    <w:rsid w:val="2A69EC50"/>
    <w:rsid w:val="2A6B4CAD"/>
    <w:rsid w:val="2A8EBA7E"/>
    <w:rsid w:val="2AAB19DF"/>
    <w:rsid w:val="2AABF1F0"/>
    <w:rsid w:val="2AB3B55B"/>
    <w:rsid w:val="2ABF0CA6"/>
    <w:rsid w:val="2B17CB80"/>
    <w:rsid w:val="2B1FF7C0"/>
    <w:rsid w:val="2B2BD596"/>
    <w:rsid w:val="2B301764"/>
    <w:rsid w:val="2B374D86"/>
    <w:rsid w:val="2BAE2E3A"/>
    <w:rsid w:val="2BB23CA4"/>
    <w:rsid w:val="2BCC17B2"/>
    <w:rsid w:val="2C2626DB"/>
    <w:rsid w:val="2C2ABA4A"/>
    <w:rsid w:val="2C39E399"/>
    <w:rsid w:val="2C3AE917"/>
    <w:rsid w:val="2C3E99E8"/>
    <w:rsid w:val="2C51C6D5"/>
    <w:rsid w:val="2C5BD6FE"/>
    <w:rsid w:val="2C70E602"/>
    <w:rsid w:val="2CF01308"/>
    <w:rsid w:val="2D64FC4F"/>
    <w:rsid w:val="2D770D7E"/>
    <w:rsid w:val="2D80A39A"/>
    <w:rsid w:val="2DFCCACA"/>
    <w:rsid w:val="2E048320"/>
    <w:rsid w:val="2E2A3B3A"/>
    <w:rsid w:val="2E4BDD09"/>
    <w:rsid w:val="2EFC1793"/>
    <w:rsid w:val="2F12FF7E"/>
    <w:rsid w:val="2F501E85"/>
    <w:rsid w:val="2F6B5DA6"/>
    <w:rsid w:val="2F96BFAE"/>
    <w:rsid w:val="2FAA9ABD"/>
    <w:rsid w:val="301539C4"/>
    <w:rsid w:val="3038AF36"/>
    <w:rsid w:val="303DFF1F"/>
    <w:rsid w:val="308B798E"/>
    <w:rsid w:val="30CBFC2A"/>
    <w:rsid w:val="30D6E97C"/>
    <w:rsid w:val="30ED2D72"/>
    <w:rsid w:val="316F8E31"/>
    <w:rsid w:val="31ADFB8E"/>
    <w:rsid w:val="31BA4C46"/>
    <w:rsid w:val="31BC3E59"/>
    <w:rsid w:val="31C68BCA"/>
    <w:rsid w:val="31C73447"/>
    <w:rsid w:val="31DDE32B"/>
    <w:rsid w:val="31EAB9AB"/>
    <w:rsid w:val="322745E9"/>
    <w:rsid w:val="32275E20"/>
    <w:rsid w:val="322B1F4D"/>
    <w:rsid w:val="324A4908"/>
    <w:rsid w:val="328A6D6E"/>
    <w:rsid w:val="32C7076A"/>
    <w:rsid w:val="32E1A000"/>
    <w:rsid w:val="3343A5E4"/>
    <w:rsid w:val="335D8A4D"/>
    <w:rsid w:val="3399E84F"/>
    <w:rsid w:val="33DFCE9F"/>
    <w:rsid w:val="33E17B63"/>
    <w:rsid w:val="3421BE31"/>
    <w:rsid w:val="346D4EB5"/>
    <w:rsid w:val="349A92BA"/>
    <w:rsid w:val="34EEE761"/>
    <w:rsid w:val="353DC269"/>
    <w:rsid w:val="354039AC"/>
    <w:rsid w:val="356A410A"/>
    <w:rsid w:val="3583F426"/>
    <w:rsid w:val="35E6D743"/>
    <w:rsid w:val="36215FA8"/>
    <w:rsid w:val="36823D1B"/>
    <w:rsid w:val="3685D64B"/>
    <w:rsid w:val="36BF0285"/>
    <w:rsid w:val="36CC59F6"/>
    <w:rsid w:val="36D05E8F"/>
    <w:rsid w:val="36F19991"/>
    <w:rsid w:val="3716F83F"/>
    <w:rsid w:val="3717FD6E"/>
    <w:rsid w:val="371E57C7"/>
    <w:rsid w:val="37224C91"/>
    <w:rsid w:val="372E137C"/>
    <w:rsid w:val="3743EC5B"/>
    <w:rsid w:val="3784A799"/>
    <w:rsid w:val="379D8D5E"/>
    <w:rsid w:val="37ABBEB8"/>
    <w:rsid w:val="37F5BF3A"/>
    <w:rsid w:val="37FB4057"/>
    <w:rsid w:val="38064E14"/>
    <w:rsid w:val="381E3770"/>
    <w:rsid w:val="38228B00"/>
    <w:rsid w:val="3826B418"/>
    <w:rsid w:val="387E63B5"/>
    <w:rsid w:val="38914417"/>
    <w:rsid w:val="38A51EC1"/>
    <w:rsid w:val="38BC0F83"/>
    <w:rsid w:val="38E65F8A"/>
    <w:rsid w:val="38E8C277"/>
    <w:rsid w:val="391A04ED"/>
    <w:rsid w:val="3930A968"/>
    <w:rsid w:val="39504B8B"/>
    <w:rsid w:val="3998876B"/>
    <w:rsid w:val="39E81DAE"/>
    <w:rsid w:val="3A28B707"/>
    <w:rsid w:val="3A3B1816"/>
    <w:rsid w:val="3A722976"/>
    <w:rsid w:val="3A84A345"/>
    <w:rsid w:val="3AC6C505"/>
    <w:rsid w:val="3ACFB669"/>
    <w:rsid w:val="3AFB03D1"/>
    <w:rsid w:val="3B3E566B"/>
    <w:rsid w:val="3B5F0A10"/>
    <w:rsid w:val="3B8243BE"/>
    <w:rsid w:val="3B8FF90C"/>
    <w:rsid w:val="3B9DABFE"/>
    <w:rsid w:val="3BA9A6C0"/>
    <w:rsid w:val="3BFAD0A0"/>
    <w:rsid w:val="3C0AFFC8"/>
    <w:rsid w:val="3C47E870"/>
    <w:rsid w:val="3C5CF315"/>
    <w:rsid w:val="3C99A2A3"/>
    <w:rsid w:val="3CD6FB37"/>
    <w:rsid w:val="3CEF2291"/>
    <w:rsid w:val="3D0D0F1D"/>
    <w:rsid w:val="3D161C44"/>
    <w:rsid w:val="3D23BA3B"/>
    <w:rsid w:val="3D4C66C6"/>
    <w:rsid w:val="3D5B688D"/>
    <w:rsid w:val="3D6B95BC"/>
    <w:rsid w:val="3D6DC134"/>
    <w:rsid w:val="3D75515C"/>
    <w:rsid w:val="3D9AD789"/>
    <w:rsid w:val="3DA161AA"/>
    <w:rsid w:val="3DBF7202"/>
    <w:rsid w:val="3DDD98A2"/>
    <w:rsid w:val="3DED2CA4"/>
    <w:rsid w:val="3DEFAA6A"/>
    <w:rsid w:val="3E0046B6"/>
    <w:rsid w:val="3E26CB2C"/>
    <w:rsid w:val="3E2890F7"/>
    <w:rsid w:val="3E2C93E1"/>
    <w:rsid w:val="3E97CBD4"/>
    <w:rsid w:val="3ED6B543"/>
    <w:rsid w:val="3EEC64AC"/>
    <w:rsid w:val="3F08319E"/>
    <w:rsid w:val="3F238294"/>
    <w:rsid w:val="3F3710EE"/>
    <w:rsid w:val="3F41E841"/>
    <w:rsid w:val="3F471E16"/>
    <w:rsid w:val="3F65204B"/>
    <w:rsid w:val="3F8292FF"/>
    <w:rsid w:val="3FA6DBAA"/>
    <w:rsid w:val="3FAD45C6"/>
    <w:rsid w:val="3FD20DFC"/>
    <w:rsid w:val="3FEF90D1"/>
    <w:rsid w:val="3FFEC10C"/>
    <w:rsid w:val="400361D8"/>
    <w:rsid w:val="406A4A3B"/>
    <w:rsid w:val="40A0818B"/>
    <w:rsid w:val="40C86430"/>
    <w:rsid w:val="40D372F2"/>
    <w:rsid w:val="40EAC993"/>
    <w:rsid w:val="40F78863"/>
    <w:rsid w:val="4131BA0E"/>
    <w:rsid w:val="4151A66C"/>
    <w:rsid w:val="41748D56"/>
    <w:rsid w:val="41793C22"/>
    <w:rsid w:val="418A7684"/>
    <w:rsid w:val="41A6F7A0"/>
    <w:rsid w:val="41C97AA9"/>
    <w:rsid w:val="41F9C030"/>
    <w:rsid w:val="422B4F8A"/>
    <w:rsid w:val="4238748D"/>
    <w:rsid w:val="423E090B"/>
    <w:rsid w:val="425103ED"/>
    <w:rsid w:val="42E494DD"/>
    <w:rsid w:val="42F03EDC"/>
    <w:rsid w:val="43056F83"/>
    <w:rsid w:val="431D6402"/>
    <w:rsid w:val="4375522F"/>
    <w:rsid w:val="437FA16D"/>
    <w:rsid w:val="43AFA2B2"/>
    <w:rsid w:val="43FE6472"/>
    <w:rsid w:val="442D0868"/>
    <w:rsid w:val="447BE5F7"/>
    <w:rsid w:val="448A0A16"/>
    <w:rsid w:val="44AD3F4A"/>
    <w:rsid w:val="44CD7FC6"/>
    <w:rsid w:val="4500E084"/>
    <w:rsid w:val="45239C0F"/>
    <w:rsid w:val="453894FD"/>
    <w:rsid w:val="45585ACD"/>
    <w:rsid w:val="45935B6B"/>
    <w:rsid w:val="45E37BEF"/>
    <w:rsid w:val="45E9761B"/>
    <w:rsid w:val="45ECA5A3"/>
    <w:rsid w:val="4615728C"/>
    <w:rsid w:val="461CC0EC"/>
    <w:rsid w:val="466F7C55"/>
    <w:rsid w:val="468E2933"/>
    <w:rsid w:val="46A8ACB0"/>
    <w:rsid w:val="46C69A39"/>
    <w:rsid w:val="46F2AA02"/>
    <w:rsid w:val="4715086D"/>
    <w:rsid w:val="4755C79D"/>
    <w:rsid w:val="479AC987"/>
    <w:rsid w:val="47E75533"/>
    <w:rsid w:val="47F4E976"/>
    <w:rsid w:val="482A5A63"/>
    <w:rsid w:val="486B84A1"/>
    <w:rsid w:val="4874DFE2"/>
    <w:rsid w:val="48CE447E"/>
    <w:rsid w:val="48F47C50"/>
    <w:rsid w:val="4902F0A7"/>
    <w:rsid w:val="4911F0D9"/>
    <w:rsid w:val="491D2BC5"/>
    <w:rsid w:val="4921772B"/>
    <w:rsid w:val="49996AC3"/>
    <w:rsid w:val="4A7E1E41"/>
    <w:rsid w:val="4AA5F0B6"/>
    <w:rsid w:val="4AAC91D3"/>
    <w:rsid w:val="4AB72D2A"/>
    <w:rsid w:val="4AB78A00"/>
    <w:rsid w:val="4AFF17E5"/>
    <w:rsid w:val="4B086E87"/>
    <w:rsid w:val="4B1D9126"/>
    <w:rsid w:val="4B5F89AA"/>
    <w:rsid w:val="4B723551"/>
    <w:rsid w:val="4B809105"/>
    <w:rsid w:val="4BD8FBCF"/>
    <w:rsid w:val="4BF8D20D"/>
    <w:rsid w:val="4C318362"/>
    <w:rsid w:val="4C43F79E"/>
    <w:rsid w:val="4C4AA631"/>
    <w:rsid w:val="4C5DD2E4"/>
    <w:rsid w:val="4C731979"/>
    <w:rsid w:val="4C7BE1D9"/>
    <w:rsid w:val="4C7D89D1"/>
    <w:rsid w:val="4C926969"/>
    <w:rsid w:val="4D2FDB89"/>
    <w:rsid w:val="4D552297"/>
    <w:rsid w:val="4DB3E5F8"/>
    <w:rsid w:val="4DBF832E"/>
    <w:rsid w:val="4DF2B370"/>
    <w:rsid w:val="4E536C3F"/>
    <w:rsid w:val="4E574225"/>
    <w:rsid w:val="4EAA6507"/>
    <w:rsid w:val="4EC0C1E3"/>
    <w:rsid w:val="4EDFDB13"/>
    <w:rsid w:val="4F1E738D"/>
    <w:rsid w:val="4F1F66A6"/>
    <w:rsid w:val="4F26544E"/>
    <w:rsid w:val="4F26BEDC"/>
    <w:rsid w:val="4F601960"/>
    <w:rsid w:val="4F673878"/>
    <w:rsid w:val="4F789969"/>
    <w:rsid w:val="4F7AF90C"/>
    <w:rsid w:val="4FBEB386"/>
    <w:rsid w:val="4FCF2D19"/>
    <w:rsid w:val="4FD2CFB7"/>
    <w:rsid w:val="4FF1EEDB"/>
    <w:rsid w:val="500EADBC"/>
    <w:rsid w:val="504563E1"/>
    <w:rsid w:val="504FFBA6"/>
    <w:rsid w:val="50B42302"/>
    <w:rsid w:val="50DC657C"/>
    <w:rsid w:val="50E0D6C4"/>
    <w:rsid w:val="50E284CE"/>
    <w:rsid w:val="51B7613B"/>
    <w:rsid w:val="51C17173"/>
    <w:rsid w:val="51DE1A95"/>
    <w:rsid w:val="51EE563D"/>
    <w:rsid w:val="51F6A1E6"/>
    <w:rsid w:val="521B02A6"/>
    <w:rsid w:val="521BAB52"/>
    <w:rsid w:val="523B187A"/>
    <w:rsid w:val="5241D3E1"/>
    <w:rsid w:val="52561653"/>
    <w:rsid w:val="52608548"/>
    <w:rsid w:val="52621E58"/>
    <w:rsid w:val="527EBC17"/>
    <w:rsid w:val="528D307D"/>
    <w:rsid w:val="52A4B6A3"/>
    <w:rsid w:val="52BD39B1"/>
    <w:rsid w:val="52CC1C70"/>
    <w:rsid w:val="52E25B7B"/>
    <w:rsid w:val="52E4B6CB"/>
    <w:rsid w:val="53167285"/>
    <w:rsid w:val="5347647A"/>
    <w:rsid w:val="534F4F7C"/>
    <w:rsid w:val="535E4EC0"/>
    <w:rsid w:val="53BD1D12"/>
    <w:rsid w:val="53D3D388"/>
    <w:rsid w:val="541709DD"/>
    <w:rsid w:val="54777E37"/>
    <w:rsid w:val="54A55804"/>
    <w:rsid w:val="54BC126E"/>
    <w:rsid w:val="54C4DAEB"/>
    <w:rsid w:val="55870D47"/>
    <w:rsid w:val="558CC7DD"/>
    <w:rsid w:val="55C368C3"/>
    <w:rsid w:val="55E2BB4A"/>
    <w:rsid w:val="55E9A699"/>
    <w:rsid w:val="56078722"/>
    <w:rsid w:val="560B110B"/>
    <w:rsid w:val="5613485A"/>
    <w:rsid w:val="563B3BF5"/>
    <w:rsid w:val="5675B905"/>
    <w:rsid w:val="56867A0A"/>
    <w:rsid w:val="56876548"/>
    <w:rsid w:val="56FA223B"/>
    <w:rsid w:val="5702AB2A"/>
    <w:rsid w:val="57150668"/>
    <w:rsid w:val="5747B23E"/>
    <w:rsid w:val="57764A6B"/>
    <w:rsid w:val="5788BE07"/>
    <w:rsid w:val="578B1D9D"/>
    <w:rsid w:val="57AA7201"/>
    <w:rsid w:val="57CEF70B"/>
    <w:rsid w:val="57E941C5"/>
    <w:rsid w:val="57F39D4A"/>
    <w:rsid w:val="57FE4361"/>
    <w:rsid w:val="580AD08E"/>
    <w:rsid w:val="58222C15"/>
    <w:rsid w:val="583D4184"/>
    <w:rsid w:val="585A1B18"/>
    <w:rsid w:val="585EAB27"/>
    <w:rsid w:val="586AB120"/>
    <w:rsid w:val="58931267"/>
    <w:rsid w:val="58BFE381"/>
    <w:rsid w:val="58D5659F"/>
    <w:rsid w:val="58E8CDB3"/>
    <w:rsid w:val="5907B5CD"/>
    <w:rsid w:val="59220CCC"/>
    <w:rsid w:val="592C32E5"/>
    <w:rsid w:val="59359781"/>
    <w:rsid w:val="595B10AB"/>
    <w:rsid w:val="59743698"/>
    <w:rsid w:val="59A75728"/>
    <w:rsid w:val="59F9958C"/>
    <w:rsid w:val="5A16D9CD"/>
    <w:rsid w:val="5A251F88"/>
    <w:rsid w:val="5A2C92A8"/>
    <w:rsid w:val="5A472A44"/>
    <w:rsid w:val="5A54BA21"/>
    <w:rsid w:val="5A64A3FA"/>
    <w:rsid w:val="5A9B3D85"/>
    <w:rsid w:val="5AB88ECC"/>
    <w:rsid w:val="5ACB9BC8"/>
    <w:rsid w:val="5AD35AE9"/>
    <w:rsid w:val="5B14DB73"/>
    <w:rsid w:val="5B27E16F"/>
    <w:rsid w:val="5B3C496B"/>
    <w:rsid w:val="5B4309CF"/>
    <w:rsid w:val="5B630B9A"/>
    <w:rsid w:val="5B694642"/>
    <w:rsid w:val="5B6C0E3D"/>
    <w:rsid w:val="5B7947EB"/>
    <w:rsid w:val="5B8EEDCD"/>
    <w:rsid w:val="5BE5C628"/>
    <w:rsid w:val="5C1461C9"/>
    <w:rsid w:val="5C1CD73C"/>
    <w:rsid w:val="5C2A4C62"/>
    <w:rsid w:val="5C4DF6F3"/>
    <w:rsid w:val="5C55C718"/>
    <w:rsid w:val="5C674A6B"/>
    <w:rsid w:val="5CB95CE8"/>
    <w:rsid w:val="5D2F7883"/>
    <w:rsid w:val="5D64378F"/>
    <w:rsid w:val="5D65148D"/>
    <w:rsid w:val="5D7190FD"/>
    <w:rsid w:val="5D7635B7"/>
    <w:rsid w:val="5D8B5536"/>
    <w:rsid w:val="5DD11E64"/>
    <w:rsid w:val="5DE61C5F"/>
    <w:rsid w:val="5E0780AF"/>
    <w:rsid w:val="5E2B8267"/>
    <w:rsid w:val="5E51C933"/>
    <w:rsid w:val="5EE7594A"/>
    <w:rsid w:val="5EF53E45"/>
    <w:rsid w:val="5F0991F4"/>
    <w:rsid w:val="5F5ABB59"/>
    <w:rsid w:val="5F8D9AC4"/>
    <w:rsid w:val="5F9B428B"/>
    <w:rsid w:val="5F9BFCC0"/>
    <w:rsid w:val="5FA5085E"/>
    <w:rsid w:val="5FD3903B"/>
    <w:rsid w:val="6005F03B"/>
    <w:rsid w:val="60294F33"/>
    <w:rsid w:val="609ADE7D"/>
    <w:rsid w:val="60A0DA70"/>
    <w:rsid w:val="60FE4A6A"/>
    <w:rsid w:val="61032E05"/>
    <w:rsid w:val="6139EA8D"/>
    <w:rsid w:val="61597492"/>
    <w:rsid w:val="61683B36"/>
    <w:rsid w:val="618E89B6"/>
    <w:rsid w:val="61F45B7B"/>
    <w:rsid w:val="6207C3E5"/>
    <w:rsid w:val="624251AD"/>
    <w:rsid w:val="6242BB5C"/>
    <w:rsid w:val="6259E054"/>
    <w:rsid w:val="627ACB30"/>
    <w:rsid w:val="6287D7C9"/>
    <w:rsid w:val="62B14042"/>
    <w:rsid w:val="62D79C1F"/>
    <w:rsid w:val="630959FA"/>
    <w:rsid w:val="63270B7B"/>
    <w:rsid w:val="633048E6"/>
    <w:rsid w:val="638282E8"/>
    <w:rsid w:val="63A51261"/>
    <w:rsid w:val="63CEA26B"/>
    <w:rsid w:val="63EF83FC"/>
    <w:rsid w:val="641515F6"/>
    <w:rsid w:val="642A49EA"/>
    <w:rsid w:val="643123D9"/>
    <w:rsid w:val="643DD4ED"/>
    <w:rsid w:val="6483D7B1"/>
    <w:rsid w:val="64BC4AE3"/>
    <w:rsid w:val="64C115F6"/>
    <w:rsid w:val="64D0C0C8"/>
    <w:rsid w:val="64F75DD1"/>
    <w:rsid w:val="65179AA4"/>
    <w:rsid w:val="6517DE69"/>
    <w:rsid w:val="6556415D"/>
    <w:rsid w:val="655987EE"/>
    <w:rsid w:val="6580822E"/>
    <w:rsid w:val="6591B9C7"/>
    <w:rsid w:val="65EB5758"/>
    <w:rsid w:val="65EBEE9B"/>
    <w:rsid w:val="65ED2CF7"/>
    <w:rsid w:val="66133AC6"/>
    <w:rsid w:val="66D64CA8"/>
    <w:rsid w:val="66DA62AE"/>
    <w:rsid w:val="67213BCE"/>
    <w:rsid w:val="67457D16"/>
    <w:rsid w:val="6746F5B0"/>
    <w:rsid w:val="675A1FD2"/>
    <w:rsid w:val="6769617B"/>
    <w:rsid w:val="679F5EB7"/>
    <w:rsid w:val="67B3C447"/>
    <w:rsid w:val="67F91D2B"/>
    <w:rsid w:val="6805592A"/>
    <w:rsid w:val="683B0215"/>
    <w:rsid w:val="687B669C"/>
    <w:rsid w:val="68C81208"/>
    <w:rsid w:val="68CB6157"/>
    <w:rsid w:val="68CE4821"/>
    <w:rsid w:val="69300AFE"/>
    <w:rsid w:val="6956C49D"/>
    <w:rsid w:val="695BEF90"/>
    <w:rsid w:val="6963E4F6"/>
    <w:rsid w:val="69D25A1B"/>
    <w:rsid w:val="69E2D65F"/>
    <w:rsid w:val="6A2D3C2F"/>
    <w:rsid w:val="6A3F4ADA"/>
    <w:rsid w:val="6A42817B"/>
    <w:rsid w:val="6A66CD02"/>
    <w:rsid w:val="6A78647F"/>
    <w:rsid w:val="6AA45E83"/>
    <w:rsid w:val="6AF048E1"/>
    <w:rsid w:val="6AF3F1C2"/>
    <w:rsid w:val="6AFC5A24"/>
    <w:rsid w:val="6B1410DE"/>
    <w:rsid w:val="6B54C392"/>
    <w:rsid w:val="6B5946AB"/>
    <w:rsid w:val="6B5E15F8"/>
    <w:rsid w:val="6B6E3817"/>
    <w:rsid w:val="6B757084"/>
    <w:rsid w:val="6B90F588"/>
    <w:rsid w:val="6C38C152"/>
    <w:rsid w:val="6C8CFBB9"/>
    <w:rsid w:val="6CB24D9E"/>
    <w:rsid w:val="6D1DFE42"/>
    <w:rsid w:val="6D47D9AA"/>
    <w:rsid w:val="6D714A10"/>
    <w:rsid w:val="6D8F0AE4"/>
    <w:rsid w:val="6DA0FFF2"/>
    <w:rsid w:val="6DBA1A59"/>
    <w:rsid w:val="6E031608"/>
    <w:rsid w:val="6E158621"/>
    <w:rsid w:val="6E20218A"/>
    <w:rsid w:val="6E30F074"/>
    <w:rsid w:val="6E843A98"/>
    <w:rsid w:val="6EA2F50B"/>
    <w:rsid w:val="6EB4510E"/>
    <w:rsid w:val="6EC5A94A"/>
    <w:rsid w:val="6EC69805"/>
    <w:rsid w:val="6EE329D3"/>
    <w:rsid w:val="6EF65938"/>
    <w:rsid w:val="6F1603FE"/>
    <w:rsid w:val="6F2B8FC1"/>
    <w:rsid w:val="6F2CE90C"/>
    <w:rsid w:val="6F480829"/>
    <w:rsid w:val="6F4FFC8C"/>
    <w:rsid w:val="6F6977F5"/>
    <w:rsid w:val="6F6FD7B9"/>
    <w:rsid w:val="6F77EE47"/>
    <w:rsid w:val="6F81A5FB"/>
    <w:rsid w:val="6F87F015"/>
    <w:rsid w:val="6FA583C1"/>
    <w:rsid w:val="6FB5EB4C"/>
    <w:rsid w:val="6FC15D31"/>
    <w:rsid w:val="6FF761AC"/>
    <w:rsid w:val="700036C5"/>
    <w:rsid w:val="705B1005"/>
    <w:rsid w:val="705D169C"/>
    <w:rsid w:val="70C1D764"/>
    <w:rsid w:val="70D79DBE"/>
    <w:rsid w:val="7103D22C"/>
    <w:rsid w:val="71522075"/>
    <w:rsid w:val="716C87C6"/>
    <w:rsid w:val="7187C1D0"/>
    <w:rsid w:val="7197B0A6"/>
    <w:rsid w:val="719B9736"/>
    <w:rsid w:val="71B72314"/>
    <w:rsid w:val="71C2C229"/>
    <w:rsid w:val="71EA5BBC"/>
    <w:rsid w:val="71EFDDA6"/>
    <w:rsid w:val="71F5B3DF"/>
    <w:rsid w:val="722D95F0"/>
    <w:rsid w:val="72364055"/>
    <w:rsid w:val="725167ED"/>
    <w:rsid w:val="726AE4AF"/>
    <w:rsid w:val="727CA33C"/>
    <w:rsid w:val="72B7129C"/>
    <w:rsid w:val="72D53C22"/>
    <w:rsid w:val="72EFA67D"/>
    <w:rsid w:val="7300A8D8"/>
    <w:rsid w:val="7315B0AF"/>
    <w:rsid w:val="7325125C"/>
    <w:rsid w:val="732EF4D9"/>
    <w:rsid w:val="736570CA"/>
    <w:rsid w:val="73DECAB7"/>
    <w:rsid w:val="7422F1B7"/>
    <w:rsid w:val="7451FAAE"/>
    <w:rsid w:val="74BA44A3"/>
    <w:rsid w:val="74DE4276"/>
    <w:rsid w:val="74DE633F"/>
    <w:rsid w:val="74EB0AA2"/>
    <w:rsid w:val="74F78203"/>
    <w:rsid w:val="750A90DE"/>
    <w:rsid w:val="755B2478"/>
    <w:rsid w:val="75A71882"/>
    <w:rsid w:val="75B4EF47"/>
    <w:rsid w:val="75C53C67"/>
    <w:rsid w:val="75D2F666"/>
    <w:rsid w:val="760DED45"/>
    <w:rsid w:val="767B30CD"/>
    <w:rsid w:val="76A41F45"/>
    <w:rsid w:val="770C41D4"/>
    <w:rsid w:val="7724D3E3"/>
    <w:rsid w:val="773B17FA"/>
    <w:rsid w:val="775F4040"/>
    <w:rsid w:val="7760EE12"/>
    <w:rsid w:val="777B7372"/>
    <w:rsid w:val="77A192A8"/>
    <w:rsid w:val="77DF17F7"/>
    <w:rsid w:val="780A6EFE"/>
    <w:rsid w:val="783B70CC"/>
    <w:rsid w:val="783CA161"/>
    <w:rsid w:val="786F76AA"/>
    <w:rsid w:val="787B5687"/>
    <w:rsid w:val="788D3B00"/>
    <w:rsid w:val="78AD98AC"/>
    <w:rsid w:val="78DB1D5B"/>
    <w:rsid w:val="78FC7139"/>
    <w:rsid w:val="795D3E59"/>
    <w:rsid w:val="79708A52"/>
    <w:rsid w:val="799157F3"/>
    <w:rsid w:val="79C376C6"/>
    <w:rsid w:val="7A1208A2"/>
    <w:rsid w:val="7A2A2FA0"/>
    <w:rsid w:val="7A37D287"/>
    <w:rsid w:val="7A3CC7E5"/>
    <w:rsid w:val="7A468BA7"/>
    <w:rsid w:val="7A859EAB"/>
    <w:rsid w:val="7A899040"/>
    <w:rsid w:val="7AB394EB"/>
    <w:rsid w:val="7B2CC079"/>
    <w:rsid w:val="7B3192F4"/>
    <w:rsid w:val="7B4EB753"/>
    <w:rsid w:val="7B6ADB53"/>
    <w:rsid w:val="7BBCED05"/>
    <w:rsid w:val="7BEA8F3A"/>
    <w:rsid w:val="7BFB21E7"/>
    <w:rsid w:val="7C017C46"/>
    <w:rsid w:val="7C031AB6"/>
    <w:rsid w:val="7C379C18"/>
    <w:rsid w:val="7C3A04F8"/>
    <w:rsid w:val="7C97B6B0"/>
    <w:rsid w:val="7C9F2012"/>
    <w:rsid w:val="7CB8AC04"/>
    <w:rsid w:val="7CBC7BD0"/>
    <w:rsid w:val="7CCFA526"/>
    <w:rsid w:val="7CDAC0AC"/>
    <w:rsid w:val="7CDC306B"/>
    <w:rsid w:val="7D3D4ED2"/>
    <w:rsid w:val="7D51DA46"/>
    <w:rsid w:val="7DA64D7E"/>
    <w:rsid w:val="7DBA3D4B"/>
    <w:rsid w:val="7DD74B0F"/>
    <w:rsid w:val="7E196570"/>
    <w:rsid w:val="7E24B811"/>
    <w:rsid w:val="7E2B4C98"/>
    <w:rsid w:val="7E5E2F26"/>
    <w:rsid w:val="7E79B7A1"/>
    <w:rsid w:val="7E8076AA"/>
    <w:rsid w:val="7EAC3064"/>
    <w:rsid w:val="7EC6875D"/>
    <w:rsid w:val="7EDE186D"/>
    <w:rsid w:val="7EEB84B8"/>
    <w:rsid w:val="7EFDBA99"/>
    <w:rsid w:val="7F09916C"/>
    <w:rsid w:val="7F0B3E8A"/>
    <w:rsid w:val="7F5A7444"/>
    <w:rsid w:val="7F688DDE"/>
    <w:rsid w:val="7F860FBC"/>
    <w:rsid w:val="7FEB1186"/>
    <w:rsid w:val="7FF79A3F"/>
    <w:rsid w:val="7FF886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D69A056"/>
  <w15:docId w15:val="{C4F398C2-A43F-4426-9006-9EAAA104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1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1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1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15"/>
      </w:numPr>
    </w:pPr>
    <w:rPr>
      <w:rFonts w:eastAsia="SimSun"/>
    </w:rPr>
  </w:style>
  <w:style w:type="paragraph" w:customStyle="1" w:styleId="a2colbul">
    <w:name w:val="a2col_bul"/>
    <w:basedOn w:val="Normal"/>
    <w:rsid w:val="00972DEF"/>
    <w:pPr>
      <w:numPr>
        <w:ilvl w:val="1"/>
        <w:numId w:val="1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customStyle="1" w:styleId="normaltextrun">
    <w:name w:val="normaltextrun"/>
    <w:basedOn w:val="DefaultParagraphFont"/>
    <w:rsid w:val="00910AFF"/>
  </w:style>
  <w:style w:type="character" w:customStyle="1" w:styleId="eop">
    <w:name w:val="eop"/>
    <w:basedOn w:val="DefaultParagraphFont"/>
    <w:rsid w:val="00910AFF"/>
  </w:style>
  <w:style w:type="paragraph" w:customStyle="1" w:styleId="Body1">
    <w:name w:val="Body 1"/>
    <w:basedOn w:val="Normal"/>
    <w:link w:val="Body1Char"/>
    <w:uiPriority w:val="1"/>
    <w:rsid w:val="5BE5C628"/>
    <w:pPr>
      <w:outlineLvl w:val="0"/>
    </w:pPr>
    <w:rPr>
      <w:rFonts w:eastAsia="Arial Unicode MS"/>
      <w:color w:val="000000" w:themeColor="text1"/>
    </w:rPr>
  </w:style>
  <w:style w:type="character" w:customStyle="1" w:styleId="Body1Char">
    <w:name w:val="Body 1 Char"/>
    <w:basedOn w:val="DefaultParagraphFont"/>
    <w:link w:val="Body1"/>
    <w:uiPriority w:val="1"/>
    <w:rsid w:val="5BE5C628"/>
    <w:rPr>
      <w:rFonts w:eastAsia="Arial Unicode MS"/>
      <w:color w:val="000000" w:themeColor="text1"/>
      <w:sz w:val="24"/>
      <w:szCs w:val="24"/>
    </w:rPr>
  </w:style>
  <w:style w:type="character" w:customStyle="1" w:styleId="search-custom1">
    <w:name w:val="search-custom1"/>
    <w:basedOn w:val="DefaultParagraphFont"/>
    <w:uiPriority w:val="1"/>
    <w:rsid w:val="6D1DFE42"/>
    <w:rPr>
      <w:color w:val="36363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4F6438"/>
    <w:rPr>
      <w:color w:val="2B579A"/>
      <w:shd w:val="clear" w:color="auto" w:fill="E1DFDD"/>
    </w:rPr>
  </w:style>
  <w:style w:type="character" w:styleId="UnresolvedMention">
    <w:name w:val="Unresolved Mention"/>
    <w:basedOn w:val="DefaultParagraphFont"/>
    <w:uiPriority w:val="99"/>
    <w:semiHidden/>
    <w:unhideWhenUsed/>
    <w:rsid w:val="00A25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overdose-prevention/about/fentanyl.html" TargetMode="External" /><Relationship Id="rId11" Type="http://schemas.openxmlformats.org/officeDocument/2006/relationships/hyperlink" Target="https://www.cdc.gov/overdose-prevention/about/stimulant-overdose.html" TargetMode="External" /><Relationship Id="rId12" Type="http://schemas.openxmlformats.org/officeDocument/2006/relationships/hyperlink" Target="https://www.cdc.gov/drugoverdose/strategies/public-safety.html" TargetMode="External" /><Relationship Id="rId13" Type="http://schemas.openxmlformats.org/officeDocument/2006/relationships/hyperlink" Target="http://www.dea.gov/onepill"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999001.htm" TargetMode="External" /><Relationship Id="rId9" Type="http://schemas.openxmlformats.org/officeDocument/2006/relationships/hyperlink" Target="https://www.cdc.gov/nchs/nvss/vsrr/drug-overdose-dat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7176C7EE43304182933423CF59E1B6" ma:contentTypeVersion="4" ma:contentTypeDescription="Create a new document." ma:contentTypeScope="" ma:versionID="26e986eabf780ea008ec145e832cb5ec">
  <xsd:schema xmlns:xsd="http://www.w3.org/2001/XMLSchema" xmlns:xs="http://www.w3.org/2001/XMLSchema" xmlns:p="http://schemas.microsoft.com/office/2006/metadata/properties" xmlns:ns2="a110dddf-1d8f-4c90-a2c3-17cbae9b45db" targetNamespace="http://schemas.microsoft.com/office/2006/metadata/properties" ma:root="true" ma:fieldsID="5b94c4d7eafecdbe00918c9893af7bab" ns2:_="">
    <xsd:import namespace="a110dddf-1d8f-4c90-a2c3-17cbae9b4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0dddf-1d8f-4c90-a2c3-17cbae9b4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4A342-2D6D-4DBD-8C3D-247BCE356196}">
  <ds:schemaRefs>
    <ds:schemaRef ds:uri="http://schemas.openxmlformats.org/officeDocument/2006/bibliography"/>
  </ds:schemaRefs>
</ds:datastoreItem>
</file>

<file path=customXml/itemProps2.xml><?xml version="1.0" encoding="utf-8"?>
<ds:datastoreItem xmlns:ds="http://schemas.openxmlformats.org/officeDocument/2006/customXml" ds:itemID="{DA48D616-DE41-4E43-994E-AE28A3042A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B53785-3D9A-4A9D-B0CB-D6E7B7B690D0}">
  <ds:schemaRefs>
    <ds:schemaRef ds:uri="http://schemas.microsoft.com/sharepoint/v3/contenttype/forms"/>
  </ds:schemaRefs>
</ds:datastoreItem>
</file>

<file path=customXml/itemProps4.xml><?xml version="1.0" encoding="utf-8"?>
<ds:datastoreItem xmlns:ds="http://schemas.openxmlformats.org/officeDocument/2006/customXml" ds:itemID="{1D556F5D-C0E9-4A15-88D9-C434F8C2D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0dddf-1d8f-4c90-a2c3-17cbae9b4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6642</Words>
  <Characters>37728</Characters>
  <Application>Microsoft Office Word</Application>
  <DocSecurity>0</DocSecurity>
  <Lines>1217</Lines>
  <Paragraphs>498</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43872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Halstead, Mary (CDC/NCIPC/OD)</cp:lastModifiedBy>
  <cp:revision>2</cp:revision>
  <cp:lastPrinted>2014-10-08T21:28:00Z</cp:lastPrinted>
  <dcterms:created xsi:type="dcterms:W3CDTF">2025-12-29T19:46:00Z</dcterms:created>
  <dcterms:modified xsi:type="dcterms:W3CDTF">2025-12-29T19:46:00Z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0x010100CF7176C7EE43304182933423CF59E1B6</vt:lpwstr>
  </property>
  <property fmtid="{D5CDD505-2E9C-101B-9397-08002B2CF9AE}" pid="3" name="MSIP_Label_7b94a7b8-f06c-4dfe-bdcc-9b548fd58c31_ActionId">
    <vt:lpwstr>79d5b88f-3cbf-4644-ad8d-17d5c22c422b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2024-03-05T16:14:02Z</vt:lpwstr>
  </property>
  <property fmtid="{D5CDD505-2E9C-101B-9397-08002B2CF9AE}" pid="9" name="MSIP_Label_7b94a7b8-f06c-4dfe-bdcc-9b548fd58c31_SiteId">
    <vt:lpwstr>9ce70869-60db-44fd-abe8-d2767077fc8f</vt:lpwstr>
  </property>
  <property fmtid="{D5CDD505-2E9C-101B-9397-08002B2CF9AE}" pid="10" name="_dlc_DocIdItemGuid">
    <vt:lpwstr>9c8640ab-1d2a-4e6c-a093-0f478d235cff</vt:lpwstr>
  </property>
</Properties>
</file>