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CA224C" w:rsidP="00CE5AA9" w14:paraId="2E6D3F45" w14:textId="12B455C3">
      <w:pPr>
        <w:tabs>
          <w:tab w:val="center" w:pos="4680"/>
        </w:tabs>
        <w:spacing w:before="120"/>
        <w:jc w:val="center"/>
        <w:rPr>
          <w:b/>
          <w:bCs/>
          <w:sz w:val="24"/>
        </w:rPr>
      </w:pPr>
      <w:r w:rsidRPr="00CA224C">
        <w:rPr>
          <w:b/>
          <w:bCs/>
          <w:sz w:val="24"/>
        </w:rPr>
        <w:t>Health Resources and Services Administration</w:t>
      </w:r>
    </w:p>
    <w:p w:rsidR="00BA1A0C" w:rsidRPr="00CA224C" w:rsidP="00CE5AA9" w14:paraId="2E6D3F46" w14:textId="05E34788">
      <w:pPr>
        <w:tabs>
          <w:tab w:val="center" w:pos="4680"/>
        </w:tabs>
        <w:spacing w:before="120"/>
        <w:jc w:val="center"/>
        <w:rPr>
          <w:b/>
          <w:bCs/>
          <w:sz w:val="24"/>
        </w:rPr>
      </w:pPr>
      <w:r w:rsidRPr="00CA224C">
        <w:rPr>
          <w:b/>
          <w:bCs/>
          <w:sz w:val="24"/>
        </w:rPr>
        <w:t>Supporting Statement</w:t>
      </w:r>
    </w:p>
    <w:p w:rsidR="009B3794" w:rsidRPr="00CA224C" w:rsidP="00CE5AA9" w14:paraId="2E6D3F47" w14:textId="7C39F2F9">
      <w:pPr>
        <w:tabs>
          <w:tab w:val="center" w:pos="4680"/>
        </w:tabs>
        <w:spacing w:before="120"/>
        <w:jc w:val="center"/>
        <w:rPr>
          <w:b/>
          <w:bCs/>
          <w:sz w:val="24"/>
        </w:rPr>
      </w:pPr>
      <w:r w:rsidRPr="00CA224C">
        <w:rPr>
          <w:b/>
          <w:bCs/>
          <w:sz w:val="24"/>
        </w:rPr>
        <w:t>Ryan White HIV/AIDS Program (RWHAP) Parts A and B Unobligated Balances</w:t>
      </w:r>
      <w:r w:rsidR="00E219F3">
        <w:rPr>
          <w:b/>
          <w:bCs/>
          <w:sz w:val="24"/>
        </w:rPr>
        <w:t xml:space="preserve"> (UOB)</w:t>
      </w:r>
      <w:r w:rsidRPr="00CA224C">
        <w:rPr>
          <w:b/>
          <w:bCs/>
          <w:sz w:val="24"/>
        </w:rPr>
        <w:t xml:space="preserve"> and Rebate Addendum Tables</w:t>
      </w:r>
    </w:p>
    <w:p w:rsidR="00BA1A0C" w:rsidRPr="00CA224C" w:rsidP="00CE5AA9" w14:paraId="2E6D3F49" w14:textId="5B8FD513">
      <w:pPr>
        <w:tabs>
          <w:tab w:val="center" w:pos="4680"/>
        </w:tabs>
        <w:spacing w:before="120"/>
        <w:jc w:val="center"/>
        <w:rPr>
          <w:b/>
          <w:bCs/>
          <w:sz w:val="24"/>
        </w:rPr>
      </w:pPr>
      <w:r w:rsidRPr="00CA224C">
        <w:rPr>
          <w:b/>
          <w:bCs/>
          <w:sz w:val="24"/>
        </w:rPr>
        <w:t>OMB Control No. 09</w:t>
      </w:r>
      <w:r w:rsidRPr="00CA224C" w:rsidR="005A00F3">
        <w:rPr>
          <w:b/>
          <w:bCs/>
          <w:sz w:val="24"/>
        </w:rPr>
        <w:t>06</w:t>
      </w:r>
      <w:r w:rsidRPr="00CA224C">
        <w:rPr>
          <w:b/>
          <w:bCs/>
          <w:sz w:val="24"/>
        </w:rPr>
        <w:t>-</w:t>
      </w:r>
      <w:r w:rsidR="00DC19DE">
        <w:rPr>
          <w:b/>
          <w:bCs/>
          <w:sz w:val="24"/>
        </w:rPr>
        <w:t>0047</w:t>
      </w:r>
    </w:p>
    <w:p w:rsidR="00BA1A0C" w:rsidRPr="00CA224C" w:rsidP="00CE5AA9" w14:paraId="2E6D3F4A" w14:textId="7C5542E9">
      <w:pPr>
        <w:tabs>
          <w:tab w:val="center" w:pos="4680"/>
        </w:tabs>
        <w:spacing w:before="120"/>
        <w:jc w:val="center"/>
        <w:rPr>
          <w:b/>
          <w:bCs/>
          <w:sz w:val="24"/>
        </w:rPr>
      </w:pPr>
      <w:r>
        <w:rPr>
          <w:b/>
          <w:bCs/>
          <w:sz w:val="24"/>
        </w:rPr>
        <w:t>Extension</w:t>
      </w:r>
    </w:p>
    <w:p w:rsidR="009B3794" w:rsidRPr="00CA224C" w:rsidP="00CE5AA9" w14:paraId="2E6D3F4B" w14:textId="77777777">
      <w:pPr>
        <w:tabs>
          <w:tab w:val="center" w:pos="4680"/>
        </w:tabs>
        <w:spacing w:before="120"/>
        <w:jc w:val="center"/>
        <w:rPr>
          <w:b/>
          <w:bCs/>
          <w:sz w:val="32"/>
          <w:szCs w:val="32"/>
        </w:rPr>
      </w:pPr>
    </w:p>
    <w:p w:rsidR="005A00F3" w:rsidRPr="005A00F3" w:rsidP="005A00F3" w14:paraId="2B6DF032" w14:textId="2740AA10">
      <w:pPr>
        <w:spacing w:before="120"/>
        <w:rPr>
          <w:b/>
          <w:sz w:val="24"/>
        </w:rPr>
      </w:pPr>
      <w:r w:rsidRPr="005A00F3">
        <w:rPr>
          <w:b/>
          <w:sz w:val="24"/>
        </w:rPr>
        <w:t xml:space="preserve">Terms of Clearance: </w:t>
      </w:r>
      <w:r w:rsidRPr="00CA224C">
        <w:rPr>
          <w:sz w:val="24"/>
        </w:rPr>
        <w:t>“None”.</w:t>
      </w:r>
      <w:r w:rsidRPr="005A00F3">
        <w:rPr>
          <w:b/>
          <w:sz w:val="24"/>
        </w:rPr>
        <w:t xml:space="preserve"> </w:t>
      </w:r>
    </w:p>
    <w:p w:rsidR="005A00F3" w:rsidP="00CA3DA6" w14:paraId="1D2A53D9" w14:textId="77777777">
      <w:pPr>
        <w:spacing w:before="120"/>
        <w:rPr>
          <w:b/>
          <w:sz w:val="24"/>
        </w:rPr>
      </w:pPr>
    </w:p>
    <w:p w:rsidR="009B3794" w:rsidRPr="00CA224C" w:rsidP="00CA3DA6" w14:paraId="2E6D3F4D" w14:textId="77777777">
      <w:pPr>
        <w:spacing w:before="120"/>
        <w:rPr>
          <w:b/>
          <w:bCs/>
          <w:sz w:val="24"/>
        </w:rPr>
      </w:pPr>
      <w:r w:rsidRPr="00CA224C">
        <w:rPr>
          <w:b/>
          <w:bCs/>
          <w:sz w:val="24"/>
        </w:rPr>
        <w:t>A.</w:t>
      </w:r>
      <w:r w:rsidRPr="00CA224C">
        <w:rPr>
          <w:b/>
          <w:bCs/>
          <w:sz w:val="24"/>
        </w:rPr>
        <w:tab/>
        <w:t>Justification</w:t>
      </w:r>
    </w:p>
    <w:p w:rsidR="009B3794" w:rsidRPr="00CA224C" w:rsidP="00CA3DA6" w14:paraId="2E6D3F4E" w14:textId="77777777">
      <w:pPr>
        <w:numPr>
          <w:ilvl w:val="0"/>
          <w:numId w:val="2"/>
        </w:numPr>
        <w:spacing w:before="240"/>
        <w:rPr>
          <w:b/>
          <w:sz w:val="24"/>
        </w:rPr>
      </w:pPr>
      <w:r w:rsidRPr="00CA224C">
        <w:rPr>
          <w:b/>
          <w:sz w:val="24"/>
          <w:u w:val="single"/>
        </w:rPr>
        <w:t>Circumstances Making the Collection of Information Necessary</w:t>
      </w:r>
    </w:p>
    <w:p w:rsidR="00E35590" w:rsidP="00CA224C" w14:paraId="6E790A09" w14:textId="77777777">
      <w:pPr>
        <w:rPr>
          <w:sz w:val="24"/>
        </w:rPr>
      </w:pPr>
    </w:p>
    <w:p w:rsidR="005A00F3" w:rsidP="00CA224C" w14:paraId="02E52AC0" w14:textId="2D4083AB">
      <w:pPr>
        <w:rPr>
          <w:sz w:val="24"/>
        </w:rPr>
      </w:pPr>
      <w:r w:rsidRPr="005A00F3">
        <w:rPr>
          <w:sz w:val="24"/>
        </w:rPr>
        <w:t>This is a request for OMB approval (</w:t>
      </w:r>
      <w:r w:rsidR="008D445B">
        <w:rPr>
          <w:sz w:val="24"/>
        </w:rPr>
        <w:t>extension</w:t>
      </w:r>
      <w:r w:rsidRPr="005A00F3">
        <w:rPr>
          <w:sz w:val="24"/>
        </w:rPr>
        <w:t xml:space="preserve">) for the Health Resources and Services Administration’s (HRSA’s) Ryan White HIV/AIDS Program </w:t>
      </w:r>
      <w:r>
        <w:rPr>
          <w:sz w:val="24"/>
        </w:rPr>
        <w:t xml:space="preserve">Parts A and B Unobligated Balances and Rebate Addendum Tables. </w:t>
      </w:r>
    </w:p>
    <w:p w:rsidR="00E35590" w:rsidP="00CA224C" w14:paraId="444C10E0" w14:textId="77777777">
      <w:pPr>
        <w:pStyle w:val="BodyText2"/>
        <w:spacing w:after="0" w:line="240" w:lineRule="auto"/>
        <w:rPr>
          <w:rStyle w:val="BodyTextFi"/>
          <w:sz w:val="24"/>
        </w:rPr>
      </w:pPr>
    </w:p>
    <w:p w:rsidR="00E35590" w:rsidP="00CA224C" w14:paraId="0E98A31B" w14:textId="183E0D0B">
      <w:pPr>
        <w:pStyle w:val="BodyText2"/>
        <w:spacing w:after="0" w:line="240" w:lineRule="auto"/>
        <w:rPr>
          <w:rStyle w:val="BodyTextFi"/>
          <w:sz w:val="24"/>
        </w:rPr>
      </w:pPr>
      <w:r w:rsidRPr="00E35590">
        <w:rPr>
          <w:rStyle w:val="BodyTextFi"/>
          <w:sz w:val="24"/>
        </w:rPr>
        <w:t>HRSA’s Ryan White HIV/AIDS Program (RWHAP) funds and coordinates with cities, states and territories, and local clinics/community-based organizations to deliver efficient and effective HIV care, treatment, and support to low-income people with HIV.  Nearly two-thirds of RWHAP clients (patients) live at or below 100 percent of the Federal poverty level and approximately three-quarters of RWHAP clients are racial and ethnic minorities.  Since 1990, the RWHAP has developed a comprehensive system of HIV service providers who deliver high quality direct health care and support services to over half a million people with HIV—more than 50 percent of all people with HIV in the United States.</w:t>
      </w:r>
    </w:p>
    <w:p w:rsidR="00E35590" w:rsidRPr="00E35590" w:rsidP="00CA224C" w14:paraId="095D7ADB" w14:textId="77777777">
      <w:pPr>
        <w:pStyle w:val="BodyText2"/>
        <w:spacing w:after="0" w:line="240" w:lineRule="auto"/>
        <w:rPr>
          <w:rStyle w:val="BodyTextFi"/>
          <w:sz w:val="24"/>
        </w:rPr>
      </w:pPr>
    </w:p>
    <w:p w:rsidR="00947DA6" w:rsidP="00CA224C" w14:paraId="7421D0EC" w14:textId="774FADD9">
      <w:pPr>
        <w:pStyle w:val="BodyText2"/>
        <w:spacing w:after="0" w:line="240" w:lineRule="auto"/>
        <w:rPr>
          <w:rStyle w:val="BodyTextFi"/>
          <w:sz w:val="24"/>
        </w:rPr>
      </w:pPr>
      <w:r w:rsidRPr="00E35590">
        <w:rPr>
          <w:rStyle w:val="BodyTextFi"/>
          <w:sz w:val="24"/>
        </w:rPr>
        <w:t xml:space="preserve">Grant recipients funded under Parts A, B, C, and D of the RWHAP (codified under Title XXVI of the Public Health Service Act) are required to report financial data to HRSA at the beginning (Allocations Report) and at the end of each grant budget period (Expenditures Report) using the </w:t>
      </w:r>
      <w:r w:rsidR="00B47A32">
        <w:rPr>
          <w:rStyle w:val="BodyTextFi"/>
          <w:sz w:val="24"/>
        </w:rPr>
        <w:t>HRSA grants management system</w:t>
      </w:r>
      <w:r w:rsidRPr="00E35590">
        <w:rPr>
          <w:rStyle w:val="BodyTextFi"/>
          <w:sz w:val="24"/>
        </w:rPr>
        <w:t>.  HAB RWHAP’s Parts A and B collect Unobligated Balance</w:t>
      </w:r>
      <w:r>
        <w:rPr>
          <w:rStyle w:val="BodyTextFi"/>
          <w:sz w:val="24"/>
        </w:rPr>
        <w:t>s</w:t>
      </w:r>
      <w:r w:rsidRPr="00E35590">
        <w:rPr>
          <w:rStyle w:val="BodyTextFi"/>
          <w:sz w:val="24"/>
        </w:rPr>
        <w:t xml:space="preserve"> (UOB) of federal funds by subprogram from their grant recipients. </w:t>
      </w:r>
      <w:r w:rsidRPr="00947DA6">
        <w:rPr>
          <w:rStyle w:val="BodyTextFi"/>
          <w:sz w:val="24"/>
        </w:rPr>
        <w:t>The exact amount of UOB</w:t>
      </w:r>
      <w:r>
        <w:rPr>
          <w:rStyle w:val="BodyTextFi"/>
          <w:sz w:val="24"/>
        </w:rPr>
        <w:t>s</w:t>
      </w:r>
      <w:r w:rsidRPr="00947DA6">
        <w:rPr>
          <w:rStyle w:val="BodyTextFi"/>
          <w:sz w:val="24"/>
        </w:rPr>
        <w:t xml:space="preserve"> must be reported on the final Federal Financial Report (FFR), due annually </w:t>
      </w:r>
      <w:r w:rsidR="00816F5B">
        <w:rPr>
          <w:rStyle w:val="BodyTextFi"/>
          <w:sz w:val="24"/>
        </w:rPr>
        <w:t>90 days</w:t>
      </w:r>
      <w:r w:rsidR="000C1F62">
        <w:rPr>
          <w:rStyle w:val="BodyTextFi"/>
          <w:sz w:val="24"/>
        </w:rPr>
        <w:t xml:space="preserve"> after </w:t>
      </w:r>
      <w:r w:rsidR="00F51477">
        <w:rPr>
          <w:rStyle w:val="BodyTextFi"/>
          <w:sz w:val="24"/>
        </w:rPr>
        <w:t xml:space="preserve">the </w:t>
      </w:r>
      <w:r w:rsidR="000C1F62">
        <w:rPr>
          <w:rStyle w:val="BodyTextFi"/>
          <w:sz w:val="24"/>
        </w:rPr>
        <w:t xml:space="preserve">end of the </w:t>
      </w:r>
      <w:r w:rsidR="002D4A33">
        <w:rPr>
          <w:rStyle w:val="BodyTextFi"/>
          <w:sz w:val="24"/>
        </w:rPr>
        <w:t>budget period</w:t>
      </w:r>
      <w:r w:rsidRPr="00947DA6">
        <w:rPr>
          <w:rStyle w:val="BodyTextFi"/>
          <w:sz w:val="24"/>
        </w:rPr>
        <w:t xml:space="preserve">, in accordance with the </w:t>
      </w:r>
      <w:r w:rsidR="005D7907">
        <w:rPr>
          <w:rStyle w:val="BodyTextFi"/>
          <w:sz w:val="24"/>
        </w:rPr>
        <w:t>r</w:t>
      </w:r>
      <w:r w:rsidRPr="00947DA6">
        <w:rPr>
          <w:rStyle w:val="BodyTextFi"/>
          <w:sz w:val="24"/>
        </w:rPr>
        <w:t xml:space="preserve">eporting </w:t>
      </w:r>
      <w:r w:rsidR="005D7907">
        <w:rPr>
          <w:rStyle w:val="BodyTextFi"/>
          <w:sz w:val="24"/>
        </w:rPr>
        <w:t>r</w:t>
      </w:r>
      <w:r w:rsidRPr="00947DA6">
        <w:rPr>
          <w:rStyle w:val="BodyTextFi"/>
          <w:sz w:val="24"/>
        </w:rPr>
        <w:t xml:space="preserve">equirements listed on the </w:t>
      </w:r>
      <w:r w:rsidR="005D7907">
        <w:rPr>
          <w:rStyle w:val="BodyTextFi"/>
          <w:sz w:val="24"/>
        </w:rPr>
        <w:t>n</w:t>
      </w:r>
      <w:r w:rsidRPr="00947DA6">
        <w:rPr>
          <w:rStyle w:val="BodyTextFi"/>
          <w:sz w:val="24"/>
        </w:rPr>
        <w:t xml:space="preserve">otice of </w:t>
      </w:r>
      <w:r w:rsidR="005D7907">
        <w:rPr>
          <w:rStyle w:val="BodyTextFi"/>
          <w:sz w:val="24"/>
        </w:rPr>
        <w:t>a</w:t>
      </w:r>
      <w:r w:rsidRPr="00947DA6">
        <w:rPr>
          <w:rStyle w:val="BodyTextFi"/>
          <w:sz w:val="24"/>
        </w:rPr>
        <w:t>ward (</w:t>
      </w:r>
      <w:r w:rsidRPr="00947DA6">
        <w:rPr>
          <w:rStyle w:val="BodyTextFi"/>
          <w:sz w:val="24"/>
        </w:rPr>
        <w:t>NoA</w:t>
      </w:r>
      <w:r w:rsidRPr="00947DA6">
        <w:rPr>
          <w:rStyle w:val="BodyTextFi"/>
          <w:sz w:val="24"/>
        </w:rPr>
        <w:t>). In addition, RWHAP Part B</w:t>
      </w:r>
      <w:r w:rsidR="00AB2867">
        <w:rPr>
          <w:rStyle w:val="BodyTextFi"/>
          <w:sz w:val="24"/>
        </w:rPr>
        <w:t xml:space="preserve"> grant</w:t>
      </w:r>
      <w:r w:rsidRPr="00947DA6">
        <w:rPr>
          <w:rStyle w:val="BodyTextFi"/>
          <w:sz w:val="24"/>
        </w:rPr>
        <w:t xml:space="preserve"> recipients must report anticipated UOB on the interim FFR, due 150 days after receipt of their final award. The interim FFR is submitted to assess</w:t>
      </w:r>
      <w:r w:rsidR="007A48BF">
        <w:rPr>
          <w:rStyle w:val="BodyTextFi"/>
          <w:sz w:val="24"/>
        </w:rPr>
        <w:t xml:space="preserve"> the</w:t>
      </w:r>
      <w:r w:rsidRPr="00947DA6">
        <w:rPr>
          <w:rStyle w:val="BodyTextFi"/>
          <w:sz w:val="24"/>
        </w:rPr>
        <w:t xml:space="preserve"> </w:t>
      </w:r>
      <w:r w:rsidR="005D7907">
        <w:rPr>
          <w:rStyle w:val="BodyTextFi"/>
          <w:sz w:val="24"/>
        </w:rPr>
        <w:t xml:space="preserve">grant </w:t>
      </w:r>
      <w:r w:rsidRPr="00947DA6">
        <w:rPr>
          <w:rStyle w:val="BodyTextFi"/>
          <w:sz w:val="24"/>
        </w:rPr>
        <w:t>recipient</w:t>
      </w:r>
      <w:r w:rsidR="007A48BF">
        <w:rPr>
          <w:rStyle w:val="BodyTextFi"/>
          <w:sz w:val="24"/>
        </w:rPr>
        <w:t>’s</w:t>
      </w:r>
      <w:r w:rsidRPr="00947DA6">
        <w:rPr>
          <w:rStyle w:val="BodyTextFi"/>
          <w:sz w:val="24"/>
        </w:rPr>
        <w:t xml:space="preserve"> compliance with the requirement to obligate 75</w:t>
      </w:r>
      <w:r w:rsidR="00AB1CD6">
        <w:rPr>
          <w:rStyle w:val="BodyTextFi"/>
          <w:sz w:val="24"/>
        </w:rPr>
        <w:t xml:space="preserve"> percent</w:t>
      </w:r>
      <w:r w:rsidRPr="00947DA6">
        <w:rPr>
          <w:rStyle w:val="BodyTextFi"/>
          <w:sz w:val="24"/>
        </w:rPr>
        <w:t xml:space="preserve"> of the </w:t>
      </w:r>
      <w:r w:rsidR="005D7907">
        <w:rPr>
          <w:rStyle w:val="BodyTextFi"/>
          <w:sz w:val="24"/>
        </w:rPr>
        <w:t xml:space="preserve">RWHAP </w:t>
      </w:r>
      <w:r w:rsidRPr="00947DA6">
        <w:rPr>
          <w:rStyle w:val="BodyTextFi"/>
          <w:sz w:val="24"/>
        </w:rPr>
        <w:t>Part B award within 120 days</w:t>
      </w:r>
      <w:r w:rsidR="005D7907">
        <w:rPr>
          <w:rStyle w:val="BodyTextFi"/>
          <w:sz w:val="24"/>
        </w:rPr>
        <w:t xml:space="preserve"> of receipt of their final award</w:t>
      </w:r>
      <w:r w:rsidRPr="00947DA6">
        <w:rPr>
          <w:rStyle w:val="BodyTextFi"/>
          <w:sz w:val="24"/>
        </w:rPr>
        <w:t xml:space="preserve">. </w:t>
      </w:r>
      <w:r w:rsidR="00AB1CD6">
        <w:rPr>
          <w:rStyle w:val="BodyTextFi"/>
          <w:sz w:val="24"/>
        </w:rPr>
        <w:t xml:space="preserve">During the last iteration, </w:t>
      </w:r>
      <w:r w:rsidRPr="00947DA6">
        <w:rPr>
          <w:rStyle w:val="BodyTextFi"/>
          <w:sz w:val="24"/>
        </w:rPr>
        <w:t>HRSA HAB added the Unobligated Balance of Federal Funds by Subprogram Table to both the interim and final FFRs</w:t>
      </w:r>
      <w:r w:rsidR="00AB1CD6">
        <w:rPr>
          <w:rStyle w:val="BodyTextFi"/>
          <w:sz w:val="24"/>
        </w:rPr>
        <w:t xml:space="preserve"> for RWHAP Part B and the FFR for RWHAP Part A</w:t>
      </w:r>
      <w:r w:rsidRPr="00947DA6">
        <w:rPr>
          <w:rStyle w:val="BodyTextFi"/>
          <w:sz w:val="24"/>
        </w:rPr>
        <w:t>.</w:t>
      </w:r>
    </w:p>
    <w:p w:rsidR="0079204D" w:rsidP="00CA224C" w14:paraId="69307B86" w14:textId="1F3701CD">
      <w:pPr>
        <w:pStyle w:val="BodyText2"/>
        <w:spacing w:after="0" w:line="240" w:lineRule="auto"/>
        <w:rPr>
          <w:rStyle w:val="BodyTextFi"/>
          <w:sz w:val="24"/>
        </w:rPr>
      </w:pPr>
    </w:p>
    <w:p w:rsidR="0079204D" w:rsidRPr="0079204D" w:rsidP="00CA224C" w14:paraId="292F7B09" w14:textId="5CA8A7F6">
      <w:pPr>
        <w:pStyle w:val="BodyText2"/>
        <w:spacing w:after="0" w:line="240" w:lineRule="auto"/>
        <w:rPr>
          <w:rStyle w:val="BodyTextFi"/>
          <w:sz w:val="24"/>
        </w:rPr>
      </w:pPr>
      <w:r w:rsidRPr="0079204D">
        <w:rPr>
          <w:rStyle w:val="BodyTextFi"/>
          <w:sz w:val="24"/>
        </w:rPr>
        <w:t>The RWHAP legislation</w:t>
      </w:r>
      <w:r w:rsidR="007505F7">
        <w:rPr>
          <w:rStyle w:val="BodyTextFi"/>
          <w:sz w:val="24"/>
        </w:rPr>
        <w:t xml:space="preserve"> also</w:t>
      </w:r>
      <w:r w:rsidRPr="0079204D">
        <w:rPr>
          <w:rStyle w:val="BodyTextFi"/>
          <w:sz w:val="24"/>
        </w:rPr>
        <w:t xml:space="preserve"> requires that rebates collected on </w:t>
      </w:r>
      <w:r w:rsidR="00817BE7">
        <w:rPr>
          <w:rStyle w:val="BodyTextFi"/>
          <w:sz w:val="24"/>
        </w:rPr>
        <w:t xml:space="preserve">AIDS </w:t>
      </w:r>
      <w:r w:rsidRPr="0079204D">
        <w:rPr>
          <w:rStyle w:val="BodyTextFi"/>
          <w:sz w:val="24"/>
        </w:rPr>
        <w:t>D</w:t>
      </w:r>
      <w:r w:rsidR="00293D0C">
        <w:rPr>
          <w:rStyle w:val="BodyTextFi"/>
          <w:sz w:val="24"/>
        </w:rPr>
        <w:t xml:space="preserve">rug </w:t>
      </w:r>
      <w:r w:rsidRPr="0079204D">
        <w:rPr>
          <w:rStyle w:val="BodyTextFi"/>
          <w:sz w:val="24"/>
        </w:rPr>
        <w:t>A</w:t>
      </w:r>
      <w:r w:rsidR="00293D0C">
        <w:rPr>
          <w:rStyle w:val="BodyTextFi"/>
          <w:sz w:val="24"/>
        </w:rPr>
        <w:t xml:space="preserve">ssistance </w:t>
      </w:r>
      <w:r w:rsidRPr="0079204D">
        <w:rPr>
          <w:rStyle w:val="BodyTextFi"/>
          <w:sz w:val="24"/>
        </w:rPr>
        <w:t>P</w:t>
      </w:r>
      <w:r w:rsidR="00293D0C">
        <w:rPr>
          <w:rStyle w:val="BodyTextFi"/>
          <w:sz w:val="24"/>
        </w:rPr>
        <w:t>rogram (ADAP)</w:t>
      </w:r>
      <w:r w:rsidRPr="0079204D">
        <w:rPr>
          <w:rStyle w:val="BodyTextFi"/>
          <w:sz w:val="24"/>
        </w:rPr>
        <w:t xml:space="preserve"> medication purchases must be used for the statutorily permitted purposes under the RWHAP Part B.  For any ADAP receiving rebates on medication purchases, the RWHAP legislation has a specific exemption from the UOB penalties provision that applies when a </w:t>
      </w:r>
      <w:r w:rsidR="00AB1CD6">
        <w:rPr>
          <w:rStyle w:val="BodyTextFi"/>
          <w:sz w:val="24"/>
        </w:rPr>
        <w:t xml:space="preserve">grant </w:t>
      </w:r>
      <w:r w:rsidRPr="0079204D">
        <w:rPr>
          <w:rStyle w:val="BodyTextFi"/>
          <w:sz w:val="24"/>
        </w:rPr>
        <w:t xml:space="preserve">recipient is unable to expend grant funds because rebates must be spent first. If a </w:t>
      </w:r>
      <w:r w:rsidR="00AB1CD6">
        <w:rPr>
          <w:rStyle w:val="BodyTextFi"/>
          <w:sz w:val="24"/>
        </w:rPr>
        <w:t xml:space="preserve">grant </w:t>
      </w:r>
      <w:r w:rsidRPr="0079204D">
        <w:rPr>
          <w:rStyle w:val="BodyTextFi"/>
          <w:sz w:val="24"/>
        </w:rPr>
        <w:t xml:space="preserve">recipient would otherwise incur a penalty, that </w:t>
      </w:r>
      <w:r w:rsidR="00AB1CD6">
        <w:rPr>
          <w:rStyle w:val="BodyTextFi"/>
          <w:sz w:val="24"/>
        </w:rPr>
        <w:t xml:space="preserve">grant </w:t>
      </w:r>
      <w:r w:rsidRPr="0079204D">
        <w:rPr>
          <w:rStyle w:val="BodyTextFi"/>
          <w:sz w:val="24"/>
        </w:rPr>
        <w:t xml:space="preserve">recipient may request that the amount of the UOB be reduced by the </w:t>
      </w:r>
      <w:r w:rsidRPr="0079204D">
        <w:rPr>
          <w:rStyle w:val="BodyTextFi"/>
          <w:sz w:val="24"/>
        </w:rPr>
        <w:t>amount</w:t>
      </w:r>
      <w:r w:rsidRPr="0079204D">
        <w:rPr>
          <w:rStyle w:val="BodyTextFi"/>
          <w:sz w:val="24"/>
        </w:rPr>
        <w:t xml:space="preserve"> of </w:t>
      </w:r>
      <w:r w:rsidR="005D7907">
        <w:rPr>
          <w:rStyle w:val="BodyTextFi"/>
          <w:sz w:val="24"/>
        </w:rPr>
        <w:t>rebates expended</w:t>
      </w:r>
      <w:r w:rsidRPr="0079204D">
        <w:rPr>
          <w:rStyle w:val="BodyTextFi"/>
          <w:sz w:val="24"/>
        </w:rPr>
        <w:t>, and that such amount be carried forward to the next budget period without penalty</w:t>
      </w:r>
      <w:r w:rsidR="005D7907">
        <w:rPr>
          <w:rStyle w:val="BodyTextFi"/>
          <w:sz w:val="24"/>
        </w:rPr>
        <w:t>, if a carryover is requested</w:t>
      </w:r>
      <w:r w:rsidRPr="0079204D">
        <w:rPr>
          <w:rStyle w:val="BodyTextFi"/>
          <w:sz w:val="24"/>
        </w:rPr>
        <w:t xml:space="preserve">. Such </w:t>
      </w:r>
      <w:r w:rsidR="005D7907">
        <w:rPr>
          <w:rStyle w:val="BodyTextFi"/>
          <w:sz w:val="24"/>
        </w:rPr>
        <w:t>information must be included in the</w:t>
      </w:r>
      <w:r w:rsidRPr="0079204D">
        <w:rPr>
          <w:rStyle w:val="BodyTextFi"/>
          <w:sz w:val="24"/>
        </w:rPr>
        <w:t xml:space="preserve"> final FFR</w:t>
      </w:r>
      <w:r w:rsidR="005D7907">
        <w:rPr>
          <w:rStyle w:val="BodyTextFi"/>
          <w:sz w:val="24"/>
        </w:rPr>
        <w:t>,</w:t>
      </w:r>
      <w:r w:rsidRPr="0079204D">
        <w:rPr>
          <w:rStyle w:val="BodyTextFi"/>
          <w:sz w:val="24"/>
        </w:rPr>
        <w:t xml:space="preserve"> and </w:t>
      </w:r>
      <w:r w:rsidR="005D7907">
        <w:rPr>
          <w:rStyle w:val="BodyTextFi"/>
          <w:sz w:val="24"/>
        </w:rPr>
        <w:t xml:space="preserve">the </w:t>
      </w:r>
      <w:r w:rsidRPr="0079204D">
        <w:rPr>
          <w:rStyle w:val="BodyTextFi"/>
          <w:sz w:val="24"/>
        </w:rPr>
        <w:t xml:space="preserve">carryover request </w:t>
      </w:r>
      <w:r w:rsidR="005D7907">
        <w:rPr>
          <w:rStyle w:val="BodyTextFi"/>
          <w:sz w:val="24"/>
        </w:rPr>
        <w:t>is due</w:t>
      </w:r>
      <w:r w:rsidRPr="0079204D">
        <w:rPr>
          <w:rStyle w:val="BodyTextFi"/>
          <w:sz w:val="24"/>
        </w:rPr>
        <w:t xml:space="preserve"> no later than </w:t>
      </w:r>
      <w:r w:rsidR="00146EBF">
        <w:rPr>
          <w:rStyle w:val="BodyTextFi"/>
          <w:sz w:val="24"/>
        </w:rPr>
        <w:t xml:space="preserve">30 days </w:t>
      </w:r>
      <w:r w:rsidR="0035374D">
        <w:rPr>
          <w:rStyle w:val="BodyTextFi"/>
          <w:sz w:val="24"/>
        </w:rPr>
        <w:t xml:space="preserve">after the </w:t>
      </w:r>
      <w:r w:rsidR="00291C20">
        <w:rPr>
          <w:rStyle w:val="BodyTextFi"/>
          <w:sz w:val="24"/>
        </w:rPr>
        <w:t xml:space="preserve">submission of </w:t>
      </w:r>
      <w:r w:rsidR="00BA1863">
        <w:rPr>
          <w:rStyle w:val="BodyTextFi"/>
          <w:sz w:val="24"/>
        </w:rPr>
        <w:t xml:space="preserve">final </w:t>
      </w:r>
      <w:r w:rsidR="0035374D">
        <w:rPr>
          <w:rStyle w:val="BodyTextFi"/>
          <w:sz w:val="24"/>
        </w:rPr>
        <w:t>FFR</w:t>
      </w:r>
      <w:r w:rsidRPr="0079204D">
        <w:rPr>
          <w:rStyle w:val="BodyTextFi"/>
          <w:sz w:val="24"/>
        </w:rPr>
        <w:t xml:space="preserve">. RWHAP Part B </w:t>
      </w:r>
      <w:r w:rsidR="005D7907">
        <w:rPr>
          <w:rStyle w:val="BodyTextFi"/>
          <w:sz w:val="24"/>
        </w:rPr>
        <w:t xml:space="preserve">grant </w:t>
      </w:r>
      <w:r w:rsidRPr="0079204D">
        <w:rPr>
          <w:rStyle w:val="BodyTextFi"/>
          <w:sz w:val="24"/>
        </w:rPr>
        <w:t>recipients that fail to report rebates, fail to request a UOB reduction due to expenditure of rebates</w:t>
      </w:r>
      <w:r w:rsidR="00621DA9">
        <w:rPr>
          <w:rStyle w:val="BodyTextFi"/>
          <w:sz w:val="24"/>
        </w:rPr>
        <w:t xml:space="preserve"> first</w:t>
      </w:r>
      <w:r w:rsidRPr="0079204D">
        <w:rPr>
          <w:rStyle w:val="BodyTextFi"/>
          <w:sz w:val="24"/>
        </w:rPr>
        <w:t xml:space="preserve">, and have </w:t>
      </w:r>
      <w:r w:rsidRPr="0079204D">
        <w:rPr>
          <w:rStyle w:val="BodyTextFi"/>
          <w:sz w:val="24"/>
        </w:rPr>
        <w:t>an</w:t>
      </w:r>
      <w:r w:rsidRPr="0079204D">
        <w:rPr>
          <w:rStyle w:val="BodyTextFi"/>
          <w:sz w:val="24"/>
        </w:rPr>
        <w:t xml:space="preserve"> UOB of five percent (5%) or greater, </w:t>
      </w:r>
      <w:r w:rsidR="005D7907">
        <w:rPr>
          <w:rStyle w:val="BodyTextFi"/>
          <w:sz w:val="24"/>
        </w:rPr>
        <w:t>will incur an</w:t>
      </w:r>
      <w:r w:rsidRPr="0079204D">
        <w:rPr>
          <w:rStyle w:val="BodyTextFi"/>
          <w:sz w:val="24"/>
        </w:rPr>
        <w:t xml:space="preserve"> UOB penalty. </w:t>
      </w:r>
      <w:r w:rsidR="007C7717">
        <w:rPr>
          <w:rStyle w:val="BodyTextFi"/>
          <w:sz w:val="24"/>
        </w:rPr>
        <w:t>To capture this information, a</w:t>
      </w:r>
      <w:r w:rsidR="00AB1CD6">
        <w:rPr>
          <w:rStyle w:val="BodyTextFi"/>
          <w:sz w:val="24"/>
        </w:rPr>
        <w:t xml:space="preserve"> rebates table was added </w:t>
      </w:r>
      <w:r w:rsidR="00621DA9">
        <w:rPr>
          <w:rStyle w:val="BodyTextFi"/>
          <w:sz w:val="24"/>
        </w:rPr>
        <w:t>in</w:t>
      </w:r>
      <w:r w:rsidR="00AB1CD6">
        <w:rPr>
          <w:rStyle w:val="BodyTextFi"/>
          <w:sz w:val="24"/>
        </w:rPr>
        <w:t xml:space="preserve"> the last approved iteration. </w:t>
      </w:r>
    </w:p>
    <w:p w:rsidR="0079204D" w:rsidP="00CA224C" w14:paraId="1A0472CC" w14:textId="77777777">
      <w:pPr>
        <w:pStyle w:val="BodyText2"/>
        <w:spacing w:after="0" w:line="240" w:lineRule="auto"/>
        <w:rPr>
          <w:rStyle w:val="BodyTextFi"/>
          <w:sz w:val="24"/>
        </w:rPr>
      </w:pPr>
    </w:p>
    <w:p w:rsidR="0079204D" w:rsidP="00CA224C" w14:paraId="1C4CC7D4" w14:textId="50864DB5">
      <w:pPr>
        <w:pStyle w:val="BodyText2"/>
        <w:spacing w:after="0" w:line="240" w:lineRule="auto"/>
        <w:rPr>
          <w:rStyle w:val="BodyTextFi"/>
          <w:sz w:val="24"/>
        </w:rPr>
      </w:pPr>
      <w:r>
        <w:rPr>
          <w:rStyle w:val="BodyTextFi"/>
          <w:sz w:val="24"/>
        </w:rPr>
        <w:t>The purpose of the</w:t>
      </w:r>
      <w:r w:rsidR="00FC4B95">
        <w:rPr>
          <w:rStyle w:val="BodyTextFi"/>
          <w:sz w:val="24"/>
        </w:rPr>
        <w:t xml:space="preserve"> previously added </w:t>
      </w:r>
      <w:r>
        <w:rPr>
          <w:rStyle w:val="BodyTextFi"/>
          <w:sz w:val="24"/>
        </w:rPr>
        <w:t>addendum (i.e., supplemental form and rebates table) was t</w:t>
      </w:r>
      <w:r w:rsidRPr="0079204D">
        <w:rPr>
          <w:rStyle w:val="BodyTextFi"/>
          <w:sz w:val="24"/>
        </w:rPr>
        <w:t>o assess compliance with reporting requirements</w:t>
      </w:r>
      <w:r w:rsidR="00B015BF">
        <w:rPr>
          <w:rStyle w:val="BodyTextFi"/>
          <w:sz w:val="24"/>
        </w:rPr>
        <w:t>, tracking of UOB amounts,</w:t>
      </w:r>
      <w:r w:rsidRPr="0079204D">
        <w:rPr>
          <w:rStyle w:val="BodyTextFi"/>
          <w:sz w:val="24"/>
        </w:rPr>
        <w:t xml:space="preserve"> and process requests for reductions in UOB amounts used to determine the RWHAP Part B </w:t>
      </w:r>
      <w:r w:rsidR="006719F3">
        <w:rPr>
          <w:rStyle w:val="BodyTextFi"/>
          <w:sz w:val="24"/>
        </w:rPr>
        <w:t xml:space="preserve">five </w:t>
      </w:r>
      <w:r w:rsidR="00B015BF">
        <w:rPr>
          <w:rStyle w:val="BodyTextFi"/>
          <w:sz w:val="24"/>
        </w:rPr>
        <w:t>percent</w:t>
      </w:r>
      <w:r w:rsidR="006719F3">
        <w:rPr>
          <w:rStyle w:val="BodyTextFi"/>
          <w:sz w:val="24"/>
        </w:rPr>
        <w:t xml:space="preserve"> (5%)</w:t>
      </w:r>
      <w:r w:rsidRPr="0079204D">
        <w:rPr>
          <w:rStyle w:val="BodyTextFi"/>
          <w:sz w:val="24"/>
        </w:rPr>
        <w:t xml:space="preserve"> obligation penalty</w:t>
      </w:r>
      <w:r>
        <w:rPr>
          <w:rStyle w:val="BodyTextFi"/>
          <w:sz w:val="24"/>
        </w:rPr>
        <w:t>.</w:t>
      </w:r>
      <w:r w:rsidR="00997E63">
        <w:rPr>
          <w:rStyle w:val="BodyTextFi"/>
          <w:sz w:val="24"/>
        </w:rPr>
        <w:t xml:space="preserve"> </w:t>
      </w:r>
      <w:r w:rsidR="002C76B3">
        <w:rPr>
          <w:rStyle w:val="BodyTextFi"/>
          <w:sz w:val="24"/>
        </w:rPr>
        <w:t>I</w:t>
      </w:r>
      <w:r w:rsidR="00997E63">
        <w:rPr>
          <w:rStyle w:val="BodyTextFi"/>
          <w:sz w:val="24"/>
        </w:rPr>
        <w:t xml:space="preserve">n July 2021, the </w:t>
      </w:r>
      <w:r>
        <w:rPr>
          <w:rStyle w:val="BodyTextFi"/>
          <w:sz w:val="24"/>
        </w:rPr>
        <w:t xml:space="preserve">supplemental form portion of the </w:t>
      </w:r>
      <w:r w:rsidR="00997E63">
        <w:rPr>
          <w:rStyle w:val="BodyTextFi"/>
          <w:sz w:val="24"/>
        </w:rPr>
        <w:t>addendum was updated to include collection of prior year UOB</w:t>
      </w:r>
      <w:r w:rsidR="002C76B3">
        <w:rPr>
          <w:rStyle w:val="BodyTextFi"/>
          <w:sz w:val="24"/>
        </w:rPr>
        <w:t xml:space="preserve"> for both RWHAP Part A and RWHAP Part B</w:t>
      </w:r>
      <w:r w:rsidR="00997E63">
        <w:rPr>
          <w:rStyle w:val="BodyTextFi"/>
          <w:sz w:val="24"/>
        </w:rPr>
        <w:t>.</w:t>
      </w:r>
    </w:p>
    <w:p w:rsidR="00997E63" w:rsidP="00CA224C" w14:paraId="493BB1F8" w14:textId="5CAE0419">
      <w:pPr>
        <w:pStyle w:val="BodyText2"/>
        <w:spacing w:after="0" w:line="240" w:lineRule="auto"/>
        <w:rPr>
          <w:rStyle w:val="BodyTextFi"/>
          <w:sz w:val="24"/>
        </w:rPr>
      </w:pPr>
    </w:p>
    <w:p w:rsidR="009B3794" w:rsidRPr="00CA224C" w:rsidP="00CA224C" w14:paraId="2E6D3F53" w14:textId="0BDDCEFD">
      <w:pPr>
        <w:pStyle w:val="ListParagraph"/>
        <w:numPr>
          <w:ilvl w:val="0"/>
          <w:numId w:val="2"/>
        </w:numPr>
        <w:rPr>
          <w:b/>
          <w:sz w:val="24"/>
        </w:rPr>
      </w:pPr>
      <w:r w:rsidRPr="00CA224C">
        <w:rPr>
          <w:b/>
          <w:sz w:val="24"/>
          <w:u w:val="single"/>
        </w:rPr>
        <w:t>Purpose and Use of Information Collection</w:t>
      </w:r>
    </w:p>
    <w:p w:rsidR="0079204D" w:rsidP="1B2083C3" w14:paraId="53F932FA" w14:textId="2E0EE599">
      <w:pPr>
        <w:widowControl/>
        <w:autoSpaceDE/>
        <w:autoSpaceDN/>
        <w:adjustRightInd/>
        <w:spacing w:before="120"/>
        <w:rPr>
          <w:sz w:val="24"/>
        </w:rPr>
      </w:pPr>
      <w:r w:rsidRPr="1B2083C3">
        <w:rPr>
          <w:sz w:val="24"/>
        </w:rPr>
        <w:t>Capturing information through the addendum about UOB and rebates</w:t>
      </w:r>
      <w:r w:rsidRPr="1B2083C3">
        <w:rPr>
          <w:sz w:val="24"/>
        </w:rPr>
        <w:t xml:space="preserve"> </w:t>
      </w:r>
      <w:r w:rsidRPr="1B2083C3" w:rsidR="00C4376C">
        <w:rPr>
          <w:sz w:val="24"/>
        </w:rPr>
        <w:t xml:space="preserve">is </w:t>
      </w:r>
      <w:r w:rsidRPr="1B2083C3">
        <w:rPr>
          <w:sz w:val="24"/>
        </w:rPr>
        <w:t xml:space="preserve">essential for allowing HRSA to ensure that RWHAP </w:t>
      </w:r>
      <w:r w:rsidRPr="1B2083C3">
        <w:rPr>
          <w:sz w:val="24"/>
        </w:rPr>
        <w:t xml:space="preserve">grant </w:t>
      </w:r>
      <w:r w:rsidRPr="1B2083C3">
        <w:rPr>
          <w:sz w:val="24"/>
        </w:rPr>
        <w:t xml:space="preserve">recipients are meeting the goal of accountability to the Congress, </w:t>
      </w:r>
      <w:r w:rsidR="00CA1196">
        <w:rPr>
          <w:sz w:val="24"/>
        </w:rPr>
        <w:t>stakeholders</w:t>
      </w:r>
      <w:r w:rsidRPr="1B2083C3">
        <w:rPr>
          <w:sz w:val="24"/>
        </w:rPr>
        <w:t xml:space="preserve">, and the </w:t>
      </w:r>
      <w:r w:rsidRPr="1B2083C3">
        <w:rPr>
          <w:sz w:val="24"/>
        </w:rPr>
        <w:t>general public</w:t>
      </w:r>
      <w:r w:rsidRPr="1B2083C3">
        <w:rPr>
          <w:sz w:val="24"/>
        </w:rPr>
        <w:t xml:space="preserve">.  Information provided </w:t>
      </w:r>
      <w:r w:rsidRPr="1B2083C3" w:rsidR="00C4376C">
        <w:rPr>
          <w:sz w:val="24"/>
        </w:rPr>
        <w:t xml:space="preserve">in </w:t>
      </w:r>
      <w:r w:rsidRPr="1B2083C3">
        <w:rPr>
          <w:sz w:val="24"/>
        </w:rPr>
        <w:t>the FFR</w:t>
      </w:r>
      <w:r w:rsidRPr="1B2083C3">
        <w:rPr>
          <w:sz w:val="24"/>
        </w:rPr>
        <w:t>, inclusive of the addendum</w:t>
      </w:r>
      <w:r w:rsidRPr="1B2083C3">
        <w:rPr>
          <w:sz w:val="24"/>
        </w:rPr>
        <w:t xml:space="preserve"> are critical for HRSA, states and territories, and local </w:t>
      </w:r>
      <w:r w:rsidRPr="1B2083C3">
        <w:rPr>
          <w:sz w:val="24"/>
        </w:rPr>
        <w:t>grant recipients</w:t>
      </w:r>
      <w:r w:rsidRPr="1B2083C3">
        <w:rPr>
          <w:sz w:val="24"/>
        </w:rPr>
        <w:t xml:space="preserve">, and individual providers to evaluate the effectiveness of these programs. </w:t>
      </w:r>
    </w:p>
    <w:p w:rsidR="00756F17" w:rsidP="00CA224C" w14:paraId="305499AA" w14:textId="0C537600">
      <w:pPr>
        <w:widowControl/>
        <w:autoSpaceDE/>
        <w:autoSpaceDN/>
        <w:adjustRightInd/>
        <w:spacing w:before="120"/>
        <w:rPr>
          <w:sz w:val="24"/>
        </w:rPr>
      </w:pPr>
      <w:r>
        <w:rPr>
          <w:sz w:val="24"/>
        </w:rPr>
        <w:t xml:space="preserve">RWHAP Parts A and B </w:t>
      </w:r>
      <w:r w:rsidRPr="00947DA6" w:rsidR="00947DA6">
        <w:rPr>
          <w:sz w:val="24"/>
        </w:rPr>
        <w:t xml:space="preserve">use the UOB financial information to determine formula funding.  </w:t>
      </w:r>
      <w:r>
        <w:rPr>
          <w:sz w:val="24"/>
        </w:rPr>
        <w:t xml:space="preserve">Information in the </w:t>
      </w:r>
      <w:r>
        <w:rPr>
          <w:sz w:val="24"/>
        </w:rPr>
        <w:t xml:space="preserve">UOB portion of the </w:t>
      </w:r>
      <w:r>
        <w:rPr>
          <w:sz w:val="24"/>
        </w:rPr>
        <w:t>addendum is</w:t>
      </w:r>
      <w:r w:rsidRPr="00CA224C">
        <w:rPr>
          <w:sz w:val="24"/>
        </w:rPr>
        <w:t xml:space="preserve"> </w:t>
      </w:r>
      <w:r w:rsidRPr="00CA224C" w:rsidR="0079204D">
        <w:rPr>
          <w:sz w:val="24"/>
        </w:rPr>
        <w:t>used to determine statutory penalties associated with non-compliance with the RWHAP Part B 75</w:t>
      </w:r>
      <w:r>
        <w:rPr>
          <w:sz w:val="24"/>
        </w:rPr>
        <w:t xml:space="preserve"> percent</w:t>
      </w:r>
      <w:r w:rsidRPr="00CA224C" w:rsidR="0079204D">
        <w:rPr>
          <w:sz w:val="24"/>
        </w:rPr>
        <w:t xml:space="preserve"> obligation requirement and the RWHAP Parts A and B </w:t>
      </w:r>
      <w:r w:rsidR="002C76B3">
        <w:rPr>
          <w:sz w:val="24"/>
        </w:rPr>
        <w:t>five</w:t>
      </w:r>
      <w:r w:rsidR="00A73EEA">
        <w:rPr>
          <w:sz w:val="24"/>
        </w:rPr>
        <w:t xml:space="preserve"> percent</w:t>
      </w:r>
      <w:r w:rsidR="002C76B3">
        <w:rPr>
          <w:sz w:val="24"/>
        </w:rPr>
        <w:t xml:space="preserve"> (5%)</w:t>
      </w:r>
      <w:r w:rsidRPr="00CA224C" w:rsidR="0079204D">
        <w:rPr>
          <w:sz w:val="24"/>
        </w:rPr>
        <w:t xml:space="preserve"> UOB penalty.</w:t>
      </w:r>
      <w:r w:rsidR="0079204D">
        <w:t xml:space="preserve"> </w:t>
      </w:r>
      <w:r>
        <w:rPr>
          <w:sz w:val="24"/>
        </w:rPr>
        <w:t>T</w:t>
      </w:r>
      <w:r w:rsidRPr="00CA224C" w:rsidR="0079204D">
        <w:rPr>
          <w:sz w:val="24"/>
        </w:rPr>
        <w:t>hese penalties can result in</w:t>
      </w:r>
      <w:r>
        <w:rPr>
          <w:sz w:val="24"/>
        </w:rPr>
        <w:t>:</w:t>
      </w:r>
    </w:p>
    <w:p w:rsidR="00756F17" w:rsidP="00756F17" w14:paraId="2D13B5F0" w14:textId="57D2BA23">
      <w:pPr>
        <w:pStyle w:val="ListParagraph"/>
        <w:widowControl/>
        <w:numPr>
          <w:ilvl w:val="0"/>
          <w:numId w:val="48"/>
        </w:numPr>
        <w:autoSpaceDE/>
        <w:autoSpaceDN/>
        <w:adjustRightInd/>
        <w:spacing w:before="120"/>
        <w:rPr>
          <w:sz w:val="24"/>
        </w:rPr>
      </w:pPr>
      <w:r>
        <w:rPr>
          <w:sz w:val="24"/>
        </w:rPr>
        <w:t>R</w:t>
      </w:r>
      <w:r w:rsidRPr="00756F17" w:rsidR="0079204D">
        <w:rPr>
          <w:sz w:val="24"/>
        </w:rPr>
        <w:t xml:space="preserve">eductions to recipient formula award amounts, </w:t>
      </w:r>
    </w:p>
    <w:p w:rsidR="00756F17" w:rsidP="00756F17" w14:paraId="176C9779" w14:textId="77777777">
      <w:pPr>
        <w:pStyle w:val="ListParagraph"/>
        <w:widowControl/>
        <w:numPr>
          <w:ilvl w:val="0"/>
          <w:numId w:val="48"/>
        </w:numPr>
        <w:autoSpaceDE/>
        <w:autoSpaceDN/>
        <w:adjustRightInd/>
        <w:spacing w:before="120"/>
        <w:rPr>
          <w:sz w:val="24"/>
        </w:rPr>
      </w:pPr>
      <w:r>
        <w:rPr>
          <w:sz w:val="24"/>
        </w:rPr>
        <w:t>C</w:t>
      </w:r>
      <w:r w:rsidRPr="00756F17" w:rsidR="0079204D">
        <w:rPr>
          <w:sz w:val="24"/>
        </w:rPr>
        <w:t xml:space="preserve">hanges in recipient eligibility to apply for supplemental funding opportunities, and </w:t>
      </w:r>
    </w:p>
    <w:p w:rsidR="00756F17" w:rsidP="00756F17" w14:paraId="41FFBD4A" w14:textId="77777777">
      <w:pPr>
        <w:pStyle w:val="ListParagraph"/>
        <w:widowControl/>
        <w:numPr>
          <w:ilvl w:val="0"/>
          <w:numId w:val="48"/>
        </w:numPr>
        <w:autoSpaceDE/>
        <w:autoSpaceDN/>
        <w:adjustRightInd/>
        <w:spacing w:before="120"/>
        <w:rPr>
          <w:sz w:val="24"/>
        </w:rPr>
      </w:pPr>
      <w:r>
        <w:rPr>
          <w:sz w:val="24"/>
        </w:rPr>
        <w:t>C</w:t>
      </w:r>
      <w:r w:rsidRPr="00756F17" w:rsidR="0079204D">
        <w:rPr>
          <w:sz w:val="24"/>
        </w:rPr>
        <w:t xml:space="preserve">hanges in the total amount of supplemental funding available for award. </w:t>
      </w:r>
    </w:p>
    <w:p w:rsidR="0079204D" w:rsidRPr="00756F17" w:rsidP="00756F17" w14:paraId="68223FC0" w14:textId="7E9F96C2">
      <w:pPr>
        <w:widowControl/>
        <w:autoSpaceDE/>
        <w:autoSpaceDN/>
        <w:adjustRightInd/>
        <w:spacing w:before="120"/>
        <w:rPr>
          <w:sz w:val="24"/>
        </w:rPr>
      </w:pPr>
      <w:r w:rsidRPr="00756F17">
        <w:rPr>
          <w:sz w:val="24"/>
        </w:rPr>
        <w:t xml:space="preserve">In addition, </w:t>
      </w:r>
      <w:r w:rsidRPr="00756F17" w:rsidR="002F720B">
        <w:rPr>
          <w:sz w:val="24"/>
        </w:rPr>
        <w:t>information available in the addendum about</w:t>
      </w:r>
      <w:r w:rsidRPr="00756F17">
        <w:rPr>
          <w:sz w:val="24"/>
        </w:rPr>
        <w:t xml:space="preserve"> UOB provide</w:t>
      </w:r>
      <w:r w:rsidR="00756F17">
        <w:rPr>
          <w:sz w:val="24"/>
        </w:rPr>
        <w:t>s</w:t>
      </w:r>
      <w:r w:rsidRPr="00756F17">
        <w:rPr>
          <w:sz w:val="24"/>
        </w:rPr>
        <w:t xml:space="preserve"> </w:t>
      </w:r>
      <w:r w:rsidRPr="00756F17" w:rsidR="002F720B">
        <w:rPr>
          <w:sz w:val="24"/>
        </w:rPr>
        <w:t>totals</w:t>
      </w:r>
      <w:r w:rsidRPr="00756F17">
        <w:rPr>
          <w:sz w:val="24"/>
        </w:rPr>
        <w:t xml:space="preserve"> available for carryover. Since RWHAP Parts A and B awards include multiple subprogram categories with different requirements, UOB approved for carryover must be de-obligated and re-obligated to the same subprogram.</w:t>
      </w:r>
    </w:p>
    <w:p w:rsidR="00756F17" w:rsidRPr="00756F17" w:rsidP="00756F17" w14:paraId="5E06C1E4" w14:textId="77777777">
      <w:pPr>
        <w:spacing w:before="240"/>
        <w:ind w:left="360"/>
        <w:rPr>
          <w:sz w:val="24"/>
        </w:rPr>
      </w:pPr>
    </w:p>
    <w:p w:rsidR="007505F7" w:rsidP="00CA224C" w14:paraId="3F5F7A89" w14:textId="4B678930">
      <w:pPr>
        <w:numPr>
          <w:ilvl w:val="0"/>
          <w:numId w:val="2"/>
        </w:numPr>
        <w:spacing w:before="240"/>
        <w:rPr>
          <w:sz w:val="24"/>
        </w:rPr>
      </w:pPr>
      <w:r w:rsidRPr="00CA224C">
        <w:rPr>
          <w:b/>
          <w:sz w:val="24"/>
          <w:u w:val="single"/>
        </w:rPr>
        <w:t>Use of Improved Information Technology and Burden Reduction</w:t>
      </w:r>
    </w:p>
    <w:p w:rsidR="00330924" w:rsidP="00330924" w14:paraId="1B33FB2B" w14:textId="5F33EF4D">
      <w:pPr>
        <w:spacing w:before="240"/>
        <w:rPr>
          <w:sz w:val="24"/>
        </w:rPr>
      </w:pPr>
      <w:r>
        <w:rPr>
          <w:sz w:val="24"/>
        </w:rPr>
        <w:t>Before t</w:t>
      </w:r>
      <w:r w:rsidR="00453919">
        <w:rPr>
          <w:sz w:val="24"/>
        </w:rPr>
        <w:t xml:space="preserve">he </w:t>
      </w:r>
      <w:r>
        <w:rPr>
          <w:sz w:val="24"/>
        </w:rPr>
        <w:t xml:space="preserve">addendum </w:t>
      </w:r>
      <w:r w:rsidR="00726461">
        <w:rPr>
          <w:sz w:val="24"/>
        </w:rPr>
        <w:t xml:space="preserve">was </w:t>
      </w:r>
      <w:r>
        <w:rPr>
          <w:sz w:val="24"/>
        </w:rPr>
        <w:t>added</w:t>
      </w:r>
      <w:r w:rsidR="00452FF1">
        <w:rPr>
          <w:sz w:val="24"/>
        </w:rPr>
        <w:t>,</w:t>
      </w:r>
      <w:r>
        <w:rPr>
          <w:sz w:val="24"/>
        </w:rPr>
        <w:t xml:space="preserve"> d</w:t>
      </w:r>
      <w:r w:rsidR="00453919">
        <w:rPr>
          <w:sz w:val="24"/>
        </w:rPr>
        <w:t>ata for RWHAP Part</w:t>
      </w:r>
      <w:r>
        <w:rPr>
          <w:sz w:val="24"/>
        </w:rPr>
        <w:t>s</w:t>
      </w:r>
      <w:r w:rsidR="00453919">
        <w:rPr>
          <w:sz w:val="24"/>
        </w:rPr>
        <w:t xml:space="preserve"> A and Part B recipients </w:t>
      </w:r>
      <w:r>
        <w:rPr>
          <w:sz w:val="24"/>
        </w:rPr>
        <w:t>were</w:t>
      </w:r>
      <w:r w:rsidRPr="007505F7" w:rsidR="00453919">
        <w:rPr>
          <w:sz w:val="24"/>
        </w:rPr>
        <w:t xml:space="preserve"> collected through a separate document when grant recipients submit</w:t>
      </w:r>
      <w:r>
        <w:rPr>
          <w:sz w:val="24"/>
        </w:rPr>
        <w:t>ted</w:t>
      </w:r>
      <w:r w:rsidRPr="007505F7" w:rsidR="00453919">
        <w:rPr>
          <w:sz w:val="24"/>
        </w:rPr>
        <w:t xml:space="preserve"> their </w:t>
      </w:r>
      <w:r w:rsidR="006679F3">
        <w:rPr>
          <w:sz w:val="24"/>
        </w:rPr>
        <w:t>FFR</w:t>
      </w:r>
      <w:r w:rsidRPr="007505F7" w:rsidR="00453919">
        <w:rPr>
          <w:sz w:val="24"/>
        </w:rPr>
        <w:t xml:space="preserve"> (SF-425). </w:t>
      </w:r>
      <w:r w:rsidR="00453919">
        <w:rPr>
          <w:sz w:val="24"/>
        </w:rPr>
        <w:t xml:space="preserve"> </w:t>
      </w:r>
      <w:r w:rsidR="006679F3">
        <w:rPr>
          <w:sz w:val="24"/>
        </w:rPr>
        <w:t>Previously, grant r</w:t>
      </w:r>
      <w:r w:rsidR="00453919">
        <w:rPr>
          <w:sz w:val="24"/>
        </w:rPr>
        <w:t>ecipients submitted these financial data</w:t>
      </w:r>
      <w:r w:rsidR="006679F3">
        <w:rPr>
          <w:sz w:val="24"/>
        </w:rPr>
        <w:t xml:space="preserve"> (i.e., UOB and rebates information)</w:t>
      </w:r>
      <w:r w:rsidR="00453919">
        <w:rPr>
          <w:sz w:val="24"/>
        </w:rPr>
        <w:t xml:space="preserve"> in a non-electronic form and uploaded them as attachments as a part of their </w:t>
      </w:r>
      <w:r w:rsidR="006679F3">
        <w:rPr>
          <w:sz w:val="24"/>
        </w:rPr>
        <w:t>FFR</w:t>
      </w:r>
      <w:r w:rsidR="00453919">
        <w:rPr>
          <w:sz w:val="24"/>
        </w:rPr>
        <w:t xml:space="preserve"> submissions. </w:t>
      </w:r>
      <w:r>
        <w:rPr>
          <w:sz w:val="24"/>
        </w:rPr>
        <w:t>Since adding the addendum</w:t>
      </w:r>
      <w:r w:rsidR="006679F3">
        <w:rPr>
          <w:sz w:val="24"/>
        </w:rPr>
        <w:t>,</w:t>
      </w:r>
      <w:r>
        <w:rPr>
          <w:sz w:val="24"/>
        </w:rPr>
        <w:t xml:space="preserve"> the</w:t>
      </w:r>
      <w:r w:rsidR="00D436A8">
        <w:rPr>
          <w:sz w:val="24"/>
        </w:rPr>
        <w:t xml:space="preserve"> </w:t>
      </w:r>
      <w:r w:rsidRPr="00453919">
        <w:rPr>
          <w:sz w:val="24"/>
        </w:rPr>
        <w:t xml:space="preserve">process modification </w:t>
      </w:r>
      <w:r>
        <w:rPr>
          <w:sz w:val="24"/>
        </w:rPr>
        <w:t>decreased</w:t>
      </w:r>
      <w:r w:rsidRPr="00453919">
        <w:rPr>
          <w:sz w:val="24"/>
        </w:rPr>
        <w:t xml:space="preserve"> administrative burden, increase</w:t>
      </w:r>
      <w:r>
        <w:rPr>
          <w:sz w:val="24"/>
        </w:rPr>
        <w:t>d</w:t>
      </w:r>
      <w:r w:rsidRPr="00453919">
        <w:rPr>
          <w:sz w:val="24"/>
        </w:rPr>
        <w:t xml:space="preserve"> transparency</w:t>
      </w:r>
      <w:r>
        <w:rPr>
          <w:sz w:val="24"/>
        </w:rPr>
        <w:t>,</w:t>
      </w:r>
      <w:r w:rsidRPr="00453919">
        <w:rPr>
          <w:sz w:val="24"/>
        </w:rPr>
        <w:t xml:space="preserve"> and improve</w:t>
      </w:r>
      <w:r>
        <w:rPr>
          <w:sz w:val="24"/>
        </w:rPr>
        <w:t>d</w:t>
      </w:r>
      <w:r w:rsidRPr="00453919">
        <w:rPr>
          <w:sz w:val="24"/>
        </w:rPr>
        <w:t xml:space="preserve"> the quality of data submitted to HAB. </w:t>
      </w:r>
      <w:r>
        <w:rPr>
          <w:sz w:val="24"/>
        </w:rPr>
        <w:t xml:space="preserve"> Hence, RWHAP Parts A and B </w:t>
      </w:r>
      <w:r w:rsidR="0048441D">
        <w:rPr>
          <w:sz w:val="24"/>
        </w:rPr>
        <w:t>wish</w:t>
      </w:r>
      <w:r>
        <w:rPr>
          <w:sz w:val="24"/>
        </w:rPr>
        <w:t xml:space="preserve"> to continue capturing </w:t>
      </w:r>
      <w:r w:rsidR="006679F3">
        <w:rPr>
          <w:sz w:val="24"/>
        </w:rPr>
        <w:t xml:space="preserve">the data </w:t>
      </w:r>
      <w:r>
        <w:rPr>
          <w:sz w:val="24"/>
        </w:rPr>
        <w:t>using the addendum.</w:t>
      </w:r>
    </w:p>
    <w:p w:rsidR="009B3794" w:rsidRPr="00CA224C" w:rsidP="00CA3DA6" w14:paraId="2E6D3F5D" w14:textId="31F9FF17">
      <w:pPr>
        <w:numPr>
          <w:ilvl w:val="0"/>
          <w:numId w:val="2"/>
        </w:numPr>
        <w:spacing w:before="240"/>
        <w:rPr>
          <w:b/>
          <w:sz w:val="24"/>
        </w:rPr>
      </w:pPr>
      <w:r w:rsidRPr="00CA224C">
        <w:rPr>
          <w:b/>
          <w:sz w:val="24"/>
          <w:u w:val="single"/>
        </w:rPr>
        <w:t>Efforts to Identify Duplication and Use of Similar Information</w:t>
      </w:r>
    </w:p>
    <w:p w:rsidR="004B0702" w:rsidP="00CA224C" w14:paraId="292568E1" w14:textId="62680328">
      <w:pPr>
        <w:spacing w:before="120"/>
        <w:rPr>
          <w:sz w:val="24"/>
        </w:rPr>
      </w:pPr>
      <w:r w:rsidRPr="00CA224C">
        <w:rPr>
          <w:sz w:val="24"/>
        </w:rPr>
        <w:t xml:space="preserve">Data of the type required to evaluate or monitor each of the </w:t>
      </w:r>
      <w:r w:rsidR="00704589">
        <w:rPr>
          <w:sz w:val="24"/>
        </w:rPr>
        <w:t xml:space="preserve">RWHAP </w:t>
      </w:r>
      <w:r w:rsidRPr="00CA224C">
        <w:rPr>
          <w:sz w:val="24"/>
        </w:rPr>
        <w:t xml:space="preserve">Parts are not available elsewhere. </w:t>
      </w:r>
      <w:r w:rsidR="00DD3BA4">
        <w:rPr>
          <w:sz w:val="24"/>
        </w:rPr>
        <w:t>Curr</w:t>
      </w:r>
      <w:r w:rsidR="00B45BA4">
        <w:rPr>
          <w:sz w:val="24"/>
        </w:rPr>
        <w:t>ently, r</w:t>
      </w:r>
      <w:r>
        <w:rPr>
          <w:sz w:val="24"/>
        </w:rPr>
        <w:t xml:space="preserve">ecipients </w:t>
      </w:r>
      <w:r w:rsidRPr="004B0702">
        <w:rPr>
          <w:sz w:val="24"/>
        </w:rPr>
        <w:t>report financial data to HRSA at the beginning (Allocations Report) and at the end of each grant budget period (Expenditures Report) using the Electronic Handbooks</w:t>
      </w:r>
      <w:r>
        <w:rPr>
          <w:sz w:val="24"/>
        </w:rPr>
        <w:t xml:space="preserve"> (OMB control #0915-0318)</w:t>
      </w:r>
      <w:r w:rsidRPr="004B0702">
        <w:rPr>
          <w:sz w:val="24"/>
        </w:rPr>
        <w:t>.</w:t>
      </w:r>
      <w:r>
        <w:rPr>
          <w:sz w:val="24"/>
        </w:rPr>
        <w:t xml:space="preserve"> </w:t>
      </w:r>
      <w:r w:rsidRPr="004B0702">
        <w:rPr>
          <w:sz w:val="24"/>
        </w:rPr>
        <w:t xml:space="preserve">HAB RWHAP’s Parts A and B </w:t>
      </w:r>
      <w:r w:rsidR="00402F31">
        <w:rPr>
          <w:sz w:val="24"/>
        </w:rPr>
        <w:t xml:space="preserve">must </w:t>
      </w:r>
      <w:r w:rsidRPr="004B0702">
        <w:rPr>
          <w:sz w:val="24"/>
        </w:rPr>
        <w:t xml:space="preserve">collect </w:t>
      </w:r>
      <w:r w:rsidRPr="004B0702">
        <w:rPr>
          <w:sz w:val="24"/>
        </w:rPr>
        <w:t>UOB of</w:t>
      </w:r>
      <w:r w:rsidRPr="004B0702">
        <w:rPr>
          <w:sz w:val="24"/>
        </w:rPr>
        <w:t xml:space="preserve"> federal funds by subprogram from their grant recipients. </w:t>
      </w:r>
      <w:r w:rsidR="00402F31">
        <w:rPr>
          <w:sz w:val="24"/>
        </w:rPr>
        <w:t>Therefore, t</w:t>
      </w:r>
      <w:r w:rsidRPr="004B0702">
        <w:rPr>
          <w:sz w:val="24"/>
        </w:rPr>
        <w:t xml:space="preserve">he exact amount of UOB must be reported on the final FFR, due annually </w:t>
      </w:r>
      <w:r w:rsidR="00C32549">
        <w:rPr>
          <w:sz w:val="24"/>
        </w:rPr>
        <w:t>90 days</w:t>
      </w:r>
      <w:r w:rsidRPr="004B0702">
        <w:rPr>
          <w:sz w:val="24"/>
        </w:rPr>
        <w:t xml:space="preserve"> after the end of the budget period</w:t>
      </w:r>
      <w:r>
        <w:rPr>
          <w:sz w:val="24"/>
        </w:rPr>
        <w:t xml:space="preserve">. </w:t>
      </w:r>
    </w:p>
    <w:p w:rsidR="009B3794" w:rsidRPr="00CA224C" w:rsidP="00CA3DA6" w14:paraId="2E6D3F5F" w14:textId="77777777">
      <w:pPr>
        <w:numPr>
          <w:ilvl w:val="0"/>
          <w:numId w:val="2"/>
        </w:numPr>
        <w:spacing w:before="240"/>
        <w:rPr>
          <w:color w:val="000000"/>
          <w:sz w:val="24"/>
        </w:rPr>
      </w:pPr>
      <w:r w:rsidRPr="00CA224C">
        <w:rPr>
          <w:b/>
          <w:sz w:val="24"/>
          <w:u w:val="single"/>
        </w:rPr>
        <w:t>Impact on Small Businesses or Other Small Entities</w:t>
      </w:r>
    </w:p>
    <w:p w:rsidR="00B86F68" w:rsidP="00CA224C" w14:paraId="7AF092AF" w14:textId="12AA840E">
      <w:pPr>
        <w:spacing w:before="240"/>
        <w:rPr>
          <w:sz w:val="24"/>
        </w:rPr>
      </w:pPr>
      <w:r w:rsidRPr="00B86F68">
        <w:rPr>
          <w:sz w:val="24"/>
        </w:rPr>
        <w:t xml:space="preserve">This information collection </w:t>
      </w:r>
      <w:r>
        <w:rPr>
          <w:sz w:val="24"/>
        </w:rPr>
        <w:t xml:space="preserve">does not </w:t>
      </w:r>
      <w:r w:rsidRPr="00B86F68">
        <w:rPr>
          <w:sz w:val="24"/>
        </w:rPr>
        <w:t>include small entities</w:t>
      </w:r>
      <w:r>
        <w:rPr>
          <w:sz w:val="24"/>
        </w:rPr>
        <w:t xml:space="preserve">. </w:t>
      </w:r>
      <w:r w:rsidRPr="00B86F68">
        <w:rPr>
          <w:sz w:val="24"/>
        </w:rPr>
        <w:t xml:space="preserve">The information being requested or required has been held to the minimum required for the intended use. </w:t>
      </w:r>
    </w:p>
    <w:p w:rsidR="00B86F68" w:rsidP="00CA224C" w14:paraId="3298BB3E" w14:textId="77777777">
      <w:pPr>
        <w:spacing w:before="240"/>
        <w:rPr>
          <w:sz w:val="24"/>
        </w:rPr>
      </w:pPr>
    </w:p>
    <w:p w:rsidR="009B3794" w:rsidRPr="00CA224C" w:rsidP="00CA224C" w14:paraId="2E6D3F65" w14:textId="6BCB5D18">
      <w:pPr>
        <w:pStyle w:val="ListParagraph"/>
        <w:numPr>
          <w:ilvl w:val="0"/>
          <w:numId w:val="2"/>
        </w:numPr>
        <w:rPr>
          <w:b/>
          <w:sz w:val="24"/>
        </w:rPr>
      </w:pPr>
      <w:r w:rsidRPr="00CA224C">
        <w:rPr>
          <w:b/>
          <w:sz w:val="24"/>
          <w:u w:val="single"/>
        </w:rPr>
        <w:t>Consequences of Collecting the Information Less Frequent</w:t>
      </w:r>
      <w:r w:rsidRPr="00CA224C" w:rsidR="001325B2">
        <w:rPr>
          <w:b/>
          <w:sz w:val="24"/>
          <w:u w:val="single"/>
        </w:rPr>
        <w:t>ly</w:t>
      </w:r>
    </w:p>
    <w:p w:rsidR="004B0702" w:rsidP="00CA224C" w14:paraId="73BF5807" w14:textId="5EF532A4">
      <w:pPr>
        <w:rPr>
          <w:b/>
          <w:sz w:val="24"/>
        </w:rPr>
      </w:pPr>
    </w:p>
    <w:p w:rsidR="00B86F68" w:rsidRPr="00CB78EC" w:rsidP="00BD6F3D" w14:paraId="6F4D8426" w14:textId="3474AF05">
      <w:pPr>
        <w:widowControl/>
        <w:autoSpaceDE/>
        <w:autoSpaceDN/>
        <w:adjustRightInd/>
        <w:spacing w:before="120"/>
        <w:rPr>
          <w:sz w:val="24"/>
        </w:rPr>
      </w:pPr>
      <w:r w:rsidRPr="00CA224C">
        <w:rPr>
          <w:sz w:val="24"/>
        </w:rPr>
        <w:t xml:space="preserve">HRSA </w:t>
      </w:r>
      <w:r>
        <w:rPr>
          <w:sz w:val="24"/>
        </w:rPr>
        <w:t xml:space="preserve">HAB’s RWHAP Part A </w:t>
      </w:r>
      <w:r w:rsidR="00BD6F3D">
        <w:rPr>
          <w:sz w:val="24"/>
        </w:rPr>
        <w:t xml:space="preserve">and B </w:t>
      </w:r>
      <w:r>
        <w:rPr>
          <w:sz w:val="24"/>
        </w:rPr>
        <w:t xml:space="preserve">recipients report these financial data once each year. </w:t>
      </w:r>
      <w:r w:rsidR="001F76DA">
        <w:rPr>
          <w:sz w:val="24"/>
        </w:rPr>
        <w:t xml:space="preserve"> </w:t>
      </w:r>
    </w:p>
    <w:p w:rsidR="00B86F68" w:rsidRPr="00CA224C" w:rsidP="00CA224C" w14:paraId="3A5F0B9E" w14:textId="77777777">
      <w:pPr>
        <w:rPr>
          <w:sz w:val="24"/>
        </w:rPr>
      </w:pPr>
    </w:p>
    <w:p w:rsidR="009B3794" w:rsidRPr="00EB00DD" w:rsidP="00CA224C" w14:paraId="2E6D3F6A" w14:textId="6BE11FB4">
      <w:pPr>
        <w:pStyle w:val="ListParagraph"/>
        <w:numPr>
          <w:ilvl w:val="0"/>
          <w:numId w:val="2"/>
        </w:numPr>
        <w:rPr>
          <w:b/>
          <w:sz w:val="24"/>
        </w:rPr>
      </w:pPr>
      <w:r w:rsidRPr="00CA224C">
        <w:rPr>
          <w:b/>
          <w:sz w:val="24"/>
          <w:u w:val="single"/>
        </w:rPr>
        <w:t>Special Circumstances Relating to the Guidelines of 5 CFR 1320.5</w:t>
      </w:r>
    </w:p>
    <w:p w:rsidR="00EB00DD" w:rsidRPr="00CA224C" w:rsidP="00EB00DD" w14:paraId="368A29B6" w14:textId="77777777">
      <w:pPr>
        <w:pStyle w:val="ListParagraph"/>
        <w:ind w:left="360"/>
        <w:rPr>
          <w:b/>
          <w:sz w:val="24"/>
        </w:rPr>
      </w:pPr>
    </w:p>
    <w:p w:rsidR="00EB00DD" w:rsidP="00CA224C" w14:paraId="1C3661F1" w14:textId="65590418">
      <w:pPr>
        <w:widowControl/>
        <w:spacing w:before="120"/>
        <w:rPr>
          <w:sz w:val="24"/>
        </w:rPr>
      </w:pPr>
      <w:r w:rsidRPr="00CA224C">
        <w:rPr>
          <w:sz w:val="24"/>
        </w:rPr>
        <w:t>T</w:t>
      </w:r>
      <w:r w:rsidRPr="00CA224C" w:rsidR="009B3794">
        <w:rPr>
          <w:sz w:val="24"/>
        </w:rPr>
        <w:t>he request fully complies with the regulation.</w:t>
      </w:r>
    </w:p>
    <w:p w:rsidR="009B3794" w:rsidRPr="00CA224C" w:rsidP="00CA3DA6" w14:paraId="2E6D3F74" w14:textId="77777777">
      <w:pPr>
        <w:numPr>
          <w:ilvl w:val="0"/>
          <w:numId w:val="2"/>
        </w:numPr>
        <w:spacing w:before="240"/>
        <w:rPr>
          <w:b/>
          <w:sz w:val="24"/>
        </w:rPr>
      </w:pPr>
      <w:r w:rsidRPr="00CA224C">
        <w:rPr>
          <w:b/>
          <w:iCs/>
          <w:sz w:val="24"/>
          <w:u w:val="single"/>
        </w:rPr>
        <w:t>Comments in Response to the Federal Register</w:t>
      </w:r>
      <w:r w:rsidRPr="00CA224C">
        <w:rPr>
          <w:b/>
          <w:sz w:val="24"/>
          <w:u w:val="single"/>
        </w:rPr>
        <w:t xml:space="preserve"> Notice/Outside Consultation</w:t>
      </w:r>
    </w:p>
    <w:p w:rsidR="00DE3A45" w:rsidRPr="00CA224C" w:rsidP="00CA3DA6" w14:paraId="2E6D3F75" w14:textId="77777777">
      <w:pPr>
        <w:spacing w:before="120"/>
        <w:rPr>
          <w:b/>
          <w:sz w:val="28"/>
          <w:szCs w:val="28"/>
        </w:rPr>
      </w:pPr>
      <w:r w:rsidRPr="00CA224C">
        <w:rPr>
          <w:b/>
          <w:sz w:val="28"/>
          <w:szCs w:val="28"/>
        </w:rPr>
        <w:t>Section 8A:</w:t>
      </w:r>
    </w:p>
    <w:p w:rsidR="009B3794" w:rsidP="00CA224C" w14:paraId="2E6D3F78" w14:textId="0D3FA91D">
      <w:pPr>
        <w:spacing w:before="120"/>
        <w:rPr>
          <w:sz w:val="24"/>
        </w:rPr>
      </w:pPr>
      <w:r>
        <w:rPr>
          <w:sz w:val="24"/>
        </w:rPr>
        <w:t xml:space="preserve">A 60-day Federal Register Notice was published in the </w:t>
      </w:r>
      <w:r w:rsidRPr="00CA224C">
        <w:rPr>
          <w:i/>
          <w:sz w:val="24"/>
        </w:rPr>
        <w:t>Federal Register</w:t>
      </w:r>
      <w:r>
        <w:rPr>
          <w:sz w:val="24"/>
        </w:rPr>
        <w:t xml:space="preserve"> on </w:t>
      </w:r>
      <w:r w:rsidR="00C44A06">
        <w:rPr>
          <w:sz w:val="24"/>
        </w:rPr>
        <w:t>August</w:t>
      </w:r>
      <w:r w:rsidR="00875F72">
        <w:rPr>
          <w:sz w:val="24"/>
        </w:rPr>
        <w:t xml:space="preserve"> </w:t>
      </w:r>
      <w:r w:rsidR="009A4DA5">
        <w:rPr>
          <w:sz w:val="24"/>
        </w:rPr>
        <w:t>2</w:t>
      </w:r>
      <w:r w:rsidR="00205A4C">
        <w:rPr>
          <w:sz w:val="24"/>
        </w:rPr>
        <w:t>9</w:t>
      </w:r>
      <w:r>
        <w:rPr>
          <w:sz w:val="24"/>
        </w:rPr>
        <w:t>, 20</w:t>
      </w:r>
      <w:r w:rsidR="009A4DA5">
        <w:rPr>
          <w:sz w:val="24"/>
        </w:rPr>
        <w:t>2</w:t>
      </w:r>
      <w:r w:rsidR="00205A4C">
        <w:rPr>
          <w:sz w:val="24"/>
        </w:rPr>
        <w:t>5</w:t>
      </w:r>
      <w:r>
        <w:rPr>
          <w:sz w:val="24"/>
        </w:rPr>
        <w:t xml:space="preserve"> (Vol. </w:t>
      </w:r>
      <w:r w:rsidR="00CE20D6">
        <w:rPr>
          <w:sz w:val="24"/>
        </w:rPr>
        <w:t>90</w:t>
      </w:r>
      <w:r>
        <w:rPr>
          <w:sz w:val="24"/>
        </w:rPr>
        <w:t>, No. 1</w:t>
      </w:r>
      <w:r w:rsidR="00935C66">
        <w:rPr>
          <w:sz w:val="24"/>
        </w:rPr>
        <w:t>66</w:t>
      </w:r>
      <w:r>
        <w:rPr>
          <w:sz w:val="24"/>
        </w:rPr>
        <w:t xml:space="preserve">, pp. </w:t>
      </w:r>
      <w:r w:rsidR="009A4DA5">
        <w:rPr>
          <w:sz w:val="24"/>
        </w:rPr>
        <w:t>4</w:t>
      </w:r>
      <w:r w:rsidR="00F62286">
        <w:rPr>
          <w:sz w:val="24"/>
        </w:rPr>
        <w:t>2253</w:t>
      </w:r>
      <w:r>
        <w:rPr>
          <w:sz w:val="24"/>
        </w:rPr>
        <w:t>-</w:t>
      </w:r>
      <w:r w:rsidR="009A4DA5">
        <w:rPr>
          <w:sz w:val="24"/>
        </w:rPr>
        <w:t>4</w:t>
      </w:r>
      <w:r w:rsidR="00F62286">
        <w:rPr>
          <w:sz w:val="24"/>
        </w:rPr>
        <w:t>2255</w:t>
      </w:r>
      <w:r>
        <w:rPr>
          <w:sz w:val="24"/>
        </w:rPr>
        <w:t xml:space="preserve">). There were no public comments. </w:t>
      </w:r>
    </w:p>
    <w:p w:rsidR="00B12DD6" w:rsidRPr="00CA224C" w:rsidP="00CA224C" w14:paraId="1631A28A" w14:textId="2D186D0E">
      <w:pPr>
        <w:spacing w:before="120"/>
        <w:rPr>
          <w:b/>
          <w:sz w:val="24"/>
        </w:rPr>
      </w:pPr>
      <w:r>
        <w:rPr>
          <w:sz w:val="24"/>
        </w:rPr>
        <w:t xml:space="preserve">A 30-day Federal Register Notice was published in the </w:t>
      </w:r>
      <w:r w:rsidRPr="00CA224C">
        <w:rPr>
          <w:i/>
          <w:sz w:val="24"/>
        </w:rPr>
        <w:t>Federal Register</w:t>
      </w:r>
      <w:r>
        <w:rPr>
          <w:sz w:val="24"/>
        </w:rPr>
        <w:t xml:space="preserve"> on January 7, 2026 (Vol. </w:t>
      </w:r>
      <w:r w:rsidR="006F19CD">
        <w:rPr>
          <w:sz w:val="24"/>
        </w:rPr>
        <w:t>91</w:t>
      </w:r>
      <w:r>
        <w:rPr>
          <w:sz w:val="24"/>
        </w:rPr>
        <w:t xml:space="preserve">, No. </w:t>
      </w:r>
      <w:r w:rsidR="00226260">
        <w:rPr>
          <w:sz w:val="24"/>
        </w:rPr>
        <w:t>4</w:t>
      </w:r>
      <w:r>
        <w:rPr>
          <w:sz w:val="24"/>
        </w:rPr>
        <w:t xml:space="preserve">, pp. </w:t>
      </w:r>
      <w:r w:rsidR="00164E35">
        <w:rPr>
          <w:sz w:val="24"/>
        </w:rPr>
        <w:t>510-512</w:t>
      </w:r>
      <w:r>
        <w:rPr>
          <w:sz w:val="24"/>
        </w:rPr>
        <w:t>).</w:t>
      </w:r>
    </w:p>
    <w:p w:rsidR="00DE3A45" w:rsidRPr="00CA224C" w:rsidP="00CA3DA6" w14:paraId="2E6D3F79" w14:textId="77777777">
      <w:pPr>
        <w:spacing w:before="120"/>
        <w:rPr>
          <w:b/>
          <w:sz w:val="28"/>
          <w:szCs w:val="28"/>
        </w:rPr>
      </w:pPr>
      <w:r w:rsidRPr="00CA224C">
        <w:rPr>
          <w:b/>
          <w:sz w:val="28"/>
          <w:szCs w:val="28"/>
        </w:rPr>
        <w:t>Section 8B:</w:t>
      </w:r>
    </w:p>
    <w:p w:rsidR="00697810" w:rsidP="00CA224C" w14:paraId="71701F84" w14:textId="2C1245A9">
      <w:pPr>
        <w:spacing w:before="120"/>
        <w:rPr>
          <w:sz w:val="24"/>
        </w:rPr>
      </w:pPr>
      <w:r>
        <w:rPr>
          <w:sz w:val="24"/>
        </w:rPr>
        <w:t>In 20</w:t>
      </w:r>
      <w:r w:rsidR="00030B24">
        <w:rPr>
          <w:sz w:val="24"/>
        </w:rPr>
        <w:t>2</w:t>
      </w:r>
      <w:r w:rsidR="00DA795D">
        <w:rPr>
          <w:sz w:val="24"/>
        </w:rPr>
        <w:t>2</w:t>
      </w:r>
      <w:r w:rsidR="007E7297">
        <w:rPr>
          <w:sz w:val="24"/>
        </w:rPr>
        <w:t>,</w:t>
      </w:r>
      <w:r>
        <w:rPr>
          <w:sz w:val="24"/>
        </w:rPr>
        <w:t xml:space="preserve"> input on burden and the impact of </w:t>
      </w:r>
      <w:r w:rsidR="00186641">
        <w:rPr>
          <w:sz w:val="24"/>
        </w:rPr>
        <w:t xml:space="preserve">completing </w:t>
      </w:r>
      <w:r>
        <w:rPr>
          <w:sz w:val="24"/>
        </w:rPr>
        <w:t xml:space="preserve">the reporting in an electronic format on the burden was provided by eight </w:t>
      </w:r>
      <w:r w:rsidR="00BC264F">
        <w:rPr>
          <w:sz w:val="24"/>
        </w:rPr>
        <w:t xml:space="preserve">(8) </w:t>
      </w:r>
      <w:r>
        <w:rPr>
          <w:sz w:val="24"/>
        </w:rPr>
        <w:t xml:space="preserve">recipient representatives outside of the agency. There were </w:t>
      </w:r>
      <w:r>
        <w:rPr>
          <w:sz w:val="24"/>
        </w:rPr>
        <w:t xml:space="preserve">four grant recipients representing </w:t>
      </w:r>
      <w:r w:rsidR="00780EC5">
        <w:rPr>
          <w:sz w:val="24"/>
        </w:rPr>
        <w:t xml:space="preserve">RWHAP </w:t>
      </w:r>
      <w:r>
        <w:rPr>
          <w:sz w:val="24"/>
        </w:rPr>
        <w:t xml:space="preserve">Part A and four representing </w:t>
      </w:r>
      <w:r w:rsidR="00780EC5">
        <w:rPr>
          <w:sz w:val="24"/>
        </w:rPr>
        <w:t xml:space="preserve">RWHAP </w:t>
      </w:r>
      <w:r>
        <w:rPr>
          <w:sz w:val="24"/>
        </w:rPr>
        <w:t xml:space="preserve">Part B. </w:t>
      </w:r>
    </w:p>
    <w:p w:rsidR="009B3794" w:rsidRPr="00CA224C" w:rsidP="00CA3DA6" w14:paraId="2E6D3F82" w14:textId="77777777">
      <w:pPr>
        <w:numPr>
          <w:ilvl w:val="0"/>
          <w:numId w:val="2"/>
        </w:numPr>
        <w:spacing w:before="240"/>
        <w:rPr>
          <w:b/>
          <w:sz w:val="24"/>
        </w:rPr>
      </w:pPr>
      <w:r w:rsidRPr="00CA224C">
        <w:rPr>
          <w:b/>
          <w:sz w:val="24"/>
          <w:u w:val="single"/>
        </w:rPr>
        <w:t>Explanation of any Payment/Gift to Respondents</w:t>
      </w:r>
    </w:p>
    <w:p w:rsidR="00935E77" w:rsidP="00CA224C" w14:paraId="2E6D3F85" w14:textId="4C743B4A">
      <w:pPr>
        <w:spacing w:before="120"/>
        <w:rPr>
          <w:sz w:val="24"/>
        </w:rPr>
      </w:pPr>
      <w:r w:rsidRPr="00CA224C">
        <w:rPr>
          <w:sz w:val="24"/>
        </w:rPr>
        <w:t xml:space="preserve">Respondents </w:t>
      </w:r>
      <w:r w:rsidR="00C73E0E">
        <w:rPr>
          <w:sz w:val="24"/>
        </w:rPr>
        <w:t>did</w:t>
      </w:r>
      <w:r w:rsidRPr="00CA224C" w:rsidR="00C73E0E">
        <w:rPr>
          <w:sz w:val="24"/>
        </w:rPr>
        <w:t xml:space="preserve"> </w:t>
      </w:r>
      <w:r w:rsidRPr="00CA224C">
        <w:rPr>
          <w:sz w:val="24"/>
        </w:rPr>
        <w:t xml:space="preserve">not receive </w:t>
      </w:r>
      <w:r w:rsidRPr="00CA224C" w:rsidR="008B04CA">
        <w:rPr>
          <w:sz w:val="24"/>
        </w:rPr>
        <w:t xml:space="preserve">any </w:t>
      </w:r>
      <w:r w:rsidRPr="00CA224C">
        <w:rPr>
          <w:sz w:val="24"/>
        </w:rPr>
        <w:t>payment</w:t>
      </w:r>
      <w:r w:rsidRPr="00CA224C" w:rsidR="008B04CA">
        <w:rPr>
          <w:sz w:val="24"/>
        </w:rPr>
        <w:t>s</w:t>
      </w:r>
      <w:r w:rsidRPr="00CA224C">
        <w:rPr>
          <w:sz w:val="24"/>
        </w:rPr>
        <w:t xml:space="preserve"> or gifts.</w:t>
      </w:r>
    </w:p>
    <w:p w:rsidR="009B3794" w:rsidRPr="00CA224C" w:rsidP="00CA3DA6" w14:paraId="2E6D3F86" w14:textId="77777777">
      <w:pPr>
        <w:numPr>
          <w:ilvl w:val="0"/>
          <w:numId w:val="2"/>
        </w:numPr>
        <w:spacing w:before="240"/>
        <w:rPr>
          <w:b/>
          <w:sz w:val="24"/>
        </w:rPr>
      </w:pPr>
      <w:r w:rsidRPr="00CA224C">
        <w:rPr>
          <w:b/>
          <w:sz w:val="24"/>
          <w:u w:val="single"/>
        </w:rPr>
        <w:t>Assurance of Confidentiality Provided to Respondents</w:t>
      </w:r>
    </w:p>
    <w:p w:rsidR="00FC739B" w:rsidP="00CA224C" w14:paraId="33693113" w14:textId="77777777">
      <w:pPr>
        <w:rPr>
          <w:sz w:val="24"/>
        </w:rPr>
      </w:pPr>
    </w:p>
    <w:p w:rsidR="00FC739B" w:rsidP="00CA224C" w14:paraId="105E3FC3" w14:textId="6A176711">
      <w:pPr>
        <w:rPr>
          <w:sz w:val="24"/>
        </w:rPr>
      </w:pPr>
      <w:r w:rsidRPr="00CA224C">
        <w:rPr>
          <w:sz w:val="24"/>
        </w:rPr>
        <w:t xml:space="preserve">The UOB and </w:t>
      </w:r>
      <w:r w:rsidR="00BC6080">
        <w:rPr>
          <w:sz w:val="24"/>
        </w:rPr>
        <w:t>r</w:t>
      </w:r>
      <w:r w:rsidRPr="00CA224C">
        <w:rPr>
          <w:sz w:val="24"/>
        </w:rPr>
        <w:t xml:space="preserve">ebate </w:t>
      </w:r>
      <w:r w:rsidR="00BC6080">
        <w:rPr>
          <w:sz w:val="24"/>
        </w:rPr>
        <w:t>a</w:t>
      </w:r>
      <w:r w:rsidRPr="00CA224C">
        <w:rPr>
          <w:sz w:val="24"/>
        </w:rPr>
        <w:t>ddendum financial data does not require any information that could identify individual clients. Aggregate data on the amount of funding authorized, unexpended carryover</w:t>
      </w:r>
      <w:r w:rsidR="00C73E0E">
        <w:rPr>
          <w:sz w:val="24"/>
        </w:rPr>
        <w:t>, prior year,</w:t>
      </w:r>
      <w:r w:rsidRPr="00CA224C">
        <w:rPr>
          <w:sz w:val="24"/>
        </w:rPr>
        <w:t xml:space="preserve"> and </w:t>
      </w:r>
      <w:r w:rsidR="00C73E0E">
        <w:rPr>
          <w:sz w:val="24"/>
        </w:rPr>
        <w:t xml:space="preserve">current year </w:t>
      </w:r>
      <w:r w:rsidRPr="00CA224C">
        <w:rPr>
          <w:sz w:val="24"/>
        </w:rPr>
        <w:t xml:space="preserve">balances for </w:t>
      </w:r>
      <w:r w:rsidR="00BC6080">
        <w:rPr>
          <w:sz w:val="24"/>
        </w:rPr>
        <w:t xml:space="preserve">RWHAP </w:t>
      </w:r>
      <w:r w:rsidRPr="00CA224C">
        <w:rPr>
          <w:sz w:val="24"/>
        </w:rPr>
        <w:t>Part</w:t>
      </w:r>
      <w:r w:rsidR="00C73E0E">
        <w:rPr>
          <w:sz w:val="24"/>
        </w:rPr>
        <w:t>s</w:t>
      </w:r>
      <w:r w:rsidRPr="00CA224C">
        <w:rPr>
          <w:sz w:val="24"/>
        </w:rPr>
        <w:t xml:space="preserve"> A and Part B recipients, an </w:t>
      </w:r>
      <w:r w:rsidRPr="00CA224C" w:rsidR="00CB78EC">
        <w:rPr>
          <w:sz w:val="24"/>
        </w:rPr>
        <w:t xml:space="preserve">aggregate </w:t>
      </w:r>
      <w:r w:rsidRPr="00CA224C" w:rsidR="00CB78EC">
        <w:rPr>
          <w:sz w:val="24"/>
        </w:rPr>
        <w:t>amount</w:t>
      </w:r>
      <w:r w:rsidRPr="00CA224C" w:rsidR="00CB78EC">
        <w:rPr>
          <w:sz w:val="24"/>
        </w:rPr>
        <w:t xml:space="preserve"> of rebates</w:t>
      </w:r>
      <w:r w:rsidRPr="00CA224C">
        <w:rPr>
          <w:sz w:val="24"/>
        </w:rPr>
        <w:t xml:space="preserve"> allotted</w:t>
      </w:r>
      <w:r w:rsidRPr="00CA224C">
        <w:rPr>
          <w:sz w:val="24"/>
        </w:rPr>
        <w:t>,</w:t>
      </w:r>
      <w:r>
        <w:rPr>
          <w:sz w:val="24"/>
        </w:rPr>
        <w:t xml:space="preserve"> </w:t>
      </w:r>
      <w:r w:rsidRPr="00CA224C">
        <w:rPr>
          <w:sz w:val="24"/>
        </w:rPr>
        <w:t xml:space="preserve">unexpended and expended will </w:t>
      </w:r>
      <w:r w:rsidR="00C73E0E">
        <w:rPr>
          <w:sz w:val="24"/>
        </w:rPr>
        <w:t xml:space="preserve">continue to </w:t>
      </w:r>
      <w:r w:rsidRPr="00CA224C">
        <w:rPr>
          <w:sz w:val="24"/>
        </w:rPr>
        <w:t xml:space="preserve">be collected. No personally identifiable information will </w:t>
      </w:r>
      <w:r w:rsidRPr="00CA224C">
        <w:rPr>
          <w:sz w:val="24"/>
        </w:rPr>
        <w:t xml:space="preserve">be </w:t>
      </w:r>
      <w:r w:rsidRPr="00CA224C">
        <w:rPr>
          <w:sz w:val="24"/>
        </w:rPr>
        <w:t>collected.</w:t>
      </w:r>
    </w:p>
    <w:p w:rsidR="00FC739B" w:rsidP="00CA224C" w14:paraId="7C25D439" w14:textId="75CA0DE2">
      <w:pPr>
        <w:rPr>
          <w:sz w:val="24"/>
        </w:rPr>
      </w:pPr>
    </w:p>
    <w:p w:rsidR="00FC739B" w:rsidRPr="00CA224C" w:rsidP="00CA224C" w14:paraId="63839102" w14:textId="29750374">
      <w:pPr>
        <w:pStyle w:val="ListParagraph"/>
        <w:numPr>
          <w:ilvl w:val="0"/>
          <w:numId w:val="2"/>
        </w:numPr>
        <w:rPr>
          <w:b/>
          <w:sz w:val="24"/>
          <w:u w:val="single"/>
        </w:rPr>
      </w:pPr>
      <w:r w:rsidRPr="00CA224C">
        <w:rPr>
          <w:b/>
          <w:sz w:val="24"/>
          <w:u w:val="single"/>
        </w:rPr>
        <w:t>Justification for Sensitive Questions</w:t>
      </w:r>
    </w:p>
    <w:p w:rsidR="00FC739B" w:rsidRPr="00CA224C" w:rsidP="00CA224C" w14:paraId="6FB8FF1C" w14:textId="65C8B925">
      <w:pPr>
        <w:rPr>
          <w:sz w:val="28"/>
        </w:rPr>
      </w:pPr>
      <w:r w:rsidRPr="00CA224C">
        <w:rPr>
          <w:sz w:val="24"/>
        </w:rPr>
        <w:t xml:space="preserve"> </w:t>
      </w:r>
      <w:r w:rsidRPr="00CA224C">
        <w:rPr>
          <w:sz w:val="24"/>
          <w:szCs w:val="22"/>
        </w:rPr>
        <w:t xml:space="preserve">There are no questions of a sensitive nature. </w:t>
      </w:r>
    </w:p>
    <w:p w:rsidR="009B3794" w:rsidRPr="00CA224C" w:rsidP="00CA3DA6" w14:paraId="2E6D3F94" w14:textId="77777777">
      <w:pPr>
        <w:numPr>
          <w:ilvl w:val="0"/>
          <w:numId w:val="2"/>
        </w:numPr>
        <w:spacing w:before="240"/>
        <w:rPr>
          <w:sz w:val="24"/>
        </w:rPr>
      </w:pPr>
      <w:r w:rsidRPr="00CA224C">
        <w:rPr>
          <w:b/>
          <w:sz w:val="24"/>
          <w:u w:val="single"/>
        </w:rPr>
        <w:t xml:space="preserve">Estimates of Annualized Hour and Cost Burden  </w:t>
      </w:r>
    </w:p>
    <w:p w:rsidR="00FC739B" w:rsidP="00CA224C" w14:paraId="465479F6" w14:textId="132BA27B">
      <w:pPr>
        <w:widowControl/>
        <w:spacing w:before="120"/>
        <w:rPr>
          <w:sz w:val="24"/>
        </w:rPr>
      </w:pPr>
      <w:r w:rsidRPr="00FC739B">
        <w:rPr>
          <w:sz w:val="24"/>
        </w:rPr>
        <w:t>The estimated average annualized hour burden is 5</w:t>
      </w:r>
      <w:r w:rsidR="00670623">
        <w:rPr>
          <w:sz w:val="24"/>
        </w:rPr>
        <w:t>5</w:t>
      </w:r>
      <w:r w:rsidR="00FE3BE1">
        <w:rPr>
          <w:sz w:val="24"/>
        </w:rPr>
        <w:t>.5</w:t>
      </w:r>
      <w:r w:rsidRPr="00FC739B">
        <w:rPr>
          <w:sz w:val="24"/>
        </w:rPr>
        <w:t xml:space="preserve"> hours per year.  Burden estimates are </w:t>
      </w:r>
      <w:r w:rsidR="00FE3BE1">
        <w:rPr>
          <w:sz w:val="24"/>
        </w:rPr>
        <w:t xml:space="preserve">reported </w:t>
      </w:r>
      <w:r w:rsidRPr="00FC739B">
        <w:rPr>
          <w:sz w:val="24"/>
        </w:rPr>
        <w:t xml:space="preserve">by burden to </w:t>
      </w:r>
      <w:r w:rsidR="00670623">
        <w:rPr>
          <w:sz w:val="24"/>
        </w:rPr>
        <w:t xml:space="preserve">RWHAP </w:t>
      </w:r>
      <w:r w:rsidR="00FE3BE1">
        <w:rPr>
          <w:sz w:val="24"/>
        </w:rPr>
        <w:t>Part</w:t>
      </w:r>
      <w:r w:rsidR="00670623">
        <w:rPr>
          <w:sz w:val="24"/>
        </w:rPr>
        <w:t>s</w:t>
      </w:r>
      <w:r w:rsidR="00FE3BE1">
        <w:rPr>
          <w:sz w:val="24"/>
        </w:rPr>
        <w:t xml:space="preserve"> A and Part B </w:t>
      </w:r>
      <w:r w:rsidRPr="00FC739B">
        <w:rPr>
          <w:sz w:val="24"/>
        </w:rPr>
        <w:t>gran</w:t>
      </w:r>
      <w:r w:rsidR="00FE3BE1">
        <w:rPr>
          <w:sz w:val="24"/>
        </w:rPr>
        <w:t>t</w:t>
      </w:r>
      <w:r w:rsidRPr="00FC739B">
        <w:rPr>
          <w:sz w:val="24"/>
        </w:rPr>
        <w:t xml:space="preserve"> </w:t>
      </w:r>
      <w:r w:rsidR="00FE3BE1">
        <w:rPr>
          <w:sz w:val="24"/>
        </w:rPr>
        <w:t>recipient respondents</w:t>
      </w:r>
      <w:r w:rsidRPr="00FC739B">
        <w:rPr>
          <w:sz w:val="24"/>
        </w:rPr>
        <w:t>, as seen in Table 1 (Estimate</w:t>
      </w:r>
      <w:r w:rsidR="00BC6080">
        <w:rPr>
          <w:sz w:val="24"/>
        </w:rPr>
        <w:t xml:space="preserve">d Annualized Burden Hours </w:t>
      </w:r>
      <w:r w:rsidRPr="00FC739B">
        <w:rPr>
          <w:sz w:val="24"/>
        </w:rPr>
        <w:t xml:space="preserve">to Respondents). </w:t>
      </w:r>
    </w:p>
    <w:p w:rsidR="00EA18E7" w:rsidP="00EA18E7" w14:paraId="21E32BD2" w14:textId="77777777">
      <w:pPr>
        <w:widowControl/>
        <w:autoSpaceDE/>
        <w:autoSpaceDN/>
        <w:adjustRightInd/>
        <w:rPr>
          <w:sz w:val="24"/>
        </w:rPr>
      </w:pPr>
    </w:p>
    <w:p w:rsidR="009B3794" w:rsidRPr="00CA224C" w:rsidP="00EA18E7" w14:paraId="2E6D3F97" w14:textId="2314E4C4">
      <w:pPr>
        <w:widowControl/>
        <w:autoSpaceDE/>
        <w:autoSpaceDN/>
        <w:adjustRightInd/>
        <w:rPr>
          <w:sz w:val="24"/>
        </w:rPr>
      </w:pPr>
      <w:r w:rsidRPr="00CA224C">
        <w:rPr>
          <w:b/>
          <w:sz w:val="28"/>
          <w:szCs w:val="28"/>
        </w:rPr>
        <w:t>12A.</w:t>
      </w:r>
      <w:r w:rsidRPr="00CA224C">
        <w:rPr>
          <w:sz w:val="24"/>
        </w:rPr>
        <w:t xml:space="preserve">        </w:t>
      </w:r>
      <w:r w:rsidRPr="00CA224C">
        <w:rPr>
          <w:b/>
          <w:sz w:val="24"/>
        </w:rPr>
        <w:t>Estimated Annualized Burden Hours</w:t>
      </w:r>
      <w:r w:rsidR="00BC6080">
        <w:rPr>
          <w:b/>
          <w:sz w:val="24"/>
        </w:rPr>
        <w:t xml:space="preserve"> to Respondents</w:t>
      </w:r>
    </w:p>
    <w:tbl>
      <w:tblPr>
        <w:tblpPr w:leftFromText="180" w:rightFromText="180" w:vertAnchor="text" w:horzAnchor="margin" w:tblpY="81"/>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1"/>
        <w:gridCol w:w="1415"/>
        <w:gridCol w:w="1609"/>
        <w:gridCol w:w="2017"/>
        <w:gridCol w:w="1390"/>
        <w:gridCol w:w="1170"/>
      </w:tblGrid>
      <w:tr w14:paraId="2E6D3FA9" w14:textId="77777777" w:rsidTr="00BC6080">
        <w:tblPrEx>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189"/>
        </w:trPr>
        <w:tc>
          <w:tcPr>
            <w:tcW w:w="2101" w:type="dxa"/>
            <w:vAlign w:val="center"/>
          </w:tcPr>
          <w:p w:rsidR="003D7324" w:rsidRPr="00F6218D" w:rsidP="00BC6080" w14:paraId="2E6D3F98" w14:textId="77777777">
            <w:pPr>
              <w:widowControl/>
              <w:tabs>
                <w:tab w:val="num" w:pos="1080"/>
              </w:tabs>
              <w:jc w:val="center"/>
              <w:rPr>
                <w:b/>
                <w:bCs/>
                <w:sz w:val="22"/>
                <w:szCs w:val="22"/>
              </w:rPr>
            </w:pPr>
            <w:r w:rsidRPr="00F6218D">
              <w:rPr>
                <w:b/>
                <w:bCs/>
                <w:sz w:val="22"/>
                <w:szCs w:val="22"/>
              </w:rPr>
              <w:t>Type of</w:t>
            </w:r>
          </w:p>
          <w:p w:rsidR="003D7324" w:rsidRPr="00F6218D" w:rsidP="00BC6080" w14:paraId="2E6D3F99" w14:textId="77777777">
            <w:pPr>
              <w:widowControl/>
              <w:tabs>
                <w:tab w:val="num" w:pos="1080"/>
              </w:tabs>
              <w:jc w:val="center"/>
              <w:rPr>
                <w:b/>
                <w:bCs/>
                <w:sz w:val="22"/>
                <w:szCs w:val="22"/>
              </w:rPr>
            </w:pPr>
            <w:r w:rsidRPr="00F6218D">
              <w:rPr>
                <w:b/>
                <w:bCs/>
                <w:sz w:val="22"/>
                <w:szCs w:val="22"/>
              </w:rPr>
              <w:t>Respondent</w:t>
            </w:r>
          </w:p>
          <w:p w:rsidR="003D7324" w:rsidRPr="00F6218D" w:rsidP="00BC6080" w14:paraId="2E6D3F9A" w14:textId="77777777">
            <w:pPr>
              <w:widowControl/>
              <w:tabs>
                <w:tab w:val="num" w:pos="1080"/>
              </w:tabs>
              <w:jc w:val="center"/>
              <w:rPr>
                <w:b/>
                <w:bCs/>
                <w:sz w:val="22"/>
                <w:szCs w:val="22"/>
              </w:rPr>
            </w:pPr>
          </w:p>
        </w:tc>
        <w:tc>
          <w:tcPr>
            <w:tcW w:w="1415" w:type="dxa"/>
            <w:vAlign w:val="center"/>
          </w:tcPr>
          <w:p w:rsidR="003D7324" w:rsidRPr="00F6218D" w:rsidP="00BC6080" w14:paraId="2E6D3F9E" w14:textId="77777777">
            <w:pPr>
              <w:widowControl/>
              <w:tabs>
                <w:tab w:val="num" w:pos="1080"/>
              </w:tabs>
              <w:jc w:val="center"/>
              <w:rPr>
                <w:b/>
                <w:bCs/>
                <w:sz w:val="22"/>
                <w:szCs w:val="22"/>
              </w:rPr>
            </w:pPr>
            <w:r w:rsidRPr="00F6218D">
              <w:rPr>
                <w:b/>
                <w:bCs/>
                <w:sz w:val="22"/>
                <w:szCs w:val="22"/>
              </w:rPr>
              <w:t>No. of</w:t>
            </w:r>
          </w:p>
          <w:p w:rsidR="003D7324" w:rsidRPr="00F6218D" w:rsidP="00BC6080" w14:paraId="2E6D3F9F" w14:textId="77777777">
            <w:pPr>
              <w:widowControl/>
              <w:tabs>
                <w:tab w:val="num" w:pos="1080"/>
              </w:tabs>
              <w:jc w:val="center"/>
              <w:rPr>
                <w:b/>
                <w:bCs/>
                <w:sz w:val="22"/>
                <w:szCs w:val="22"/>
              </w:rPr>
            </w:pPr>
            <w:r w:rsidRPr="00F6218D">
              <w:rPr>
                <w:b/>
                <w:bCs/>
                <w:sz w:val="22"/>
                <w:szCs w:val="22"/>
              </w:rPr>
              <w:t>Respondents</w:t>
            </w:r>
          </w:p>
        </w:tc>
        <w:tc>
          <w:tcPr>
            <w:tcW w:w="1609" w:type="dxa"/>
            <w:vAlign w:val="center"/>
          </w:tcPr>
          <w:p w:rsidR="003D7324" w:rsidRPr="00F6218D" w:rsidP="00BC6080" w14:paraId="2E6D3FA0" w14:textId="77777777">
            <w:pPr>
              <w:widowControl/>
              <w:tabs>
                <w:tab w:val="num" w:pos="1080"/>
              </w:tabs>
              <w:jc w:val="center"/>
              <w:rPr>
                <w:b/>
                <w:bCs/>
                <w:sz w:val="22"/>
                <w:szCs w:val="22"/>
              </w:rPr>
            </w:pPr>
            <w:r w:rsidRPr="00F6218D">
              <w:rPr>
                <w:b/>
                <w:bCs/>
                <w:sz w:val="22"/>
                <w:szCs w:val="22"/>
              </w:rPr>
              <w:t>No.</w:t>
            </w:r>
          </w:p>
          <w:p w:rsidR="003D7324" w:rsidRPr="00F6218D" w:rsidP="00BC6080" w14:paraId="2E6D3FA1" w14:textId="77777777">
            <w:pPr>
              <w:widowControl/>
              <w:tabs>
                <w:tab w:val="num" w:pos="1080"/>
              </w:tabs>
              <w:jc w:val="center"/>
              <w:rPr>
                <w:b/>
                <w:bCs/>
                <w:sz w:val="22"/>
                <w:szCs w:val="22"/>
              </w:rPr>
            </w:pPr>
            <w:r w:rsidRPr="00F6218D">
              <w:rPr>
                <w:b/>
                <w:bCs/>
                <w:sz w:val="22"/>
                <w:szCs w:val="22"/>
              </w:rPr>
              <w:t>Responses</w:t>
            </w:r>
          </w:p>
          <w:p w:rsidR="003D7324" w:rsidRPr="00F6218D" w:rsidP="00BC6080" w14:paraId="2E6D3FA2" w14:textId="77777777">
            <w:pPr>
              <w:widowControl/>
              <w:tabs>
                <w:tab w:val="num" w:pos="1080"/>
              </w:tabs>
              <w:jc w:val="center"/>
              <w:rPr>
                <w:b/>
                <w:bCs/>
                <w:sz w:val="22"/>
                <w:szCs w:val="22"/>
              </w:rPr>
            </w:pPr>
            <w:r w:rsidRPr="00F6218D">
              <w:rPr>
                <w:b/>
                <w:bCs/>
                <w:sz w:val="22"/>
                <w:szCs w:val="22"/>
              </w:rPr>
              <w:t>per</w:t>
            </w:r>
          </w:p>
          <w:p w:rsidR="003D7324" w:rsidRPr="00F6218D" w:rsidP="00BC6080" w14:paraId="2E6D3FA3" w14:textId="77777777">
            <w:pPr>
              <w:widowControl/>
              <w:tabs>
                <w:tab w:val="num" w:pos="1080"/>
              </w:tabs>
              <w:jc w:val="center"/>
              <w:rPr>
                <w:b/>
                <w:bCs/>
                <w:sz w:val="22"/>
                <w:szCs w:val="22"/>
              </w:rPr>
            </w:pPr>
            <w:r w:rsidRPr="00F6218D">
              <w:rPr>
                <w:b/>
                <w:bCs/>
                <w:sz w:val="22"/>
                <w:szCs w:val="22"/>
              </w:rPr>
              <w:t>Respondent</w:t>
            </w:r>
          </w:p>
        </w:tc>
        <w:tc>
          <w:tcPr>
            <w:tcW w:w="2017" w:type="dxa"/>
          </w:tcPr>
          <w:p w:rsidR="003D7324" w:rsidP="00BC6080" w14:paraId="4BBE1816" w14:textId="77777777">
            <w:pPr>
              <w:widowControl/>
              <w:tabs>
                <w:tab w:val="num" w:pos="1080"/>
              </w:tabs>
              <w:jc w:val="center"/>
              <w:rPr>
                <w:b/>
                <w:bCs/>
                <w:sz w:val="22"/>
                <w:szCs w:val="22"/>
              </w:rPr>
            </w:pPr>
          </w:p>
          <w:p w:rsidR="003D7324" w:rsidP="00BC6080" w14:paraId="5C7FE8AC" w14:textId="77777777">
            <w:pPr>
              <w:widowControl/>
              <w:tabs>
                <w:tab w:val="num" w:pos="1080"/>
              </w:tabs>
              <w:jc w:val="center"/>
              <w:rPr>
                <w:b/>
                <w:bCs/>
                <w:sz w:val="22"/>
                <w:szCs w:val="22"/>
              </w:rPr>
            </w:pPr>
          </w:p>
          <w:p w:rsidR="003D7324" w:rsidP="00BC6080" w14:paraId="0AE96D16" w14:textId="77777777">
            <w:pPr>
              <w:widowControl/>
              <w:tabs>
                <w:tab w:val="num" w:pos="1080"/>
              </w:tabs>
              <w:jc w:val="center"/>
              <w:rPr>
                <w:b/>
                <w:bCs/>
                <w:sz w:val="22"/>
                <w:szCs w:val="22"/>
              </w:rPr>
            </w:pPr>
          </w:p>
          <w:p w:rsidR="003D7324" w:rsidRPr="00F6218D" w:rsidP="00BC6080" w14:paraId="54EF25E4" w14:textId="08FDC7DF">
            <w:pPr>
              <w:widowControl/>
              <w:tabs>
                <w:tab w:val="num" w:pos="1080"/>
              </w:tabs>
              <w:jc w:val="center"/>
              <w:rPr>
                <w:b/>
                <w:bCs/>
                <w:sz w:val="22"/>
                <w:szCs w:val="22"/>
              </w:rPr>
            </w:pPr>
            <w:r>
              <w:rPr>
                <w:b/>
                <w:bCs/>
                <w:sz w:val="22"/>
                <w:szCs w:val="22"/>
              </w:rPr>
              <w:t>Total Responses</w:t>
            </w:r>
          </w:p>
        </w:tc>
        <w:tc>
          <w:tcPr>
            <w:tcW w:w="1390" w:type="dxa"/>
            <w:vAlign w:val="center"/>
          </w:tcPr>
          <w:p w:rsidR="003D7324" w:rsidRPr="00F6218D" w:rsidP="00BC6080" w14:paraId="2E6D3FA4" w14:textId="4E05F0AE">
            <w:pPr>
              <w:widowControl/>
              <w:tabs>
                <w:tab w:val="num" w:pos="1080"/>
              </w:tabs>
              <w:jc w:val="center"/>
              <w:rPr>
                <w:b/>
                <w:bCs/>
                <w:sz w:val="22"/>
                <w:szCs w:val="22"/>
              </w:rPr>
            </w:pPr>
            <w:r w:rsidRPr="00F6218D">
              <w:rPr>
                <w:b/>
                <w:bCs/>
                <w:sz w:val="22"/>
                <w:szCs w:val="22"/>
              </w:rPr>
              <w:t>Average</w:t>
            </w:r>
          </w:p>
          <w:p w:rsidR="003D7324" w:rsidRPr="00F6218D" w:rsidP="00BC6080" w14:paraId="2E6D3FA5" w14:textId="77777777">
            <w:pPr>
              <w:widowControl/>
              <w:tabs>
                <w:tab w:val="num" w:pos="1080"/>
              </w:tabs>
              <w:jc w:val="center"/>
              <w:rPr>
                <w:b/>
                <w:bCs/>
                <w:sz w:val="22"/>
                <w:szCs w:val="22"/>
              </w:rPr>
            </w:pPr>
            <w:r w:rsidRPr="00F6218D">
              <w:rPr>
                <w:b/>
                <w:bCs/>
                <w:sz w:val="22"/>
                <w:szCs w:val="22"/>
              </w:rPr>
              <w:t>Burden per</w:t>
            </w:r>
          </w:p>
          <w:p w:rsidR="003D7324" w:rsidRPr="00F6218D" w:rsidP="00BC6080" w14:paraId="2E6D3FA6" w14:textId="77777777">
            <w:pPr>
              <w:widowControl/>
              <w:tabs>
                <w:tab w:val="num" w:pos="1080"/>
              </w:tabs>
              <w:jc w:val="center"/>
              <w:rPr>
                <w:b/>
                <w:bCs/>
                <w:sz w:val="22"/>
                <w:szCs w:val="22"/>
              </w:rPr>
            </w:pPr>
            <w:r w:rsidRPr="00F6218D">
              <w:rPr>
                <w:b/>
                <w:bCs/>
                <w:sz w:val="22"/>
                <w:szCs w:val="22"/>
              </w:rPr>
              <w:t>Response</w:t>
            </w:r>
          </w:p>
          <w:p w:rsidR="003D7324" w:rsidRPr="00F6218D" w:rsidP="00BC6080" w14:paraId="2E6D3FA7" w14:textId="77777777">
            <w:pPr>
              <w:widowControl/>
              <w:tabs>
                <w:tab w:val="num" w:pos="1080"/>
              </w:tabs>
              <w:jc w:val="center"/>
              <w:rPr>
                <w:b/>
                <w:bCs/>
                <w:sz w:val="22"/>
                <w:szCs w:val="22"/>
              </w:rPr>
            </w:pPr>
            <w:r w:rsidRPr="00F6218D">
              <w:rPr>
                <w:b/>
                <w:bCs/>
                <w:sz w:val="22"/>
                <w:szCs w:val="22"/>
              </w:rPr>
              <w:t>(in hours)</w:t>
            </w:r>
          </w:p>
        </w:tc>
        <w:tc>
          <w:tcPr>
            <w:tcW w:w="1170" w:type="dxa"/>
            <w:vAlign w:val="center"/>
          </w:tcPr>
          <w:p w:rsidR="003D7324" w:rsidRPr="00F6218D" w:rsidP="00BC6080" w14:paraId="2E6D3FA8" w14:textId="77777777">
            <w:pPr>
              <w:widowControl/>
              <w:tabs>
                <w:tab w:val="num" w:pos="1080"/>
              </w:tabs>
              <w:jc w:val="center"/>
              <w:rPr>
                <w:b/>
                <w:bCs/>
                <w:sz w:val="22"/>
                <w:szCs w:val="22"/>
              </w:rPr>
            </w:pPr>
            <w:r w:rsidRPr="00F6218D">
              <w:rPr>
                <w:b/>
                <w:bCs/>
                <w:sz w:val="22"/>
                <w:szCs w:val="22"/>
              </w:rPr>
              <w:t>Total Burden Hours</w:t>
            </w:r>
          </w:p>
        </w:tc>
      </w:tr>
      <w:tr w14:paraId="2E6D3FB0" w14:textId="77777777" w:rsidTr="00BC6080">
        <w:tblPrEx>
          <w:tblW w:w="9702" w:type="dxa"/>
          <w:tblLook w:val="01E0"/>
        </w:tblPrEx>
        <w:trPr>
          <w:trHeight w:val="679"/>
        </w:trPr>
        <w:tc>
          <w:tcPr>
            <w:tcW w:w="2101" w:type="dxa"/>
            <w:vAlign w:val="center"/>
          </w:tcPr>
          <w:p w:rsidR="003D7324" w:rsidRPr="00F6218D" w:rsidP="00BC6080" w14:paraId="2E6D3FAA" w14:textId="11746092">
            <w:pPr>
              <w:widowControl/>
              <w:tabs>
                <w:tab w:val="num" w:pos="1080"/>
              </w:tabs>
              <w:spacing w:before="120"/>
              <w:jc w:val="center"/>
              <w:rPr>
                <w:b/>
                <w:bCs/>
                <w:sz w:val="22"/>
                <w:szCs w:val="22"/>
              </w:rPr>
            </w:pPr>
            <w:r>
              <w:rPr>
                <w:b/>
                <w:bCs/>
                <w:sz w:val="22"/>
                <w:szCs w:val="22"/>
              </w:rPr>
              <w:t xml:space="preserve">RWHAP </w:t>
            </w:r>
            <w:r w:rsidRPr="00F6218D">
              <w:rPr>
                <w:b/>
                <w:bCs/>
                <w:sz w:val="22"/>
                <w:szCs w:val="22"/>
              </w:rPr>
              <w:t xml:space="preserve">Part A </w:t>
            </w:r>
            <w:r>
              <w:rPr>
                <w:b/>
                <w:bCs/>
                <w:sz w:val="22"/>
                <w:szCs w:val="22"/>
              </w:rPr>
              <w:t>UOB Table</w:t>
            </w:r>
          </w:p>
        </w:tc>
        <w:tc>
          <w:tcPr>
            <w:tcW w:w="1415" w:type="dxa"/>
            <w:vAlign w:val="center"/>
          </w:tcPr>
          <w:p w:rsidR="003D7324" w:rsidRPr="00F6218D" w:rsidP="00BC6080" w14:paraId="2E6D3FAC" w14:textId="4C1D076D">
            <w:pPr>
              <w:widowControl/>
              <w:tabs>
                <w:tab w:val="num" w:pos="1080"/>
              </w:tabs>
              <w:jc w:val="center"/>
              <w:rPr>
                <w:b/>
                <w:bCs/>
                <w:sz w:val="22"/>
                <w:szCs w:val="22"/>
              </w:rPr>
            </w:pPr>
            <w:r w:rsidRPr="00F6218D">
              <w:rPr>
                <w:sz w:val="22"/>
                <w:szCs w:val="22"/>
              </w:rPr>
              <w:t>52</w:t>
            </w:r>
          </w:p>
        </w:tc>
        <w:tc>
          <w:tcPr>
            <w:tcW w:w="1609" w:type="dxa"/>
            <w:vAlign w:val="center"/>
          </w:tcPr>
          <w:p w:rsidR="003D7324" w:rsidRPr="00F6218D" w:rsidP="00BC6080" w14:paraId="2E6D3FAD" w14:textId="10B2D15E">
            <w:pPr>
              <w:widowControl/>
              <w:tabs>
                <w:tab w:val="num" w:pos="1080"/>
              </w:tabs>
              <w:jc w:val="center"/>
              <w:rPr>
                <w:b/>
                <w:bCs/>
                <w:sz w:val="22"/>
                <w:szCs w:val="22"/>
              </w:rPr>
            </w:pPr>
            <w:r w:rsidRPr="00F6218D">
              <w:rPr>
                <w:sz w:val="22"/>
                <w:szCs w:val="22"/>
              </w:rPr>
              <w:t>1</w:t>
            </w:r>
          </w:p>
        </w:tc>
        <w:tc>
          <w:tcPr>
            <w:tcW w:w="2017" w:type="dxa"/>
          </w:tcPr>
          <w:p w:rsidR="0085263A" w:rsidP="00BC6080" w14:paraId="06335758" w14:textId="77777777">
            <w:pPr>
              <w:widowControl/>
              <w:tabs>
                <w:tab w:val="num" w:pos="1080"/>
              </w:tabs>
              <w:jc w:val="center"/>
              <w:rPr>
                <w:sz w:val="22"/>
                <w:szCs w:val="22"/>
              </w:rPr>
            </w:pPr>
          </w:p>
          <w:p w:rsidR="003D7324" w:rsidRPr="00F6218D" w:rsidP="00BC6080" w14:paraId="502CC42E" w14:textId="14C289F6">
            <w:pPr>
              <w:widowControl/>
              <w:tabs>
                <w:tab w:val="num" w:pos="1080"/>
              </w:tabs>
              <w:jc w:val="center"/>
              <w:rPr>
                <w:sz w:val="22"/>
                <w:szCs w:val="22"/>
              </w:rPr>
            </w:pPr>
            <w:r>
              <w:rPr>
                <w:sz w:val="22"/>
                <w:szCs w:val="22"/>
              </w:rPr>
              <w:t>52</w:t>
            </w:r>
          </w:p>
        </w:tc>
        <w:tc>
          <w:tcPr>
            <w:tcW w:w="1390" w:type="dxa"/>
            <w:vAlign w:val="center"/>
          </w:tcPr>
          <w:p w:rsidR="003D7324" w:rsidRPr="00F6218D" w:rsidP="00BC6080" w14:paraId="2E6D3FAE" w14:textId="239338C1">
            <w:pPr>
              <w:widowControl/>
              <w:tabs>
                <w:tab w:val="num" w:pos="1080"/>
              </w:tabs>
              <w:jc w:val="center"/>
              <w:rPr>
                <w:b/>
                <w:bCs/>
                <w:sz w:val="22"/>
                <w:szCs w:val="22"/>
              </w:rPr>
            </w:pPr>
            <w:r>
              <w:rPr>
                <w:sz w:val="22"/>
                <w:szCs w:val="22"/>
              </w:rPr>
              <w:t>.5</w:t>
            </w:r>
          </w:p>
        </w:tc>
        <w:tc>
          <w:tcPr>
            <w:tcW w:w="1170" w:type="dxa"/>
            <w:vAlign w:val="center"/>
          </w:tcPr>
          <w:p w:rsidR="003D7324" w:rsidRPr="00F6218D" w:rsidP="00BC6080" w14:paraId="2E6D3FAF" w14:textId="4ED50CA0">
            <w:pPr>
              <w:widowControl/>
              <w:tabs>
                <w:tab w:val="num" w:pos="1080"/>
              </w:tabs>
              <w:jc w:val="center"/>
              <w:rPr>
                <w:b/>
                <w:bCs/>
                <w:sz w:val="22"/>
                <w:szCs w:val="22"/>
              </w:rPr>
            </w:pPr>
            <w:r w:rsidRPr="00F6218D">
              <w:rPr>
                <w:sz w:val="22"/>
                <w:szCs w:val="22"/>
              </w:rPr>
              <w:t>2</w:t>
            </w:r>
            <w:r w:rsidR="00B7589E">
              <w:rPr>
                <w:sz w:val="22"/>
                <w:szCs w:val="22"/>
              </w:rPr>
              <w:t>6</w:t>
            </w:r>
          </w:p>
        </w:tc>
      </w:tr>
      <w:tr w14:paraId="2E6D3FB8" w14:textId="77777777" w:rsidTr="00BC6080">
        <w:tblPrEx>
          <w:tblW w:w="9702" w:type="dxa"/>
          <w:tblLook w:val="01E0"/>
        </w:tblPrEx>
        <w:trPr>
          <w:trHeight w:val="800"/>
        </w:trPr>
        <w:tc>
          <w:tcPr>
            <w:tcW w:w="2101" w:type="dxa"/>
            <w:vAlign w:val="center"/>
          </w:tcPr>
          <w:p w:rsidR="003D7324" w:rsidRPr="00F6218D" w:rsidP="00BC6080" w14:paraId="2E6D3FB1" w14:textId="35437B34">
            <w:pPr>
              <w:widowControl/>
              <w:tabs>
                <w:tab w:val="num" w:pos="1080"/>
              </w:tabs>
              <w:spacing w:before="120"/>
              <w:jc w:val="center"/>
              <w:rPr>
                <w:b/>
                <w:bCs/>
                <w:sz w:val="22"/>
                <w:szCs w:val="22"/>
              </w:rPr>
            </w:pPr>
            <w:r>
              <w:rPr>
                <w:b/>
                <w:bCs/>
                <w:sz w:val="22"/>
                <w:szCs w:val="22"/>
              </w:rPr>
              <w:t xml:space="preserve">RWHAP </w:t>
            </w:r>
            <w:r w:rsidRPr="00F6218D">
              <w:rPr>
                <w:b/>
                <w:bCs/>
                <w:sz w:val="22"/>
                <w:szCs w:val="22"/>
              </w:rPr>
              <w:t xml:space="preserve">Part B </w:t>
            </w:r>
            <w:r>
              <w:rPr>
                <w:b/>
                <w:bCs/>
                <w:sz w:val="22"/>
                <w:szCs w:val="22"/>
              </w:rPr>
              <w:t>UOB Table</w:t>
            </w:r>
          </w:p>
        </w:tc>
        <w:tc>
          <w:tcPr>
            <w:tcW w:w="1415" w:type="dxa"/>
            <w:vAlign w:val="center"/>
          </w:tcPr>
          <w:p w:rsidR="003D7324" w:rsidRPr="00F6218D" w:rsidP="00BC6080" w14:paraId="2E6D3FB3" w14:textId="286CCCA7">
            <w:pPr>
              <w:widowControl/>
              <w:tabs>
                <w:tab w:val="num" w:pos="1080"/>
              </w:tabs>
              <w:jc w:val="center"/>
              <w:rPr>
                <w:b/>
                <w:bCs/>
                <w:sz w:val="22"/>
                <w:szCs w:val="22"/>
              </w:rPr>
            </w:pPr>
            <w:r w:rsidRPr="00F6218D">
              <w:rPr>
                <w:sz w:val="22"/>
                <w:szCs w:val="22"/>
              </w:rPr>
              <w:t>59</w:t>
            </w:r>
          </w:p>
        </w:tc>
        <w:tc>
          <w:tcPr>
            <w:tcW w:w="1609" w:type="dxa"/>
            <w:vAlign w:val="center"/>
          </w:tcPr>
          <w:p w:rsidR="003D7324" w:rsidRPr="00F6218D" w:rsidP="00BC6080" w14:paraId="2E6D3FB4" w14:textId="77777777">
            <w:pPr>
              <w:widowControl/>
              <w:tabs>
                <w:tab w:val="num" w:pos="1080"/>
              </w:tabs>
              <w:jc w:val="center"/>
              <w:rPr>
                <w:b/>
                <w:bCs/>
                <w:sz w:val="22"/>
                <w:szCs w:val="22"/>
              </w:rPr>
            </w:pPr>
            <w:r w:rsidRPr="00F6218D">
              <w:rPr>
                <w:sz w:val="22"/>
                <w:szCs w:val="22"/>
              </w:rPr>
              <w:t>1</w:t>
            </w:r>
          </w:p>
        </w:tc>
        <w:tc>
          <w:tcPr>
            <w:tcW w:w="2017" w:type="dxa"/>
          </w:tcPr>
          <w:p w:rsidR="0085263A" w:rsidP="00BC6080" w14:paraId="0231A373" w14:textId="77777777">
            <w:pPr>
              <w:widowControl/>
              <w:tabs>
                <w:tab w:val="num" w:pos="1080"/>
              </w:tabs>
              <w:jc w:val="center"/>
              <w:rPr>
                <w:sz w:val="22"/>
                <w:szCs w:val="22"/>
              </w:rPr>
            </w:pPr>
          </w:p>
          <w:p w:rsidR="003D7324" w:rsidRPr="00F6218D" w:rsidP="00BC6080" w14:paraId="1A8166BA" w14:textId="5286387B">
            <w:pPr>
              <w:widowControl/>
              <w:tabs>
                <w:tab w:val="num" w:pos="1080"/>
              </w:tabs>
              <w:jc w:val="center"/>
              <w:rPr>
                <w:sz w:val="22"/>
                <w:szCs w:val="22"/>
              </w:rPr>
            </w:pPr>
            <w:r>
              <w:rPr>
                <w:sz w:val="22"/>
                <w:szCs w:val="22"/>
              </w:rPr>
              <w:t>59</w:t>
            </w:r>
          </w:p>
        </w:tc>
        <w:tc>
          <w:tcPr>
            <w:tcW w:w="1390" w:type="dxa"/>
            <w:vAlign w:val="center"/>
          </w:tcPr>
          <w:p w:rsidR="003D7324" w:rsidRPr="00F6218D" w:rsidP="00BC6080" w14:paraId="2E6D3FB5" w14:textId="46603338">
            <w:pPr>
              <w:widowControl/>
              <w:tabs>
                <w:tab w:val="num" w:pos="1080"/>
              </w:tabs>
              <w:jc w:val="center"/>
              <w:rPr>
                <w:b/>
                <w:bCs/>
                <w:sz w:val="22"/>
                <w:szCs w:val="22"/>
              </w:rPr>
            </w:pPr>
            <w:r>
              <w:rPr>
                <w:sz w:val="22"/>
                <w:szCs w:val="22"/>
              </w:rPr>
              <w:t>.5</w:t>
            </w:r>
          </w:p>
        </w:tc>
        <w:tc>
          <w:tcPr>
            <w:tcW w:w="1170" w:type="dxa"/>
            <w:vAlign w:val="center"/>
          </w:tcPr>
          <w:p w:rsidR="003D7324" w:rsidRPr="00F6218D" w:rsidP="00BC6080" w14:paraId="2E6D3FB6" w14:textId="2904DEC9">
            <w:pPr>
              <w:widowControl/>
              <w:tabs>
                <w:tab w:val="num" w:pos="1080"/>
              </w:tabs>
              <w:jc w:val="center"/>
              <w:rPr>
                <w:sz w:val="22"/>
                <w:szCs w:val="22"/>
              </w:rPr>
            </w:pPr>
            <w:r w:rsidRPr="00F6218D">
              <w:rPr>
                <w:sz w:val="22"/>
                <w:szCs w:val="22"/>
              </w:rPr>
              <w:t>29</w:t>
            </w:r>
            <w:r w:rsidR="00107222">
              <w:rPr>
                <w:sz w:val="22"/>
                <w:szCs w:val="22"/>
              </w:rPr>
              <w:t>.5</w:t>
            </w:r>
          </w:p>
          <w:p w:rsidR="003D7324" w:rsidRPr="00F6218D" w:rsidP="00BC6080" w14:paraId="2E6D3FB7" w14:textId="77777777">
            <w:pPr>
              <w:widowControl/>
              <w:tabs>
                <w:tab w:val="num" w:pos="1080"/>
              </w:tabs>
              <w:jc w:val="center"/>
              <w:rPr>
                <w:b/>
                <w:bCs/>
                <w:sz w:val="22"/>
                <w:szCs w:val="22"/>
              </w:rPr>
            </w:pPr>
          </w:p>
        </w:tc>
      </w:tr>
      <w:tr w14:paraId="2E6D3FC0" w14:textId="77777777" w:rsidTr="00BC6080">
        <w:tblPrEx>
          <w:tblW w:w="9702" w:type="dxa"/>
          <w:tblLook w:val="01E0"/>
        </w:tblPrEx>
        <w:trPr>
          <w:trHeight w:val="815"/>
        </w:trPr>
        <w:tc>
          <w:tcPr>
            <w:tcW w:w="2101" w:type="dxa"/>
            <w:vAlign w:val="center"/>
          </w:tcPr>
          <w:p w:rsidR="003D7324" w:rsidRPr="00F6218D" w:rsidP="00BC6080" w14:paraId="2E6D3FB9" w14:textId="35752D09">
            <w:pPr>
              <w:widowControl/>
              <w:tabs>
                <w:tab w:val="num" w:pos="1080"/>
              </w:tabs>
              <w:spacing w:before="120"/>
              <w:jc w:val="center"/>
              <w:rPr>
                <w:b/>
                <w:bCs/>
                <w:sz w:val="22"/>
                <w:szCs w:val="22"/>
              </w:rPr>
            </w:pPr>
            <w:r w:rsidRPr="00F6218D">
              <w:rPr>
                <w:b/>
                <w:bCs/>
                <w:sz w:val="22"/>
                <w:szCs w:val="22"/>
              </w:rPr>
              <w:t>Total</w:t>
            </w:r>
          </w:p>
        </w:tc>
        <w:tc>
          <w:tcPr>
            <w:tcW w:w="1415" w:type="dxa"/>
            <w:vAlign w:val="center"/>
          </w:tcPr>
          <w:p w:rsidR="003D7324" w:rsidRPr="00CB78EC" w:rsidP="00BC6080" w14:paraId="2E6D3FBB" w14:textId="1E768364">
            <w:pPr>
              <w:widowControl/>
              <w:tabs>
                <w:tab w:val="num" w:pos="1080"/>
              </w:tabs>
              <w:jc w:val="center"/>
              <w:rPr>
                <w:b/>
                <w:bCs/>
                <w:sz w:val="22"/>
                <w:szCs w:val="22"/>
              </w:rPr>
            </w:pPr>
            <w:r w:rsidRPr="00CB78EC">
              <w:rPr>
                <w:b/>
                <w:bCs/>
                <w:sz w:val="22"/>
                <w:szCs w:val="22"/>
              </w:rPr>
              <w:t>111</w:t>
            </w:r>
          </w:p>
        </w:tc>
        <w:tc>
          <w:tcPr>
            <w:tcW w:w="1609" w:type="dxa"/>
            <w:vAlign w:val="center"/>
          </w:tcPr>
          <w:p w:rsidR="003D7324" w:rsidRPr="00CB78EC" w:rsidP="00BC6080" w14:paraId="2E6D3FBC" w14:textId="77777777">
            <w:pPr>
              <w:widowControl/>
              <w:tabs>
                <w:tab w:val="num" w:pos="1080"/>
              </w:tabs>
              <w:jc w:val="center"/>
              <w:rPr>
                <w:b/>
                <w:bCs/>
                <w:sz w:val="22"/>
                <w:szCs w:val="22"/>
              </w:rPr>
            </w:pPr>
          </w:p>
        </w:tc>
        <w:tc>
          <w:tcPr>
            <w:tcW w:w="2017" w:type="dxa"/>
          </w:tcPr>
          <w:p w:rsidR="00CB78EC" w:rsidRPr="00CB78EC" w:rsidP="00BC6080" w14:paraId="645A2D97" w14:textId="77777777">
            <w:pPr>
              <w:widowControl/>
              <w:tabs>
                <w:tab w:val="num" w:pos="1080"/>
              </w:tabs>
              <w:jc w:val="center"/>
              <w:rPr>
                <w:b/>
                <w:bCs/>
                <w:sz w:val="22"/>
                <w:szCs w:val="22"/>
              </w:rPr>
            </w:pPr>
          </w:p>
          <w:p w:rsidR="003D7324" w:rsidRPr="00CB78EC" w:rsidP="00BC6080" w14:paraId="716550F1" w14:textId="11116B9D">
            <w:pPr>
              <w:widowControl/>
              <w:tabs>
                <w:tab w:val="num" w:pos="1080"/>
              </w:tabs>
              <w:jc w:val="center"/>
              <w:rPr>
                <w:b/>
                <w:bCs/>
                <w:sz w:val="22"/>
                <w:szCs w:val="22"/>
              </w:rPr>
            </w:pPr>
            <w:r w:rsidRPr="00CB78EC">
              <w:rPr>
                <w:b/>
                <w:bCs/>
                <w:sz w:val="22"/>
                <w:szCs w:val="22"/>
              </w:rPr>
              <w:t>111</w:t>
            </w:r>
          </w:p>
        </w:tc>
        <w:tc>
          <w:tcPr>
            <w:tcW w:w="1390" w:type="dxa"/>
            <w:vAlign w:val="center"/>
          </w:tcPr>
          <w:p w:rsidR="003D7324" w:rsidRPr="00F6218D" w:rsidP="00BC6080" w14:paraId="2E6D3FBD" w14:textId="714EA6E3">
            <w:pPr>
              <w:widowControl/>
              <w:tabs>
                <w:tab w:val="num" w:pos="1080"/>
              </w:tabs>
              <w:jc w:val="center"/>
              <w:rPr>
                <w:sz w:val="22"/>
                <w:szCs w:val="22"/>
              </w:rPr>
            </w:pPr>
          </w:p>
        </w:tc>
        <w:tc>
          <w:tcPr>
            <w:tcW w:w="1170" w:type="dxa"/>
            <w:vAlign w:val="center"/>
          </w:tcPr>
          <w:p w:rsidR="00CB78EC" w:rsidP="00BC6080" w14:paraId="2EDC266E" w14:textId="77777777">
            <w:pPr>
              <w:widowControl/>
              <w:tabs>
                <w:tab w:val="num" w:pos="1080"/>
              </w:tabs>
              <w:jc w:val="center"/>
              <w:rPr>
                <w:b/>
                <w:bCs/>
                <w:sz w:val="22"/>
                <w:szCs w:val="22"/>
              </w:rPr>
            </w:pPr>
          </w:p>
          <w:p w:rsidR="003D7324" w:rsidRPr="00F6218D" w:rsidP="00BC6080" w14:paraId="2E6D3FBF" w14:textId="3BE95A04">
            <w:pPr>
              <w:widowControl/>
              <w:tabs>
                <w:tab w:val="num" w:pos="1080"/>
              </w:tabs>
              <w:jc w:val="center"/>
              <w:rPr>
                <w:sz w:val="22"/>
                <w:szCs w:val="22"/>
              </w:rPr>
            </w:pPr>
            <w:r>
              <w:rPr>
                <w:b/>
                <w:bCs/>
                <w:sz w:val="22"/>
                <w:szCs w:val="22"/>
              </w:rPr>
              <w:t>55</w:t>
            </w:r>
            <w:r w:rsidR="00107222">
              <w:rPr>
                <w:b/>
                <w:bCs/>
                <w:sz w:val="22"/>
                <w:szCs w:val="22"/>
              </w:rPr>
              <w:t>.5</w:t>
            </w:r>
          </w:p>
        </w:tc>
      </w:tr>
    </w:tbl>
    <w:p w:rsidR="00BC6080" w:rsidP="00CA224C" w14:paraId="3DFE5258" w14:textId="77777777">
      <w:pPr>
        <w:widowControl/>
        <w:spacing w:before="120"/>
        <w:rPr>
          <w:b/>
          <w:sz w:val="28"/>
          <w:szCs w:val="28"/>
        </w:rPr>
      </w:pPr>
    </w:p>
    <w:p w:rsidR="00EA18E7" w:rsidP="00CA224C" w14:paraId="54584CFE" w14:textId="77777777">
      <w:pPr>
        <w:widowControl/>
        <w:spacing w:before="120"/>
        <w:rPr>
          <w:b/>
          <w:sz w:val="28"/>
          <w:szCs w:val="28"/>
        </w:rPr>
      </w:pPr>
    </w:p>
    <w:p w:rsidR="00EA18E7" w:rsidP="00CA224C" w14:paraId="2976AFCD" w14:textId="77777777">
      <w:pPr>
        <w:widowControl/>
        <w:spacing w:before="120"/>
        <w:rPr>
          <w:b/>
          <w:sz w:val="28"/>
          <w:szCs w:val="28"/>
        </w:rPr>
      </w:pPr>
    </w:p>
    <w:p w:rsidR="00EA18E7" w:rsidP="00CA224C" w14:paraId="3003DF59" w14:textId="77777777">
      <w:pPr>
        <w:widowControl/>
        <w:spacing w:before="120"/>
        <w:rPr>
          <w:b/>
          <w:sz w:val="28"/>
          <w:szCs w:val="28"/>
        </w:rPr>
      </w:pPr>
    </w:p>
    <w:p w:rsidR="009B3794" w:rsidRPr="00BC6080" w:rsidP="00CA224C" w14:paraId="2E6D3FCC" w14:textId="15C191AD">
      <w:pPr>
        <w:widowControl/>
        <w:spacing w:before="120"/>
        <w:rPr>
          <w:sz w:val="28"/>
          <w:szCs w:val="28"/>
        </w:rPr>
      </w:pPr>
      <w:r w:rsidRPr="00CA224C">
        <w:rPr>
          <w:b/>
          <w:sz w:val="28"/>
          <w:szCs w:val="28"/>
        </w:rPr>
        <w:t>12B</w:t>
      </w:r>
      <w:r w:rsidRPr="00CA224C">
        <w:rPr>
          <w:sz w:val="28"/>
          <w:szCs w:val="28"/>
        </w:rPr>
        <w:t xml:space="preserve">.  </w:t>
      </w:r>
      <w:r w:rsidRPr="00CA224C">
        <w:rPr>
          <w:b/>
          <w:sz w:val="24"/>
        </w:rPr>
        <w:t>Estimated Annualized Burden Costs</w:t>
      </w:r>
      <w:r w:rsidR="00BC6080">
        <w:rPr>
          <w:b/>
          <w:sz w:val="24"/>
        </w:rPr>
        <w:t xml:space="preserve"> to Respondents</w:t>
      </w: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5"/>
        <w:gridCol w:w="2445"/>
        <w:gridCol w:w="1710"/>
        <w:gridCol w:w="2880"/>
      </w:tblGrid>
      <w:tr w14:paraId="2E6D3FD8" w14:textId="77777777" w:rsidTr="00CA224C">
        <w:tblPrEx>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415" w:type="dxa"/>
            <w:vAlign w:val="center"/>
          </w:tcPr>
          <w:p w:rsidR="009B3794" w:rsidRPr="00CA224C" w:rsidP="00CA224C" w14:paraId="2E6D3FCD" w14:textId="77777777">
            <w:pPr>
              <w:widowControl/>
              <w:jc w:val="center"/>
              <w:rPr>
                <w:b/>
                <w:bCs/>
                <w:sz w:val="24"/>
              </w:rPr>
            </w:pPr>
            <w:r w:rsidRPr="00CA224C">
              <w:rPr>
                <w:b/>
                <w:bCs/>
                <w:sz w:val="24"/>
              </w:rPr>
              <w:t>Type of</w:t>
            </w:r>
          </w:p>
          <w:p w:rsidR="009B3794" w:rsidRPr="00CA224C" w:rsidP="00CA224C" w14:paraId="2E6D3FCE" w14:textId="77777777">
            <w:pPr>
              <w:widowControl/>
              <w:jc w:val="center"/>
              <w:rPr>
                <w:sz w:val="24"/>
              </w:rPr>
            </w:pPr>
            <w:r w:rsidRPr="00CA224C">
              <w:rPr>
                <w:b/>
                <w:bCs/>
                <w:sz w:val="24"/>
              </w:rPr>
              <w:t>Respondent</w:t>
            </w:r>
          </w:p>
          <w:p w:rsidR="009B3794" w:rsidRPr="00CA224C" w:rsidP="00CA224C" w14:paraId="2E6D3FCF" w14:textId="77777777">
            <w:pPr>
              <w:widowControl/>
              <w:jc w:val="center"/>
              <w:rPr>
                <w:b/>
                <w:bCs/>
                <w:sz w:val="24"/>
              </w:rPr>
            </w:pPr>
          </w:p>
        </w:tc>
        <w:tc>
          <w:tcPr>
            <w:tcW w:w="2445" w:type="dxa"/>
            <w:vAlign w:val="center"/>
          </w:tcPr>
          <w:p w:rsidR="009B3794" w:rsidRPr="00CA224C" w:rsidP="00CA224C" w14:paraId="2E6D3FD0" w14:textId="77777777">
            <w:pPr>
              <w:widowControl/>
              <w:jc w:val="center"/>
              <w:rPr>
                <w:b/>
                <w:bCs/>
                <w:sz w:val="24"/>
              </w:rPr>
            </w:pPr>
            <w:r w:rsidRPr="00CA224C">
              <w:rPr>
                <w:b/>
                <w:bCs/>
                <w:sz w:val="24"/>
              </w:rPr>
              <w:t>Total Burden</w:t>
            </w:r>
          </w:p>
          <w:p w:rsidR="009B3794" w:rsidRPr="00CA224C" w:rsidP="00CA224C" w14:paraId="2E6D3FD1" w14:textId="77777777">
            <w:pPr>
              <w:widowControl/>
              <w:jc w:val="center"/>
              <w:rPr>
                <w:sz w:val="24"/>
              </w:rPr>
            </w:pPr>
            <w:r w:rsidRPr="00CA224C">
              <w:rPr>
                <w:b/>
                <w:bCs/>
                <w:sz w:val="24"/>
              </w:rPr>
              <w:t>Hours</w:t>
            </w:r>
          </w:p>
          <w:p w:rsidR="009B3794" w:rsidRPr="00CA224C" w:rsidP="00CA224C" w14:paraId="2E6D3FD2" w14:textId="77777777">
            <w:pPr>
              <w:widowControl/>
              <w:jc w:val="center"/>
              <w:rPr>
                <w:b/>
                <w:bCs/>
                <w:sz w:val="24"/>
              </w:rPr>
            </w:pPr>
          </w:p>
        </w:tc>
        <w:tc>
          <w:tcPr>
            <w:tcW w:w="1710" w:type="dxa"/>
            <w:vAlign w:val="center"/>
          </w:tcPr>
          <w:p w:rsidR="009B3794" w:rsidRPr="00CA224C" w:rsidP="00CA224C" w14:paraId="2E6D3FD3" w14:textId="77777777">
            <w:pPr>
              <w:widowControl/>
              <w:jc w:val="center"/>
              <w:rPr>
                <w:b/>
                <w:bCs/>
                <w:sz w:val="24"/>
              </w:rPr>
            </w:pPr>
            <w:r w:rsidRPr="00CA224C">
              <w:rPr>
                <w:b/>
                <w:bCs/>
                <w:sz w:val="24"/>
              </w:rPr>
              <w:t>Hourly</w:t>
            </w:r>
          </w:p>
          <w:p w:rsidR="009B3794" w:rsidRPr="00CA224C" w:rsidP="00CA224C" w14:paraId="2E6D3FD4" w14:textId="77777777">
            <w:pPr>
              <w:widowControl/>
              <w:jc w:val="center"/>
              <w:rPr>
                <w:sz w:val="24"/>
              </w:rPr>
            </w:pPr>
            <w:r w:rsidRPr="00CA224C">
              <w:rPr>
                <w:b/>
                <w:bCs/>
                <w:sz w:val="24"/>
              </w:rPr>
              <w:t>Wage Rate</w:t>
            </w:r>
          </w:p>
          <w:p w:rsidR="009B3794" w:rsidRPr="00CA224C" w:rsidP="00CA224C" w14:paraId="2E6D3FD5" w14:textId="77777777">
            <w:pPr>
              <w:widowControl/>
              <w:jc w:val="center"/>
              <w:rPr>
                <w:b/>
                <w:bCs/>
                <w:sz w:val="24"/>
              </w:rPr>
            </w:pPr>
          </w:p>
        </w:tc>
        <w:tc>
          <w:tcPr>
            <w:tcW w:w="2880" w:type="dxa"/>
            <w:vAlign w:val="center"/>
          </w:tcPr>
          <w:p w:rsidR="009B3794" w:rsidRPr="00CA224C" w:rsidP="00CA224C" w14:paraId="2E6D3FD6" w14:textId="77777777">
            <w:pPr>
              <w:widowControl/>
              <w:jc w:val="center"/>
              <w:rPr>
                <w:sz w:val="24"/>
              </w:rPr>
            </w:pPr>
            <w:r w:rsidRPr="00CA224C">
              <w:rPr>
                <w:b/>
                <w:bCs/>
                <w:sz w:val="24"/>
              </w:rPr>
              <w:t>Total Respondent Costs</w:t>
            </w:r>
          </w:p>
          <w:p w:rsidR="009B3794" w:rsidRPr="00CA224C" w:rsidP="00CA224C" w14:paraId="2E6D3FD7" w14:textId="77777777">
            <w:pPr>
              <w:widowControl/>
              <w:jc w:val="center"/>
              <w:rPr>
                <w:b/>
                <w:bCs/>
                <w:sz w:val="24"/>
              </w:rPr>
            </w:pPr>
          </w:p>
        </w:tc>
      </w:tr>
      <w:tr w14:paraId="2E6D3FDD" w14:textId="77777777" w:rsidTr="00CA224C">
        <w:tblPrEx>
          <w:tblW w:w="9450" w:type="dxa"/>
          <w:tblInd w:w="-5" w:type="dxa"/>
          <w:tblLook w:val="01E0"/>
        </w:tblPrEx>
        <w:tc>
          <w:tcPr>
            <w:tcW w:w="2415" w:type="dxa"/>
            <w:vAlign w:val="center"/>
          </w:tcPr>
          <w:p w:rsidR="009B3794" w:rsidRPr="00621417" w:rsidP="00CA224C" w14:paraId="2E6D3FD9" w14:textId="7A1FABB8">
            <w:pPr>
              <w:spacing w:before="120"/>
              <w:jc w:val="center"/>
              <w:rPr>
                <w:sz w:val="24"/>
              </w:rPr>
            </w:pPr>
            <w:r>
              <w:rPr>
                <w:sz w:val="24"/>
              </w:rPr>
              <w:t xml:space="preserve">RWHAP </w:t>
            </w:r>
            <w:r w:rsidRPr="00621417" w:rsidR="00FE3BE1">
              <w:rPr>
                <w:sz w:val="24"/>
              </w:rPr>
              <w:t>Part A Grant Recipients</w:t>
            </w:r>
          </w:p>
        </w:tc>
        <w:tc>
          <w:tcPr>
            <w:tcW w:w="2445" w:type="dxa"/>
            <w:vAlign w:val="center"/>
          </w:tcPr>
          <w:p w:rsidR="009B3794" w:rsidRPr="00621417" w:rsidP="00CA224C" w14:paraId="2E6D3FDA" w14:textId="364C5159">
            <w:pPr>
              <w:spacing w:before="120"/>
              <w:jc w:val="center"/>
              <w:rPr>
                <w:sz w:val="24"/>
              </w:rPr>
            </w:pPr>
            <w:r w:rsidRPr="00621417">
              <w:rPr>
                <w:sz w:val="24"/>
              </w:rPr>
              <w:t>2</w:t>
            </w:r>
            <w:r w:rsidRPr="00621417" w:rsidR="00B7589E">
              <w:rPr>
                <w:sz w:val="24"/>
              </w:rPr>
              <w:t>6</w:t>
            </w:r>
          </w:p>
        </w:tc>
        <w:tc>
          <w:tcPr>
            <w:tcW w:w="1710" w:type="dxa"/>
            <w:vAlign w:val="center"/>
          </w:tcPr>
          <w:p w:rsidR="009B3794" w:rsidRPr="00621417" w:rsidP="00CA224C" w14:paraId="2E6D3FDB" w14:textId="2ED71548">
            <w:pPr>
              <w:spacing w:before="120"/>
              <w:jc w:val="center"/>
              <w:rPr>
                <w:sz w:val="24"/>
              </w:rPr>
            </w:pPr>
            <w:r w:rsidRPr="00621417">
              <w:rPr>
                <w:sz w:val="24"/>
              </w:rPr>
              <w:t>$</w:t>
            </w:r>
            <w:r w:rsidRPr="00621417" w:rsidR="00FE3BE1">
              <w:rPr>
                <w:sz w:val="24"/>
              </w:rPr>
              <w:t>1</w:t>
            </w:r>
            <w:r w:rsidR="008C72B5">
              <w:rPr>
                <w:sz w:val="24"/>
              </w:rPr>
              <w:t>8</w:t>
            </w:r>
            <w:r w:rsidRPr="00621417" w:rsidR="00FE3BE1">
              <w:rPr>
                <w:sz w:val="24"/>
              </w:rPr>
              <w:t>.</w:t>
            </w:r>
            <w:r w:rsidR="008C72B5">
              <w:rPr>
                <w:sz w:val="24"/>
              </w:rPr>
              <w:t>06</w:t>
            </w:r>
          </w:p>
        </w:tc>
        <w:tc>
          <w:tcPr>
            <w:tcW w:w="2880" w:type="dxa"/>
            <w:vAlign w:val="center"/>
          </w:tcPr>
          <w:p w:rsidR="009B3794" w:rsidRPr="00621417" w:rsidP="00CA224C" w14:paraId="2E6D3FDC" w14:textId="385A5FB5">
            <w:pPr>
              <w:spacing w:before="120"/>
              <w:jc w:val="center"/>
              <w:rPr>
                <w:sz w:val="24"/>
              </w:rPr>
            </w:pPr>
            <w:r w:rsidRPr="00621417">
              <w:rPr>
                <w:sz w:val="24"/>
              </w:rPr>
              <w:t>$</w:t>
            </w:r>
            <w:r w:rsidRPr="00621417" w:rsidR="00B7589E">
              <w:rPr>
                <w:sz w:val="24"/>
              </w:rPr>
              <w:t>4</w:t>
            </w:r>
            <w:r w:rsidR="007C4DFD">
              <w:rPr>
                <w:sz w:val="24"/>
              </w:rPr>
              <w:t>69</w:t>
            </w:r>
            <w:r w:rsidRPr="00621417" w:rsidR="00FE3BE1">
              <w:rPr>
                <w:sz w:val="24"/>
              </w:rPr>
              <w:t>.</w:t>
            </w:r>
            <w:r w:rsidR="007C4DFD">
              <w:rPr>
                <w:sz w:val="24"/>
              </w:rPr>
              <w:t>56</w:t>
            </w:r>
          </w:p>
        </w:tc>
      </w:tr>
      <w:tr w14:paraId="2E6D3FE2" w14:textId="77777777" w:rsidTr="00CA224C">
        <w:tblPrEx>
          <w:tblW w:w="9450" w:type="dxa"/>
          <w:tblInd w:w="-5" w:type="dxa"/>
          <w:tblLook w:val="01E0"/>
        </w:tblPrEx>
        <w:tc>
          <w:tcPr>
            <w:tcW w:w="2415" w:type="dxa"/>
            <w:vAlign w:val="center"/>
          </w:tcPr>
          <w:p w:rsidR="009B3794" w:rsidRPr="00621417" w:rsidP="00CA224C" w14:paraId="2E6D3FDE" w14:textId="645E4338">
            <w:pPr>
              <w:spacing w:before="120"/>
              <w:jc w:val="center"/>
              <w:rPr>
                <w:sz w:val="24"/>
              </w:rPr>
            </w:pPr>
            <w:r>
              <w:rPr>
                <w:sz w:val="24"/>
              </w:rPr>
              <w:t xml:space="preserve">RWHAP </w:t>
            </w:r>
            <w:r w:rsidRPr="00621417" w:rsidR="00FE3BE1">
              <w:rPr>
                <w:sz w:val="24"/>
              </w:rPr>
              <w:t>Part B Grant Recipients</w:t>
            </w:r>
          </w:p>
        </w:tc>
        <w:tc>
          <w:tcPr>
            <w:tcW w:w="2445" w:type="dxa"/>
            <w:vAlign w:val="center"/>
          </w:tcPr>
          <w:p w:rsidR="009B3794" w:rsidRPr="00621417" w:rsidP="00CA224C" w14:paraId="2E6D3FDF" w14:textId="2FA30220">
            <w:pPr>
              <w:spacing w:before="120"/>
              <w:jc w:val="center"/>
              <w:rPr>
                <w:sz w:val="24"/>
              </w:rPr>
            </w:pPr>
            <w:r w:rsidRPr="00621417">
              <w:rPr>
                <w:sz w:val="24"/>
              </w:rPr>
              <w:t>29.5</w:t>
            </w:r>
          </w:p>
        </w:tc>
        <w:tc>
          <w:tcPr>
            <w:tcW w:w="1710" w:type="dxa"/>
            <w:vAlign w:val="center"/>
          </w:tcPr>
          <w:p w:rsidR="009B3794" w:rsidRPr="00621417" w:rsidP="00CA224C" w14:paraId="2E6D3FE0" w14:textId="40E19771">
            <w:pPr>
              <w:spacing w:before="120"/>
              <w:jc w:val="center"/>
              <w:rPr>
                <w:sz w:val="24"/>
              </w:rPr>
            </w:pPr>
            <w:r w:rsidRPr="00621417">
              <w:rPr>
                <w:sz w:val="24"/>
              </w:rPr>
              <w:t>$</w:t>
            </w:r>
            <w:r w:rsidRPr="00621417" w:rsidR="00FE3BE1">
              <w:rPr>
                <w:sz w:val="24"/>
              </w:rPr>
              <w:t>1</w:t>
            </w:r>
            <w:r w:rsidR="008C72B5">
              <w:rPr>
                <w:sz w:val="24"/>
              </w:rPr>
              <w:t>8</w:t>
            </w:r>
            <w:r w:rsidRPr="00621417" w:rsidR="00FE3BE1">
              <w:rPr>
                <w:sz w:val="24"/>
              </w:rPr>
              <w:t>.</w:t>
            </w:r>
            <w:r w:rsidR="008C72B5">
              <w:rPr>
                <w:sz w:val="24"/>
              </w:rPr>
              <w:t>06</w:t>
            </w:r>
          </w:p>
        </w:tc>
        <w:tc>
          <w:tcPr>
            <w:tcW w:w="2880" w:type="dxa"/>
            <w:vAlign w:val="center"/>
          </w:tcPr>
          <w:p w:rsidR="009B3794" w:rsidRPr="00621417" w:rsidP="00CA224C" w14:paraId="2E6D3FE1" w14:textId="0642BF67">
            <w:pPr>
              <w:spacing w:before="120"/>
              <w:jc w:val="center"/>
              <w:rPr>
                <w:sz w:val="24"/>
              </w:rPr>
            </w:pPr>
            <w:r w:rsidRPr="00621417">
              <w:rPr>
                <w:sz w:val="24"/>
              </w:rPr>
              <w:t>$</w:t>
            </w:r>
            <w:r w:rsidR="008A2311">
              <w:rPr>
                <w:sz w:val="24"/>
              </w:rPr>
              <w:t>532</w:t>
            </w:r>
            <w:r w:rsidRPr="00621417" w:rsidR="00FE3BE1">
              <w:rPr>
                <w:sz w:val="24"/>
              </w:rPr>
              <w:t>.</w:t>
            </w:r>
            <w:r w:rsidR="008A2311">
              <w:rPr>
                <w:sz w:val="24"/>
              </w:rPr>
              <w:t>77</w:t>
            </w:r>
          </w:p>
        </w:tc>
      </w:tr>
      <w:tr w14:paraId="2E6D3FE7" w14:textId="77777777" w:rsidTr="00CA224C">
        <w:tblPrEx>
          <w:tblW w:w="9450" w:type="dxa"/>
          <w:tblInd w:w="-5" w:type="dxa"/>
          <w:tblLook w:val="01E0"/>
        </w:tblPrEx>
        <w:trPr>
          <w:trHeight w:val="440"/>
        </w:trPr>
        <w:tc>
          <w:tcPr>
            <w:tcW w:w="2415" w:type="dxa"/>
            <w:vAlign w:val="center"/>
          </w:tcPr>
          <w:p w:rsidR="009B3794" w:rsidRPr="00621417" w:rsidP="00CA224C" w14:paraId="2E6D3FE3" w14:textId="77777777">
            <w:pPr>
              <w:widowControl/>
              <w:spacing w:before="120"/>
              <w:jc w:val="center"/>
              <w:rPr>
                <w:sz w:val="24"/>
              </w:rPr>
            </w:pPr>
            <w:r w:rsidRPr="00621417">
              <w:rPr>
                <w:sz w:val="24"/>
              </w:rPr>
              <w:t>Total</w:t>
            </w:r>
          </w:p>
        </w:tc>
        <w:tc>
          <w:tcPr>
            <w:tcW w:w="2445" w:type="dxa"/>
            <w:vAlign w:val="center"/>
          </w:tcPr>
          <w:p w:rsidR="009B3794" w:rsidRPr="00621417" w:rsidP="00CA224C" w14:paraId="2E6D3FE4" w14:textId="43A5A37E">
            <w:pPr>
              <w:widowControl/>
              <w:spacing w:before="120"/>
              <w:jc w:val="center"/>
              <w:rPr>
                <w:sz w:val="24"/>
              </w:rPr>
            </w:pPr>
            <w:r w:rsidRPr="00621417">
              <w:rPr>
                <w:sz w:val="24"/>
              </w:rPr>
              <w:t>55.5</w:t>
            </w:r>
          </w:p>
        </w:tc>
        <w:tc>
          <w:tcPr>
            <w:tcW w:w="1710" w:type="dxa"/>
            <w:vAlign w:val="center"/>
          </w:tcPr>
          <w:p w:rsidR="009B3794" w:rsidRPr="00621417" w:rsidP="00CA224C" w14:paraId="2E6D3FE5" w14:textId="77777777">
            <w:pPr>
              <w:widowControl/>
              <w:spacing w:before="120"/>
              <w:jc w:val="center"/>
              <w:rPr>
                <w:sz w:val="24"/>
              </w:rPr>
            </w:pPr>
          </w:p>
        </w:tc>
        <w:tc>
          <w:tcPr>
            <w:tcW w:w="2880" w:type="dxa"/>
            <w:vAlign w:val="center"/>
          </w:tcPr>
          <w:p w:rsidR="009B3794" w:rsidRPr="00621417" w:rsidP="00CA224C" w14:paraId="2E6D3FE6" w14:textId="5320BC66">
            <w:pPr>
              <w:widowControl/>
              <w:spacing w:before="120"/>
              <w:jc w:val="center"/>
              <w:rPr>
                <w:sz w:val="24"/>
              </w:rPr>
            </w:pPr>
            <w:r w:rsidRPr="00621417">
              <w:rPr>
                <w:sz w:val="24"/>
              </w:rPr>
              <w:t>$</w:t>
            </w:r>
            <w:r w:rsidR="00163439">
              <w:rPr>
                <w:sz w:val="24"/>
              </w:rPr>
              <w:t>1002</w:t>
            </w:r>
            <w:r w:rsidRPr="00621417" w:rsidR="00B7589E">
              <w:rPr>
                <w:sz w:val="24"/>
              </w:rPr>
              <w:t>.3</w:t>
            </w:r>
            <w:r w:rsidR="00272E63">
              <w:rPr>
                <w:sz w:val="24"/>
              </w:rPr>
              <w:t>3</w:t>
            </w:r>
          </w:p>
        </w:tc>
      </w:tr>
    </w:tbl>
    <w:p w:rsidR="009B3794" w:rsidRPr="00CA224C" w:rsidP="00CA3DA6" w14:paraId="2E6D3FE9" w14:textId="77777777">
      <w:pPr>
        <w:numPr>
          <w:ilvl w:val="0"/>
          <w:numId w:val="2"/>
        </w:numPr>
        <w:spacing w:before="240"/>
        <w:rPr>
          <w:b/>
          <w:sz w:val="24"/>
        </w:rPr>
      </w:pPr>
      <w:r w:rsidRPr="00CA224C">
        <w:rPr>
          <w:b/>
          <w:sz w:val="24"/>
          <w:u w:val="single"/>
        </w:rPr>
        <w:t>Estimates of other Total Annual Cost Burden to Respondents or Recordkeepers/Capital Costs</w:t>
      </w:r>
    </w:p>
    <w:p w:rsidR="00D11CA3" w:rsidRPr="00CA224C" w:rsidP="00CA224C" w14:paraId="2E6D3FEC" w14:textId="2E192633">
      <w:pPr>
        <w:pStyle w:val="BodyTextIndent"/>
        <w:spacing w:before="120"/>
        <w:ind w:left="0"/>
        <w:rPr>
          <w:rFonts w:ascii="Times New Roman" w:hAnsi="Times New Roman"/>
        </w:rPr>
      </w:pPr>
      <w:r w:rsidRPr="00CA224C">
        <w:rPr>
          <w:rFonts w:ascii="Times New Roman" w:hAnsi="Times New Roman"/>
        </w:rPr>
        <w:t>Other than their time, there is no cost to respondents.</w:t>
      </w:r>
    </w:p>
    <w:p w:rsidR="009B3794" w:rsidRPr="00CA224C" w:rsidP="00CA3DA6" w14:paraId="2E6D3FED" w14:textId="77777777">
      <w:pPr>
        <w:numPr>
          <w:ilvl w:val="0"/>
          <w:numId w:val="2"/>
        </w:numPr>
        <w:spacing w:before="240"/>
        <w:rPr>
          <w:b/>
          <w:sz w:val="24"/>
        </w:rPr>
      </w:pPr>
      <w:r w:rsidRPr="00CA224C">
        <w:rPr>
          <w:b/>
          <w:sz w:val="24"/>
          <w:u w:val="single"/>
        </w:rPr>
        <w:t>Annualized Cost to Federal Government</w:t>
      </w:r>
    </w:p>
    <w:p w:rsidR="00487533" w:rsidRPr="00CA224C" w:rsidP="00CA224C" w14:paraId="18EB7B5E" w14:textId="5A0B7B1E">
      <w:pPr>
        <w:pStyle w:val="BodyTextIndent"/>
        <w:spacing w:before="120"/>
        <w:ind w:left="0"/>
        <w:rPr>
          <w:rFonts w:ascii="Times New Roman" w:hAnsi="Times New Roman"/>
        </w:rPr>
      </w:pPr>
      <w:r>
        <w:rPr>
          <w:rFonts w:ascii="Times New Roman" w:hAnsi="Times New Roman"/>
        </w:rPr>
        <w:t xml:space="preserve">The contract task that supports system maintenance and data collection efforts each year is $40,000. In addition, there will be costs for a GS-14 </w:t>
      </w:r>
      <w:r w:rsidR="00415129">
        <w:rPr>
          <w:rFonts w:ascii="Times New Roman" w:hAnsi="Times New Roman"/>
        </w:rPr>
        <w:t xml:space="preserve">step 1 </w:t>
      </w:r>
      <w:r>
        <w:rPr>
          <w:rFonts w:ascii="Times New Roman" w:hAnsi="Times New Roman"/>
        </w:rPr>
        <w:t xml:space="preserve">at </w:t>
      </w:r>
      <w:r w:rsidR="0085263A">
        <w:rPr>
          <w:rFonts w:ascii="Times New Roman" w:hAnsi="Times New Roman"/>
        </w:rPr>
        <w:t>1</w:t>
      </w:r>
      <w:r w:rsidR="00562ADA">
        <w:rPr>
          <w:rFonts w:ascii="Times New Roman" w:hAnsi="Times New Roman"/>
        </w:rPr>
        <w:t xml:space="preserve">0 </w:t>
      </w:r>
      <w:r w:rsidR="002B6319">
        <w:rPr>
          <w:rFonts w:ascii="Times New Roman" w:hAnsi="Times New Roman"/>
        </w:rPr>
        <w:t>percent</w:t>
      </w:r>
      <w:r>
        <w:rPr>
          <w:rFonts w:ascii="Times New Roman" w:hAnsi="Times New Roman"/>
        </w:rPr>
        <w:t xml:space="preserve"> (approximately $</w:t>
      </w:r>
      <w:r w:rsidR="0085263A">
        <w:rPr>
          <w:rFonts w:ascii="Times New Roman" w:hAnsi="Times New Roman"/>
        </w:rPr>
        <w:t>13,238.8</w:t>
      </w:r>
      <w:r>
        <w:rPr>
          <w:rFonts w:ascii="Times New Roman" w:hAnsi="Times New Roman"/>
        </w:rPr>
        <w:t>) and a GS-13</w:t>
      </w:r>
      <w:r w:rsidR="00415129">
        <w:rPr>
          <w:rFonts w:ascii="Times New Roman" w:hAnsi="Times New Roman"/>
        </w:rPr>
        <w:t xml:space="preserve"> step 1</w:t>
      </w:r>
      <w:r>
        <w:rPr>
          <w:rFonts w:ascii="Times New Roman" w:hAnsi="Times New Roman"/>
        </w:rPr>
        <w:t xml:space="preserve"> at 10</w:t>
      </w:r>
      <w:r w:rsidR="00392ADB">
        <w:rPr>
          <w:rFonts w:ascii="Times New Roman" w:hAnsi="Times New Roman"/>
        </w:rPr>
        <w:t xml:space="preserve"> percent</w:t>
      </w:r>
      <w:r>
        <w:rPr>
          <w:rFonts w:ascii="Times New Roman" w:hAnsi="Times New Roman"/>
        </w:rPr>
        <w:t xml:space="preserve"> (approximately $</w:t>
      </w:r>
      <w:r w:rsidR="0085263A">
        <w:rPr>
          <w:rFonts w:ascii="Times New Roman" w:hAnsi="Times New Roman"/>
        </w:rPr>
        <w:t>11,201.5</w:t>
      </w:r>
      <w:r>
        <w:rPr>
          <w:rFonts w:ascii="Times New Roman" w:hAnsi="Times New Roman"/>
        </w:rPr>
        <w:t>) time to monitor the project. The estimate total cost is $</w:t>
      </w:r>
      <w:r w:rsidR="0085263A">
        <w:rPr>
          <w:rFonts w:ascii="Times New Roman" w:hAnsi="Times New Roman"/>
        </w:rPr>
        <w:t>64,440.3</w:t>
      </w:r>
      <w:r w:rsidR="007D6D14">
        <w:rPr>
          <w:rFonts w:ascii="Times New Roman" w:hAnsi="Times New Roman"/>
        </w:rPr>
        <w:t>0</w:t>
      </w:r>
      <w:r>
        <w:rPr>
          <w:rFonts w:ascii="Times New Roman" w:hAnsi="Times New Roman"/>
        </w:rPr>
        <w:t xml:space="preserve">. </w:t>
      </w:r>
    </w:p>
    <w:p w:rsidR="009B3794" w:rsidRPr="00CA224C" w:rsidP="00CA3DA6" w14:paraId="2E6D3FF0" w14:textId="77777777">
      <w:pPr>
        <w:numPr>
          <w:ilvl w:val="0"/>
          <w:numId w:val="2"/>
        </w:numPr>
        <w:spacing w:before="240"/>
        <w:rPr>
          <w:b/>
          <w:sz w:val="24"/>
        </w:rPr>
      </w:pPr>
      <w:r w:rsidRPr="00CA224C">
        <w:rPr>
          <w:b/>
          <w:sz w:val="24"/>
          <w:u w:val="single"/>
        </w:rPr>
        <w:t>Explanation for Program Changes or Adjustments</w:t>
      </w:r>
    </w:p>
    <w:p w:rsidR="009B3794" w:rsidRPr="00CA224C" w:rsidP="00CA224C" w14:paraId="2E6D3FF6" w14:textId="321E9EAB">
      <w:pPr>
        <w:pStyle w:val="BodyTextIndent"/>
        <w:spacing w:before="120"/>
        <w:ind w:left="0"/>
        <w:rPr>
          <w:rFonts w:ascii="Times New Roman" w:hAnsi="Times New Roman"/>
          <w:b/>
        </w:rPr>
      </w:pPr>
      <w:r>
        <w:rPr>
          <w:rFonts w:ascii="Times New Roman" w:hAnsi="Times New Roman"/>
        </w:rPr>
        <w:t xml:space="preserve">The burden has not changed from the burden shown in the </w:t>
      </w:r>
      <w:r w:rsidR="00BC6080">
        <w:rPr>
          <w:rFonts w:ascii="Times New Roman" w:hAnsi="Times New Roman"/>
        </w:rPr>
        <w:t>previous</w:t>
      </w:r>
      <w:r>
        <w:rPr>
          <w:rFonts w:ascii="Times New Roman" w:hAnsi="Times New Roman"/>
        </w:rPr>
        <w:t xml:space="preserve"> inventory.</w:t>
      </w:r>
      <w:r w:rsidR="00C7721F">
        <w:rPr>
          <w:rFonts w:ascii="Times New Roman" w:hAnsi="Times New Roman"/>
        </w:rPr>
        <w:t xml:space="preserve"> </w:t>
      </w:r>
    </w:p>
    <w:p w:rsidR="009B3794" w:rsidRPr="00CA224C" w:rsidP="00CA3DA6" w14:paraId="2E6D3FF8" w14:textId="77777777">
      <w:pPr>
        <w:numPr>
          <w:ilvl w:val="0"/>
          <w:numId w:val="2"/>
        </w:numPr>
        <w:spacing w:before="240"/>
        <w:rPr>
          <w:b/>
          <w:sz w:val="24"/>
        </w:rPr>
      </w:pPr>
      <w:r w:rsidRPr="00CA224C">
        <w:rPr>
          <w:b/>
          <w:sz w:val="24"/>
          <w:u w:val="single"/>
        </w:rPr>
        <w:t>Plans for Tabulation</w:t>
      </w:r>
      <w:r w:rsidRPr="00CA224C" w:rsidR="002118B4">
        <w:rPr>
          <w:b/>
          <w:sz w:val="24"/>
          <w:u w:val="single"/>
        </w:rPr>
        <w:t xml:space="preserve">, </w:t>
      </w:r>
      <w:r w:rsidRPr="00CA224C">
        <w:rPr>
          <w:b/>
          <w:sz w:val="24"/>
          <w:u w:val="single"/>
        </w:rPr>
        <w:t>Publication</w:t>
      </w:r>
      <w:r w:rsidRPr="00CA224C" w:rsidR="002118B4">
        <w:rPr>
          <w:b/>
          <w:sz w:val="24"/>
          <w:u w:val="single"/>
        </w:rPr>
        <w:t>,</w:t>
      </w:r>
      <w:r w:rsidRPr="00CA224C">
        <w:rPr>
          <w:b/>
          <w:sz w:val="24"/>
          <w:u w:val="single"/>
        </w:rPr>
        <w:t xml:space="preserve"> and Project Time Schedule</w:t>
      </w:r>
    </w:p>
    <w:p w:rsidR="00D74B86" w:rsidP="00CA224C" w14:paraId="2E6D3FFA" w14:textId="13D7AE08">
      <w:pPr>
        <w:spacing w:before="120"/>
        <w:rPr>
          <w:sz w:val="24"/>
        </w:rPr>
      </w:pPr>
      <w:r w:rsidRPr="00CA224C">
        <w:rPr>
          <w:sz w:val="24"/>
        </w:rPr>
        <w:t xml:space="preserve">The exact amount of UOB must be reported on the final FFR, due annually </w:t>
      </w:r>
      <w:r w:rsidR="004F69E5">
        <w:rPr>
          <w:sz w:val="24"/>
        </w:rPr>
        <w:t>90 days</w:t>
      </w:r>
      <w:r w:rsidRPr="00CA224C">
        <w:rPr>
          <w:sz w:val="24"/>
        </w:rPr>
        <w:t xml:space="preserve"> after the end of the </w:t>
      </w:r>
      <w:r w:rsidR="002B0554">
        <w:rPr>
          <w:sz w:val="24"/>
        </w:rPr>
        <w:t xml:space="preserve">RWHAP </w:t>
      </w:r>
      <w:r>
        <w:rPr>
          <w:sz w:val="24"/>
        </w:rPr>
        <w:t>Part</w:t>
      </w:r>
      <w:r w:rsidR="002B0554">
        <w:rPr>
          <w:sz w:val="24"/>
        </w:rPr>
        <w:t>s</w:t>
      </w:r>
      <w:r>
        <w:rPr>
          <w:sz w:val="24"/>
        </w:rPr>
        <w:t xml:space="preserve"> A and Part B recipient </w:t>
      </w:r>
      <w:r w:rsidRPr="00CA224C">
        <w:rPr>
          <w:sz w:val="24"/>
        </w:rPr>
        <w:t xml:space="preserve">budget period, in accordance with the </w:t>
      </w:r>
      <w:r w:rsidR="002B0554">
        <w:rPr>
          <w:sz w:val="24"/>
        </w:rPr>
        <w:t>r</w:t>
      </w:r>
      <w:r w:rsidRPr="00CA224C">
        <w:rPr>
          <w:sz w:val="24"/>
        </w:rPr>
        <w:t xml:space="preserve">eporting </w:t>
      </w:r>
      <w:r w:rsidR="002B0554">
        <w:rPr>
          <w:sz w:val="24"/>
        </w:rPr>
        <w:t>r</w:t>
      </w:r>
      <w:r w:rsidRPr="00CA224C">
        <w:rPr>
          <w:sz w:val="24"/>
        </w:rPr>
        <w:t xml:space="preserve">equirements listed on the </w:t>
      </w:r>
      <w:r w:rsidRPr="00CA224C">
        <w:rPr>
          <w:sz w:val="24"/>
        </w:rPr>
        <w:t>NoA</w:t>
      </w:r>
      <w:r w:rsidRPr="00CA224C">
        <w:rPr>
          <w:sz w:val="24"/>
        </w:rPr>
        <w:t xml:space="preserve">. </w:t>
      </w:r>
      <w:r w:rsidR="002B0554">
        <w:rPr>
          <w:sz w:val="24"/>
        </w:rPr>
        <w:t xml:space="preserve">The </w:t>
      </w:r>
      <w:r>
        <w:rPr>
          <w:sz w:val="24"/>
        </w:rPr>
        <w:t xml:space="preserve">rebates </w:t>
      </w:r>
      <w:r w:rsidR="00E03245">
        <w:rPr>
          <w:sz w:val="24"/>
        </w:rPr>
        <w:t xml:space="preserve">portion of the </w:t>
      </w:r>
      <w:r>
        <w:rPr>
          <w:sz w:val="24"/>
        </w:rPr>
        <w:t xml:space="preserve">addendum </w:t>
      </w:r>
      <w:r w:rsidR="002B0554">
        <w:rPr>
          <w:sz w:val="24"/>
        </w:rPr>
        <w:t>is included in</w:t>
      </w:r>
      <w:r>
        <w:rPr>
          <w:sz w:val="24"/>
        </w:rPr>
        <w:t xml:space="preserve"> </w:t>
      </w:r>
      <w:r w:rsidRPr="0014490C">
        <w:rPr>
          <w:sz w:val="24"/>
        </w:rPr>
        <w:t>the final FFR</w:t>
      </w:r>
      <w:r w:rsidR="002B0554">
        <w:rPr>
          <w:sz w:val="24"/>
        </w:rPr>
        <w:t xml:space="preserve"> for RWHAP Part B recipients.</w:t>
      </w:r>
      <w:r w:rsidRPr="0014490C">
        <w:rPr>
          <w:sz w:val="24"/>
        </w:rPr>
        <w:t xml:space="preserve"> </w:t>
      </w:r>
      <w:r w:rsidRPr="00CA224C">
        <w:rPr>
          <w:sz w:val="24"/>
        </w:rPr>
        <w:t>In addition, RWHAP Part B recipients must report anticipated UOB on the interim FFR, due 150 days after receipt of their final award.  The interim FFR is submitted to assess recipient compliance with the requirement to obligate 75</w:t>
      </w:r>
      <w:r w:rsidR="00E03245">
        <w:rPr>
          <w:sz w:val="24"/>
        </w:rPr>
        <w:t xml:space="preserve"> percent</w:t>
      </w:r>
      <w:r w:rsidRPr="00CA224C">
        <w:rPr>
          <w:sz w:val="24"/>
        </w:rPr>
        <w:t xml:space="preserve"> of the </w:t>
      </w:r>
      <w:r w:rsidR="002B0554">
        <w:rPr>
          <w:sz w:val="24"/>
        </w:rPr>
        <w:t xml:space="preserve">RWHAP </w:t>
      </w:r>
      <w:r w:rsidRPr="00CA224C">
        <w:rPr>
          <w:sz w:val="24"/>
        </w:rPr>
        <w:t>Part B award within 120 days</w:t>
      </w:r>
      <w:r w:rsidR="002B0554">
        <w:rPr>
          <w:sz w:val="24"/>
        </w:rPr>
        <w:t xml:space="preserve"> following receipt of their final award</w:t>
      </w:r>
      <w:r w:rsidRPr="00CA224C">
        <w:rPr>
          <w:sz w:val="24"/>
        </w:rPr>
        <w:t>. HRSA HAB added the</w:t>
      </w:r>
      <w:r w:rsidR="00E03245">
        <w:rPr>
          <w:sz w:val="24"/>
        </w:rPr>
        <w:t xml:space="preserve"> UOB </w:t>
      </w:r>
      <w:r w:rsidRPr="00CA224C">
        <w:rPr>
          <w:sz w:val="24"/>
        </w:rPr>
        <w:t xml:space="preserve">of </w:t>
      </w:r>
      <w:r w:rsidR="00E03245">
        <w:rPr>
          <w:sz w:val="24"/>
        </w:rPr>
        <w:t>f</w:t>
      </w:r>
      <w:r w:rsidRPr="00CA224C">
        <w:rPr>
          <w:sz w:val="24"/>
        </w:rPr>
        <w:t xml:space="preserve">ederal </w:t>
      </w:r>
      <w:r w:rsidR="00E03245">
        <w:rPr>
          <w:sz w:val="24"/>
        </w:rPr>
        <w:t>f</w:t>
      </w:r>
      <w:r w:rsidRPr="00CA224C">
        <w:rPr>
          <w:sz w:val="24"/>
        </w:rPr>
        <w:t xml:space="preserve">unds by </w:t>
      </w:r>
      <w:r w:rsidR="00E03245">
        <w:rPr>
          <w:sz w:val="24"/>
        </w:rPr>
        <w:t>s</w:t>
      </w:r>
      <w:r w:rsidRPr="00CA224C">
        <w:rPr>
          <w:sz w:val="24"/>
        </w:rPr>
        <w:t xml:space="preserve">ubprogram </w:t>
      </w:r>
      <w:r w:rsidR="00E03245">
        <w:rPr>
          <w:sz w:val="24"/>
        </w:rPr>
        <w:t>t</w:t>
      </w:r>
      <w:r w:rsidRPr="00CA224C">
        <w:rPr>
          <w:sz w:val="24"/>
        </w:rPr>
        <w:t>able to both the interim and final FFRs</w:t>
      </w:r>
      <w:r w:rsidR="002B0554">
        <w:rPr>
          <w:sz w:val="24"/>
        </w:rPr>
        <w:t xml:space="preserve"> for RWHAP Part B and to the final FFR for RWHAP Part A</w:t>
      </w:r>
      <w:r w:rsidR="00E03245">
        <w:rPr>
          <w:sz w:val="24"/>
        </w:rPr>
        <w:t xml:space="preserve"> during the last iteration</w:t>
      </w:r>
      <w:r w:rsidRPr="00CA224C">
        <w:rPr>
          <w:sz w:val="24"/>
        </w:rPr>
        <w:t>.</w:t>
      </w:r>
    </w:p>
    <w:p w:rsidR="0014615E" w:rsidRPr="00CA224C" w:rsidP="00CA224C" w14:paraId="7937093B" w14:textId="28C72F2C">
      <w:pPr>
        <w:spacing w:before="120"/>
        <w:rPr>
          <w:sz w:val="24"/>
        </w:rPr>
      </w:pPr>
      <w:r>
        <w:rPr>
          <w:rStyle w:val="BodyTextFi"/>
          <w:sz w:val="24"/>
        </w:rPr>
        <w:t>HRSA compiles the data received from the grant recipients and produces an annual report for the Secretary of DHHS and Congress.</w:t>
      </w:r>
    </w:p>
    <w:p w:rsidR="009B3794" w:rsidRPr="00CA224C" w:rsidP="00CA3DA6" w14:paraId="2E6D3FFB" w14:textId="77777777">
      <w:pPr>
        <w:numPr>
          <w:ilvl w:val="0"/>
          <w:numId w:val="2"/>
        </w:numPr>
        <w:spacing w:before="240"/>
        <w:rPr>
          <w:b/>
          <w:sz w:val="24"/>
        </w:rPr>
      </w:pPr>
      <w:r w:rsidRPr="00CA224C">
        <w:rPr>
          <w:b/>
          <w:sz w:val="24"/>
          <w:u w:val="single"/>
        </w:rPr>
        <w:t>Reason(s) Display of OMB Expiration Date is Inappropriate</w:t>
      </w:r>
    </w:p>
    <w:p w:rsidR="009B3794" w:rsidP="00CA224C" w14:paraId="2E6D3FFC" w14:textId="1B82B082">
      <w:pPr>
        <w:pStyle w:val="BodyTextIndent"/>
        <w:spacing w:before="120"/>
        <w:ind w:left="0"/>
        <w:rPr>
          <w:rFonts w:ascii="Times New Roman" w:hAnsi="Times New Roman"/>
        </w:rPr>
      </w:pPr>
      <w:r w:rsidRPr="00CA224C">
        <w:rPr>
          <w:rFonts w:ascii="Times New Roman" w:hAnsi="Times New Roman"/>
        </w:rPr>
        <w:t xml:space="preserve">The OMB number and </w:t>
      </w:r>
      <w:r w:rsidR="0082216C">
        <w:rPr>
          <w:rFonts w:ascii="Times New Roman" w:hAnsi="Times New Roman"/>
        </w:rPr>
        <w:t>e</w:t>
      </w:r>
      <w:r w:rsidRPr="00CA224C">
        <w:rPr>
          <w:rFonts w:ascii="Times New Roman" w:hAnsi="Times New Roman"/>
        </w:rPr>
        <w:t>xpiration date will be displayed on every page of every form/instrument.</w:t>
      </w:r>
    </w:p>
    <w:p w:rsidR="00EA18E7" w:rsidRPr="00CA224C" w:rsidP="00CA224C" w14:paraId="7580ED85" w14:textId="77777777">
      <w:pPr>
        <w:pStyle w:val="BodyTextIndent"/>
        <w:spacing w:before="120"/>
        <w:ind w:left="0"/>
        <w:rPr>
          <w:rFonts w:ascii="Times New Roman" w:hAnsi="Times New Roman"/>
        </w:rPr>
      </w:pPr>
    </w:p>
    <w:p w:rsidR="009B3794" w:rsidRPr="00CA224C" w:rsidP="00CA3DA6" w14:paraId="2E6D3FFD" w14:textId="77777777">
      <w:pPr>
        <w:numPr>
          <w:ilvl w:val="0"/>
          <w:numId w:val="2"/>
        </w:numPr>
        <w:spacing w:before="240"/>
        <w:rPr>
          <w:b/>
          <w:sz w:val="24"/>
        </w:rPr>
      </w:pPr>
      <w:r w:rsidRPr="00CA224C">
        <w:rPr>
          <w:b/>
          <w:sz w:val="24"/>
          <w:u w:val="single"/>
        </w:rPr>
        <w:t>Exceptions to Certification for Paperwork Reduction Act Submissions</w:t>
      </w:r>
    </w:p>
    <w:p w:rsidR="0014615E" w:rsidP="00CA224C" w14:paraId="5501B818" w14:textId="30D61869">
      <w:pPr>
        <w:pStyle w:val="BodyTextIndent"/>
        <w:spacing w:before="120"/>
        <w:ind w:left="0"/>
        <w:rPr>
          <w:rFonts w:ascii="Times New Roman" w:hAnsi="Times New Roman"/>
        </w:rPr>
      </w:pPr>
      <w:r w:rsidRPr="00CA224C">
        <w:rPr>
          <w:rFonts w:ascii="Times New Roman" w:hAnsi="Times New Roman"/>
        </w:rPr>
        <w:t>There are no exceptions to the certification.</w:t>
      </w:r>
    </w:p>
    <w:p w:rsidR="00104A9C" w14:paraId="4697A8DE" w14:textId="6E3F9CF0">
      <w:pPr>
        <w:widowControl/>
        <w:autoSpaceDE/>
        <w:autoSpaceDN/>
        <w:adjustRightInd/>
        <w:rPr>
          <w:sz w:val="24"/>
        </w:rPr>
      </w:pPr>
      <w:r>
        <w:br w:type="page"/>
      </w:r>
    </w:p>
    <w:p w:rsidR="0014615E" w:rsidP="00CA224C" w14:paraId="19749C93" w14:textId="77777777">
      <w:pPr>
        <w:pStyle w:val="BodyTextIndent"/>
        <w:spacing w:before="120"/>
        <w:ind w:left="0"/>
        <w:rPr>
          <w:rFonts w:ascii="Times New Roman" w:hAnsi="Times New Roman"/>
        </w:rPr>
      </w:pPr>
    </w:p>
    <w:p w:rsidR="0014615E" w:rsidP="00CA224C" w14:paraId="4F38753F" w14:textId="77777777">
      <w:pPr>
        <w:pStyle w:val="BodyTextIndent"/>
        <w:spacing w:before="120"/>
        <w:ind w:left="0"/>
        <w:jc w:val="center"/>
        <w:rPr>
          <w:rFonts w:ascii="Times New Roman" w:hAnsi="Times New Roman"/>
          <w:b/>
        </w:rPr>
      </w:pPr>
      <w:r w:rsidRPr="00CA224C">
        <w:rPr>
          <w:rFonts w:ascii="Times New Roman" w:hAnsi="Times New Roman"/>
          <w:b/>
        </w:rPr>
        <w:t>List of Attachments</w:t>
      </w:r>
    </w:p>
    <w:p w:rsidR="0014615E" w:rsidRPr="00CA224C" w:rsidP="00CA224C" w14:paraId="67D08AAA" w14:textId="77777777">
      <w:pPr>
        <w:pStyle w:val="BodyTextIndent"/>
        <w:spacing w:before="120"/>
        <w:ind w:left="0"/>
        <w:rPr>
          <w:rFonts w:ascii="Times New Roman" w:hAnsi="Times New Roman"/>
        </w:rPr>
      </w:pPr>
      <w:r w:rsidRPr="00CA224C">
        <w:rPr>
          <w:rFonts w:ascii="Times New Roman" w:hAnsi="Times New Roman"/>
        </w:rPr>
        <w:t>Tab A: Authorizing Legislation</w:t>
      </w:r>
    </w:p>
    <w:p w:rsidR="0014615E" w:rsidRPr="00CA224C" w:rsidP="00CA224C" w14:paraId="3A8A0289" w14:textId="264F066F">
      <w:pPr>
        <w:pStyle w:val="BodyTextIndent"/>
        <w:spacing w:before="120"/>
        <w:ind w:left="0"/>
        <w:rPr>
          <w:rFonts w:ascii="Times New Roman" w:hAnsi="Times New Roman"/>
        </w:rPr>
      </w:pPr>
      <w:r w:rsidRPr="00CA224C">
        <w:rPr>
          <w:rFonts w:ascii="Times New Roman" w:hAnsi="Times New Roman"/>
        </w:rPr>
        <w:t xml:space="preserve">Tab B: UOB and </w:t>
      </w:r>
      <w:r w:rsidR="00B53141">
        <w:rPr>
          <w:rFonts w:ascii="Times New Roman" w:hAnsi="Times New Roman"/>
        </w:rPr>
        <w:t xml:space="preserve">Rebate </w:t>
      </w:r>
      <w:r w:rsidRPr="00CA224C">
        <w:rPr>
          <w:rFonts w:ascii="Times New Roman" w:hAnsi="Times New Roman"/>
        </w:rPr>
        <w:t>Addendum Tables</w:t>
      </w:r>
    </w:p>
    <w:p w:rsidR="0014615E" w:rsidP="00CA224C" w14:paraId="5D8FA6D5" w14:textId="77777777">
      <w:pPr>
        <w:pStyle w:val="BodyTextIndent"/>
        <w:spacing w:before="120"/>
        <w:ind w:left="0"/>
        <w:rPr>
          <w:rFonts w:ascii="Times New Roman" w:hAnsi="Times New Roman"/>
        </w:rPr>
      </w:pPr>
      <w:r w:rsidRPr="00CA224C">
        <w:rPr>
          <w:rFonts w:ascii="Times New Roman" w:hAnsi="Times New Roman"/>
        </w:rPr>
        <w:t>Tab C: 60-day Federal Register Notice</w:t>
      </w:r>
    </w:p>
    <w:p w:rsidR="00E43412" w14:paraId="2E6D3FFE" w14:textId="59B0F314">
      <w:pPr>
        <w:widowControl/>
        <w:autoSpaceDE/>
        <w:autoSpaceDN/>
        <w:adjustRightInd/>
        <w:rPr>
          <w:sz w:val="24"/>
        </w:rPr>
      </w:pPr>
      <w:r>
        <w:br w:type="page"/>
      </w:r>
    </w:p>
    <w:p w:rsidR="009B3794" w:rsidP="00CA224C" w14:paraId="746A21D3" w14:textId="584A37BD">
      <w:pPr>
        <w:pStyle w:val="BodyTextIndent"/>
        <w:spacing w:before="120"/>
        <w:ind w:left="0"/>
        <w:rPr>
          <w:rFonts w:ascii="Times New Roman" w:hAnsi="Times New Roman"/>
        </w:rPr>
      </w:pPr>
      <w:r>
        <w:rPr>
          <w:rFonts w:ascii="Times New Roman" w:hAnsi="Times New Roman"/>
        </w:rPr>
        <w:t>Tab A:  Authorizing Legislation</w:t>
      </w:r>
    </w:p>
    <w:p w:rsidR="00E43412" w:rsidP="00CA224C" w14:paraId="32492088" w14:textId="3A71D733">
      <w:pPr>
        <w:pStyle w:val="BodyTextIndent"/>
        <w:spacing w:before="120"/>
        <w:ind w:left="0"/>
        <w:rPr>
          <w:rFonts w:ascii="Times New Roman" w:hAnsi="Times New Roman"/>
        </w:rPr>
      </w:pPr>
    </w:p>
    <w:p w:rsidR="00E43412" w:rsidP="00EE0151" w14:paraId="3C59988B" w14:textId="4BA7E9A2">
      <w:pPr>
        <w:pStyle w:val="BodyTextIndent"/>
        <w:numPr>
          <w:ilvl w:val="0"/>
          <w:numId w:val="49"/>
        </w:numPr>
        <w:spacing w:before="120"/>
        <w:rPr>
          <w:rFonts w:ascii="Times New Roman" w:hAnsi="Times New Roman"/>
        </w:rPr>
      </w:pPr>
      <w:r w:rsidRPr="00EE0151">
        <w:rPr>
          <w:rFonts w:ascii="Times New Roman" w:hAnsi="Times New Roman"/>
        </w:rPr>
        <w:t>Ryan White HIV/AIDS Program Part A HIV Emergency Relief Grant Program</w:t>
      </w:r>
      <w:r>
        <w:rPr>
          <w:rFonts w:ascii="Times New Roman" w:hAnsi="Times New Roman"/>
        </w:rPr>
        <w:t xml:space="preserve"> –</w:t>
      </w:r>
    </w:p>
    <w:p w:rsidR="00EE0151" w:rsidP="00EE0151" w14:paraId="25D6803E" w14:textId="0A4D3892">
      <w:pPr>
        <w:pStyle w:val="BodyTextIndent"/>
        <w:spacing w:before="120"/>
        <w:rPr>
          <w:rFonts w:ascii="Times New Roman" w:hAnsi="Times New Roman"/>
        </w:rPr>
      </w:pPr>
      <w:r w:rsidRPr="00EE0151">
        <w:rPr>
          <w:rFonts w:ascii="Times New Roman" w:hAnsi="Times New Roman"/>
        </w:rPr>
        <w:t>Authority: 42 USC §§ 300ff-11 to -20 and 300ff-121 (§§ 2601–2610 and 2693 of the Public Health Service</w:t>
      </w:r>
      <w:r w:rsidR="00120054">
        <w:rPr>
          <w:rFonts w:ascii="Times New Roman" w:hAnsi="Times New Roman"/>
        </w:rPr>
        <w:t xml:space="preserve"> (PHS)</w:t>
      </w:r>
      <w:r w:rsidRPr="00EE0151">
        <w:rPr>
          <w:rFonts w:ascii="Times New Roman" w:hAnsi="Times New Roman"/>
        </w:rPr>
        <w:t xml:space="preserve"> Act)</w:t>
      </w:r>
    </w:p>
    <w:p w:rsidR="00EE0151" w:rsidP="00EE0151" w14:paraId="3F09F633" w14:textId="34A1D97B">
      <w:pPr>
        <w:pStyle w:val="BodyTextIndent"/>
        <w:numPr>
          <w:ilvl w:val="0"/>
          <w:numId w:val="49"/>
        </w:numPr>
        <w:spacing w:before="120"/>
        <w:rPr>
          <w:rFonts w:ascii="Times New Roman" w:hAnsi="Times New Roman"/>
        </w:rPr>
      </w:pPr>
      <w:r w:rsidRPr="00EE0151">
        <w:rPr>
          <w:rFonts w:ascii="Times New Roman" w:hAnsi="Times New Roman"/>
        </w:rPr>
        <w:t>Ryan White HIV/AIDS Program Part B States/Territories Grant Program</w:t>
      </w:r>
      <w:r>
        <w:rPr>
          <w:rFonts w:ascii="Times New Roman" w:hAnsi="Times New Roman"/>
        </w:rPr>
        <w:t xml:space="preserve"> –</w:t>
      </w:r>
    </w:p>
    <w:p w:rsidR="002D0D9C" w:rsidRPr="002D0D9C" w:rsidP="002D0D9C" w14:paraId="42EE0CF5" w14:textId="24B2CAED">
      <w:pPr>
        <w:pStyle w:val="BodyTextIndent"/>
        <w:spacing w:before="120"/>
        <w:rPr>
          <w:rFonts w:ascii="Times New Roman" w:hAnsi="Times New Roman"/>
        </w:rPr>
      </w:pPr>
      <w:r w:rsidRPr="002D0D9C">
        <w:rPr>
          <w:rFonts w:ascii="Times New Roman" w:hAnsi="Times New Roman"/>
        </w:rPr>
        <w:t>Authority: 42 USC §§ 300ff-21 to 331b and 300ff-121 (sections 2611-2623 and 2693 of the</w:t>
      </w:r>
      <w:r>
        <w:rPr>
          <w:rFonts w:ascii="Times New Roman" w:hAnsi="Times New Roman"/>
        </w:rPr>
        <w:t xml:space="preserve"> </w:t>
      </w:r>
      <w:r w:rsidRPr="002D0D9C">
        <w:rPr>
          <w:rFonts w:ascii="Times New Roman" w:hAnsi="Times New Roman"/>
        </w:rPr>
        <w:t>Public Health Service (PHS) Act)</w:t>
      </w:r>
      <w:r>
        <w:rPr>
          <w:rFonts w:ascii="Times New Roman" w:hAnsi="Times New Roman"/>
        </w:rPr>
        <w:br w:type="page"/>
      </w:r>
    </w:p>
    <w:p w:rsidR="00845738" w:rsidP="00845738" w14:paraId="78024693" w14:textId="6650C04C">
      <w:pPr>
        <w:pStyle w:val="BodyTextIndent"/>
        <w:spacing w:before="120"/>
        <w:ind w:left="0"/>
        <w:rPr>
          <w:rFonts w:ascii="Times New Roman" w:hAnsi="Times New Roman"/>
        </w:rPr>
      </w:pPr>
      <w:r>
        <w:rPr>
          <w:rFonts w:ascii="Times New Roman" w:hAnsi="Times New Roman"/>
        </w:rPr>
        <w:t xml:space="preserve">Tab B:  </w:t>
      </w:r>
      <w:r w:rsidRPr="00CA224C">
        <w:rPr>
          <w:rFonts w:ascii="Times New Roman" w:hAnsi="Times New Roman"/>
        </w:rPr>
        <w:t xml:space="preserve">UOB and </w:t>
      </w:r>
      <w:r>
        <w:rPr>
          <w:rFonts w:ascii="Times New Roman" w:hAnsi="Times New Roman"/>
        </w:rPr>
        <w:t xml:space="preserve">Rebate </w:t>
      </w:r>
      <w:r w:rsidRPr="00CA224C">
        <w:rPr>
          <w:rFonts w:ascii="Times New Roman" w:hAnsi="Times New Roman"/>
        </w:rPr>
        <w:t>Addendum Tables</w:t>
      </w:r>
    </w:p>
    <w:p w:rsidR="00EE0151" w:rsidP="00CA224C" w14:paraId="75FCE358" w14:textId="01AA8F6C">
      <w:pPr>
        <w:pStyle w:val="BodyTextIndent"/>
        <w:spacing w:before="120"/>
        <w:ind w:left="0"/>
        <w:rPr>
          <w:rFonts w:ascii="Times New Roman" w:hAnsi="Times New Roman"/>
        </w:rPr>
      </w:pPr>
    </w:p>
    <w:p w:rsidR="00845738" w:rsidRPr="00845738" w:rsidP="00104A9C" w14:paraId="49236C1F" w14:textId="1D455D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b/>
          <w:bCs/>
          <w:sz w:val="24"/>
          <w:u w:val="single"/>
        </w:rPr>
      </w:pPr>
      <w:r w:rsidRPr="00845738">
        <w:rPr>
          <w:noProof/>
          <w:sz w:val="24"/>
          <w:szCs w:val="32"/>
        </w:rPr>
        <w:t>20</w:t>
      </w:r>
      <w:r w:rsidR="000845CF">
        <w:rPr>
          <w:noProof/>
          <w:sz w:val="24"/>
          <w:szCs w:val="32"/>
        </w:rPr>
        <w:t>23</w:t>
      </w:r>
      <w:r w:rsidRPr="00845738">
        <w:rPr>
          <w:noProof/>
          <w:sz w:val="24"/>
          <w:szCs w:val="32"/>
        </w:rPr>
        <w:t xml:space="preserve"> APPROVED ICR TABLE FOR RWHAP PART A:</w:t>
      </w:r>
    </w:p>
    <w:tbl>
      <w:tblPr>
        <w:tblW w:w="5000" w:type="pct"/>
        <w:tblLook w:val="04A0"/>
      </w:tblPr>
      <w:tblGrid>
        <w:gridCol w:w="2216"/>
        <w:gridCol w:w="1849"/>
        <w:gridCol w:w="1849"/>
        <w:gridCol w:w="1715"/>
        <w:gridCol w:w="1711"/>
      </w:tblGrid>
      <w:tr w14:paraId="31FC98AB" w14:textId="77777777" w:rsidTr="00D56207">
        <w:tblPrEx>
          <w:tblW w:w="5000" w:type="pct"/>
          <w:tblLook w:val="04A0"/>
        </w:tblPrEx>
        <w:trPr>
          <w:trHeight w:val="97"/>
        </w:trPr>
        <w:tc>
          <w:tcPr>
            <w:tcW w:w="5000" w:type="pct"/>
            <w:gridSpan w:val="5"/>
            <w:tcBorders>
              <w:top w:val="single" w:sz="8" w:space="0" w:color="auto"/>
              <w:left w:val="single" w:sz="8" w:space="0" w:color="auto"/>
              <w:bottom w:val="single" w:sz="4" w:space="0" w:color="auto"/>
              <w:right w:val="single" w:sz="8" w:space="0" w:color="000000"/>
            </w:tcBorders>
            <w:noWrap/>
            <w:vAlign w:val="bottom"/>
            <w:hideMark/>
          </w:tcPr>
          <w:p w:rsidR="00845738" w:rsidRPr="00845738" w:rsidP="00845738" w14:paraId="6EF7C2E4" w14:textId="77777777">
            <w:pPr>
              <w:widowControl/>
              <w:autoSpaceDE/>
              <w:autoSpaceDN/>
              <w:adjustRightInd/>
              <w:spacing w:line="256" w:lineRule="auto"/>
              <w:rPr>
                <w:color w:val="000000"/>
                <w:sz w:val="24"/>
              </w:rPr>
            </w:pPr>
            <w:r w:rsidRPr="00845738">
              <w:rPr>
                <w:color w:val="000000"/>
                <w:sz w:val="24"/>
              </w:rPr>
              <w:t>Unobligated Balance (UOB) of Federal Funds by Subprogram</w:t>
            </w:r>
          </w:p>
        </w:tc>
      </w:tr>
      <w:tr w14:paraId="2D2A525B" w14:textId="77777777" w:rsidTr="00D56207">
        <w:tblPrEx>
          <w:tblW w:w="5000" w:type="pct"/>
          <w:tblLook w:val="04A0"/>
        </w:tblPrEx>
        <w:trPr>
          <w:trHeight w:val="485"/>
        </w:trPr>
        <w:tc>
          <w:tcPr>
            <w:tcW w:w="1182" w:type="pct"/>
            <w:tcBorders>
              <w:top w:val="nil"/>
              <w:left w:val="single" w:sz="8" w:space="0" w:color="auto"/>
              <w:bottom w:val="single" w:sz="4" w:space="0" w:color="auto"/>
              <w:right w:val="single" w:sz="4" w:space="0" w:color="auto"/>
            </w:tcBorders>
            <w:noWrap/>
            <w:vAlign w:val="bottom"/>
            <w:hideMark/>
          </w:tcPr>
          <w:p w:rsidR="00845738" w:rsidRPr="00845738" w:rsidP="00845738" w14:paraId="4279AB11" w14:textId="77777777">
            <w:pPr>
              <w:widowControl/>
              <w:autoSpaceDE/>
              <w:autoSpaceDN/>
              <w:adjustRightInd/>
              <w:spacing w:line="256" w:lineRule="auto"/>
              <w:rPr>
                <w:color w:val="000000"/>
                <w:sz w:val="24"/>
              </w:rPr>
            </w:pPr>
            <w:r w:rsidRPr="00845738">
              <w:rPr>
                <w:color w:val="000000"/>
                <w:sz w:val="24"/>
              </w:rPr>
              <w:t>Category</w:t>
            </w:r>
          </w:p>
        </w:tc>
        <w:tc>
          <w:tcPr>
            <w:tcW w:w="991" w:type="pct"/>
            <w:tcBorders>
              <w:top w:val="nil"/>
              <w:left w:val="nil"/>
              <w:bottom w:val="single" w:sz="4" w:space="0" w:color="auto"/>
              <w:right w:val="single" w:sz="4" w:space="0" w:color="auto"/>
            </w:tcBorders>
            <w:vAlign w:val="bottom"/>
            <w:hideMark/>
          </w:tcPr>
          <w:p w:rsidR="00845738" w:rsidRPr="00845738" w:rsidP="00845738" w14:paraId="50A487F0" w14:textId="77777777">
            <w:pPr>
              <w:widowControl/>
              <w:autoSpaceDE/>
              <w:autoSpaceDN/>
              <w:adjustRightInd/>
              <w:spacing w:line="256" w:lineRule="auto"/>
              <w:rPr>
                <w:color w:val="000000"/>
                <w:sz w:val="24"/>
              </w:rPr>
            </w:pPr>
            <w:r w:rsidRPr="00845738">
              <w:rPr>
                <w:color w:val="000000"/>
                <w:sz w:val="24"/>
              </w:rPr>
              <w:t xml:space="preserve">Federal Funds Authorized </w:t>
            </w:r>
          </w:p>
        </w:tc>
        <w:tc>
          <w:tcPr>
            <w:tcW w:w="991" w:type="pct"/>
            <w:tcBorders>
              <w:top w:val="nil"/>
              <w:left w:val="nil"/>
              <w:bottom w:val="single" w:sz="4" w:space="0" w:color="auto"/>
              <w:right w:val="single" w:sz="4" w:space="0" w:color="auto"/>
            </w:tcBorders>
            <w:vAlign w:val="bottom"/>
            <w:hideMark/>
          </w:tcPr>
          <w:p w:rsidR="00845738" w:rsidRPr="00845738" w:rsidP="00845738" w14:paraId="52FFD715" w14:textId="77777777">
            <w:pPr>
              <w:widowControl/>
              <w:autoSpaceDE/>
              <w:autoSpaceDN/>
              <w:adjustRightInd/>
              <w:spacing w:line="256" w:lineRule="auto"/>
              <w:rPr>
                <w:color w:val="000000"/>
                <w:sz w:val="24"/>
              </w:rPr>
            </w:pPr>
            <w:r w:rsidRPr="00845738">
              <w:rPr>
                <w:color w:val="000000"/>
                <w:sz w:val="24"/>
              </w:rPr>
              <w:t>Unexpended Carryover</w:t>
            </w:r>
          </w:p>
        </w:tc>
        <w:tc>
          <w:tcPr>
            <w:tcW w:w="919" w:type="pct"/>
            <w:tcBorders>
              <w:top w:val="nil"/>
              <w:left w:val="nil"/>
              <w:bottom w:val="single" w:sz="4" w:space="0" w:color="auto"/>
              <w:right w:val="nil"/>
            </w:tcBorders>
            <w:vAlign w:val="bottom"/>
            <w:hideMark/>
          </w:tcPr>
          <w:p w:rsidR="00845738" w:rsidRPr="00845738" w:rsidP="00845738" w14:paraId="3BEB12C0" w14:textId="77777777">
            <w:pPr>
              <w:widowControl/>
              <w:autoSpaceDE/>
              <w:autoSpaceDN/>
              <w:adjustRightInd/>
              <w:spacing w:line="256" w:lineRule="auto"/>
              <w:rPr>
                <w:color w:val="000000"/>
                <w:sz w:val="24"/>
              </w:rPr>
            </w:pPr>
            <w:r w:rsidRPr="00845738">
              <w:rPr>
                <w:color w:val="000000"/>
                <w:sz w:val="24"/>
              </w:rPr>
              <w:t>Prior Year (FY20XX)</w:t>
            </w:r>
          </w:p>
        </w:tc>
        <w:tc>
          <w:tcPr>
            <w:tcW w:w="917" w:type="pct"/>
            <w:tcBorders>
              <w:top w:val="nil"/>
              <w:left w:val="single" w:sz="4" w:space="0" w:color="auto"/>
              <w:bottom w:val="single" w:sz="4" w:space="0" w:color="auto"/>
              <w:right w:val="single" w:sz="8" w:space="0" w:color="auto"/>
            </w:tcBorders>
            <w:vAlign w:val="bottom"/>
            <w:hideMark/>
          </w:tcPr>
          <w:p w:rsidR="00845738" w:rsidRPr="00845738" w:rsidP="00845738" w14:paraId="443B2C96" w14:textId="77777777">
            <w:pPr>
              <w:widowControl/>
              <w:autoSpaceDE/>
              <w:autoSpaceDN/>
              <w:adjustRightInd/>
              <w:spacing w:line="256" w:lineRule="auto"/>
              <w:rPr>
                <w:color w:val="000000"/>
                <w:sz w:val="24"/>
              </w:rPr>
            </w:pPr>
            <w:r w:rsidRPr="00845738">
              <w:rPr>
                <w:color w:val="000000"/>
                <w:sz w:val="24"/>
              </w:rPr>
              <w:t>Current Year (FY 20XX)</w:t>
            </w:r>
          </w:p>
        </w:tc>
      </w:tr>
      <w:tr w14:paraId="699334B7" w14:textId="77777777" w:rsidTr="00D56207">
        <w:tblPrEx>
          <w:tblW w:w="5000" w:type="pct"/>
          <w:tblLook w:val="04A0"/>
        </w:tblPrEx>
        <w:trPr>
          <w:trHeight w:val="315"/>
        </w:trPr>
        <w:tc>
          <w:tcPr>
            <w:tcW w:w="1182" w:type="pct"/>
            <w:tcBorders>
              <w:top w:val="nil"/>
              <w:left w:val="single" w:sz="8" w:space="0" w:color="auto"/>
              <w:bottom w:val="single" w:sz="4" w:space="0" w:color="auto"/>
              <w:right w:val="single" w:sz="4" w:space="0" w:color="auto"/>
            </w:tcBorders>
            <w:noWrap/>
            <w:vAlign w:val="bottom"/>
            <w:hideMark/>
          </w:tcPr>
          <w:p w:rsidR="00845738" w:rsidRPr="00845738" w:rsidP="00845738" w14:paraId="4BA63B0F" w14:textId="77777777">
            <w:pPr>
              <w:widowControl/>
              <w:autoSpaceDE/>
              <w:autoSpaceDN/>
              <w:adjustRightInd/>
              <w:spacing w:line="256" w:lineRule="auto"/>
              <w:rPr>
                <w:color w:val="000000"/>
                <w:sz w:val="24"/>
              </w:rPr>
            </w:pPr>
            <w:r w:rsidRPr="00845738">
              <w:rPr>
                <w:color w:val="000000"/>
                <w:sz w:val="24"/>
              </w:rPr>
              <w:t>Part A Formula</w:t>
            </w:r>
          </w:p>
        </w:tc>
        <w:tc>
          <w:tcPr>
            <w:tcW w:w="991" w:type="pct"/>
            <w:tcBorders>
              <w:top w:val="nil"/>
              <w:left w:val="nil"/>
              <w:bottom w:val="single" w:sz="4" w:space="0" w:color="auto"/>
              <w:right w:val="single" w:sz="4" w:space="0" w:color="auto"/>
            </w:tcBorders>
            <w:noWrap/>
            <w:vAlign w:val="bottom"/>
            <w:hideMark/>
          </w:tcPr>
          <w:p w:rsidR="00845738" w:rsidRPr="00845738" w:rsidP="00845738" w14:paraId="43348BA9" w14:textId="77777777">
            <w:pPr>
              <w:widowControl/>
              <w:autoSpaceDE/>
              <w:autoSpaceDN/>
              <w:adjustRightInd/>
              <w:spacing w:line="256" w:lineRule="auto"/>
              <w:rPr>
                <w:color w:val="000000"/>
                <w:sz w:val="24"/>
              </w:rPr>
            </w:pPr>
            <w:r w:rsidRPr="00845738">
              <w:rPr>
                <w:color w:val="000000"/>
                <w:sz w:val="24"/>
              </w:rPr>
              <w:t> </w:t>
            </w:r>
          </w:p>
        </w:tc>
        <w:tc>
          <w:tcPr>
            <w:tcW w:w="991" w:type="pct"/>
            <w:tcBorders>
              <w:top w:val="nil"/>
              <w:left w:val="nil"/>
              <w:bottom w:val="single" w:sz="4" w:space="0" w:color="auto"/>
              <w:right w:val="single" w:sz="4" w:space="0" w:color="auto"/>
            </w:tcBorders>
            <w:noWrap/>
            <w:vAlign w:val="bottom"/>
            <w:hideMark/>
          </w:tcPr>
          <w:p w:rsidR="00845738" w:rsidRPr="00845738" w:rsidP="00845738" w14:paraId="51DEAABC" w14:textId="77777777">
            <w:pPr>
              <w:widowControl/>
              <w:autoSpaceDE/>
              <w:autoSpaceDN/>
              <w:adjustRightInd/>
              <w:spacing w:line="256" w:lineRule="auto"/>
              <w:rPr>
                <w:color w:val="000000"/>
                <w:sz w:val="24"/>
              </w:rPr>
            </w:pPr>
            <w:r w:rsidRPr="00845738">
              <w:rPr>
                <w:color w:val="000000"/>
                <w:sz w:val="24"/>
              </w:rPr>
              <w:t> </w:t>
            </w:r>
          </w:p>
        </w:tc>
        <w:tc>
          <w:tcPr>
            <w:tcW w:w="919" w:type="pct"/>
            <w:tcBorders>
              <w:top w:val="nil"/>
              <w:left w:val="nil"/>
              <w:bottom w:val="single" w:sz="4" w:space="0" w:color="auto"/>
              <w:right w:val="nil"/>
            </w:tcBorders>
            <w:noWrap/>
            <w:vAlign w:val="bottom"/>
            <w:hideMark/>
          </w:tcPr>
          <w:p w:rsidR="00845738" w:rsidRPr="00845738" w:rsidP="00845738" w14:paraId="6648CE0E" w14:textId="77777777">
            <w:pPr>
              <w:widowControl/>
              <w:autoSpaceDE/>
              <w:autoSpaceDN/>
              <w:adjustRightInd/>
              <w:spacing w:line="256" w:lineRule="auto"/>
              <w:rPr>
                <w:color w:val="000000"/>
                <w:sz w:val="24"/>
              </w:rPr>
            </w:pPr>
            <w:r w:rsidRPr="00845738">
              <w:rPr>
                <w:color w:val="000000"/>
                <w:sz w:val="24"/>
              </w:rPr>
              <w:t> </w:t>
            </w:r>
          </w:p>
        </w:tc>
        <w:tc>
          <w:tcPr>
            <w:tcW w:w="917" w:type="pct"/>
            <w:tcBorders>
              <w:top w:val="nil"/>
              <w:left w:val="single" w:sz="4" w:space="0" w:color="auto"/>
              <w:bottom w:val="single" w:sz="4" w:space="0" w:color="auto"/>
              <w:right w:val="single" w:sz="8" w:space="0" w:color="auto"/>
            </w:tcBorders>
            <w:noWrap/>
            <w:vAlign w:val="bottom"/>
            <w:hideMark/>
          </w:tcPr>
          <w:p w:rsidR="00845738" w:rsidRPr="00845738" w:rsidP="00845738" w14:paraId="1215CE2C" w14:textId="77777777">
            <w:pPr>
              <w:widowControl/>
              <w:autoSpaceDE/>
              <w:autoSpaceDN/>
              <w:adjustRightInd/>
              <w:spacing w:line="256" w:lineRule="auto"/>
              <w:rPr>
                <w:color w:val="000000"/>
                <w:sz w:val="24"/>
              </w:rPr>
            </w:pPr>
            <w:r w:rsidRPr="00845738">
              <w:rPr>
                <w:color w:val="000000"/>
                <w:sz w:val="24"/>
              </w:rPr>
              <w:t> </w:t>
            </w:r>
          </w:p>
        </w:tc>
      </w:tr>
      <w:tr w14:paraId="00841478" w14:textId="77777777" w:rsidTr="00D56207">
        <w:tblPrEx>
          <w:tblW w:w="5000" w:type="pct"/>
          <w:tblLook w:val="04A0"/>
        </w:tblPrEx>
        <w:trPr>
          <w:trHeight w:val="315"/>
        </w:trPr>
        <w:tc>
          <w:tcPr>
            <w:tcW w:w="1182" w:type="pct"/>
            <w:tcBorders>
              <w:top w:val="nil"/>
              <w:left w:val="single" w:sz="8" w:space="0" w:color="auto"/>
              <w:bottom w:val="single" w:sz="4" w:space="0" w:color="auto"/>
              <w:right w:val="single" w:sz="4" w:space="0" w:color="auto"/>
            </w:tcBorders>
            <w:noWrap/>
            <w:vAlign w:val="bottom"/>
            <w:hideMark/>
          </w:tcPr>
          <w:p w:rsidR="00845738" w:rsidRPr="00845738" w:rsidP="00845738" w14:paraId="4F5A3C4D" w14:textId="77777777">
            <w:pPr>
              <w:widowControl/>
              <w:autoSpaceDE/>
              <w:autoSpaceDN/>
              <w:adjustRightInd/>
              <w:spacing w:line="256" w:lineRule="auto"/>
              <w:rPr>
                <w:color w:val="000000"/>
                <w:sz w:val="24"/>
              </w:rPr>
            </w:pPr>
            <w:r w:rsidRPr="00845738">
              <w:rPr>
                <w:color w:val="000000"/>
                <w:sz w:val="24"/>
              </w:rPr>
              <w:t>Part A Supplemental</w:t>
            </w:r>
          </w:p>
        </w:tc>
        <w:tc>
          <w:tcPr>
            <w:tcW w:w="991" w:type="pct"/>
            <w:tcBorders>
              <w:top w:val="nil"/>
              <w:left w:val="nil"/>
              <w:bottom w:val="single" w:sz="4" w:space="0" w:color="auto"/>
              <w:right w:val="single" w:sz="4" w:space="0" w:color="auto"/>
            </w:tcBorders>
            <w:noWrap/>
            <w:vAlign w:val="bottom"/>
            <w:hideMark/>
          </w:tcPr>
          <w:p w:rsidR="00845738" w:rsidRPr="00845738" w:rsidP="00845738" w14:paraId="53C83E6C" w14:textId="77777777">
            <w:pPr>
              <w:widowControl/>
              <w:autoSpaceDE/>
              <w:autoSpaceDN/>
              <w:adjustRightInd/>
              <w:spacing w:line="256" w:lineRule="auto"/>
              <w:rPr>
                <w:color w:val="000000"/>
                <w:sz w:val="24"/>
              </w:rPr>
            </w:pPr>
            <w:r w:rsidRPr="00845738">
              <w:rPr>
                <w:color w:val="000000"/>
                <w:sz w:val="24"/>
              </w:rPr>
              <w:t> </w:t>
            </w:r>
          </w:p>
        </w:tc>
        <w:tc>
          <w:tcPr>
            <w:tcW w:w="991" w:type="pct"/>
            <w:tcBorders>
              <w:top w:val="nil"/>
              <w:left w:val="nil"/>
              <w:bottom w:val="single" w:sz="4" w:space="0" w:color="auto"/>
              <w:right w:val="single" w:sz="4" w:space="0" w:color="auto"/>
            </w:tcBorders>
            <w:noWrap/>
            <w:vAlign w:val="bottom"/>
            <w:hideMark/>
          </w:tcPr>
          <w:p w:rsidR="00845738" w:rsidRPr="00845738" w:rsidP="00845738" w14:paraId="440F9704" w14:textId="77777777">
            <w:pPr>
              <w:widowControl/>
              <w:autoSpaceDE/>
              <w:autoSpaceDN/>
              <w:adjustRightInd/>
              <w:spacing w:line="256" w:lineRule="auto"/>
              <w:rPr>
                <w:color w:val="000000"/>
                <w:sz w:val="24"/>
              </w:rPr>
            </w:pPr>
            <w:r w:rsidRPr="00845738">
              <w:rPr>
                <w:color w:val="000000"/>
                <w:sz w:val="24"/>
              </w:rPr>
              <w:t> </w:t>
            </w:r>
          </w:p>
        </w:tc>
        <w:tc>
          <w:tcPr>
            <w:tcW w:w="919" w:type="pct"/>
            <w:tcBorders>
              <w:top w:val="nil"/>
              <w:left w:val="nil"/>
              <w:bottom w:val="single" w:sz="4" w:space="0" w:color="auto"/>
              <w:right w:val="nil"/>
            </w:tcBorders>
            <w:noWrap/>
            <w:vAlign w:val="bottom"/>
            <w:hideMark/>
          </w:tcPr>
          <w:p w:rsidR="00845738" w:rsidRPr="00845738" w:rsidP="00845738" w14:paraId="25214FDE" w14:textId="77777777">
            <w:pPr>
              <w:widowControl/>
              <w:autoSpaceDE/>
              <w:autoSpaceDN/>
              <w:adjustRightInd/>
              <w:spacing w:line="256" w:lineRule="auto"/>
              <w:rPr>
                <w:color w:val="000000"/>
                <w:sz w:val="24"/>
              </w:rPr>
            </w:pPr>
            <w:r w:rsidRPr="00845738">
              <w:rPr>
                <w:color w:val="000000"/>
                <w:sz w:val="24"/>
              </w:rPr>
              <w:t> </w:t>
            </w:r>
          </w:p>
        </w:tc>
        <w:tc>
          <w:tcPr>
            <w:tcW w:w="917" w:type="pct"/>
            <w:tcBorders>
              <w:top w:val="nil"/>
              <w:left w:val="single" w:sz="4" w:space="0" w:color="auto"/>
              <w:bottom w:val="single" w:sz="4" w:space="0" w:color="auto"/>
              <w:right w:val="single" w:sz="8" w:space="0" w:color="auto"/>
            </w:tcBorders>
            <w:noWrap/>
            <w:vAlign w:val="bottom"/>
            <w:hideMark/>
          </w:tcPr>
          <w:p w:rsidR="00845738" w:rsidRPr="00845738" w:rsidP="00845738" w14:paraId="0A01C235" w14:textId="77777777">
            <w:pPr>
              <w:widowControl/>
              <w:autoSpaceDE/>
              <w:autoSpaceDN/>
              <w:adjustRightInd/>
              <w:spacing w:line="256" w:lineRule="auto"/>
              <w:rPr>
                <w:color w:val="000000"/>
                <w:sz w:val="24"/>
              </w:rPr>
            </w:pPr>
            <w:r w:rsidRPr="00845738">
              <w:rPr>
                <w:color w:val="000000"/>
                <w:sz w:val="24"/>
              </w:rPr>
              <w:t> </w:t>
            </w:r>
          </w:p>
        </w:tc>
      </w:tr>
      <w:tr w14:paraId="275A125F" w14:textId="77777777" w:rsidTr="00D56207">
        <w:tblPrEx>
          <w:tblW w:w="5000" w:type="pct"/>
          <w:tblLook w:val="04A0"/>
        </w:tblPrEx>
        <w:trPr>
          <w:trHeight w:val="330"/>
        </w:trPr>
        <w:tc>
          <w:tcPr>
            <w:tcW w:w="1182" w:type="pct"/>
            <w:tcBorders>
              <w:top w:val="nil"/>
              <w:left w:val="single" w:sz="8" w:space="0" w:color="auto"/>
              <w:bottom w:val="single" w:sz="8" w:space="0" w:color="auto"/>
              <w:right w:val="single" w:sz="4" w:space="0" w:color="auto"/>
            </w:tcBorders>
            <w:noWrap/>
            <w:vAlign w:val="bottom"/>
            <w:hideMark/>
          </w:tcPr>
          <w:p w:rsidR="00845738" w:rsidRPr="00845738" w:rsidP="00845738" w14:paraId="6611EF52" w14:textId="77777777">
            <w:pPr>
              <w:widowControl/>
              <w:autoSpaceDE/>
              <w:autoSpaceDN/>
              <w:adjustRightInd/>
              <w:spacing w:line="256" w:lineRule="auto"/>
              <w:rPr>
                <w:color w:val="000000"/>
                <w:sz w:val="24"/>
              </w:rPr>
            </w:pPr>
            <w:r w:rsidRPr="00845738">
              <w:rPr>
                <w:color w:val="000000"/>
                <w:sz w:val="24"/>
              </w:rPr>
              <w:t>Part A MAI</w:t>
            </w:r>
          </w:p>
        </w:tc>
        <w:tc>
          <w:tcPr>
            <w:tcW w:w="991" w:type="pct"/>
            <w:tcBorders>
              <w:top w:val="nil"/>
              <w:left w:val="nil"/>
              <w:bottom w:val="single" w:sz="8" w:space="0" w:color="auto"/>
              <w:right w:val="single" w:sz="4" w:space="0" w:color="auto"/>
            </w:tcBorders>
            <w:noWrap/>
            <w:vAlign w:val="bottom"/>
            <w:hideMark/>
          </w:tcPr>
          <w:p w:rsidR="00845738" w:rsidRPr="00845738" w:rsidP="00845738" w14:paraId="591711AD" w14:textId="77777777">
            <w:pPr>
              <w:widowControl/>
              <w:autoSpaceDE/>
              <w:autoSpaceDN/>
              <w:adjustRightInd/>
              <w:spacing w:line="256" w:lineRule="auto"/>
              <w:rPr>
                <w:color w:val="000000"/>
                <w:sz w:val="24"/>
              </w:rPr>
            </w:pPr>
            <w:r w:rsidRPr="00845738">
              <w:rPr>
                <w:color w:val="000000"/>
                <w:sz w:val="24"/>
              </w:rPr>
              <w:t> </w:t>
            </w:r>
          </w:p>
        </w:tc>
        <w:tc>
          <w:tcPr>
            <w:tcW w:w="991" w:type="pct"/>
            <w:tcBorders>
              <w:top w:val="nil"/>
              <w:left w:val="nil"/>
              <w:bottom w:val="single" w:sz="8" w:space="0" w:color="auto"/>
              <w:right w:val="single" w:sz="4" w:space="0" w:color="auto"/>
            </w:tcBorders>
            <w:noWrap/>
            <w:vAlign w:val="bottom"/>
            <w:hideMark/>
          </w:tcPr>
          <w:p w:rsidR="00845738" w:rsidRPr="00845738" w:rsidP="00845738" w14:paraId="650E0CF0" w14:textId="77777777">
            <w:pPr>
              <w:widowControl/>
              <w:autoSpaceDE/>
              <w:autoSpaceDN/>
              <w:adjustRightInd/>
              <w:spacing w:line="256" w:lineRule="auto"/>
              <w:rPr>
                <w:color w:val="000000"/>
                <w:sz w:val="24"/>
              </w:rPr>
            </w:pPr>
            <w:r w:rsidRPr="00845738">
              <w:rPr>
                <w:color w:val="000000"/>
                <w:sz w:val="24"/>
              </w:rPr>
              <w:t> </w:t>
            </w:r>
          </w:p>
        </w:tc>
        <w:tc>
          <w:tcPr>
            <w:tcW w:w="919" w:type="pct"/>
            <w:tcBorders>
              <w:top w:val="nil"/>
              <w:left w:val="nil"/>
              <w:bottom w:val="single" w:sz="8" w:space="0" w:color="auto"/>
              <w:right w:val="nil"/>
            </w:tcBorders>
            <w:noWrap/>
            <w:vAlign w:val="bottom"/>
            <w:hideMark/>
          </w:tcPr>
          <w:p w:rsidR="00845738" w:rsidRPr="00845738" w:rsidP="00845738" w14:paraId="67132D06" w14:textId="77777777">
            <w:pPr>
              <w:widowControl/>
              <w:autoSpaceDE/>
              <w:autoSpaceDN/>
              <w:adjustRightInd/>
              <w:spacing w:line="256" w:lineRule="auto"/>
              <w:rPr>
                <w:color w:val="000000"/>
                <w:sz w:val="24"/>
              </w:rPr>
            </w:pPr>
            <w:r w:rsidRPr="00845738">
              <w:rPr>
                <w:color w:val="000000"/>
                <w:sz w:val="24"/>
              </w:rPr>
              <w:t> </w:t>
            </w:r>
          </w:p>
        </w:tc>
        <w:tc>
          <w:tcPr>
            <w:tcW w:w="917" w:type="pct"/>
            <w:tcBorders>
              <w:top w:val="nil"/>
              <w:left w:val="single" w:sz="4" w:space="0" w:color="auto"/>
              <w:bottom w:val="single" w:sz="8" w:space="0" w:color="auto"/>
              <w:right w:val="single" w:sz="8" w:space="0" w:color="auto"/>
            </w:tcBorders>
            <w:noWrap/>
            <w:vAlign w:val="bottom"/>
            <w:hideMark/>
          </w:tcPr>
          <w:p w:rsidR="00845738" w:rsidRPr="00845738" w:rsidP="00845738" w14:paraId="65B33736" w14:textId="77777777">
            <w:pPr>
              <w:widowControl/>
              <w:autoSpaceDE/>
              <w:autoSpaceDN/>
              <w:adjustRightInd/>
              <w:spacing w:line="256" w:lineRule="auto"/>
              <w:rPr>
                <w:color w:val="000000"/>
                <w:sz w:val="24"/>
              </w:rPr>
            </w:pPr>
            <w:r w:rsidRPr="00845738">
              <w:rPr>
                <w:color w:val="000000"/>
                <w:sz w:val="24"/>
              </w:rPr>
              <w:t> </w:t>
            </w:r>
          </w:p>
        </w:tc>
      </w:tr>
    </w:tbl>
    <w:p w:rsidR="00845738" w:rsidRPr="00845738" w:rsidP="00845738" w14:paraId="457F94BD" w14:textId="77777777">
      <w:pPr>
        <w:widowControl/>
        <w:autoSpaceDE/>
        <w:autoSpaceDN/>
        <w:adjustRightInd/>
        <w:rPr>
          <w:b/>
          <w:bCs/>
          <w:sz w:val="24"/>
          <w:u w:val="single"/>
        </w:rPr>
      </w:pPr>
    </w:p>
    <w:tbl>
      <w:tblPr>
        <w:tblW w:w="9350" w:type="dxa"/>
        <w:tblLook w:val="04A0"/>
      </w:tblPr>
      <w:tblGrid>
        <w:gridCol w:w="2040"/>
        <w:gridCol w:w="2020"/>
        <w:gridCol w:w="1880"/>
        <w:gridCol w:w="1880"/>
        <w:gridCol w:w="1530"/>
      </w:tblGrid>
      <w:tr w14:paraId="3CB4A1B4" w14:textId="77777777" w:rsidTr="00D56207">
        <w:tblPrEx>
          <w:tblW w:w="9350" w:type="dxa"/>
          <w:tblLook w:val="04A0"/>
        </w:tblPrEx>
        <w:trPr>
          <w:trHeight w:val="160"/>
        </w:trPr>
        <w:tc>
          <w:tcPr>
            <w:tcW w:w="9350" w:type="dxa"/>
            <w:gridSpan w:val="5"/>
            <w:tcBorders>
              <w:top w:val="single" w:sz="8" w:space="0" w:color="auto"/>
              <w:left w:val="single" w:sz="8" w:space="0" w:color="auto"/>
              <w:bottom w:val="single" w:sz="4" w:space="0" w:color="auto"/>
              <w:right w:val="single" w:sz="8" w:space="0" w:color="000000"/>
            </w:tcBorders>
            <w:noWrap/>
            <w:vAlign w:val="bottom"/>
            <w:hideMark/>
          </w:tcPr>
          <w:p w:rsidR="00845738" w:rsidRPr="00845738" w:rsidP="00845738" w14:paraId="77EC3B87" w14:textId="1B379013">
            <w:pPr>
              <w:widowControl/>
              <w:autoSpaceDE/>
              <w:autoSpaceDN/>
              <w:adjustRightInd/>
              <w:spacing w:line="256" w:lineRule="auto"/>
              <w:rPr>
                <w:color w:val="000000"/>
                <w:sz w:val="24"/>
              </w:rPr>
            </w:pPr>
            <w:r w:rsidRPr="00845738">
              <w:rPr>
                <w:noProof/>
                <w:sz w:val="24"/>
                <w:szCs w:val="32"/>
              </w:rPr>
              <w:t>20</w:t>
            </w:r>
            <w:r w:rsidR="00284B8F">
              <w:rPr>
                <w:noProof/>
                <w:sz w:val="24"/>
                <w:szCs w:val="32"/>
              </w:rPr>
              <w:t>23</w:t>
            </w:r>
            <w:r w:rsidRPr="00845738">
              <w:rPr>
                <w:noProof/>
                <w:sz w:val="24"/>
                <w:szCs w:val="32"/>
              </w:rPr>
              <w:t xml:space="preserve"> APPROVED ICR TABLE FOR RWHAP PART B:</w:t>
            </w:r>
            <w:r w:rsidRPr="00845738">
              <w:rPr>
                <w:color w:val="000000"/>
                <w:sz w:val="24"/>
              </w:rPr>
              <w:t>Unobligated Balance (UOB) of Federal Funds by Subprogram</w:t>
            </w:r>
          </w:p>
        </w:tc>
      </w:tr>
      <w:tr w14:paraId="03AE89B3" w14:textId="77777777" w:rsidTr="00D56207">
        <w:tblPrEx>
          <w:tblW w:w="9350" w:type="dxa"/>
          <w:tblLook w:val="04A0"/>
        </w:tblPrEx>
        <w:trPr>
          <w:trHeight w:val="233"/>
        </w:trPr>
        <w:tc>
          <w:tcPr>
            <w:tcW w:w="2040" w:type="dxa"/>
            <w:tcBorders>
              <w:top w:val="nil"/>
              <w:left w:val="single" w:sz="8" w:space="0" w:color="auto"/>
              <w:bottom w:val="single" w:sz="4" w:space="0" w:color="auto"/>
              <w:right w:val="single" w:sz="4" w:space="0" w:color="auto"/>
            </w:tcBorders>
            <w:noWrap/>
            <w:vAlign w:val="bottom"/>
            <w:hideMark/>
          </w:tcPr>
          <w:p w:rsidR="00845738" w:rsidRPr="00845738" w:rsidP="00845738" w14:paraId="78AC5360" w14:textId="77777777">
            <w:pPr>
              <w:widowControl/>
              <w:autoSpaceDE/>
              <w:autoSpaceDN/>
              <w:adjustRightInd/>
              <w:spacing w:line="256" w:lineRule="auto"/>
              <w:rPr>
                <w:color w:val="000000"/>
                <w:sz w:val="24"/>
              </w:rPr>
            </w:pPr>
            <w:r w:rsidRPr="00845738">
              <w:rPr>
                <w:color w:val="000000"/>
                <w:sz w:val="24"/>
              </w:rPr>
              <w:t>Category</w:t>
            </w:r>
          </w:p>
        </w:tc>
        <w:tc>
          <w:tcPr>
            <w:tcW w:w="2020" w:type="dxa"/>
            <w:tcBorders>
              <w:top w:val="nil"/>
              <w:left w:val="nil"/>
              <w:bottom w:val="single" w:sz="4" w:space="0" w:color="auto"/>
              <w:right w:val="single" w:sz="4" w:space="0" w:color="auto"/>
            </w:tcBorders>
            <w:vAlign w:val="bottom"/>
            <w:hideMark/>
          </w:tcPr>
          <w:p w:rsidR="00845738" w:rsidRPr="00845738" w:rsidP="00845738" w14:paraId="060773AD" w14:textId="77777777">
            <w:pPr>
              <w:widowControl/>
              <w:autoSpaceDE/>
              <w:autoSpaceDN/>
              <w:adjustRightInd/>
              <w:spacing w:line="256" w:lineRule="auto"/>
              <w:rPr>
                <w:color w:val="000000"/>
                <w:sz w:val="24"/>
              </w:rPr>
            </w:pPr>
            <w:r w:rsidRPr="00845738">
              <w:rPr>
                <w:color w:val="000000"/>
                <w:sz w:val="24"/>
              </w:rPr>
              <w:t xml:space="preserve">Federal Funds Authorized </w:t>
            </w:r>
          </w:p>
        </w:tc>
        <w:tc>
          <w:tcPr>
            <w:tcW w:w="1880" w:type="dxa"/>
            <w:tcBorders>
              <w:top w:val="nil"/>
              <w:left w:val="nil"/>
              <w:bottom w:val="single" w:sz="4" w:space="0" w:color="auto"/>
              <w:right w:val="single" w:sz="4" w:space="0" w:color="auto"/>
            </w:tcBorders>
            <w:vAlign w:val="bottom"/>
            <w:hideMark/>
          </w:tcPr>
          <w:p w:rsidR="00845738" w:rsidRPr="00845738" w:rsidP="00845738" w14:paraId="66ED799B" w14:textId="77777777">
            <w:pPr>
              <w:widowControl/>
              <w:autoSpaceDE/>
              <w:autoSpaceDN/>
              <w:adjustRightInd/>
              <w:spacing w:line="256" w:lineRule="auto"/>
              <w:rPr>
                <w:color w:val="000000"/>
                <w:sz w:val="24"/>
              </w:rPr>
            </w:pPr>
            <w:r w:rsidRPr="00845738">
              <w:rPr>
                <w:color w:val="000000"/>
                <w:sz w:val="24"/>
              </w:rPr>
              <w:t>Unexpended Carryover</w:t>
            </w:r>
          </w:p>
        </w:tc>
        <w:tc>
          <w:tcPr>
            <w:tcW w:w="1880" w:type="dxa"/>
            <w:tcBorders>
              <w:top w:val="nil"/>
              <w:left w:val="nil"/>
              <w:bottom w:val="single" w:sz="4" w:space="0" w:color="auto"/>
              <w:right w:val="single" w:sz="4" w:space="0" w:color="auto"/>
            </w:tcBorders>
            <w:vAlign w:val="bottom"/>
            <w:hideMark/>
          </w:tcPr>
          <w:p w:rsidR="00845738" w:rsidRPr="00845738" w:rsidP="00845738" w14:paraId="3F5F0D45" w14:textId="77777777">
            <w:pPr>
              <w:widowControl/>
              <w:autoSpaceDE/>
              <w:autoSpaceDN/>
              <w:adjustRightInd/>
              <w:spacing w:line="256" w:lineRule="auto"/>
              <w:rPr>
                <w:color w:val="000000"/>
                <w:sz w:val="24"/>
              </w:rPr>
            </w:pPr>
            <w:r w:rsidRPr="00845738">
              <w:rPr>
                <w:color w:val="000000"/>
                <w:sz w:val="24"/>
              </w:rPr>
              <w:t>Prior Year (FY20XX)</w:t>
            </w:r>
          </w:p>
        </w:tc>
        <w:tc>
          <w:tcPr>
            <w:tcW w:w="1530" w:type="dxa"/>
            <w:tcBorders>
              <w:top w:val="nil"/>
              <w:left w:val="nil"/>
              <w:bottom w:val="single" w:sz="4" w:space="0" w:color="auto"/>
              <w:right w:val="single" w:sz="8" w:space="0" w:color="auto"/>
            </w:tcBorders>
            <w:vAlign w:val="bottom"/>
            <w:hideMark/>
          </w:tcPr>
          <w:p w:rsidR="00845738" w:rsidRPr="00845738" w:rsidP="00845738" w14:paraId="3C8CE15D" w14:textId="77777777">
            <w:pPr>
              <w:widowControl/>
              <w:autoSpaceDE/>
              <w:autoSpaceDN/>
              <w:adjustRightInd/>
              <w:spacing w:line="256" w:lineRule="auto"/>
              <w:rPr>
                <w:color w:val="000000"/>
                <w:sz w:val="24"/>
              </w:rPr>
            </w:pPr>
            <w:r w:rsidRPr="00845738">
              <w:rPr>
                <w:color w:val="000000"/>
                <w:sz w:val="24"/>
              </w:rPr>
              <w:t>Current Year (FY 20XX)</w:t>
            </w:r>
          </w:p>
        </w:tc>
      </w:tr>
      <w:tr w14:paraId="7CB2F433" w14:textId="77777777" w:rsidTr="00D56207">
        <w:tblPrEx>
          <w:tblW w:w="9350" w:type="dxa"/>
          <w:tblLook w:val="04A0"/>
        </w:tblPrEx>
        <w:trPr>
          <w:trHeight w:val="315"/>
        </w:trPr>
        <w:tc>
          <w:tcPr>
            <w:tcW w:w="2040" w:type="dxa"/>
            <w:tcBorders>
              <w:top w:val="nil"/>
              <w:left w:val="single" w:sz="8" w:space="0" w:color="auto"/>
              <w:bottom w:val="single" w:sz="4" w:space="0" w:color="auto"/>
              <w:right w:val="single" w:sz="4" w:space="0" w:color="auto"/>
            </w:tcBorders>
            <w:noWrap/>
            <w:vAlign w:val="bottom"/>
            <w:hideMark/>
          </w:tcPr>
          <w:p w:rsidR="00845738" w:rsidRPr="00845738" w:rsidP="00845738" w14:paraId="59E5547E" w14:textId="77777777">
            <w:pPr>
              <w:widowControl/>
              <w:autoSpaceDE/>
              <w:autoSpaceDN/>
              <w:adjustRightInd/>
              <w:spacing w:line="256" w:lineRule="auto"/>
              <w:rPr>
                <w:color w:val="000000"/>
                <w:sz w:val="24"/>
              </w:rPr>
            </w:pPr>
            <w:r w:rsidRPr="00845738">
              <w:rPr>
                <w:color w:val="000000"/>
                <w:sz w:val="24"/>
              </w:rPr>
              <w:t>Part B Base</w:t>
            </w:r>
          </w:p>
        </w:tc>
        <w:tc>
          <w:tcPr>
            <w:tcW w:w="2020" w:type="dxa"/>
            <w:tcBorders>
              <w:top w:val="nil"/>
              <w:left w:val="nil"/>
              <w:bottom w:val="single" w:sz="4" w:space="0" w:color="auto"/>
              <w:right w:val="single" w:sz="4" w:space="0" w:color="auto"/>
            </w:tcBorders>
            <w:noWrap/>
            <w:vAlign w:val="bottom"/>
            <w:hideMark/>
          </w:tcPr>
          <w:p w:rsidR="00845738" w:rsidRPr="00845738" w:rsidP="00845738" w14:paraId="4DE75604" w14:textId="77777777">
            <w:pPr>
              <w:widowControl/>
              <w:autoSpaceDE/>
              <w:autoSpaceDN/>
              <w:adjustRightInd/>
              <w:spacing w:line="256" w:lineRule="auto"/>
              <w:rPr>
                <w:color w:val="000000"/>
                <w:sz w:val="24"/>
              </w:rPr>
            </w:pPr>
            <w:r w:rsidRPr="00845738">
              <w:rPr>
                <w:color w:val="000000"/>
                <w:sz w:val="24"/>
              </w:rPr>
              <w:t> </w:t>
            </w:r>
          </w:p>
        </w:tc>
        <w:tc>
          <w:tcPr>
            <w:tcW w:w="1880" w:type="dxa"/>
            <w:tcBorders>
              <w:top w:val="nil"/>
              <w:left w:val="nil"/>
              <w:bottom w:val="single" w:sz="4" w:space="0" w:color="auto"/>
              <w:right w:val="single" w:sz="4" w:space="0" w:color="auto"/>
            </w:tcBorders>
            <w:noWrap/>
            <w:vAlign w:val="bottom"/>
            <w:hideMark/>
          </w:tcPr>
          <w:p w:rsidR="00845738" w:rsidRPr="00845738" w:rsidP="00845738" w14:paraId="3EDBB50A" w14:textId="77777777">
            <w:pPr>
              <w:widowControl/>
              <w:autoSpaceDE/>
              <w:autoSpaceDN/>
              <w:adjustRightInd/>
              <w:spacing w:line="256" w:lineRule="auto"/>
              <w:rPr>
                <w:color w:val="000000"/>
                <w:sz w:val="24"/>
              </w:rPr>
            </w:pPr>
            <w:r w:rsidRPr="00845738">
              <w:rPr>
                <w:color w:val="000000"/>
                <w:sz w:val="24"/>
              </w:rPr>
              <w:t> </w:t>
            </w:r>
          </w:p>
        </w:tc>
        <w:tc>
          <w:tcPr>
            <w:tcW w:w="1880" w:type="dxa"/>
            <w:tcBorders>
              <w:top w:val="nil"/>
              <w:left w:val="nil"/>
              <w:bottom w:val="single" w:sz="4" w:space="0" w:color="auto"/>
              <w:right w:val="single" w:sz="4" w:space="0" w:color="auto"/>
            </w:tcBorders>
            <w:noWrap/>
            <w:vAlign w:val="bottom"/>
            <w:hideMark/>
          </w:tcPr>
          <w:p w:rsidR="00845738" w:rsidRPr="00845738" w:rsidP="00845738" w14:paraId="0DBD1574" w14:textId="77777777">
            <w:pPr>
              <w:widowControl/>
              <w:autoSpaceDE/>
              <w:autoSpaceDN/>
              <w:adjustRightInd/>
              <w:spacing w:line="256" w:lineRule="auto"/>
              <w:rPr>
                <w:color w:val="000000"/>
                <w:sz w:val="24"/>
              </w:rPr>
            </w:pPr>
            <w:r w:rsidRPr="00845738">
              <w:rPr>
                <w:color w:val="000000"/>
                <w:sz w:val="24"/>
              </w:rPr>
              <w:t> </w:t>
            </w:r>
          </w:p>
        </w:tc>
        <w:tc>
          <w:tcPr>
            <w:tcW w:w="1530" w:type="dxa"/>
            <w:tcBorders>
              <w:top w:val="nil"/>
              <w:left w:val="nil"/>
              <w:bottom w:val="single" w:sz="4" w:space="0" w:color="auto"/>
              <w:right w:val="single" w:sz="8" w:space="0" w:color="auto"/>
            </w:tcBorders>
            <w:noWrap/>
            <w:vAlign w:val="bottom"/>
            <w:hideMark/>
          </w:tcPr>
          <w:p w:rsidR="00845738" w:rsidRPr="00845738" w:rsidP="00845738" w14:paraId="29ECCE4C" w14:textId="77777777">
            <w:pPr>
              <w:widowControl/>
              <w:autoSpaceDE/>
              <w:autoSpaceDN/>
              <w:adjustRightInd/>
              <w:spacing w:line="256" w:lineRule="auto"/>
              <w:rPr>
                <w:color w:val="000000"/>
                <w:sz w:val="24"/>
              </w:rPr>
            </w:pPr>
            <w:r w:rsidRPr="00845738">
              <w:rPr>
                <w:color w:val="000000"/>
                <w:sz w:val="24"/>
              </w:rPr>
              <w:t> </w:t>
            </w:r>
          </w:p>
        </w:tc>
      </w:tr>
      <w:tr w14:paraId="24FC85A4" w14:textId="77777777" w:rsidTr="00D56207">
        <w:tblPrEx>
          <w:tblW w:w="9350" w:type="dxa"/>
          <w:tblLook w:val="04A0"/>
        </w:tblPrEx>
        <w:trPr>
          <w:trHeight w:val="315"/>
        </w:trPr>
        <w:tc>
          <w:tcPr>
            <w:tcW w:w="2040" w:type="dxa"/>
            <w:tcBorders>
              <w:top w:val="nil"/>
              <w:left w:val="single" w:sz="8" w:space="0" w:color="auto"/>
              <w:bottom w:val="single" w:sz="4" w:space="0" w:color="auto"/>
              <w:right w:val="single" w:sz="4" w:space="0" w:color="auto"/>
            </w:tcBorders>
            <w:noWrap/>
            <w:vAlign w:val="bottom"/>
            <w:hideMark/>
          </w:tcPr>
          <w:p w:rsidR="00845738" w:rsidRPr="00845738" w:rsidP="00845738" w14:paraId="784F4A60" w14:textId="77777777">
            <w:pPr>
              <w:widowControl/>
              <w:autoSpaceDE/>
              <w:autoSpaceDN/>
              <w:adjustRightInd/>
              <w:spacing w:line="256" w:lineRule="auto"/>
              <w:rPr>
                <w:color w:val="000000"/>
                <w:sz w:val="24"/>
              </w:rPr>
            </w:pPr>
            <w:r w:rsidRPr="00845738">
              <w:rPr>
                <w:color w:val="000000"/>
                <w:sz w:val="24"/>
              </w:rPr>
              <w:t>Part B ADAP</w:t>
            </w:r>
          </w:p>
        </w:tc>
        <w:tc>
          <w:tcPr>
            <w:tcW w:w="2020" w:type="dxa"/>
            <w:tcBorders>
              <w:top w:val="nil"/>
              <w:left w:val="nil"/>
              <w:bottom w:val="single" w:sz="4" w:space="0" w:color="auto"/>
              <w:right w:val="single" w:sz="4" w:space="0" w:color="auto"/>
            </w:tcBorders>
            <w:noWrap/>
            <w:vAlign w:val="bottom"/>
            <w:hideMark/>
          </w:tcPr>
          <w:p w:rsidR="00845738" w:rsidRPr="00845738" w:rsidP="00845738" w14:paraId="14E53CD7" w14:textId="77777777">
            <w:pPr>
              <w:widowControl/>
              <w:autoSpaceDE/>
              <w:autoSpaceDN/>
              <w:adjustRightInd/>
              <w:spacing w:line="256" w:lineRule="auto"/>
              <w:rPr>
                <w:color w:val="000000"/>
                <w:sz w:val="24"/>
              </w:rPr>
            </w:pPr>
            <w:r w:rsidRPr="00845738">
              <w:rPr>
                <w:color w:val="000000"/>
                <w:sz w:val="24"/>
              </w:rPr>
              <w:t> </w:t>
            </w:r>
          </w:p>
        </w:tc>
        <w:tc>
          <w:tcPr>
            <w:tcW w:w="1880" w:type="dxa"/>
            <w:tcBorders>
              <w:top w:val="nil"/>
              <w:left w:val="nil"/>
              <w:bottom w:val="single" w:sz="4" w:space="0" w:color="auto"/>
              <w:right w:val="single" w:sz="4" w:space="0" w:color="auto"/>
            </w:tcBorders>
            <w:noWrap/>
            <w:vAlign w:val="bottom"/>
            <w:hideMark/>
          </w:tcPr>
          <w:p w:rsidR="00845738" w:rsidRPr="00845738" w:rsidP="00845738" w14:paraId="395BB03D" w14:textId="77777777">
            <w:pPr>
              <w:widowControl/>
              <w:autoSpaceDE/>
              <w:autoSpaceDN/>
              <w:adjustRightInd/>
              <w:spacing w:line="256" w:lineRule="auto"/>
              <w:rPr>
                <w:color w:val="000000"/>
                <w:sz w:val="24"/>
              </w:rPr>
            </w:pPr>
            <w:r w:rsidRPr="00845738">
              <w:rPr>
                <w:color w:val="000000"/>
                <w:sz w:val="24"/>
              </w:rPr>
              <w:t> </w:t>
            </w:r>
          </w:p>
        </w:tc>
        <w:tc>
          <w:tcPr>
            <w:tcW w:w="1880" w:type="dxa"/>
            <w:tcBorders>
              <w:top w:val="nil"/>
              <w:left w:val="nil"/>
              <w:bottom w:val="single" w:sz="4" w:space="0" w:color="auto"/>
              <w:right w:val="single" w:sz="4" w:space="0" w:color="auto"/>
            </w:tcBorders>
            <w:noWrap/>
            <w:vAlign w:val="bottom"/>
            <w:hideMark/>
          </w:tcPr>
          <w:p w:rsidR="00845738" w:rsidRPr="00845738" w:rsidP="00845738" w14:paraId="0D84ED7A" w14:textId="77777777">
            <w:pPr>
              <w:widowControl/>
              <w:autoSpaceDE/>
              <w:autoSpaceDN/>
              <w:adjustRightInd/>
              <w:spacing w:line="256" w:lineRule="auto"/>
              <w:rPr>
                <w:color w:val="000000"/>
                <w:sz w:val="24"/>
              </w:rPr>
            </w:pPr>
            <w:r w:rsidRPr="00845738">
              <w:rPr>
                <w:color w:val="000000"/>
                <w:sz w:val="24"/>
              </w:rPr>
              <w:t> </w:t>
            </w:r>
          </w:p>
        </w:tc>
        <w:tc>
          <w:tcPr>
            <w:tcW w:w="1530" w:type="dxa"/>
            <w:tcBorders>
              <w:top w:val="nil"/>
              <w:left w:val="nil"/>
              <w:bottom w:val="single" w:sz="4" w:space="0" w:color="auto"/>
              <w:right w:val="single" w:sz="8" w:space="0" w:color="auto"/>
            </w:tcBorders>
            <w:noWrap/>
            <w:vAlign w:val="bottom"/>
            <w:hideMark/>
          </w:tcPr>
          <w:p w:rsidR="00845738" w:rsidRPr="00845738" w:rsidP="00845738" w14:paraId="3F972894" w14:textId="77777777">
            <w:pPr>
              <w:widowControl/>
              <w:autoSpaceDE/>
              <w:autoSpaceDN/>
              <w:adjustRightInd/>
              <w:spacing w:line="256" w:lineRule="auto"/>
              <w:rPr>
                <w:color w:val="000000"/>
                <w:sz w:val="24"/>
              </w:rPr>
            </w:pPr>
            <w:r w:rsidRPr="00845738">
              <w:rPr>
                <w:color w:val="000000"/>
                <w:sz w:val="24"/>
              </w:rPr>
              <w:t> </w:t>
            </w:r>
          </w:p>
        </w:tc>
      </w:tr>
      <w:tr w14:paraId="2AEA29D7" w14:textId="77777777" w:rsidTr="00D56207">
        <w:tblPrEx>
          <w:tblW w:w="9350" w:type="dxa"/>
          <w:tblLook w:val="04A0"/>
        </w:tblPrEx>
        <w:trPr>
          <w:trHeight w:val="630"/>
        </w:trPr>
        <w:tc>
          <w:tcPr>
            <w:tcW w:w="2040" w:type="dxa"/>
            <w:tcBorders>
              <w:top w:val="nil"/>
              <w:left w:val="single" w:sz="8" w:space="0" w:color="auto"/>
              <w:bottom w:val="single" w:sz="4" w:space="0" w:color="auto"/>
              <w:right w:val="single" w:sz="4" w:space="0" w:color="auto"/>
            </w:tcBorders>
            <w:vAlign w:val="bottom"/>
            <w:hideMark/>
          </w:tcPr>
          <w:p w:rsidR="00845738" w:rsidRPr="00845738" w:rsidP="00845738" w14:paraId="069FB02F" w14:textId="77777777">
            <w:pPr>
              <w:widowControl/>
              <w:autoSpaceDE/>
              <w:autoSpaceDN/>
              <w:adjustRightInd/>
              <w:spacing w:line="256" w:lineRule="auto"/>
              <w:rPr>
                <w:color w:val="000000"/>
                <w:sz w:val="24"/>
              </w:rPr>
            </w:pPr>
            <w:r w:rsidRPr="00845738">
              <w:rPr>
                <w:color w:val="000000"/>
                <w:sz w:val="24"/>
              </w:rPr>
              <w:t>Part B Emerging Communities</w:t>
            </w:r>
          </w:p>
        </w:tc>
        <w:tc>
          <w:tcPr>
            <w:tcW w:w="2020" w:type="dxa"/>
            <w:tcBorders>
              <w:top w:val="nil"/>
              <w:left w:val="nil"/>
              <w:bottom w:val="single" w:sz="4" w:space="0" w:color="auto"/>
              <w:right w:val="single" w:sz="4" w:space="0" w:color="auto"/>
            </w:tcBorders>
            <w:noWrap/>
            <w:vAlign w:val="bottom"/>
            <w:hideMark/>
          </w:tcPr>
          <w:p w:rsidR="00845738" w:rsidRPr="00845738" w:rsidP="00845738" w14:paraId="3736B91E" w14:textId="77777777">
            <w:pPr>
              <w:widowControl/>
              <w:autoSpaceDE/>
              <w:autoSpaceDN/>
              <w:adjustRightInd/>
              <w:spacing w:line="256" w:lineRule="auto"/>
              <w:rPr>
                <w:color w:val="000000"/>
                <w:sz w:val="24"/>
              </w:rPr>
            </w:pPr>
            <w:r w:rsidRPr="00845738">
              <w:rPr>
                <w:color w:val="000000"/>
                <w:sz w:val="24"/>
              </w:rPr>
              <w:t> </w:t>
            </w:r>
          </w:p>
        </w:tc>
        <w:tc>
          <w:tcPr>
            <w:tcW w:w="1880" w:type="dxa"/>
            <w:tcBorders>
              <w:top w:val="nil"/>
              <w:left w:val="nil"/>
              <w:bottom w:val="single" w:sz="4" w:space="0" w:color="auto"/>
              <w:right w:val="single" w:sz="4" w:space="0" w:color="auto"/>
            </w:tcBorders>
            <w:noWrap/>
            <w:vAlign w:val="bottom"/>
            <w:hideMark/>
          </w:tcPr>
          <w:p w:rsidR="00845738" w:rsidRPr="00845738" w:rsidP="00845738" w14:paraId="496876A9" w14:textId="77777777">
            <w:pPr>
              <w:widowControl/>
              <w:autoSpaceDE/>
              <w:autoSpaceDN/>
              <w:adjustRightInd/>
              <w:spacing w:line="256" w:lineRule="auto"/>
              <w:rPr>
                <w:color w:val="000000"/>
                <w:sz w:val="24"/>
              </w:rPr>
            </w:pPr>
            <w:r w:rsidRPr="00845738">
              <w:rPr>
                <w:color w:val="000000"/>
                <w:sz w:val="24"/>
              </w:rPr>
              <w:t> </w:t>
            </w:r>
          </w:p>
        </w:tc>
        <w:tc>
          <w:tcPr>
            <w:tcW w:w="1880" w:type="dxa"/>
            <w:tcBorders>
              <w:top w:val="nil"/>
              <w:left w:val="nil"/>
              <w:bottom w:val="single" w:sz="4" w:space="0" w:color="auto"/>
              <w:right w:val="single" w:sz="4" w:space="0" w:color="auto"/>
            </w:tcBorders>
            <w:noWrap/>
            <w:vAlign w:val="bottom"/>
            <w:hideMark/>
          </w:tcPr>
          <w:p w:rsidR="00845738" w:rsidRPr="00845738" w:rsidP="00845738" w14:paraId="479D052A" w14:textId="77777777">
            <w:pPr>
              <w:widowControl/>
              <w:autoSpaceDE/>
              <w:autoSpaceDN/>
              <w:adjustRightInd/>
              <w:spacing w:line="256" w:lineRule="auto"/>
              <w:rPr>
                <w:color w:val="000000"/>
                <w:sz w:val="24"/>
              </w:rPr>
            </w:pPr>
            <w:r w:rsidRPr="00845738">
              <w:rPr>
                <w:color w:val="000000"/>
                <w:sz w:val="24"/>
              </w:rPr>
              <w:t> </w:t>
            </w:r>
          </w:p>
        </w:tc>
        <w:tc>
          <w:tcPr>
            <w:tcW w:w="1530" w:type="dxa"/>
            <w:tcBorders>
              <w:top w:val="nil"/>
              <w:left w:val="nil"/>
              <w:bottom w:val="single" w:sz="4" w:space="0" w:color="auto"/>
              <w:right w:val="single" w:sz="8" w:space="0" w:color="auto"/>
            </w:tcBorders>
            <w:noWrap/>
            <w:vAlign w:val="bottom"/>
            <w:hideMark/>
          </w:tcPr>
          <w:p w:rsidR="00845738" w:rsidRPr="00845738" w:rsidP="00845738" w14:paraId="6DDBF8F1" w14:textId="77777777">
            <w:pPr>
              <w:widowControl/>
              <w:autoSpaceDE/>
              <w:autoSpaceDN/>
              <w:adjustRightInd/>
              <w:spacing w:line="256" w:lineRule="auto"/>
              <w:rPr>
                <w:color w:val="000000"/>
                <w:sz w:val="24"/>
              </w:rPr>
            </w:pPr>
            <w:r w:rsidRPr="00845738">
              <w:rPr>
                <w:color w:val="000000"/>
                <w:sz w:val="24"/>
              </w:rPr>
              <w:t> </w:t>
            </w:r>
          </w:p>
        </w:tc>
      </w:tr>
      <w:tr w14:paraId="765F1FC1" w14:textId="77777777" w:rsidTr="00D56207">
        <w:tblPrEx>
          <w:tblW w:w="9350" w:type="dxa"/>
          <w:tblLook w:val="04A0"/>
        </w:tblPrEx>
        <w:trPr>
          <w:trHeight w:val="70"/>
        </w:trPr>
        <w:tc>
          <w:tcPr>
            <w:tcW w:w="2040" w:type="dxa"/>
            <w:tcBorders>
              <w:top w:val="nil"/>
              <w:left w:val="single" w:sz="8" w:space="0" w:color="auto"/>
              <w:bottom w:val="single" w:sz="4" w:space="0" w:color="auto"/>
              <w:right w:val="single" w:sz="4" w:space="0" w:color="auto"/>
            </w:tcBorders>
            <w:noWrap/>
            <w:vAlign w:val="bottom"/>
            <w:hideMark/>
          </w:tcPr>
          <w:p w:rsidR="00845738" w:rsidRPr="00845738" w:rsidP="00845738" w14:paraId="7453F358" w14:textId="77777777">
            <w:pPr>
              <w:widowControl/>
              <w:autoSpaceDE/>
              <w:autoSpaceDN/>
              <w:adjustRightInd/>
              <w:spacing w:line="256" w:lineRule="auto"/>
              <w:rPr>
                <w:color w:val="000000"/>
                <w:sz w:val="24"/>
              </w:rPr>
            </w:pPr>
            <w:r w:rsidRPr="00845738">
              <w:rPr>
                <w:color w:val="000000"/>
                <w:sz w:val="24"/>
              </w:rPr>
              <w:t>Part B MAI</w:t>
            </w:r>
          </w:p>
        </w:tc>
        <w:tc>
          <w:tcPr>
            <w:tcW w:w="2020" w:type="dxa"/>
            <w:tcBorders>
              <w:top w:val="nil"/>
              <w:left w:val="nil"/>
              <w:bottom w:val="single" w:sz="4" w:space="0" w:color="auto"/>
              <w:right w:val="single" w:sz="4" w:space="0" w:color="auto"/>
            </w:tcBorders>
            <w:noWrap/>
            <w:vAlign w:val="bottom"/>
            <w:hideMark/>
          </w:tcPr>
          <w:p w:rsidR="00845738" w:rsidRPr="00845738" w:rsidP="00845738" w14:paraId="53AB79CB" w14:textId="77777777">
            <w:pPr>
              <w:widowControl/>
              <w:autoSpaceDE/>
              <w:autoSpaceDN/>
              <w:adjustRightInd/>
              <w:spacing w:line="256" w:lineRule="auto"/>
              <w:rPr>
                <w:rFonts w:ascii="Calibri" w:hAnsi="Calibri" w:cs="Calibri"/>
                <w:color w:val="000000"/>
                <w:sz w:val="24"/>
              </w:rPr>
            </w:pPr>
            <w:r w:rsidRPr="00845738">
              <w:rPr>
                <w:rFonts w:ascii="Calibri" w:hAnsi="Calibri" w:cs="Calibri"/>
                <w:color w:val="000000"/>
                <w:sz w:val="24"/>
              </w:rPr>
              <w:t> </w:t>
            </w:r>
          </w:p>
        </w:tc>
        <w:tc>
          <w:tcPr>
            <w:tcW w:w="1880" w:type="dxa"/>
            <w:tcBorders>
              <w:top w:val="nil"/>
              <w:left w:val="nil"/>
              <w:bottom w:val="single" w:sz="4" w:space="0" w:color="auto"/>
              <w:right w:val="single" w:sz="4" w:space="0" w:color="auto"/>
            </w:tcBorders>
            <w:noWrap/>
            <w:vAlign w:val="bottom"/>
            <w:hideMark/>
          </w:tcPr>
          <w:p w:rsidR="00845738" w:rsidRPr="00845738" w:rsidP="00845738" w14:paraId="746C4047" w14:textId="77777777">
            <w:pPr>
              <w:widowControl/>
              <w:autoSpaceDE/>
              <w:autoSpaceDN/>
              <w:adjustRightInd/>
              <w:spacing w:line="256" w:lineRule="auto"/>
              <w:rPr>
                <w:rFonts w:ascii="Calibri" w:hAnsi="Calibri" w:cs="Calibri"/>
                <w:color w:val="000000"/>
                <w:sz w:val="24"/>
              </w:rPr>
            </w:pPr>
            <w:r w:rsidRPr="00845738">
              <w:rPr>
                <w:rFonts w:ascii="Calibri" w:hAnsi="Calibri" w:cs="Calibri"/>
                <w:color w:val="000000"/>
                <w:sz w:val="24"/>
              </w:rPr>
              <w:t> </w:t>
            </w:r>
          </w:p>
        </w:tc>
        <w:tc>
          <w:tcPr>
            <w:tcW w:w="1880" w:type="dxa"/>
            <w:tcBorders>
              <w:top w:val="nil"/>
              <w:left w:val="nil"/>
              <w:bottom w:val="single" w:sz="4" w:space="0" w:color="auto"/>
              <w:right w:val="single" w:sz="4" w:space="0" w:color="auto"/>
            </w:tcBorders>
            <w:noWrap/>
            <w:vAlign w:val="bottom"/>
            <w:hideMark/>
          </w:tcPr>
          <w:p w:rsidR="00845738" w:rsidRPr="00845738" w:rsidP="00845738" w14:paraId="77EAD455" w14:textId="77777777">
            <w:pPr>
              <w:widowControl/>
              <w:autoSpaceDE/>
              <w:autoSpaceDN/>
              <w:adjustRightInd/>
              <w:spacing w:line="256" w:lineRule="auto"/>
              <w:rPr>
                <w:rFonts w:ascii="Calibri" w:hAnsi="Calibri" w:cs="Calibri"/>
                <w:color w:val="000000"/>
                <w:sz w:val="24"/>
              </w:rPr>
            </w:pPr>
            <w:r w:rsidRPr="00845738">
              <w:rPr>
                <w:rFonts w:ascii="Calibri" w:hAnsi="Calibri" w:cs="Calibri"/>
                <w:color w:val="000000"/>
                <w:sz w:val="24"/>
              </w:rPr>
              <w:t> </w:t>
            </w:r>
          </w:p>
        </w:tc>
        <w:tc>
          <w:tcPr>
            <w:tcW w:w="1530" w:type="dxa"/>
            <w:tcBorders>
              <w:top w:val="nil"/>
              <w:left w:val="nil"/>
              <w:bottom w:val="single" w:sz="4" w:space="0" w:color="auto"/>
              <w:right w:val="single" w:sz="8" w:space="0" w:color="auto"/>
            </w:tcBorders>
            <w:noWrap/>
            <w:vAlign w:val="bottom"/>
            <w:hideMark/>
          </w:tcPr>
          <w:p w:rsidR="00845738" w:rsidRPr="00845738" w:rsidP="00845738" w14:paraId="06E0BA7E" w14:textId="77777777">
            <w:pPr>
              <w:widowControl/>
              <w:autoSpaceDE/>
              <w:autoSpaceDN/>
              <w:adjustRightInd/>
              <w:spacing w:line="256" w:lineRule="auto"/>
              <w:rPr>
                <w:rFonts w:ascii="Calibri" w:hAnsi="Calibri" w:cs="Calibri"/>
                <w:color w:val="000000"/>
                <w:sz w:val="24"/>
              </w:rPr>
            </w:pPr>
            <w:r w:rsidRPr="00845738">
              <w:rPr>
                <w:rFonts w:ascii="Calibri" w:hAnsi="Calibri" w:cs="Calibri"/>
                <w:color w:val="000000"/>
                <w:sz w:val="24"/>
              </w:rPr>
              <w:t> </w:t>
            </w:r>
          </w:p>
        </w:tc>
      </w:tr>
      <w:tr w14:paraId="44F55092" w14:textId="77777777" w:rsidTr="00D56207">
        <w:tblPrEx>
          <w:tblW w:w="9350" w:type="dxa"/>
          <w:tblLook w:val="04A0"/>
        </w:tblPrEx>
        <w:trPr>
          <w:trHeight w:val="630"/>
        </w:trPr>
        <w:tc>
          <w:tcPr>
            <w:tcW w:w="2040" w:type="dxa"/>
            <w:tcBorders>
              <w:top w:val="nil"/>
              <w:left w:val="single" w:sz="8" w:space="0" w:color="auto"/>
              <w:bottom w:val="single" w:sz="4" w:space="0" w:color="auto"/>
              <w:right w:val="single" w:sz="4" w:space="0" w:color="auto"/>
            </w:tcBorders>
            <w:vAlign w:val="bottom"/>
            <w:hideMark/>
          </w:tcPr>
          <w:p w:rsidR="00845738" w:rsidRPr="00845738" w:rsidP="00845738" w14:paraId="3A5220DB" w14:textId="77777777">
            <w:pPr>
              <w:widowControl/>
              <w:autoSpaceDE/>
              <w:autoSpaceDN/>
              <w:adjustRightInd/>
              <w:spacing w:line="256" w:lineRule="auto"/>
              <w:rPr>
                <w:color w:val="000000"/>
                <w:sz w:val="24"/>
              </w:rPr>
            </w:pPr>
            <w:r w:rsidRPr="00845738">
              <w:rPr>
                <w:color w:val="000000"/>
                <w:sz w:val="24"/>
              </w:rPr>
              <w:t>Part B ADAP Supplemental</w:t>
            </w:r>
          </w:p>
        </w:tc>
        <w:tc>
          <w:tcPr>
            <w:tcW w:w="2020" w:type="dxa"/>
            <w:tcBorders>
              <w:top w:val="nil"/>
              <w:left w:val="nil"/>
              <w:bottom w:val="single" w:sz="4" w:space="0" w:color="auto"/>
              <w:right w:val="single" w:sz="4" w:space="0" w:color="auto"/>
            </w:tcBorders>
            <w:noWrap/>
            <w:vAlign w:val="bottom"/>
            <w:hideMark/>
          </w:tcPr>
          <w:p w:rsidR="00845738" w:rsidRPr="00845738" w:rsidP="00845738" w14:paraId="7BC34134" w14:textId="77777777">
            <w:pPr>
              <w:widowControl/>
              <w:autoSpaceDE/>
              <w:autoSpaceDN/>
              <w:adjustRightInd/>
              <w:spacing w:line="256" w:lineRule="auto"/>
              <w:rPr>
                <w:rFonts w:ascii="Calibri" w:hAnsi="Calibri" w:cs="Calibri"/>
                <w:color w:val="000000"/>
                <w:sz w:val="24"/>
              </w:rPr>
            </w:pPr>
            <w:r w:rsidRPr="00845738">
              <w:rPr>
                <w:rFonts w:ascii="Calibri" w:hAnsi="Calibri" w:cs="Calibri"/>
                <w:color w:val="000000"/>
                <w:sz w:val="24"/>
              </w:rPr>
              <w:t> </w:t>
            </w:r>
          </w:p>
        </w:tc>
        <w:tc>
          <w:tcPr>
            <w:tcW w:w="1880" w:type="dxa"/>
            <w:tcBorders>
              <w:top w:val="nil"/>
              <w:left w:val="nil"/>
              <w:bottom w:val="single" w:sz="4" w:space="0" w:color="auto"/>
              <w:right w:val="single" w:sz="4" w:space="0" w:color="auto"/>
            </w:tcBorders>
            <w:noWrap/>
            <w:vAlign w:val="bottom"/>
            <w:hideMark/>
          </w:tcPr>
          <w:p w:rsidR="00845738" w:rsidRPr="00845738" w:rsidP="00845738" w14:paraId="0CA96B51" w14:textId="77777777">
            <w:pPr>
              <w:widowControl/>
              <w:autoSpaceDE/>
              <w:autoSpaceDN/>
              <w:adjustRightInd/>
              <w:spacing w:line="256" w:lineRule="auto"/>
              <w:rPr>
                <w:rFonts w:ascii="Calibri" w:hAnsi="Calibri" w:cs="Calibri"/>
                <w:color w:val="000000"/>
                <w:sz w:val="24"/>
              </w:rPr>
            </w:pPr>
            <w:r w:rsidRPr="00845738">
              <w:rPr>
                <w:rFonts w:ascii="Calibri" w:hAnsi="Calibri" w:cs="Calibri"/>
                <w:color w:val="000000"/>
                <w:sz w:val="24"/>
              </w:rPr>
              <w:t> </w:t>
            </w:r>
          </w:p>
        </w:tc>
        <w:tc>
          <w:tcPr>
            <w:tcW w:w="1880" w:type="dxa"/>
            <w:tcBorders>
              <w:top w:val="nil"/>
              <w:left w:val="nil"/>
              <w:bottom w:val="single" w:sz="4" w:space="0" w:color="auto"/>
              <w:right w:val="single" w:sz="4" w:space="0" w:color="auto"/>
            </w:tcBorders>
            <w:noWrap/>
            <w:vAlign w:val="bottom"/>
            <w:hideMark/>
          </w:tcPr>
          <w:p w:rsidR="00845738" w:rsidRPr="00845738" w:rsidP="00845738" w14:paraId="5A86CCFA" w14:textId="77777777">
            <w:pPr>
              <w:widowControl/>
              <w:autoSpaceDE/>
              <w:autoSpaceDN/>
              <w:adjustRightInd/>
              <w:spacing w:line="256" w:lineRule="auto"/>
              <w:rPr>
                <w:rFonts w:ascii="Calibri" w:hAnsi="Calibri" w:cs="Calibri"/>
                <w:color w:val="000000"/>
                <w:sz w:val="24"/>
              </w:rPr>
            </w:pPr>
            <w:r w:rsidRPr="00845738">
              <w:rPr>
                <w:rFonts w:ascii="Calibri" w:hAnsi="Calibri" w:cs="Calibri"/>
                <w:color w:val="000000"/>
                <w:sz w:val="24"/>
              </w:rPr>
              <w:t> </w:t>
            </w:r>
          </w:p>
        </w:tc>
        <w:tc>
          <w:tcPr>
            <w:tcW w:w="1530" w:type="dxa"/>
            <w:tcBorders>
              <w:top w:val="nil"/>
              <w:left w:val="nil"/>
              <w:bottom w:val="single" w:sz="4" w:space="0" w:color="auto"/>
              <w:right w:val="single" w:sz="8" w:space="0" w:color="auto"/>
            </w:tcBorders>
            <w:noWrap/>
            <w:vAlign w:val="bottom"/>
            <w:hideMark/>
          </w:tcPr>
          <w:p w:rsidR="00845738" w:rsidRPr="00845738" w:rsidP="00845738" w14:paraId="007288C3" w14:textId="77777777">
            <w:pPr>
              <w:widowControl/>
              <w:autoSpaceDE/>
              <w:autoSpaceDN/>
              <w:adjustRightInd/>
              <w:spacing w:line="256" w:lineRule="auto"/>
              <w:rPr>
                <w:rFonts w:ascii="Calibri" w:hAnsi="Calibri" w:cs="Calibri"/>
                <w:color w:val="000000"/>
                <w:sz w:val="24"/>
              </w:rPr>
            </w:pPr>
            <w:r w:rsidRPr="00845738">
              <w:rPr>
                <w:rFonts w:ascii="Calibri" w:hAnsi="Calibri" w:cs="Calibri"/>
                <w:color w:val="000000"/>
                <w:sz w:val="24"/>
              </w:rPr>
              <w:t> </w:t>
            </w:r>
          </w:p>
        </w:tc>
      </w:tr>
      <w:tr w14:paraId="02724F65" w14:textId="77777777" w:rsidTr="00D56207">
        <w:tblPrEx>
          <w:tblW w:w="9350" w:type="dxa"/>
          <w:tblLook w:val="04A0"/>
        </w:tblPrEx>
        <w:trPr>
          <w:trHeight w:val="330"/>
        </w:trPr>
        <w:tc>
          <w:tcPr>
            <w:tcW w:w="2040" w:type="dxa"/>
            <w:tcBorders>
              <w:top w:val="nil"/>
              <w:left w:val="single" w:sz="8" w:space="0" w:color="auto"/>
              <w:bottom w:val="single" w:sz="8" w:space="0" w:color="auto"/>
              <w:right w:val="single" w:sz="4" w:space="0" w:color="auto"/>
            </w:tcBorders>
            <w:noWrap/>
            <w:vAlign w:val="bottom"/>
            <w:hideMark/>
          </w:tcPr>
          <w:p w:rsidR="00845738" w:rsidRPr="00845738" w:rsidP="00845738" w14:paraId="1220BF91" w14:textId="77777777">
            <w:pPr>
              <w:widowControl/>
              <w:autoSpaceDE/>
              <w:autoSpaceDN/>
              <w:adjustRightInd/>
              <w:spacing w:line="256" w:lineRule="auto"/>
              <w:rPr>
                <w:color w:val="000000"/>
                <w:sz w:val="24"/>
              </w:rPr>
            </w:pPr>
            <w:r w:rsidRPr="00845738">
              <w:rPr>
                <w:color w:val="000000"/>
                <w:sz w:val="24"/>
              </w:rPr>
              <w:t>Part A Transfer</w:t>
            </w:r>
          </w:p>
        </w:tc>
        <w:tc>
          <w:tcPr>
            <w:tcW w:w="2020" w:type="dxa"/>
            <w:tcBorders>
              <w:top w:val="nil"/>
              <w:left w:val="nil"/>
              <w:bottom w:val="single" w:sz="8" w:space="0" w:color="auto"/>
              <w:right w:val="single" w:sz="4" w:space="0" w:color="auto"/>
            </w:tcBorders>
            <w:noWrap/>
            <w:vAlign w:val="bottom"/>
            <w:hideMark/>
          </w:tcPr>
          <w:p w:rsidR="00845738" w:rsidRPr="00845738" w:rsidP="00845738" w14:paraId="0D61EA68" w14:textId="77777777">
            <w:pPr>
              <w:widowControl/>
              <w:autoSpaceDE/>
              <w:autoSpaceDN/>
              <w:adjustRightInd/>
              <w:spacing w:line="256" w:lineRule="auto"/>
              <w:rPr>
                <w:rFonts w:ascii="Calibri" w:hAnsi="Calibri" w:cs="Calibri"/>
                <w:color w:val="000000"/>
                <w:sz w:val="24"/>
              </w:rPr>
            </w:pPr>
            <w:r w:rsidRPr="00845738">
              <w:rPr>
                <w:rFonts w:ascii="Calibri" w:hAnsi="Calibri" w:cs="Calibri"/>
                <w:color w:val="000000"/>
                <w:sz w:val="24"/>
              </w:rPr>
              <w:t> </w:t>
            </w:r>
          </w:p>
        </w:tc>
        <w:tc>
          <w:tcPr>
            <w:tcW w:w="1880" w:type="dxa"/>
            <w:tcBorders>
              <w:top w:val="nil"/>
              <w:left w:val="nil"/>
              <w:bottom w:val="single" w:sz="8" w:space="0" w:color="auto"/>
              <w:right w:val="single" w:sz="4" w:space="0" w:color="auto"/>
            </w:tcBorders>
            <w:noWrap/>
            <w:vAlign w:val="bottom"/>
            <w:hideMark/>
          </w:tcPr>
          <w:p w:rsidR="00845738" w:rsidRPr="00845738" w:rsidP="00845738" w14:paraId="006A4B43" w14:textId="77777777">
            <w:pPr>
              <w:widowControl/>
              <w:autoSpaceDE/>
              <w:autoSpaceDN/>
              <w:adjustRightInd/>
              <w:spacing w:line="256" w:lineRule="auto"/>
              <w:rPr>
                <w:rFonts w:ascii="Calibri" w:hAnsi="Calibri" w:cs="Calibri"/>
                <w:color w:val="000000"/>
                <w:sz w:val="24"/>
              </w:rPr>
            </w:pPr>
            <w:r w:rsidRPr="00845738">
              <w:rPr>
                <w:rFonts w:ascii="Calibri" w:hAnsi="Calibri" w:cs="Calibri"/>
                <w:color w:val="000000"/>
                <w:sz w:val="24"/>
              </w:rPr>
              <w:t> </w:t>
            </w:r>
          </w:p>
        </w:tc>
        <w:tc>
          <w:tcPr>
            <w:tcW w:w="1880" w:type="dxa"/>
            <w:tcBorders>
              <w:top w:val="nil"/>
              <w:left w:val="nil"/>
              <w:bottom w:val="single" w:sz="8" w:space="0" w:color="auto"/>
              <w:right w:val="single" w:sz="4" w:space="0" w:color="auto"/>
            </w:tcBorders>
            <w:noWrap/>
            <w:vAlign w:val="bottom"/>
            <w:hideMark/>
          </w:tcPr>
          <w:p w:rsidR="00845738" w:rsidRPr="00845738" w:rsidP="00845738" w14:paraId="08D5F4A7" w14:textId="77777777">
            <w:pPr>
              <w:widowControl/>
              <w:autoSpaceDE/>
              <w:autoSpaceDN/>
              <w:adjustRightInd/>
              <w:spacing w:line="256" w:lineRule="auto"/>
              <w:rPr>
                <w:rFonts w:ascii="Calibri" w:hAnsi="Calibri" w:cs="Calibri"/>
                <w:color w:val="000000"/>
                <w:sz w:val="24"/>
              </w:rPr>
            </w:pPr>
            <w:r w:rsidRPr="00845738">
              <w:rPr>
                <w:rFonts w:ascii="Calibri" w:hAnsi="Calibri" w:cs="Calibri"/>
                <w:color w:val="000000"/>
                <w:sz w:val="24"/>
              </w:rPr>
              <w:t> </w:t>
            </w:r>
          </w:p>
        </w:tc>
        <w:tc>
          <w:tcPr>
            <w:tcW w:w="1530" w:type="dxa"/>
            <w:tcBorders>
              <w:top w:val="nil"/>
              <w:left w:val="nil"/>
              <w:bottom w:val="single" w:sz="8" w:space="0" w:color="auto"/>
              <w:right w:val="single" w:sz="8" w:space="0" w:color="auto"/>
            </w:tcBorders>
            <w:noWrap/>
            <w:vAlign w:val="bottom"/>
            <w:hideMark/>
          </w:tcPr>
          <w:p w:rsidR="00845738" w:rsidRPr="00845738" w:rsidP="00845738" w14:paraId="13175DB3" w14:textId="77777777">
            <w:pPr>
              <w:widowControl/>
              <w:autoSpaceDE/>
              <w:autoSpaceDN/>
              <w:adjustRightInd/>
              <w:spacing w:line="256" w:lineRule="auto"/>
              <w:rPr>
                <w:rFonts w:ascii="Calibri" w:hAnsi="Calibri" w:cs="Calibri"/>
                <w:color w:val="000000"/>
                <w:sz w:val="24"/>
              </w:rPr>
            </w:pPr>
            <w:r w:rsidRPr="00845738">
              <w:rPr>
                <w:rFonts w:ascii="Calibri" w:hAnsi="Calibri" w:cs="Calibri"/>
                <w:color w:val="000000"/>
                <w:sz w:val="24"/>
              </w:rPr>
              <w:t> </w:t>
            </w:r>
          </w:p>
        </w:tc>
      </w:tr>
    </w:tbl>
    <w:p w:rsidR="00845738" w:rsidRPr="00845738" w:rsidP="00845738" w14:paraId="765C89BA" w14:textId="77777777">
      <w:pPr>
        <w:widowControl/>
        <w:autoSpaceDE/>
        <w:autoSpaceDN/>
        <w:adjustRightInd/>
        <w:rPr>
          <w:sz w:val="24"/>
        </w:rPr>
      </w:pPr>
    </w:p>
    <w:p w:rsidR="00845738" w:rsidRPr="00845738" w:rsidP="00845738" w14:paraId="571C9753" w14:textId="31689A47">
      <w:pPr>
        <w:widowControl/>
        <w:autoSpaceDE/>
        <w:autoSpaceDN/>
        <w:adjustRightInd/>
        <w:rPr>
          <w:sz w:val="24"/>
        </w:rPr>
      </w:pPr>
      <w:r w:rsidRPr="00845738">
        <w:rPr>
          <w:sz w:val="24"/>
        </w:rPr>
        <w:t>RWHAP PART B REBATE</w:t>
      </w:r>
      <w:r>
        <w:rPr>
          <w:sz w:val="24"/>
        </w:rPr>
        <w:t>S</w:t>
      </w:r>
      <w:r w:rsidRPr="00845738">
        <w:rPr>
          <w:sz w:val="24"/>
        </w:rPr>
        <w:t xml:space="preserve"> TABLE:</w:t>
      </w:r>
    </w:p>
    <w:p w:rsidR="00845738" w:rsidRPr="00845738" w:rsidP="00845738" w14:paraId="7EE62FED" w14:textId="77777777">
      <w:pPr>
        <w:widowControl/>
        <w:autoSpaceDE/>
        <w:autoSpaceDN/>
        <w:adjustRightInd/>
        <w:rPr>
          <w:sz w:val="24"/>
          <w:u w:val="single"/>
        </w:rPr>
      </w:pPr>
    </w:p>
    <w:tbl>
      <w:tblPr>
        <w:tblW w:w="8300" w:type="dxa"/>
        <w:tblLook w:val="04A0"/>
      </w:tblPr>
      <w:tblGrid>
        <w:gridCol w:w="4300"/>
        <w:gridCol w:w="4000"/>
      </w:tblGrid>
      <w:tr w14:paraId="55818257" w14:textId="77777777" w:rsidTr="00D56207">
        <w:tblPrEx>
          <w:tblW w:w="8300" w:type="dxa"/>
          <w:tblLook w:val="04A0"/>
        </w:tblPrEx>
        <w:trPr>
          <w:trHeight w:val="405"/>
        </w:trPr>
        <w:tc>
          <w:tcPr>
            <w:tcW w:w="8300" w:type="dxa"/>
            <w:gridSpan w:val="2"/>
            <w:tcBorders>
              <w:top w:val="single" w:sz="8" w:space="0" w:color="auto"/>
              <w:left w:val="single" w:sz="8" w:space="0" w:color="auto"/>
              <w:bottom w:val="single" w:sz="4" w:space="0" w:color="auto"/>
              <w:right w:val="single" w:sz="8" w:space="0" w:color="000000"/>
            </w:tcBorders>
            <w:noWrap/>
            <w:vAlign w:val="bottom"/>
            <w:hideMark/>
          </w:tcPr>
          <w:p w:rsidR="00845738" w:rsidRPr="00845738" w:rsidP="00845738" w14:paraId="5FC9A310" w14:textId="77777777">
            <w:pPr>
              <w:widowControl/>
              <w:autoSpaceDE/>
              <w:autoSpaceDN/>
              <w:adjustRightInd/>
              <w:spacing w:line="256" w:lineRule="auto"/>
              <w:rPr>
                <w:color w:val="000000"/>
                <w:sz w:val="24"/>
              </w:rPr>
            </w:pPr>
            <w:r w:rsidRPr="00845738">
              <w:rPr>
                <w:color w:val="000000"/>
                <w:sz w:val="24"/>
              </w:rPr>
              <w:t>Ryan White Rebate Funding</w:t>
            </w:r>
          </w:p>
        </w:tc>
      </w:tr>
      <w:tr w14:paraId="488CE47E" w14:textId="77777777" w:rsidTr="00D56207">
        <w:tblPrEx>
          <w:tblW w:w="8300" w:type="dxa"/>
          <w:tblLook w:val="04A0"/>
        </w:tblPrEx>
        <w:trPr>
          <w:trHeight w:val="375"/>
        </w:trPr>
        <w:tc>
          <w:tcPr>
            <w:tcW w:w="4300" w:type="dxa"/>
            <w:tcBorders>
              <w:top w:val="nil"/>
              <w:left w:val="single" w:sz="8" w:space="0" w:color="auto"/>
              <w:bottom w:val="single" w:sz="4" w:space="0" w:color="auto"/>
              <w:right w:val="single" w:sz="4" w:space="0" w:color="auto"/>
            </w:tcBorders>
            <w:vAlign w:val="bottom"/>
            <w:hideMark/>
          </w:tcPr>
          <w:p w:rsidR="00845738" w:rsidRPr="00845738" w:rsidP="00845738" w14:paraId="6472222A" w14:textId="77777777">
            <w:pPr>
              <w:widowControl/>
              <w:autoSpaceDE/>
              <w:autoSpaceDN/>
              <w:adjustRightInd/>
              <w:spacing w:line="256" w:lineRule="auto"/>
              <w:rPr>
                <w:color w:val="000000"/>
                <w:sz w:val="24"/>
              </w:rPr>
            </w:pPr>
            <w:r w:rsidRPr="00845738">
              <w:rPr>
                <w:color w:val="000000"/>
                <w:sz w:val="24"/>
              </w:rPr>
              <w:t>Total Rebates Available</w:t>
            </w:r>
          </w:p>
        </w:tc>
        <w:tc>
          <w:tcPr>
            <w:tcW w:w="4000" w:type="dxa"/>
            <w:tcBorders>
              <w:top w:val="nil"/>
              <w:left w:val="nil"/>
              <w:bottom w:val="single" w:sz="4" w:space="0" w:color="auto"/>
              <w:right w:val="single" w:sz="8" w:space="0" w:color="auto"/>
            </w:tcBorders>
            <w:vAlign w:val="bottom"/>
            <w:hideMark/>
          </w:tcPr>
          <w:p w:rsidR="00845738" w:rsidRPr="00845738" w:rsidP="00845738" w14:paraId="099587F1" w14:textId="77777777">
            <w:pPr>
              <w:widowControl/>
              <w:autoSpaceDE/>
              <w:autoSpaceDN/>
              <w:adjustRightInd/>
              <w:spacing w:line="256" w:lineRule="auto"/>
              <w:rPr>
                <w:rFonts w:ascii="Calibri" w:hAnsi="Calibri" w:cs="Calibri"/>
                <w:color w:val="000000"/>
                <w:sz w:val="24"/>
              </w:rPr>
            </w:pPr>
            <w:r w:rsidRPr="00845738">
              <w:rPr>
                <w:rFonts w:ascii="Calibri" w:hAnsi="Calibri" w:cs="Calibri"/>
                <w:color w:val="000000"/>
                <w:sz w:val="24"/>
              </w:rPr>
              <w:t> </w:t>
            </w:r>
          </w:p>
        </w:tc>
      </w:tr>
      <w:tr w14:paraId="6F4766A6" w14:textId="77777777" w:rsidTr="00D56207">
        <w:tblPrEx>
          <w:tblW w:w="8300" w:type="dxa"/>
          <w:tblLook w:val="04A0"/>
        </w:tblPrEx>
        <w:trPr>
          <w:trHeight w:val="375"/>
        </w:trPr>
        <w:tc>
          <w:tcPr>
            <w:tcW w:w="4300" w:type="dxa"/>
            <w:tcBorders>
              <w:top w:val="nil"/>
              <w:left w:val="single" w:sz="8" w:space="0" w:color="auto"/>
              <w:bottom w:val="single" w:sz="4" w:space="0" w:color="auto"/>
              <w:right w:val="single" w:sz="4" w:space="0" w:color="auto"/>
            </w:tcBorders>
            <w:vAlign w:val="bottom"/>
            <w:hideMark/>
          </w:tcPr>
          <w:p w:rsidR="00845738" w:rsidRPr="00845738" w:rsidP="00845738" w14:paraId="60269B99" w14:textId="77777777">
            <w:pPr>
              <w:widowControl/>
              <w:autoSpaceDE/>
              <w:autoSpaceDN/>
              <w:adjustRightInd/>
              <w:spacing w:line="256" w:lineRule="auto"/>
              <w:rPr>
                <w:color w:val="000000"/>
                <w:sz w:val="24"/>
              </w:rPr>
            </w:pPr>
            <w:r w:rsidRPr="00845738">
              <w:rPr>
                <w:color w:val="000000"/>
                <w:sz w:val="24"/>
              </w:rPr>
              <w:t>Expended Rebate Amount</w:t>
            </w:r>
          </w:p>
        </w:tc>
        <w:tc>
          <w:tcPr>
            <w:tcW w:w="4000" w:type="dxa"/>
            <w:tcBorders>
              <w:top w:val="nil"/>
              <w:left w:val="nil"/>
              <w:bottom w:val="single" w:sz="4" w:space="0" w:color="auto"/>
              <w:right w:val="single" w:sz="8" w:space="0" w:color="auto"/>
            </w:tcBorders>
            <w:vAlign w:val="bottom"/>
            <w:hideMark/>
          </w:tcPr>
          <w:p w:rsidR="00845738" w:rsidRPr="00845738" w:rsidP="00845738" w14:paraId="442C3704" w14:textId="77777777">
            <w:pPr>
              <w:widowControl/>
              <w:autoSpaceDE/>
              <w:autoSpaceDN/>
              <w:adjustRightInd/>
              <w:spacing w:line="256" w:lineRule="auto"/>
              <w:rPr>
                <w:rFonts w:ascii="Calibri" w:hAnsi="Calibri" w:cs="Calibri"/>
                <w:color w:val="000000"/>
                <w:sz w:val="24"/>
              </w:rPr>
            </w:pPr>
            <w:r w:rsidRPr="00845738">
              <w:rPr>
                <w:rFonts w:ascii="Calibri" w:hAnsi="Calibri" w:cs="Calibri"/>
                <w:color w:val="000000"/>
                <w:sz w:val="24"/>
              </w:rPr>
              <w:t> </w:t>
            </w:r>
          </w:p>
        </w:tc>
      </w:tr>
      <w:tr w14:paraId="6C260661" w14:textId="77777777" w:rsidTr="00D56207">
        <w:tblPrEx>
          <w:tblW w:w="8300" w:type="dxa"/>
          <w:tblLook w:val="04A0"/>
        </w:tblPrEx>
        <w:trPr>
          <w:trHeight w:val="375"/>
        </w:trPr>
        <w:tc>
          <w:tcPr>
            <w:tcW w:w="4300" w:type="dxa"/>
            <w:tcBorders>
              <w:top w:val="nil"/>
              <w:left w:val="single" w:sz="8" w:space="0" w:color="auto"/>
              <w:bottom w:val="single" w:sz="4" w:space="0" w:color="auto"/>
              <w:right w:val="single" w:sz="4" w:space="0" w:color="auto"/>
            </w:tcBorders>
            <w:vAlign w:val="bottom"/>
            <w:hideMark/>
          </w:tcPr>
          <w:p w:rsidR="00845738" w:rsidRPr="00845738" w:rsidP="00845738" w14:paraId="2139D21D" w14:textId="77777777">
            <w:pPr>
              <w:widowControl/>
              <w:autoSpaceDE/>
              <w:autoSpaceDN/>
              <w:adjustRightInd/>
              <w:spacing w:line="256" w:lineRule="auto"/>
              <w:rPr>
                <w:color w:val="000000"/>
                <w:sz w:val="24"/>
              </w:rPr>
            </w:pPr>
            <w:r w:rsidRPr="00845738">
              <w:rPr>
                <w:color w:val="000000"/>
                <w:sz w:val="24"/>
              </w:rPr>
              <w:t xml:space="preserve">Unexpended Rebate </w:t>
            </w:r>
          </w:p>
        </w:tc>
        <w:tc>
          <w:tcPr>
            <w:tcW w:w="4000" w:type="dxa"/>
            <w:tcBorders>
              <w:top w:val="nil"/>
              <w:left w:val="nil"/>
              <w:bottom w:val="single" w:sz="4" w:space="0" w:color="auto"/>
              <w:right w:val="single" w:sz="8" w:space="0" w:color="auto"/>
            </w:tcBorders>
            <w:vAlign w:val="bottom"/>
            <w:hideMark/>
          </w:tcPr>
          <w:p w:rsidR="00845738" w:rsidRPr="00845738" w:rsidP="00845738" w14:paraId="423E53EA" w14:textId="77777777">
            <w:pPr>
              <w:widowControl/>
              <w:autoSpaceDE/>
              <w:autoSpaceDN/>
              <w:adjustRightInd/>
              <w:spacing w:line="256" w:lineRule="auto"/>
              <w:rPr>
                <w:rFonts w:ascii="Calibri" w:hAnsi="Calibri" w:cs="Calibri"/>
                <w:color w:val="000000"/>
                <w:sz w:val="24"/>
              </w:rPr>
            </w:pPr>
            <w:r w:rsidRPr="00845738">
              <w:rPr>
                <w:rFonts w:ascii="Calibri" w:hAnsi="Calibri" w:cs="Calibri"/>
                <w:color w:val="000000"/>
                <w:sz w:val="24"/>
              </w:rPr>
              <w:t> </w:t>
            </w:r>
          </w:p>
        </w:tc>
      </w:tr>
      <w:tr w14:paraId="1A1F0DB0" w14:textId="77777777" w:rsidTr="00D56207">
        <w:tblPrEx>
          <w:tblW w:w="8300" w:type="dxa"/>
          <w:tblLook w:val="04A0"/>
        </w:tblPrEx>
        <w:trPr>
          <w:trHeight w:val="765"/>
        </w:trPr>
        <w:tc>
          <w:tcPr>
            <w:tcW w:w="4300" w:type="dxa"/>
            <w:tcBorders>
              <w:top w:val="nil"/>
              <w:left w:val="single" w:sz="8" w:space="0" w:color="auto"/>
              <w:bottom w:val="single" w:sz="8" w:space="0" w:color="auto"/>
              <w:right w:val="single" w:sz="4" w:space="0" w:color="auto"/>
            </w:tcBorders>
            <w:vAlign w:val="bottom"/>
            <w:hideMark/>
          </w:tcPr>
          <w:p w:rsidR="00845738" w:rsidRPr="00845738" w:rsidP="00845738" w14:paraId="09CFB74B" w14:textId="77777777">
            <w:pPr>
              <w:widowControl/>
              <w:autoSpaceDE/>
              <w:autoSpaceDN/>
              <w:adjustRightInd/>
              <w:spacing w:line="256" w:lineRule="auto"/>
              <w:rPr>
                <w:color w:val="000000"/>
                <w:sz w:val="24"/>
              </w:rPr>
            </w:pPr>
            <w:r w:rsidRPr="00845738">
              <w:rPr>
                <w:color w:val="000000"/>
                <w:sz w:val="24"/>
              </w:rPr>
              <w:t>Expended Rebate Amount to be Used to Reduce UOB</w:t>
            </w:r>
          </w:p>
        </w:tc>
        <w:tc>
          <w:tcPr>
            <w:tcW w:w="4000" w:type="dxa"/>
            <w:tcBorders>
              <w:top w:val="nil"/>
              <w:left w:val="nil"/>
              <w:bottom w:val="single" w:sz="8" w:space="0" w:color="auto"/>
              <w:right w:val="single" w:sz="8" w:space="0" w:color="auto"/>
            </w:tcBorders>
            <w:vAlign w:val="bottom"/>
            <w:hideMark/>
          </w:tcPr>
          <w:p w:rsidR="00845738" w:rsidRPr="00845738" w:rsidP="00845738" w14:paraId="00B77C0F" w14:textId="77777777">
            <w:pPr>
              <w:widowControl/>
              <w:autoSpaceDE/>
              <w:autoSpaceDN/>
              <w:adjustRightInd/>
              <w:spacing w:line="256" w:lineRule="auto"/>
              <w:rPr>
                <w:rFonts w:ascii="Calibri" w:hAnsi="Calibri" w:cs="Calibri"/>
                <w:color w:val="000000"/>
                <w:sz w:val="24"/>
              </w:rPr>
            </w:pPr>
            <w:r w:rsidRPr="00845738">
              <w:rPr>
                <w:rFonts w:ascii="Calibri" w:hAnsi="Calibri" w:cs="Calibri"/>
                <w:color w:val="000000"/>
                <w:sz w:val="24"/>
              </w:rPr>
              <w:t> </w:t>
            </w:r>
          </w:p>
        </w:tc>
      </w:tr>
    </w:tbl>
    <w:p w:rsidR="0023760F" w:rsidP="00CA224C" w14:paraId="074CDDCE" w14:textId="3ED696BB">
      <w:pPr>
        <w:pStyle w:val="BodyTextIndent"/>
        <w:spacing w:before="120"/>
        <w:ind w:left="0"/>
        <w:rPr>
          <w:rFonts w:ascii="Times New Roman" w:hAnsi="Times New Roman"/>
        </w:rPr>
      </w:pPr>
    </w:p>
    <w:p w:rsidR="0023760F" w:rsidRPr="002E36D8" w:rsidP="002E36D8" w14:paraId="3233FE1F" w14:textId="5604090F">
      <w:pPr>
        <w:widowControl/>
        <w:autoSpaceDE/>
        <w:autoSpaceDN/>
        <w:adjustRightInd/>
        <w:rPr>
          <w:sz w:val="24"/>
        </w:rPr>
      </w:pPr>
      <w:r>
        <w:t xml:space="preserve"> </w:t>
      </w:r>
    </w:p>
    <w:sectPr w:rsidSect="001D4856">
      <w:footerReference w:type="default" r:id="rId9"/>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14:paraId="2E6D4003" w14:textId="77777777">
    <w:pPr>
      <w:spacing w:line="240" w:lineRule="exact"/>
    </w:pPr>
  </w:p>
  <w:p w:rsidR="00D92E1D" w14:paraId="2E6D4004" w14:textId="292DFF0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410757">
      <w:rPr>
        <w:noProof/>
        <w:sz w:val="24"/>
      </w:rPr>
      <w:t>7</w:t>
    </w:r>
    <w:r>
      <w:rPr>
        <w:sz w:val="24"/>
      </w:rPr>
      <w:fldChar w:fldCharType="end"/>
    </w:r>
  </w:p>
  <w:p w:rsidR="00D92E1D" w14:paraId="2E6D4005" w14:textId="77777777">
    <w:pPr>
      <w:rPr>
        <w:sz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5">
    <w:nsid w:val="0ACC789C"/>
    <w:multiLevelType w:val="hybridMultilevel"/>
    <w:tmpl w:val="390AC0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4C56AA"/>
    <w:multiLevelType w:val="multilevel"/>
    <w:tmpl w:val="F8B0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0">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1">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3">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4">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5">
    <w:nsid w:val="22B65DCA"/>
    <w:multiLevelType w:val="multilevel"/>
    <w:tmpl w:val="33C6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7">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19">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0">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1">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2">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3">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A1D7109"/>
    <w:multiLevelType w:val="hybridMultilevel"/>
    <w:tmpl w:val="462ED118"/>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bullet"/>
      <w:lvlText w:val=""/>
      <w:lvlJc w:val="left"/>
      <w:pPr>
        <w:tabs>
          <w:tab w:val="num" w:pos="2160"/>
        </w:tabs>
        <w:ind w:left="2160" w:hanging="360"/>
      </w:pPr>
      <w:rPr>
        <w:rFonts w:ascii="Symbol" w:hAnsi="Symbol" w:hint="default"/>
      </w:rPr>
    </w:lvl>
    <w:lvl w:ilvl="4">
      <w:start w:val="2"/>
      <w:numFmt w:val="upperLetter"/>
      <w:lvlText w:val="%5."/>
      <w:lvlJc w:val="left"/>
      <w:pPr>
        <w:tabs>
          <w:tab w:val="num" w:pos="2880"/>
        </w:tabs>
        <w:ind w:left="2880" w:hanging="360"/>
      </w:pPr>
      <w:rPr>
        <w:rFonts w:hint="default"/>
      </w:rPr>
    </w:lvl>
    <w:lvl w:ilvl="5">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25">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7">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8">
    <w:nsid w:val="4E543161"/>
    <w:multiLevelType w:val="hybridMultilevel"/>
    <w:tmpl w:val="C27201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30">
    <w:nsid w:val="56960DD8"/>
    <w:multiLevelType w:val="hybridMultilevel"/>
    <w:tmpl w:val="972ABCA4"/>
    <w:lvl w:ilvl="0">
      <w:start w:val="1"/>
      <w:numFmt w:val="bullet"/>
      <w:lvlText w:val=""/>
      <w:lvlJc w:val="left"/>
      <w:pPr>
        <w:ind w:left="776" w:hanging="360"/>
      </w:pPr>
      <w:rPr>
        <w:rFonts w:ascii="Symbol" w:hAnsi="Symbol" w:hint="default"/>
      </w:rPr>
    </w:lvl>
    <w:lvl w:ilvl="1" w:tentative="1">
      <w:start w:val="1"/>
      <w:numFmt w:val="bullet"/>
      <w:lvlText w:val="o"/>
      <w:lvlJc w:val="left"/>
      <w:pPr>
        <w:ind w:left="1496" w:hanging="360"/>
      </w:pPr>
      <w:rPr>
        <w:rFonts w:ascii="Courier New" w:hAnsi="Courier New" w:cs="Courier New" w:hint="default"/>
      </w:rPr>
    </w:lvl>
    <w:lvl w:ilvl="2" w:tentative="1">
      <w:start w:val="1"/>
      <w:numFmt w:val="bullet"/>
      <w:lvlText w:val=""/>
      <w:lvlJc w:val="left"/>
      <w:pPr>
        <w:ind w:left="2216" w:hanging="360"/>
      </w:pPr>
      <w:rPr>
        <w:rFonts w:ascii="Wingdings" w:hAnsi="Wingdings" w:hint="default"/>
      </w:rPr>
    </w:lvl>
    <w:lvl w:ilvl="3" w:tentative="1">
      <w:start w:val="1"/>
      <w:numFmt w:val="bullet"/>
      <w:lvlText w:val=""/>
      <w:lvlJc w:val="left"/>
      <w:pPr>
        <w:ind w:left="2936" w:hanging="360"/>
      </w:pPr>
      <w:rPr>
        <w:rFonts w:ascii="Symbol" w:hAnsi="Symbol" w:hint="default"/>
      </w:rPr>
    </w:lvl>
    <w:lvl w:ilvl="4" w:tentative="1">
      <w:start w:val="1"/>
      <w:numFmt w:val="bullet"/>
      <w:lvlText w:val="o"/>
      <w:lvlJc w:val="left"/>
      <w:pPr>
        <w:ind w:left="3656" w:hanging="360"/>
      </w:pPr>
      <w:rPr>
        <w:rFonts w:ascii="Courier New" w:hAnsi="Courier New" w:cs="Courier New" w:hint="default"/>
      </w:rPr>
    </w:lvl>
    <w:lvl w:ilvl="5" w:tentative="1">
      <w:start w:val="1"/>
      <w:numFmt w:val="bullet"/>
      <w:lvlText w:val=""/>
      <w:lvlJc w:val="left"/>
      <w:pPr>
        <w:ind w:left="4376" w:hanging="360"/>
      </w:pPr>
      <w:rPr>
        <w:rFonts w:ascii="Wingdings" w:hAnsi="Wingdings" w:hint="default"/>
      </w:rPr>
    </w:lvl>
    <w:lvl w:ilvl="6" w:tentative="1">
      <w:start w:val="1"/>
      <w:numFmt w:val="bullet"/>
      <w:lvlText w:val=""/>
      <w:lvlJc w:val="left"/>
      <w:pPr>
        <w:ind w:left="5096" w:hanging="360"/>
      </w:pPr>
      <w:rPr>
        <w:rFonts w:ascii="Symbol" w:hAnsi="Symbol" w:hint="default"/>
      </w:rPr>
    </w:lvl>
    <w:lvl w:ilvl="7" w:tentative="1">
      <w:start w:val="1"/>
      <w:numFmt w:val="bullet"/>
      <w:lvlText w:val="o"/>
      <w:lvlJc w:val="left"/>
      <w:pPr>
        <w:ind w:left="5816" w:hanging="360"/>
      </w:pPr>
      <w:rPr>
        <w:rFonts w:ascii="Courier New" w:hAnsi="Courier New" w:cs="Courier New" w:hint="default"/>
      </w:rPr>
    </w:lvl>
    <w:lvl w:ilvl="8" w:tentative="1">
      <w:start w:val="1"/>
      <w:numFmt w:val="bullet"/>
      <w:lvlText w:val=""/>
      <w:lvlJc w:val="left"/>
      <w:pPr>
        <w:ind w:left="6536" w:hanging="360"/>
      </w:pPr>
      <w:rPr>
        <w:rFonts w:ascii="Wingdings" w:hAnsi="Wingdings" w:hint="default"/>
      </w:rPr>
    </w:lvl>
  </w:abstractNum>
  <w:abstractNum w:abstractNumId="31">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2">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3">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4">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5">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6">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7">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8">
    <w:nsid w:val="6329752C"/>
    <w:multiLevelType w:val="hybridMultilevel"/>
    <w:tmpl w:val="DB00156C"/>
    <w:lvl w:ilvl="0">
      <w:start w:val="1"/>
      <w:numFmt w:val="bullet"/>
      <w:lvlText w:val=""/>
      <w:lvlJc w:val="left"/>
      <w:pPr>
        <w:ind w:left="782" w:hanging="360"/>
      </w:pPr>
      <w:rPr>
        <w:rFonts w:ascii="Symbol" w:hAnsi="Symbol" w:hint="default"/>
      </w:rPr>
    </w:lvl>
    <w:lvl w:ilvl="1" w:tentative="1">
      <w:start w:val="1"/>
      <w:numFmt w:val="bullet"/>
      <w:lvlText w:val="o"/>
      <w:lvlJc w:val="left"/>
      <w:pPr>
        <w:ind w:left="1502" w:hanging="360"/>
      </w:pPr>
      <w:rPr>
        <w:rFonts w:ascii="Courier New" w:hAnsi="Courier New" w:cs="Courier New" w:hint="default"/>
      </w:rPr>
    </w:lvl>
    <w:lvl w:ilvl="2" w:tentative="1">
      <w:start w:val="1"/>
      <w:numFmt w:val="bullet"/>
      <w:lvlText w:val=""/>
      <w:lvlJc w:val="left"/>
      <w:pPr>
        <w:ind w:left="2222" w:hanging="360"/>
      </w:pPr>
      <w:rPr>
        <w:rFonts w:ascii="Wingdings" w:hAnsi="Wingdings" w:hint="default"/>
      </w:rPr>
    </w:lvl>
    <w:lvl w:ilvl="3" w:tentative="1">
      <w:start w:val="1"/>
      <w:numFmt w:val="bullet"/>
      <w:lvlText w:val=""/>
      <w:lvlJc w:val="left"/>
      <w:pPr>
        <w:ind w:left="2942" w:hanging="360"/>
      </w:pPr>
      <w:rPr>
        <w:rFonts w:ascii="Symbol" w:hAnsi="Symbol" w:hint="default"/>
      </w:rPr>
    </w:lvl>
    <w:lvl w:ilvl="4" w:tentative="1">
      <w:start w:val="1"/>
      <w:numFmt w:val="bullet"/>
      <w:lvlText w:val="o"/>
      <w:lvlJc w:val="left"/>
      <w:pPr>
        <w:ind w:left="3662" w:hanging="360"/>
      </w:pPr>
      <w:rPr>
        <w:rFonts w:ascii="Courier New" w:hAnsi="Courier New" w:cs="Courier New" w:hint="default"/>
      </w:rPr>
    </w:lvl>
    <w:lvl w:ilvl="5" w:tentative="1">
      <w:start w:val="1"/>
      <w:numFmt w:val="bullet"/>
      <w:lvlText w:val=""/>
      <w:lvlJc w:val="left"/>
      <w:pPr>
        <w:ind w:left="4382" w:hanging="360"/>
      </w:pPr>
      <w:rPr>
        <w:rFonts w:ascii="Wingdings" w:hAnsi="Wingdings" w:hint="default"/>
      </w:rPr>
    </w:lvl>
    <w:lvl w:ilvl="6" w:tentative="1">
      <w:start w:val="1"/>
      <w:numFmt w:val="bullet"/>
      <w:lvlText w:val=""/>
      <w:lvlJc w:val="left"/>
      <w:pPr>
        <w:ind w:left="5102" w:hanging="360"/>
      </w:pPr>
      <w:rPr>
        <w:rFonts w:ascii="Symbol" w:hAnsi="Symbol" w:hint="default"/>
      </w:rPr>
    </w:lvl>
    <w:lvl w:ilvl="7" w:tentative="1">
      <w:start w:val="1"/>
      <w:numFmt w:val="bullet"/>
      <w:lvlText w:val="o"/>
      <w:lvlJc w:val="left"/>
      <w:pPr>
        <w:ind w:left="5822" w:hanging="360"/>
      </w:pPr>
      <w:rPr>
        <w:rFonts w:ascii="Courier New" w:hAnsi="Courier New" w:cs="Courier New" w:hint="default"/>
      </w:rPr>
    </w:lvl>
    <w:lvl w:ilvl="8" w:tentative="1">
      <w:start w:val="1"/>
      <w:numFmt w:val="bullet"/>
      <w:lvlText w:val=""/>
      <w:lvlJc w:val="left"/>
      <w:pPr>
        <w:ind w:left="6542" w:hanging="360"/>
      </w:pPr>
      <w:rPr>
        <w:rFonts w:ascii="Wingdings" w:hAnsi="Wingdings" w:hint="default"/>
      </w:rPr>
    </w:lvl>
  </w:abstractNum>
  <w:abstractNum w:abstractNumId="39">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4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1">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2">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3">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4">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6">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7">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48">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num w:numId="1" w16cid:durableId="1599944202">
    <w:abstractNumId w:val="48"/>
  </w:num>
  <w:num w:numId="2" w16cid:durableId="1288928268">
    <w:abstractNumId w:val="24"/>
  </w:num>
  <w:num w:numId="3" w16cid:durableId="541089424">
    <w:abstractNumId w:val="17"/>
  </w:num>
  <w:num w:numId="4" w16cid:durableId="452333887">
    <w:abstractNumId w:val="44"/>
  </w:num>
  <w:num w:numId="5" w16cid:durableId="467287774">
    <w:abstractNumId w:val="47"/>
  </w:num>
  <w:num w:numId="6" w16cid:durableId="572933824">
    <w:abstractNumId w:val="11"/>
  </w:num>
  <w:num w:numId="7" w16cid:durableId="1951814125">
    <w:abstractNumId w:val="40"/>
  </w:num>
  <w:num w:numId="8" w16cid:durableId="1884050374">
    <w:abstractNumId w:val="20"/>
  </w:num>
  <w:num w:numId="9" w16cid:durableId="724452386">
    <w:abstractNumId w:val="29"/>
  </w:num>
  <w:num w:numId="10" w16cid:durableId="2059626966">
    <w:abstractNumId w:val="22"/>
  </w:num>
  <w:num w:numId="11" w16cid:durableId="1250459397">
    <w:abstractNumId w:val="10"/>
  </w:num>
  <w:num w:numId="12" w16cid:durableId="509102069">
    <w:abstractNumId w:val="27"/>
  </w:num>
  <w:num w:numId="13" w16cid:durableId="1143700080">
    <w:abstractNumId w:val="23"/>
  </w:num>
  <w:num w:numId="14" w16cid:durableId="414783716">
    <w:abstractNumId w:val="25"/>
  </w:num>
  <w:num w:numId="15" w16cid:durableId="1434088580">
    <w:abstractNumId w:val="9"/>
  </w:num>
  <w:num w:numId="16" w16cid:durableId="1650861752">
    <w:abstractNumId w:val="0"/>
  </w:num>
  <w:num w:numId="17" w16cid:durableId="554899693">
    <w:abstractNumId w:val="1"/>
  </w:num>
  <w:num w:numId="18" w16cid:durableId="391972304">
    <w:abstractNumId w:val="18"/>
  </w:num>
  <w:num w:numId="19" w16cid:durableId="680353652">
    <w:abstractNumId w:val="39"/>
  </w:num>
  <w:num w:numId="20" w16cid:durableId="538201814">
    <w:abstractNumId w:val="36"/>
  </w:num>
  <w:num w:numId="21" w16cid:durableId="62335919">
    <w:abstractNumId w:val="21"/>
  </w:num>
  <w:num w:numId="22" w16cid:durableId="1487865589">
    <w:abstractNumId w:val="43"/>
  </w:num>
  <w:num w:numId="23" w16cid:durableId="897520785">
    <w:abstractNumId w:val="34"/>
  </w:num>
  <w:num w:numId="24" w16cid:durableId="354498225">
    <w:abstractNumId w:val="35"/>
  </w:num>
  <w:num w:numId="25" w16cid:durableId="224949198">
    <w:abstractNumId w:val="46"/>
  </w:num>
  <w:num w:numId="26" w16cid:durableId="528642764">
    <w:abstractNumId w:val="42"/>
  </w:num>
  <w:num w:numId="27" w16cid:durableId="757600797">
    <w:abstractNumId w:val="3"/>
  </w:num>
  <w:num w:numId="28" w16cid:durableId="1442411279">
    <w:abstractNumId w:val="19"/>
  </w:num>
  <w:num w:numId="29" w16cid:durableId="2065372954">
    <w:abstractNumId w:val="45"/>
  </w:num>
  <w:num w:numId="30" w16cid:durableId="1599021997">
    <w:abstractNumId w:val="41"/>
  </w:num>
  <w:num w:numId="31" w16cid:durableId="144931844">
    <w:abstractNumId w:val="37"/>
  </w:num>
  <w:num w:numId="32" w16cid:durableId="1431855502">
    <w:abstractNumId w:val="12"/>
  </w:num>
  <w:num w:numId="33" w16cid:durableId="611205439">
    <w:abstractNumId w:val="2"/>
  </w:num>
  <w:num w:numId="34" w16cid:durableId="178275677">
    <w:abstractNumId w:val="31"/>
  </w:num>
  <w:num w:numId="35" w16cid:durableId="1449157356">
    <w:abstractNumId w:val="14"/>
  </w:num>
  <w:num w:numId="36" w16cid:durableId="1174224636">
    <w:abstractNumId w:val="13"/>
  </w:num>
  <w:num w:numId="37" w16cid:durableId="161631656">
    <w:abstractNumId w:val="16"/>
  </w:num>
  <w:num w:numId="38" w16cid:durableId="1083836541">
    <w:abstractNumId w:val="4"/>
  </w:num>
  <w:num w:numId="39" w16cid:durableId="667234">
    <w:abstractNumId w:val="33"/>
  </w:num>
  <w:num w:numId="40" w16cid:durableId="1693409853">
    <w:abstractNumId w:val="8"/>
  </w:num>
  <w:num w:numId="41" w16cid:durableId="1494879122">
    <w:abstractNumId w:val="32"/>
  </w:num>
  <w:num w:numId="42" w16cid:durableId="1261715787">
    <w:abstractNumId w:val="26"/>
  </w:num>
  <w:num w:numId="43" w16cid:durableId="350306992">
    <w:abstractNumId w:val="6"/>
  </w:num>
  <w:num w:numId="44" w16cid:durableId="1097168075">
    <w:abstractNumId w:val="15"/>
  </w:num>
  <w:num w:numId="45" w16cid:durableId="1695763340">
    <w:abstractNumId w:val="7"/>
  </w:num>
  <w:num w:numId="46" w16cid:durableId="808864520">
    <w:abstractNumId w:val="28"/>
  </w:num>
  <w:num w:numId="47" w16cid:durableId="1150633647">
    <w:abstractNumId w:val="38"/>
  </w:num>
  <w:num w:numId="48" w16cid:durableId="254245577">
    <w:abstractNumId w:val="30"/>
  </w:num>
  <w:num w:numId="49" w16cid:durableId="2702070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111AA"/>
    <w:rsid w:val="00015505"/>
    <w:rsid w:val="00016D55"/>
    <w:rsid w:val="00030B24"/>
    <w:rsid w:val="000845CF"/>
    <w:rsid w:val="000910DF"/>
    <w:rsid w:val="000B2C0C"/>
    <w:rsid w:val="000C1F62"/>
    <w:rsid w:val="000D432C"/>
    <w:rsid w:val="000E3D5D"/>
    <w:rsid w:val="00102FD6"/>
    <w:rsid w:val="00104A9C"/>
    <w:rsid w:val="00107222"/>
    <w:rsid w:val="00120054"/>
    <w:rsid w:val="00126457"/>
    <w:rsid w:val="001325B2"/>
    <w:rsid w:val="0014490C"/>
    <w:rsid w:val="0014551A"/>
    <w:rsid w:val="0014615E"/>
    <w:rsid w:val="00146EBF"/>
    <w:rsid w:val="00161001"/>
    <w:rsid w:val="00163439"/>
    <w:rsid w:val="00164E35"/>
    <w:rsid w:val="001672E0"/>
    <w:rsid w:val="00173857"/>
    <w:rsid w:val="00185A25"/>
    <w:rsid w:val="00186641"/>
    <w:rsid w:val="001920C3"/>
    <w:rsid w:val="001B2AA4"/>
    <w:rsid w:val="001B678E"/>
    <w:rsid w:val="001C1300"/>
    <w:rsid w:val="001D4856"/>
    <w:rsid w:val="001F5E3B"/>
    <w:rsid w:val="001F76DA"/>
    <w:rsid w:val="00205A4C"/>
    <w:rsid w:val="00210269"/>
    <w:rsid w:val="002118B4"/>
    <w:rsid w:val="00212791"/>
    <w:rsid w:val="00216562"/>
    <w:rsid w:val="00226260"/>
    <w:rsid w:val="00227856"/>
    <w:rsid w:val="00231790"/>
    <w:rsid w:val="00232C1C"/>
    <w:rsid w:val="0023760F"/>
    <w:rsid w:val="00243DA8"/>
    <w:rsid w:val="00246DC2"/>
    <w:rsid w:val="002640E7"/>
    <w:rsid w:val="0026576D"/>
    <w:rsid w:val="00265E5F"/>
    <w:rsid w:val="00272E63"/>
    <w:rsid w:val="00276657"/>
    <w:rsid w:val="00284B8F"/>
    <w:rsid w:val="00291C20"/>
    <w:rsid w:val="00293A89"/>
    <w:rsid w:val="00293D0C"/>
    <w:rsid w:val="0029735F"/>
    <w:rsid w:val="002A2AB4"/>
    <w:rsid w:val="002A6985"/>
    <w:rsid w:val="002A6F17"/>
    <w:rsid w:val="002B0554"/>
    <w:rsid w:val="002B6319"/>
    <w:rsid w:val="002C4767"/>
    <w:rsid w:val="002C76B3"/>
    <w:rsid w:val="002D0D9C"/>
    <w:rsid w:val="002D4A33"/>
    <w:rsid w:val="002E36D8"/>
    <w:rsid w:val="002F720B"/>
    <w:rsid w:val="003056DD"/>
    <w:rsid w:val="00322313"/>
    <w:rsid w:val="00330924"/>
    <w:rsid w:val="003379AF"/>
    <w:rsid w:val="0035374D"/>
    <w:rsid w:val="00386A7D"/>
    <w:rsid w:val="00391E16"/>
    <w:rsid w:val="00392ADB"/>
    <w:rsid w:val="003A1EE6"/>
    <w:rsid w:val="003B5CBD"/>
    <w:rsid w:val="003B6D68"/>
    <w:rsid w:val="003D23B1"/>
    <w:rsid w:val="003D7324"/>
    <w:rsid w:val="003E1A6B"/>
    <w:rsid w:val="00402F31"/>
    <w:rsid w:val="00410757"/>
    <w:rsid w:val="00415129"/>
    <w:rsid w:val="00434465"/>
    <w:rsid w:val="00441E61"/>
    <w:rsid w:val="00452FF1"/>
    <w:rsid w:val="00453919"/>
    <w:rsid w:val="00472847"/>
    <w:rsid w:val="004746CA"/>
    <w:rsid w:val="0048441D"/>
    <w:rsid w:val="00484FCF"/>
    <w:rsid w:val="00487533"/>
    <w:rsid w:val="00490720"/>
    <w:rsid w:val="00494C63"/>
    <w:rsid w:val="004A4BCD"/>
    <w:rsid w:val="004B0702"/>
    <w:rsid w:val="004B2219"/>
    <w:rsid w:val="004B56C5"/>
    <w:rsid w:val="004C185E"/>
    <w:rsid w:val="004C388D"/>
    <w:rsid w:val="004E3AAE"/>
    <w:rsid w:val="004E687D"/>
    <w:rsid w:val="004F2D7B"/>
    <w:rsid w:val="004F69E5"/>
    <w:rsid w:val="00503BAB"/>
    <w:rsid w:val="00511F3A"/>
    <w:rsid w:val="00523363"/>
    <w:rsid w:val="00541F04"/>
    <w:rsid w:val="00554DFF"/>
    <w:rsid w:val="00562ADA"/>
    <w:rsid w:val="005A00F3"/>
    <w:rsid w:val="005A40A2"/>
    <w:rsid w:val="005C067F"/>
    <w:rsid w:val="005C4010"/>
    <w:rsid w:val="005C7EA7"/>
    <w:rsid w:val="005D2FC0"/>
    <w:rsid w:val="005D5ACF"/>
    <w:rsid w:val="005D7625"/>
    <w:rsid w:val="005D7907"/>
    <w:rsid w:val="005E1765"/>
    <w:rsid w:val="005F16B3"/>
    <w:rsid w:val="00604744"/>
    <w:rsid w:val="0061584D"/>
    <w:rsid w:val="00620FD9"/>
    <w:rsid w:val="00621417"/>
    <w:rsid w:val="00621DA9"/>
    <w:rsid w:val="00624019"/>
    <w:rsid w:val="00626FC4"/>
    <w:rsid w:val="00627FFD"/>
    <w:rsid w:val="0064398E"/>
    <w:rsid w:val="00644C31"/>
    <w:rsid w:val="0065039D"/>
    <w:rsid w:val="00663041"/>
    <w:rsid w:val="006679F3"/>
    <w:rsid w:val="00670623"/>
    <w:rsid w:val="006719F3"/>
    <w:rsid w:val="00673BFC"/>
    <w:rsid w:val="00680D76"/>
    <w:rsid w:val="00682CA7"/>
    <w:rsid w:val="00697810"/>
    <w:rsid w:val="006D26DA"/>
    <w:rsid w:val="006D5060"/>
    <w:rsid w:val="006E3138"/>
    <w:rsid w:val="006F19CD"/>
    <w:rsid w:val="00704589"/>
    <w:rsid w:val="007213F3"/>
    <w:rsid w:val="00722F94"/>
    <w:rsid w:val="00725AD3"/>
    <w:rsid w:val="00726461"/>
    <w:rsid w:val="0073114C"/>
    <w:rsid w:val="0073493D"/>
    <w:rsid w:val="007505F7"/>
    <w:rsid w:val="00756F17"/>
    <w:rsid w:val="00780EC5"/>
    <w:rsid w:val="0079204D"/>
    <w:rsid w:val="007A48BF"/>
    <w:rsid w:val="007C42FC"/>
    <w:rsid w:val="007C4DFD"/>
    <w:rsid w:val="007C5798"/>
    <w:rsid w:val="007C7717"/>
    <w:rsid w:val="007D6D14"/>
    <w:rsid w:val="007E7297"/>
    <w:rsid w:val="007F047A"/>
    <w:rsid w:val="008002AB"/>
    <w:rsid w:val="00804EBB"/>
    <w:rsid w:val="00816F5B"/>
    <w:rsid w:val="00817BE7"/>
    <w:rsid w:val="0082216C"/>
    <w:rsid w:val="00824564"/>
    <w:rsid w:val="008330C0"/>
    <w:rsid w:val="00845738"/>
    <w:rsid w:val="0085263A"/>
    <w:rsid w:val="008752C1"/>
    <w:rsid w:val="00875C8D"/>
    <w:rsid w:val="00875F72"/>
    <w:rsid w:val="008854E3"/>
    <w:rsid w:val="008904F7"/>
    <w:rsid w:val="008A2311"/>
    <w:rsid w:val="008A4925"/>
    <w:rsid w:val="008A7783"/>
    <w:rsid w:val="008B04CA"/>
    <w:rsid w:val="008C1534"/>
    <w:rsid w:val="008C72B5"/>
    <w:rsid w:val="008D2D67"/>
    <w:rsid w:val="008D445B"/>
    <w:rsid w:val="008E4B28"/>
    <w:rsid w:val="008F5AE6"/>
    <w:rsid w:val="00904A88"/>
    <w:rsid w:val="009234E6"/>
    <w:rsid w:val="009346FD"/>
    <w:rsid w:val="00935C66"/>
    <w:rsid w:val="00935E77"/>
    <w:rsid w:val="00943871"/>
    <w:rsid w:val="00947DA6"/>
    <w:rsid w:val="00952F37"/>
    <w:rsid w:val="00967D65"/>
    <w:rsid w:val="00974E39"/>
    <w:rsid w:val="00997E63"/>
    <w:rsid w:val="009A4DA5"/>
    <w:rsid w:val="009B3794"/>
    <w:rsid w:val="009B7E4D"/>
    <w:rsid w:val="009C2B0B"/>
    <w:rsid w:val="009F7350"/>
    <w:rsid w:val="00A124A9"/>
    <w:rsid w:val="00A1688A"/>
    <w:rsid w:val="00A279B2"/>
    <w:rsid w:val="00A30993"/>
    <w:rsid w:val="00A33260"/>
    <w:rsid w:val="00A34B19"/>
    <w:rsid w:val="00A43C34"/>
    <w:rsid w:val="00A45329"/>
    <w:rsid w:val="00A64457"/>
    <w:rsid w:val="00A65589"/>
    <w:rsid w:val="00A73EEA"/>
    <w:rsid w:val="00A92CAB"/>
    <w:rsid w:val="00AA5CC1"/>
    <w:rsid w:val="00AB1CD6"/>
    <w:rsid w:val="00AB2867"/>
    <w:rsid w:val="00AD00E3"/>
    <w:rsid w:val="00AD18FD"/>
    <w:rsid w:val="00AD274B"/>
    <w:rsid w:val="00AE7154"/>
    <w:rsid w:val="00B015BF"/>
    <w:rsid w:val="00B12DD6"/>
    <w:rsid w:val="00B24C24"/>
    <w:rsid w:val="00B2541B"/>
    <w:rsid w:val="00B45BA4"/>
    <w:rsid w:val="00B47A32"/>
    <w:rsid w:val="00B53141"/>
    <w:rsid w:val="00B634E8"/>
    <w:rsid w:val="00B6397D"/>
    <w:rsid w:val="00B655C6"/>
    <w:rsid w:val="00B7589E"/>
    <w:rsid w:val="00B86F68"/>
    <w:rsid w:val="00B921B7"/>
    <w:rsid w:val="00BA1863"/>
    <w:rsid w:val="00BA1A0C"/>
    <w:rsid w:val="00BB090F"/>
    <w:rsid w:val="00BB298C"/>
    <w:rsid w:val="00BC0EE3"/>
    <w:rsid w:val="00BC264F"/>
    <w:rsid w:val="00BC6080"/>
    <w:rsid w:val="00BD6F3D"/>
    <w:rsid w:val="00C32549"/>
    <w:rsid w:val="00C4376C"/>
    <w:rsid w:val="00C44A06"/>
    <w:rsid w:val="00C45431"/>
    <w:rsid w:val="00C54222"/>
    <w:rsid w:val="00C60FD1"/>
    <w:rsid w:val="00C632CB"/>
    <w:rsid w:val="00C66283"/>
    <w:rsid w:val="00C73E0E"/>
    <w:rsid w:val="00C74B86"/>
    <w:rsid w:val="00C7721F"/>
    <w:rsid w:val="00C82A4F"/>
    <w:rsid w:val="00C877B5"/>
    <w:rsid w:val="00CA1196"/>
    <w:rsid w:val="00CA1732"/>
    <w:rsid w:val="00CA224C"/>
    <w:rsid w:val="00CA3DA6"/>
    <w:rsid w:val="00CB78EC"/>
    <w:rsid w:val="00CD36E7"/>
    <w:rsid w:val="00CE187A"/>
    <w:rsid w:val="00CE20D6"/>
    <w:rsid w:val="00CE408D"/>
    <w:rsid w:val="00CE5AA9"/>
    <w:rsid w:val="00D11CA3"/>
    <w:rsid w:val="00D224B1"/>
    <w:rsid w:val="00D24BB4"/>
    <w:rsid w:val="00D2705F"/>
    <w:rsid w:val="00D30214"/>
    <w:rsid w:val="00D436A8"/>
    <w:rsid w:val="00D46313"/>
    <w:rsid w:val="00D54105"/>
    <w:rsid w:val="00D56CC2"/>
    <w:rsid w:val="00D62CA9"/>
    <w:rsid w:val="00D74B86"/>
    <w:rsid w:val="00D85090"/>
    <w:rsid w:val="00D86D97"/>
    <w:rsid w:val="00D92E1D"/>
    <w:rsid w:val="00D934C6"/>
    <w:rsid w:val="00DA795D"/>
    <w:rsid w:val="00DC19DE"/>
    <w:rsid w:val="00DD3BA4"/>
    <w:rsid w:val="00DE3A45"/>
    <w:rsid w:val="00DF3F7A"/>
    <w:rsid w:val="00E00CEE"/>
    <w:rsid w:val="00E03245"/>
    <w:rsid w:val="00E134D7"/>
    <w:rsid w:val="00E203FA"/>
    <w:rsid w:val="00E219F3"/>
    <w:rsid w:val="00E34A1F"/>
    <w:rsid w:val="00E35590"/>
    <w:rsid w:val="00E35E83"/>
    <w:rsid w:val="00E37461"/>
    <w:rsid w:val="00E43412"/>
    <w:rsid w:val="00E530E3"/>
    <w:rsid w:val="00E85112"/>
    <w:rsid w:val="00E87554"/>
    <w:rsid w:val="00E9624A"/>
    <w:rsid w:val="00E962DB"/>
    <w:rsid w:val="00EA18E7"/>
    <w:rsid w:val="00EB00DD"/>
    <w:rsid w:val="00EB348A"/>
    <w:rsid w:val="00EC38CD"/>
    <w:rsid w:val="00ED18EA"/>
    <w:rsid w:val="00EE0151"/>
    <w:rsid w:val="00EE529C"/>
    <w:rsid w:val="00F17F28"/>
    <w:rsid w:val="00F4221E"/>
    <w:rsid w:val="00F51477"/>
    <w:rsid w:val="00F6218D"/>
    <w:rsid w:val="00F62286"/>
    <w:rsid w:val="00FB0150"/>
    <w:rsid w:val="00FC413F"/>
    <w:rsid w:val="00FC4B95"/>
    <w:rsid w:val="00FC739B"/>
    <w:rsid w:val="00FE3BE1"/>
    <w:rsid w:val="00FE3BF4"/>
    <w:rsid w:val="00FE4B39"/>
    <w:rsid w:val="00FE6C30"/>
    <w:rsid w:val="1B2083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E6D3F39"/>
  <w15:docId w15:val="{BE26CEB7-22E4-4B94-B4EB-DF2BE42B4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BodyText2">
    <w:name w:val="Body Text 2"/>
    <w:basedOn w:val="Normal"/>
    <w:link w:val="BodyText2Char"/>
    <w:semiHidden/>
    <w:unhideWhenUsed/>
    <w:rsid w:val="00E35590"/>
    <w:pPr>
      <w:spacing w:after="120" w:line="480" w:lineRule="auto"/>
    </w:pPr>
  </w:style>
  <w:style w:type="character" w:customStyle="1" w:styleId="BodyText2Char">
    <w:name w:val="Body Text 2 Char"/>
    <w:basedOn w:val="DefaultParagraphFont"/>
    <w:link w:val="BodyText2"/>
    <w:semiHidden/>
    <w:rsid w:val="00E35590"/>
    <w:rPr>
      <w:szCs w:val="24"/>
    </w:rPr>
  </w:style>
  <w:style w:type="character" w:customStyle="1" w:styleId="BodyTextFi">
    <w:name w:val="Body Text Fi"/>
    <w:rsid w:val="00E35590"/>
  </w:style>
  <w:style w:type="character" w:styleId="Strong">
    <w:name w:val="Strong"/>
    <w:basedOn w:val="DefaultParagraphFont"/>
    <w:qFormat/>
    <w:rsid w:val="00E35590"/>
    <w:rPr>
      <w:b/>
      <w:bCs/>
    </w:rPr>
  </w:style>
  <w:style w:type="paragraph" w:customStyle="1" w:styleId="Default">
    <w:name w:val="Default"/>
    <w:rsid w:val="0079204D"/>
    <w:pPr>
      <w:autoSpaceDE w:val="0"/>
      <w:autoSpaceDN w:val="0"/>
      <w:adjustRightInd w:val="0"/>
    </w:pPr>
    <w:rPr>
      <w:rFonts w:eastAsiaTheme="minorHAnsi"/>
      <w:color w:val="000000"/>
      <w:sz w:val="24"/>
      <w:szCs w:val="24"/>
    </w:rPr>
  </w:style>
  <w:style w:type="paragraph" w:styleId="Header">
    <w:name w:val="header"/>
    <w:basedOn w:val="Normal"/>
    <w:link w:val="HeaderChar"/>
    <w:unhideWhenUsed/>
    <w:rsid w:val="007505F7"/>
    <w:pPr>
      <w:tabs>
        <w:tab w:val="center" w:pos="4680"/>
        <w:tab w:val="right" w:pos="9360"/>
      </w:tabs>
    </w:pPr>
  </w:style>
  <w:style w:type="character" w:customStyle="1" w:styleId="HeaderChar">
    <w:name w:val="Header Char"/>
    <w:basedOn w:val="DefaultParagraphFont"/>
    <w:link w:val="Header"/>
    <w:rsid w:val="007505F7"/>
    <w:rPr>
      <w:szCs w:val="24"/>
    </w:rPr>
  </w:style>
  <w:style w:type="paragraph" w:styleId="Footer">
    <w:name w:val="footer"/>
    <w:basedOn w:val="Normal"/>
    <w:link w:val="FooterChar"/>
    <w:unhideWhenUsed/>
    <w:rsid w:val="007505F7"/>
    <w:pPr>
      <w:tabs>
        <w:tab w:val="center" w:pos="4680"/>
        <w:tab w:val="right" w:pos="9360"/>
      </w:tabs>
    </w:pPr>
  </w:style>
  <w:style w:type="character" w:customStyle="1" w:styleId="FooterChar">
    <w:name w:val="Footer Char"/>
    <w:basedOn w:val="DefaultParagraphFont"/>
    <w:link w:val="Footer"/>
    <w:rsid w:val="007505F7"/>
    <w:rPr>
      <w:szCs w:val="24"/>
    </w:rPr>
  </w:style>
  <w:style w:type="character" w:styleId="FollowedHyperlink">
    <w:name w:val="FollowedHyperlink"/>
    <w:basedOn w:val="DefaultParagraphFont"/>
    <w:semiHidden/>
    <w:unhideWhenUsed/>
    <w:rsid w:val="00FE3BE1"/>
    <w:rPr>
      <w:color w:val="800080" w:themeColor="followedHyperlink"/>
      <w:u w:val="single"/>
    </w:rPr>
  </w:style>
  <w:style w:type="paragraph" w:styleId="FootnoteText">
    <w:name w:val="footnote text"/>
    <w:basedOn w:val="Normal"/>
    <w:link w:val="FootnoteTextChar"/>
    <w:semiHidden/>
    <w:unhideWhenUsed/>
    <w:rsid w:val="00FE3BE1"/>
    <w:rPr>
      <w:szCs w:val="20"/>
    </w:rPr>
  </w:style>
  <w:style w:type="character" w:customStyle="1" w:styleId="FootnoteTextChar">
    <w:name w:val="Footnote Text Char"/>
    <w:basedOn w:val="DefaultParagraphFont"/>
    <w:link w:val="FootnoteText"/>
    <w:semiHidden/>
    <w:rsid w:val="00FE3BE1"/>
  </w:style>
  <w:style w:type="character" w:styleId="CommentReference">
    <w:name w:val="annotation reference"/>
    <w:basedOn w:val="DefaultParagraphFont"/>
    <w:semiHidden/>
    <w:unhideWhenUsed/>
    <w:rsid w:val="003D7324"/>
    <w:rPr>
      <w:sz w:val="16"/>
      <w:szCs w:val="16"/>
    </w:rPr>
  </w:style>
  <w:style w:type="paragraph" w:styleId="CommentText">
    <w:name w:val="annotation text"/>
    <w:basedOn w:val="Normal"/>
    <w:link w:val="CommentTextChar"/>
    <w:unhideWhenUsed/>
    <w:rsid w:val="003D7324"/>
    <w:rPr>
      <w:szCs w:val="20"/>
    </w:rPr>
  </w:style>
  <w:style w:type="character" w:customStyle="1" w:styleId="CommentTextChar">
    <w:name w:val="Comment Text Char"/>
    <w:basedOn w:val="DefaultParagraphFont"/>
    <w:link w:val="CommentText"/>
    <w:rsid w:val="003D7324"/>
  </w:style>
  <w:style w:type="paragraph" w:styleId="CommentSubject">
    <w:name w:val="annotation subject"/>
    <w:basedOn w:val="CommentText"/>
    <w:next w:val="CommentText"/>
    <w:link w:val="CommentSubjectChar"/>
    <w:semiHidden/>
    <w:unhideWhenUsed/>
    <w:rsid w:val="003D7324"/>
    <w:rPr>
      <w:b/>
      <w:bCs/>
    </w:rPr>
  </w:style>
  <w:style w:type="character" w:customStyle="1" w:styleId="CommentSubjectChar">
    <w:name w:val="Comment Subject Char"/>
    <w:basedOn w:val="CommentTextChar"/>
    <w:link w:val="CommentSubject"/>
    <w:semiHidden/>
    <w:rsid w:val="003D7324"/>
    <w:rPr>
      <w:b/>
      <w:bCs/>
    </w:rPr>
  </w:style>
  <w:style w:type="paragraph" w:styleId="Revision">
    <w:name w:val="Revision"/>
    <w:hidden/>
    <w:uiPriority w:val="99"/>
    <w:semiHidden/>
    <w:rsid w:val="009234E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221848ec8bd0d59bd9239aceb0a24cca">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6ddb8407a9b8f5783eedc1d2f829b106"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YEJUMFDJ6KMC-483555117-46376</_dlc_DocId>
    <_dlc_DocIdUrl xmlns="68c2e6f3-6ea4-42c3-835e-44e49d8f3a1e">
      <Url>https://nih.sharepoint.com/sites/HRSA-OA-OPAE/Teams/officeofexternalengagement/_layouts/15/DocIdRedir.aspx?ID=YEJUMFDJ6KMC-483555117-46376</Url>
      <Description>YEJUMFDJ6KMC-483555117-46376</Description>
    </_dlc_DocIdUrl>
  </documentManagement>
</p:properties>
</file>

<file path=customXml/itemProps1.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2.xml><?xml version="1.0" encoding="utf-8"?>
<ds:datastoreItem xmlns:ds="http://schemas.openxmlformats.org/officeDocument/2006/customXml" ds:itemID="{EA0761D0-666F-4C0F-A702-27663032D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FF0792-2842-425D-B0B3-2CCA9EED9CA6}">
  <ds:schemaRefs>
    <ds:schemaRef ds:uri="http://schemas.openxmlformats.org/officeDocument/2006/bibliography"/>
  </ds:schemaRefs>
</ds:datastoreItem>
</file>

<file path=customXml/itemProps4.xml><?xml version="1.0" encoding="utf-8"?>
<ds:datastoreItem xmlns:ds="http://schemas.openxmlformats.org/officeDocument/2006/customXml" ds:itemID="{B59D4A25-F4FA-4AAD-966E-FF69618922E2}">
  <ds:schemaRefs>
    <ds:schemaRef ds:uri="http://schemas.microsoft.com/sharepoint/events"/>
  </ds:schemaRefs>
</ds:datastoreItem>
</file>

<file path=customXml/itemProps5.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67db86a1-9af1-43d3-bfc7-627a4d2f08a0"/>
    <ds:schemaRef ds:uri="68c2e6f3-6ea4-42c3-835e-44e49d8f3a1e"/>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28</TotalTime>
  <Pages>9</Pages>
  <Words>1976</Words>
  <Characters>10437</Characters>
  <Application>Microsoft Office Word</Application>
  <DocSecurity>0</DocSecurity>
  <Lines>335</Lines>
  <Paragraphs>145</Paragraphs>
  <ScaleCrop>false</ScaleCrop>
  <Company>CMS</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HRSA</cp:lastModifiedBy>
  <cp:revision>24</cp:revision>
  <cp:lastPrinted>2010-10-14T13:41:00Z</cp:lastPrinted>
  <dcterms:created xsi:type="dcterms:W3CDTF">2025-11-28T19:05:00Z</dcterms:created>
  <dcterms:modified xsi:type="dcterms:W3CDTF">2026-01-07T15:21:00Z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MediaServiceImageTags">
    <vt:lpwstr/>
  </property>
  <property fmtid="{D5CDD505-2E9C-101B-9397-08002B2CF9AE}" pid="4" name="_dlc_DocIdItemGuid">
    <vt:lpwstr>7ace7838-8387-4e03-ae3c-3a78b3446266</vt:lpwstr>
  </property>
</Properties>
</file>