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0161" w:rsidP="0075430B" w14:paraId="42B4EC3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p w:rsidR="00BE0161" w:rsidP="0075430B" w14:paraId="29583AD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p w:rsidR="006A6AD7" w:rsidP="0075430B" w14:paraId="13D83699" w14:textId="31D73D5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r>
        <w:rPr>
          <w:noProof/>
          <w:sz w:val="24"/>
          <w:szCs w:val="32"/>
        </w:rPr>
        <w:t xml:space="preserve">2023 </w:t>
      </w:r>
      <w:r>
        <w:rPr>
          <w:noProof/>
          <w:sz w:val="24"/>
          <w:szCs w:val="32"/>
        </w:rPr>
        <w:t xml:space="preserve">APPROVED ICR TABLE FOR </w:t>
      </w:r>
      <w:bookmarkStart w:id="0" w:name="_Hlk131152092"/>
      <w:r w:rsidR="0075430B">
        <w:rPr>
          <w:noProof/>
          <w:sz w:val="24"/>
          <w:szCs w:val="32"/>
        </w:rPr>
        <w:t>RYAN WHITE HIV/AIDS PROGRAM (RWHAP)</w:t>
      </w:r>
      <w:r>
        <w:rPr>
          <w:noProof/>
          <w:sz w:val="24"/>
          <w:szCs w:val="32"/>
        </w:rPr>
        <w:t xml:space="preserve"> </w:t>
      </w:r>
      <w:bookmarkEnd w:id="0"/>
      <w:r>
        <w:rPr>
          <w:noProof/>
          <w:sz w:val="24"/>
          <w:szCs w:val="32"/>
        </w:rPr>
        <w:t>PART</w:t>
      </w:r>
      <w:r w:rsidR="0075430B">
        <w:rPr>
          <w:noProof/>
          <w:sz w:val="24"/>
          <w:szCs w:val="32"/>
        </w:rPr>
        <w:t xml:space="preserve"> </w:t>
      </w:r>
      <w:r>
        <w:rPr>
          <w:noProof/>
          <w:sz w:val="24"/>
          <w:szCs w:val="32"/>
        </w:rPr>
        <w:t>A:</w:t>
      </w:r>
    </w:p>
    <w:p w:rsidR="0075430B" w:rsidP="0075430B" w14:paraId="5573475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djustRightInd/>
        <w:rPr>
          <w:noProof/>
          <w:sz w:val="24"/>
          <w:szCs w:val="32"/>
        </w:rPr>
      </w:pPr>
    </w:p>
    <w:p w:rsidR="006A6AD7" w:rsidP="006A6AD7" w14:paraId="6FCDF471" w14:textId="77777777">
      <w:pPr>
        <w:widowControl/>
        <w:autoSpaceDE/>
        <w:adjustRightInd/>
        <w:rPr>
          <w:b/>
          <w:bCs/>
          <w:sz w:val="24"/>
          <w:u w:val="single"/>
        </w:rPr>
      </w:pPr>
    </w:p>
    <w:tbl>
      <w:tblPr>
        <w:tblW w:w="5000" w:type="pct"/>
        <w:tblLook w:val="04A0"/>
      </w:tblPr>
      <w:tblGrid>
        <w:gridCol w:w="2216"/>
        <w:gridCol w:w="1849"/>
        <w:gridCol w:w="1849"/>
        <w:gridCol w:w="1715"/>
        <w:gridCol w:w="1711"/>
      </w:tblGrid>
      <w:tr w14:paraId="49150D41" w14:textId="77777777" w:rsidTr="006A6AD7">
        <w:tblPrEx>
          <w:tblW w:w="5000" w:type="pct"/>
          <w:tblLook w:val="04A0"/>
        </w:tblPrEx>
        <w:trPr>
          <w:trHeight w:val="97"/>
        </w:trPr>
        <w:tc>
          <w:tcPr>
            <w:tcW w:w="5000" w:type="pct"/>
            <w:gridSpan w:val="5"/>
            <w:tcBorders>
              <w:top w:val="single" w:sz="8" w:space="0" w:color="auto"/>
              <w:left w:val="single" w:sz="8" w:space="0" w:color="auto"/>
              <w:bottom w:val="single" w:sz="4" w:space="0" w:color="auto"/>
              <w:right w:val="single" w:sz="8" w:space="0" w:color="000000"/>
            </w:tcBorders>
            <w:noWrap/>
            <w:vAlign w:val="bottom"/>
            <w:hideMark/>
          </w:tcPr>
          <w:p w:rsidR="006A6AD7" w14:paraId="4B279893" w14:textId="77777777">
            <w:pPr>
              <w:widowControl/>
              <w:autoSpaceDE/>
              <w:adjustRightInd/>
              <w:spacing w:line="254" w:lineRule="auto"/>
              <w:rPr>
                <w:color w:val="000000"/>
                <w:sz w:val="24"/>
              </w:rPr>
            </w:pPr>
            <w:r>
              <w:rPr>
                <w:color w:val="000000"/>
                <w:sz w:val="24"/>
              </w:rPr>
              <w:t>Unobligated Balance (UOB) of Federal Funds by Subprogram</w:t>
            </w:r>
          </w:p>
        </w:tc>
      </w:tr>
      <w:tr w14:paraId="0BA2C697" w14:textId="77777777" w:rsidTr="006A6AD7">
        <w:tblPrEx>
          <w:tblW w:w="5000" w:type="pct"/>
          <w:tblLook w:val="04A0"/>
        </w:tblPrEx>
        <w:trPr>
          <w:trHeight w:val="485"/>
        </w:trPr>
        <w:tc>
          <w:tcPr>
            <w:tcW w:w="1182" w:type="pct"/>
            <w:tcBorders>
              <w:top w:val="nil"/>
              <w:left w:val="single" w:sz="8" w:space="0" w:color="auto"/>
              <w:bottom w:val="single" w:sz="4" w:space="0" w:color="auto"/>
              <w:right w:val="single" w:sz="4" w:space="0" w:color="auto"/>
            </w:tcBorders>
            <w:noWrap/>
            <w:vAlign w:val="bottom"/>
            <w:hideMark/>
          </w:tcPr>
          <w:p w:rsidR="006A6AD7" w14:paraId="47AA45E3" w14:textId="77777777">
            <w:pPr>
              <w:widowControl/>
              <w:autoSpaceDE/>
              <w:adjustRightInd/>
              <w:spacing w:line="254" w:lineRule="auto"/>
              <w:rPr>
                <w:color w:val="000000"/>
                <w:sz w:val="24"/>
              </w:rPr>
            </w:pPr>
            <w:r>
              <w:rPr>
                <w:color w:val="000000"/>
                <w:sz w:val="24"/>
              </w:rPr>
              <w:t>Category</w:t>
            </w:r>
          </w:p>
        </w:tc>
        <w:tc>
          <w:tcPr>
            <w:tcW w:w="991" w:type="pct"/>
            <w:tcBorders>
              <w:top w:val="nil"/>
              <w:left w:val="nil"/>
              <w:bottom w:val="single" w:sz="4" w:space="0" w:color="auto"/>
              <w:right w:val="single" w:sz="4" w:space="0" w:color="auto"/>
            </w:tcBorders>
            <w:vAlign w:val="bottom"/>
            <w:hideMark/>
          </w:tcPr>
          <w:p w:rsidR="006A6AD7" w14:paraId="6A47F60C" w14:textId="77777777">
            <w:pPr>
              <w:widowControl/>
              <w:autoSpaceDE/>
              <w:adjustRightInd/>
              <w:spacing w:line="254" w:lineRule="auto"/>
              <w:rPr>
                <w:color w:val="000000"/>
                <w:sz w:val="24"/>
              </w:rPr>
            </w:pPr>
            <w:r>
              <w:rPr>
                <w:color w:val="000000"/>
                <w:sz w:val="24"/>
              </w:rPr>
              <w:t xml:space="preserve">Federal Funds Authorized </w:t>
            </w:r>
          </w:p>
        </w:tc>
        <w:tc>
          <w:tcPr>
            <w:tcW w:w="991" w:type="pct"/>
            <w:tcBorders>
              <w:top w:val="nil"/>
              <w:left w:val="nil"/>
              <w:bottom w:val="single" w:sz="4" w:space="0" w:color="auto"/>
              <w:right w:val="single" w:sz="4" w:space="0" w:color="auto"/>
            </w:tcBorders>
            <w:vAlign w:val="bottom"/>
            <w:hideMark/>
          </w:tcPr>
          <w:p w:rsidR="006A6AD7" w14:paraId="65B7095E" w14:textId="77777777">
            <w:pPr>
              <w:widowControl/>
              <w:autoSpaceDE/>
              <w:adjustRightInd/>
              <w:spacing w:line="254" w:lineRule="auto"/>
              <w:rPr>
                <w:color w:val="000000"/>
                <w:sz w:val="24"/>
              </w:rPr>
            </w:pPr>
            <w:r>
              <w:rPr>
                <w:color w:val="000000"/>
                <w:sz w:val="24"/>
              </w:rPr>
              <w:t>Unexpended Carryover</w:t>
            </w:r>
          </w:p>
        </w:tc>
        <w:tc>
          <w:tcPr>
            <w:tcW w:w="919" w:type="pct"/>
            <w:tcBorders>
              <w:top w:val="nil"/>
              <w:left w:val="nil"/>
              <w:bottom w:val="single" w:sz="4" w:space="0" w:color="auto"/>
              <w:right w:val="nil"/>
            </w:tcBorders>
            <w:vAlign w:val="bottom"/>
            <w:hideMark/>
          </w:tcPr>
          <w:p w:rsidR="006A6AD7" w14:paraId="39EF4147" w14:textId="77777777">
            <w:pPr>
              <w:widowControl/>
              <w:autoSpaceDE/>
              <w:adjustRightInd/>
              <w:spacing w:line="254" w:lineRule="auto"/>
              <w:rPr>
                <w:color w:val="000000"/>
                <w:sz w:val="24"/>
              </w:rPr>
            </w:pPr>
            <w:r>
              <w:rPr>
                <w:color w:val="000000"/>
                <w:sz w:val="24"/>
              </w:rPr>
              <w:t>Prior Year (FY20XX)</w:t>
            </w:r>
          </w:p>
        </w:tc>
        <w:tc>
          <w:tcPr>
            <w:tcW w:w="917" w:type="pct"/>
            <w:tcBorders>
              <w:top w:val="nil"/>
              <w:left w:val="single" w:sz="4" w:space="0" w:color="auto"/>
              <w:bottom w:val="single" w:sz="4" w:space="0" w:color="auto"/>
              <w:right w:val="single" w:sz="8" w:space="0" w:color="auto"/>
            </w:tcBorders>
            <w:vAlign w:val="bottom"/>
            <w:hideMark/>
          </w:tcPr>
          <w:p w:rsidR="006A6AD7" w14:paraId="2AA80A60" w14:textId="77777777">
            <w:pPr>
              <w:widowControl/>
              <w:autoSpaceDE/>
              <w:adjustRightInd/>
              <w:spacing w:line="254" w:lineRule="auto"/>
              <w:rPr>
                <w:color w:val="000000"/>
                <w:sz w:val="24"/>
              </w:rPr>
            </w:pPr>
            <w:r>
              <w:rPr>
                <w:color w:val="000000"/>
                <w:sz w:val="24"/>
              </w:rPr>
              <w:t>Current Year (FY 20XX)</w:t>
            </w:r>
          </w:p>
        </w:tc>
      </w:tr>
      <w:tr w14:paraId="5FF51695" w14:textId="77777777" w:rsidTr="006A6AD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6A6AD7" w14:paraId="7EA94DCB" w14:textId="77777777">
            <w:pPr>
              <w:widowControl/>
              <w:autoSpaceDE/>
              <w:adjustRightInd/>
              <w:spacing w:line="254" w:lineRule="auto"/>
              <w:rPr>
                <w:color w:val="000000"/>
                <w:sz w:val="24"/>
              </w:rPr>
            </w:pPr>
            <w:r>
              <w:rPr>
                <w:color w:val="000000"/>
                <w:sz w:val="24"/>
              </w:rPr>
              <w:t>Part A Formula</w:t>
            </w:r>
          </w:p>
        </w:tc>
        <w:tc>
          <w:tcPr>
            <w:tcW w:w="991" w:type="pct"/>
            <w:tcBorders>
              <w:top w:val="nil"/>
              <w:left w:val="nil"/>
              <w:bottom w:val="single" w:sz="4" w:space="0" w:color="auto"/>
              <w:right w:val="single" w:sz="4" w:space="0" w:color="auto"/>
            </w:tcBorders>
            <w:noWrap/>
            <w:vAlign w:val="bottom"/>
            <w:hideMark/>
          </w:tcPr>
          <w:p w:rsidR="006A6AD7" w14:paraId="401A54C4"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4" w:space="0" w:color="auto"/>
              <w:right w:val="single" w:sz="4" w:space="0" w:color="auto"/>
            </w:tcBorders>
            <w:noWrap/>
            <w:vAlign w:val="bottom"/>
            <w:hideMark/>
          </w:tcPr>
          <w:p w:rsidR="006A6AD7" w14:paraId="4D32ABF5"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4" w:space="0" w:color="auto"/>
              <w:right w:val="nil"/>
            </w:tcBorders>
            <w:noWrap/>
            <w:vAlign w:val="bottom"/>
            <w:hideMark/>
          </w:tcPr>
          <w:p w:rsidR="006A6AD7" w14:paraId="2BFBBE28"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6A6AD7" w14:paraId="73BACA70" w14:textId="77777777">
            <w:pPr>
              <w:widowControl/>
              <w:autoSpaceDE/>
              <w:adjustRightInd/>
              <w:spacing w:line="254" w:lineRule="auto"/>
              <w:rPr>
                <w:color w:val="000000"/>
                <w:sz w:val="24"/>
              </w:rPr>
            </w:pPr>
            <w:r>
              <w:rPr>
                <w:color w:val="000000"/>
                <w:sz w:val="24"/>
              </w:rPr>
              <w:t> </w:t>
            </w:r>
          </w:p>
        </w:tc>
      </w:tr>
      <w:tr w14:paraId="6B1A0EA7" w14:textId="77777777" w:rsidTr="006A6AD7">
        <w:tblPrEx>
          <w:tblW w:w="5000" w:type="pct"/>
          <w:tblLook w:val="04A0"/>
        </w:tblPrEx>
        <w:trPr>
          <w:trHeight w:val="315"/>
        </w:trPr>
        <w:tc>
          <w:tcPr>
            <w:tcW w:w="1182" w:type="pct"/>
            <w:tcBorders>
              <w:top w:val="nil"/>
              <w:left w:val="single" w:sz="8" w:space="0" w:color="auto"/>
              <w:bottom w:val="single" w:sz="4" w:space="0" w:color="auto"/>
              <w:right w:val="single" w:sz="4" w:space="0" w:color="auto"/>
            </w:tcBorders>
            <w:noWrap/>
            <w:vAlign w:val="bottom"/>
            <w:hideMark/>
          </w:tcPr>
          <w:p w:rsidR="006A6AD7" w14:paraId="5870418C" w14:textId="77777777">
            <w:pPr>
              <w:widowControl/>
              <w:autoSpaceDE/>
              <w:adjustRightInd/>
              <w:spacing w:line="254" w:lineRule="auto"/>
              <w:rPr>
                <w:color w:val="000000"/>
                <w:sz w:val="24"/>
              </w:rPr>
            </w:pPr>
            <w:r>
              <w:rPr>
                <w:color w:val="000000"/>
                <w:sz w:val="24"/>
              </w:rPr>
              <w:t>Part A Supplemental</w:t>
            </w:r>
          </w:p>
        </w:tc>
        <w:tc>
          <w:tcPr>
            <w:tcW w:w="991" w:type="pct"/>
            <w:tcBorders>
              <w:top w:val="nil"/>
              <w:left w:val="nil"/>
              <w:bottom w:val="single" w:sz="4" w:space="0" w:color="auto"/>
              <w:right w:val="single" w:sz="4" w:space="0" w:color="auto"/>
            </w:tcBorders>
            <w:noWrap/>
            <w:vAlign w:val="bottom"/>
            <w:hideMark/>
          </w:tcPr>
          <w:p w:rsidR="006A6AD7" w14:paraId="658F7585"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4" w:space="0" w:color="auto"/>
              <w:right w:val="single" w:sz="4" w:space="0" w:color="auto"/>
            </w:tcBorders>
            <w:noWrap/>
            <w:vAlign w:val="bottom"/>
            <w:hideMark/>
          </w:tcPr>
          <w:p w:rsidR="006A6AD7" w14:paraId="4B9C4B1A"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4" w:space="0" w:color="auto"/>
              <w:right w:val="nil"/>
            </w:tcBorders>
            <w:noWrap/>
            <w:vAlign w:val="bottom"/>
            <w:hideMark/>
          </w:tcPr>
          <w:p w:rsidR="006A6AD7" w14:paraId="45FA11D7"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4" w:space="0" w:color="auto"/>
              <w:right w:val="single" w:sz="8" w:space="0" w:color="auto"/>
            </w:tcBorders>
            <w:noWrap/>
            <w:vAlign w:val="bottom"/>
            <w:hideMark/>
          </w:tcPr>
          <w:p w:rsidR="006A6AD7" w14:paraId="258B4670" w14:textId="77777777">
            <w:pPr>
              <w:widowControl/>
              <w:autoSpaceDE/>
              <w:adjustRightInd/>
              <w:spacing w:line="254" w:lineRule="auto"/>
              <w:rPr>
                <w:color w:val="000000"/>
                <w:sz w:val="24"/>
              </w:rPr>
            </w:pPr>
            <w:r>
              <w:rPr>
                <w:color w:val="000000"/>
                <w:sz w:val="24"/>
              </w:rPr>
              <w:t> </w:t>
            </w:r>
          </w:p>
        </w:tc>
      </w:tr>
      <w:tr w14:paraId="7A8C48CE" w14:textId="77777777" w:rsidTr="006A6AD7">
        <w:tblPrEx>
          <w:tblW w:w="5000" w:type="pct"/>
          <w:tblLook w:val="04A0"/>
        </w:tblPrEx>
        <w:trPr>
          <w:trHeight w:val="330"/>
        </w:trPr>
        <w:tc>
          <w:tcPr>
            <w:tcW w:w="1182" w:type="pct"/>
            <w:tcBorders>
              <w:top w:val="nil"/>
              <w:left w:val="single" w:sz="8" w:space="0" w:color="auto"/>
              <w:bottom w:val="single" w:sz="8" w:space="0" w:color="auto"/>
              <w:right w:val="single" w:sz="4" w:space="0" w:color="auto"/>
            </w:tcBorders>
            <w:noWrap/>
            <w:vAlign w:val="bottom"/>
            <w:hideMark/>
          </w:tcPr>
          <w:p w:rsidR="006A6AD7" w14:paraId="61B0FFF2" w14:textId="77777777">
            <w:pPr>
              <w:widowControl/>
              <w:autoSpaceDE/>
              <w:adjustRightInd/>
              <w:spacing w:line="254" w:lineRule="auto"/>
              <w:rPr>
                <w:color w:val="000000"/>
                <w:sz w:val="24"/>
              </w:rPr>
            </w:pPr>
            <w:r>
              <w:rPr>
                <w:color w:val="000000"/>
                <w:sz w:val="24"/>
              </w:rPr>
              <w:t>Part A MAI</w:t>
            </w:r>
          </w:p>
        </w:tc>
        <w:tc>
          <w:tcPr>
            <w:tcW w:w="991" w:type="pct"/>
            <w:tcBorders>
              <w:top w:val="nil"/>
              <w:left w:val="nil"/>
              <w:bottom w:val="single" w:sz="8" w:space="0" w:color="auto"/>
              <w:right w:val="single" w:sz="4" w:space="0" w:color="auto"/>
            </w:tcBorders>
            <w:noWrap/>
            <w:vAlign w:val="bottom"/>
            <w:hideMark/>
          </w:tcPr>
          <w:p w:rsidR="006A6AD7" w14:paraId="5E57DAAD" w14:textId="77777777">
            <w:pPr>
              <w:widowControl/>
              <w:autoSpaceDE/>
              <w:adjustRightInd/>
              <w:spacing w:line="254" w:lineRule="auto"/>
              <w:rPr>
                <w:color w:val="000000"/>
                <w:sz w:val="24"/>
              </w:rPr>
            </w:pPr>
            <w:r>
              <w:rPr>
                <w:color w:val="000000"/>
                <w:sz w:val="24"/>
              </w:rPr>
              <w:t> </w:t>
            </w:r>
          </w:p>
        </w:tc>
        <w:tc>
          <w:tcPr>
            <w:tcW w:w="991" w:type="pct"/>
            <w:tcBorders>
              <w:top w:val="nil"/>
              <w:left w:val="nil"/>
              <w:bottom w:val="single" w:sz="8" w:space="0" w:color="auto"/>
              <w:right w:val="single" w:sz="4" w:space="0" w:color="auto"/>
            </w:tcBorders>
            <w:noWrap/>
            <w:vAlign w:val="bottom"/>
            <w:hideMark/>
          </w:tcPr>
          <w:p w:rsidR="006A6AD7" w14:paraId="6B6D1109" w14:textId="77777777">
            <w:pPr>
              <w:widowControl/>
              <w:autoSpaceDE/>
              <w:adjustRightInd/>
              <w:spacing w:line="254" w:lineRule="auto"/>
              <w:rPr>
                <w:color w:val="000000"/>
                <w:sz w:val="24"/>
              </w:rPr>
            </w:pPr>
            <w:r>
              <w:rPr>
                <w:color w:val="000000"/>
                <w:sz w:val="24"/>
              </w:rPr>
              <w:t> </w:t>
            </w:r>
          </w:p>
        </w:tc>
        <w:tc>
          <w:tcPr>
            <w:tcW w:w="919" w:type="pct"/>
            <w:tcBorders>
              <w:top w:val="nil"/>
              <w:left w:val="nil"/>
              <w:bottom w:val="single" w:sz="8" w:space="0" w:color="auto"/>
              <w:right w:val="nil"/>
            </w:tcBorders>
            <w:noWrap/>
            <w:vAlign w:val="bottom"/>
            <w:hideMark/>
          </w:tcPr>
          <w:p w:rsidR="006A6AD7" w14:paraId="52337F94" w14:textId="77777777">
            <w:pPr>
              <w:widowControl/>
              <w:autoSpaceDE/>
              <w:adjustRightInd/>
              <w:spacing w:line="254" w:lineRule="auto"/>
              <w:rPr>
                <w:color w:val="000000"/>
                <w:sz w:val="24"/>
              </w:rPr>
            </w:pPr>
            <w:r>
              <w:rPr>
                <w:color w:val="000000"/>
                <w:sz w:val="24"/>
              </w:rPr>
              <w:t> </w:t>
            </w:r>
          </w:p>
        </w:tc>
        <w:tc>
          <w:tcPr>
            <w:tcW w:w="917" w:type="pct"/>
            <w:tcBorders>
              <w:top w:val="nil"/>
              <w:left w:val="single" w:sz="4" w:space="0" w:color="auto"/>
              <w:bottom w:val="single" w:sz="8" w:space="0" w:color="auto"/>
              <w:right w:val="single" w:sz="8" w:space="0" w:color="auto"/>
            </w:tcBorders>
            <w:noWrap/>
            <w:vAlign w:val="bottom"/>
            <w:hideMark/>
          </w:tcPr>
          <w:p w:rsidR="006A6AD7" w14:paraId="1CB22D9B" w14:textId="77777777">
            <w:pPr>
              <w:widowControl/>
              <w:autoSpaceDE/>
              <w:adjustRightInd/>
              <w:spacing w:line="254" w:lineRule="auto"/>
              <w:rPr>
                <w:color w:val="000000"/>
                <w:sz w:val="24"/>
              </w:rPr>
            </w:pPr>
            <w:r>
              <w:rPr>
                <w:color w:val="000000"/>
                <w:sz w:val="24"/>
              </w:rPr>
              <w:t> </w:t>
            </w:r>
          </w:p>
        </w:tc>
      </w:tr>
    </w:tbl>
    <w:p w:rsidR="000B1EBD" w:rsidRPr="0075430B" w:rsidP="00BE0161" w14:paraId="5B823949" w14:textId="77777777">
      <w:pPr>
        <w:widowControl/>
        <w:autoSpaceDE/>
        <w:adjustRightInd/>
        <w:rPr>
          <w:color w:val="000000"/>
          <w:sz w:val="27"/>
          <w:szCs w:val="27"/>
        </w:rPr>
      </w:pPr>
    </w:p>
    <w:sectPr>
      <w:headerReference w:type="default" r:id="rId8"/>
      <w:footerReference w:type="default" r:id="rId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Normal"/>
      <w:tblW w:w="0" w:type="auto"/>
      <w:tblLook w:val="06A0"/>
    </w:tblPr>
    <w:tblGrid>
      <w:gridCol w:w="3120"/>
      <w:gridCol w:w="3120"/>
      <w:gridCol w:w="3120"/>
    </w:tblGrid>
    <w:tr w14:paraId="1346EDAE" w:rsidTr="6416AD2B">
      <w:tblPrEx>
        <w:tblW w:w="0" w:type="auto"/>
        <w:tblLook w:val="06A0"/>
      </w:tblPrEx>
      <w:trPr>
        <w:trHeight w:val="300"/>
      </w:trPr>
      <w:tc>
        <w:tcPr>
          <w:tcW w:w="3120" w:type="dxa"/>
        </w:tcPr>
        <w:p w:rsidR="6416AD2B" w:rsidP="6416AD2B" w14:paraId="1E55C883" w14:textId="733D92FC">
          <w:pPr>
            <w:pStyle w:val="Header"/>
            <w:bidi w:val="0"/>
            <w:ind w:left="-115"/>
            <w:jc w:val="left"/>
          </w:pPr>
        </w:p>
      </w:tc>
      <w:tc>
        <w:tcPr>
          <w:tcW w:w="3120" w:type="dxa"/>
        </w:tcPr>
        <w:p w:rsidR="6416AD2B" w:rsidP="6416AD2B" w14:paraId="6AD124B7" w14:textId="1A226C66">
          <w:pPr>
            <w:pStyle w:val="Header"/>
            <w:bidi w:val="0"/>
            <w:jc w:val="center"/>
          </w:pPr>
        </w:p>
      </w:tc>
      <w:tc>
        <w:tcPr>
          <w:tcW w:w="3120" w:type="dxa"/>
        </w:tcPr>
        <w:p w:rsidR="6416AD2B" w:rsidP="6416AD2B" w14:paraId="3E905FB0" w14:textId="228414DF">
          <w:pPr>
            <w:pStyle w:val="Header"/>
            <w:bidi w:val="0"/>
            <w:ind w:right="-115"/>
            <w:jc w:val="right"/>
          </w:pPr>
        </w:p>
      </w:tc>
    </w:tr>
  </w:tbl>
  <w:p w:rsidR="6416AD2B" w:rsidP="6416AD2B" w14:paraId="415DFC16" w14:textId="63FE3E97">
    <w:pPr>
      <w:pStyle w:val="Footer"/>
      <w:bidi w:val="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0161" w:rsidRPr="00BE0161" w:rsidP="6416AD2B" w14:paraId="73218AD3" w14:textId="2864CCE0">
    <w:pPr>
      <w:spacing w:line="257" w:lineRule="auto"/>
      <w:rPr>
        <w:rFonts w:asciiTheme="minorAscii" w:hAnsiTheme="minorAscii" w:cstheme="minorBidi"/>
        <w:sz w:val="18"/>
        <w:szCs w:val="18"/>
      </w:rPr>
    </w:pPr>
    <w:r w:rsidRPr="6416AD2B" w:rsidR="6416AD2B">
      <w:rPr>
        <w:rFonts w:asciiTheme="minorAscii" w:hAnsiTheme="minorAscii" w:cstheme="minorBidi"/>
        <w:sz w:val="18"/>
        <w:szCs w:val="18"/>
      </w:rPr>
      <w:t xml:space="preserve">Public Burden Statement: The purpose of this collection is to enable HRSA and the Ryan White HIV/AIDS Program (RWHAP) Part A and B grant recipients to report Unobligated Balances (UOB) of federal awards by subprogram. RWHAP Parts A and B use the UOB financial information to </w:t>
    </w:r>
    <w:r w:rsidRPr="6416AD2B" w:rsidR="6416AD2B">
      <w:rPr>
        <w:rFonts w:asciiTheme="minorAscii" w:hAnsiTheme="minorAscii" w:cstheme="minorBidi"/>
        <w:sz w:val="18"/>
        <w:szCs w:val="18"/>
      </w:rPr>
      <w:t>determine</w:t>
    </w:r>
    <w:r w:rsidRPr="6416AD2B" w:rsidR="6416AD2B">
      <w:rPr>
        <w:rFonts w:asciiTheme="minorAscii" w:hAnsiTheme="minorAscii" w:cstheme="minorBidi"/>
        <w:sz w:val="18"/>
        <w:szCs w:val="18"/>
      </w:rPr>
      <w:t xml:space="preserve"> formula funding and to </w:t>
    </w:r>
    <w:r w:rsidRPr="6416AD2B" w:rsidR="6416AD2B">
      <w:rPr>
        <w:rFonts w:asciiTheme="minorAscii" w:hAnsiTheme="minorAscii" w:cstheme="minorBidi"/>
        <w:sz w:val="18"/>
        <w:szCs w:val="18"/>
      </w:rPr>
      <w:t>determine</w:t>
    </w:r>
    <w:r w:rsidRPr="6416AD2B" w:rsidR="6416AD2B">
      <w:rPr>
        <w:rFonts w:asciiTheme="minorAscii" w:hAnsiTheme="minorAscii" w:cstheme="minorBidi"/>
        <w:sz w:val="18"/>
        <w:szCs w:val="18"/>
      </w:rPr>
      <w:t xml:space="preserve"> statutory penalties associated with non-compliance with the RWHAP Part B 75 percent obligation requirement and the RWHAP Parts A and B five percent (5%) UOB penalty.</w:t>
    </w:r>
    <w:r w:rsidRPr="6416AD2B" w:rsidR="6416AD2B">
      <w:rPr>
        <w:color w:val="000000" w:themeColor="text1" w:themeShade="FF" w:themeTint="FF"/>
        <w:sz w:val="18"/>
        <w:szCs w:val="18"/>
      </w:rPr>
      <w:t xml:space="preserve"> </w:t>
    </w:r>
    <w:r w:rsidRPr="6416AD2B" w:rsidR="6416AD2B">
      <w:rPr>
        <w:rFonts w:asciiTheme="minorAscii" w:hAnsiTheme="minorAscii" w:cstheme="minorBidi"/>
        <w:sz w:val="18"/>
        <w:szCs w:val="18"/>
      </w:rPr>
      <w:t xml:space="preserve">In addition, information available in the UOB tables provides totals available for carryover. Since RWHAP Parts A and B awards include multiple subprogram categories with different requirements, UOB approved for carryover must be de-obligated and re-obligated to the same subprogram. An agency may not conduct or sponsor, and a person </w:t>
    </w:r>
    <w:r w:rsidRPr="6416AD2B" w:rsidR="6416AD2B">
      <w:rPr>
        <w:rFonts w:asciiTheme="minorAscii" w:hAnsiTheme="minorAscii" w:cstheme="minorBidi"/>
        <w:sz w:val="18"/>
        <w:szCs w:val="18"/>
      </w:rPr>
      <w:t>is not required to</w:t>
    </w:r>
    <w:r w:rsidRPr="6416AD2B" w:rsidR="6416AD2B">
      <w:rPr>
        <w:rFonts w:asciiTheme="minorAscii" w:hAnsiTheme="minorAscii" w:cstheme="minorBidi"/>
        <w:sz w:val="18"/>
        <w:szCs w:val="18"/>
      </w:rPr>
      <w:t xml:space="preserve"> respond to, a collection of information unless it displays a currently valid OMB control number. The OMB control number for this information collection is 0906-0047 and it is valid until 05/31/2029. This information collection is</w:t>
    </w:r>
    <w:r w:rsidRPr="6416AD2B" w:rsidR="6416AD2B">
      <w:rPr>
        <w:rFonts w:asciiTheme="minorAscii" w:hAnsiTheme="minorAscii" w:cstheme="minorAscii"/>
        <w:i/>
        <w:iCs/>
        <w:sz w:val="18"/>
        <w:szCs w:val="18"/>
      </w:rPr>
      <w:t xml:space="preserve"> </w:t>
    </w:r>
    <w:r w:rsidRPr="6416AD2B" w:rsidR="6416AD2B">
      <w:rPr>
        <w:rFonts w:asciiTheme="minorAscii" w:hAnsiTheme="minorAscii" w:cstheme="minorBidi"/>
        <w:sz w:val="18"/>
        <w:szCs w:val="18"/>
      </w:rPr>
      <w:t>required to obtain or retain benefits</w:t>
    </w:r>
    <w:r w:rsidRPr="6416AD2B" w:rsidR="6416AD2B">
      <w:rPr>
        <w:rFonts w:asciiTheme="minorAscii" w:hAnsiTheme="minorAscii" w:cstheme="minorBidi"/>
        <w:sz w:val="18"/>
        <w:szCs w:val="18"/>
      </w:rPr>
      <w:t xml:space="preserve"> under RWHAP Part A </w:t>
    </w:r>
    <w:r w:rsidRPr="6416AD2B" w:rsidR="6416AD2B">
      <w:rPr>
        <w:rFonts w:asciiTheme="minorAscii" w:hAnsiTheme="minorAscii" w:cstheme="minorBidi"/>
        <w:i/>
        <w:iCs/>
        <w:sz w:val="18"/>
        <w:szCs w:val="18"/>
      </w:rPr>
      <w:t>42 USC §§ 300ff-11 to -20 and 300ff-121 (§§ 2601–2610 and 2693 of the Public Health Service (PHS) Act)</w:t>
    </w:r>
    <w:r w:rsidRPr="6416AD2B" w:rsidR="6416AD2B">
      <w:rPr>
        <w:rFonts w:asciiTheme="minorAscii" w:hAnsiTheme="minorAscii" w:cstheme="minorBidi"/>
        <w:sz w:val="18"/>
        <w:szCs w:val="18"/>
      </w:rPr>
      <w:t xml:space="preserve"> and Part B </w:t>
    </w:r>
    <w:r w:rsidRPr="6416AD2B" w:rsidR="6416AD2B">
      <w:rPr>
        <w:rFonts w:asciiTheme="minorAscii" w:hAnsiTheme="minorAscii" w:cstheme="minorBidi"/>
        <w:i/>
        <w:iCs/>
        <w:sz w:val="18"/>
        <w:szCs w:val="18"/>
      </w:rPr>
      <w:t>42 USC §§ 300ff-21 to 331b and 300ff-121 (sections 2611-2623 and 2693 of the Public Health Service (PHS) Act)</w:t>
    </w:r>
    <w:r w:rsidRPr="6416AD2B" w:rsidR="6416AD2B">
      <w:rPr>
        <w:rFonts w:asciiTheme="minorAscii" w:hAnsiTheme="minorAscii" w:cstheme="minorBidi"/>
        <w:sz w:val="18"/>
        <w:szCs w:val="18"/>
      </w:rPr>
      <w:t xml:space="preserve">. Data will be private to the extent </w:t>
    </w:r>
    <w:r w:rsidRPr="6416AD2B" w:rsidR="6416AD2B">
      <w:rPr>
        <w:rFonts w:asciiTheme="minorAscii" w:hAnsiTheme="minorAscii" w:cstheme="minorBidi"/>
        <w:sz w:val="18"/>
        <w:szCs w:val="18"/>
      </w:rPr>
      <w:t>permitted</w:t>
    </w:r>
    <w:r w:rsidRPr="6416AD2B" w:rsidR="6416AD2B">
      <w:rPr>
        <w:rFonts w:asciiTheme="minorAscii" w:hAnsiTheme="minorAscii" w:cstheme="minorBidi"/>
        <w:sz w:val="18"/>
        <w:szCs w:val="18"/>
      </w:rPr>
      <w:t xml:space="preserve"> by the law. Public reporting burden for this collection of information is estimated to average 30 minutes per response, including the time for reviewing instructions, searching existing data sources, and completing and reviewing the collection of information. Send comments </w:t>
    </w:r>
    <w:r w:rsidRPr="6416AD2B" w:rsidR="6416AD2B">
      <w:rPr>
        <w:rFonts w:asciiTheme="minorAscii" w:hAnsiTheme="minorAscii" w:cstheme="minorBidi"/>
        <w:sz w:val="18"/>
        <w:szCs w:val="18"/>
      </w:rPr>
      <w:t>regarding</w:t>
    </w:r>
    <w:r w:rsidRPr="6416AD2B" w:rsidR="6416AD2B">
      <w:rPr>
        <w:rFonts w:asciiTheme="minorAscii" w:hAnsiTheme="minorAscii" w:cstheme="minorBidi"/>
        <w:sz w:val="18"/>
        <w:szCs w:val="18"/>
      </w:rPr>
      <w:t xml:space="preserve"> this burden estimate or any other aspect of this collection of information, including suggestions for reducing this burden, to HRSA Information Collection Clearance Officer, 5600 Fishers Lane, Room 1</w:t>
    </w:r>
    <w:r w:rsidRPr="6416AD2B" w:rsidR="6416AD2B">
      <w:rPr>
        <w:rFonts w:asciiTheme="minorAscii" w:hAnsiTheme="minorAscii" w:cstheme="minorBidi"/>
        <w:sz w:val="18"/>
        <w:szCs w:val="18"/>
      </w:rPr>
      <w:t>3N82</w:t>
    </w:r>
    <w:r w:rsidRPr="6416AD2B" w:rsidR="6416AD2B">
      <w:rPr>
        <w:rFonts w:asciiTheme="minorAscii" w:hAnsiTheme="minorAscii" w:cstheme="minorBidi"/>
        <w:sz w:val="18"/>
        <w:szCs w:val="18"/>
      </w:rPr>
      <w:t xml:space="preserve">, Rockville, Maryland, 20857 or </w:t>
    </w:r>
    <w:hyperlink r:id="rId1">
      <w:r w:rsidRPr="6416AD2B" w:rsidR="6416AD2B">
        <w:rPr>
          <w:rFonts w:asciiTheme="minorAscii" w:eastAsiaTheme="minorEastAsia" w:hAnsiTheme="minorAscii" w:cstheme="minorBidi"/>
          <w:color w:val="0000FF"/>
          <w:sz w:val="18"/>
          <w:szCs w:val="18"/>
          <w:u w:val="single"/>
        </w:rPr>
        <w:t>paperwork@hrsa.gov</w:t>
      </w:r>
    </w:hyperlink>
    <w:r w:rsidRPr="6416AD2B" w:rsidR="6416AD2B">
      <w:rPr>
        <w:rFonts w:asciiTheme="minorAscii" w:hAnsiTheme="minorAscii" w:cstheme="minorBidi"/>
        <w:sz w:val="18"/>
        <w:szCs w:val="18"/>
      </w:rPr>
      <w:t xml:space="preserve">.  Please see </w:t>
    </w:r>
    <w:hyperlink r:id="rId2">
      <w:r w:rsidRPr="6416AD2B" w:rsidR="6416AD2B">
        <w:rPr>
          <w:rStyle w:val="Hyperlink"/>
          <w:rFonts w:asciiTheme="minorAscii" w:hAnsiTheme="minorAscii" w:cstheme="minorBidi"/>
          <w:sz w:val="18"/>
          <w:szCs w:val="18"/>
        </w:rPr>
        <w:t>https://www.hrsa.gov/about/508-resources</w:t>
      </w:r>
    </w:hyperlink>
    <w:r w:rsidRPr="6416AD2B" w:rsidR="6416AD2B">
      <w:rPr>
        <w:rFonts w:asciiTheme="minorAscii" w:hAnsiTheme="minorAscii" w:cstheme="minorBidi"/>
        <w:sz w:val="18"/>
        <w:szCs w:val="18"/>
      </w:rPr>
      <w:t xml:space="preserve"> for the HRSA digital accessibility statement.</w:t>
    </w:r>
  </w:p>
  <w:p w:rsidR="00BE0161" w14:paraId="670B3C7D" w14:textId="52CE0F5B">
    <w:pPr>
      <w:pStyle w:val="Header"/>
    </w:pPr>
  </w:p>
  <w:p w:rsidR="00564C30" w:rsidP="00564C30" w14:paraId="7B08594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CC789C"/>
    <w:multiLevelType w:val="hybridMultilevel"/>
    <w:tmpl w:val="390AC0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905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AD7"/>
    <w:rsid w:val="000B1EBD"/>
    <w:rsid w:val="001C4E7E"/>
    <w:rsid w:val="002072DA"/>
    <w:rsid w:val="003D296A"/>
    <w:rsid w:val="00564C30"/>
    <w:rsid w:val="006A6AD7"/>
    <w:rsid w:val="007121A8"/>
    <w:rsid w:val="0075430B"/>
    <w:rsid w:val="00823C91"/>
    <w:rsid w:val="00B4557D"/>
    <w:rsid w:val="00BE0161"/>
    <w:rsid w:val="00CF4547"/>
    <w:rsid w:val="00D355F1"/>
    <w:rsid w:val="00ED449D"/>
    <w:rsid w:val="00FD3B85"/>
    <w:rsid w:val="00FF590A"/>
    <w:rsid w:val="6416AD2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853F10"/>
  <w15:chartTrackingRefBased/>
  <w15:docId w15:val="{BA414C7E-5B9A-4BF0-93C3-4A4629375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AD7"/>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6A6AD7"/>
    <w:pPr>
      <w:ind w:left="720"/>
    </w:pPr>
    <w:rPr>
      <w:rFonts w:ascii="Baskerville Old Face" w:hAnsi="Baskerville Old Face"/>
      <w:sz w:val="24"/>
    </w:rPr>
  </w:style>
  <w:style w:type="character" w:customStyle="1" w:styleId="BodyTextIndentChar">
    <w:name w:val="Body Text Indent Char"/>
    <w:basedOn w:val="DefaultParagraphFont"/>
    <w:link w:val="BodyTextIndent"/>
    <w:semiHidden/>
    <w:rsid w:val="006A6AD7"/>
    <w:rPr>
      <w:rFonts w:ascii="Baskerville Old Face" w:eastAsia="Times New Roman" w:hAnsi="Baskerville Old Face" w:cs="Times New Roman"/>
      <w:sz w:val="24"/>
      <w:szCs w:val="24"/>
    </w:rPr>
  </w:style>
  <w:style w:type="paragraph" w:styleId="Header">
    <w:name w:val="header"/>
    <w:basedOn w:val="Normal"/>
    <w:link w:val="HeaderChar"/>
    <w:uiPriority w:val="99"/>
    <w:unhideWhenUsed/>
    <w:rsid w:val="00564C30"/>
    <w:pPr>
      <w:tabs>
        <w:tab w:val="center" w:pos="4680"/>
        <w:tab w:val="right" w:pos="9360"/>
      </w:tabs>
    </w:pPr>
  </w:style>
  <w:style w:type="character" w:customStyle="1" w:styleId="HeaderChar">
    <w:name w:val="Header Char"/>
    <w:basedOn w:val="DefaultParagraphFont"/>
    <w:link w:val="Header"/>
    <w:uiPriority w:val="99"/>
    <w:rsid w:val="00564C30"/>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564C30"/>
    <w:pPr>
      <w:tabs>
        <w:tab w:val="center" w:pos="4680"/>
        <w:tab w:val="right" w:pos="9360"/>
      </w:tabs>
    </w:pPr>
  </w:style>
  <w:style w:type="character" w:customStyle="1" w:styleId="FooterChar">
    <w:name w:val="Footer Char"/>
    <w:basedOn w:val="DefaultParagraphFont"/>
    <w:link w:val="Footer"/>
    <w:uiPriority w:val="99"/>
    <w:rsid w:val="00564C30"/>
    <w:rPr>
      <w:rFonts w:ascii="Times New Roman" w:eastAsia="Times New Roman" w:hAnsi="Times New Roman" w:cs="Times New Roman"/>
      <w:sz w:val="20"/>
      <w:szCs w:val="24"/>
    </w:rPr>
  </w:style>
  <w:style w:type="character" w:styleId="Hyperlink">
    <w:name w:val="Hyperlink"/>
    <w:basedOn w:val="DefaultParagraphFont"/>
    <w:uiPriority w:val="99"/>
    <w:unhideWhenUsed/>
    <w:rsid w:val="000B1EBD"/>
    <w:rPr>
      <w:color w:val="0563C1" w:themeColor="hyperlink"/>
      <w:u w:val="single"/>
    </w:rPr>
  </w:style>
  <w:style w:type="character" w:styleId="UnresolvedMention">
    <w:name w:val="Unresolved Mention"/>
    <w:basedOn w:val="DefaultParagraphFont"/>
    <w:uiPriority w:val="99"/>
    <w:semiHidden/>
    <w:unhideWhenUsed/>
    <w:rsid w:val="000B1EBD"/>
    <w:rPr>
      <w:color w:val="605E5C"/>
      <w:shd w:val="clear" w:color="auto" w:fill="E1DFDD"/>
    </w:rPr>
  </w:style>
  <w:style w:type="paragraph" w:styleId="Revision">
    <w:name w:val="Revision"/>
    <w:hidden/>
    <w:uiPriority w:val="99"/>
    <w:semiHidden/>
    <w:rsid w:val="00FF590A"/>
    <w:pPr>
      <w:spacing w:after="0" w:line="240" w:lineRule="auto"/>
    </w:pPr>
    <w:rPr>
      <w:rFonts w:ascii="Times New Roman" w:eastAsia="Times New Roman" w:hAnsi="Times New Roman" w:cs="Times New Roman"/>
      <w:sz w:val="20"/>
      <w:szCs w:val="24"/>
    </w:rPr>
  </w:style>
  <w:style w:type="character" w:styleId="CommentReference">
    <w:name w:val="annotation reference"/>
    <w:basedOn w:val="DefaultParagraphFont"/>
    <w:uiPriority w:val="99"/>
    <w:semiHidden/>
    <w:unhideWhenUsed/>
    <w:rsid w:val="00B4557D"/>
    <w:rPr>
      <w:sz w:val="16"/>
      <w:szCs w:val="16"/>
    </w:rPr>
  </w:style>
  <w:style w:type="paragraph" w:styleId="CommentText">
    <w:name w:val="annotation text"/>
    <w:basedOn w:val="Normal"/>
    <w:link w:val="CommentTextChar"/>
    <w:uiPriority w:val="99"/>
    <w:unhideWhenUsed/>
    <w:rsid w:val="00B4557D"/>
    <w:rPr>
      <w:szCs w:val="20"/>
    </w:rPr>
  </w:style>
  <w:style w:type="character" w:customStyle="1" w:styleId="CommentTextChar">
    <w:name w:val="Comment Text Char"/>
    <w:basedOn w:val="DefaultParagraphFont"/>
    <w:link w:val="CommentText"/>
    <w:uiPriority w:val="99"/>
    <w:rsid w:val="00B455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4557D"/>
    <w:rPr>
      <w:b/>
      <w:bCs/>
    </w:rPr>
  </w:style>
  <w:style w:type="character" w:customStyle="1" w:styleId="CommentSubjectChar">
    <w:name w:val="Comment Subject Char"/>
    <w:basedOn w:val="CommentTextChar"/>
    <w:link w:val="CommentSubject"/>
    <w:uiPriority w:val="99"/>
    <w:semiHidden/>
    <w:rsid w:val="00B4557D"/>
    <w:rPr>
      <w:rFonts w:ascii="Times New Roman" w:eastAsia="Times New Roman" w:hAnsi="Times New Roman" w:cs="Times New Roman"/>
      <w:b/>
      <w:bCs/>
      <w:sz w:val="20"/>
      <w:szCs w:val="20"/>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hyperlink" Target="mailto:paperwork@hrsa.gov" TargetMode="External" /><Relationship Id="rId2" Type="http://schemas.openxmlformats.org/officeDocument/2006/relationships/hyperlink" Target="https://www.hrsa.gov/about/508-resources" TargetMode="Externa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221848ec8bd0d59bd9239aceb0a24cca">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ddb8407a9b8f5783eedc1d2f829b106"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With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_dlc_DocId xmlns="68c2e6f3-6ea4-42c3-835e-44e49d8f3a1e">YEJUMFDJ6KMC-483555117-41825</_dlc_DocId>
    <_dlc_DocIdUrl xmlns="68c2e6f3-6ea4-42c3-835e-44e49d8f3a1e">
      <Url>https://nih.sharepoint.com/sites/HRSA-OA-OPAE/Teams/officeofexternalengagement/_layouts/15/DocIdRedir.aspx?ID=YEJUMFDJ6KMC-483555117-41825</Url>
      <Description>YEJUMFDJ6KMC-483555117-41825</Description>
    </_dlc_DocIdUrl>
  </documentManagement>
</p:properties>
</file>

<file path=customXml/itemProps1.xml><?xml version="1.0" encoding="utf-8"?>
<ds:datastoreItem xmlns:ds="http://schemas.openxmlformats.org/officeDocument/2006/customXml" ds:itemID="{743156F2-B16C-42D0-ADEE-3ABE095C23C9}">
  <ds:schemaRefs/>
</ds:datastoreItem>
</file>

<file path=customXml/itemProps2.xml><?xml version="1.0" encoding="utf-8"?>
<ds:datastoreItem xmlns:ds="http://schemas.openxmlformats.org/officeDocument/2006/customXml" ds:itemID="{FAB747A1-271F-45A8-969C-5297AEDAFE79}">
  <ds:schemaRefs/>
</ds:datastoreItem>
</file>

<file path=customXml/itemProps3.xml><?xml version="1.0" encoding="utf-8"?>
<ds:datastoreItem xmlns:ds="http://schemas.openxmlformats.org/officeDocument/2006/customXml" ds:itemID="{18BA08EA-3CA8-4AB3-AE63-C9400E122B06}">
  <ds:schemaRefs/>
</ds:datastoreItem>
</file>

<file path=customXml/itemProps4.xml><?xml version="1.0" encoding="utf-8"?>
<ds:datastoreItem xmlns:ds="http://schemas.openxmlformats.org/officeDocument/2006/customXml" ds:itemID="{246330B9-4D03-4DB3-B7EA-74E48345BC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Laura (HRSA)</dc:creator>
  <cp:lastModifiedBy>Cooper, Laura (HRSA)</cp:lastModifiedBy>
  <cp:revision>8</cp:revision>
  <dcterms:created xsi:type="dcterms:W3CDTF">2023-03-31T14:29:00Z</dcterms:created>
  <dcterms:modified xsi:type="dcterms:W3CDTF">2025-12-15T17:12:12Z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_dlc_DocIdItemGuid">
    <vt:lpwstr>f3f6002f-17ee-4a53-9e4d-f5da3341d523</vt:lpwstr>
  </property>
</Properties>
</file>