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156D" w14:paraId="19E0886C" w14:textId="77777777">
      <w:pPr>
        <w:pStyle w:val="Heading1"/>
        <w:ind w:left="0"/>
        <w:jc w:val="center"/>
      </w:pPr>
      <w:r>
        <w:t>SUPPORTING STATEMENT</w:t>
      </w:r>
    </w:p>
    <w:p w:rsidR="00BD156D" w14:paraId="55DE4983" w14:textId="77777777">
      <w:pPr>
        <w:spacing w:before="22" w:line="259" w:lineRule="auto"/>
        <w:ind w:firstLine="14"/>
        <w:jc w:val="center"/>
        <w:rPr>
          <w:b/>
        </w:rPr>
      </w:pPr>
      <w:r>
        <w:rPr>
          <w:b/>
        </w:rPr>
        <w:t>U.S. Department of Commerce</w:t>
      </w:r>
    </w:p>
    <w:p w:rsidR="00BD156D" w14:paraId="4BB6FBDC" w14:textId="77777777">
      <w:pPr>
        <w:spacing w:before="22" w:line="259" w:lineRule="auto"/>
        <w:ind w:firstLine="14"/>
        <w:jc w:val="center"/>
        <w:rPr>
          <w:b/>
        </w:rPr>
      </w:pPr>
      <w:r>
        <w:rPr>
          <w:b/>
        </w:rPr>
        <w:t>National Oceanic &amp; Atmospheric Administration</w:t>
      </w:r>
    </w:p>
    <w:p w:rsidR="007759F6" w14:paraId="45E8F586" w14:textId="77777777">
      <w:pPr>
        <w:spacing w:line="259" w:lineRule="auto"/>
        <w:ind w:hanging="6"/>
        <w:jc w:val="center"/>
        <w:rPr>
          <w:b/>
        </w:rPr>
      </w:pPr>
      <w:r w:rsidRPr="007759F6">
        <w:rPr>
          <w:b/>
        </w:rPr>
        <w:t xml:space="preserve">Alaska American Fisheries Act Reports </w:t>
      </w:r>
    </w:p>
    <w:p w:rsidR="00BD156D" w14:paraId="151FDDEA" w14:textId="77777777">
      <w:pPr>
        <w:spacing w:line="259" w:lineRule="auto"/>
        <w:ind w:hanging="6"/>
        <w:jc w:val="center"/>
        <w:rPr>
          <w:b/>
        </w:rPr>
      </w:pPr>
      <w:r>
        <w:rPr>
          <w:b/>
        </w:rPr>
        <w:t>OMB Control No. 0648-0401</w:t>
      </w:r>
    </w:p>
    <w:p w:rsidR="00BD156D" w14:paraId="02911162" w14:textId="77777777">
      <w:pPr>
        <w:pBdr>
          <w:top w:val="nil"/>
          <w:left w:val="nil"/>
          <w:bottom w:val="nil"/>
          <w:right w:val="nil"/>
          <w:between w:val="nil"/>
        </w:pBdr>
        <w:spacing w:before="1"/>
        <w:jc w:val="center"/>
        <w:rPr>
          <w:b/>
          <w:color w:val="000000"/>
        </w:rPr>
      </w:pPr>
    </w:p>
    <w:p w:rsidR="00BD156D" w:rsidP="0099558D" w14:paraId="527E318D" w14:textId="77777777">
      <w:pPr>
        <w:pStyle w:val="Heading1"/>
        <w:widowControl/>
        <w:spacing w:before="199"/>
        <w:ind w:left="0"/>
      </w:pPr>
      <w:r>
        <w:t>Abstract</w:t>
      </w:r>
    </w:p>
    <w:p w:rsidR="007759F6" w:rsidP="0099558D" w14:paraId="4E3FC091" w14:textId="77777777">
      <w:pPr>
        <w:widowControl/>
        <w:autoSpaceDE w:val="0"/>
        <w:autoSpaceDN w:val="0"/>
        <w:outlineLvl w:val="0"/>
        <w:rPr>
          <w:rFonts w:eastAsiaTheme="minorHAnsi"/>
          <w:bCs/>
        </w:rPr>
      </w:pPr>
    </w:p>
    <w:p w:rsidR="007759F6" w:rsidRPr="007759F6" w:rsidP="0099558D" w14:paraId="7ECB6C6A" w14:textId="28A23A1E">
      <w:pPr>
        <w:widowControl/>
        <w:autoSpaceDE w:val="0"/>
        <w:autoSpaceDN w:val="0"/>
        <w:outlineLvl w:val="0"/>
        <w:rPr>
          <w:rFonts w:eastAsiaTheme="minorHAnsi" w:cstheme="minorBidi"/>
          <w:bCs/>
        </w:rPr>
      </w:pPr>
      <w:r w:rsidRPr="007759F6">
        <w:rPr>
          <w:rFonts w:eastAsiaTheme="minorHAnsi"/>
          <w:bCs/>
        </w:rPr>
        <w:t xml:space="preserve">The National Marine Fisheries Service (NMFS), </w:t>
      </w:r>
      <w:r w:rsidRPr="00B429DA">
        <w:rPr>
          <w:rFonts w:eastAsiaTheme="minorHAnsi"/>
          <w:bCs/>
        </w:rPr>
        <w:t>Alaska Region,</w:t>
      </w:r>
      <w:r w:rsidRPr="007759F6">
        <w:rPr>
          <w:rFonts w:eastAsiaTheme="minorHAnsi"/>
          <w:bCs/>
        </w:rPr>
        <w:t xml:space="preserve"> requests extension of this currently approved information collection.</w:t>
      </w:r>
      <w:r w:rsidRPr="007759F6">
        <w:rPr>
          <w:rFonts w:eastAsiaTheme="minorHAnsi" w:cstheme="minorBidi"/>
          <w:b/>
          <w:bCs/>
        </w:rPr>
        <w:t xml:space="preserve"> </w:t>
      </w:r>
    </w:p>
    <w:p w:rsidR="007759F6" w:rsidRPr="007759F6" w:rsidP="0099558D" w14:paraId="5D0B145E" w14:textId="77777777">
      <w:pPr>
        <w:widowControl/>
        <w:autoSpaceDE w:val="0"/>
        <w:autoSpaceDN w:val="0"/>
        <w:outlineLvl w:val="0"/>
        <w:rPr>
          <w:rFonts w:eastAsiaTheme="minorHAnsi" w:cstheme="minorBidi"/>
          <w:b/>
          <w:bCs/>
        </w:rPr>
      </w:pPr>
    </w:p>
    <w:p w:rsidR="007759F6" w:rsidRPr="007759F6" w:rsidP="0099558D" w14:paraId="0D194FB7" w14:textId="1D3D3645">
      <w:pPr>
        <w:widowControl/>
        <w:rPr>
          <w:rFonts w:eastAsiaTheme="minorHAnsi"/>
          <w:bCs/>
        </w:rPr>
      </w:pPr>
      <w:r w:rsidRPr="007759F6">
        <w:rPr>
          <w:rFonts w:eastAsiaTheme="minorHAnsi"/>
          <w:bCs/>
        </w:rPr>
        <w:t xml:space="preserve">This information collection contains the annual and periodic reporting requirements for </w:t>
      </w:r>
      <w:r>
        <w:rPr>
          <w:rFonts w:eastAsiaTheme="minorHAnsi"/>
          <w:bCs/>
        </w:rPr>
        <w:t xml:space="preserve">American Fisheries Act </w:t>
      </w:r>
      <w:r w:rsidRPr="007759F6">
        <w:rPr>
          <w:rFonts w:eastAsiaTheme="minorHAnsi"/>
          <w:bCs/>
        </w:rPr>
        <w:t xml:space="preserve">(AFA) cooperatives. These requirements include reports about on-going fishing operations of the cooperatives and reports focused on efforts to minimize salmon bycatch in the Bering Sea pollock fishery. </w:t>
      </w:r>
    </w:p>
    <w:p w:rsidR="007759F6" w:rsidRPr="007759F6" w:rsidP="0099558D" w14:paraId="1F13D2BC" w14:textId="77777777">
      <w:pPr>
        <w:widowControl/>
        <w:rPr>
          <w:rFonts w:eastAsiaTheme="minorHAnsi"/>
          <w:bCs/>
        </w:rPr>
      </w:pPr>
    </w:p>
    <w:p w:rsidR="007759F6" w:rsidRPr="007759F6" w:rsidP="0099558D" w14:paraId="56883310" w14:textId="77777777">
      <w:pPr>
        <w:widowControl/>
        <w:rPr>
          <w:b/>
          <w:color w:val="2F5496"/>
          <w:u w:val="single"/>
        </w:rPr>
      </w:pPr>
      <w:r w:rsidRPr="007759F6">
        <w:rPr>
          <w:rFonts w:eastAsiaTheme="minorHAnsi"/>
          <w:bCs/>
        </w:rPr>
        <w:t xml:space="preserve">This information is used to manage the Bering Sea pollock fishery, to evaluate the salmon bycatch management measures, and to provide the public with information about how the program operates and information about bycatch reduction under this program. This information collection provides the </w:t>
      </w:r>
      <w:r>
        <w:rPr>
          <w:rFonts w:eastAsiaTheme="minorHAnsi"/>
          <w:bCs/>
        </w:rPr>
        <w:t xml:space="preserve">North Pacific Fishery Management </w:t>
      </w:r>
      <w:r w:rsidRPr="007759F6">
        <w:rPr>
          <w:rFonts w:eastAsiaTheme="minorHAnsi"/>
          <w:bCs/>
        </w:rPr>
        <w:t>Council and NMFS with information about the organization and fishing operations of the AFA cooperatives, allocations to the AFA cooperatives, and the effectiveness of the Chinook salmon and chum salmon bycatch management measures. This information is necessary to ensure long-term conservation and abundance of salmon and pollock, maintain a healthy marine ecosystem, and provide maximum benefit to fishermen and communities that depend on salmon and pollock.</w:t>
      </w:r>
    </w:p>
    <w:p w:rsidR="007759F6" w:rsidRPr="0099558D" w:rsidP="0099558D" w14:paraId="421BD291" w14:textId="77777777">
      <w:pPr>
        <w:widowControl/>
        <w:rPr>
          <w:rFonts w:eastAsiaTheme="minorHAnsi" w:cstheme="minorBidi"/>
          <w:bCs/>
        </w:rPr>
      </w:pPr>
    </w:p>
    <w:p w:rsidR="007759F6" w:rsidRPr="007759F6" w:rsidP="0099558D" w14:paraId="36A1959C" w14:textId="77777777">
      <w:pPr>
        <w:widowControl/>
        <w:rPr>
          <w:b/>
        </w:rPr>
      </w:pPr>
    </w:p>
    <w:p w:rsidR="00BD156D" w:rsidP="0099558D" w14:paraId="6FF56519" w14:textId="77777777">
      <w:pPr>
        <w:pStyle w:val="Heading1"/>
        <w:widowControl/>
        <w:spacing w:before="124"/>
        <w:ind w:left="0"/>
      </w:pPr>
      <w:r>
        <w:t>Justification</w:t>
      </w:r>
    </w:p>
    <w:p w:rsidR="007759F6" w:rsidRPr="007759F6" w:rsidP="0099558D" w14:paraId="343471B6" w14:textId="77777777">
      <w:pPr>
        <w:widowControl/>
        <w:numPr>
          <w:ilvl w:val="0"/>
          <w:numId w:val="3"/>
        </w:numPr>
        <w:pBdr>
          <w:top w:val="nil"/>
          <w:left w:val="nil"/>
          <w:bottom w:val="nil"/>
          <w:right w:val="nil"/>
          <w:between w:val="nil"/>
        </w:pBdr>
        <w:tabs>
          <w:tab w:val="left" w:pos="360"/>
        </w:tabs>
        <w:spacing w:before="182" w:line="259" w:lineRule="auto"/>
        <w:ind w:left="0" w:firstLine="0"/>
        <w:rPr>
          <w:b/>
          <w:color w:val="000000"/>
        </w:rPr>
      </w:pPr>
      <w:r>
        <w:rPr>
          <w:b/>
          <w:color w:val="000000"/>
        </w:rPr>
        <w:t xml:space="preserve">Explain the </w:t>
      </w:r>
      <w:r>
        <w:rPr>
          <w:b/>
          <w:color w:val="000000"/>
        </w:rPr>
        <w:t>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759F6" w:rsidP="0099558D" w14:paraId="5AFB0FE2" w14:textId="77777777">
      <w:pPr>
        <w:widowControl/>
        <w:autoSpaceDE w:val="0"/>
        <w:autoSpaceDN w:val="0"/>
        <w:rPr>
          <w:rFonts w:eastAsiaTheme="minorHAnsi" w:cstheme="minorBidi"/>
          <w:szCs w:val="22"/>
        </w:rPr>
      </w:pPr>
    </w:p>
    <w:p w:rsidR="007759F6" w:rsidRPr="007759F6" w:rsidP="0099558D" w14:paraId="6C9D36DA" w14:textId="1E5D1F38">
      <w:pPr>
        <w:widowControl/>
        <w:autoSpaceDE w:val="0"/>
        <w:autoSpaceDN w:val="0"/>
        <w:rPr>
          <w:rFonts w:eastAsiaTheme="minorHAnsi" w:cstheme="minorBidi"/>
          <w:szCs w:val="22"/>
        </w:rPr>
      </w:pPr>
      <w:r w:rsidRPr="007759F6">
        <w:rPr>
          <w:rFonts w:eastAsiaTheme="minorHAnsi" w:cstheme="minorBidi"/>
          <w:szCs w:val="22"/>
        </w:rPr>
        <w:t>NMFS</w:t>
      </w:r>
      <w:r w:rsidRPr="00E01E60" w:rsidR="004326BE">
        <w:rPr>
          <w:rFonts w:eastAsiaTheme="minorHAnsi" w:cstheme="minorBidi"/>
          <w:szCs w:val="22"/>
        </w:rPr>
        <w:t>,</w:t>
      </w:r>
      <w:r w:rsidRPr="00E01E60">
        <w:rPr>
          <w:rFonts w:eastAsiaTheme="minorHAnsi" w:cstheme="minorBidi"/>
          <w:szCs w:val="22"/>
        </w:rPr>
        <w:t xml:space="preserve"> </w:t>
      </w:r>
      <w:r w:rsidRPr="00E01E60" w:rsidR="004326BE">
        <w:rPr>
          <w:rFonts w:eastAsiaTheme="minorHAnsi" w:cstheme="minorBidi"/>
          <w:szCs w:val="22"/>
        </w:rPr>
        <w:t>Alaska</w:t>
      </w:r>
      <w:r w:rsidR="004326BE">
        <w:rPr>
          <w:rFonts w:eastAsiaTheme="minorHAnsi" w:cstheme="minorBidi"/>
          <w:szCs w:val="22"/>
        </w:rPr>
        <w:t xml:space="preserve"> Region, </w:t>
      </w:r>
      <w:r w:rsidRPr="007759F6">
        <w:rPr>
          <w:rFonts w:eastAsiaTheme="minorHAnsi" w:cstheme="minorBidi"/>
          <w:szCs w:val="22"/>
        </w:rPr>
        <w:t>manages the groundfish fisheries of the Bering Sea and Aleutian Islands (BSAI) Management Area in the Exclusive Economic Zone</w:t>
      </w:r>
      <w:r w:rsidR="000F5C50">
        <w:rPr>
          <w:rFonts w:eastAsiaTheme="minorHAnsi" w:cstheme="minorBidi"/>
          <w:szCs w:val="22"/>
        </w:rPr>
        <w:t xml:space="preserve"> (EEZ)</w:t>
      </w:r>
      <w:r w:rsidRPr="007759F6">
        <w:rPr>
          <w:rFonts w:eastAsiaTheme="minorHAnsi" w:cstheme="minorBidi"/>
          <w:szCs w:val="22"/>
        </w:rPr>
        <w:t xml:space="preserve"> off Alaska. The North Pacific Fishery Management Council (Council) prepared the Fishery Management Plan</w:t>
      </w:r>
      <w:r w:rsidR="000F5C50">
        <w:rPr>
          <w:rFonts w:eastAsiaTheme="minorHAnsi" w:cstheme="minorBidi"/>
          <w:szCs w:val="22"/>
        </w:rPr>
        <w:t xml:space="preserve"> (FMP)</w:t>
      </w:r>
      <w:r w:rsidRPr="007759F6">
        <w:rPr>
          <w:rFonts w:eastAsiaTheme="minorHAnsi" w:cstheme="minorBidi"/>
          <w:szCs w:val="22"/>
        </w:rPr>
        <w:t xml:space="preserve"> for Groundfish of the Bering Sea and Aleutian Islands Management Area </w:t>
      </w:r>
      <w:r w:rsidRPr="007759F6">
        <w:rPr>
          <w:rFonts w:eastAsiaTheme="minorHAnsi" w:cstheme="minorBidi"/>
          <w:szCs w:val="22"/>
        </w:rPr>
        <w:t xml:space="preserve">under the authority of the </w:t>
      </w:r>
      <w:hyperlink r:id="rId7" w:anchor="magnuson-stevens-act" w:history="1">
        <w:r w:rsidRPr="007759F6">
          <w:rPr>
            <w:rFonts w:eastAsiaTheme="minorHAnsi" w:cstheme="minorBidi"/>
            <w:color w:val="0000FF" w:themeColor="hyperlink"/>
            <w:szCs w:val="22"/>
            <w:u w:val="single"/>
          </w:rPr>
          <w:t>Mag</w:t>
        </w:r>
        <w:r w:rsidRPr="007759F6">
          <w:rPr>
            <w:rFonts w:eastAsiaTheme="minorHAnsi" w:cstheme="minorBidi"/>
            <w:color w:val="0000FF" w:themeColor="hyperlink"/>
            <w:szCs w:val="22"/>
            <w:u w:val="single"/>
          </w:rPr>
          <w:t>n</w:t>
        </w:r>
        <w:r w:rsidRPr="007759F6">
          <w:rPr>
            <w:rFonts w:eastAsiaTheme="minorHAnsi" w:cstheme="minorBidi"/>
            <w:color w:val="0000FF" w:themeColor="hyperlink"/>
            <w:szCs w:val="22"/>
            <w:u w:val="single"/>
          </w:rPr>
          <w:t>uson-Stevens Fishery Conservation and Management Act</w:t>
        </w:r>
      </w:hyperlink>
      <w:r>
        <w:rPr>
          <w:rStyle w:val="FootnoteReference"/>
          <w:rFonts w:eastAsiaTheme="minorHAnsi" w:cstheme="minorBidi"/>
          <w:color w:val="0000FF" w:themeColor="hyperlink"/>
          <w:szCs w:val="22"/>
          <w:u w:val="single"/>
        </w:rPr>
        <w:footnoteReference w:id="2"/>
      </w:r>
      <w:r w:rsidRPr="007759F6">
        <w:rPr>
          <w:rFonts w:eastAsiaTheme="minorHAnsi" w:cstheme="minorBidi"/>
          <w:szCs w:val="22"/>
        </w:rPr>
        <w:t xml:space="preserve"> (Magnuson-Stevens Act) and other applicable laws. Regulations implementing the FMP are at </w:t>
      </w:r>
      <w:hyperlink r:id="rId8" w:history="1">
        <w:r w:rsidRPr="007759F6">
          <w:rPr>
            <w:rFonts w:eastAsiaTheme="minorHAnsi" w:cstheme="minorBidi"/>
            <w:color w:val="0000FF" w:themeColor="hyperlink"/>
            <w:szCs w:val="22"/>
            <w:u w:val="single"/>
          </w:rPr>
          <w:t xml:space="preserve">50 </w:t>
        </w:r>
        <w:r w:rsidRPr="007759F6">
          <w:rPr>
            <w:rFonts w:eastAsiaTheme="minorHAnsi" w:cstheme="minorBidi"/>
            <w:color w:val="0000FF" w:themeColor="hyperlink"/>
            <w:szCs w:val="22"/>
            <w:u w:val="single"/>
          </w:rPr>
          <w:t>C</w:t>
        </w:r>
        <w:r w:rsidRPr="007759F6">
          <w:rPr>
            <w:rFonts w:eastAsiaTheme="minorHAnsi" w:cstheme="minorBidi"/>
            <w:color w:val="0000FF" w:themeColor="hyperlink"/>
            <w:szCs w:val="22"/>
            <w:u w:val="single"/>
          </w:rPr>
          <w:t>FR part 679</w:t>
        </w:r>
      </w:hyperlink>
      <w:r>
        <w:rPr>
          <w:rStyle w:val="FootnoteReference"/>
          <w:rFonts w:eastAsiaTheme="minorHAnsi" w:cstheme="minorBidi"/>
          <w:color w:val="0000FF" w:themeColor="hyperlink"/>
          <w:szCs w:val="22"/>
          <w:u w:val="single"/>
        </w:rPr>
        <w:footnoteReference w:id="3"/>
      </w:r>
      <w:r w:rsidRPr="007759F6">
        <w:rPr>
          <w:rFonts w:eastAsiaTheme="minorHAnsi" w:cstheme="minorBidi"/>
          <w:szCs w:val="22"/>
        </w:rPr>
        <w:t>.</w:t>
      </w:r>
    </w:p>
    <w:p w:rsidR="007759F6" w:rsidRPr="007759F6" w:rsidP="0099558D" w14:paraId="664E3CA8" w14:textId="77777777">
      <w:pPr>
        <w:widowControl/>
        <w:autoSpaceDE w:val="0"/>
        <w:autoSpaceDN w:val="0"/>
        <w:rPr>
          <w:rFonts w:eastAsiaTheme="minorHAnsi" w:cstheme="minorBidi"/>
          <w:szCs w:val="22"/>
        </w:rPr>
      </w:pPr>
    </w:p>
    <w:p w:rsidR="007759F6" w:rsidRPr="007759F6" w:rsidP="0099558D" w14:paraId="6279F5C9" w14:textId="1A47A252">
      <w:pPr>
        <w:widowControl/>
        <w:autoSpaceDE w:val="0"/>
        <w:autoSpaceDN w:val="0"/>
        <w:rPr>
          <w:rFonts w:eastAsiaTheme="minorHAnsi" w:cstheme="minorBidi"/>
          <w:szCs w:val="22"/>
        </w:rPr>
      </w:pPr>
      <w:r w:rsidRPr="007759F6">
        <w:rPr>
          <w:rFonts w:eastAsiaTheme="minorHAnsi" w:cstheme="minorBidi"/>
          <w:szCs w:val="22"/>
        </w:rPr>
        <w:t xml:space="preserve">The Bering Sea pollock fishery is managed under the </w:t>
      </w:r>
      <w:hyperlink r:id="rId9" w:history="1">
        <w:r w:rsidRPr="007759F6">
          <w:rPr>
            <w:rFonts w:eastAsiaTheme="minorHAnsi" w:cstheme="minorBidi"/>
            <w:color w:val="0000FF" w:themeColor="hyperlink"/>
            <w:szCs w:val="22"/>
            <w:u w:val="single"/>
          </w:rPr>
          <w:t>Ameri</w:t>
        </w:r>
        <w:r w:rsidRPr="007759F6">
          <w:rPr>
            <w:rFonts w:eastAsiaTheme="minorHAnsi" w:cstheme="minorBidi"/>
            <w:color w:val="0000FF" w:themeColor="hyperlink"/>
            <w:szCs w:val="22"/>
            <w:u w:val="single"/>
          </w:rPr>
          <w:t>c</w:t>
        </w:r>
        <w:r w:rsidRPr="007759F6">
          <w:rPr>
            <w:rFonts w:eastAsiaTheme="minorHAnsi" w:cstheme="minorBidi"/>
            <w:color w:val="0000FF" w:themeColor="hyperlink"/>
            <w:szCs w:val="22"/>
            <w:u w:val="single"/>
          </w:rPr>
          <w:t>an Fisheries Act (AFA)</w:t>
        </w:r>
        <w:r>
          <w:rPr>
            <w:rStyle w:val="FootnoteReference"/>
            <w:rFonts w:eastAsiaTheme="minorHAnsi" w:cstheme="minorBidi"/>
            <w:color w:val="0000FF" w:themeColor="hyperlink"/>
            <w:szCs w:val="22"/>
            <w:u w:val="single"/>
          </w:rPr>
          <w:footnoteReference w:id="4"/>
        </w:r>
        <w:r w:rsidRPr="007759F6">
          <w:rPr>
            <w:rFonts w:eastAsiaTheme="minorHAnsi" w:cstheme="minorBidi"/>
            <w:color w:val="0000FF" w:themeColor="hyperlink"/>
            <w:szCs w:val="22"/>
            <w:u w:val="single"/>
          </w:rPr>
          <w:t>.</w:t>
        </w:r>
      </w:hyperlink>
      <w:r w:rsidRPr="007759F6">
        <w:rPr>
          <w:rFonts w:eastAsiaTheme="minorHAnsi" w:cstheme="minorBidi"/>
          <w:szCs w:val="22"/>
        </w:rPr>
        <w:t xml:space="preserve"> The AFA was signed into law in October 1998. The purpose of the AFA was to tighten U.S. ownership standards for U.S. fishing vessels under the Anti-reflagging Act and to provide the Bering Sea pollock fleet the opportunity to conduct its fishery in a more rational manner while protecting non-AFA participants in the other fisheries. The AFA established sector allocations in the Bering Sea pollock fishery, determined eligible vessels and processors, allowed the formation of cooperatives, set limits on the pa</w:t>
      </w:r>
      <w:r w:rsidRPr="007759F6">
        <w:rPr>
          <w:rFonts w:eastAsiaTheme="minorHAnsi" w:cstheme="minorBidi"/>
          <w:szCs w:val="22"/>
        </w:rPr>
        <w:t xml:space="preserve">rticipation of </w:t>
      </w:r>
      <w:r w:rsidRPr="007759F6">
        <w:rPr>
          <w:rFonts w:eastAsiaTheme="minorHAnsi" w:cstheme="minorBidi"/>
          <w:szCs w:val="22"/>
        </w:rPr>
        <w:t xml:space="preserve">AFA vessels in other fisheries, and imposed special catch weighing and monitoring requirements on AFA vessels. </w:t>
      </w:r>
    </w:p>
    <w:p w:rsidR="007759F6" w:rsidRPr="007759F6" w:rsidP="0099558D" w14:paraId="7BD70A6A" w14:textId="77777777">
      <w:pPr>
        <w:widowControl/>
        <w:autoSpaceDE w:val="0"/>
        <w:autoSpaceDN w:val="0"/>
        <w:rPr>
          <w:rFonts w:eastAsiaTheme="minorHAnsi" w:cstheme="minorBidi"/>
          <w:szCs w:val="22"/>
        </w:rPr>
      </w:pPr>
    </w:p>
    <w:p w:rsidR="007759F6" w:rsidRPr="007759F6" w:rsidP="0099558D" w14:paraId="03B78204" w14:textId="5373B57E">
      <w:pPr>
        <w:widowControl/>
        <w:autoSpaceDE w:val="0"/>
        <w:autoSpaceDN w:val="0"/>
        <w:rPr>
          <w:rFonts w:eastAsiaTheme="minorHAnsi" w:cstheme="minorBidi"/>
          <w:szCs w:val="22"/>
        </w:rPr>
      </w:pPr>
      <w:r w:rsidRPr="004326BE">
        <w:rPr>
          <w:rFonts w:eastAsiaTheme="minorHAnsi" w:cstheme="minorBidi"/>
          <w:szCs w:val="22"/>
        </w:rPr>
        <w:t xml:space="preserve">Ten cooperatives were developed as a result of the AFA: seven inshore cooperatives, two offshore cooperatives, and one mothership cooperative. In recent years, </w:t>
      </w:r>
      <w:r w:rsidRPr="00BE5CD9" w:rsidR="00FF7763">
        <w:rPr>
          <w:rFonts w:eastAsiaTheme="minorHAnsi" w:cstheme="minorBidi"/>
          <w:szCs w:val="22"/>
        </w:rPr>
        <w:t xml:space="preserve">NMFS </w:t>
      </w:r>
      <w:r w:rsidRPr="00BE5CD9" w:rsidR="008B4D95">
        <w:rPr>
          <w:rFonts w:eastAsiaTheme="minorHAnsi" w:cstheme="minorBidi"/>
          <w:szCs w:val="22"/>
        </w:rPr>
        <w:t xml:space="preserve">received applications from and </w:t>
      </w:r>
      <w:r w:rsidRPr="00BE5CD9" w:rsidR="00FF7763">
        <w:rPr>
          <w:rFonts w:eastAsiaTheme="minorHAnsi" w:cstheme="minorBidi"/>
          <w:szCs w:val="22"/>
        </w:rPr>
        <w:t>has permitted seven inshore cooperatives, but one (Arctic Enterprise Association) consolidate</w:t>
      </w:r>
      <w:r w:rsidRPr="00BE5CD9" w:rsidR="008B4D95">
        <w:rPr>
          <w:rFonts w:eastAsiaTheme="minorHAnsi" w:cstheme="minorBidi"/>
          <w:szCs w:val="22"/>
        </w:rPr>
        <w:t>d</w:t>
      </w:r>
      <w:r w:rsidRPr="00BE5CD9" w:rsidR="00FF7763">
        <w:rPr>
          <w:rFonts w:eastAsiaTheme="minorHAnsi" w:cstheme="minorBidi"/>
          <w:szCs w:val="22"/>
        </w:rPr>
        <w:t xml:space="preserve"> operations with the Akutan Catcher Vessel Association</w:t>
      </w:r>
      <w:r w:rsidRPr="00BE5CD9" w:rsidR="00B01EF1">
        <w:rPr>
          <w:rFonts w:eastAsiaTheme="minorHAnsi" w:cstheme="minorBidi"/>
          <w:szCs w:val="22"/>
        </w:rPr>
        <w:t>, and another, Peter Pan Fleet Cooperative, ceased operations in 2024</w:t>
      </w:r>
      <w:r w:rsidRPr="00BE5CD9" w:rsidR="00FF7763">
        <w:rPr>
          <w:rFonts w:eastAsiaTheme="minorHAnsi" w:cstheme="minorBidi"/>
          <w:szCs w:val="22"/>
        </w:rPr>
        <w:t xml:space="preserve">. </w:t>
      </w:r>
      <w:r w:rsidRPr="00BE5CD9">
        <w:rPr>
          <w:rFonts w:eastAsiaTheme="minorHAnsi" w:cstheme="minorBidi"/>
          <w:szCs w:val="22"/>
        </w:rPr>
        <w:t xml:space="preserve">Therefore, </w:t>
      </w:r>
      <w:r w:rsidRPr="00BE5CD9" w:rsidR="00B01EF1">
        <w:rPr>
          <w:rFonts w:eastAsiaTheme="minorHAnsi" w:cstheme="minorBidi"/>
          <w:szCs w:val="22"/>
        </w:rPr>
        <w:t>five</w:t>
      </w:r>
      <w:r w:rsidRPr="00BE5CD9">
        <w:rPr>
          <w:rFonts w:eastAsiaTheme="minorHAnsi" w:cstheme="minorBidi"/>
          <w:szCs w:val="22"/>
        </w:rPr>
        <w:t xml:space="preserve"> inshore cooperatives are actively participating in the Bering Sea pollock fishery.</w:t>
      </w:r>
      <w:r w:rsidRPr="004326BE">
        <w:rPr>
          <w:rFonts w:eastAsiaTheme="minorHAnsi" w:cstheme="minorBidi"/>
          <w:szCs w:val="22"/>
        </w:rPr>
        <w:t xml:space="preserve"> The two offshore cooperatives are Pollock Conservation Cooperative (PCC) representing offshore catcher/processors and High Seas Catcher Vessel Cooperative (HSCC) representing catcher vessels that traditionally delivered to catcher/processors. PCC and HSCC join together to submit a single</w:t>
      </w:r>
      <w:r w:rsidRPr="004326BE">
        <w:rPr>
          <w:rFonts w:eastAsiaTheme="minorHAnsi" w:cstheme="minorBidi"/>
          <w:szCs w:val="22"/>
        </w:rPr>
        <w:t xml:space="preserve"> AFA cooperative report, so they are considered a single cooperative for purposes of respondents in this information collection. Mothership Fleet Cooperative represents catcher vessels that deliver to motherships. This brings the total number of active AFA cooperatives for purposes of this information collection to </w:t>
      </w:r>
      <w:r w:rsidR="00B01EF1">
        <w:rPr>
          <w:rFonts w:eastAsiaTheme="minorHAnsi" w:cstheme="minorBidi"/>
          <w:szCs w:val="22"/>
        </w:rPr>
        <w:t>seven</w:t>
      </w:r>
      <w:r w:rsidRPr="004326BE">
        <w:rPr>
          <w:rFonts w:eastAsiaTheme="minorHAnsi" w:cstheme="minorBidi"/>
          <w:szCs w:val="22"/>
        </w:rPr>
        <w:t>.</w:t>
      </w:r>
    </w:p>
    <w:p w:rsidR="007759F6" w:rsidRPr="007759F6" w:rsidP="0099558D" w14:paraId="32039085" w14:textId="77777777">
      <w:pPr>
        <w:widowControl/>
        <w:autoSpaceDE w:val="0"/>
        <w:autoSpaceDN w:val="0"/>
        <w:rPr>
          <w:rFonts w:eastAsiaTheme="minorHAnsi" w:cstheme="minorBidi"/>
          <w:szCs w:val="22"/>
        </w:rPr>
      </w:pPr>
    </w:p>
    <w:p w:rsidR="007759F6" w:rsidRPr="007759F6" w:rsidP="0099558D" w14:paraId="4DCC1994" w14:textId="143E323E">
      <w:pPr>
        <w:widowControl/>
        <w:autoSpaceDE w:val="0"/>
        <w:autoSpaceDN w:val="0"/>
        <w:rPr>
          <w:rFonts w:eastAsiaTheme="minorHAnsi" w:cstheme="minorBidi"/>
          <w:szCs w:val="22"/>
        </w:rPr>
      </w:pPr>
      <w:r w:rsidRPr="007759F6">
        <w:rPr>
          <w:rFonts w:eastAsiaTheme="minorHAnsi" w:cstheme="minorBidi"/>
          <w:szCs w:val="22"/>
        </w:rPr>
        <w:t xml:space="preserve">More information on the AFA is </w:t>
      </w:r>
      <w:r w:rsidRPr="004326BE">
        <w:rPr>
          <w:rFonts w:eastAsiaTheme="minorHAnsi" w:cstheme="minorBidi"/>
          <w:szCs w:val="22"/>
        </w:rPr>
        <w:t xml:space="preserve">on the NMFS </w:t>
      </w:r>
      <w:r w:rsidRPr="004326BE" w:rsidR="00CC4B1F">
        <w:rPr>
          <w:rFonts w:eastAsiaTheme="minorHAnsi" w:cstheme="minorBidi"/>
          <w:szCs w:val="22"/>
        </w:rPr>
        <w:t>Alaska Region</w:t>
      </w:r>
      <w:r w:rsidRPr="004326BE">
        <w:rPr>
          <w:rFonts w:eastAsiaTheme="minorHAnsi" w:cstheme="minorBidi"/>
          <w:szCs w:val="22"/>
        </w:rPr>
        <w:t xml:space="preserve"> website at</w:t>
      </w:r>
      <w:r w:rsidRPr="007759F6">
        <w:rPr>
          <w:rFonts w:eastAsiaTheme="minorHAnsi" w:cstheme="minorBidi"/>
          <w:szCs w:val="22"/>
        </w:rPr>
        <w:t xml:space="preserve"> </w:t>
      </w:r>
      <w:hyperlink r:id="rId10" w:history="1">
        <w:r w:rsidRPr="007759F6">
          <w:rPr>
            <w:rStyle w:val="Hyperlink"/>
            <w:rFonts w:eastAsiaTheme="minorHAnsi" w:cstheme="minorBidi"/>
            <w:szCs w:val="22"/>
          </w:rPr>
          <w:t>https://www.fisheries.noaa.gov/alaska/sustainable-fisheries/american-fisheries-act-pollock-fisheries-management-alaska</w:t>
        </w:r>
      </w:hyperlink>
      <w:r w:rsidRPr="007759F6">
        <w:rPr>
          <w:rFonts w:eastAsiaTheme="minorHAnsi" w:cstheme="minorBidi"/>
          <w:szCs w:val="22"/>
        </w:rPr>
        <w:t>.</w:t>
      </w:r>
    </w:p>
    <w:p w:rsidR="007759F6" w:rsidRPr="007759F6" w:rsidP="0099558D" w14:paraId="29FE25BF" w14:textId="77777777">
      <w:pPr>
        <w:widowControl/>
        <w:autoSpaceDE w:val="0"/>
        <w:autoSpaceDN w:val="0"/>
        <w:rPr>
          <w:rFonts w:eastAsiaTheme="minorHAnsi" w:cstheme="minorBidi"/>
          <w:szCs w:val="22"/>
        </w:rPr>
      </w:pPr>
    </w:p>
    <w:p w:rsidR="007759F6" w:rsidRPr="007759F6" w:rsidP="0099558D" w14:paraId="15FAE835" w14:textId="0BCFC934">
      <w:pPr>
        <w:widowControl/>
        <w:autoSpaceDE w:val="0"/>
        <w:autoSpaceDN w:val="0"/>
        <w:rPr>
          <w:rFonts w:eastAsiaTheme="minorHAnsi" w:cstheme="minorBidi"/>
          <w:szCs w:val="22"/>
        </w:rPr>
      </w:pPr>
      <w:r w:rsidRPr="007759F6">
        <w:rPr>
          <w:rFonts w:eastAsiaTheme="minorHAnsi" w:cstheme="minorBidi"/>
          <w:szCs w:val="22"/>
        </w:rPr>
        <w:t>This information collection contains the annual and periodic reporting requirements for AFA cooperatives. These requirements include reports about ongoing fishing operations of the cooperatives and reports specifically focused on efforts to minimize salmon bycatch in the Bering Sea pollock fishery.</w:t>
      </w:r>
      <w:r w:rsidRPr="007759F6">
        <w:t xml:space="preserve"> </w:t>
      </w:r>
      <w:r w:rsidRPr="007759F6">
        <w:rPr>
          <w:rFonts w:eastAsiaTheme="minorHAnsi" w:cstheme="minorBidi"/>
          <w:szCs w:val="22"/>
        </w:rPr>
        <w:t xml:space="preserve">These reporting requirements are located at 50 CFR </w:t>
      </w:r>
      <w:hyperlink r:id="rId11" w:history="1">
        <w:r w:rsidRPr="007759F6">
          <w:rPr>
            <w:rFonts w:eastAsiaTheme="minorHAnsi" w:cstheme="minorBidi"/>
            <w:color w:val="0000FF" w:themeColor="hyperlink"/>
            <w:szCs w:val="22"/>
            <w:u w:val="single"/>
          </w:rPr>
          <w:t>67</w:t>
        </w:r>
        <w:r w:rsidRPr="007759F6">
          <w:rPr>
            <w:rFonts w:eastAsiaTheme="minorHAnsi" w:cstheme="minorBidi"/>
            <w:color w:val="0000FF" w:themeColor="hyperlink"/>
            <w:szCs w:val="22"/>
            <w:u w:val="single"/>
          </w:rPr>
          <w:t>9</w:t>
        </w:r>
        <w:r w:rsidRPr="007759F6">
          <w:rPr>
            <w:rFonts w:eastAsiaTheme="minorHAnsi" w:cstheme="minorBidi"/>
            <w:color w:val="0000FF" w:themeColor="hyperlink"/>
            <w:szCs w:val="22"/>
            <w:u w:val="single"/>
          </w:rPr>
          <w:t>.21</w:t>
        </w:r>
      </w:hyperlink>
      <w:r>
        <w:rPr>
          <w:rStyle w:val="FootnoteReference"/>
          <w:rFonts w:eastAsiaTheme="minorHAnsi" w:cstheme="minorBidi"/>
          <w:color w:val="0000FF" w:themeColor="hyperlink"/>
          <w:szCs w:val="22"/>
          <w:u w:val="single"/>
        </w:rPr>
        <w:footnoteReference w:id="5"/>
      </w:r>
      <w:r w:rsidRPr="007759F6">
        <w:rPr>
          <w:rFonts w:eastAsiaTheme="minorHAnsi" w:cstheme="minorBidi"/>
          <w:szCs w:val="22"/>
        </w:rPr>
        <w:t xml:space="preserve"> and </w:t>
      </w:r>
      <w:hyperlink r:id="rId12" w:history="1">
        <w:r w:rsidRPr="007759F6">
          <w:rPr>
            <w:rFonts w:eastAsiaTheme="minorHAnsi" w:cstheme="minorBidi"/>
            <w:color w:val="0000FF" w:themeColor="hyperlink"/>
            <w:szCs w:val="22"/>
            <w:u w:val="single"/>
          </w:rPr>
          <w:t>679.61</w:t>
        </w:r>
      </w:hyperlink>
      <w:r>
        <w:rPr>
          <w:rStyle w:val="FootnoteReference"/>
          <w:rFonts w:eastAsiaTheme="minorHAnsi" w:cstheme="minorBidi"/>
          <w:color w:val="0000FF" w:themeColor="hyperlink"/>
          <w:szCs w:val="22"/>
          <w:u w:val="single"/>
        </w:rPr>
        <w:footnoteReference w:id="6"/>
      </w:r>
      <w:r w:rsidRPr="007759F6">
        <w:rPr>
          <w:rFonts w:eastAsiaTheme="minorHAnsi" w:cstheme="minorBidi"/>
          <w:szCs w:val="22"/>
        </w:rPr>
        <w:t>.</w:t>
      </w:r>
    </w:p>
    <w:p w:rsidR="007759F6" w:rsidRPr="007759F6" w:rsidP="0099558D" w14:paraId="55AAE83C" w14:textId="77777777">
      <w:pPr>
        <w:widowControl/>
        <w:autoSpaceDE w:val="0"/>
        <w:autoSpaceDN w:val="0"/>
        <w:rPr>
          <w:rFonts w:eastAsiaTheme="minorHAnsi" w:cstheme="minorBidi"/>
          <w:szCs w:val="22"/>
        </w:rPr>
      </w:pPr>
    </w:p>
    <w:p w:rsidR="007759F6" w:rsidP="0099558D" w14:paraId="189C1B5E" w14:textId="320B7E05">
      <w:pPr>
        <w:widowControl/>
        <w:pBdr>
          <w:top w:val="nil"/>
          <w:left w:val="nil"/>
          <w:bottom w:val="nil"/>
          <w:right w:val="nil"/>
          <w:between w:val="nil"/>
        </w:pBdr>
        <w:rPr>
          <w:color w:val="000000"/>
        </w:rPr>
      </w:pPr>
      <w:r w:rsidRPr="007759F6">
        <w:rPr>
          <w:color w:val="000000"/>
        </w:rPr>
        <w:t xml:space="preserve">This information is used to manage the Bering Sea pollock fishery, to evaluate the salmon bycatch management measures, and to provide the public with </w:t>
      </w:r>
      <w:r w:rsidRPr="007759F6">
        <w:rPr>
          <w:color w:val="000000"/>
        </w:rPr>
        <w:t xml:space="preserve">information about how the program operates and information about bycatch reduction under this program. This information collection provides the Council and NMFS with information about the organization and fishing operations of the AFA cooperatives, allocations to the AFA cooperatives, and the effectiveness of the Chinook salmon and chum salmon bycatch management measures. This information is necessary to ensure long-term conservation and abundance of salmon and pollock, maintain a healthy marine ecosystem, </w:t>
      </w:r>
      <w:r w:rsidRPr="007759F6">
        <w:rPr>
          <w:color w:val="000000"/>
        </w:rPr>
        <w:t>and provide maximum benefit to fishermen and communities that depend on salmon and pollock.</w:t>
      </w:r>
    </w:p>
    <w:p w:rsidR="005F04F4" w:rsidP="0099558D" w14:paraId="7DEE5649" w14:textId="3B7131DF">
      <w:pPr>
        <w:widowControl/>
        <w:pBdr>
          <w:top w:val="nil"/>
          <w:left w:val="nil"/>
          <w:bottom w:val="nil"/>
          <w:right w:val="nil"/>
          <w:between w:val="nil"/>
        </w:pBdr>
        <w:rPr>
          <w:color w:val="000000"/>
        </w:rPr>
      </w:pPr>
    </w:p>
    <w:p w:rsidR="005F04F4" w:rsidRPr="00E8217A" w:rsidP="0099558D" w14:paraId="56D793EF" w14:textId="20A6638C">
      <w:pPr>
        <w:widowControl/>
        <w:tabs>
          <w:tab w:val="left" w:pos="360"/>
          <w:tab w:val="left" w:pos="720"/>
          <w:tab w:val="left" w:pos="1080"/>
        </w:tabs>
        <w:autoSpaceDE w:val="0"/>
        <w:autoSpaceDN w:val="0"/>
        <w:adjustRightInd w:val="0"/>
      </w:pPr>
      <w:r w:rsidRPr="00D902CD">
        <w:t xml:space="preserve">Other information </w:t>
      </w:r>
      <w:r w:rsidR="004503ED">
        <w:t xml:space="preserve">used </w:t>
      </w:r>
      <w:r w:rsidRPr="00D902CD">
        <w:t xml:space="preserve">to manage the BSAI pollock fishery </w:t>
      </w:r>
      <w:r>
        <w:t xml:space="preserve">under the AFA </w:t>
      </w:r>
      <w:r w:rsidRPr="00D902CD">
        <w:t xml:space="preserve">is collected under the </w:t>
      </w:r>
      <w:r w:rsidRPr="00E8217A">
        <w:t>following OMB control numbers:</w:t>
      </w:r>
    </w:p>
    <w:p w:rsidR="005F04F4" w:rsidRPr="00E8217A" w:rsidP="0099558D" w14:paraId="27531FDD" w14:textId="7942C38D">
      <w:pPr>
        <w:pStyle w:val="ListParagraph"/>
        <w:widowControl/>
        <w:numPr>
          <w:ilvl w:val="0"/>
          <w:numId w:val="15"/>
        </w:numPr>
        <w:tabs>
          <w:tab w:val="left" w:pos="360"/>
          <w:tab w:val="left" w:pos="720"/>
          <w:tab w:val="left" w:pos="1080"/>
        </w:tabs>
        <w:autoSpaceDE w:val="0"/>
        <w:autoSpaceDN w:val="0"/>
        <w:adjustRightInd w:val="0"/>
        <w:spacing w:before="0"/>
      </w:pPr>
      <w:r>
        <w:t>0648-0393</w:t>
      </w:r>
      <w:r w:rsidRPr="00E8217A">
        <w:t xml:space="preserve">: Alaska American Fisheries Act: </w:t>
      </w:r>
      <w:r>
        <w:t>Permits</w:t>
      </w:r>
    </w:p>
    <w:p w:rsidR="005F04F4" w:rsidRPr="00E8217A" w:rsidP="0099558D" w14:paraId="3AFA2FF6" w14:textId="77777777">
      <w:pPr>
        <w:pStyle w:val="ListParagraph"/>
        <w:widowControl/>
        <w:numPr>
          <w:ilvl w:val="0"/>
          <w:numId w:val="15"/>
        </w:numPr>
        <w:tabs>
          <w:tab w:val="left" w:pos="360"/>
          <w:tab w:val="left" w:pos="720"/>
          <w:tab w:val="left" w:pos="1080"/>
        </w:tabs>
        <w:autoSpaceDE w:val="0"/>
        <w:autoSpaceDN w:val="0"/>
        <w:adjustRightInd w:val="0"/>
        <w:spacing w:before="0"/>
      </w:pPr>
      <w:r w:rsidRPr="00E8217A">
        <w:t>0648-0633: Alaska Chinook Salmon Economic Data Report</w:t>
      </w:r>
    </w:p>
    <w:p w:rsidR="005F04F4" w:rsidP="0099558D" w14:paraId="2B0EBF91" w14:textId="5FDE058D">
      <w:pPr>
        <w:pStyle w:val="ListParagraph"/>
        <w:widowControl/>
        <w:numPr>
          <w:ilvl w:val="0"/>
          <w:numId w:val="15"/>
        </w:numPr>
        <w:tabs>
          <w:tab w:val="left" w:pos="360"/>
          <w:tab w:val="left" w:pos="720"/>
          <w:tab w:val="left" w:pos="1080"/>
        </w:tabs>
        <w:autoSpaceDE w:val="0"/>
        <w:autoSpaceDN w:val="0"/>
        <w:adjustRightInd w:val="0"/>
        <w:spacing w:before="0"/>
      </w:pPr>
      <w:r w:rsidRPr="00E8217A">
        <w:t>0648-0678: Alaska Council Cooperative Annual Reports</w:t>
      </w:r>
    </w:p>
    <w:p w:rsidR="007B4713" w:rsidP="0099558D" w14:paraId="6387D1E7" w14:textId="48D1AC3B">
      <w:pPr>
        <w:pStyle w:val="ListParagraph"/>
        <w:widowControl/>
        <w:numPr>
          <w:ilvl w:val="0"/>
          <w:numId w:val="15"/>
        </w:numPr>
        <w:tabs>
          <w:tab w:val="left" w:pos="360"/>
          <w:tab w:val="left" w:pos="720"/>
          <w:tab w:val="left" w:pos="1080"/>
        </w:tabs>
        <w:autoSpaceDE w:val="0"/>
        <w:autoSpaceDN w:val="0"/>
        <w:adjustRightInd w:val="0"/>
        <w:spacing w:before="0"/>
      </w:pPr>
      <w:r w:rsidRPr="007B4713">
        <w:t>0648-0711: Alaska Cost Recovery and Fee</w:t>
      </w:r>
      <w:r>
        <w:t xml:space="preserve"> Programs</w:t>
      </w:r>
    </w:p>
    <w:p w:rsidR="00BD156D" w:rsidP="0014426B" w14:paraId="27B42717" w14:textId="77777777">
      <w:pPr>
        <w:pStyle w:val="Heading1"/>
        <w:keepNext/>
        <w:widowControl/>
        <w:numPr>
          <w:ilvl w:val="0"/>
          <w:numId w:val="3"/>
        </w:numPr>
        <w:tabs>
          <w:tab w:val="left" w:pos="360"/>
        </w:tabs>
        <w:spacing w:before="197"/>
        <w:ind w:left="0" w:firstLine="0"/>
      </w:pPr>
      <w:r>
        <w:t>Indicate how, by whom, and for what purpose the information is to be used. Except for a new collection, indicate the actual use the agency has made of the information received from the current collection.</w:t>
      </w:r>
    </w:p>
    <w:p w:rsidR="00272AE4" w:rsidP="0014426B" w14:paraId="06CC1EE2" w14:textId="77777777">
      <w:pPr>
        <w:keepNext/>
        <w:widowControl/>
        <w:autoSpaceDE w:val="0"/>
        <w:autoSpaceDN w:val="0"/>
        <w:rPr>
          <w:rFonts w:eastAsiaTheme="minorHAnsi" w:cstheme="minorBidi"/>
          <w:szCs w:val="22"/>
        </w:rPr>
      </w:pPr>
    </w:p>
    <w:p w:rsidR="00A55FAB" w:rsidRPr="00A55FAB" w:rsidP="0014426B" w14:paraId="7D93E25D" w14:textId="2813485F">
      <w:pPr>
        <w:keepNext/>
        <w:widowControl/>
        <w:autoSpaceDE w:val="0"/>
        <w:autoSpaceDN w:val="0"/>
        <w:rPr>
          <w:rFonts w:eastAsiaTheme="minorHAnsi" w:cstheme="minorBidi"/>
          <w:szCs w:val="22"/>
        </w:rPr>
      </w:pPr>
      <w:r w:rsidRPr="00A55FAB">
        <w:rPr>
          <w:rFonts w:eastAsiaTheme="minorHAnsi" w:cstheme="minorBidi"/>
          <w:szCs w:val="22"/>
        </w:rPr>
        <w:t>This information collection contains the components listed in the table below. There are no forms associated with this information collection.</w:t>
      </w:r>
      <w:r w:rsidRPr="00A55FAB">
        <w:t xml:space="preserve"> </w:t>
      </w:r>
      <w:r w:rsidRPr="00A55FAB">
        <w:rPr>
          <w:rFonts w:eastAsiaTheme="minorHAnsi" w:cstheme="minorBidi"/>
          <w:szCs w:val="22"/>
        </w:rPr>
        <w:t>The information is usually submitted in a report or letter, and in an oral presentation to the Council.</w:t>
      </w:r>
    </w:p>
    <w:p w:rsidR="00A55FAB" w:rsidRPr="00A55FAB" w:rsidP="00A55FAB" w14:paraId="2D600BB6" w14:textId="77777777">
      <w:pPr>
        <w:widowControl/>
        <w:autoSpaceDE w:val="0"/>
        <w:autoSpaceDN w:val="0"/>
        <w:rPr>
          <w:rFonts w:eastAsiaTheme="minorHAnsi" w:cstheme="minorBidi"/>
          <w:szCs w:val="22"/>
        </w:rPr>
      </w:pPr>
    </w:p>
    <w:tbl>
      <w:tblPr>
        <w:tblW w:w="10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795"/>
        <w:gridCol w:w="1350"/>
        <w:gridCol w:w="1800"/>
        <w:gridCol w:w="1620"/>
        <w:gridCol w:w="1890"/>
        <w:gridCol w:w="1574"/>
      </w:tblGrid>
      <w:tr w14:paraId="6CEBF0CD" w14:textId="77777777" w:rsidTr="00B90392">
        <w:tblPrEx>
          <w:tblW w:w="10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36"/>
          <w:jc w:val="center"/>
        </w:trPr>
        <w:tc>
          <w:tcPr>
            <w:tcW w:w="1795" w:type="dxa"/>
            <w:tcBorders>
              <w:bottom w:val="single" w:sz="4" w:space="0" w:color="000000"/>
            </w:tcBorders>
            <w:shd w:val="clear" w:color="auto" w:fill="DEEAF6"/>
            <w:vAlign w:val="center"/>
          </w:tcPr>
          <w:p w:rsidR="00A55FAB" w:rsidRPr="00A55FAB" w:rsidP="00A55FAB" w14:paraId="58AE1DC2" w14:textId="77777777">
            <w:pPr>
              <w:keepNext/>
              <w:keepLines/>
              <w:widowControl/>
              <w:autoSpaceDE w:val="0"/>
              <w:autoSpaceDN w:val="0"/>
              <w:jc w:val="center"/>
              <w:rPr>
                <w:rFonts w:asciiTheme="minorHAnsi" w:eastAsiaTheme="minorHAnsi" w:hAnsiTheme="minorHAnsi" w:cstheme="minorHAnsi"/>
                <w:b/>
                <w:sz w:val="18"/>
                <w:szCs w:val="18"/>
              </w:rPr>
            </w:pPr>
            <w:r w:rsidRPr="00A55FAB">
              <w:rPr>
                <w:rFonts w:asciiTheme="minorHAnsi" w:eastAsiaTheme="minorHAnsi" w:hAnsiTheme="minorHAnsi" w:cstheme="minorHAnsi"/>
                <w:b/>
                <w:sz w:val="18"/>
                <w:szCs w:val="18"/>
              </w:rPr>
              <w:t>Requirement</w:t>
            </w:r>
          </w:p>
        </w:tc>
        <w:tc>
          <w:tcPr>
            <w:tcW w:w="1350" w:type="dxa"/>
            <w:tcBorders>
              <w:bottom w:val="single" w:sz="4" w:space="0" w:color="000000"/>
            </w:tcBorders>
            <w:shd w:val="clear" w:color="auto" w:fill="DEEAF6"/>
            <w:vAlign w:val="center"/>
          </w:tcPr>
          <w:p w:rsidR="00A55FAB" w:rsidRPr="00A55FAB" w:rsidP="00A55FAB" w14:paraId="2AB870BF" w14:textId="77777777">
            <w:pPr>
              <w:keepNext/>
              <w:keepLines/>
              <w:widowControl/>
              <w:autoSpaceDE w:val="0"/>
              <w:autoSpaceDN w:val="0"/>
              <w:jc w:val="center"/>
              <w:rPr>
                <w:rFonts w:asciiTheme="minorHAnsi" w:eastAsiaTheme="minorHAnsi" w:hAnsiTheme="minorHAnsi" w:cstheme="minorHAnsi"/>
                <w:b/>
                <w:sz w:val="18"/>
                <w:szCs w:val="18"/>
              </w:rPr>
            </w:pPr>
            <w:r w:rsidRPr="00A55FAB">
              <w:rPr>
                <w:rFonts w:asciiTheme="minorHAnsi" w:eastAsiaTheme="minorHAnsi" w:hAnsiTheme="minorHAnsi" w:cstheme="minorHAnsi"/>
                <w:b/>
                <w:sz w:val="18"/>
                <w:szCs w:val="18"/>
              </w:rPr>
              <w:t>Regulation</w:t>
            </w:r>
          </w:p>
          <w:p w:rsidR="00A55FAB" w:rsidRPr="00A55FAB" w:rsidP="00A55FAB" w14:paraId="00CA1DFE" w14:textId="77777777">
            <w:pPr>
              <w:keepNext/>
              <w:keepLines/>
              <w:widowControl/>
              <w:autoSpaceDE w:val="0"/>
              <w:autoSpaceDN w:val="0"/>
              <w:jc w:val="center"/>
              <w:rPr>
                <w:rFonts w:asciiTheme="minorHAnsi" w:eastAsiaTheme="minorHAnsi" w:hAnsiTheme="minorHAnsi" w:cstheme="minorHAnsi"/>
                <w:b/>
                <w:sz w:val="18"/>
                <w:szCs w:val="18"/>
              </w:rPr>
            </w:pPr>
            <w:r w:rsidRPr="00A55FAB">
              <w:rPr>
                <w:rFonts w:asciiTheme="minorHAnsi" w:eastAsiaTheme="minorHAnsi" w:hAnsiTheme="minorHAnsi" w:cstheme="minorHAnsi"/>
                <w:b/>
                <w:sz w:val="18"/>
                <w:szCs w:val="18"/>
              </w:rPr>
              <w:t>50 CFR</w:t>
            </w:r>
          </w:p>
        </w:tc>
        <w:tc>
          <w:tcPr>
            <w:tcW w:w="1800" w:type="dxa"/>
            <w:tcBorders>
              <w:bottom w:val="single" w:sz="4" w:space="0" w:color="000000"/>
            </w:tcBorders>
            <w:shd w:val="clear" w:color="auto" w:fill="DEEAF6"/>
            <w:vAlign w:val="center"/>
          </w:tcPr>
          <w:p w:rsidR="00A55FAB" w:rsidRPr="00A55FAB" w:rsidP="00A55FAB" w14:paraId="64ED3B24" w14:textId="77777777">
            <w:pPr>
              <w:keepNext/>
              <w:keepLines/>
              <w:widowControl/>
              <w:autoSpaceDE w:val="0"/>
              <w:autoSpaceDN w:val="0"/>
              <w:jc w:val="center"/>
              <w:rPr>
                <w:rFonts w:asciiTheme="minorHAnsi" w:eastAsiaTheme="minorHAnsi" w:hAnsiTheme="minorHAnsi" w:cstheme="minorHAnsi"/>
                <w:b/>
                <w:sz w:val="18"/>
                <w:szCs w:val="18"/>
              </w:rPr>
            </w:pPr>
            <w:r w:rsidRPr="00A55FAB">
              <w:rPr>
                <w:rFonts w:asciiTheme="minorHAnsi" w:eastAsiaTheme="minorHAnsi" w:hAnsiTheme="minorHAnsi" w:cstheme="minorHAnsi"/>
                <w:b/>
                <w:sz w:val="18"/>
                <w:szCs w:val="18"/>
              </w:rPr>
              <w:t>Who submits the information?</w:t>
            </w:r>
          </w:p>
        </w:tc>
        <w:tc>
          <w:tcPr>
            <w:tcW w:w="1620" w:type="dxa"/>
            <w:tcBorders>
              <w:bottom w:val="single" w:sz="4" w:space="0" w:color="000000"/>
            </w:tcBorders>
            <w:shd w:val="clear" w:color="auto" w:fill="DEEAF6"/>
            <w:vAlign w:val="center"/>
          </w:tcPr>
          <w:p w:rsidR="00A55FAB" w:rsidRPr="00A55FAB" w:rsidP="00A55FAB" w14:paraId="7C02B1D0" w14:textId="77777777">
            <w:pPr>
              <w:keepNext/>
              <w:keepLines/>
              <w:widowControl/>
              <w:autoSpaceDE w:val="0"/>
              <w:autoSpaceDN w:val="0"/>
              <w:jc w:val="center"/>
              <w:rPr>
                <w:rFonts w:asciiTheme="minorHAnsi" w:eastAsiaTheme="minorHAnsi" w:hAnsiTheme="minorHAnsi" w:cstheme="minorHAnsi"/>
                <w:b/>
                <w:sz w:val="18"/>
                <w:szCs w:val="18"/>
              </w:rPr>
            </w:pPr>
            <w:r w:rsidRPr="00A55FAB">
              <w:rPr>
                <w:rFonts w:asciiTheme="minorHAnsi" w:eastAsiaTheme="minorHAnsi" w:hAnsiTheme="minorHAnsi" w:cstheme="minorHAnsi"/>
                <w:b/>
                <w:sz w:val="18"/>
                <w:szCs w:val="18"/>
              </w:rPr>
              <w:t>How</w:t>
            </w:r>
            <w:r w:rsidRPr="00A55FAB">
              <w:rPr>
                <w:sz w:val="18"/>
                <w:szCs w:val="18"/>
              </w:rPr>
              <w:t xml:space="preserve"> </w:t>
            </w:r>
            <w:r w:rsidRPr="00A55FAB">
              <w:rPr>
                <w:rFonts w:asciiTheme="minorHAnsi" w:eastAsiaTheme="minorHAnsi" w:hAnsiTheme="minorHAnsi" w:cstheme="minorHAnsi"/>
                <w:b/>
                <w:sz w:val="18"/>
                <w:szCs w:val="18"/>
              </w:rPr>
              <w:t>Frequently?</w:t>
            </w:r>
          </w:p>
        </w:tc>
        <w:tc>
          <w:tcPr>
            <w:tcW w:w="1890" w:type="dxa"/>
            <w:tcBorders>
              <w:bottom w:val="single" w:sz="4" w:space="0" w:color="000000"/>
            </w:tcBorders>
            <w:shd w:val="clear" w:color="auto" w:fill="DEEAF6"/>
            <w:vAlign w:val="center"/>
          </w:tcPr>
          <w:p w:rsidR="00A55FAB" w:rsidRPr="00A55FAB" w:rsidP="00A55FAB" w14:paraId="0E6C66C9" w14:textId="77777777">
            <w:pPr>
              <w:keepNext/>
              <w:keepLines/>
              <w:widowControl/>
              <w:autoSpaceDE w:val="0"/>
              <w:autoSpaceDN w:val="0"/>
              <w:jc w:val="center"/>
              <w:rPr>
                <w:rFonts w:asciiTheme="minorHAnsi" w:eastAsiaTheme="minorHAnsi" w:hAnsiTheme="minorHAnsi" w:cstheme="minorHAnsi"/>
                <w:b/>
                <w:sz w:val="18"/>
                <w:szCs w:val="18"/>
              </w:rPr>
            </w:pPr>
            <w:r w:rsidRPr="00A55FAB">
              <w:rPr>
                <w:rFonts w:asciiTheme="minorHAnsi" w:eastAsiaTheme="minorHAnsi" w:hAnsiTheme="minorHAnsi" w:cstheme="minorHAnsi"/>
                <w:b/>
                <w:sz w:val="18"/>
                <w:szCs w:val="18"/>
              </w:rPr>
              <w:t>How submitted?</w:t>
            </w:r>
          </w:p>
        </w:tc>
        <w:tc>
          <w:tcPr>
            <w:tcW w:w="1574" w:type="dxa"/>
            <w:tcBorders>
              <w:bottom w:val="single" w:sz="4" w:space="0" w:color="000000"/>
            </w:tcBorders>
            <w:shd w:val="clear" w:color="auto" w:fill="DEEAF6"/>
            <w:vAlign w:val="center"/>
          </w:tcPr>
          <w:p w:rsidR="00A55FAB" w:rsidRPr="00A55FAB" w:rsidP="00A55FAB" w14:paraId="6FAFE7FC" w14:textId="77777777">
            <w:pPr>
              <w:keepNext/>
              <w:keepLines/>
              <w:widowControl/>
              <w:autoSpaceDE w:val="0"/>
              <w:autoSpaceDN w:val="0"/>
              <w:jc w:val="center"/>
              <w:rPr>
                <w:rFonts w:asciiTheme="minorHAnsi" w:eastAsiaTheme="minorHAnsi" w:hAnsiTheme="minorHAnsi" w:cstheme="minorHAnsi"/>
                <w:b/>
                <w:sz w:val="18"/>
                <w:szCs w:val="18"/>
              </w:rPr>
            </w:pPr>
            <w:r w:rsidRPr="00A55FAB">
              <w:rPr>
                <w:rFonts w:asciiTheme="minorHAnsi" w:eastAsiaTheme="minorHAnsi" w:hAnsiTheme="minorHAnsi" w:cstheme="minorHAnsi"/>
                <w:b/>
                <w:sz w:val="18"/>
                <w:szCs w:val="18"/>
              </w:rPr>
              <w:t xml:space="preserve">Who is it </w:t>
            </w:r>
          </w:p>
          <w:p w:rsidR="00A55FAB" w:rsidRPr="00A55FAB" w:rsidP="00A55FAB" w14:paraId="4A63ACE0" w14:textId="77777777">
            <w:pPr>
              <w:keepNext/>
              <w:keepLines/>
              <w:widowControl/>
              <w:autoSpaceDE w:val="0"/>
              <w:autoSpaceDN w:val="0"/>
              <w:jc w:val="center"/>
              <w:rPr>
                <w:rFonts w:asciiTheme="minorHAnsi" w:eastAsiaTheme="minorHAnsi" w:hAnsiTheme="minorHAnsi" w:cstheme="minorHAnsi"/>
                <w:b/>
                <w:sz w:val="18"/>
                <w:szCs w:val="18"/>
              </w:rPr>
            </w:pPr>
            <w:r w:rsidRPr="00A55FAB">
              <w:rPr>
                <w:rFonts w:asciiTheme="minorHAnsi" w:eastAsiaTheme="minorHAnsi" w:hAnsiTheme="minorHAnsi" w:cstheme="minorHAnsi"/>
                <w:b/>
                <w:sz w:val="18"/>
                <w:szCs w:val="18"/>
              </w:rPr>
              <w:t>submitted to?</w:t>
            </w:r>
          </w:p>
        </w:tc>
      </w:tr>
      <w:tr w14:paraId="3CFEA436" w14:textId="77777777" w:rsidTr="00B90392">
        <w:tblPrEx>
          <w:tblW w:w="10029" w:type="dxa"/>
          <w:jc w:val="center"/>
          <w:tblLayout w:type="fixed"/>
          <w:tblCellMar>
            <w:left w:w="0" w:type="dxa"/>
            <w:right w:w="0" w:type="dxa"/>
          </w:tblCellMar>
          <w:tblLook w:val="01E0"/>
        </w:tblPrEx>
        <w:trPr>
          <w:trHeight w:val="534"/>
          <w:jc w:val="center"/>
        </w:trPr>
        <w:tc>
          <w:tcPr>
            <w:tcW w:w="10029" w:type="dxa"/>
            <w:gridSpan w:val="6"/>
            <w:shd w:val="clear" w:color="auto" w:fill="F2F2F2" w:themeFill="background1" w:themeFillShade="F2"/>
            <w:vAlign w:val="center"/>
          </w:tcPr>
          <w:p w:rsidR="00A55FAB" w:rsidRPr="00A55FAB" w:rsidP="00A55FAB" w14:paraId="3281EA1A" w14:textId="77777777">
            <w:pPr>
              <w:keepNext/>
              <w:keepLines/>
              <w:widowControl/>
              <w:tabs>
                <w:tab w:val="left" w:pos="469"/>
                <w:tab w:val="left" w:pos="470"/>
              </w:tabs>
              <w:autoSpaceDE w:val="0"/>
              <w:autoSpaceDN w:val="0"/>
              <w:ind w:left="432"/>
              <w:rPr>
                <w:rFonts w:asciiTheme="minorHAnsi" w:eastAsiaTheme="minorHAnsi" w:hAnsiTheme="minorHAnsi" w:cstheme="minorHAnsi"/>
                <w:b/>
                <w:i/>
                <w:sz w:val="18"/>
                <w:szCs w:val="18"/>
              </w:rPr>
            </w:pPr>
            <w:r w:rsidRPr="00A55FAB">
              <w:rPr>
                <w:rFonts w:asciiTheme="minorHAnsi" w:eastAsiaTheme="minorHAnsi" w:hAnsiTheme="minorHAnsi" w:cstheme="minorHAnsi"/>
                <w:b/>
                <w:i/>
                <w:sz w:val="18"/>
                <w:szCs w:val="18"/>
              </w:rPr>
              <w:t xml:space="preserve">Requirements Related to </w:t>
            </w:r>
            <w:r w:rsidRPr="00A55FAB">
              <w:rPr>
                <w:rFonts w:asciiTheme="minorHAnsi" w:eastAsiaTheme="minorHAnsi" w:hAnsiTheme="minorHAnsi" w:cstheme="minorHAnsi"/>
                <w:b/>
                <w:i/>
                <w:sz w:val="18"/>
                <w:szCs w:val="18"/>
              </w:rPr>
              <w:t>On-going Operations of the Cooperatives</w:t>
            </w:r>
          </w:p>
        </w:tc>
      </w:tr>
      <w:tr w14:paraId="59ECA1C7" w14:textId="77777777" w:rsidTr="00B90392">
        <w:tblPrEx>
          <w:tblW w:w="10029" w:type="dxa"/>
          <w:jc w:val="center"/>
          <w:tblLayout w:type="fixed"/>
          <w:tblCellMar>
            <w:left w:w="0" w:type="dxa"/>
            <w:right w:w="0" w:type="dxa"/>
          </w:tblCellMar>
          <w:tblLook w:val="01E0"/>
        </w:tblPrEx>
        <w:trPr>
          <w:trHeight w:val="974"/>
          <w:jc w:val="center"/>
        </w:trPr>
        <w:tc>
          <w:tcPr>
            <w:tcW w:w="1795" w:type="dxa"/>
            <w:vAlign w:val="center"/>
          </w:tcPr>
          <w:p w:rsidR="00A55FAB" w:rsidRPr="00A55FAB" w:rsidP="00B90392" w14:paraId="4E4BB69D" w14:textId="0B59014C">
            <w:pPr>
              <w:widowControl/>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AFA Cooperative Contract</w:t>
            </w:r>
          </w:p>
        </w:tc>
        <w:tc>
          <w:tcPr>
            <w:tcW w:w="1350" w:type="dxa"/>
            <w:vAlign w:val="center"/>
          </w:tcPr>
          <w:p w:rsidR="00A55FAB" w:rsidRPr="00A55FAB" w:rsidP="00A55FAB" w14:paraId="49A97B5A" w14:textId="5A5C4AB4">
            <w:pPr>
              <w:widowControl/>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 xml:space="preserve">§ </w:t>
            </w:r>
            <w:hyperlink r:id="rId13" w:anchor="p-679.61(d)" w:history="1">
              <w:r w:rsidRPr="006D57F9">
                <w:rPr>
                  <w:rStyle w:val="Hyperlink"/>
                  <w:rFonts w:asciiTheme="minorHAnsi" w:eastAsiaTheme="minorHAnsi" w:hAnsiTheme="minorHAnsi" w:cstheme="minorHAnsi"/>
                  <w:sz w:val="18"/>
                  <w:szCs w:val="18"/>
                </w:rPr>
                <w:t>679.61(d)</w:t>
              </w:r>
            </w:hyperlink>
            <w:r w:rsidRPr="00A55FAB">
              <w:rPr>
                <w:rFonts w:asciiTheme="minorHAnsi" w:eastAsiaTheme="minorHAnsi" w:hAnsiTheme="minorHAnsi" w:cstheme="minorHAnsi"/>
                <w:sz w:val="18"/>
                <w:szCs w:val="18"/>
              </w:rPr>
              <w:t xml:space="preserve"> and </w:t>
            </w:r>
            <w:hyperlink r:id="rId13" w:anchor="p-679.61(e)" w:history="1">
              <w:r w:rsidRPr="006D57F9">
                <w:rPr>
                  <w:rStyle w:val="Hyperlink"/>
                  <w:rFonts w:asciiTheme="minorHAnsi" w:eastAsiaTheme="minorHAnsi" w:hAnsiTheme="minorHAnsi" w:cstheme="minorHAnsi"/>
                  <w:sz w:val="18"/>
                  <w:szCs w:val="18"/>
                </w:rPr>
                <w:t>(e)</w:t>
              </w:r>
            </w:hyperlink>
          </w:p>
        </w:tc>
        <w:tc>
          <w:tcPr>
            <w:tcW w:w="1800" w:type="dxa"/>
            <w:vAlign w:val="center"/>
          </w:tcPr>
          <w:p w:rsidR="00A55FAB" w:rsidRPr="00A55FAB" w:rsidP="00A55FAB" w14:paraId="05EE0F21" w14:textId="77777777">
            <w:pPr>
              <w:widowControl/>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AFA Cooperative representative</w:t>
            </w:r>
          </w:p>
        </w:tc>
        <w:tc>
          <w:tcPr>
            <w:tcW w:w="1620" w:type="dxa"/>
            <w:vAlign w:val="center"/>
          </w:tcPr>
          <w:p w:rsidR="00A55FAB" w:rsidRPr="00A55FAB" w:rsidP="00A55FAB" w14:paraId="18C719E4" w14:textId="77777777">
            <w:pPr>
              <w:widowControl/>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annually</w:t>
            </w:r>
          </w:p>
        </w:tc>
        <w:tc>
          <w:tcPr>
            <w:tcW w:w="1890" w:type="dxa"/>
            <w:vAlign w:val="center"/>
          </w:tcPr>
          <w:p w:rsidR="00A55FAB" w:rsidRPr="00A55FAB" w:rsidP="00A55FAB" w14:paraId="2938FC72" w14:textId="5206998D">
            <w:pPr>
              <w:widowControl/>
              <w:tabs>
                <w:tab w:val="left" w:pos="469"/>
                <w:tab w:val="left" w:pos="470"/>
              </w:tabs>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Mail, courier, or email</w:t>
            </w:r>
          </w:p>
        </w:tc>
        <w:tc>
          <w:tcPr>
            <w:tcW w:w="1574" w:type="dxa"/>
            <w:vAlign w:val="center"/>
          </w:tcPr>
          <w:p w:rsidR="00A55FAB" w:rsidRPr="00A55FAB" w:rsidP="00B90392" w14:paraId="0A39793C" w14:textId="77777777">
            <w:pPr>
              <w:widowControl/>
              <w:tabs>
                <w:tab w:val="left" w:pos="469"/>
                <w:tab w:val="left" w:pos="470"/>
              </w:tabs>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Council and NMFS</w:t>
            </w:r>
          </w:p>
        </w:tc>
      </w:tr>
      <w:tr w14:paraId="740F2A2E" w14:textId="77777777" w:rsidTr="00B90392">
        <w:tblPrEx>
          <w:tblW w:w="10029" w:type="dxa"/>
          <w:jc w:val="center"/>
          <w:tblLayout w:type="fixed"/>
          <w:tblCellMar>
            <w:left w:w="0" w:type="dxa"/>
            <w:right w:w="0" w:type="dxa"/>
          </w:tblCellMar>
          <w:tblLook w:val="01E0"/>
        </w:tblPrEx>
        <w:trPr>
          <w:trHeight w:val="506"/>
          <w:jc w:val="center"/>
        </w:trPr>
        <w:tc>
          <w:tcPr>
            <w:tcW w:w="10029" w:type="dxa"/>
            <w:gridSpan w:val="6"/>
            <w:shd w:val="clear" w:color="auto" w:fill="F2F2F2" w:themeFill="background1" w:themeFillShade="F2"/>
            <w:vAlign w:val="center"/>
          </w:tcPr>
          <w:p w:rsidR="00A55FAB" w:rsidRPr="00A55FAB" w:rsidP="00A55FAB" w14:paraId="21632856" w14:textId="77777777">
            <w:pPr>
              <w:widowControl/>
              <w:tabs>
                <w:tab w:val="left" w:pos="469"/>
                <w:tab w:val="left" w:pos="470"/>
              </w:tabs>
              <w:autoSpaceDE w:val="0"/>
              <w:autoSpaceDN w:val="0"/>
              <w:ind w:left="432"/>
              <w:rPr>
                <w:rFonts w:asciiTheme="minorHAnsi" w:eastAsiaTheme="minorHAnsi" w:hAnsiTheme="minorHAnsi" w:cstheme="minorHAnsi"/>
                <w:b/>
                <w:i/>
                <w:sz w:val="18"/>
                <w:szCs w:val="18"/>
              </w:rPr>
            </w:pPr>
            <w:r w:rsidRPr="00A55FAB">
              <w:rPr>
                <w:rFonts w:asciiTheme="minorHAnsi" w:eastAsiaTheme="minorHAnsi" w:hAnsiTheme="minorHAnsi" w:cstheme="minorHAnsi"/>
                <w:b/>
                <w:i/>
                <w:sz w:val="18"/>
                <w:szCs w:val="18"/>
              </w:rPr>
              <w:t>Requirements Related to Minimizing Salmon Bycatch</w:t>
            </w:r>
          </w:p>
        </w:tc>
      </w:tr>
      <w:tr w14:paraId="78D98ED3" w14:textId="77777777" w:rsidTr="00B90392">
        <w:tblPrEx>
          <w:tblW w:w="10029" w:type="dxa"/>
          <w:jc w:val="center"/>
          <w:tblLayout w:type="fixed"/>
          <w:tblCellMar>
            <w:left w:w="0" w:type="dxa"/>
            <w:right w:w="0" w:type="dxa"/>
          </w:tblCellMar>
          <w:tblLook w:val="01E0"/>
        </w:tblPrEx>
        <w:trPr>
          <w:trHeight w:val="994"/>
          <w:jc w:val="center"/>
        </w:trPr>
        <w:tc>
          <w:tcPr>
            <w:tcW w:w="1795" w:type="dxa"/>
            <w:vAlign w:val="center"/>
          </w:tcPr>
          <w:p w:rsidR="00A55FAB" w:rsidRPr="00A55FAB" w:rsidP="00B90392" w14:paraId="0ABECCB1" w14:textId="450C740E">
            <w:pPr>
              <w:widowControl/>
              <w:autoSpaceDE w:val="0"/>
              <w:autoSpaceDN w:val="0"/>
              <w:jc w:val="center"/>
              <w:rPr>
                <w:rFonts w:asciiTheme="minorHAnsi" w:eastAsiaTheme="minorHAnsi" w:hAnsiTheme="minorHAnsi" w:cstheme="minorHAnsi"/>
                <w:sz w:val="18"/>
                <w:szCs w:val="18"/>
              </w:rPr>
            </w:pPr>
            <w:r>
              <w:rPr>
                <w:rFonts w:asciiTheme="minorHAnsi" w:eastAsiaTheme="minorHAnsi" w:hAnsiTheme="minorHAnsi" w:cstheme="minorHAnsi"/>
                <w:sz w:val="18"/>
                <w:szCs w:val="18"/>
              </w:rPr>
              <w:t>Bering Sea Pollock Fishery</w:t>
            </w:r>
            <w:r w:rsidR="007F564A">
              <w:rPr>
                <w:rFonts w:asciiTheme="minorHAnsi" w:eastAsiaTheme="minorHAnsi" w:hAnsiTheme="minorHAnsi" w:cstheme="minorHAnsi"/>
                <w:sz w:val="18"/>
                <w:szCs w:val="18"/>
              </w:rPr>
              <w:t xml:space="preserve"> </w:t>
            </w:r>
            <w:r w:rsidRPr="00A55FAB">
              <w:rPr>
                <w:rFonts w:asciiTheme="minorHAnsi" w:eastAsiaTheme="minorHAnsi" w:hAnsiTheme="minorHAnsi" w:cstheme="minorHAnsi"/>
                <w:sz w:val="18"/>
                <w:szCs w:val="18"/>
              </w:rPr>
              <w:t>Incentive Plan Agreement (IPA)</w:t>
            </w:r>
          </w:p>
        </w:tc>
        <w:tc>
          <w:tcPr>
            <w:tcW w:w="1350" w:type="dxa"/>
            <w:vAlign w:val="center"/>
          </w:tcPr>
          <w:p w:rsidR="00A55FAB" w:rsidRPr="00A55FAB" w:rsidP="00A55FAB" w14:paraId="54BF6416" w14:textId="4145E77D">
            <w:pPr>
              <w:widowControl/>
              <w:autoSpaceDE w:val="0"/>
              <w:autoSpaceDN w:val="0"/>
              <w:jc w:val="center"/>
              <w:rPr>
                <w:rFonts w:asciiTheme="minorHAnsi" w:eastAsiaTheme="minorHAnsi" w:hAnsiTheme="minorHAnsi" w:cstheme="minorHAnsi"/>
                <w:sz w:val="18"/>
                <w:szCs w:val="18"/>
              </w:rPr>
            </w:pPr>
            <w:hyperlink r:id="rId14" w:anchor="p-679.21(f)(12)" w:history="1">
              <w:r w:rsidRPr="006D57F9">
                <w:rPr>
                  <w:rStyle w:val="Hyperlink"/>
                  <w:rFonts w:asciiTheme="minorHAnsi" w:eastAsiaTheme="minorHAnsi" w:hAnsiTheme="minorHAnsi" w:cstheme="minorHAnsi"/>
                  <w:sz w:val="18"/>
                  <w:szCs w:val="18"/>
                </w:rPr>
                <w:t>§ 679.21(f)(12)</w:t>
              </w:r>
            </w:hyperlink>
          </w:p>
        </w:tc>
        <w:tc>
          <w:tcPr>
            <w:tcW w:w="1800" w:type="dxa"/>
            <w:vAlign w:val="center"/>
          </w:tcPr>
          <w:p w:rsidR="00A55FAB" w:rsidRPr="00A55FAB" w:rsidP="00A55FAB" w14:paraId="4D6F8C43" w14:textId="77777777">
            <w:pPr>
              <w:widowControl/>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IPA representative</w:t>
            </w:r>
          </w:p>
        </w:tc>
        <w:tc>
          <w:tcPr>
            <w:tcW w:w="1620" w:type="dxa"/>
            <w:vAlign w:val="center"/>
          </w:tcPr>
          <w:p w:rsidR="00A55FAB" w:rsidRPr="00A55FAB" w:rsidP="00B90392" w14:paraId="026D16A5" w14:textId="04249AF3">
            <w:pPr>
              <w:widowControl/>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Once, then amended as needed</w:t>
            </w:r>
          </w:p>
        </w:tc>
        <w:tc>
          <w:tcPr>
            <w:tcW w:w="1890" w:type="dxa"/>
            <w:vAlign w:val="center"/>
          </w:tcPr>
          <w:p w:rsidR="00A55FAB" w:rsidRPr="00A55FAB" w:rsidP="00A55FAB" w14:paraId="2E0A6D84" w14:textId="77777777">
            <w:pPr>
              <w:widowControl/>
              <w:tabs>
                <w:tab w:val="left" w:pos="469"/>
                <w:tab w:val="left" w:pos="470"/>
              </w:tabs>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Mail, courier, or email</w:t>
            </w:r>
          </w:p>
        </w:tc>
        <w:tc>
          <w:tcPr>
            <w:tcW w:w="1574" w:type="dxa"/>
            <w:vAlign w:val="center"/>
          </w:tcPr>
          <w:p w:rsidR="00A55FAB" w:rsidRPr="00A55FAB" w:rsidP="00B90392" w14:paraId="611835EC" w14:textId="77777777">
            <w:pPr>
              <w:widowControl/>
              <w:tabs>
                <w:tab w:val="left" w:pos="469"/>
                <w:tab w:val="left" w:pos="470"/>
              </w:tabs>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NMFS</w:t>
            </w:r>
          </w:p>
        </w:tc>
      </w:tr>
      <w:tr w14:paraId="6381FAFB" w14:textId="77777777" w:rsidTr="00B90392">
        <w:tblPrEx>
          <w:tblW w:w="10029" w:type="dxa"/>
          <w:jc w:val="center"/>
          <w:tblLayout w:type="fixed"/>
          <w:tblCellMar>
            <w:left w:w="0" w:type="dxa"/>
            <w:right w:w="0" w:type="dxa"/>
          </w:tblCellMar>
          <w:tblLook w:val="01E0"/>
        </w:tblPrEx>
        <w:trPr>
          <w:trHeight w:val="994"/>
          <w:jc w:val="center"/>
        </w:trPr>
        <w:tc>
          <w:tcPr>
            <w:tcW w:w="1795" w:type="dxa"/>
            <w:vAlign w:val="center"/>
          </w:tcPr>
          <w:p w:rsidR="00A55FAB" w:rsidRPr="00A55FAB" w:rsidP="00B90392" w14:paraId="0AF698E6" w14:textId="316845D3">
            <w:pPr>
              <w:widowControl/>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Administrative appeals</w:t>
            </w:r>
            <w:r w:rsidR="00B90392">
              <w:rPr>
                <w:rFonts w:asciiTheme="minorHAnsi" w:eastAsiaTheme="minorHAnsi" w:hAnsiTheme="minorHAnsi" w:cstheme="minorHAnsi"/>
                <w:sz w:val="18"/>
                <w:szCs w:val="18"/>
              </w:rPr>
              <w:t xml:space="preserve"> </w:t>
            </w:r>
            <w:r w:rsidRPr="00A55FAB">
              <w:rPr>
                <w:rFonts w:asciiTheme="minorHAnsi" w:eastAsiaTheme="minorHAnsi" w:hAnsiTheme="minorHAnsi" w:cstheme="minorHAnsi"/>
                <w:sz w:val="18"/>
                <w:szCs w:val="18"/>
              </w:rPr>
              <w:t>to disapproved IPA</w:t>
            </w:r>
          </w:p>
        </w:tc>
        <w:tc>
          <w:tcPr>
            <w:tcW w:w="1350" w:type="dxa"/>
            <w:vAlign w:val="center"/>
          </w:tcPr>
          <w:p w:rsidR="00A55FAB" w:rsidRPr="00A55FAB" w:rsidP="006D57F9" w14:paraId="31545A91" w14:textId="0DC5D93A">
            <w:pPr>
              <w:widowControl/>
              <w:autoSpaceDE w:val="0"/>
              <w:autoSpaceDN w:val="0"/>
              <w:jc w:val="center"/>
              <w:rPr>
                <w:rFonts w:asciiTheme="minorHAnsi" w:eastAsiaTheme="minorHAnsi" w:hAnsiTheme="minorHAnsi" w:cstheme="minorHAnsi"/>
                <w:sz w:val="18"/>
                <w:szCs w:val="18"/>
              </w:rPr>
            </w:pPr>
            <w:hyperlink r:id="rId14" w:anchor="p-679.21(f)(12)(v)(D)(3)" w:history="1">
              <w:r w:rsidRPr="00860C45">
                <w:rPr>
                  <w:rStyle w:val="Hyperlink"/>
                  <w:rFonts w:asciiTheme="minorHAnsi" w:eastAsiaTheme="minorHAnsi" w:hAnsiTheme="minorHAnsi" w:cstheme="minorHAnsi"/>
                  <w:sz w:val="18"/>
                  <w:szCs w:val="18"/>
                </w:rPr>
                <w:t>§ 679.21(f)(12)(v)(D)(</w:t>
              </w:r>
              <w:r w:rsidRPr="00860C45">
                <w:rPr>
                  <w:rStyle w:val="Hyperlink"/>
                  <w:rFonts w:asciiTheme="minorHAnsi" w:eastAsiaTheme="minorHAnsi" w:hAnsiTheme="minorHAnsi" w:cstheme="minorHAnsi"/>
                  <w:i/>
                  <w:sz w:val="18"/>
                  <w:szCs w:val="18"/>
                </w:rPr>
                <w:t>3</w:t>
              </w:r>
              <w:r w:rsidRPr="00860C45">
                <w:rPr>
                  <w:rStyle w:val="Hyperlink"/>
                  <w:rFonts w:asciiTheme="minorHAnsi" w:eastAsiaTheme="minorHAnsi" w:hAnsiTheme="minorHAnsi" w:cstheme="minorHAnsi"/>
                  <w:sz w:val="18"/>
                  <w:szCs w:val="18"/>
                </w:rPr>
                <w:t>)</w:t>
              </w:r>
            </w:hyperlink>
          </w:p>
        </w:tc>
        <w:tc>
          <w:tcPr>
            <w:tcW w:w="1800" w:type="dxa"/>
            <w:vAlign w:val="center"/>
          </w:tcPr>
          <w:p w:rsidR="00A55FAB" w:rsidRPr="00A55FAB" w:rsidP="00A55FAB" w14:paraId="0C232A32" w14:textId="77777777">
            <w:pPr>
              <w:widowControl/>
              <w:autoSpaceDE w:val="0"/>
              <w:autoSpaceDN w:val="0"/>
              <w:jc w:val="center"/>
              <w:rPr>
                <w:rFonts w:asciiTheme="minorHAnsi" w:eastAsiaTheme="minorHAnsi" w:hAnsiTheme="minorHAnsi" w:cstheme="minorHAnsi"/>
                <w:sz w:val="18"/>
                <w:szCs w:val="18"/>
              </w:rPr>
            </w:pPr>
            <w:r w:rsidRPr="00A55FAB">
              <w:rPr>
                <w:rFonts w:asciiTheme="minorHAnsi" w:hAnsiTheme="minorHAnsi" w:cstheme="minorHAnsi"/>
                <w:sz w:val="18"/>
                <w:szCs w:val="18"/>
              </w:rPr>
              <w:t>IPA representative</w:t>
            </w:r>
          </w:p>
        </w:tc>
        <w:tc>
          <w:tcPr>
            <w:tcW w:w="1620" w:type="dxa"/>
            <w:vAlign w:val="center"/>
          </w:tcPr>
          <w:p w:rsidR="00A55FAB" w:rsidRPr="00A55FAB" w:rsidP="00A55FAB" w14:paraId="3C167883" w14:textId="77777777">
            <w:pPr>
              <w:widowControl/>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As needed</w:t>
            </w:r>
          </w:p>
        </w:tc>
        <w:tc>
          <w:tcPr>
            <w:tcW w:w="1890" w:type="dxa"/>
            <w:vAlign w:val="center"/>
          </w:tcPr>
          <w:p w:rsidR="00A55FAB" w:rsidRPr="00A55FAB" w:rsidP="00A55FAB" w14:paraId="451A03D8" w14:textId="77777777">
            <w:pPr>
              <w:widowControl/>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Mail, courier, or fax</w:t>
            </w:r>
          </w:p>
        </w:tc>
        <w:tc>
          <w:tcPr>
            <w:tcW w:w="1574" w:type="dxa"/>
            <w:vAlign w:val="center"/>
          </w:tcPr>
          <w:p w:rsidR="00A55FAB" w:rsidRPr="00A55FAB" w:rsidP="00B90392" w14:paraId="12124F89" w14:textId="77777777">
            <w:pPr>
              <w:widowControl/>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NMFS</w:t>
            </w:r>
          </w:p>
        </w:tc>
      </w:tr>
      <w:tr w14:paraId="2B06FE81" w14:textId="77777777" w:rsidTr="00B90392">
        <w:tblPrEx>
          <w:tblW w:w="10029" w:type="dxa"/>
          <w:jc w:val="center"/>
          <w:tblLayout w:type="fixed"/>
          <w:tblCellMar>
            <w:left w:w="0" w:type="dxa"/>
            <w:right w:w="0" w:type="dxa"/>
          </w:tblCellMar>
          <w:tblLook w:val="01E0"/>
        </w:tblPrEx>
        <w:trPr>
          <w:trHeight w:val="660"/>
          <w:jc w:val="center"/>
        </w:trPr>
        <w:tc>
          <w:tcPr>
            <w:tcW w:w="1795" w:type="dxa"/>
            <w:vAlign w:val="center"/>
          </w:tcPr>
          <w:p w:rsidR="00A55FAB" w:rsidRPr="00A55FAB" w:rsidP="00A55FAB" w14:paraId="0C866294" w14:textId="38F3E935">
            <w:pPr>
              <w:widowControl/>
              <w:autoSpaceDE w:val="0"/>
              <w:autoSpaceDN w:val="0"/>
              <w:jc w:val="center"/>
              <w:rPr>
                <w:rFonts w:asciiTheme="minorHAnsi" w:eastAsiaTheme="minorHAnsi" w:hAnsiTheme="minorHAnsi" w:cstheme="minorHAnsi"/>
                <w:sz w:val="18"/>
                <w:szCs w:val="18"/>
              </w:rPr>
            </w:pPr>
            <w:r w:rsidRPr="001F358C">
              <w:rPr>
                <w:rFonts w:asciiTheme="minorHAnsi" w:eastAsiaTheme="minorHAnsi" w:hAnsiTheme="minorHAnsi" w:cstheme="minorHAnsi"/>
                <w:sz w:val="18"/>
                <w:szCs w:val="18"/>
              </w:rPr>
              <w:t xml:space="preserve">Bering Sea Pollock Fishery </w:t>
            </w:r>
            <w:r w:rsidRPr="00A55FAB">
              <w:rPr>
                <w:rFonts w:asciiTheme="minorHAnsi" w:eastAsiaTheme="minorHAnsi" w:hAnsiTheme="minorHAnsi" w:cstheme="minorHAnsi"/>
                <w:sz w:val="18"/>
                <w:szCs w:val="18"/>
              </w:rPr>
              <w:t>IPA Annual Report</w:t>
            </w:r>
          </w:p>
        </w:tc>
        <w:tc>
          <w:tcPr>
            <w:tcW w:w="1350" w:type="dxa"/>
            <w:vAlign w:val="center"/>
          </w:tcPr>
          <w:p w:rsidR="00A55FAB" w:rsidRPr="00A55FAB" w:rsidP="00A55FAB" w14:paraId="1A8070C1" w14:textId="73BF6D03">
            <w:pPr>
              <w:widowControl/>
              <w:autoSpaceDE w:val="0"/>
              <w:autoSpaceDN w:val="0"/>
              <w:jc w:val="center"/>
              <w:rPr>
                <w:rFonts w:asciiTheme="minorHAnsi" w:eastAsiaTheme="minorHAnsi" w:hAnsiTheme="minorHAnsi" w:cstheme="minorHAnsi"/>
                <w:sz w:val="18"/>
                <w:szCs w:val="18"/>
              </w:rPr>
            </w:pPr>
            <w:hyperlink r:id="rId14" w:anchor="p-679.21(f)(13)" w:history="1">
              <w:r w:rsidRPr="0015071F">
                <w:rPr>
                  <w:rStyle w:val="Hyperlink"/>
                  <w:rFonts w:asciiTheme="minorHAnsi" w:eastAsiaTheme="minorHAnsi" w:hAnsiTheme="minorHAnsi" w:cstheme="minorHAnsi"/>
                  <w:sz w:val="18"/>
                  <w:szCs w:val="18"/>
                </w:rPr>
                <w:t>§ 679.21(f)(13)</w:t>
              </w:r>
            </w:hyperlink>
          </w:p>
        </w:tc>
        <w:tc>
          <w:tcPr>
            <w:tcW w:w="1800" w:type="dxa"/>
            <w:vAlign w:val="center"/>
          </w:tcPr>
          <w:p w:rsidR="00A55FAB" w:rsidRPr="00A55FAB" w:rsidP="00A55FAB" w14:paraId="4C725D4D" w14:textId="77777777">
            <w:pPr>
              <w:widowControl/>
              <w:autoSpaceDE w:val="0"/>
              <w:autoSpaceDN w:val="0"/>
              <w:jc w:val="center"/>
              <w:rPr>
                <w:rFonts w:asciiTheme="minorHAnsi" w:eastAsiaTheme="minorHAnsi" w:hAnsiTheme="minorHAnsi" w:cstheme="minorHAnsi"/>
                <w:sz w:val="18"/>
                <w:szCs w:val="18"/>
              </w:rPr>
            </w:pPr>
            <w:r w:rsidRPr="00A55FAB">
              <w:rPr>
                <w:rFonts w:asciiTheme="minorHAnsi" w:hAnsiTheme="minorHAnsi" w:cstheme="minorHAnsi"/>
                <w:sz w:val="18"/>
                <w:szCs w:val="18"/>
              </w:rPr>
              <w:t>IPA representative</w:t>
            </w:r>
          </w:p>
        </w:tc>
        <w:tc>
          <w:tcPr>
            <w:tcW w:w="1620" w:type="dxa"/>
            <w:vAlign w:val="center"/>
          </w:tcPr>
          <w:p w:rsidR="00A55FAB" w:rsidRPr="00A55FAB" w:rsidP="00A55FAB" w14:paraId="5A722DDC" w14:textId="77777777">
            <w:pPr>
              <w:widowControl/>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annually</w:t>
            </w:r>
          </w:p>
        </w:tc>
        <w:tc>
          <w:tcPr>
            <w:tcW w:w="1890" w:type="dxa"/>
            <w:vAlign w:val="center"/>
          </w:tcPr>
          <w:p w:rsidR="00A55FAB" w:rsidRPr="00A55FAB" w:rsidP="00A55FAB" w14:paraId="6956376C" w14:textId="77777777">
            <w:pPr>
              <w:widowControl/>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Mail, courier, or email;</w:t>
            </w:r>
            <w:r w:rsidRPr="00A55FAB">
              <w:t xml:space="preserve"> </w:t>
            </w:r>
            <w:r w:rsidRPr="00A55FAB">
              <w:rPr>
                <w:rFonts w:asciiTheme="minorHAnsi" w:eastAsiaTheme="minorHAnsi" w:hAnsiTheme="minorHAnsi" w:cstheme="minorHAnsi"/>
                <w:sz w:val="18"/>
                <w:szCs w:val="18"/>
              </w:rPr>
              <w:t>and voluntary oral report to the Council</w:t>
            </w:r>
          </w:p>
        </w:tc>
        <w:tc>
          <w:tcPr>
            <w:tcW w:w="1574" w:type="dxa"/>
            <w:vAlign w:val="center"/>
          </w:tcPr>
          <w:p w:rsidR="00A55FAB" w:rsidRPr="00A55FAB" w:rsidP="00A55FAB" w14:paraId="2B9916A8" w14:textId="77777777">
            <w:pPr>
              <w:widowControl/>
              <w:autoSpaceDE w:val="0"/>
              <w:autoSpaceDN w:val="0"/>
              <w:jc w:val="center"/>
              <w:rPr>
                <w:rFonts w:asciiTheme="minorHAnsi" w:eastAsiaTheme="minorHAnsi" w:hAnsiTheme="minorHAnsi" w:cstheme="minorHAnsi"/>
                <w:sz w:val="18"/>
                <w:szCs w:val="18"/>
              </w:rPr>
            </w:pPr>
            <w:r w:rsidRPr="00A55FAB">
              <w:rPr>
                <w:rFonts w:asciiTheme="minorHAnsi" w:eastAsiaTheme="minorHAnsi" w:hAnsiTheme="minorHAnsi" w:cstheme="minorHAnsi"/>
                <w:sz w:val="18"/>
                <w:szCs w:val="18"/>
              </w:rPr>
              <w:t>Council</w:t>
            </w:r>
          </w:p>
        </w:tc>
      </w:tr>
    </w:tbl>
    <w:p w:rsidR="00A55FAB" w:rsidRPr="00A55FAB" w:rsidP="00A55FAB" w14:paraId="465E5BAD" w14:textId="77777777">
      <w:pPr>
        <w:widowControl/>
        <w:autoSpaceDE w:val="0"/>
        <w:autoSpaceDN w:val="0"/>
        <w:outlineLvl w:val="0"/>
        <w:rPr>
          <w:rFonts w:eastAsiaTheme="minorHAnsi"/>
          <w:b/>
          <w:bCs/>
        </w:rPr>
      </w:pPr>
    </w:p>
    <w:p w:rsidR="00A55FAB" w:rsidRPr="00A55FAB" w:rsidP="0099558D" w14:paraId="716EE4E4" w14:textId="77777777">
      <w:pPr>
        <w:widowControl/>
        <w:autoSpaceDE w:val="0"/>
        <w:autoSpaceDN w:val="0"/>
      </w:pPr>
    </w:p>
    <w:p w:rsidR="00A55FAB" w:rsidRPr="00A55FAB" w:rsidP="0099558D" w14:paraId="464FFA3C" w14:textId="16468276">
      <w:pPr>
        <w:widowControl/>
        <w:autoSpaceDE w:val="0"/>
        <w:autoSpaceDN w:val="0"/>
        <w:rPr>
          <w:rFonts w:eastAsia="Batang"/>
          <w:b/>
        </w:rPr>
      </w:pPr>
      <w:r w:rsidRPr="00A55FAB">
        <w:rPr>
          <w:rFonts w:eastAsia="Batang"/>
          <w:b/>
        </w:rPr>
        <w:t xml:space="preserve">Changes to this Collection </w:t>
      </w:r>
    </w:p>
    <w:p w:rsidR="00B37C98" w:rsidP="0099558D" w14:paraId="0CDE6BF2" w14:textId="758ED760">
      <w:pPr>
        <w:widowControl/>
        <w:autoSpaceDE w:val="0"/>
        <w:autoSpaceDN w:val="0"/>
        <w:rPr>
          <w:rFonts w:eastAsia="Batang"/>
        </w:rPr>
      </w:pPr>
      <w:r w:rsidRPr="00B37C98">
        <w:rPr>
          <w:rFonts w:eastAsia="Batang"/>
        </w:rPr>
        <w:t xml:space="preserve">No changes </w:t>
      </w:r>
      <w:r w:rsidR="00B123F8">
        <w:rPr>
          <w:rFonts w:eastAsia="Batang"/>
        </w:rPr>
        <w:t xml:space="preserve">or revisions </w:t>
      </w:r>
      <w:r w:rsidRPr="00B37C98">
        <w:rPr>
          <w:rFonts w:eastAsia="Batang"/>
        </w:rPr>
        <w:t xml:space="preserve">were made to this information collection since OMB approved the last extension in </w:t>
      </w:r>
      <w:r w:rsidRPr="00B37C98" w:rsidR="00B123F8">
        <w:rPr>
          <w:rFonts w:eastAsia="Batang"/>
        </w:rPr>
        <w:t>202</w:t>
      </w:r>
      <w:r w:rsidR="00E35DD6">
        <w:rPr>
          <w:rFonts w:eastAsia="Batang"/>
        </w:rPr>
        <w:t>4</w:t>
      </w:r>
      <w:r w:rsidRPr="00B37C98">
        <w:rPr>
          <w:rFonts w:eastAsia="Batang"/>
        </w:rPr>
        <w:t>.</w:t>
      </w:r>
      <w:r w:rsidR="002E7072">
        <w:rPr>
          <w:rFonts w:eastAsia="Batang"/>
        </w:rPr>
        <w:t xml:space="preserve"> </w:t>
      </w:r>
    </w:p>
    <w:p w:rsidR="00A55FAB" w:rsidRPr="00A55FAB" w:rsidP="0099558D" w14:paraId="774D1905" w14:textId="77777777">
      <w:pPr>
        <w:widowControl/>
        <w:autoSpaceDE w:val="0"/>
        <w:autoSpaceDN w:val="0"/>
        <w:rPr>
          <w:rFonts w:eastAsia="Batang"/>
        </w:rPr>
      </w:pPr>
    </w:p>
    <w:p w:rsidR="00A55FAB" w:rsidRPr="002E5DD2" w:rsidP="0099558D" w14:paraId="63C5D3AB" w14:textId="19F2304D">
      <w:pPr>
        <w:widowControl/>
        <w:autoSpaceDE w:val="0"/>
        <w:autoSpaceDN w:val="0"/>
        <w:rPr>
          <w:b/>
        </w:rPr>
      </w:pPr>
      <w:r w:rsidRPr="002E5DD2">
        <w:rPr>
          <w:b/>
        </w:rPr>
        <w:t xml:space="preserve">Requirements Related to the Formation and On-going Operations of the AFA Cooperatives </w:t>
      </w:r>
    </w:p>
    <w:p w:rsidR="00A55FAB" w:rsidP="0099558D" w14:paraId="375634E4" w14:textId="2C7D0D24">
      <w:pPr>
        <w:widowControl/>
        <w:autoSpaceDE w:val="0"/>
        <w:autoSpaceDN w:val="0"/>
      </w:pPr>
      <w:r>
        <w:t>Additional information is provided below on the AFA Cooper</w:t>
      </w:r>
      <w:r w:rsidR="004E41CE">
        <w:t>a</w:t>
      </w:r>
      <w:r>
        <w:t>tive Contract</w:t>
      </w:r>
      <w:r w:rsidR="004E41CE">
        <w:t>,</w:t>
      </w:r>
      <w:r>
        <w:t xml:space="preserve"> which </w:t>
      </w:r>
      <w:r w:rsidR="004E41CE">
        <w:t>is</w:t>
      </w:r>
      <w:r w:rsidR="008F2E5F">
        <w:t xml:space="preserve"> related to the formation and on-going operations of the AFA cooperatives.</w:t>
      </w:r>
    </w:p>
    <w:p w:rsidR="008F2E5F" w:rsidRPr="00A55FAB" w:rsidP="0099558D" w14:paraId="2B94AEC5" w14:textId="77777777">
      <w:pPr>
        <w:widowControl/>
        <w:autoSpaceDE w:val="0"/>
        <w:autoSpaceDN w:val="0"/>
      </w:pPr>
    </w:p>
    <w:p w:rsidR="00A55FAB" w:rsidRPr="002E5DD2" w:rsidP="0099558D" w14:paraId="0137ECA4" w14:textId="77777777">
      <w:pPr>
        <w:widowControl/>
        <w:tabs>
          <w:tab w:val="left" w:pos="400"/>
        </w:tabs>
        <w:autoSpaceDE w:val="0"/>
        <w:autoSpaceDN w:val="0"/>
        <w:outlineLvl w:val="0"/>
        <w:rPr>
          <w:rFonts w:eastAsiaTheme="minorHAnsi" w:cstheme="minorBidi"/>
          <w:i/>
        </w:rPr>
      </w:pPr>
      <w:r w:rsidRPr="002E5DD2">
        <w:rPr>
          <w:rFonts w:eastAsiaTheme="minorHAnsi" w:cstheme="minorBidi"/>
          <w:b/>
          <w:bCs/>
          <w:i/>
        </w:rPr>
        <w:t xml:space="preserve">AFA Cooperative Contract </w:t>
      </w:r>
    </w:p>
    <w:p w:rsidR="00A55FAB" w:rsidRPr="00A55FAB" w:rsidP="0099558D" w14:paraId="597E12F0" w14:textId="1DCC013F">
      <w:pPr>
        <w:widowControl/>
        <w:autoSpaceDE w:val="0"/>
        <w:autoSpaceDN w:val="0"/>
        <w:rPr>
          <w:rFonts w:eastAsiaTheme="minorHAnsi" w:cstheme="minorBidi"/>
        </w:rPr>
      </w:pPr>
      <w:r w:rsidRPr="00A55FAB">
        <w:rPr>
          <w:rFonts w:eastAsiaTheme="minorHAnsi" w:cstheme="minorBidi"/>
        </w:rPr>
        <w:t>Any fishery cooperative formed under section 1 of the Fisherman’s Collective Marketing Act 1934</w:t>
      </w:r>
      <w:r>
        <w:rPr>
          <w:rStyle w:val="FootnoteReference"/>
          <w:rFonts w:eastAsiaTheme="minorHAnsi" w:cstheme="minorBidi"/>
        </w:rPr>
        <w:footnoteReference w:id="7"/>
      </w:r>
      <w:r w:rsidRPr="00A55FAB">
        <w:rPr>
          <w:rFonts w:eastAsiaTheme="minorHAnsi" w:cstheme="minorBidi"/>
        </w:rPr>
        <w:t xml:space="preserve"> (15 U.S.C. 521) (FCMA) for the purpose of cooperatively managing directed fishing for Bering Sea subarea pollock must submit to NMFS an annual cooperative contract. The AFA cooperatives that meet this requirement are the </w:t>
      </w:r>
      <w:r w:rsidR="00CF0980">
        <w:rPr>
          <w:rFonts w:eastAsiaTheme="minorHAnsi" w:cstheme="minorBidi"/>
        </w:rPr>
        <w:t>Mothership Fleet Cooperative</w:t>
      </w:r>
      <w:r w:rsidRPr="00A55FAB">
        <w:rPr>
          <w:rFonts w:eastAsiaTheme="minorHAnsi" w:cstheme="minorBidi"/>
        </w:rPr>
        <w:t xml:space="preserve">, the catcher/processor sector cooperative consisting of </w:t>
      </w:r>
      <w:r w:rsidR="008B4D95">
        <w:rPr>
          <w:rFonts w:eastAsiaTheme="minorHAnsi" w:cstheme="minorBidi"/>
        </w:rPr>
        <w:t>PCC</w:t>
      </w:r>
      <w:r w:rsidRPr="00A55FAB">
        <w:rPr>
          <w:rFonts w:eastAsiaTheme="minorHAnsi" w:cstheme="minorBidi"/>
        </w:rPr>
        <w:t xml:space="preserve"> and </w:t>
      </w:r>
      <w:r w:rsidR="008B4D95">
        <w:rPr>
          <w:rFonts w:eastAsiaTheme="minorHAnsi" w:cstheme="minorBidi"/>
        </w:rPr>
        <w:t>HSCC</w:t>
      </w:r>
      <w:r w:rsidRPr="00A55FAB">
        <w:rPr>
          <w:rFonts w:eastAsiaTheme="minorHAnsi" w:cstheme="minorBidi"/>
        </w:rPr>
        <w:t xml:space="preserve">, and the </w:t>
      </w:r>
      <w:r w:rsidR="00B01EF1">
        <w:rPr>
          <w:rFonts w:eastAsiaTheme="minorHAnsi" w:cstheme="minorBidi"/>
        </w:rPr>
        <w:t>five</w:t>
      </w:r>
      <w:r w:rsidRPr="00A55FAB" w:rsidR="00B01EF1">
        <w:rPr>
          <w:rFonts w:eastAsiaTheme="minorHAnsi" w:cstheme="minorBidi"/>
        </w:rPr>
        <w:t xml:space="preserve"> </w:t>
      </w:r>
      <w:r w:rsidRPr="00A55FAB">
        <w:rPr>
          <w:rFonts w:eastAsiaTheme="minorHAnsi" w:cstheme="minorBidi"/>
        </w:rPr>
        <w:t xml:space="preserve">AFA inshore cooperatives, for a total of </w:t>
      </w:r>
      <w:r w:rsidR="00B01EF1">
        <w:rPr>
          <w:rFonts w:eastAsiaTheme="minorHAnsi" w:cstheme="minorBidi"/>
        </w:rPr>
        <w:t>seven</w:t>
      </w:r>
      <w:r w:rsidRPr="00A55FAB" w:rsidR="00B01EF1">
        <w:rPr>
          <w:rFonts w:eastAsiaTheme="minorHAnsi" w:cstheme="minorBidi"/>
        </w:rPr>
        <w:t xml:space="preserve"> </w:t>
      </w:r>
      <w:r w:rsidRPr="00A55FAB">
        <w:rPr>
          <w:rFonts w:eastAsiaTheme="minorHAnsi" w:cstheme="minorBidi"/>
        </w:rPr>
        <w:t>respondents.</w:t>
      </w:r>
      <w:r w:rsidR="0099558D">
        <w:rPr>
          <w:rFonts w:eastAsiaTheme="minorHAnsi" w:cstheme="minorBidi"/>
        </w:rPr>
        <w:t xml:space="preserve"> </w:t>
      </w:r>
    </w:p>
    <w:p w:rsidR="00A55FAB" w:rsidRPr="00A55FAB" w:rsidP="0099558D" w14:paraId="54A96657" w14:textId="77777777">
      <w:pPr>
        <w:widowControl/>
        <w:autoSpaceDE w:val="0"/>
        <w:autoSpaceDN w:val="0"/>
        <w:rPr>
          <w:rFonts w:eastAsiaTheme="minorHAnsi" w:cstheme="minorBidi"/>
        </w:rPr>
      </w:pPr>
    </w:p>
    <w:p w:rsidR="00A55FAB" w:rsidRPr="00A55FAB" w:rsidP="0099558D" w14:paraId="01C80528" w14:textId="77777777">
      <w:pPr>
        <w:widowControl/>
        <w:autoSpaceDE w:val="0"/>
        <w:autoSpaceDN w:val="0"/>
        <w:rPr>
          <w:rFonts w:eastAsiaTheme="minorHAnsi" w:cstheme="minorBidi"/>
        </w:rPr>
      </w:pPr>
      <w:r w:rsidRPr="00A55FAB">
        <w:rPr>
          <w:rFonts w:eastAsiaTheme="minorHAnsi" w:cstheme="minorBidi"/>
        </w:rPr>
        <w:t>Annually, each AFA cooperative must file with the Council and NMFS</w:t>
      </w:r>
      <w:r w:rsidRPr="00A55FAB">
        <w:rPr>
          <w:rFonts w:eastAsiaTheme="minorHAnsi"/>
        </w:rPr>
        <w:t>—</w:t>
      </w:r>
    </w:p>
    <w:p w:rsidR="00A55FAB" w:rsidRPr="00A55FAB" w:rsidP="0099558D" w14:paraId="717A7212" w14:textId="77777777">
      <w:pPr>
        <w:widowControl/>
        <w:numPr>
          <w:ilvl w:val="0"/>
          <w:numId w:val="13"/>
        </w:numPr>
        <w:autoSpaceDE w:val="0"/>
        <w:autoSpaceDN w:val="0"/>
        <w:rPr>
          <w:rFonts w:eastAsiaTheme="minorHAnsi" w:cstheme="minorBidi"/>
        </w:rPr>
      </w:pPr>
      <w:r w:rsidRPr="00A55FAB">
        <w:rPr>
          <w:rFonts w:eastAsiaTheme="minorHAnsi" w:cstheme="minorBidi"/>
        </w:rPr>
        <w:t>a signed copy of its fishery cooperative contract;</w:t>
      </w:r>
    </w:p>
    <w:p w:rsidR="00A55FAB" w:rsidRPr="00A55FAB" w:rsidP="0099558D" w14:paraId="017712A2" w14:textId="77777777">
      <w:pPr>
        <w:widowControl/>
        <w:numPr>
          <w:ilvl w:val="0"/>
          <w:numId w:val="13"/>
        </w:numPr>
        <w:autoSpaceDE w:val="0"/>
        <w:autoSpaceDN w:val="0"/>
        <w:rPr>
          <w:rFonts w:eastAsiaTheme="minorHAnsi" w:cstheme="minorBidi"/>
        </w:rPr>
      </w:pPr>
      <w:r w:rsidRPr="00A55FAB">
        <w:rPr>
          <w:rFonts w:eastAsiaTheme="minorHAnsi" w:cstheme="minorBidi"/>
        </w:rPr>
        <w:t>any material modifications to the cooperative contract;</w:t>
      </w:r>
    </w:p>
    <w:p w:rsidR="00A55FAB" w:rsidRPr="00A55FAB" w:rsidP="0099558D" w14:paraId="50127F3B" w14:textId="77777777">
      <w:pPr>
        <w:widowControl/>
        <w:numPr>
          <w:ilvl w:val="0"/>
          <w:numId w:val="13"/>
        </w:numPr>
        <w:autoSpaceDE w:val="0"/>
        <w:autoSpaceDN w:val="0"/>
        <w:rPr>
          <w:rFonts w:eastAsiaTheme="minorHAnsi" w:cstheme="minorBidi"/>
        </w:rPr>
      </w:pPr>
      <w:r w:rsidRPr="00A55FAB">
        <w:rPr>
          <w:rFonts w:eastAsiaTheme="minorHAnsi" w:cstheme="minorBidi"/>
        </w:rPr>
        <w:t xml:space="preserve">a copy of a letter from a party to the contract requesting a business review letter on the fishery cooperative from the Department of Justice; and </w:t>
      </w:r>
    </w:p>
    <w:p w:rsidR="00A55FAB" w:rsidRPr="00A55FAB" w:rsidP="0099558D" w14:paraId="70A7E4FB" w14:textId="77777777">
      <w:pPr>
        <w:widowControl/>
        <w:numPr>
          <w:ilvl w:val="0"/>
          <w:numId w:val="13"/>
        </w:numPr>
        <w:autoSpaceDE w:val="0"/>
        <w:autoSpaceDN w:val="0"/>
        <w:rPr>
          <w:rFonts w:eastAsiaTheme="minorHAnsi" w:cstheme="minorBidi"/>
        </w:rPr>
      </w:pPr>
      <w:r w:rsidRPr="00A55FAB">
        <w:rPr>
          <w:rFonts w:eastAsiaTheme="minorHAnsi" w:cstheme="minorBidi"/>
        </w:rPr>
        <w:t>any response to such letter of request.</w:t>
      </w:r>
    </w:p>
    <w:p w:rsidR="00A55FAB" w:rsidRPr="00A55FAB" w:rsidP="0099558D" w14:paraId="740861B9" w14:textId="77777777">
      <w:pPr>
        <w:widowControl/>
        <w:autoSpaceDE w:val="0"/>
        <w:autoSpaceDN w:val="0"/>
        <w:ind w:left="720"/>
        <w:rPr>
          <w:rFonts w:eastAsiaTheme="minorHAnsi" w:cstheme="minorBidi"/>
        </w:rPr>
      </w:pPr>
    </w:p>
    <w:p w:rsidR="00A55FAB" w:rsidRPr="00A55FAB" w:rsidP="0099558D" w14:paraId="0099EFD2" w14:textId="77777777">
      <w:pPr>
        <w:widowControl/>
        <w:autoSpaceDE w:val="0"/>
        <w:autoSpaceDN w:val="0"/>
        <w:rPr>
          <w:rFonts w:eastAsiaTheme="minorHAnsi" w:cstheme="minorBidi"/>
        </w:rPr>
      </w:pPr>
      <w:r w:rsidRPr="00A55FAB">
        <w:rPr>
          <w:rFonts w:eastAsiaTheme="minorHAnsi" w:cstheme="minorBidi"/>
        </w:rPr>
        <w:t>The Council and NMFS will make this information available to the public upon request.</w:t>
      </w:r>
    </w:p>
    <w:p w:rsidR="00A55FAB" w:rsidRPr="00A55FAB" w:rsidP="0099558D" w14:paraId="2C91F746" w14:textId="77777777">
      <w:pPr>
        <w:widowControl/>
        <w:autoSpaceDE w:val="0"/>
        <w:autoSpaceDN w:val="0"/>
        <w:rPr>
          <w:rFonts w:eastAsiaTheme="minorHAnsi" w:cstheme="minorBidi"/>
        </w:rPr>
      </w:pPr>
    </w:p>
    <w:p w:rsidR="00A55FAB" w:rsidRPr="00A55FAB" w:rsidP="0099558D" w14:paraId="76C803CE" w14:textId="77777777">
      <w:pPr>
        <w:widowControl/>
        <w:autoSpaceDE w:val="0"/>
        <w:autoSpaceDN w:val="0"/>
        <w:rPr>
          <w:rFonts w:eastAsiaTheme="minorHAnsi" w:cstheme="minorBidi"/>
        </w:rPr>
      </w:pPr>
      <w:r w:rsidRPr="00A55FAB">
        <w:rPr>
          <w:rFonts w:eastAsiaTheme="minorHAnsi" w:cstheme="minorBidi"/>
        </w:rPr>
        <w:t>The requirement to submit information about the cooperative contract was included by Congress in section 201(a)(1)(A) of the AFA and further defined in regulations at 50 CFR</w:t>
      </w:r>
      <w:r w:rsidRPr="00A55FAB">
        <w:rPr>
          <w:rFonts w:eastAsiaTheme="minorHAnsi"/>
        </w:rPr>
        <w:t xml:space="preserve"> 679.61(d) and (e). </w:t>
      </w:r>
      <w:r w:rsidRPr="00A55FAB">
        <w:rPr>
          <w:rFonts w:eastAsiaTheme="minorHAnsi" w:cstheme="minorBidi"/>
        </w:rPr>
        <w:t xml:space="preserve">The purpose of this requirement is to provide the public, Council, and NMFS with information about the organization and fishing operations of the AFA cooperatives. Making this information public provides transparency about the AFA cooperatives. </w:t>
      </w:r>
    </w:p>
    <w:p w:rsidR="00A55FAB" w:rsidRPr="00A55FAB" w:rsidP="0099558D" w14:paraId="7246F732" w14:textId="77777777">
      <w:pPr>
        <w:widowControl/>
        <w:autoSpaceDE w:val="0"/>
        <w:autoSpaceDN w:val="0"/>
        <w:rPr>
          <w:rFonts w:eastAsiaTheme="minorHAnsi" w:cstheme="minorBidi"/>
        </w:rPr>
      </w:pPr>
    </w:p>
    <w:p w:rsidR="00A55FAB" w:rsidRPr="00A55FAB" w:rsidP="0099558D" w14:paraId="27863D6A" w14:textId="77777777">
      <w:pPr>
        <w:widowControl/>
        <w:autoSpaceDE w:val="0"/>
        <w:autoSpaceDN w:val="0"/>
        <w:rPr>
          <w:rFonts w:eastAsiaTheme="minorHAnsi" w:cstheme="minorBidi"/>
        </w:rPr>
      </w:pPr>
      <w:r w:rsidRPr="00A55FAB">
        <w:rPr>
          <w:rFonts w:eastAsiaTheme="minorHAnsi" w:cstheme="minorBidi"/>
        </w:rPr>
        <w:t xml:space="preserve">If the cooperative contract was previously filed with NMFS and the Council, a renewal letter may be submitted to NMFS and the </w:t>
      </w:r>
      <w:r w:rsidRPr="00A55FAB">
        <w:rPr>
          <w:rFonts w:eastAsiaTheme="minorHAnsi" w:cstheme="minorBidi"/>
        </w:rPr>
        <w:t>Council by the filing deadline in lieu of the cooperative contract and business review letter. The renewal letter must provide notice that the previously filed cooperative contract will remain in effect for the subsequent fishing year. The renewal letter also must detail any material modifications to the cooperative contract that have been made since the last filing including, but not limited to, any changes in cooperative membership.</w:t>
      </w:r>
    </w:p>
    <w:p w:rsidR="00A55FAB" w:rsidRPr="00A55FAB" w:rsidP="0099558D" w14:paraId="63EED5E9" w14:textId="77777777">
      <w:pPr>
        <w:widowControl/>
        <w:autoSpaceDE w:val="0"/>
        <w:autoSpaceDN w:val="0"/>
        <w:rPr>
          <w:rFonts w:eastAsiaTheme="minorHAnsi" w:cstheme="minorBidi"/>
        </w:rPr>
      </w:pPr>
    </w:p>
    <w:p w:rsidR="00A55FAB" w:rsidP="0099558D" w14:paraId="5C9133A5" w14:textId="19E4A243">
      <w:pPr>
        <w:widowControl/>
        <w:autoSpaceDE w:val="0"/>
        <w:autoSpaceDN w:val="0"/>
        <w:rPr>
          <w:rFonts w:eastAsiaTheme="minorHAnsi" w:cstheme="minorBidi"/>
        </w:rPr>
      </w:pPr>
      <w:r w:rsidRPr="00A55FAB">
        <w:rPr>
          <w:rFonts w:eastAsiaTheme="minorHAnsi" w:cstheme="minorBidi"/>
        </w:rPr>
        <w:t>The cooperative contract or renewal letter and the required supporting materials are submitted to NMFS and the Council and must be received at least 30 days prior to the start of any fishing activity conducted under the terms of the contract. In addition, an inshore cooperative that is also applying for an allocation of Bering Sea subarea pollock under 50 CFR 679.62 must file its contract, any amendments hereto, and supporting materials no later than December 1 of the year prior to the year in which fishing</w:t>
      </w:r>
      <w:r w:rsidRPr="00A55FAB">
        <w:rPr>
          <w:rFonts w:eastAsiaTheme="minorHAnsi" w:cstheme="minorBidi"/>
        </w:rPr>
        <w:t xml:space="preserve"> under the contract will occur.</w:t>
      </w:r>
    </w:p>
    <w:p w:rsidR="00AA324D" w:rsidP="0099558D" w14:paraId="17EDF1A7" w14:textId="1E5C5DED">
      <w:pPr>
        <w:widowControl/>
        <w:autoSpaceDE w:val="0"/>
        <w:autoSpaceDN w:val="0"/>
        <w:rPr>
          <w:rFonts w:eastAsiaTheme="minorHAnsi" w:cstheme="minorBidi"/>
        </w:rPr>
      </w:pPr>
    </w:p>
    <w:p w:rsidR="00AA324D" w:rsidRPr="00A55FAB" w:rsidP="0099558D" w14:paraId="0E0778B1" w14:textId="0606E9D6">
      <w:pPr>
        <w:widowControl/>
        <w:autoSpaceDE w:val="0"/>
        <w:autoSpaceDN w:val="0"/>
        <w:rPr>
          <w:rFonts w:eastAsiaTheme="minorHAnsi" w:cstheme="minorBidi"/>
        </w:rPr>
      </w:pPr>
      <w:r w:rsidRPr="00A55FAB">
        <w:rPr>
          <w:rFonts w:eastAsiaTheme="minorHAnsi" w:cstheme="minorBidi"/>
        </w:rPr>
        <w:t xml:space="preserve">The inshore cooperatives </w:t>
      </w:r>
      <w:r>
        <w:rPr>
          <w:rFonts w:eastAsiaTheme="minorHAnsi" w:cstheme="minorBidi"/>
        </w:rPr>
        <w:t xml:space="preserve">include </w:t>
      </w:r>
      <w:r w:rsidRPr="00A55FAB">
        <w:rPr>
          <w:rFonts w:eastAsiaTheme="minorHAnsi" w:cstheme="minorBidi"/>
        </w:rPr>
        <w:t xml:space="preserve">a copy of their contract or the renewal letter with their AFA inshore cooperative permit application (approved under OMB collection 0648-0393). NMFS does not process the inshore cooperative permit application unless it has received a copy of the contract or renewal letter. </w:t>
      </w:r>
    </w:p>
    <w:p w:rsidR="00A55FAB" w:rsidRPr="00A55FAB" w:rsidP="0099558D" w14:paraId="49771F47" w14:textId="77777777">
      <w:pPr>
        <w:widowControl/>
        <w:autoSpaceDE w:val="0"/>
        <w:autoSpaceDN w:val="0"/>
        <w:rPr>
          <w:rFonts w:eastAsiaTheme="minorHAnsi" w:cstheme="minorBidi"/>
        </w:rPr>
      </w:pPr>
    </w:p>
    <w:p w:rsidR="00A55FAB" w:rsidRPr="00A55FAB" w:rsidP="0099558D" w14:paraId="79F7B491" w14:textId="77777777">
      <w:pPr>
        <w:widowControl/>
        <w:autoSpaceDE w:val="0"/>
        <w:autoSpaceDN w:val="0"/>
      </w:pPr>
      <w:r w:rsidRPr="00A55FAB">
        <w:t>The AFA cooperative contract must include the following information:</w:t>
      </w:r>
    </w:p>
    <w:p w:rsidR="00A55FAB" w:rsidRPr="00CC6D2E" w:rsidP="0099558D" w14:paraId="2ED70D59" w14:textId="77777777">
      <w:pPr>
        <w:widowControl/>
        <w:autoSpaceDE w:val="0"/>
        <w:autoSpaceDN w:val="0"/>
        <w:spacing w:before="60"/>
      </w:pPr>
      <w:r w:rsidRPr="00CC6D2E">
        <w:rPr>
          <w:rFonts w:eastAsiaTheme="minorHAnsi" w:cstheme="minorBidi"/>
          <w:u w:val="single" w:color="000000"/>
        </w:rPr>
        <w:t>Requirements for all fishery cooperatives</w:t>
      </w:r>
      <w:r w:rsidRPr="00CC6D2E">
        <w:rPr>
          <w:rFonts w:eastAsiaTheme="minorHAnsi" w:cstheme="minorBidi"/>
        </w:rPr>
        <w:t>.</w:t>
      </w:r>
    </w:p>
    <w:p w:rsidR="00A55FAB" w:rsidRPr="00CC6D2E" w:rsidP="00DD5B58" w14:paraId="0B27CDC0" w14:textId="77777777">
      <w:pPr>
        <w:pStyle w:val="ListParagraph"/>
        <w:widowControl/>
        <w:numPr>
          <w:ilvl w:val="0"/>
          <w:numId w:val="18"/>
        </w:numPr>
        <w:autoSpaceDE w:val="0"/>
        <w:autoSpaceDN w:val="0"/>
      </w:pPr>
      <w:r w:rsidRPr="00DD5B58">
        <w:rPr>
          <w:rFonts w:eastAsiaTheme="minorHAnsi" w:cstheme="minorBidi"/>
        </w:rPr>
        <w:t>List parties to the contract.</w:t>
      </w:r>
    </w:p>
    <w:p w:rsidR="00A55FAB" w:rsidRPr="00DD5B58" w:rsidP="00DD5B58" w14:paraId="110CFDFE" w14:textId="77777777">
      <w:pPr>
        <w:pStyle w:val="ListParagraph"/>
        <w:widowControl/>
        <w:numPr>
          <w:ilvl w:val="0"/>
          <w:numId w:val="18"/>
        </w:numPr>
        <w:autoSpaceDE w:val="0"/>
        <w:autoSpaceDN w:val="0"/>
        <w:rPr>
          <w:rFonts w:eastAsiaTheme="minorHAnsi" w:cstheme="minorBidi"/>
        </w:rPr>
      </w:pPr>
      <w:r w:rsidRPr="00DD5B58">
        <w:rPr>
          <w:rFonts w:eastAsiaTheme="minorHAnsi" w:cstheme="minorBidi"/>
        </w:rPr>
        <w:t xml:space="preserve">List all vessels and processors that will harvest and process pollock harvested under the cooperative. </w:t>
      </w:r>
    </w:p>
    <w:p w:rsidR="00A55FAB" w:rsidRPr="00CC6D2E" w:rsidP="00DD5B58" w14:paraId="3A78B870" w14:textId="77777777">
      <w:pPr>
        <w:pStyle w:val="ListParagraph"/>
        <w:widowControl/>
        <w:numPr>
          <w:ilvl w:val="0"/>
          <w:numId w:val="18"/>
        </w:numPr>
        <w:autoSpaceDE w:val="0"/>
        <w:autoSpaceDN w:val="0"/>
      </w:pPr>
      <w:r w:rsidRPr="00DD5B58">
        <w:rPr>
          <w:rFonts w:eastAsiaTheme="minorHAnsi" w:cstheme="minorBidi"/>
        </w:rPr>
        <w:t>Specify the amount or percentage of pollock allocated to each party to the contract.</w:t>
      </w:r>
    </w:p>
    <w:p w:rsidR="00A55FAB" w:rsidRPr="00CC6D2E" w:rsidP="00DD5B58" w14:paraId="44487F3F" w14:textId="77777777">
      <w:pPr>
        <w:pStyle w:val="ListParagraph"/>
        <w:widowControl/>
        <w:numPr>
          <w:ilvl w:val="0"/>
          <w:numId w:val="18"/>
        </w:numPr>
        <w:autoSpaceDE w:val="0"/>
        <w:autoSpaceDN w:val="0"/>
      </w:pPr>
      <w:r w:rsidRPr="00DD5B58">
        <w:rPr>
          <w:rFonts w:eastAsiaTheme="minorHAnsi" w:cstheme="minorBidi"/>
        </w:rPr>
        <w:t>Specify a designated representative and agent for service of process.</w:t>
      </w:r>
    </w:p>
    <w:p w:rsidR="00A55FAB" w:rsidRPr="00DD5B58" w:rsidP="00DD5B58" w14:paraId="2C467692" w14:textId="77777777">
      <w:pPr>
        <w:pStyle w:val="ListParagraph"/>
        <w:widowControl/>
        <w:numPr>
          <w:ilvl w:val="0"/>
          <w:numId w:val="18"/>
        </w:numPr>
        <w:autoSpaceDE w:val="0"/>
        <w:autoSpaceDN w:val="0"/>
        <w:rPr>
          <w:rFonts w:eastAsiaTheme="minorHAnsi" w:cstheme="minorBidi"/>
        </w:rPr>
      </w:pPr>
      <w:r w:rsidRPr="00DD5B58">
        <w:rPr>
          <w:rFonts w:eastAsiaTheme="minorHAnsi" w:cstheme="minorBidi"/>
        </w:rPr>
        <w:t>Include a contract clause under which the parties to the contract agree to make payments to the State of Alaska for any pollock harvested in the directed pollock fishery that are not landed in the State of Alaska, in amounts which would otherwise accrue had the pollock been landed in the State of Alaska subject to any landing taxes established under Alaska law. Failure to include such a contract clause or for such amounts to be paid will result in a revocation of the authority to form fishery cooperatives u</w:t>
      </w:r>
      <w:r w:rsidRPr="00DD5B58">
        <w:rPr>
          <w:rFonts w:eastAsiaTheme="minorHAnsi" w:cstheme="minorBidi"/>
        </w:rPr>
        <w:t xml:space="preserve">nder section 1 of the Fisherman’s Collective Marketing Act of June 25, 1934 (15 U.S.C. 521 </w:t>
      </w:r>
      <w:r w:rsidRPr="00DD5B58">
        <w:rPr>
          <w:rFonts w:eastAsiaTheme="minorHAnsi" w:cstheme="minorBidi"/>
          <w:i/>
        </w:rPr>
        <w:t>et seq</w:t>
      </w:r>
      <w:r w:rsidRPr="00DD5B58">
        <w:rPr>
          <w:rFonts w:eastAsiaTheme="minorHAnsi" w:cstheme="minorBidi"/>
        </w:rPr>
        <w:t>.).</w:t>
      </w:r>
    </w:p>
    <w:p w:rsidR="00A55FAB" w:rsidRPr="00DD5B58" w:rsidP="00DD5B58" w14:paraId="263F7AFC" w14:textId="343556A1">
      <w:pPr>
        <w:pStyle w:val="ListParagraph"/>
        <w:widowControl/>
        <w:numPr>
          <w:ilvl w:val="0"/>
          <w:numId w:val="18"/>
        </w:numPr>
        <w:autoSpaceDE w:val="0"/>
        <w:autoSpaceDN w:val="0"/>
        <w:rPr>
          <w:rFonts w:eastAsiaTheme="minorHAnsi"/>
        </w:rPr>
      </w:pPr>
      <w:r w:rsidRPr="00DD5B58">
        <w:rPr>
          <w:rFonts w:eastAsiaTheme="minorHAnsi"/>
        </w:rPr>
        <w:t>Obligations of AFA cooperative members to ensure full payment of cost recovery fees</w:t>
      </w:r>
      <w:r w:rsidRPr="00DD5B58" w:rsidR="00B123F8">
        <w:rPr>
          <w:rFonts w:eastAsiaTheme="minorHAnsi"/>
        </w:rPr>
        <w:t>.</w:t>
      </w:r>
    </w:p>
    <w:p w:rsidR="00A55FAB" w:rsidRPr="00CC6D2E" w:rsidP="0099558D" w14:paraId="6C5DD502" w14:textId="77777777">
      <w:pPr>
        <w:widowControl/>
        <w:autoSpaceDE w:val="0"/>
        <w:autoSpaceDN w:val="0"/>
        <w:spacing w:before="60"/>
      </w:pPr>
      <w:r w:rsidRPr="00CC6D2E">
        <w:rPr>
          <w:rFonts w:eastAsiaTheme="minorHAnsi" w:cstheme="minorBidi"/>
          <w:u w:val="single" w:color="000000"/>
        </w:rPr>
        <w:t>A</w:t>
      </w:r>
      <w:r w:rsidRPr="00CC6D2E">
        <w:rPr>
          <w:rFonts w:eastAsiaTheme="minorHAnsi" w:cstheme="minorBidi"/>
          <w:u w:val="single" w:color="000000"/>
        </w:rPr>
        <w:t>dditional required elements in all fishery cooperatives that include AFA catcher vessels</w:t>
      </w:r>
    </w:p>
    <w:p w:rsidR="00A55FAB" w:rsidRPr="00CC6D2E" w:rsidP="00DD5B58" w14:paraId="66C1A828" w14:textId="77777777">
      <w:pPr>
        <w:pStyle w:val="ListParagraph"/>
        <w:widowControl/>
        <w:numPr>
          <w:ilvl w:val="0"/>
          <w:numId w:val="19"/>
        </w:numPr>
        <w:autoSpaceDE w:val="0"/>
        <w:autoSpaceDN w:val="0"/>
      </w:pPr>
      <w:r w:rsidRPr="00DD5B58">
        <w:rPr>
          <w:rFonts w:eastAsiaTheme="minorHAnsi" w:cstheme="minorBidi"/>
        </w:rPr>
        <w:t>Adequate provisions to prevent each non-exempt member catcher vessel from exceeding an individual vessel sideboard limit for each BSAI or Gulf of Alaska sideboard species or species group that is issued to the vessel by the cooperative in accordance with the following formula:</w:t>
      </w:r>
    </w:p>
    <w:p w:rsidR="00A55FAB" w:rsidRPr="00CC6D2E" w:rsidP="00DD5B58" w14:paraId="2E5CFF3E" w14:textId="77777777">
      <w:pPr>
        <w:pStyle w:val="ListParagraph"/>
        <w:widowControl/>
        <w:numPr>
          <w:ilvl w:val="1"/>
          <w:numId w:val="19"/>
        </w:numPr>
        <w:autoSpaceDE w:val="0"/>
        <w:autoSpaceDN w:val="0"/>
      </w:pPr>
      <w:r w:rsidRPr="00CC6D2E">
        <w:t>The aggregate individual vessel sideboard limits issued to all member vessels in a cooperative must not exceed the aggregate contributions of each member vessel towards the overall groundfish sideboard amount as calculated by NMFS under § 679.64(b) and as announced to the cooperative by the Regional Administrator, or</w:t>
      </w:r>
    </w:p>
    <w:p w:rsidR="00A55FAB" w:rsidRPr="00CC6D2E" w:rsidP="00DD5B58" w14:paraId="40B8B8E7" w14:textId="77777777">
      <w:pPr>
        <w:pStyle w:val="ListParagraph"/>
        <w:widowControl/>
        <w:numPr>
          <w:ilvl w:val="1"/>
          <w:numId w:val="19"/>
        </w:numPr>
        <w:autoSpaceDE w:val="0"/>
        <w:autoSpaceDN w:val="0"/>
      </w:pPr>
      <w:r w:rsidRPr="00CC6D2E">
        <w:t>In the case of two or more cooperatives that have entered into an inter-cooperative agreement, the aggregate individual vessel sideboard limits issued to all member vessels subject to the inter-cooperative agreement must not exceed the aggregate contributions of each member vessel towards the overall groundfish sideboard amount as calculated by NMFS under § 679.64(b) and as announced by the Regional Administrator.</w:t>
      </w:r>
    </w:p>
    <w:p w:rsidR="00A55FAB" w:rsidRPr="00A55FAB" w:rsidP="0099558D" w14:paraId="099A456C" w14:textId="77777777">
      <w:pPr>
        <w:widowControl/>
        <w:autoSpaceDE w:val="0"/>
        <w:autoSpaceDN w:val="0"/>
        <w:ind w:left="1080" w:hanging="360"/>
        <w:rPr>
          <w:sz w:val="20"/>
          <w:szCs w:val="20"/>
        </w:rPr>
      </w:pPr>
    </w:p>
    <w:p w:rsidR="002E5DD2" w:rsidP="0099558D" w14:paraId="33C6A91C" w14:textId="3EB1754A">
      <w:pPr>
        <w:widowControl/>
      </w:pPr>
      <w:r w:rsidRPr="002E5DD2">
        <w:rPr>
          <w:b/>
        </w:rPr>
        <w:t>R</w:t>
      </w:r>
      <w:r w:rsidRPr="002E5DD2" w:rsidR="00A55FAB">
        <w:rPr>
          <w:b/>
        </w:rPr>
        <w:t xml:space="preserve">equirements </w:t>
      </w:r>
      <w:r w:rsidRPr="002E5DD2">
        <w:rPr>
          <w:b/>
        </w:rPr>
        <w:t xml:space="preserve">Related </w:t>
      </w:r>
      <w:r w:rsidRPr="002E5DD2" w:rsidR="00A55FAB">
        <w:rPr>
          <w:b/>
        </w:rPr>
        <w:t xml:space="preserve">to </w:t>
      </w:r>
      <w:r w:rsidRPr="002E5DD2">
        <w:rPr>
          <w:b/>
        </w:rPr>
        <w:t xml:space="preserve">Minimizing Salmon Bycatch </w:t>
      </w:r>
      <w:r w:rsidRPr="002E5DD2" w:rsidR="00A55FAB">
        <w:rPr>
          <w:b/>
        </w:rPr>
        <w:t xml:space="preserve">in the Bering Sea </w:t>
      </w:r>
      <w:r w:rsidRPr="002E5DD2">
        <w:rPr>
          <w:b/>
        </w:rPr>
        <w:t>Pollock Fishery</w:t>
      </w:r>
    </w:p>
    <w:p w:rsidR="002E5DD2" w:rsidP="0099558D" w14:paraId="6605D0F3" w14:textId="0B837392">
      <w:pPr>
        <w:widowControl/>
        <w:autoSpaceDE w:val="0"/>
        <w:autoSpaceDN w:val="0"/>
      </w:pPr>
      <w:r>
        <w:t>Additional information is provided below on the Incentive Plan Agreement (IPA), administrative a</w:t>
      </w:r>
      <w:r w:rsidRPr="002E5DD2">
        <w:t xml:space="preserve">ppeals to </w:t>
      </w:r>
      <w:r>
        <w:t>a d</w:t>
      </w:r>
      <w:r w:rsidRPr="002E5DD2">
        <w:t>isapproved IPA</w:t>
      </w:r>
      <w:r>
        <w:t>, and the IPA Annual Report, which are related to minimizing salmon b</w:t>
      </w:r>
      <w:r w:rsidRPr="002E5DD2">
        <w:t xml:space="preserve">ycatch in the Bering Sea </w:t>
      </w:r>
      <w:r>
        <w:t>p</w:t>
      </w:r>
      <w:r w:rsidRPr="002E5DD2">
        <w:t xml:space="preserve">ollock </w:t>
      </w:r>
      <w:r>
        <w:t>f</w:t>
      </w:r>
      <w:r w:rsidRPr="002E5DD2">
        <w:t>ishery</w:t>
      </w:r>
      <w:r>
        <w:t>.</w:t>
      </w:r>
    </w:p>
    <w:p w:rsidR="00A55FAB" w:rsidRPr="002E5DD2" w:rsidP="0099558D" w14:paraId="5FD1E89E" w14:textId="77777777">
      <w:pPr>
        <w:widowControl/>
        <w:autoSpaceDE w:val="0"/>
        <w:autoSpaceDN w:val="0"/>
      </w:pPr>
    </w:p>
    <w:p w:rsidR="00A55FAB" w:rsidRPr="00A55FAB" w:rsidP="0099558D" w14:paraId="31453445" w14:textId="3C9984DC">
      <w:pPr>
        <w:widowControl/>
        <w:tabs>
          <w:tab w:val="left" w:pos="400"/>
        </w:tabs>
        <w:autoSpaceDE w:val="0"/>
        <w:autoSpaceDN w:val="0"/>
        <w:outlineLvl w:val="0"/>
        <w:rPr>
          <w:rFonts w:eastAsiaTheme="minorHAnsi" w:cstheme="minorBidi"/>
          <w:i/>
        </w:rPr>
      </w:pPr>
      <w:r w:rsidRPr="00FB6992">
        <w:rPr>
          <w:rFonts w:eastAsiaTheme="minorHAnsi" w:cstheme="minorBidi"/>
          <w:b/>
          <w:bCs/>
          <w:i/>
        </w:rPr>
        <w:t xml:space="preserve">Bering Sea Pollock Fishery </w:t>
      </w:r>
      <w:r w:rsidR="002E5DD2">
        <w:rPr>
          <w:rFonts w:eastAsiaTheme="minorHAnsi" w:cstheme="minorBidi"/>
          <w:b/>
          <w:bCs/>
          <w:i/>
        </w:rPr>
        <w:t>Incentive Plan Agreement</w:t>
      </w:r>
    </w:p>
    <w:p w:rsidR="00A55FAB" w:rsidRPr="00A55FAB" w:rsidP="0099558D" w14:paraId="46F31162" w14:textId="77777777">
      <w:pPr>
        <w:widowControl/>
        <w:autoSpaceDE w:val="0"/>
        <w:autoSpaceDN w:val="0"/>
        <w:rPr>
          <w:b/>
          <w:bCs/>
          <w:sz w:val="23"/>
          <w:szCs w:val="23"/>
        </w:rPr>
      </w:pPr>
    </w:p>
    <w:p w:rsidR="00A55FAB" w:rsidRPr="00A55FAB" w:rsidP="0099558D" w14:paraId="75EEC007" w14:textId="3D0A665A">
      <w:pPr>
        <w:widowControl/>
        <w:autoSpaceDE w:val="0"/>
        <w:autoSpaceDN w:val="0"/>
      </w:pPr>
      <w:r w:rsidRPr="00A55FAB">
        <w:t xml:space="preserve">An IPA is an industry-developed contractual agreement that establishes an incentive program to minimize Chinook salmon and chum salmon bycatch at all levels of </w:t>
      </w:r>
      <w:r w:rsidRPr="00A55FAB">
        <w:t>salmon abundance.</w:t>
      </w:r>
      <w:r w:rsidR="0099558D">
        <w:t xml:space="preserve"> </w:t>
      </w:r>
      <w:r w:rsidRPr="00A55FAB">
        <w:t>Participation in an IPA is voluntary; however, any vessel or Western Alaska Community Development Quota Program (CDQ) group that chooses not to participate in an IPA is subject to a restrictive opt-out allocation (also called a backstop cap).</w:t>
      </w:r>
      <w:r w:rsidR="0099558D">
        <w:t xml:space="preserve"> </w:t>
      </w:r>
    </w:p>
    <w:p w:rsidR="00A55FAB" w:rsidRPr="00A55FAB" w:rsidP="0099558D" w14:paraId="6349CE2B" w14:textId="77777777">
      <w:pPr>
        <w:widowControl/>
        <w:autoSpaceDE w:val="0"/>
        <w:autoSpaceDN w:val="0"/>
      </w:pPr>
    </w:p>
    <w:p w:rsidR="00A55FAB" w:rsidRPr="00A55FAB" w:rsidP="0099558D" w14:paraId="21772AC1" w14:textId="77777777">
      <w:pPr>
        <w:widowControl/>
        <w:autoSpaceDE w:val="0"/>
        <w:autoSpaceDN w:val="0"/>
      </w:pPr>
      <w:r w:rsidRPr="00A55FAB">
        <w:t>Since 2010, three NMFS-approved IPAs have been in place: the Chinook Salmon Bycatch Reduction Incentive Plan and Agreement, the Mothership Salmon Savings Incentive Plan Agreement, and the Inshore Chinook Salmon Savings Incentive Plan Agreement. These IPAs include all participants in the Bering Sea pollock fishery. As all of the AFA and CDQ participants are part of an IPA, currently no new IPAs are expected.</w:t>
      </w:r>
    </w:p>
    <w:p w:rsidR="00A55FAB" w:rsidRPr="00A55FAB" w:rsidP="0099558D" w14:paraId="73AFED80" w14:textId="77777777">
      <w:pPr>
        <w:widowControl/>
        <w:autoSpaceDE w:val="0"/>
        <w:autoSpaceDN w:val="0"/>
      </w:pPr>
    </w:p>
    <w:p w:rsidR="00A55FAB" w:rsidRPr="00A55FAB" w:rsidP="0099558D" w14:paraId="3F373AF7" w14:textId="77777777">
      <w:pPr>
        <w:widowControl/>
        <w:autoSpaceDE w:val="0"/>
        <w:autoSpaceDN w:val="0"/>
        <w:rPr>
          <w:color w:val="0000FF" w:themeColor="hyperlink"/>
          <w:u w:val="single"/>
        </w:rPr>
      </w:pPr>
      <w:r w:rsidRPr="00A55FAB">
        <w:t xml:space="preserve">The current, approved IPAs are posted on the NMFS AKR website at </w:t>
      </w:r>
      <w:hyperlink r:id="rId15" w:history="1">
        <w:r w:rsidRPr="00A55FAB">
          <w:rPr>
            <w:color w:val="0000FF" w:themeColor="hyperlink"/>
            <w:u w:val="single"/>
          </w:rPr>
          <w:t>https://www.fisheries.noaa.gov/alaska/bycatch/chinook-salmon-bycatch-management-alaska</w:t>
        </w:r>
      </w:hyperlink>
      <w:r w:rsidRPr="00A55FAB">
        <w:rPr>
          <w:color w:val="0000FF" w:themeColor="hyperlink"/>
          <w:u w:val="single"/>
        </w:rPr>
        <w:t>.</w:t>
      </w:r>
    </w:p>
    <w:p w:rsidR="00A55FAB" w:rsidRPr="00A55FAB" w:rsidP="0099558D" w14:paraId="44DDEC1F" w14:textId="77777777">
      <w:pPr>
        <w:widowControl/>
        <w:autoSpaceDE w:val="0"/>
        <w:autoSpaceDN w:val="0"/>
      </w:pPr>
    </w:p>
    <w:p w:rsidR="00A55FAB" w:rsidRPr="00A55FAB" w:rsidP="0099558D" w14:paraId="474C9020" w14:textId="4698E1F2">
      <w:pPr>
        <w:widowControl/>
        <w:autoSpaceDE w:val="0"/>
        <w:autoSpaceDN w:val="0"/>
      </w:pPr>
      <w:r w:rsidRPr="00A55FAB">
        <w:rPr>
          <w:rFonts w:eastAsiaTheme="minorHAnsi"/>
        </w:rPr>
        <w:t xml:space="preserve">An amendment to an approved IPA may be submitted at any time. However, </w:t>
      </w:r>
      <w:r w:rsidRPr="00A55FAB">
        <w:t>once a member of an IPA, a vessel owner or CDQ group cannot withdraw from the IPA during the fishing year. Amendments to an IPA must include the identification number that was assigned by NMFS when it approved the IPA.</w:t>
      </w:r>
    </w:p>
    <w:p w:rsidR="00A55FAB" w:rsidRPr="00A55FAB" w:rsidP="0099558D" w14:paraId="5F41EFEB" w14:textId="77777777">
      <w:pPr>
        <w:widowControl/>
        <w:autoSpaceDE w:val="0"/>
        <w:autoSpaceDN w:val="0"/>
      </w:pPr>
    </w:p>
    <w:p w:rsidR="00A55FAB" w:rsidRPr="00A55FAB" w:rsidP="0099558D" w14:paraId="7F9DF178" w14:textId="77777777">
      <w:pPr>
        <w:widowControl/>
        <w:autoSpaceDE w:val="0"/>
        <w:autoSpaceDN w:val="0"/>
      </w:pPr>
      <w:r w:rsidRPr="00A55FAB">
        <w:t>An amendment to an approved IPA is effective upon written notification of approval by NMFS to the IPA representative. Once approved, an IPA is effective until December 31</w:t>
      </w:r>
      <w:r w:rsidRPr="00A55FAB">
        <w:rPr>
          <w:b/>
          <w:i/>
        </w:rPr>
        <w:t xml:space="preserve"> </w:t>
      </w:r>
      <w:r w:rsidRPr="00A55FAB">
        <w:t>of the first year in which it is effective or until December 31</w:t>
      </w:r>
      <w:r w:rsidRPr="00A55FAB">
        <w:rPr>
          <w:b/>
          <w:i/>
        </w:rPr>
        <w:t xml:space="preserve"> </w:t>
      </w:r>
      <w:r w:rsidRPr="00A55FAB">
        <w:t xml:space="preserve">of the year in which the IPA representative notifies NMFS in writing that the IPA is no longer in effect, whichever is later. </w:t>
      </w:r>
    </w:p>
    <w:p w:rsidR="00A55FAB" w:rsidRPr="00A55FAB" w:rsidP="0099558D" w14:paraId="69458665" w14:textId="77777777">
      <w:pPr>
        <w:widowControl/>
        <w:autoSpaceDE w:val="0"/>
        <w:autoSpaceDN w:val="0"/>
      </w:pPr>
    </w:p>
    <w:p w:rsidR="00A55FAB" w:rsidRPr="00A55FAB" w:rsidP="0099558D" w14:paraId="2B41CFFF" w14:textId="77777777">
      <w:pPr>
        <w:widowControl/>
        <w:autoSpaceDE w:val="0"/>
        <w:autoSpaceDN w:val="0"/>
      </w:pPr>
      <w:r w:rsidRPr="00A55FAB">
        <w:t>An IPA must include an affidavit affirming that each eligible vessel owner or CDQ group, from whom the IPA representative received written notification requesting to join the IPA, has been allowed to join the IPA subject to the same terms and conditions that have been agreed on by, and are applicable to, all other parties to the IPA.</w:t>
      </w:r>
    </w:p>
    <w:p w:rsidR="00A55FAB" w:rsidRPr="00A55FAB" w:rsidP="0099558D" w14:paraId="16D5346B" w14:textId="77777777">
      <w:pPr>
        <w:widowControl/>
        <w:autoSpaceDE w:val="0"/>
        <w:autoSpaceDN w:val="0"/>
      </w:pPr>
    </w:p>
    <w:p w:rsidR="00A55FAB" w:rsidRPr="00A55FAB" w:rsidP="0099558D" w14:paraId="0C48AAFD" w14:textId="77777777">
      <w:pPr>
        <w:widowControl/>
        <w:autoSpaceDE w:val="0"/>
        <w:autoSpaceDN w:val="0"/>
      </w:pPr>
      <w:r w:rsidRPr="00A55FAB">
        <w:t>An IPA must identify at least one third party group. Third party groups include any organizations representing western Alaskans who depend on salmon and have an interest in salmon bycatch reduction but do not directly fish in a groundfish fishery.</w:t>
      </w:r>
    </w:p>
    <w:p w:rsidR="00A55FAB" w:rsidRPr="00A55FAB" w:rsidP="0099558D" w14:paraId="5AD475A3" w14:textId="77777777">
      <w:pPr>
        <w:widowControl/>
        <w:autoSpaceDE w:val="0"/>
        <w:autoSpaceDN w:val="0"/>
        <w:rPr>
          <w:rFonts w:eastAsia="Calibri" w:hAnsi="Calibri"/>
        </w:rPr>
      </w:pPr>
    </w:p>
    <w:p w:rsidR="00A55FAB" w:rsidRPr="00A55FAB" w:rsidP="0099558D" w14:paraId="23B1E43B" w14:textId="77777777">
      <w:pPr>
        <w:widowControl/>
        <w:autoSpaceDE w:val="0"/>
        <w:autoSpaceDN w:val="0"/>
        <w:rPr>
          <w:rFonts w:eastAsia="Calibri" w:hAnsi="Calibri"/>
        </w:rPr>
      </w:pPr>
      <w:r w:rsidRPr="00A55FAB">
        <w:rPr>
          <w:rFonts w:eastAsia="Calibri" w:hAnsi="Calibri"/>
        </w:rPr>
        <w:t>An IPA must include the following information:</w:t>
      </w:r>
    </w:p>
    <w:p w:rsidR="00A55FAB" w:rsidRPr="00CC6D2E" w:rsidP="00DD5B58" w14:paraId="7A8D6221" w14:textId="77777777">
      <w:pPr>
        <w:pStyle w:val="ListParagraph"/>
        <w:widowControl/>
        <w:numPr>
          <w:ilvl w:val="0"/>
          <w:numId w:val="19"/>
        </w:numPr>
        <w:autoSpaceDE w:val="0"/>
        <w:autoSpaceDN w:val="0"/>
      </w:pPr>
      <w:r w:rsidRPr="00DD5B58">
        <w:rPr>
          <w:rFonts w:eastAsia="Calibri" w:hAnsi="Calibri"/>
        </w:rPr>
        <w:t>Affidavit</w:t>
      </w:r>
    </w:p>
    <w:p w:rsidR="00A55FAB" w:rsidRPr="00CC6D2E" w:rsidP="00DD5B58" w14:paraId="1CFA7CC2" w14:textId="77777777">
      <w:pPr>
        <w:pStyle w:val="ListParagraph"/>
        <w:widowControl/>
        <w:numPr>
          <w:ilvl w:val="0"/>
          <w:numId w:val="19"/>
        </w:numPr>
        <w:autoSpaceDE w:val="0"/>
        <w:autoSpaceDN w:val="0"/>
      </w:pPr>
      <w:r w:rsidRPr="00DD5B58">
        <w:rPr>
          <w:rFonts w:eastAsia="Calibri" w:hAnsi="Calibri"/>
        </w:rPr>
        <w:t>Name of the IPA</w:t>
      </w:r>
    </w:p>
    <w:p w:rsidR="00A55FAB" w:rsidRPr="00DD5B58" w:rsidP="00DD5B58" w14:paraId="5090E030" w14:textId="77777777">
      <w:pPr>
        <w:pStyle w:val="ListParagraph"/>
        <w:widowControl/>
        <w:numPr>
          <w:ilvl w:val="0"/>
          <w:numId w:val="19"/>
        </w:numPr>
        <w:autoSpaceDE w:val="0"/>
        <w:autoSpaceDN w:val="0"/>
        <w:rPr>
          <w:rFonts w:eastAsia="Calibri" w:hAnsi="Calibri"/>
          <w:w w:val="99"/>
        </w:rPr>
      </w:pPr>
      <w:r w:rsidRPr="00DD5B58">
        <w:rPr>
          <w:rFonts w:eastAsia="Calibri" w:hAnsi="Calibri"/>
        </w:rPr>
        <w:t>IPA representative name, telephone number, and email address</w:t>
      </w:r>
      <w:r w:rsidRPr="00DD5B58">
        <w:rPr>
          <w:rFonts w:eastAsia="Calibri" w:hAnsi="Calibri"/>
          <w:w w:val="99"/>
        </w:rPr>
        <w:t xml:space="preserve"> </w:t>
      </w:r>
    </w:p>
    <w:p w:rsidR="00A55FAB" w:rsidRPr="00CC6D2E" w:rsidP="00DD5B58" w14:paraId="60F576BD" w14:textId="77777777">
      <w:pPr>
        <w:pStyle w:val="ListParagraph"/>
        <w:widowControl/>
        <w:numPr>
          <w:ilvl w:val="0"/>
          <w:numId w:val="19"/>
        </w:numPr>
        <w:autoSpaceDE w:val="0"/>
        <w:autoSpaceDN w:val="0"/>
      </w:pPr>
      <w:r w:rsidRPr="00DD5B58">
        <w:rPr>
          <w:rFonts w:eastAsia="Calibri" w:hAnsi="Calibri"/>
        </w:rPr>
        <w:t>Third party group</w:t>
      </w:r>
    </w:p>
    <w:p w:rsidR="00DD5B58" w:rsidP="0099558D" w14:paraId="318F7FDA" w14:textId="77777777">
      <w:pPr>
        <w:widowControl/>
        <w:autoSpaceDE w:val="0"/>
        <w:autoSpaceDN w:val="0"/>
        <w:rPr>
          <w:rFonts w:eastAsia="Calibri" w:hAnsi="Calibri"/>
          <w:u w:val="single" w:color="000000"/>
        </w:rPr>
      </w:pPr>
    </w:p>
    <w:p w:rsidR="00A55FAB" w:rsidRPr="00CC6D2E" w:rsidP="0099558D" w14:paraId="43D920AE" w14:textId="13013D0B">
      <w:pPr>
        <w:widowControl/>
        <w:autoSpaceDE w:val="0"/>
        <w:autoSpaceDN w:val="0"/>
      </w:pPr>
      <w:r w:rsidRPr="00CC6D2E">
        <w:rPr>
          <w:rFonts w:eastAsia="Calibri" w:hAnsi="Calibri"/>
          <w:u w:val="single" w:color="000000"/>
        </w:rPr>
        <w:t>D</w:t>
      </w:r>
      <w:r w:rsidRPr="00CC6D2E">
        <w:rPr>
          <w:rFonts w:eastAsia="Calibri" w:hAnsi="Calibri"/>
          <w:u w:val="single" w:color="000000"/>
        </w:rPr>
        <w:t>escription of the IPA</w:t>
      </w:r>
    </w:p>
    <w:p w:rsidR="00A55FAB" w:rsidRPr="00CC6D2E" w:rsidP="00DD5B58" w14:paraId="7BC77BE3" w14:textId="77777777">
      <w:pPr>
        <w:pStyle w:val="ListParagraph"/>
        <w:widowControl/>
        <w:numPr>
          <w:ilvl w:val="0"/>
          <w:numId w:val="20"/>
        </w:numPr>
        <w:autoSpaceDE w:val="0"/>
        <w:autoSpaceDN w:val="0"/>
        <w:ind w:left="720"/>
      </w:pPr>
      <w:r w:rsidRPr="00DD5B58">
        <w:rPr>
          <w:rFonts w:eastAsia="Calibri" w:hAnsi="Calibri"/>
        </w:rPr>
        <w:t>Incentive(s) to ensure each vessel avoid Chinook salmon and chum salmon bycatch under any condition of</w:t>
      </w:r>
      <w:r w:rsidRPr="00DD5B58">
        <w:rPr>
          <w:rFonts w:eastAsia="Calibri" w:hAnsi="Calibri"/>
          <w:w w:val="99"/>
        </w:rPr>
        <w:t xml:space="preserve"> </w:t>
      </w:r>
      <w:r w:rsidRPr="00DD5B58">
        <w:rPr>
          <w:rFonts w:eastAsia="Calibri" w:hAnsi="Calibri"/>
        </w:rPr>
        <w:t>pollock and Chinook salmon abundance in all years</w:t>
      </w:r>
    </w:p>
    <w:p w:rsidR="00A55FAB" w:rsidRPr="00CC6D2E" w:rsidP="00DD5B58" w14:paraId="2EE8BB03" w14:textId="77777777">
      <w:pPr>
        <w:pStyle w:val="ListParagraph"/>
        <w:widowControl/>
        <w:numPr>
          <w:ilvl w:val="0"/>
          <w:numId w:val="20"/>
        </w:numPr>
        <w:autoSpaceDE w:val="0"/>
        <w:autoSpaceDN w:val="0"/>
        <w:ind w:left="720"/>
      </w:pPr>
      <w:r w:rsidRPr="00DD5B58">
        <w:rPr>
          <w:rFonts w:eastAsia="Calibri" w:hAnsi="Calibri"/>
        </w:rPr>
        <w:t>How the incentives to avoid chum salmon do not increase Chinook salmon bycatch</w:t>
      </w:r>
    </w:p>
    <w:p w:rsidR="00A55FAB" w:rsidRPr="00DD5B58" w:rsidP="00DD5B58" w14:paraId="315B2C32" w14:textId="77777777">
      <w:pPr>
        <w:pStyle w:val="ListParagraph"/>
        <w:widowControl/>
        <w:numPr>
          <w:ilvl w:val="0"/>
          <w:numId w:val="20"/>
        </w:numPr>
        <w:autoSpaceDE w:val="0"/>
        <w:autoSpaceDN w:val="0"/>
        <w:ind w:left="720"/>
        <w:rPr>
          <w:w w:val="99"/>
        </w:rPr>
      </w:pPr>
      <w:r w:rsidRPr="00CC6D2E">
        <w:t>Rewards for avoiding Chinook salmon and penalties for failure to avoid Chinook salmon at the vessel level</w:t>
      </w:r>
      <w:r w:rsidRPr="00DD5B58">
        <w:rPr>
          <w:w w:val="99"/>
        </w:rPr>
        <w:t xml:space="preserve"> </w:t>
      </w:r>
    </w:p>
    <w:p w:rsidR="00A55FAB" w:rsidRPr="00CC6D2E" w:rsidP="00DD5B58" w14:paraId="11BB464B" w14:textId="77777777">
      <w:pPr>
        <w:pStyle w:val="ListParagraph"/>
        <w:widowControl/>
        <w:numPr>
          <w:ilvl w:val="0"/>
          <w:numId w:val="20"/>
        </w:numPr>
        <w:autoSpaceDE w:val="0"/>
        <w:autoSpaceDN w:val="0"/>
        <w:ind w:left="720"/>
      </w:pPr>
      <w:r w:rsidRPr="00CC6D2E">
        <w:t xml:space="preserve">How IPA incentive measures will promote reductions in a vessel’s Chinook salmon and chum salmon </w:t>
      </w:r>
      <w:r w:rsidRPr="00DD5B58">
        <w:rPr>
          <w:rFonts w:eastAsia="Calibri" w:hAnsi="Calibri"/>
        </w:rPr>
        <w:t>bycatch rates relative to what would have occurred in absence of the incentive program</w:t>
      </w:r>
    </w:p>
    <w:p w:rsidR="00A55FAB" w:rsidRPr="00CC6D2E" w:rsidP="00DD5B58" w14:paraId="588473B3" w14:textId="77777777">
      <w:pPr>
        <w:pStyle w:val="ListParagraph"/>
        <w:widowControl/>
        <w:numPr>
          <w:ilvl w:val="0"/>
          <w:numId w:val="20"/>
        </w:numPr>
        <w:autoSpaceDE w:val="0"/>
        <w:autoSpaceDN w:val="0"/>
        <w:ind w:left="720"/>
      </w:pPr>
      <w:r w:rsidRPr="00DD5B58">
        <w:rPr>
          <w:rFonts w:eastAsia="Calibri" w:hAnsi="Calibri"/>
        </w:rPr>
        <w:t>How the incentive measures in the IPA promote Chinook salmon savings and chum salmon savings in any</w:t>
      </w:r>
      <w:r w:rsidRPr="00DD5B58">
        <w:rPr>
          <w:rFonts w:eastAsia="Calibri" w:hAnsi="Calibri"/>
          <w:w w:val="99"/>
        </w:rPr>
        <w:t xml:space="preserve"> </w:t>
      </w:r>
      <w:r w:rsidRPr="00DD5B58">
        <w:rPr>
          <w:rFonts w:eastAsia="Calibri" w:hAnsi="Calibri"/>
        </w:rPr>
        <w:t>condition of pollock abundance or Chinook salmon abundance in a manner that is expected to</w:t>
      </w:r>
      <w:r w:rsidRPr="00DD5B58">
        <w:rPr>
          <w:rFonts w:eastAsia="Calibri" w:hAnsi="Calibri"/>
          <w:w w:val="99"/>
        </w:rPr>
        <w:t xml:space="preserve"> </w:t>
      </w:r>
      <w:r w:rsidRPr="00DD5B58">
        <w:rPr>
          <w:rFonts w:eastAsia="Calibri" w:hAnsi="Calibri"/>
        </w:rPr>
        <w:t>influence operational decisions by vessel operators to avoid Chinook salmon and chum salmon</w:t>
      </w:r>
    </w:p>
    <w:p w:rsidR="00A55FAB" w:rsidRPr="00CC6D2E" w:rsidP="00DD5B58" w14:paraId="6C578CAA" w14:textId="77777777">
      <w:pPr>
        <w:pStyle w:val="ListParagraph"/>
        <w:widowControl/>
        <w:numPr>
          <w:ilvl w:val="0"/>
          <w:numId w:val="20"/>
        </w:numPr>
        <w:autoSpaceDE w:val="0"/>
        <w:autoSpaceDN w:val="0"/>
        <w:ind w:left="720"/>
      </w:pPr>
      <w:r w:rsidRPr="00CC6D2E">
        <w:t>How the IPA ensures that the operator of each vessel governed by the IPA will manage that vessel’s</w:t>
      </w:r>
      <w:r w:rsidRPr="00DD5B58">
        <w:rPr>
          <w:w w:val="99"/>
        </w:rPr>
        <w:t xml:space="preserve"> </w:t>
      </w:r>
      <w:r w:rsidRPr="00CC6D2E">
        <w:t>Chinook salmon bycatch to keep total bycatch below the performance standard for the sector in which</w:t>
      </w:r>
      <w:r w:rsidRPr="00DD5B58">
        <w:rPr>
          <w:w w:val="99"/>
        </w:rPr>
        <w:t xml:space="preserve"> </w:t>
      </w:r>
      <w:r w:rsidRPr="00CC6D2E">
        <w:t>the vessel participates</w:t>
      </w:r>
    </w:p>
    <w:p w:rsidR="00A55FAB" w:rsidRPr="00CC6D2E" w:rsidP="00DD5B58" w14:paraId="75BC5283" w14:textId="77777777">
      <w:pPr>
        <w:pStyle w:val="ListParagraph"/>
        <w:widowControl/>
        <w:numPr>
          <w:ilvl w:val="0"/>
          <w:numId w:val="20"/>
        </w:numPr>
        <w:autoSpaceDE w:val="0"/>
        <w:autoSpaceDN w:val="0"/>
        <w:ind w:left="720"/>
      </w:pPr>
      <w:r w:rsidRPr="00CC6D2E">
        <w:t>How the IPA ensures that the operator of each vessel governed by the IPA will manage that vessel’s chum</w:t>
      </w:r>
      <w:r w:rsidRPr="00DD5B58">
        <w:rPr>
          <w:w w:val="99"/>
        </w:rPr>
        <w:t xml:space="preserve"> </w:t>
      </w:r>
      <w:r w:rsidRPr="00CC6D2E">
        <w:t xml:space="preserve">salmon bycatch to </w:t>
      </w:r>
      <w:r w:rsidRPr="00CC6D2E">
        <w:t>avoid areas and times where the chum salmon are likely to return to western Alaska</w:t>
      </w:r>
    </w:p>
    <w:p w:rsidR="00A55FAB" w:rsidRPr="00CC6D2E" w:rsidP="00DD5B58" w14:paraId="54B65610" w14:textId="7C20AE89">
      <w:pPr>
        <w:pStyle w:val="ListParagraph"/>
        <w:widowControl/>
        <w:numPr>
          <w:ilvl w:val="0"/>
          <w:numId w:val="20"/>
        </w:numPr>
        <w:autoSpaceDE w:val="0"/>
        <w:autoSpaceDN w:val="0"/>
        <w:ind w:left="720"/>
      </w:pPr>
      <w:r w:rsidRPr="00DD5B58">
        <w:rPr>
          <w:rFonts w:eastAsia="Calibri" w:hAnsi="Calibri"/>
        </w:rPr>
        <w:t>A rolling hot spot program for salmon bycatch avoidance that operates throughout the entire A and B seasons and an agreement to provide notifications of</w:t>
      </w:r>
      <w:r w:rsidRPr="00DD5B58">
        <w:rPr>
          <w:rFonts w:eastAsia="Calibri" w:hAnsi="Calibri"/>
          <w:w w:val="99"/>
        </w:rPr>
        <w:t xml:space="preserve"> </w:t>
      </w:r>
      <w:r w:rsidRPr="00DD5B58">
        <w:rPr>
          <w:rFonts w:eastAsia="Calibri" w:hAnsi="Calibri"/>
        </w:rPr>
        <w:t xml:space="preserve">closure areas and any violations of the rolling hot spot program to the </w:t>
      </w:r>
      <w:r w:rsidRPr="00DD5B58" w:rsidR="00E57F6B">
        <w:rPr>
          <w:rFonts w:eastAsia="Calibri" w:hAnsi="Calibri"/>
        </w:rPr>
        <w:t>third-party</w:t>
      </w:r>
      <w:r w:rsidRPr="00DD5B58">
        <w:rPr>
          <w:rFonts w:eastAsia="Calibri" w:hAnsi="Calibri"/>
        </w:rPr>
        <w:t xml:space="preserve"> organization</w:t>
      </w:r>
      <w:r w:rsidRPr="00DD5B58">
        <w:rPr>
          <w:rFonts w:eastAsia="Calibri" w:hAnsi="Calibri"/>
          <w:w w:val="99"/>
        </w:rPr>
        <w:t xml:space="preserve"> </w:t>
      </w:r>
      <w:r w:rsidRPr="00DD5B58">
        <w:rPr>
          <w:rFonts w:eastAsia="Calibri" w:hAnsi="Calibri"/>
        </w:rPr>
        <w:t>representing western Alaskans who depend on salmon and do not directly fish in a groundfish fishery.</w:t>
      </w:r>
    </w:p>
    <w:p w:rsidR="00A55FAB" w:rsidRPr="00CC6D2E" w:rsidP="00DD5B58" w14:paraId="721081FF" w14:textId="77777777">
      <w:pPr>
        <w:pStyle w:val="ListParagraph"/>
        <w:widowControl/>
        <w:numPr>
          <w:ilvl w:val="0"/>
          <w:numId w:val="20"/>
        </w:numPr>
        <w:autoSpaceDE w:val="0"/>
        <w:autoSpaceDN w:val="0"/>
        <w:ind w:left="720"/>
      </w:pPr>
      <w:r w:rsidRPr="00DD5B58">
        <w:rPr>
          <w:rFonts w:eastAsia="Calibri" w:hAnsi="Calibri"/>
        </w:rPr>
        <w:t xml:space="preserve">Restrictions or penalties targeted at vessels that consistently have </w:t>
      </w:r>
      <w:r w:rsidRPr="00DD5B58">
        <w:rPr>
          <w:rFonts w:eastAsia="Calibri" w:hAnsi="Calibri"/>
        </w:rPr>
        <w:t>significantly higher Chinook salmon PSC</w:t>
      </w:r>
      <w:r w:rsidRPr="00DD5B58">
        <w:rPr>
          <w:rFonts w:eastAsia="Calibri" w:hAnsi="Calibri"/>
          <w:w w:val="99"/>
        </w:rPr>
        <w:t xml:space="preserve"> </w:t>
      </w:r>
      <w:r w:rsidRPr="00DD5B58">
        <w:rPr>
          <w:rFonts w:eastAsia="Calibri" w:hAnsi="Calibri"/>
        </w:rPr>
        <w:t>rates relative to other vessels fishing at the same time.</w:t>
      </w:r>
    </w:p>
    <w:p w:rsidR="00A55FAB" w:rsidRPr="00CC6D2E" w:rsidP="00DD5B58" w14:paraId="7E57F9D6" w14:textId="77777777">
      <w:pPr>
        <w:pStyle w:val="ListParagraph"/>
        <w:widowControl/>
        <w:numPr>
          <w:ilvl w:val="0"/>
          <w:numId w:val="20"/>
        </w:numPr>
        <w:autoSpaceDE w:val="0"/>
        <w:autoSpaceDN w:val="0"/>
        <w:ind w:left="720"/>
      </w:pPr>
      <w:r w:rsidRPr="00CC6D2E">
        <w:t>Require vessels to enter a fishery</w:t>
      </w:r>
      <w:r w:rsidRPr="00DD5B58">
        <w:rPr>
          <w:rFonts w:ascii="Cambria Math" w:eastAsia="Cambria Math" w:hAnsi="Cambria Math" w:cs="Cambria Math"/>
        </w:rPr>
        <w:t>‐</w:t>
      </w:r>
      <w:r w:rsidRPr="00CC6D2E">
        <w:t>wide in</w:t>
      </w:r>
      <w:r w:rsidRPr="00DD5B58">
        <w:rPr>
          <w:rFonts w:ascii="Cambria Math" w:eastAsia="Cambria Math" w:hAnsi="Cambria Math" w:cs="Cambria Math"/>
        </w:rPr>
        <w:t>‐</w:t>
      </w:r>
      <w:r w:rsidRPr="00CC6D2E">
        <w:t>season salmon prohibited species catch data sharing agreement</w:t>
      </w:r>
    </w:p>
    <w:p w:rsidR="00A55FAB" w:rsidRPr="00CC6D2E" w:rsidP="00DD5B58" w14:paraId="10187DA8" w14:textId="77777777">
      <w:pPr>
        <w:pStyle w:val="ListParagraph"/>
        <w:widowControl/>
        <w:numPr>
          <w:ilvl w:val="0"/>
          <w:numId w:val="20"/>
        </w:numPr>
        <w:autoSpaceDE w:val="0"/>
        <w:autoSpaceDN w:val="0"/>
        <w:ind w:left="720"/>
      </w:pPr>
      <w:r w:rsidRPr="00DD5B58">
        <w:rPr>
          <w:rFonts w:eastAsia="Calibri" w:hAnsi="Calibri"/>
        </w:rPr>
        <w:t>Require use of salmon excluder devices, with recognition of contingencies, from January 20 to March 31, and from September 1 until the end of the B season</w:t>
      </w:r>
    </w:p>
    <w:p w:rsidR="00A55FAB" w:rsidRPr="00CC6D2E" w:rsidP="00DD5B58" w14:paraId="169953B3" w14:textId="77777777">
      <w:pPr>
        <w:pStyle w:val="ListParagraph"/>
        <w:widowControl/>
        <w:numPr>
          <w:ilvl w:val="0"/>
          <w:numId w:val="20"/>
        </w:numPr>
        <w:autoSpaceDE w:val="0"/>
        <w:autoSpaceDN w:val="0"/>
        <w:ind w:left="720"/>
      </w:pPr>
      <w:r w:rsidRPr="00DD5B58">
        <w:rPr>
          <w:rFonts w:eastAsia="Calibri" w:hAnsi="Calibri"/>
        </w:rPr>
        <w:t>Require for savings-credit-based IPAs that the salmon savings credits last for a maximum of three years.</w:t>
      </w:r>
    </w:p>
    <w:p w:rsidR="00DD5B58" w:rsidRPr="00DD5B58" w:rsidP="0099558D" w14:paraId="511A5AD3" w14:textId="77777777">
      <w:pPr>
        <w:pStyle w:val="ListParagraph"/>
        <w:widowControl/>
        <w:numPr>
          <w:ilvl w:val="0"/>
          <w:numId w:val="20"/>
        </w:numPr>
        <w:autoSpaceDE w:val="0"/>
        <w:autoSpaceDN w:val="0"/>
        <w:ind w:left="720"/>
      </w:pPr>
      <w:r w:rsidRPr="00DD5B58">
        <w:rPr>
          <w:rFonts w:eastAsia="Calibri" w:hAnsi="Calibri"/>
        </w:rPr>
        <w:t>Restrictions or performance criteria used to ensure that Chinook salmon PSC rates in October are not</w:t>
      </w:r>
      <w:r w:rsidRPr="00DD5B58">
        <w:rPr>
          <w:rFonts w:eastAsia="Calibri" w:hAnsi="Calibri"/>
          <w:w w:val="99"/>
        </w:rPr>
        <w:t xml:space="preserve"> </w:t>
      </w:r>
      <w:r w:rsidRPr="00DD5B58">
        <w:rPr>
          <w:rFonts w:eastAsia="Calibri" w:hAnsi="Calibri"/>
        </w:rPr>
        <w:t>significantly higher than those achieved in the preceding months.</w:t>
      </w:r>
    </w:p>
    <w:p w:rsidR="00DD5B58" w:rsidP="0099558D" w14:paraId="3E90FE0D" w14:textId="77777777">
      <w:pPr>
        <w:pStyle w:val="ListParagraph"/>
        <w:widowControl/>
        <w:numPr>
          <w:ilvl w:val="0"/>
          <w:numId w:val="20"/>
        </w:numPr>
        <w:autoSpaceDE w:val="0"/>
        <w:autoSpaceDN w:val="0"/>
        <w:ind w:left="720"/>
        <w:rPr>
          <w:rFonts w:eastAsia="Calibri" w:hAnsi="Calibri"/>
          <w:w w:val="99"/>
        </w:rPr>
      </w:pPr>
      <w:r w:rsidRPr="00DD5B58">
        <w:rPr>
          <w:rFonts w:eastAsia="Calibri" w:hAnsi="Calibri"/>
        </w:rPr>
        <w:t>Compliance agreement.</w:t>
      </w:r>
      <w:r w:rsidRPr="00DD5B58">
        <w:rPr>
          <w:rFonts w:eastAsia="Calibri" w:hAnsi="Calibri"/>
        </w:rPr>
        <w:t xml:space="preserve">  </w:t>
      </w:r>
      <w:r w:rsidRPr="00DD5B58">
        <w:rPr>
          <w:rFonts w:eastAsia="Calibri" w:hAnsi="Calibri"/>
        </w:rPr>
        <w:t>IPA must include written statement that all IPA parties agree to comply with all provisions of IPA.</w:t>
      </w:r>
      <w:r w:rsidRPr="00DD5B58">
        <w:rPr>
          <w:rFonts w:eastAsia="Calibri" w:hAnsi="Calibri"/>
          <w:w w:val="99"/>
        </w:rPr>
        <w:t xml:space="preserve"> </w:t>
      </w:r>
    </w:p>
    <w:p w:rsidR="00A55FAB" w:rsidRPr="00CC6D2E" w:rsidP="0099558D" w14:paraId="49F005B5" w14:textId="3D5394A0">
      <w:pPr>
        <w:pStyle w:val="ListParagraph"/>
        <w:widowControl/>
        <w:numPr>
          <w:ilvl w:val="0"/>
          <w:numId w:val="20"/>
        </w:numPr>
        <w:autoSpaceDE w:val="0"/>
        <w:autoSpaceDN w:val="0"/>
        <w:ind w:left="720"/>
      </w:pPr>
      <w:r w:rsidRPr="00DD5B58">
        <w:rPr>
          <w:rFonts w:eastAsia="Calibri" w:hAnsi="Calibri"/>
        </w:rPr>
        <w:t>Signatures.</w:t>
      </w:r>
      <w:r w:rsidRPr="00DD5B58" w:rsidR="00DD5B58">
        <w:rPr>
          <w:rFonts w:eastAsia="Calibri" w:hAnsi="Calibri"/>
        </w:rPr>
        <w:t xml:space="preserve">  </w:t>
      </w:r>
      <w:r w:rsidRPr="00DD5B58">
        <w:rPr>
          <w:rFonts w:eastAsia="Calibri" w:hAnsi="Calibri"/>
        </w:rPr>
        <w:t>The names and signatures of the owner or representative for each vessel and CDQ group that is a party to</w:t>
      </w:r>
      <w:r w:rsidRPr="00DD5B58">
        <w:rPr>
          <w:rFonts w:eastAsia="Calibri" w:hAnsi="Calibri"/>
          <w:w w:val="99"/>
        </w:rPr>
        <w:t xml:space="preserve"> </w:t>
      </w:r>
      <w:r w:rsidRPr="00DD5B58">
        <w:rPr>
          <w:rFonts w:eastAsia="Calibri" w:hAnsi="Calibri"/>
        </w:rPr>
        <w:t>the IPA. The representative of an inshore cooperative, or the representative of the entity formed to</w:t>
      </w:r>
      <w:r w:rsidRPr="00DD5B58">
        <w:rPr>
          <w:rFonts w:eastAsia="Calibri" w:hAnsi="Calibri"/>
          <w:w w:val="99"/>
        </w:rPr>
        <w:t xml:space="preserve"> </w:t>
      </w:r>
      <w:r w:rsidRPr="00DD5B58">
        <w:rPr>
          <w:rFonts w:eastAsia="Calibri" w:hAnsi="Calibri"/>
        </w:rPr>
        <w:t xml:space="preserve">represent the AFA catcher/processor </w:t>
      </w:r>
      <w:r w:rsidRPr="00DD5B58" w:rsidR="00E57F6B">
        <w:rPr>
          <w:rFonts w:eastAsia="Calibri" w:hAnsi="Calibri"/>
        </w:rPr>
        <w:t>sector,</w:t>
      </w:r>
      <w:r w:rsidRPr="00DD5B58">
        <w:rPr>
          <w:rFonts w:eastAsia="Calibri" w:hAnsi="Calibri"/>
        </w:rPr>
        <w:t xml:space="preserve"> or the AFA mothership sector may sign a proposed IPA on</w:t>
      </w:r>
      <w:r w:rsidRPr="00DD5B58">
        <w:rPr>
          <w:rFonts w:eastAsia="Calibri" w:hAnsi="Calibri"/>
          <w:w w:val="99"/>
        </w:rPr>
        <w:t xml:space="preserve"> </w:t>
      </w:r>
      <w:r w:rsidRPr="00DD5B58">
        <w:rPr>
          <w:rFonts w:eastAsia="Calibri" w:hAnsi="Calibri"/>
        </w:rPr>
        <w:t>behalf of all vessels that are members of that inshore cooperative or sector level entity</w:t>
      </w:r>
    </w:p>
    <w:p w:rsidR="00A55FAB" w:rsidRPr="00A55FAB" w:rsidP="0099558D" w14:paraId="1817CAD2" w14:textId="77777777">
      <w:pPr>
        <w:widowControl/>
        <w:autoSpaceDE w:val="0"/>
        <w:autoSpaceDN w:val="0"/>
      </w:pPr>
    </w:p>
    <w:p w:rsidR="00A55FAB" w:rsidRPr="00A55FAB" w:rsidP="0099558D" w14:paraId="63CC9A80" w14:textId="77777777">
      <w:pPr>
        <w:widowControl/>
        <w:autoSpaceDE w:val="0"/>
        <w:autoSpaceDN w:val="0"/>
        <w:rPr>
          <w:rFonts w:cstheme="minorBidi"/>
          <w:b/>
          <w:i/>
        </w:rPr>
      </w:pPr>
      <w:r w:rsidRPr="00A55FAB">
        <w:rPr>
          <w:rFonts w:cstheme="minorBidi"/>
          <w:b/>
          <w:i/>
        </w:rPr>
        <w:t>Administrative Appeals to Disapproved IPA</w:t>
      </w:r>
    </w:p>
    <w:p w:rsidR="00A55FAB" w:rsidRPr="00A55FAB" w:rsidP="0099558D" w14:paraId="3B5013E4" w14:textId="77777777">
      <w:pPr>
        <w:widowControl/>
        <w:autoSpaceDE w:val="0"/>
        <w:autoSpaceDN w:val="0"/>
        <w:jc w:val="right"/>
        <w:rPr>
          <w:rFonts w:cstheme="minorBidi"/>
        </w:rPr>
      </w:pPr>
      <w:r w:rsidRPr="00A55FAB">
        <w:rPr>
          <w:rFonts w:cstheme="minorBidi"/>
        </w:rPr>
        <w:t xml:space="preserve"> </w:t>
      </w:r>
    </w:p>
    <w:p w:rsidR="00A55FAB" w:rsidRPr="00A55FAB" w:rsidP="0099558D" w14:paraId="0A17E12E" w14:textId="504F89C4">
      <w:pPr>
        <w:widowControl/>
        <w:autoSpaceDE w:val="0"/>
        <w:autoSpaceDN w:val="0"/>
        <w:rPr>
          <w:spacing w:val="-1"/>
        </w:rPr>
      </w:pPr>
      <w:r w:rsidRPr="00A55FAB">
        <w:rPr>
          <w:spacing w:val="-1"/>
        </w:rPr>
        <w:t>An</w:t>
      </w:r>
      <w:r w:rsidRPr="00A55FAB">
        <w:rPr>
          <w:spacing w:val="2"/>
        </w:rPr>
        <w:t xml:space="preserve"> </w:t>
      </w:r>
      <w:r w:rsidRPr="00A55FAB">
        <w:rPr>
          <w:spacing w:val="-2"/>
        </w:rPr>
        <w:t>IPA</w:t>
      </w:r>
      <w:r w:rsidRPr="00A55FAB">
        <w:rPr>
          <w:spacing w:val="1"/>
        </w:rPr>
        <w:t xml:space="preserve"> </w:t>
      </w:r>
      <w:r w:rsidRPr="00A55FAB">
        <w:rPr>
          <w:spacing w:val="-1"/>
        </w:rPr>
        <w:t xml:space="preserve">representative </w:t>
      </w:r>
      <w:r w:rsidRPr="00A55FAB">
        <w:t xml:space="preserve">who </w:t>
      </w:r>
      <w:r w:rsidRPr="00A55FAB">
        <w:rPr>
          <w:spacing w:val="-1"/>
        </w:rPr>
        <w:t>receives</w:t>
      </w:r>
      <w:r w:rsidRPr="00A55FAB">
        <w:t xml:space="preserve"> </w:t>
      </w:r>
      <w:r w:rsidRPr="00A55FAB">
        <w:rPr>
          <w:spacing w:val="-1"/>
        </w:rPr>
        <w:t>an</w:t>
      </w:r>
      <w:r w:rsidRPr="00A55FAB">
        <w:rPr>
          <w:spacing w:val="2"/>
        </w:rPr>
        <w:t xml:space="preserve"> </w:t>
      </w:r>
      <w:r w:rsidR="00DD5B58">
        <w:rPr>
          <w:spacing w:val="2"/>
        </w:rPr>
        <w:t>Initial Administrative Determination (</w:t>
      </w:r>
      <w:r w:rsidRPr="00A55FAB">
        <w:rPr>
          <w:spacing w:val="-1"/>
        </w:rPr>
        <w:t>IAD</w:t>
      </w:r>
      <w:r w:rsidR="00DD5B58">
        <w:rPr>
          <w:spacing w:val="-1"/>
        </w:rPr>
        <w:t>)</w:t>
      </w:r>
      <w:r w:rsidRPr="00A55FAB">
        <w:rPr>
          <w:spacing w:val="-1"/>
        </w:rPr>
        <w:t xml:space="preserve"> </w:t>
      </w:r>
      <w:r w:rsidRPr="00A55FAB">
        <w:t>disapproving</w:t>
      </w:r>
      <w:r w:rsidRPr="00A55FAB">
        <w:rPr>
          <w:spacing w:val="-3"/>
        </w:rPr>
        <w:t xml:space="preserve"> </w:t>
      </w:r>
      <w:r w:rsidRPr="00A55FAB">
        <w:t>a</w:t>
      </w:r>
      <w:r w:rsidRPr="00A55FAB">
        <w:rPr>
          <w:spacing w:val="1"/>
        </w:rPr>
        <w:t xml:space="preserve"> </w:t>
      </w:r>
      <w:r w:rsidRPr="00A55FAB">
        <w:rPr>
          <w:spacing w:val="-1"/>
        </w:rPr>
        <w:t>proposed</w:t>
      </w:r>
      <w:r w:rsidRPr="00A55FAB">
        <w:rPr>
          <w:spacing w:val="2"/>
        </w:rPr>
        <w:t xml:space="preserve"> </w:t>
      </w:r>
      <w:r w:rsidRPr="00A55FAB">
        <w:rPr>
          <w:spacing w:val="-2"/>
        </w:rPr>
        <w:t>IPA</w:t>
      </w:r>
      <w:r w:rsidRPr="00A55FAB">
        <w:rPr>
          <w:spacing w:val="1"/>
        </w:rPr>
        <w:t xml:space="preserve"> </w:t>
      </w:r>
      <w:r w:rsidRPr="00A55FAB">
        <w:t>may</w:t>
      </w:r>
      <w:r w:rsidRPr="00A55FAB">
        <w:rPr>
          <w:spacing w:val="-3"/>
        </w:rPr>
        <w:t xml:space="preserve"> </w:t>
      </w:r>
      <w:r w:rsidRPr="00A55FAB">
        <w:rPr>
          <w:spacing w:val="-1"/>
        </w:rPr>
        <w:t>appeal</w:t>
      </w:r>
      <w:r w:rsidRPr="00A55FAB">
        <w:t xml:space="preserve"> under</w:t>
      </w:r>
      <w:r w:rsidRPr="00A55FAB">
        <w:rPr>
          <w:spacing w:val="-1"/>
        </w:rPr>
        <w:t xml:space="preserve"> </w:t>
      </w:r>
      <w:r w:rsidRPr="00A55FAB">
        <w:t>the</w:t>
      </w:r>
      <w:r w:rsidRPr="00A55FAB">
        <w:rPr>
          <w:spacing w:val="63"/>
        </w:rPr>
        <w:t xml:space="preserve"> </w:t>
      </w:r>
      <w:r w:rsidRPr="00A55FAB">
        <w:rPr>
          <w:spacing w:val="-1"/>
        </w:rPr>
        <w:t>procedures</w:t>
      </w:r>
      <w:r w:rsidRPr="00A55FAB">
        <w:t xml:space="preserve"> </w:t>
      </w:r>
      <w:r w:rsidRPr="00A55FAB">
        <w:rPr>
          <w:spacing w:val="-1"/>
        </w:rPr>
        <w:t>set</w:t>
      </w:r>
      <w:r w:rsidRPr="00A55FAB">
        <w:t xml:space="preserve"> </w:t>
      </w:r>
      <w:r w:rsidRPr="00A55FAB">
        <w:rPr>
          <w:spacing w:val="-1"/>
        </w:rPr>
        <w:t>forth</w:t>
      </w:r>
      <w:r w:rsidRPr="00A55FAB">
        <w:rPr>
          <w:spacing w:val="2"/>
        </w:rPr>
        <w:t xml:space="preserve"> </w:t>
      </w:r>
      <w:r w:rsidRPr="00A55FAB">
        <w:rPr>
          <w:spacing w:val="-1"/>
        </w:rPr>
        <w:t>at</w:t>
      </w:r>
      <w:r w:rsidRPr="00A55FAB">
        <w:t xml:space="preserve"> 50 CFR 679.43</w:t>
      </w:r>
      <w:r>
        <w:rPr>
          <w:rStyle w:val="FootnoteReference"/>
        </w:rPr>
        <w:footnoteReference w:id="8"/>
      </w:r>
      <w:r w:rsidR="00EB1C85">
        <w:t xml:space="preserve"> and 15 CFR 906.3</w:t>
      </w:r>
      <w:r>
        <w:rPr>
          <w:rStyle w:val="FootnoteReference"/>
        </w:rPr>
        <w:footnoteReference w:id="9"/>
      </w:r>
      <w:r w:rsidRPr="00A55FAB">
        <w:t>.</w:t>
      </w:r>
      <w:r w:rsidRPr="00A55FAB">
        <w:rPr>
          <w:spacing w:val="2"/>
        </w:rPr>
        <w:t xml:space="preserve"> </w:t>
      </w:r>
      <w:r w:rsidRPr="00A55FAB">
        <w:rPr>
          <w:spacing w:val="-2"/>
        </w:rPr>
        <w:t>If</w:t>
      </w:r>
      <w:r w:rsidRPr="00A55FAB">
        <w:rPr>
          <w:spacing w:val="-1"/>
        </w:rPr>
        <w:t xml:space="preserve"> </w:t>
      </w:r>
      <w:r w:rsidRPr="00A55FAB">
        <w:t>the</w:t>
      </w:r>
      <w:r w:rsidRPr="00A55FAB">
        <w:rPr>
          <w:spacing w:val="1"/>
        </w:rPr>
        <w:t xml:space="preserve"> </w:t>
      </w:r>
      <w:r w:rsidRPr="00A55FAB">
        <w:rPr>
          <w:spacing w:val="-2"/>
        </w:rPr>
        <w:t>IPA</w:t>
      </w:r>
      <w:r w:rsidRPr="00A55FAB">
        <w:rPr>
          <w:spacing w:val="-1"/>
        </w:rPr>
        <w:t xml:space="preserve"> representative fails</w:t>
      </w:r>
      <w:r w:rsidRPr="00A55FAB">
        <w:t xml:space="preserve"> to </w:t>
      </w:r>
      <w:r w:rsidRPr="00A55FAB">
        <w:rPr>
          <w:spacing w:val="-1"/>
        </w:rPr>
        <w:t>file an</w:t>
      </w:r>
      <w:r w:rsidRPr="00A55FAB">
        <w:rPr>
          <w:spacing w:val="2"/>
        </w:rPr>
        <w:t xml:space="preserve"> </w:t>
      </w:r>
      <w:r w:rsidRPr="00A55FAB">
        <w:rPr>
          <w:spacing w:val="-1"/>
        </w:rPr>
        <w:t>appeal</w:t>
      </w:r>
      <w:r w:rsidRPr="00A55FAB">
        <w:t xml:space="preserve"> of</w:t>
      </w:r>
      <w:r w:rsidRPr="00A55FAB">
        <w:rPr>
          <w:spacing w:val="-1"/>
        </w:rPr>
        <w:t xml:space="preserve"> </w:t>
      </w:r>
      <w:r w:rsidRPr="00A55FAB">
        <w:t>the</w:t>
      </w:r>
      <w:r w:rsidRPr="00A55FAB">
        <w:rPr>
          <w:spacing w:val="1"/>
        </w:rPr>
        <w:t xml:space="preserve"> </w:t>
      </w:r>
      <w:r w:rsidRPr="00A55FAB">
        <w:rPr>
          <w:spacing w:val="-1"/>
        </w:rPr>
        <w:t>IAD</w:t>
      </w:r>
      <w:r w:rsidRPr="00A55FAB">
        <w:rPr>
          <w:spacing w:val="79"/>
        </w:rPr>
        <w:t xml:space="preserve"> </w:t>
      </w:r>
      <w:r w:rsidRPr="00A55FAB">
        <w:rPr>
          <w:spacing w:val="-1"/>
        </w:rPr>
        <w:t>pursuant</w:t>
      </w:r>
      <w:r w:rsidRPr="00A55FAB">
        <w:t xml:space="preserve"> to § 679.43, the</w:t>
      </w:r>
      <w:r w:rsidRPr="00A55FAB">
        <w:rPr>
          <w:spacing w:val="-1"/>
        </w:rPr>
        <w:t xml:space="preserve"> IAD will</w:t>
      </w:r>
      <w:r w:rsidRPr="00A55FAB">
        <w:t xml:space="preserve"> </w:t>
      </w:r>
      <w:r w:rsidRPr="00A55FAB">
        <w:rPr>
          <w:spacing w:val="-1"/>
        </w:rPr>
        <w:t xml:space="preserve">become </w:t>
      </w:r>
      <w:r w:rsidRPr="00A55FAB">
        <w:t>the</w:t>
      </w:r>
      <w:r w:rsidRPr="00A55FAB">
        <w:rPr>
          <w:spacing w:val="1"/>
        </w:rPr>
        <w:t xml:space="preserve"> </w:t>
      </w:r>
      <w:r w:rsidRPr="00A55FAB">
        <w:t>final agency</w:t>
      </w:r>
      <w:r w:rsidRPr="00A55FAB">
        <w:rPr>
          <w:spacing w:val="-5"/>
        </w:rPr>
        <w:t xml:space="preserve"> </w:t>
      </w:r>
      <w:r w:rsidRPr="00A55FAB">
        <w:t>action.</w:t>
      </w:r>
      <w:r w:rsidRPr="00A55FAB">
        <w:rPr>
          <w:spacing w:val="2"/>
        </w:rPr>
        <w:t xml:space="preserve"> </w:t>
      </w:r>
      <w:r w:rsidRPr="00A55FAB">
        <w:rPr>
          <w:spacing w:val="-2"/>
        </w:rPr>
        <w:t>If</w:t>
      </w:r>
      <w:r w:rsidRPr="00A55FAB">
        <w:rPr>
          <w:spacing w:val="-1"/>
        </w:rPr>
        <w:t xml:space="preserve"> </w:t>
      </w:r>
      <w:r w:rsidRPr="00A55FAB">
        <w:t>the</w:t>
      </w:r>
      <w:r w:rsidRPr="00A55FAB">
        <w:rPr>
          <w:spacing w:val="1"/>
        </w:rPr>
        <w:t xml:space="preserve"> </w:t>
      </w:r>
      <w:r w:rsidRPr="00A55FAB">
        <w:t>IAD</w:t>
      </w:r>
      <w:r w:rsidRPr="00A55FAB">
        <w:rPr>
          <w:spacing w:val="-1"/>
        </w:rPr>
        <w:t xml:space="preserve"> </w:t>
      </w:r>
      <w:r w:rsidRPr="00A55FAB">
        <w:t xml:space="preserve">is </w:t>
      </w:r>
      <w:r w:rsidRPr="00A55FAB">
        <w:rPr>
          <w:spacing w:val="-1"/>
        </w:rPr>
        <w:t>appealed</w:t>
      </w:r>
      <w:r w:rsidRPr="00A55FAB">
        <w:rPr>
          <w:spacing w:val="2"/>
        </w:rPr>
        <w:t xml:space="preserve"> </w:t>
      </w:r>
      <w:r w:rsidRPr="00A55FAB">
        <w:rPr>
          <w:spacing w:val="-1"/>
        </w:rPr>
        <w:t>and</w:t>
      </w:r>
      <w:r w:rsidRPr="00A55FAB">
        <w:rPr>
          <w:spacing w:val="41"/>
        </w:rPr>
        <w:t xml:space="preserve"> </w:t>
      </w:r>
      <w:r w:rsidRPr="00A55FAB">
        <w:t>the</w:t>
      </w:r>
      <w:r w:rsidRPr="00A55FAB">
        <w:rPr>
          <w:spacing w:val="-1"/>
        </w:rPr>
        <w:t xml:space="preserve"> final</w:t>
      </w:r>
      <w:r w:rsidRPr="00A55FAB">
        <w:t xml:space="preserve"> agency</w:t>
      </w:r>
      <w:r w:rsidRPr="00A55FAB">
        <w:rPr>
          <w:spacing w:val="-5"/>
        </w:rPr>
        <w:t xml:space="preserve"> </w:t>
      </w:r>
      <w:r w:rsidRPr="00A55FAB">
        <w:rPr>
          <w:spacing w:val="-1"/>
        </w:rPr>
        <w:t>action</w:t>
      </w:r>
      <w:r w:rsidRPr="00A55FAB">
        <w:t xml:space="preserve"> is</w:t>
      </w:r>
      <w:r w:rsidRPr="00A55FAB">
        <w:rPr>
          <w:spacing w:val="2"/>
        </w:rPr>
        <w:t xml:space="preserve"> </w:t>
      </w:r>
      <w:r w:rsidRPr="00A55FAB">
        <w:t>a</w:t>
      </w:r>
      <w:r w:rsidRPr="00A55FAB">
        <w:rPr>
          <w:spacing w:val="-1"/>
        </w:rPr>
        <w:t xml:space="preserve"> determination</w:t>
      </w:r>
      <w:r w:rsidRPr="00A55FAB">
        <w:t xml:space="preserve"> to approve</w:t>
      </w:r>
      <w:r w:rsidRPr="00A55FAB">
        <w:rPr>
          <w:spacing w:val="-1"/>
        </w:rPr>
        <w:t xml:space="preserve"> </w:t>
      </w:r>
      <w:r w:rsidRPr="00A55FAB">
        <w:t>the</w:t>
      </w:r>
      <w:r w:rsidRPr="00A55FAB">
        <w:rPr>
          <w:spacing w:val="-1"/>
        </w:rPr>
        <w:t xml:space="preserve"> proposed</w:t>
      </w:r>
      <w:r w:rsidRPr="00A55FAB">
        <w:rPr>
          <w:spacing w:val="4"/>
        </w:rPr>
        <w:t xml:space="preserve"> </w:t>
      </w:r>
      <w:r w:rsidRPr="00A55FAB">
        <w:rPr>
          <w:spacing w:val="-2"/>
        </w:rPr>
        <w:t>IPA,</w:t>
      </w:r>
      <w:r w:rsidRPr="00A55FAB">
        <w:t xml:space="preserve"> then the</w:t>
      </w:r>
      <w:r w:rsidRPr="00A55FAB">
        <w:rPr>
          <w:spacing w:val="1"/>
        </w:rPr>
        <w:t xml:space="preserve"> </w:t>
      </w:r>
      <w:r w:rsidRPr="00A55FAB">
        <w:rPr>
          <w:spacing w:val="-2"/>
        </w:rPr>
        <w:t>IPA</w:t>
      </w:r>
      <w:r w:rsidRPr="00A55FAB">
        <w:rPr>
          <w:spacing w:val="1"/>
        </w:rPr>
        <w:t xml:space="preserve"> </w:t>
      </w:r>
      <w:r w:rsidRPr="00A55FAB">
        <w:rPr>
          <w:spacing w:val="-1"/>
        </w:rPr>
        <w:t>will</w:t>
      </w:r>
      <w:r w:rsidRPr="00A55FAB">
        <w:t xml:space="preserve"> be</w:t>
      </w:r>
      <w:r w:rsidRPr="00A55FAB">
        <w:rPr>
          <w:spacing w:val="63"/>
        </w:rPr>
        <w:t xml:space="preserve"> </w:t>
      </w:r>
      <w:r w:rsidRPr="00A55FAB">
        <w:rPr>
          <w:spacing w:val="-1"/>
        </w:rPr>
        <w:t>effective as</w:t>
      </w:r>
      <w:r w:rsidRPr="00A55FAB">
        <w:t xml:space="preserve"> </w:t>
      </w:r>
      <w:r w:rsidRPr="00A55FAB">
        <w:rPr>
          <w:spacing w:val="-1"/>
        </w:rPr>
        <w:t>described</w:t>
      </w:r>
      <w:r w:rsidRPr="00A55FAB">
        <w:t xml:space="preserve"> in</w:t>
      </w:r>
      <w:r w:rsidRPr="00A55FAB">
        <w:rPr>
          <w:spacing w:val="2"/>
        </w:rPr>
        <w:t xml:space="preserve"> </w:t>
      </w:r>
      <w:r w:rsidRPr="00A55FAB">
        <w:t>50 CFR 679.21</w:t>
      </w:r>
      <w:r w:rsidRPr="00A55FAB">
        <w:rPr>
          <w:spacing w:val="-1"/>
        </w:rPr>
        <w:t>(f)(12)(iv)(B).</w:t>
      </w:r>
    </w:p>
    <w:p w:rsidR="00A55FAB" w:rsidRPr="00A55FAB" w:rsidP="0099558D" w14:paraId="512662E6" w14:textId="77777777">
      <w:pPr>
        <w:widowControl/>
        <w:tabs>
          <w:tab w:val="left" w:pos="435"/>
        </w:tabs>
        <w:autoSpaceDE w:val="0"/>
        <w:autoSpaceDN w:val="0"/>
        <w:jc w:val="right"/>
        <w:outlineLvl w:val="0"/>
        <w:rPr>
          <w:rFonts w:eastAsiaTheme="minorHAnsi" w:cstheme="minorBidi"/>
        </w:rPr>
      </w:pPr>
    </w:p>
    <w:p w:rsidR="00A55FAB" w:rsidRPr="00A55FAB" w:rsidP="0099558D" w14:paraId="48ACEC71" w14:textId="26E58A06">
      <w:pPr>
        <w:widowControl/>
        <w:tabs>
          <w:tab w:val="left" w:pos="400"/>
        </w:tabs>
        <w:autoSpaceDE w:val="0"/>
        <w:autoSpaceDN w:val="0"/>
        <w:outlineLvl w:val="0"/>
        <w:rPr>
          <w:rFonts w:eastAsiaTheme="minorHAnsi" w:cstheme="minorBidi"/>
          <w:b/>
          <w:i/>
        </w:rPr>
      </w:pPr>
      <w:r w:rsidRPr="00FB6992">
        <w:rPr>
          <w:rFonts w:eastAsiaTheme="minorHAnsi" w:cstheme="minorBidi"/>
          <w:b/>
          <w:bCs/>
          <w:i/>
        </w:rPr>
        <w:t xml:space="preserve">Bering Sea Pollock Fishery </w:t>
      </w:r>
      <w:r w:rsidRPr="00A55FAB">
        <w:rPr>
          <w:rFonts w:eastAsiaTheme="minorHAnsi" w:cstheme="minorBidi"/>
          <w:b/>
          <w:bCs/>
          <w:i/>
        </w:rPr>
        <w:t>IPA Annual Report</w:t>
      </w:r>
    </w:p>
    <w:p w:rsidR="00A55FAB" w:rsidRPr="00A55FAB" w:rsidP="0099558D" w14:paraId="2CF7918E" w14:textId="77777777">
      <w:pPr>
        <w:widowControl/>
        <w:autoSpaceDE w:val="0"/>
        <w:autoSpaceDN w:val="0"/>
        <w:rPr>
          <w:b/>
          <w:bCs/>
          <w:sz w:val="19"/>
          <w:szCs w:val="19"/>
        </w:rPr>
      </w:pPr>
    </w:p>
    <w:p w:rsidR="00A55FAB" w:rsidRPr="00A55FAB" w:rsidP="0099558D" w14:paraId="3097BAA5" w14:textId="657A6537">
      <w:pPr>
        <w:widowControl/>
        <w:autoSpaceDE w:val="0"/>
        <w:autoSpaceDN w:val="0"/>
        <w:rPr>
          <w:rFonts w:eastAsiaTheme="minorHAnsi" w:cstheme="minorBidi"/>
        </w:rPr>
      </w:pPr>
      <w:r w:rsidRPr="00A55FAB">
        <w:rPr>
          <w:rFonts w:eastAsiaTheme="minorHAnsi" w:cstheme="minorBidi"/>
        </w:rPr>
        <w:t>The IPA annual report is the primary tool through which the Council evaluates the effectiveness of IPAs in reducing Chinook salmon and chum salmon bycatch in t</w:t>
      </w:r>
      <w:r w:rsidR="00D632E4">
        <w:rPr>
          <w:rFonts w:eastAsiaTheme="minorHAnsi" w:cstheme="minorBidi"/>
        </w:rPr>
        <w:t xml:space="preserve">he Bering Sea pollock fishery. </w:t>
      </w:r>
      <w:r w:rsidRPr="00A55FAB">
        <w:rPr>
          <w:rFonts w:eastAsiaTheme="minorHAnsi" w:cstheme="minorBidi"/>
        </w:rPr>
        <w:t>Information gathered through the annual reports is necessary for the Council to evaluate the salmon bycatch management measures and to provide the public with information about how the program operates and information about bycatch reduction under this program.</w:t>
      </w:r>
    </w:p>
    <w:p w:rsidR="00A55FAB" w:rsidRPr="00A55FAB" w:rsidP="0099558D" w14:paraId="47E01F69" w14:textId="77777777">
      <w:pPr>
        <w:widowControl/>
        <w:autoSpaceDE w:val="0"/>
        <w:autoSpaceDN w:val="0"/>
        <w:rPr>
          <w:rFonts w:eastAsiaTheme="minorHAnsi"/>
        </w:rPr>
      </w:pPr>
    </w:p>
    <w:p w:rsidR="00A55FAB" w:rsidRPr="00A55FAB" w:rsidP="0099558D" w14:paraId="7C21E651" w14:textId="77777777">
      <w:pPr>
        <w:widowControl/>
        <w:autoSpaceDE w:val="0"/>
        <w:autoSpaceDN w:val="0"/>
        <w:rPr>
          <w:rFonts w:eastAsiaTheme="minorHAnsi"/>
        </w:rPr>
      </w:pPr>
      <w:r w:rsidRPr="00A55FAB">
        <w:rPr>
          <w:rFonts w:eastAsiaTheme="minorHAnsi"/>
        </w:rPr>
        <w:t>The IPA representative must submit an IPA annual report to the Council. The IPA annual report must be received by the Council no later than March 15.</w:t>
      </w:r>
      <w:r w:rsidRPr="00A55FAB">
        <w:t xml:space="preserve"> </w:t>
      </w:r>
      <w:r w:rsidRPr="00A55FAB">
        <w:rPr>
          <w:rFonts w:eastAsiaTheme="minorHAnsi"/>
        </w:rPr>
        <w:t>The reports are almost always submitted by email. The report is also provided voluntarily to the Council during its April meeting.</w:t>
      </w:r>
    </w:p>
    <w:p w:rsidR="00A55FAB" w:rsidRPr="00A55FAB" w:rsidP="0099558D" w14:paraId="3B8DB633" w14:textId="77777777">
      <w:pPr>
        <w:widowControl/>
        <w:autoSpaceDE w:val="0"/>
        <w:autoSpaceDN w:val="0"/>
        <w:rPr>
          <w:rFonts w:eastAsiaTheme="minorHAnsi" w:cstheme="minorBidi"/>
        </w:rPr>
      </w:pPr>
    </w:p>
    <w:p w:rsidR="00A55FAB" w:rsidRPr="00A55FAB" w:rsidP="0099558D" w14:paraId="46939745" w14:textId="77777777">
      <w:pPr>
        <w:widowControl/>
        <w:autoSpaceDE w:val="0"/>
        <w:autoSpaceDN w:val="0"/>
        <w:rPr>
          <w:rFonts w:eastAsiaTheme="minorHAnsi" w:cstheme="minorBidi"/>
        </w:rPr>
      </w:pPr>
      <w:r w:rsidRPr="00A55FAB">
        <w:rPr>
          <w:rFonts w:eastAsiaTheme="minorHAnsi" w:cstheme="minorBidi"/>
        </w:rPr>
        <w:t>The IPA annual reports are posted on the Council’s website (</w:t>
      </w:r>
      <w:hyperlink r:id="rId16" w:history="1">
        <w:r w:rsidRPr="00A55FAB">
          <w:rPr>
            <w:rFonts w:eastAsiaTheme="minorHAnsi" w:cstheme="minorBidi"/>
            <w:color w:val="0000FF" w:themeColor="hyperlink"/>
            <w:u w:val="single"/>
          </w:rPr>
          <w:t>https://www.npfmc.org/cooperative-reporting/</w:t>
        </w:r>
      </w:hyperlink>
      <w:r w:rsidRPr="00A55FAB">
        <w:rPr>
          <w:rFonts w:eastAsiaTheme="minorHAnsi" w:cstheme="minorBidi"/>
        </w:rPr>
        <w:t>) and are retained for historical purposes once removed from the website.</w:t>
      </w:r>
    </w:p>
    <w:p w:rsidR="00A55FAB" w:rsidRPr="00A55FAB" w:rsidP="0099558D" w14:paraId="271F1C9E" w14:textId="77777777">
      <w:pPr>
        <w:widowControl/>
        <w:autoSpaceDE w:val="0"/>
        <w:autoSpaceDN w:val="0"/>
      </w:pPr>
    </w:p>
    <w:p w:rsidR="00A55FAB" w:rsidRPr="00A55FAB" w:rsidP="0099558D" w14:paraId="6F99981C" w14:textId="77777777">
      <w:pPr>
        <w:widowControl/>
        <w:autoSpaceDE w:val="0"/>
        <w:autoSpaceDN w:val="0"/>
      </w:pPr>
      <w:r w:rsidRPr="00A55FAB">
        <w:t xml:space="preserve">The IPA annual report must include the </w:t>
      </w:r>
      <w:r w:rsidRPr="00A55FAB">
        <w:t>following information:</w:t>
      </w:r>
    </w:p>
    <w:p w:rsidR="00A55FAB" w:rsidRPr="00DD5B58" w:rsidP="00DD5B58" w14:paraId="726D6BA5" w14:textId="77777777">
      <w:pPr>
        <w:pStyle w:val="ListParagraph"/>
        <w:widowControl/>
        <w:numPr>
          <w:ilvl w:val="0"/>
          <w:numId w:val="21"/>
        </w:numPr>
        <w:autoSpaceDE w:val="0"/>
        <w:autoSpaceDN w:val="0"/>
        <w:rPr>
          <w:rFonts w:eastAsia="Calibri"/>
          <w:w w:val="99"/>
        </w:rPr>
      </w:pPr>
      <w:r w:rsidRPr="00DD5B58">
        <w:rPr>
          <w:rFonts w:eastAsia="Calibri"/>
        </w:rPr>
        <w:t>Incentive measures in effect in the previous year, including rolling hot spot program and salmon excluder use</w:t>
      </w:r>
      <w:r w:rsidRPr="00DD5B58">
        <w:rPr>
          <w:rFonts w:eastAsia="Calibri"/>
          <w:w w:val="99"/>
        </w:rPr>
        <w:t xml:space="preserve"> </w:t>
      </w:r>
    </w:p>
    <w:p w:rsidR="00A55FAB" w:rsidRPr="00CC6D2E" w:rsidP="00DD5B58" w14:paraId="6AC79459" w14:textId="77777777">
      <w:pPr>
        <w:pStyle w:val="ListParagraph"/>
        <w:widowControl/>
        <w:numPr>
          <w:ilvl w:val="0"/>
          <w:numId w:val="21"/>
        </w:numPr>
        <w:autoSpaceDE w:val="0"/>
        <w:autoSpaceDN w:val="0"/>
      </w:pPr>
      <w:r w:rsidRPr="00DD5B58">
        <w:rPr>
          <w:rFonts w:eastAsia="Calibri"/>
        </w:rPr>
        <w:t>How incentive measures affected individual vessels</w:t>
      </w:r>
    </w:p>
    <w:p w:rsidR="00A55FAB" w:rsidRPr="00CC6D2E" w:rsidP="00DD5B58" w14:paraId="0592FA78" w14:textId="77777777">
      <w:pPr>
        <w:pStyle w:val="ListParagraph"/>
        <w:widowControl/>
        <w:numPr>
          <w:ilvl w:val="0"/>
          <w:numId w:val="21"/>
        </w:numPr>
        <w:autoSpaceDE w:val="0"/>
        <w:autoSpaceDN w:val="0"/>
      </w:pPr>
      <w:r w:rsidRPr="00DD5B58">
        <w:rPr>
          <w:rFonts w:eastAsia="Calibri"/>
        </w:rPr>
        <w:t>Were incentive measures effective in achieving salmon savings beyond levels that would have been achieved in</w:t>
      </w:r>
      <w:r w:rsidRPr="00DD5B58">
        <w:rPr>
          <w:rFonts w:eastAsia="Calibri"/>
          <w:w w:val="99"/>
        </w:rPr>
        <w:t xml:space="preserve"> </w:t>
      </w:r>
      <w:r w:rsidRPr="00DD5B58">
        <w:rPr>
          <w:rFonts w:eastAsia="Calibri"/>
        </w:rPr>
        <w:t>absence of the measures, including effectiveness of the following:</w:t>
      </w:r>
    </w:p>
    <w:p w:rsidR="00A55FAB" w:rsidRPr="00CC6D2E" w:rsidP="00DD5B58" w14:paraId="729F82DD" w14:textId="77777777">
      <w:pPr>
        <w:pStyle w:val="ListParagraph"/>
        <w:widowControl/>
        <w:numPr>
          <w:ilvl w:val="1"/>
          <w:numId w:val="21"/>
        </w:numPr>
        <w:autoSpaceDE w:val="0"/>
        <w:autoSpaceDN w:val="0"/>
        <w:ind w:left="1080"/>
      </w:pPr>
      <w:r w:rsidRPr="00DD5B58">
        <w:rPr>
          <w:rFonts w:eastAsia="Calibri"/>
        </w:rPr>
        <w:t>Measures to ensure that chum salmon were avoided in areas and at times when chum salmon return</w:t>
      </w:r>
      <w:r w:rsidRPr="00DD5B58">
        <w:rPr>
          <w:rFonts w:eastAsia="Calibri"/>
          <w:w w:val="99"/>
        </w:rPr>
        <w:t xml:space="preserve"> </w:t>
      </w:r>
      <w:r w:rsidRPr="00DD5B58">
        <w:rPr>
          <w:rFonts w:eastAsia="Calibri"/>
        </w:rPr>
        <w:t>to western Alaska</w:t>
      </w:r>
    </w:p>
    <w:p w:rsidR="00A55FAB" w:rsidRPr="00CC6D2E" w:rsidP="00DD5B58" w14:paraId="6C6C5E1B" w14:textId="77777777">
      <w:pPr>
        <w:pStyle w:val="ListParagraph"/>
        <w:widowControl/>
        <w:numPr>
          <w:ilvl w:val="1"/>
          <w:numId w:val="21"/>
        </w:numPr>
        <w:autoSpaceDE w:val="0"/>
        <w:autoSpaceDN w:val="0"/>
        <w:ind w:left="1080"/>
      </w:pPr>
      <w:r w:rsidRPr="00DD5B58">
        <w:rPr>
          <w:rFonts w:eastAsia="Calibri"/>
        </w:rPr>
        <w:t>Restrictions or penalties that target vessels that consistently have significantly higher Chinook salmon</w:t>
      </w:r>
      <w:r w:rsidRPr="00DD5B58">
        <w:rPr>
          <w:rFonts w:eastAsia="Calibri"/>
          <w:w w:val="99"/>
        </w:rPr>
        <w:t xml:space="preserve"> </w:t>
      </w:r>
      <w:r w:rsidRPr="00DD5B58">
        <w:rPr>
          <w:rFonts w:eastAsia="Calibri"/>
        </w:rPr>
        <w:t>PSC rates relative to other vessels</w:t>
      </w:r>
    </w:p>
    <w:p w:rsidR="00A55FAB" w:rsidRPr="00CC6D2E" w:rsidP="00DD5B58" w14:paraId="14631B89" w14:textId="77777777">
      <w:pPr>
        <w:pStyle w:val="ListParagraph"/>
        <w:widowControl/>
        <w:numPr>
          <w:ilvl w:val="1"/>
          <w:numId w:val="21"/>
        </w:numPr>
        <w:autoSpaceDE w:val="0"/>
        <w:autoSpaceDN w:val="0"/>
        <w:ind w:left="1080"/>
      </w:pPr>
      <w:r w:rsidRPr="00DD5B58">
        <w:rPr>
          <w:rFonts w:eastAsia="Calibri"/>
        </w:rPr>
        <w:t>Restrictions or performance criteria used to ensure that Chinook PSC rates in October are not</w:t>
      </w:r>
      <w:r w:rsidRPr="00DD5B58">
        <w:rPr>
          <w:rFonts w:eastAsia="Calibri"/>
          <w:w w:val="99"/>
        </w:rPr>
        <w:t xml:space="preserve"> </w:t>
      </w:r>
      <w:r w:rsidRPr="00DD5B58">
        <w:rPr>
          <w:rFonts w:eastAsia="Calibri"/>
        </w:rPr>
        <w:t>significantly higher than in previous months.</w:t>
      </w:r>
    </w:p>
    <w:p w:rsidR="00A55FAB" w:rsidRPr="00CC6D2E" w:rsidP="00DD5B58" w14:paraId="392415A3" w14:textId="77777777">
      <w:pPr>
        <w:pStyle w:val="ListParagraph"/>
        <w:widowControl/>
        <w:numPr>
          <w:ilvl w:val="0"/>
          <w:numId w:val="21"/>
        </w:numPr>
        <w:autoSpaceDE w:val="0"/>
        <w:autoSpaceDN w:val="0"/>
      </w:pPr>
      <w:r w:rsidRPr="00DD5B58">
        <w:rPr>
          <w:rFonts w:eastAsia="Calibri"/>
        </w:rPr>
        <w:t>Amendments to the IPA terms that were approved by NMFS since the last annual report and the reasons that the</w:t>
      </w:r>
      <w:r w:rsidRPr="00DD5B58">
        <w:rPr>
          <w:rFonts w:eastAsia="Calibri"/>
          <w:w w:val="99"/>
        </w:rPr>
        <w:t xml:space="preserve"> </w:t>
      </w:r>
      <w:r w:rsidRPr="00DD5B58">
        <w:rPr>
          <w:rFonts w:eastAsia="Calibri"/>
        </w:rPr>
        <w:t>amendments to the IPA were made</w:t>
      </w:r>
    </w:p>
    <w:p w:rsidR="00A55FAB" w:rsidRPr="00CC6D2E" w:rsidP="00DD5B58" w14:paraId="385ED0E7" w14:textId="77777777">
      <w:pPr>
        <w:pStyle w:val="ListParagraph"/>
        <w:widowControl/>
        <w:numPr>
          <w:ilvl w:val="0"/>
          <w:numId w:val="21"/>
        </w:numPr>
        <w:autoSpaceDE w:val="0"/>
        <w:autoSpaceDN w:val="0"/>
      </w:pPr>
      <w:r w:rsidRPr="00DD5B58">
        <w:rPr>
          <w:rFonts w:eastAsia="Calibri"/>
        </w:rPr>
        <w:t>Sub-allocation to each participating vessel of the number of Chinook salmon PSC and amount of pollock (mt) at</w:t>
      </w:r>
      <w:r w:rsidRPr="00DD5B58">
        <w:rPr>
          <w:rFonts w:eastAsia="Calibri"/>
          <w:w w:val="99"/>
        </w:rPr>
        <w:t xml:space="preserve"> </w:t>
      </w:r>
      <w:r w:rsidRPr="00DD5B58">
        <w:rPr>
          <w:rFonts w:eastAsia="Calibri"/>
        </w:rPr>
        <w:t>the start of each fishing season,</w:t>
      </w:r>
    </w:p>
    <w:p w:rsidR="00DD5B58" w:rsidRPr="00DD5B58" w:rsidP="00DD5B58" w14:paraId="319E7210" w14:textId="77777777">
      <w:pPr>
        <w:pStyle w:val="ListParagraph"/>
        <w:widowControl/>
        <w:numPr>
          <w:ilvl w:val="0"/>
          <w:numId w:val="21"/>
        </w:numPr>
        <w:autoSpaceDE w:val="0"/>
        <w:autoSpaceDN w:val="0"/>
      </w:pPr>
      <w:r w:rsidRPr="00DD5B58">
        <w:rPr>
          <w:rFonts w:eastAsia="Calibri"/>
        </w:rPr>
        <w:t>Number of Chinook salmon PSC and amount of pollock (mt) caught at the end of each season.</w:t>
      </w:r>
    </w:p>
    <w:p w:rsidR="00A55FAB" w:rsidRPr="00CC6D2E" w:rsidP="00DD5B58" w14:paraId="771F45A6" w14:textId="3D4F989C">
      <w:pPr>
        <w:pStyle w:val="ListParagraph"/>
        <w:widowControl/>
        <w:numPr>
          <w:ilvl w:val="0"/>
          <w:numId w:val="21"/>
        </w:numPr>
        <w:autoSpaceDE w:val="0"/>
        <w:autoSpaceDN w:val="0"/>
      </w:pPr>
      <w:r w:rsidRPr="00DD5B58">
        <w:rPr>
          <w:rFonts w:eastAsia="Calibri"/>
        </w:rPr>
        <w:t>In-season transfer of Chinook salmon PSC and pollock among AFA cooperatives, entities eligible to receive</w:t>
      </w:r>
      <w:r w:rsidRPr="00DD5B58">
        <w:rPr>
          <w:rFonts w:eastAsia="Calibri"/>
          <w:w w:val="99"/>
        </w:rPr>
        <w:t xml:space="preserve"> </w:t>
      </w:r>
      <w:r w:rsidRPr="00DD5B58">
        <w:rPr>
          <w:rFonts w:eastAsia="Calibri"/>
        </w:rPr>
        <w:t>Chinook salmon PSC allocations, or CDQ groups</w:t>
      </w:r>
    </w:p>
    <w:p w:rsidR="00A55FAB" w:rsidRPr="00DD5B58" w:rsidP="00DD5B58" w14:paraId="05BFE539" w14:textId="77777777">
      <w:pPr>
        <w:pStyle w:val="ListParagraph"/>
        <w:widowControl/>
        <w:numPr>
          <w:ilvl w:val="1"/>
          <w:numId w:val="21"/>
        </w:numPr>
        <w:autoSpaceDE w:val="0"/>
        <w:autoSpaceDN w:val="0"/>
        <w:rPr>
          <w:rFonts w:eastAsia="Calibri"/>
          <w:w w:val="99"/>
        </w:rPr>
      </w:pPr>
      <w:r w:rsidRPr="00DD5B58">
        <w:rPr>
          <w:rFonts w:eastAsia="Calibri"/>
        </w:rPr>
        <w:t>Date of transfer</w:t>
      </w:r>
      <w:r w:rsidRPr="00DD5B58">
        <w:rPr>
          <w:rFonts w:eastAsia="Calibri"/>
          <w:w w:val="99"/>
        </w:rPr>
        <w:t xml:space="preserve"> </w:t>
      </w:r>
    </w:p>
    <w:p w:rsidR="00A55FAB" w:rsidRPr="00DD5B58" w:rsidP="00DD5B58" w14:paraId="2DC96F2F" w14:textId="77777777">
      <w:pPr>
        <w:pStyle w:val="ListParagraph"/>
        <w:widowControl/>
        <w:numPr>
          <w:ilvl w:val="1"/>
          <w:numId w:val="21"/>
        </w:numPr>
        <w:autoSpaceDE w:val="0"/>
        <w:autoSpaceDN w:val="0"/>
        <w:rPr>
          <w:rFonts w:eastAsia="Calibri"/>
          <w:w w:val="99"/>
        </w:rPr>
      </w:pPr>
      <w:r w:rsidRPr="00DD5B58">
        <w:rPr>
          <w:rFonts w:eastAsia="Calibri"/>
        </w:rPr>
        <w:t>Name of transferor</w:t>
      </w:r>
      <w:r w:rsidRPr="00DD5B58">
        <w:rPr>
          <w:rFonts w:eastAsia="Calibri"/>
          <w:w w:val="99"/>
        </w:rPr>
        <w:t xml:space="preserve"> </w:t>
      </w:r>
    </w:p>
    <w:p w:rsidR="00A55FAB" w:rsidRPr="00CC6D2E" w:rsidP="00DD5B58" w14:paraId="23BB2FC0" w14:textId="77777777">
      <w:pPr>
        <w:pStyle w:val="ListParagraph"/>
        <w:widowControl/>
        <w:numPr>
          <w:ilvl w:val="1"/>
          <w:numId w:val="21"/>
        </w:numPr>
        <w:autoSpaceDE w:val="0"/>
        <w:autoSpaceDN w:val="0"/>
      </w:pPr>
      <w:r w:rsidRPr="00DD5B58">
        <w:rPr>
          <w:rFonts w:eastAsia="Calibri"/>
        </w:rPr>
        <w:t>Name of transferee</w:t>
      </w:r>
    </w:p>
    <w:p w:rsidR="00A55FAB" w:rsidRPr="00DD5B58" w:rsidP="00DD5B58" w14:paraId="5F238BC6" w14:textId="77777777">
      <w:pPr>
        <w:pStyle w:val="ListParagraph"/>
        <w:widowControl/>
        <w:numPr>
          <w:ilvl w:val="1"/>
          <w:numId w:val="21"/>
        </w:numPr>
        <w:autoSpaceDE w:val="0"/>
        <w:autoSpaceDN w:val="0"/>
        <w:rPr>
          <w:rFonts w:eastAsia="Calibri"/>
          <w:w w:val="99"/>
        </w:rPr>
      </w:pPr>
      <w:r w:rsidRPr="00DD5B58">
        <w:rPr>
          <w:rFonts w:eastAsia="Calibri"/>
        </w:rPr>
        <w:t>Number of Chinook salmon PSC transferred</w:t>
      </w:r>
      <w:r w:rsidRPr="00DD5B58">
        <w:rPr>
          <w:rFonts w:eastAsia="Calibri"/>
          <w:w w:val="99"/>
        </w:rPr>
        <w:t xml:space="preserve"> </w:t>
      </w:r>
    </w:p>
    <w:p w:rsidR="00A55FAB" w:rsidRPr="00CC6D2E" w:rsidP="00DD5B58" w14:paraId="71B61F84" w14:textId="77777777">
      <w:pPr>
        <w:pStyle w:val="ListParagraph"/>
        <w:widowControl/>
        <w:numPr>
          <w:ilvl w:val="1"/>
          <w:numId w:val="21"/>
        </w:numPr>
        <w:autoSpaceDE w:val="0"/>
        <w:autoSpaceDN w:val="0"/>
      </w:pPr>
      <w:r w:rsidRPr="00DD5B58">
        <w:rPr>
          <w:rFonts w:eastAsia="Calibri"/>
        </w:rPr>
        <w:t>Amount of pollock (mt) transferred</w:t>
      </w:r>
    </w:p>
    <w:p w:rsidR="00A55FAB" w:rsidRPr="00DD5B58" w:rsidP="00DD5B58" w14:paraId="72E3FD11" w14:textId="77777777">
      <w:pPr>
        <w:pStyle w:val="ListParagraph"/>
        <w:widowControl/>
        <w:numPr>
          <w:ilvl w:val="0"/>
          <w:numId w:val="21"/>
        </w:numPr>
        <w:autoSpaceDE w:val="0"/>
        <w:autoSpaceDN w:val="0"/>
        <w:rPr>
          <w:rFonts w:eastAsia="Calibri"/>
          <w:w w:val="99"/>
        </w:rPr>
      </w:pPr>
      <w:r w:rsidRPr="00DD5B58">
        <w:rPr>
          <w:rFonts w:eastAsia="Calibri"/>
        </w:rPr>
        <w:t>In-season transfers among vessels participating in the IPA</w:t>
      </w:r>
      <w:r w:rsidRPr="00DD5B58">
        <w:rPr>
          <w:rFonts w:eastAsia="Calibri"/>
          <w:w w:val="99"/>
        </w:rPr>
        <w:t xml:space="preserve"> </w:t>
      </w:r>
    </w:p>
    <w:p w:rsidR="00A55FAB" w:rsidRPr="00CC6D2E" w:rsidP="00DD5B58" w14:paraId="2F706798" w14:textId="77777777">
      <w:pPr>
        <w:pStyle w:val="ListParagraph"/>
        <w:widowControl/>
        <w:numPr>
          <w:ilvl w:val="1"/>
          <w:numId w:val="21"/>
        </w:numPr>
        <w:autoSpaceDE w:val="0"/>
        <w:autoSpaceDN w:val="0"/>
      </w:pPr>
      <w:r w:rsidRPr="00DD5B58">
        <w:rPr>
          <w:rFonts w:eastAsia="Calibri"/>
        </w:rPr>
        <w:t>Date of transfer</w:t>
      </w:r>
    </w:p>
    <w:p w:rsidR="00A55FAB" w:rsidRPr="00DD5B58" w:rsidP="00DD5B58" w14:paraId="0642F3C9" w14:textId="77777777">
      <w:pPr>
        <w:pStyle w:val="ListParagraph"/>
        <w:widowControl/>
        <w:numPr>
          <w:ilvl w:val="1"/>
          <w:numId w:val="21"/>
        </w:numPr>
        <w:autoSpaceDE w:val="0"/>
        <w:autoSpaceDN w:val="0"/>
        <w:rPr>
          <w:rFonts w:eastAsia="Calibri"/>
          <w:w w:val="99"/>
        </w:rPr>
      </w:pPr>
      <w:r w:rsidRPr="00DD5B58">
        <w:rPr>
          <w:rFonts w:eastAsia="Calibri"/>
        </w:rPr>
        <w:t>Name of transferor</w:t>
      </w:r>
      <w:r w:rsidRPr="00DD5B58">
        <w:rPr>
          <w:rFonts w:eastAsia="Calibri"/>
          <w:w w:val="99"/>
        </w:rPr>
        <w:t xml:space="preserve"> </w:t>
      </w:r>
    </w:p>
    <w:p w:rsidR="00A55FAB" w:rsidRPr="00CC6D2E" w:rsidP="00DD5B58" w14:paraId="518F1706" w14:textId="77777777">
      <w:pPr>
        <w:pStyle w:val="ListParagraph"/>
        <w:widowControl/>
        <w:numPr>
          <w:ilvl w:val="1"/>
          <w:numId w:val="21"/>
        </w:numPr>
        <w:autoSpaceDE w:val="0"/>
        <w:autoSpaceDN w:val="0"/>
      </w:pPr>
      <w:r w:rsidRPr="00DD5B58">
        <w:rPr>
          <w:rFonts w:eastAsia="Calibri"/>
        </w:rPr>
        <w:t>Name of transferee</w:t>
      </w:r>
    </w:p>
    <w:p w:rsidR="00A55FAB" w:rsidRPr="00DD5B58" w:rsidP="00DD5B58" w14:paraId="79731313" w14:textId="77777777">
      <w:pPr>
        <w:pStyle w:val="ListParagraph"/>
        <w:widowControl/>
        <w:numPr>
          <w:ilvl w:val="1"/>
          <w:numId w:val="21"/>
        </w:numPr>
        <w:autoSpaceDE w:val="0"/>
        <w:autoSpaceDN w:val="0"/>
        <w:rPr>
          <w:rFonts w:eastAsia="Calibri"/>
          <w:w w:val="99"/>
        </w:rPr>
      </w:pPr>
      <w:r w:rsidRPr="00DD5B58">
        <w:rPr>
          <w:rFonts w:eastAsia="Calibri"/>
        </w:rPr>
        <w:t>Number of Chinook salmon PSC transferred</w:t>
      </w:r>
      <w:r w:rsidRPr="00DD5B58">
        <w:rPr>
          <w:rFonts w:eastAsia="Calibri"/>
          <w:w w:val="99"/>
        </w:rPr>
        <w:t xml:space="preserve"> </w:t>
      </w:r>
    </w:p>
    <w:p w:rsidR="00A55FAB" w:rsidRPr="00CC6D2E" w:rsidP="00DD5B58" w14:paraId="4EAFAE32" w14:textId="77777777">
      <w:pPr>
        <w:pStyle w:val="ListParagraph"/>
        <w:widowControl/>
        <w:numPr>
          <w:ilvl w:val="1"/>
          <w:numId w:val="21"/>
        </w:numPr>
        <w:autoSpaceDE w:val="0"/>
        <w:autoSpaceDN w:val="0"/>
      </w:pPr>
      <w:r w:rsidRPr="00DD5B58">
        <w:rPr>
          <w:rFonts w:eastAsia="Calibri"/>
        </w:rPr>
        <w:t>Amount pollock (mt) transferred</w:t>
      </w:r>
    </w:p>
    <w:p w:rsidR="00BD156D" w:rsidP="0099558D" w14:paraId="61455B34" w14:textId="77777777">
      <w:pPr>
        <w:widowControl/>
        <w:numPr>
          <w:ilvl w:val="0"/>
          <w:numId w:val="3"/>
        </w:numPr>
        <w:pBdr>
          <w:top w:val="nil"/>
          <w:left w:val="nil"/>
          <w:bottom w:val="nil"/>
          <w:right w:val="nil"/>
          <w:between w:val="nil"/>
        </w:pBdr>
        <w:tabs>
          <w:tab w:val="left" w:pos="360"/>
        </w:tabs>
        <w:spacing w:before="199"/>
        <w:ind w:left="0" w:firstLine="0"/>
        <w:rPr>
          <w:b/>
          <w:color w:val="000000"/>
        </w:rPr>
      </w:pPr>
      <w:r>
        <w:rPr>
          <w:b/>
          <w:color w:val="000000"/>
        </w:rPr>
        <w:t>D</w:t>
      </w:r>
      <w:r>
        <w:rPr>
          <w:b/>
          <w:color w:val="000000"/>
        </w:rPr>
        <w:t xml:space="preserve">escribe whether, and to what extent, the collection of information involves the use of automated, electronic, mechanical, or other technological collection techniques or other </w:t>
      </w:r>
      <w:r>
        <w:rPr>
          <w:b/>
          <w:color w:val="000000"/>
        </w:rPr>
        <w:t>forms of information technology, e.g. permitting electronic submission of responses, and the basis for the decision for adopting this means of collection. Also, describe any consideration of using information technology to reduce burden.</w:t>
      </w:r>
    </w:p>
    <w:p w:rsidR="008147E1" w:rsidP="0099558D" w14:paraId="1A70697F" w14:textId="77777777">
      <w:pPr>
        <w:widowControl/>
        <w:rPr>
          <w:sz w:val="25"/>
          <w:szCs w:val="25"/>
        </w:rPr>
      </w:pPr>
    </w:p>
    <w:p w:rsidR="008147E1" w:rsidRPr="00934B6F" w:rsidP="0099558D" w14:paraId="613438A9" w14:textId="72030ED2">
      <w:pPr>
        <w:widowControl/>
      </w:pPr>
      <w:r w:rsidRPr="00934B6F">
        <w:t>All of the requirements in this information collection may be submitted by email except for administrative appeals. Administrative appeals cannot be submitted electronically because the National Appeals Office requires submission of documents by fax, mail, or delivery to provide the appropriate record for legal proceedings.</w:t>
      </w:r>
      <w:r w:rsidRPr="00934B6F" w:rsidR="00C72460">
        <w:t xml:space="preserve"> The other collection instruments have primarily been submitted by email, and this is expected to continue.</w:t>
      </w:r>
      <w:r w:rsidRPr="00003CBD" w:rsidR="00C72460">
        <w:t xml:space="preserve"> </w:t>
      </w:r>
      <w:r w:rsidRPr="00934B6F" w:rsidR="00C72460">
        <w:t>The table at the beginning of question #2 shows how each instrument in this collection may be submitted.</w:t>
      </w:r>
    </w:p>
    <w:p w:rsidR="008147E1" w:rsidP="0099558D" w14:paraId="15F61E10" w14:textId="77777777">
      <w:pPr>
        <w:widowControl/>
        <w:rPr>
          <w:b/>
        </w:rPr>
      </w:pPr>
    </w:p>
    <w:p w:rsidR="00BD156D" w:rsidP="0099558D" w14:paraId="0B21022A"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efforts to identify duplication. Show specifically why any similar information already available cannot be used or modified for use for the purposes described in Question 2</w:t>
      </w:r>
    </w:p>
    <w:p w:rsidR="008147E1" w:rsidP="0099558D" w14:paraId="1F47BA9C" w14:textId="77777777">
      <w:pPr>
        <w:keepNext/>
        <w:widowControl/>
      </w:pPr>
    </w:p>
    <w:p w:rsidR="008147E1" w:rsidRPr="008147E1" w:rsidP="0099558D" w14:paraId="58C822BA" w14:textId="2F3340CE">
      <w:pPr>
        <w:keepNext/>
        <w:widowControl/>
      </w:pPr>
      <w:r w:rsidRPr="008147E1">
        <w:t>Some of the information reporting requirements in this collection require industry members to report to NMFS or the Council about the catch and bycatch by individual vessels in a cooperative. This information is available to NMFS through data collected by the observers on these vessels and through the catch and production reports submitted by vessel operators. However, some of the vessel specific information requirements are specifically included in the American Fisheries Act, and others were implemented by</w:t>
      </w:r>
      <w:r w:rsidRPr="008147E1">
        <w:t xml:space="preserve"> the Council to require cooperative members to report vessel specific information to the Council and public that would be difficult for NMFS to report directly due to confidentiality considerations.</w:t>
      </w:r>
      <w:r w:rsidR="0099558D">
        <w:t xml:space="preserve"> </w:t>
      </w:r>
    </w:p>
    <w:p w:rsidR="008147E1" w:rsidRPr="008147E1" w:rsidP="0099558D" w14:paraId="10E92D43" w14:textId="77777777">
      <w:pPr>
        <w:widowControl/>
        <w:pBdr>
          <w:top w:val="nil"/>
          <w:left w:val="nil"/>
          <w:bottom w:val="nil"/>
          <w:right w:val="nil"/>
          <w:between w:val="nil"/>
        </w:pBdr>
        <w:rPr>
          <w:color w:val="1F497D"/>
        </w:rPr>
      </w:pPr>
    </w:p>
    <w:p w:rsidR="008147E1" w:rsidP="0099558D" w14:paraId="5C7A2833" w14:textId="1DCEA4BA">
      <w:pPr>
        <w:widowControl/>
        <w:pBdr>
          <w:top w:val="nil"/>
          <w:left w:val="nil"/>
          <w:bottom w:val="nil"/>
          <w:right w:val="nil"/>
          <w:between w:val="nil"/>
        </w:pBdr>
      </w:pPr>
      <w:r w:rsidRPr="008147E1">
        <w:t xml:space="preserve">These reports are intended to be a resource for the Council to track the effectiveness of the cooperative and </w:t>
      </w:r>
      <w:r w:rsidRPr="008147E1">
        <w:t>their ability to meet the Council’s goals. Additionally, they are a tool for the cooperatives to provide feedback on the programs. Regulation provides a framework for the minimum required information for most of the reports, while the Council has the flexibility to augment this framework with additional information requests that may be pertinent to current issues in the fishery.</w:t>
      </w:r>
    </w:p>
    <w:p w:rsidR="008147E1" w:rsidRPr="008147E1" w:rsidP="0099558D" w14:paraId="1B9233F0" w14:textId="77777777">
      <w:pPr>
        <w:widowControl/>
        <w:pBdr>
          <w:top w:val="nil"/>
          <w:left w:val="nil"/>
          <w:bottom w:val="nil"/>
          <w:right w:val="nil"/>
          <w:between w:val="nil"/>
        </w:pBdr>
      </w:pPr>
    </w:p>
    <w:p w:rsidR="00BD156D" w:rsidP="0099558D" w14:paraId="5EEDD606"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If the collection of information impacts small businesses or other small entities, describe any methods used to minimize burden.</w:t>
      </w:r>
    </w:p>
    <w:p w:rsidR="008147E1" w:rsidP="0099558D" w14:paraId="159C59DC" w14:textId="77777777">
      <w:pPr>
        <w:widowControl/>
        <w:pBdr>
          <w:top w:val="nil"/>
          <w:left w:val="nil"/>
          <w:bottom w:val="nil"/>
          <w:right w:val="nil"/>
          <w:between w:val="nil"/>
        </w:pBdr>
      </w:pPr>
    </w:p>
    <w:p w:rsidR="008147E1" w:rsidP="0099558D" w14:paraId="41D5EA87" w14:textId="01254F3F">
      <w:pPr>
        <w:widowControl/>
        <w:pBdr>
          <w:top w:val="nil"/>
          <w:left w:val="nil"/>
          <w:bottom w:val="nil"/>
          <w:right w:val="nil"/>
          <w:between w:val="nil"/>
        </w:pBdr>
      </w:pPr>
      <w:r w:rsidRPr="008147E1">
        <w:t>None of the entities that participate in the AFA pollock fisheries</w:t>
      </w:r>
      <w:r w:rsidR="00003CBD">
        <w:t xml:space="preserve"> and are subject to this collection of information</w:t>
      </w:r>
      <w:r w:rsidRPr="008147E1">
        <w:t xml:space="preserve"> are considered small entities due to cooperative affiliation.</w:t>
      </w:r>
    </w:p>
    <w:p w:rsidR="008147E1" w:rsidRPr="008147E1" w:rsidP="0099558D" w14:paraId="111B7D3E" w14:textId="77777777">
      <w:pPr>
        <w:widowControl/>
        <w:pBdr>
          <w:top w:val="nil"/>
          <w:left w:val="nil"/>
          <w:bottom w:val="nil"/>
          <w:right w:val="nil"/>
          <w:between w:val="nil"/>
        </w:pBdr>
      </w:pPr>
    </w:p>
    <w:p w:rsidR="00BD156D" w:rsidP="0099558D" w14:paraId="45E5195B"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Describe the consequence to Federal program or policy activities if the collection is not conducted or is conducted less frequently, as well as any technical or legal obstacles to reducing burden.</w:t>
      </w:r>
    </w:p>
    <w:p w:rsidR="008147E1" w:rsidP="0099558D" w14:paraId="62A41CBC" w14:textId="77777777">
      <w:pPr>
        <w:widowControl/>
        <w:rPr>
          <w:rFonts w:eastAsia="Calibri"/>
        </w:rPr>
      </w:pPr>
    </w:p>
    <w:p w:rsidR="008147E1" w:rsidP="0099558D" w14:paraId="527ED21A" w14:textId="4D1E5D43">
      <w:pPr>
        <w:widowControl/>
        <w:rPr>
          <w:rFonts w:eastAsia="Calibri"/>
        </w:rPr>
      </w:pPr>
      <w:r w:rsidRPr="008147E1">
        <w:rPr>
          <w:rFonts w:eastAsia="Calibri"/>
        </w:rPr>
        <w:t xml:space="preserve">This information collection is required to manage commercial fishing efforts under section 201(a)(1)(A) of the AFA, under the Magnuson-Stevens Act (16 U.S.C. 1801, </w:t>
      </w:r>
      <w:r w:rsidRPr="008147E1">
        <w:rPr>
          <w:rFonts w:eastAsia="Calibri"/>
          <w:i/>
        </w:rPr>
        <w:t>et seq</w:t>
      </w:r>
      <w:r w:rsidRPr="008147E1">
        <w:rPr>
          <w:rFonts w:eastAsia="Calibri"/>
        </w:rPr>
        <w:t>.), and under 50 CFR part 679. This collection provides the Council and NMFS with information about the organization and fishing operations of the AFA cooperatives,</w:t>
      </w:r>
      <w:r w:rsidRPr="008147E1">
        <w:t xml:space="preserve"> allocations to the AFA cooperatives, and the effectiveness of the Chinook salmon and chum salmon bycatch management measures. </w:t>
      </w:r>
      <w:r w:rsidRPr="008147E1">
        <w:rPr>
          <w:rFonts w:eastAsia="Calibri"/>
        </w:rPr>
        <w:t>This information is necessary to ensure long-term conservation and abundance of salmon and pollock, maintain a healthy marine ecosystem, and provide maximum benefit to fishermen and communities that depend on salmon</w:t>
      </w:r>
      <w:r w:rsidRPr="008147E1">
        <w:rPr>
          <w:rFonts w:eastAsia="Calibri"/>
        </w:rPr>
        <w:t xml:space="preserve"> and pollock. It would not be possible to carry out the mandates of the AFA and the Magnuson-Stevens Act if approval to continue this previously approved collection were denied.</w:t>
      </w:r>
    </w:p>
    <w:p w:rsidR="008147E1" w:rsidP="0099558D" w14:paraId="20ECBD4A" w14:textId="77777777">
      <w:pPr>
        <w:widowControl/>
        <w:rPr>
          <w:color w:val="000000"/>
        </w:rPr>
      </w:pPr>
    </w:p>
    <w:p w:rsidR="00BD156D" w:rsidP="0099558D" w14:paraId="0D4F98F2"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any special circumstances that would cause an information collection to be conducted in a manner inconsistent with OMB guidelines.</w:t>
      </w:r>
    </w:p>
    <w:p w:rsidR="00793BA4" w:rsidP="0099558D" w14:paraId="301034C6" w14:textId="0E6E8BFE">
      <w:pPr>
        <w:widowControl/>
        <w:pBdr>
          <w:top w:val="nil"/>
          <w:left w:val="nil"/>
          <w:bottom w:val="nil"/>
          <w:right w:val="nil"/>
          <w:between w:val="nil"/>
        </w:pBdr>
        <w:spacing w:before="120"/>
      </w:pPr>
      <w:r w:rsidRPr="00793BA4">
        <w:t>This collection is conducted in a manner that is consistent with OMB guidelines.</w:t>
      </w:r>
    </w:p>
    <w:p w:rsidR="00793BA4" w:rsidRPr="000323DC" w:rsidP="0099558D" w14:paraId="52795F2B" w14:textId="76121DDA">
      <w:pPr>
        <w:pStyle w:val="ListParagraph"/>
        <w:widowControl/>
        <w:numPr>
          <w:ilvl w:val="0"/>
          <w:numId w:val="14"/>
        </w:numPr>
        <w:pBdr>
          <w:top w:val="nil"/>
          <w:left w:val="nil"/>
          <w:bottom w:val="nil"/>
          <w:right w:val="nil"/>
          <w:between w:val="nil"/>
        </w:pBdr>
        <w:spacing w:before="120"/>
      </w:pPr>
      <w:r>
        <w:t xml:space="preserve">This collection does not require </w:t>
      </w:r>
      <w:r w:rsidRPr="000323DC">
        <w:t xml:space="preserve">respondents to report information to the </w:t>
      </w:r>
      <w:r w:rsidRPr="000323DC">
        <w:t>agency more often than quarterly</w:t>
      </w:r>
      <w:r>
        <w:t>.</w:t>
      </w:r>
    </w:p>
    <w:p w:rsidR="00793BA4" w:rsidRPr="00793BA4" w:rsidP="0099558D" w14:paraId="1544D0A3" w14:textId="77777777">
      <w:pPr>
        <w:pStyle w:val="ListParagraph"/>
        <w:widowControl/>
        <w:numPr>
          <w:ilvl w:val="0"/>
          <w:numId w:val="14"/>
        </w:numPr>
        <w:pBdr>
          <w:top w:val="nil"/>
          <w:left w:val="nil"/>
          <w:bottom w:val="nil"/>
          <w:right w:val="nil"/>
          <w:between w:val="nil"/>
        </w:pBdr>
        <w:spacing w:before="120"/>
        <w:rPr>
          <w:color w:val="000000"/>
        </w:rPr>
      </w:pPr>
      <w:r w:rsidRPr="00793BA4">
        <w:rPr>
          <w:color w:val="000000"/>
        </w:rPr>
        <w:t>This collection does not require respondents to prepare a written response to a collection of information in fewer than 30 days after receipt of it.</w:t>
      </w:r>
    </w:p>
    <w:p w:rsidR="00793BA4" w:rsidRPr="00793BA4" w:rsidP="0099558D" w14:paraId="0C04B2CB" w14:textId="77777777">
      <w:pPr>
        <w:pStyle w:val="ListParagraph"/>
        <w:widowControl/>
        <w:numPr>
          <w:ilvl w:val="0"/>
          <w:numId w:val="14"/>
        </w:numPr>
        <w:pBdr>
          <w:top w:val="nil"/>
          <w:left w:val="nil"/>
          <w:bottom w:val="nil"/>
          <w:right w:val="nil"/>
          <w:between w:val="nil"/>
        </w:pBdr>
        <w:spacing w:before="120"/>
        <w:rPr>
          <w:color w:val="000000"/>
        </w:rPr>
      </w:pPr>
      <w:r w:rsidRPr="00793BA4">
        <w:rPr>
          <w:color w:val="000000"/>
        </w:rPr>
        <w:t xml:space="preserve">This collection does not require respondents to submit more than an </w:t>
      </w:r>
      <w:r w:rsidRPr="00793BA4">
        <w:rPr>
          <w:color w:val="000000"/>
        </w:rPr>
        <w:t>original and two copies of any document.</w:t>
      </w:r>
    </w:p>
    <w:p w:rsidR="00793BA4" w:rsidRPr="00793BA4" w:rsidP="0099558D" w14:paraId="2B4BC45A" w14:textId="77777777">
      <w:pPr>
        <w:pStyle w:val="ListParagraph"/>
        <w:widowControl/>
        <w:numPr>
          <w:ilvl w:val="0"/>
          <w:numId w:val="14"/>
        </w:numPr>
        <w:pBdr>
          <w:top w:val="nil"/>
          <w:left w:val="nil"/>
          <w:bottom w:val="nil"/>
          <w:right w:val="nil"/>
          <w:between w:val="nil"/>
        </w:pBdr>
        <w:spacing w:before="120"/>
        <w:rPr>
          <w:color w:val="000000"/>
        </w:rPr>
      </w:pPr>
      <w:r w:rsidRPr="00793BA4">
        <w:rPr>
          <w:color w:val="000000"/>
        </w:rPr>
        <w:t>This collection does not require respondents to retain records, other than health, medical, government contract, grant-in- aid, or tax records for more than three years.</w:t>
      </w:r>
    </w:p>
    <w:p w:rsidR="00793BA4" w:rsidRPr="00793BA4" w:rsidP="0099558D" w14:paraId="14B889CA" w14:textId="77777777">
      <w:pPr>
        <w:pStyle w:val="ListParagraph"/>
        <w:widowControl/>
        <w:numPr>
          <w:ilvl w:val="0"/>
          <w:numId w:val="14"/>
        </w:numPr>
        <w:pBdr>
          <w:top w:val="nil"/>
          <w:left w:val="nil"/>
          <w:bottom w:val="nil"/>
          <w:right w:val="nil"/>
          <w:between w:val="nil"/>
        </w:pBdr>
        <w:spacing w:before="120"/>
        <w:rPr>
          <w:color w:val="000000"/>
        </w:rPr>
      </w:pPr>
      <w:r w:rsidRPr="00793BA4">
        <w:rPr>
          <w:color w:val="000000"/>
        </w:rPr>
        <w:t>This collection is not in connection with a statistical survey that is not designed to produce valid and reliable results that can be generalized to the universe of study.</w:t>
      </w:r>
      <w:r w:rsidRPr="00793BA4">
        <w:rPr>
          <w:color w:val="000000"/>
        </w:rPr>
        <w:tab/>
      </w:r>
    </w:p>
    <w:p w:rsidR="00793BA4" w:rsidRPr="00793BA4" w:rsidP="0099558D" w14:paraId="068ABCBD" w14:textId="77777777">
      <w:pPr>
        <w:pStyle w:val="ListParagraph"/>
        <w:widowControl/>
        <w:numPr>
          <w:ilvl w:val="0"/>
          <w:numId w:val="14"/>
        </w:numPr>
        <w:pBdr>
          <w:top w:val="nil"/>
          <w:left w:val="nil"/>
          <w:bottom w:val="nil"/>
          <w:right w:val="nil"/>
          <w:between w:val="nil"/>
        </w:pBdr>
        <w:spacing w:before="120"/>
        <w:rPr>
          <w:color w:val="000000"/>
        </w:rPr>
      </w:pPr>
      <w:r w:rsidRPr="00793BA4">
        <w:rPr>
          <w:color w:val="000000"/>
        </w:rPr>
        <w:t>This collection does not require the use of a statistical data classification that has not been reviewed and approved by OMB.</w:t>
      </w:r>
    </w:p>
    <w:p w:rsidR="00793BA4" w:rsidRPr="00793BA4" w:rsidP="0099558D" w14:paraId="13775489" w14:textId="77777777">
      <w:pPr>
        <w:pStyle w:val="ListParagraph"/>
        <w:widowControl/>
        <w:numPr>
          <w:ilvl w:val="0"/>
          <w:numId w:val="14"/>
        </w:numPr>
        <w:pBdr>
          <w:top w:val="nil"/>
          <w:left w:val="nil"/>
          <w:bottom w:val="nil"/>
          <w:right w:val="nil"/>
          <w:between w:val="nil"/>
        </w:pBdr>
        <w:spacing w:before="120"/>
        <w:rPr>
          <w:color w:val="000000"/>
        </w:rPr>
      </w:pPr>
      <w:r w:rsidRPr="00793BA4">
        <w:rPr>
          <w:color w:val="000000"/>
        </w:rPr>
        <w:t>This collection does not 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793BA4" w:rsidP="0099558D" w14:paraId="7AEDE918" w14:textId="500D1213">
      <w:pPr>
        <w:pStyle w:val="ListParagraph"/>
        <w:widowControl/>
        <w:numPr>
          <w:ilvl w:val="0"/>
          <w:numId w:val="14"/>
        </w:numPr>
        <w:pBdr>
          <w:top w:val="nil"/>
          <w:left w:val="nil"/>
          <w:bottom w:val="nil"/>
          <w:right w:val="nil"/>
          <w:between w:val="nil"/>
        </w:pBdr>
        <w:spacing w:before="80"/>
        <w:rPr>
          <w:color w:val="000000"/>
        </w:rPr>
      </w:pPr>
      <w:r w:rsidRPr="00793BA4">
        <w:rPr>
          <w:color w:val="000000"/>
        </w:rPr>
        <w:t>This collection does not require respondents to submit proprietary trade secret, or other confidential information unless the agency can demonstrate that it has instituted procedures to protect the information's confidentiality to the extent permitted by law.</w:t>
      </w:r>
    </w:p>
    <w:p w:rsidR="00DE161B" w:rsidP="00DE161B" w14:paraId="207B4CB4" w14:textId="77777777">
      <w:pPr>
        <w:pStyle w:val="ListParagraph"/>
        <w:widowControl/>
        <w:pBdr>
          <w:top w:val="nil"/>
          <w:left w:val="nil"/>
          <w:bottom w:val="nil"/>
          <w:right w:val="nil"/>
          <w:between w:val="nil"/>
        </w:pBdr>
        <w:spacing w:before="0"/>
        <w:ind w:left="720" w:firstLine="0"/>
        <w:rPr>
          <w:color w:val="000000"/>
        </w:rPr>
      </w:pPr>
    </w:p>
    <w:p w:rsidR="00BD156D" w:rsidP="0099558D" w14:paraId="31633E6E"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If applicable, provide a copy and identify the date and page number of publications in the Federal Register of the agency's notice, required by 5 CFR 1320.8 (d), </w:t>
      </w:r>
      <w:r>
        <w:rPr>
          <w:b/>
          <w:color w:val="000000"/>
        </w:rPr>
        <w:t>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93BA4" w:rsidP="0099558D" w14:paraId="26017EB2" w14:textId="77777777">
      <w:pPr>
        <w:widowControl/>
      </w:pPr>
    </w:p>
    <w:p w:rsidR="0082384F" w:rsidP="0099558D" w14:paraId="40472F9A" w14:textId="77777777">
      <w:pPr>
        <w:widowControl/>
        <w:pBdr>
          <w:top w:val="nil"/>
          <w:left w:val="nil"/>
          <w:bottom w:val="nil"/>
          <w:right w:val="nil"/>
          <w:between w:val="nil"/>
        </w:pBdr>
      </w:pPr>
      <w:r w:rsidRPr="00253B90">
        <w:t xml:space="preserve">A </w:t>
      </w:r>
      <w:r w:rsidRPr="00472875">
        <w:rPr>
          <w:i/>
        </w:rPr>
        <w:t>Federal Register</w:t>
      </w:r>
      <w:r w:rsidRPr="00253B90">
        <w:t xml:space="preserve"> Notice published on </w:t>
      </w:r>
      <w:r w:rsidR="0071554E">
        <w:t>June 11</w:t>
      </w:r>
      <w:r w:rsidRPr="00793BA4">
        <w:t>, 202</w:t>
      </w:r>
      <w:r w:rsidR="0071554E">
        <w:t>5</w:t>
      </w:r>
      <w:r w:rsidRPr="00793BA4">
        <w:t xml:space="preserve"> (</w:t>
      </w:r>
      <w:hyperlink r:id="rId17" w:history="1">
        <w:r w:rsidRPr="0071554E" w:rsidR="0071554E">
          <w:rPr>
            <w:rStyle w:val="Hyperlink"/>
          </w:rPr>
          <w:t>90 FR 24594</w:t>
        </w:r>
      </w:hyperlink>
      <w:r w:rsidRPr="00793BA4">
        <w:t>), that solicited public comments.</w:t>
      </w:r>
    </w:p>
    <w:p w:rsidR="0071554E" w:rsidP="0082384F" w14:paraId="02F34D6E" w14:textId="62089BAF">
      <w:pPr>
        <w:widowControl/>
        <w:pBdr>
          <w:top w:val="nil"/>
          <w:left w:val="nil"/>
          <w:bottom w:val="nil"/>
          <w:right w:val="nil"/>
          <w:between w:val="nil"/>
        </w:pBdr>
        <w:spacing w:before="240"/>
      </w:pPr>
      <w:r>
        <w:t>One comment was submitted by Susie Zagorski, a representative of United Catcher Boats, and representative of the Inshore Incentive Plan Agreement, on August 11, 2025. The commenter noted that “[t]</w:t>
      </w:r>
      <w:r w:rsidRPr="005C2E13">
        <w:t>he current and proposed information collection requirements for the Bering Sea Pollock Fishery Incentive Plan Agreement (IPA) and the Bering Sea Pollock Fishery IPA Annual Report are both necessary and have strong practical utility</w:t>
      </w:r>
      <w:r>
        <w:t>.” Further, “[t]he Annual IPA report serves as a transparent, public-facing annual audit of the IPA program and provides significant updates to the public as well as the North Pacific Fisheries Management Council (NPFMC) and NOAA Fisheries (NMFS).”</w:t>
      </w:r>
    </w:p>
    <w:p w:rsidR="005C2E13" w:rsidP="0099558D" w14:paraId="219882A2" w14:textId="72D83D77">
      <w:pPr>
        <w:widowControl/>
        <w:pBdr>
          <w:top w:val="nil"/>
          <w:left w:val="nil"/>
          <w:bottom w:val="nil"/>
          <w:right w:val="nil"/>
          <w:between w:val="nil"/>
        </w:pBdr>
      </w:pPr>
    </w:p>
    <w:p w:rsidR="005C2E13" w:rsidP="0099558D" w14:paraId="6CBAFC68" w14:textId="1F0B9B9C">
      <w:pPr>
        <w:widowControl/>
        <w:pBdr>
          <w:top w:val="nil"/>
          <w:left w:val="nil"/>
          <w:bottom w:val="nil"/>
          <w:right w:val="nil"/>
          <w:between w:val="nil"/>
        </w:pBdr>
      </w:pPr>
      <w:r>
        <w:t>The commenter noted that the “</w:t>
      </w:r>
      <w:r w:rsidRPr="005C2E13">
        <w:t xml:space="preserve">estimated time and cost burden for these </w:t>
      </w:r>
      <w:r w:rsidRPr="005C2E13">
        <w:t>collections are reasonable and accurately reflect the effort required</w:t>
      </w:r>
      <w:r>
        <w:t>.” The commenter had no suggestions for additional efficiencies.</w:t>
      </w:r>
    </w:p>
    <w:p w:rsidR="005C2E13" w:rsidP="0099558D" w14:paraId="1B5D7A9A" w14:textId="6C3531FF">
      <w:pPr>
        <w:widowControl/>
        <w:pBdr>
          <w:top w:val="nil"/>
          <w:left w:val="nil"/>
          <w:bottom w:val="nil"/>
          <w:right w:val="nil"/>
          <w:between w:val="nil"/>
        </w:pBdr>
      </w:pPr>
    </w:p>
    <w:p w:rsidR="005C2E13" w:rsidP="0099558D" w14:paraId="4FCBEB7D" w14:textId="7A563140">
      <w:pPr>
        <w:widowControl/>
        <w:pBdr>
          <w:top w:val="nil"/>
          <w:left w:val="nil"/>
          <w:bottom w:val="nil"/>
          <w:right w:val="nil"/>
          <w:between w:val="nil"/>
        </w:pBdr>
      </w:pPr>
      <w:r>
        <w:t xml:space="preserve">NMFS acknowledges this response. </w:t>
      </w:r>
    </w:p>
    <w:p w:rsidR="005766BA" w:rsidP="0099558D" w14:paraId="204F3BD9" w14:textId="77777777">
      <w:pPr>
        <w:widowControl/>
      </w:pPr>
    </w:p>
    <w:p w:rsidR="0082384F" w:rsidP="0099558D" w14:paraId="17E3DCFE" w14:textId="6F4ACB04">
      <w:pPr>
        <w:widowControl/>
      </w:pPr>
      <w:r w:rsidRPr="00253B90">
        <w:t xml:space="preserve">In addition to the </w:t>
      </w:r>
      <w:r w:rsidRPr="00472875">
        <w:rPr>
          <w:i/>
        </w:rPr>
        <w:t>Federal Register</w:t>
      </w:r>
      <w:r w:rsidRPr="00253B90">
        <w:t xml:space="preserve"> notice, NMFS contacted stakeholders outside the agency to obtain their views on the availability of data, frequency of collection, the clarity of instructions and recordkeeping, disclosure, or reporting format, and on the data elements to be recorded, disclosed, or reported</w:t>
      </w:r>
      <w:r w:rsidRPr="008E2331">
        <w:t xml:space="preserve">. </w:t>
      </w:r>
      <w:r w:rsidRPr="00190DF8">
        <w:t xml:space="preserve">No comments </w:t>
      </w:r>
      <w:r w:rsidRPr="00B345D9">
        <w:t>were received from the stakeholders.</w:t>
      </w:r>
    </w:p>
    <w:p w:rsidR="0082384F" w:rsidP="0099558D" w14:paraId="4A78C7D3" w14:textId="77777777">
      <w:pPr>
        <w:widowControl/>
      </w:pPr>
    </w:p>
    <w:p w:rsidR="00BD156D" w:rsidP="0099558D" w14:paraId="6C1E7524"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Explain any decision to provide any payment or gift to respondents, other than </w:t>
      </w:r>
      <w:r>
        <w:rPr>
          <w:b/>
          <w:color w:val="000000"/>
        </w:rPr>
        <w:t>remuneration of contractors or grantees.</w:t>
      </w:r>
    </w:p>
    <w:p w:rsidR="00793BA4" w:rsidP="0099558D" w14:paraId="62A5F503" w14:textId="77777777">
      <w:pPr>
        <w:widowControl/>
        <w:pBdr>
          <w:top w:val="nil"/>
          <w:left w:val="nil"/>
          <w:bottom w:val="nil"/>
          <w:right w:val="nil"/>
          <w:between w:val="nil"/>
        </w:pBdr>
        <w:jc w:val="both"/>
        <w:rPr>
          <w:color w:val="000000"/>
        </w:rPr>
      </w:pPr>
    </w:p>
    <w:p w:rsidR="00793BA4" w:rsidP="0099558D" w14:paraId="153B8245" w14:textId="361FD81B">
      <w:pPr>
        <w:widowControl/>
        <w:pBdr>
          <w:top w:val="nil"/>
          <w:left w:val="nil"/>
          <w:bottom w:val="nil"/>
          <w:right w:val="nil"/>
          <w:between w:val="nil"/>
        </w:pBdr>
        <w:jc w:val="both"/>
        <w:rPr>
          <w:color w:val="000000"/>
        </w:rPr>
      </w:pPr>
      <w:r w:rsidRPr="00793BA4">
        <w:rPr>
          <w:color w:val="000000"/>
        </w:rPr>
        <w:t xml:space="preserve">No payment or </w:t>
      </w:r>
      <w:r>
        <w:rPr>
          <w:color w:val="000000"/>
        </w:rPr>
        <w:t xml:space="preserve">gift </w:t>
      </w:r>
      <w:r w:rsidR="00563B1F">
        <w:rPr>
          <w:color w:val="000000"/>
        </w:rPr>
        <w:t>are</w:t>
      </w:r>
      <w:r>
        <w:rPr>
          <w:color w:val="000000"/>
        </w:rPr>
        <w:t xml:space="preserve"> provided to respondents</w:t>
      </w:r>
      <w:r w:rsidRPr="00793BA4">
        <w:rPr>
          <w:color w:val="000000"/>
        </w:rPr>
        <w:t>.</w:t>
      </w:r>
    </w:p>
    <w:p w:rsidR="00793BA4" w:rsidRPr="00793BA4" w:rsidP="0099558D" w14:paraId="31A30549" w14:textId="77777777">
      <w:pPr>
        <w:widowControl/>
        <w:pBdr>
          <w:top w:val="nil"/>
          <w:left w:val="nil"/>
          <w:bottom w:val="nil"/>
          <w:right w:val="nil"/>
          <w:between w:val="nil"/>
        </w:pBdr>
        <w:jc w:val="both"/>
        <w:rPr>
          <w:color w:val="000000"/>
        </w:rPr>
      </w:pPr>
    </w:p>
    <w:p w:rsidR="00BD156D" w:rsidP="0014426B" w14:paraId="34C95FC3" w14:textId="6524498A">
      <w:pPr>
        <w:keepNext/>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 xml:space="preserve">Describe any assurance of confidentiality provided to respondents and the basis for the assurance in statute, regulation, or agency policy. If the </w:t>
      </w:r>
      <w:r>
        <w:rPr>
          <w:b/>
          <w:color w:val="000000"/>
        </w:rPr>
        <w:t>collection requires a system</w:t>
      </w:r>
      <w:r>
        <w:rPr>
          <w:b/>
          <w:color w:val="000000"/>
        </w:rPr>
        <w:t xml:space="preserve"> of records notice (SORN) or privacy impact assessment (PIA), those should be cited and described here.</w:t>
      </w:r>
    </w:p>
    <w:p w:rsidR="00793BA4" w:rsidP="0014426B" w14:paraId="18DAB25D" w14:textId="77777777">
      <w:pPr>
        <w:keepNext/>
        <w:widowControl/>
      </w:pPr>
    </w:p>
    <w:p w:rsidR="00793BA4" w:rsidRPr="00793BA4" w:rsidP="0014426B" w14:paraId="3733BDA4" w14:textId="7E8301DF">
      <w:pPr>
        <w:keepNext/>
        <w:widowControl/>
      </w:pPr>
      <w:r w:rsidRPr="00793BA4">
        <w:t xml:space="preserve">All information collections by NMFS Alaska </w:t>
      </w:r>
      <w:r>
        <w:t>Region</w:t>
      </w:r>
      <w:r w:rsidRPr="00793BA4">
        <w:t xml:space="preserve"> are protected under confidentiality provisions of section 402(b) of the Magnuson-Stevens Act and under </w:t>
      </w:r>
      <w:hyperlink r:id="rId18">
        <w:r w:rsidRPr="00793BA4">
          <w:t>NOAA</w:t>
        </w:r>
      </w:hyperlink>
      <w:hyperlink r:id="rId18">
        <w:r w:rsidRPr="00793BA4">
          <w:t xml:space="preserve"> Administrative Order 216-100,</w:t>
        </w:r>
      </w:hyperlink>
      <w:r w:rsidRPr="00793BA4">
        <w:t xml:space="preserve"> which sets forth procedures to protect confiden</w:t>
      </w:r>
      <w:r>
        <w:t xml:space="preserve">tiality of fishery statistics. </w:t>
      </w:r>
      <w:r w:rsidRPr="00793BA4">
        <w:t>None of the information submitted under this information collection contains confidential business information. Personally identifiable information and confidential business information submitted in an administrative appeal are not released to the public.</w:t>
      </w:r>
    </w:p>
    <w:p w:rsidR="00793BA4" w:rsidRPr="00793BA4" w:rsidP="0099558D" w14:paraId="56FF1EE2" w14:textId="77777777">
      <w:pPr>
        <w:widowControl/>
      </w:pPr>
    </w:p>
    <w:p w:rsidR="00B01EF1" w:rsidRPr="00755168" w:rsidP="00B01EF1" w14:paraId="26F5AECE" w14:textId="1A58E472">
      <w:pPr>
        <w:widowControl/>
        <w:autoSpaceDE w:val="0"/>
        <w:autoSpaceDN w:val="0"/>
        <w:rPr>
          <w:rFonts w:eastAsia="Arial"/>
          <w:lang w:bidi="en-US"/>
        </w:rPr>
      </w:pPr>
      <w:r>
        <w:t>The information in this collection is covered by system of records NOAA-16</w:t>
      </w:r>
      <w:r>
        <w:rPr>
          <w:rStyle w:val="FootnoteReference"/>
        </w:rPr>
        <w:footnoteReference w:id="10"/>
      </w:r>
      <w:r>
        <w:t>, Economic Data Reports for Alaska Federally Regulated Fisheries off the Coast of Alaska, and NOAA-19</w:t>
      </w:r>
      <w:r>
        <w:rPr>
          <w:rStyle w:val="FootnoteReference"/>
        </w:rPr>
        <w:footnoteReference w:id="11"/>
      </w:r>
      <w:r>
        <w:t xml:space="preserve">, Permits and Registrations for United States Federally Regulated Fisheries.  </w:t>
      </w:r>
      <w:r w:rsidRPr="00793BA4">
        <w:rPr>
          <w:rFonts w:eastAsia="Arial"/>
          <w:lang w:bidi="en-US"/>
        </w:rPr>
        <w:t xml:space="preserve">The Privacy Impact Assessment that covers this information collection </w:t>
      </w:r>
      <w:r>
        <w:rPr>
          <w:rFonts w:eastAsia="Arial"/>
          <w:lang w:bidi="en-US"/>
        </w:rPr>
        <w:t>is NOAA4700</w:t>
      </w:r>
      <w:r>
        <w:rPr>
          <w:rStyle w:val="FootnoteReference"/>
          <w:rFonts w:eastAsia="Arial"/>
          <w:lang w:bidi="en-US"/>
        </w:rPr>
        <w:footnoteReference w:id="12"/>
      </w:r>
      <w:r>
        <w:rPr>
          <w:rFonts w:eastAsia="Arial"/>
          <w:lang w:bidi="en-US"/>
        </w:rPr>
        <w:t>, Alaska Region.</w:t>
      </w:r>
    </w:p>
    <w:p w:rsidR="00793BA4" w:rsidP="0099558D" w14:paraId="391D577C" w14:textId="77777777">
      <w:pPr>
        <w:widowControl/>
        <w:autoSpaceDE w:val="0"/>
        <w:autoSpaceDN w:val="0"/>
        <w:rPr>
          <w:color w:val="000000"/>
        </w:rPr>
      </w:pPr>
    </w:p>
    <w:p w:rsidR="00BD156D" w:rsidP="0099558D" w14:paraId="35996E8C" w14:textId="1B985CA2">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93BA4" w:rsidP="0099558D" w14:paraId="68A620B9" w14:textId="77777777">
      <w:pPr>
        <w:widowControl/>
        <w:pBdr>
          <w:top w:val="nil"/>
          <w:left w:val="nil"/>
          <w:bottom w:val="nil"/>
          <w:right w:val="nil"/>
          <w:between w:val="nil"/>
        </w:pBdr>
        <w:tabs>
          <w:tab w:val="left" w:pos="360"/>
        </w:tabs>
      </w:pPr>
    </w:p>
    <w:p w:rsidR="00793BA4" w:rsidP="0099558D" w14:paraId="3F2684D3" w14:textId="2F339349">
      <w:pPr>
        <w:widowControl/>
        <w:pBdr>
          <w:top w:val="nil"/>
          <w:left w:val="nil"/>
          <w:bottom w:val="nil"/>
          <w:right w:val="nil"/>
          <w:between w:val="nil"/>
        </w:pBdr>
        <w:tabs>
          <w:tab w:val="left" w:pos="360"/>
        </w:tabs>
        <w:rPr>
          <w:b/>
          <w:color w:val="000000"/>
        </w:rPr>
      </w:pPr>
      <w:r w:rsidRPr="001B0187">
        <w:t>This information collection does not involve information of a sensitive nature</w:t>
      </w:r>
    </w:p>
    <w:p w:rsidR="00793BA4" w:rsidP="0099558D" w14:paraId="13254254" w14:textId="77777777">
      <w:pPr>
        <w:widowControl/>
        <w:pBdr>
          <w:top w:val="nil"/>
          <w:left w:val="nil"/>
          <w:bottom w:val="nil"/>
          <w:right w:val="nil"/>
          <w:between w:val="nil"/>
        </w:pBdr>
        <w:tabs>
          <w:tab w:val="left" w:pos="360"/>
        </w:tabs>
        <w:rPr>
          <w:b/>
          <w:color w:val="000000"/>
        </w:rPr>
      </w:pPr>
    </w:p>
    <w:p w:rsidR="00BD156D" w:rsidP="0099558D" w14:paraId="4E0A2607" w14:textId="77777777">
      <w:pPr>
        <w:widowControl/>
        <w:numPr>
          <w:ilvl w:val="0"/>
          <w:numId w:val="3"/>
        </w:numPr>
        <w:pBdr>
          <w:top w:val="nil"/>
          <w:left w:val="nil"/>
          <w:bottom w:val="nil"/>
          <w:right w:val="nil"/>
          <w:between w:val="nil"/>
        </w:pBdr>
        <w:tabs>
          <w:tab w:val="left" w:pos="360"/>
        </w:tabs>
        <w:spacing w:before="80"/>
        <w:ind w:left="0" w:firstLine="0"/>
        <w:rPr>
          <w:b/>
          <w:color w:val="000000"/>
        </w:rPr>
      </w:pPr>
      <w:r>
        <w:rPr>
          <w:b/>
          <w:color w:val="000000"/>
        </w:rPr>
        <w:t>Provide estimates of the hour burden of the collection of information.</w:t>
      </w:r>
    </w:p>
    <w:p w:rsidR="00AB3D3A" w:rsidP="0099558D" w14:paraId="38FA6329" w14:textId="77777777">
      <w:pPr>
        <w:widowControl/>
        <w:pBdr>
          <w:top w:val="nil"/>
          <w:left w:val="nil"/>
          <w:bottom w:val="nil"/>
          <w:right w:val="nil"/>
          <w:between w:val="nil"/>
        </w:pBdr>
      </w:pPr>
    </w:p>
    <w:p w:rsidR="005026AC" w:rsidP="0099558D" w14:paraId="6473D87C" w14:textId="3E1E7BFC">
      <w:pPr>
        <w:widowControl/>
        <w:pBdr>
          <w:top w:val="nil"/>
          <w:left w:val="nil"/>
          <w:bottom w:val="nil"/>
          <w:right w:val="nil"/>
          <w:between w:val="nil"/>
        </w:pBdr>
      </w:pPr>
      <w:r>
        <w:t xml:space="preserve">The </w:t>
      </w:r>
      <w:r w:rsidR="00564D25">
        <w:t>wage rate</w:t>
      </w:r>
      <w:r w:rsidRPr="00842669">
        <w:t xml:space="preserve"> and burden estimates </w:t>
      </w:r>
      <w:r>
        <w:t xml:space="preserve">used in the table below have been used </w:t>
      </w:r>
      <w:r w:rsidRPr="00842669">
        <w:t>in previous supporting statements for this information collection</w:t>
      </w:r>
      <w:r>
        <w:t xml:space="preserve">. </w:t>
      </w:r>
      <w:r w:rsidR="00A84E4F">
        <w:t xml:space="preserve">The hourly wage rates are </w:t>
      </w:r>
      <w:r w:rsidRPr="00AB3D3A" w:rsidR="00A84E4F">
        <w:t xml:space="preserve">rates </w:t>
      </w:r>
      <w:r w:rsidR="00A84E4F">
        <w:t xml:space="preserve">previously </w:t>
      </w:r>
      <w:r w:rsidRPr="00AB3D3A" w:rsidR="00A84E4F">
        <w:t>reported by industry</w:t>
      </w:r>
      <w:r>
        <w:t xml:space="preserve"> </w:t>
      </w:r>
      <w:r w:rsidR="00A63438">
        <w:t xml:space="preserve">in comments received and </w:t>
      </w:r>
      <w:r w:rsidR="00566496">
        <w:t xml:space="preserve">are not based on rates from the U.S. Bureau of Labor Statistics. These rates </w:t>
      </w:r>
      <w:r w:rsidR="00A63438">
        <w:t xml:space="preserve">are consistent with the rates used for the same respondents in </w:t>
      </w:r>
      <w:r w:rsidR="000C0D4C">
        <w:t>other NMFS Alaska Region information collection</w:t>
      </w:r>
      <w:r w:rsidR="00A63438">
        <w:t>s</w:t>
      </w:r>
      <w:r w:rsidRPr="00AB3D3A" w:rsidR="00A84E4F">
        <w:t>. Burden and wage rate estimates are updated when public comment supports doing so.</w:t>
      </w:r>
    </w:p>
    <w:p w:rsidR="00AB3D3A" w:rsidRPr="003D2D60" w:rsidP="0099558D" w14:paraId="4369CF46" w14:textId="77777777">
      <w:pPr>
        <w:widowControl/>
        <w:pBdr>
          <w:top w:val="nil"/>
          <w:left w:val="nil"/>
          <w:bottom w:val="nil"/>
          <w:right w:val="nil"/>
          <w:between w:val="nil"/>
        </w:pBdr>
      </w:pPr>
    </w:p>
    <w:tbl>
      <w:tblPr>
        <w:tblW w:w="10935" w:type="dxa"/>
        <w:jc w:val="center"/>
        <w:tblLayout w:type="fixed"/>
        <w:tblLook w:val="0400"/>
      </w:tblPr>
      <w:tblGrid>
        <w:gridCol w:w="1890"/>
        <w:gridCol w:w="1440"/>
        <w:gridCol w:w="1170"/>
        <w:gridCol w:w="1035"/>
        <w:gridCol w:w="1080"/>
        <w:gridCol w:w="1080"/>
        <w:gridCol w:w="1080"/>
        <w:gridCol w:w="1080"/>
        <w:gridCol w:w="1080"/>
      </w:tblGrid>
      <w:tr w14:paraId="5A82ADD5" w14:textId="77777777" w:rsidTr="00CB0706">
        <w:tblPrEx>
          <w:tblW w:w="10935" w:type="dxa"/>
          <w:jc w:val="center"/>
          <w:tblLayout w:type="fixed"/>
          <w:tblLook w:val="0400"/>
        </w:tblPrEx>
        <w:trPr>
          <w:jc w:val="center"/>
        </w:trPr>
        <w:tc>
          <w:tcPr>
            <w:tcW w:w="1890"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5026AC" w:rsidRPr="005026AC" w:rsidP="005026AC" w14:paraId="33354D64" w14:textId="77777777">
            <w:pPr>
              <w:widowControl/>
              <w:jc w:val="center"/>
              <w:rPr>
                <w:rFonts w:ascii="Calibri" w:eastAsia="Calibri" w:hAnsi="Calibri" w:cs="Calibri"/>
                <w:b/>
                <w:color w:val="000000"/>
                <w:sz w:val="16"/>
                <w:szCs w:val="16"/>
              </w:rPr>
            </w:pPr>
            <w:r w:rsidRPr="005026AC">
              <w:rPr>
                <w:rFonts w:ascii="Calibri" w:eastAsia="Calibri" w:hAnsi="Calibri" w:cs="Calibri"/>
                <w:b/>
                <w:color w:val="000000"/>
                <w:sz w:val="16"/>
                <w:szCs w:val="16"/>
              </w:rPr>
              <w:t>Information Collection</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5026AC" w:rsidRPr="005026AC" w:rsidP="005026AC" w14:paraId="1EE6B4CB" w14:textId="77777777">
            <w:pPr>
              <w:widowControl/>
              <w:jc w:val="center"/>
              <w:rPr>
                <w:rFonts w:ascii="Calibri" w:eastAsia="Calibri" w:hAnsi="Calibri" w:cs="Calibri"/>
                <w:b/>
                <w:color w:val="000000"/>
                <w:sz w:val="16"/>
                <w:szCs w:val="16"/>
              </w:rPr>
            </w:pPr>
            <w:r w:rsidRPr="005026AC">
              <w:rPr>
                <w:rFonts w:ascii="Calibri" w:eastAsia="Calibri" w:hAnsi="Calibri" w:cs="Calibri"/>
                <w:b/>
                <w:color w:val="000000"/>
                <w:sz w:val="16"/>
                <w:szCs w:val="16"/>
              </w:rPr>
              <w:t>Type of Respondent (e.g., Occupational Title)</w:t>
            </w:r>
          </w:p>
        </w:tc>
        <w:tc>
          <w:tcPr>
            <w:tcW w:w="1170" w:type="dxa"/>
            <w:tcBorders>
              <w:top w:val="single" w:sz="8" w:space="0" w:color="000000"/>
              <w:left w:val="nil"/>
              <w:bottom w:val="single" w:sz="8" w:space="0" w:color="000000"/>
              <w:right w:val="single" w:sz="8" w:space="0" w:color="000000"/>
            </w:tcBorders>
            <w:shd w:val="clear" w:color="auto" w:fill="BDD7EE"/>
            <w:vAlign w:val="center"/>
          </w:tcPr>
          <w:p w:rsidR="005026AC" w:rsidRPr="005026AC" w:rsidP="005026AC" w14:paraId="13B2A3D2" w14:textId="77777777">
            <w:pPr>
              <w:widowControl/>
              <w:jc w:val="center"/>
              <w:rPr>
                <w:rFonts w:ascii="Calibri" w:eastAsia="Calibri" w:hAnsi="Calibri" w:cs="Calibri"/>
                <w:b/>
                <w:color w:val="000000"/>
                <w:sz w:val="16"/>
                <w:szCs w:val="16"/>
              </w:rPr>
            </w:pPr>
            <w:r w:rsidRPr="005026AC">
              <w:rPr>
                <w:rFonts w:ascii="Calibri" w:eastAsia="Calibri" w:hAnsi="Calibri" w:cs="Calibri"/>
                <w:b/>
                <w:color w:val="000000"/>
                <w:sz w:val="16"/>
                <w:szCs w:val="16"/>
              </w:rPr>
              <w:t># of Respondents/year</w:t>
            </w:r>
            <w:r w:rsidRPr="005026AC">
              <w:rPr>
                <w:rFonts w:ascii="Calibri" w:eastAsia="Calibri" w:hAnsi="Calibri" w:cs="Calibri"/>
                <w:b/>
                <w:color w:val="000000"/>
                <w:sz w:val="16"/>
                <w:szCs w:val="16"/>
              </w:rPr>
              <w:br/>
              <w:t>(a)</w:t>
            </w:r>
          </w:p>
        </w:tc>
        <w:tc>
          <w:tcPr>
            <w:tcW w:w="1035" w:type="dxa"/>
            <w:tcBorders>
              <w:top w:val="single" w:sz="8" w:space="0" w:color="000000"/>
              <w:left w:val="nil"/>
              <w:bottom w:val="single" w:sz="8" w:space="0" w:color="000000"/>
              <w:right w:val="single" w:sz="8" w:space="0" w:color="000000"/>
            </w:tcBorders>
            <w:shd w:val="clear" w:color="auto" w:fill="BDD7EE"/>
            <w:vAlign w:val="center"/>
          </w:tcPr>
          <w:p w:rsidR="005026AC" w:rsidRPr="005026AC" w:rsidP="005026AC" w14:paraId="47435B1F" w14:textId="77777777">
            <w:pPr>
              <w:widowControl/>
              <w:jc w:val="center"/>
              <w:rPr>
                <w:rFonts w:ascii="Calibri" w:eastAsia="Calibri" w:hAnsi="Calibri" w:cs="Calibri"/>
                <w:b/>
                <w:color w:val="000000"/>
                <w:sz w:val="16"/>
                <w:szCs w:val="16"/>
              </w:rPr>
            </w:pPr>
            <w:r w:rsidRPr="005026AC">
              <w:rPr>
                <w:rFonts w:ascii="Calibri" w:eastAsia="Calibri" w:hAnsi="Calibri" w:cs="Calibri"/>
                <w:b/>
                <w:color w:val="000000"/>
                <w:sz w:val="16"/>
                <w:szCs w:val="16"/>
              </w:rPr>
              <w:t>Annual # of Responses / Respondent</w:t>
            </w:r>
            <w:r w:rsidRPr="005026AC">
              <w:rPr>
                <w:rFonts w:ascii="Calibri" w:eastAsia="Calibri" w:hAnsi="Calibri" w:cs="Calibri"/>
                <w:b/>
                <w:color w:val="000000"/>
                <w:sz w:val="16"/>
                <w:szCs w:val="16"/>
              </w:rPr>
              <w:br/>
              <w:t>(b)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5026AC" w:rsidRPr="005026AC" w:rsidP="005026AC" w14:paraId="7E0B9810" w14:textId="77777777">
            <w:pPr>
              <w:widowControl/>
              <w:jc w:val="center"/>
              <w:rPr>
                <w:rFonts w:ascii="Calibri" w:eastAsia="Calibri" w:hAnsi="Calibri" w:cs="Calibri"/>
                <w:b/>
                <w:color w:val="000000"/>
                <w:sz w:val="16"/>
                <w:szCs w:val="16"/>
              </w:rPr>
            </w:pPr>
            <w:r w:rsidRPr="005026AC">
              <w:rPr>
                <w:rFonts w:ascii="Calibri" w:eastAsia="Calibri" w:hAnsi="Calibri" w:cs="Calibri"/>
                <w:b/>
                <w:color w:val="000000"/>
                <w:sz w:val="16"/>
                <w:szCs w:val="16"/>
              </w:rPr>
              <w:t xml:space="preserve"> Total # of Annual Responses</w:t>
            </w:r>
            <w:r w:rsidRPr="005026AC">
              <w:rPr>
                <w:rFonts w:ascii="Calibri" w:eastAsia="Calibri" w:hAnsi="Calibri" w:cs="Calibri"/>
                <w:b/>
                <w:color w:val="000000"/>
                <w:sz w:val="16"/>
                <w:szCs w:val="16"/>
              </w:rPr>
              <w:br/>
              <w:t>(c) = (a) x (b)</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5026AC" w:rsidRPr="005026AC" w:rsidP="005026AC" w14:paraId="1DD59BEB" w14:textId="77777777">
            <w:pPr>
              <w:widowControl/>
              <w:jc w:val="center"/>
              <w:rPr>
                <w:rFonts w:ascii="Calibri" w:eastAsia="Calibri" w:hAnsi="Calibri" w:cs="Calibri"/>
                <w:b/>
                <w:color w:val="000000"/>
                <w:sz w:val="16"/>
                <w:szCs w:val="16"/>
              </w:rPr>
            </w:pPr>
            <w:r w:rsidRPr="005026AC">
              <w:rPr>
                <w:rFonts w:ascii="Calibri" w:eastAsia="Calibri" w:hAnsi="Calibri" w:cs="Calibri"/>
                <w:b/>
                <w:color w:val="000000"/>
                <w:sz w:val="16"/>
                <w:szCs w:val="16"/>
              </w:rPr>
              <w:t>Burden Hrs / Response</w:t>
            </w:r>
            <w:r w:rsidRPr="005026AC">
              <w:rPr>
                <w:rFonts w:ascii="Calibri" w:eastAsia="Calibri" w:hAnsi="Calibri" w:cs="Calibri"/>
                <w:b/>
                <w:color w:val="000000"/>
                <w:sz w:val="16"/>
                <w:szCs w:val="16"/>
              </w:rPr>
              <w:br/>
              <w:t>(d)</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5026AC" w:rsidRPr="005026AC" w:rsidP="005026AC" w14:paraId="26CB54D3" w14:textId="01800E0D">
            <w:pPr>
              <w:widowControl/>
              <w:jc w:val="center"/>
              <w:rPr>
                <w:rFonts w:ascii="Calibri" w:eastAsia="Calibri" w:hAnsi="Calibri" w:cs="Calibri"/>
                <w:b/>
                <w:color w:val="000000"/>
                <w:sz w:val="16"/>
                <w:szCs w:val="16"/>
              </w:rPr>
            </w:pPr>
            <w:r w:rsidRPr="005026AC">
              <w:rPr>
                <w:rFonts w:ascii="Calibri" w:eastAsia="Calibri" w:hAnsi="Calibri" w:cs="Calibri"/>
                <w:b/>
                <w:color w:val="000000"/>
                <w:sz w:val="16"/>
                <w:szCs w:val="16"/>
              </w:rPr>
              <w:t>Total Annual Burden Hrs</w:t>
            </w:r>
            <w:r w:rsidRPr="005026AC">
              <w:rPr>
                <w:rFonts w:ascii="Calibri" w:eastAsia="Calibri" w:hAnsi="Calibri" w:cs="Calibri"/>
                <w:b/>
                <w:color w:val="000000"/>
                <w:sz w:val="16"/>
                <w:szCs w:val="16"/>
              </w:rPr>
              <w:br/>
              <w:t>(e)</w:t>
            </w:r>
            <w:r w:rsidR="0099558D">
              <w:rPr>
                <w:rFonts w:ascii="Calibri" w:eastAsia="Calibri" w:hAnsi="Calibri" w:cs="Calibri"/>
                <w:b/>
                <w:color w:val="000000"/>
                <w:sz w:val="16"/>
                <w:szCs w:val="16"/>
              </w:rPr>
              <w:t xml:space="preserve"> </w:t>
            </w:r>
            <w:r w:rsidRPr="005026AC">
              <w:rPr>
                <w:rFonts w:ascii="Calibri" w:eastAsia="Calibri" w:hAnsi="Calibri" w:cs="Calibri"/>
                <w:b/>
                <w:color w:val="000000"/>
                <w:sz w:val="16"/>
                <w:szCs w:val="16"/>
              </w:rPr>
              <w:t xml:space="preserve">= </w:t>
            </w:r>
            <w:r w:rsidRPr="005026AC">
              <w:rPr>
                <w:rFonts w:ascii="Calibri" w:eastAsia="Calibri" w:hAnsi="Calibri" w:cs="Calibri"/>
                <w:b/>
                <w:color w:val="000000"/>
                <w:sz w:val="16"/>
                <w:szCs w:val="16"/>
              </w:rPr>
              <w:t>(c) x (d)</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5026AC" w:rsidRPr="005026AC" w:rsidP="005026AC" w14:paraId="6181DCF2" w14:textId="3C43CDDF">
            <w:pPr>
              <w:widowControl/>
              <w:jc w:val="center"/>
              <w:rPr>
                <w:rFonts w:ascii="Calibri" w:eastAsia="Calibri" w:hAnsi="Calibri" w:cs="Calibri"/>
                <w:b/>
                <w:color w:val="000000"/>
                <w:sz w:val="16"/>
                <w:szCs w:val="16"/>
              </w:rPr>
            </w:pPr>
            <w:r w:rsidRPr="005026AC">
              <w:rPr>
                <w:rFonts w:ascii="Calibri" w:eastAsia="Calibri" w:hAnsi="Calibri" w:cs="Calibri"/>
                <w:b/>
                <w:color w:val="000000"/>
                <w:sz w:val="16"/>
                <w:szCs w:val="16"/>
              </w:rPr>
              <w:t>Hourly Wage Rate</w:t>
            </w:r>
            <w:r w:rsidR="0099558D">
              <w:rPr>
                <w:rFonts w:ascii="Calibri" w:eastAsia="Calibri" w:hAnsi="Calibri" w:cs="Calibri"/>
                <w:b/>
                <w:color w:val="000000"/>
                <w:sz w:val="16"/>
                <w:szCs w:val="16"/>
              </w:rPr>
              <w:t xml:space="preserve"> </w:t>
            </w:r>
            <w:r w:rsidRPr="005026AC">
              <w:rPr>
                <w:rFonts w:ascii="Calibri" w:eastAsia="Calibri" w:hAnsi="Calibri" w:cs="Calibri"/>
                <w:b/>
                <w:color w:val="000000"/>
                <w:sz w:val="16"/>
                <w:szCs w:val="16"/>
              </w:rPr>
              <w:t>(for Type of Respondent)</w:t>
            </w:r>
            <w:r w:rsidRPr="005026AC">
              <w:rPr>
                <w:rFonts w:ascii="Calibri" w:eastAsia="Calibri" w:hAnsi="Calibri" w:cs="Calibri"/>
                <w:b/>
                <w:color w:val="000000"/>
                <w:sz w:val="16"/>
                <w:szCs w:val="16"/>
              </w:rPr>
              <w:br/>
              <w:t>(f)</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5026AC" w:rsidRPr="005026AC" w:rsidP="005026AC" w14:paraId="4E0615E4" w14:textId="77777777">
            <w:pPr>
              <w:widowControl/>
              <w:jc w:val="center"/>
              <w:rPr>
                <w:rFonts w:ascii="Calibri" w:eastAsia="Calibri" w:hAnsi="Calibri" w:cs="Calibri"/>
                <w:b/>
                <w:color w:val="000000"/>
                <w:sz w:val="16"/>
                <w:szCs w:val="16"/>
              </w:rPr>
            </w:pPr>
            <w:r w:rsidRPr="005026AC">
              <w:rPr>
                <w:rFonts w:ascii="Calibri" w:eastAsia="Calibri" w:hAnsi="Calibri" w:cs="Calibri"/>
                <w:b/>
                <w:color w:val="000000"/>
                <w:sz w:val="16"/>
                <w:szCs w:val="16"/>
              </w:rPr>
              <w:t>Total Annual Wage Burden Costs</w:t>
            </w:r>
            <w:r w:rsidRPr="005026AC">
              <w:rPr>
                <w:rFonts w:ascii="Calibri" w:eastAsia="Calibri" w:hAnsi="Calibri" w:cs="Calibri"/>
                <w:b/>
                <w:color w:val="000000"/>
                <w:sz w:val="16"/>
                <w:szCs w:val="16"/>
              </w:rPr>
              <w:br/>
              <w:t>(g) = (e) x (f)</w:t>
            </w:r>
          </w:p>
        </w:tc>
      </w:tr>
      <w:tr w14:paraId="0A335F3B" w14:textId="77777777" w:rsidTr="00CB0706">
        <w:tblPrEx>
          <w:tblW w:w="10935" w:type="dxa"/>
          <w:jc w:val="center"/>
          <w:tblLayout w:type="fixed"/>
          <w:tblLook w:val="0400"/>
        </w:tblPrEx>
        <w:trPr>
          <w:trHeight w:val="407"/>
          <w:jc w:val="center"/>
        </w:trPr>
        <w:tc>
          <w:tcPr>
            <w:tcW w:w="1890" w:type="dxa"/>
            <w:tcBorders>
              <w:top w:val="nil"/>
              <w:left w:val="single" w:sz="8" w:space="0" w:color="000000"/>
              <w:bottom w:val="single" w:sz="4" w:space="0" w:color="000000"/>
              <w:right w:val="single" w:sz="4" w:space="0" w:color="000000"/>
            </w:tcBorders>
            <w:shd w:val="clear" w:color="auto" w:fill="auto"/>
            <w:vAlign w:val="center"/>
          </w:tcPr>
          <w:p w:rsidR="00C16CD2" w:rsidRPr="005026AC" w:rsidP="00C16CD2" w14:paraId="2F4441D1" w14:textId="5DA684F0">
            <w:pPr>
              <w:widowControl/>
              <w:rPr>
                <w:rFonts w:ascii="Calibri" w:eastAsia="Calibri" w:hAnsi="Calibri" w:cs="Calibri"/>
                <w:color w:val="000000"/>
                <w:sz w:val="18"/>
                <w:szCs w:val="18"/>
              </w:rPr>
            </w:pPr>
            <w:r w:rsidRPr="00FB6992">
              <w:rPr>
                <w:rFonts w:asciiTheme="minorHAnsi" w:hAnsiTheme="minorHAnsi" w:cstheme="minorHAnsi"/>
                <w:sz w:val="18"/>
                <w:szCs w:val="18"/>
              </w:rPr>
              <w:t xml:space="preserve">Bering Sea Pollock Fishery </w:t>
            </w:r>
            <w:r w:rsidRPr="005026AC">
              <w:rPr>
                <w:rFonts w:asciiTheme="minorHAnsi" w:hAnsiTheme="minorHAnsi" w:cstheme="minorHAnsi"/>
                <w:sz w:val="18"/>
                <w:szCs w:val="18"/>
              </w:rPr>
              <w:t>Incentive Plan Agreement (IPA)</w:t>
            </w:r>
          </w:p>
        </w:tc>
        <w:tc>
          <w:tcPr>
            <w:tcW w:w="1440" w:type="dxa"/>
            <w:tcBorders>
              <w:top w:val="nil"/>
              <w:left w:val="nil"/>
              <w:bottom w:val="single" w:sz="4" w:space="0" w:color="000000"/>
              <w:right w:val="single" w:sz="4" w:space="0" w:color="000000"/>
            </w:tcBorders>
            <w:shd w:val="clear" w:color="auto" w:fill="auto"/>
            <w:vAlign w:val="center"/>
          </w:tcPr>
          <w:p w:rsidR="00C16CD2" w:rsidRPr="005026AC" w:rsidP="00C16CD2" w14:paraId="689DBD13" w14:textId="5846E16C">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IPA representative</w:t>
            </w:r>
          </w:p>
        </w:tc>
        <w:tc>
          <w:tcPr>
            <w:tcW w:w="1170" w:type="dxa"/>
            <w:tcBorders>
              <w:top w:val="nil"/>
              <w:left w:val="nil"/>
              <w:bottom w:val="single" w:sz="4" w:space="0" w:color="000000"/>
              <w:right w:val="single" w:sz="4" w:space="0" w:color="000000"/>
            </w:tcBorders>
            <w:shd w:val="clear" w:color="auto" w:fill="auto"/>
            <w:vAlign w:val="center"/>
          </w:tcPr>
          <w:p w:rsidR="00C16CD2" w:rsidP="00C16CD2" w14:paraId="066B6D0E" w14:textId="3242DE34">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1</w:t>
            </w:r>
            <w:r w:rsidRPr="00671140">
              <w:rPr>
                <w:rFonts w:ascii="Calibri" w:eastAsia="Calibri" w:hAnsi="Calibri" w:cs="Calibri"/>
                <w:color w:val="000000"/>
                <w:sz w:val="18"/>
                <w:szCs w:val="18"/>
                <w:vertAlign w:val="superscript"/>
              </w:rPr>
              <w:t>1</w:t>
            </w:r>
          </w:p>
        </w:tc>
        <w:tc>
          <w:tcPr>
            <w:tcW w:w="1035" w:type="dxa"/>
            <w:tcBorders>
              <w:top w:val="nil"/>
              <w:left w:val="nil"/>
              <w:bottom w:val="single" w:sz="4" w:space="0" w:color="000000"/>
              <w:right w:val="single" w:sz="4" w:space="0" w:color="000000"/>
            </w:tcBorders>
            <w:shd w:val="clear" w:color="auto" w:fill="auto"/>
            <w:vAlign w:val="center"/>
          </w:tcPr>
          <w:p w:rsidR="00C16CD2" w:rsidP="00C16CD2" w14:paraId="62435BD2" w14:textId="4A532EEE">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C16CD2" w:rsidP="00C16CD2" w14:paraId="4D2667CC" w14:textId="743C4995">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C16CD2" w:rsidRPr="005026AC" w:rsidP="00C16CD2" w14:paraId="5568D526" w14:textId="47DFD343">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50 hours</w:t>
            </w:r>
          </w:p>
        </w:tc>
        <w:tc>
          <w:tcPr>
            <w:tcW w:w="1080" w:type="dxa"/>
            <w:tcBorders>
              <w:top w:val="nil"/>
              <w:left w:val="nil"/>
              <w:bottom w:val="single" w:sz="4" w:space="0" w:color="000000"/>
              <w:right w:val="single" w:sz="4" w:space="0" w:color="000000"/>
            </w:tcBorders>
            <w:shd w:val="clear" w:color="auto" w:fill="auto"/>
            <w:vAlign w:val="center"/>
          </w:tcPr>
          <w:p w:rsidR="00C16CD2" w:rsidP="00C16CD2" w14:paraId="31C5FD0E" w14:textId="70B88E2C">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50</w:t>
            </w:r>
          </w:p>
        </w:tc>
        <w:tc>
          <w:tcPr>
            <w:tcW w:w="1080" w:type="dxa"/>
            <w:tcBorders>
              <w:top w:val="nil"/>
              <w:left w:val="nil"/>
              <w:bottom w:val="single" w:sz="4" w:space="0" w:color="000000"/>
              <w:right w:val="single" w:sz="4" w:space="0" w:color="000000"/>
            </w:tcBorders>
            <w:shd w:val="clear" w:color="auto" w:fill="auto"/>
            <w:vAlign w:val="center"/>
          </w:tcPr>
          <w:p w:rsidR="00C16CD2" w:rsidRPr="005026AC" w:rsidP="00C16CD2" w14:paraId="1389CB4B" w14:textId="73333035">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$165</w:t>
            </w:r>
          </w:p>
        </w:tc>
        <w:tc>
          <w:tcPr>
            <w:tcW w:w="1080" w:type="dxa"/>
            <w:tcBorders>
              <w:top w:val="nil"/>
              <w:left w:val="nil"/>
              <w:bottom w:val="single" w:sz="4" w:space="0" w:color="000000"/>
              <w:right w:val="single" w:sz="8" w:space="0" w:color="000000"/>
            </w:tcBorders>
            <w:shd w:val="clear" w:color="auto" w:fill="auto"/>
            <w:vAlign w:val="center"/>
          </w:tcPr>
          <w:p w:rsidR="00C16CD2" w:rsidRPr="005026AC" w:rsidP="00C16CD2" w14:paraId="2848C17B" w14:textId="0DCD55C5">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8,250</w:t>
            </w:r>
          </w:p>
        </w:tc>
      </w:tr>
      <w:tr w14:paraId="1AEB34A7" w14:textId="77777777" w:rsidTr="00CB0706">
        <w:tblPrEx>
          <w:tblW w:w="10935" w:type="dxa"/>
          <w:jc w:val="center"/>
          <w:tblLayout w:type="fixed"/>
          <w:tblLook w:val="0400"/>
        </w:tblPrEx>
        <w:trPr>
          <w:trHeight w:val="407"/>
          <w:jc w:val="center"/>
        </w:trPr>
        <w:tc>
          <w:tcPr>
            <w:tcW w:w="1890" w:type="dxa"/>
            <w:tcBorders>
              <w:top w:val="nil"/>
              <w:left w:val="single" w:sz="8" w:space="0" w:color="000000"/>
              <w:bottom w:val="single" w:sz="4" w:space="0" w:color="000000"/>
              <w:right w:val="single" w:sz="4" w:space="0" w:color="000000"/>
            </w:tcBorders>
            <w:shd w:val="clear" w:color="auto" w:fill="auto"/>
            <w:vAlign w:val="center"/>
          </w:tcPr>
          <w:p w:rsidR="00C16CD2" w:rsidRPr="00FB6992" w:rsidP="00C16CD2" w14:paraId="2EEC54AD" w14:textId="2E6264C9">
            <w:pPr>
              <w:widowControl/>
              <w:rPr>
                <w:rFonts w:asciiTheme="minorHAnsi" w:hAnsiTheme="minorHAnsi" w:cstheme="minorHAnsi"/>
                <w:sz w:val="18"/>
                <w:szCs w:val="18"/>
              </w:rPr>
            </w:pPr>
            <w:r w:rsidRPr="00FB6992">
              <w:rPr>
                <w:rFonts w:asciiTheme="minorHAnsi" w:hAnsiTheme="minorHAnsi" w:cstheme="minorHAnsi"/>
                <w:sz w:val="18"/>
                <w:szCs w:val="18"/>
              </w:rPr>
              <w:t xml:space="preserve">Bering Sea Pollock Fishery </w:t>
            </w:r>
            <w:r w:rsidRPr="005026AC">
              <w:rPr>
                <w:rFonts w:asciiTheme="minorHAnsi" w:hAnsiTheme="minorHAnsi" w:cstheme="minorHAnsi"/>
                <w:sz w:val="18"/>
                <w:szCs w:val="18"/>
              </w:rPr>
              <w:t>IPA Annual Report</w:t>
            </w:r>
          </w:p>
        </w:tc>
        <w:tc>
          <w:tcPr>
            <w:tcW w:w="1440" w:type="dxa"/>
            <w:tcBorders>
              <w:top w:val="nil"/>
              <w:left w:val="nil"/>
              <w:bottom w:val="single" w:sz="4" w:space="0" w:color="000000"/>
              <w:right w:val="single" w:sz="4" w:space="0" w:color="000000"/>
            </w:tcBorders>
            <w:shd w:val="clear" w:color="auto" w:fill="auto"/>
            <w:vAlign w:val="center"/>
          </w:tcPr>
          <w:p w:rsidR="00C16CD2" w:rsidRPr="005026AC" w:rsidP="00C16CD2" w14:paraId="3B793F00" w14:textId="0FC142BF">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IPA representative</w:t>
            </w:r>
          </w:p>
        </w:tc>
        <w:tc>
          <w:tcPr>
            <w:tcW w:w="1170" w:type="dxa"/>
            <w:tcBorders>
              <w:top w:val="nil"/>
              <w:left w:val="nil"/>
              <w:bottom w:val="single" w:sz="4" w:space="0" w:color="000000"/>
              <w:right w:val="single" w:sz="4" w:space="0" w:color="000000"/>
            </w:tcBorders>
            <w:shd w:val="clear" w:color="auto" w:fill="auto"/>
            <w:vAlign w:val="center"/>
          </w:tcPr>
          <w:p w:rsidR="00C16CD2" w:rsidRPr="005026AC" w:rsidP="00C16CD2" w14:paraId="3572A7C9" w14:textId="042A570F">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3</w:t>
            </w:r>
          </w:p>
        </w:tc>
        <w:tc>
          <w:tcPr>
            <w:tcW w:w="1035" w:type="dxa"/>
            <w:tcBorders>
              <w:top w:val="nil"/>
              <w:left w:val="nil"/>
              <w:bottom w:val="single" w:sz="4" w:space="0" w:color="000000"/>
              <w:right w:val="single" w:sz="4" w:space="0" w:color="000000"/>
            </w:tcBorders>
            <w:shd w:val="clear" w:color="auto" w:fill="auto"/>
            <w:vAlign w:val="center"/>
          </w:tcPr>
          <w:p w:rsidR="00C16CD2" w:rsidRPr="005026AC" w:rsidP="00C16CD2" w14:paraId="0A9B9A1F" w14:textId="675A7A5E">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C16CD2" w:rsidRPr="005026AC" w:rsidP="00C16CD2" w14:paraId="0E745169" w14:textId="15155087">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3</w:t>
            </w:r>
          </w:p>
        </w:tc>
        <w:tc>
          <w:tcPr>
            <w:tcW w:w="1080" w:type="dxa"/>
            <w:tcBorders>
              <w:top w:val="nil"/>
              <w:left w:val="nil"/>
              <w:bottom w:val="single" w:sz="4" w:space="0" w:color="000000"/>
              <w:right w:val="single" w:sz="4" w:space="0" w:color="000000"/>
            </w:tcBorders>
            <w:shd w:val="clear" w:color="auto" w:fill="auto"/>
            <w:vAlign w:val="center"/>
          </w:tcPr>
          <w:p w:rsidR="00C16CD2" w:rsidRPr="005026AC" w:rsidP="00C16CD2" w14:paraId="1F63DAD3" w14:textId="6DBEFF7E">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80 hours</w:t>
            </w:r>
          </w:p>
        </w:tc>
        <w:tc>
          <w:tcPr>
            <w:tcW w:w="1080" w:type="dxa"/>
            <w:tcBorders>
              <w:top w:val="nil"/>
              <w:left w:val="nil"/>
              <w:bottom w:val="single" w:sz="4" w:space="0" w:color="000000"/>
              <w:right w:val="single" w:sz="4" w:space="0" w:color="000000"/>
            </w:tcBorders>
            <w:shd w:val="clear" w:color="auto" w:fill="auto"/>
            <w:vAlign w:val="center"/>
          </w:tcPr>
          <w:p w:rsidR="00C16CD2" w:rsidRPr="005026AC" w:rsidP="00C16CD2" w14:paraId="54CE9489" w14:textId="535C644E">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240</w:t>
            </w:r>
          </w:p>
        </w:tc>
        <w:tc>
          <w:tcPr>
            <w:tcW w:w="1080" w:type="dxa"/>
            <w:tcBorders>
              <w:top w:val="nil"/>
              <w:left w:val="nil"/>
              <w:bottom w:val="single" w:sz="4" w:space="0" w:color="000000"/>
              <w:right w:val="single" w:sz="4" w:space="0" w:color="000000"/>
            </w:tcBorders>
            <w:shd w:val="clear" w:color="auto" w:fill="auto"/>
            <w:vAlign w:val="center"/>
          </w:tcPr>
          <w:p w:rsidR="00C16CD2" w:rsidRPr="005026AC" w:rsidP="00C16CD2" w14:paraId="14253B57" w14:textId="1A80F4F5">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$165</w:t>
            </w:r>
          </w:p>
        </w:tc>
        <w:tc>
          <w:tcPr>
            <w:tcW w:w="1080" w:type="dxa"/>
            <w:tcBorders>
              <w:top w:val="nil"/>
              <w:left w:val="nil"/>
              <w:bottom w:val="single" w:sz="4" w:space="0" w:color="000000"/>
              <w:right w:val="single" w:sz="8" w:space="0" w:color="000000"/>
            </w:tcBorders>
            <w:shd w:val="clear" w:color="auto" w:fill="auto"/>
            <w:vAlign w:val="center"/>
          </w:tcPr>
          <w:p w:rsidR="00C16CD2" w:rsidRPr="005026AC" w:rsidP="00C16CD2" w14:paraId="73623DD6" w14:textId="60420EB4">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39,600</w:t>
            </w:r>
          </w:p>
        </w:tc>
      </w:tr>
      <w:tr w14:paraId="54CC9C37" w14:textId="77777777" w:rsidTr="00CB0706">
        <w:tblPrEx>
          <w:tblW w:w="10935" w:type="dxa"/>
          <w:jc w:val="center"/>
          <w:tblLayout w:type="fixed"/>
          <w:tblLook w:val="0400"/>
        </w:tblPrEx>
        <w:trPr>
          <w:trHeight w:val="407"/>
          <w:jc w:val="center"/>
        </w:trPr>
        <w:tc>
          <w:tcPr>
            <w:tcW w:w="1890" w:type="dxa"/>
            <w:tcBorders>
              <w:top w:val="nil"/>
              <w:left w:val="single" w:sz="8" w:space="0" w:color="000000"/>
              <w:bottom w:val="single" w:sz="4" w:space="0" w:color="000000"/>
              <w:right w:val="single" w:sz="4" w:space="0" w:color="000000"/>
            </w:tcBorders>
            <w:shd w:val="clear" w:color="auto" w:fill="auto"/>
            <w:vAlign w:val="center"/>
          </w:tcPr>
          <w:p w:rsidR="005026AC" w:rsidRPr="005026AC" w:rsidP="005026AC" w14:paraId="6253B4B2" w14:textId="77777777">
            <w:pPr>
              <w:widowControl/>
              <w:rPr>
                <w:rFonts w:ascii="Calibri" w:eastAsia="Calibri" w:hAnsi="Calibri" w:cs="Calibri"/>
                <w:color w:val="000000"/>
                <w:sz w:val="18"/>
                <w:szCs w:val="18"/>
              </w:rPr>
            </w:pPr>
            <w:r w:rsidRPr="005026AC">
              <w:rPr>
                <w:rFonts w:ascii="Calibri" w:eastAsia="Calibri" w:hAnsi="Calibri" w:cs="Calibri"/>
                <w:color w:val="000000"/>
                <w:sz w:val="18"/>
                <w:szCs w:val="18"/>
              </w:rPr>
              <w:t>AFA Cooperative Contract</w:t>
            </w:r>
          </w:p>
        </w:tc>
        <w:tc>
          <w:tcPr>
            <w:tcW w:w="1440" w:type="dxa"/>
            <w:tcBorders>
              <w:top w:val="nil"/>
              <w:left w:val="nil"/>
              <w:bottom w:val="single" w:sz="4" w:space="0" w:color="000000"/>
              <w:right w:val="single" w:sz="4" w:space="0" w:color="000000"/>
            </w:tcBorders>
            <w:shd w:val="clear" w:color="auto" w:fill="auto"/>
            <w:vAlign w:val="center"/>
          </w:tcPr>
          <w:p w:rsidR="005026AC" w:rsidRPr="005026AC" w:rsidP="005026AC" w14:paraId="4047F538" w14:textId="77777777">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Cooperative representative</w:t>
            </w:r>
          </w:p>
        </w:tc>
        <w:tc>
          <w:tcPr>
            <w:tcW w:w="1170" w:type="dxa"/>
            <w:tcBorders>
              <w:top w:val="nil"/>
              <w:left w:val="nil"/>
              <w:bottom w:val="single" w:sz="4" w:space="0" w:color="000000"/>
              <w:right w:val="single" w:sz="4" w:space="0" w:color="000000"/>
            </w:tcBorders>
            <w:shd w:val="clear" w:color="auto" w:fill="auto"/>
            <w:vAlign w:val="center"/>
          </w:tcPr>
          <w:p w:rsidR="005026AC" w:rsidRPr="005026AC" w:rsidP="005026AC" w14:paraId="2397360B" w14:textId="2063092F">
            <w:pPr>
              <w:widowControl/>
              <w:jc w:val="center"/>
              <w:rPr>
                <w:rFonts w:ascii="Calibri" w:eastAsia="Calibri" w:hAnsi="Calibri" w:cs="Calibri"/>
                <w:color w:val="000000"/>
                <w:sz w:val="18"/>
                <w:szCs w:val="18"/>
              </w:rPr>
            </w:pPr>
            <w:r>
              <w:rPr>
                <w:rFonts w:ascii="Calibri" w:eastAsia="Calibri" w:hAnsi="Calibri" w:cs="Calibri"/>
                <w:color w:val="000000"/>
                <w:sz w:val="18"/>
                <w:szCs w:val="18"/>
              </w:rPr>
              <w:t>7</w:t>
            </w:r>
          </w:p>
        </w:tc>
        <w:tc>
          <w:tcPr>
            <w:tcW w:w="1035" w:type="dxa"/>
            <w:tcBorders>
              <w:top w:val="nil"/>
              <w:left w:val="nil"/>
              <w:bottom w:val="single" w:sz="4" w:space="0" w:color="000000"/>
              <w:right w:val="single" w:sz="4" w:space="0" w:color="000000"/>
            </w:tcBorders>
            <w:shd w:val="clear" w:color="auto" w:fill="auto"/>
            <w:vAlign w:val="center"/>
          </w:tcPr>
          <w:p w:rsidR="005026AC" w:rsidRPr="005026AC" w:rsidP="005026AC" w14:paraId="7B010F85" w14:textId="6A582CB8">
            <w:pPr>
              <w:widowControl/>
              <w:jc w:val="center"/>
              <w:rPr>
                <w:rFonts w:ascii="Calibri" w:eastAsia="Calibri" w:hAnsi="Calibri" w:cs="Calibri"/>
                <w:color w:val="000000"/>
                <w:sz w:val="18"/>
                <w:szCs w:val="18"/>
              </w:rPr>
            </w:pPr>
            <w:r>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5026AC" w:rsidRPr="005026AC" w:rsidP="005026AC" w14:paraId="72BD651D" w14:textId="25F0FB78">
            <w:pPr>
              <w:widowControl/>
              <w:jc w:val="center"/>
              <w:rPr>
                <w:rFonts w:ascii="Calibri" w:eastAsia="Calibri" w:hAnsi="Calibri" w:cs="Calibri"/>
                <w:color w:val="000000"/>
                <w:sz w:val="18"/>
                <w:szCs w:val="18"/>
              </w:rPr>
            </w:pPr>
            <w:r>
              <w:rPr>
                <w:rFonts w:ascii="Calibri" w:eastAsia="Calibri" w:hAnsi="Calibri" w:cs="Calibri"/>
                <w:color w:val="000000"/>
                <w:sz w:val="18"/>
                <w:szCs w:val="18"/>
              </w:rPr>
              <w:t>7</w:t>
            </w:r>
          </w:p>
        </w:tc>
        <w:tc>
          <w:tcPr>
            <w:tcW w:w="1080" w:type="dxa"/>
            <w:tcBorders>
              <w:top w:val="nil"/>
              <w:left w:val="nil"/>
              <w:bottom w:val="single" w:sz="4" w:space="0" w:color="000000"/>
              <w:right w:val="single" w:sz="4" w:space="0" w:color="000000"/>
            </w:tcBorders>
            <w:shd w:val="clear" w:color="auto" w:fill="auto"/>
            <w:vAlign w:val="center"/>
          </w:tcPr>
          <w:p w:rsidR="005026AC" w:rsidRPr="005026AC" w:rsidP="005026AC" w14:paraId="66DCF6DA" w14:textId="77777777">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8 hours</w:t>
            </w:r>
          </w:p>
        </w:tc>
        <w:tc>
          <w:tcPr>
            <w:tcW w:w="1080" w:type="dxa"/>
            <w:tcBorders>
              <w:top w:val="nil"/>
              <w:left w:val="nil"/>
              <w:bottom w:val="single" w:sz="4" w:space="0" w:color="000000"/>
              <w:right w:val="single" w:sz="4" w:space="0" w:color="000000"/>
            </w:tcBorders>
            <w:shd w:val="clear" w:color="auto" w:fill="auto"/>
            <w:vAlign w:val="center"/>
          </w:tcPr>
          <w:p w:rsidR="005026AC" w:rsidRPr="005026AC" w:rsidP="005026AC" w14:paraId="45F709FF" w14:textId="28EBEE55">
            <w:pPr>
              <w:widowControl/>
              <w:jc w:val="center"/>
              <w:rPr>
                <w:rFonts w:ascii="Calibri" w:eastAsia="Calibri" w:hAnsi="Calibri" w:cs="Calibri"/>
                <w:color w:val="000000"/>
                <w:sz w:val="18"/>
                <w:szCs w:val="18"/>
              </w:rPr>
            </w:pPr>
            <w:r>
              <w:rPr>
                <w:rFonts w:ascii="Calibri" w:eastAsia="Calibri" w:hAnsi="Calibri" w:cs="Calibri"/>
                <w:color w:val="000000"/>
                <w:sz w:val="18"/>
                <w:szCs w:val="18"/>
              </w:rPr>
              <w:t>56</w:t>
            </w:r>
          </w:p>
        </w:tc>
        <w:tc>
          <w:tcPr>
            <w:tcW w:w="1080" w:type="dxa"/>
            <w:tcBorders>
              <w:top w:val="nil"/>
              <w:left w:val="nil"/>
              <w:bottom w:val="single" w:sz="4" w:space="0" w:color="000000"/>
              <w:right w:val="single" w:sz="4" w:space="0" w:color="000000"/>
            </w:tcBorders>
            <w:shd w:val="clear" w:color="auto" w:fill="auto"/>
            <w:vAlign w:val="center"/>
          </w:tcPr>
          <w:p w:rsidR="005026AC" w:rsidRPr="005026AC" w:rsidP="005026AC" w14:paraId="31475EB1" w14:textId="77777777">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$75</w:t>
            </w:r>
          </w:p>
        </w:tc>
        <w:tc>
          <w:tcPr>
            <w:tcW w:w="1080" w:type="dxa"/>
            <w:tcBorders>
              <w:top w:val="nil"/>
              <w:left w:val="nil"/>
              <w:bottom w:val="single" w:sz="4" w:space="0" w:color="000000"/>
              <w:right w:val="single" w:sz="8" w:space="0" w:color="000000"/>
            </w:tcBorders>
            <w:shd w:val="clear" w:color="auto" w:fill="auto"/>
            <w:vAlign w:val="center"/>
          </w:tcPr>
          <w:p w:rsidR="005026AC" w:rsidRPr="005026AC" w:rsidP="005026AC" w14:paraId="1A088B16" w14:textId="7E22EE25">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4,</w:t>
            </w:r>
            <w:r w:rsidR="00B01EF1">
              <w:rPr>
                <w:rFonts w:ascii="Calibri" w:eastAsia="Calibri" w:hAnsi="Calibri" w:cs="Calibri"/>
                <w:color w:val="000000"/>
                <w:sz w:val="18"/>
                <w:szCs w:val="18"/>
              </w:rPr>
              <w:t>2</w:t>
            </w:r>
            <w:r w:rsidRPr="005026AC">
              <w:rPr>
                <w:rFonts w:ascii="Calibri" w:eastAsia="Calibri" w:hAnsi="Calibri" w:cs="Calibri"/>
                <w:color w:val="000000"/>
                <w:sz w:val="18"/>
                <w:szCs w:val="18"/>
              </w:rPr>
              <w:t>00</w:t>
            </w:r>
          </w:p>
        </w:tc>
      </w:tr>
      <w:tr w14:paraId="7C9CEF54" w14:textId="77777777" w:rsidTr="00CB0706">
        <w:tblPrEx>
          <w:tblW w:w="10935" w:type="dxa"/>
          <w:jc w:val="center"/>
          <w:tblLayout w:type="fixed"/>
          <w:tblLook w:val="0400"/>
        </w:tblPrEx>
        <w:trPr>
          <w:trHeight w:val="407"/>
          <w:jc w:val="center"/>
        </w:trPr>
        <w:tc>
          <w:tcPr>
            <w:tcW w:w="1890" w:type="dxa"/>
            <w:tcBorders>
              <w:top w:val="nil"/>
              <w:left w:val="single" w:sz="8" w:space="0" w:color="000000"/>
              <w:bottom w:val="single" w:sz="4" w:space="0" w:color="000000"/>
              <w:right w:val="single" w:sz="4" w:space="0" w:color="000000"/>
            </w:tcBorders>
            <w:shd w:val="clear" w:color="auto" w:fill="auto"/>
            <w:vAlign w:val="center"/>
          </w:tcPr>
          <w:p w:rsidR="005026AC" w:rsidRPr="005026AC" w:rsidP="005026AC" w14:paraId="755A614C" w14:textId="47B54F6B">
            <w:pPr>
              <w:widowControl/>
              <w:rPr>
                <w:rFonts w:eastAsia="Calibri" w:asciiTheme="minorHAnsi" w:hAnsiTheme="minorHAnsi" w:cstheme="minorHAnsi"/>
                <w:color w:val="000000"/>
                <w:sz w:val="18"/>
                <w:szCs w:val="18"/>
              </w:rPr>
            </w:pPr>
            <w:r>
              <w:rPr>
                <w:rFonts w:asciiTheme="minorHAnsi" w:hAnsiTheme="minorHAnsi" w:cstheme="minorHAnsi"/>
                <w:sz w:val="18"/>
                <w:szCs w:val="18"/>
              </w:rPr>
              <w:t>Administrative A</w:t>
            </w:r>
            <w:r w:rsidRPr="005026AC" w:rsidR="003313E2">
              <w:rPr>
                <w:rFonts w:asciiTheme="minorHAnsi" w:hAnsiTheme="minorHAnsi" w:cstheme="minorHAnsi"/>
                <w:sz w:val="18"/>
                <w:szCs w:val="18"/>
              </w:rPr>
              <w:t>ppeals to disapproved IPA</w:t>
            </w:r>
          </w:p>
        </w:tc>
        <w:tc>
          <w:tcPr>
            <w:tcW w:w="1440" w:type="dxa"/>
            <w:tcBorders>
              <w:top w:val="nil"/>
              <w:left w:val="nil"/>
              <w:bottom w:val="single" w:sz="4" w:space="0" w:color="000000"/>
              <w:right w:val="single" w:sz="4" w:space="0" w:color="000000"/>
            </w:tcBorders>
            <w:shd w:val="clear" w:color="auto" w:fill="auto"/>
            <w:vAlign w:val="center"/>
          </w:tcPr>
          <w:p w:rsidR="005026AC" w:rsidRPr="005026AC" w:rsidP="005026AC" w14:paraId="27539640" w14:textId="77777777">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IPA representative</w:t>
            </w:r>
          </w:p>
        </w:tc>
        <w:tc>
          <w:tcPr>
            <w:tcW w:w="1170" w:type="dxa"/>
            <w:tcBorders>
              <w:top w:val="nil"/>
              <w:left w:val="nil"/>
              <w:bottom w:val="single" w:sz="4" w:space="0" w:color="000000"/>
              <w:right w:val="single" w:sz="4" w:space="0" w:color="000000"/>
            </w:tcBorders>
            <w:shd w:val="clear" w:color="auto" w:fill="auto"/>
            <w:vAlign w:val="center"/>
          </w:tcPr>
          <w:p w:rsidR="005026AC" w:rsidRPr="005026AC" w:rsidP="0014473A" w14:paraId="4CB7CF9E" w14:textId="545A4556">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1</w:t>
            </w:r>
            <w:r w:rsidRPr="00671140">
              <w:rPr>
                <w:rFonts w:ascii="Calibri" w:eastAsia="Calibri" w:hAnsi="Calibri" w:cs="Calibri"/>
                <w:color w:val="000000"/>
                <w:sz w:val="18"/>
                <w:szCs w:val="18"/>
                <w:vertAlign w:val="superscript"/>
              </w:rPr>
              <w:t>2</w:t>
            </w:r>
          </w:p>
        </w:tc>
        <w:tc>
          <w:tcPr>
            <w:tcW w:w="1035" w:type="dxa"/>
            <w:tcBorders>
              <w:top w:val="nil"/>
              <w:left w:val="nil"/>
              <w:bottom w:val="single" w:sz="4" w:space="0" w:color="000000"/>
              <w:right w:val="single" w:sz="4" w:space="0" w:color="000000"/>
            </w:tcBorders>
            <w:shd w:val="clear" w:color="auto" w:fill="auto"/>
            <w:vAlign w:val="center"/>
          </w:tcPr>
          <w:p w:rsidR="005026AC" w:rsidRPr="005026AC" w:rsidP="005026AC" w14:paraId="42A4CD58" w14:textId="77777777">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5026AC" w:rsidRPr="005026AC" w:rsidP="005026AC" w14:paraId="476686DB" w14:textId="77777777">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1</w:t>
            </w:r>
          </w:p>
        </w:tc>
        <w:tc>
          <w:tcPr>
            <w:tcW w:w="1080" w:type="dxa"/>
            <w:tcBorders>
              <w:top w:val="nil"/>
              <w:left w:val="nil"/>
              <w:bottom w:val="single" w:sz="4" w:space="0" w:color="000000"/>
              <w:right w:val="single" w:sz="4" w:space="0" w:color="000000"/>
            </w:tcBorders>
            <w:shd w:val="clear" w:color="auto" w:fill="auto"/>
            <w:vAlign w:val="center"/>
          </w:tcPr>
          <w:p w:rsidR="005026AC" w:rsidRPr="005026AC" w:rsidP="005026AC" w14:paraId="435049E3" w14:textId="77777777">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4 hours</w:t>
            </w:r>
          </w:p>
        </w:tc>
        <w:tc>
          <w:tcPr>
            <w:tcW w:w="1080" w:type="dxa"/>
            <w:tcBorders>
              <w:top w:val="nil"/>
              <w:left w:val="nil"/>
              <w:bottom w:val="single" w:sz="4" w:space="0" w:color="000000"/>
              <w:right w:val="single" w:sz="4" w:space="0" w:color="000000"/>
            </w:tcBorders>
            <w:shd w:val="clear" w:color="auto" w:fill="auto"/>
            <w:vAlign w:val="center"/>
          </w:tcPr>
          <w:p w:rsidR="005026AC" w:rsidRPr="005026AC" w:rsidP="005026AC" w14:paraId="7A2F6A7E" w14:textId="77777777">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4</w:t>
            </w:r>
          </w:p>
        </w:tc>
        <w:tc>
          <w:tcPr>
            <w:tcW w:w="1080" w:type="dxa"/>
            <w:tcBorders>
              <w:top w:val="nil"/>
              <w:left w:val="nil"/>
              <w:bottom w:val="single" w:sz="4" w:space="0" w:color="000000"/>
              <w:right w:val="single" w:sz="4" w:space="0" w:color="000000"/>
            </w:tcBorders>
            <w:shd w:val="clear" w:color="auto" w:fill="auto"/>
            <w:vAlign w:val="center"/>
          </w:tcPr>
          <w:p w:rsidR="005026AC" w:rsidRPr="005026AC" w:rsidP="005026AC" w14:paraId="08156C99" w14:textId="77777777">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$165</w:t>
            </w:r>
          </w:p>
        </w:tc>
        <w:tc>
          <w:tcPr>
            <w:tcW w:w="1080" w:type="dxa"/>
            <w:tcBorders>
              <w:top w:val="nil"/>
              <w:left w:val="nil"/>
              <w:bottom w:val="single" w:sz="4" w:space="0" w:color="000000"/>
              <w:right w:val="single" w:sz="8" w:space="0" w:color="000000"/>
            </w:tcBorders>
            <w:shd w:val="clear" w:color="auto" w:fill="auto"/>
            <w:vAlign w:val="center"/>
          </w:tcPr>
          <w:p w:rsidR="005026AC" w:rsidRPr="005026AC" w:rsidP="005026AC" w14:paraId="38F3D0C5" w14:textId="77777777">
            <w:pPr>
              <w:widowControl/>
              <w:jc w:val="center"/>
              <w:rPr>
                <w:rFonts w:ascii="Calibri" w:eastAsia="Calibri" w:hAnsi="Calibri" w:cs="Calibri"/>
                <w:color w:val="000000"/>
                <w:sz w:val="18"/>
                <w:szCs w:val="18"/>
              </w:rPr>
            </w:pPr>
            <w:r w:rsidRPr="005026AC">
              <w:rPr>
                <w:rFonts w:ascii="Calibri" w:eastAsia="Calibri" w:hAnsi="Calibri" w:cs="Calibri"/>
                <w:color w:val="000000"/>
                <w:sz w:val="18"/>
                <w:szCs w:val="18"/>
              </w:rPr>
              <w:t>660</w:t>
            </w:r>
          </w:p>
        </w:tc>
      </w:tr>
      <w:tr w14:paraId="4E1C7DF5" w14:textId="77777777" w:rsidTr="00CB0706">
        <w:tblPrEx>
          <w:tblW w:w="10935" w:type="dxa"/>
          <w:jc w:val="center"/>
          <w:tblLayout w:type="fixed"/>
          <w:tblLook w:val="0400"/>
        </w:tblPrEx>
        <w:trPr>
          <w:trHeight w:val="448"/>
          <w:jc w:val="center"/>
        </w:trPr>
        <w:tc>
          <w:tcPr>
            <w:tcW w:w="1890" w:type="dxa"/>
            <w:tcBorders>
              <w:top w:val="nil"/>
              <w:left w:val="single" w:sz="8" w:space="0" w:color="000000"/>
              <w:bottom w:val="single" w:sz="8" w:space="0" w:color="000000"/>
              <w:right w:val="single" w:sz="8" w:space="0" w:color="000000"/>
            </w:tcBorders>
            <w:shd w:val="clear" w:color="auto" w:fill="DDEBF7"/>
            <w:vAlign w:val="center"/>
          </w:tcPr>
          <w:p w:rsidR="005026AC" w:rsidRPr="00CB0706" w:rsidP="005026AC" w14:paraId="064BA049" w14:textId="77777777">
            <w:pPr>
              <w:widowControl/>
              <w:rPr>
                <w:rFonts w:ascii="Calibri" w:eastAsia="Calibri" w:hAnsi="Calibri" w:cs="Calibri"/>
                <w:b/>
                <w:color w:val="000000"/>
                <w:sz w:val="18"/>
                <w:szCs w:val="18"/>
              </w:rPr>
            </w:pPr>
            <w:r w:rsidRPr="00CB0706">
              <w:rPr>
                <w:rFonts w:ascii="Calibri" w:eastAsia="Calibri" w:hAnsi="Calibri" w:cs="Calibri"/>
                <w:b/>
                <w:color w:val="000000"/>
                <w:sz w:val="18"/>
                <w:szCs w:val="18"/>
              </w:rPr>
              <w:t>Totals</w:t>
            </w:r>
          </w:p>
        </w:tc>
        <w:tc>
          <w:tcPr>
            <w:tcW w:w="1440" w:type="dxa"/>
            <w:tcBorders>
              <w:top w:val="nil"/>
              <w:left w:val="nil"/>
              <w:bottom w:val="single" w:sz="8" w:space="0" w:color="000000"/>
              <w:right w:val="single" w:sz="8" w:space="0" w:color="000000"/>
            </w:tcBorders>
            <w:shd w:val="clear" w:color="auto" w:fill="000000"/>
            <w:vAlign w:val="center"/>
          </w:tcPr>
          <w:p w:rsidR="005026AC" w:rsidRPr="00CB0706" w:rsidP="005026AC" w14:paraId="1E50C5A5" w14:textId="77777777">
            <w:pPr>
              <w:widowControl/>
              <w:rPr>
                <w:rFonts w:ascii="Calibri" w:eastAsia="Calibri" w:hAnsi="Calibri" w:cs="Calibri"/>
                <w:b/>
                <w:color w:val="000000"/>
                <w:sz w:val="18"/>
                <w:szCs w:val="18"/>
              </w:rPr>
            </w:pPr>
            <w:r w:rsidRPr="00CB0706">
              <w:rPr>
                <w:rFonts w:ascii="Calibri" w:eastAsia="Calibri" w:hAnsi="Calibri" w:cs="Calibri"/>
                <w:b/>
                <w:color w:val="000000"/>
                <w:sz w:val="18"/>
                <w:szCs w:val="18"/>
              </w:rPr>
              <w:t> </w:t>
            </w:r>
          </w:p>
        </w:tc>
        <w:tc>
          <w:tcPr>
            <w:tcW w:w="1170" w:type="dxa"/>
            <w:tcBorders>
              <w:top w:val="nil"/>
              <w:left w:val="nil"/>
              <w:bottom w:val="single" w:sz="8" w:space="0" w:color="000000"/>
              <w:right w:val="single" w:sz="8" w:space="0" w:color="000000"/>
            </w:tcBorders>
            <w:shd w:val="clear" w:color="auto" w:fill="000000"/>
            <w:vAlign w:val="center"/>
          </w:tcPr>
          <w:p w:rsidR="005026AC" w:rsidRPr="00CB0706" w:rsidP="005026AC" w14:paraId="1BBB1C77" w14:textId="77777777">
            <w:pPr>
              <w:widowControl/>
              <w:rPr>
                <w:rFonts w:ascii="Calibri" w:eastAsia="Calibri" w:hAnsi="Calibri" w:cs="Calibri"/>
                <w:b/>
                <w:color w:val="000000"/>
                <w:sz w:val="18"/>
                <w:szCs w:val="18"/>
              </w:rPr>
            </w:pPr>
            <w:r w:rsidRPr="00CB0706">
              <w:rPr>
                <w:rFonts w:ascii="Calibri" w:eastAsia="Calibri" w:hAnsi="Calibri" w:cs="Calibri"/>
                <w:b/>
                <w:color w:val="000000"/>
                <w:sz w:val="18"/>
                <w:szCs w:val="18"/>
              </w:rPr>
              <w:t> </w:t>
            </w:r>
          </w:p>
        </w:tc>
        <w:tc>
          <w:tcPr>
            <w:tcW w:w="1035" w:type="dxa"/>
            <w:tcBorders>
              <w:top w:val="nil"/>
              <w:left w:val="nil"/>
              <w:bottom w:val="single" w:sz="8" w:space="0" w:color="000000"/>
              <w:right w:val="single" w:sz="8" w:space="0" w:color="000000"/>
            </w:tcBorders>
            <w:shd w:val="clear" w:color="auto" w:fill="000000"/>
            <w:vAlign w:val="center"/>
          </w:tcPr>
          <w:p w:rsidR="005026AC" w:rsidRPr="00CB0706" w:rsidP="005026AC" w14:paraId="743FCCAE" w14:textId="77777777">
            <w:pPr>
              <w:widowControl/>
              <w:rPr>
                <w:rFonts w:ascii="Calibri" w:eastAsia="Calibri" w:hAnsi="Calibri" w:cs="Calibri"/>
                <w:b/>
                <w:color w:val="000000"/>
                <w:sz w:val="18"/>
                <w:szCs w:val="18"/>
              </w:rPr>
            </w:pPr>
            <w:r w:rsidRPr="00CB0706">
              <w:rPr>
                <w:rFonts w:ascii="Calibri" w:eastAsia="Calibri" w:hAnsi="Calibri" w:cs="Calibri"/>
                <w:b/>
                <w:color w:val="000000"/>
                <w:sz w:val="18"/>
                <w:szCs w:val="18"/>
              </w:rPr>
              <w:t> </w:t>
            </w:r>
          </w:p>
        </w:tc>
        <w:tc>
          <w:tcPr>
            <w:tcW w:w="1080" w:type="dxa"/>
            <w:tcBorders>
              <w:top w:val="nil"/>
              <w:left w:val="nil"/>
              <w:bottom w:val="single" w:sz="8" w:space="0" w:color="000000"/>
              <w:right w:val="single" w:sz="8" w:space="0" w:color="000000"/>
            </w:tcBorders>
            <w:shd w:val="clear" w:color="auto" w:fill="DDEBF7"/>
            <w:vAlign w:val="center"/>
          </w:tcPr>
          <w:p w:rsidR="005026AC" w:rsidRPr="00CB0706" w:rsidP="005026AC" w14:paraId="4E9C2C0A" w14:textId="1D16F548">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w:t>
            </w:r>
            <w:r w:rsidR="00B01EF1">
              <w:rPr>
                <w:rFonts w:ascii="Calibri" w:eastAsia="Calibri" w:hAnsi="Calibri" w:cs="Calibri"/>
                <w:b/>
                <w:color w:val="000000"/>
                <w:sz w:val="18"/>
                <w:szCs w:val="18"/>
              </w:rPr>
              <w:t>2</w:t>
            </w:r>
          </w:p>
        </w:tc>
        <w:tc>
          <w:tcPr>
            <w:tcW w:w="1080" w:type="dxa"/>
            <w:tcBorders>
              <w:top w:val="nil"/>
              <w:left w:val="nil"/>
              <w:bottom w:val="single" w:sz="8" w:space="0" w:color="000000"/>
              <w:right w:val="single" w:sz="8" w:space="0" w:color="000000"/>
            </w:tcBorders>
            <w:shd w:val="clear" w:color="auto" w:fill="000000"/>
            <w:vAlign w:val="center"/>
          </w:tcPr>
          <w:p w:rsidR="005026AC" w:rsidRPr="00CB0706" w:rsidP="005026AC" w14:paraId="58526D26" w14:textId="77777777">
            <w:pPr>
              <w:widowControl/>
              <w:jc w:val="center"/>
              <w:rPr>
                <w:rFonts w:ascii="Calibri" w:eastAsia="Calibri" w:hAnsi="Calibri" w:cs="Calibri"/>
                <w:b/>
                <w:color w:val="000000"/>
                <w:sz w:val="18"/>
                <w:szCs w:val="18"/>
              </w:rPr>
            </w:pPr>
          </w:p>
        </w:tc>
        <w:tc>
          <w:tcPr>
            <w:tcW w:w="1080" w:type="dxa"/>
            <w:tcBorders>
              <w:top w:val="nil"/>
              <w:left w:val="nil"/>
              <w:bottom w:val="single" w:sz="8" w:space="0" w:color="000000"/>
              <w:right w:val="single" w:sz="8" w:space="0" w:color="000000"/>
            </w:tcBorders>
            <w:shd w:val="clear" w:color="auto" w:fill="DDEBF7"/>
            <w:vAlign w:val="center"/>
          </w:tcPr>
          <w:p w:rsidR="005026AC" w:rsidRPr="00CB0706" w:rsidP="005026AC" w14:paraId="6D322BC2" w14:textId="14CC9E1B">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35</w:t>
            </w:r>
            <w:r w:rsidR="00B01EF1">
              <w:rPr>
                <w:rFonts w:ascii="Calibri" w:eastAsia="Calibri" w:hAnsi="Calibri" w:cs="Calibri"/>
                <w:b/>
                <w:color w:val="000000"/>
                <w:sz w:val="18"/>
                <w:szCs w:val="18"/>
              </w:rPr>
              <w:t>0</w:t>
            </w:r>
          </w:p>
        </w:tc>
        <w:tc>
          <w:tcPr>
            <w:tcW w:w="1080" w:type="dxa"/>
            <w:tcBorders>
              <w:top w:val="nil"/>
              <w:left w:val="nil"/>
              <w:bottom w:val="single" w:sz="8" w:space="0" w:color="000000"/>
              <w:right w:val="single" w:sz="8" w:space="0" w:color="000000"/>
            </w:tcBorders>
            <w:shd w:val="clear" w:color="auto" w:fill="000000"/>
            <w:vAlign w:val="center"/>
          </w:tcPr>
          <w:p w:rsidR="005026AC" w:rsidRPr="00CB0706" w:rsidP="005026AC" w14:paraId="38C5B354" w14:textId="77777777">
            <w:pPr>
              <w:widowControl/>
              <w:jc w:val="center"/>
              <w:rPr>
                <w:rFonts w:ascii="Calibri" w:eastAsia="Calibri" w:hAnsi="Calibri" w:cs="Calibri"/>
                <w:b/>
                <w:color w:val="000000"/>
                <w:sz w:val="18"/>
                <w:szCs w:val="18"/>
              </w:rPr>
            </w:pPr>
          </w:p>
        </w:tc>
        <w:tc>
          <w:tcPr>
            <w:tcW w:w="1080" w:type="dxa"/>
            <w:tcBorders>
              <w:top w:val="nil"/>
              <w:left w:val="nil"/>
              <w:bottom w:val="single" w:sz="8" w:space="0" w:color="000000"/>
              <w:right w:val="single" w:sz="8" w:space="0" w:color="000000"/>
            </w:tcBorders>
            <w:shd w:val="clear" w:color="auto" w:fill="DDEBF7"/>
            <w:vAlign w:val="center"/>
          </w:tcPr>
          <w:p w:rsidR="005026AC" w:rsidRPr="00CB0706" w:rsidP="0014473A" w14:paraId="137D6F1E" w14:textId="34454E26">
            <w:pPr>
              <w:widowControl/>
              <w:jc w:val="center"/>
              <w:rPr>
                <w:rFonts w:ascii="Calibri" w:eastAsia="Calibri" w:hAnsi="Calibri" w:cs="Calibri"/>
                <w:b/>
                <w:color w:val="000000"/>
                <w:sz w:val="18"/>
                <w:szCs w:val="18"/>
              </w:rPr>
            </w:pPr>
            <w:r w:rsidRPr="00CB0706">
              <w:rPr>
                <w:rFonts w:ascii="Calibri" w:eastAsia="Calibri" w:hAnsi="Calibri" w:cs="Calibri"/>
                <w:b/>
                <w:color w:val="000000"/>
                <w:sz w:val="18"/>
                <w:szCs w:val="18"/>
              </w:rPr>
              <w:t>$</w:t>
            </w:r>
            <w:r w:rsidR="0014473A">
              <w:rPr>
                <w:rFonts w:ascii="Calibri" w:eastAsia="Calibri" w:hAnsi="Calibri" w:cs="Calibri"/>
                <w:b/>
                <w:color w:val="000000"/>
                <w:sz w:val="18"/>
                <w:szCs w:val="18"/>
              </w:rPr>
              <w:t>5</w:t>
            </w:r>
            <w:r w:rsidR="00B01EF1">
              <w:rPr>
                <w:rFonts w:ascii="Calibri" w:eastAsia="Calibri" w:hAnsi="Calibri" w:cs="Calibri"/>
                <w:b/>
                <w:color w:val="000000"/>
                <w:sz w:val="18"/>
                <w:szCs w:val="18"/>
              </w:rPr>
              <w:t>2</w:t>
            </w:r>
            <w:r w:rsidR="0014473A">
              <w:rPr>
                <w:rFonts w:ascii="Calibri" w:eastAsia="Calibri" w:hAnsi="Calibri" w:cs="Calibri"/>
                <w:b/>
                <w:color w:val="000000"/>
                <w:sz w:val="18"/>
                <w:szCs w:val="18"/>
              </w:rPr>
              <w:t>,</w:t>
            </w:r>
            <w:r w:rsidR="00B01EF1">
              <w:rPr>
                <w:rFonts w:ascii="Calibri" w:eastAsia="Calibri" w:hAnsi="Calibri" w:cs="Calibri"/>
                <w:b/>
                <w:color w:val="000000"/>
                <w:sz w:val="18"/>
                <w:szCs w:val="18"/>
              </w:rPr>
              <w:t>7</w:t>
            </w:r>
            <w:r w:rsidR="0014473A">
              <w:rPr>
                <w:rFonts w:ascii="Calibri" w:eastAsia="Calibri" w:hAnsi="Calibri" w:cs="Calibri"/>
                <w:b/>
                <w:color w:val="000000"/>
                <w:sz w:val="18"/>
                <w:szCs w:val="18"/>
              </w:rPr>
              <w:t>10</w:t>
            </w:r>
          </w:p>
        </w:tc>
      </w:tr>
    </w:tbl>
    <w:p w:rsidR="00CB0706" w:rsidRPr="0020080B" w:rsidP="00CB0706" w14:paraId="43D86A43" w14:textId="47961867">
      <w:pPr>
        <w:spacing w:before="60"/>
        <w:ind w:left="115" w:hanging="115"/>
        <w:rPr>
          <w:rFonts w:eastAsia="Calibri" w:asciiTheme="minorHAnsi" w:hAnsiTheme="minorHAnsi" w:cstheme="minorHAnsi"/>
          <w:sz w:val="18"/>
          <w:szCs w:val="18"/>
        </w:rPr>
      </w:pPr>
      <w:r w:rsidRPr="0020080B">
        <w:rPr>
          <w:rFonts w:eastAsia="Calibri" w:asciiTheme="minorHAnsi" w:hAnsiTheme="minorHAnsi" w:cstheme="minorHAnsi"/>
          <w:sz w:val="18"/>
          <w:szCs w:val="18"/>
          <w:vertAlign w:val="superscript"/>
        </w:rPr>
        <w:t>1</w:t>
      </w:r>
      <w:r w:rsidRPr="0020080B">
        <w:rPr>
          <w:rFonts w:eastAsia="Calibri" w:asciiTheme="minorHAnsi" w:hAnsiTheme="minorHAnsi" w:cstheme="minorHAnsi"/>
          <w:sz w:val="18"/>
          <w:szCs w:val="18"/>
        </w:rPr>
        <w:t xml:space="preserve"> As no new IPAs are currently expected, one amended IPA per year</w:t>
      </w:r>
      <w:r w:rsidRPr="0020080B" w:rsidR="0020080B">
        <w:rPr>
          <w:rFonts w:eastAsia="Calibri" w:asciiTheme="minorHAnsi" w:hAnsiTheme="minorHAnsi" w:cstheme="minorHAnsi"/>
          <w:sz w:val="18"/>
          <w:szCs w:val="18"/>
        </w:rPr>
        <w:t xml:space="preserve"> is estimated to be received during the renewal period of this information collection</w:t>
      </w:r>
      <w:r w:rsidRPr="0020080B">
        <w:rPr>
          <w:rFonts w:eastAsia="Calibri" w:asciiTheme="minorHAnsi" w:hAnsiTheme="minorHAnsi" w:cstheme="minorHAnsi"/>
          <w:sz w:val="18"/>
          <w:szCs w:val="18"/>
        </w:rPr>
        <w:t>.</w:t>
      </w:r>
    </w:p>
    <w:p w:rsidR="00CB0706" w:rsidRPr="0020080B" w:rsidP="0020080B" w14:paraId="6071692D" w14:textId="4EC2CF0B">
      <w:pPr>
        <w:spacing w:before="60"/>
        <w:ind w:left="115" w:hanging="115"/>
        <w:rPr>
          <w:rFonts w:eastAsia="Calibri" w:asciiTheme="minorHAnsi" w:hAnsiTheme="minorHAnsi" w:cstheme="minorHAnsi"/>
          <w:sz w:val="18"/>
          <w:szCs w:val="18"/>
        </w:rPr>
      </w:pPr>
      <w:r w:rsidRPr="0020080B">
        <w:rPr>
          <w:rFonts w:eastAsia="Calibri" w:asciiTheme="minorHAnsi" w:hAnsiTheme="minorHAnsi" w:cstheme="minorHAnsi"/>
          <w:sz w:val="18"/>
          <w:szCs w:val="18"/>
          <w:vertAlign w:val="superscript"/>
        </w:rPr>
        <w:t xml:space="preserve">2 </w:t>
      </w:r>
      <w:r w:rsidRPr="0020080B">
        <w:rPr>
          <w:rFonts w:eastAsia="Calibri" w:asciiTheme="minorHAnsi" w:hAnsiTheme="minorHAnsi" w:cstheme="minorHAnsi"/>
          <w:sz w:val="18"/>
          <w:szCs w:val="18"/>
        </w:rPr>
        <w:t>Since 2015, no IPAs or amended IPAs have been disapproved by NMFS, and no appeals have been filed. For purposes of this analysis, one response is used.</w:t>
      </w:r>
    </w:p>
    <w:p w:rsidR="005026AC" w14:paraId="31C9D10E" w14:textId="77777777">
      <w:pPr>
        <w:pBdr>
          <w:top w:val="nil"/>
          <w:left w:val="nil"/>
          <w:bottom w:val="nil"/>
          <w:right w:val="nil"/>
          <w:between w:val="nil"/>
        </w:pBdr>
        <w:spacing w:before="197"/>
        <w:rPr>
          <w:color w:val="000000"/>
        </w:rPr>
      </w:pPr>
    </w:p>
    <w:p w:rsidR="00BD156D" w:rsidP="0099558D" w14:paraId="23968D1F"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an </w:t>
      </w:r>
      <w:r>
        <w:rPr>
          <w:b/>
          <w:color w:val="000000"/>
        </w:rPr>
        <w:t>estimate for the total annual cost burden to respondents or record keepers resulting from the collection of information. (Do not include the cost of any hour burden already reflected on the burden worksheet).</w:t>
      </w:r>
    </w:p>
    <w:p w:rsidR="00BD156D" w:rsidP="0099558D" w14:paraId="6BA3E26B" w14:textId="77777777">
      <w:pPr>
        <w:widowControl/>
        <w:pBdr>
          <w:top w:val="nil"/>
          <w:left w:val="nil"/>
          <w:bottom w:val="nil"/>
          <w:right w:val="nil"/>
          <w:between w:val="nil"/>
        </w:pBdr>
        <w:rPr>
          <w:b/>
          <w:color w:val="000000"/>
        </w:rPr>
      </w:pPr>
    </w:p>
    <w:p w:rsidR="00551497" w:rsidP="0099558D" w14:paraId="4F47217A" w14:textId="5B43F2A2">
      <w:pPr>
        <w:widowControl/>
        <w:pBdr>
          <w:top w:val="nil"/>
          <w:left w:val="nil"/>
          <w:bottom w:val="nil"/>
          <w:right w:val="nil"/>
          <w:between w:val="nil"/>
        </w:pBdr>
      </w:pPr>
      <w:r w:rsidRPr="00D75D71">
        <w:t>Operating costs account for the typical inclusive general office services packages that include expenses for email, fax, copying, mailing, printing, and internet.</w:t>
      </w:r>
      <w:r w:rsidR="0014473A">
        <w:t xml:space="preserve"> </w:t>
      </w:r>
    </w:p>
    <w:p w:rsidR="00B01642" w:rsidP="0099558D" w14:paraId="58C012DB" w14:textId="379C91D9">
      <w:pPr>
        <w:widowControl/>
        <w:pBdr>
          <w:top w:val="nil"/>
          <w:left w:val="nil"/>
          <w:bottom w:val="nil"/>
          <w:right w:val="nil"/>
          <w:between w:val="nil"/>
        </w:pBdr>
      </w:pPr>
      <w:r w:rsidRPr="00B01642">
        <w:t xml:space="preserve">Some fishery participants submit more than one </w:t>
      </w:r>
      <w:r>
        <w:t xml:space="preserve">collection </w:t>
      </w:r>
      <w:r w:rsidRPr="00B01642">
        <w:t>instrument in this information collection. Therefore, the number of unique respondents is used to show the estimated number of individual participants who are expected to annually submit information during the renewal period for this information collection.</w:t>
      </w:r>
    </w:p>
    <w:p w:rsidR="00BD156D" w:rsidP="00B01642" w14:paraId="625AB5B9" w14:textId="43A3E964">
      <w:pPr>
        <w:pBdr>
          <w:top w:val="nil"/>
          <w:left w:val="nil"/>
          <w:bottom w:val="nil"/>
          <w:right w:val="nil"/>
          <w:between w:val="nil"/>
        </w:pBdr>
        <w:rPr>
          <w:b/>
          <w:color w:val="000000"/>
        </w:rPr>
      </w:pPr>
    </w:p>
    <w:tbl>
      <w:tblPr>
        <w:tblW w:w="10125" w:type="dxa"/>
        <w:tblInd w:w="-25" w:type="dxa"/>
        <w:tblLayout w:type="fixed"/>
        <w:tblLook w:val="0400"/>
      </w:tblPr>
      <w:tblGrid>
        <w:gridCol w:w="3525"/>
        <w:gridCol w:w="1440"/>
        <w:gridCol w:w="1080"/>
        <w:gridCol w:w="1260"/>
        <w:gridCol w:w="1710"/>
        <w:gridCol w:w="1110"/>
      </w:tblGrid>
      <w:tr w14:paraId="4E2ABBB2" w14:textId="77777777" w:rsidTr="00DE161B">
        <w:tblPrEx>
          <w:tblW w:w="10125" w:type="dxa"/>
          <w:tblInd w:w="-25" w:type="dxa"/>
          <w:tblLayout w:type="fixed"/>
          <w:tblLook w:val="0400"/>
        </w:tblPrEx>
        <w:trPr>
          <w:trHeight w:val="870"/>
        </w:trPr>
        <w:tc>
          <w:tcPr>
            <w:tcW w:w="3525" w:type="dxa"/>
            <w:tcBorders>
              <w:top w:val="single" w:sz="8" w:space="0" w:color="000000"/>
              <w:left w:val="single" w:sz="8" w:space="0" w:color="000000"/>
              <w:bottom w:val="single" w:sz="8" w:space="0" w:color="000000"/>
              <w:right w:val="single" w:sz="8" w:space="0" w:color="000000"/>
            </w:tcBorders>
            <w:shd w:val="clear" w:color="auto" w:fill="BDD7EE"/>
            <w:vAlign w:val="center"/>
          </w:tcPr>
          <w:p w:rsidR="00CB0706" w:rsidRPr="00CB0706" w:rsidP="00CB0706" w14:paraId="295A7270" w14:textId="77777777">
            <w:pPr>
              <w:widowControl/>
              <w:jc w:val="center"/>
              <w:rPr>
                <w:rFonts w:ascii="Calibri" w:eastAsia="Calibri" w:hAnsi="Calibri" w:cs="Calibri"/>
                <w:b/>
                <w:color w:val="000000"/>
                <w:sz w:val="16"/>
                <w:szCs w:val="16"/>
              </w:rPr>
            </w:pPr>
            <w:r w:rsidRPr="00CB0706">
              <w:rPr>
                <w:rFonts w:ascii="Calibri" w:eastAsia="Calibri" w:hAnsi="Calibri" w:cs="Calibri"/>
                <w:b/>
                <w:color w:val="000000"/>
                <w:sz w:val="16"/>
                <w:szCs w:val="16"/>
              </w:rPr>
              <w:t>Information Collection</w:t>
            </w:r>
          </w:p>
        </w:tc>
        <w:tc>
          <w:tcPr>
            <w:tcW w:w="1440" w:type="dxa"/>
            <w:tcBorders>
              <w:top w:val="single" w:sz="8" w:space="0" w:color="000000"/>
              <w:left w:val="nil"/>
              <w:bottom w:val="single" w:sz="8" w:space="0" w:color="000000"/>
              <w:right w:val="single" w:sz="8" w:space="0" w:color="000000"/>
            </w:tcBorders>
            <w:shd w:val="clear" w:color="auto" w:fill="BDD7EE"/>
            <w:vAlign w:val="center"/>
          </w:tcPr>
          <w:p w:rsidR="00CB0706" w:rsidRPr="00CB0706" w:rsidP="00CB0706" w14:paraId="0DE4F0BB" w14:textId="77777777">
            <w:pPr>
              <w:widowControl/>
              <w:jc w:val="center"/>
              <w:rPr>
                <w:rFonts w:ascii="Calibri" w:eastAsia="Calibri" w:hAnsi="Calibri" w:cs="Calibri"/>
                <w:b/>
                <w:color w:val="000000"/>
                <w:sz w:val="16"/>
                <w:szCs w:val="16"/>
              </w:rPr>
            </w:pPr>
            <w:r w:rsidRPr="00CB0706">
              <w:rPr>
                <w:rFonts w:ascii="Calibri" w:eastAsia="Calibri" w:hAnsi="Calibri" w:cs="Calibri"/>
                <w:b/>
                <w:color w:val="000000"/>
                <w:sz w:val="16"/>
                <w:szCs w:val="16"/>
              </w:rPr>
              <w:t># of Respondents/year</w:t>
            </w:r>
            <w:r w:rsidRPr="00CB0706">
              <w:rPr>
                <w:rFonts w:ascii="Calibri" w:eastAsia="Calibri" w:hAnsi="Calibri" w:cs="Calibri"/>
                <w:b/>
                <w:color w:val="000000"/>
                <w:sz w:val="16"/>
                <w:szCs w:val="16"/>
              </w:rPr>
              <w:br/>
              <w:t>(a)</w:t>
            </w:r>
          </w:p>
        </w:tc>
        <w:tc>
          <w:tcPr>
            <w:tcW w:w="1080" w:type="dxa"/>
            <w:tcBorders>
              <w:top w:val="single" w:sz="8" w:space="0" w:color="000000"/>
              <w:left w:val="nil"/>
              <w:bottom w:val="single" w:sz="8" w:space="0" w:color="000000"/>
              <w:right w:val="single" w:sz="8" w:space="0" w:color="000000"/>
            </w:tcBorders>
            <w:shd w:val="clear" w:color="auto" w:fill="BDD7EE"/>
            <w:vAlign w:val="center"/>
          </w:tcPr>
          <w:p w:rsidR="00CB0706" w:rsidRPr="00CB0706" w:rsidP="00CB0706" w14:paraId="22F3F8B2" w14:textId="77777777">
            <w:pPr>
              <w:widowControl/>
              <w:jc w:val="center"/>
              <w:rPr>
                <w:rFonts w:ascii="Calibri" w:eastAsia="Calibri" w:hAnsi="Calibri" w:cs="Calibri"/>
                <w:b/>
                <w:color w:val="000000"/>
                <w:sz w:val="16"/>
                <w:szCs w:val="16"/>
              </w:rPr>
            </w:pPr>
            <w:r w:rsidRPr="00CB0706">
              <w:rPr>
                <w:rFonts w:ascii="Calibri" w:eastAsia="Calibri" w:hAnsi="Calibri" w:cs="Calibri"/>
                <w:b/>
                <w:color w:val="000000"/>
                <w:sz w:val="16"/>
                <w:szCs w:val="16"/>
              </w:rPr>
              <w:t xml:space="preserve">Annual # of </w:t>
            </w:r>
            <w:r w:rsidRPr="00CB0706">
              <w:rPr>
                <w:rFonts w:ascii="Calibri" w:eastAsia="Calibri" w:hAnsi="Calibri" w:cs="Calibri"/>
                <w:b/>
                <w:color w:val="000000"/>
                <w:sz w:val="16"/>
                <w:szCs w:val="16"/>
              </w:rPr>
              <w:t>Responses / Respondent</w:t>
            </w:r>
            <w:r w:rsidRPr="00CB0706">
              <w:rPr>
                <w:rFonts w:ascii="Calibri" w:eastAsia="Calibri" w:hAnsi="Calibri" w:cs="Calibri"/>
                <w:b/>
                <w:color w:val="000000"/>
                <w:sz w:val="16"/>
                <w:szCs w:val="16"/>
              </w:rPr>
              <w:br/>
              <w:t>(b)</w:t>
            </w:r>
          </w:p>
        </w:tc>
        <w:tc>
          <w:tcPr>
            <w:tcW w:w="1260" w:type="dxa"/>
            <w:tcBorders>
              <w:top w:val="single" w:sz="8" w:space="0" w:color="000000"/>
              <w:left w:val="nil"/>
              <w:bottom w:val="single" w:sz="8" w:space="0" w:color="000000"/>
              <w:right w:val="single" w:sz="8" w:space="0" w:color="000000"/>
            </w:tcBorders>
            <w:shd w:val="clear" w:color="auto" w:fill="BDD7EE"/>
            <w:vAlign w:val="center"/>
          </w:tcPr>
          <w:p w:rsidR="00CB0706" w:rsidRPr="00CB0706" w:rsidP="00CB0706" w14:paraId="04989870" w14:textId="77777777">
            <w:pPr>
              <w:widowControl/>
              <w:jc w:val="center"/>
              <w:rPr>
                <w:rFonts w:ascii="Calibri" w:eastAsia="Calibri" w:hAnsi="Calibri" w:cs="Calibri"/>
                <w:b/>
                <w:color w:val="000000"/>
                <w:sz w:val="16"/>
                <w:szCs w:val="16"/>
              </w:rPr>
            </w:pPr>
            <w:r w:rsidRPr="00CB0706">
              <w:rPr>
                <w:rFonts w:ascii="Calibri" w:eastAsia="Calibri" w:hAnsi="Calibri" w:cs="Calibri"/>
                <w:b/>
                <w:color w:val="000000"/>
                <w:sz w:val="16"/>
                <w:szCs w:val="16"/>
              </w:rPr>
              <w:t xml:space="preserve"> Total # of Annual Responses</w:t>
            </w:r>
            <w:r w:rsidRPr="00CB0706">
              <w:rPr>
                <w:rFonts w:ascii="Calibri" w:eastAsia="Calibri" w:hAnsi="Calibri" w:cs="Calibri"/>
                <w:b/>
                <w:color w:val="000000"/>
                <w:sz w:val="16"/>
                <w:szCs w:val="16"/>
              </w:rPr>
              <w:br/>
              <w:t>(c) = (a) x (b)</w:t>
            </w:r>
          </w:p>
        </w:tc>
        <w:tc>
          <w:tcPr>
            <w:tcW w:w="1710" w:type="dxa"/>
            <w:tcBorders>
              <w:top w:val="single" w:sz="8" w:space="0" w:color="000000"/>
              <w:left w:val="nil"/>
              <w:bottom w:val="single" w:sz="8" w:space="0" w:color="000000"/>
              <w:right w:val="single" w:sz="8" w:space="0" w:color="000000"/>
            </w:tcBorders>
            <w:shd w:val="clear" w:color="auto" w:fill="BDD7EE"/>
            <w:vAlign w:val="center"/>
          </w:tcPr>
          <w:p w:rsidR="00CB0706" w:rsidRPr="00CB0706" w:rsidP="00CB0706" w14:paraId="6D1CB702" w14:textId="186E3B01">
            <w:pPr>
              <w:widowControl/>
              <w:jc w:val="center"/>
              <w:rPr>
                <w:rFonts w:ascii="Calibri" w:eastAsia="Calibri" w:hAnsi="Calibri" w:cs="Calibri"/>
                <w:b/>
                <w:color w:val="000000"/>
                <w:sz w:val="16"/>
                <w:szCs w:val="16"/>
              </w:rPr>
            </w:pPr>
            <w:r w:rsidRPr="00CB0706">
              <w:rPr>
                <w:rFonts w:ascii="Calibri" w:eastAsia="Calibri" w:hAnsi="Calibri" w:cs="Calibri"/>
                <w:b/>
                <w:color w:val="000000"/>
                <w:sz w:val="16"/>
                <w:szCs w:val="16"/>
              </w:rPr>
              <w:t>Cost Burden / Respondent</w:t>
            </w:r>
            <w:r w:rsidRPr="00CB0706">
              <w:rPr>
                <w:rFonts w:ascii="Calibri" w:eastAsia="Calibri" w:hAnsi="Calibri" w:cs="Calibri"/>
                <w:b/>
                <w:color w:val="000000"/>
                <w:sz w:val="16"/>
                <w:szCs w:val="16"/>
              </w:rPr>
              <w:br/>
              <w:t>(h)</w:t>
            </w:r>
          </w:p>
        </w:tc>
        <w:tc>
          <w:tcPr>
            <w:tcW w:w="1110" w:type="dxa"/>
            <w:tcBorders>
              <w:top w:val="single" w:sz="8" w:space="0" w:color="000000"/>
              <w:left w:val="nil"/>
              <w:bottom w:val="single" w:sz="8" w:space="0" w:color="000000"/>
              <w:right w:val="single" w:sz="8" w:space="0" w:color="000000"/>
            </w:tcBorders>
            <w:shd w:val="clear" w:color="auto" w:fill="BDD7EE"/>
            <w:vAlign w:val="center"/>
          </w:tcPr>
          <w:p w:rsidR="00CB0706" w:rsidRPr="00CB0706" w:rsidP="00CB0706" w14:paraId="01A5BC05" w14:textId="77777777">
            <w:pPr>
              <w:widowControl/>
              <w:jc w:val="center"/>
              <w:rPr>
                <w:rFonts w:ascii="Calibri" w:eastAsia="Calibri" w:hAnsi="Calibri" w:cs="Calibri"/>
                <w:b/>
                <w:color w:val="000000"/>
                <w:sz w:val="16"/>
                <w:szCs w:val="16"/>
              </w:rPr>
            </w:pPr>
            <w:r w:rsidRPr="00CB0706">
              <w:rPr>
                <w:rFonts w:ascii="Calibri" w:eastAsia="Calibri" w:hAnsi="Calibri" w:cs="Calibri"/>
                <w:b/>
                <w:color w:val="000000"/>
                <w:sz w:val="16"/>
                <w:szCs w:val="16"/>
              </w:rPr>
              <w:t>Total Annual Cost Burden</w:t>
            </w:r>
            <w:r w:rsidRPr="00CB0706">
              <w:rPr>
                <w:rFonts w:ascii="Calibri" w:eastAsia="Calibri" w:hAnsi="Calibri" w:cs="Calibri"/>
                <w:b/>
                <w:color w:val="000000"/>
                <w:sz w:val="16"/>
                <w:szCs w:val="16"/>
              </w:rPr>
              <w:br/>
              <w:t>(i) = (c) x (h)</w:t>
            </w:r>
          </w:p>
        </w:tc>
      </w:tr>
      <w:tr w14:paraId="23669E2C" w14:textId="77777777" w:rsidTr="00DE161B">
        <w:tblPrEx>
          <w:tblW w:w="10125" w:type="dxa"/>
          <w:tblInd w:w="-25" w:type="dxa"/>
          <w:tblLayout w:type="fixed"/>
          <w:tblLook w:val="0400"/>
        </w:tblPrEx>
        <w:trPr>
          <w:trHeight w:val="360"/>
        </w:trPr>
        <w:tc>
          <w:tcPr>
            <w:tcW w:w="3525" w:type="dxa"/>
            <w:tcBorders>
              <w:top w:val="nil"/>
              <w:left w:val="single" w:sz="4" w:space="0" w:color="000000"/>
              <w:bottom w:val="single" w:sz="4" w:space="0" w:color="000000"/>
              <w:right w:val="single" w:sz="4" w:space="0" w:color="000000"/>
            </w:tcBorders>
            <w:shd w:val="clear" w:color="auto" w:fill="auto"/>
            <w:vAlign w:val="center"/>
          </w:tcPr>
          <w:p w:rsidR="00CB0706" w:rsidRPr="0014473A" w:rsidP="00CB0706" w14:paraId="1AE7A0F8" w14:textId="2E72E88E">
            <w:pPr>
              <w:widowControl/>
              <w:rPr>
                <w:rFonts w:eastAsia="Calibri" w:asciiTheme="minorHAnsi" w:hAnsiTheme="minorHAnsi" w:cstheme="minorHAnsi"/>
                <w:color w:val="000000"/>
                <w:sz w:val="18"/>
                <w:szCs w:val="18"/>
              </w:rPr>
            </w:pPr>
            <w:r w:rsidRPr="00FD6E4D">
              <w:rPr>
                <w:rFonts w:asciiTheme="minorHAnsi" w:hAnsiTheme="minorHAnsi" w:cstheme="minorHAnsi"/>
                <w:sz w:val="18"/>
                <w:szCs w:val="18"/>
              </w:rPr>
              <w:t xml:space="preserve">Bering Sea Pollock Fishery </w:t>
            </w:r>
            <w:r w:rsidRPr="0014473A">
              <w:rPr>
                <w:rFonts w:asciiTheme="minorHAnsi" w:hAnsiTheme="minorHAnsi" w:cstheme="minorHAnsi"/>
                <w:sz w:val="18"/>
                <w:szCs w:val="18"/>
              </w:rPr>
              <w:t>Incentive Plan Agreement (IPA)</w:t>
            </w:r>
          </w:p>
        </w:tc>
        <w:tc>
          <w:tcPr>
            <w:tcW w:w="1440" w:type="dxa"/>
            <w:tcBorders>
              <w:top w:val="nil"/>
              <w:left w:val="nil"/>
              <w:bottom w:val="single" w:sz="4" w:space="0" w:color="000000"/>
              <w:right w:val="single" w:sz="4" w:space="0" w:color="000000"/>
            </w:tcBorders>
            <w:shd w:val="clear" w:color="auto" w:fill="FFFFFF"/>
            <w:vAlign w:val="center"/>
          </w:tcPr>
          <w:p w:rsidR="00CB0706" w:rsidRPr="0014473A" w:rsidP="00CB0706" w14:paraId="43170A62" w14:textId="77777777">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1</w:t>
            </w:r>
          </w:p>
        </w:tc>
        <w:tc>
          <w:tcPr>
            <w:tcW w:w="1080" w:type="dxa"/>
            <w:tcBorders>
              <w:top w:val="nil"/>
              <w:left w:val="nil"/>
              <w:bottom w:val="single" w:sz="4" w:space="0" w:color="000000"/>
              <w:right w:val="single" w:sz="4" w:space="0" w:color="000000"/>
            </w:tcBorders>
            <w:shd w:val="clear" w:color="auto" w:fill="FFFFFF"/>
            <w:vAlign w:val="center"/>
          </w:tcPr>
          <w:p w:rsidR="00CB0706" w:rsidRPr="0014473A" w:rsidP="00CB0706" w14:paraId="65F62598" w14:textId="77777777">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1</w:t>
            </w:r>
          </w:p>
        </w:tc>
        <w:tc>
          <w:tcPr>
            <w:tcW w:w="1260" w:type="dxa"/>
            <w:tcBorders>
              <w:top w:val="nil"/>
              <w:left w:val="nil"/>
              <w:bottom w:val="single" w:sz="4" w:space="0" w:color="000000"/>
              <w:right w:val="single" w:sz="4" w:space="0" w:color="000000"/>
            </w:tcBorders>
            <w:shd w:val="clear" w:color="auto" w:fill="FFFFFF"/>
            <w:vAlign w:val="center"/>
          </w:tcPr>
          <w:p w:rsidR="00CB0706" w:rsidRPr="0014473A" w:rsidP="00CB0706" w14:paraId="2F0D29D0" w14:textId="77777777">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1</w:t>
            </w:r>
          </w:p>
        </w:tc>
        <w:tc>
          <w:tcPr>
            <w:tcW w:w="1710" w:type="dxa"/>
            <w:tcBorders>
              <w:top w:val="nil"/>
              <w:left w:val="nil"/>
              <w:bottom w:val="single" w:sz="4" w:space="0" w:color="000000"/>
              <w:right w:val="single" w:sz="4" w:space="0" w:color="000000"/>
            </w:tcBorders>
            <w:shd w:val="clear" w:color="auto" w:fill="FFFFFF"/>
            <w:vAlign w:val="center"/>
          </w:tcPr>
          <w:p w:rsidR="00CB0706" w:rsidRPr="0014473A" w:rsidP="00CB0706" w14:paraId="2709D220" w14:textId="77777777">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Operating costs - $5</w:t>
            </w:r>
          </w:p>
        </w:tc>
        <w:tc>
          <w:tcPr>
            <w:tcW w:w="1110" w:type="dxa"/>
            <w:tcBorders>
              <w:top w:val="nil"/>
              <w:left w:val="nil"/>
              <w:bottom w:val="single" w:sz="4" w:space="0" w:color="000000"/>
              <w:right w:val="single" w:sz="8" w:space="0" w:color="000000"/>
            </w:tcBorders>
            <w:shd w:val="clear" w:color="auto" w:fill="FFFFFF"/>
            <w:vAlign w:val="center"/>
          </w:tcPr>
          <w:p w:rsidR="00CB0706" w:rsidRPr="0014473A" w:rsidP="00CB0706" w14:paraId="3ECEECFE" w14:textId="77777777">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5</w:t>
            </w:r>
          </w:p>
        </w:tc>
      </w:tr>
      <w:tr w14:paraId="1B6BA521" w14:textId="77777777" w:rsidTr="00DE161B">
        <w:tblPrEx>
          <w:tblW w:w="10125" w:type="dxa"/>
          <w:tblInd w:w="-25" w:type="dxa"/>
          <w:tblLayout w:type="fixed"/>
          <w:tblLook w:val="0400"/>
        </w:tblPrEx>
        <w:trPr>
          <w:trHeight w:val="360"/>
        </w:trPr>
        <w:tc>
          <w:tcPr>
            <w:tcW w:w="3525" w:type="dxa"/>
            <w:tcBorders>
              <w:top w:val="nil"/>
              <w:left w:val="single" w:sz="4" w:space="0" w:color="000000"/>
              <w:bottom w:val="single" w:sz="4" w:space="0" w:color="000000"/>
              <w:right w:val="single" w:sz="4" w:space="0" w:color="000000"/>
            </w:tcBorders>
            <w:shd w:val="clear" w:color="auto" w:fill="auto"/>
            <w:vAlign w:val="center"/>
          </w:tcPr>
          <w:p w:rsidR="00C16CD2" w:rsidRPr="00FD6E4D" w:rsidP="00C16CD2" w14:paraId="4B69B44B" w14:textId="756198ED">
            <w:pPr>
              <w:widowControl/>
              <w:rPr>
                <w:rFonts w:asciiTheme="minorHAnsi" w:hAnsiTheme="minorHAnsi" w:cstheme="minorHAnsi"/>
                <w:sz w:val="18"/>
                <w:szCs w:val="18"/>
              </w:rPr>
            </w:pPr>
            <w:r w:rsidRPr="00FD6E4D">
              <w:rPr>
                <w:rFonts w:asciiTheme="minorHAnsi" w:hAnsiTheme="minorHAnsi" w:cstheme="minorHAnsi"/>
                <w:sz w:val="18"/>
                <w:szCs w:val="18"/>
              </w:rPr>
              <w:t xml:space="preserve">Bering Sea Pollock Fishery </w:t>
            </w:r>
            <w:r w:rsidRPr="0014473A">
              <w:rPr>
                <w:rFonts w:asciiTheme="minorHAnsi" w:hAnsiTheme="minorHAnsi" w:cstheme="minorHAnsi"/>
                <w:sz w:val="18"/>
                <w:szCs w:val="18"/>
              </w:rPr>
              <w:t>IPA Annual Report</w:t>
            </w:r>
          </w:p>
        </w:tc>
        <w:tc>
          <w:tcPr>
            <w:tcW w:w="1440" w:type="dxa"/>
            <w:tcBorders>
              <w:top w:val="nil"/>
              <w:left w:val="nil"/>
              <w:bottom w:val="single" w:sz="4" w:space="0" w:color="000000"/>
              <w:right w:val="single" w:sz="4" w:space="0" w:color="000000"/>
            </w:tcBorders>
            <w:shd w:val="clear" w:color="auto" w:fill="FFFFFF"/>
            <w:vAlign w:val="center"/>
          </w:tcPr>
          <w:p w:rsidR="00C16CD2" w:rsidRPr="0014473A" w:rsidP="00C16CD2" w14:paraId="31367012" w14:textId="3C34ABD1">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3</w:t>
            </w:r>
          </w:p>
        </w:tc>
        <w:tc>
          <w:tcPr>
            <w:tcW w:w="1080" w:type="dxa"/>
            <w:tcBorders>
              <w:top w:val="nil"/>
              <w:left w:val="nil"/>
              <w:bottom w:val="single" w:sz="4" w:space="0" w:color="000000"/>
              <w:right w:val="single" w:sz="4" w:space="0" w:color="000000"/>
            </w:tcBorders>
            <w:shd w:val="clear" w:color="auto" w:fill="FFFFFF"/>
            <w:vAlign w:val="center"/>
          </w:tcPr>
          <w:p w:rsidR="00C16CD2" w:rsidRPr="0014473A" w:rsidP="00C16CD2" w14:paraId="10763FAE" w14:textId="4BB0442C">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1</w:t>
            </w:r>
          </w:p>
        </w:tc>
        <w:tc>
          <w:tcPr>
            <w:tcW w:w="1260" w:type="dxa"/>
            <w:tcBorders>
              <w:top w:val="nil"/>
              <w:left w:val="nil"/>
              <w:bottom w:val="single" w:sz="4" w:space="0" w:color="000000"/>
              <w:right w:val="single" w:sz="4" w:space="0" w:color="000000"/>
            </w:tcBorders>
            <w:shd w:val="clear" w:color="auto" w:fill="FFFFFF"/>
            <w:vAlign w:val="center"/>
          </w:tcPr>
          <w:p w:rsidR="00C16CD2" w:rsidRPr="0014473A" w:rsidP="00C16CD2" w14:paraId="2375A139" w14:textId="44341E41">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3</w:t>
            </w:r>
          </w:p>
        </w:tc>
        <w:tc>
          <w:tcPr>
            <w:tcW w:w="1710" w:type="dxa"/>
            <w:tcBorders>
              <w:top w:val="nil"/>
              <w:left w:val="nil"/>
              <w:bottom w:val="single" w:sz="4" w:space="0" w:color="000000"/>
              <w:right w:val="single" w:sz="4" w:space="0" w:color="000000"/>
            </w:tcBorders>
            <w:shd w:val="clear" w:color="auto" w:fill="FFFFFF"/>
            <w:vAlign w:val="center"/>
          </w:tcPr>
          <w:p w:rsidR="00C16CD2" w:rsidRPr="0014473A" w:rsidP="00C16CD2" w14:paraId="72B6C538" w14:textId="1E798E63">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Operating costs - $5</w:t>
            </w:r>
          </w:p>
        </w:tc>
        <w:tc>
          <w:tcPr>
            <w:tcW w:w="1110" w:type="dxa"/>
            <w:tcBorders>
              <w:top w:val="nil"/>
              <w:left w:val="nil"/>
              <w:bottom w:val="single" w:sz="4" w:space="0" w:color="000000"/>
              <w:right w:val="single" w:sz="8" w:space="0" w:color="000000"/>
            </w:tcBorders>
            <w:shd w:val="clear" w:color="auto" w:fill="FFFFFF"/>
            <w:vAlign w:val="center"/>
          </w:tcPr>
          <w:p w:rsidR="00C16CD2" w:rsidRPr="0014473A" w:rsidP="00C16CD2" w14:paraId="68B8FA6A" w14:textId="38583F96">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15</w:t>
            </w:r>
          </w:p>
        </w:tc>
      </w:tr>
      <w:tr w14:paraId="3E965D51" w14:textId="77777777" w:rsidTr="00DE161B">
        <w:tblPrEx>
          <w:tblW w:w="10125" w:type="dxa"/>
          <w:tblInd w:w="-25" w:type="dxa"/>
          <w:tblLayout w:type="fixed"/>
          <w:tblLook w:val="0400"/>
        </w:tblPrEx>
        <w:trPr>
          <w:trHeight w:val="360"/>
        </w:trPr>
        <w:tc>
          <w:tcPr>
            <w:tcW w:w="3525" w:type="dxa"/>
            <w:tcBorders>
              <w:top w:val="nil"/>
              <w:left w:val="single" w:sz="4" w:space="0" w:color="000000"/>
              <w:bottom w:val="single" w:sz="4" w:space="0" w:color="000000"/>
              <w:right w:val="single" w:sz="4" w:space="0" w:color="000000"/>
            </w:tcBorders>
            <w:shd w:val="clear" w:color="auto" w:fill="auto"/>
            <w:vAlign w:val="center"/>
          </w:tcPr>
          <w:p w:rsidR="00C16CD2" w:rsidRPr="00FD6E4D" w:rsidP="00C16CD2" w14:paraId="7419A7B7" w14:textId="2A107725">
            <w:pPr>
              <w:widowControl/>
              <w:rPr>
                <w:rFonts w:asciiTheme="minorHAnsi" w:hAnsiTheme="minorHAnsi" w:cstheme="minorHAnsi"/>
                <w:sz w:val="18"/>
                <w:szCs w:val="18"/>
              </w:rPr>
            </w:pPr>
            <w:r w:rsidRPr="0014473A">
              <w:rPr>
                <w:rFonts w:asciiTheme="minorHAnsi" w:hAnsiTheme="minorHAnsi" w:cstheme="minorHAnsi"/>
                <w:sz w:val="18"/>
                <w:szCs w:val="18"/>
              </w:rPr>
              <w:t>AFA Cooperative Contract</w:t>
            </w:r>
          </w:p>
        </w:tc>
        <w:tc>
          <w:tcPr>
            <w:tcW w:w="1440" w:type="dxa"/>
            <w:tcBorders>
              <w:top w:val="nil"/>
              <w:left w:val="nil"/>
              <w:bottom w:val="single" w:sz="4" w:space="0" w:color="000000"/>
              <w:right w:val="single" w:sz="4" w:space="0" w:color="000000"/>
            </w:tcBorders>
            <w:shd w:val="clear" w:color="auto" w:fill="FFFFFF"/>
            <w:vAlign w:val="center"/>
          </w:tcPr>
          <w:p w:rsidR="00C16CD2" w:rsidRPr="0014473A" w:rsidP="00C16CD2" w14:paraId="1744160A" w14:textId="54B7993C">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w:t>
            </w:r>
          </w:p>
        </w:tc>
        <w:tc>
          <w:tcPr>
            <w:tcW w:w="1080" w:type="dxa"/>
            <w:tcBorders>
              <w:top w:val="nil"/>
              <w:left w:val="nil"/>
              <w:bottom w:val="single" w:sz="4" w:space="0" w:color="000000"/>
              <w:right w:val="single" w:sz="4" w:space="0" w:color="000000"/>
            </w:tcBorders>
            <w:shd w:val="clear" w:color="auto" w:fill="FFFFFF"/>
            <w:vAlign w:val="center"/>
          </w:tcPr>
          <w:p w:rsidR="00C16CD2" w:rsidRPr="0014473A" w:rsidP="00C16CD2" w14:paraId="2A0E292B" w14:textId="227E87FD">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1</w:t>
            </w:r>
          </w:p>
        </w:tc>
        <w:tc>
          <w:tcPr>
            <w:tcW w:w="1260" w:type="dxa"/>
            <w:tcBorders>
              <w:top w:val="nil"/>
              <w:left w:val="nil"/>
              <w:bottom w:val="single" w:sz="4" w:space="0" w:color="000000"/>
              <w:right w:val="single" w:sz="4" w:space="0" w:color="000000"/>
            </w:tcBorders>
            <w:shd w:val="clear" w:color="auto" w:fill="FFFFFF"/>
            <w:vAlign w:val="center"/>
          </w:tcPr>
          <w:p w:rsidR="00C16CD2" w:rsidRPr="0014473A" w:rsidP="00C16CD2" w14:paraId="7C4E1E8D" w14:textId="6B33ABAE">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7</w:t>
            </w:r>
          </w:p>
        </w:tc>
        <w:tc>
          <w:tcPr>
            <w:tcW w:w="1710" w:type="dxa"/>
            <w:tcBorders>
              <w:top w:val="nil"/>
              <w:left w:val="nil"/>
              <w:bottom w:val="single" w:sz="4" w:space="0" w:color="000000"/>
              <w:right w:val="single" w:sz="4" w:space="0" w:color="000000"/>
            </w:tcBorders>
            <w:shd w:val="clear" w:color="auto" w:fill="FFFFFF"/>
            <w:vAlign w:val="center"/>
          </w:tcPr>
          <w:p w:rsidR="00C16CD2" w:rsidRPr="0014473A" w:rsidP="00C16CD2" w14:paraId="5BF6EF72" w14:textId="384E29F2">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Operating costs - $5</w:t>
            </w:r>
          </w:p>
        </w:tc>
        <w:tc>
          <w:tcPr>
            <w:tcW w:w="1110" w:type="dxa"/>
            <w:tcBorders>
              <w:top w:val="nil"/>
              <w:left w:val="nil"/>
              <w:bottom w:val="single" w:sz="4" w:space="0" w:color="000000"/>
              <w:right w:val="single" w:sz="8" w:space="0" w:color="000000"/>
            </w:tcBorders>
            <w:shd w:val="clear" w:color="auto" w:fill="FFFFFF"/>
            <w:vAlign w:val="center"/>
          </w:tcPr>
          <w:p w:rsidR="00C16CD2" w:rsidRPr="0014473A" w:rsidP="00C16CD2" w14:paraId="2B4CDBBB" w14:textId="29AC0CF2">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35</w:t>
            </w:r>
          </w:p>
        </w:tc>
      </w:tr>
      <w:tr w14:paraId="0DA126F0" w14:textId="77777777" w:rsidTr="00DE161B">
        <w:tblPrEx>
          <w:tblW w:w="10125" w:type="dxa"/>
          <w:tblInd w:w="-25" w:type="dxa"/>
          <w:tblLayout w:type="fixed"/>
          <w:tblLook w:val="0400"/>
        </w:tblPrEx>
        <w:trPr>
          <w:trHeight w:val="360"/>
        </w:trPr>
        <w:tc>
          <w:tcPr>
            <w:tcW w:w="3525" w:type="dxa"/>
            <w:tcBorders>
              <w:top w:val="nil"/>
              <w:left w:val="single" w:sz="4" w:space="0" w:color="000000"/>
              <w:bottom w:val="nil"/>
              <w:right w:val="single" w:sz="4" w:space="0" w:color="000000"/>
            </w:tcBorders>
            <w:shd w:val="clear" w:color="auto" w:fill="auto"/>
            <w:vAlign w:val="center"/>
          </w:tcPr>
          <w:p w:rsidR="00CB0706" w:rsidRPr="0014473A" w:rsidP="00CB0706" w14:paraId="32CEC5EB" w14:textId="77777777">
            <w:pPr>
              <w:widowControl/>
              <w:rPr>
                <w:rFonts w:eastAsia="Calibri" w:asciiTheme="minorHAnsi" w:hAnsiTheme="minorHAnsi" w:cstheme="minorHAnsi"/>
                <w:color w:val="000000"/>
                <w:sz w:val="18"/>
                <w:szCs w:val="18"/>
              </w:rPr>
            </w:pPr>
            <w:r w:rsidRPr="0014473A">
              <w:rPr>
                <w:rFonts w:asciiTheme="minorHAnsi" w:hAnsiTheme="minorHAnsi" w:cstheme="minorHAnsi"/>
                <w:sz w:val="18"/>
                <w:szCs w:val="18"/>
              </w:rPr>
              <w:t>Administrative appeals to disapproved IPA</w:t>
            </w:r>
          </w:p>
        </w:tc>
        <w:tc>
          <w:tcPr>
            <w:tcW w:w="1440" w:type="dxa"/>
            <w:tcBorders>
              <w:top w:val="nil"/>
              <w:left w:val="nil"/>
              <w:bottom w:val="nil"/>
              <w:right w:val="single" w:sz="4" w:space="0" w:color="000000"/>
            </w:tcBorders>
            <w:shd w:val="clear" w:color="auto" w:fill="FFFFFF"/>
            <w:vAlign w:val="center"/>
          </w:tcPr>
          <w:p w:rsidR="00CB0706" w:rsidRPr="0014473A" w:rsidP="00CB0706" w14:paraId="418B8A3C" w14:textId="77777777">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1</w:t>
            </w:r>
          </w:p>
        </w:tc>
        <w:tc>
          <w:tcPr>
            <w:tcW w:w="1080" w:type="dxa"/>
            <w:tcBorders>
              <w:top w:val="nil"/>
              <w:left w:val="nil"/>
              <w:bottom w:val="nil"/>
              <w:right w:val="single" w:sz="4" w:space="0" w:color="000000"/>
            </w:tcBorders>
            <w:shd w:val="clear" w:color="auto" w:fill="FFFFFF"/>
            <w:vAlign w:val="center"/>
          </w:tcPr>
          <w:p w:rsidR="00CB0706" w:rsidRPr="0014473A" w:rsidP="00CB0706" w14:paraId="2142ECAD" w14:textId="77777777">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1</w:t>
            </w:r>
          </w:p>
        </w:tc>
        <w:tc>
          <w:tcPr>
            <w:tcW w:w="1260" w:type="dxa"/>
            <w:tcBorders>
              <w:top w:val="nil"/>
              <w:left w:val="nil"/>
              <w:bottom w:val="nil"/>
              <w:right w:val="single" w:sz="4" w:space="0" w:color="000000"/>
            </w:tcBorders>
            <w:shd w:val="clear" w:color="auto" w:fill="FFFFFF"/>
            <w:vAlign w:val="center"/>
          </w:tcPr>
          <w:p w:rsidR="00CB0706" w:rsidRPr="0014473A" w:rsidP="00CB0706" w14:paraId="1F7E6A43" w14:textId="77777777">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1</w:t>
            </w:r>
          </w:p>
        </w:tc>
        <w:tc>
          <w:tcPr>
            <w:tcW w:w="1710" w:type="dxa"/>
            <w:tcBorders>
              <w:top w:val="nil"/>
              <w:left w:val="nil"/>
              <w:bottom w:val="nil"/>
              <w:right w:val="single" w:sz="4" w:space="0" w:color="000000"/>
            </w:tcBorders>
            <w:shd w:val="clear" w:color="auto" w:fill="FFFFFF"/>
            <w:vAlign w:val="center"/>
          </w:tcPr>
          <w:p w:rsidR="00CB0706" w:rsidRPr="0014473A" w:rsidP="00671140" w14:paraId="4FBF55C5" w14:textId="5C0AC215">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 xml:space="preserve">Operating costs - $5 </w:t>
            </w:r>
            <w:r w:rsidRPr="0014473A">
              <w:rPr>
                <w:rFonts w:ascii="Calibri" w:hAnsi="Calibri" w:cs="Calibri"/>
                <w:color w:val="000000"/>
                <w:sz w:val="18"/>
                <w:szCs w:val="18"/>
              </w:rPr>
              <w:t>Attorney - $</w:t>
            </w:r>
            <w:r w:rsidRPr="0014473A" w:rsidR="00671140">
              <w:rPr>
                <w:rFonts w:ascii="Calibri" w:hAnsi="Calibri" w:cs="Calibri"/>
                <w:color w:val="000000"/>
                <w:sz w:val="18"/>
                <w:szCs w:val="18"/>
              </w:rPr>
              <w:t>500</w:t>
            </w:r>
            <w:r w:rsidRPr="00B01642" w:rsidR="00671140">
              <w:rPr>
                <w:rFonts w:ascii="Calibri" w:hAnsi="Calibri" w:cs="Calibri"/>
                <w:color w:val="000000"/>
                <w:sz w:val="18"/>
                <w:szCs w:val="18"/>
              </w:rPr>
              <w:t>*</w:t>
            </w:r>
          </w:p>
        </w:tc>
        <w:tc>
          <w:tcPr>
            <w:tcW w:w="1110" w:type="dxa"/>
            <w:tcBorders>
              <w:top w:val="nil"/>
              <w:left w:val="nil"/>
              <w:bottom w:val="nil"/>
              <w:right w:val="single" w:sz="8" w:space="0" w:color="000000"/>
            </w:tcBorders>
            <w:shd w:val="clear" w:color="auto" w:fill="FFFFFF"/>
            <w:vAlign w:val="center"/>
          </w:tcPr>
          <w:p w:rsidR="00CB0706" w:rsidRPr="0014473A" w:rsidP="00CB0706" w14:paraId="7A4A40B4" w14:textId="77777777">
            <w:pPr>
              <w:widowControl/>
              <w:jc w:val="center"/>
              <w:rPr>
                <w:rFonts w:eastAsia="Calibri" w:asciiTheme="minorHAnsi" w:hAnsiTheme="minorHAnsi" w:cstheme="minorHAnsi"/>
                <w:color w:val="000000"/>
                <w:sz w:val="18"/>
                <w:szCs w:val="18"/>
              </w:rPr>
            </w:pPr>
            <w:r w:rsidRPr="0014473A">
              <w:rPr>
                <w:rFonts w:eastAsia="Calibri" w:asciiTheme="minorHAnsi" w:hAnsiTheme="minorHAnsi" w:cstheme="minorHAnsi"/>
                <w:color w:val="000000"/>
                <w:sz w:val="18"/>
                <w:szCs w:val="18"/>
              </w:rPr>
              <w:t>505</w:t>
            </w:r>
          </w:p>
        </w:tc>
      </w:tr>
      <w:tr w14:paraId="01C92FBA" w14:textId="77777777" w:rsidTr="00DE161B">
        <w:tblPrEx>
          <w:tblW w:w="10125" w:type="dxa"/>
          <w:tblInd w:w="-25" w:type="dxa"/>
          <w:tblLayout w:type="fixed"/>
          <w:tblLook w:val="0400"/>
        </w:tblPrEx>
        <w:trPr>
          <w:trHeight w:val="360"/>
        </w:trPr>
        <w:tc>
          <w:tcPr>
            <w:tcW w:w="3525" w:type="dxa"/>
            <w:tcBorders>
              <w:top w:val="single" w:sz="8" w:space="0" w:color="000000"/>
              <w:left w:val="single" w:sz="8" w:space="0" w:color="000000"/>
              <w:bottom w:val="single" w:sz="8" w:space="0" w:color="000000"/>
              <w:right w:val="single" w:sz="4" w:space="0" w:color="000000"/>
            </w:tcBorders>
            <w:shd w:val="clear" w:color="auto" w:fill="DDEBF7"/>
            <w:vAlign w:val="center"/>
          </w:tcPr>
          <w:p w:rsidR="00CB0706" w:rsidRPr="0014473A" w:rsidP="00CB0706" w14:paraId="59B702E8" w14:textId="77777777">
            <w:pPr>
              <w:widowControl/>
              <w:jc w:val="right"/>
              <w:rPr>
                <w:rFonts w:ascii="Calibri" w:eastAsia="Calibri" w:hAnsi="Calibri" w:cs="Calibri"/>
                <w:b/>
                <w:color w:val="000000"/>
                <w:sz w:val="18"/>
                <w:szCs w:val="18"/>
              </w:rPr>
            </w:pPr>
            <w:r w:rsidRPr="0014473A">
              <w:rPr>
                <w:rFonts w:ascii="Calibri" w:eastAsia="Calibri" w:hAnsi="Calibri" w:cs="Calibri"/>
                <w:b/>
                <w:color w:val="000000"/>
                <w:sz w:val="18"/>
                <w:szCs w:val="18"/>
              </w:rPr>
              <w:t>TOTALS</w:t>
            </w:r>
          </w:p>
        </w:tc>
        <w:tc>
          <w:tcPr>
            <w:tcW w:w="1440" w:type="dxa"/>
            <w:tcBorders>
              <w:top w:val="single" w:sz="8" w:space="0" w:color="000000"/>
              <w:left w:val="nil"/>
              <w:bottom w:val="single" w:sz="8" w:space="0" w:color="000000"/>
              <w:right w:val="single" w:sz="4" w:space="0" w:color="000000"/>
            </w:tcBorders>
            <w:shd w:val="clear" w:color="auto" w:fill="DDEBF7"/>
            <w:vAlign w:val="center"/>
          </w:tcPr>
          <w:p w:rsidR="00CB0706" w:rsidRPr="0014473A" w:rsidP="00CB0706" w14:paraId="5CF76DA0" w14:textId="2AE446F1">
            <w:pPr>
              <w:widowControl/>
              <w:jc w:val="center"/>
              <w:rPr>
                <w:rFonts w:ascii="Calibri" w:eastAsia="Calibri" w:hAnsi="Calibri" w:cs="Calibri"/>
                <w:b/>
                <w:color w:val="000000"/>
                <w:sz w:val="18"/>
                <w:szCs w:val="18"/>
              </w:rPr>
            </w:pPr>
            <w:r w:rsidRPr="0014473A">
              <w:rPr>
                <w:rFonts w:ascii="Calibri" w:eastAsia="Calibri" w:hAnsi="Calibri" w:cs="Calibri"/>
                <w:b/>
                <w:color w:val="000000"/>
                <w:sz w:val="18"/>
                <w:szCs w:val="18"/>
              </w:rPr>
              <w:t>1</w:t>
            </w:r>
            <w:r w:rsidR="00B01EF1">
              <w:rPr>
                <w:rFonts w:ascii="Calibri" w:eastAsia="Calibri" w:hAnsi="Calibri" w:cs="Calibri"/>
                <w:b/>
                <w:color w:val="000000"/>
                <w:sz w:val="18"/>
                <w:szCs w:val="18"/>
              </w:rPr>
              <w:t>0</w:t>
            </w:r>
            <w:r w:rsidR="0020080B">
              <w:rPr>
                <w:rFonts w:ascii="Calibri" w:eastAsia="Calibri" w:hAnsi="Calibri" w:cs="Calibri"/>
                <w:b/>
                <w:color w:val="000000"/>
                <w:sz w:val="18"/>
                <w:szCs w:val="18"/>
              </w:rPr>
              <w:t xml:space="preserve"> unique respondents</w:t>
            </w:r>
          </w:p>
        </w:tc>
        <w:tc>
          <w:tcPr>
            <w:tcW w:w="1080" w:type="dxa"/>
            <w:tcBorders>
              <w:top w:val="single" w:sz="8" w:space="0" w:color="000000"/>
              <w:left w:val="nil"/>
              <w:bottom w:val="single" w:sz="8" w:space="0" w:color="000000"/>
              <w:right w:val="single" w:sz="4" w:space="0" w:color="000000"/>
            </w:tcBorders>
            <w:shd w:val="clear" w:color="auto" w:fill="000000" w:themeFill="text1"/>
            <w:vAlign w:val="center"/>
          </w:tcPr>
          <w:p w:rsidR="00CB0706" w:rsidRPr="0014473A" w:rsidP="00CB0706" w14:paraId="1B3569D2" w14:textId="77777777">
            <w:pPr>
              <w:widowControl/>
              <w:jc w:val="center"/>
              <w:rPr>
                <w:rFonts w:ascii="Calibri" w:eastAsia="Calibri" w:hAnsi="Calibri" w:cs="Calibri"/>
                <w:b/>
                <w:color w:val="000000"/>
                <w:sz w:val="18"/>
                <w:szCs w:val="18"/>
              </w:rPr>
            </w:pPr>
          </w:p>
        </w:tc>
        <w:tc>
          <w:tcPr>
            <w:tcW w:w="1260" w:type="dxa"/>
            <w:tcBorders>
              <w:top w:val="single" w:sz="8" w:space="0" w:color="000000"/>
              <w:left w:val="nil"/>
              <w:bottom w:val="single" w:sz="8" w:space="0" w:color="000000"/>
              <w:right w:val="single" w:sz="4" w:space="0" w:color="000000"/>
            </w:tcBorders>
            <w:shd w:val="clear" w:color="auto" w:fill="DDEBF7"/>
            <w:vAlign w:val="center"/>
          </w:tcPr>
          <w:p w:rsidR="00CB0706" w:rsidRPr="0014473A" w:rsidP="00CB0706" w14:paraId="6B2956D5" w14:textId="12824267">
            <w:pPr>
              <w:widowControl/>
              <w:jc w:val="center"/>
              <w:rPr>
                <w:rFonts w:ascii="Calibri" w:eastAsia="Calibri" w:hAnsi="Calibri" w:cs="Calibri"/>
                <w:b/>
                <w:color w:val="000000"/>
                <w:sz w:val="18"/>
                <w:szCs w:val="18"/>
              </w:rPr>
            </w:pPr>
            <w:r>
              <w:rPr>
                <w:rFonts w:ascii="Calibri" w:eastAsia="Calibri" w:hAnsi="Calibri" w:cs="Calibri"/>
                <w:b/>
                <w:color w:val="000000"/>
                <w:sz w:val="18"/>
                <w:szCs w:val="18"/>
              </w:rPr>
              <w:t>1</w:t>
            </w:r>
            <w:r w:rsidR="00B01EF1">
              <w:rPr>
                <w:rFonts w:ascii="Calibri" w:eastAsia="Calibri" w:hAnsi="Calibri" w:cs="Calibri"/>
                <w:b/>
                <w:color w:val="000000"/>
                <w:sz w:val="18"/>
                <w:szCs w:val="18"/>
              </w:rPr>
              <w:t>2</w:t>
            </w:r>
          </w:p>
        </w:tc>
        <w:tc>
          <w:tcPr>
            <w:tcW w:w="1710" w:type="dxa"/>
            <w:tcBorders>
              <w:top w:val="single" w:sz="8" w:space="0" w:color="000000"/>
              <w:left w:val="nil"/>
              <w:bottom w:val="single" w:sz="8" w:space="0" w:color="000000"/>
              <w:right w:val="single" w:sz="4" w:space="0" w:color="000000"/>
            </w:tcBorders>
            <w:shd w:val="clear" w:color="auto" w:fill="000000" w:themeFill="text1"/>
            <w:vAlign w:val="center"/>
          </w:tcPr>
          <w:p w:rsidR="00CB0706" w:rsidRPr="0014473A" w:rsidP="00CB0706" w14:paraId="2BF51667" w14:textId="77777777">
            <w:pPr>
              <w:widowControl/>
              <w:jc w:val="center"/>
              <w:rPr>
                <w:rFonts w:ascii="Calibri" w:eastAsia="Calibri" w:hAnsi="Calibri" w:cs="Calibri"/>
                <w:b/>
                <w:color w:val="000000"/>
                <w:sz w:val="18"/>
                <w:szCs w:val="18"/>
              </w:rPr>
            </w:pPr>
          </w:p>
        </w:tc>
        <w:tc>
          <w:tcPr>
            <w:tcW w:w="1110" w:type="dxa"/>
            <w:tcBorders>
              <w:top w:val="single" w:sz="8" w:space="0" w:color="000000"/>
              <w:left w:val="nil"/>
              <w:bottom w:val="single" w:sz="8" w:space="0" w:color="000000"/>
              <w:right w:val="single" w:sz="8" w:space="0" w:color="000000"/>
            </w:tcBorders>
            <w:shd w:val="clear" w:color="auto" w:fill="DDEBF7"/>
            <w:vAlign w:val="center"/>
          </w:tcPr>
          <w:p w:rsidR="00CB0706" w:rsidRPr="0014473A" w:rsidP="00671140" w14:paraId="74692BFB" w14:textId="2A3A1B66">
            <w:pPr>
              <w:widowControl/>
              <w:jc w:val="center"/>
              <w:rPr>
                <w:rFonts w:ascii="Calibri" w:eastAsia="Calibri" w:hAnsi="Calibri" w:cs="Calibri"/>
                <w:b/>
                <w:color w:val="000000"/>
                <w:sz w:val="18"/>
                <w:szCs w:val="18"/>
              </w:rPr>
            </w:pPr>
            <w:r w:rsidRPr="0014473A">
              <w:rPr>
                <w:rFonts w:ascii="Calibri" w:eastAsia="Calibri" w:hAnsi="Calibri" w:cs="Calibri"/>
                <w:b/>
                <w:color w:val="000000"/>
                <w:sz w:val="18"/>
                <w:szCs w:val="18"/>
              </w:rPr>
              <w:t>$</w:t>
            </w:r>
            <w:r w:rsidR="00D41B55">
              <w:rPr>
                <w:rFonts w:ascii="Calibri" w:eastAsia="Calibri" w:hAnsi="Calibri" w:cs="Calibri"/>
                <w:b/>
                <w:color w:val="000000"/>
                <w:sz w:val="18"/>
                <w:szCs w:val="18"/>
              </w:rPr>
              <w:t>56</w:t>
            </w:r>
            <w:r w:rsidR="00B01EF1">
              <w:rPr>
                <w:rFonts w:ascii="Calibri" w:eastAsia="Calibri" w:hAnsi="Calibri" w:cs="Calibri"/>
                <w:b/>
                <w:color w:val="000000"/>
                <w:sz w:val="18"/>
                <w:szCs w:val="18"/>
              </w:rPr>
              <w:t>0</w:t>
            </w:r>
          </w:p>
        </w:tc>
      </w:tr>
    </w:tbl>
    <w:p w:rsidR="00CB0706" w:rsidRPr="0020080B" w:rsidP="0020080B" w14:paraId="4B7752FB" w14:textId="1B754CA8">
      <w:pPr>
        <w:autoSpaceDE w:val="0"/>
        <w:autoSpaceDN w:val="0"/>
        <w:adjustRightInd w:val="0"/>
        <w:spacing w:before="60"/>
        <w:ind w:left="115" w:hanging="115"/>
        <w:rPr>
          <w:rFonts w:ascii="Calibri" w:hAnsi="Calibri" w:cs="Calibri"/>
          <w:sz w:val="18"/>
          <w:szCs w:val="18"/>
          <w:vertAlign w:val="superscript"/>
        </w:rPr>
      </w:pPr>
      <w:r w:rsidRPr="0020080B">
        <w:rPr>
          <w:rFonts w:ascii="Calibri" w:hAnsi="Calibri" w:cs="Calibri"/>
          <w:sz w:val="18"/>
          <w:szCs w:val="18"/>
        </w:rPr>
        <w:t>*</w:t>
      </w:r>
      <w:r w:rsidRPr="0020080B">
        <w:rPr>
          <w:rFonts w:ascii="Calibri" w:hAnsi="Calibri" w:cs="Calibri"/>
          <w:sz w:val="18"/>
          <w:szCs w:val="18"/>
          <w:vertAlign w:val="superscript"/>
        </w:rPr>
        <w:t xml:space="preserve"> </w:t>
      </w:r>
      <w:r w:rsidRPr="0020080B">
        <w:rPr>
          <w:rFonts w:ascii="Calibri" w:hAnsi="Calibri" w:cs="Calibri"/>
          <w:sz w:val="18"/>
          <w:szCs w:val="18"/>
        </w:rPr>
        <w:t>Attorney cost is included to reflect the assumption that most people would hire an attorney to prepare an appeal ($125/hour x 4 hours).</w:t>
      </w:r>
      <w:r w:rsidR="0099558D">
        <w:rPr>
          <w:rFonts w:ascii="Calibri" w:hAnsi="Calibri" w:cs="Calibri"/>
          <w:sz w:val="18"/>
          <w:szCs w:val="18"/>
        </w:rPr>
        <w:t xml:space="preserve"> </w:t>
      </w:r>
    </w:p>
    <w:p w:rsidR="00BD156D" w14:paraId="3DC9FBC0" w14:textId="084C9499">
      <w:pPr>
        <w:pBdr>
          <w:top w:val="nil"/>
          <w:left w:val="nil"/>
          <w:bottom w:val="nil"/>
          <w:right w:val="nil"/>
          <w:between w:val="nil"/>
        </w:pBdr>
        <w:spacing w:before="7"/>
        <w:rPr>
          <w:b/>
          <w:color w:val="000000"/>
        </w:rPr>
      </w:pPr>
    </w:p>
    <w:p w:rsidR="003D3AFB" w14:paraId="229A012E" w14:textId="77777777">
      <w:pPr>
        <w:pBdr>
          <w:top w:val="nil"/>
          <w:left w:val="nil"/>
          <w:bottom w:val="nil"/>
          <w:right w:val="nil"/>
          <w:between w:val="nil"/>
        </w:pBdr>
        <w:spacing w:before="7"/>
        <w:rPr>
          <w:b/>
          <w:color w:val="000000"/>
        </w:rPr>
      </w:pPr>
    </w:p>
    <w:p w:rsidR="00BD156D" w:rsidP="0099558D" w14:paraId="08CBD5F0"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Provide estimates of annualized cost to the Federal government. Also, </w:t>
      </w:r>
      <w:r>
        <w:rPr>
          <w:b/>
          <w:color w:val="000000"/>
        </w:rPr>
        <w:t>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51497" w:rsidP="0099558D" w14:paraId="62DCB4ED" w14:textId="77777777">
      <w:pPr>
        <w:widowControl/>
        <w:rPr>
          <w:rFonts w:eastAsia="SimSun"/>
        </w:rPr>
      </w:pPr>
    </w:p>
    <w:p w:rsidR="00CB0706" w:rsidP="0099558D" w14:paraId="36D58382" w14:textId="5597F362">
      <w:pPr>
        <w:widowControl/>
        <w:rPr>
          <w:rFonts w:eastAsia="SimSun"/>
        </w:rPr>
      </w:pPr>
      <w:r>
        <w:rPr>
          <w:rFonts w:eastAsia="SimSun"/>
        </w:rPr>
        <w:t xml:space="preserve">Federal government costs are based on one fisheries program specialist and an appeals attorney. </w:t>
      </w:r>
      <w:r w:rsidR="00551497">
        <w:rPr>
          <w:rFonts w:eastAsia="SimSun"/>
        </w:rPr>
        <w:t>The f</w:t>
      </w:r>
      <w:r w:rsidRPr="004A672E" w:rsidR="00551497">
        <w:rPr>
          <w:rFonts w:eastAsia="SimSun"/>
        </w:rPr>
        <w:t>ully loaded salary costs include 52</w:t>
      </w:r>
      <w:r w:rsidR="00551497">
        <w:rPr>
          <w:rFonts w:eastAsia="SimSun"/>
        </w:rPr>
        <w:t xml:space="preserve"> percent</w:t>
      </w:r>
      <w:r w:rsidRPr="004A672E" w:rsidR="00551497">
        <w:rPr>
          <w:rFonts w:eastAsia="SimSun"/>
        </w:rPr>
        <w:t xml:space="preserve"> of the salary to account for benefits and other overhead costs.</w:t>
      </w:r>
      <w:r w:rsidR="00551497">
        <w:rPr>
          <w:rFonts w:eastAsia="SimSun"/>
        </w:rPr>
        <w:t xml:space="preserve"> </w:t>
      </w:r>
      <w:r w:rsidRPr="00997072">
        <w:rPr>
          <w:rFonts w:eastAsia="SimSun"/>
        </w:rPr>
        <w:t xml:space="preserve">Notes below the table provide the salary and calculations for each cost. </w:t>
      </w:r>
      <w:r w:rsidRPr="004A672E" w:rsidR="00551497">
        <w:rPr>
          <w:rFonts w:eastAsia="SimSun"/>
        </w:rPr>
        <w:t>The grade and step are from the Department of Commerce Alternative Personnel System (CAPS) 2024 pay tables (</w:t>
      </w:r>
      <w:hyperlink r:id="rId19" w:history="1">
        <w:r w:rsidRPr="004A672E" w:rsidR="00551497">
          <w:rPr>
            <w:rFonts w:eastAsia="Batang"/>
            <w:color w:val="0000FF" w:themeColor="hyperlink"/>
            <w:u w:val="single"/>
            <w:shd w:val="clear" w:color="auto" w:fill="FFFFFF"/>
          </w:rPr>
          <w:t>https://www.commerce.gov/hr/practitioners/caps/pay-administration</w:t>
        </w:r>
      </w:hyperlink>
      <w:r w:rsidRPr="004A672E" w:rsidR="00551497">
        <w:rPr>
          <w:rFonts w:eastAsia="SimSun"/>
        </w:rPr>
        <w:t>). The general schedule grade equivalent for CAPS is included in parentheses.</w:t>
      </w:r>
    </w:p>
    <w:p w:rsidR="00B01642" w:rsidP="0099558D" w14:paraId="4160D529" w14:textId="6D90A033">
      <w:pPr>
        <w:widowControl/>
        <w:rPr>
          <w:rFonts w:eastAsia="SimSun"/>
        </w:rPr>
      </w:pPr>
    </w:p>
    <w:p w:rsidR="00B01642" w:rsidP="00DE161B" w14:paraId="1B1851B3" w14:textId="07FEA477">
      <w:pPr>
        <w:widowControl/>
        <w:rPr>
          <w:rFonts w:eastAsiaTheme="minorHAnsi" w:cstheme="minorBidi"/>
        </w:rPr>
      </w:pPr>
      <w:r w:rsidRPr="00CB0706">
        <w:rPr>
          <w:color w:val="000000"/>
        </w:rPr>
        <w:t xml:space="preserve">There are no costs to the government for the </w:t>
      </w:r>
      <w:r w:rsidR="00DE161B">
        <w:rPr>
          <w:color w:val="000000"/>
        </w:rPr>
        <w:t xml:space="preserve">Bering Sea Pollock Fishery </w:t>
      </w:r>
      <w:r w:rsidRPr="00CB0706">
        <w:rPr>
          <w:color w:val="000000"/>
        </w:rPr>
        <w:t>IPA Annual Report because these are submitted to the Council.</w:t>
      </w:r>
      <w:r w:rsidR="00DE161B">
        <w:rPr>
          <w:color w:val="000000"/>
        </w:rPr>
        <w:t xml:space="preserve"> </w:t>
      </w:r>
      <w:r w:rsidRPr="00CB0706">
        <w:rPr>
          <w:rFonts w:eastAsiaTheme="minorHAnsi" w:cstheme="minorBidi"/>
        </w:rPr>
        <w:t xml:space="preserve">There are no estimated costs to the Federal government for the AFA Cooperative Contract because the costs associated with processing and filing the inshore cooperative contracts are included in the Federal government time and cost estimates for the </w:t>
      </w:r>
      <w:r w:rsidRPr="00C973F3">
        <w:rPr>
          <w:rFonts w:eastAsiaTheme="minorHAnsi" w:cstheme="minorBidi"/>
        </w:rPr>
        <w:t xml:space="preserve">Application for American Fisheries Act Inshore Catcher Vessel Cooperative Permit </w:t>
      </w:r>
      <w:r w:rsidRPr="00CB0706">
        <w:rPr>
          <w:rFonts w:eastAsiaTheme="minorHAnsi" w:cstheme="minorBidi"/>
        </w:rPr>
        <w:t xml:space="preserve">approved under 0648-0393, and the costs of filing the information received annually from the </w:t>
      </w:r>
      <w:r w:rsidRPr="00CB0706">
        <w:rPr>
          <w:rFonts w:eastAsiaTheme="minorHAnsi" w:cstheme="minorBidi"/>
        </w:rPr>
        <w:t>other two respondents</w:t>
      </w:r>
      <w:r>
        <w:rPr>
          <w:rFonts w:eastAsiaTheme="minorHAnsi"/>
        </w:rPr>
        <w:t>—</w:t>
      </w:r>
      <w:r w:rsidRPr="00CF0980" w:rsidR="00CF0980">
        <w:rPr>
          <w:rFonts w:eastAsiaTheme="minorHAnsi" w:cstheme="minorBidi"/>
        </w:rPr>
        <w:t>Pollock Conservation Cooperative</w:t>
      </w:r>
      <w:r w:rsidRPr="00CB0706">
        <w:rPr>
          <w:rFonts w:eastAsiaTheme="minorHAnsi" w:cstheme="minorBidi"/>
        </w:rPr>
        <w:t xml:space="preserve"> and </w:t>
      </w:r>
      <w:r w:rsidRPr="00CF0980" w:rsidR="00CF0980">
        <w:rPr>
          <w:rFonts w:eastAsiaTheme="minorHAnsi" w:cstheme="minorBidi"/>
        </w:rPr>
        <w:t>High Seas Catcher Vessel Cooperative</w:t>
      </w:r>
      <w:r w:rsidRPr="00CB0706">
        <w:rPr>
          <w:rFonts w:eastAsiaTheme="minorHAnsi" w:cstheme="minorBidi"/>
        </w:rPr>
        <w:t xml:space="preserve">, which file jointly, and </w:t>
      </w:r>
      <w:r w:rsidR="00CF0980">
        <w:rPr>
          <w:rFonts w:eastAsiaTheme="minorHAnsi" w:cstheme="minorBidi"/>
        </w:rPr>
        <w:t>Mothership Fleet Cooperative</w:t>
      </w:r>
      <w:r>
        <w:rPr>
          <w:rFonts w:eastAsiaTheme="minorHAnsi"/>
        </w:rPr>
        <w:t>—</w:t>
      </w:r>
      <w:r w:rsidRPr="00CB0706">
        <w:rPr>
          <w:rFonts w:eastAsiaTheme="minorHAnsi" w:cstheme="minorBidi"/>
        </w:rPr>
        <w:t>are negligible.</w:t>
      </w:r>
      <w:r w:rsidR="0099558D">
        <w:rPr>
          <w:rFonts w:eastAsiaTheme="minorHAnsi" w:cstheme="minorBidi"/>
        </w:rPr>
        <w:t xml:space="preserve"> </w:t>
      </w:r>
    </w:p>
    <w:p w:rsidR="003D3AFB" w:rsidP="00DE161B" w14:paraId="4EF81F8E" w14:textId="1378CD0F">
      <w:pPr>
        <w:widowControl/>
        <w:rPr>
          <w:rFonts w:eastAsiaTheme="minorHAnsi" w:cstheme="minorBidi"/>
        </w:rPr>
      </w:pPr>
    </w:p>
    <w:p w:rsidR="00CB0706" w:rsidRPr="00CB0706" w:rsidP="0020080B" w14:paraId="3822EB64" w14:textId="77777777">
      <w:pPr>
        <w:widowControl/>
        <w:pBdr>
          <w:top w:val="nil"/>
          <w:left w:val="nil"/>
          <w:bottom w:val="nil"/>
          <w:right w:val="nil"/>
          <w:between w:val="nil"/>
        </w:pBdr>
        <w:rPr>
          <w:b/>
          <w:color w:val="000000"/>
        </w:rPr>
      </w:pPr>
    </w:p>
    <w:tbl>
      <w:tblPr>
        <w:tblW w:w="0" w:type="auto"/>
        <w:jc w:val="center"/>
        <w:tblLayout w:type="fixed"/>
        <w:tblLook w:val="0400"/>
      </w:tblPr>
      <w:tblGrid>
        <w:gridCol w:w="2682"/>
        <w:gridCol w:w="1316"/>
        <w:gridCol w:w="1340"/>
        <w:gridCol w:w="1316"/>
        <w:gridCol w:w="1505"/>
        <w:gridCol w:w="1527"/>
      </w:tblGrid>
      <w:tr w14:paraId="36268946" w14:textId="77777777" w:rsidTr="00DE161B">
        <w:tblPrEx>
          <w:tblW w:w="0" w:type="auto"/>
          <w:jc w:val="center"/>
          <w:tblLayout w:type="fixed"/>
          <w:tblLook w:val="0400"/>
        </w:tblPrEx>
        <w:trPr>
          <w:trHeight w:val="465"/>
          <w:jc w:val="center"/>
        </w:trPr>
        <w:tc>
          <w:tcPr>
            <w:tcW w:w="2682" w:type="dxa"/>
            <w:tcBorders>
              <w:top w:val="single" w:sz="8" w:space="0" w:color="000000"/>
              <w:left w:val="single" w:sz="8" w:space="0" w:color="000000"/>
              <w:bottom w:val="nil"/>
              <w:right w:val="single" w:sz="8" w:space="0" w:color="000000"/>
            </w:tcBorders>
            <w:shd w:val="clear" w:color="auto" w:fill="BDD7EE"/>
            <w:vAlign w:val="center"/>
          </w:tcPr>
          <w:p w:rsidR="00CB0706" w:rsidRPr="00CB0706" w:rsidP="0014426B" w14:paraId="2EAD3B03" w14:textId="77777777">
            <w:pPr>
              <w:keepNext/>
              <w:widowControl/>
              <w:jc w:val="center"/>
              <w:rPr>
                <w:rFonts w:ascii="Calibri" w:eastAsia="Calibri" w:hAnsi="Calibri" w:cs="Calibri"/>
                <w:b/>
                <w:color w:val="000000"/>
                <w:sz w:val="16"/>
                <w:szCs w:val="16"/>
              </w:rPr>
            </w:pPr>
            <w:r w:rsidRPr="00CB0706">
              <w:rPr>
                <w:rFonts w:ascii="Calibri" w:eastAsia="Calibri" w:hAnsi="Calibri" w:cs="Calibri"/>
                <w:b/>
                <w:color w:val="000000"/>
                <w:sz w:val="16"/>
                <w:szCs w:val="16"/>
              </w:rPr>
              <w:t>Cost Descriptions</w:t>
            </w:r>
          </w:p>
        </w:tc>
        <w:tc>
          <w:tcPr>
            <w:tcW w:w="1316" w:type="dxa"/>
            <w:tcBorders>
              <w:top w:val="single" w:sz="8" w:space="0" w:color="000000"/>
              <w:left w:val="nil"/>
              <w:bottom w:val="nil"/>
              <w:right w:val="single" w:sz="8" w:space="0" w:color="000000"/>
            </w:tcBorders>
            <w:shd w:val="clear" w:color="auto" w:fill="BDD7EE"/>
            <w:vAlign w:val="center"/>
          </w:tcPr>
          <w:p w:rsidR="00CB0706" w:rsidRPr="00CB0706" w:rsidP="0014426B" w14:paraId="46BDBA35" w14:textId="77777777">
            <w:pPr>
              <w:keepNext/>
              <w:widowControl/>
              <w:jc w:val="center"/>
              <w:rPr>
                <w:rFonts w:ascii="Calibri" w:eastAsia="Calibri" w:hAnsi="Calibri" w:cs="Calibri"/>
                <w:b/>
                <w:color w:val="000000"/>
                <w:sz w:val="16"/>
                <w:szCs w:val="16"/>
              </w:rPr>
            </w:pPr>
            <w:r w:rsidRPr="00CB0706">
              <w:rPr>
                <w:rFonts w:ascii="Calibri" w:eastAsia="Calibri" w:hAnsi="Calibri" w:cs="Calibri"/>
                <w:b/>
                <w:color w:val="000000"/>
                <w:sz w:val="16"/>
                <w:szCs w:val="16"/>
              </w:rPr>
              <w:t>Grade/Step</w:t>
            </w:r>
          </w:p>
        </w:tc>
        <w:tc>
          <w:tcPr>
            <w:tcW w:w="1340" w:type="dxa"/>
            <w:tcBorders>
              <w:top w:val="single" w:sz="8" w:space="0" w:color="000000"/>
              <w:left w:val="nil"/>
              <w:bottom w:val="nil"/>
              <w:right w:val="single" w:sz="8" w:space="0" w:color="000000"/>
            </w:tcBorders>
            <w:shd w:val="clear" w:color="auto" w:fill="BDD7EE"/>
            <w:vAlign w:val="center"/>
          </w:tcPr>
          <w:p w:rsidR="00CB0706" w:rsidRPr="00CB0706" w:rsidP="0014426B" w14:paraId="779D4E1B" w14:textId="77777777">
            <w:pPr>
              <w:keepNext/>
              <w:widowControl/>
              <w:jc w:val="center"/>
              <w:rPr>
                <w:rFonts w:ascii="Calibri" w:eastAsia="Calibri" w:hAnsi="Calibri" w:cs="Calibri"/>
                <w:b/>
                <w:color w:val="000000"/>
                <w:sz w:val="16"/>
                <w:szCs w:val="16"/>
              </w:rPr>
            </w:pPr>
            <w:r w:rsidRPr="00CB0706">
              <w:rPr>
                <w:rFonts w:ascii="Calibri" w:eastAsia="Calibri" w:hAnsi="Calibri" w:cs="Calibri"/>
                <w:b/>
                <w:color w:val="000000"/>
                <w:sz w:val="16"/>
                <w:szCs w:val="16"/>
              </w:rPr>
              <w:t xml:space="preserve">Loaded </w:t>
            </w:r>
            <w:r w:rsidRPr="00CB0706">
              <w:rPr>
                <w:rFonts w:ascii="Calibri" w:eastAsia="Calibri" w:hAnsi="Calibri" w:cs="Calibri"/>
                <w:b/>
                <w:color w:val="000000"/>
                <w:sz w:val="16"/>
                <w:szCs w:val="16"/>
              </w:rPr>
              <w:t>Salary /Cost</w:t>
            </w:r>
          </w:p>
        </w:tc>
        <w:tc>
          <w:tcPr>
            <w:tcW w:w="1316" w:type="dxa"/>
            <w:tcBorders>
              <w:top w:val="single" w:sz="8" w:space="0" w:color="000000"/>
              <w:left w:val="nil"/>
              <w:bottom w:val="nil"/>
              <w:right w:val="single" w:sz="8" w:space="0" w:color="000000"/>
            </w:tcBorders>
            <w:shd w:val="clear" w:color="auto" w:fill="BDD7EE"/>
            <w:vAlign w:val="center"/>
          </w:tcPr>
          <w:p w:rsidR="00CB0706" w:rsidRPr="00CB0706" w:rsidP="0014426B" w14:paraId="68CA4D41" w14:textId="77777777">
            <w:pPr>
              <w:keepNext/>
              <w:widowControl/>
              <w:jc w:val="center"/>
              <w:rPr>
                <w:rFonts w:ascii="Calibri" w:eastAsia="Calibri" w:hAnsi="Calibri" w:cs="Calibri"/>
                <w:b/>
                <w:color w:val="000000"/>
                <w:sz w:val="16"/>
                <w:szCs w:val="16"/>
              </w:rPr>
            </w:pPr>
            <w:r w:rsidRPr="00CB0706">
              <w:rPr>
                <w:rFonts w:ascii="Calibri" w:eastAsia="Calibri" w:hAnsi="Calibri" w:cs="Calibri"/>
                <w:b/>
                <w:color w:val="000000"/>
                <w:sz w:val="16"/>
                <w:szCs w:val="16"/>
              </w:rPr>
              <w:t>% of Effort</w:t>
            </w:r>
          </w:p>
        </w:tc>
        <w:tc>
          <w:tcPr>
            <w:tcW w:w="1505" w:type="dxa"/>
            <w:tcBorders>
              <w:top w:val="single" w:sz="8" w:space="0" w:color="000000"/>
              <w:left w:val="nil"/>
              <w:bottom w:val="nil"/>
              <w:right w:val="single" w:sz="8" w:space="0" w:color="000000"/>
            </w:tcBorders>
            <w:shd w:val="clear" w:color="auto" w:fill="BDD7EE"/>
            <w:vAlign w:val="center"/>
          </w:tcPr>
          <w:p w:rsidR="00CB0706" w:rsidRPr="00CB0706" w:rsidP="0014426B" w14:paraId="3402A2BC" w14:textId="77777777">
            <w:pPr>
              <w:keepNext/>
              <w:widowControl/>
              <w:jc w:val="center"/>
              <w:rPr>
                <w:rFonts w:ascii="Calibri" w:eastAsia="Calibri" w:hAnsi="Calibri" w:cs="Calibri"/>
                <w:b/>
                <w:color w:val="000000"/>
                <w:sz w:val="16"/>
                <w:szCs w:val="16"/>
              </w:rPr>
            </w:pPr>
            <w:r w:rsidRPr="00CB0706">
              <w:rPr>
                <w:rFonts w:ascii="Calibri" w:eastAsia="Calibri" w:hAnsi="Calibri" w:cs="Calibri"/>
                <w:b/>
                <w:color w:val="000000"/>
                <w:sz w:val="16"/>
                <w:szCs w:val="16"/>
              </w:rPr>
              <w:t>Fringe (if Applicable)</w:t>
            </w:r>
          </w:p>
        </w:tc>
        <w:tc>
          <w:tcPr>
            <w:tcW w:w="1527" w:type="dxa"/>
            <w:tcBorders>
              <w:top w:val="single" w:sz="8" w:space="0" w:color="000000"/>
              <w:left w:val="nil"/>
              <w:bottom w:val="nil"/>
              <w:right w:val="single" w:sz="8" w:space="0" w:color="000000"/>
            </w:tcBorders>
            <w:shd w:val="clear" w:color="auto" w:fill="BDD7EE"/>
            <w:vAlign w:val="center"/>
          </w:tcPr>
          <w:p w:rsidR="00CB0706" w:rsidRPr="00CB0706" w:rsidP="0014426B" w14:paraId="6429E441" w14:textId="77777777">
            <w:pPr>
              <w:keepNext/>
              <w:widowControl/>
              <w:jc w:val="center"/>
              <w:rPr>
                <w:rFonts w:ascii="Calibri" w:eastAsia="Calibri" w:hAnsi="Calibri" w:cs="Calibri"/>
                <w:b/>
                <w:color w:val="000000"/>
                <w:sz w:val="16"/>
                <w:szCs w:val="16"/>
              </w:rPr>
            </w:pPr>
            <w:r w:rsidRPr="00CB0706">
              <w:rPr>
                <w:rFonts w:ascii="Calibri" w:eastAsia="Calibri" w:hAnsi="Calibri" w:cs="Calibri"/>
                <w:b/>
                <w:color w:val="000000"/>
                <w:sz w:val="16"/>
                <w:szCs w:val="16"/>
              </w:rPr>
              <w:t>Total Cost to Government</w:t>
            </w:r>
          </w:p>
        </w:tc>
      </w:tr>
      <w:tr w14:paraId="2D3F78B0" w14:textId="77777777" w:rsidTr="00DE161B">
        <w:tblPrEx>
          <w:tblW w:w="0" w:type="auto"/>
          <w:jc w:val="center"/>
          <w:tblLayout w:type="fixed"/>
          <w:tblLook w:val="0400"/>
        </w:tblPrEx>
        <w:trPr>
          <w:trHeight w:val="317"/>
          <w:jc w:val="center"/>
        </w:trPr>
        <w:tc>
          <w:tcPr>
            <w:tcW w:w="2682"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0706" w:rsidRPr="00CB0706" w:rsidP="0014426B" w14:paraId="7F6D1F56" w14:textId="77777777">
            <w:pPr>
              <w:keepNext/>
              <w:widowControl/>
              <w:rPr>
                <w:rFonts w:ascii="Calibri" w:eastAsia="Calibri" w:hAnsi="Calibri" w:cs="Calibri"/>
                <w:b/>
                <w:color w:val="000000"/>
                <w:sz w:val="18"/>
                <w:szCs w:val="18"/>
              </w:rPr>
            </w:pPr>
            <w:r w:rsidRPr="00CB0706">
              <w:rPr>
                <w:rFonts w:ascii="Calibri" w:eastAsia="Calibri" w:hAnsi="Calibri" w:cs="Calibri"/>
                <w:b/>
                <w:color w:val="000000"/>
                <w:sz w:val="18"/>
                <w:szCs w:val="18"/>
              </w:rPr>
              <w:t>Federal Oversight</w:t>
            </w:r>
          </w:p>
        </w:tc>
        <w:tc>
          <w:tcPr>
            <w:tcW w:w="1316" w:type="dxa"/>
            <w:tcBorders>
              <w:top w:val="single" w:sz="4" w:space="0" w:color="000000"/>
              <w:left w:val="nil"/>
              <w:bottom w:val="single" w:sz="4" w:space="0" w:color="000000"/>
              <w:right w:val="single" w:sz="4" w:space="0" w:color="000000"/>
            </w:tcBorders>
            <w:shd w:val="clear" w:color="auto" w:fill="auto"/>
            <w:vAlign w:val="center"/>
          </w:tcPr>
          <w:p w:rsidR="00CB0706" w:rsidRPr="00CB0706" w:rsidP="0014426B" w14:paraId="18582F70" w14:textId="77777777">
            <w:pPr>
              <w:keepNext/>
              <w:widowControl/>
              <w:rPr>
                <w:rFonts w:ascii="Calibri" w:eastAsia="Calibri" w:hAnsi="Calibri" w:cs="Calibri"/>
                <w:color w:val="000000"/>
                <w:sz w:val="18"/>
                <w:szCs w:val="18"/>
              </w:rPr>
            </w:pPr>
          </w:p>
        </w:tc>
        <w:tc>
          <w:tcPr>
            <w:tcW w:w="1340" w:type="dxa"/>
            <w:tcBorders>
              <w:top w:val="single" w:sz="4" w:space="0" w:color="000000"/>
              <w:left w:val="nil"/>
              <w:bottom w:val="single" w:sz="4" w:space="0" w:color="000000"/>
              <w:right w:val="single" w:sz="4" w:space="0" w:color="000000"/>
            </w:tcBorders>
            <w:shd w:val="clear" w:color="auto" w:fill="auto"/>
            <w:vAlign w:val="center"/>
          </w:tcPr>
          <w:p w:rsidR="00CB0706" w:rsidRPr="00CB0706" w:rsidP="0014426B" w14:paraId="0A20A5A5" w14:textId="77777777">
            <w:pPr>
              <w:keepNext/>
              <w:widowControl/>
              <w:rPr>
                <w:rFonts w:ascii="Calibri" w:eastAsia="Calibri" w:hAnsi="Calibri" w:cs="Calibri"/>
                <w:color w:val="000000"/>
                <w:sz w:val="18"/>
                <w:szCs w:val="18"/>
              </w:rPr>
            </w:pPr>
          </w:p>
        </w:tc>
        <w:tc>
          <w:tcPr>
            <w:tcW w:w="1316" w:type="dxa"/>
            <w:tcBorders>
              <w:top w:val="single" w:sz="4" w:space="0" w:color="000000"/>
              <w:left w:val="nil"/>
              <w:bottom w:val="single" w:sz="4" w:space="0" w:color="000000"/>
              <w:right w:val="single" w:sz="4" w:space="0" w:color="000000"/>
            </w:tcBorders>
            <w:shd w:val="clear" w:color="auto" w:fill="auto"/>
            <w:vAlign w:val="center"/>
          </w:tcPr>
          <w:p w:rsidR="00CB0706" w:rsidRPr="00CB0706" w:rsidP="0014426B" w14:paraId="217F6922" w14:textId="77777777">
            <w:pPr>
              <w:keepNext/>
              <w:widowControl/>
              <w:rPr>
                <w:rFonts w:ascii="Calibri" w:eastAsia="Calibri" w:hAnsi="Calibri" w:cs="Calibri"/>
                <w:color w:val="000000"/>
                <w:sz w:val="18"/>
                <w:szCs w:val="18"/>
              </w:rPr>
            </w:pPr>
          </w:p>
        </w:tc>
        <w:tc>
          <w:tcPr>
            <w:tcW w:w="1505" w:type="dxa"/>
            <w:tcBorders>
              <w:top w:val="single" w:sz="4" w:space="0" w:color="000000"/>
              <w:left w:val="nil"/>
              <w:bottom w:val="single" w:sz="4" w:space="0" w:color="000000"/>
              <w:right w:val="single" w:sz="4" w:space="0" w:color="000000"/>
            </w:tcBorders>
            <w:shd w:val="clear" w:color="auto" w:fill="808080"/>
            <w:vAlign w:val="center"/>
          </w:tcPr>
          <w:p w:rsidR="00CB0706" w:rsidRPr="00CB0706" w:rsidP="0014426B" w14:paraId="2FF10E0D" w14:textId="77777777">
            <w:pPr>
              <w:keepNext/>
              <w:widowControl/>
              <w:rPr>
                <w:rFonts w:ascii="Calibri" w:eastAsia="Calibri" w:hAnsi="Calibri" w:cs="Calibri"/>
                <w:color w:val="000000"/>
                <w:sz w:val="18"/>
                <w:szCs w:val="18"/>
              </w:rPr>
            </w:pPr>
          </w:p>
        </w:tc>
        <w:tc>
          <w:tcPr>
            <w:tcW w:w="1527" w:type="dxa"/>
            <w:tcBorders>
              <w:top w:val="single" w:sz="4" w:space="0" w:color="000000"/>
              <w:left w:val="nil"/>
              <w:bottom w:val="single" w:sz="4" w:space="0" w:color="000000"/>
              <w:right w:val="single" w:sz="8" w:space="0" w:color="000000"/>
            </w:tcBorders>
            <w:shd w:val="clear" w:color="auto" w:fill="auto"/>
            <w:vAlign w:val="center"/>
          </w:tcPr>
          <w:p w:rsidR="00CB0706" w:rsidRPr="00CB0706" w:rsidP="0014426B" w14:paraId="4DB4D440" w14:textId="77777777">
            <w:pPr>
              <w:keepNext/>
              <w:widowControl/>
              <w:rPr>
                <w:rFonts w:ascii="Calibri" w:eastAsia="Calibri" w:hAnsi="Calibri" w:cs="Calibri"/>
                <w:color w:val="000000"/>
                <w:sz w:val="18"/>
                <w:szCs w:val="18"/>
              </w:rPr>
            </w:pPr>
          </w:p>
        </w:tc>
      </w:tr>
      <w:tr w14:paraId="7B800C23" w14:textId="77777777" w:rsidTr="00DE161B">
        <w:tblPrEx>
          <w:tblW w:w="0" w:type="auto"/>
          <w:jc w:val="center"/>
          <w:tblLayout w:type="fixed"/>
          <w:tblLook w:val="0400"/>
        </w:tblPrEx>
        <w:trPr>
          <w:trHeight w:val="317"/>
          <w:jc w:val="center"/>
        </w:trPr>
        <w:tc>
          <w:tcPr>
            <w:tcW w:w="2682" w:type="dxa"/>
            <w:tcBorders>
              <w:top w:val="nil"/>
              <w:left w:val="single" w:sz="8" w:space="0" w:color="000000"/>
              <w:bottom w:val="single" w:sz="4" w:space="0" w:color="000000"/>
              <w:right w:val="single" w:sz="8" w:space="0" w:color="000000"/>
            </w:tcBorders>
            <w:shd w:val="clear" w:color="auto" w:fill="auto"/>
            <w:vAlign w:val="center"/>
          </w:tcPr>
          <w:p w:rsidR="00CB0706" w:rsidRPr="00C973F3" w:rsidP="0014426B" w14:paraId="7705BED1" w14:textId="77777777">
            <w:pPr>
              <w:keepNext/>
              <w:widowControl/>
              <w:rPr>
                <w:rFonts w:ascii="Calibri" w:eastAsia="Calibri" w:hAnsi="Calibri" w:cs="Calibri"/>
                <w:color w:val="000000"/>
                <w:sz w:val="18"/>
                <w:szCs w:val="18"/>
              </w:rPr>
            </w:pPr>
            <w:r w:rsidRPr="00C973F3">
              <w:rPr>
                <w:rFonts w:ascii="Calibri" w:eastAsia="Calibri" w:hAnsi="Calibri" w:cs="Calibri"/>
                <w:color w:val="000000"/>
                <w:sz w:val="18"/>
                <w:szCs w:val="18"/>
              </w:rPr>
              <w:t>Other Federal Positions</w:t>
            </w:r>
          </w:p>
        </w:tc>
        <w:tc>
          <w:tcPr>
            <w:tcW w:w="1316" w:type="dxa"/>
            <w:tcBorders>
              <w:top w:val="nil"/>
              <w:left w:val="nil"/>
              <w:bottom w:val="single" w:sz="4" w:space="0" w:color="000000"/>
              <w:right w:val="single" w:sz="4" w:space="0" w:color="000000"/>
            </w:tcBorders>
            <w:shd w:val="clear" w:color="auto" w:fill="auto"/>
            <w:vAlign w:val="center"/>
          </w:tcPr>
          <w:p w:rsidR="00CB0706" w:rsidRPr="00CB0706" w:rsidP="0014426B" w14:paraId="327651AF" w14:textId="77777777">
            <w:pPr>
              <w:keepNext/>
              <w:widowControl/>
              <w:rPr>
                <w:rFonts w:ascii="Calibri" w:eastAsia="Calibri" w:hAnsi="Calibri" w:cs="Calibri"/>
                <w:color w:val="000000"/>
                <w:sz w:val="18"/>
                <w:szCs w:val="18"/>
                <w:highlight w:val="cyan"/>
              </w:rPr>
            </w:pPr>
          </w:p>
        </w:tc>
        <w:tc>
          <w:tcPr>
            <w:tcW w:w="1340" w:type="dxa"/>
            <w:tcBorders>
              <w:top w:val="nil"/>
              <w:left w:val="nil"/>
              <w:bottom w:val="single" w:sz="4" w:space="0" w:color="000000"/>
              <w:right w:val="single" w:sz="4" w:space="0" w:color="000000"/>
            </w:tcBorders>
            <w:shd w:val="clear" w:color="auto" w:fill="auto"/>
            <w:vAlign w:val="center"/>
          </w:tcPr>
          <w:p w:rsidR="00CB0706" w:rsidRPr="00CB0706" w:rsidP="0014426B" w14:paraId="002886DC" w14:textId="77777777">
            <w:pPr>
              <w:keepNext/>
              <w:widowControl/>
              <w:rPr>
                <w:rFonts w:ascii="Calibri" w:eastAsia="Calibri" w:hAnsi="Calibri" w:cs="Calibri"/>
                <w:color w:val="000000"/>
                <w:sz w:val="18"/>
                <w:szCs w:val="18"/>
                <w:highlight w:val="cyan"/>
              </w:rPr>
            </w:pPr>
          </w:p>
        </w:tc>
        <w:tc>
          <w:tcPr>
            <w:tcW w:w="1316" w:type="dxa"/>
            <w:tcBorders>
              <w:top w:val="nil"/>
              <w:left w:val="nil"/>
              <w:bottom w:val="single" w:sz="4" w:space="0" w:color="000000"/>
              <w:right w:val="single" w:sz="4" w:space="0" w:color="000000"/>
            </w:tcBorders>
            <w:shd w:val="clear" w:color="auto" w:fill="auto"/>
            <w:vAlign w:val="center"/>
          </w:tcPr>
          <w:p w:rsidR="00CB0706" w:rsidRPr="00CB0706" w:rsidP="0014426B" w14:paraId="2DCA690F" w14:textId="77777777">
            <w:pPr>
              <w:keepNext/>
              <w:widowControl/>
              <w:rPr>
                <w:rFonts w:ascii="Calibri" w:eastAsia="Calibri" w:hAnsi="Calibri" w:cs="Calibri"/>
                <w:color w:val="000000"/>
                <w:sz w:val="18"/>
                <w:szCs w:val="18"/>
                <w:highlight w:val="cyan"/>
              </w:rPr>
            </w:pPr>
          </w:p>
        </w:tc>
        <w:tc>
          <w:tcPr>
            <w:tcW w:w="1505" w:type="dxa"/>
            <w:tcBorders>
              <w:top w:val="nil"/>
              <w:left w:val="nil"/>
              <w:bottom w:val="single" w:sz="4" w:space="0" w:color="000000"/>
              <w:right w:val="single" w:sz="4" w:space="0" w:color="000000"/>
            </w:tcBorders>
            <w:shd w:val="clear" w:color="auto" w:fill="808080"/>
            <w:vAlign w:val="center"/>
          </w:tcPr>
          <w:p w:rsidR="00CB0706" w:rsidRPr="00CB0706" w:rsidP="0014426B" w14:paraId="492D34B3" w14:textId="77777777">
            <w:pPr>
              <w:keepNext/>
              <w:widowControl/>
              <w:rPr>
                <w:rFonts w:ascii="Calibri" w:eastAsia="Calibri" w:hAnsi="Calibri" w:cs="Calibri"/>
                <w:color w:val="000000"/>
                <w:sz w:val="18"/>
                <w:szCs w:val="18"/>
                <w:highlight w:val="cyan"/>
              </w:rPr>
            </w:pPr>
          </w:p>
        </w:tc>
        <w:tc>
          <w:tcPr>
            <w:tcW w:w="1527" w:type="dxa"/>
            <w:tcBorders>
              <w:top w:val="nil"/>
              <w:left w:val="nil"/>
              <w:bottom w:val="single" w:sz="4" w:space="0" w:color="000000"/>
              <w:right w:val="single" w:sz="8" w:space="0" w:color="000000"/>
            </w:tcBorders>
            <w:shd w:val="clear" w:color="auto" w:fill="auto"/>
            <w:vAlign w:val="center"/>
          </w:tcPr>
          <w:p w:rsidR="00CB0706" w:rsidRPr="00CB0706" w:rsidP="0014426B" w14:paraId="664B8D7E" w14:textId="77777777">
            <w:pPr>
              <w:keepNext/>
              <w:widowControl/>
              <w:rPr>
                <w:rFonts w:ascii="Calibri" w:eastAsia="Calibri" w:hAnsi="Calibri" w:cs="Calibri"/>
                <w:color w:val="000000"/>
                <w:sz w:val="18"/>
                <w:szCs w:val="18"/>
                <w:highlight w:val="cyan"/>
              </w:rPr>
            </w:pPr>
          </w:p>
        </w:tc>
      </w:tr>
      <w:tr w14:paraId="47D53296" w14:textId="77777777" w:rsidTr="00DE161B">
        <w:tblPrEx>
          <w:tblW w:w="0" w:type="auto"/>
          <w:jc w:val="center"/>
          <w:tblLayout w:type="fixed"/>
          <w:tblLook w:val="0400"/>
        </w:tblPrEx>
        <w:trPr>
          <w:trHeight w:val="317"/>
          <w:jc w:val="center"/>
        </w:trPr>
        <w:tc>
          <w:tcPr>
            <w:tcW w:w="2682" w:type="dxa"/>
            <w:tcBorders>
              <w:top w:val="nil"/>
              <w:left w:val="single" w:sz="8" w:space="0" w:color="000000"/>
              <w:bottom w:val="single" w:sz="4" w:space="0" w:color="000000"/>
              <w:right w:val="single" w:sz="8" w:space="0" w:color="000000"/>
            </w:tcBorders>
            <w:shd w:val="clear" w:color="auto" w:fill="auto"/>
            <w:vAlign w:val="center"/>
          </w:tcPr>
          <w:p w:rsidR="00CB0706" w:rsidRPr="00C973F3" w:rsidP="0014426B" w14:paraId="7A5E9418" w14:textId="77777777">
            <w:pPr>
              <w:keepNext/>
              <w:widowControl/>
              <w:jc w:val="center"/>
              <w:rPr>
                <w:rFonts w:ascii="Calibri" w:eastAsia="Calibri" w:hAnsi="Calibri" w:cs="Calibri"/>
                <w:color w:val="000000"/>
                <w:sz w:val="18"/>
                <w:szCs w:val="18"/>
              </w:rPr>
            </w:pPr>
            <w:r w:rsidRPr="00C973F3">
              <w:rPr>
                <w:rFonts w:ascii="Calibri" w:eastAsia="Calibri" w:hAnsi="Calibri" w:cs="Calibri"/>
                <w:color w:val="000000"/>
                <w:sz w:val="18"/>
                <w:szCs w:val="18"/>
              </w:rPr>
              <w:t>Fisheries Program Specialist</w:t>
            </w:r>
          </w:p>
        </w:tc>
        <w:tc>
          <w:tcPr>
            <w:tcW w:w="1316" w:type="dxa"/>
            <w:tcBorders>
              <w:top w:val="nil"/>
              <w:left w:val="nil"/>
              <w:bottom w:val="single" w:sz="4" w:space="0" w:color="000000"/>
              <w:right w:val="single" w:sz="4" w:space="0" w:color="000000"/>
            </w:tcBorders>
            <w:shd w:val="clear" w:color="auto" w:fill="auto"/>
            <w:vAlign w:val="center"/>
          </w:tcPr>
          <w:p w:rsidR="00CB0706" w:rsidRPr="00CB0706" w:rsidP="0014426B" w14:paraId="3BC90A69" w14:textId="2F53A499">
            <w:pPr>
              <w:keepNext/>
              <w:widowControl/>
              <w:jc w:val="center"/>
              <w:rPr>
                <w:rFonts w:ascii="Calibri" w:eastAsia="Calibri" w:hAnsi="Calibri" w:cs="Calibri"/>
                <w:color w:val="000000"/>
                <w:sz w:val="18"/>
                <w:szCs w:val="18"/>
                <w:highlight w:val="cyan"/>
              </w:rPr>
            </w:pPr>
            <w:r>
              <w:rPr>
                <w:rFonts w:ascii="Calibri" w:eastAsia="Calibri" w:hAnsi="Calibri" w:cs="Calibri"/>
                <w:color w:val="000000"/>
                <w:sz w:val="18"/>
                <w:szCs w:val="18"/>
              </w:rPr>
              <w:t>ZP</w:t>
            </w:r>
            <w:r w:rsidRPr="00BB62C4">
              <w:rPr>
                <w:rFonts w:ascii="Calibri" w:eastAsia="Calibri" w:hAnsi="Calibri" w:cs="Calibri"/>
                <w:color w:val="000000"/>
                <w:sz w:val="18"/>
                <w:szCs w:val="18"/>
              </w:rPr>
              <w:t>-4 step 2 (GS 13-14</w:t>
            </w:r>
            <w:r>
              <w:rPr>
                <w:rFonts w:ascii="Calibri" w:eastAsia="Calibri" w:hAnsi="Calibri" w:cs="Calibri"/>
                <w:color w:val="000000"/>
                <w:sz w:val="18"/>
                <w:szCs w:val="18"/>
              </w:rPr>
              <w:t>)</w:t>
            </w:r>
          </w:p>
        </w:tc>
        <w:tc>
          <w:tcPr>
            <w:tcW w:w="1340" w:type="dxa"/>
            <w:tcBorders>
              <w:top w:val="nil"/>
              <w:left w:val="nil"/>
              <w:bottom w:val="single" w:sz="4" w:space="0" w:color="000000"/>
              <w:right w:val="single" w:sz="4" w:space="0" w:color="000000"/>
            </w:tcBorders>
            <w:shd w:val="clear" w:color="auto" w:fill="auto"/>
            <w:vAlign w:val="center"/>
          </w:tcPr>
          <w:p w:rsidR="00CB0706" w:rsidRPr="00BB62C4" w:rsidP="0014426B" w14:paraId="2AA1379C" w14:textId="77F9C007">
            <w:pPr>
              <w:keepNext/>
              <w:widowControl/>
              <w:jc w:val="center"/>
              <w:rPr>
                <w:rFonts w:ascii="Calibri" w:eastAsia="Calibri" w:hAnsi="Calibri" w:cs="Calibri"/>
                <w:color w:val="000000"/>
                <w:sz w:val="18"/>
                <w:szCs w:val="18"/>
              </w:rPr>
            </w:pPr>
            <w:r w:rsidRPr="00BB62C4">
              <w:rPr>
                <w:rFonts w:ascii="Calibri" w:eastAsia="Calibri" w:hAnsi="Calibri" w:cs="Calibri"/>
                <w:color w:val="000000"/>
                <w:sz w:val="18"/>
                <w:szCs w:val="18"/>
              </w:rPr>
              <w:t>$</w:t>
            </w:r>
            <w:r w:rsidR="00E92F3D">
              <w:rPr>
                <w:rFonts w:ascii="Calibri" w:eastAsia="Calibri" w:hAnsi="Calibri" w:cs="Calibri"/>
                <w:color w:val="000000"/>
                <w:sz w:val="18"/>
                <w:szCs w:val="18"/>
              </w:rPr>
              <w:t>256,653</w:t>
            </w:r>
          </w:p>
        </w:tc>
        <w:tc>
          <w:tcPr>
            <w:tcW w:w="1316" w:type="dxa"/>
            <w:tcBorders>
              <w:top w:val="nil"/>
              <w:left w:val="nil"/>
              <w:bottom w:val="single" w:sz="4" w:space="0" w:color="000000"/>
              <w:right w:val="single" w:sz="4" w:space="0" w:color="000000"/>
            </w:tcBorders>
            <w:shd w:val="clear" w:color="auto" w:fill="auto"/>
            <w:vAlign w:val="center"/>
          </w:tcPr>
          <w:p w:rsidR="00CB0706" w:rsidRPr="00BB62C4" w:rsidP="0014426B" w14:paraId="05DF30DF" w14:textId="77777777">
            <w:pPr>
              <w:keepNext/>
              <w:widowControl/>
              <w:jc w:val="center"/>
              <w:rPr>
                <w:rFonts w:ascii="Calibri" w:eastAsia="Calibri" w:hAnsi="Calibri" w:cs="Calibri"/>
                <w:color w:val="000000"/>
                <w:sz w:val="18"/>
                <w:szCs w:val="18"/>
              </w:rPr>
            </w:pPr>
            <w:r w:rsidRPr="00BB62C4">
              <w:rPr>
                <w:rFonts w:ascii="Calibri" w:eastAsia="Calibri" w:hAnsi="Calibri" w:cs="Calibri"/>
                <w:color w:val="000000"/>
                <w:sz w:val="18"/>
                <w:szCs w:val="18"/>
              </w:rPr>
              <w:t>0.1%</w:t>
            </w:r>
          </w:p>
        </w:tc>
        <w:tc>
          <w:tcPr>
            <w:tcW w:w="1505" w:type="dxa"/>
            <w:tcBorders>
              <w:top w:val="nil"/>
              <w:left w:val="nil"/>
              <w:bottom w:val="single" w:sz="4" w:space="0" w:color="000000"/>
              <w:right w:val="single" w:sz="4" w:space="0" w:color="000000"/>
            </w:tcBorders>
            <w:shd w:val="clear" w:color="auto" w:fill="808080"/>
            <w:vAlign w:val="center"/>
          </w:tcPr>
          <w:p w:rsidR="00CB0706" w:rsidRPr="00CB0706" w:rsidP="0014426B" w14:paraId="5E627C47" w14:textId="77777777">
            <w:pPr>
              <w:keepNext/>
              <w:widowControl/>
              <w:jc w:val="center"/>
              <w:rPr>
                <w:rFonts w:ascii="Calibri" w:eastAsia="Calibri" w:hAnsi="Calibri" w:cs="Calibri"/>
                <w:color w:val="000000"/>
                <w:sz w:val="18"/>
                <w:szCs w:val="18"/>
                <w:highlight w:val="cyan"/>
              </w:rPr>
            </w:pPr>
          </w:p>
        </w:tc>
        <w:tc>
          <w:tcPr>
            <w:tcW w:w="1527" w:type="dxa"/>
            <w:tcBorders>
              <w:top w:val="nil"/>
              <w:left w:val="nil"/>
              <w:bottom w:val="single" w:sz="4" w:space="0" w:color="000000"/>
              <w:right w:val="single" w:sz="8" w:space="0" w:color="000000"/>
            </w:tcBorders>
            <w:shd w:val="clear" w:color="auto" w:fill="auto"/>
            <w:vAlign w:val="center"/>
          </w:tcPr>
          <w:p w:rsidR="00CB0706" w:rsidRPr="00CB0706" w:rsidP="0014426B" w14:paraId="0346A283" w14:textId="5A90D372">
            <w:pPr>
              <w:keepNext/>
              <w:widowControl/>
              <w:jc w:val="center"/>
              <w:rPr>
                <w:rFonts w:ascii="Calibri" w:eastAsia="Calibri" w:hAnsi="Calibri" w:cs="Calibri"/>
                <w:color w:val="000000"/>
                <w:sz w:val="18"/>
                <w:szCs w:val="18"/>
                <w:highlight w:val="cyan"/>
              </w:rPr>
            </w:pPr>
            <w:r w:rsidRPr="00BB62C4">
              <w:rPr>
                <w:rFonts w:ascii="Calibri" w:eastAsia="Calibri" w:hAnsi="Calibri" w:cs="Calibri"/>
                <w:color w:val="000000"/>
                <w:sz w:val="18"/>
                <w:szCs w:val="18"/>
              </w:rPr>
              <w:t>25</w:t>
            </w:r>
            <w:r w:rsidR="00E92F3D">
              <w:rPr>
                <w:rFonts w:ascii="Calibri" w:eastAsia="Calibri" w:hAnsi="Calibri" w:cs="Calibri"/>
                <w:color w:val="000000"/>
                <w:sz w:val="18"/>
                <w:szCs w:val="18"/>
              </w:rPr>
              <w:t>6</w:t>
            </w:r>
          </w:p>
        </w:tc>
      </w:tr>
      <w:tr w14:paraId="7CF9A64E" w14:textId="77777777" w:rsidTr="00DE161B">
        <w:tblPrEx>
          <w:tblW w:w="0" w:type="auto"/>
          <w:jc w:val="center"/>
          <w:tblLayout w:type="fixed"/>
          <w:tblLook w:val="0400"/>
        </w:tblPrEx>
        <w:trPr>
          <w:trHeight w:val="317"/>
          <w:jc w:val="center"/>
        </w:trPr>
        <w:tc>
          <w:tcPr>
            <w:tcW w:w="2682" w:type="dxa"/>
            <w:tcBorders>
              <w:top w:val="nil"/>
              <w:left w:val="single" w:sz="8" w:space="0" w:color="auto"/>
              <w:bottom w:val="single" w:sz="4" w:space="0" w:color="auto"/>
              <w:right w:val="single" w:sz="8" w:space="0" w:color="auto"/>
            </w:tcBorders>
            <w:shd w:val="clear" w:color="auto" w:fill="auto"/>
            <w:vAlign w:val="center"/>
          </w:tcPr>
          <w:p w:rsidR="00CB0706" w:rsidRPr="00C973F3" w:rsidP="0014426B" w14:paraId="59028AC5" w14:textId="77777777">
            <w:pPr>
              <w:keepNext/>
              <w:widowControl/>
              <w:jc w:val="center"/>
              <w:rPr>
                <w:rFonts w:ascii="Calibri" w:eastAsia="Calibri" w:hAnsi="Calibri" w:cs="Calibri"/>
                <w:color w:val="000000"/>
                <w:sz w:val="18"/>
                <w:szCs w:val="18"/>
              </w:rPr>
            </w:pPr>
            <w:r w:rsidRPr="00C973F3">
              <w:rPr>
                <w:rFonts w:ascii="Calibri" w:hAnsi="Calibri" w:cs="Calibri"/>
                <w:color w:val="000000"/>
                <w:sz w:val="18"/>
                <w:szCs w:val="18"/>
              </w:rPr>
              <w:t>Appeals Attorney</w:t>
            </w:r>
          </w:p>
        </w:tc>
        <w:tc>
          <w:tcPr>
            <w:tcW w:w="1316" w:type="dxa"/>
            <w:tcBorders>
              <w:top w:val="nil"/>
              <w:left w:val="nil"/>
              <w:bottom w:val="single" w:sz="4" w:space="0" w:color="auto"/>
              <w:right w:val="single" w:sz="4" w:space="0" w:color="auto"/>
            </w:tcBorders>
            <w:shd w:val="clear" w:color="auto" w:fill="auto"/>
            <w:vAlign w:val="center"/>
          </w:tcPr>
          <w:p w:rsidR="00CB0706" w:rsidRPr="00DF38C0" w:rsidP="0014426B" w14:paraId="7F94A0C1" w14:textId="0718B8C1">
            <w:pPr>
              <w:keepNext/>
              <w:widowControl/>
              <w:jc w:val="center"/>
              <w:rPr>
                <w:rFonts w:ascii="Calibri" w:hAnsi="Calibri" w:cs="Calibri"/>
                <w:color w:val="000000"/>
                <w:sz w:val="18"/>
                <w:szCs w:val="18"/>
                <w:highlight w:val="cyan"/>
              </w:rPr>
            </w:pPr>
            <w:r w:rsidRPr="00DF38C0">
              <w:rPr>
                <w:rFonts w:ascii="Calibri" w:hAnsi="Calibri" w:cs="Calibri"/>
                <w:color w:val="000000"/>
                <w:sz w:val="18"/>
                <w:szCs w:val="18"/>
              </w:rPr>
              <w:t xml:space="preserve">GS 14 </w:t>
            </w:r>
          </w:p>
        </w:tc>
        <w:tc>
          <w:tcPr>
            <w:tcW w:w="1340" w:type="dxa"/>
            <w:tcBorders>
              <w:top w:val="nil"/>
              <w:left w:val="nil"/>
              <w:bottom w:val="single" w:sz="4" w:space="0" w:color="auto"/>
              <w:right w:val="single" w:sz="4" w:space="0" w:color="auto"/>
            </w:tcBorders>
            <w:shd w:val="clear" w:color="auto" w:fill="auto"/>
            <w:vAlign w:val="center"/>
          </w:tcPr>
          <w:p w:rsidR="00CB0706" w:rsidRPr="00CB0706" w:rsidP="0014426B" w14:paraId="03E8195B" w14:textId="1BCBB0C8">
            <w:pPr>
              <w:keepNext/>
              <w:widowControl/>
              <w:jc w:val="center"/>
              <w:rPr>
                <w:rFonts w:ascii="Calibri" w:eastAsia="Calibri" w:hAnsi="Calibri" w:cs="Calibri"/>
                <w:color w:val="000000"/>
                <w:sz w:val="18"/>
                <w:szCs w:val="18"/>
                <w:highlight w:val="cyan"/>
              </w:rPr>
            </w:pPr>
            <w:r w:rsidRPr="00DF38C0">
              <w:rPr>
                <w:rFonts w:ascii="Calibri" w:hAnsi="Calibri" w:cs="Calibri"/>
                <w:color w:val="000000"/>
                <w:sz w:val="18"/>
                <w:szCs w:val="18"/>
              </w:rPr>
              <w:t>$2</w:t>
            </w:r>
            <w:r w:rsidR="00E92F3D">
              <w:rPr>
                <w:rFonts w:ascii="Calibri" w:hAnsi="Calibri" w:cs="Calibri"/>
                <w:color w:val="000000"/>
                <w:sz w:val="18"/>
                <w:szCs w:val="18"/>
              </w:rPr>
              <w:t>81,555</w:t>
            </w:r>
            <w:r w:rsidRPr="00DF38C0">
              <w:rPr>
                <w:rFonts w:ascii="Calibri" w:hAnsi="Calibri" w:cs="Calibri"/>
                <w:color w:val="000000"/>
                <w:sz w:val="18"/>
                <w:szCs w:val="18"/>
              </w:rPr>
              <w:t>,448</w:t>
            </w:r>
          </w:p>
        </w:tc>
        <w:tc>
          <w:tcPr>
            <w:tcW w:w="1316" w:type="dxa"/>
            <w:tcBorders>
              <w:top w:val="nil"/>
              <w:left w:val="nil"/>
              <w:bottom w:val="single" w:sz="4" w:space="0" w:color="auto"/>
              <w:right w:val="single" w:sz="4" w:space="0" w:color="auto"/>
            </w:tcBorders>
            <w:shd w:val="clear" w:color="auto" w:fill="auto"/>
            <w:vAlign w:val="center"/>
          </w:tcPr>
          <w:p w:rsidR="00CB0706" w:rsidRPr="00CB0706" w:rsidP="0014426B" w14:paraId="7A217AAB" w14:textId="77777777">
            <w:pPr>
              <w:keepNext/>
              <w:widowControl/>
              <w:jc w:val="center"/>
              <w:rPr>
                <w:rFonts w:ascii="Calibri" w:eastAsia="Calibri" w:hAnsi="Calibri" w:cs="Calibri"/>
                <w:color w:val="000000"/>
                <w:sz w:val="18"/>
                <w:szCs w:val="18"/>
                <w:highlight w:val="cyan"/>
              </w:rPr>
            </w:pPr>
            <w:r w:rsidRPr="00DF38C0">
              <w:rPr>
                <w:rFonts w:ascii="Calibri" w:hAnsi="Calibri" w:cs="Calibri"/>
                <w:color w:val="000000"/>
                <w:sz w:val="18"/>
                <w:szCs w:val="18"/>
              </w:rPr>
              <w:t>0.2%</w:t>
            </w:r>
          </w:p>
        </w:tc>
        <w:tc>
          <w:tcPr>
            <w:tcW w:w="1505" w:type="dxa"/>
            <w:tcBorders>
              <w:top w:val="nil"/>
              <w:left w:val="nil"/>
              <w:bottom w:val="single" w:sz="4" w:space="0" w:color="auto"/>
              <w:right w:val="single" w:sz="4" w:space="0" w:color="auto"/>
            </w:tcBorders>
            <w:shd w:val="clear" w:color="000000" w:fill="808080"/>
            <w:vAlign w:val="center"/>
          </w:tcPr>
          <w:p w:rsidR="00CB0706" w:rsidRPr="00CB0706" w:rsidP="0014426B" w14:paraId="716BDE51" w14:textId="77777777">
            <w:pPr>
              <w:keepNext/>
              <w:widowControl/>
              <w:jc w:val="center"/>
              <w:rPr>
                <w:rFonts w:ascii="Calibri" w:eastAsia="Calibri" w:hAnsi="Calibri" w:cs="Calibri"/>
                <w:color w:val="000000"/>
                <w:sz w:val="18"/>
                <w:szCs w:val="18"/>
                <w:highlight w:val="cyan"/>
              </w:rPr>
            </w:pPr>
          </w:p>
        </w:tc>
        <w:tc>
          <w:tcPr>
            <w:tcW w:w="1527" w:type="dxa"/>
            <w:tcBorders>
              <w:top w:val="nil"/>
              <w:left w:val="nil"/>
              <w:bottom w:val="single" w:sz="4" w:space="0" w:color="auto"/>
              <w:right w:val="single" w:sz="8" w:space="0" w:color="auto"/>
            </w:tcBorders>
            <w:shd w:val="clear" w:color="auto" w:fill="auto"/>
            <w:vAlign w:val="center"/>
          </w:tcPr>
          <w:p w:rsidR="00CB0706" w:rsidRPr="00CB0706" w:rsidP="0014426B" w14:paraId="523CAE5A" w14:textId="70499F6D">
            <w:pPr>
              <w:keepNext/>
              <w:widowControl/>
              <w:jc w:val="center"/>
              <w:rPr>
                <w:rFonts w:ascii="Calibri" w:eastAsia="Calibri" w:hAnsi="Calibri" w:cs="Calibri"/>
                <w:color w:val="000000"/>
                <w:sz w:val="18"/>
                <w:szCs w:val="18"/>
                <w:highlight w:val="cyan"/>
              </w:rPr>
            </w:pPr>
            <w:r w:rsidRPr="00DF38C0">
              <w:rPr>
                <w:rFonts w:ascii="Calibri" w:hAnsi="Calibri" w:cs="Calibri"/>
                <w:color w:val="000000"/>
                <w:sz w:val="18"/>
                <w:szCs w:val="18"/>
              </w:rPr>
              <w:t>5</w:t>
            </w:r>
            <w:r w:rsidR="00E92F3D">
              <w:rPr>
                <w:rFonts w:ascii="Calibri" w:hAnsi="Calibri" w:cs="Calibri"/>
                <w:color w:val="000000"/>
                <w:sz w:val="18"/>
                <w:szCs w:val="18"/>
              </w:rPr>
              <w:t>63</w:t>
            </w:r>
          </w:p>
        </w:tc>
      </w:tr>
      <w:tr w14:paraId="2E6A5FF9" w14:textId="77777777" w:rsidTr="00DE161B">
        <w:tblPrEx>
          <w:tblW w:w="0" w:type="auto"/>
          <w:jc w:val="center"/>
          <w:tblLayout w:type="fixed"/>
          <w:tblLook w:val="0400"/>
        </w:tblPrEx>
        <w:trPr>
          <w:trHeight w:val="317"/>
          <w:jc w:val="center"/>
        </w:trPr>
        <w:tc>
          <w:tcPr>
            <w:tcW w:w="2682" w:type="dxa"/>
            <w:tcBorders>
              <w:top w:val="nil"/>
              <w:left w:val="single" w:sz="8" w:space="0" w:color="000000"/>
              <w:bottom w:val="single" w:sz="4" w:space="0" w:color="000000"/>
              <w:right w:val="single" w:sz="8" w:space="0" w:color="000000"/>
            </w:tcBorders>
            <w:shd w:val="clear" w:color="auto" w:fill="auto"/>
            <w:vAlign w:val="center"/>
          </w:tcPr>
          <w:p w:rsidR="00CB0706" w:rsidRPr="00C973F3" w:rsidP="0014426B" w14:paraId="106E08F5" w14:textId="77777777">
            <w:pPr>
              <w:keepNext/>
              <w:widowControl/>
              <w:rPr>
                <w:rFonts w:ascii="Calibri" w:eastAsia="Calibri" w:hAnsi="Calibri" w:cs="Calibri"/>
                <w:b/>
                <w:color w:val="000000"/>
                <w:sz w:val="18"/>
                <w:szCs w:val="18"/>
              </w:rPr>
            </w:pPr>
            <w:r w:rsidRPr="00C973F3">
              <w:rPr>
                <w:rFonts w:ascii="Calibri" w:eastAsia="Calibri" w:hAnsi="Calibri" w:cs="Calibri"/>
                <w:b/>
                <w:color w:val="000000"/>
                <w:sz w:val="18"/>
                <w:szCs w:val="18"/>
              </w:rPr>
              <w:t>Contractor Cost</w:t>
            </w:r>
          </w:p>
        </w:tc>
        <w:tc>
          <w:tcPr>
            <w:tcW w:w="1316" w:type="dxa"/>
            <w:tcBorders>
              <w:top w:val="nil"/>
              <w:left w:val="nil"/>
              <w:bottom w:val="single" w:sz="4" w:space="0" w:color="000000"/>
              <w:right w:val="single" w:sz="4" w:space="0" w:color="000000"/>
            </w:tcBorders>
            <w:shd w:val="clear" w:color="auto" w:fill="808080"/>
            <w:vAlign w:val="center"/>
          </w:tcPr>
          <w:p w:rsidR="00CB0706" w:rsidRPr="00CB0706" w:rsidP="0014426B" w14:paraId="685A53FA" w14:textId="77777777">
            <w:pPr>
              <w:keepNext/>
              <w:widowControl/>
              <w:rPr>
                <w:rFonts w:ascii="Calibri" w:eastAsia="Calibri" w:hAnsi="Calibri" w:cs="Calibri"/>
                <w:color w:val="000000"/>
                <w:sz w:val="18"/>
                <w:szCs w:val="18"/>
                <w:highlight w:val="cyan"/>
              </w:rPr>
            </w:pPr>
          </w:p>
        </w:tc>
        <w:tc>
          <w:tcPr>
            <w:tcW w:w="1340" w:type="dxa"/>
            <w:tcBorders>
              <w:top w:val="nil"/>
              <w:left w:val="nil"/>
              <w:bottom w:val="single" w:sz="4" w:space="0" w:color="000000"/>
              <w:right w:val="single" w:sz="4" w:space="0" w:color="000000"/>
            </w:tcBorders>
            <w:shd w:val="clear" w:color="auto" w:fill="auto"/>
            <w:vAlign w:val="center"/>
          </w:tcPr>
          <w:p w:rsidR="00CB0706" w:rsidRPr="00CB0706" w:rsidP="0014426B" w14:paraId="6C5487C4" w14:textId="77777777">
            <w:pPr>
              <w:keepNext/>
              <w:widowControl/>
              <w:rPr>
                <w:rFonts w:ascii="Calibri" w:eastAsia="Calibri" w:hAnsi="Calibri" w:cs="Calibri"/>
                <w:color w:val="000000"/>
                <w:sz w:val="18"/>
                <w:szCs w:val="18"/>
                <w:highlight w:val="cyan"/>
              </w:rPr>
            </w:pPr>
          </w:p>
        </w:tc>
        <w:tc>
          <w:tcPr>
            <w:tcW w:w="1316" w:type="dxa"/>
            <w:tcBorders>
              <w:top w:val="nil"/>
              <w:left w:val="nil"/>
              <w:bottom w:val="single" w:sz="4" w:space="0" w:color="000000"/>
              <w:right w:val="single" w:sz="4" w:space="0" w:color="000000"/>
            </w:tcBorders>
            <w:shd w:val="clear" w:color="auto" w:fill="auto"/>
            <w:vAlign w:val="center"/>
          </w:tcPr>
          <w:p w:rsidR="00CB0706" w:rsidRPr="00CB0706" w:rsidP="0014426B" w14:paraId="01E96444" w14:textId="77777777">
            <w:pPr>
              <w:keepNext/>
              <w:widowControl/>
              <w:rPr>
                <w:rFonts w:ascii="Calibri" w:eastAsia="Calibri" w:hAnsi="Calibri" w:cs="Calibri"/>
                <w:color w:val="000000"/>
                <w:sz w:val="18"/>
                <w:szCs w:val="18"/>
                <w:highlight w:val="cyan"/>
              </w:rPr>
            </w:pPr>
          </w:p>
        </w:tc>
        <w:tc>
          <w:tcPr>
            <w:tcW w:w="1505" w:type="dxa"/>
            <w:tcBorders>
              <w:top w:val="nil"/>
              <w:left w:val="nil"/>
              <w:bottom w:val="single" w:sz="4" w:space="0" w:color="000000"/>
              <w:right w:val="single" w:sz="4" w:space="0" w:color="000000"/>
            </w:tcBorders>
            <w:shd w:val="clear" w:color="auto" w:fill="auto"/>
            <w:vAlign w:val="center"/>
          </w:tcPr>
          <w:p w:rsidR="00CB0706" w:rsidRPr="00CB0706" w:rsidP="0014426B" w14:paraId="71B83421" w14:textId="77777777">
            <w:pPr>
              <w:keepNext/>
              <w:widowControl/>
              <w:rPr>
                <w:rFonts w:ascii="Calibri" w:eastAsia="Calibri" w:hAnsi="Calibri" w:cs="Calibri"/>
                <w:color w:val="000000"/>
                <w:sz w:val="18"/>
                <w:szCs w:val="18"/>
                <w:highlight w:val="cyan"/>
              </w:rPr>
            </w:pPr>
          </w:p>
        </w:tc>
        <w:tc>
          <w:tcPr>
            <w:tcW w:w="1527" w:type="dxa"/>
            <w:tcBorders>
              <w:top w:val="nil"/>
              <w:left w:val="nil"/>
              <w:bottom w:val="single" w:sz="4" w:space="0" w:color="000000"/>
              <w:right w:val="single" w:sz="8" w:space="0" w:color="000000"/>
            </w:tcBorders>
            <w:shd w:val="clear" w:color="auto" w:fill="auto"/>
            <w:vAlign w:val="center"/>
          </w:tcPr>
          <w:p w:rsidR="00CB0706" w:rsidRPr="00C973F3" w:rsidP="0014426B" w14:paraId="42B4D55E" w14:textId="77777777">
            <w:pPr>
              <w:keepNext/>
              <w:widowControl/>
              <w:jc w:val="center"/>
              <w:rPr>
                <w:rFonts w:ascii="Calibri" w:eastAsia="Calibri" w:hAnsi="Calibri" w:cs="Calibri"/>
                <w:color w:val="000000"/>
                <w:sz w:val="18"/>
                <w:szCs w:val="18"/>
              </w:rPr>
            </w:pPr>
            <w:r w:rsidRPr="00C973F3">
              <w:rPr>
                <w:rFonts w:ascii="Calibri" w:eastAsia="Calibri" w:hAnsi="Calibri" w:cs="Calibri"/>
                <w:color w:val="000000"/>
                <w:sz w:val="18"/>
                <w:szCs w:val="18"/>
              </w:rPr>
              <w:t>—</w:t>
            </w:r>
          </w:p>
        </w:tc>
      </w:tr>
      <w:tr w14:paraId="0DAC67AD" w14:textId="77777777" w:rsidTr="00DE161B">
        <w:tblPrEx>
          <w:tblW w:w="0" w:type="auto"/>
          <w:jc w:val="center"/>
          <w:tblLayout w:type="fixed"/>
          <w:tblLook w:val="0400"/>
        </w:tblPrEx>
        <w:trPr>
          <w:trHeight w:val="317"/>
          <w:jc w:val="center"/>
        </w:trPr>
        <w:tc>
          <w:tcPr>
            <w:tcW w:w="2682" w:type="dxa"/>
            <w:tcBorders>
              <w:top w:val="nil"/>
              <w:left w:val="single" w:sz="8" w:space="0" w:color="000000"/>
              <w:bottom w:val="single" w:sz="4" w:space="0" w:color="000000"/>
              <w:right w:val="single" w:sz="8" w:space="0" w:color="000000"/>
            </w:tcBorders>
            <w:shd w:val="clear" w:color="auto" w:fill="auto"/>
            <w:vAlign w:val="center"/>
          </w:tcPr>
          <w:p w:rsidR="00CB0706" w:rsidRPr="00C973F3" w:rsidP="0014426B" w14:paraId="41F0B1B8" w14:textId="77777777">
            <w:pPr>
              <w:keepNext/>
              <w:widowControl/>
              <w:rPr>
                <w:rFonts w:ascii="Calibri" w:eastAsia="Calibri" w:hAnsi="Calibri" w:cs="Calibri"/>
                <w:b/>
                <w:color w:val="000000"/>
                <w:sz w:val="18"/>
                <w:szCs w:val="18"/>
              </w:rPr>
            </w:pPr>
            <w:r w:rsidRPr="00C973F3">
              <w:rPr>
                <w:rFonts w:ascii="Calibri" w:eastAsia="Calibri" w:hAnsi="Calibri" w:cs="Calibri"/>
                <w:b/>
                <w:color w:val="000000"/>
                <w:sz w:val="18"/>
                <w:szCs w:val="18"/>
              </w:rPr>
              <w:t>Travel</w:t>
            </w:r>
          </w:p>
        </w:tc>
        <w:tc>
          <w:tcPr>
            <w:tcW w:w="1316" w:type="dxa"/>
            <w:tcBorders>
              <w:top w:val="nil"/>
              <w:left w:val="nil"/>
              <w:bottom w:val="single" w:sz="4" w:space="0" w:color="000000"/>
              <w:right w:val="single" w:sz="4" w:space="0" w:color="000000"/>
            </w:tcBorders>
            <w:shd w:val="clear" w:color="auto" w:fill="808080"/>
            <w:vAlign w:val="center"/>
          </w:tcPr>
          <w:p w:rsidR="00CB0706" w:rsidRPr="00CB0706" w:rsidP="0014426B" w14:paraId="49DEA6A7" w14:textId="77777777">
            <w:pPr>
              <w:keepNext/>
              <w:widowControl/>
              <w:rPr>
                <w:rFonts w:ascii="Calibri" w:eastAsia="Calibri" w:hAnsi="Calibri" w:cs="Calibri"/>
                <w:color w:val="000000"/>
                <w:sz w:val="18"/>
                <w:szCs w:val="18"/>
                <w:highlight w:val="cyan"/>
              </w:rPr>
            </w:pPr>
          </w:p>
        </w:tc>
        <w:tc>
          <w:tcPr>
            <w:tcW w:w="1340" w:type="dxa"/>
            <w:tcBorders>
              <w:top w:val="nil"/>
              <w:left w:val="nil"/>
              <w:bottom w:val="single" w:sz="4" w:space="0" w:color="000000"/>
              <w:right w:val="single" w:sz="4" w:space="0" w:color="000000"/>
            </w:tcBorders>
            <w:shd w:val="clear" w:color="auto" w:fill="808080"/>
            <w:vAlign w:val="center"/>
          </w:tcPr>
          <w:p w:rsidR="00CB0706" w:rsidRPr="00CB0706" w:rsidP="0014426B" w14:paraId="7DAC2117" w14:textId="77777777">
            <w:pPr>
              <w:keepNext/>
              <w:widowControl/>
              <w:rPr>
                <w:rFonts w:ascii="Calibri" w:eastAsia="Calibri" w:hAnsi="Calibri" w:cs="Calibri"/>
                <w:color w:val="000000"/>
                <w:sz w:val="18"/>
                <w:szCs w:val="18"/>
                <w:highlight w:val="cyan"/>
              </w:rPr>
            </w:pPr>
          </w:p>
        </w:tc>
        <w:tc>
          <w:tcPr>
            <w:tcW w:w="1316" w:type="dxa"/>
            <w:tcBorders>
              <w:top w:val="nil"/>
              <w:left w:val="nil"/>
              <w:bottom w:val="single" w:sz="4" w:space="0" w:color="000000"/>
              <w:right w:val="single" w:sz="4" w:space="0" w:color="000000"/>
            </w:tcBorders>
            <w:shd w:val="clear" w:color="auto" w:fill="808080"/>
            <w:vAlign w:val="center"/>
          </w:tcPr>
          <w:p w:rsidR="00CB0706" w:rsidRPr="00CB0706" w:rsidP="0014426B" w14:paraId="4F7E7A0C" w14:textId="77777777">
            <w:pPr>
              <w:keepNext/>
              <w:widowControl/>
              <w:rPr>
                <w:rFonts w:ascii="Calibri" w:eastAsia="Calibri" w:hAnsi="Calibri" w:cs="Calibri"/>
                <w:color w:val="000000"/>
                <w:sz w:val="18"/>
                <w:szCs w:val="18"/>
                <w:highlight w:val="cyan"/>
              </w:rPr>
            </w:pPr>
          </w:p>
        </w:tc>
        <w:tc>
          <w:tcPr>
            <w:tcW w:w="1505" w:type="dxa"/>
            <w:tcBorders>
              <w:top w:val="nil"/>
              <w:left w:val="nil"/>
              <w:bottom w:val="single" w:sz="4" w:space="0" w:color="000000"/>
              <w:right w:val="single" w:sz="4" w:space="0" w:color="000000"/>
            </w:tcBorders>
            <w:shd w:val="clear" w:color="auto" w:fill="808080"/>
            <w:vAlign w:val="center"/>
          </w:tcPr>
          <w:p w:rsidR="00CB0706" w:rsidRPr="00CB0706" w:rsidP="0014426B" w14:paraId="421D0097" w14:textId="77777777">
            <w:pPr>
              <w:keepNext/>
              <w:widowControl/>
              <w:rPr>
                <w:rFonts w:ascii="Calibri" w:eastAsia="Calibri" w:hAnsi="Calibri" w:cs="Calibri"/>
                <w:color w:val="000000"/>
                <w:sz w:val="18"/>
                <w:szCs w:val="18"/>
                <w:highlight w:val="cyan"/>
              </w:rPr>
            </w:pPr>
          </w:p>
        </w:tc>
        <w:tc>
          <w:tcPr>
            <w:tcW w:w="1527" w:type="dxa"/>
            <w:tcBorders>
              <w:top w:val="nil"/>
              <w:left w:val="nil"/>
              <w:bottom w:val="single" w:sz="4" w:space="0" w:color="000000"/>
              <w:right w:val="single" w:sz="8" w:space="0" w:color="000000"/>
            </w:tcBorders>
            <w:shd w:val="clear" w:color="auto" w:fill="auto"/>
            <w:vAlign w:val="center"/>
          </w:tcPr>
          <w:p w:rsidR="00CB0706" w:rsidRPr="00C973F3" w:rsidP="0014426B" w14:paraId="6DAC7FB6" w14:textId="77777777">
            <w:pPr>
              <w:keepNext/>
              <w:widowControl/>
              <w:jc w:val="center"/>
              <w:rPr>
                <w:rFonts w:ascii="Calibri" w:eastAsia="Calibri" w:hAnsi="Calibri" w:cs="Calibri"/>
                <w:color w:val="000000"/>
                <w:sz w:val="18"/>
                <w:szCs w:val="18"/>
              </w:rPr>
            </w:pPr>
            <w:r w:rsidRPr="00C973F3">
              <w:rPr>
                <w:rFonts w:ascii="Calibri" w:eastAsia="Calibri" w:hAnsi="Calibri" w:cs="Calibri"/>
                <w:color w:val="000000"/>
                <w:sz w:val="18"/>
                <w:szCs w:val="18"/>
              </w:rPr>
              <w:t>—</w:t>
            </w:r>
          </w:p>
        </w:tc>
      </w:tr>
      <w:tr w14:paraId="005102FC" w14:textId="77777777" w:rsidTr="00DE161B">
        <w:tblPrEx>
          <w:tblW w:w="0" w:type="auto"/>
          <w:jc w:val="center"/>
          <w:tblLayout w:type="fixed"/>
          <w:tblLook w:val="0400"/>
        </w:tblPrEx>
        <w:trPr>
          <w:trHeight w:val="317"/>
          <w:jc w:val="center"/>
        </w:trPr>
        <w:tc>
          <w:tcPr>
            <w:tcW w:w="2682" w:type="dxa"/>
            <w:tcBorders>
              <w:top w:val="single" w:sz="4" w:space="0" w:color="000000"/>
              <w:left w:val="single" w:sz="8" w:space="0" w:color="000000"/>
              <w:bottom w:val="single" w:sz="4" w:space="0" w:color="000000"/>
              <w:right w:val="single" w:sz="8" w:space="0" w:color="000000"/>
            </w:tcBorders>
            <w:shd w:val="clear" w:color="auto" w:fill="auto"/>
            <w:vAlign w:val="center"/>
          </w:tcPr>
          <w:p w:rsidR="00CB0706" w:rsidRPr="00C973F3" w:rsidP="0014426B" w14:paraId="2A120362" w14:textId="77777777">
            <w:pPr>
              <w:keepNext/>
              <w:widowControl/>
              <w:rPr>
                <w:rFonts w:ascii="Calibri" w:eastAsia="Calibri" w:hAnsi="Calibri" w:cs="Calibri"/>
                <w:b/>
                <w:color w:val="000000"/>
                <w:sz w:val="18"/>
                <w:szCs w:val="18"/>
              </w:rPr>
            </w:pPr>
            <w:r w:rsidRPr="00C973F3">
              <w:rPr>
                <w:rFonts w:ascii="Calibri" w:eastAsia="Calibri" w:hAnsi="Calibri" w:cs="Calibri"/>
                <w:b/>
                <w:color w:val="000000"/>
                <w:sz w:val="18"/>
                <w:szCs w:val="18"/>
              </w:rPr>
              <w:t xml:space="preserve">Other Costs: </w:t>
            </w:r>
          </w:p>
        </w:tc>
        <w:tc>
          <w:tcPr>
            <w:tcW w:w="1316" w:type="dxa"/>
            <w:tcBorders>
              <w:top w:val="single" w:sz="4" w:space="0" w:color="000000"/>
              <w:left w:val="nil"/>
              <w:bottom w:val="single" w:sz="4" w:space="0" w:color="000000"/>
              <w:right w:val="single" w:sz="4" w:space="0" w:color="000000"/>
            </w:tcBorders>
            <w:shd w:val="clear" w:color="auto" w:fill="808080"/>
            <w:vAlign w:val="center"/>
          </w:tcPr>
          <w:p w:rsidR="00CB0706" w:rsidRPr="00CB0706" w:rsidP="0014426B" w14:paraId="10188E89" w14:textId="77777777">
            <w:pPr>
              <w:keepNext/>
              <w:widowControl/>
              <w:rPr>
                <w:rFonts w:ascii="Calibri" w:eastAsia="Calibri" w:hAnsi="Calibri" w:cs="Calibri"/>
                <w:color w:val="000000"/>
                <w:sz w:val="18"/>
                <w:szCs w:val="18"/>
                <w:highlight w:val="cyan"/>
              </w:rPr>
            </w:pPr>
          </w:p>
        </w:tc>
        <w:tc>
          <w:tcPr>
            <w:tcW w:w="1340" w:type="dxa"/>
            <w:tcBorders>
              <w:top w:val="single" w:sz="4" w:space="0" w:color="000000"/>
              <w:left w:val="nil"/>
              <w:bottom w:val="single" w:sz="4" w:space="0" w:color="000000"/>
              <w:right w:val="single" w:sz="4" w:space="0" w:color="000000"/>
            </w:tcBorders>
            <w:shd w:val="clear" w:color="auto" w:fill="808080"/>
            <w:vAlign w:val="center"/>
          </w:tcPr>
          <w:p w:rsidR="00CB0706" w:rsidRPr="00CB0706" w:rsidP="0014426B" w14:paraId="1920DFA2" w14:textId="77777777">
            <w:pPr>
              <w:keepNext/>
              <w:widowControl/>
              <w:rPr>
                <w:rFonts w:ascii="Calibri" w:eastAsia="Calibri" w:hAnsi="Calibri" w:cs="Calibri"/>
                <w:color w:val="000000"/>
                <w:sz w:val="18"/>
                <w:szCs w:val="18"/>
                <w:highlight w:val="cyan"/>
              </w:rPr>
            </w:pPr>
          </w:p>
        </w:tc>
        <w:tc>
          <w:tcPr>
            <w:tcW w:w="1316" w:type="dxa"/>
            <w:tcBorders>
              <w:top w:val="single" w:sz="4" w:space="0" w:color="000000"/>
              <w:left w:val="nil"/>
              <w:bottom w:val="single" w:sz="4" w:space="0" w:color="000000"/>
              <w:right w:val="single" w:sz="4" w:space="0" w:color="000000"/>
            </w:tcBorders>
            <w:shd w:val="clear" w:color="auto" w:fill="808080"/>
            <w:vAlign w:val="center"/>
          </w:tcPr>
          <w:p w:rsidR="00CB0706" w:rsidRPr="00CB0706" w:rsidP="0014426B" w14:paraId="1D3016BB" w14:textId="77777777">
            <w:pPr>
              <w:keepNext/>
              <w:widowControl/>
              <w:rPr>
                <w:rFonts w:ascii="Calibri" w:eastAsia="Calibri" w:hAnsi="Calibri" w:cs="Calibri"/>
                <w:color w:val="000000"/>
                <w:sz w:val="18"/>
                <w:szCs w:val="18"/>
                <w:highlight w:val="cyan"/>
              </w:rPr>
            </w:pPr>
          </w:p>
        </w:tc>
        <w:tc>
          <w:tcPr>
            <w:tcW w:w="1505" w:type="dxa"/>
            <w:tcBorders>
              <w:top w:val="single" w:sz="4" w:space="0" w:color="000000"/>
              <w:left w:val="nil"/>
              <w:bottom w:val="single" w:sz="4" w:space="0" w:color="000000"/>
              <w:right w:val="single" w:sz="4" w:space="0" w:color="000000"/>
            </w:tcBorders>
            <w:shd w:val="clear" w:color="auto" w:fill="808080"/>
            <w:vAlign w:val="center"/>
          </w:tcPr>
          <w:p w:rsidR="00CB0706" w:rsidRPr="00CB0706" w:rsidP="0014426B" w14:paraId="58E4C558" w14:textId="77777777">
            <w:pPr>
              <w:keepNext/>
              <w:widowControl/>
              <w:rPr>
                <w:rFonts w:ascii="Calibri" w:eastAsia="Calibri" w:hAnsi="Calibri" w:cs="Calibri"/>
                <w:color w:val="000000"/>
                <w:sz w:val="18"/>
                <w:szCs w:val="18"/>
                <w:highlight w:val="cyan"/>
              </w:rPr>
            </w:pPr>
          </w:p>
        </w:tc>
        <w:tc>
          <w:tcPr>
            <w:tcW w:w="1527" w:type="dxa"/>
            <w:tcBorders>
              <w:top w:val="single" w:sz="4" w:space="0" w:color="000000"/>
              <w:left w:val="nil"/>
              <w:bottom w:val="single" w:sz="4" w:space="0" w:color="000000"/>
              <w:right w:val="single" w:sz="8" w:space="0" w:color="000000"/>
            </w:tcBorders>
            <w:shd w:val="clear" w:color="auto" w:fill="auto"/>
            <w:vAlign w:val="center"/>
          </w:tcPr>
          <w:p w:rsidR="00CB0706" w:rsidRPr="00C973F3" w:rsidP="0014426B" w14:paraId="5B73B0C3" w14:textId="77777777">
            <w:pPr>
              <w:keepNext/>
              <w:widowControl/>
              <w:jc w:val="center"/>
              <w:rPr>
                <w:rFonts w:ascii="Calibri" w:eastAsia="Calibri" w:hAnsi="Calibri" w:cs="Calibri"/>
                <w:color w:val="000000"/>
                <w:sz w:val="18"/>
                <w:szCs w:val="18"/>
              </w:rPr>
            </w:pPr>
            <w:r w:rsidRPr="00C973F3">
              <w:rPr>
                <w:rFonts w:ascii="Calibri" w:eastAsia="Calibri" w:hAnsi="Calibri" w:cs="Calibri"/>
                <w:color w:val="000000"/>
                <w:sz w:val="18"/>
                <w:szCs w:val="18"/>
              </w:rPr>
              <w:t>—</w:t>
            </w:r>
          </w:p>
        </w:tc>
      </w:tr>
      <w:tr w14:paraId="3A49524B" w14:textId="77777777" w:rsidTr="00DE161B">
        <w:tblPrEx>
          <w:tblW w:w="0" w:type="auto"/>
          <w:jc w:val="center"/>
          <w:tblLayout w:type="fixed"/>
          <w:tblLook w:val="0400"/>
        </w:tblPrEx>
        <w:trPr>
          <w:trHeight w:val="317"/>
          <w:jc w:val="center"/>
        </w:trPr>
        <w:tc>
          <w:tcPr>
            <w:tcW w:w="2682" w:type="dxa"/>
            <w:tcBorders>
              <w:top w:val="single" w:sz="4" w:space="0" w:color="000000"/>
              <w:left w:val="single" w:sz="8" w:space="0" w:color="000000"/>
              <w:bottom w:val="single" w:sz="8" w:space="0" w:color="000000"/>
              <w:right w:val="single" w:sz="8" w:space="0" w:color="000000"/>
            </w:tcBorders>
            <w:shd w:val="clear" w:color="auto" w:fill="DDEBF7"/>
            <w:vAlign w:val="center"/>
          </w:tcPr>
          <w:p w:rsidR="00CB0706" w:rsidRPr="00C973F3" w:rsidP="0014426B" w14:paraId="3EEC1E5E" w14:textId="3E5B4CBB">
            <w:pPr>
              <w:keepNext/>
              <w:widowControl/>
              <w:rPr>
                <w:rFonts w:ascii="Calibri" w:eastAsia="Calibri" w:hAnsi="Calibri" w:cs="Calibri"/>
                <w:b/>
                <w:color w:val="000000"/>
                <w:sz w:val="20"/>
                <w:szCs w:val="20"/>
              </w:rPr>
            </w:pPr>
            <w:r>
              <w:rPr>
                <w:rFonts w:ascii="Calibri" w:eastAsia="Calibri" w:hAnsi="Calibri" w:cs="Calibri"/>
                <w:b/>
                <w:color w:val="000000"/>
                <w:sz w:val="20"/>
                <w:szCs w:val="20"/>
              </w:rPr>
              <w:t>Total</w:t>
            </w:r>
          </w:p>
        </w:tc>
        <w:tc>
          <w:tcPr>
            <w:tcW w:w="1316" w:type="dxa"/>
            <w:tcBorders>
              <w:top w:val="single" w:sz="4" w:space="0" w:color="000000"/>
              <w:left w:val="nil"/>
              <w:bottom w:val="single" w:sz="8" w:space="0" w:color="000000"/>
              <w:right w:val="single" w:sz="8" w:space="0" w:color="000000"/>
            </w:tcBorders>
            <w:shd w:val="clear" w:color="auto" w:fill="808080"/>
            <w:vAlign w:val="center"/>
          </w:tcPr>
          <w:p w:rsidR="00CB0706" w:rsidRPr="00CB0706" w:rsidP="0014426B" w14:paraId="0355C50F" w14:textId="77777777">
            <w:pPr>
              <w:keepNext/>
              <w:widowControl/>
              <w:rPr>
                <w:rFonts w:ascii="Calibri" w:eastAsia="Calibri" w:hAnsi="Calibri" w:cs="Calibri"/>
                <w:color w:val="000000"/>
                <w:sz w:val="20"/>
                <w:szCs w:val="20"/>
                <w:highlight w:val="cyan"/>
              </w:rPr>
            </w:pPr>
          </w:p>
        </w:tc>
        <w:tc>
          <w:tcPr>
            <w:tcW w:w="1340" w:type="dxa"/>
            <w:tcBorders>
              <w:top w:val="single" w:sz="4" w:space="0" w:color="000000"/>
              <w:left w:val="nil"/>
              <w:bottom w:val="single" w:sz="8" w:space="0" w:color="000000"/>
              <w:right w:val="single" w:sz="8" w:space="0" w:color="000000"/>
            </w:tcBorders>
            <w:shd w:val="clear" w:color="auto" w:fill="808080"/>
            <w:vAlign w:val="center"/>
          </w:tcPr>
          <w:p w:rsidR="00CB0706" w:rsidRPr="00CB0706" w:rsidP="0014426B" w14:paraId="0C758833" w14:textId="77777777">
            <w:pPr>
              <w:keepNext/>
              <w:widowControl/>
              <w:rPr>
                <w:rFonts w:ascii="Calibri" w:eastAsia="Calibri" w:hAnsi="Calibri" w:cs="Calibri"/>
                <w:color w:val="000000"/>
                <w:sz w:val="20"/>
                <w:szCs w:val="20"/>
                <w:highlight w:val="cyan"/>
              </w:rPr>
            </w:pPr>
          </w:p>
        </w:tc>
        <w:tc>
          <w:tcPr>
            <w:tcW w:w="1316" w:type="dxa"/>
            <w:tcBorders>
              <w:top w:val="single" w:sz="4" w:space="0" w:color="000000"/>
              <w:left w:val="nil"/>
              <w:bottom w:val="single" w:sz="8" w:space="0" w:color="000000"/>
              <w:right w:val="single" w:sz="8" w:space="0" w:color="000000"/>
            </w:tcBorders>
            <w:shd w:val="clear" w:color="auto" w:fill="757171"/>
            <w:vAlign w:val="center"/>
          </w:tcPr>
          <w:p w:rsidR="00CB0706" w:rsidRPr="00CB0706" w:rsidP="0014426B" w14:paraId="13F6C567" w14:textId="77777777">
            <w:pPr>
              <w:keepNext/>
              <w:widowControl/>
              <w:rPr>
                <w:rFonts w:ascii="Calibri" w:eastAsia="Calibri" w:hAnsi="Calibri" w:cs="Calibri"/>
                <w:color w:val="000000"/>
                <w:sz w:val="20"/>
                <w:szCs w:val="20"/>
                <w:highlight w:val="cyan"/>
              </w:rPr>
            </w:pPr>
          </w:p>
        </w:tc>
        <w:tc>
          <w:tcPr>
            <w:tcW w:w="1505" w:type="dxa"/>
            <w:tcBorders>
              <w:top w:val="single" w:sz="4" w:space="0" w:color="000000"/>
              <w:left w:val="nil"/>
              <w:bottom w:val="single" w:sz="8" w:space="0" w:color="000000"/>
              <w:right w:val="single" w:sz="8" w:space="0" w:color="000000"/>
            </w:tcBorders>
            <w:shd w:val="clear" w:color="auto" w:fill="DDEBF7"/>
            <w:vAlign w:val="center"/>
          </w:tcPr>
          <w:p w:rsidR="00CB0706" w:rsidRPr="00CB0706" w:rsidP="0014426B" w14:paraId="7CFFAEB8" w14:textId="77777777">
            <w:pPr>
              <w:keepNext/>
              <w:widowControl/>
              <w:rPr>
                <w:rFonts w:ascii="Calibri" w:eastAsia="Calibri" w:hAnsi="Calibri" w:cs="Calibri"/>
                <w:color w:val="000000"/>
                <w:sz w:val="20"/>
                <w:szCs w:val="20"/>
                <w:highlight w:val="cyan"/>
              </w:rPr>
            </w:pPr>
          </w:p>
        </w:tc>
        <w:tc>
          <w:tcPr>
            <w:tcW w:w="1527" w:type="dxa"/>
            <w:tcBorders>
              <w:top w:val="single" w:sz="4" w:space="0" w:color="000000"/>
              <w:left w:val="nil"/>
              <w:bottom w:val="single" w:sz="8" w:space="0" w:color="000000"/>
              <w:right w:val="single" w:sz="8" w:space="0" w:color="000000"/>
            </w:tcBorders>
            <w:shd w:val="clear" w:color="auto" w:fill="DDEBF7"/>
            <w:vAlign w:val="center"/>
          </w:tcPr>
          <w:p w:rsidR="00CB0706" w:rsidRPr="00CB0706" w:rsidP="0014426B" w14:paraId="77DED2C9" w14:textId="53761055">
            <w:pPr>
              <w:keepNext/>
              <w:widowControl/>
              <w:jc w:val="center"/>
              <w:rPr>
                <w:rFonts w:ascii="Calibri" w:eastAsia="Calibri" w:hAnsi="Calibri" w:cs="Calibri"/>
                <w:b/>
                <w:color w:val="000000"/>
                <w:sz w:val="20"/>
                <w:szCs w:val="20"/>
                <w:highlight w:val="cyan"/>
              </w:rPr>
            </w:pPr>
            <w:r w:rsidRPr="00DF38C0">
              <w:rPr>
                <w:rFonts w:ascii="Calibri" w:eastAsia="Calibri" w:hAnsi="Calibri" w:cs="Calibri"/>
                <w:b/>
                <w:color w:val="000000"/>
                <w:sz w:val="20"/>
                <w:szCs w:val="20"/>
              </w:rPr>
              <w:t>$</w:t>
            </w:r>
            <w:r w:rsidRPr="00DF38C0" w:rsidR="00DF38C0">
              <w:rPr>
                <w:rFonts w:ascii="Calibri" w:eastAsia="Calibri" w:hAnsi="Calibri" w:cs="Calibri"/>
                <w:b/>
                <w:color w:val="000000"/>
                <w:sz w:val="20"/>
                <w:szCs w:val="20"/>
              </w:rPr>
              <w:t>8</w:t>
            </w:r>
            <w:r w:rsidR="00064A2B">
              <w:rPr>
                <w:rFonts w:ascii="Calibri" w:eastAsia="Calibri" w:hAnsi="Calibri" w:cs="Calibri"/>
                <w:b/>
                <w:color w:val="000000"/>
                <w:sz w:val="20"/>
                <w:szCs w:val="20"/>
              </w:rPr>
              <w:t>1</w:t>
            </w:r>
            <w:r w:rsidR="00E92F3D">
              <w:rPr>
                <w:rFonts w:ascii="Calibri" w:eastAsia="Calibri" w:hAnsi="Calibri" w:cs="Calibri"/>
                <w:b/>
                <w:color w:val="000000"/>
                <w:sz w:val="20"/>
                <w:szCs w:val="20"/>
              </w:rPr>
              <w:t>9</w:t>
            </w:r>
          </w:p>
        </w:tc>
      </w:tr>
    </w:tbl>
    <w:p w:rsidR="00CB0706" w:rsidRPr="0020080B" w:rsidP="00DE161B" w14:paraId="36DA5D8F" w14:textId="032052FB">
      <w:pPr>
        <w:widowControl/>
        <w:spacing w:before="60"/>
        <w:ind w:left="144"/>
        <w:rPr>
          <w:rFonts w:asciiTheme="minorHAnsi" w:hAnsiTheme="minorHAnsi" w:cstheme="minorHAnsi"/>
          <w:color w:val="000000"/>
          <w:sz w:val="18"/>
          <w:szCs w:val="18"/>
        </w:rPr>
      </w:pPr>
      <w:r w:rsidRPr="0020080B">
        <w:rPr>
          <w:rFonts w:asciiTheme="minorHAnsi" w:hAnsiTheme="minorHAnsi" w:cstheme="minorHAnsi"/>
          <w:color w:val="000000"/>
          <w:sz w:val="18"/>
          <w:szCs w:val="18"/>
          <w:u w:val="single"/>
        </w:rPr>
        <w:t xml:space="preserve">ZP-4 </w:t>
      </w:r>
      <w:r w:rsidR="00064A2B">
        <w:rPr>
          <w:rFonts w:asciiTheme="minorHAnsi" w:hAnsiTheme="minorHAnsi" w:cstheme="minorHAnsi"/>
          <w:color w:val="000000"/>
          <w:sz w:val="18"/>
          <w:szCs w:val="18"/>
          <w:u w:val="single"/>
        </w:rPr>
        <w:t>202</w:t>
      </w:r>
      <w:r w:rsidR="000E7EC9">
        <w:rPr>
          <w:rFonts w:asciiTheme="minorHAnsi" w:hAnsiTheme="minorHAnsi" w:cstheme="minorHAnsi"/>
          <w:color w:val="000000"/>
          <w:sz w:val="18"/>
          <w:szCs w:val="18"/>
          <w:u w:val="single"/>
        </w:rPr>
        <w:t>5</w:t>
      </w:r>
      <w:r w:rsidR="00064A2B">
        <w:rPr>
          <w:rFonts w:asciiTheme="minorHAnsi" w:hAnsiTheme="minorHAnsi" w:cstheme="minorHAnsi"/>
          <w:color w:val="000000"/>
          <w:sz w:val="18"/>
          <w:szCs w:val="18"/>
          <w:u w:val="single"/>
        </w:rPr>
        <w:t xml:space="preserve"> salary </w:t>
      </w:r>
      <w:r w:rsidRPr="0020080B">
        <w:rPr>
          <w:rFonts w:asciiTheme="minorHAnsi" w:hAnsiTheme="minorHAnsi" w:cstheme="minorHAnsi"/>
          <w:color w:val="000000"/>
          <w:sz w:val="18"/>
          <w:szCs w:val="18"/>
        </w:rPr>
        <w:t>(capped out</w:t>
      </w:r>
      <w:r w:rsidR="000E7EC9">
        <w:rPr>
          <w:rFonts w:asciiTheme="minorHAnsi" w:hAnsiTheme="minorHAnsi" w:cstheme="minorHAnsi"/>
          <w:color w:val="000000"/>
          <w:sz w:val="18"/>
          <w:szCs w:val="18"/>
        </w:rPr>
        <w:t xml:space="preserve"> </w:t>
      </w:r>
      <w:r w:rsidRPr="0020080B">
        <w:rPr>
          <w:rFonts w:asciiTheme="minorHAnsi" w:hAnsiTheme="minorHAnsi" w:cstheme="minorHAnsi"/>
          <w:color w:val="000000"/>
          <w:sz w:val="18"/>
          <w:szCs w:val="18"/>
        </w:rPr>
        <w:t>ZP-4 step 2 in Juneau, AK) = $</w:t>
      </w:r>
      <w:r w:rsidRPr="00321645" w:rsidR="00064A2B">
        <w:rPr>
          <w:rFonts w:asciiTheme="minorHAnsi" w:hAnsiTheme="minorHAnsi" w:cstheme="minorHAnsi"/>
          <w:color w:val="000000"/>
          <w:sz w:val="18"/>
          <w:szCs w:val="18"/>
        </w:rPr>
        <w:t>1</w:t>
      </w:r>
      <w:r w:rsidR="000E7EC9">
        <w:rPr>
          <w:rFonts w:asciiTheme="minorHAnsi" w:hAnsiTheme="minorHAnsi" w:cstheme="minorHAnsi"/>
          <w:color w:val="000000"/>
          <w:sz w:val="18"/>
          <w:szCs w:val="18"/>
        </w:rPr>
        <w:t>68,851</w:t>
      </w:r>
      <w:r w:rsidRPr="0020080B">
        <w:rPr>
          <w:rFonts w:asciiTheme="minorHAnsi" w:hAnsiTheme="minorHAnsi" w:cstheme="minorHAnsi"/>
          <w:color w:val="000000"/>
          <w:sz w:val="18"/>
          <w:szCs w:val="18"/>
        </w:rPr>
        <w:t xml:space="preserve">. For </w:t>
      </w:r>
      <w:r w:rsidRPr="0020080B" w:rsidR="00997072">
        <w:rPr>
          <w:rFonts w:asciiTheme="minorHAnsi" w:hAnsiTheme="minorHAnsi" w:cstheme="minorHAnsi"/>
          <w:color w:val="000000"/>
          <w:sz w:val="18"/>
          <w:szCs w:val="18"/>
        </w:rPr>
        <w:t>loaded salary, add 52%</w:t>
      </w:r>
      <w:r w:rsidRPr="0020080B">
        <w:rPr>
          <w:rFonts w:asciiTheme="minorHAnsi" w:hAnsiTheme="minorHAnsi" w:cstheme="minorHAnsi"/>
          <w:color w:val="000000"/>
          <w:sz w:val="18"/>
          <w:szCs w:val="18"/>
        </w:rPr>
        <w:t xml:space="preserve"> ($</w:t>
      </w:r>
      <w:r w:rsidR="000E7EC9">
        <w:rPr>
          <w:rFonts w:asciiTheme="minorHAnsi" w:hAnsiTheme="minorHAnsi" w:cstheme="minorHAnsi"/>
          <w:color w:val="000000"/>
          <w:sz w:val="18"/>
          <w:szCs w:val="18"/>
        </w:rPr>
        <w:t>168,851</w:t>
      </w:r>
      <w:r w:rsidRPr="0020080B">
        <w:rPr>
          <w:rFonts w:asciiTheme="minorHAnsi" w:hAnsiTheme="minorHAnsi" w:cstheme="minorHAnsi"/>
          <w:color w:val="000000"/>
          <w:sz w:val="18"/>
          <w:szCs w:val="18"/>
        </w:rPr>
        <w:t xml:space="preserve"> * 1.52 = $</w:t>
      </w:r>
      <w:r w:rsidR="00E92F3D">
        <w:rPr>
          <w:rFonts w:asciiTheme="minorHAnsi" w:hAnsiTheme="minorHAnsi" w:cstheme="minorHAnsi"/>
          <w:color w:val="000000"/>
          <w:sz w:val="18"/>
          <w:szCs w:val="18"/>
        </w:rPr>
        <w:t>256,653</w:t>
      </w:r>
      <w:r w:rsidRPr="0020080B">
        <w:rPr>
          <w:rFonts w:asciiTheme="minorHAnsi" w:hAnsiTheme="minorHAnsi" w:cstheme="minorHAnsi"/>
          <w:color w:val="000000"/>
          <w:sz w:val="18"/>
          <w:szCs w:val="18"/>
        </w:rPr>
        <w:t xml:space="preserve">). To calculate percent of effort: 2 hrs / 2,087 hrs = 0.00095 or about 0.1% of effort. </w:t>
      </w:r>
    </w:p>
    <w:p w:rsidR="00CB0706" w:rsidRPr="00DE161B" w:rsidP="00DE161B" w14:paraId="3D58FE82" w14:textId="2BC4AC7D">
      <w:pPr>
        <w:widowControl/>
        <w:spacing w:before="60"/>
        <w:ind w:left="144"/>
        <w:rPr>
          <w:rFonts w:asciiTheme="minorHAnsi" w:hAnsiTheme="minorHAnsi" w:cstheme="minorHAnsi"/>
          <w:sz w:val="18"/>
          <w:szCs w:val="18"/>
        </w:rPr>
      </w:pPr>
      <w:r w:rsidRPr="0020080B">
        <w:rPr>
          <w:rFonts w:asciiTheme="minorHAnsi" w:hAnsiTheme="minorHAnsi" w:cstheme="minorHAnsi"/>
          <w:color w:val="000000"/>
          <w:sz w:val="18"/>
          <w:szCs w:val="18"/>
          <w:u w:val="single"/>
        </w:rPr>
        <w:t>GS 14</w:t>
      </w:r>
      <w:r w:rsidRPr="0020080B">
        <w:rPr>
          <w:rFonts w:asciiTheme="minorHAnsi" w:hAnsiTheme="minorHAnsi" w:cstheme="minorHAnsi"/>
          <w:color w:val="000000"/>
          <w:sz w:val="18"/>
          <w:szCs w:val="18"/>
        </w:rPr>
        <w:t xml:space="preserve"> </w:t>
      </w:r>
      <w:r w:rsidR="00064A2B">
        <w:rPr>
          <w:rFonts w:asciiTheme="minorHAnsi" w:hAnsiTheme="minorHAnsi" w:cstheme="minorHAnsi"/>
          <w:color w:val="000000"/>
          <w:sz w:val="18"/>
          <w:szCs w:val="18"/>
        </w:rPr>
        <w:t>202</w:t>
      </w:r>
      <w:r w:rsidR="00E92F3D">
        <w:rPr>
          <w:rFonts w:asciiTheme="minorHAnsi" w:hAnsiTheme="minorHAnsi" w:cstheme="minorHAnsi"/>
          <w:color w:val="000000"/>
          <w:sz w:val="18"/>
          <w:szCs w:val="18"/>
        </w:rPr>
        <w:t>5</w:t>
      </w:r>
      <w:r w:rsidR="00064A2B">
        <w:rPr>
          <w:rFonts w:asciiTheme="minorHAnsi" w:hAnsiTheme="minorHAnsi" w:cstheme="minorHAnsi"/>
          <w:color w:val="000000"/>
          <w:sz w:val="18"/>
          <w:szCs w:val="18"/>
        </w:rPr>
        <w:t xml:space="preserve"> salary </w:t>
      </w:r>
      <w:r w:rsidRPr="0020080B" w:rsidR="00DF38C0">
        <w:rPr>
          <w:rFonts w:asciiTheme="minorHAnsi" w:hAnsiTheme="minorHAnsi" w:cstheme="minorHAnsi"/>
          <w:color w:val="000000"/>
          <w:sz w:val="18"/>
          <w:szCs w:val="18"/>
        </w:rPr>
        <w:t>(</w:t>
      </w:r>
      <w:r w:rsidRPr="0020080B">
        <w:rPr>
          <w:rFonts w:asciiTheme="minorHAnsi" w:hAnsiTheme="minorHAnsi" w:cstheme="minorHAnsi"/>
          <w:color w:val="000000"/>
          <w:sz w:val="18"/>
          <w:szCs w:val="18"/>
        </w:rPr>
        <w:t>Silver Spring</w:t>
      </w:r>
      <w:r w:rsidRPr="0020080B" w:rsidR="00DF38C0">
        <w:rPr>
          <w:rFonts w:asciiTheme="minorHAnsi" w:hAnsiTheme="minorHAnsi" w:cstheme="minorHAnsi"/>
          <w:color w:val="000000"/>
          <w:sz w:val="18"/>
          <w:szCs w:val="18"/>
        </w:rPr>
        <w:t>, MD)</w:t>
      </w:r>
      <w:r w:rsidRPr="0020080B">
        <w:rPr>
          <w:rFonts w:asciiTheme="minorHAnsi" w:hAnsiTheme="minorHAnsi" w:cstheme="minorHAnsi"/>
          <w:color w:val="000000"/>
          <w:sz w:val="18"/>
          <w:szCs w:val="18"/>
        </w:rPr>
        <w:t xml:space="preserve"> = $</w:t>
      </w:r>
      <w:r w:rsidRPr="0020080B" w:rsidR="00DF38C0">
        <w:rPr>
          <w:rFonts w:asciiTheme="minorHAnsi" w:hAnsiTheme="minorHAnsi" w:cstheme="minorHAnsi"/>
          <w:color w:val="000000"/>
          <w:sz w:val="18"/>
          <w:szCs w:val="18"/>
        </w:rPr>
        <w:t>18</w:t>
      </w:r>
      <w:r w:rsidR="00E92F3D">
        <w:rPr>
          <w:rFonts w:asciiTheme="minorHAnsi" w:hAnsiTheme="minorHAnsi" w:cstheme="minorHAnsi"/>
          <w:color w:val="000000"/>
          <w:sz w:val="18"/>
          <w:szCs w:val="18"/>
        </w:rPr>
        <w:t>5234</w:t>
      </w:r>
      <w:r w:rsidRPr="0020080B" w:rsidR="00997072">
        <w:rPr>
          <w:rFonts w:asciiTheme="minorHAnsi" w:hAnsiTheme="minorHAnsi" w:cstheme="minorHAnsi"/>
          <w:color w:val="000000"/>
          <w:sz w:val="18"/>
          <w:szCs w:val="18"/>
        </w:rPr>
        <w:t>. For loaded salary, add 52%</w:t>
      </w:r>
      <w:r w:rsidRPr="0020080B" w:rsidR="00DF38C0">
        <w:rPr>
          <w:rFonts w:asciiTheme="minorHAnsi" w:hAnsiTheme="minorHAnsi" w:cstheme="minorHAnsi"/>
          <w:color w:val="000000"/>
          <w:sz w:val="18"/>
          <w:szCs w:val="18"/>
        </w:rPr>
        <w:t xml:space="preserve"> </w:t>
      </w:r>
      <w:r w:rsidRPr="0020080B">
        <w:rPr>
          <w:rFonts w:asciiTheme="minorHAnsi" w:hAnsiTheme="minorHAnsi" w:cstheme="minorHAnsi"/>
          <w:color w:val="000000"/>
          <w:sz w:val="18"/>
          <w:szCs w:val="18"/>
        </w:rPr>
        <w:t>($</w:t>
      </w:r>
      <w:r w:rsidRPr="0020080B" w:rsidR="00DF38C0">
        <w:rPr>
          <w:rFonts w:asciiTheme="minorHAnsi" w:hAnsiTheme="minorHAnsi" w:cstheme="minorHAnsi"/>
          <w:color w:val="000000"/>
          <w:sz w:val="18"/>
          <w:szCs w:val="18"/>
        </w:rPr>
        <w:t>18</w:t>
      </w:r>
      <w:r w:rsidR="00E92F3D">
        <w:rPr>
          <w:rFonts w:asciiTheme="minorHAnsi" w:hAnsiTheme="minorHAnsi" w:cstheme="minorHAnsi"/>
          <w:color w:val="000000"/>
          <w:sz w:val="18"/>
          <w:szCs w:val="18"/>
        </w:rPr>
        <w:t>5234</w:t>
      </w:r>
      <w:r w:rsidRPr="0020080B">
        <w:rPr>
          <w:rFonts w:asciiTheme="minorHAnsi" w:hAnsiTheme="minorHAnsi" w:cstheme="minorHAnsi"/>
          <w:color w:val="000000"/>
          <w:sz w:val="18"/>
          <w:szCs w:val="18"/>
        </w:rPr>
        <w:t xml:space="preserve"> * 1.52 = $</w:t>
      </w:r>
      <w:r w:rsidRPr="0020080B" w:rsidR="00DF38C0">
        <w:rPr>
          <w:rFonts w:asciiTheme="minorHAnsi" w:hAnsiTheme="minorHAnsi" w:cstheme="minorHAnsi"/>
          <w:color w:val="000000"/>
          <w:sz w:val="18"/>
          <w:szCs w:val="18"/>
        </w:rPr>
        <w:t>2</w:t>
      </w:r>
      <w:r w:rsidR="00E92F3D">
        <w:rPr>
          <w:rFonts w:asciiTheme="minorHAnsi" w:hAnsiTheme="minorHAnsi" w:cstheme="minorHAnsi"/>
          <w:color w:val="000000"/>
          <w:sz w:val="18"/>
          <w:szCs w:val="18"/>
        </w:rPr>
        <w:t>81,555</w:t>
      </w:r>
      <w:r w:rsidRPr="0020080B">
        <w:rPr>
          <w:rFonts w:asciiTheme="minorHAnsi" w:hAnsiTheme="minorHAnsi" w:cstheme="minorHAnsi"/>
          <w:color w:val="000000"/>
          <w:sz w:val="18"/>
          <w:szCs w:val="18"/>
        </w:rPr>
        <w:t xml:space="preserve">). To calculate percent of effort: 4 hrs / 2,087 hrs = </w:t>
      </w:r>
      <w:r w:rsidRPr="0020080B">
        <w:rPr>
          <w:rFonts w:asciiTheme="minorHAnsi" w:hAnsiTheme="minorHAnsi" w:cstheme="minorHAnsi"/>
          <w:color w:val="000000"/>
          <w:sz w:val="18"/>
          <w:szCs w:val="18"/>
        </w:rPr>
        <w:t>0.0019 or 0.2% of effort.</w:t>
      </w:r>
    </w:p>
    <w:p w:rsidR="00CB0706" w14:paraId="23EE400C" w14:textId="0DCD4D80">
      <w:pPr>
        <w:pBdr>
          <w:top w:val="nil"/>
          <w:left w:val="nil"/>
          <w:bottom w:val="nil"/>
          <w:right w:val="nil"/>
          <w:between w:val="nil"/>
        </w:pBdr>
        <w:spacing w:before="9" w:after="1"/>
        <w:rPr>
          <w:b/>
          <w:color w:val="000000"/>
        </w:rPr>
      </w:pPr>
    </w:p>
    <w:p w:rsidR="00275118" w14:paraId="53C5AC96" w14:textId="77777777">
      <w:pPr>
        <w:pBdr>
          <w:top w:val="nil"/>
          <w:left w:val="nil"/>
          <w:bottom w:val="nil"/>
          <w:right w:val="nil"/>
          <w:between w:val="nil"/>
        </w:pBdr>
        <w:spacing w:before="9" w:after="1"/>
        <w:rPr>
          <w:b/>
          <w:color w:val="000000"/>
        </w:rPr>
      </w:pPr>
    </w:p>
    <w:p w:rsidR="00BD156D" w14:paraId="49DCFA5C" w14:textId="77777777">
      <w:pPr>
        <w:numPr>
          <w:ilvl w:val="0"/>
          <w:numId w:val="3"/>
        </w:numPr>
        <w:pBdr>
          <w:top w:val="nil"/>
          <w:left w:val="nil"/>
          <w:bottom w:val="nil"/>
          <w:right w:val="nil"/>
          <w:between w:val="nil"/>
        </w:pBdr>
        <w:tabs>
          <w:tab w:val="left" w:pos="360"/>
        </w:tabs>
        <w:spacing w:before="80"/>
        <w:ind w:left="0" w:firstLine="0"/>
        <w:rPr>
          <w:b/>
          <w:color w:val="000000"/>
        </w:rPr>
      </w:pPr>
      <w:r>
        <w:rPr>
          <w:b/>
          <w:color w:val="000000"/>
        </w:rPr>
        <w:t>Explain the reasons for any program changes or adjustments reported in ROCIS.</w:t>
      </w:r>
    </w:p>
    <w:p w:rsidR="00BD156D" w14:paraId="0A53E09C" w14:textId="77777777">
      <w:pPr>
        <w:pBdr>
          <w:top w:val="nil"/>
          <w:left w:val="nil"/>
          <w:bottom w:val="nil"/>
          <w:right w:val="nil"/>
          <w:between w:val="nil"/>
        </w:pBdr>
        <w:spacing w:before="7"/>
        <w:rPr>
          <w:b/>
          <w:color w:val="000000"/>
        </w:rPr>
      </w:pPr>
    </w:p>
    <w:tbl>
      <w:tblPr>
        <w:tblStyle w:val="a3"/>
        <w:tblW w:w="10617" w:type="dxa"/>
        <w:tblInd w:w="-100" w:type="dxa"/>
        <w:tblLayout w:type="fixed"/>
        <w:tblLook w:val="0400"/>
      </w:tblPr>
      <w:tblGrid>
        <w:gridCol w:w="2139"/>
        <w:gridCol w:w="831"/>
        <w:gridCol w:w="810"/>
        <w:gridCol w:w="810"/>
        <w:gridCol w:w="810"/>
        <w:gridCol w:w="810"/>
        <w:gridCol w:w="810"/>
        <w:gridCol w:w="3597"/>
      </w:tblGrid>
      <w:tr w14:paraId="0E0BE554" w14:textId="77777777" w:rsidTr="00A0163F">
        <w:tblPrEx>
          <w:tblW w:w="10617" w:type="dxa"/>
          <w:tblInd w:w="-100" w:type="dxa"/>
          <w:tblLayout w:type="fixed"/>
          <w:tblLook w:val="0400"/>
        </w:tblPrEx>
        <w:trPr>
          <w:trHeight w:val="492"/>
        </w:trPr>
        <w:tc>
          <w:tcPr>
            <w:tcW w:w="2139"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D156D" w14:paraId="4EDC74BF"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641" w:type="dxa"/>
            <w:gridSpan w:val="2"/>
            <w:tcBorders>
              <w:top w:val="single" w:sz="8" w:space="0" w:color="000000"/>
              <w:left w:val="nil"/>
              <w:bottom w:val="single" w:sz="8" w:space="0" w:color="000000"/>
              <w:right w:val="single" w:sz="8" w:space="0" w:color="000000"/>
            </w:tcBorders>
            <w:shd w:val="clear" w:color="auto" w:fill="5B9BD5"/>
            <w:vAlign w:val="center"/>
          </w:tcPr>
          <w:p w:rsidR="00BD156D" w14:paraId="7A77A670"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Respondents</w:t>
            </w:r>
          </w:p>
        </w:tc>
        <w:tc>
          <w:tcPr>
            <w:tcW w:w="1620" w:type="dxa"/>
            <w:gridSpan w:val="2"/>
            <w:tcBorders>
              <w:top w:val="single" w:sz="8" w:space="0" w:color="000000"/>
              <w:left w:val="nil"/>
              <w:bottom w:val="single" w:sz="8" w:space="0" w:color="000000"/>
              <w:right w:val="single" w:sz="8" w:space="0" w:color="000000"/>
            </w:tcBorders>
            <w:shd w:val="clear" w:color="auto" w:fill="5B9BD5"/>
            <w:vAlign w:val="center"/>
          </w:tcPr>
          <w:p w:rsidR="00BD156D" w14:paraId="5B391BD5"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Responses</w:t>
            </w:r>
          </w:p>
        </w:tc>
        <w:tc>
          <w:tcPr>
            <w:tcW w:w="1620" w:type="dxa"/>
            <w:gridSpan w:val="2"/>
            <w:tcBorders>
              <w:top w:val="single" w:sz="8" w:space="0" w:color="000000"/>
              <w:left w:val="nil"/>
              <w:bottom w:val="single" w:sz="8" w:space="0" w:color="000000"/>
              <w:right w:val="single" w:sz="8" w:space="0" w:color="000000"/>
            </w:tcBorders>
            <w:shd w:val="clear" w:color="auto" w:fill="5B9BD5"/>
            <w:vAlign w:val="center"/>
          </w:tcPr>
          <w:p w:rsidR="00BD156D" w14:paraId="38EDB20A"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Burden Hours</w:t>
            </w:r>
          </w:p>
        </w:tc>
        <w:tc>
          <w:tcPr>
            <w:tcW w:w="3597"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BD156D" w14:paraId="11D4068C" w14:textId="77777777">
            <w:pPr>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3D0A93DF" w14:textId="77777777" w:rsidTr="0058534C">
        <w:tblPrEx>
          <w:tblW w:w="10617" w:type="dxa"/>
          <w:tblInd w:w="-100" w:type="dxa"/>
          <w:tblLayout w:type="fixed"/>
          <w:tblLook w:val="0400"/>
        </w:tblPrEx>
        <w:trPr>
          <w:trHeight w:val="1078"/>
        </w:trPr>
        <w:tc>
          <w:tcPr>
            <w:tcW w:w="2139"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D156D" w14:paraId="79699164" w14:textId="77777777">
            <w:pPr>
              <w:pBdr>
                <w:top w:val="nil"/>
                <w:left w:val="nil"/>
                <w:bottom w:val="nil"/>
                <w:right w:val="nil"/>
                <w:between w:val="nil"/>
              </w:pBdr>
              <w:spacing w:line="276" w:lineRule="auto"/>
              <w:rPr>
                <w:rFonts w:ascii="Calibri" w:eastAsia="Calibri" w:hAnsi="Calibri" w:cs="Calibri"/>
                <w:b/>
                <w:color w:val="000000"/>
                <w:sz w:val="16"/>
                <w:szCs w:val="16"/>
              </w:rPr>
            </w:pPr>
          </w:p>
        </w:tc>
        <w:tc>
          <w:tcPr>
            <w:tcW w:w="831" w:type="dxa"/>
            <w:tcBorders>
              <w:top w:val="nil"/>
              <w:left w:val="nil"/>
              <w:bottom w:val="single" w:sz="8" w:space="0" w:color="000000"/>
              <w:right w:val="dashed" w:sz="8" w:space="0" w:color="000000"/>
            </w:tcBorders>
            <w:shd w:val="clear" w:color="auto" w:fill="FBE4D5"/>
            <w:vAlign w:val="center"/>
          </w:tcPr>
          <w:p w:rsidR="00BD156D" w14:paraId="61FBAD46"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10" w:type="dxa"/>
            <w:tcBorders>
              <w:top w:val="nil"/>
              <w:left w:val="nil"/>
              <w:bottom w:val="single" w:sz="8" w:space="0" w:color="000000"/>
              <w:right w:val="single" w:sz="8" w:space="0" w:color="000000"/>
            </w:tcBorders>
            <w:shd w:val="clear" w:color="auto" w:fill="FBE4D5"/>
            <w:vAlign w:val="center"/>
          </w:tcPr>
          <w:p w:rsidR="00BD156D" w14:paraId="0F3351B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 xml:space="preserve">Previous </w:t>
            </w:r>
            <w:r>
              <w:rPr>
                <w:rFonts w:ascii="Calibri" w:eastAsia="Calibri" w:hAnsi="Calibri" w:cs="Calibri"/>
                <w:color w:val="000000"/>
                <w:sz w:val="16"/>
                <w:szCs w:val="16"/>
              </w:rPr>
              <w:t>Renewal / Revision</w:t>
            </w:r>
          </w:p>
        </w:tc>
        <w:tc>
          <w:tcPr>
            <w:tcW w:w="810" w:type="dxa"/>
            <w:tcBorders>
              <w:top w:val="nil"/>
              <w:left w:val="nil"/>
              <w:bottom w:val="single" w:sz="8" w:space="0" w:color="000000"/>
              <w:right w:val="dashed" w:sz="8" w:space="0" w:color="000000"/>
            </w:tcBorders>
            <w:shd w:val="clear" w:color="auto" w:fill="FBE4D5"/>
            <w:vAlign w:val="center"/>
          </w:tcPr>
          <w:p w:rsidR="00BD156D" w14:paraId="3ED19F0F"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10" w:type="dxa"/>
            <w:tcBorders>
              <w:top w:val="nil"/>
              <w:left w:val="nil"/>
              <w:bottom w:val="single" w:sz="8" w:space="0" w:color="000000"/>
              <w:right w:val="single" w:sz="8" w:space="0" w:color="000000"/>
            </w:tcBorders>
            <w:shd w:val="clear" w:color="auto" w:fill="FBE4D5"/>
            <w:vAlign w:val="center"/>
          </w:tcPr>
          <w:p w:rsidR="00BD156D" w14:paraId="0ACFDF4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810" w:type="dxa"/>
            <w:tcBorders>
              <w:top w:val="nil"/>
              <w:left w:val="nil"/>
              <w:bottom w:val="single" w:sz="8" w:space="0" w:color="000000"/>
              <w:right w:val="dashed" w:sz="8" w:space="0" w:color="000000"/>
            </w:tcBorders>
            <w:shd w:val="clear" w:color="auto" w:fill="FBE4D5"/>
            <w:vAlign w:val="center"/>
          </w:tcPr>
          <w:p w:rsidR="00BD156D" w14:paraId="63B5CF61"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Current Renewal / Revision</w:t>
            </w:r>
          </w:p>
        </w:tc>
        <w:tc>
          <w:tcPr>
            <w:tcW w:w="810" w:type="dxa"/>
            <w:tcBorders>
              <w:top w:val="nil"/>
              <w:left w:val="nil"/>
              <w:bottom w:val="single" w:sz="8" w:space="0" w:color="000000"/>
              <w:right w:val="single" w:sz="8" w:space="0" w:color="000000"/>
            </w:tcBorders>
            <w:shd w:val="clear" w:color="auto" w:fill="FBE4D5"/>
            <w:vAlign w:val="center"/>
          </w:tcPr>
          <w:p w:rsidR="00BD156D" w14:paraId="50E1B09A" w14:textId="77777777">
            <w:pPr>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 Renewal / Revision</w:t>
            </w:r>
          </w:p>
        </w:tc>
        <w:tc>
          <w:tcPr>
            <w:tcW w:w="3597"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BD156D" w14:paraId="7D40E127" w14:textId="77777777">
            <w:pPr>
              <w:pBdr>
                <w:top w:val="nil"/>
                <w:left w:val="nil"/>
                <w:bottom w:val="nil"/>
                <w:right w:val="nil"/>
                <w:between w:val="nil"/>
              </w:pBdr>
              <w:spacing w:line="276" w:lineRule="auto"/>
              <w:rPr>
                <w:rFonts w:ascii="Calibri" w:eastAsia="Calibri" w:hAnsi="Calibri" w:cs="Calibri"/>
                <w:color w:val="000000"/>
                <w:sz w:val="16"/>
                <w:szCs w:val="16"/>
              </w:rPr>
            </w:pPr>
          </w:p>
        </w:tc>
      </w:tr>
      <w:tr w14:paraId="26DFE6FA" w14:textId="77777777" w:rsidTr="00100EFB">
        <w:tblPrEx>
          <w:tblW w:w="10617" w:type="dxa"/>
          <w:tblInd w:w="-100" w:type="dxa"/>
          <w:tblLayout w:type="fixed"/>
          <w:tblLook w:val="0400"/>
        </w:tblPrEx>
        <w:trPr>
          <w:trHeight w:val="490"/>
        </w:trPr>
        <w:tc>
          <w:tcPr>
            <w:tcW w:w="2139" w:type="dxa"/>
            <w:tcBorders>
              <w:top w:val="nil"/>
              <w:left w:val="single" w:sz="8" w:space="0" w:color="000000"/>
              <w:bottom w:val="single" w:sz="8" w:space="0" w:color="000000"/>
              <w:right w:val="single" w:sz="8" w:space="0" w:color="000000"/>
            </w:tcBorders>
            <w:shd w:val="clear" w:color="auto" w:fill="auto"/>
            <w:vAlign w:val="center"/>
          </w:tcPr>
          <w:p w:rsidR="00CE7540" w:rsidRPr="0058534C" w:rsidP="00CE7540" w14:paraId="74C45019" w14:textId="02566FA7">
            <w:pPr>
              <w:widowControl/>
              <w:rPr>
                <w:rFonts w:eastAsia="Calibri" w:asciiTheme="minorHAnsi" w:hAnsiTheme="minorHAnsi" w:cstheme="minorHAnsi"/>
                <w:color w:val="000000"/>
                <w:sz w:val="18"/>
                <w:szCs w:val="18"/>
              </w:rPr>
            </w:pPr>
            <w:r w:rsidRPr="00FD6E4D">
              <w:rPr>
                <w:rFonts w:asciiTheme="minorHAnsi" w:hAnsiTheme="minorHAnsi" w:cstheme="minorHAnsi"/>
                <w:sz w:val="18"/>
                <w:szCs w:val="18"/>
              </w:rPr>
              <w:t xml:space="preserve">Bering Sea Pollock Fishery </w:t>
            </w:r>
            <w:r w:rsidRPr="0058534C">
              <w:rPr>
                <w:rFonts w:asciiTheme="minorHAnsi" w:hAnsiTheme="minorHAnsi" w:cstheme="minorHAnsi"/>
                <w:sz w:val="18"/>
                <w:szCs w:val="18"/>
              </w:rPr>
              <w:t>Incentive Plan Agreement (IPA)</w:t>
            </w:r>
          </w:p>
        </w:tc>
        <w:tc>
          <w:tcPr>
            <w:tcW w:w="831" w:type="dxa"/>
            <w:tcBorders>
              <w:top w:val="nil"/>
              <w:left w:val="nil"/>
              <w:bottom w:val="dotted" w:sz="4" w:space="0" w:color="000000"/>
              <w:right w:val="dashed" w:sz="8" w:space="0" w:color="000000"/>
            </w:tcBorders>
            <w:shd w:val="clear" w:color="auto" w:fill="auto"/>
            <w:vAlign w:val="center"/>
          </w:tcPr>
          <w:p w:rsidR="00CE7540" w:rsidRPr="0058534C" w:rsidP="00CE7540" w14:paraId="2A41BC8E" w14:textId="49061BE8">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1</w:t>
            </w:r>
          </w:p>
        </w:tc>
        <w:tc>
          <w:tcPr>
            <w:tcW w:w="810" w:type="dxa"/>
            <w:tcBorders>
              <w:top w:val="nil"/>
              <w:left w:val="nil"/>
              <w:bottom w:val="dotted" w:sz="4" w:space="0" w:color="000000"/>
              <w:right w:val="single" w:sz="8" w:space="0" w:color="000000"/>
            </w:tcBorders>
            <w:shd w:val="clear" w:color="auto" w:fill="auto"/>
            <w:vAlign w:val="center"/>
          </w:tcPr>
          <w:p w:rsidR="00CE7540" w:rsidRPr="0058534C" w:rsidP="00CE7540" w14:paraId="36EB5599" w14:textId="0A695CA4">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1</w:t>
            </w:r>
          </w:p>
        </w:tc>
        <w:tc>
          <w:tcPr>
            <w:tcW w:w="810" w:type="dxa"/>
            <w:tcBorders>
              <w:top w:val="single" w:sz="8" w:space="0" w:color="000000"/>
              <w:left w:val="nil"/>
              <w:bottom w:val="dotted" w:sz="4" w:space="0" w:color="000000"/>
              <w:right w:val="dashed" w:sz="4" w:space="0" w:color="000000"/>
            </w:tcBorders>
            <w:shd w:val="clear" w:color="auto" w:fill="auto"/>
            <w:vAlign w:val="center"/>
          </w:tcPr>
          <w:p w:rsidR="00CE7540" w:rsidRPr="0058534C" w:rsidP="00CE7540" w14:paraId="7D3FA964" w14:textId="0713C364">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1</w:t>
            </w:r>
          </w:p>
        </w:tc>
        <w:tc>
          <w:tcPr>
            <w:tcW w:w="810" w:type="dxa"/>
            <w:tcBorders>
              <w:top w:val="nil"/>
              <w:left w:val="dashed" w:sz="4" w:space="0" w:color="000000"/>
              <w:bottom w:val="dotted" w:sz="4" w:space="0" w:color="000000"/>
              <w:right w:val="single" w:sz="8" w:space="0" w:color="000000"/>
            </w:tcBorders>
            <w:shd w:val="clear" w:color="auto" w:fill="auto"/>
            <w:vAlign w:val="center"/>
          </w:tcPr>
          <w:p w:rsidR="00CE7540" w:rsidRPr="0058534C" w:rsidP="00CE7540" w14:paraId="0E52673A" w14:textId="1C3B9591">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1</w:t>
            </w:r>
          </w:p>
        </w:tc>
        <w:tc>
          <w:tcPr>
            <w:tcW w:w="810" w:type="dxa"/>
            <w:tcBorders>
              <w:top w:val="nil"/>
              <w:left w:val="nil"/>
              <w:bottom w:val="dotted" w:sz="4" w:space="0" w:color="000000"/>
              <w:right w:val="dashed" w:sz="8" w:space="0" w:color="000000"/>
            </w:tcBorders>
            <w:shd w:val="clear" w:color="auto" w:fill="auto"/>
            <w:vAlign w:val="center"/>
          </w:tcPr>
          <w:p w:rsidR="00CE7540" w:rsidRPr="0058534C" w:rsidP="00CE7540" w14:paraId="0A4EE654" w14:textId="34E5A508">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w:t>
            </w:r>
            <w:r w:rsidRPr="0058534C">
              <w:rPr>
                <w:rFonts w:eastAsia="Calibri" w:asciiTheme="minorHAnsi" w:hAnsiTheme="minorHAnsi" w:cstheme="minorHAnsi"/>
                <w:color w:val="000000"/>
                <w:sz w:val="18"/>
                <w:szCs w:val="18"/>
              </w:rPr>
              <w:t> </w:t>
            </w:r>
          </w:p>
        </w:tc>
        <w:tc>
          <w:tcPr>
            <w:tcW w:w="810" w:type="dxa"/>
            <w:tcBorders>
              <w:top w:val="nil"/>
              <w:left w:val="nil"/>
              <w:bottom w:val="dotted" w:sz="4" w:space="0" w:color="000000"/>
              <w:right w:val="single" w:sz="8" w:space="0" w:color="000000"/>
            </w:tcBorders>
            <w:shd w:val="clear" w:color="auto" w:fill="auto"/>
            <w:vAlign w:val="center"/>
          </w:tcPr>
          <w:p w:rsidR="00CE7540" w:rsidRPr="0058534C" w:rsidP="00CE7540" w14:paraId="0FE6D838" w14:textId="68F8F713">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50</w:t>
            </w:r>
            <w:r w:rsidRPr="0058534C">
              <w:rPr>
                <w:rFonts w:eastAsia="Calibri" w:asciiTheme="minorHAnsi" w:hAnsiTheme="minorHAnsi" w:cstheme="minorHAnsi"/>
                <w:color w:val="000000"/>
                <w:sz w:val="18"/>
                <w:szCs w:val="18"/>
              </w:rPr>
              <w:t> </w:t>
            </w:r>
          </w:p>
        </w:tc>
        <w:tc>
          <w:tcPr>
            <w:tcW w:w="3597" w:type="dxa"/>
            <w:tcBorders>
              <w:top w:val="nil"/>
              <w:left w:val="nil"/>
              <w:bottom w:val="dotted" w:sz="4" w:space="0" w:color="000000"/>
              <w:right w:val="single" w:sz="8" w:space="0" w:color="000000"/>
            </w:tcBorders>
            <w:shd w:val="clear" w:color="auto" w:fill="auto"/>
            <w:vAlign w:val="center"/>
          </w:tcPr>
          <w:p w:rsidR="00CE7540" w:rsidRPr="0058534C" w:rsidP="00CE7540" w14:paraId="26019C8F" w14:textId="322B8592">
            <w:pPr>
              <w:widowControl/>
              <w:rPr>
                <w:rFonts w:eastAsia="Calibri" w:asciiTheme="minorHAnsi" w:hAnsiTheme="minorHAnsi" w:cstheme="minorHAnsi"/>
                <w:color w:val="000000"/>
                <w:sz w:val="18"/>
                <w:szCs w:val="18"/>
              </w:rPr>
            </w:pPr>
            <w:r w:rsidRPr="007A4321">
              <w:rPr>
                <w:rFonts w:eastAsia="Calibri" w:asciiTheme="minorHAnsi" w:hAnsiTheme="minorHAnsi" w:cstheme="minorHAnsi"/>
                <w:color w:val="000000"/>
                <w:sz w:val="18"/>
                <w:szCs w:val="18"/>
              </w:rPr>
              <w:t>No change</w:t>
            </w:r>
            <w:r>
              <w:rPr>
                <w:rFonts w:eastAsia="Calibri" w:asciiTheme="minorHAnsi" w:hAnsiTheme="minorHAnsi" w:cstheme="minorHAnsi"/>
                <w:color w:val="000000"/>
                <w:sz w:val="18"/>
                <w:szCs w:val="18"/>
              </w:rPr>
              <w:t xml:space="preserve"> other than renaming the collection instrument. Previously was named Incentive Plan Agreement (IPA).</w:t>
            </w:r>
          </w:p>
        </w:tc>
      </w:tr>
      <w:tr w14:paraId="249FEB7A" w14:textId="77777777" w:rsidTr="00100EFB">
        <w:tblPrEx>
          <w:tblW w:w="10617" w:type="dxa"/>
          <w:tblInd w:w="-100" w:type="dxa"/>
          <w:tblLayout w:type="fixed"/>
          <w:tblLook w:val="0400"/>
        </w:tblPrEx>
        <w:trPr>
          <w:trHeight w:val="490"/>
        </w:trPr>
        <w:tc>
          <w:tcPr>
            <w:tcW w:w="2139" w:type="dxa"/>
            <w:tcBorders>
              <w:top w:val="nil"/>
              <w:left w:val="single" w:sz="8" w:space="0" w:color="000000"/>
              <w:bottom w:val="single" w:sz="8" w:space="0" w:color="000000"/>
              <w:right w:val="single" w:sz="8" w:space="0" w:color="000000"/>
            </w:tcBorders>
            <w:shd w:val="clear" w:color="auto" w:fill="auto"/>
            <w:vAlign w:val="center"/>
          </w:tcPr>
          <w:p w:rsidR="00CE7540" w:rsidRPr="0058534C" w:rsidP="00CE7540" w14:paraId="3FF5A40C" w14:textId="423669C9">
            <w:pPr>
              <w:widowControl/>
              <w:rPr>
                <w:rFonts w:eastAsia="Calibri" w:asciiTheme="minorHAnsi" w:hAnsiTheme="minorHAnsi" w:cstheme="minorHAnsi"/>
                <w:color w:val="000000"/>
                <w:sz w:val="18"/>
                <w:szCs w:val="18"/>
              </w:rPr>
            </w:pPr>
            <w:r w:rsidRPr="00FD6E4D">
              <w:rPr>
                <w:rFonts w:asciiTheme="minorHAnsi" w:hAnsiTheme="minorHAnsi" w:cstheme="minorHAnsi"/>
                <w:sz w:val="18"/>
                <w:szCs w:val="18"/>
              </w:rPr>
              <w:t xml:space="preserve">Bering Sea Pollock Fishery </w:t>
            </w:r>
            <w:r w:rsidRPr="0058534C">
              <w:rPr>
                <w:rFonts w:asciiTheme="minorHAnsi" w:hAnsiTheme="minorHAnsi" w:cstheme="minorHAnsi"/>
                <w:sz w:val="18"/>
                <w:szCs w:val="18"/>
              </w:rPr>
              <w:t>IPA Annual Report</w:t>
            </w:r>
          </w:p>
        </w:tc>
        <w:tc>
          <w:tcPr>
            <w:tcW w:w="831" w:type="dxa"/>
            <w:tcBorders>
              <w:top w:val="nil"/>
              <w:left w:val="nil"/>
              <w:bottom w:val="dotted" w:sz="4" w:space="0" w:color="000000"/>
              <w:right w:val="dashed" w:sz="8" w:space="0" w:color="000000"/>
            </w:tcBorders>
            <w:shd w:val="clear" w:color="auto" w:fill="auto"/>
            <w:vAlign w:val="center"/>
          </w:tcPr>
          <w:p w:rsidR="00CE7540" w:rsidRPr="0058534C" w:rsidP="00CE7540" w14:paraId="4DA3279E" w14:textId="3C8524FA">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3</w:t>
            </w:r>
          </w:p>
        </w:tc>
        <w:tc>
          <w:tcPr>
            <w:tcW w:w="810" w:type="dxa"/>
            <w:tcBorders>
              <w:top w:val="nil"/>
              <w:left w:val="nil"/>
              <w:bottom w:val="dotted" w:sz="4" w:space="0" w:color="000000"/>
              <w:right w:val="single" w:sz="8" w:space="0" w:color="000000"/>
            </w:tcBorders>
            <w:shd w:val="clear" w:color="auto" w:fill="auto"/>
            <w:vAlign w:val="center"/>
          </w:tcPr>
          <w:p w:rsidR="00CE7540" w:rsidRPr="0058534C" w:rsidP="00CE7540" w14:paraId="0733A847" w14:textId="5AE8664E">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3</w:t>
            </w:r>
          </w:p>
        </w:tc>
        <w:tc>
          <w:tcPr>
            <w:tcW w:w="810" w:type="dxa"/>
            <w:tcBorders>
              <w:top w:val="single" w:sz="8" w:space="0" w:color="000000"/>
              <w:left w:val="nil"/>
              <w:bottom w:val="dotted" w:sz="4" w:space="0" w:color="000000"/>
              <w:right w:val="dashed" w:sz="4" w:space="0" w:color="000000"/>
            </w:tcBorders>
            <w:shd w:val="clear" w:color="auto" w:fill="auto"/>
            <w:vAlign w:val="center"/>
          </w:tcPr>
          <w:p w:rsidR="00CE7540" w:rsidRPr="0058534C" w:rsidP="00CE7540" w14:paraId="63CB5108" w14:textId="20A9B639">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3</w:t>
            </w:r>
          </w:p>
        </w:tc>
        <w:tc>
          <w:tcPr>
            <w:tcW w:w="810" w:type="dxa"/>
            <w:tcBorders>
              <w:top w:val="nil"/>
              <w:left w:val="dashed" w:sz="4" w:space="0" w:color="000000"/>
              <w:bottom w:val="dotted" w:sz="4" w:space="0" w:color="000000"/>
              <w:right w:val="single" w:sz="8" w:space="0" w:color="000000"/>
            </w:tcBorders>
            <w:shd w:val="clear" w:color="auto" w:fill="auto"/>
            <w:vAlign w:val="center"/>
          </w:tcPr>
          <w:p w:rsidR="00CE7540" w:rsidRPr="0058534C" w:rsidP="00CE7540" w14:paraId="09F08450" w14:textId="29C07429">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3</w:t>
            </w:r>
          </w:p>
        </w:tc>
        <w:tc>
          <w:tcPr>
            <w:tcW w:w="810" w:type="dxa"/>
            <w:tcBorders>
              <w:top w:val="nil"/>
              <w:left w:val="nil"/>
              <w:bottom w:val="dotted" w:sz="4" w:space="0" w:color="000000"/>
              <w:right w:val="dashed" w:sz="8" w:space="0" w:color="000000"/>
            </w:tcBorders>
            <w:shd w:val="clear" w:color="auto" w:fill="auto"/>
            <w:vAlign w:val="center"/>
          </w:tcPr>
          <w:p w:rsidR="00CE7540" w:rsidRPr="0058534C" w:rsidP="00CE7540" w14:paraId="6B10B3D2" w14:textId="57351F5C">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240</w:t>
            </w:r>
          </w:p>
        </w:tc>
        <w:tc>
          <w:tcPr>
            <w:tcW w:w="810" w:type="dxa"/>
            <w:tcBorders>
              <w:top w:val="nil"/>
              <w:left w:val="nil"/>
              <w:bottom w:val="dotted" w:sz="4" w:space="0" w:color="000000"/>
              <w:right w:val="single" w:sz="8" w:space="0" w:color="000000"/>
            </w:tcBorders>
            <w:shd w:val="clear" w:color="auto" w:fill="auto"/>
            <w:vAlign w:val="center"/>
          </w:tcPr>
          <w:p w:rsidR="00CE7540" w:rsidRPr="0058534C" w:rsidP="00CE7540" w14:paraId="7ACF796B" w14:textId="2C00FDCA">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240</w:t>
            </w:r>
          </w:p>
        </w:tc>
        <w:tc>
          <w:tcPr>
            <w:tcW w:w="3597" w:type="dxa"/>
            <w:tcBorders>
              <w:top w:val="nil"/>
              <w:left w:val="nil"/>
              <w:bottom w:val="dotted" w:sz="4" w:space="0" w:color="000000"/>
              <w:right w:val="single" w:sz="8" w:space="0" w:color="000000"/>
            </w:tcBorders>
            <w:shd w:val="clear" w:color="auto" w:fill="auto"/>
            <w:vAlign w:val="center"/>
          </w:tcPr>
          <w:p w:rsidR="00CE7540" w:rsidRPr="0058534C" w:rsidP="00CE7540" w14:paraId="04720113" w14:textId="3D150167">
            <w:pPr>
              <w:widowControl/>
              <w:rPr>
                <w:rFonts w:eastAsia="Calibri" w:asciiTheme="minorHAnsi" w:hAnsiTheme="minorHAnsi" w:cstheme="minorHAnsi"/>
                <w:color w:val="000000"/>
                <w:sz w:val="18"/>
                <w:szCs w:val="18"/>
              </w:rPr>
            </w:pPr>
            <w:r w:rsidRPr="00793288">
              <w:rPr>
                <w:rFonts w:eastAsia="Calibri" w:asciiTheme="minorHAnsi" w:hAnsiTheme="minorHAnsi" w:cstheme="minorHAnsi"/>
                <w:color w:val="000000"/>
                <w:sz w:val="18"/>
                <w:szCs w:val="18"/>
              </w:rPr>
              <w:t>Previously was named IPA Annual Report.</w:t>
            </w:r>
          </w:p>
        </w:tc>
      </w:tr>
      <w:tr w14:paraId="2CCBE88E" w14:textId="77777777" w:rsidTr="00100EFB">
        <w:tblPrEx>
          <w:tblW w:w="10617" w:type="dxa"/>
          <w:tblInd w:w="-100" w:type="dxa"/>
          <w:tblLayout w:type="fixed"/>
          <w:tblLook w:val="0400"/>
        </w:tblPrEx>
        <w:trPr>
          <w:trHeight w:val="490"/>
        </w:trPr>
        <w:tc>
          <w:tcPr>
            <w:tcW w:w="2139" w:type="dxa"/>
            <w:tcBorders>
              <w:top w:val="nil"/>
              <w:left w:val="single" w:sz="8" w:space="0" w:color="000000"/>
              <w:bottom w:val="single" w:sz="8" w:space="0" w:color="000000"/>
              <w:right w:val="single" w:sz="8" w:space="0" w:color="000000"/>
            </w:tcBorders>
            <w:shd w:val="clear" w:color="auto" w:fill="auto"/>
            <w:vAlign w:val="center"/>
          </w:tcPr>
          <w:p w:rsidR="00525FC9" w:rsidRPr="0058534C" w:rsidP="00525FC9" w14:paraId="59D7B1D8" w14:textId="0DA9EA7A">
            <w:pPr>
              <w:widowControl/>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AFA Cooperative Contract</w:t>
            </w:r>
          </w:p>
        </w:tc>
        <w:tc>
          <w:tcPr>
            <w:tcW w:w="831" w:type="dxa"/>
            <w:tcBorders>
              <w:top w:val="nil"/>
              <w:left w:val="nil"/>
              <w:bottom w:val="dotted" w:sz="4" w:space="0" w:color="000000"/>
              <w:right w:val="dashed" w:sz="8" w:space="0" w:color="000000"/>
            </w:tcBorders>
            <w:shd w:val="clear" w:color="auto" w:fill="auto"/>
            <w:vAlign w:val="center"/>
          </w:tcPr>
          <w:p w:rsidR="00525FC9" w:rsidRPr="0058534C" w:rsidP="00525FC9" w14:paraId="42CE9185" w14:textId="735D70E8">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7</w:t>
            </w:r>
          </w:p>
        </w:tc>
        <w:tc>
          <w:tcPr>
            <w:tcW w:w="810" w:type="dxa"/>
            <w:tcBorders>
              <w:top w:val="nil"/>
              <w:left w:val="nil"/>
              <w:bottom w:val="dotted" w:sz="4" w:space="0" w:color="000000"/>
              <w:right w:val="single" w:sz="8" w:space="0" w:color="000000"/>
            </w:tcBorders>
            <w:shd w:val="clear" w:color="auto" w:fill="auto"/>
            <w:vAlign w:val="center"/>
          </w:tcPr>
          <w:p w:rsidR="00525FC9" w:rsidRPr="0058534C" w:rsidP="00525FC9" w14:paraId="09B1844B" w14:textId="6878E16C">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sidR="005B421F">
              <w:rPr>
                <w:rFonts w:eastAsia="Calibri" w:asciiTheme="minorHAnsi" w:hAnsiTheme="minorHAnsi" w:cstheme="minorHAnsi"/>
                <w:color w:val="000000"/>
                <w:sz w:val="18"/>
                <w:szCs w:val="18"/>
              </w:rPr>
              <w:t>8</w:t>
            </w:r>
          </w:p>
        </w:tc>
        <w:tc>
          <w:tcPr>
            <w:tcW w:w="810" w:type="dxa"/>
            <w:tcBorders>
              <w:top w:val="single" w:sz="8" w:space="0" w:color="000000"/>
              <w:left w:val="nil"/>
              <w:bottom w:val="dotted" w:sz="4" w:space="0" w:color="000000"/>
              <w:right w:val="dashed" w:sz="4" w:space="0" w:color="000000"/>
            </w:tcBorders>
            <w:shd w:val="clear" w:color="auto" w:fill="auto"/>
            <w:vAlign w:val="center"/>
          </w:tcPr>
          <w:p w:rsidR="00525FC9" w:rsidRPr="0058534C" w:rsidP="00525FC9" w14:paraId="7A2CF713" w14:textId="62C160ED">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7</w:t>
            </w:r>
          </w:p>
        </w:tc>
        <w:tc>
          <w:tcPr>
            <w:tcW w:w="810" w:type="dxa"/>
            <w:tcBorders>
              <w:top w:val="nil"/>
              <w:left w:val="dashed" w:sz="4" w:space="0" w:color="000000"/>
              <w:bottom w:val="dotted" w:sz="4" w:space="0" w:color="000000"/>
              <w:right w:val="single" w:sz="8" w:space="0" w:color="000000"/>
            </w:tcBorders>
            <w:shd w:val="clear" w:color="auto" w:fill="auto"/>
            <w:vAlign w:val="center"/>
          </w:tcPr>
          <w:p w:rsidR="00525FC9" w:rsidRPr="0058534C" w:rsidP="00525FC9" w14:paraId="2A0F9F32" w14:textId="6BC8F811">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sidR="005B421F">
              <w:rPr>
                <w:rFonts w:eastAsia="Calibri" w:asciiTheme="minorHAnsi" w:hAnsiTheme="minorHAnsi" w:cstheme="minorHAnsi"/>
                <w:color w:val="000000"/>
                <w:sz w:val="18"/>
                <w:szCs w:val="18"/>
              </w:rPr>
              <w:t>8</w:t>
            </w:r>
          </w:p>
        </w:tc>
        <w:tc>
          <w:tcPr>
            <w:tcW w:w="810" w:type="dxa"/>
            <w:tcBorders>
              <w:top w:val="nil"/>
              <w:left w:val="nil"/>
              <w:bottom w:val="dotted" w:sz="4" w:space="0" w:color="000000"/>
              <w:right w:val="dashed" w:sz="8" w:space="0" w:color="000000"/>
            </w:tcBorders>
            <w:shd w:val="clear" w:color="auto" w:fill="auto"/>
            <w:vAlign w:val="center"/>
          </w:tcPr>
          <w:p w:rsidR="00525FC9" w:rsidRPr="0058534C" w:rsidP="00525FC9" w14:paraId="345B0E6B" w14:textId="2FB04CA0">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56</w:t>
            </w:r>
          </w:p>
        </w:tc>
        <w:tc>
          <w:tcPr>
            <w:tcW w:w="810" w:type="dxa"/>
            <w:tcBorders>
              <w:top w:val="nil"/>
              <w:left w:val="nil"/>
              <w:bottom w:val="dotted" w:sz="4" w:space="0" w:color="000000"/>
              <w:right w:val="single" w:sz="8" w:space="0" w:color="000000"/>
            </w:tcBorders>
            <w:shd w:val="clear" w:color="auto" w:fill="auto"/>
            <w:vAlign w:val="center"/>
          </w:tcPr>
          <w:p w:rsidR="00525FC9" w:rsidRPr="0058534C" w:rsidP="00525FC9" w14:paraId="2444DCC4" w14:textId="029D5380">
            <w:pPr>
              <w:widowControl/>
              <w:jc w:val="center"/>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64</w:t>
            </w:r>
          </w:p>
        </w:tc>
        <w:tc>
          <w:tcPr>
            <w:tcW w:w="3597" w:type="dxa"/>
            <w:tcBorders>
              <w:top w:val="nil"/>
              <w:left w:val="nil"/>
              <w:bottom w:val="dotted" w:sz="4" w:space="0" w:color="000000"/>
              <w:right w:val="single" w:sz="8" w:space="0" w:color="000000"/>
            </w:tcBorders>
            <w:shd w:val="clear" w:color="auto" w:fill="auto"/>
            <w:vAlign w:val="center"/>
          </w:tcPr>
          <w:p w:rsidR="00525FC9" w:rsidRPr="0058534C" w:rsidP="00525FC9" w14:paraId="00D60008" w14:textId="19785884">
            <w:pPr>
              <w:widowControl/>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8 hr. reduction due loss of one respondent (Peter Pan cooperative)</w:t>
            </w:r>
          </w:p>
        </w:tc>
      </w:tr>
      <w:tr w14:paraId="491381A4" w14:textId="77777777" w:rsidTr="00100EFB">
        <w:tblPrEx>
          <w:tblW w:w="10617" w:type="dxa"/>
          <w:tblInd w:w="-100" w:type="dxa"/>
          <w:tblLayout w:type="fixed"/>
          <w:tblLook w:val="0400"/>
        </w:tblPrEx>
        <w:trPr>
          <w:trHeight w:val="490"/>
        </w:trPr>
        <w:tc>
          <w:tcPr>
            <w:tcW w:w="2139" w:type="dxa"/>
            <w:tcBorders>
              <w:top w:val="nil"/>
              <w:left w:val="single" w:sz="4" w:space="0" w:color="000000"/>
              <w:bottom w:val="nil"/>
              <w:right w:val="single" w:sz="4" w:space="0" w:color="000000"/>
            </w:tcBorders>
            <w:shd w:val="clear" w:color="auto" w:fill="auto"/>
            <w:vAlign w:val="center"/>
          </w:tcPr>
          <w:p w:rsidR="00525FC9" w:rsidRPr="0058534C" w:rsidP="00525FC9" w14:paraId="6A3319C1" w14:textId="2857C975">
            <w:pPr>
              <w:widowControl/>
              <w:rPr>
                <w:rFonts w:eastAsia="Calibri" w:asciiTheme="minorHAnsi" w:hAnsiTheme="minorHAnsi" w:cstheme="minorHAnsi"/>
                <w:color w:val="000000"/>
                <w:sz w:val="18"/>
                <w:szCs w:val="18"/>
              </w:rPr>
            </w:pPr>
            <w:r>
              <w:rPr>
                <w:rFonts w:asciiTheme="minorHAnsi" w:hAnsiTheme="minorHAnsi" w:cstheme="minorHAnsi"/>
                <w:sz w:val="18"/>
                <w:szCs w:val="18"/>
              </w:rPr>
              <w:t>Administrative A</w:t>
            </w:r>
            <w:r w:rsidRPr="0058534C">
              <w:rPr>
                <w:rFonts w:asciiTheme="minorHAnsi" w:hAnsiTheme="minorHAnsi" w:cstheme="minorHAnsi"/>
                <w:sz w:val="18"/>
                <w:szCs w:val="18"/>
              </w:rPr>
              <w:t>ppeals to disapproved IPA</w:t>
            </w:r>
          </w:p>
        </w:tc>
        <w:tc>
          <w:tcPr>
            <w:tcW w:w="831" w:type="dxa"/>
            <w:tcBorders>
              <w:top w:val="nil"/>
              <w:left w:val="nil"/>
              <w:bottom w:val="dotted" w:sz="4" w:space="0" w:color="000000"/>
              <w:right w:val="dashed" w:sz="8" w:space="0" w:color="000000"/>
            </w:tcBorders>
            <w:shd w:val="clear" w:color="auto" w:fill="auto"/>
            <w:vAlign w:val="center"/>
          </w:tcPr>
          <w:p w:rsidR="00525FC9" w:rsidRPr="0058534C" w:rsidP="00525FC9" w14:paraId="456FE94D" w14:textId="4ABC066F">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1</w:t>
            </w:r>
          </w:p>
        </w:tc>
        <w:tc>
          <w:tcPr>
            <w:tcW w:w="810" w:type="dxa"/>
            <w:tcBorders>
              <w:top w:val="nil"/>
              <w:left w:val="nil"/>
              <w:bottom w:val="dotted" w:sz="4" w:space="0" w:color="000000"/>
              <w:right w:val="single" w:sz="8" w:space="0" w:color="000000"/>
            </w:tcBorders>
            <w:shd w:val="clear" w:color="auto" w:fill="auto"/>
            <w:vAlign w:val="center"/>
          </w:tcPr>
          <w:p w:rsidR="00525FC9" w:rsidRPr="0058534C" w:rsidP="00525FC9" w14:paraId="71560B95" w14:textId="3DE04D0A">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1</w:t>
            </w:r>
          </w:p>
        </w:tc>
        <w:tc>
          <w:tcPr>
            <w:tcW w:w="810" w:type="dxa"/>
            <w:tcBorders>
              <w:top w:val="dotted" w:sz="4" w:space="0" w:color="000000"/>
              <w:left w:val="nil"/>
              <w:bottom w:val="dotted" w:sz="4" w:space="0" w:color="000000"/>
              <w:right w:val="dashed" w:sz="4" w:space="0" w:color="000000"/>
            </w:tcBorders>
            <w:shd w:val="clear" w:color="auto" w:fill="auto"/>
            <w:vAlign w:val="center"/>
          </w:tcPr>
          <w:p w:rsidR="00525FC9" w:rsidRPr="0058534C" w:rsidP="00525FC9" w14:paraId="0D074074" w14:textId="4AE164B0">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1</w:t>
            </w:r>
          </w:p>
        </w:tc>
        <w:tc>
          <w:tcPr>
            <w:tcW w:w="810" w:type="dxa"/>
            <w:tcBorders>
              <w:top w:val="nil"/>
              <w:left w:val="dashed" w:sz="4" w:space="0" w:color="000000"/>
              <w:bottom w:val="dotted" w:sz="4" w:space="0" w:color="000000"/>
              <w:right w:val="single" w:sz="8" w:space="0" w:color="000000"/>
            </w:tcBorders>
            <w:shd w:val="clear" w:color="auto" w:fill="auto"/>
            <w:vAlign w:val="center"/>
          </w:tcPr>
          <w:p w:rsidR="00525FC9" w:rsidRPr="0058534C" w:rsidP="00525FC9" w14:paraId="6A405637" w14:textId="3386574A">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1</w:t>
            </w:r>
          </w:p>
        </w:tc>
        <w:tc>
          <w:tcPr>
            <w:tcW w:w="810" w:type="dxa"/>
            <w:tcBorders>
              <w:top w:val="nil"/>
              <w:left w:val="nil"/>
              <w:bottom w:val="dotted" w:sz="4" w:space="0" w:color="000000"/>
              <w:right w:val="dashed" w:sz="8" w:space="0" w:color="000000"/>
            </w:tcBorders>
            <w:shd w:val="clear" w:color="auto" w:fill="auto"/>
            <w:vAlign w:val="center"/>
          </w:tcPr>
          <w:p w:rsidR="00525FC9" w:rsidRPr="0058534C" w:rsidP="00525FC9" w14:paraId="41385F09" w14:textId="52207EE4">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4</w:t>
            </w:r>
          </w:p>
        </w:tc>
        <w:tc>
          <w:tcPr>
            <w:tcW w:w="810" w:type="dxa"/>
            <w:tcBorders>
              <w:top w:val="nil"/>
              <w:left w:val="nil"/>
              <w:bottom w:val="dotted" w:sz="4" w:space="0" w:color="000000"/>
              <w:right w:val="single" w:sz="8" w:space="0" w:color="000000"/>
            </w:tcBorders>
            <w:shd w:val="clear" w:color="auto" w:fill="auto"/>
            <w:vAlign w:val="center"/>
          </w:tcPr>
          <w:p w:rsidR="00525FC9" w:rsidRPr="001B289B" w:rsidP="00525FC9" w14:paraId="2AA2BB0E" w14:textId="52E247A7">
            <w:pPr>
              <w:widowControl/>
              <w:jc w:val="center"/>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r>
              <w:rPr>
                <w:rFonts w:eastAsia="Calibri" w:asciiTheme="minorHAnsi" w:hAnsiTheme="minorHAnsi" w:cstheme="minorHAnsi"/>
                <w:color w:val="000000"/>
                <w:sz w:val="18"/>
                <w:szCs w:val="18"/>
              </w:rPr>
              <w:t>4</w:t>
            </w:r>
          </w:p>
        </w:tc>
        <w:tc>
          <w:tcPr>
            <w:tcW w:w="3597" w:type="dxa"/>
            <w:tcBorders>
              <w:top w:val="nil"/>
              <w:left w:val="nil"/>
              <w:bottom w:val="dotted" w:sz="4" w:space="0" w:color="000000"/>
              <w:right w:val="single" w:sz="8" w:space="0" w:color="000000"/>
            </w:tcBorders>
            <w:shd w:val="clear" w:color="auto" w:fill="auto"/>
            <w:vAlign w:val="center"/>
          </w:tcPr>
          <w:p w:rsidR="00525FC9" w:rsidRPr="0058534C" w:rsidP="00525FC9" w14:paraId="3FEED94F" w14:textId="1EA05F4C">
            <w:pPr>
              <w:widowControl/>
              <w:rPr>
                <w:rFonts w:eastAsia="Calibri" w:asciiTheme="minorHAnsi" w:hAnsiTheme="minorHAnsi" w:cstheme="minorHAnsi"/>
                <w:color w:val="000000"/>
                <w:sz w:val="18"/>
                <w:szCs w:val="18"/>
              </w:rPr>
            </w:pPr>
            <w:r w:rsidRPr="007A4321">
              <w:rPr>
                <w:rFonts w:eastAsia="Calibri" w:asciiTheme="minorHAnsi" w:hAnsiTheme="minorHAnsi" w:cstheme="minorHAnsi"/>
                <w:color w:val="000000"/>
                <w:sz w:val="18"/>
                <w:szCs w:val="18"/>
              </w:rPr>
              <w:t>No change</w:t>
            </w:r>
          </w:p>
        </w:tc>
      </w:tr>
      <w:tr w14:paraId="01E058C6" w14:textId="77777777" w:rsidTr="00100EFB">
        <w:tblPrEx>
          <w:tblW w:w="10617" w:type="dxa"/>
          <w:tblInd w:w="-100" w:type="dxa"/>
          <w:tblLayout w:type="fixed"/>
          <w:tblLook w:val="0400"/>
        </w:tblPrEx>
        <w:trPr>
          <w:trHeight w:val="490"/>
        </w:trPr>
        <w:tc>
          <w:tcPr>
            <w:tcW w:w="2139" w:type="dxa"/>
            <w:tcBorders>
              <w:top w:val="nil"/>
              <w:left w:val="single" w:sz="8" w:space="0" w:color="000000"/>
              <w:bottom w:val="nil"/>
              <w:right w:val="single" w:sz="8" w:space="0" w:color="000000"/>
            </w:tcBorders>
            <w:shd w:val="clear" w:color="auto" w:fill="BDD6EE"/>
            <w:vAlign w:val="center"/>
          </w:tcPr>
          <w:p w:rsidR="00BD156D" w:rsidRPr="0058534C" w14:paraId="5A354A52" w14:textId="77777777">
            <w:pPr>
              <w:widowControl/>
              <w:jc w:val="center"/>
              <w:rPr>
                <w:rFonts w:eastAsia="Calibri" w:asciiTheme="minorHAnsi" w:hAnsiTheme="minorHAnsi" w:cstheme="minorHAnsi"/>
                <w:b/>
                <w:color w:val="000000"/>
                <w:sz w:val="18"/>
                <w:szCs w:val="18"/>
              </w:rPr>
            </w:pPr>
            <w:r w:rsidRPr="0058534C">
              <w:rPr>
                <w:rFonts w:eastAsia="Calibri" w:asciiTheme="minorHAnsi" w:hAnsiTheme="minorHAnsi" w:cstheme="minorHAnsi"/>
                <w:b/>
                <w:color w:val="000000"/>
                <w:sz w:val="18"/>
                <w:szCs w:val="18"/>
              </w:rPr>
              <w:t>Total for Collection</w:t>
            </w:r>
          </w:p>
        </w:tc>
        <w:tc>
          <w:tcPr>
            <w:tcW w:w="831" w:type="dxa"/>
            <w:tcBorders>
              <w:top w:val="single" w:sz="4" w:space="0" w:color="auto"/>
              <w:left w:val="nil"/>
              <w:bottom w:val="nil"/>
              <w:right w:val="dashed" w:sz="8" w:space="0" w:color="000000"/>
            </w:tcBorders>
            <w:shd w:val="clear" w:color="auto" w:fill="BDD6EE"/>
            <w:vAlign w:val="center"/>
          </w:tcPr>
          <w:p w:rsidR="00BD156D" w:rsidRPr="0058534C" w14:paraId="4971112B" w14:textId="414753F5">
            <w:pPr>
              <w:widowControl/>
              <w:jc w:val="center"/>
              <w:rPr>
                <w:rFonts w:eastAsia="Calibri" w:asciiTheme="minorHAnsi" w:hAnsiTheme="minorHAnsi" w:cstheme="minorHAnsi"/>
                <w:b/>
                <w:color w:val="000000"/>
                <w:sz w:val="18"/>
                <w:szCs w:val="18"/>
              </w:rPr>
            </w:pPr>
            <w:r w:rsidRPr="0058534C">
              <w:rPr>
                <w:rFonts w:eastAsia="Calibri" w:asciiTheme="minorHAnsi" w:hAnsiTheme="minorHAnsi" w:cstheme="minorHAnsi"/>
                <w:b/>
                <w:color w:val="000000"/>
                <w:sz w:val="18"/>
                <w:szCs w:val="18"/>
              </w:rPr>
              <w:t> </w:t>
            </w:r>
            <w:r w:rsidRPr="0058534C" w:rsidR="006970B3">
              <w:rPr>
                <w:rFonts w:eastAsia="Calibri" w:asciiTheme="minorHAnsi" w:hAnsiTheme="minorHAnsi" w:cstheme="minorHAnsi"/>
                <w:b/>
                <w:color w:val="000000"/>
                <w:sz w:val="18"/>
                <w:szCs w:val="18"/>
              </w:rPr>
              <w:t>1</w:t>
            </w:r>
            <w:r w:rsidR="00064A2B">
              <w:rPr>
                <w:rFonts w:eastAsia="Calibri" w:asciiTheme="minorHAnsi" w:hAnsiTheme="minorHAnsi" w:cstheme="minorHAnsi"/>
                <w:b/>
                <w:color w:val="000000"/>
                <w:sz w:val="18"/>
                <w:szCs w:val="18"/>
              </w:rPr>
              <w:t>0</w:t>
            </w:r>
            <w:r w:rsidR="00B01642">
              <w:rPr>
                <w:rFonts w:eastAsia="Calibri" w:asciiTheme="minorHAnsi" w:hAnsiTheme="minorHAnsi" w:cstheme="minorHAnsi"/>
                <w:b/>
                <w:color w:val="000000"/>
                <w:sz w:val="18"/>
                <w:szCs w:val="18"/>
              </w:rPr>
              <w:t>*</w:t>
            </w:r>
          </w:p>
        </w:tc>
        <w:tc>
          <w:tcPr>
            <w:tcW w:w="810" w:type="dxa"/>
            <w:tcBorders>
              <w:top w:val="single" w:sz="4" w:space="0" w:color="auto"/>
              <w:left w:val="nil"/>
              <w:bottom w:val="nil"/>
              <w:right w:val="single" w:sz="8" w:space="0" w:color="000000"/>
            </w:tcBorders>
            <w:shd w:val="clear" w:color="auto" w:fill="BDD6EE"/>
            <w:vAlign w:val="center"/>
          </w:tcPr>
          <w:p w:rsidR="00BD156D" w:rsidRPr="0058534C" w14:paraId="11AC6F3F" w14:textId="6301BC02">
            <w:pPr>
              <w:widowControl/>
              <w:jc w:val="center"/>
              <w:rPr>
                <w:rFonts w:eastAsia="Calibri" w:asciiTheme="minorHAnsi" w:hAnsiTheme="minorHAnsi" w:cstheme="minorHAnsi"/>
                <w:b/>
                <w:color w:val="000000"/>
                <w:sz w:val="18"/>
                <w:szCs w:val="18"/>
              </w:rPr>
            </w:pPr>
            <w:r w:rsidRPr="0058534C">
              <w:rPr>
                <w:rFonts w:eastAsia="Calibri" w:asciiTheme="minorHAnsi" w:hAnsiTheme="minorHAnsi" w:cstheme="minorHAnsi"/>
                <w:b/>
                <w:color w:val="000000"/>
                <w:sz w:val="18"/>
                <w:szCs w:val="18"/>
              </w:rPr>
              <w:t> </w:t>
            </w:r>
            <w:r w:rsidRPr="0058534C" w:rsidR="006970B3">
              <w:rPr>
                <w:rFonts w:eastAsia="Calibri" w:asciiTheme="minorHAnsi" w:hAnsiTheme="minorHAnsi" w:cstheme="minorHAnsi"/>
                <w:b/>
                <w:color w:val="000000"/>
                <w:sz w:val="18"/>
                <w:szCs w:val="18"/>
              </w:rPr>
              <w:t>1</w:t>
            </w:r>
            <w:r w:rsidR="000A2D1E">
              <w:rPr>
                <w:rFonts w:eastAsia="Calibri" w:asciiTheme="minorHAnsi" w:hAnsiTheme="minorHAnsi" w:cstheme="minorHAnsi"/>
                <w:b/>
                <w:color w:val="000000"/>
                <w:sz w:val="18"/>
                <w:szCs w:val="18"/>
              </w:rPr>
              <w:t>1</w:t>
            </w:r>
            <w:r w:rsidR="00B01642">
              <w:rPr>
                <w:rFonts w:eastAsia="Calibri" w:asciiTheme="minorHAnsi" w:hAnsiTheme="minorHAnsi" w:cstheme="minorHAnsi"/>
                <w:b/>
                <w:color w:val="000000"/>
                <w:sz w:val="18"/>
                <w:szCs w:val="18"/>
              </w:rPr>
              <w:t>*</w:t>
            </w:r>
          </w:p>
        </w:tc>
        <w:tc>
          <w:tcPr>
            <w:tcW w:w="810" w:type="dxa"/>
            <w:tcBorders>
              <w:top w:val="single" w:sz="4" w:space="0" w:color="auto"/>
              <w:left w:val="nil"/>
              <w:bottom w:val="nil"/>
              <w:right w:val="dashed" w:sz="8" w:space="0" w:color="000000"/>
            </w:tcBorders>
            <w:shd w:val="clear" w:color="auto" w:fill="BDD6EE"/>
            <w:vAlign w:val="center"/>
          </w:tcPr>
          <w:p w:rsidR="00BD156D" w:rsidRPr="0058534C" w14:paraId="1F348873" w14:textId="5FB428BC">
            <w:pPr>
              <w:widowControl/>
              <w:jc w:val="center"/>
              <w:rPr>
                <w:rFonts w:eastAsia="Calibri" w:asciiTheme="minorHAnsi" w:hAnsiTheme="minorHAnsi" w:cstheme="minorHAnsi"/>
                <w:b/>
                <w:color w:val="000000"/>
                <w:sz w:val="18"/>
                <w:szCs w:val="18"/>
              </w:rPr>
            </w:pPr>
            <w:r w:rsidRPr="0058534C">
              <w:rPr>
                <w:rFonts w:eastAsia="Calibri" w:asciiTheme="minorHAnsi" w:hAnsiTheme="minorHAnsi" w:cstheme="minorHAnsi"/>
                <w:b/>
                <w:color w:val="000000"/>
                <w:sz w:val="18"/>
                <w:szCs w:val="18"/>
              </w:rPr>
              <w:t> </w:t>
            </w:r>
            <w:r w:rsidR="0058534C">
              <w:rPr>
                <w:rFonts w:eastAsia="Calibri" w:asciiTheme="minorHAnsi" w:hAnsiTheme="minorHAnsi" w:cstheme="minorHAnsi"/>
                <w:b/>
                <w:color w:val="000000"/>
                <w:sz w:val="18"/>
                <w:szCs w:val="18"/>
              </w:rPr>
              <w:t>1</w:t>
            </w:r>
            <w:r w:rsidR="00064A2B">
              <w:rPr>
                <w:rFonts w:eastAsia="Calibri" w:asciiTheme="minorHAnsi" w:hAnsiTheme="minorHAnsi" w:cstheme="minorHAnsi"/>
                <w:b/>
                <w:color w:val="000000"/>
                <w:sz w:val="18"/>
                <w:szCs w:val="18"/>
              </w:rPr>
              <w:t>2</w:t>
            </w:r>
          </w:p>
        </w:tc>
        <w:tc>
          <w:tcPr>
            <w:tcW w:w="810" w:type="dxa"/>
            <w:tcBorders>
              <w:top w:val="single" w:sz="4" w:space="0" w:color="auto"/>
              <w:left w:val="nil"/>
              <w:bottom w:val="nil"/>
              <w:right w:val="single" w:sz="8" w:space="0" w:color="000000"/>
            </w:tcBorders>
            <w:shd w:val="clear" w:color="auto" w:fill="BDD6EE"/>
            <w:vAlign w:val="center"/>
          </w:tcPr>
          <w:p w:rsidR="00BD156D" w:rsidRPr="0058534C" w14:paraId="3D635EF9" w14:textId="68A0D698">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13</w:t>
            </w:r>
          </w:p>
        </w:tc>
        <w:tc>
          <w:tcPr>
            <w:tcW w:w="810" w:type="dxa"/>
            <w:tcBorders>
              <w:top w:val="single" w:sz="4" w:space="0" w:color="auto"/>
              <w:left w:val="nil"/>
              <w:bottom w:val="nil"/>
              <w:right w:val="dashed" w:sz="8" w:space="0" w:color="000000"/>
            </w:tcBorders>
            <w:shd w:val="clear" w:color="auto" w:fill="BDD6EE"/>
            <w:vAlign w:val="center"/>
          </w:tcPr>
          <w:p w:rsidR="00BD156D" w:rsidRPr="0058534C" w14:paraId="283F3CF7" w14:textId="1D8BA00C">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35</w:t>
            </w:r>
            <w:r w:rsidR="00064A2B">
              <w:rPr>
                <w:rFonts w:eastAsia="Calibri" w:asciiTheme="minorHAnsi" w:hAnsiTheme="minorHAnsi" w:cstheme="minorHAnsi"/>
                <w:b/>
                <w:color w:val="000000"/>
                <w:sz w:val="18"/>
                <w:szCs w:val="18"/>
              </w:rPr>
              <w:t>0</w:t>
            </w:r>
            <w:r w:rsidRPr="0058534C" w:rsidR="007759F6">
              <w:rPr>
                <w:rFonts w:eastAsia="Calibri" w:asciiTheme="minorHAnsi" w:hAnsiTheme="minorHAnsi" w:cstheme="minorHAnsi"/>
                <w:b/>
                <w:color w:val="000000"/>
                <w:sz w:val="18"/>
                <w:szCs w:val="18"/>
              </w:rPr>
              <w:t> </w:t>
            </w:r>
          </w:p>
        </w:tc>
        <w:tc>
          <w:tcPr>
            <w:tcW w:w="810" w:type="dxa"/>
            <w:tcBorders>
              <w:top w:val="single" w:sz="4" w:space="0" w:color="auto"/>
              <w:left w:val="nil"/>
              <w:bottom w:val="nil"/>
              <w:right w:val="single" w:sz="8" w:space="0" w:color="000000"/>
            </w:tcBorders>
            <w:shd w:val="clear" w:color="auto" w:fill="BDD6EE"/>
            <w:vAlign w:val="center"/>
          </w:tcPr>
          <w:p w:rsidR="00BD156D" w:rsidRPr="0058534C" w14:paraId="1D12A6A6" w14:textId="372DF04C">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358</w:t>
            </w:r>
            <w:r w:rsidRPr="0058534C" w:rsidR="00525FC9">
              <w:rPr>
                <w:rFonts w:eastAsia="Calibri" w:asciiTheme="minorHAnsi" w:hAnsiTheme="minorHAnsi" w:cstheme="minorHAnsi"/>
                <w:b/>
                <w:color w:val="000000"/>
                <w:sz w:val="18"/>
                <w:szCs w:val="18"/>
              </w:rPr>
              <w:t> </w:t>
            </w:r>
          </w:p>
        </w:tc>
        <w:tc>
          <w:tcPr>
            <w:tcW w:w="3597" w:type="dxa"/>
            <w:tcBorders>
              <w:top w:val="nil"/>
              <w:left w:val="nil"/>
              <w:bottom w:val="nil"/>
              <w:right w:val="single" w:sz="8" w:space="0" w:color="000000"/>
            </w:tcBorders>
            <w:shd w:val="clear" w:color="auto" w:fill="000000"/>
            <w:vAlign w:val="center"/>
          </w:tcPr>
          <w:p w:rsidR="00BD156D" w:rsidRPr="0058534C" w14:paraId="6F8FFCC1" w14:textId="77777777">
            <w:pPr>
              <w:widowControl/>
              <w:jc w:val="center"/>
              <w:rPr>
                <w:rFonts w:eastAsia="Calibri" w:asciiTheme="minorHAnsi" w:hAnsiTheme="minorHAnsi" w:cstheme="minorHAnsi"/>
                <w:b/>
                <w:color w:val="000000"/>
                <w:sz w:val="18"/>
                <w:szCs w:val="18"/>
              </w:rPr>
            </w:pPr>
            <w:r w:rsidRPr="0058534C">
              <w:rPr>
                <w:rFonts w:eastAsia="Calibri" w:asciiTheme="minorHAnsi" w:hAnsiTheme="minorHAnsi" w:cstheme="minorHAnsi"/>
                <w:b/>
                <w:color w:val="000000"/>
                <w:sz w:val="18"/>
                <w:szCs w:val="18"/>
              </w:rPr>
              <w:t> </w:t>
            </w:r>
          </w:p>
        </w:tc>
      </w:tr>
      <w:tr w14:paraId="66C64B30" w14:textId="77777777" w:rsidTr="00100EFB">
        <w:tblPrEx>
          <w:tblW w:w="10617" w:type="dxa"/>
          <w:tblInd w:w="-100" w:type="dxa"/>
          <w:tblLayout w:type="fixed"/>
          <w:tblLook w:val="0400"/>
        </w:tblPrEx>
        <w:trPr>
          <w:trHeight w:val="490"/>
        </w:trPr>
        <w:tc>
          <w:tcPr>
            <w:tcW w:w="2139" w:type="dxa"/>
            <w:tcBorders>
              <w:top w:val="single" w:sz="8" w:space="0" w:color="000000"/>
              <w:left w:val="single" w:sz="8" w:space="0" w:color="000000"/>
              <w:bottom w:val="single" w:sz="8" w:space="0" w:color="000000"/>
              <w:right w:val="nil"/>
            </w:tcBorders>
            <w:shd w:val="clear" w:color="auto" w:fill="FCE4D6"/>
            <w:vAlign w:val="center"/>
          </w:tcPr>
          <w:p w:rsidR="00BD156D" w:rsidRPr="0058534C" w14:paraId="16BA63B2" w14:textId="77777777">
            <w:pPr>
              <w:widowControl/>
              <w:jc w:val="center"/>
              <w:rPr>
                <w:rFonts w:eastAsia="Calibri" w:asciiTheme="minorHAnsi" w:hAnsiTheme="minorHAnsi" w:cstheme="minorHAnsi"/>
                <w:b/>
                <w:color w:val="000000"/>
                <w:sz w:val="18"/>
                <w:szCs w:val="18"/>
              </w:rPr>
            </w:pPr>
            <w:r w:rsidRPr="0058534C">
              <w:rPr>
                <w:rFonts w:eastAsia="Calibri" w:asciiTheme="minorHAnsi" w:hAnsiTheme="minorHAnsi" w:cstheme="minorHAnsi"/>
                <w:b/>
                <w:color w:val="000000"/>
                <w:sz w:val="18"/>
                <w:szCs w:val="18"/>
              </w:rPr>
              <w:t>Difference</w:t>
            </w:r>
          </w:p>
        </w:tc>
        <w:tc>
          <w:tcPr>
            <w:tcW w:w="1641" w:type="dxa"/>
            <w:gridSpan w:val="2"/>
            <w:tcBorders>
              <w:top w:val="single" w:sz="8" w:space="0" w:color="000000"/>
              <w:left w:val="single" w:sz="8" w:space="0" w:color="000000"/>
              <w:bottom w:val="single" w:sz="8" w:space="0" w:color="000000"/>
              <w:right w:val="single" w:sz="8" w:space="0" w:color="000000"/>
            </w:tcBorders>
            <w:shd w:val="clear" w:color="auto" w:fill="FCE4D6"/>
            <w:vAlign w:val="center"/>
          </w:tcPr>
          <w:p w:rsidR="00BD156D" w14:paraId="0DBE478B" w14:textId="77777777">
            <w:pPr>
              <w:widowControl/>
              <w:jc w:val="center"/>
              <w:rPr>
                <w:rFonts w:eastAsia="Calibri" w:asciiTheme="minorHAnsi" w:hAnsiTheme="minorHAnsi" w:cstheme="minorHAnsi"/>
                <w:b/>
                <w:color w:val="000000"/>
                <w:sz w:val="18"/>
                <w:szCs w:val="18"/>
              </w:rPr>
            </w:pPr>
            <w:r w:rsidRPr="0058534C">
              <w:rPr>
                <w:rFonts w:eastAsia="Calibri" w:asciiTheme="minorHAnsi" w:hAnsiTheme="minorHAnsi" w:cstheme="minorHAnsi"/>
                <w:b/>
                <w:color w:val="000000"/>
                <w:sz w:val="18"/>
                <w:szCs w:val="18"/>
              </w:rPr>
              <w:t> </w:t>
            </w:r>
            <w:r w:rsidR="000A2D1E">
              <w:rPr>
                <w:rFonts w:eastAsia="Calibri" w:asciiTheme="minorHAnsi" w:hAnsiTheme="minorHAnsi" w:cstheme="minorHAnsi"/>
                <w:b/>
                <w:color w:val="000000"/>
                <w:sz w:val="18"/>
                <w:szCs w:val="18"/>
              </w:rPr>
              <w:t>-1</w:t>
            </w:r>
          </w:p>
          <w:p w:rsidR="00BF76D6" w:rsidRPr="0058534C" w14:paraId="078F6D40" w14:textId="57CB5D03">
            <w:pPr>
              <w:widowControl/>
              <w:jc w:val="center"/>
              <w:rPr>
                <w:rFonts w:eastAsia="Calibri" w:asciiTheme="minorHAnsi" w:hAnsiTheme="minorHAnsi" w:cstheme="minorHAnsi"/>
                <w:b/>
                <w:color w:val="000000"/>
                <w:sz w:val="18"/>
                <w:szCs w:val="18"/>
              </w:rPr>
            </w:pPr>
            <w:r w:rsidRPr="0058534C">
              <w:rPr>
                <w:rFonts w:eastAsia="Calibri" w:asciiTheme="minorHAnsi" w:hAnsiTheme="minorHAnsi" w:cstheme="minorHAnsi"/>
                <w:b/>
                <w:color w:val="000000"/>
                <w:sz w:val="18"/>
                <w:szCs w:val="18"/>
              </w:rPr>
              <w:t>(adjustment)</w:t>
            </w:r>
          </w:p>
        </w:tc>
        <w:tc>
          <w:tcPr>
            <w:tcW w:w="1620" w:type="dxa"/>
            <w:gridSpan w:val="2"/>
            <w:tcBorders>
              <w:top w:val="single" w:sz="8" w:space="0" w:color="000000"/>
              <w:left w:val="nil"/>
              <w:bottom w:val="single" w:sz="8" w:space="0" w:color="000000"/>
              <w:right w:val="single" w:sz="8" w:space="0" w:color="000000"/>
            </w:tcBorders>
            <w:shd w:val="clear" w:color="auto" w:fill="FCE4D6"/>
            <w:vAlign w:val="center"/>
          </w:tcPr>
          <w:p w:rsidR="001B289B" w14:paraId="589E20BB" w14:textId="52C1A1DE">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 xml:space="preserve">- </w:t>
            </w:r>
            <w:r w:rsidR="000A2D1E">
              <w:rPr>
                <w:rFonts w:eastAsia="Calibri" w:asciiTheme="minorHAnsi" w:hAnsiTheme="minorHAnsi" w:cstheme="minorHAnsi"/>
                <w:b/>
                <w:color w:val="000000"/>
                <w:sz w:val="18"/>
                <w:szCs w:val="18"/>
              </w:rPr>
              <w:t>1</w:t>
            </w:r>
            <w:r w:rsidRPr="0058534C" w:rsidR="007759F6">
              <w:rPr>
                <w:rFonts w:eastAsia="Calibri" w:asciiTheme="minorHAnsi" w:hAnsiTheme="minorHAnsi" w:cstheme="minorHAnsi"/>
                <w:b/>
                <w:color w:val="000000"/>
                <w:sz w:val="18"/>
                <w:szCs w:val="18"/>
              </w:rPr>
              <w:t> </w:t>
            </w:r>
          </w:p>
          <w:p w:rsidR="00BD156D" w:rsidRPr="0058534C" w14:paraId="245EE29B" w14:textId="79C012CC">
            <w:pPr>
              <w:widowControl/>
              <w:jc w:val="center"/>
              <w:rPr>
                <w:rFonts w:eastAsia="Calibri" w:asciiTheme="minorHAnsi" w:hAnsiTheme="minorHAnsi" w:cstheme="minorHAnsi"/>
                <w:b/>
                <w:color w:val="000000"/>
                <w:sz w:val="18"/>
                <w:szCs w:val="18"/>
              </w:rPr>
            </w:pPr>
            <w:r w:rsidRPr="0058534C">
              <w:rPr>
                <w:rFonts w:eastAsia="Calibri" w:asciiTheme="minorHAnsi" w:hAnsiTheme="minorHAnsi" w:cstheme="minorHAnsi"/>
                <w:b/>
                <w:color w:val="000000"/>
                <w:sz w:val="18"/>
                <w:szCs w:val="18"/>
              </w:rPr>
              <w:t>(adjustment)</w:t>
            </w:r>
          </w:p>
        </w:tc>
        <w:tc>
          <w:tcPr>
            <w:tcW w:w="1620" w:type="dxa"/>
            <w:gridSpan w:val="2"/>
            <w:tcBorders>
              <w:top w:val="single" w:sz="8" w:space="0" w:color="000000"/>
              <w:left w:val="nil"/>
              <w:bottom w:val="single" w:sz="8" w:space="0" w:color="000000"/>
              <w:right w:val="single" w:sz="4" w:space="0" w:color="000000"/>
            </w:tcBorders>
            <w:shd w:val="clear" w:color="auto" w:fill="FCE4D6"/>
            <w:vAlign w:val="center"/>
          </w:tcPr>
          <w:p w:rsidR="000A2D1E" w14:paraId="5256B5C7" w14:textId="77777777">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- 8</w:t>
            </w:r>
          </w:p>
          <w:p w:rsidR="00BD156D" w:rsidRPr="0058534C" w14:paraId="67280A2E" w14:textId="2753BBC1">
            <w:pPr>
              <w:widowControl/>
              <w:jc w:val="center"/>
              <w:rPr>
                <w:rFonts w:eastAsia="Calibri" w:asciiTheme="minorHAnsi" w:hAnsiTheme="minorHAnsi" w:cstheme="minorHAnsi"/>
                <w:b/>
                <w:color w:val="000000"/>
                <w:sz w:val="18"/>
                <w:szCs w:val="18"/>
              </w:rPr>
            </w:pPr>
            <w:r>
              <w:rPr>
                <w:rFonts w:eastAsia="Calibri" w:asciiTheme="minorHAnsi" w:hAnsiTheme="minorHAnsi" w:cstheme="minorHAnsi"/>
                <w:b/>
                <w:color w:val="000000"/>
                <w:sz w:val="18"/>
                <w:szCs w:val="18"/>
              </w:rPr>
              <w:t xml:space="preserve"> (adjustment)</w:t>
            </w:r>
            <w:r w:rsidRPr="0058534C" w:rsidR="007759F6">
              <w:rPr>
                <w:rFonts w:eastAsia="Calibri" w:asciiTheme="minorHAnsi" w:hAnsiTheme="minorHAnsi" w:cstheme="minorHAnsi"/>
                <w:b/>
                <w:color w:val="000000"/>
                <w:sz w:val="18"/>
                <w:szCs w:val="18"/>
              </w:rPr>
              <w:t> </w:t>
            </w:r>
          </w:p>
        </w:tc>
        <w:tc>
          <w:tcPr>
            <w:tcW w:w="3597" w:type="dxa"/>
            <w:tcBorders>
              <w:top w:val="single" w:sz="8" w:space="0" w:color="000000"/>
              <w:left w:val="nil"/>
              <w:bottom w:val="single" w:sz="8" w:space="0" w:color="000000"/>
              <w:right w:val="single" w:sz="8" w:space="0" w:color="000000"/>
            </w:tcBorders>
            <w:shd w:val="clear" w:color="auto" w:fill="000000"/>
            <w:vAlign w:val="center"/>
          </w:tcPr>
          <w:p w:rsidR="00BD156D" w:rsidRPr="0058534C" w14:paraId="061B778F" w14:textId="77777777">
            <w:pPr>
              <w:widowControl/>
              <w:rPr>
                <w:rFonts w:eastAsia="Calibri" w:asciiTheme="minorHAnsi" w:hAnsiTheme="minorHAnsi" w:cstheme="minorHAnsi"/>
                <w:color w:val="000000"/>
                <w:sz w:val="18"/>
                <w:szCs w:val="18"/>
              </w:rPr>
            </w:pPr>
            <w:r w:rsidRPr="0058534C">
              <w:rPr>
                <w:rFonts w:eastAsia="Calibri" w:asciiTheme="minorHAnsi" w:hAnsiTheme="minorHAnsi" w:cstheme="minorHAnsi"/>
                <w:color w:val="000000"/>
                <w:sz w:val="18"/>
                <w:szCs w:val="18"/>
              </w:rPr>
              <w:t> </w:t>
            </w:r>
          </w:p>
        </w:tc>
      </w:tr>
    </w:tbl>
    <w:p w:rsidR="00BD156D" w:rsidRPr="00B01642" w14:paraId="603F7103" w14:textId="1087A77B">
      <w:pPr>
        <w:pBdr>
          <w:top w:val="nil"/>
          <w:left w:val="nil"/>
          <w:bottom w:val="nil"/>
          <w:right w:val="nil"/>
          <w:between w:val="nil"/>
        </w:pBdr>
        <w:spacing w:before="7"/>
        <w:rPr>
          <w:rFonts w:asciiTheme="minorHAnsi" w:hAnsiTheme="minorHAnsi" w:cstheme="minorHAnsi"/>
          <w:color w:val="000000"/>
          <w:sz w:val="18"/>
          <w:szCs w:val="18"/>
        </w:rPr>
      </w:pPr>
      <w:r w:rsidRPr="00B01642">
        <w:rPr>
          <w:rFonts w:asciiTheme="minorHAnsi" w:hAnsiTheme="minorHAnsi" w:cstheme="minorHAnsi"/>
          <w:color w:val="000000"/>
          <w:sz w:val="18"/>
          <w:szCs w:val="18"/>
        </w:rPr>
        <w:t xml:space="preserve">* Unique respondents. Some participants submit more than one instrument in this information collection. Therefore, the number of unique respondents is used to show the estimated number of individual participants who are expected to </w:t>
      </w:r>
      <w:r w:rsidRPr="00B01642">
        <w:rPr>
          <w:rFonts w:asciiTheme="minorHAnsi" w:hAnsiTheme="minorHAnsi" w:cstheme="minorHAnsi"/>
          <w:color w:val="000000"/>
          <w:sz w:val="18"/>
          <w:szCs w:val="18"/>
        </w:rPr>
        <w:t>annually submit information during the renewal period for this information collection. The estimated number of unique respondents</w:t>
      </w:r>
      <w:r>
        <w:rPr>
          <w:rFonts w:asciiTheme="minorHAnsi" w:hAnsiTheme="minorHAnsi" w:cstheme="minorHAnsi"/>
          <w:color w:val="000000"/>
          <w:sz w:val="18"/>
          <w:szCs w:val="18"/>
        </w:rPr>
        <w:t xml:space="preserve"> consists of </w:t>
      </w:r>
      <w:r w:rsidR="00064A2B">
        <w:rPr>
          <w:rFonts w:asciiTheme="minorHAnsi" w:hAnsiTheme="minorHAnsi" w:cstheme="minorHAnsi"/>
          <w:color w:val="000000"/>
          <w:sz w:val="18"/>
          <w:szCs w:val="18"/>
        </w:rPr>
        <w:t>7</w:t>
      </w:r>
      <w:r>
        <w:rPr>
          <w:rFonts w:asciiTheme="minorHAnsi" w:hAnsiTheme="minorHAnsi" w:cstheme="minorHAnsi"/>
          <w:color w:val="000000"/>
          <w:sz w:val="18"/>
          <w:szCs w:val="18"/>
        </w:rPr>
        <w:t xml:space="preserve"> cooperative representatives and 3 IPA representatives.</w:t>
      </w:r>
    </w:p>
    <w:p w:rsidR="00BD156D" w14:paraId="5F141FF7" w14:textId="09713523">
      <w:pPr>
        <w:pBdr>
          <w:top w:val="nil"/>
          <w:left w:val="nil"/>
          <w:bottom w:val="nil"/>
          <w:right w:val="nil"/>
          <w:between w:val="nil"/>
        </w:pBdr>
        <w:spacing w:before="7"/>
        <w:rPr>
          <w:b/>
          <w:color w:val="000000"/>
        </w:rPr>
      </w:pPr>
    </w:p>
    <w:p w:rsidR="00275118" w14:paraId="6A179EE5" w14:textId="14F7E8C6">
      <w:pPr>
        <w:pBdr>
          <w:top w:val="nil"/>
          <w:left w:val="nil"/>
          <w:bottom w:val="nil"/>
          <w:right w:val="nil"/>
          <w:between w:val="nil"/>
        </w:pBdr>
        <w:spacing w:before="7"/>
        <w:rPr>
          <w:b/>
          <w:color w:val="000000"/>
        </w:rPr>
      </w:pPr>
    </w:p>
    <w:tbl>
      <w:tblPr>
        <w:tblStyle w:val="a4"/>
        <w:tblW w:w="8660" w:type="dxa"/>
        <w:jc w:val="center"/>
        <w:tblLayout w:type="fixed"/>
        <w:tblLook w:val="0400"/>
      </w:tblPr>
      <w:tblGrid>
        <w:gridCol w:w="2618"/>
        <w:gridCol w:w="900"/>
        <w:gridCol w:w="1080"/>
        <w:gridCol w:w="4062"/>
      </w:tblGrid>
      <w:tr w14:paraId="0C9BFE5F" w14:textId="77777777" w:rsidTr="003D3AFB">
        <w:tblPrEx>
          <w:tblW w:w="8660" w:type="dxa"/>
          <w:jc w:val="center"/>
          <w:tblLayout w:type="fixed"/>
          <w:tblLook w:val="0400"/>
        </w:tblPrEx>
        <w:trPr>
          <w:trHeight w:val="266"/>
          <w:jc w:val="center"/>
        </w:trPr>
        <w:tc>
          <w:tcPr>
            <w:tcW w:w="2618"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3D3AFB" w:rsidP="0014426B" w14:paraId="221B352D" w14:textId="77777777">
            <w:pPr>
              <w:keepNext/>
              <w:widowControl/>
              <w:jc w:val="center"/>
              <w:rPr>
                <w:rFonts w:ascii="Calibri" w:eastAsia="Calibri" w:hAnsi="Calibri" w:cs="Calibri"/>
                <w:b/>
                <w:color w:val="000000"/>
                <w:sz w:val="16"/>
                <w:szCs w:val="16"/>
              </w:rPr>
            </w:pPr>
            <w:r>
              <w:rPr>
                <w:rFonts w:ascii="Calibri" w:eastAsia="Calibri" w:hAnsi="Calibri" w:cs="Calibri"/>
                <w:b/>
                <w:color w:val="000000"/>
                <w:sz w:val="16"/>
                <w:szCs w:val="16"/>
              </w:rPr>
              <w:t>Information Collection</w:t>
            </w:r>
          </w:p>
        </w:tc>
        <w:tc>
          <w:tcPr>
            <w:tcW w:w="1980" w:type="dxa"/>
            <w:gridSpan w:val="2"/>
            <w:tcBorders>
              <w:top w:val="single" w:sz="8" w:space="0" w:color="000000"/>
              <w:left w:val="nil"/>
              <w:bottom w:val="single" w:sz="8" w:space="0" w:color="000000"/>
              <w:right w:val="single" w:sz="8" w:space="0" w:color="000000"/>
            </w:tcBorders>
            <w:shd w:val="clear" w:color="auto" w:fill="5B9BD5"/>
            <w:vAlign w:val="center"/>
          </w:tcPr>
          <w:p w:rsidR="003D3AFB" w:rsidP="0014426B" w14:paraId="40BEA970" w14:textId="77777777">
            <w:pPr>
              <w:keepNext/>
              <w:widowControl/>
              <w:jc w:val="center"/>
              <w:rPr>
                <w:rFonts w:ascii="Calibri" w:eastAsia="Calibri" w:hAnsi="Calibri" w:cs="Calibri"/>
                <w:b/>
                <w:color w:val="000000"/>
                <w:sz w:val="16"/>
                <w:szCs w:val="16"/>
              </w:rPr>
            </w:pPr>
            <w:r>
              <w:rPr>
                <w:rFonts w:ascii="Calibri" w:eastAsia="Calibri" w:hAnsi="Calibri" w:cs="Calibri"/>
                <w:b/>
                <w:color w:val="000000"/>
                <w:sz w:val="16"/>
                <w:szCs w:val="16"/>
              </w:rPr>
              <w:t>Miscellaneous Costs</w:t>
            </w:r>
          </w:p>
        </w:tc>
        <w:tc>
          <w:tcPr>
            <w:tcW w:w="4062" w:type="dxa"/>
            <w:vMerge w:val="restart"/>
            <w:tcBorders>
              <w:top w:val="single" w:sz="8" w:space="0" w:color="000000"/>
              <w:left w:val="single" w:sz="8" w:space="0" w:color="000000"/>
              <w:bottom w:val="single" w:sz="8" w:space="0" w:color="000000"/>
              <w:right w:val="single" w:sz="8" w:space="0" w:color="000000"/>
            </w:tcBorders>
            <w:shd w:val="clear" w:color="auto" w:fill="5B9BD5"/>
            <w:vAlign w:val="center"/>
          </w:tcPr>
          <w:p w:rsidR="003D3AFB" w:rsidP="0014426B" w14:paraId="6D771636" w14:textId="77777777">
            <w:pPr>
              <w:keepNext/>
              <w:widowControl/>
              <w:jc w:val="center"/>
              <w:rPr>
                <w:rFonts w:ascii="Calibri" w:eastAsia="Calibri" w:hAnsi="Calibri" w:cs="Calibri"/>
                <w:b/>
                <w:color w:val="000000"/>
                <w:sz w:val="16"/>
                <w:szCs w:val="16"/>
              </w:rPr>
            </w:pPr>
            <w:r>
              <w:rPr>
                <w:rFonts w:ascii="Calibri" w:eastAsia="Calibri" w:hAnsi="Calibri" w:cs="Calibri"/>
                <w:b/>
                <w:color w:val="000000"/>
                <w:sz w:val="16"/>
                <w:szCs w:val="16"/>
              </w:rPr>
              <w:t>Reason for change or adjustment</w:t>
            </w:r>
          </w:p>
        </w:tc>
      </w:tr>
      <w:tr w14:paraId="487BB8E1" w14:textId="77777777" w:rsidTr="003D3AFB">
        <w:tblPrEx>
          <w:tblW w:w="8660" w:type="dxa"/>
          <w:jc w:val="center"/>
          <w:tblLayout w:type="fixed"/>
          <w:tblLook w:val="0400"/>
        </w:tblPrEx>
        <w:trPr>
          <w:trHeight w:val="375"/>
          <w:jc w:val="center"/>
        </w:trPr>
        <w:tc>
          <w:tcPr>
            <w:tcW w:w="2618"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3D3AFB" w:rsidP="0014426B" w14:paraId="577A3397" w14:textId="77777777">
            <w:pPr>
              <w:keepNext/>
              <w:pBdr>
                <w:top w:val="nil"/>
                <w:left w:val="nil"/>
                <w:bottom w:val="nil"/>
                <w:right w:val="nil"/>
                <w:between w:val="nil"/>
              </w:pBdr>
              <w:spacing w:line="276" w:lineRule="auto"/>
              <w:rPr>
                <w:rFonts w:ascii="Calibri" w:eastAsia="Calibri" w:hAnsi="Calibri" w:cs="Calibri"/>
                <w:b/>
                <w:color w:val="000000"/>
                <w:sz w:val="16"/>
                <w:szCs w:val="16"/>
              </w:rPr>
            </w:pPr>
          </w:p>
        </w:tc>
        <w:tc>
          <w:tcPr>
            <w:tcW w:w="900" w:type="dxa"/>
            <w:tcBorders>
              <w:top w:val="nil"/>
              <w:left w:val="nil"/>
              <w:bottom w:val="single" w:sz="8" w:space="0" w:color="000000"/>
              <w:right w:val="dashed" w:sz="8" w:space="0" w:color="000000"/>
            </w:tcBorders>
            <w:shd w:val="clear" w:color="auto" w:fill="FBE4D5"/>
            <w:vAlign w:val="center"/>
          </w:tcPr>
          <w:p w:rsidR="003D3AFB" w:rsidP="0014426B" w14:paraId="77BAEB0D" w14:textId="7777777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Current</w:t>
            </w:r>
          </w:p>
        </w:tc>
        <w:tc>
          <w:tcPr>
            <w:tcW w:w="1080" w:type="dxa"/>
            <w:tcBorders>
              <w:top w:val="nil"/>
              <w:left w:val="nil"/>
              <w:bottom w:val="single" w:sz="8" w:space="0" w:color="000000"/>
              <w:right w:val="single" w:sz="8" w:space="0" w:color="000000"/>
            </w:tcBorders>
            <w:shd w:val="clear" w:color="auto" w:fill="FBE4D5"/>
            <w:vAlign w:val="center"/>
          </w:tcPr>
          <w:p w:rsidR="003D3AFB" w:rsidP="0014426B" w14:paraId="58D84171" w14:textId="77777777">
            <w:pPr>
              <w:keepNext/>
              <w:widowControl/>
              <w:jc w:val="center"/>
              <w:rPr>
                <w:rFonts w:ascii="Calibri" w:eastAsia="Calibri" w:hAnsi="Calibri" w:cs="Calibri"/>
                <w:color w:val="000000"/>
                <w:sz w:val="16"/>
                <w:szCs w:val="16"/>
              </w:rPr>
            </w:pPr>
            <w:r>
              <w:rPr>
                <w:rFonts w:ascii="Calibri" w:eastAsia="Calibri" w:hAnsi="Calibri" w:cs="Calibri"/>
                <w:color w:val="000000"/>
                <w:sz w:val="16"/>
                <w:szCs w:val="16"/>
              </w:rPr>
              <w:t>Previous</w:t>
            </w:r>
          </w:p>
        </w:tc>
        <w:tc>
          <w:tcPr>
            <w:tcW w:w="4062" w:type="dxa"/>
            <w:vMerge/>
            <w:tcBorders>
              <w:top w:val="single" w:sz="8" w:space="0" w:color="000000"/>
              <w:left w:val="single" w:sz="8" w:space="0" w:color="000000"/>
              <w:bottom w:val="single" w:sz="8" w:space="0" w:color="000000"/>
              <w:right w:val="single" w:sz="8" w:space="0" w:color="000000"/>
            </w:tcBorders>
            <w:shd w:val="clear" w:color="auto" w:fill="5B9BD5"/>
            <w:vAlign w:val="center"/>
          </w:tcPr>
          <w:p w:rsidR="003D3AFB" w:rsidP="0014426B" w14:paraId="7B535F4B" w14:textId="77777777">
            <w:pPr>
              <w:keepNext/>
              <w:pBdr>
                <w:top w:val="nil"/>
                <w:left w:val="nil"/>
                <w:bottom w:val="nil"/>
                <w:right w:val="nil"/>
                <w:between w:val="nil"/>
              </w:pBdr>
              <w:spacing w:line="276" w:lineRule="auto"/>
              <w:rPr>
                <w:rFonts w:ascii="Calibri" w:eastAsia="Calibri" w:hAnsi="Calibri" w:cs="Calibri"/>
                <w:color w:val="000000"/>
                <w:sz w:val="16"/>
                <w:szCs w:val="16"/>
              </w:rPr>
            </w:pPr>
          </w:p>
        </w:tc>
      </w:tr>
      <w:tr w14:paraId="1032969E" w14:textId="77777777" w:rsidTr="00CE7540">
        <w:tblPrEx>
          <w:tblW w:w="8660" w:type="dxa"/>
          <w:jc w:val="center"/>
          <w:tblLayout w:type="fixed"/>
          <w:tblLook w:val="0400"/>
        </w:tblPrEx>
        <w:trPr>
          <w:trHeight w:val="490"/>
          <w:jc w:val="center"/>
        </w:trPr>
        <w:tc>
          <w:tcPr>
            <w:tcW w:w="2618" w:type="dxa"/>
            <w:tcBorders>
              <w:top w:val="nil"/>
              <w:left w:val="single" w:sz="4" w:space="0" w:color="000000"/>
              <w:bottom w:val="single" w:sz="4" w:space="0" w:color="auto"/>
              <w:right w:val="single" w:sz="4" w:space="0" w:color="000000"/>
            </w:tcBorders>
            <w:shd w:val="clear" w:color="auto" w:fill="auto"/>
            <w:vAlign w:val="center"/>
          </w:tcPr>
          <w:p w:rsidR="003D3AFB" w:rsidRPr="0058534C" w:rsidP="00492E2F" w14:paraId="628E4A89" w14:textId="4779F496">
            <w:pPr>
              <w:keepNext/>
              <w:widowControl/>
              <w:rPr>
                <w:rFonts w:ascii="Calibri" w:eastAsia="Calibri" w:hAnsi="Calibri" w:cs="Calibri"/>
                <w:color w:val="000000"/>
                <w:sz w:val="18"/>
                <w:szCs w:val="18"/>
              </w:rPr>
            </w:pPr>
            <w:r w:rsidRPr="00FD6E4D">
              <w:rPr>
                <w:rFonts w:asciiTheme="minorHAnsi" w:hAnsiTheme="minorHAnsi" w:cstheme="minorHAnsi"/>
                <w:sz w:val="18"/>
                <w:szCs w:val="18"/>
              </w:rPr>
              <w:t xml:space="preserve">Bering Sea Pollock Fishery </w:t>
            </w:r>
            <w:r w:rsidRPr="0058534C">
              <w:rPr>
                <w:rFonts w:asciiTheme="minorHAnsi" w:hAnsiTheme="minorHAnsi" w:cstheme="minorHAnsi"/>
                <w:sz w:val="18"/>
                <w:szCs w:val="18"/>
              </w:rPr>
              <w:t>Incentive Plan Agreement (IPA)</w:t>
            </w:r>
          </w:p>
        </w:tc>
        <w:tc>
          <w:tcPr>
            <w:tcW w:w="900" w:type="dxa"/>
            <w:tcBorders>
              <w:top w:val="nil"/>
              <w:left w:val="nil"/>
              <w:bottom w:val="dotted" w:sz="4" w:space="0" w:color="000000"/>
              <w:right w:val="dashed" w:sz="8" w:space="0" w:color="000000"/>
            </w:tcBorders>
            <w:shd w:val="clear" w:color="auto" w:fill="auto"/>
            <w:vAlign w:val="center"/>
          </w:tcPr>
          <w:p w:rsidR="003D3AFB" w:rsidRPr="0058534C" w:rsidP="00492E2F" w14:paraId="5F88FA93" w14:textId="0F6A603F">
            <w:pPr>
              <w:keepNext/>
              <w:widowControl/>
              <w:jc w:val="center"/>
              <w:rPr>
                <w:rFonts w:ascii="Calibri" w:eastAsia="Calibri" w:hAnsi="Calibri" w:cs="Calibri"/>
                <w:color w:val="000000"/>
                <w:sz w:val="18"/>
                <w:szCs w:val="18"/>
              </w:rPr>
            </w:pPr>
            <w:r w:rsidRPr="0058534C">
              <w:rPr>
                <w:rFonts w:ascii="Calibri" w:eastAsia="Calibri" w:hAnsi="Calibri" w:cs="Calibri"/>
                <w:color w:val="000000"/>
                <w:sz w:val="18"/>
                <w:szCs w:val="18"/>
              </w:rPr>
              <w:t> </w:t>
            </w:r>
            <w:r>
              <w:rPr>
                <w:rFonts w:ascii="Calibri" w:eastAsia="Calibri" w:hAnsi="Calibri" w:cs="Calibri"/>
                <w:color w:val="000000"/>
                <w:sz w:val="18"/>
                <w:szCs w:val="18"/>
              </w:rPr>
              <w:t>5</w:t>
            </w:r>
          </w:p>
        </w:tc>
        <w:tc>
          <w:tcPr>
            <w:tcW w:w="1080" w:type="dxa"/>
            <w:tcBorders>
              <w:top w:val="nil"/>
              <w:left w:val="nil"/>
              <w:bottom w:val="dotted" w:sz="4" w:space="0" w:color="000000"/>
              <w:right w:val="single" w:sz="8" w:space="0" w:color="000000"/>
            </w:tcBorders>
            <w:shd w:val="clear" w:color="auto" w:fill="auto"/>
            <w:vAlign w:val="center"/>
          </w:tcPr>
          <w:p w:rsidR="003D3AFB" w:rsidRPr="009C43D2" w:rsidP="00492E2F" w14:paraId="2501CD3E" w14:textId="7484987A">
            <w:pPr>
              <w:keepNext/>
              <w:widowControl/>
              <w:jc w:val="center"/>
              <w:rPr>
                <w:rFonts w:asciiTheme="minorHAnsi" w:hAnsiTheme="minorHAnsi" w:cstheme="minorHAnsi"/>
                <w:sz w:val="18"/>
                <w:szCs w:val="18"/>
              </w:rPr>
            </w:pPr>
            <w:r w:rsidRPr="0058534C">
              <w:rPr>
                <w:rFonts w:ascii="Calibri" w:eastAsia="Calibri" w:hAnsi="Calibri" w:cs="Calibri"/>
                <w:color w:val="000000"/>
                <w:sz w:val="18"/>
                <w:szCs w:val="18"/>
              </w:rPr>
              <w:t> </w:t>
            </w:r>
            <w:r>
              <w:rPr>
                <w:rFonts w:ascii="Calibri" w:eastAsia="Calibri" w:hAnsi="Calibri" w:cs="Calibri"/>
                <w:color w:val="000000"/>
                <w:sz w:val="18"/>
                <w:szCs w:val="18"/>
              </w:rPr>
              <w:t>5</w:t>
            </w:r>
          </w:p>
        </w:tc>
        <w:tc>
          <w:tcPr>
            <w:tcW w:w="4062" w:type="dxa"/>
            <w:tcBorders>
              <w:top w:val="nil"/>
              <w:left w:val="nil"/>
              <w:bottom w:val="dotted" w:sz="4" w:space="0" w:color="000000"/>
              <w:right w:val="single" w:sz="8" w:space="0" w:color="000000"/>
            </w:tcBorders>
            <w:shd w:val="clear" w:color="auto" w:fill="auto"/>
            <w:vAlign w:val="center"/>
          </w:tcPr>
          <w:p w:rsidR="003D3AFB" w:rsidRPr="0058534C" w:rsidP="00492E2F" w14:paraId="512B9652" w14:textId="12FF30C8">
            <w:pPr>
              <w:keepNext/>
              <w:widowControl/>
              <w:rPr>
                <w:rFonts w:ascii="Calibri" w:eastAsia="Calibri" w:hAnsi="Calibri" w:cs="Calibri"/>
                <w:color w:val="000000"/>
                <w:sz w:val="18"/>
                <w:szCs w:val="18"/>
              </w:rPr>
            </w:pPr>
            <w:r w:rsidRPr="007F564A">
              <w:rPr>
                <w:rFonts w:eastAsia="Calibri" w:asciiTheme="minorHAnsi" w:hAnsiTheme="minorHAnsi" w:cstheme="minorHAnsi"/>
                <w:color w:val="000000"/>
                <w:sz w:val="18"/>
                <w:szCs w:val="18"/>
              </w:rPr>
              <w:t xml:space="preserve">No change </w:t>
            </w:r>
          </w:p>
        </w:tc>
      </w:tr>
      <w:tr w14:paraId="1A19F751" w14:textId="77777777" w:rsidTr="00CE7540">
        <w:tblPrEx>
          <w:tblW w:w="8660" w:type="dxa"/>
          <w:jc w:val="center"/>
          <w:tblLayout w:type="fixed"/>
          <w:tblLook w:val="0400"/>
        </w:tblPrEx>
        <w:trPr>
          <w:trHeight w:val="490"/>
          <w:jc w:val="center"/>
        </w:trPr>
        <w:tc>
          <w:tcPr>
            <w:tcW w:w="2618" w:type="dxa"/>
            <w:tcBorders>
              <w:top w:val="nil"/>
              <w:left w:val="single" w:sz="4" w:space="0" w:color="000000"/>
              <w:bottom w:val="single" w:sz="4" w:space="0" w:color="auto"/>
              <w:right w:val="single" w:sz="4" w:space="0" w:color="000000"/>
            </w:tcBorders>
            <w:shd w:val="clear" w:color="auto" w:fill="auto"/>
            <w:vAlign w:val="center"/>
          </w:tcPr>
          <w:p w:rsidR="00CE7540" w:rsidRPr="00FD6E4D" w:rsidP="00CE7540" w14:paraId="3A611D98" w14:textId="5E3FAC3D">
            <w:pPr>
              <w:keepNext/>
              <w:widowControl/>
              <w:rPr>
                <w:rFonts w:asciiTheme="minorHAnsi" w:hAnsiTheme="minorHAnsi" w:cstheme="minorHAnsi"/>
                <w:sz w:val="18"/>
                <w:szCs w:val="18"/>
              </w:rPr>
            </w:pPr>
            <w:r w:rsidRPr="00FD6E4D">
              <w:rPr>
                <w:rFonts w:asciiTheme="minorHAnsi" w:hAnsiTheme="minorHAnsi" w:cstheme="minorHAnsi"/>
                <w:sz w:val="18"/>
                <w:szCs w:val="18"/>
              </w:rPr>
              <w:t xml:space="preserve">Bering Sea Pollock Fishery </w:t>
            </w:r>
            <w:r w:rsidRPr="0058534C">
              <w:rPr>
                <w:rFonts w:asciiTheme="minorHAnsi" w:hAnsiTheme="minorHAnsi" w:cstheme="minorHAnsi"/>
                <w:sz w:val="18"/>
                <w:szCs w:val="18"/>
              </w:rPr>
              <w:t>IPA Annual Report</w:t>
            </w:r>
          </w:p>
        </w:tc>
        <w:tc>
          <w:tcPr>
            <w:tcW w:w="900" w:type="dxa"/>
            <w:tcBorders>
              <w:top w:val="nil"/>
              <w:left w:val="nil"/>
              <w:bottom w:val="dotted" w:sz="4" w:space="0" w:color="000000"/>
              <w:right w:val="dashed" w:sz="8" w:space="0" w:color="000000"/>
            </w:tcBorders>
            <w:shd w:val="clear" w:color="auto" w:fill="auto"/>
            <w:vAlign w:val="center"/>
          </w:tcPr>
          <w:p w:rsidR="00CE7540" w:rsidRPr="0058534C" w:rsidP="00CE7540" w14:paraId="3AB92A95" w14:textId="4BBF9ABE">
            <w:pPr>
              <w:keepNext/>
              <w:widowControl/>
              <w:jc w:val="center"/>
              <w:rPr>
                <w:rFonts w:ascii="Calibri" w:eastAsia="Calibri" w:hAnsi="Calibri" w:cs="Calibri"/>
                <w:color w:val="000000"/>
                <w:sz w:val="18"/>
                <w:szCs w:val="18"/>
              </w:rPr>
            </w:pPr>
            <w:r w:rsidRPr="0058534C">
              <w:rPr>
                <w:rFonts w:ascii="Calibri" w:eastAsia="Calibri" w:hAnsi="Calibri" w:cs="Calibri"/>
                <w:color w:val="000000"/>
                <w:sz w:val="18"/>
                <w:szCs w:val="18"/>
              </w:rPr>
              <w:t> </w:t>
            </w:r>
            <w:r>
              <w:rPr>
                <w:rFonts w:ascii="Calibri" w:eastAsia="Calibri" w:hAnsi="Calibri" w:cs="Calibri"/>
                <w:color w:val="000000"/>
                <w:sz w:val="18"/>
                <w:szCs w:val="18"/>
              </w:rPr>
              <w:t>15</w:t>
            </w:r>
          </w:p>
        </w:tc>
        <w:tc>
          <w:tcPr>
            <w:tcW w:w="1080" w:type="dxa"/>
            <w:tcBorders>
              <w:top w:val="nil"/>
              <w:left w:val="nil"/>
              <w:bottom w:val="dotted" w:sz="4" w:space="0" w:color="000000"/>
              <w:right w:val="single" w:sz="8" w:space="0" w:color="000000"/>
            </w:tcBorders>
            <w:shd w:val="clear" w:color="auto" w:fill="auto"/>
            <w:vAlign w:val="center"/>
          </w:tcPr>
          <w:p w:rsidR="00CE7540" w:rsidRPr="0058534C" w:rsidP="00CE7540" w14:paraId="6CA37237" w14:textId="10A04B29">
            <w:pPr>
              <w:keepNext/>
              <w:widowControl/>
              <w:jc w:val="center"/>
              <w:rPr>
                <w:rFonts w:ascii="Calibri" w:eastAsia="Calibri" w:hAnsi="Calibri" w:cs="Calibri"/>
                <w:color w:val="000000"/>
                <w:sz w:val="18"/>
                <w:szCs w:val="18"/>
              </w:rPr>
            </w:pPr>
            <w:r w:rsidRPr="0058534C">
              <w:rPr>
                <w:rFonts w:ascii="Calibri" w:eastAsia="Calibri" w:hAnsi="Calibri" w:cs="Calibri"/>
                <w:color w:val="000000"/>
                <w:sz w:val="18"/>
                <w:szCs w:val="18"/>
              </w:rPr>
              <w:t> </w:t>
            </w:r>
            <w:r>
              <w:rPr>
                <w:rFonts w:ascii="Calibri" w:eastAsia="Calibri" w:hAnsi="Calibri" w:cs="Calibri"/>
                <w:color w:val="000000"/>
                <w:sz w:val="18"/>
                <w:szCs w:val="18"/>
              </w:rPr>
              <w:t>15</w:t>
            </w:r>
          </w:p>
        </w:tc>
        <w:tc>
          <w:tcPr>
            <w:tcW w:w="4062" w:type="dxa"/>
            <w:tcBorders>
              <w:top w:val="nil"/>
              <w:left w:val="nil"/>
              <w:bottom w:val="dotted" w:sz="4" w:space="0" w:color="000000"/>
              <w:right w:val="single" w:sz="8" w:space="0" w:color="000000"/>
            </w:tcBorders>
            <w:shd w:val="clear" w:color="auto" w:fill="auto"/>
            <w:vAlign w:val="center"/>
          </w:tcPr>
          <w:p w:rsidR="00CE7540" w:rsidRPr="007F564A" w:rsidP="00CE7540" w14:paraId="55618AE3" w14:textId="70701917">
            <w:pPr>
              <w:keepNext/>
              <w:widowControl/>
              <w:rPr>
                <w:rFonts w:eastAsia="Calibri" w:asciiTheme="minorHAnsi" w:hAnsiTheme="minorHAnsi" w:cstheme="minorHAnsi"/>
                <w:color w:val="000000"/>
                <w:sz w:val="18"/>
                <w:szCs w:val="18"/>
              </w:rPr>
            </w:pPr>
            <w:r>
              <w:rPr>
                <w:rFonts w:eastAsia="Calibri" w:asciiTheme="minorHAnsi" w:hAnsiTheme="minorHAnsi" w:cstheme="minorHAnsi"/>
                <w:color w:val="000000"/>
                <w:sz w:val="18"/>
                <w:szCs w:val="18"/>
              </w:rPr>
              <w:t>No change</w:t>
            </w:r>
          </w:p>
        </w:tc>
      </w:tr>
      <w:tr w14:paraId="0D5F4DE5" w14:textId="77777777" w:rsidTr="00CE7540">
        <w:tblPrEx>
          <w:tblW w:w="8660" w:type="dxa"/>
          <w:jc w:val="center"/>
          <w:tblLayout w:type="fixed"/>
          <w:tblLook w:val="0400"/>
        </w:tblPrEx>
        <w:trPr>
          <w:trHeight w:val="490"/>
          <w:jc w:val="center"/>
        </w:trPr>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rsidR="00CE7540" w:rsidRPr="0058534C" w:rsidP="00CE7540" w14:paraId="3E2BCC52" w14:textId="3026E116">
            <w:pPr>
              <w:keepNext/>
              <w:widowControl/>
              <w:rPr>
                <w:rFonts w:asciiTheme="minorHAnsi" w:hAnsiTheme="minorHAnsi" w:cstheme="minorHAnsi"/>
                <w:sz w:val="18"/>
                <w:szCs w:val="18"/>
              </w:rPr>
            </w:pPr>
            <w:r w:rsidRPr="0058534C">
              <w:rPr>
                <w:rFonts w:ascii="Calibri" w:eastAsia="Calibri" w:hAnsi="Calibri" w:cs="Calibri"/>
                <w:color w:val="000000"/>
                <w:sz w:val="18"/>
                <w:szCs w:val="18"/>
              </w:rPr>
              <w:t> AFA Cooperative Contract</w:t>
            </w:r>
          </w:p>
        </w:tc>
        <w:tc>
          <w:tcPr>
            <w:tcW w:w="900" w:type="dxa"/>
            <w:tcBorders>
              <w:top w:val="nil"/>
              <w:left w:val="single" w:sz="4" w:space="0" w:color="auto"/>
              <w:bottom w:val="dotted" w:sz="4" w:space="0" w:color="000000"/>
              <w:right w:val="dashed" w:sz="8" w:space="0" w:color="000000"/>
            </w:tcBorders>
            <w:shd w:val="clear" w:color="auto" w:fill="auto"/>
            <w:vAlign w:val="center"/>
          </w:tcPr>
          <w:p w:rsidR="00CE7540" w:rsidRPr="0058534C" w:rsidP="00CE7540" w14:paraId="314A3E35" w14:textId="5E95D558">
            <w:pPr>
              <w:keepNext/>
              <w:widowControl/>
              <w:jc w:val="center"/>
              <w:rPr>
                <w:rFonts w:ascii="Calibri" w:eastAsia="Calibri" w:hAnsi="Calibri" w:cs="Calibri"/>
                <w:color w:val="000000"/>
                <w:sz w:val="18"/>
                <w:szCs w:val="18"/>
              </w:rPr>
            </w:pPr>
            <w:r w:rsidRPr="0058534C">
              <w:rPr>
                <w:rFonts w:ascii="Calibri" w:eastAsia="Calibri" w:hAnsi="Calibri" w:cs="Calibri"/>
                <w:color w:val="000000"/>
                <w:sz w:val="18"/>
                <w:szCs w:val="18"/>
              </w:rPr>
              <w:t> </w:t>
            </w:r>
            <w:r>
              <w:rPr>
                <w:rFonts w:ascii="Calibri" w:eastAsia="Calibri" w:hAnsi="Calibri" w:cs="Calibri"/>
                <w:color w:val="000000"/>
                <w:sz w:val="18"/>
                <w:szCs w:val="18"/>
              </w:rPr>
              <w:t>35</w:t>
            </w:r>
          </w:p>
        </w:tc>
        <w:tc>
          <w:tcPr>
            <w:tcW w:w="1080" w:type="dxa"/>
            <w:tcBorders>
              <w:top w:val="nil"/>
              <w:left w:val="nil"/>
              <w:bottom w:val="dotted" w:sz="4" w:space="0" w:color="000000"/>
              <w:right w:val="single" w:sz="8" w:space="0" w:color="000000"/>
            </w:tcBorders>
            <w:shd w:val="clear" w:color="auto" w:fill="auto"/>
            <w:vAlign w:val="center"/>
          </w:tcPr>
          <w:p w:rsidR="00CE7540" w:rsidRPr="0058534C" w:rsidP="00CE7540" w14:paraId="0841379F" w14:textId="2037E28F">
            <w:pPr>
              <w:keepNext/>
              <w:widowControl/>
              <w:jc w:val="center"/>
              <w:rPr>
                <w:rFonts w:ascii="Calibri" w:eastAsia="Calibri" w:hAnsi="Calibri" w:cs="Calibri"/>
                <w:color w:val="000000"/>
                <w:sz w:val="18"/>
                <w:szCs w:val="18"/>
              </w:rPr>
            </w:pPr>
            <w:r w:rsidRPr="0058534C">
              <w:rPr>
                <w:rFonts w:ascii="Calibri" w:eastAsia="Calibri" w:hAnsi="Calibri" w:cs="Calibri"/>
                <w:color w:val="000000"/>
                <w:sz w:val="18"/>
                <w:szCs w:val="18"/>
              </w:rPr>
              <w:t> </w:t>
            </w:r>
            <w:r w:rsidR="007444D3">
              <w:rPr>
                <w:rFonts w:ascii="Calibri" w:eastAsia="Calibri" w:hAnsi="Calibri" w:cs="Calibri"/>
                <w:color w:val="000000"/>
                <w:sz w:val="18"/>
                <w:szCs w:val="18"/>
              </w:rPr>
              <w:t>40</w:t>
            </w:r>
          </w:p>
        </w:tc>
        <w:tc>
          <w:tcPr>
            <w:tcW w:w="4062" w:type="dxa"/>
            <w:tcBorders>
              <w:top w:val="nil"/>
              <w:left w:val="nil"/>
              <w:bottom w:val="dotted" w:sz="4" w:space="0" w:color="000000"/>
              <w:right w:val="single" w:sz="8" w:space="0" w:color="000000"/>
            </w:tcBorders>
            <w:shd w:val="clear" w:color="auto" w:fill="auto"/>
            <w:vAlign w:val="center"/>
          </w:tcPr>
          <w:p w:rsidR="00CE7540" w:rsidRPr="009B29DF" w:rsidP="00CE7540" w14:paraId="48FF835C" w14:textId="1E6372CC">
            <w:pPr>
              <w:keepNext/>
              <w:widowControl/>
              <w:rPr>
                <w:rFonts w:eastAsia="Calibri" w:asciiTheme="minorHAnsi" w:hAnsiTheme="minorHAnsi" w:cstheme="minorHAnsi"/>
                <w:color w:val="000000"/>
                <w:sz w:val="18"/>
                <w:szCs w:val="18"/>
              </w:rPr>
            </w:pPr>
            <w:r w:rsidRPr="0058534C">
              <w:rPr>
                <w:rFonts w:ascii="Calibri" w:eastAsia="Calibri" w:hAnsi="Calibri" w:cs="Calibri"/>
                <w:color w:val="000000"/>
                <w:sz w:val="18"/>
                <w:szCs w:val="18"/>
              </w:rPr>
              <w:t> </w:t>
            </w:r>
            <w:r>
              <w:rPr>
                <w:rFonts w:ascii="Calibri" w:eastAsia="Calibri" w:hAnsi="Calibri" w:cs="Calibri"/>
                <w:color w:val="000000"/>
                <w:sz w:val="18"/>
                <w:szCs w:val="18"/>
              </w:rPr>
              <w:t xml:space="preserve">Loss of one </w:t>
            </w:r>
            <w:r>
              <w:rPr>
                <w:rFonts w:ascii="Calibri" w:eastAsia="Calibri" w:hAnsi="Calibri" w:cs="Calibri"/>
                <w:color w:val="000000"/>
                <w:sz w:val="18"/>
                <w:szCs w:val="18"/>
              </w:rPr>
              <w:t>respondent (Peter Pan cooperative)</w:t>
            </w:r>
          </w:p>
        </w:tc>
      </w:tr>
      <w:tr w14:paraId="5AB981A7" w14:textId="77777777" w:rsidTr="00CE7540">
        <w:tblPrEx>
          <w:tblW w:w="8660" w:type="dxa"/>
          <w:jc w:val="center"/>
          <w:tblLayout w:type="fixed"/>
          <w:tblLook w:val="0400"/>
        </w:tblPrEx>
        <w:trPr>
          <w:trHeight w:val="490"/>
          <w:jc w:val="center"/>
        </w:trPr>
        <w:tc>
          <w:tcPr>
            <w:tcW w:w="2618" w:type="dxa"/>
            <w:tcBorders>
              <w:top w:val="single" w:sz="4" w:space="0" w:color="auto"/>
              <w:left w:val="single" w:sz="4" w:space="0" w:color="auto"/>
              <w:bottom w:val="single" w:sz="4" w:space="0" w:color="auto"/>
              <w:right w:val="single" w:sz="4" w:space="0" w:color="auto"/>
            </w:tcBorders>
            <w:shd w:val="clear" w:color="auto" w:fill="auto"/>
            <w:vAlign w:val="center"/>
          </w:tcPr>
          <w:p w:rsidR="003D3AFB" w:rsidRPr="0058534C" w:rsidP="00492E2F" w14:paraId="7FC8E22B" w14:textId="6C1A55D5">
            <w:pPr>
              <w:keepNext/>
              <w:widowControl/>
              <w:rPr>
                <w:rFonts w:ascii="Calibri" w:eastAsia="Calibri" w:hAnsi="Calibri" w:cs="Calibri"/>
                <w:color w:val="000000"/>
                <w:sz w:val="18"/>
                <w:szCs w:val="18"/>
              </w:rPr>
            </w:pPr>
            <w:r>
              <w:rPr>
                <w:rFonts w:asciiTheme="minorHAnsi" w:hAnsiTheme="minorHAnsi" w:cstheme="minorHAnsi"/>
                <w:sz w:val="18"/>
                <w:szCs w:val="18"/>
              </w:rPr>
              <w:t>Administrative A</w:t>
            </w:r>
            <w:r w:rsidRPr="0058534C">
              <w:rPr>
                <w:rFonts w:asciiTheme="minorHAnsi" w:hAnsiTheme="minorHAnsi" w:cstheme="minorHAnsi"/>
                <w:sz w:val="18"/>
                <w:szCs w:val="18"/>
              </w:rPr>
              <w:t>ppeals to disapproved IPA</w:t>
            </w:r>
          </w:p>
        </w:tc>
        <w:tc>
          <w:tcPr>
            <w:tcW w:w="900" w:type="dxa"/>
            <w:tcBorders>
              <w:top w:val="nil"/>
              <w:left w:val="single" w:sz="4" w:space="0" w:color="auto"/>
              <w:bottom w:val="dotted" w:sz="4" w:space="0" w:color="000000"/>
              <w:right w:val="dashed" w:sz="8" w:space="0" w:color="000000"/>
            </w:tcBorders>
            <w:shd w:val="clear" w:color="auto" w:fill="auto"/>
            <w:vAlign w:val="center"/>
          </w:tcPr>
          <w:p w:rsidR="003D3AFB" w:rsidRPr="0058534C" w:rsidP="00492E2F" w14:paraId="06FC1EA4" w14:textId="08337DC2">
            <w:pPr>
              <w:keepNext/>
              <w:widowControl/>
              <w:jc w:val="center"/>
              <w:rPr>
                <w:rFonts w:ascii="Calibri" w:eastAsia="Calibri" w:hAnsi="Calibri" w:cs="Calibri"/>
                <w:color w:val="000000"/>
                <w:sz w:val="18"/>
                <w:szCs w:val="18"/>
              </w:rPr>
            </w:pPr>
            <w:r w:rsidRPr="0058534C">
              <w:rPr>
                <w:rFonts w:ascii="Calibri" w:eastAsia="Calibri" w:hAnsi="Calibri" w:cs="Calibri"/>
                <w:color w:val="000000"/>
                <w:sz w:val="18"/>
                <w:szCs w:val="18"/>
              </w:rPr>
              <w:t> </w:t>
            </w:r>
            <w:r>
              <w:rPr>
                <w:rFonts w:ascii="Calibri" w:eastAsia="Calibri" w:hAnsi="Calibri" w:cs="Calibri"/>
                <w:color w:val="000000"/>
                <w:sz w:val="18"/>
                <w:szCs w:val="18"/>
              </w:rPr>
              <w:t>505</w:t>
            </w:r>
          </w:p>
        </w:tc>
        <w:tc>
          <w:tcPr>
            <w:tcW w:w="1080" w:type="dxa"/>
            <w:tcBorders>
              <w:top w:val="nil"/>
              <w:left w:val="nil"/>
              <w:bottom w:val="dotted" w:sz="4" w:space="0" w:color="000000"/>
              <w:right w:val="single" w:sz="8" w:space="0" w:color="000000"/>
            </w:tcBorders>
            <w:shd w:val="clear" w:color="auto" w:fill="auto"/>
            <w:vAlign w:val="center"/>
          </w:tcPr>
          <w:p w:rsidR="003D3AFB" w:rsidRPr="009C43D2" w:rsidP="00492E2F" w14:paraId="11303B98" w14:textId="61C96EB4">
            <w:pPr>
              <w:keepNext/>
              <w:widowControl/>
              <w:jc w:val="center"/>
              <w:rPr>
                <w:rFonts w:eastAsia="Calibri" w:asciiTheme="minorHAnsi" w:hAnsiTheme="minorHAnsi" w:cstheme="minorHAnsi"/>
                <w:color w:val="000000"/>
                <w:sz w:val="18"/>
                <w:szCs w:val="18"/>
              </w:rPr>
            </w:pPr>
            <w:r w:rsidRPr="0058534C">
              <w:rPr>
                <w:rFonts w:ascii="Calibri" w:eastAsia="Calibri" w:hAnsi="Calibri" w:cs="Calibri"/>
                <w:color w:val="000000"/>
                <w:sz w:val="18"/>
                <w:szCs w:val="18"/>
              </w:rPr>
              <w:t> </w:t>
            </w:r>
            <w:r>
              <w:rPr>
                <w:rFonts w:ascii="Calibri" w:eastAsia="Calibri" w:hAnsi="Calibri" w:cs="Calibri"/>
                <w:color w:val="000000"/>
                <w:sz w:val="18"/>
                <w:szCs w:val="18"/>
              </w:rPr>
              <w:t>505</w:t>
            </w:r>
          </w:p>
        </w:tc>
        <w:tc>
          <w:tcPr>
            <w:tcW w:w="4062" w:type="dxa"/>
            <w:tcBorders>
              <w:top w:val="nil"/>
              <w:left w:val="nil"/>
              <w:bottom w:val="dotted" w:sz="4" w:space="0" w:color="000000"/>
              <w:right w:val="single" w:sz="8" w:space="0" w:color="000000"/>
            </w:tcBorders>
            <w:shd w:val="clear" w:color="auto" w:fill="auto"/>
            <w:vAlign w:val="center"/>
          </w:tcPr>
          <w:p w:rsidR="003D3AFB" w:rsidRPr="0058534C" w:rsidP="00492E2F" w14:paraId="026AEAAC" w14:textId="465CB8F1">
            <w:pPr>
              <w:keepNext/>
              <w:widowControl/>
              <w:rPr>
                <w:rFonts w:ascii="Calibri" w:eastAsia="Calibri" w:hAnsi="Calibri" w:cs="Calibri"/>
                <w:color w:val="000000"/>
                <w:sz w:val="18"/>
                <w:szCs w:val="18"/>
              </w:rPr>
            </w:pPr>
            <w:r w:rsidRPr="009B29DF">
              <w:rPr>
                <w:rFonts w:eastAsia="Calibri" w:asciiTheme="minorHAnsi" w:hAnsiTheme="minorHAnsi" w:cstheme="minorHAnsi"/>
                <w:color w:val="000000"/>
                <w:sz w:val="18"/>
                <w:szCs w:val="18"/>
              </w:rPr>
              <w:t>No change</w:t>
            </w:r>
          </w:p>
        </w:tc>
      </w:tr>
      <w:tr w14:paraId="6EB69B16" w14:textId="77777777" w:rsidTr="00894EDF">
        <w:tblPrEx>
          <w:tblW w:w="8660" w:type="dxa"/>
          <w:jc w:val="center"/>
          <w:tblLayout w:type="fixed"/>
          <w:tblLook w:val="0400"/>
        </w:tblPrEx>
        <w:trPr>
          <w:trHeight w:val="490"/>
          <w:jc w:val="center"/>
        </w:trPr>
        <w:tc>
          <w:tcPr>
            <w:tcW w:w="2618" w:type="dxa"/>
            <w:tcBorders>
              <w:top w:val="nil"/>
              <w:left w:val="single" w:sz="8" w:space="0" w:color="000000"/>
              <w:bottom w:val="single" w:sz="4" w:space="0" w:color="auto"/>
              <w:right w:val="single" w:sz="8" w:space="0" w:color="000000"/>
            </w:tcBorders>
            <w:shd w:val="clear" w:color="auto" w:fill="BDD6EE"/>
            <w:vAlign w:val="center"/>
          </w:tcPr>
          <w:p w:rsidR="003D3AFB" w:rsidRPr="0058534C" w:rsidP="0014426B" w14:paraId="3545F231" w14:textId="77777777">
            <w:pPr>
              <w:keepNext/>
              <w:widowControl/>
              <w:jc w:val="center"/>
              <w:rPr>
                <w:rFonts w:ascii="Calibri" w:eastAsia="Calibri" w:hAnsi="Calibri" w:cs="Calibri"/>
                <w:b/>
                <w:color w:val="000000"/>
                <w:sz w:val="18"/>
                <w:szCs w:val="18"/>
              </w:rPr>
            </w:pPr>
            <w:r w:rsidRPr="0058534C">
              <w:rPr>
                <w:rFonts w:ascii="Calibri" w:eastAsia="Calibri" w:hAnsi="Calibri" w:cs="Calibri"/>
                <w:b/>
                <w:color w:val="000000"/>
                <w:sz w:val="18"/>
                <w:szCs w:val="18"/>
              </w:rPr>
              <w:t>Total for Collection</w:t>
            </w:r>
          </w:p>
        </w:tc>
        <w:tc>
          <w:tcPr>
            <w:tcW w:w="900" w:type="dxa"/>
            <w:tcBorders>
              <w:top w:val="single" w:sz="4" w:space="0" w:color="000000"/>
              <w:left w:val="nil"/>
              <w:bottom w:val="single" w:sz="4" w:space="0" w:color="auto"/>
              <w:right w:val="dashed" w:sz="8" w:space="0" w:color="000000"/>
            </w:tcBorders>
            <w:shd w:val="clear" w:color="auto" w:fill="BDD6EE"/>
            <w:vAlign w:val="center"/>
          </w:tcPr>
          <w:p w:rsidR="003D3AFB" w:rsidRPr="0058534C" w:rsidP="0014426B" w14:paraId="1026F9F9" w14:textId="48BD2363">
            <w:pPr>
              <w:keepNext/>
              <w:widowControl/>
              <w:jc w:val="center"/>
              <w:rPr>
                <w:rFonts w:ascii="Calibri" w:eastAsia="Calibri" w:hAnsi="Calibri" w:cs="Calibri"/>
                <w:b/>
                <w:color w:val="000000"/>
                <w:sz w:val="18"/>
                <w:szCs w:val="18"/>
              </w:rPr>
            </w:pPr>
            <w:r w:rsidRPr="0058534C">
              <w:rPr>
                <w:rFonts w:ascii="Calibri" w:eastAsia="Calibri" w:hAnsi="Calibri" w:cs="Calibri"/>
                <w:b/>
                <w:color w:val="000000"/>
                <w:sz w:val="18"/>
                <w:szCs w:val="18"/>
              </w:rPr>
              <w:t> </w:t>
            </w:r>
            <w:r>
              <w:rPr>
                <w:rFonts w:ascii="Calibri" w:eastAsia="Calibri" w:hAnsi="Calibri" w:cs="Calibri"/>
                <w:b/>
                <w:color w:val="000000"/>
                <w:sz w:val="18"/>
                <w:szCs w:val="18"/>
              </w:rPr>
              <w:t>$5</w:t>
            </w:r>
            <w:r w:rsidR="00894EDF">
              <w:rPr>
                <w:rFonts w:ascii="Calibri" w:eastAsia="Calibri" w:hAnsi="Calibri" w:cs="Calibri"/>
                <w:b/>
                <w:color w:val="000000"/>
                <w:sz w:val="18"/>
                <w:szCs w:val="18"/>
              </w:rPr>
              <w:t>60</w:t>
            </w:r>
          </w:p>
        </w:tc>
        <w:tc>
          <w:tcPr>
            <w:tcW w:w="1080" w:type="dxa"/>
            <w:tcBorders>
              <w:top w:val="single" w:sz="4" w:space="0" w:color="000000"/>
              <w:left w:val="nil"/>
              <w:bottom w:val="single" w:sz="4" w:space="0" w:color="auto"/>
              <w:right w:val="single" w:sz="8" w:space="0" w:color="000000"/>
            </w:tcBorders>
            <w:shd w:val="clear" w:color="auto" w:fill="BDD6EE"/>
            <w:vAlign w:val="center"/>
          </w:tcPr>
          <w:p w:rsidR="003D3AFB" w:rsidRPr="0058534C" w:rsidP="0014426B" w14:paraId="4250793C" w14:textId="6B60CBF5">
            <w:pPr>
              <w:keepNext/>
              <w:widowControl/>
              <w:jc w:val="center"/>
              <w:rPr>
                <w:rFonts w:ascii="Calibri" w:eastAsia="Calibri" w:hAnsi="Calibri" w:cs="Calibri"/>
                <w:b/>
                <w:color w:val="000000"/>
                <w:sz w:val="18"/>
                <w:szCs w:val="18"/>
              </w:rPr>
            </w:pPr>
            <w:r>
              <w:rPr>
                <w:rFonts w:ascii="Calibri" w:eastAsia="Calibri" w:hAnsi="Calibri" w:cs="Calibri"/>
                <w:b/>
                <w:color w:val="000000"/>
                <w:sz w:val="18"/>
                <w:szCs w:val="18"/>
              </w:rPr>
              <w:t>$56</w:t>
            </w:r>
            <w:r w:rsidR="00894EDF">
              <w:rPr>
                <w:rFonts w:ascii="Calibri" w:eastAsia="Calibri" w:hAnsi="Calibri" w:cs="Calibri"/>
                <w:b/>
                <w:color w:val="000000"/>
                <w:sz w:val="18"/>
                <w:szCs w:val="18"/>
              </w:rPr>
              <w:t>5</w:t>
            </w:r>
            <w:r w:rsidRPr="0058534C">
              <w:rPr>
                <w:rFonts w:ascii="Calibri" w:eastAsia="Calibri" w:hAnsi="Calibri" w:cs="Calibri"/>
                <w:b/>
                <w:color w:val="000000"/>
                <w:sz w:val="18"/>
                <w:szCs w:val="18"/>
              </w:rPr>
              <w:t> </w:t>
            </w:r>
          </w:p>
        </w:tc>
        <w:tc>
          <w:tcPr>
            <w:tcW w:w="4062" w:type="dxa"/>
            <w:tcBorders>
              <w:top w:val="nil"/>
              <w:left w:val="nil"/>
              <w:bottom w:val="nil"/>
              <w:right w:val="single" w:sz="8" w:space="0" w:color="000000"/>
            </w:tcBorders>
            <w:shd w:val="clear" w:color="auto" w:fill="000000"/>
            <w:vAlign w:val="center"/>
          </w:tcPr>
          <w:p w:rsidR="003D3AFB" w:rsidRPr="0058534C" w:rsidP="0014426B" w14:paraId="2447B9FB" w14:textId="77777777">
            <w:pPr>
              <w:keepNext/>
              <w:widowControl/>
              <w:jc w:val="center"/>
              <w:rPr>
                <w:rFonts w:ascii="Calibri" w:eastAsia="Calibri" w:hAnsi="Calibri" w:cs="Calibri"/>
                <w:b/>
                <w:color w:val="000000"/>
                <w:sz w:val="18"/>
                <w:szCs w:val="18"/>
              </w:rPr>
            </w:pPr>
            <w:r w:rsidRPr="0058534C">
              <w:rPr>
                <w:rFonts w:ascii="Calibri" w:eastAsia="Calibri" w:hAnsi="Calibri" w:cs="Calibri"/>
                <w:b/>
                <w:color w:val="000000"/>
                <w:sz w:val="18"/>
                <w:szCs w:val="18"/>
              </w:rPr>
              <w:t> </w:t>
            </w:r>
          </w:p>
        </w:tc>
      </w:tr>
      <w:tr w14:paraId="78E0F797" w14:textId="77777777" w:rsidTr="00894EDF">
        <w:tblPrEx>
          <w:tblW w:w="8660" w:type="dxa"/>
          <w:jc w:val="center"/>
          <w:tblLayout w:type="fixed"/>
          <w:tblLook w:val="0400"/>
        </w:tblPrEx>
        <w:trPr>
          <w:trHeight w:val="490"/>
          <w:jc w:val="center"/>
        </w:trPr>
        <w:tc>
          <w:tcPr>
            <w:tcW w:w="2618" w:type="dxa"/>
            <w:tcBorders>
              <w:top w:val="single" w:sz="4" w:space="0" w:color="auto"/>
              <w:left w:val="single" w:sz="4" w:space="0" w:color="auto"/>
              <w:bottom w:val="single" w:sz="4" w:space="0" w:color="auto"/>
              <w:right w:val="single" w:sz="4" w:space="0" w:color="auto"/>
            </w:tcBorders>
            <w:shd w:val="clear" w:color="auto" w:fill="FCE4D6"/>
            <w:vAlign w:val="center"/>
          </w:tcPr>
          <w:p w:rsidR="003D3AFB" w:rsidRPr="0058534C" w:rsidP="0014426B" w14:paraId="6E689114" w14:textId="77777777">
            <w:pPr>
              <w:keepNext/>
              <w:widowControl/>
              <w:jc w:val="center"/>
              <w:rPr>
                <w:rFonts w:ascii="Calibri" w:eastAsia="Calibri" w:hAnsi="Calibri" w:cs="Calibri"/>
                <w:b/>
                <w:color w:val="000000"/>
                <w:sz w:val="18"/>
                <w:szCs w:val="18"/>
              </w:rPr>
            </w:pPr>
            <w:r w:rsidRPr="0058534C">
              <w:rPr>
                <w:rFonts w:ascii="Calibri" w:eastAsia="Calibri" w:hAnsi="Calibri" w:cs="Calibri"/>
                <w:b/>
                <w:color w:val="000000"/>
                <w:sz w:val="18"/>
                <w:szCs w:val="18"/>
              </w:rPr>
              <w:t>Difference</w:t>
            </w:r>
          </w:p>
        </w:tc>
        <w:tc>
          <w:tcPr>
            <w:tcW w:w="1980" w:type="dxa"/>
            <w:gridSpan w:val="2"/>
            <w:tcBorders>
              <w:top w:val="single" w:sz="4" w:space="0" w:color="auto"/>
              <w:left w:val="single" w:sz="4" w:space="0" w:color="auto"/>
              <w:bottom w:val="single" w:sz="4" w:space="0" w:color="auto"/>
              <w:right w:val="single" w:sz="4" w:space="0" w:color="auto"/>
            </w:tcBorders>
            <w:shd w:val="clear" w:color="auto" w:fill="FCE4D6"/>
            <w:vAlign w:val="center"/>
          </w:tcPr>
          <w:p w:rsidR="003D3AFB" w:rsidRPr="00F004CB" w:rsidP="0014426B" w14:paraId="5DB679F7" w14:textId="1F54CB12">
            <w:pPr>
              <w:keepNext/>
              <w:widowControl/>
              <w:jc w:val="center"/>
              <w:rPr>
                <w:rFonts w:ascii="Calibri" w:eastAsia="Calibri" w:hAnsi="Calibri" w:cs="Calibri"/>
                <w:b/>
                <w:color w:val="000000"/>
                <w:sz w:val="18"/>
                <w:szCs w:val="18"/>
              </w:rPr>
            </w:pPr>
            <w:r>
              <w:rPr>
                <w:rFonts w:ascii="Calibri" w:eastAsia="Calibri" w:hAnsi="Calibri" w:cs="Calibri"/>
                <w:b/>
                <w:color w:val="000000"/>
                <w:sz w:val="18"/>
                <w:szCs w:val="18"/>
              </w:rPr>
              <w:t>-5</w:t>
            </w:r>
          </w:p>
        </w:tc>
        <w:tc>
          <w:tcPr>
            <w:tcW w:w="4062" w:type="dxa"/>
            <w:tcBorders>
              <w:top w:val="single" w:sz="8" w:space="0" w:color="000000"/>
              <w:left w:val="single" w:sz="4" w:space="0" w:color="auto"/>
              <w:bottom w:val="single" w:sz="8" w:space="0" w:color="000000"/>
              <w:right w:val="single" w:sz="8" w:space="0" w:color="000000"/>
            </w:tcBorders>
            <w:shd w:val="clear" w:color="auto" w:fill="000000"/>
            <w:vAlign w:val="center"/>
          </w:tcPr>
          <w:p w:rsidR="003D3AFB" w:rsidRPr="0058534C" w:rsidP="0014426B" w14:paraId="3C71E813" w14:textId="77777777">
            <w:pPr>
              <w:keepNext/>
              <w:widowControl/>
              <w:rPr>
                <w:rFonts w:ascii="Calibri" w:eastAsia="Calibri" w:hAnsi="Calibri" w:cs="Calibri"/>
                <w:color w:val="000000"/>
                <w:sz w:val="18"/>
                <w:szCs w:val="18"/>
              </w:rPr>
            </w:pPr>
            <w:r w:rsidRPr="0058534C">
              <w:rPr>
                <w:rFonts w:ascii="Calibri" w:eastAsia="Calibri" w:hAnsi="Calibri" w:cs="Calibri"/>
                <w:color w:val="000000"/>
                <w:sz w:val="18"/>
                <w:szCs w:val="18"/>
              </w:rPr>
              <w:t> </w:t>
            </w:r>
          </w:p>
        </w:tc>
      </w:tr>
    </w:tbl>
    <w:p w:rsidR="00BD156D" w:rsidP="0014426B" w14:paraId="69876220" w14:textId="77777777">
      <w:pPr>
        <w:pBdr>
          <w:top w:val="nil"/>
          <w:left w:val="nil"/>
          <w:bottom w:val="nil"/>
          <w:right w:val="nil"/>
          <w:between w:val="nil"/>
        </w:pBdr>
        <w:rPr>
          <w:b/>
          <w:color w:val="000000"/>
        </w:rPr>
      </w:pPr>
    </w:p>
    <w:p w:rsidR="00BD156D" w:rsidP="0014426B" w14:paraId="09CC52A6" w14:textId="77777777">
      <w:pPr>
        <w:pBdr>
          <w:top w:val="nil"/>
          <w:left w:val="nil"/>
          <w:bottom w:val="nil"/>
          <w:right w:val="nil"/>
          <w:between w:val="nil"/>
        </w:pBdr>
        <w:rPr>
          <w:b/>
          <w:color w:val="000000"/>
        </w:rPr>
      </w:pPr>
    </w:p>
    <w:p w:rsidR="00BD156D" w:rsidP="0014426B" w14:paraId="7E8B68CB"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For collections of information whose results will be published, outline plans for </w:t>
      </w:r>
      <w:r>
        <w:rPr>
          <w:b/>
          <w:color w:val="000000"/>
        </w:rPr>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D3A24" w14:paraId="23E21480" w14:textId="77777777">
      <w:pPr>
        <w:widowControl/>
        <w:pBdr>
          <w:top w:val="nil"/>
          <w:left w:val="nil"/>
          <w:bottom w:val="nil"/>
          <w:right w:val="nil"/>
          <w:between w:val="nil"/>
        </w:pBdr>
      </w:pPr>
    </w:p>
    <w:p w:rsidR="00BD3A24" w:rsidRPr="00BD3A24" w14:paraId="2E340AA6" w14:textId="7FF23E75">
      <w:pPr>
        <w:widowControl/>
        <w:pBdr>
          <w:top w:val="nil"/>
          <w:left w:val="nil"/>
          <w:bottom w:val="nil"/>
          <w:right w:val="nil"/>
          <w:between w:val="nil"/>
        </w:pBdr>
      </w:pPr>
      <w:r w:rsidRPr="00BD3A24">
        <w:t>At this time, no analyses are in development or are planned for future development that are anticipated to affect this existing information collection</w:t>
      </w:r>
      <w:r w:rsidR="000F5C50">
        <w:t>.</w:t>
      </w:r>
    </w:p>
    <w:p w:rsidR="00BD3A24" w14:paraId="1D89491D" w14:textId="77777777">
      <w:pPr>
        <w:widowControl/>
      </w:pPr>
    </w:p>
    <w:p w:rsidR="00933811" w:rsidRPr="00A55FAB" w:rsidP="00933811" w14:paraId="71BF43E6" w14:textId="77777777">
      <w:pPr>
        <w:widowControl/>
        <w:autoSpaceDE w:val="0"/>
        <w:autoSpaceDN w:val="0"/>
        <w:rPr>
          <w:rFonts w:eastAsiaTheme="minorHAnsi" w:cstheme="minorBidi"/>
        </w:rPr>
      </w:pPr>
      <w:r w:rsidRPr="00A55FAB">
        <w:rPr>
          <w:rFonts w:eastAsiaTheme="minorHAnsi" w:cstheme="minorBidi"/>
        </w:rPr>
        <w:t xml:space="preserve">This information collection is designed to yield data that meet all applicable information quality guidelines. Prior to dissemination, the information will be subjected to quality control measures and a pre-dissemination review pursuant to </w:t>
      </w:r>
      <w:hyperlink r:id="rId20" w:history="1">
        <w:r w:rsidRPr="00B123F8">
          <w:rPr>
            <w:rStyle w:val="Hyperlink"/>
          </w:rPr>
          <w:t xml:space="preserve">Section 515 </w:t>
        </w:r>
        <w:r w:rsidRPr="00B123F8">
          <w:rPr>
            <w:rStyle w:val="Hyperlink"/>
          </w:rPr>
          <w:t>o</w:t>
        </w:r>
        <w:r w:rsidRPr="00B123F8">
          <w:rPr>
            <w:rStyle w:val="Hyperlink"/>
          </w:rPr>
          <w:t>f Public Law</w:t>
        </w:r>
      </w:hyperlink>
      <w:r w:rsidRPr="00A55FAB">
        <w:rPr>
          <w:color w:val="0000FF"/>
          <w:u w:val="single"/>
        </w:rPr>
        <w:t xml:space="preserve"> 106-554</w:t>
      </w:r>
      <w:r w:rsidRPr="00A55FAB">
        <w:rPr>
          <w:rFonts w:eastAsiaTheme="minorHAnsi" w:cstheme="minorBidi"/>
        </w:rPr>
        <w:t xml:space="preserve"> </w:t>
      </w:r>
      <w:r w:rsidRPr="00A55FAB">
        <w:rPr>
          <w:rFonts w:eastAsia="Calibri"/>
          <w:color w:val="000000"/>
        </w:rPr>
        <w:t>(the Information Quality Act)</w:t>
      </w:r>
      <w:r w:rsidRPr="00A55FAB">
        <w:rPr>
          <w:rFonts w:eastAsiaTheme="minorHAnsi" w:cstheme="minorBidi"/>
        </w:rPr>
        <w:t xml:space="preserve">, which requires </w:t>
      </w:r>
      <w:r w:rsidRPr="00A55FAB">
        <w:rPr>
          <w:rFonts w:eastAsia="Calibri"/>
          <w:color w:val="000000"/>
        </w:rPr>
        <w:t xml:space="preserve">NMFS to ensure the quality, objectivity, utility, and integrity of information it publicly disseminates. Public dissemination of data collected by this information collection is governed by </w:t>
      </w:r>
      <w:hyperlink r:id="rId21" w:anchor=":~:text=Information%20quality%20is%20composed%20of,it%20disseminates%20to%20verify%20quality." w:history="1">
        <w:r w:rsidRPr="00B123F8">
          <w:rPr>
            <w:rStyle w:val="Hyperlink"/>
            <w:rFonts w:eastAsia="Calibri"/>
          </w:rPr>
          <w:t xml:space="preserve">NOAA's information quality </w:t>
        </w:r>
        <w:r w:rsidRPr="00B123F8">
          <w:rPr>
            <w:rStyle w:val="Hyperlink"/>
            <w:rFonts w:eastAsia="Calibri"/>
          </w:rPr>
          <w:t>g</w:t>
        </w:r>
        <w:r w:rsidRPr="00B123F8">
          <w:rPr>
            <w:rStyle w:val="Hyperlink"/>
            <w:rFonts w:eastAsia="Calibri"/>
          </w:rPr>
          <w:t>uidelines</w:t>
        </w:r>
      </w:hyperlink>
      <w:r w:rsidRPr="00A55FAB">
        <w:rPr>
          <w:rFonts w:eastAsia="Calibri"/>
          <w:color w:val="000000"/>
        </w:rPr>
        <w:t>, which were issued on October 30, 2014.</w:t>
      </w:r>
      <w:r w:rsidRPr="00A55FAB">
        <w:rPr>
          <w:rFonts w:eastAsiaTheme="minorHAnsi" w:cstheme="minorBidi"/>
        </w:rPr>
        <w:t xml:space="preserve"> </w:t>
      </w:r>
    </w:p>
    <w:p w:rsidR="00933811" w:rsidRPr="00A55FAB" w:rsidP="00933811" w14:paraId="519CD294" w14:textId="77777777">
      <w:pPr>
        <w:widowControl/>
        <w:autoSpaceDE w:val="0"/>
        <w:autoSpaceDN w:val="0"/>
        <w:rPr>
          <w:rFonts w:eastAsiaTheme="minorHAnsi"/>
        </w:rPr>
      </w:pPr>
    </w:p>
    <w:p w:rsidR="00933811" w:rsidRPr="00A55FAB" w:rsidP="00933811" w14:paraId="084753B5" w14:textId="77777777">
      <w:pPr>
        <w:widowControl/>
        <w:autoSpaceDE w:val="0"/>
        <w:autoSpaceDN w:val="0"/>
        <w:rPr>
          <w:rFonts w:eastAsiaTheme="minorHAnsi" w:cstheme="minorBidi"/>
        </w:rPr>
      </w:pPr>
      <w:r w:rsidRPr="00A55FAB">
        <w:rPr>
          <w:rFonts w:eastAsiaTheme="minorHAnsi" w:cstheme="minorBidi"/>
        </w:rPr>
        <w:t>It is anticipated that the information collected will be disseminated to the public or used to support publicly disseminated information. NMFS and the National Appeals Office will retain control over the information and safeguard it from improper access, modification, and destruction, consistent with NOAA standards for confidentiality, privacy, and electronic information. See Question 10 of this Supporting Statement for more information on confidentiality and privacy. See Question 16 of this Supporting Statement for information from this collection that is posted on the Council and NMFS websites.</w:t>
      </w:r>
      <w:r>
        <w:rPr>
          <w:rFonts w:eastAsiaTheme="minorHAnsi" w:cstheme="minorBidi"/>
        </w:rPr>
        <w:t xml:space="preserve"> </w:t>
      </w:r>
    </w:p>
    <w:p w:rsidR="00933811" w:rsidRPr="00BD3A24" w14:paraId="3A7CCB74" w14:textId="77777777">
      <w:pPr>
        <w:widowControl/>
      </w:pPr>
    </w:p>
    <w:p w:rsidR="00BD3A24" w:rsidRPr="00BD3A24" w14:paraId="45E6CCC4" w14:textId="4D66EB3E">
      <w:pPr>
        <w:widowControl/>
      </w:pPr>
      <w:r w:rsidRPr="00BD3A24">
        <w:t>AFA cooperative contracts are available to the public on request.</w:t>
      </w:r>
      <w:r w:rsidR="0099558D">
        <w:t xml:space="preserve"> </w:t>
      </w:r>
      <w:r w:rsidRPr="00BD3A24">
        <w:rPr>
          <w:rFonts w:eastAsiaTheme="minorHAnsi" w:cstheme="minorBidi"/>
        </w:rPr>
        <w:t xml:space="preserve">The IPA annual reports are posted on the Council’s website at </w:t>
      </w:r>
      <w:hyperlink r:id="rId16" w:history="1">
        <w:r w:rsidRPr="00BD3A24">
          <w:rPr>
            <w:rFonts w:eastAsiaTheme="minorHAnsi" w:cstheme="minorBidi"/>
            <w:color w:val="0000FF" w:themeColor="hyperlink"/>
            <w:u w:val="single"/>
          </w:rPr>
          <w:t>https://www.npfmc.org/cooperative-reporting/</w:t>
        </w:r>
      </w:hyperlink>
      <w:r w:rsidRPr="00BD3A24">
        <w:rPr>
          <w:rFonts w:eastAsiaTheme="minorHAnsi" w:cstheme="minorBidi"/>
        </w:rPr>
        <w:t>.</w:t>
      </w:r>
      <w:r w:rsidR="00CB78CF">
        <w:t xml:space="preserve"> </w:t>
      </w:r>
      <w:r w:rsidRPr="00BD3A24">
        <w:t xml:space="preserve">Proposed and approved IPAs and renewal letters are posted on the NMFS Alaska Region website at </w:t>
      </w:r>
      <w:hyperlink r:id="rId15" w:history="1">
        <w:r w:rsidRPr="00B960EB">
          <w:rPr>
            <w:color w:val="0000FF"/>
            <w:u w:val="single"/>
          </w:rPr>
          <w:t>https://www.fisheries.noaa.gov/alaska/bycatch/chinook-salmon-bycatch-management-alaska</w:t>
        </w:r>
      </w:hyperlink>
      <w:r w:rsidRPr="00BD3A24">
        <w:t xml:space="preserve">. </w:t>
      </w:r>
    </w:p>
    <w:p w:rsidR="00BD3A24" w:rsidRPr="00BD3A24" w14:paraId="424A448F" w14:textId="77777777">
      <w:pPr>
        <w:widowControl/>
      </w:pPr>
    </w:p>
    <w:p w:rsidR="00BD3A24" w14:paraId="3634F51F" w14:textId="5B450378">
      <w:pPr>
        <w:widowControl/>
        <w:rPr>
          <w:rFonts w:eastAsiaTheme="minorHAnsi" w:cstheme="minorBidi"/>
        </w:rPr>
      </w:pPr>
      <w:r w:rsidRPr="00BD3A24">
        <w:rPr>
          <w:color w:val="000000"/>
        </w:rPr>
        <w:t xml:space="preserve">Final administrative appeal decisions with redactions are posted on the NMFS </w:t>
      </w:r>
      <w:r w:rsidRPr="00BD3A24">
        <w:rPr>
          <w:rFonts w:eastAsia="Calibri"/>
        </w:rPr>
        <w:t>National Appeals Office</w:t>
      </w:r>
      <w:r w:rsidRPr="00BD3A24">
        <w:rPr>
          <w:color w:val="000000"/>
        </w:rPr>
        <w:t xml:space="preserve"> website</w:t>
      </w:r>
      <w:r w:rsidR="001813D2">
        <w:rPr>
          <w:color w:val="000000"/>
        </w:rPr>
        <w:t xml:space="preserve"> at </w:t>
      </w:r>
      <w:hyperlink r:id="rId22" w:history="1">
        <w:r w:rsidRPr="00B00B4C" w:rsidR="001813D2">
          <w:rPr>
            <w:rStyle w:val="Hyperlink"/>
          </w:rPr>
          <w:t>https://www.fisheries.noaa.gov/national/rules-and-regulations/appeals</w:t>
        </w:r>
      </w:hyperlink>
      <w:r w:rsidR="001813D2">
        <w:t xml:space="preserve">. </w:t>
      </w:r>
      <w:r w:rsidRPr="00BD3A24">
        <w:rPr>
          <w:rFonts w:eastAsiaTheme="minorHAnsi" w:cstheme="minorBidi"/>
        </w:rPr>
        <w:t>Personally identifiable information and confidential business information submitted in an administrative appeal are not released to the public.</w:t>
      </w:r>
    </w:p>
    <w:p w:rsidR="00BD3A24" w:rsidRPr="00BD3A24" w14:paraId="37130436" w14:textId="77777777">
      <w:pPr>
        <w:widowControl/>
        <w:rPr>
          <w:color w:val="0000FF"/>
          <w:u w:val="single"/>
        </w:rPr>
      </w:pPr>
    </w:p>
    <w:p w:rsidR="00BD156D" w:rsidP="0014426B" w14:paraId="4824A4E8"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 xml:space="preserve">If seeking approval to not display the expiration date for OMB </w:t>
      </w:r>
      <w:r>
        <w:rPr>
          <w:b/>
          <w:color w:val="000000"/>
        </w:rPr>
        <w:t>approval of the information collection, explain the reasons that display would be inappropriate.</w:t>
      </w:r>
    </w:p>
    <w:p w:rsidR="001813D2" w14:paraId="01D82BED" w14:textId="77777777">
      <w:pPr>
        <w:widowControl/>
        <w:autoSpaceDE w:val="0"/>
        <w:autoSpaceDN w:val="0"/>
        <w:rPr>
          <w:rFonts w:eastAsiaTheme="minorHAnsi" w:cstheme="minorBidi"/>
        </w:rPr>
      </w:pPr>
    </w:p>
    <w:p w:rsidR="001813D2" w14:paraId="1BCADBDE" w14:textId="11136353">
      <w:pPr>
        <w:widowControl/>
        <w:autoSpaceDE w:val="0"/>
        <w:autoSpaceDN w:val="0"/>
        <w:rPr>
          <w:rFonts w:eastAsiaTheme="minorHAnsi" w:cstheme="minorBidi"/>
        </w:rPr>
      </w:pPr>
      <w:r w:rsidRPr="001813D2">
        <w:rPr>
          <w:rFonts w:eastAsiaTheme="minorHAnsi" w:cstheme="minorBidi"/>
        </w:rPr>
        <w:t>There are no forms associated with this information collection</w:t>
      </w:r>
      <w:r>
        <w:rPr>
          <w:rFonts w:eastAsiaTheme="minorHAnsi" w:cstheme="minorBidi"/>
        </w:rPr>
        <w:t xml:space="preserve"> on which to display the expiration date</w:t>
      </w:r>
      <w:r w:rsidRPr="001813D2">
        <w:rPr>
          <w:rFonts w:eastAsiaTheme="minorHAnsi" w:cstheme="minorBidi"/>
        </w:rPr>
        <w:t xml:space="preserve">. The information is submitted in a report or letter, and no specific format is required. </w:t>
      </w:r>
      <w:r w:rsidR="00894EDF">
        <w:rPr>
          <w:rFonts w:eastAsiaTheme="minorHAnsi" w:cstheme="minorBidi"/>
        </w:rPr>
        <w:t>For the requirement of OMB, instructions and regulations were attached to each IC in ROCIS.</w:t>
      </w:r>
    </w:p>
    <w:p w:rsidR="001813D2" w:rsidRPr="001813D2" w14:paraId="2E434984" w14:textId="77777777">
      <w:pPr>
        <w:widowControl/>
        <w:autoSpaceDE w:val="0"/>
        <w:autoSpaceDN w:val="0"/>
        <w:rPr>
          <w:rFonts w:eastAsiaTheme="minorHAnsi" w:cstheme="minorBidi"/>
        </w:rPr>
      </w:pPr>
    </w:p>
    <w:p w:rsidR="00BD156D" w:rsidP="0014426B" w14:paraId="6DFE6007" w14:textId="77777777">
      <w:pPr>
        <w:widowControl/>
        <w:numPr>
          <w:ilvl w:val="0"/>
          <w:numId w:val="3"/>
        </w:numPr>
        <w:pBdr>
          <w:top w:val="nil"/>
          <w:left w:val="nil"/>
          <w:bottom w:val="nil"/>
          <w:right w:val="nil"/>
          <w:between w:val="nil"/>
        </w:pBdr>
        <w:tabs>
          <w:tab w:val="left" w:pos="360"/>
        </w:tabs>
        <w:ind w:left="0" w:firstLine="0"/>
        <w:rPr>
          <w:b/>
          <w:color w:val="000000"/>
        </w:rPr>
      </w:pPr>
      <w:r>
        <w:rPr>
          <w:b/>
          <w:color w:val="000000"/>
        </w:rPr>
        <w:t>Explain each exception to the certification statement identified in “Certification for Paperwork Reduction Act Submissions."</w:t>
      </w:r>
    </w:p>
    <w:p w:rsidR="005B7A8C" w:rsidP="0014426B" w14:paraId="376A935A" w14:textId="77777777">
      <w:pPr>
        <w:widowControl/>
        <w:spacing w:line="259" w:lineRule="auto"/>
        <w:jc w:val="both"/>
      </w:pPr>
    </w:p>
    <w:p w:rsidR="00BD156D" w:rsidP="000F5C50" w14:paraId="6D0D78EE" w14:textId="128946B7">
      <w:pPr>
        <w:widowControl/>
        <w:spacing w:line="259" w:lineRule="auto"/>
      </w:pPr>
      <w:r>
        <w:t xml:space="preserve">The agency certifies compliance with </w:t>
      </w:r>
      <w:hyperlink r:id="rId23">
        <w:r w:rsidRPr="00954B95">
          <w:rPr>
            <w:color w:val="0000FF"/>
            <w:u w:val="single"/>
          </w:rPr>
          <w:t>5 CFR 1320.9</w:t>
        </w:r>
      </w:hyperlink>
      <w:hyperlink r:id="rId23">
        <w:r>
          <w:rPr>
            <w:color w:val="0563C1"/>
          </w:rPr>
          <w:t xml:space="preserve"> </w:t>
        </w:r>
      </w:hyperlink>
      <w:r>
        <w:t xml:space="preserve">and the related provisions of </w:t>
      </w:r>
      <w:hyperlink r:id="rId24">
        <w:r w:rsidRPr="00954B95">
          <w:rPr>
            <w:color w:val="0000FF"/>
            <w:u w:val="single"/>
          </w:rPr>
          <w:t>5 CFR</w:t>
        </w:r>
      </w:hyperlink>
      <w:r w:rsidRPr="00954B95">
        <w:rPr>
          <w:color w:val="0000FF"/>
        </w:rPr>
        <w:t xml:space="preserve"> </w:t>
      </w:r>
      <w:hyperlink r:id="rId24">
        <w:r w:rsidRPr="00954B95">
          <w:rPr>
            <w:color w:val="0000FF"/>
            <w:u w:val="single"/>
          </w:rPr>
          <w:t>1320.8(b)(3)</w:t>
        </w:r>
      </w:hyperlink>
      <w:r>
        <w:t>.</w:t>
      </w:r>
    </w:p>
    <w:sectPr w:rsidSect="00933811">
      <w:footerReference w:type="default" r:id="rId25"/>
      <w:pgSz w:w="12240" w:h="15840"/>
      <w:pgMar w:top="990" w:right="1080" w:bottom="1200" w:left="1080" w:header="0" w:footer="714"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27558374"/>
      <w:docPartObj>
        <w:docPartGallery w:val="Page Numbers (Bottom of Page)"/>
        <w:docPartUnique/>
      </w:docPartObj>
    </w:sdtPr>
    <w:sdtEndPr>
      <w:rPr>
        <w:rFonts w:asciiTheme="minorHAnsi" w:hAnsiTheme="minorHAnsi" w:cstheme="minorHAnsi"/>
        <w:noProof/>
      </w:rPr>
    </w:sdtEndPr>
    <w:sdtContent>
      <w:p w:rsidR="00302B43" w:rsidRPr="0010589F" w14:paraId="7FBE4251" w14:textId="3B1A1DA0">
        <w:pPr>
          <w:pStyle w:val="Footer"/>
          <w:jc w:val="center"/>
          <w:rPr>
            <w:rFonts w:asciiTheme="minorHAnsi" w:hAnsiTheme="minorHAnsi" w:cstheme="minorHAnsi"/>
          </w:rPr>
        </w:pPr>
        <w:r w:rsidRPr="0010589F">
          <w:rPr>
            <w:rFonts w:asciiTheme="minorHAnsi" w:hAnsiTheme="minorHAnsi" w:cstheme="minorHAnsi"/>
            <w:sz w:val="20"/>
            <w:szCs w:val="20"/>
          </w:rPr>
          <w:fldChar w:fldCharType="begin"/>
        </w:r>
        <w:r w:rsidRPr="0010589F">
          <w:rPr>
            <w:rFonts w:asciiTheme="minorHAnsi" w:hAnsiTheme="minorHAnsi" w:cstheme="minorHAnsi"/>
            <w:sz w:val="20"/>
            <w:szCs w:val="20"/>
          </w:rPr>
          <w:instrText xml:space="preserve"> PAGE   \* MERGEFORMAT </w:instrText>
        </w:r>
        <w:r w:rsidRPr="0010589F">
          <w:rPr>
            <w:rFonts w:asciiTheme="minorHAnsi" w:hAnsiTheme="minorHAnsi" w:cstheme="minorHAnsi"/>
            <w:sz w:val="20"/>
            <w:szCs w:val="20"/>
          </w:rPr>
          <w:fldChar w:fldCharType="separate"/>
        </w:r>
        <w:r w:rsidR="003C1115">
          <w:rPr>
            <w:rFonts w:asciiTheme="minorHAnsi" w:hAnsiTheme="minorHAnsi" w:cstheme="minorHAnsi"/>
            <w:noProof/>
            <w:sz w:val="20"/>
            <w:szCs w:val="20"/>
          </w:rPr>
          <w:t>14</w:t>
        </w:r>
        <w:r w:rsidRPr="0010589F">
          <w:rPr>
            <w:rFonts w:asciiTheme="minorHAnsi" w:hAnsiTheme="minorHAnsi" w:cstheme="minorHAnsi"/>
            <w:noProof/>
            <w:sz w:val="20"/>
            <w:szCs w:val="20"/>
          </w:rPr>
          <w:fldChar w:fldCharType="end"/>
        </w:r>
      </w:p>
    </w:sdtContent>
  </w:sdt>
  <w:p w:rsidR="00302B43" w14:paraId="1EF5CEDE" w14:textId="77777777">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384F" w14:paraId="7FE974DD" w14:textId="77777777">
      <w:r>
        <w:separator/>
      </w:r>
    </w:p>
  </w:footnote>
  <w:footnote w:type="continuationSeparator" w:id="1">
    <w:p w:rsidR="0082384F" w14:paraId="0F385CA3" w14:textId="77777777">
      <w:r>
        <w:continuationSeparator/>
      </w:r>
    </w:p>
  </w:footnote>
  <w:footnote w:id="2">
    <w:p w:rsidR="000F5C50" w14:paraId="21456DE5" w14:textId="666A7D7D">
      <w:pPr>
        <w:pStyle w:val="FootnoteText"/>
      </w:pPr>
      <w:r>
        <w:rPr>
          <w:rStyle w:val="FootnoteReference"/>
        </w:rPr>
        <w:footnoteRef/>
      </w:r>
      <w:r>
        <w:t xml:space="preserve"> </w:t>
      </w:r>
      <w:r w:rsidRPr="000F5C50">
        <w:t>https://www.fisheries.noaa.gov/s3//dam-migration/msa-amended-2007.pdf</w:t>
      </w:r>
    </w:p>
  </w:footnote>
  <w:footnote w:id="3">
    <w:p w:rsidR="000F5C50" w14:paraId="75837604" w14:textId="57B270A9">
      <w:pPr>
        <w:pStyle w:val="FootnoteText"/>
      </w:pPr>
      <w:r>
        <w:rPr>
          <w:rStyle w:val="FootnoteReference"/>
        </w:rPr>
        <w:footnoteRef/>
      </w:r>
      <w:r>
        <w:t xml:space="preserve"> </w:t>
      </w:r>
      <w:r w:rsidRPr="000F5C50">
        <w:t>https://www.ecfr.gov/current/title-50/chapter-VI/part-679</w:t>
      </w:r>
    </w:p>
  </w:footnote>
  <w:footnote w:id="4">
    <w:p w:rsidR="00933811" w14:paraId="492AE042" w14:textId="14428BBC">
      <w:pPr>
        <w:pStyle w:val="FootnoteText"/>
      </w:pPr>
      <w:r>
        <w:rPr>
          <w:rStyle w:val="FootnoteReference"/>
        </w:rPr>
        <w:footnoteRef/>
      </w:r>
      <w:r>
        <w:t xml:space="preserve"> </w:t>
      </w:r>
      <w:r w:rsidRPr="00933811">
        <w:t>https://www.fisheries.noaa.gov/alaska/rules-and-regulations/regulations-acts-treaties-and-agreements-federal-fisheries-alaska</w:t>
      </w:r>
    </w:p>
  </w:footnote>
  <w:footnote w:id="5">
    <w:p w:rsidR="00933811" w14:paraId="0B95660D" w14:textId="01B80621">
      <w:pPr>
        <w:pStyle w:val="FootnoteText"/>
      </w:pPr>
      <w:r>
        <w:rPr>
          <w:rStyle w:val="FootnoteReference"/>
        </w:rPr>
        <w:footnoteRef/>
      </w:r>
      <w:r>
        <w:t xml:space="preserve"> </w:t>
      </w:r>
      <w:r w:rsidRPr="00933811">
        <w:t>https://www.ecfr.gov/current/title-50/chapter-VI/part-679/subpart-B/section-679.21</w:t>
      </w:r>
    </w:p>
  </w:footnote>
  <w:footnote w:id="6">
    <w:p w:rsidR="00933811" w14:paraId="3D667F9F" w14:textId="227916FE">
      <w:pPr>
        <w:pStyle w:val="FootnoteText"/>
      </w:pPr>
      <w:r>
        <w:rPr>
          <w:rStyle w:val="FootnoteReference"/>
        </w:rPr>
        <w:footnoteRef/>
      </w:r>
      <w:r>
        <w:t xml:space="preserve"> </w:t>
      </w:r>
      <w:r w:rsidRPr="00933811">
        <w:t>https://www.ecfr.gov/current/title-50/chapter-VI/part-679/subpart-F</w:t>
      </w:r>
    </w:p>
  </w:footnote>
  <w:footnote w:id="7">
    <w:p w:rsidR="00DA24D9" w14:paraId="365892AC" w14:textId="27E4ACDD">
      <w:pPr>
        <w:pStyle w:val="FootnoteText"/>
      </w:pPr>
      <w:r>
        <w:rPr>
          <w:rStyle w:val="FootnoteReference"/>
        </w:rPr>
        <w:footnoteRef/>
      </w:r>
      <w:r>
        <w:t xml:space="preserve"> </w:t>
      </w:r>
      <w:r w:rsidRPr="00DA24D9">
        <w:t>https://www.law.cornell.edu/uscode/text/15/521</w:t>
      </w:r>
    </w:p>
  </w:footnote>
  <w:footnote w:id="8">
    <w:p w:rsidR="00DD5B58" w14:paraId="028B346D" w14:textId="39215F3D">
      <w:pPr>
        <w:pStyle w:val="FootnoteText"/>
      </w:pPr>
      <w:r>
        <w:rPr>
          <w:rStyle w:val="FootnoteReference"/>
        </w:rPr>
        <w:footnoteRef/>
      </w:r>
      <w:r>
        <w:t xml:space="preserve"> </w:t>
      </w:r>
      <w:r w:rsidRPr="00DD5B58">
        <w:t>https://www.ecfr.gov/current/title-50/chapter-VI/part-679/subpart-D/section-679.43</w:t>
      </w:r>
    </w:p>
  </w:footnote>
  <w:footnote w:id="9">
    <w:p w:rsidR="00DD5B58" w14:paraId="1664FF8B" w14:textId="61E27351">
      <w:pPr>
        <w:pStyle w:val="FootnoteText"/>
      </w:pPr>
      <w:r>
        <w:rPr>
          <w:rStyle w:val="FootnoteReference"/>
        </w:rPr>
        <w:footnoteRef/>
      </w:r>
      <w:r>
        <w:t xml:space="preserve"> </w:t>
      </w:r>
      <w:r w:rsidRPr="00DD5B58">
        <w:t>https://www.ecfr.gov/current/title-15/subtitle-B/chapter-IX/subchapter-A/part-906/section-906.3</w:t>
      </w:r>
    </w:p>
  </w:footnote>
  <w:footnote w:id="10">
    <w:p w:rsidR="0082384F" w14:paraId="402BB9A1" w14:textId="77CC068F">
      <w:pPr>
        <w:pStyle w:val="FootnoteText"/>
      </w:pPr>
      <w:r>
        <w:rPr>
          <w:rStyle w:val="FootnoteReference"/>
        </w:rPr>
        <w:footnoteRef/>
      </w:r>
      <w:r>
        <w:t xml:space="preserve"> </w:t>
      </w:r>
      <w:r w:rsidRPr="0082384F">
        <w:t>https://www.commerce.gov/node/4990</w:t>
      </w:r>
    </w:p>
  </w:footnote>
  <w:footnote w:id="11">
    <w:p w:rsidR="0082384F" w14:paraId="2996BB9C" w14:textId="6B39D1BA">
      <w:pPr>
        <w:pStyle w:val="FootnoteText"/>
      </w:pPr>
      <w:r>
        <w:rPr>
          <w:rStyle w:val="FootnoteReference"/>
        </w:rPr>
        <w:footnoteRef/>
      </w:r>
      <w:r>
        <w:t xml:space="preserve"> </w:t>
      </w:r>
      <w:r w:rsidRPr="0082384F">
        <w:t>https://www.commerce.gov/node/4991</w:t>
      </w:r>
    </w:p>
  </w:footnote>
  <w:footnote w:id="12">
    <w:p w:rsidR="0082384F" w14:paraId="5F40A49B" w14:textId="27818F73">
      <w:pPr>
        <w:pStyle w:val="FootnoteText"/>
      </w:pPr>
      <w:r>
        <w:rPr>
          <w:rStyle w:val="FootnoteReference"/>
        </w:rPr>
        <w:footnoteRef/>
      </w:r>
      <w:r>
        <w:t xml:space="preserve"> </w:t>
      </w:r>
      <w:r w:rsidRPr="0082384F">
        <w:t>https://www.commerce.gov/sites/default/files/2025-03/NOAA4700%20PIA%20FY25%20SAOP_Approved.pdf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197F95"/>
    <w:multiLevelType w:val="multilevel"/>
    <w:tmpl w:val="73E0F8EC"/>
    <w:lvl w:ilvl="0">
      <w:start w:val="1"/>
      <w:numFmt w:val="lowerLetter"/>
      <w:lvlText w:val="(%1)"/>
      <w:lvlJc w:val="left"/>
      <w:pPr>
        <w:ind w:left="1839" w:hanging="720"/>
      </w:pPr>
      <w:rPr>
        <w:rFonts w:ascii="Arial" w:eastAsia="Arial" w:hAnsi="Arial" w:cs="Arial"/>
        <w:color w:val="2F5496"/>
        <w:sz w:val="22"/>
        <w:szCs w:val="22"/>
      </w:rPr>
    </w:lvl>
    <w:lvl w:ilvl="1">
      <w:start w:val="1"/>
      <w:numFmt w:val="bullet"/>
      <w:lvlText w:val="•"/>
      <w:lvlJc w:val="left"/>
      <w:pPr>
        <w:ind w:left="2806" w:hanging="720"/>
      </w:pPr>
    </w:lvl>
    <w:lvl w:ilvl="2">
      <w:start w:val="1"/>
      <w:numFmt w:val="bullet"/>
      <w:lvlText w:val="•"/>
      <w:lvlJc w:val="left"/>
      <w:pPr>
        <w:ind w:left="3772" w:hanging="720"/>
      </w:pPr>
    </w:lvl>
    <w:lvl w:ilvl="3">
      <w:start w:val="1"/>
      <w:numFmt w:val="bullet"/>
      <w:lvlText w:val="•"/>
      <w:lvlJc w:val="left"/>
      <w:pPr>
        <w:ind w:left="4738" w:hanging="720"/>
      </w:pPr>
    </w:lvl>
    <w:lvl w:ilvl="4">
      <w:start w:val="1"/>
      <w:numFmt w:val="bullet"/>
      <w:lvlText w:val="•"/>
      <w:lvlJc w:val="left"/>
      <w:pPr>
        <w:ind w:left="5704" w:hanging="720"/>
      </w:pPr>
    </w:lvl>
    <w:lvl w:ilvl="5">
      <w:start w:val="1"/>
      <w:numFmt w:val="bullet"/>
      <w:lvlText w:val="•"/>
      <w:lvlJc w:val="left"/>
      <w:pPr>
        <w:ind w:left="6670" w:hanging="720"/>
      </w:pPr>
    </w:lvl>
    <w:lvl w:ilvl="6">
      <w:start w:val="1"/>
      <w:numFmt w:val="bullet"/>
      <w:lvlText w:val="•"/>
      <w:lvlJc w:val="left"/>
      <w:pPr>
        <w:ind w:left="7636" w:hanging="720"/>
      </w:pPr>
    </w:lvl>
    <w:lvl w:ilvl="7">
      <w:start w:val="1"/>
      <w:numFmt w:val="bullet"/>
      <w:lvlText w:val="•"/>
      <w:lvlJc w:val="left"/>
      <w:pPr>
        <w:ind w:left="8602" w:hanging="720"/>
      </w:pPr>
    </w:lvl>
    <w:lvl w:ilvl="8">
      <w:start w:val="1"/>
      <w:numFmt w:val="bullet"/>
      <w:lvlText w:val="•"/>
      <w:lvlJc w:val="left"/>
      <w:pPr>
        <w:ind w:left="9568" w:hanging="720"/>
      </w:pPr>
    </w:lvl>
  </w:abstractNum>
  <w:abstractNum w:abstractNumId="1">
    <w:nsid w:val="17AF4150"/>
    <w:multiLevelType w:val="hybridMultilevel"/>
    <w:tmpl w:val="9244BF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C203A90"/>
    <w:multiLevelType w:val="multilevel"/>
    <w:tmpl w:val="ECD09780"/>
    <w:lvl w:ilvl="0">
      <w:start w:val="1"/>
      <w:numFmt w:val="bullet"/>
      <w:lvlText w:val="●"/>
      <w:lvlJc w:val="left"/>
      <w:pPr>
        <w:ind w:left="1120" w:hanging="360"/>
      </w:pPr>
      <w:rPr>
        <w:rFonts w:ascii="Noto Sans Symbols" w:eastAsia="Noto Sans Symbols" w:hAnsi="Noto Sans Symbols" w:cs="Noto Sans Symbols"/>
        <w:color w:val="2F5496"/>
        <w:sz w:val="20"/>
        <w:szCs w:val="20"/>
      </w:rPr>
    </w:lvl>
    <w:lvl w:ilvl="1">
      <w:start w:val="1"/>
      <w:numFmt w:val="bullet"/>
      <w:lvlText w:val="•"/>
      <w:lvlJc w:val="left"/>
      <w:pPr>
        <w:ind w:left="2158" w:hanging="360"/>
      </w:pPr>
    </w:lvl>
    <w:lvl w:ilvl="2">
      <w:start w:val="1"/>
      <w:numFmt w:val="bullet"/>
      <w:lvlText w:val="•"/>
      <w:lvlJc w:val="left"/>
      <w:pPr>
        <w:ind w:left="3196" w:hanging="360"/>
      </w:pPr>
    </w:lvl>
    <w:lvl w:ilvl="3">
      <w:start w:val="1"/>
      <w:numFmt w:val="bullet"/>
      <w:lvlText w:val="•"/>
      <w:lvlJc w:val="left"/>
      <w:pPr>
        <w:ind w:left="4234" w:hanging="360"/>
      </w:pPr>
    </w:lvl>
    <w:lvl w:ilvl="4">
      <w:start w:val="1"/>
      <w:numFmt w:val="bullet"/>
      <w:lvlText w:val="•"/>
      <w:lvlJc w:val="left"/>
      <w:pPr>
        <w:ind w:left="5272" w:hanging="360"/>
      </w:pPr>
    </w:lvl>
    <w:lvl w:ilvl="5">
      <w:start w:val="1"/>
      <w:numFmt w:val="bullet"/>
      <w:lvlText w:val="•"/>
      <w:lvlJc w:val="left"/>
      <w:pPr>
        <w:ind w:left="6310" w:hanging="360"/>
      </w:pPr>
    </w:lvl>
    <w:lvl w:ilvl="6">
      <w:start w:val="1"/>
      <w:numFmt w:val="bullet"/>
      <w:lvlText w:val="•"/>
      <w:lvlJc w:val="left"/>
      <w:pPr>
        <w:ind w:left="7348" w:hanging="360"/>
      </w:pPr>
    </w:lvl>
    <w:lvl w:ilvl="7">
      <w:start w:val="1"/>
      <w:numFmt w:val="bullet"/>
      <w:lvlText w:val="•"/>
      <w:lvlJc w:val="left"/>
      <w:pPr>
        <w:ind w:left="8386" w:hanging="360"/>
      </w:pPr>
    </w:lvl>
    <w:lvl w:ilvl="8">
      <w:start w:val="1"/>
      <w:numFmt w:val="bullet"/>
      <w:lvlText w:val="•"/>
      <w:lvlJc w:val="left"/>
      <w:pPr>
        <w:ind w:left="9424" w:hanging="360"/>
      </w:pPr>
    </w:lvl>
  </w:abstractNum>
  <w:abstractNum w:abstractNumId="3">
    <w:nsid w:val="1EF01F19"/>
    <w:multiLevelType w:val="hybridMultilevel"/>
    <w:tmpl w:val="900EE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3C07A6E"/>
    <w:multiLevelType w:val="hybridMultilevel"/>
    <w:tmpl w:val="270EA4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AE80DF9"/>
    <w:multiLevelType w:val="multilevel"/>
    <w:tmpl w:val="67246ADC"/>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6">
    <w:nsid w:val="41FC29F9"/>
    <w:multiLevelType w:val="hybridMultilevel"/>
    <w:tmpl w:val="DD0A7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2823F77"/>
    <w:multiLevelType w:val="multilevel"/>
    <w:tmpl w:val="E2C43E0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8">
    <w:nsid w:val="44007328"/>
    <w:multiLevelType w:val="hybridMultilevel"/>
    <w:tmpl w:val="088060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8A353E4"/>
    <w:multiLevelType w:val="hybridMultilevel"/>
    <w:tmpl w:val="2ABE3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BE9706F"/>
    <w:multiLevelType w:val="multilevel"/>
    <w:tmpl w:val="A0D0B754"/>
    <w:lvl w:ilvl="0">
      <w:start w:val="1"/>
      <w:numFmt w:val="decimal"/>
      <w:suff w:val="space"/>
      <w:lvlText w:val="%1."/>
      <w:lvlJc w:val="left"/>
      <w:pPr>
        <w:ind w:left="400" w:hanging="269"/>
      </w:pPr>
      <w:rPr>
        <w:rFonts w:ascii="Arial" w:eastAsia="Arial" w:hAnsi="Arial" w:cs="Arial" w:hint="default"/>
        <w:b/>
        <w:sz w:val="24"/>
        <w:szCs w:val="24"/>
      </w:rPr>
    </w:lvl>
    <w:lvl w:ilvl="1">
      <w:start w:val="1"/>
      <w:numFmt w:val="bullet"/>
      <w:lvlText w:val=""/>
      <w:lvlJc w:val="left"/>
      <w:pPr>
        <w:ind w:left="1120" w:hanging="360"/>
      </w:pPr>
      <w:rPr>
        <w:rFonts w:hint="default"/>
      </w:rPr>
    </w:lvl>
    <w:lvl w:ilvl="2">
      <w:start w:val="1"/>
      <w:numFmt w:val="bullet"/>
      <w:lvlText w:val="•"/>
      <w:lvlJc w:val="left"/>
      <w:pPr>
        <w:ind w:left="1220" w:hanging="360"/>
      </w:pPr>
      <w:rPr>
        <w:rFonts w:hint="default"/>
      </w:rPr>
    </w:lvl>
    <w:lvl w:ilvl="3">
      <w:start w:val="1"/>
      <w:numFmt w:val="bullet"/>
      <w:lvlText w:val="•"/>
      <w:lvlJc w:val="left"/>
      <w:pPr>
        <w:ind w:left="2505" w:hanging="360"/>
      </w:pPr>
      <w:rPr>
        <w:rFonts w:hint="default"/>
      </w:rPr>
    </w:lvl>
    <w:lvl w:ilvl="4">
      <w:start w:val="1"/>
      <w:numFmt w:val="bullet"/>
      <w:lvlText w:val="•"/>
      <w:lvlJc w:val="left"/>
      <w:pPr>
        <w:ind w:left="3790" w:hanging="360"/>
      </w:pPr>
      <w:rPr>
        <w:rFonts w:hint="default"/>
      </w:rPr>
    </w:lvl>
    <w:lvl w:ilvl="5">
      <w:start w:val="1"/>
      <w:numFmt w:val="bullet"/>
      <w:lvlText w:val="•"/>
      <w:lvlJc w:val="left"/>
      <w:pPr>
        <w:ind w:left="5075" w:hanging="360"/>
      </w:pPr>
      <w:rPr>
        <w:rFonts w:hint="default"/>
      </w:rPr>
    </w:lvl>
    <w:lvl w:ilvl="6">
      <w:start w:val="1"/>
      <w:numFmt w:val="bullet"/>
      <w:lvlText w:val="•"/>
      <w:lvlJc w:val="left"/>
      <w:pPr>
        <w:ind w:left="6360" w:hanging="360"/>
      </w:pPr>
      <w:rPr>
        <w:rFonts w:hint="default"/>
      </w:rPr>
    </w:lvl>
    <w:lvl w:ilvl="7">
      <w:start w:val="1"/>
      <w:numFmt w:val="bullet"/>
      <w:lvlText w:val="•"/>
      <w:lvlJc w:val="left"/>
      <w:pPr>
        <w:ind w:left="7645" w:hanging="360"/>
      </w:pPr>
      <w:rPr>
        <w:rFonts w:hint="default"/>
      </w:rPr>
    </w:lvl>
    <w:lvl w:ilvl="8">
      <w:start w:val="1"/>
      <w:numFmt w:val="bullet"/>
      <w:lvlText w:val="•"/>
      <w:lvlJc w:val="left"/>
      <w:pPr>
        <w:ind w:left="8930" w:hanging="360"/>
      </w:pPr>
      <w:rPr>
        <w:rFonts w:hint="default"/>
      </w:rPr>
    </w:lvl>
  </w:abstractNum>
  <w:abstractNum w:abstractNumId="11">
    <w:nsid w:val="52252A87"/>
    <w:multiLevelType w:val="hybridMultilevel"/>
    <w:tmpl w:val="78A83D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558B0CF4"/>
    <w:multiLevelType w:val="multilevel"/>
    <w:tmpl w:val="4906C986"/>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3">
    <w:nsid w:val="58853F2F"/>
    <w:multiLevelType w:val="hybridMultilevel"/>
    <w:tmpl w:val="7840BF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9C04FB"/>
    <w:multiLevelType w:val="multilevel"/>
    <w:tmpl w:val="6C182E9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rPr>
    </w:lvl>
    <w:lvl w:ilvl="2">
      <w:start w:val="1"/>
      <w:numFmt w:val="bullet"/>
      <w:lvlText w:val="•"/>
      <w:lvlJc w:val="left"/>
      <w:pPr>
        <w:ind w:left="1220" w:hanging="360"/>
      </w:pPr>
    </w:lvl>
    <w:lvl w:ilvl="3">
      <w:start w:val="1"/>
      <w:numFmt w:val="bullet"/>
      <w:lvlText w:val="•"/>
      <w:lvlJc w:val="left"/>
      <w:pPr>
        <w:ind w:left="2505" w:hanging="360"/>
      </w:pPr>
    </w:lvl>
    <w:lvl w:ilvl="4">
      <w:start w:val="1"/>
      <w:numFmt w:val="bullet"/>
      <w:lvlText w:val="•"/>
      <w:lvlJc w:val="left"/>
      <w:pPr>
        <w:ind w:left="3790" w:hanging="360"/>
      </w:pPr>
    </w:lvl>
    <w:lvl w:ilvl="5">
      <w:start w:val="1"/>
      <w:numFmt w:val="bullet"/>
      <w:lvlText w:val="•"/>
      <w:lvlJc w:val="left"/>
      <w:pPr>
        <w:ind w:left="5075" w:hanging="360"/>
      </w:pPr>
    </w:lvl>
    <w:lvl w:ilvl="6">
      <w:start w:val="1"/>
      <w:numFmt w:val="bullet"/>
      <w:lvlText w:val="•"/>
      <w:lvlJc w:val="left"/>
      <w:pPr>
        <w:ind w:left="6360" w:hanging="360"/>
      </w:pPr>
    </w:lvl>
    <w:lvl w:ilvl="7">
      <w:start w:val="1"/>
      <w:numFmt w:val="bullet"/>
      <w:lvlText w:val="•"/>
      <w:lvlJc w:val="left"/>
      <w:pPr>
        <w:ind w:left="7645" w:hanging="360"/>
      </w:pPr>
    </w:lvl>
    <w:lvl w:ilvl="8">
      <w:start w:val="1"/>
      <w:numFmt w:val="bullet"/>
      <w:lvlText w:val="•"/>
      <w:lvlJc w:val="left"/>
      <w:pPr>
        <w:ind w:left="8930" w:hanging="360"/>
      </w:pPr>
    </w:lvl>
  </w:abstractNum>
  <w:abstractNum w:abstractNumId="15">
    <w:nsid w:val="6A296E04"/>
    <w:multiLevelType w:val="multilevel"/>
    <w:tmpl w:val="BED45B80"/>
    <w:lvl w:ilvl="0">
      <w:start w:val="1"/>
      <w:numFmt w:val="bullet"/>
      <w:lvlText w:val="●"/>
      <w:lvlJc w:val="left"/>
      <w:pPr>
        <w:ind w:left="469" w:hanging="360"/>
      </w:pPr>
      <w:rPr>
        <w:rFonts w:ascii="Noto Sans Symbols" w:eastAsia="Noto Sans Symbols" w:hAnsi="Noto Sans Symbols" w:cs="Noto Sans Symbols"/>
        <w:color w:val="2F5496"/>
        <w:sz w:val="20"/>
        <w:szCs w:val="20"/>
      </w:rPr>
    </w:lvl>
    <w:lvl w:ilvl="1">
      <w:start w:val="1"/>
      <w:numFmt w:val="bullet"/>
      <w:lvlText w:val="•"/>
      <w:lvlJc w:val="left"/>
      <w:pPr>
        <w:ind w:left="713" w:hanging="360"/>
      </w:pPr>
    </w:lvl>
    <w:lvl w:ilvl="2">
      <w:start w:val="1"/>
      <w:numFmt w:val="bullet"/>
      <w:lvlText w:val="•"/>
      <w:lvlJc w:val="left"/>
      <w:pPr>
        <w:ind w:left="966" w:hanging="360"/>
      </w:pPr>
    </w:lvl>
    <w:lvl w:ilvl="3">
      <w:start w:val="1"/>
      <w:numFmt w:val="bullet"/>
      <w:lvlText w:val="•"/>
      <w:lvlJc w:val="left"/>
      <w:pPr>
        <w:ind w:left="1219" w:hanging="360"/>
      </w:pPr>
    </w:lvl>
    <w:lvl w:ilvl="4">
      <w:start w:val="1"/>
      <w:numFmt w:val="bullet"/>
      <w:lvlText w:val="•"/>
      <w:lvlJc w:val="left"/>
      <w:pPr>
        <w:ind w:left="1472" w:hanging="360"/>
      </w:pPr>
    </w:lvl>
    <w:lvl w:ilvl="5">
      <w:start w:val="1"/>
      <w:numFmt w:val="bullet"/>
      <w:lvlText w:val="•"/>
      <w:lvlJc w:val="left"/>
      <w:pPr>
        <w:ind w:left="1725" w:hanging="360"/>
      </w:pPr>
    </w:lvl>
    <w:lvl w:ilvl="6">
      <w:start w:val="1"/>
      <w:numFmt w:val="bullet"/>
      <w:lvlText w:val="•"/>
      <w:lvlJc w:val="left"/>
      <w:pPr>
        <w:ind w:left="1978" w:hanging="360"/>
      </w:pPr>
    </w:lvl>
    <w:lvl w:ilvl="7">
      <w:start w:val="1"/>
      <w:numFmt w:val="bullet"/>
      <w:lvlText w:val="•"/>
      <w:lvlJc w:val="left"/>
      <w:pPr>
        <w:ind w:left="2231" w:hanging="360"/>
      </w:pPr>
    </w:lvl>
    <w:lvl w:ilvl="8">
      <w:start w:val="1"/>
      <w:numFmt w:val="bullet"/>
      <w:lvlText w:val="•"/>
      <w:lvlJc w:val="left"/>
      <w:pPr>
        <w:ind w:left="2484" w:hanging="360"/>
      </w:pPr>
    </w:lvl>
  </w:abstractNum>
  <w:abstractNum w:abstractNumId="16">
    <w:nsid w:val="6D3140E7"/>
    <w:multiLevelType w:val="multilevel"/>
    <w:tmpl w:val="319A723A"/>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7">
    <w:nsid w:val="6E6B5766"/>
    <w:multiLevelType w:val="multilevel"/>
    <w:tmpl w:val="6C58D592"/>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8">
    <w:nsid w:val="7653263D"/>
    <w:multiLevelType w:val="multilevel"/>
    <w:tmpl w:val="6994EB20"/>
    <w:lvl w:ilvl="0">
      <w:start w:val="1"/>
      <w:numFmt w:val="bullet"/>
      <w:lvlText w:val="●"/>
      <w:lvlJc w:val="left"/>
      <w:pPr>
        <w:ind w:left="760" w:hanging="360"/>
      </w:pPr>
      <w:rPr>
        <w:rFonts w:ascii="Noto Sans Symbols" w:eastAsia="Noto Sans Symbols" w:hAnsi="Noto Sans Symbols" w:cs="Noto Sans Symbols"/>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9">
    <w:nsid w:val="794934C8"/>
    <w:multiLevelType w:val="hybridMultilevel"/>
    <w:tmpl w:val="B9FA2A8E"/>
    <w:lvl w:ilvl="0">
      <w:start w:val="2"/>
      <w:numFmt w:val="decimal"/>
      <w:lvlText w:val="%1."/>
      <w:lvlJc w:val="left"/>
      <w:pPr>
        <w:ind w:left="100" w:hanging="300"/>
        <w:jc w:val="right"/>
      </w:pPr>
      <w:rPr>
        <w:rFonts w:ascii="Times New Roman" w:eastAsia="Times New Roman" w:hAnsi="Times New Roman" w:hint="default"/>
        <w:b/>
        <w:bCs/>
        <w:sz w:val="24"/>
        <w:szCs w:val="24"/>
      </w:rPr>
    </w:lvl>
    <w:lvl w:ilvl="1">
      <w:start w:val="1"/>
      <w:numFmt w:val="lowerLetter"/>
      <w:lvlText w:val="%2."/>
      <w:lvlJc w:val="left"/>
      <w:pPr>
        <w:ind w:left="100" w:hanging="300"/>
      </w:pPr>
      <w:rPr>
        <w:rFonts w:ascii="Times New Roman" w:eastAsia="Times New Roman" w:hAnsi="Times New Roman" w:hint="default"/>
        <w:b/>
        <w:bCs/>
        <w:sz w:val="24"/>
        <w:szCs w:val="24"/>
      </w:rPr>
    </w:lvl>
    <w:lvl w:ilvl="2">
      <w:start w:val="1"/>
      <w:numFmt w:val="bullet"/>
      <w:lvlText w:val="•"/>
      <w:lvlJc w:val="left"/>
      <w:pPr>
        <w:ind w:left="1988" w:hanging="300"/>
      </w:pPr>
      <w:rPr>
        <w:rFonts w:hint="default"/>
      </w:rPr>
    </w:lvl>
    <w:lvl w:ilvl="3">
      <w:start w:val="1"/>
      <w:numFmt w:val="bullet"/>
      <w:lvlText w:val="•"/>
      <w:lvlJc w:val="left"/>
      <w:pPr>
        <w:ind w:left="2932" w:hanging="300"/>
      </w:pPr>
      <w:rPr>
        <w:rFonts w:hint="default"/>
      </w:rPr>
    </w:lvl>
    <w:lvl w:ilvl="4">
      <w:start w:val="1"/>
      <w:numFmt w:val="bullet"/>
      <w:lvlText w:val="•"/>
      <w:lvlJc w:val="left"/>
      <w:pPr>
        <w:ind w:left="3876" w:hanging="300"/>
      </w:pPr>
      <w:rPr>
        <w:rFonts w:hint="default"/>
      </w:rPr>
    </w:lvl>
    <w:lvl w:ilvl="5">
      <w:start w:val="1"/>
      <w:numFmt w:val="bullet"/>
      <w:lvlText w:val="•"/>
      <w:lvlJc w:val="left"/>
      <w:pPr>
        <w:ind w:left="4820" w:hanging="300"/>
      </w:pPr>
      <w:rPr>
        <w:rFonts w:hint="default"/>
      </w:rPr>
    </w:lvl>
    <w:lvl w:ilvl="6">
      <w:start w:val="1"/>
      <w:numFmt w:val="bullet"/>
      <w:lvlText w:val="•"/>
      <w:lvlJc w:val="left"/>
      <w:pPr>
        <w:ind w:left="5764" w:hanging="300"/>
      </w:pPr>
      <w:rPr>
        <w:rFonts w:hint="default"/>
      </w:rPr>
    </w:lvl>
    <w:lvl w:ilvl="7">
      <w:start w:val="1"/>
      <w:numFmt w:val="bullet"/>
      <w:lvlText w:val="•"/>
      <w:lvlJc w:val="left"/>
      <w:pPr>
        <w:ind w:left="6708" w:hanging="300"/>
      </w:pPr>
      <w:rPr>
        <w:rFonts w:hint="default"/>
      </w:rPr>
    </w:lvl>
    <w:lvl w:ilvl="8">
      <w:start w:val="1"/>
      <w:numFmt w:val="bullet"/>
      <w:lvlText w:val="•"/>
      <w:lvlJc w:val="left"/>
      <w:pPr>
        <w:ind w:left="7652" w:hanging="300"/>
      </w:pPr>
      <w:rPr>
        <w:rFonts w:hint="default"/>
      </w:rPr>
    </w:lvl>
  </w:abstractNum>
  <w:abstractNum w:abstractNumId="20">
    <w:nsid w:val="7FD14123"/>
    <w:multiLevelType w:val="hybridMultilevel"/>
    <w:tmpl w:val="14D0DC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87865468">
    <w:abstractNumId w:val="15"/>
  </w:num>
  <w:num w:numId="2" w16cid:durableId="1919440231">
    <w:abstractNumId w:val="12"/>
  </w:num>
  <w:num w:numId="3" w16cid:durableId="432242543">
    <w:abstractNumId w:val="10"/>
  </w:num>
  <w:num w:numId="4" w16cid:durableId="1688025055">
    <w:abstractNumId w:val="16"/>
  </w:num>
  <w:num w:numId="5" w16cid:durableId="1527674958">
    <w:abstractNumId w:val="7"/>
  </w:num>
  <w:num w:numId="6" w16cid:durableId="2114199671">
    <w:abstractNumId w:val="18"/>
  </w:num>
  <w:num w:numId="7" w16cid:durableId="494030042">
    <w:abstractNumId w:val="17"/>
  </w:num>
  <w:num w:numId="8" w16cid:durableId="1729263422">
    <w:abstractNumId w:val="14"/>
  </w:num>
  <w:num w:numId="9" w16cid:durableId="2143694349">
    <w:abstractNumId w:val="2"/>
  </w:num>
  <w:num w:numId="10" w16cid:durableId="1106342286">
    <w:abstractNumId w:val="5"/>
  </w:num>
  <w:num w:numId="11" w16cid:durableId="312367180">
    <w:abstractNumId w:val="0"/>
  </w:num>
  <w:num w:numId="12" w16cid:durableId="1489514018">
    <w:abstractNumId w:val="19"/>
  </w:num>
  <w:num w:numId="13" w16cid:durableId="706641752">
    <w:abstractNumId w:val="4"/>
  </w:num>
  <w:num w:numId="14" w16cid:durableId="330521625">
    <w:abstractNumId w:val="6"/>
  </w:num>
  <w:num w:numId="15" w16cid:durableId="1031565265">
    <w:abstractNumId w:val="13"/>
  </w:num>
  <w:num w:numId="16" w16cid:durableId="1988320758">
    <w:abstractNumId w:val="9"/>
  </w:num>
  <w:num w:numId="17" w16cid:durableId="552232642">
    <w:abstractNumId w:val="8"/>
  </w:num>
  <w:num w:numId="18" w16cid:durableId="1703819014">
    <w:abstractNumId w:val="1"/>
  </w:num>
  <w:num w:numId="19" w16cid:durableId="533660241">
    <w:abstractNumId w:val="20"/>
  </w:num>
  <w:num w:numId="20" w16cid:durableId="1362390935">
    <w:abstractNumId w:val="11"/>
  </w:num>
  <w:num w:numId="21" w16cid:durableId="7061082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56D"/>
    <w:rsid w:val="00003CBD"/>
    <w:rsid w:val="000162DF"/>
    <w:rsid w:val="000323DC"/>
    <w:rsid w:val="00041890"/>
    <w:rsid w:val="00062254"/>
    <w:rsid w:val="00064A2B"/>
    <w:rsid w:val="00094A65"/>
    <w:rsid w:val="000A2D1E"/>
    <w:rsid w:val="000B01B8"/>
    <w:rsid w:val="000C0D4C"/>
    <w:rsid w:val="000E043B"/>
    <w:rsid w:val="000E7EC9"/>
    <w:rsid w:val="000F5C50"/>
    <w:rsid w:val="00100EFB"/>
    <w:rsid w:val="0010589F"/>
    <w:rsid w:val="00114728"/>
    <w:rsid w:val="0014426B"/>
    <w:rsid w:val="0014473A"/>
    <w:rsid w:val="0015071F"/>
    <w:rsid w:val="001813D2"/>
    <w:rsid w:val="00190DF8"/>
    <w:rsid w:val="001B0187"/>
    <w:rsid w:val="001B289B"/>
    <w:rsid w:val="001D061E"/>
    <w:rsid w:val="001D1A0A"/>
    <w:rsid w:val="001F358C"/>
    <w:rsid w:val="0020080B"/>
    <w:rsid w:val="00253B90"/>
    <w:rsid w:val="00265887"/>
    <w:rsid w:val="00272AE4"/>
    <w:rsid w:val="00275118"/>
    <w:rsid w:val="00295B6A"/>
    <w:rsid w:val="002B7579"/>
    <w:rsid w:val="002E5DD2"/>
    <w:rsid w:val="002E7072"/>
    <w:rsid w:val="002F7BC2"/>
    <w:rsid w:val="00302B43"/>
    <w:rsid w:val="00321645"/>
    <w:rsid w:val="003313E2"/>
    <w:rsid w:val="0038391D"/>
    <w:rsid w:val="003C1115"/>
    <w:rsid w:val="003D2D60"/>
    <w:rsid w:val="003D3AFB"/>
    <w:rsid w:val="003E7060"/>
    <w:rsid w:val="00417BE7"/>
    <w:rsid w:val="004326BE"/>
    <w:rsid w:val="00434BE8"/>
    <w:rsid w:val="00445785"/>
    <w:rsid w:val="004503ED"/>
    <w:rsid w:val="0046611F"/>
    <w:rsid w:val="00472875"/>
    <w:rsid w:val="004837F2"/>
    <w:rsid w:val="00492E2F"/>
    <w:rsid w:val="004A672E"/>
    <w:rsid w:val="004C0EA7"/>
    <w:rsid w:val="004E41CE"/>
    <w:rsid w:val="005026AC"/>
    <w:rsid w:val="00524AE0"/>
    <w:rsid w:val="00525FC9"/>
    <w:rsid w:val="00551497"/>
    <w:rsid w:val="00563B1F"/>
    <w:rsid w:val="00564D25"/>
    <w:rsid w:val="00566496"/>
    <w:rsid w:val="005766BA"/>
    <w:rsid w:val="0058534C"/>
    <w:rsid w:val="005B421F"/>
    <w:rsid w:val="005B7A8C"/>
    <w:rsid w:val="005C2E13"/>
    <w:rsid w:val="005F04F4"/>
    <w:rsid w:val="00671140"/>
    <w:rsid w:val="00684B03"/>
    <w:rsid w:val="006970B3"/>
    <w:rsid w:val="006B2FEE"/>
    <w:rsid w:val="006B53C5"/>
    <w:rsid w:val="006B7E85"/>
    <w:rsid w:val="006C3354"/>
    <w:rsid w:val="006D57F9"/>
    <w:rsid w:val="0071554E"/>
    <w:rsid w:val="00716ABE"/>
    <w:rsid w:val="00717ED2"/>
    <w:rsid w:val="00722AA8"/>
    <w:rsid w:val="0072349C"/>
    <w:rsid w:val="007444D3"/>
    <w:rsid w:val="00755168"/>
    <w:rsid w:val="007554BE"/>
    <w:rsid w:val="007759F6"/>
    <w:rsid w:val="00793288"/>
    <w:rsid w:val="00793BA4"/>
    <w:rsid w:val="007A4321"/>
    <w:rsid w:val="007B4713"/>
    <w:rsid w:val="007E1CC9"/>
    <w:rsid w:val="007E5EE7"/>
    <w:rsid w:val="007F564A"/>
    <w:rsid w:val="008147E1"/>
    <w:rsid w:val="0082163C"/>
    <w:rsid w:val="0082384F"/>
    <w:rsid w:val="008253B2"/>
    <w:rsid w:val="00831692"/>
    <w:rsid w:val="00842669"/>
    <w:rsid w:val="00860C45"/>
    <w:rsid w:val="00891370"/>
    <w:rsid w:val="00894EDF"/>
    <w:rsid w:val="008B4D95"/>
    <w:rsid w:val="008E2331"/>
    <w:rsid w:val="008F2E5F"/>
    <w:rsid w:val="00912020"/>
    <w:rsid w:val="00933811"/>
    <w:rsid w:val="00934B6F"/>
    <w:rsid w:val="00954B95"/>
    <w:rsid w:val="00992251"/>
    <w:rsid w:val="0099558D"/>
    <w:rsid w:val="00997072"/>
    <w:rsid w:val="009B29DF"/>
    <w:rsid w:val="009C43D2"/>
    <w:rsid w:val="00A0163F"/>
    <w:rsid w:val="00A01B0C"/>
    <w:rsid w:val="00A16003"/>
    <w:rsid w:val="00A55FAB"/>
    <w:rsid w:val="00A63438"/>
    <w:rsid w:val="00A7123F"/>
    <w:rsid w:val="00A84E4F"/>
    <w:rsid w:val="00A9344B"/>
    <w:rsid w:val="00AA324D"/>
    <w:rsid w:val="00AB3D3A"/>
    <w:rsid w:val="00AD5560"/>
    <w:rsid w:val="00B00B4C"/>
    <w:rsid w:val="00B01642"/>
    <w:rsid w:val="00B01EF1"/>
    <w:rsid w:val="00B123F8"/>
    <w:rsid w:val="00B14853"/>
    <w:rsid w:val="00B345D9"/>
    <w:rsid w:val="00B3598E"/>
    <w:rsid w:val="00B37C98"/>
    <w:rsid w:val="00B429DA"/>
    <w:rsid w:val="00B90392"/>
    <w:rsid w:val="00B960EB"/>
    <w:rsid w:val="00BB62C4"/>
    <w:rsid w:val="00BD156D"/>
    <w:rsid w:val="00BD3A24"/>
    <w:rsid w:val="00BD5F96"/>
    <w:rsid w:val="00BE5CD9"/>
    <w:rsid w:val="00BF5607"/>
    <w:rsid w:val="00BF76D6"/>
    <w:rsid w:val="00C141D6"/>
    <w:rsid w:val="00C16CD2"/>
    <w:rsid w:val="00C37913"/>
    <w:rsid w:val="00C65960"/>
    <w:rsid w:val="00C72460"/>
    <w:rsid w:val="00C80CC5"/>
    <w:rsid w:val="00C973F3"/>
    <w:rsid w:val="00CA1354"/>
    <w:rsid w:val="00CB0706"/>
    <w:rsid w:val="00CB78CF"/>
    <w:rsid w:val="00CC4B1F"/>
    <w:rsid w:val="00CC6D2E"/>
    <w:rsid w:val="00CE23FB"/>
    <w:rsid w:val="00CE7540"/>
    <w:rsid w:val="00CF0980"/>
    <w:rsid w:val="00D34D4C"/>
    <w:rsid w:val="00D41B55"/>
    <w:rsid w:val="00D632E4"/>
    <w:rsid w:val="00D67511"/>
    <w:rsid w:val="00D75D71"/>
    <w:rsid w:val="00D86FC7"/>
    <w:rsid w:val="00D902CD"/>
    <w:rsid w:val="00DA24D9"/>
    <w:rsid w:val="00DC07FA"/>
    <w:rsid w:val="00DC172E"/>
    <w:rsid w:val="00DD5B58"/>
    <w:rsid w:val="00DD5E08"/>
    <w:rsid w:val="00DE161B"/>
    <w:rsid w:val="00DE2650"/>
    <w:rsid w:val="00DF0A1D"/>
    <w:rsid w:val="00DF38C0"/>
    <w:rsid w:val="00E0056B"/>
    <w:rsid w:val="00E01E60"/>
    <w:rsid w:val="00E26AFF"/>
    <w:rsid w:val="00E35DD6"/>
    <w:rsid w:val="00E57F6B"/>
    <w:rsid w:val="00E8217A"/>
    <w:rsid w:val="00E92F3D"/>
    <w:rsid w:val="00EB1C85"/>
    <w:rsid w:val="00F004CB"/>
    <w:rsid w:val="00F019A0"/>
    <w:rsid w:val="00FB6992"/>
    <w:rsid w:val="00FC4E0F"/>
    <w:rsid w:val="00FD330B"/>
    <w:rsid w:val="00FD6490"/>
    <w:rsid w:val="00FD6E4D"/>
    <w:rsid w:val="00FE7993"/>
    <w:rsid w:val="00FF77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290D5D"/>
  <w15:docId w15:val="{AF2E599A-E320-4FBF-9CDD-6E4968119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spacing w:before="80"/>
      <w:ind w:left="400"/>
      <w:outlineLvl w:val="0"/>
    </w:pPr>
    <w:rPr>
      <w:b/>
      <w:bCs/>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pPr>
      <w:spacing w:before="161"/>
      <w:ind w:left="400"/>
    </w:pPr>
  </w:style>
  <w:style w:type="paragraph" w:styleId="ListParagraph">
    <w:name w:val="List Paragraph"/>
    <w:basedOn w:val="Normal"/>
    <w:uiPriority w:val="34"/>
    <w:qFormat/>
    <w:pPr>
      <w:spacing w:before="161"/>
      <w:ind w:left="11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D1431"/>
    <w:rPr>
      <w:sz w:val="16"/>
      <w:szCs w:val="16"/>
    </w:rPr>
  </w:style>
  <w:style w:type="paragraph" w:styleId="CommentText">
    <w:name w:val="annotation text"/>
    <w:basedOn w:val="Normal"/>
    <w:link w:val="CommentTextChar"/>
    <w:uiPriority w:val="99"/>
    <w:unhideWhenUsed/>
    <w:rsid w:val="00AD1431"/>
    <w:pPr>
      <w:widowControl/>
      <w:spacing w:after="149"/>
      <w:ind w:left="426" w:hanging="10"/>
    </w:pPr>
    <w:rPr>
      <w:color w:val="2E5395"/>
      <w:sz w:val="20"/>
      <w:szCs w:val="20"/>
    </w:rPr>
  </w:style>
  <w:style w:type="character" w:customStyle="1" w:styleId="CommentTextChar">
    <w:name w:val="Comment Text Char"/>
    <w:basedOn w:val="DefaultParagraphFont"/>
    <w:link w:val="CommentText"/>
    <w:uiPriority w:val="99"/>
    <w:rsid w:val="00AD1431"/>
    <w:rPr>
      <w:rFonts w:ascii="Arial" w:eastAsia="Arial" w:hAnsi="Arial" w:cs="Arial"/>
      <w:color w:val="2E5395"/>
      <w:sz w:val="20"/>
      <w:szCs w:val="20"/>
    </w:rPr>
  </w:style>
  <w:style w:type="paragraph" w:styleId="BalloonText">
    <w:name w:val="Balloon Text"/>
    <w:basedOn w:val="Normal"/>
    <w:link w:val="BalloonTextChar"/>
    <w:uiPriority w:val="99"/>
    <w:semiHidden/>
    <w:unhideWhenUsed/>
    <w:rsid w:val="00AD14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431"/>
    <w:rPr>
      <w:rFonts w:ascii="Segoe UI" w:eastAsia="Arial" w:hAnsi="Segoe UI" w:cs="Segoe UI"/>
      <w:sz w:val="18"/>
      <w:szCs w:val="18"/>
      <w:lang w:bidi="en-US"/>
    </w:rPr>
  </w:style>
  <w:style w:type="paragraph" w:styleId="Header">
    <w:name w:val="header"/>
    <w:basedOn w:val="Normal"/>
    <w:link w:val="HeaderChar"/>
    <w:uiPriority w:val="99"/>
    <w:unhideWhenUsed/>
    <w:rsid w:val="00F27520"/>
    <w:pPr>
      <w:tabs>
        <w:tab w:val="center" w:pos="4680"/>
        <w:tab w:val="right" w:pos="9360"/>
      </w:tabs>
    </w:pPr>
  </w:style>
  <w:style w:type="character" w:customStyle="1" w:styleId="HeaderChar">
    <w:name w:val="Header Char"/>
    <w:basedOn w:val="DefaultParagraphFont"/>
    <w:link w:val="Header"/>
    <w:uiPriority w:val="99"/>
    <w:rsid w:val="00F27520"/>
  </w:style>
  <w:style w:type="paragraph" w:styleId="Footer">
    <w:name w:val="footer"/>
    <w:basedOn w:val="Normal"/>
    <w:link w:val="FooterChar"/>
    <w:uiPriority w:val="99"/>
    <w:unhideWhenUsed/>
    <w:rsid w:val="00F27520"/>
    <w:pPr>
      <w:tabs>
        <w:tab w:val="center" w:pos="4680"/>
        <w:tab w:val="right" w:pos="9360"/>
      </w:tabs>
    </w:pPr>
  </w:style>
  <w:style w:type="character" w:customStyle="1" w:styleId="FooterChar">
    <w:name w:val="Footer Char"/>
    <w:basedOn w:val="DefaultParagraphFont"/>
    <w:link w:val="Footer"/>
    <w:uiPriority w:val="99"/>
    <w:rsid w:val="00F27520"/>
  </w:style>
  <w:style w:type="character" w:styleId="Hyperlink">
    <w:name w:val="Hyperlink"/>
    <w:basedOn w:val="DefaultParagraphFont"/>
    <w:uiPriority w:val="99"/>
    <w:unhideWhenUsed/>
    <w:rsid w:val="00F0299B"/>
    <w:rPr>
      <w:color w:val="0000FF" w:themeColor="hyperlink"/>
      <w:u w:val="single"/>
    </w:rPr>
  </w:style>
  <w:style w:type="character" w:styleId="FollowedHyperlink">
    <w:name w:val="FollowedHyperlink"/>
    <w:basedOn w:val="DefaultParagraphFont"/>
    <w:uiPriority w:val="99"/>
    <w:semiHidden/>
    <w:unhideWhenUsed/>
    <w:rsid w:val="00F0299B"/>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0" w:type="dxa"/>
        <w:right w:w="0"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0" w:type="dxa"/>
        <w:right w:w="0" w:type="dxa"/>
      </w:tblCellMar>
    </w:tblPr>
  </w:style>
  <w:style w:type="paragraph" w:styleId="CommentSubject">
    <w:name w:val="annotation subject"/>
    <w:basedOn w:val="CommentText"/>
    <w:next w:val="CommentText"/>
    <w:link w:val="CommentSubjectChar"/>
    <w:uiPriority w:val="99"/>
    <w:semiHidden/>
    <w:unhideWhenUsed/>
    <w:rsid w:val="007759F6"/>
    <w:pPr>
      <w:widowControl w:val="0"/>
      <w:spacing w:after="0"/>
      <w:ind w:left="0" w:firstLine="0"/>
    </w:pPr>
    <w:rPr>
      <w:b/>
      <w:bCs/>
      <w:color w:val="auto"/>
    </w:rPr>
  </w:style>
  <w:style w:type="character" w:customStyle="1" w:styleId="CommentSubjectChar">
    <w:name w:val="Comment Subject Char"/>
    <w:basedOn w:val="CommentTextChar"/>
    <w:link w:val="CommentSubject"/>
    <w:uiPriority w:val="99"/>
    <w:semiHidden/>
    <w:rsid w:val="007759F6"/>
    <w:rPr>
      <w:rFonts w:ascii="Arial" w:eastAsia="Arial" w:hAnsi="Arial" w:cs="Arial"/>
      <w:b/>
      <w:bCs/>
      <w:color w:val="2E5395"/>
      <w:sz w:val="20"/>
      <w:szCs w:val="20"/>
    </w:rPr>
  </w:style>
  <w:style w:type="paragraph" w:styleId="Revision">
    <w:name w:val="Revision"/>
    <w:hidden/>
    <w:uiPriority w:val="99"/>
    <w:semiHidden/>
    <w:rsid w:val="008F2E5F"/>
    <w:pPr>
      <w:widowControl/>
    </w:pPr>
  </w:style>
  <w:style w:type="character" w:customStyle="1" w:styleId="UnresolvedMention1">
    <w:name w:val="Unresolved Mention1"/>
    <w:basedOn w:val="DefaultParagraphFont"/>
    <w:uiPriority w:val="99"/>
    <w:semiHidden/>
    <w:unhideWhenUsed/>
    <w:rsid w:val="00B123F8"/>
    <w:rPr>
      <w:color w:val="605E5C"/>
      <w:shd w:val="clear" w:color="auto" w:fill="E1DFDD"/>
    </w:rPr>
  </w:style>
  <w:style w:type="paragraph" w:styleId="FootnoteText">
    <w:name w:val="footnote text"/>
    <w:basedOn w:val="Normal"/>
    <w:link w:val="FootnoteTextChar"/>
    <w:uiPriority w:val="99"/>
    <w:semiHidden/>
    <w:unhideWhenUsed/>
    <w:rsid w:val="000F5C50"/>
    <w:rPr>
      <w:sz w:val="20"/>
      <w:szCs w:val="20"/>
    </w:rPr>
  </w:style>
  <w:style w:type="character" w:customStyle="1" w:styleId="FootnoteTextChar">
    <w:name w:val="Footnote Text Char"/>
    <w:basedOn w:val="DefaultParagraphFont"/>
    <w:link w:val="FootnoteText"/>
    <w:uiPriority w:val="99"/>
    <w:semiHidden/>
    <w:rsid w:val="000F5C50"/>
    <w:rPr>
      <w:sz w:val="20"/>
      <w:szCs w:val="20"/>
    </w:rPr>
  </w:style>
  <w:style w:type="character" w:styleId="FootnoteReference">
    <w:name w:val="footnote reference"/>
    <w:basedOn w:val="DefaultParagraphFont"/>
    <w:uiPriority w:val="99"/>
    <w:semiHidden/>
    <w:unhideWhenUsed/>
    <w:rsid w:val="000F5C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isheries.noaa.gov/alaska/sustainable-fisheries/american-fisheries-act-pollock-fisheries-management-alaska" TargetMode="External" /><Relationship Id="rId11" Type="http://schemas.openxmlformats.org/officeDocument/2006/relationships/hyperlink" Target="https://www.ecfr.gov/cgi-bin/text-idx?SID=a98276dad2818db00c43bbc8677bc7c2&amp;mc=true&amp;node=se50.13.679_121&amp;rgn=div8" TargetMode="External" /><Relationship Id="rId12" Type="http://schemas.openxmlformats.org/officeDocument/2006/relationships/hyperlink" Target="https://www.ecfr.gov/cgi-bin/text-idx?SID=a98276dad2818db00c43bbc8677bc7c2&amp;mc=true&amp;node=se50.13.679_161&amp;rgn=div8" TargetMode="External" /><Relationship Id="rId13" Type="http://schemas.openxmlformats.org/officeDocument/2006/relationships/hyperlink" Target="https://www.ecfr.gov/current/title-50/part-679/section-679.61" TargetMode="External" /><Relationship Id="rId14" Type="http://schemas.openxmlformats.org/officeDocument/2006/relationships/hyperlink" Target="https://www.ecfr.gov/current/title-50/part-679/section-679.21" TargetMode="External" /><Relationship Id="rId15" Type="http://schemas.openxmlformats.org/officeDocument/2006/relationships/hyperlink" Target="https://www.fisheries.noaa.gov/alaska/bycatch/chinook-salmon-bycatch-management-alaska" TargetMode="External" /><Relationship Id="rId16" Type="http://schemas.openxmlformats.org/officeDocument/2006/relationships/hyperlink" Target="https://www.npfmc.org/cooperative-reporting/" TargetMode="External" /><Relationship Id="rId17" Type="http://schemas.openxmlformats.org/officeDocument/2006/relationships/hyperlink" Target="https://www.federalregister.gov/documents/2025/06/11/2025-10526/agency-information-collection-activities-submission-to-the-office-of-management-and-budget-omb-for" TargetMode="External" /><Relationship Id="rId18" Type="http://schemas.openxmlformats.org/officeDocument/2006/relationships/hyperlink" Target="http://www.corporateservices.noaa.gov/%7Eames/NAOs/Chap_216/naos_216_100.html" TargetMode="External" /><Relationship Id="rId19" Type="http://schemas.openxmlformats.org/officeDocument/2006/relationships/hyperlink" Target="https://www.commerce.gov/hr/practitioners/caps/pay-administration" TargetMode="External" /><Relationship Id="rId2" Type="http://schemas.openxmlformats.org/officeDocument/2006/relationships/settings" Target="settings.xml" /><Relationship Id="rId20" Type="http://schemas.openxmlformats.org/officeDocument/2006/relationships/hyperlink" Target="https://www.govinfo.gov/link/plaw/106/public/554" TargetMode="External" /><Relationship Id="rId21" Type="http://schemas.openxmlformats.org/officeDocument/2006/relationships/hyperlink" Target="https://www.noaa.gov/organization/information-technology/policy-oversight/information-quality/information-quality-guidelines" TargetMode="External" /><Relationship Id="rId22" Type="http://schemas.openxmlformats.org/officeDocument/2006/relationships/hyperlink" Target="https://www.fisheries.noaa.gov/national/rules-and-regulations/appeals" TargetMode="External" /><Relationship Id="rId23" Type="http://schemas.openxmlformats.org/officeDocument/2006/relationships/hyperlink" Target="http://www.gpo.gov/fdsys/pkg/CFR-2014-title5-vol3/pdf/CFR-2014-title5-vol3-sec1320-9.pdf" TargetMode="External" /><Relationship Id="rId24" Type="http://schemas.openxmlformats.org/officeDocument/2006/relationships/hyperlink" Target="http://www.gpo.gov/fdsys/pkg/CFR-2014-title5-vol3/pdf/CFR-2014-title5-vol3-sec1320-8.pdf" TargetMode="Externa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www.fisheries.noaa.gov/topic/laws-policies" TargetMode="External" /><Relationship Id="rId8" Type="http://schemas.openxmlformats.org/officeDocument/2006/relationships/hyperlink" Target="https://www.ecfr.gov/cgi-bin/text-idx?SID=c06c60646b96cf66e2ae44c10a7e0f27&amp;mc=true&amp;node=pt50.13.679&amp;rgn=div5" TargetMode="External" /><Relationship Id="rId9" Type="http://schemas.openxmlformats.org/officeDocument/2006/relationships/hyperlink" Target="https://www.fisheries.noaa.gov/alaska/rules-and-regulations/regulations-acts-treaties-and-agreements-federal-fisheries-alask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0X+Rgwo6KWsEiVmTPx4tTOz3gw==">CgMxLjAyCGguZ2pkZ3hzOAByITF2d0x5V2xXM0pkNTI3MGcxN0tHcGVUQzVyZlZhMjZnZw==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0B7E2A-40B6-4538-BFA8-79311EF32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15</Pages>
  <Words>6460</Words>
  <Characters>36823</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NOAA National Marine Fisheries Service Alaska Region</Company>
  <LinksUpToDate>false</LinksUpToDate>
  <CharactersWithSpaces>43197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Dumas, Sheleen (Federal)</dc:creator>
  <cp:lastModifiedBy>Adrienne.Thomas</cp:lastModifiedBy>
  <cp:revision>5</cp:revision>
  <dcterms:created xsi:type="dcterms:W3CDTF">2026-01-21T20:13:00Z</dcterms:created>
  <dcterms:modified xsi:type="dcterms:W3CDTF">2026-01-21T20:59:00Z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2020-05-06T00:00:00Z</vt:filetime>
  </property>
  <property fmtid="{D5CDD505-2E9C-101B-9397-08002B2CF9AE}" pid="3" name="Creator">
    <vt:lpwstr>Acrobat PDFMaker 17 for Word</vt:lpwstr>
  </property>
  <property fmtid="{D5CDD505-2E9C-101B-9397-08002B2CF9AE}" pid="4" name="LastSaved">
    <vt:filetime>2020-05-07T00:00:00Z</vt:filetime>
  </property>
</Properties>
</file>